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C3790B" w14:textId="0C615186" w:rsidR="006E2564" w:rsidRPr="006E2564" w:rsidRDefault="009B11D6" w:rsidP="006E2564">
      <w:pPr>
        <w:tabs>
          <w:tab w:val="left" w:pos="3465"/>
        </w:tabs>
        <w:spacing w:line="360" w:lineRule="auto"/>
        <w:jc w:val="both"/>
        <w:rPr>
          <w:rFonts w:ascii="Palatino Linotype" w:hAnsi="Palatino Linotype"/>
          <w:color w:val="000000" w:themeColor="text1"/>
        </w:rPr>
      </w:pPr>
      <w:r w:rsidRPr="00A85CB7">
        <w:rPr>
          <w:rFonts w:ascii="Palatino Linotype" w:hAnsi="Palatino Linotype"/>
          <w:color w:val="000000" w:themeColor="text1"/>
        </w:rPr>
        <w:t>R</w:t>
      </w:r>
      <w:r w:rsidR="00662C69" w:rsidRPr="00A85CB7">
        <w:rPr>
          <w:rFonts w:ascii="Palatino Linotype" w:hAnsi="Palatino Linotype"/>
          <w:color w:val="000000" w:themeColor="text1"/>
        </w:rPr>
        <w:t>esolución del Pleno del Instituto de Transparencia, Acceso a la Información Pública y Protección de Datos Personales del Estado de México y Mun</w:t>
      </w:r>
      <w:r w:rsidR="000D5A1D" w:rsidRPr="00A85CB7">
        <w:rPr>
          <w:rFonts w:ascii="Palatino Linotype" w:hAnsi="Palatino Linotype"/>
          <w:color w:val="000000" w:themeColor="text1"/>
        </w:rPr>
        <w:t>icipios, con</w:t>
      </w:r>
      <w:r w:rsidR="00662C69" w:rsidRPr="00A85CB7">
        <w:rPr>
          <w:rFonts w:ascii="Palatino Linotype" w:hAnsi="Palatino Linotype"/>
          <w:color w:val="000000" w:themeColor="text1"/>
        </w:rPr>
        <w:t xml:space="preserve"> </w:t>
      </w:r>
      <w:r w:rsidR="00485DB6" w:rsidRPr="00A85CB7">
        <w:rPr>
          <w:rFonts w:ascii="Palatino Linotype" w:hAnsi="Palatino Linotype"/>
          <w:color w:val="000000" w:themeColor="text1"/>
        </w:rPr>
        <w:t xml:space="preserve">domicilio </w:t>
      </w:r>
      <w:r w:rsidR="00662C69" w:rsidRPr="00A85CB7">
        <w:rPr>
          <w:rFonts w:ascii="Palatino Linotype" w:hAnsi="Palatino Linotype"/>
          <w:color w:val="000000" w:themeColor="text1"/>
        </w:rPr>
        <w:t xml:space="preserve">en Metepec, Estado de México; </w:t>
      </w:r>
      <w:r w:rsidR="000039D0" w:rsidRPr="006E2564">
        <w:rPr>
          <w:rFonts w:ascii="Palatino Linotype" w:hAnsi="Palatino Linotype"/>
          <w:color w:val="000000" w:themeColor="text1"/>
        </w:rPr>
        <w:t xml:space="preserve">de </w:t>
      </w:r>
      <w:r w:rsidR="002B1F7B">
        <w:rPr>
          <w:rFonts w:ascii="Palatino Linotype" w:hAnsi="Palatino Linotype"/>
          <w:color w:val="000000" w:themeColor="text1"/>
        </w:rPr>
        <w:t>ocho (08</w:t>
      </w:r>
      <w:r w:rsidR="00BD7A19">
        <w:rPr>
          <w:rFonts w:ascii="Palatino Linotype" w:hAnsi="Palatino Linotype"/>
          <w:color w:val="000000" w:themeColor="text1"/>
        </w:rPr>
        <w:t>) de junio</w:t>
      </w:r>
      <w:r w:rsidR="006E2564" w:rsidRPr="006E2564">
        <w:rPr>
          <w:rFonts w:ascii="Palatino Linotype" w:hAnsi="Palatino Linotype"/>
          <w:color w:val="000000" w:themeColor="text1"/>
        </w:rPr>
        <w:t xml:space="preserve"> de dos mil veintidós.</w:t>
      </w:r>
    </w:p>
    <w:p w14:paraId="1181C59D" w14:textId="5E7E4254" w:rsidR="00B31E90" w:rsidRPr="00A85CB7" w:rsidRDefault="00B31E90" w:rsidP="00B31E90">
      <w:pPr>
        <w:tabs>
          <w:tab w:val="left" w:pos="3465"/>
        </w:tabs>
        <w:spacing w:line="360" w:lineRule="auto"/>
        <w:jc w:val="both"/>
        <w:rPr>
          <w:rFonts w:ascii="Palatino Linotype" w:hAnsi="Palatino Linotype"/>
          <w:color w:val="000000" w:themeColor="text1"/>
        </w:rPr>
      </w:pPr>
    </w:p>
    <w:p w14:paraId="04F87235" w14:textId="202E33A2" w:rsidR="005F0007" w:rsidRDefault="00662C69" w:rsidP="00B31E90">
      <w:pPr>
        <w:spacing w:line="360" w:lineRule="auto"/>
        <w:jc w:val="both"/>
        <w:rPr>
          <w:rFonts w:ascii="Palatino Linotype" w:eastAsia="Times New Roman" w:hAnsi="Palatino Linotype" w:cs="Times New Roman"/>
          <w:color w:val="000000" w:themeColor="text1"/>
        </w:rPr>
      </w:pPr>
      <w:r w:rsidRPr="00A85CB7">
        <w:rPr>
          <w:rFonts w:ascii="Palatino Linotype" w:hAnsi="Palatino Linotype"/>
          <w:b/>
          <w:color w:val="000000" w:themeColor="text1"/>
        </w:rPr>
        <w:t>VISTO</w:t>
      </w:r>
      <w:r w:rsidRPr="00A85CB7">
        <w:rPr>
          <w:rFonts w:ascii="Palatino Linotype" w:hAnsi="Palatino Linotype"/>
          <w:color w:val="000000" w:themeColor="text1"/>
        </w:rPr>
        <w:t xml:space="preserve"> el expediente electrónico for</w:t>
      </w:r>
      <w:r w:rsidR="00D37494" w:rsidRPr="00A85CB7">
        <w:rPr>
          <w:rFonts w:ascii="Palatino Linotype" w:hAnsi="Palatino Linotype"/>
          <w:color w:val="000000" w:themeColor="text1"/>
        </w:rPr>
        <w:t>mado con motivo del</w:t>
      </w:r>
      <w:r w:rsidRPr="00A85CB7">
        <w:rPr>
          <w:rFonts w:ascii="Palatino Linotype" w:hAnsi="Palatino Linotype"/>
          <w:color w:val="000000" w:themeColor="text1"/>
        </w:rPr>
        <w:t xml:space="preserve"> recurso de revisión </w:t>
      </w:r>
      <w:r w:rsidR="002B1F7B">
        <w:rPr>
          <w:rFonts w:ascii="Palatino Linotype" w:hAnsi="Palatino Linotype"/>
          <w:b/>
          <w:bCs/>
          <w:color w:val="000000" w:themeColor="text1"/>
        </w:rPr>
        <w:t>00838/INFOEM/IP/RR/2022</w:t>
      </w:r>
      <w:r w:rsidR="005F1362" w:rsidRPr="00A85CB7">
        <w:rPr>
          <w:rFonts w:ascii="Palatino Linotype" w:eastAsia="Times New Roman" w:hAnsi="Palatino Linotype" w:cs="Arial"/>
          <w:bCs/>
          <w:color w:val="000000" w:themeColor="text1"/>
        </w:rPr>
        <w:t xml:space="preserve">, </w:t>
      </w:r>
      <w:r w:rsidR="006B31E7" w:rsidRPr="006B31E7">
        <w:rPr>
          <w:rFonts w:ascii="Palatino Linotype" w:eastAsia="Times New Roman" w:hAnsi="Palatino Linotype" w:cs="Times New Roman"/>
          <w:color w:val="000000" w:themeColor="text1"/>
        </w:rPr>
        <w:t>interpuesto por</w:t>
      </w:r>
      <w:r w:rsidR="002B1F7B">
        <w:rPr>
          <w:rFonts w:ascii="Palatino Linotype" w:eastAsia="Times New Roman" w:hAnsi="Palatino Linotype" w:cs="Times New Roman"/>
          <w:color w:val="000000" w:themeColor="text1"/>
        </w:rPr>
        <w:t xml:space="preserve"> </w:t>
      </w:r>
      <w:proofErr w:type="spellStart"/>
      <w:r w:rsidR="00E14230">
        <w:rPr>
          <w:rFonts w:ascii="Palatino Linotype" w:eastAsia="Times New Roman" w:hAnsi="Palatino Linotype" w:cs="Times New Roman"/>
          <w:b/>
          <w:bCs/>
          <w:color w:val="000000" w:themeColor="text1"/>
        </w:rPr>
        <w:t>Xxxxxx</w:t>
      </w:r>
      <w:proofErr w:type="spellEnd"/>
      <w:r w:rsidR="00E14230">
        <w:rPr>
          <w:rFonts w:ascii="Palatino Linotype" w:eastAsia="Times New Roman" w:hAnsi="Palatino Linotype" w:cs="Times New Roman"/>
          <w:b/>
          <w:bCs/>
          <w:color w:val="000000" w:themeColor="text1"/>
        </w:rPr>
        <w:t xml:space="preserve"> </w:t>
      </w:r>
      <w:proofErr w:type="spellStart"/>
      <w:r w:rsidR="00E14230">
        <w:rPr>
          <w:rFonts w:ascii="Palatino Linotype" w:eastAsia="Times New Roman" w:hAnsi="Palatino Linotype" w:cs="Times New Roman"/>
          <w:b/>
          <w:bCs/>
          <w:color w:val="000000" w:themeColor="text1"/>
        </w:rPr>
        <w:t>Xxxxx</w:t>
      </w:r>
      <w:proofErr w:type="spellEnd"/>
      <w:r w:rsidR="002B1F7B">
        <w:rPr>
          <w:rFonts w:ascii="Palatino Linotype" w:eastAsia="Times New Roman" w:hAnsi="Palatino Linotype" w:cs="Times New Roman"/>
          <w:color w:val="000000" w:themeColor="text1"/>
        </w:rPr>
        <w:t>, en adelante,</w:t>
      </w:r>
      <w:r w:rsidR="0078249C">
        <w:rPr>
          <w:rFonts w:ascii="Palatino Linotype" w:eastAsia="Times New Roman" w:hAnsi="Palatino Linotype" w:cs="Times New Roman"/>
          <w:color w:val="000000" w:themeColor="text1"/>
        </w:rPr>
        <w:t xml:space="preserve"> </w:t>
      </w:r>
      <w:r w:rsidR="002B1F7B">
        <w:rPr>
          <w:rFonts w:ascii="Palatino Linotype" w:eastAsia="Times New Roman" w:hAnsi="Palatino Linotype" w:cs="Times New Roman"/>
          <w:bCs/>
          <w:color w:val="000000" w:themeColor="text1"/>
        </w:rPr>
        <w:t>la</w:t>
      </w:r>
      <w:r w:rsidR="00E92215" w:rsidRPr="006B31E7">
        <w:rPr>
          <w:rFonts w:ascii="Palatino Linotype" w:eastAsia="Times New Roman" w:hAnsi="Palatino Linotype" w:cs="Times New Roman"/>
          <w:color w:val="000000" w:themeColor="text1"/>
        </w:rPr>
        <w:t xml:space="preserve"> </w:t>
      </w:r>
      <w:r w:rsidR="006B31E7" w:rsidRPr="006B31E7">
        <w:rPr>
          <w:rFonts w:ascii="Palatino Linotype" w:eastAsia="Times New Roman" w:hAnsi="Palatino Linotype" w:cs="Times New Roman"/>
          <w:b/>
          <w:bCs/>
          <w:color w:val="000000" w:themeColor="text1"/>
        </w:rPr>
        <w:t>RECURRENTE</w:t>
      </w:r>
      <w:r w:rsidR="00E647FF">
        <w:rPr>
          <w:rFonts w:ascii="Palatino Linotype" w:eastAsia="Times New Roman" w:hAnsi="Palatino Linotype" w:cs="Arial"/>
          <w:color w:val="000000" w:themeColor="text1"/>
        </w:rPr>
        <w:t>;</w:t>
      </w:r>
      <w:r w:rsidR="005F1362" w:rsidRPr="00A85CB7">
        <w:rPr>
          <w:rFonts w:ascii="Palatino Linotype" w:eastAsia="Times New Roman" w:hAnsi="Palatino Linotype" w:cs="Arial"/>
          <w:color w:val="000000" w:themeColor="text1"/>
        </w:rPr>
        <w:t xml:space="preserve"> en contra de la respuesta de</w:t>
      </w:r>
      <w:r w:rsidR="002B1F7B">
        <w:rPr>
          <w:rFonts w:ascii="Palatino Linotype" w:eastAsia="Times New Roman" w:hAnsi="Palatino Linotype" w:cs="Arial"/>
          <w:color w:val="000000" w:themeColor="text1"/>
        </w:rPr>
        <w:t xml:space="preserve"> la</w:t>
      </w:r>
      <w:r w:rsidR="002C1007" w:rsidRPr="00A85CB7">
        <w:rPr>
          <w:rFonts w:ascii="Palatino Linotype" w:eastAsia="Times New Roman" w:hAnsi="Palatino Linotype" w:cs="Arial"/>
          <w:color w:val="000000" w:themeColor="text1"/>
        </w:rPr>
        <w:t xml:space="preserve"> </w:t>
      </w:r>
      <w:r w:rsidR="002B1F7B">
        <w:rPr>
          <w:rFonts w:ascii="Palatino Linotype" w:eastAsia="Times New Roman" w:hAnsi="Palatino Linotype" w:cs="Arial"/>
          <w:b/>
          <w:color w:val="000000" w:themeColor="text1"/>
        </w:rPr>
        <w:t>Secretaría de Finanzas</w:t>
      </w:r>
      <w:r w:rsidR="009572EE" w:rsidRPr="00A85CB7">
        <w:rPr>
          <w:rFonts w:ascii="Palatino Linotype" w:eastAsia="Calibri" w:hAnsi="Palatino Linotype" w:cs="Arial"/>
          <w:color w:val="000000" w:themeColor="text1"/>
          <w:lang w:val="es-ES"/>
        </w:rPr>
        <w:t>,</w:t>
      </w:r>
      <w:r w:rsidR="005F1362" w:rsidRPr="00A85CB7">
        <w:rPr>
          <w:rFonts w:ascii="Palatino Linotype" w:eastAsia="Calibri" w:hAnsi="Palatino Linotype" w:cs="Arial"/>
          <w:color w:val="000000" w:themeColor="text1"/>
          <w:lang w:val="es-ES"/>
        </w:rPr>
        <w:t xml:space="preserve"> </w:t>
      </w:r>
      <w:r w:rsidR="005F1362" w:rsidRPr="00A85CB7">
        <w:rPr>
          <w:rFonts w:ascii="Palatino Linotype" w:eastAsia="Times New Roman" w:hAnsi="Palatino Linotype" w:cs="Times New Roman"/>
          <w:color w:val="000000" w:themeColor="text1"/>
        </w:rPr>
        <w:t>en lo sucesivo el</w:t>
      </w:r>
      <w:r w:rsidR="005F1362" w:rsidRPr="00A85CB7">
        <w:rPr>
          <w:rFonts w:ascii="Palatino Linotype" w:eastAsia="Times New Roman" w:hAnsi="Palatino Linotype" w:cs="Times New Roman"/>
          <w:b/>
          <w:color w:val="000000" w:themeColor="text1"/>
        </w:rPr>
        <w:t xml:space="preserve"> SUJETO OBLIGADO</w:t>
      </w:r>
      <w:r w:rsidR="005F1362" w:rsidRPr="002B1F7B">
        <w:rPr>
          <w:rFonts w:ascii="Palatino Linotype" w:eastAsia="Times New Roman" w:hAnsi="Palatino Linotype" w:cs="Times New Roman"/>
          <w:bCs/>
          <w:color w:val="000000" w:themeColor="text1"/>
        </w:rPr>
        <w:t>,</w:t>
      </w:r>
      <w:r w:rsidR="005F1362" w:rsidRPr="00A85CB7">
        <w:rPr>
          <w:rFonts w:ascii="Palatino Linotype" w:eastAsia="Times New Roman" w:hAnsi="Palatino Linotype" w:cs="Times New Roman"/>
          <w:b/>
          <w:color w:val="000000" w:themeColor="text1"/>
        </w:rPr>
        <w:t xml:space="preserve"> </w:t>
      </w:r>
      <w:r w:rsidR="005F1362" w:rsidRPr="00A85CB7">
        <w:rPr>
          <w:rFonts w:ascii="Palatino Linotype" w:eastAsia="Times New Roman" w:hAnsi="Palatino Linotype" w:cs="Times New Roman"/>
          <w:color w:val="000000" w:themeColor="text1"/>
        </w:rPr>
        <w:t>se procede a dictar la presente resolución, con base en los siguientes:</w:t>
      </w:r>
    </w:p>
    <w:p w14:paraId="11EE5310" w14:textId="77777777" w:rsidR="009A593A" w:rsidRPr="00A85CB7" w:rsidRDefault="009A593A" w:rsidP="00B31E90">
      <w:pPr>
        <w:spacing w:line="360" w:lineRule="auto"/>
        <w:jc w:val="both"/>
        <w:rPr>
          <w:rFonts w:ascii="Palatino Linotype" w:hAnsi="Palatino Linotype"/>
          <w:b/>
          <w:color w:val="000000" w:themeColor="text1"/>
        </w:rPr>
      </w:pPr>
    </w:p>
    <w:p w14:paraId="769E1410" w14:textId="77F45709" w:rsidR="00587366" w:rsidRPr="00A85CB7" w:rsidRDefault="00662C69" w:rsidP="00B31E90">
      <w:pPr>
        <w:pStyle w:val="Ttulo1"/>
        <w:spacing w:before="0" w:line="360" w:lineRule="auto"/>
        <w:jc w:val="center"/>
        <w:rPr>
          <w:b/>
          <w:color w:val="000000" w:themeColor="text1"/>
        </w:rPr>
      </w:pPr>
      <w:bookmarkStart w:id="0" w:name="_Toc461555884"/>
      <w:bookmarkStart w:id="1" w:name="_Toc466371847"/>
      <w:bookmarkStart w:id="2" w:name="_Toc87456484"/>
      <w:r w:rsidRPr="00A85CB7">
        <w:rPr>
          <w:b/>
          <w:color w:val="000000" w:themeColor="text1"/>
        </w:rPr>
        <w:t>A</w:t>
      </w:r>
      <w:r w:rsidR="00C967DD">
        <w:rPr>
          <w:b/>
          <w:color w:val="000000" w:themeColor="text1"/>
        </w:rPr>
        <w:t xml:space="preserve"> </w:t>
      </w:r>
      <w:r w:rsidRPr="00A85CB7">
        <w:rPr>
          <w:b/>
          <w:color w:val="000000" w:themeColor="text1"/>
        </w:rPr>
        <w:t>N</w:t>
      </w:r>
      <w:r w:rsidR="00C967DD">
        <w:rPr>
          <w:b/>
          <w:color w:val="000000" w:themeColor="text1"/>
        </w:rPr>
        <w:t xml:space="preserve"> </w:t>
      </w:r>
      <w:r w:rsidRPr="00A85CB7">
        <w:rPr>
          <w:b/>
          <w:color w:val="000000" w:themeColor="text1"/>
        </w:rPr>
        <w:t>T</w:t>
      </w:r>
      <w:r w:rsidR="00C967DD">
        <w:rPr>
          <w:b/>
          <w:color w:val="000000" w:themeColor="text1"/>
        </w:rPr>
        <w:t xml:space="preserve"> </w:t>
      </w:r>
      <w:r w:rsidRPr="00A85CB7">
        <w:rPr>
          <w:b/>
          <w:color w:val="000000" w:themeColor="text1"/>
        </w:rPr>
        <w:t>E</w:t>
      </w:r>
      <w:r w:rsidR="00C967DD">
        <w:rPr>
          <w:b/>
          <w:color w:val="000000" w:themeColor="text1"/>
        </w:rPr>
        <w:t xml:space="preserve"> </w:t>
      </w:r>
      <w:r w:rsidRPr="00A85CB7">
        <w:rPr>
          <w:b/>
          <w:color w:val="000000" w:themeColor="text1"/>
        </w:rPr>
        <w:t>C</w:t>
      </w:r>
      <w:r w:rsidR="00C967DD">
        <w:rPr>
          <w:b/>
          <w:color w:val="000000" w:themeColor="text1"/>
        </w:rPr>
        <w:t xml:space="preserve"> </w:t>
      </w:r>
      <w:r w:rsidRPr="00A85CB7">
        <w:rPr>
          <w:b/>
          <w:color w:val="000000" w:themeColor="text1"/>
        </w:rPr>
        <w:t>E</w:t>
      </w:r>
      <w:r w:rsidR="00C967DD">
        <w:rPr>
          <w:b/>
          <w:color w:val="000000" w:themeColor="text1"/>
        </w:rPr>
        <w:t xml:space="preserve"> </w:t>
      </w:r>
      <w:r w:rsidRPr="00A85CB7">
        <w:rPr>
          <w:b/>
          <w:color w:val="000000" w:themeColor="text1"/>
        </w:rPr>
        <w:t>D</w:t>
      </w:r>
      <w:r w:rsidR="00C967DD">
        <w:rPr>
          <w:b/>
          <w:color w:val="000000" w:themeColor="text1"/>
        </w:rPr>
        <w:t xml:space="preserve"> </w:t>
      </w:r>
      <w:r w:rsidRPr="00A85CB7">
        <w:rPr>
          <w:b/>
          <w:color w:val="000000" w:themeColor="text1"/>
        </w:rPr>
        <w:t>E</w:t>
      </w:r>
      <w:r w:rsidR="00C967DD">
        <w:rPr>
          <w:b/>
          <w:color w:val="000000" w:themeColor="text1"/>
        </w:rPr>
        <w:t xml:space="preserve"> </w:t>
      </w:r>
      <w:r w:rsidRPr="00A85CB7">
        <w:rPr>
          <w:b/>
          <w:color w:val="000000" w:themeColor="text1"/>
        </w:rPr>
        <w:t>N</w:t>
      </w:r>
      <w:r w:rsidR="00C967DD">
        <w:rPr>
          <w:b/>
          <w:color w:val="000000" w:themeColor="text1"/>
        </w:rPr>
        <w:t xml:space="preserve"> </w:t>
      </w:r>
      <w:r w:rsidRPr="00A85CB7">
        <w:rPr>
          <w:b/>
          <w:color w:val="000000" w:themeColor="text1"/>
        </w:rPr>
        <w:t>T</w:t>
      </w:r>
      <w:r w:rsidR="00C967DD">
        <w:rPr>
          <w:b/>
          <w:color w:val="000000" w:themeColor="text1"/>
        </w:rPr>
        <w:t xml:space="preserve"> </w:t>
      </w:r>
      <w:r w:rsidRPr="00A85CB7">
        <w:rPr>
          <w:b/>
          <w:color w:val="000000" w:themeColor="text1"/>
        </w:rPr>
        <w:t>E</w:t>
      </w:r>
      <w:r w:rsidR="00C967DD">
        <w:rPr>
          <w:b/>
          <w:color w:val="000000" w:themeColor="text1"/>
        </w:rPr>
        <w:t xml:space="preserve"> </w:t>
      </w:r>
      <w:r w:rsidRPr="00A85CB7">
        <w:rPr>
          <w:b/>
          <w:color w:val="000000" w:themeColor="text1"/>
        </w:rPr>
        <w:t>S</w:t>
      </w:r>
      <w:bookmarkEnd w:id="0"/>
      <w:bookmarkEnd w:id="1"/>
      <w:bookmarkEnd w:id="2"/>
    </w:p>
    <w:p w14:paraId="5672105D" w14:textId="77777777" w:rsidR="00B31E90" w:rsidRDefault="00B31E90" w:rsidP="00B31E90">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402A4C0A" w14:textId="6F1CF376" w:rsidR="00D9392E" w:rsidRPr="00A85CB7" w:rsidRDefault="005F0007" w:rsidP="00DA22D8">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sidRPr="00A85CB7">
        <w:rPr>
          <w:rFonts w:ascii="Palatino Linotype" w:eastAsia="Calibri" w:hAnsi="Palatino Linotype" w:cs="Arial"/>
          <w:color w:val="000000" w:themeColor="text1"/>
          <w:lang w:val="es-ES"/>
        </w:rPr>
        <w:t>El</w:t>
      </w:r>
      <w:r w:rsidR="00D9392E" w:rsidRPr="00A85CB7">
        <w:rPr>
          <w:rFonts w:ascii="Palatino Linotype" w:eastAsia="Calibri" w:hAnsi="Palatino Linotype" w:cs="Arial"/>
          <w:color w:val="000000" w:themeColor="text1"/>
          <w:lang w:val="es-ES"/>
        </w:rPr>
        <w:t xml:space="preserve"> </w:t>
      </w:r>
      <w:r w:rsidR="002B1F7B">
        <w:rPr>
          <w:rFonts w:ascii="Palatino Linotype" w:eastAsia="Calibri" w:hAnsi="Palatino Linotype" w:cs="Arial"/>
          <w:color w:val="000000" w:themeColor="text1"/>
          <w:lang w:val="es-ES"/>
        </w:rPr>
        <w:t>catorce (14) de diciembre de dos mil veintiuno</w:t>
      </w:r>
      <w:r w:rsidR="005F1362" w:rsidRPr="00A85CB7">
        <w:rPr>
          <w:rFonts w:ascii="Palatino Linotype" w:eastAsia="Calibri" w:hAnsi="Palatino Linotype" w:cs="Arial"/>
          <w:color w:val="000000" w:themeColor="text1"/>
          <w:lang w:val="es-ES"/>
        </w:rPr>
        <w:t xml:space="preserve">, </w:t>
      </w:r>
      <w:r w:rsidR="002B1F7B">
        <w:rPr>
          <w:rFonts w:ascii="Palatino Linotype" w:eastAsia="Calibri" w:hAnsi="Palatino Linotype" w:cs="Arial"/>
          <w:color w:val="000000" w:themeColor="text1"/>
          <w:lang w:val="es-ES"/>
        </w:rPr>
        <w:t>la particular</w:t>
      </w:r>
      <w:r w:rsidR="005F1362" w:rsidRPr="00A85CB7">
        <w:rPr>
          <w:rFonts w:ascii="Palatino Linotype" w:hAnsi="Palatino Linotype"/>
          <w:color w:val="000000" w:themeColor="text1"/>
        </w:rPr>
        <w:t xml:space="preserve"> presentó</w:t>
      </w:r>
      <w:r w:rsidR="005F1362" w:rsidRPr="00A85CB7">
        <w:rPr>
          <w:rFonts w:ascii="Palatino Linotype" w:hAnsi="Palatino Linotype"/>
          <w:b/>
          <w:color w:val="000000" w:themeColor="text1"/>
        </w:rPr>
        <w:t xml:space="preserve"> </w:t>
      </w:r>
      <w:r w:rsidR="00127E68">
        <w:rPr>
          <w:rFonts w:ascii="Palatino Linotype" w:hAnsi="Palatino Linotype"/>
          <w:bCs/>
          <w:color w:val="000000" w:themeColor="text1"/>
        </w:rPr>
        <w:t xml:space="preserve">a través </w:t>
      </w:r>
      <w:r w:rsidR="000F0E0D">
        <w:rPr>
          <w:rFonts w:ascii="Palatino Linotype" w:hAnsi="Palatino Linotype"/>
          <w:bCs/>
          <w:color w:val="000000" w:themeColor="text1"/>
        </w:rPr>
        <w:t>de</w:t>
      </w:r>
      <w:r w:rsidR="00C24801">
        <w:rPr>
          <w:rFonts w:ascii="Palatino Linotype" w:hAnsi="Palatino Linotype"/>
          <w:bCs/>
          <w:color w:val="000000" w:themeColor="text1"/>
        </w:rPr>
        <w:t xml:space="preserve"> </w:t>
      </w:r>
      <w:r w:rsidR="000F0E0D">
        <w:rPr>
          <w:rFonts w:ascii="Palatino Linotype" w:hAnsi="Palatino Linotype"/>
          <w:bCs/>
          <w:color w:val="000000" w:themeColor="text1"/>
        </w:rPr>
        <w:t>l</w:t>
      </w:r>
      <w:r w:rsidR="00C24801">
        <w:rPr>
          <w:rFonts w:ascii="Palatino Linotype" w:hAnsi="Palatino Linotype"/>
          <w:bCs/>
          <w:color w:val="000000" w:themeColor="text1"/>
        </w:rPr>
        <w:t>a Plataforma Nacional de Transparencia (PNT), vinculada al</w:t>
      </w:r>
      <w:r w:rsidR="000F0E0D">
        <w:rPr>
          <w:rFonts w:ascii="Palatino Linotype" w:hAnsi="Palatino Linotype"/>
          <w:bCs/>
          <w:color w:val="000000" w:themeColor="text1"/>
        </w:rPr>
        <w:t xml:space="preserve"> </w:t>
      </w:r>
      <w:r w:rsidR="002B1F7B">
        <w:rPr>
          <w:rFonts w:ascii="Palatino Linotype" w:hAnsi="Palatino Linotype"/>
          <w:bCs/>
          <w:color w:val="000000" w:themeColor="text1"/>
        </w:rPr>
        <w:t>Sistema de Acceso a la Información Mexiquense (SAIMEX)</w:t>
      </w:r>
      <w:r w:rsidR="005F1362" w:rsidRPr="00A85CB7">
        <w:rPr>
          <w:rFonts w:ascii="Palatino Linotype" w:eastAsia="Calibri" w:hAnsi="Palatino Linotype" w:cs="Arial"/>
          <w:color w:val="000000" w:themeColor="text1"/>
          <w:lang w:val="es-ES"/>
        </w:rPr>
        <w:t>, la solicitud de información pública registrada con el número</w:t>
      </w:r>
      <w:r w:rsidR="005F1362" w:rsidRPr="00A85CB7">
        <w:rPr>
          <w:rFonts w:ascii="Palatino Linotype" w:hAnsi="Palatino Linotype"/>
          <w:b/>
          <w:bCs/>
          <w:color w:val="000000" w:themeColor="text1"/>
        </w:rPr>
        <w:t xml:space="preserve"> </w:t>
      </w:r>
      <w:r w:rsidR="002B1F7B">
        <w:rPr>
          <w:rFonts w:ascii="Palatino Linotype" w:hAnsi="Palatino Linotype"/>
          <w:b/>
          <w:bCs/>
          <w:color w:val="000000" w:themeColor="text1"/>
        </w:rPr>
        <w:t>00571/SF/IP/2021</w:t>
      </w:r>
      <w:r w:rsidR="005F1362" w:rsidRPr="00A85CB7">
        <w:rPr>
          <w:rFonts w:ascii="Palatino Linotype" w:hAnsi="Palatino Linotype"/>
          <w:b/>
          <w:bCs/>
          <w:color w:val="000000" w:themeColor="text1"/>
        </w:rPr>
        <w:t>,</w:t>
      </w:r>
      <w:r w:rsidR="005F1362" w:rsidRPr="00A85CB7">
        <w:rPr>
          <w:rFonts w:ascii="Palatino Linotype" w:eastAsia="Calibri" w:hAnsi="Palatino Linotype" w:cs="Arial"/>
          <w:color w:val="000000" w:themeColor="text1"/>
          <w:lang w:val="es-ES"/>
        </w:rPr>
        <w:t xml:space="preserve"> mediante la cual requirió</w:t>
      </w:r>
      <w:r w:rsidR="00022D89">
        <w:rPr>
          <w:rFonts w:ascii="Palatino Linotype" w:eastAsia="Calibri" w:hAnsi="Palatino Linotype" w:cs="Arial"/>
          <w:color w:val="000000" w:themeColor="text1"/>
          <w:lang w:val="es-ES"/>
        </w:rPr>
        <w:t xml:space="preserve"> lo siguiente</w:t>
      </w:r>
      <w:r w:rsidR="005F1362" w:rsidRPr="00A85CB7">
        <w:rPr>
          <w:rFonts w:ascii="Palatino Linotype" w:eastAsia="Calibri" w:hAnsi="Palatino Linotype" w:cs="Arial"/>
          <w:color w:val="000000" w:themeColor="text1"/>
          <w:lang w:val="es-ES"/>
        </w:rPr>
        <w:t>:</w:t>
      </w:r>
    </w:p>
    <w:p w14:paraId="76EB7490" w14:textId="77777777" w:rsidR="00B31E90" w:rsidRDefault="00B31E90" w:rsidP="00B31E90">
      <w:pPr>
        <w:pStyle w:val="Prrafodelista"/>
        <w:spacing w:line="276" w:lineRule="auto"/>
        <w:ind w:left="567" w:right="567"/>
        <w:jc w:val="both"/>
        <w:rPr>
          <w:rFonts w:ascii="Palatino Linotype" w:hAnsi="Palatino Linotype"/>
          <w:i/>
          <w:color w:val="000000" w:themeColor="text1"/>
          <w:sz w:val="22"/>
          <w:szCs w:val="22"/>
        </w:rPr>
      </w:pPr>
    </w:p>
    <w:p w14:paraId="605C5067" w14:textId="28422619" w:rsidR="0097210F" w:rsidRPr="00A85CB7" w:rsidRDefault="005F1362" w:rsidP="00B31E90">
      <w:pPr>
        <w:pStyle w:val="Prrafodelista"/>
        <w:spacing w:line="276" w:lineRule="auto"/>
        <w:ind w:left="567" w:right="567"/>
        <w:jc w:val="both"/>
        <w:rPr>
          <w:rFonts w:ascii="Palatino Linotype" w:hAnsi="Palatino Linotype"/>
          <w:i/>
          <w:color w:val="000000" w:themeColor="text1"/>
          <w:szCs w:val="22"/>
        </w:rPr>
      </w:pPr>
      <w:r w:rsidRPr="00A85CB7">
        <w:rPr>
          <w:rFonts w:ascii="Palatino Linotype" w:hAnsi="Palatino Linotype"/>
          <w:i/>
          <w:color w:val="000000" w:themeColor="text1"/>
          <w:sz w:val="22"/>
          <w:szCs w:val="22"/>
        </w:rPr>
        <w:t>“</w:t>
      </w:r>
      <w:r w:rsidR="002B1F7B" w:rsidRPr="002B1F7B">
        <w:rPr>
          <w:rFonts w:ascii="Palatino Linotype" w:hAnsi="Palatino Linotype"/>
          <w:i/>
          <w:iCs/>
          <w:color w:val="000000" w:themeColor="text1"/>
          <w:sz w:val="22"/>
          <w:szCs w:val="22"/>
        </w:rPr>
        <w:t xml:space="preserve">SOLICITUD DE INFORMACIÓN Con fundamento en los artículos 6 y 8 de la Constitución Política de los Estados Unidos Mexicanos, 4, 6 y 7 de la Ley General de Transparencia y Acceso a la Información Pública, 4, 7, 11, 15, 20, 23 y 75 y demás disposiciones y artículos aplicables de la Ley de Transparencia y Acceso a la Información Pública para el Estado de México y Municipios conforme a los Principios de Certeza, Eficacia, Imparcialidad, Legalidad, Máxima Publicidad, Objetividad, Profesionalismo y Transparencia, en ejercicio de mi Derecho Humano del Acceso a la Información, me permito solicitar la siguiente información: </w:t>
      </w:r>
      <w:r w:rsidR="002B1F7B" w:rsidRPr="002B1F7B">
        <w:rPr>
          <w:rFonts w:ascii="Palatino Linotype" w:hAnsi="Palatino Linotype"/>
          <w:i/>
          <w:iCs/>
          <w:color w:val="000000" w:themeColor="text1"/>
          <w:sz w:val="22"/>
          <w:szCs w:val="22"/>
        </w:rPr>
        <w:t xml:space="preserve"> Una relación que contenga todos los Fideicomisos en los cuales el Gobierno del Estado de México tenga participación; así como sus respectivos Contratos, Convenios modificatorios; y anexos que formen parte integrante de los mismos. De acuerdo con lo establecido en el artículo 23, fracción XXVI </w:t>
      </w:r>
      <w:r w:rsidR="002B1F7B" w:rsidRPr="002B1F7B">
        <w:rPr>
          <w:rFonts w:ascii="Palatino Linotype" w:hAnsi="Palatino Linotype"/>
          <w:i/>
          <w:iCs/>
          <w:color w:val="000000" w:themeColor="text1"/>
          <w:sz w:val="22"/>
          <w:szCs w:val="22"/>
        </w:rPr>
        <w:lastRenderedPageBreak/>
        <w:t xml:space="preserve">del Reglamento Interior de la Secretaría de Finanzas, al Subsecretario de la Tesorería le corresponde llevar el registro, control y seguimiento de los fideicomisos constituidos por los Entes Públicos, de acuerdo con su naturaleza jurídica y según corresponda, en el Registro de Fideicomisos del Estado de México. Por ningún motivo se aceptará la remisión a páginas web, ligas de internet, portales etc. La información se requiere escaneada en PDF y/o EXCEL de acuerdo con el formato original que guarde el documento, a través de este medio y de forma clara, concisa y </w:t>
      </w:r>
      <w:proofErr w:type="spellStart"/>
      <w:r w:rsidR="002B1F7B" w:rsidRPr="002B1F7B">
        <w:rPr>
          <w:rFonts w:ascii="Palatino Linotype" w:hAnsi="Palatino Linotype"/>
          <w:i/>
          <w:iCs/>
          <w:color w:val="000000" w:themeColor="text1"/>
          <w:sz w:val="22"/>
          <w:szCs w:val="22"/>
        </w:rPr>
        <w:t>transparente</w:t>
      </w:r>
      <w:proofErr w:type="gramStart"/>
      <w:r w:rsidR="002B1F7B" w:rsidRPr="002B1F7B">
        <w:rPr>
          <w:rFonts w:ascii="Palatino Linotype" w:hAnsi="Palatino Linotype"/>
          <w:i/>
          <w:iCs/>
          <w:color w:val="000000" w:themeColor="text1"/>
          <w:sz w:val="22"/>
          <w:szCs w:val="22"/>
        </w:rPr>
        <w:t>,con</w:t>
      </w:r>
      <w:proofErr w:type="spellEnd"/>
      <w:proofErr w:type="gramEnd"/>
      <w:r w:rsidR="002B1F7B" w:rsidRPr="002B1F7B">
        <w:rPr>
          <w:rFonts w:ascii="Palatino Linotype" w:hAnsi="Palatino Linotype"/>
          <w:i/>
          <w:iCs/>
          <w:color w:val="000000" w:themeColor="text1"/>
          <w:sz w:val="22"/>
          <w:szCs w:val="22"/>
        </w:rPr>
        <w:t xml:space="preserve"> todos los documentos oficiales que respaldan y sustentan dicha información, por ningún motivo se aceptará otro formato.</w:t>
      </w:r>
      <w:r w:rsidRPr="00A85CB7">
        <w:rPr>
          <w:rFonts w:ascii="Palatino Linotype" w:hAnsi="Palatino Linotype"/>
          <w:i/>
          <w:color w:val="000000" w:themeColor="text1"/>
          <w:sz w:val="22"/>
          <w:szCs w:val="22"/>
        </w:rPr>
        <w:t xml:space="preserve">” </w:t>
      </w:r>
      <w:r w:rsidRPr="00A85CB7">
        <w:rPr>
          <w:rFonts w:ascii="Palatino Linotype" w:hAnsi="Palatino Linotype"/>
          <w:color w:val="000000" w:themeColor="text1"/>
          <w:sz w:val="22"/>
          <w:szCs w:val="22"/>
        </w:rPr>
        <w:t>(Sic).</w:t>
      </w:r>
    </w:p>
    <w:p w14:paraId="65A03C8D" w14:textId="77777777" w:rsidR="005F1362" w:rsidRPr="00A85CB7" w:rsidRDefault="005F1362" w:rsidP="00B31E90">
      <w:pPr>
        <w:spacing w:line="360" w:lineRule="auto"/>
        <w:ind w:right="333"/>
        <w:jc w:val="both"/>
        <w:rPr>
          <w:rFonts w:ascii="Palatino Linotype" w:hAnsi="Palatino Linotype"/>
          <w:color w:val="000000" w:themeColor="text1"/>
        </w:rPr>
      </w:pPr>
    </w:p>
    <w:p w14:paraId="49C21E77" w14:textId="2D49AAD4" w:rsidR="0039142B" w:rsidRPr="00A85CB7" w:rsidRDefault="005F1362" w:rsidP="00DA22D8">
      <w:pPr>
        <w:pStyle w:val="Prrafodelista"/>
        <w:numPr>
          <w:ilvl w:val="0"/>
          <w:numId w:val="1"/>
        </w:numPr>
        <w:tabs>
          <w:tab w:val="left" w:pos="426"/>
        </w:tabs>
        <w:spacing w:line="360" w:lineRule="auto"/>
        <w:jc w:val="both"/>
        <w:rPr>
          <w:rFonts w:ascii="Palatino Linotype" w:eastAsia="MS Mincho" w:hAnsi="Palatino Linotype" w:cs="Times New Roman"/>
          <w:color w:val="000000" w:themeColor="text1"/>
        </w:rPr>
      </w:pPr>
      <w:r w:rsidRPr="00A85CB7">
        <w:rPr>
          <w:rFonts w:ascii="Palatino Linotype" w:hAnsi="Palatino Linotype" w:cs="Arial"/>
          <w:color w:val="000000" w:themeColor="text1"/>
        </w:rPr>
        <w:t xml:space="preserve">Se hace constar que </w:t>
      </w:r>
      <w:r w:rsidR="00C24801">
        <w:rPr>
          <w:rFonts w:ascii="Palatino Linotype" w:eastAsia="Times New Roman" w:hAnsi="Palatino Linotype" w:cs="Arial"/>
          <w:color w:val="000000" w:themeColor="text1"/>
          <w:lang w:val="es-ES"/>
        </w:rPr>
        <w:t>la</w:t>
      </w:r>
      <w:r w:rsidR="00025127" w:rsidRPr="00A85CB7">
        <w:rPr>
          <w:rFonts w:ascii="Palatino Linotype" w:eastAsia="Times New Roman" w:hAnsi="Palatino Linotype" w:cs="Arial"/>
          <w:color w:val="000000" w:themeColor="text1"/>
          <w:lang w:val="es-ES"/>
        </w:rPr>
        <w:t xml:space="preserve"> entonces</w:t>
      </w:r>
      <w:r w:rsidR="00FD7996" w:rsidRPr="00A85CB7">
        <w:rPr>
          <w:rFonts w:ascii="Palatino Linotype" w:eastAsia="Times New Roman" w:hAnsi="Palatino Linotype" w:cs="Arial"/>
          <w:color w:val="000000" w:themeColor="text1"/>
          <w:lang w:val="es-ES"/>
        </w:rPr>
        <w:t xml:space="preserve"> </w:t>
      </w:r>
      <w:r w:rsidR="00FD7996" w:rsidRPr="00A85CB7">
        <w:rPr>
          <w:rFonts w:ascii="Palatino Linotype" w:eastAsia="Times New Roman" w:hAnsi="Palatino Linotype" w:cs="Arial"/>
          <w:b/>
          <w:color w:val="000000" w:themeColor="text1"/>
          <w:lang w:val="es-ES"/>
        </w:rPr>
        <w:t>SOLICITANTE</w:t>
      </w:r>
      <w:r w:rsidRPr="00A85CB7">
        <w:rPr>
          <w:rFonts w:ascii="Palatino Linotype" w:eastAsia="Times New Roman" w:hAnsi="Palatino Linotype" w:cs="Arial"/>
          <w:color w:val="000000" w:themeColor="text1"/>
          <w:lang w:val="es-ES"/>
        </w:rPr>
        <w:t xml:space="preserve"> </w:t>
      </w:r>
      <w:r w:rsidR="007076C5">
        <w:rPr>
          <w:rFonts w:ascii="Palatino Linotype" w:eastAsia="Times New Roman" w:hAnsi="Palatino Linotype" w:cs="Arial"/>
          <w:color w:val="000000" w:themeColor="text1"/>
          <w:lang w:val="es-ES"/>
        </w:rPr>
        <w:t>señaló</w:t>
      </w:r>
      <w:r w:rsidR="00C24801">
        <w:rPr>
          <w:rFonts w:ascii="Palatino Linotype" w:eastAsia="Times New Roman" w:hAnsi="Palatino Linotype" w:cs="Arial"/>
          <w:color w:val="000000" w:themeColor="text1"/>
          <w:lang w:val="es-ES"/>
        </w:rPr>
        <w:t xml:space="preserve"> como</w:t>
      </w:r>
      <w:r w:rsidRPr="00A85CB7">
        <w:rPr>
          <w:rFonts w:ascii="Palatino Linotype" w:eastAsia="Times New Roman" w:hAnsi="Palatino Linotype" w:cs="Arial"/>
          <w:color w:val="000000" w:themeColor="text1"/>
          <w:lang w:val="es-ES"/>
        </w:rPr>
        <w:t xml:space="preserve"> modalidad de entrega de la información</w:t>
      </w:r>
      <w:r w:rsidRPr="00A85CB7">
        <w:rPr>
          <w:rFonts w:ascii="Palatino Linotype" w:eastAsia="Times New Roman" w:hAnsi="Palatino Linotype" w:cs="Arial"/>
          <w:b/>
          <w:color w:val="000000" w:themeColor="text1"/>
          <w:lang w:val="es-ES"/>
        </w:rPr>
        <w:t>:</w:t>
      </w:r>
      <w:r w:rsidR="001E4152">
        <w:rPr>
          <w:rFonts w:ascii="Palatino Linotype" w:eastAsia="Times New Roman" w:hAnsi="Palatino Linotype" w:cs="Arial"/>
          <w:b/>
          <w:color w:val="000000" w:themeColor="text1"/>
          <w:lang w:val="es-ES"/>
        </w:rPr>
        <w:t xml:space="preserve"> </w:t>
      </w:r>
      <w:r w:rsidR="001E4152">
        <w:rPr>
          <w:rFonts w:ascii="Palatino Linotype" w:eastAsia="Times New Roman" w:hAnsi="Palatino Linotype" w:cs="Arial"/>
          <w:b/>
          <w:i/>
          <w:iCs/>
          <w:color w:val="000000" w:themeColor="text1"/>
          <w:lang w:val="es-ES"/>
        </w:rPr>
        <w:t>A través del SAIMEX</w:t>
      </w:r>
      <w:r w:rsidR="00C24801">
        <w:rPr>
          <w:rFonts w:ascii="Palatino Linotype" w:eastAsia="Times New Roman" w:hAnsi="Palatino Linotype" w:cs="Arial"/>
          <w:b/>
          <w:i/>
          <w:iCs/>
          <w:color w:val="000000" w:themeColor="text1"/>
          <w:lang w:val="es-ES"/>
        </w:rPr>
        <w:t xml:space="preserve"> </w:t>
      </w:r>
      <w:r w:rsidR="00C24801">
        <w:rPr>
          <w:rFonts w:ascii="Palatino Linotype" w:eastAsia="Times New Roman" w:hAnsi="Palatino Linotype" w:cs="Arial"/>
          <w:bCs/>
          <w:color w:val="000000" w:themeColor="text1"/>
          <w:lang w:val="es-ES"/>
        </w:rPr>
        <w:t xml:space="preserve">y </w:t>
      </w:r>
      <w:r w:rsidR="00C24801">
        <w:rPr>
          <w:rFonts w:ascii="Palatino Linotype" w:eastAsia="Times New Roman" w:hAnsi="Palatino Linotype" w:cs="Arial"/>
          <w:b/>
          <w:i/>
          <w:iCs/>
          <w:color w:val="000000" w:themeColor="text1"/>
          <w:lang w:val="es-ES"/>
        </w:rPr>
        <w:t>correo electrónico</w:t>
      </w:r>
      <w:r w:rsidR="000F0E0D">
        <w:rPr>
          <w:rFonts w:ascii="Palatino Linotype" w:eastAsia="Calibri" w:hAnsi="Palatino Linotype" w:cs="Arial"/>
          <w:color w:val="000000" w:themeColor="text1"/>
          <w:lang w:val="es-AR"/>
        </w:rPr>
        <w:t>.</w:t>
      </w:r>
    </w:p>
    <w:p w14:paraId="35BA18A9" w14:textId="77777777" w:rsidR="0039142B" w:rsidRPr="00A85CB7" w:rsidRDefault="0039142B" w:rsidP="00B31E90">
      <w:pPr>
        <w:pStyle w:val="Prrafodelista"/>
        <w:spacing w:line="360" w:lineRule="auto"/>
        <w:ind w:left="284"/>
        <w:jc w:val="both"/>
        <w:rPr>
          <w:rFonts w:ascii="Palatino Linotype" w:eastAsia="MS Mincho" w:hAnsi="Palatino Linotype" w:cs="Times New Roman"/>
          <w:color w:val="000000" w:themeColor="text1"/>
        </w:rPr>
      </w:pPr>
    </w:p>
    <w:p w14:paraId="63FF00F5" w14:textId="1BA634FC" w:rsidR="000039D0" w:rsidRDefault="00B31E90" w:rsidP="00DA22D8">
      <w:pPr>
        <w:pStyle w:val="Prrafodelista"/>
        <w:numPr>
          <w:ilvl w:val="0"/>
          <w:numId w:val="1"/>
        </w:numPr>
        <w:tabs>
          <w:tab w:val="left" w:pos="426"/>
        </w:tabs>
        <w:spacing w:line="360" w:lineRule="auto"/>
        <w:jc w:val="both"/>
        <w:rPr>
          <w:rFonts w:ascii="Palatino Linotype" w:eastAsia="MS Mincho" w:hAnsi="Palatino Linotype" w:cs="Times New Roman"/>
          <w:color w:val="000000" w:themeColor="text1"/>
        </w:rPr>
      </w:pPr>
      <w:r w:rsidRPr="00022D89">
        <w:rPr>
          <w:rFonts w:ascii="Palatino Linotype" w:eastAsia="MS Mincho" w:hAnsi="Palatino Linotype" w:cs="Times New Roman"/>
          <w:color w:val="000000" w:themeColor="text1"/>
        </w:rPr>
        <w:t>E</w:t>
      </w:r>
      <w:r w:rsidR="000039D0">
        <w:rPr>
          <w:rFonts w:ascii="Palatino Linotype" w:eastAsia="MS Mincho" w:hAnsi="Palatino Linotype" w:cs="Times New Roman"/>
          <w:color w:val="000000" w:themeColor="text1"/>
        </w:rPr>
        <w:t xml:space="preserve">l </w:t>
      </w:r>
      <w:r w:rsidR="00C24801">
        <w:rPr>
          <w:rFonts w:ascii="Palatino Linotype" w:eastAsia="MS Mincho" w:hAnsi="Palatino Linotype" w:cs="Times New Roman"/>
          <w:color w:val="000000" w:themeColor="text1"/>
        </w:rPr>
        <w:t>veinte (20</w:t>
      </w:r>
      <w:r w:rsidR="000039D0">
        <w:rPr>
          <w:rFonts w:ascii="Palatino Linotype" w:eastAsia="MS Mincho" w:hAnsi="Palatino Linotype" w:cs="Times New Roman"/>
          <w:color w:val="000000" w:themeColor="text1"/>
        </w:rPr>
        <w:t xml:space="preserve">) de enero de dos mil veintidós, el </w:t>
      </w:r>
      <w:r w:rsidR="000039D0">
        <w:rPr>
          <w:rFonts w:ascii="Palatino Linotype" w:eastAsia="MS Mincho" w:hAnsi="Palatino Linotype" w:cs="Times New Roman"/>
          <w:b/>
          <w:bCs/>
          <w:color w:val="000000" w:themeColor="text1"/>
        </w:rPr>
        <w:t>SUJETO OBLIGADO</w:t>
      </w:r>
      <w:r w:rsidR="000039D0">
        <w:rPr>
          <w:rFonts w:ascii="Palatino Linotype" w:eastAsia="MS Mincho" w:hAnsi="Palatino Linotype" w:cs="Times New Roman"/>
          <w:color w:val="000000" w:themeColor="text1"/>
        </w:rPr>
        <w:t xml:space="preserve"> notificó a</w:t>
      </w:r>
      <w:r w:rsidR="00C24801">
        <w:rPr>
          <w:rFonts w:ascii="Palatino Linotype" w:eastAsia="MS Mincho" w:hAnsi="Palatino Linotype" w:cs="Times New Roman"/>
          <w:color w:val="000000" w:themeColor="text1"/>
        </w:rPr>
        <w:t xml:space="preserve"> </w:t>
      </w:r>
      <w:r w:rsidR="000039D0">
        <w:rPr>
          <w:rFonts w:ascii="Palatino Linotype" w:eastAsia="MS Mincho" w:hAnsi="Palatino Linotype" w:cs="Times New Roman"/>
          <w:color w:val="000000" w:themeColor="text1"/>
        </w:rPr>
        <w:t>l</w:t>
      </w:r>
      <w:r w:rsidR="00C24801">
        <w:rPr>
          <w:rFonts w:ascii="Palatino Linotype" w:eastAsia="MS Mincho" w:hAnsi="Palatino Linotype" w:cs="Times New Roman"/>
          <w:color w:val="000000" w:themeColor="text1"/>
        </w:rPr>
        <w:t>a</w:t>
      </w:r>
      <w:r w:rsidR="000039D0">
        <w:rPr>
          <w:rFonts w:ascii="Palatino Linotype" w:eastAsia="MS Mincho" w:hAnsi="Palatino Linotype" w:cs="Times New Roman"/>
          <w:color w:val="000000" w:themeColor="text1"/>
        </w:rPr>
        <w:t xml:space="preserve"> particular sobre una prórroga para atender su solicitud de información</w:t>
      </w:r>
      <w:r w:rsidR="00C24801">
        <w:rPr>
          <w:rFonts w:ascii="Palatino Linotype" w:eastAsia="MS Mincho" w:hAnsi="Palatino Linotype" w:cs="Times New Roman"/>
          <w:color w:val="000000" w:themeColor="text1"/>
        </w:rPr>
        <w:t>, misma que no cumple con los elementos formales establecidos por el artículo 163 de la Ley de Transparencia y Acceso a la Información Pública del Estado de México y Municipios.</w:t>
      </w:r>
    </w:p>
    <w:p w14:paraId="1AC901E3" w14:textId="3E0947CA" w:rsidR="000039D0" w:rsidRPr="00C24801" w:rsidRDefault="000039D0" w:rsidP="000039D0">
      <w:pPr>
        <w:pStyle w:val="Prrafodelista"/>
        <w:tabs>
          <w:tab w:val="left" w:pos="426"/>
        </w:tabs>
        <w:spacing w:line="360" w:lineRule="auto"/>
        <w:ind w:left="0"/>
        <w:jc w:val="both"/>
        <w:rPr>
          <w:rFonts w:ascii="Palatino Linotype" w:eastAsia="MS Mincho" w:hAnsi="Palatino Linotype" w:cs="Times New Roman"/>
          <w:color w:val="000000" w:themeColor="text1"/>
          <w:sz w:val="22"/>
          <w:szCs w:val="22"/>
        </w:rPr>
      </w:pPr>
    </w:p>
    <w:p w14:paraId="60DCDA4B" w14:textId="6CA44C9D" w:rsidR="0022448D" w:rsidRPr="00022D89" w:rsidRDefault="000039D0" w:rsidP="00DA22D8">
      <w:pPr>
        <w:pStyle w:val="Prrafodelista"/>
        <w:numPr>
          <w:ilvl w:val="0"/>
          <w:numId w:val="1"/>
        </w:numPr>
        <w:tabs>
          <w:tab w:val="left" w:pos="426"/>
        </w:tabs>
        <w:spacing w:line="360" w:lineRule="auto"/>
        <w:jc w:val="both"/>
        <w:rPr>
          <w:rFonts w:ascii="Palatino Linotype" w:eastAsia="MS Mincho" w:hAnsi="Palatino Linotype" w:cs="Times New Roman"/>
          <w:color w:val="000000" w:themeColor="text1"/>
        </w:rPr>
      </w:pPr>
      <w:r>
        <w:rPr>
          <w:rFonts w:ascii="Palatino Linotype" w:eastAsia="MS Mincho" w:hAnsi="Palatino Linotype" w:cs="Times New Roman"/>
          <w:color w:val="000000" w:themeColor="text1"/>
        </w:rPr>
        <w:t>E</w:t>
      </w:r>
      <w:r w:rsidR="00B31E90" w:rsidRPr="00022D89">
        <w:rPr>
          <w:rFonts w:ascii="Palatino Linotype" w:eastAsia="MS Mincho" w:hAnsi="Palatino Linotype" w:cs="Times New Roman"/>
          <w:color w:val="000000" w:themeColor="text1"/>
        </w:rPr>
        <w:t xml:space="preserve">l </w:t>
      </w:r>
      <w:r w:rsidR="00C24801">
        <w:rPr>
          <w:rFonts w:ascii="Palatino Linotype" w:eastAsia="MS Mincho" w:hAnsi="Palatino Linotype" w:cs="Times New Roman"/>
          <w:color w:val="000000" w:themeColor="text1"/>
        </w:rPr>
        <w:t>treinta y uno (31) de enero de dos mil veintidós</w:t>
      </w:r>
      <w:r w:rsidR="00762697" w:rsidRPr="00022D89">
        <w:rPr>
          <w:rFonts w:ascii="Palatino Linotype" w:eastAsia="MS Mincho" w:hAnsi="Palatino Linotype" w:cs="Times New Roman"/>
          <w:color w:val="000000" w:themeColor="text1"/>
        </w:rPr>
        <w:t xml:space="preserve">, </w:t>
      </w:r>
      <w:r w:rsidR="005F1362" w:rsidRPr="00022D89">
        <w:rPr>
          <w:rFonts w:ascii="Palatino Linotype" w:hAnsi="Palatino Linotype"/>
          <w:color w:val="000000" w:themeColor="text1"/>
          <w:szCs w:val="14"/>
        </w:rPr>
        <w:t xml:space="preserve">el </w:t>
      </w:r>
      <w:r w:rsidR="005F1362" w:rsidRPr="00022D89">
        <w:rPr>
          <w:rFonts w:ascii="Palatino Linotype" w:hAnsi="Palatino Linotype"/>
          <w:b/>
          <w:color w:val="000000" w:themeColor="text1"/>
          <w:szCs w:val="14"/>
        </w:rPr>
        <w:t>SUJETO OBLIGADO</w:t>
      </w:r>
      <w:r w:rsidR="005F1362" w:rsidRPr="00022D89">
        <w:rPr>
          <w:rFonts w:ascii="Palatino Linotype" w:hAnsi="Palatino Linotype"/>
          <w:color w:val="000000" w:themeColor="text1"/>
          <w:szCs w:val="14"/>
        </w:rPr>
        <w:t xml:space="preserve"> </w:t>
      </w:r>
      <w:r w:rsidR="007076C5">
        <w:rPr>
          <w:rFonts w:ascii="Palatino Linotype" w:hAnsi="Palatino Linotype"/>
          <w:color w:val="000000" w:themeColor="text1"/>
          <w:szCs w:val="14"/>
        </w:rPr>
        <w:t xml:space="preserve">dio respuesta a la solicitud de información </w:t>
      </w:r>
      <w:r w:rsidR="002B1F7B">
        <w:rPr>
          <w:rFonts w:ascii="Palatino Linotype" w:hAnsi="Palatino Linotype"/>
          <w:b/>
          <w:color w:val="000000" w:themeColor="text1"/>
          <w:szCs w:val="14"/>
        </w:rPr>
        <w:t>00571/SF/IP/2021</w:t>
      </w:r>
      <w:r w:rsidR="007076C5">
        <w:rPr>
          <w:rFonts w:ascii="Palatino Linotype" w:hAnsi="Palatino Linotype"/>
          <w:color w:val="000000" w:themeColor="text1"/>
          <w:szCs w:val="14"/>
        </w:rPr>
        <w:t xml:space="preserve"> en los siguientes términos</w:t>
      </w:r>
      <w:r w:rsidR="005F1362" w:rsidRPr="00022D89">
        <w:rPr>
          <w:rFonts w:ascii="Palatino Linotype" w:hAnsi="Palatino Linotype"/>
          <w:color w:val="000000" w:themeColor="text1"/>
          <w:szCs w:val="14"/>
        </w:rPr>
        <w:t>:</w:t>
      </w:r>
    </w:p>
    <w:p w14:paraId="0E759FD5" w14:textId="77777777" w:rsidR="009A593A" w:rsidRDefault="009A593A" w:rsidP="00B31E90">
      <w:pPr>
        <w:pStyle w:val="Sinespaciado"/>
        <w:ind w:left="567" w:right="567"/>
        <w:jc w:val="right"/>
        <w:rPr>
          <w:rFonts w:ascii="Palatino Linotype" w:hAnsi="Palatino Linotype"/>
          <w:i/>
          <w:noProof/>
          <w:color w:val="000000" w:themeColor="text1"/>
          <w:lang w:eastAsia="es-MX"/>
        </w:rPr>
      </w:pPr>
    </w:p>
    <w:p w14:paraId="6F915273" w14:textId="77777777" w:rsidR="00C24801" w:rsidRPr="00C24801" w:rsidRDefault="005F1362" w:rsidP="00C24801">
      <w:pPr>
        <w:pStyle w:val="Sinespaciado"/>
        <w:spacing w:line="276" w:lineRule="auto"/>
        <w:ind w:left="567" w:right="567"/>
        <w:jc w:val="both"/>
        <w:rPr>
          <w:rFonts w:ascii="Palatino Linotype" w:hAnsi="Palatino Linotype"/>
          <w:i/>
          <w:noProof/>
          <w:color w:val="000000" w:themeColor="text1"/>
          <w:sz w:val="22"/>
          <w:szCs w:val="22"/>
          <w:lang w:val="es-MX" w:eastAsia="es-MX"/>
        </w:rPr>
      </w:pPr>
      <w:r w:rsidRPr="009A593A">
        <w:rPr>
          <w:rFonts w:ascii="Palatino Linotype" w:hAnsi="Palatino Linotype"/>
          <w:i/>
          <w:noProof/>
          <w:color w:val="000000" w:themeColor="text1"/>
          <w:sz w:val="22"/>
          <w:szCs w:val="22"/>
          <w:lang w:val="es-MX" w:eastAsia="es-MX"/>
        </w:rPr>
        <w:t>“</w:t>
      </w:r>
      <w:r w:rsidR="00C24801" w:rsidRPr="00C24801">
        <w:rPr>
          <w:rFonts w:ascii="Palatino Linotype" w:hAnsi="Palatino Linotype"/>
          <w:i/>
          <w:noProof/>
          <w:color w:val="000000" w:themeColor="text1"/>
          <w:sz w:val="22"/>
          <w:szCs w:val="22"/>
          <w:lang w:val="es-MX"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C1C4120" w14:textId="77777777" w:rsidR="00C24801" w:rsidRDefault="00C24801" w:rsidP="00C24801">
      <w:pPr>
        <w:pStyle w:val="Sinespaciado"/>
        <w:spacing w:line="276" w:lineRule="auto"/>
        <w:ind w:left="567" w:right="567"/>
        <w:jc w:val="both"/>
        <w:rPr>
          <w:rFonts w:ascii="Palatino Linotype" w:hAnsi="Palatino Linotype"/>
          <w:i/>
          <w:noProof/>
          <w:color w:val="000000" w:themeColor="text1"/>
          <w:sz w:val="22"/>
          <w:szCs w:val="22"/>
          <w:lang w:val="es-MX" w:eastAsia="es-MX"/>
        </w:rPr>
      </w:pPr>
    </w:p>
    <w:p w14:paraId="3514E816" w14:textId="5A3270BF" w:rsidR="00C24801" w:rsidRPr="00C24801" w:rsidRDefault="00C24801" w:rsidP="00C24801">
      <w:pPr>
        <w:pStyle w:val="Sinespaciado"/>
        <w:spacing w:line="276" w:lineRule="auto"/>
        <w:ind w:left="567" w:right="567"/>
        <w:jc w:val="both"/>
        <w:rPr>
          <w:rFonts w:ascii="Palatino Linotype" w:hAnsi="Palatino Linotype"/>
          <w:i/>
          <w:noProof/>
          <w:color w:val="000000" w:themeColor="text1"/>
          <w:sz w:val="22"/>
          <w:szCs w:val="22"/>
          <w:lang w:val="es-MX" w:eastAsia="es-MX"/>
        </w:rPr>
      </w:pPr>
      <w:r w:rsidRPr="00C24801">
        <w:rPr>
          <w:rFonts w:ascii="Palatino Linotype" w:hAnsi="Palatino Linotype"/>
          <w:i/>
          <w:noProof/>
          <w:color w:val="000000" w:themeColor="text1"/>
          <w:sz w:val="22"/>
          <w:szCs w:val="22"/>
          <w:lang w:val="es-MX" w:eastAsia="es-MX"/>
        </w:rPr>
        <w:t>Sobre el particular, sírvase encontrar en archivo adjunto copia del oficio de notificación número 20700004S/UT-0234/2022 mediante el cual se detalla lo referente a su solicitud. Asimismo, se hace de su conocimiento que el Comité de Transparencia mediante Acuerdo CT-2022-0014 ha tenido a bien confirmar la clasificación como información confidencial de los datos personales que obran en los documentos señalados.</w:t>
      </w:r>
    </w:p>
    <w:p w14:paraId="4064B089" w14:textId="77777777" w:rsidR="00C24801" w:rsidRDefault="00C24801" w:rsidP="00C24801">
      <w:pPr>
        <w:pStyle w:val="Sinespaciado"/>
        <w:spacing w:line="276" w:lineRule="auto"/>
        <w:ind w:left="567" w:right="567"/>
        <w:jc w:val="both"/>
        <w:rPr>
          <w:rFonts w:ascii="Palatino Linotype" w:hAnsi="Palatino Linotype"/>
          <w:i/>
          <w:noProof/>
          <w:color w:val="000000" w:themeColor="text1"/>
          <w:sz w:val="22"/>
          <w:szCs w:val="22"/>
          <w:lang w:val="es-MX" w:eastAsia="es-MX"/>
        </w:rPr>
      </w:pPr>
    </w:p>
    <w:p w14:paraId="7E185374" w14:textId="42FB5E7D" w:rsidR="00C24801" w:rsidRPr="00C24801" w:rsidRDefault="00C24801" w:rsidP="00C24801">
      <w:pPr>
        <w:pStyle w:val="Sinespaciado"/>
        <w:spacing w:line="276" w:lineRule="auto"/>
        <w:ind w:left="567" w:right="567"/>
        <w:jc w:val="both"/>
        <w:rPr>
          <w:rFonts w:ascii="Palatino Linotype" w:hAnsi="Palatino Linotype"/>
          <w:i/>
          <w:noProof/>
          <w:color w:val="000000" w:themeColor="text1"/>
          <w:sz w:val="22"/>
          <w:szCs w:val="22"/>
          <w:lang w:val="es-MX" w:eastAsia="es-MX"/>
        </w:rPr>
      </w:pPr>
      <w:r w:rsidRPr="00C24801">
        <w:rPr>
          <w:rFonts w:ascii="Palatino Linotype" w:hAnsi="Palatino Linotype"/>
          <w:i/>
          <w:noProof/>
          <w:color w:val="000000" w:themeColor="text1"/>
          <w:sz w:val="22"/>
          <w:szCs w:val="22"/>
          <w:lang w:val="es-MX" w:eastAsia="es-MX"/>
        </w:rPr>
        <w:t>ATENTAMENTE</w:t>
      </w:r>
    </w:p>
    <w:p w14:paraId="35A36DE0" w14:textId="06468394" w:rsidR="0039142B" w:rsidRPr="009A593A" w:rsidRDefault="00C24801" w:rsidP="00C24801">
      <w:pPr>
        <w:pStyle w:val="Sinespaciado"/>
        <w:spacing w:line="276" w:lineRule="auto"/>
        <w:ind w:left="567" w:right="567"/>
        <w:jc w:val="both"/>
        <w:rPr>
          <w:rFonts w:ascii="Palatino Linotype" w:hAnsi="Palatino Linotype"/>
          <w:noProof/>
          <w:color w:val="000000" w:themeColor="text1"/>
          <w:sz w:val="22"/>
          <w:szCs w:val="22"/>
          <w:lang w:val="es-MX" w:eastAsia="es-MX"/>
        </w:rPr>
      </w:pPr>
      <w:r w:rsidRPr="00C24801">
        <w:rPr>
          <w:rFonts w:ascii="Palatino Linotype" w:hAnsi="Palatino Linotype"/>
          <w:i/>
          <w:noProof/>
          <w:color w:val="000000" w:themeColor="text1"/>
          <w:sz w:val="22"/>
          <w:szCs w:val="22"/>
          <w:lang w:val="es-MX" w:eastAsia="es-MX"/>
        </w:rPr>
        <w:t>Lic. Rodolfo Esteban Rivadeneyra Hernández</w:t>
      </w:r>
      <w:r w:rsidR="005F1362" w:rsidRPr="009A593A">
        <w:rPr>
          <w:rFonts w:ascii="Palatino Linotype" w:hAnsi="Palatino Linotype"/>
          <w:i/>
          <w:noProof/>
          <w:color w:val="000000" w:themeColor="text1"/>
          <w:sz w:val="22"/>
          <w:szCs w:val="22"/>
          <w:lang w:val="es-MX" w:eastAsia="es-MX"/>
        </w:rPr>
        <w:t>”</w:t>
      </w:r>
      <w:r w:rsidR="00EB3DF7" w:rsidRPr="009A593A">
        <w:rPr>
          <w:rFonts w:ascii="Palatino Linotype" w:hAnsi="Palatino Linotype"/>
          <w:noProof/>
          <w:color w:val="000000" w:themeColor="text1"/>
          <w:sz w:val="22"/>
          <w:szCs w:val="22"/>
          <w:lang w:val="es-MX" w:eastAsia="es-MX"/>
        </w:rPr>
        <w:t xml:space="preserve"> (Sic.)</w:t>
      </w:r>
    </w:p>
    <w:p w14:paraId="2D68519B" w14:textId="77777777" w:rsidR="0097210F" w:rsidRPr="00A85CB7" w:rsidRDefault="0097210F" w:rsidP="009A593A">
      <w:pPr>
        <w:pStyle w:val="Sinespaciado"/>
        <w:ind w:right="567"/>
        <w:jc w:val="both"/>
        <w:rPr>
          <w:rFonts w:ascii="Palatino Linotype" w:hAnsi="Palatino Linotype"/>
          <w:noProof/>
          <w:color w:val="000000" w:themeColor="text1"/>
          <w:lang w:val="es-MX" w:eastAsia="es-MX"/>
        </w:rPr>
      </w:pPr>
    </w:p>
    <w:p w14:paraId="170BD45E" w14:textId="164BD0F0" w:rsidR="00022D89" w:rsidRDefault="00022D89" w:rsidP="00DA22D8">
      <w:pPr>
        <w:pStyle w:val="Prrafodelista"/>
        <w:numPr>
          <w:ilvl w:val="0"/>
          <w:numId w:val="1"/>
        </w:numPr>
        <w:tabs>
          <w:tab w:val="left" w:pos="284"/>
          <w:tab w:val="left" w:pos="426"/>
        </w:tabs>
        <w:spacing w:line="360" w:lineRule="auto"/>
        <w:jc w:val="both"/>
        <w:rPr>
          <w:rFonts w:ascii="Palatino Linotype" w:hAnsi="Palatino Linotype"/>
          <w:color w:val="000000" w:themeColor="text1"/>
          <w:szCs w:val="22"/>
        </w:rPr>
      </w:pPr>
      <w:r>
        <w:rPr>
          <w:rFonts w:ascii="Palatino Linotype" w:hAnsi="Palatino Linotype"/>
          <w:color w:val="000000" w:themeColor="text1"/>
          <w:szCs w:val="22"/>
        </w:rPr>
        <w:t xml:space="preserve">Adjunto al acuse de </w:t>
      </w:r>
      <w:r w:rsidR="007076C5">
        <w:rPr>
          <w:rFonts w:ascii="Palatino Linotype" w:hAnsi="Palatino Linotype"/>
          <w:color w:val="000000" w:themeColor="text1"/>
          <w:szCs w:val="22"/>
        </w:rPr>
        <w:t>respuesta</w:t>
      </w:r>
      <w:r>
        <w:rPr>
          <w:rFonts w:ascii="Palatino Linotype" w:hAnsi="Palatino Linotype"/>
          <w:color w:val="000000" w:themeColor="text1"/>
          <w:szCs w:val="22"/>
        </w:rPr>
        <w:t xml:space="preserve">, el </w:t>
      </w:r>
      <w:r>
        <w:rPr>
          <w:rFonts w:ascii="Palatino Linotype" w:hAnsi="Palatino Linotype"/>
          <w:b/>
          <w:bCs/>
          <w:color w:val="000000" w:themeColor="text1"/>
          <w:szCs w:val="22"/>
        </w:rPr>
        <w:t>SUJETO OBLIGADO</w:t>
      </w:r>
      <w:r>
        <w:rPr>
          <w:rFonts w:ascii="Palatino Linotype" w:hAnsi="Palatino Linotype"/>
          <w:color w:val="000000" w:themeColor="text1"/>
          <w:szCs w:val="22"/>
        </w:rPr>
        <w:t xml:space="preserve"> entregó a</w:t>
      </w:r>
      <w:r w:rsidR="007076C5">
        <w:rPr>
          <w:rFonts w:ascii="Palatino Linotype" w:hAnsi="Palatino Linotype"/>
          <w:color w:val="000000" w:themeColor="text1"/>
          <w:szCs w:val="22"/>
        </w:rPr>
        <w:t xml:space="preserve"> </w:t>
      </w:r>
      <w:r>
        <w:rPr>
          <w:rFonts w:ascii="Palatino Linotype" w:hAnsi="Palatino Linotype"/>
          <w:color w:val="000000" w:themeColor="text1"/>
          <w:szCs w:val="22"/>
        </w:rPr>
        <w:t>l</w:t>
      </w:r>
      <w:r w:rsidR="007076C5">
        <w:rPr>
          <w:rFonts w:ascii="Palatino Linotype" w:hAnsi="Palatino Linotype"/>
          <w:color w:val="000000" w:themeColor="text1"/>
          <w:szCs w:val="22"/>
        </w:rPr>
        <w:t>a</w:t>
      </w:r>
      <w:r>
        <w:rPr>
          <w:rFonts w:ascii="Palatino Linotype" w:hAnsi="Palatino Linotype"/>
          <w:color w:val="000000" w:themeColor="text1"/>
          <w:szCs w:val="22"/>
        </w:rPr>
        <w:t xml:space="preserve"> particular </w:t>
      </w:r>
      <w:r w:rsidR="00946211">
        <w:rPr>
          <w:rFonts w:ascii="Palatino Linotype" w:hAnsi="Palatino Linotype"/>
          <w:color w:val="000000" w:themeColor="text1"/>
          <w:szCs w:val="22"/>
        </w:rPr>
        <w:t>un total de 14 archivos electrónicos, cuyo contenido será analizado más adelante.</w:t>
      </w:r>
    </w:p>
    <w:p w14:paraId="3CDD0E7E" w14:textId="77777777" w:rsidR="00C967DD" w:rsidRPr="00C967DD" w:rsidRDefault="00C967DD" w:rsidP="00C967DD">
      <w:pPr>
        <w:pStyle w:val="Prrafodelista"/>
        <w:tabs>
          <w:tab w:val="left" w:pos="284"/>
          <w:tab w:val="left" w:pos="426"/>
        </w:tabs>
        <w:spacing w:line="360" w:lineRule="auto"/>
        <w:ind w:left="0"/>
        <w:jc w:val="both"/>
        <w:rPr>
          <w:rFonts w:ascii="Palatino Linotype" w:hAnsi="Palatino Linotype"/>
          <w:color w:val="000000" w:themeColor="text1"/>
          <w:szCs w:val="22"/>
        </w:rPr>
      </w:pPr>
    </w:p>
    <w:p w14:paraId="272B63B3" w14:textId="2681D6B5" w:rsidR="000D5A1D" w:rsidRPr="00A85CB7" w:rsidRDefault="00356A25" w:rsidP="00DA22D8">
      <w:pPr>
        <w:pStyle w:val="Prrafodelista"/>
        <w:numPr>
          <w:ilvl w:val="0"/>
          <w:numId w:val="1"/>
        </w:numPr>
        <w:tabs>
          <w:tab w:val="left" w:pos="284"/>
          <w:tab w:val="left" w:pos="426"/>
        </w:tabs>
        <w:spacing w:line="360" w:lineRule="auto"/>
        <w:jc w:val="both"/>
        <w:rPr>
          <w:rFonts w:ascii="Palatino Linotype" w:hAnsi="Palatino Linotype"/>
          <w:color w:val="000000" w:themeColor="text1"/>
          <w:szCs w:val="22"/>
        </w:rPr>
      </w:pPr>
      <w:r>
        <w:rPr>
          <w:rFonts w:ascii="Palatino Linotype" w:eastAsia="Times New Roman" w:hAnsi="Palatino Linotype" w:cs="Arial"/>
          <w:color w:val="000000" w:themeColor="text1"/>
          <w:lang w:val="es-ES"/>
        </w:rPr>
        <w:t>E</w:t>
      </w:r>
      <w:r w:rsidR="00DB4BEF" w:rsidRPr="00A85CB7">
        <w:rPr>
          <w:rFonts w:ascii="Palatino Linotype" w:eastAsia="Times New Roman" w:hAnsi="Palatino Linotype" w:cs="Arial"/>
          <w:color w:val="000000" w:themeColor="text1"/>
          <w:lang w:val="es-ES"/>
        </w:rPr>
        <w:t xml:space="preserve">l </w:t>
      </w:r>
      <w:r>
        <w:rPr>
          <w:rFonts w:ascii="Palatino Linotype" w:eastAsia="Times New Roman" w:hAnsi="Palatino Linotype" w:cs="Arial"/>
          <w:color w:val="000000" w:themeColor="text1"/>
          <w:lang w:val="es-ES"/>
        </w:rPr>
        <w:t>catorce (14</w:t>
      </w:r>
      <w:r w:rsidR="00247139">
        <w:rPr>
          <w:rFonts w:ascii="Palatino Linotype" w:eastAsia="Times New Roman" w:hAnsi="Palatino Linotype" w:cs="Arial"/>
          <w:color w:val="000000" w:themeColor="text1"/>
          <w:lang w:val="es-ES"/>
        </w:rPr>
        <w:t>) de febrero</w:t>
      </w:r>
      <w:r w:rsidR="000F0E0D">
        <w:rPr>
          <w:rFonts w:ascii="Palatino Linotype" w:eastAsia="Times New Roman" w:hAnsi="Palatino Linotype" w:cs="Arial"/>
          <w:color w:val="000000" w:themeColor="text1"/>
          <w:lang w:val="es-ES"/>
        </w:rPr>
        <w:t xml:space="preserve"> de dos mil veintidós</w:t>
      </w:r>
      <w:r w:rsidR="00FE49E3" w:rsidRPr="00A85CB7">
        <w:rPr>
          <w:rFonts w:ascii="Palatino Linotype" w:eastAsia="Times New Roman" w:hAnsi="Palatino Linotype" w:cs="Arial"/>
          <w:color w:val="000000" w:themeColor="text1"/>
          <w:lang w:val="es-ES"/>
        </w:rPr>
        <w:t xml:space="preserve">, </w:t>
      </w:r>
      <w:r>
        <w:rPr>
          <w:rFonts w:ascii="Palatino Linotype" w:eastAsia="Times New Roman" w:hAnsi="Palatino Linotype" w:cs="Arial"/>
          <w:color w:val="000000" w:themeColor="text1"/>
          <w:lang w:val="es-ES"/>
        </w:rPr>
        <w:t>la</w:t>
      </w:r>
      <w:r w:rsidR="005F1362" w:rsidRPr="00A85CB7">
        <w:rPr>
          <w:rFonts w:ascii="Palatino Linotype" w:eastAsia="Times New Roman" w:hAnsi="Palatino Linotype" w:cs="Arial"/>
          <w:color w:val="000000" w:themeColor="text1"/>
          <w:lang w:val="es-ES"/>
        </w:rPr>
        <w:t xml:space="preserve"> particular</w:t>
      </w:r>
      <w:r w:rsidR="00DB4BEF" w:rsidRPr="00A85CB7">
        <w:rPr>
          <w:rFonts w:ascii="Palatino Linotype" w:eastAsia="Times New Roman" w:hAnsi="Palatino Linotype" w:cs="Arial"/>
          <w:color w:val="000000" w:themeColor="text1"/>
          <w:lang w:val="es-ES"/>
        </w:rPr>
        <w:t xml:space="preserve"> interpuso</w:t>
      </w:r>
      <w:r w:rsidR="009316E9" w:rsidRPr="00A85CB7">
        <w:rPr>
          <w:rFonts w:ascii="Palatino Linotype" w:eastAsia="Times New Roman" w:hAnsi="Palatino Linotype" w:cs="Arial"/>
          <w:color w:val="000000" w:themeColor="text1"/>
          <w:lang w:val="es-ES"/>
        </w:rPr>
        <w:t xml:space="preserve"> </w:t>
      </w:r>
      <w:r w:rsidR="00102D65" w:rsidRPr="00A85CB7">
        <w:rPr>
          <w:rFonts w:ascii="Palatino Linotype" w:eastAsia="Times New Roman" w:hAnsi="Palatino Linotype" w:cs="Arial"/>
          <w:color w:val="000000" w:themeColor="text1"/>
          <w:lang w:val="es-ES"/>
        </w:rPr>
        <w:t>el</w:t>
      </w:r>
      <w:r w:rsidR="004D68F8" w:rsidRPr="00A85CB7">
        <w:rPr>
          <w:rFonts w:ascii="Palatino Linotype" w:eastAsia="Times New Roman" w:hAnsi="Palatino Linotype" w:cs="Arial"/>
          <w:color w:val="000000" w:themeColor="text1"/>
          <w:lang w:val="es-ES"/>
        </w:rPr>
        <w:t xml:space="preserve"> recurso de revisión </w:t>
      </w:r>
      <w:r w:rsidR="002B1F7B">
        <w:rPr>
          <w:rFonts w:ascii="Palatino Linotype" w:eastAsia="Calibri" w:hAnsi="Palatino Linotype" w:cs="Arial"/>
          <w:b/>
          <w:color w:val="000000" w:themeColor="text1"/>
          <w:lang w:val="es-ES"/>
        </w:rPr>
        <w:t>00838/INFOEM/IP/RR/2022</w:t>
      </w:r>
      <w:r w:rsidR="009A0461" w:rsidRPr="00A85CB7">
        <w:rPr>
          <w:rFonts w:ascii="Palatino Linotype" w:eastAsia="Calibri" w:hAnsi="Palatino Linotype" w:cs="Arial"/>
          <w:b/>
          <w:color w:val="000000" w:themeColor="text1"/>
          <w:lang w:val="es-ES"/>
        </w:rPr>
        <w:t>;</w:t>
      </w:r>
      <w:r w:rsidR="00102D65" w:rsidRPr="00A85CB7">
        <w:rPr>
          <w:rFonts w:ascii="Palatino Linotype" w:eastAsia="Times New Roman" w:hAnsi="Palatino Linotype" w:cs="Arial"/>
          <w:color w:val="000000" w:themeColor="text1"/>
          <w:lang w:val="es-ES"/>
        </w:rPr>
        <w:t xml:space="preserve"> impugnación</w:t>
      </w:r>
      <w:r w:rsidR="004D68F8" w:rsidRPr="00A85CB7">
        <w:rPr>
          <w:rFonts w:ascii="Palatino Linotype" w:eastAsia="Times New Roman" w:hAnsi="Palatino Linotype" w:cs="Arial"/>
          <w:color w:val="000000" w:themeColor="text1"/>
          <w:lang w:val="es-ES"/>
        </w:rPr>
        <w:t xml:space="preserve"> </w:t>
      </w:r>
      <w:r w:rsidR="00A45546" w:rsidRPr="00A85CB7">
        <w:rPr>
          <w:rFonts w:ascii="Palatino Linotype" w:eastAsia="Times New Roman" w:hAnsi="Palatino Linotype" w:cs="Arial"/>
          <w:color w:val="000000" w:themeColor="text1"/>
          <w:lang w:val="es-ES"/>
        </w:rPr>
        <w:t xml:space="preserve">en </w:t>
      </w:r>
      <w:r w:rsidR="00977D37" w:rsidRPr="00A85CB7">
        <w:rPr>
          <w:rFonts w:ascii="Palatino Linotype" w:eastAsia="Times New Roman" w:hAnsi="Palatino Linotype" w:cs="Arial"/>
          <w:color w:val="000000" w:themeColor="text1"/>
          <w:lang w:val="es-ES"/>
        </w:rPr>
        <w:t>la</w:t>
      </w:r>
      <w:r w:rsidR="00A45546" w:rsidRPr="00A85CB7">
        <w:rPr>
          <w:rFonts w:ascii="Palatino Linotype" w:eastAsia="Times New Roman" w:hAnsi="Palatino Linotype" w:cs="Arial"/>
          <w:color w:val="000000" w:themeColor="text1"/>
          <w:lang w:val="es-ES"/>
        </w:rPr>
        <w:t xml:space="preserve"> que refirió </w:t>
      </w:r>
      <w:r w:rsidR="004D68F8" w:rsidRPr="00A85CB7">
        <w:rPr>
          <w:rFonts w:ascii="Palatino Linotype" w:eastAsia="Times New Roman" w:hAnsi="Palatino Linotype" w:cs="Arial"/>
          <w:color w:val="000000" w:themeColor="text1"/>
          <w:lang w:val="es-ES"/>
        </w:rPr>
        <w:t>lo siguiente:</w:t>
      </w:r>
    </w:p>
    <w:p w14:paraId="054906C6" w14:textId="77777777" w:rsidR="00E34622" w:rsidRPr="001E4152" w:rsidRDefault="00E34622" w:rsidP="00B31E90">
      <w:pPr>
        <w:pStyle w:val="Prrafodelista"/>
        <w:tabs>
          <w:tab w:val="left" w:pos="426"/>
        </w:tabs>
        <w:spacing w:line="360" w:lineRule="auto"/>
        <w:ind w:left="284"/>
        <w:jc w:val="both"/>
        <w:rPr>
          <w:rFonts w:ascii="Palatino Linotype" w:eastAsia="Times New Roman" w:hAnsi="Palatino Linotype" w:cs="Arial"/>
          <w:color w:val="000000" w:themeColor="text1"/>
        </w:rPr>
      </w:pPr>
    </w:p>
    <w:p w14:paraId="5D958B88" w14:textId="443F110C" w:rsidR="00E34622" w:rsidRPr="00A85CB7" w:rsidRDefault="00E34622" w:rsidP="007A078A">
      <w:pPr>
        <w:pStyle w:val="Prrafodelista"/>
        <w:numPr>
          <w:ilvl w:val="0"/>
          <w:numId w:val="2"/>
        </w:numPr>
        <w:tabs>
          <w:tab w:val="left" w:pos="426"/>
        </w:tabs>
        <w:spacing w:line="360" w:lineRule="auto"/>
        <w:jc w:val="both"/>
        <w:rPr>
          <w:rFonts w:ascii="Palatino Linotype" w:eastAsia="Times New Roman" w:hAnsi="Palatino Linotype" w:cs="Arial"/>
          <w:color w:val="000000" w:themeColor="text1"/>
          <w:lang w:val="es-ES"/>
        </w:rPr>
      </w:pPr>
      <w:r w:rsidRPr="00A85CB7">
        <w:rPr>
          <w:rFonts w:ascii="Palatino Linotype" w:eastAsia="Times New Roman" w:hAnsi="Palatino Linotype" w:cs="Arial"/>
          <w:b/>
          <w:color w:val="000000" w:themeColor="text1"/>
          <w:lang w:val="es-ES"/>
        </w:rPr>
        <w:t>Acto impugnado:</w:t>
      </w:r>
      <w:r w:rsidRPr="00A85CB7">
        <w:rPr>
          <w:rFonts w:ascii="Palatino Linotype" w:eastAsia="Times New Roman" w:hAnsi="Palatino Linotype" w:cs="Arial"/>
          <w:color w:val="000000" w:themeColor="text1"/>
          <w:lang w:val="es-ES"/>
        </w:rPr>
        <w:t xml:space="preserve"> “</w:t>
      </w:r>
      <w:r w:rsidR="00356A25" w:rsidRPr="00356A25">
        <w:rPr>
          <w:rFonts w:ascii="Palatino Linotype" w:eastAsia="Times New Roman" w:hAnsi="Palatino Linotype" w:cs="Arial"/>
          <w:i/>
          <w:color w:val="000000" w:themeColor="text1"/>
        </w:rPr>
        <w:t xml:space="preserve">RECURSO DE REVISIÓN INSTITUTO DE TRANSPARENCIA, ACCESO A LA INFORMACIÓN PÚBLICA Y PROTECCIÓN DE DATOS PERSONALES DEL ESTADO DE MÉXICO Y MUNICIPIOS PRESENTE </w:t>
      </w:r>
      <w:r w:rsidR="00B23A75">
        <w:rPr>
          <w:rFonts w:ascii="Palatino Linotype" w:eastAsia="Times New Roman" w:hAnsi="Palatino Linotype" w:cs="Arial"/>
          <w:color w:val="000000" w:themeColor="text1"/>
        </w:rPr>
        <w:t>[</w:t>
      </w:r>
      <w:proofErr w:type="spellStart"/>
      <w:r w:rsidR="00B23A75">
        <w:rPr>
          <w:rFonts w:ascii="Palatino Linotype" w:eastAsia="Times New Roman" w:hAnsi="Palatino Linotype" w:cs="Arial"/>
          <w:color w:val="000000" w:themeColor="text1"/>
        </w:rPr>
        <w:t>Xxxxxx</w:t>
      </w:r>
      <w:proofErr w:type="spellEnd"/>
      <w:r w:rsidR="00B23A75">
        <w:rPr>
          <w:rFonts w:ascii="Palatino Linotype" w:eastAsia="Times New Roman" w:hAnsi="Palatino Linotype" w:cs="Arial"/>
          <w:color w:val="000000" w:themeColor="text1"/>
        </w:rPr>
        <w:t xml:space="preserve"> </w:t>
      </w:r>
      <w:proofErr w:type="spellStart"/>
      <w:r w:rsidR="00B23A75">
        <w:rPr>
          <w:rFonts w:ascii="Palatino Linotype" w:eastAsia="Times New Roman" w:hAnsi="Palatino Linotype" w:cs="Arial"/>
          <w:color w:val="000000" w:themeColor="text1"/>
        </w:rPr>
        <w:t>Xxxxx</w:t>
      </w:r>
      <w:proofErr w:type="spellEnd"/>
      <w:r w:rsidR="00B23A75">
        <w:rPr>
          <w:rFonts w:ascii="Palatino Linotype" w:eastAsia="Times New Roman" w:hAnsi="Palatino Linotype" w:cs="Arial"/>
          <w:color w:val="000000" w:themeColor="text1"/>
        </w:rPr>
        <w:t>]</w:t>
      </w:r>
      <w:r w:rsidR="00356A25" w:rsidRPr="00356A25">
        <w:rPr>
          <w:rFonts w:ascii="Palatino Linotype" w:eastAsia="Times New Roman" w:hAnsi="Palatino Linotype" w:cs="Arial"/>
          <w:i/>
          <w:color w:val="000000" w:themeColor="text1"/>
        </w:rPr>
        <w:t xml:space="preserve">, por mi propio derecho y señalando como medio electrónico para oír y recibir notificaciones la dirección de correo electrónico: </w:t>
      </w:r>
      <w:r w:rsidR="00B23A75">
        <w:rPr>
          <w:rFonts w:ascii="Palatino Linotype" w:eastAsia="Times New Roman" w:hAnsi="Palatino Linotype" w:cs="Arial"/>
          <w:color w:val="000000" w:themeColor="text1"/>
        </w:rPr>
        <w:t>[</w:t>
      </w:r>
      <w:proofErr w:type="spellStart"/>
      <w:r w:rsidR="00B23A75">
        <w:rPr>
          <w:rFonts w:ascii="Palatino Linotype" w:eastAsia="Times New Roman" w:hAnsi="Palatino Linotype" w:cs="Arial"/>
          <w:color w:val="000000" w:themeColor="text1"/>
        </w:rPr>
        <w:t>xxxxxxxxxxxxxxxxxxxxxxxxx</w:t>
      </w:r>
      <w:proofErr w:type="spellEnd"/>
      <w:r w:rsidR="00B23A75">
        <w:rPr>
          <w:rFonts w:ascii="Palatino Linotype" w:eastAsia="Times New Roman" w:hAnsi="Palatino Linotype" w:cs="Arial"/>
          <w:color w:val="000000" w:themeColor="text1"/>
        </w:rPr>
        <w:t>]</w:t>
      </w:r>
      <w:r w:rsidR="00356A25" w:rsidRPr="00356A25">
        <w:rPr>
          <w:rFonts w:ascii="Palatino Linotype" w:eastAsia="Times New Roman" w:hAnsi="Palatino Linotype" w:cs="Arial"/>
          <w:i/>
          <w:color w:val="000000" w:themeColor="text1"/>
        </w:rPr>
        <w:t xml:space="preserve">, comparezco ante usted para exponer que por medio del presente escrito, vengo en tiempo y forma, con fundamento en el artículo 6 y 16 párrafo segundo de la Constitución Política de los Estados Unidos Mexicanos, y en término de los artículos 4, 7, 11 Y 179 fracciones V, VIII, y IX de la Ley de Transparencia y Acceso a la Información Pública del Estado de México y Municipios, a interponer el siguiente Recurso de Revisión. A efecto de dar cumplimiento a lo dispuesto en el artículo 180 de la Ley de Transparencia y Acceso a la Información Pública del Estado de México y Municipios, manifiesto lo siguiente: I. Sujeto obligado ante el cual se presentó la solicitud: Secretaría de Finanzas II. Nombre del solicitante, así como el medio o dirección señalada para recibir notificaciones: </w:t>
      </w:r>
      <w:r w:rsidR="00B23A75">
        <w:rPr>
          <w:rFonts w:ascii="Palatino Linotype" w:eastAsia="Times New Roman" w:hAnsi="Palatino Linotype" w:cs="Arial"/>
          <w:color w:val="000000" w:themeColor="text1"/>
        </w:rPr>
        <w:t>[</w:t>
      </w:r>
      <w:proofErr w:type="spellStart"/>
      <w:r w:rsidR="00B23A75">
        <w:rPr>
          <w:rFonts w:ascii="Palatino Linotype" w:eastAsia="Times New Roman" w:hAnsi="Palatino Linotype" w:cs="Arial"/>
          <w:color w:val="000000" w:themeColor="text1"/>
        </w:rPr>
        <w:t>Xxxxxx</w:t>
      </w:r>
      <w:proofErr w:type="spellEnd"/>
      <w:r w:rsidR="00B23A75">
        <w:rPr>
          <w:rFonts w:ascii="Palatino Linotype" w:eastAsia="Times New Roman" w:hAnsi="Palatino Linotype" w:cs="Arial"/>
          <w:color w:val="000000" w:themeColor="text1"/>
        </w:rPr>
        <w:t xml:space="preserve"> </w:t>
      </w:r>
      <w:proofErr w:type="spellStart"/>
      <w:r w:rsidR="00B23A75">
        <w:rPr>
          <w:rFonts w:ascii="Palatino Linotype" w:eastAsia="Times New Roman" w:hAnsi="Palatino Linotype" w:cs="Arial"/>
          <w:color w:val="000000" w:themeColor="text1"/>
        </w:rPr>
        <w:t>Xxxxx</w:t>
      </w:r>
      <w:proofErr w:type="spellEnd"/>
      <w:r w:rsidR="00B23A75">
        <w:rPr>
          <w:rFonts w:ascii="Palatino Linotype" w:eastAsia="Times New Roman" w:hAnsi="Palatino Linotype" w:cs="Arial"/>
          <w:color w:val="000000" w:themeColor="text1"/>
        </w:rPr>
        <w:t>]</w:t>
      </w:r>
      <w:r w:rsidR="00356A25" w:rsidRPr="00356A25">
        <w:rPr>
          <w:rFonts w:ascii="Palatino Linotype" w:eastAsia="Times New Roman" w:hAnsi="Palatino Linotype" w:cs="Arial"/>
          <w:i/>
          <w:color w:val="000000" w:themeColor="text1"/>
        </w:rPr>
        <w:t xml:space="preserve">, </w:t>
      </w:r>
      <w:r w:rsidR="00B23A75">
        <w:rPr>
          <w:rFonts w:ascii="Palatino Linotype" w:eastAsia="Times New Roman" w:hAnsi="Palatino Linotype" w:cs="Arial"/>
          <w:color w:val="000000" w:themeColor="text1"/>
        </w:rPr>
        <w:lastRenderedPageBreak/>
        <w:t>[</w:t>
      </w:r>
      <w:proofErr w:type="spellStart"/>
      <w:r w:rsidR="00B23A75">
        <w:rPr>
          <w:rFonts w:ascii="Palatino Linotype" w:eastAsia="Times New Roman" w:hAnsi="Palatino Linotype" w:cs="Arial"/>
          <w:color w:val="000000" w:themeColor="text1"/>
        </w:rPr>
        <w:t>xxxxxxxxxxxxxxxxxxxxxxxxx</w:t>
      </w:r>
      <w:proofErr w:type="spellEnd"/>
      <w:r w:rsidR="00B23A75">
        <w:rPr>
          <w:rFonts w:ascii="Palatino Linotype" w:eastAsia="Times New Roman" w:hAnsi="Palatino Linotype" w:cs="Arial"/>
          <w:color w:val="000000" w:themeColor="text1"/>
        </w:rPr>
        <w:t>]</w:t>
      </w:r>
      <w:r w:rsidR="00356A25" w:rsidRPr="00356A25">
        <w:rPr>
          <w:rFonts w:ascii="Palatino Linotype" w:eastAsia="Times New Roman" w:hAnsi="Palatino Linotype" w:cs="Arial"/>
          <w:i/>
          <w:color w:val="000000" w:themeColor="text1"/>
        </w:rPr>
        <w:t xml:space="preserve"> III. Número de folio de respuesta de la solicitud de acceso: 415748 IV. Fecha en que fue notificada la respuesta al solicitante: 21 de enero de 2022, de acuerdo con lo señalado en la Plataforma Nacional de Transparencia. V. Acto que se recurre: La respuesta de fecha 21 de enero de 2022, emitida por la Secretaría de Finanzas del Estado de México, registrada con el número de folio 415748, mediante la cual, se solicita una relación de todos los fideicomisos en los cuales el Gobierno del Estado de México tiene participación, así como sus respectivos contratos, convenios modificatorios y anexos que formen parte integrante de los mismos. VI. Razones o motivos de inconformidad: si bien es cierto, la Secretaría de Finanzas dio respuesta en tiempo a dicha solicitud, sin embargo, hacen referencia a que la información se hace entrega vía correo electrónico, misma que nunca llegó por ese medio. No obstante, adjuntaron en la plataforma 14 documentos, mismos que no se pueden descargar ni visualizar.</w:t>
      </w:r>
      <w:r w:rsidRPr="00A85CB7">
        <w:rPr>
          <w:rFonts w:ascii="Palatino Linotype" w:eastAsia="Times New Roman" w:hAnsi="Palatino Linotype" w:cs="Arial"/>
          <w:i/>
          <w:color w:val="000000" w:themeColor="text1"/>
          <w:lang w:val="es-ES"/>
        </w:rPr>
        <w:t>”</w:t>
      </w:r>
      <w:r w:rsidRPr="00A85CB7">
        <w:rPr>
          <w:rFonts w:ascii="Palatino Linotype" w:eastAsia="Times New Roman" w:hAnsi="Palatino Linotype" w:cs="Arial"/>
          <w:color w:val="000000" w:themeColor="text1"/>
          <w:lang w:val="es-ES"/>
        </w:rPr>
        <w:t xml:space="preserve"> (Sic).</w:t>
      </w:r>
    </w:p>
    <w:p w14:paraId="38724B8B" w14:textId="77777777" w:rsidR="001468E9" w:rsidRPr="00A85CB7" w:rsidRDefault="001468E9" w:rsidP="00B31E90">
      <w:pPr>
        <w:pStyle w:val="Prrafodelista"/>
        <w:tabs>
          <w:tab w:val="left" w:pos="426"/>
        </w:tabs>
        <w:spacing w:line="360" w:lineRule="auto"/>
        <w:ind w:left="1004"/>
        <w:jc w:val="both"/>
        <w:rPr>
          <w:rFonts w:ascii="Palatino Linotype" w:eastAsia="Times New Roman" w:hAnsi="Palatino Linotype" w:cs="Arial"/>
          <w:color w:val="000000" w:themeColor="text1"/>
          <w:lang w:val="es-ES"/>
        </w:rPr>
      </w:pPr>
    </w:p>
    <w:p w14:paraId="4E73B63B" w14:textId="36C37245" w:rsidR="00E34622" w:rsidRPr="00A85CB7" w:rsidRDefault="00E34622" w:rsidP="00D12402">
      <w:pPr>
        <w:pStyle w:val="Prrafodelista"/>
        <w:numPr>
          <w:ilvl w:val="0"/>
          <w:numId w:val="2"/>
        </w:numPr>
        <w:tabs>
          <w:tab w:val="left" w:pos="426"/>
        </w:tabs>
        <w:spacing w:line="360" w:lineRule="auto"/>
        <w:jc w:val="both"/>
        <w:rPr>
          <w:rFonts w:ascii="Palatino Linotype" w:eastAsia="Times New Roman" w:hAnsi="Palatino Linotype" w:cs="Arial"/>
          <w:color w:val="000000" w:themeColor="text1"/>
          <w:lang w:val="es-ES"/>
        </w:rPr>
      </w:pPr>
      <w:r w:rsidRPr="00A85CB7">
        <w:rPr>
          <w:rFonts w:ascii="Palatino Linotype" w:eastAsia="Times New Roman" w:hAnsi="Palatino Linotype" w:cs="Arial"/>
          <w:b/>
          <w:color w:val="000000" w:themeColor="text1"/>
          <w:lang w:val="es-ES"/>
        </w:rPr>
        <w:t>Razones o motivos de inconformidad:</w:t>
      </w:r>
      <w:r w:rsidR="00874321">
        <w:rPr>
          <w:rFonts w:ascii="Palatino Linotype" w:eastAsia="Times New Roman" w:hAnsi="Palatino Linotype" w:cs="Arial"/>
          <w:color w:val="000000" w:themeColor="text1"/>
          <w:lang w:val="es-ES"/>
        </w:rPr>
        <w:t xml:space="preserve"> </w:t>
      </w:r>
      <w:r w:rsidR="000317B3">
        <w:rPr>
          <w:rFonts w:ascii="Palatino Linotype" w:eastAsia="Times New Roman" w:hAnsi="Palatino Linotype" w:cs="Arial"/>
          <w:color w:val="000000" w:themeColor="text1"/>
          <w:lang w:val="es-ES"/>
        </w:rPr>
        <w:t xml:space="preserve">Se hace constar que la particular no hizo uso de este bloque dentro del acuse electrónico; sin embargo, sí señaló </w:t>
      </w:r>
      <w:r w:rsidR="000317B3">
        <w:rPr>
          <w:rFonts w:ascii="Palatino Linotype" w:eastAsia="Times New Roman" w:hAnsi="Palatino Linotype" w:cs="Arial"/>
          <w:i/>
          <w:iCs/>
          <w:color w:val="000000" w:themeColor="text1"/>
          <w:lang w:val="es-ES"/>
        </w:rPr>
        <w:t>Razones o motivos de inconformidad</w:t>
      </w:r>
      <w:r w:rsidR="000317B3">
        <w:rPr>
          <w:rFonts w:ascii="Palatino Linotype" w:eastAsia="Times New Roman" w:hAnsi="Palatino Linotype" w:cs="Arial"/>
          <w:color w:val="000000" w:themeColor="text1"/>
          <w:lang w:val="es-ES"/>
        </w:rPr>
        <w:t xml:space="preserve"> en el bloque de </w:t>
      </w:r>
      <w:r w:rsidR="000317B3">
        <w:rPr>
          <w:rFonts w:ascii="Palatino Linotype" w:eastAsia="Times New Roman" w:hAnsi="Palatino Linotype" w:cs="Arial"/>
          <w:i/>
          <w:iCs/>
          <w:color w:val="000000" w:themeColor="text1"/>
          <w:lang w:val="es-ES"/>
        </w:rPr>
        <w:t>Acto impugnado</w:t>
      </w:r>
      <w:r w:rsidR="00356A25">
        <w:rPr>
          <w:rFonts w:ascii="Palatino Linotype" w:eastAsia="Times New Roman" w:hAnsi="Palatino Linotype" w:cs="Arial"/>
          <w:color w:val="000000" w:themeColor="text1"/>
          <w:lang w:val="es-ES"/>
        </w:rPr>
        <w:t>.</w:t>
      </w:r>
    </w:p>
    <w:p w14:paraId="4D16C3B0" w14:textId="77777777" w:rsidR="00E34622" w:rsidRPr="00874321" w:rsidRDefault="00E34622" w:rsidP="00874321">
      <w:pPr>
        <w:tabs>
          <w:tab w:val="left" w:pos="426"/>
        </w:tabs>
        <w:spacing w:line="360" w:lineRule="auto"/>
        <w:jc w:val="both"/>
        <w:rPr>
          <w:rFonts w:ascii="Palatino Linotype" w:hAnsi="Palatino Linotype"/>
          <w:color w:val="000000" w:themeColor="text1"/>
          <w:szCs w:val="22"/>
        </w:rPr>
      </w:pPr>
    </w:p>
    <w:p w14:paraId="7DF077BA" w14:textId="67FC5373" w:rsidR="00356A25" w:rsidRPr="00356A25" w:rsidRDefault="00356A25" w:rsidP="00356A25">
      <w:pPr>
        <w:pStyle w:val="Prrafodelista"/>
        <w:numPr>
          <w:ilvl w:val="0"/>
          <w:numId w:val="1"/>
        </w:numPr>
        <w:spacing w:line="360" w:lineRule="auto"/>
        <w:jc w:val="both"/>
        <w:rPr>
          <w:rFonts w:ascii="Palatino Linotype" w:eastAsia="Calibri" w:hAnsi="Palatino Linotype" w:cs="Arial"/>
          <w:b/>
          <w:i/>
          <w:color w:val="000000" w:themeColor="text1"/>
          <w:lang w:val="es-ES"/>
        </w:rPr>
      </w:pPr>
      <w:r w:rsidRPr="00356A25">
        <w:rPr>
          <w:rFonts w:ascii="Palatino Linotype" w:eastAsia="Calibri" w:hAnsi="Palatino Linotype" w:cs="Arial"/>
          <w:color w:val="000000" w:themeColor="text1"/>
          <w:lang w:val="es-ES"/>
        </w:rPr>
        <w:t xml:space="preserve">Se hace constar que la ahora </w:t>
      </w:r>
      <w:r w:rsidRPr="00356A25">
        <w:rPr>
          <w:rFonts w:ascii="Palatino Linotype" w:eastAsia="Calibri" w:hAnsi="Palatino Linotype" w:cs="Arial"/>
          <w:b/>
          <w:color w:val="000000" w:themeColor="text1"/>
          <w:lang w:val="es-ES"/>
        </w:rPr>
        <w:t>RECURRENTE</w:t>
      </w:r>
      <w:r w:rsidRPr="00356A25">
        <w:rPr>
          <w:rFonts w:ascii="Palatino Linotype" w:eastAsia="Calibri" w:hAnsi="Palatino Linotype" w:cs="Arial"/>
          <w:color w:val="000000" w:themeColor="text1"/>
          <w:lang w:val="es-ES"/>
        </w:rPr>
        <w:t xml:space="preserve"> adjuntó un archivo titulado </w:t>
      </w:r>
      <w:r w:rsidRPr="00356A25">
        <w:rPr>
          <w:rFonts w:ascii="Palatino Linotype" w:eastAsia="Calibri" w:hAnsi="Palatino Linotype" w:cs="Arial"/>
          <w:b/>
          <w:i/>
          <w:color w:val="000000" w:themeColor="text1"/>
          <w:lang w:val="es-ES"/>
        </w:rPr>
        <w:t>“Archivo1644884577703.vnd.openxmlformatsofficedocument.wordprocessingml.document</w:t>
      </w:r>
      <w:r>
        <w:rPr>
          <w:rFonts w:ascii="Palatino Linotype" w:eastAsia="Calibri" w:hAnsi="Palatino Linotype" w:cs="Arial"/>
          <w:b/>
          <w:i/>
          <w:color w:val="000000" w:themeColor="text1"/>
          <w:lang w:val="es-ES"/>
        </w:rPr>
        <w:t>”</w:t>
      </w:r>
      <w:r>
        <w:rPr>
          <w:rFonts w:ascii="Palatino Linotype" w:eastAsia="Calibri" w:hAnsi="Palatino Linotype" w:cs="Arial"/>
          <w:color w:val="000000" w:themeColor="text1"/>
          <w:lang w:val="es-ES"/>
        </w:rPr>
        <w:t>; sin embargo, éste se aprecia dañado, pues su contenido no puede ser visualizado por ningún programa en posesión de este Organismo Garante.</w:t>
      </w:r>
    </w:p>
    <w:p w14:paraId="3E249FE6" w14:textId="77777777" w:rsidR="00356A25" w:rsidRPr="00356A25" w:rsidRDefault="00356A25" w:rsidP="00356A25">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65CB77BE" w14:textId="3357B14E" w:rsidR="005F1362" w:rsidRPr="00A85CB7" w:rsidRDefault="005F1362" w:rsidP="00DA22D8">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sidRPr="00A85CB7">
        <w:rPr>
          <w:rFonts w:ascii="Palatino Linotype" w:eastAsia="Times New Roman" w:hAnsi="Palatino Linotype" w:cs="Arial"/>
          <w:color w:val="000000" w:themeColor="text1"/>
          <w:lang w:val="es-ES"/>
        </w:rPr>
        <w:lastRenderedPageBreak/>
        <w:t xml:space="preserve">Se registró el recurso de revisión bajo el número de expediente </w:t>
      </w:r>
      <w:r w:rsidR="004F785F" w:rsidRPr="00A85CB7">
        <w:rPr>
          <w:rFonts w:ascii="Palatino Linotype" w:hAnsi="Palatino Linotype" w:cs="Arial"/>
          <w:bCs/>
          <w:color w:val="000000" w:themeColor="text1"/>
        </w:rPr>
        <w:t>al rubro indicado, asi</w:t>
      </w:r>
      <w:r w:rsidRPr="00A85CB7">
        <w:rPr>
          <w:rFonts w:ascii="Palatino Linotype" w:hAnsi="Palatino Linotype" w:cs="Arial"/>
          <w:bCs/>
          <w:color w:val="000000" w:themeColor="text1"/>
        </w:rPr>
        <w:t xml:space="preserve">mismo, con </w:t>
      </w:r>
      <w:r w:rsidRPr="000A45FD">
        <w:rPr>
          <w:rFonts w:ascii="Palatino Linotype" w:hAnsi="Palatino Linotype" w:cs="Arial"/>
          <w:bCs/>
          <w:color w:val="000000" w:themeColor="text1"/>
        </w:rPr>
        <w:t xml:space="preserve">fundamento en lo dispuesto por el </w:t>
      </w:r>
      <w:r w:rsidRPr="000A45FD">
        <w:rPr>
          <w:rFonts w:ascii="Palatino Linotype" w:eastAsia="Calibri" w:hAnsi="Palatino Linotype" w:cs="Arial"/>
          <w:bCs/>
          <w:color w:val="000000" w:themeColor="text1"/>
          <w:lang w:val="es-ES"/>
        </w:rPr>
        <w:t>artículo 185</w:t>
      </w:r>
      <w:r w:rsidR="00EF7B70">
        <w:rPr>
          <w:rFonts w:ascii="Palatino Linotype" w:eastAsia="Calibri" w:hAnsi="Palatino Linotype" w:cs="Arial"/>
          <w:bCs/>
          <w:color w:val="000000" w:themeColor="text1"/>
          <w:lang w:val="es-ES"/>
        </w:rPr>
        <w:t>,</w:t>
      </w:r>
      <w:r w:rsidRPr="000A45FD">
        <w:rPr>
          <w:rFonts w:ascii="Palatino Linotype" w:eastAsia="Calibri" w:hAnsi="Palatino Linotype" w:cs="Arial"/>
          <w:bCs/>
          <w:color w:val="000000" w:themeColor="text1"/>
          <w:lang w:val="es-ES"/>
        </w:rPr>
        <w:t xml:space="preserve"> fracción I</w:t>
      </w:r>
      <w:r w:rsidR="00EF7B70">
        <w:rPr>
          <w:rFonts w:ascii="Palatino Linotype" w:eastAsia="Calibri" w:hAnsi="Palatino Linotype" w:cs="Arial"/>
          <w:bCs/>
          <w:color w:val="000000" w:themeColor="text1"/>
          <w:lang w:val="es-ES"/>
        </w:rPr>
        <w:t>,</w:t>
      </w:r>
      <w:r w:rsidRPr="000A45FD">
        <w:rPr>
          <w:rFonts w:ascii="Palatino Linotype" w:eastAsia="Calibri" w:hAnsi="Palatino Linotype" w:cs="Arial"/>
          <w:bCs/>
          <w:color w:val="000000" w:themeColor="text1"/>
          <w:lang w:val="es-ES"/>
        </w:rPr>
        <w:t xml:space="preserve"> de la Ley de Transparencia y Acceso a la Información Pública del Estado de México y Municipios </w:t>
      </w:r>
      <w:r w:rsidRPr="000A45FD">
        <w:rPr>
          <w:rFonts w:ascii="Palatino Linotype" w:eastAsia="Times New Roman" w:hAnsi="Palatino Linotype" w:cs="Arial"/>
          <w:bCs/>
          <w:color w:val="000000" w:themeColor="text1"/>
          <w:lang w:val="es-ES"/>
        </w:rPr>
        <w:t xml:space="preserve">se turnó </w:t>
      </w:r>
      <w:r w:rsidR="0096234B">
        <w:rPr>
          <w:rFonts w:ascii="Palatino Linotype" w:eastAsia="Times New Roman" w:hAnsi="Palatino Linotype" w:cs="Arial"/>
          <w:bCs/>
          <w:color w:val="000000" w:themeColor="text1"/>
          <w:lang w:val="es-ES"/>
        </w:rPr>
        <w:t xml:space="preserve">a la </w:t>
      </w:r>
      <w:r w:rsidR="0096234B" w:rsidRPr="00874321">
        <w:rPr>
          <w:rFonts w:ascii="Palatino Linotype" w:eastAsia="Times New Roman" w:hAnsi="Palatino Linotype" w:cs="Arial"/>
          <w:b/>
          <w:bCs/>
          <w:color w:val="000000" w:themeColor="text1"/>
          <w:lang w:val="es-ES"/>
        </w:rPr>
        <w:t xml:space="preserve">Comisionada </w:t>
      </w:r>
      <w:r w:rsidR="00D12402" w:rsidRPr="00874321">
        <w:rPr>
          <w:rFonts w:ascii="Palatino Linotype" w:eastAsia="Times New Roman" w:hAnsi="Palatino Linotype" w:cs="Arial"/>
          <w:b/>
          <w:bCs/>
          <w:color w:val="000000" w:themeColor="text1"/>
          <w:lang w:val="es-ES"/>
        </w:rPr>
        <w:t>María del Rosario Mejía Ayala</w:t>
      </w:r>
      <w:r w:rsidRPr="000A45FD">
        <w:rPr>
          <w:rFonts w:ascii="Palatino Linotype" w:eastAsia="Times New Roman" w:hAnsi="Palatino Linotype" w:cs="Arial"/>
          <w:bCs/>
          <w:color w:val="000000" w:themeColor="text1"/>
          <w:lang w:val="es-ES"/>
        </w:rPr>
        <w:t xml:space="preserve">, con el objeto de </w:t>
      </w:r>
      <w:r w:rsidRPr="000A45FD">
        <w:rPr>
          <w:rFonts w:ascii="Palatino Linotype" w:eastAsia="Times New Roman" w:hAnsi="Palatino Linotype" w:cs="Arial"/>
          <w:bCs/>
          <w:color w:val="000000" w:themeColor="text1"/>
        </w:rPr>
        <w:t>su análisis.</w:t>
      </w:r>
    </w:p>
    <w:p w14:paraId="2BDE682E" w14:textId="77777777" w:rsidR="005F1362" w:rsidRPr="00A85CB7" w:rsidRDefault="005F1362" w:rsidP="00B31E90">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7DD2621B" w14:textId="5A849920" w:rsidR="007446C2" w:rsidRDefault="0096234B" w:rsidP="00DA22D8">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Pr>
          <w:rFonts w:ascii="Palatino Linotype" w:eastAsia="Times New Roman" w:hAnsi="Palatino Linotype" w:cs="Arial"/>
          <w:color w:val="000000" w:themeColor="text1"/>
          <w:lang w:val="es-ES"/>
        </w:rPr>
        <w:t>La</w:t>
      </w:r>
      <w:r w:rsidR="00E647FF">
        <w:rPr>
          <w:rFonts w:ascii="Palatino Linotype" w:eastAsia="Times New Roman" w:hAnsi="Palatino Linotype" w:cs="Arial"/>
          <w:color w:val="000000" w:themeColor="text1"/>
          <w:lang w:val="es-ES"/>
        </w:rPr>
        <w:t xml:space="preserve"> </w:t>
      </w:r>
      <w:r w:rsidR="0004686A" w:rsidRPr="00A85CB7">
        <w:rPr>
          <w:rFonts w:ascii="Palatino Linotype" w:eastAsia="Calibri" w:hAnsi="Palatino Linotype" w:cs="Arial"/>
          <w:color w:val="000000" w:themeColor="text1"/>
          <w:lang w:val="es-ES"/>
        </w:rPr>
        <w:t>Comisionad</w:t>
      </w:r>
      <w:r>
        <w:rPr>
          <w:rFonts w:ascii="Palatino Linotype" w:eastAsia="Calibri" w:hAnsi="Palatino Linotype" w:cs="Arial"/>
          <w:color w:val="000000" w:themeColor="text1"/>
          <w:lang w:val="es-ES"/>
        </w:rPr>
        <w:t>a</w:t>
      </w:r>
      <w:r w:rsidR="0004686A" w:rsidRPr="00A85CB7">
        <w:rPr>
          <w:rFonts w:ascii="Palatino Linotype" w:eastAsia="Calibri" w:hAnsi="Palatino Linotype" w:cs="Arial"/>
          <w:color w:val="000000" w:themeColor="text1"/>
          <w:lang w:val="es-ES"/>
        </w:rPr>
        <w:t xml:space="preserve"> Ponente</w:t>
      </w:r>
      <w:r w:rsidR="006B31E7">
        <w:rPr>
          <w:rFonts w:ascii="Palatino Linotype" w:eastAsia="Calibri" w:hAnsi="Palatino Linotype" w:cs="Arial"/>
          <w:color w:val="000000" w:themeColor="text1"/>
          <w:lang w:val="es-ES"/>
        </w:rPr>
        <w:t>,</w:t>
      </w:r>
      <w:r w:rsidR="0004686A" w:rsidRPr="00A85CB7">
        <w:rPr>
          <w:rFonts w:ascii="Palatino Linotype" w:eastAsia="Calibri" w:hAnsi="Palatino Linotype" w:cs="Arial"/>
          <w:color w:val="000000" w:themeColor="text1"/>
          <w:lang w:val="es-ES"/>
        </w:rPr>
        <w:t xml:space="preserve"> con fundamento en lo dispuesto por el artículo 185</w:t>
      </w:r>
      <w:r w:rsidR="00EF7B70">
        <w:rPr>
          <w:rFonts w:ascii="Palatino Linotype" w:eastAsia="Calibri" w:hAnsi="Palatino Linotype" w:cs="Arial"/>
          <w:color w:val="000000" w:themeColor="text1"/>
          <w:lang w:val="es-ES"/>
        </w:rPr>
        <w:t>,</w:t>
      </w:r>
      <w:r w:rsidR="0004686A" w:rsidRPr="00A85CB7">
        <w:rPr>
          <w:rFonts w:ascii="Palatino Linotype" w:eastAsia="Calibri" w:hAnsi="Palatino Linotype" w:cs="Arial"/>
          <w:color w:val="000000" w:themeColor="text1"/>
          <w:lang w:val="es-ES"/>
        </w:rPr>
        <w:t xml:space="preserve"> fracción II</w:t>
      </w:r>
      <w:r w:rsidR="00EF7B70">
        <w:rPr>
          <w:rFonts w:ascii="Palatino Linotype" w:eastAsia="Calibri" w:hAnsi="Palatino Linotype" w:cs="Arial"/>
          <w:color w:val="000000" w:themeColor="text1"/>
          <w:lang w:val="es-ES"/>
        </w:rPr>
        <w:t>,</w:t>
      </w:r>
      <w:r w:rsidR="0004686A" w:rsidRPr="00A85CB7">
        <w:rPr>
          <w:rFonts w:ascii="Palatino Linotype" w:eastAsia="Calibri" w:hAnsi="Palatino Linotype" w:cs="Arial"/>
          <w:color w:val="000000" w:themeColor="text1"/>
          <w:lang w:val="es-ES"/>
        </w:rPr>
        <w:t xml:space="preserve"> de la </w:t>
      </w:r>
      <w:r w:rsidR="00613655">
        <w:rPr>
          <w:rFonts w:ascii="Palatino Linotype" w:eastAsia="Calibri" w:hAnsi="Palatino Linotype" w:cs="Arial"/>
          <w:color w:val="000000" w:themeColor="text1"/>
          <w:lang w:val="es-ES"/>
        </w:rPr>
        <w:t>Ley de Transparencia y Acceso a la Información Pública del Estado de México y Municipios</w:t>
      </w:r>
      <w:r w:rsidR="0004686A" w:rsidRPr="00A85CB7">
        <w:rPr>
          <w:rFonts w:ascii="Palatino Linotype" w:eastAsia="Calibri" w:hAnsi="Palatino Linotype" w:cs="Arial"/>
          <w:color w:val="000000" w:themeColor="text1"/>
          <w:lang w:val="es-ES"/>
        </w:rPr>
        <w:t xml:space="preserve">, a través </w:t>
      </w:r>
      <w:r w:rsidR="006E4E2A" w:rsidRPr="00A85CB7">
        <w:rPr>
          <w:rFonts w:ascii="Palatino Linotype" w:eastAsia="Calibri" w:hAnsi="Palatino Linotype" w:cs="Arial"/>
          <w:color w:val="000000" w:themeColor="text1"/>
          <w:lang w:val="es-ES"/>
        </w:rPr>
        <w:t>del</w:t>
      </w:r>
      <w:r w:rsidR="0004686A" w:rsidRPr="00A85CB7">
        <w:rPr>
          <w:rFonts w:ascii="Palatino Linotype" w:eastAsia="Calibri" w:hAnsi="Palatino Linotype" w:cs="Arial"/>
          <w:color w:val="000000" w:themeColor="text1"/>
          <w:lang w:val="es-ES"/>
        </w:rPr>
        <w:t xml:space="preserve"> </w:t>
      </w:r>
      <w:r w:rsidR="00B81371" w:rsidRPr="00A85CB7">
        <w:rPr>
          <w:rFonts w:ascii="Palatino Linotype" w:eastAsia="Calibri" w:hAnsi="Palatino Linotype" w:cs="Arial"/>
          <w:color w:val="000000" w:themeColor="text1"/>
          <w:lang w:val="es-ES"/>
        </w:rPr>
        <w:t xml:space="preserve">acuerdo </w:t>
      </w:r>
      <w:r w:rsidR="00F147C6" w:rsidRPr="00A85CB7">
        <w:rPr>
          <w:rFonts w:ascii="Palatino Linotype" w:eastAsia="Calibri" w:hAnsi="Palatino Linotype" w:cs="Arial"/>
          <w:color w:val="000000" w:themeColor="text1"/>
          <w:lang w:val="es-ES"/>
        </w:rPr>
        <w:t xml:space="preserve">de admisión </w:t>
      </w:r>
      <w:r w:rsidR="00B81371" w:rsidRPr="00A85CB7">
        <w:rPr>
          <w:rFonts w:ascii="Palatino Linotype" w:eastAsia="Calibri" w:hAnsi="Palatino Linotype" w:cs="Arial"/>
          <w:color w:val="000000" w:themeColor="text1"/>
          <w:lang w:val="es-ES"/>
        </w:rPr>
        <w:t xml:space="preserve">de </w:t>
      </w:r>
      <w:r w:rsidR="00356A25">
        <w:rPr>
          <w:rFonts w:ascii="Palatino Linotype" w:eastAsia="Calibri" w:hAnsi="Palatino Linotype" w:cs="Arial"/>
          <w:color w:val="000000" w:themeColor="text1"/>
          <w:lang w:val="es-ES"/>
        </w:rPr>
        <w:t>diecisiete (17) de febrero</w:t>
      </w:r>
      <w:r w:rsidR="00EF7B70">
        <w:rPr>
          <w:rFonts w:ascii="Palatino Linotype" w:eastAsia="Calibri" w:hAnsi="Palatino Linotype" w:cs="Arial"/>
          <w:color w:val="000000" w:themeColor="text1"/>
          <w:lang w:val="es-ES"/>
        </w:rPr>
        <w:t xml:space="preserve"> de dos mil veintidós</w:t>
      </w:r>
      <w:r w:rsidR="006A1047" w:rsidRPr="00A85CB7">
        <w:rPr>
          <w:rFonts w:ascii="Palatino Linotype" w:eastAsia="Calibri" w:hAnsi="Palatino Linotype" w:cs="Arial"/>
          <w:color w:val="000000" w:themeColor="text1"/>
          <w:lang w:val="es-ES"/>
        </w:rPr>
        <w:t xml:space="preserve">, </w:t>
      </w:r>
      <w:r w:rsidR="00B81371" w:rsidRPr="00A85CB7">
        <w:rPr>
          <w:rFonts w:ascii="Palatino Linotype" w:eastAsia="Calibri" w:hAnsi="Palatino Linotype" w:cs="Arial"/>
          <w:color w:val="000000" w:themeColor="text1"/>
          <w:lang w:val="es-ES"/>
        </w:rPr>
        <w:t xml:space="preserve">puso a </w:t>
      </w:r>
      <w:r w:rsidR="00875167" w:rsidRPr="00A85CB7">
        <w:rPr>
          <w:rFonts w:ascii="Palatino Linotype" w:eastAsia="Calibri" w:hAnsi="Palatino Linotype" w:cs="Arial"/>
          <w:color w:val="000000" w:themeColor="text1"/>
          <w:lang w:val="es-ES"/>
        </w:rPr>
        <w:t>disposición</w:t>
      </w:r>
      <w:r w:rsidR="00B81371" w:rsidRPr="00A85CB7">
        <w:rPr>
          <w:rFonts w:ascii="Palatino Linotype" w:eastAsia="Calibri" w:hAnsi="Palatino Linotype" w:cs="Arial"/>
          <w:color w:val="000000" w:themeColor="text1"/>
          <w:lang w:val="es-ES"/>
        </w:rPr>
        <w:t xml:space="preserve"> de las partes el expediente electrónico </w:t>
      </w:r>
      <w:r w:rsidR="00B81371" w:rsidRPr="00A85CB7">
        <w:rPr>
          <w:rFonts w:ascii="Palatino Linotype" w:eastAsia="Calibri" w:hAnsi="Palatino Linotype" w:cs="Arial"/>
          <w:color w:val="000000" w:themeColor="text1"/>
        </w:rPr>
        <w:t>vía</w:t>
      </w:r>
      <w:r w:rsidR="00EF7B70">
        <w:rPr>
          <w:rFonts w:ascii="Palatino Linotype" w:eastAsia="Calibri" w:hAnsi="Palatino Linotype" w:cs="Arial"/>
          <w:color w:val="000000" w:themeColor="text1"/>
        </w:rPr>
        <w:t xml:space="preserve"> SAIMEX</w:t>
      </w:r>
      <w:r w:rsidR="00B81371" w:rsidRPr="00A85CB7">
        <w:rPr>
          <w:rFonts w:ascii="Palatino Linotype" w:eastAsia="Calibri" w:hAnsi="Palatino Linotype" w:cs="Arial"/>
          <w:b/>
          <w:color w:val="000000" w:themeColor="text1"/>
          <w:lang w:val="es-ES"/>
        </w:rPr>
        <w:t xml:space="preserve"> </w:t>
      </w:r>
      <w:r w:rsidR="00B81371" w:rsidRPr="00A85CB7">
        <w:rPr>
          <w:rFonts w:ascii="Palatino Linotype" w:eastAsia="Calibri" w:hAnsi="Palatino Linotype" w:cs="Arial"/>
          <w:color w:val="000000" w:themeColor="text1"/>
          <w:lang w:val="es-ES"/>
        </w:rPr>
        <w:t xml:space="preserve">a efecto de que en un plazo máximo de siete días </w:t>
      </w:r>
      <w:r w:rsidR="00875167" w:rsidRPr="00A85CB7">
        <w:rPr>
          <w:rFonts w:ascii="Palatino Linotype" w:eastAsia="Calibri" w:hAnsi="Palatino Linotype" w:cs="Arial"/>
          <w:color w:val="000000" w:themeColor="text1"/>
          <w:lang w:val="es-ES"/>
        </w:rPr>
        <w:t>manifestaran</w:t>
      </w:r>
      <w:r w:rsidR="00B81371" w:rsidRPr="00A85CB7">
        <w:rPr>
          <w:rFonts w:ascii="Palatino Linotype" w:eastAsia="Calibri" w:hAnsi="Palatino Linotype" w:cs="Arial"/>
          <w:color w:val="000000" w:themeColor="text1"/>
          <w:lang w:val="es-ES"/>
        </w:rPr>
        <w:t xml:space="preserve"> lo que a</w:t>
      </w:r>
      <w:r w:rsidR="003A2029" w:rsidRPr="00A85CB7">
        <w:rPr>
          <w:rFonts w:ascii="Palatino Linotype" w:eastAsia="Calibri" w:hAnsi="Palatino Linotype" w:cs="Arial"/>
          <w:color w:val="000000" w:themeColor="text1"/>
          <w:lang w:val="es-ES"/>
        </w:rPr>
        <w:t xml:space="preserve"> su</w:t>
      </w:r>
      <w:r w:rsidR="00B81371" w:rsidRPr="00A85CB7">
        <w:rPr>
          <w:rFonts w:ascii="Palatino Linotype" w:eastAsia="Calibri" w:hAnsi="Palatino Linotype" w:cs="Arial"/>
          <w:color w:val="000000" w:themeColor="text1"/>
          <w:lang w:val="es-ES"/>
        </w:rPr>
        <w:t xml:space="preserve"> derecho conviniera</w:t>
      </w:r>
      <w:r w:rsidR="00875167" w:rsidRPr="00A85CB7">
        <w:rPr>
          <w:rFonts w:ascii="Palatino Linotype" w:eastAsia="Calibri" w:hAnsi="Palatino Linotype" w:cs="Arial"/>
          <w:color w:val="000000" w:themeColor="text1"/>
          <w:lang w:val="es-ES"/>
        </w:rPr>
        <w:t>n</w:t>
      </w:r>
      <w:r w:rsidR="00032493" w:rsidRPr="00A85CB7">
        <w:rPr>
          <w:rFonts w:ascii="Palatino Linotype" w:eastAsia="Calibri" w:hAnsi="Palatino Linotype" w:cs="Arial"/>
          <w:color w:val="000000" w:themeColor="text1"/>
          <w:lang w:val="es-ES"/>
        </w:rPr>
        <w:t>,</w:t>
      </w:r>
      <w:r w:rsidR="00B81371" w:rsidRPr="00A85CB7">
        <w:rPr>
          <w:rFonts w:ascii="Palatino Linotype" w:eastAsia="Calibri" w:hAnsi="Palatino Linotype" w:cs="Arial"/>
          <w:color w:val="000000" w:themeColor="text1"/>
          <w:lang w:val="es-ES"/>
        </w:rPr>
        <w:t xml:space="preserve"> </w:t>
      </w:r>
      <w:r w:rsidR="00875167" w:rsidRPr="00A85CB7">
        <w:rPr>
          <w:rFonts w:ascii="Palatino Linotype" w:eastAsia="Calibri" w:hAnsi="Palatino Linotype" w:cs="Arial"/>
          <w:color w:val="000000" w:themeColor="text1"/>
          <w:lang w:val="es-ES"/>
        </w:rPr>
        <w:t>ofrecieran pruebas y</w:t>
      </w:r>
      <w:r w:rsidR="00132C06" w:rsidRPr="00A85CB7">
        <w:rPr>
          <w:rFonts w:ascii="Palatino Linotype" w:eastAsia="Calibri" w:hAnsi="Palatino Linotype" w:cs="Arial"/>
          <w:color w:val="000000" w:themeColor="text1"/>
          <w:lang w:val="es-ES"/>
        </w:rPr>
        <w:t xml:space="preserve"> </w:t>
      </w:r>
      <w:r w:rsidR="00875167" w:rsidRPr="00A85CB7">
        <w:rPr>
          <w:rFonts w:ascii="Palatino Linotype" w:eastAsia="Calibri" w:hAnsi="Palatino Linotype" w:cs="Arial"/>
          <w:color w:val="000000" w:themeColor="text1"/>
          <w:lang w:val="es-ES"/>
        </w:rPr>
        <w:t>alegatos según corresponda a</w:t>
      </w:r>
      <w:r w:rsidR="004C20F2" w:rsidRPr="00A85CB7">
        <w:rPr>
          <w:rFonts w:ascii="Palatino Linotype" w:eastAsia="Calibri" w:hAnsi="Palatino Linotype" w:cs="Arial"/>
          <w:color w:val="000000" w:themeColor="text1"/>
          <w:lang w:val="es-ES"/>
        </w:rPr>
        <w:t xml:space="preserve"> </w:t>
      </w:r>
      <w:r w:rsidR="00875167" w:rsidRPr="00A85CB7">
        <w:rPr>
          <w:rFonts w:ascii="Palatino Linotype" w:eastAsia="Calibri" w:hAnsi="Palatino Linotype" w:cs="Arial"/>
          <w:color w:val="000000" w:themeColor="text1"/>
          <w:lang w:val="es-ES"/>
        </w:rPr>
        <w:t>l</w:t>
      </w:r>
      <w:r w:rsidR="004C20F2" w:rsidRPr="00A85CB7">
        <w:rPr>
          <w:rFonts w:ascii="Palatino Linotype" w:eastAsia="Calibri" w:hAnsi="Palatino Linotype" w:cs="Arial"/>
          <w:color w:val="000000" w:themeColor="text1"/>
          <w:lang w:val="es-ES"/>
        </w:rPr>
        <w:t>os</w:t>
      </w:r>
      <w:r w:rsidR="00875167" w:rsidRPr="00A85CB7">
        <w:rPr>
          <w:rFonts w:ascii="Palatino Linotype" w:eastAsia="Calibri" w:hAnsi="Palatino Linotype" w:cs="Arial"/>
          <w:color w:val="000000" w:themeColor="text1"/>
          <w:lang w:val="es-ES"/>
        </w:rPr>
        <w:t xml:space="preserve"> caso</w:t>
      </w:r>
      <w:r w:rsidR="004C20F2" w:rsidRPr="00A85CB7">
        <w:rPr>
          <w:rFonts w:ascii="Palatino Linotype" w:eastAsia="Calibri" w:hAnsi="Palatino Linotype" w:cs="Arial"/>
          <w:color w:val="000000" w:themeColor="text1"/>
          <w:lang w:val="es-ES"/>
        </w:rPr>
        <w:t>s</w:t>
      </w:r>
      <w:r w:rsidR="00875167" w:rsidRPr="00A85CB7">
        <w:rPr>
          <w:rFonts w:ascii="Palatino Linotype" w:eastAsia="Calibri" w:hAnsi="Palatino Linotype" w:cs="Arial"/>
          <w:color w:val="000000" w:themeColor="text1"/>
          <w:lang w:val="es-ES"/>
        </w:rPr>
        <w:t xml:space="preserve"> concreto</w:t>
      </w:r>
      <w:r w:rsidR="004C20F2" w:rsidRPr="00A85CB7">
        <w:rPr>
          <w:rFonts w:ascii="Palatino Linotype" w:eastAsia="Calibri" w:hAnsi="Palatino Linotype" w:cs="Arial"/>
          <w:color w:val="000000" w:themeColor="text1"/>
          <w:lang w:val="es-ES"/>
        </w:rPr>
        <w:t>s</w:t>
      </w:r>
      <w:r w:rsidR="00875167" w:rsidRPr="00A85CB7">
        <w:rPr>
          <w:rFonts w:ascii="Palatino Linotype" w:eastAsia="Calibri" w:hAnsi="Palatino Linotype" w:cs="Arial"/>
          <w:color w:val="000000" w:themeColor="text1"/>
          <w:lang w:val="es-ES"/>
        </w:rPr>
        <w:t xml:space="preserve">, </w:t>
      </w:r>
      <w:r w:rsidR="00F147C6" w:rsidRPr="00A85CB7">
        <w:rPr>
          <w:rFonts w:ascii="Palatino Linotype" w:eastAsia="Calibri" w:hAnsi="Palatino Linotype" w:cs="Arial"/>
          <w:color w:val="000000" w:themeColor="text1"/>
          <w:lang w:val="es-ES"/>
        </w:rPr>
        <w:t>de esta forma</w:t>
      </w:r>
      <w:r w:rsidR="00875167" w:rsidRPr="00A85CB7">
        <w:rPr>
          <w:rFonts w:ascii="Palatino Linotype" w:eastAsia="Calibri" w:hAnsi="Palatino Linotype" w:cs="Arial"/>
          <w:color w:val="000000" w:themeColor="text1"/>
          <w:lang w:val="es-ES"/>
        </w:rPr>
        <w:t xml:space="preserve"> para que el </w:t>
      </w:r>
      <w:r w:rsidR="00875167" w:rsidRPr="00A85CB7">
        <w:rPr>
          <w:rFonts w:ascii="Palatino Linotype" w:eastAsia="Calibri" w:hAnsi="Palatino Linotype" w:cs="Arial"/>
          <w:b/>
          <w:color w:val="000000" w:themeColor="text1"/>
          <w:lang w:val="es-ES"/>
        </w:rPr>
        <w:t>SUJETO OBLIGADO</w:t>
      </w:r>
      <w:r w:rsidR="00875167" w:rsidRPr="00A85CB7">
        <w:rPr>
          <w:rFonts w:ascii="Palatino Linotype" w:eastAsia="Calibri" w:hAnsi="Palatino Linotype" w:cs="Arial"/>
          <w:color w:val="000000" w:themeColor="text1"/>
          <w:lang w:val="es-ES"/>
        </w:rPr>
        <w:t xml:space="preserve"> </w:t>
      </w:r>
      <w:r w:rsidR="00B81371" w:rsidRPr="00A85CB7">
        <w:rPr>
          <w:rFonts w:ascii="Palatino Linotype" w:eastAsia="Calibri" w:hAnsi="Palatino Linotype" w:cs="Arial"/>
          <w:color w:val="000000" w:themeColor="text1"/>
          <w:lang w:val="es-ES"/>
        </w:rPr>
        <w:t>presentar</w:t>
      </w:r>
      <w:r w:rsidR="003A03D0" w:rsidRPr="00A85CB7">
        <w:rPr>
          <w:rFonts w:ascii="Palatino Linotype" w:eastAsia="Calibri" w:hAnsi="Palatino Linotype" w:cs="Arial"/>
          <w:color w:val="000000" w:themeColor="text1"/>
          <w:lang w:val="es-ES"/>
        </w:rPr>
        <w:t>a</w:t>
      </w:r>
      <w:r w:rsidR="00B81371" w:rsidRPr="00A85CB7">
        <w:rPr>
          <w:rFonts w:ascii="Palatino Linotype" w:eastAsia="Calibri" w:hAnsi="Palatino Linotype" w:cs="Arial"/>
          <w:color w:val="000000" w:themeColor="text1"/>
          <w:lang w:val="es-ES"/>
        </w:rPr>
        <w:t xml:space="preserve"> el </w:t>
      </w:r>
      <w:r w:rsidR="00556F72" w:rsidRPr="00A85CB7">
        <w:rPr>
          <w:rFonts w:ascii="Palatino Linotype" w:eastAsia="Calibri" w:hAnsi="Palatino Linotype" w:cs="Arial"/>
          <w:color w:val="000000" w:themeColor="text1"/>
          <w:lang w:val="es-ES"/>
        </w:rPr>
        <w:t xml:space="preserve">informe justificado </w:t>
      </w:r>
      <w:r w:rsidR="00875167" w:rsidRPr="00A85CB7">
        <w:rPr>
          <w:rFonts w:ascii="Palatino Linotype" w:eastAsia="Calibri" w:hAnsi="Palatino Linotype" w:cs="Arial"/>
          <w:color w:val="000000" w:themeColor="text1"/>
          <w:lang w:val="es-ES"/>
        </w:rPr>
        <w:t>procedente</w:t>
      </w:r>
      <w:r w:rsidR="00787184" w:rsidRPr="00A85CB7">
        <w:rPr>
          <w:rFonts w:ascii="Palatino Linotype" w:eastAsia="Calibri" w:hAnsi="Palatino Linotype" w:cs="Arial"/>
          <w:color w:val="000000" w:themeColor="text1"/>
          <w:lang w:val="es-ES"/>
        </w:rPr>
        <w:t>.</w:t>
      </w:r>
    </w:p>
    <w:p w14:paraId="455C196B" w14:textId="77777777" w:rsidR="003F0DDA" w:rsidRDefault="003F0DDA" w:rsidP="003F0DDA">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3998AB1E" w14:textId="76FFC01A" w:rsidR="00EF7B70" w:rsidRPr="00356A25" w:rsidRDefault="00356A25" w:rsidP="00E463FD">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eastAsia="Calibri" w:hAnsi="Palatino Linotype" w:cs="Arial"/>
          <w:color w:val="000000" w:themeColor="text1"/>
          <w:lang w:val="es-ES"/>
        </w:rPr>
        <w:t xml:space="preserve">El veintiocho (28) de febrero de dos mil veintidós, el </w:t>
      </w:r>
      <w:r>
        <w:rPr>
          <w:rFonts w:ascii="Palatino Linotype" w:eastAsia="Calibri" w:hAnsi="Palatino Linotype" w:cs="Arial"/>
          <w:b/>
          <w:color w:val="000000" w:themeColor="text1"/>
          <w:lang w:val="es-ES"/>
        </w:rPr>
        <w:t>SUJETO OBLIGADO</w:t>
      </w:r>
      <w:r>
        <w:rPr>
          <w:rFonts w:ascii="Palatino Linotype" w:eastAsia="Calibri" w:hAnsi="Palatino Linotype" w:cs="Arial"/>
          <w:color w:val="000000" w:themeColor="text1"/>
          <w:lang w:val="es-ES"/>
        </w:rPr>
        <w:t xml:space="preserve"> presentó, en vía de Informe Justificado, los siguientes archivos electrónicos:</w:t>
      </w:r>
    </w:p>
    <w:p w14:paraId="4C79AB1E" w14:textId="5012E002" w:rsidR="00356A25" w:rsidRPr="00765E76" w:rsidRDefault="00765E76" w:rsidP="00356A25">
      <w:pPr>
        <w:pStyle w:val="Prrafodelista"/>
        <w:numPr>
          <w:ilvl w:val="1"/>
          <w:numId w:val="17"/>
        </w:numPr>
        <w:tabs>
          <w:tab w:val="left" w:pos="426"/>
        </w:tabs>
        <w:spacing w:line="360" w:lineRule="auto"/>
        <w:ind w:left="1134"/>
        <w:jc w:val="both"/>
        <w:rPr>
          <w:rFonts w:ascii="Palatino Linotype" w:hAnsi="Palatino Linotype"/>
          <w:color w:val="000000" w:themeColor="text1"/>
        </w:rPr>
      </w:pPr>
      <w:r>
        <w:rPr>
          <w:rFonts w:ascii="Palatino Linotype" w:eastAsia="Calibri" w:hAnsi="Palatino Linotype" w:cs="Arial"/>
          <w:b/>
          <w:i/>
          <w:color w:val="000000" w:themeColor="text1"/>
          <w:lang w:val="es-ES"/>
        </w:rPr>
        <w:t>“RR 838-2022 Informe Justificado.pdf”</w:t>
      </w:r>
      <w:r>
        <w:rPr>
          <w:rFonts w:ascii="Palatino Linotype" w:eastAsia="Calibri" w:hAnsi="Palatino Linotype" w:cs="Arial"/>
          <w:color w:val="000000" w:themeColor="text1"/>
          <w:lang w:val="es-ES"/>
        </w:rPr>
        <w:t xml:space="preserve">: Documento de seis fojas consistente en el Informe Justificado presentado por el Titular de la Unidad de Transparencia del </w:t>
      </w:r>
      <w:r>
        <w:rPr>
          <w:rFonts w:ascii="Palatino Linotype" w:eastAsia="Calibri" w:hAnsi="Palatino Linotype" w:cs="Arial"/>
          <w:b/>
          <w:color w:val="000000" w:themeColor="text1"/>
          <w:lang w:val="es-ES"/>
        </w:rPr>
        <w:t>SUJETO OBLIGADO</w:t>
      </w:r>
      <w:r>
        <w:rPr>
          <w:rFonts w:ascii="Palatino Linotype" w:eastAsia="Calibri" w:hAnsi="Palatino Linotype" w:cs="Arial"/>
          <w:color w:val="000000" w:themeColor="text1"/>
          <w:lang w:val="es-ES"/>
        </w:rPr>
        <w:t xml:space="preserve">, por medio del cual, manifiesta que, contrario a lo esgrimido por la </w:t>
      </w:r>
      <w:r>
        <w:rPr>
          <w:rFonts w:ascii="Palatino Linotype" w:eastAsia="Calibri" w:hAnsi="Palatino Linotype" w:cs="Arial"/>
          <w:b/>
          <w:color w:val="000000" w:themeColor="text1"/>
          <w:lang w:val="es-ES"/>
        </w:rPr>
        <w:t>RECURRENTE</w:t>
      </w:r>
      <w:r>
        <w:rPr>
          <w:rFonts w:ascii="Palatino Linotype" w:eastAsia="Calibri" w:hAnsi="Palatino Linotype" w:cs="Arial"/>
          <w:color w:val="000000" w:themeColor="text1"/>
          <w:lang w:val="es-ES"/>
        </w:rPr>
        <w:t xml:space="preserve"> en el recurso de revisión al rubro citado, los archivos presentados en respuesta a la solicitud primigenia sí pueden ser descargados sin ninguna dificultad.</w:t>
      </w:r>
    </w:p>
    <w:p w14:paraId="01CACB1E" w14:textId="25EBE185" w:rsidR="00765E76" w:rsidRDefault="00765E76" w:rsidP="00356A25">
      <w:pPr>
        <w:pStyle w:val="Prrafodelista"/>
        <w:numPr>
          <w:ilvl w:val="1"/>
          <w:numId w:val="17"/>
        </w:numPr>
        <w:tabs>
          <w:tab w:val="left" w:pos="426"/>
        </w:tabs>
        <w:spacing w:line="360" w:lineRule="auto"/>
        <w:ind w:left="1134"/>
        <w:jc w:val="both"/>
        <w:rPr>
          <w:rFonts w:ascii="Palatino Linotype" w:hAnsi="Palatino Linotype"/>
          <w:color w:val="000000" w:themeColor="text1"/>
        </w:rPr>
      </w:pPr>
      <w:r>
        <w:rPr>
          <w:rFonts w:ascii="Palatino Linotype" w:eastAsia="Calibri" w:hAnsi="Palatino Linotype" w:cs="Arial"/>
          <w:b/>
          <w:i/>
          <w:color w:val="000000" w:themeColor="text1"/>
          <w:lang w:val="es-ES"/>
        </w:rPr>
        <w:lastRenderedPageBreak/>
        <w:t>“CT</w:t>
      </w:r>
      <w:r>
        <w:rPr>
          <w:rFonts w:ascii="Palatino Linotype" w:hAnsi="Palatino Linotype"/>
          <w:b/>
          <w:i/>
          <w:color w:val="000000" w:themeColor="text1"/>
        </w:rPr>
        <w:t>-2022-0014.pdf”</w:t>
      </w:r>
      <w:r>
        <w:rPr>
          <w:rFonts w:ascii="Palatino Linotype" w:hAnsi="Palatino Linotype"/>
          <w:color w:val="000000" w:themeColor="text1"/>
        </w:rPr>
        <w:t xml:space="preserve">: Documento de 13 fojas consistente en el Acta del Comité de Transparencia número CT-2022-0014, de veinticinco (25) de enero de dos mil veintidós, por el que se aprueban las versiones públicas de los documentos a entregar en respuesta a la solicitud de información </w:t>
      </w:r>
      <w:r>
        <w:rPr>
          <w:rFonts w:ascii="Palatino Linotype" w:hAnsi="Palatino Linotype"/>
          <w:b/>
          <w:color w:val="000000" w:themeColor="text1"/>
        </w:rPr>
        <w:t>00571/SF/IP/2021</w:t>
      </w:r>
      <w:r>
        <w:rPr>
          <w:rFonts w:ascii="Palatino Linotype" w:hAnsi="Palatino Linotype"/>
          <w:color w:val="000000" w:themeColor="text1"/>
        </w:rPr>
        <w:t>.</w:t>
      </w:r>
    </w:p>
    <w:p w14:paraId="70F07DB5" w14:textId="4B18060B" w:rsidR="00765E76" w:rsidRPr="00E463FD" w:rsidRDefault="00765E76" w:rsidP="00356A25">
      <w:pPr>
        <w:pStyle w:val="Prrafodelista"/>
        <w:numPr>
          <w:ilvl w:val="1"/>
          <w:numId w:val="17"/>
        </w:numPr>
        <w:tabs>
          <w:tab w:val="left" w:pos="426"/>
        </w:tabs>
        <w:spacing w:line="360" w:lineRule="auto"/>
        <w:ind w:left="1134"/>
        <w:jc w:val="both"/>
        <w:rPr>
          <w:rFonts w:ascii="Palatino Linotype" w:hAnsi="Palatino Linotype"/>
          <w:color w:val="000000" w:themeColor="text1"/>
        </w:rPr>
      </w:pPr>
      <w:r>
        <w:rPr>
          <w:rFonts w:ascii="Palatino Linotype" w:eastAsia="Calibri" w:hAnsi="Palatino Linotype" w:cs="Arial"/>
          <w:b/>
          <w:i/>
          <w:color w:val="000000" w:themeColor="text1"/>
          <w:lang w:val="es-ES"/>
        </w:rPr>
        <w:t>“RR 838</w:t>
      </w:r>
      <w:r>
        <w:rPr>
          <w:rFonts w:ascii="Palatino Linotype" w:hAnsi="Palatino Linotype"/>
          <w:b/>
          <w:i/>
          <w:color w:val="000000" w:themeColor="text1"/>
        </w:rPr>
        <w:t>-2022 Anexos.zip”</w:t>
      </w:r>
      <w:r>
        <w:rPr>
          <w:rFonts w:ascii="Palatino Linotype" w:hAnsi="Palatino Linotype"/>
          <w:color w:val="000000" w:themeColor="text1"/>
        </w:rPr>
        <w:t xml:space="preserve">: </w:t>
      </w:r>
      <w:r w:rsidR="00D85F03">
        <w:rPr>
          <w:rFonts w:ascii="Palatino Linotype" w:hAnsi="Palatino Linotype"/>
          <w:color w:val="000000" w:themeColor="text1"/>
        </w:rPr>
        <w:t xml:space="preserve">Carpeta comprimida que contiene los archivos originalmente presentados por el </w:t>
      </w:r>
      <w:r w:rsidR="00D85F03">
        <w:rPr>
          <w:rFonts w:ascii="Palatino Linotype" w:hAnsi="Palatino Linotype"/>
          <w:b/>
          <w:color w:val="000000" w:themeColor="text1"/>
        </w:rPr>
        <w:t>SUJETO OBLIGADO</w:t>
      </w:r>
      <w:r w:rsidR="00D85F03">
        <w:rPr>
          <w:rFonts w:ascii="Palatino Linotype" w:hAnsi="Palatino Linotype"/>
          <w:color w:val="000000" w:themeColor="text1"/>
        </w:rPr>
        <w:t xml:space="preserve"> en respuesta a la solicitud inicial.</w:t>
      </w:r>
    </w:p>
    <w:p w14:paraId="6EB741BC" w14:textId="10848FFB" w:rsidR="00E463FD" w:rsidRDefault="00E463FD" w:rsidP="00E463FD">
      <w:pPr>
        <w:pStyle w:val="Prrafodelista"/>
        <w:tabs>
          <w:tab w:val="left" w:pos="426"/>
        </w:tabs>
        <w:spacing w:line="360" w:lineRule="auto"/>
        <w:ind w:left="0"/>
        <w:jc w:val="both"/>
        <w:rPr>
          <w:rFonts w:ascii="Palatino Linotype" w:hAnsi="Palatino Linotype"/>
          <w:color w:val="000000" w:themeColor="text1"/>
        </w:rPr>
      </w:pPr>
    </w:p>
    <w:p w14:paraId="3A1EFBB6" w14:textId="14509C40" w:rsidR="00765E76" w:rsidRPr="00765E76" w:rsidRDefault="001B095D" w:rsidP="00335793">
      <w:pPr>
        <w:pStyle w:val="Prrafodelista"/>
        <w:numPr>
          <w:ilvl w:val="0"/>
          <w:numId w:val="1"/>
        </w:numPr>
        <w:tabs>
          <w:tab w:val="left" w:pos="426"/>
        </w:tabs>
        <w:spacing w:line="360" w:lineRule="auto"/>
        <w:jc w:val="both"/>
        <w:rPr>
          <w:rFonts w:ascii="Palatino Linotype" w:hAnsi="Palatino Linotype"/>
          <w:color w:val="000000" w:themeColor="text1"/>
        </w:rPr>
      </w:pPr>
      <w:bookmarkStart w:id="3" w:name="_Toc461555889"/>
      <w:bookmarkStart w:id="4" w:name="_Toc466371858"/>
      <w:r>
        <w:rPr>
          <w:rFonts w:ascii="Palatino Linotype" w:hAnsi="Palatino Linotype" w:cs="Arial"/>
          <w:color w:val="000000" w:themeColor="text1"/>
        </w:rPr>
        <w:t>E</w:t>
      </w:r>
      <w:r w:rsidR="00765E76">
        <w:rPr>
          <w:rFonts w:ascii="Palatino Linotype" w:hAnsi="Palatino Linotype" w:cs="Arial"/>
          <w:color w:val="000000" w:themeColor="text1"/>
        </w:rPr>
        <w:t xml:space="preserve">l </w:t>
      </w:r>
      <w:r w:rsidR="00765E76">
        <w:rPr>
          <w:rFonts w:ascii="Palatino Linotype" w:eastAsia="Calibri" w:hAnsi="Palatino Linotype" w:cs="Arial"/>
          <w:color w:val="000000"/>
          <w:lang w:val="es-ES_tradnl"/>
        </w:rPr>
        <w:t>veintidós (22) de abril</w:t>
      </w:r>
      <w:r w:rsidR="00765E76" w:rsidRPr="008A7F1F">
        <w:rPr>
          <w:rFonts w:ascii="Palatino Linotype" w:eastAsia="Calibri" w:hAnsi="Palatino Linotype" w:cs="Arial"/>
          <w:color w:val="000000"/>
          <w:lang w:val="es-ES_tradnl"/>
        </w:rPr>
        <w:t xml:space="preserve"> de dos mil veintidós,</w:t>
      </w:r>
      <w:r w:rsidR="00765E76">
        <w:rPr>
          <w:rFonts w:ascii="Palatino Linotype" w:eastAsia="Calibri" w:hAnsi="Palatino Linotype" w:cs="Arial"/>
          <w:color w:val="000000"/>
          <w:lang w:val="es-ES_tradnl"/>
        </w:rPr>
        <w:t xml:space="preserve"> la Ponencia Resolutora puso a la vista de la </w:t>
      </w:r>
      <w:r w:rsidR="00765E76">
        <w:rPr>
          <w:rFonts w:ascii="Palatino Linotype" w:eastAsia="Calibri" w:hAnsi="Palatino Linotype" w:cs="Arial"/>
          <w:b/>
          <w:color w:val="000000"/>
          <w:lang w:val="es-ES_tradnl"/>
        </w:rPr>
        <w:t>RECURRENTE</w:t>
      </w:r>
      <w:r w:rsidR="00765E76">
        <w:rPr>
          <w:rFonts w:ascii="Palatino Linotype" w:eastAsia="Calibri" w:hAnsi="Palatino Linotype" w:cs="Arial"/>
          <w:color w:val="000000"/>
          <w:lang w:val="es-ES_tradnl"/>
        </w:rPr>
        <w:t xml:space="preserve"> los archivos titulados </w:t>
      </w:r>
      <w:r w:rsidR="00765E76">
        <w:rPr>
          <w:rFonts w:ascii="Palatino Linotype" w:eastAsia="Calibri" w:hAnsi="Palatino Linotype" w:cs="Arial"/>
          <w:b/>
          <w:i/>
          <w:color w:val="000000"/>
          <w:lang w:val="es-ES_tradnl"/>
        </w:rPr>
        <w:t>“RR 838-2022 Informe Justificado.pdf”</w:t>
      </w:r>
      <w:r w:rsidR="00765E76">
        <w:rPr>
          <w:rFonts w:ascii="Palatino Linotype" w:eastAsia="Calibri" w:hAnsi="Palatino Linotype" w:cs="Arial"/>
          <w:color w:val="000000"/>
          <w:lang w:val="es-ES_tradnl"/>
        </w:rPr>
        <w:t xml:space="preserve"> y </w:t>
      </w:r>
      <w:r w:rsidR="00765E76">
        <w:rPr>
          <w:rFonts w:ascii="Palatino Linotype" w:eastAsia="Calibri" w:hAnsi="Palatino Linotype" w:cs="Arial"/>
          <w:b/>
          <w:i/>
          <w:color w:val="000000"/>
          <w:lang w:val="es-ES_tradnl"/>
        </w:rPr>
        <w:t>“CT-2022-0014.pdf”</w:t>
      </w:r>
      <w:r w:rsidR="00765E76" w:rsidRPr="008A7F1F">
        <w:rPr>
          <w:rFonts w:ascii="Palatino Linotype" w:eastAsia="Calibri" w:hAnsi="Palatino Linotype" w:cs="Arial"/>
          <w:color w:val="000000"/>
          <w:lang w:val="es-ES_tradnl"/>
        </w:rPr>
        <w:t>, concediéndole un plazo de tres días para que manifestara lo que a su derecho conviniera, de conformidad con el artículo 185, fracción III, de la Ley de Transparencia y Acceso a la Información Pública del Estado de México y Municipios; empero, se hace constar que el particular no ejerció su derecho de réplica sobre los nuevos contenidos.</w:t>
      </w:r>
    </w:p>
    <w:p w14:paraId="2E6E8E60" w14:textId="77777777" w:rsidR="00765E76" w:rsidRPr="00765E76" w:rsidRDefault="00765E76" w:rsidP="00765E76">
      <w:pPr>
        <w:pStyle w:val="Prrafodelista"/>
        <w:tabs>
          <w:tab w:val="left" w:pos="426"/>
        </w:tabs>
        <w:spacing w:line="360" w:lineRule="auto"/>
        <w:ind w:left="0"/>
        <w:jc w:val="both"/>
        <w:rPr>
          <w:rFonts w:ascii="Palatino Linotype" w:hAnsi="Palatino Linotype"/>
          <w:color w:val="000000" w:themeColor="text1"/>
        </w:rPr>
      </w:pPr>
    </w:p>
    <w:p w14:paraId="7386F154" w14:textId="492E9480" w:rsidR="00765E76" w:rsidRPr="00765E76" w:rsidRDefault="00765E76" w:rsidP="00335793">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eastAsia="Calibri" w:hAnsi="Palatino Linotype" w:cs="Arial"/>
          <w:color w:val="000000"/>
          <w:lang w:val="es-ES_tradnl"/>
        </w:rPr>
        <w:t xml:space="preserve">Por cuanto hace a la carpeta comprimida denominada </w:t>
      </w:r>
      <w:r>
        <w:rPr>
          <w:rFonts w:ascii="Palatino Linotype" w:eastAsia="Calibri" w:hAnsi="Palatino Linotype" w:cs="Arial"/>
          <w:b/>
          <w:i/>
          <w:color w:val="000000"/>
          <w:lang w:val="es-ES_tradnl"/>
        </w:rPr>
        <w:t>“RR 838-2022 Anexos.zip”</w:t>
      </w:r>
      <w:r>
        <w:rPr>
          <w:rFonts w:ascii="Palatino Linotype" w:eastAsia="Calibri" w:hAnsi="Palatino Linotype" w:cs="Arial"/>
          <w:color w:val="000000"/>
          <w:lang w:val="es-ES_tradnl"/>
        </w:rPr>
        <w:t>, ésta no se puso a la vista de la particular por exhibir datos personales en su contenido.</w:t>
      </w:r>
    </w:p>
    <w:p w14:paraId="365021CC" w14:textId="77777777" w:rsidR="00765E76" w:rsidRPr="00765E76" w:rsidRDefault="00765E76" w:rsidP="00765E76">
      <w:pPr>
        <w:pStyle w:val="Prrafodelista"/>
        <w:tabs>
          <w:tab w:val="left" w:pos="426"/>
        </w:tabs>
        <w:spacing w:line="360" w:lineRule="auto"/>
        <w:ind w:left="0"/>
        <w:jc w:val="both"/>
        <w:rPr>
          <w:rFonts w:ascii="Palatino Linotype" w:hAnsi="Palatino Linotype"/>
          <w:color w:val="000000" w:themeColor="text1"/>
        </w:rPr>
      </w:pPr>
    </w:p>
    <w:p w14:paraId="74B9F897" w14:textId="5EC2FC42" w:rsidR="001B095D" w:rsidRPr="001B095D" w:rsidRDefault="00765E76" w:rsidP="00335793">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hAnsi="Palatino Linotype" w:cs="Arial"/>
          <w:color w:val="000000" w:themeColor="text1"/>
        </w:rPr>
        <w:t>E</w:t>
      </w:r>
      <w:r w:rsidR="00EF7B70">
        <w:rPr>
          <w:rFonts w:ascii="Palatino Linotype" w:hAnsi="Palatino Linotype" w:cs="Arial"/>
          <w:color w:val="000000" w:themeColor="text1"/>
        </w:rPr>
        <w:t xml:space="preserve">l </w:t>
      </w:r>
      <w:r w:rsidR="00D85F03">
        <w:rPr>
          <w:rFonts w:ascii="Palatino Linotype" w:eastAsia="Times New Roman" w:hAnsi="Palatino Linotype" w:cs="Arial"/>
          <w:color w:val="000000" w:themeColor="text1"/>
        </w:rPr>
        <w:t>uno (01) de junio</w:t>
      </w:r>
      <w:r w:rsidR="00EF7B70">
        <w:rPr>
          <w:rFonts w:ascii="Palatino Linotype" w:eastAsia="Times New Roman" w:hAnsi="Palatino Linotype" w:cs="Arial"/>
          <w:color w:val="000000" w:themeColor="text1"/>
        </w:rPr>
        <w:t xml:space="preserve"> de dos mil veintidós</w:t>
      </w:r>
      <w:r w:rsidR="00EF7B70" w:rsidRPr="00D429E4">
        <w:rPr>
          <w:rFonts w:ascii="Palatino Linotype" w:eastAsia="Times New Roman" w:hAnsi="Palatino Linotype" w:cs="Arial"/>
          <w:color w:val="000000" w:themeColor="text1"/>
        </w:rPr>
        <w:t xml:space="preserve">, </w:t>
      </w:r>
      <w:r w:rsidR="00E463FD" w:rsidRPr="001B095D">
        <w:rPr>
          <w:rFonts w:ascii="Palatino Linotype" w:hAnsi="Palatino Linotype" w:cs="Arial"/>
          <w:color w:val="000000" w:themeColor="text1"/>
        </w:rPr>
        <w:t>la Comisionada Ponente decretó el cierre del periodo de instrucción, por lo que ordenó turnar el expediente para su resolución, misma que ahora se pronuncia</w:t>
      </w:r>
      <w:r w:rsidR="00E463FD">
        <w:rPr>
          <w:rFonts w:ascii="Palatino Linotype" w:hAnsi="Palatino Linotype" w:cs="Arial"/>
          <w:color w:val="000000" w:themeColor="text1"/>
        </w:rPr>
        <w:t>;</w:t>
      </w:r>
      <w:r w:rsidR="00E463FD" w:rsidRPr="001B095D">
        <w:rPr>
          <w:rFonts w:ascii="Palatino Linotype" w:hAnsi="Palatino Linotype" w:cs="Arial"/>
          <w:color w:val="000000" w:themeColor="text1"/>
          <w:lang w:val="es-ES"/>
        </w:rPr>
        <w:t xml:space="preserve"> </w:t>
      </w:r>
      <w:r w:rsidR="00E463FD" w:rsidRPr="001B095D">
        <w:rPr>
          <w:rFonts w:ascii="Palatino Linotype" w:hAnsi="Palatino Linotype" w:cs="Arial"/>
          <w:color w:val="000000" w:themeColor="text1"/>
        </w:rPr>
        <w:t xml:space="preserve">y, </w:t>
      </w:r>
      <w:r w:rsidR="00E463FD">
        <w:rPr>
          <w:rFonts w:ascii="Palatino Linotype" w:hAnsi="Palatino Linotype" w:cs="Arial"/>
          <w:color w:val="000000" w:themeColor="text1"/>
        </w:rPr>
        <w:t>en misma fecha,</w:t>
      </w:r>
      <w:r w:rsidR="00E463FD">
        <w:rPr>
          <w:rFonts w:ascii="Palatino Linotype" w:eastAsia="Times New Roman" w:hAnsi="Palatino Linotype" w:cs="Arial"/>
          <w:color w:val="000000" w:themeColor="text1"/>
        </w:rPr>
        <w:t xml:space="preserve"> </w:t>
      </w:r>
      <w:r w:rsidR="00EF7B70" w:rsidRPr="00D429E4">
        <w:rPr>
          <w:rFonts w:ascii="Palatino Linotype" w:hAnsi="Palatino Linotype" w:cs="Arial"/>
          <w:color w:val="000000" w:themeColor="text1"/>
          <w:lang w:val="es-ES"/>
        </w:rPr>
        <w:t>con fundamento en el artículo 181</w:t>
      </w:r>
      <w:r w:rsidR="00EF7B70">
        <w:rPr>
          <w:rFonts w:ascii="Palatino Linotype" w:hAnsi="Palatino Linotype" w:cs="Arial"/>
          <w:color w:val="000000" w:themeColor="text1"/>
          <w:lang w:val="es-ES"/>
        </w:rPr>
        <w:t>,</w:t>
      </w:r>
      <w:r w:rsidR="00EF7B70" w:rsidRPr="00D429E4">
        <w:rPr>
          <w:rFonts w:ascii="Palatino Linotype" w:hAnsi="Palatino Linotype" w:cs="Arial"/>
          <w:color w:val="000000" w:themeColor="text1"/>
          <w:lang w:val="es-ES"/>
        </w:rPr>
        <w:t xml:space="preserve"> tercer párrafo</w:t>
      </w:r>
      <w:r w:rsidR="00EF7B70">
        <w:rPr>
          <w:rFonts w:ascii="Palatino Linotype" w:hAnsi="Palatino Linotype" w:cs="Arial"/>
          <w:color w:val="000000" w:themeColor="text1"/>
          <w:lang w:val="es-ES"/>
        </w:rPr>
        <w:t>,</w:t>
      </w:r>
      <w:r w:rsidR="00EF7B70" w:rsidRPr="00D429E4">
        <w:rPr>
          <w:rFonts w:ascii="Palatino Linotype" w:hAnsi="Palatino Linotype" w:cs="Arial"/>
          <w:color w:val="000000" w:themeColor="text1"/>
          <w:lang w:val="es-ES"/>
        </w:rPr>
        <w:t xml:space="preserve"> de la Ley de Transparencia y Acceso a la Información </w:t>
      </w:r>
      <w:r w:rsidR="00EF7B70" w:rsidRPr="00D429E4">
        <w:rPr>
          <w:rFonts w:ascii="Palatino Linotype" w:hAnsi="Palatino Linotype" w:cs="Arial"/>
          <w:color w:val="000000" w:themeColor="text1"/>
          <w:lang w:val="es-ES"/>
        </w:rPr>
        <w:lastRenderedPageBreak/>
        <w:t>Pública del Estado de México y Municipios</w:t>
      </w:r>
      <w:r w:rsidR="00EF7B70">
        <w:rPr>
          <w:rFonts w:ascii="Palatino Linotype" w:hAnsi="Palatino Linotype" w:cs="Arial"/>
          <w:color w:val="000000" w:themeColor="text1"/>
          <w:lang w:val="es-ES"/>
        </w:rPr>
        <w:t>,</w:t>
      </w:r>
      <w:r w:rsidR="00EF7B70" w:rsidRPr="00D429E4">
        <w:rPr>
          <w:rFonts w:ascii="Palatino Linotype" w:hAnsi="Palatino Linotype" w:cs="Arial"/>
          <w:bCs/>
          <w:color w:val="000000" w:themeColor="text1"/>
          <w:lang w:val="es-ES"/>
        </w:rPr>
        <w:t xml:space="preserve"> </w:t>
      </w:r>
      <w:r w:rsidR="00EF7B70" w:rsidRPr="00D429E4">
        <w:rPr>
          <w:rFonts w:ascii="Palatino Linotype" w:hAnsi="Palatino Linotype" w:cs="Arial"/>
          <w:color w:val="000000" w:themeColor="text1"/>
          <w:lang w:val="es-ES"/>
        </w:rPr>
        <w:t>se notificó que el plazo de treinta (30) días para resolver los recursos de revisión acumulados sería ampliado por un periodo de quince (15) días hábiles adicio</w:t>
      </w:r>
      <w:r w:rsidR="00EF7B70">
        <w:rPr>
          <w:rFonts w:ascii="Palatino Linotype" w:hAnsi="Palatino Linotype" w:cs="Arial"/>
          <w:color w:val="000000" w:themeColor="text1"/>
          <w:lang w:val="es-ES"/>
        </w:rPr>
        <w:t>nales</w:t>
      </w:r>
      <w:r w:rsidR="00E463FD">
        <w:rPr>
          <w:rFonts w:ascii="Palatino Linotype" w:hAnsi="Palatino Linotype" w:cs="Arial"/>
          <w:color w:val="000000" w:themeColor="text1"/>
          <w:lang w:val="es-ES"/>
        </w:rPr>
        <w:t>; y -----------------------------------</w:t>
      </w:r>
      <w:r w:rsidR="00D85F03">
        <w:rPr>
          <w:rFonts w:ascii="Palatino Linotype" w:hAnsi="Palatino Linotype" w:cs="Arial"/>
          <w:color w:val="000000" w:themeColor="text1"/>
          <w:lang w:val="es-ES"/>
        </w:rPr>
        <w:t>----------</w:t>
      </w:r>
    </w:p>
    <w:p w14:paraId="432EFF04" w14:textId="77777777" w:rsidR="001B095D" w:rsidRPr="001B095D" w:rsidRDefault="001B095D" w:rsidP="001B095D">
      <w:pPr>
        <w:pStyle w:val="Prrafodelista"/>
        <w:tabs>
          <w:tab w:val="left" w:pos="426"/>
        </w:tabs>
        <w:spacing w:line="360" w:lineRule="auto"/>
        <w:ind w:left="0"/>
        <w:jc w:val="both"/>
        <w:rPr>
          <w:rFonts w:ascii="Palatino Linotype" w:hAnsi="Palatino Linotype"/>
          <w:color w:val="000000" w:themeColor="text1"/>
        </w:rPr>
      </w:pPr>
    </w:p>
    <w:p w14:paraId="5C447C51" w14:textId="77777777" w:rsidR="0096234B" w:rsidRDefault="0096234B" w:rsidP="00B31E90">
      <w:pPr>
        <w:pStyle w:val="Prrafodelista"/>
        <w:tabs>
          <w:tab w:val="left" w:pos="426"/>
        </w:tabs>
        <w:spacing w:line="360" w:lineRule="auto"/>
        <w:ind w:left="0"/>
        <w:jc w:val="both"/>
        <w:rPr>
          <w:rFonts w:ascii="Palatino Linotype" w:hAnsi="Palatino Linotype"/>
          <w:color w:val="000000" w:themeColor="text1"/>
        </w:rPr>
      </w:pPr>
    </w:p>
    <w:p w14:paraId="5CB47E4D" w14:textId="5226F808" w:rsidR="00C33279" w:rsidRPr="00E463FD" w:rsidRDefault="007C0013" w:rsidP="00B31E90">
      <w:pPr>
        <w:pStyle w:val="Ttulo1"/>
        <w:spacing w:before="0"/>
        <w:jc w:val="center"/>
        <w:rPr>
          <w:b/>
          <w:color w:val="000000" w:themeColor="text1"/>
        </w:rPr>
      </w:pPr>
      <w:bookmarkStart w:id="5" w:name="_Toc87456485"/>
      <w:r w:rsidRPr="00E463FD">
        <w:rPr>
          <w:b/>
          <w:color w:val="000000" w:themeColor="text1"/>
        </w:rPr>
        <w:t>C</w:t>
      </w:r>
      <w:r w:rsidR="00E463FD" w:rsidRPr="00E463FD">
        <w:rPr>
          <w:b/>
          <w:color w:val="000000" w:themeColor="text1"/>
        </w:rPr>
        <w:t xml:space="preserve"> </w:t>
      </w:r>
      <w:r w:rsidRPr="00E463FD">
        <w:rPr>
          <w:b/>
          <w:color w:val="000000" w:themeColor="text1"/>
        </w:rPr>
        <w:t>O</w:t>
      </w:r>
      <w:r w:rsidR="00E463FD" w:rsidRPr="00E463FD">
        <w:rPr>
          <w:b/>
          <w:color w:val="000000" w:themeColor="text1"/>
        </w:rPr>
        <w:t xml:space="preserve"> </w:t>
      </w:r>
      <w:r w:rsidRPr="00E463FD">
        <w:rPr>
          <w:b/>
          <w:color w:val="000000" w:themeColor="text1"/>
        </w:rPr>
        <w:t>N</w:t>
      </w:r>
      <w:r w:rsidR="00E463FD" w:rsidRPr="00E463FD">
        <w:rPr>
          <w:b/>
          <w:color w:val="000000" w:themeColor="text1"/>
        </w:rPr>
        <w:t xml:space="preserve"> </w:t>
      </w:r>
      <w:r w:rsidRPr="00E463FD">
        <w:rPr>
          <w:b/>
          <w:color w:val="000000" w:themeColor="text1"/>
        </w:rPr>
        <w:t>S</w:t>
      </w:r>
      <w:r w:rsidR="00E463FD" w:rsidRPr="00E463FD">
        <w:rPr>
          <w:b/>
          <w:color w:val="000000" w:themeColor="text1"/>
        </w:rPr>
        <w:t xml:space="preserve"> </w:t>
      </w:r>
      <w:r w:rsidRPr="00E463FD">
        <w:rPr>
          <w:b/>
          <w:color w:val="000000" w:themeColor="text1"/>
        </w:rPr>
        <w:t>I</w:t>
      </w:r>
      <w:r w:rsidR="00E463FD" w:rsidRPr="00E463FD">
        <w:rPr>
          <w:b/>
          <w:color w:val="000000" w:themeColor="text1"/>
        </w:rPr>
        <w:t xml:space="preserve"> </w:t>
      </w:r>
      <w:r w:rsidRPr="00E463FD">
        <w:rPr>
          <w:b/>
          <w:color w:val="000000" w:themeColor="text1"/>
        </w:rPr>
        <w:t>D</w:t>
      </w:r>
      <w:r w:rsidR="00E463FD" w:rsidRPr="00E463FD">
        <w:rPr>
          <w:b/>
          <w:color w:val="000000" w:themeColor="text1"/>
        </w:rPr>
        <w:t xml:space="preserve"> </w:t>
      </w:r>
      <w:r w:rsidRPr="00E463FD">
        <w:rPr>
          <w:b/>
          <w:color w:val="000000" w:themeColor="text1"/>
        </w:rPr>
        <w:t>E</w:t>
      </w:r>
      <w:r w:rsidR="00E463FD" w:rsidRPr="00E463FD">
        <w:rPr>
          <w:b/>
          <w:color w:val="000000" w:themeColor="text1"/>
        </w:rPr>
        <w:t xml:space="preserve"> </w:t>
      </w:r>
      <w:r w:rsidRPr="00E463FD">
        <w:rPr>
          <w:b/>
          <w:color w:val="000000" w:themeColor="text1"/>
        </w:rPr>
        <w:t>R</w:t>
      </w:r>
      <w:r w:rsidR="00E463FD" w:rsidRPr="00E463FD">
        <w:rPr>
          <w:b/>
          <w:color w:val="000000" w:themeColor="text1"/>
        </w:rPr>
        <w:t xml:space="preserve"> </w:t>
      </w:r>
      <w:r w:rsidRPr="00E463FD">
        <w:rPr>
          <w:b/>
          <w:color w:val="000000" w:themeColor="text1"/>
        </w:rPr>
        <w:t>A</w:t>
      </w:r>
      <w:r w:rsidR="00E463FD" w:rsidRPr="00E463FD">
        <w:rPr>
          <w:b/>
          <w:color w:val="000000" w:themeColor="text1"/>
        </w:rPr>
        <w:t xml:space="preserve"> </w:t>
      </w:r>
      <w:r w:rsidRPr="00E463FD">
        <w:rPr>
          <w:b/>
          <w:color w:val="000000" w:themeColor="text1"/>
        </w:rPr>
        <w:t>N</w:t>
      </w:r>
      <w:r w:rsidR="00E463FD" w:rsidRPr="00E463FD">
        <w:rPr>
          <w:b/>
          <w:color w:val="000000" w:themeColor="text1"/>
        </w:rPr>
        <w:t xml:space="preserve"> </w:t>
      </w:r>
      <w:r w:rsidRPr="00E463FD">
        <w:rPr>
          <w:b/>
          <w:color w:val="000000" w:themeColor="text1"/>
        </w:rPr>
        <w:t>D</w:t>
      </w:r>
      <w:r w:rsidR="00E463FD" w:rsidRPr="00E463FD">
        <w:rPr>
          <w:b/>
          <w:color w:val="000000" w:themeColor="text1"/>
        </w:rPr>
        <w:t xml:space="preserve"> </w:t>
      </w:r>
      <w:r w:rsidRPr="00E463FD">
        <w:rPr>
          <w:b/>
          <w:color w:val="000000" w:themeColor="text1"/>
        </w:rPr>
        <w:t>O</w:t>
      </w:r>
      <w:bookmarkEnd w:id="3"/>
      <w:bookmarkEnd w:id="4"/>
      <w:bookmarkEnd w:id="5"/>
    </w:p>
    <w:p w14:paraId="435CF9A4" w14:textId="77777777" w:rsidR="00FC1DA7" w:rsidRPr="00E463FD" w:rsidRDefault="00FC1DA7" w:rsidP="00B31E90">
      <w:pPr>
        <w:rPr>
          <w:color w:val="000000" w:themeColor="text1"/>
          <w:lang w:eastAsia="en-US"/>
        </w:rPr>
      </w:pPr>
    </w:p>
    <w:p w14:paraId="629A5BE2" w14:textId="56C3E7D5" w:rsidR="007C0013" w:rsidRPr="00A85CB7" w:rsidRDefault="007C0013" w:rsidP="00B31E90">
      <w:pPr>
        <w:pStyle w:val="Ttulo2"/>
        <w:spacing w:before="0"/>
        <w:rPr>
          <w:rFonts w:ascii="Palatino Linotype" w:hAnsi="Palatino Linotype"/>
          <w:b/>
          <w:color w:val="000000" w:themeColor="text1"/>
          <w:sz w:val="24"/>
        </w:rPr>
      </w:pPr>
      <w:bookmarkStart w:id="6" w:name="_Toc461555890"/>
      <w:bookmarkStart w:id="7" w:name="_Toc466371859"/>
      <w:bookmarkStart w:id="8" w:name="_Toc87456486"/>
      <w:r w:rsidRPr="00A85CB7">
        <w:rPr>
          <w:rFonts w:ascii="Palatino Linotype" w:hAnsi="Palatino Linotype"/>
          <w:b/>
          <w:color w:val="000000" w:themeColor="text1"/>
          <w:sz w:val="24"/>
        </w:rPr>
        <w:t>PRIMERO. De la competencia</w:t>
      </w:r>
      <w:bookmarkEnd w:id="6"/>
      <w:bookmarkEnd w:id="7"/>
      <w:bookmarkEnd w:id="8"/>
    </w:p>
    <w:p w14:paraId="60FBD8C7" w14:textId="77777777" w:rsidR="00FC1DA7" w:rsidRPr="00826F38" w:rsidRDefault="00FC1DA7" w:rsidP="00B31E90">
      <w:pPr>
        <w:rPr>
          <w:rFonts w:ascii="Palatino Linotype" w:hAnsi="Palatino Linotype"/>
          <w:color w:val="000000" w:themeColor="text1"/>
          <w:lang w:eastAsia="en-US"/>
        </w:rPr>
      </w:pPr>
    </w:p>
    <w:p w14:paraId="0BF52B18" w14:textId="515C3AEB" w:rsidR="005A228F" w:rsidRPr="00751061" w:rsidRDefault="00A45546" w:rsidP="00DA22D8">
      <w:pPr>
        <w:pStyle w:val="Prrafodelista"/>
        <w:numPr>
          <w:ilvl w:val="0"/>
          <w:numId w:val="1"/>
        </w:numPr>
        <w:tabs>
          <w:tab w:val="left" w:pos="426"/>
        </w:tabs>
        <w:spacing w:line="360" w:lineRule="auto"/>
        <w:jc w:val="both"/>
        <w:rPr>
          <w:rFonts w:ascii="Palatino Linotype" w:eastAsia="Calibri" w:hAnsi="Palatino Linotype" w:cs="Times New Roman"/>
          <w:b/>
          <w:color w:val="000000" w:themeColor="text1"/>
          <w:lang w:val="es-ES"/>
        </w:rPr>
      </w:pPr>
      <w:r w:rsidRPr="00A85CB7">
        <w:rPr>
          <w:rFonts w:ascii="Palatino Linotype" w:eastAsia="Calibri" w:hAnsi="Palatino Linotype" w:cs="Times New Roman"/>
          <w:color w:val="000000" w:themeColor="text1"/>
          <w:lang w:val="es-ES"/>
        </w:rPr>
        <w:t>Este Instituto de Transparencia, Acceso a la Información Pública y Protección de Datos Personales del Estado de México y Municipios, es comp</w:t>
      </w:r>
      <w:r w:rsidR="00D10AB0" w:rsidRPr="00A85CB7">
        <w:rPr>
          <w:rFonts w:ascii="Palatino Linotype" w:eastAsia="Calibri" w:hAnsi="Palatino Linotype" w:cs="Times New Roman"/>
          <w:color w:val="000000" w:themeColor="text1"/>
          <w:lang w:val="es-ES"/>
        </w:rPr>
        <w:t xml:space="preserve">etente para conocer y resolver </w:t>
      </w:r>
      <w:r w:rsidRPr="00A85CB7">
        <w:rPr>
          <w:rFonts w:ascii="Palatino Linotype" w:eastAsia="Calibri" w:hAnsi="Palatino Linotype" w:cs="Times New Roman"/>
          <w:color w:val="000000" w:themeColor="text1"/>
          <w:lang w:val="es-ES"/>
        </w:rPr>
        <w:t xml:space="preserve">el presente recurso de conformidad con el artículo: 6, apartado A, fracción IV de la </w:t>
      </w:r>
      <w:r w:rsidRPr="00A85CB7">
        <w:rPr>
          <w:rFonts w:ascii="Palatino Linotype" w:eastAsia="Calibri" w:hAnsi="Palatino Linotype" w:cs="Times New Roman"/>
          <w:b/>
          <w:color w:val="000000" w:themeColor="text1"/>
          <w:lang w:val="es-ES"/>
        </w:rPr>
        <w:t>Constitución Política de los Estados Unidos Mexicanos</w:t>
      </w:r>
      <w:r w:rsidRPr="00A85CB7">
        <w:rPr>
          <w:rFonts w:ascii="Palatino Linotype" w:eastAsia="Calibri" w:hAnsi="Palatino Linotype" w:cs="Times New Roman"/>
          <w:color w:val="000000" w:themeColor="text1"/>
          <w:lang w:val="es-ES"/>
        </w:rPr>
        <w:t xml:space="preserve">; 5, párrafos </w:t>
      </w:r>
      <w:r w:rsidR="000B7C4F">
        <w:rPr>
          <w:rFonts w:ascii="Palatino Linotype" w:eastAsia="Calibri" w:hAnsi="Palatino Linotype" w:cs="Times New Roman"/>
          <w:color w:val="000000" w:themeColor="text1"/>
          <w:lang w:val="es-ES"/>
        </w:rPr>
        <w:t>trigésimo, trigésimo primero y trigésimo segundo</w:t>
      </w:r>
      <w:r w:rsidR="004F785F" w:rsidRPr="00A85CB7">
        <w:rPr>
          <w:rFonts w:ascii="Palatino Linotype" w:eastAsia="Calibri" w:hAnsi="Palatino Linotype" w:cs="Times New Roman"/>
          <w:color w:val="000000" w:themeColor="text1"/>
          <w:lang w:val="es-ES"/>
        </w:rPr>
        <w:t>,</w:t>
      </w:r>
      <w:r w:rsidRPr="00A85CB7">
        <w:rPr>
          <w:rFonts w:ascii="Palatino Linotype" w:eastAsia="Calibri" w:hAnsi="Palatino Linotype" w:cs="Times New Roman"/>
          <w:color w:val="000000" w:themeColor="text1"/>
          <w:lang w:val="es-ES"/>
        </w:rPr>
        <w:t xml:space="preserve"> fracciones IV y V</w:t>
      </w:r>
      <w:r w:rsidR="004F785F" w:rsidRPr="00A85CB7">
        <w:rPr>
          <w:rFonts w:ascii="Palatino Linotype" w:eastAsia="Calibri" w:hAnsi="Palatino Linotype" w:cs="Times New Roman"/>
          <w:color w:val="000000" w:themeColor="text1"/>
          <w:lang w:val="es-ES"/>
        </w:rPr>
        <w:t>,</w:t>
      </w:r>
      <w:r w:rsidRPr="00A85CB7">
        <w:rPr>
          <w:rFonts w:ascii="Palatino Linotype" w:eastAsia="Calibri" w:hAnsi="Palatino Linotype" w:cs="Times New Roman"/>
          <w:color w:val="000000" w:themeColor="text1"/>
          <w:lang w:val="es-ES"/>
        </w:rPr>
        <w:t xml:space="preserve"> de la </w:t>
      </w:r>
      <w:r w:rsidRPr="00A85CB7">
        <w:rPr>
          <w:rFonts w:ascii="Palatino Linotype" w:eastAsia="Calibri" w:hAnsi="Palatino Linotype" w:cs="Times New Roman"/>
          <w:b/>
          <w:color w:val="000000" w:themeColor="text1"/>
          <w:lang w:val="es-ES"/>
        </w:rPr>
        <w:t>Constitución Política del Estado Libre y Soberano de México</w:t>
      </w:r>
      <w:r w:rsidRPr="00A85CB7">
        <w:rPr>
          <w:rFonts w:ascii="Palatino Linotype" w:eastAsia="Calibri" w:hAnsi="Palatino Linotype" w:cs="Times New Roman"/>
          <w:color w:val="000000" w:themeColor="text1"/>
          <w:lang w:val="es-ES"/>
        </w:rPr>
        <w:t xml:space="preserve">; artículos 1, 2 fracción II, 13, 29, 36 fracciones I y II, 176, 178, 179, 181 párrafo tercero y 185 </w:t>
      </w:r>
      <w:r w:rsidRPr="00A85CB7">
        <w:rPr>
          <w:rFonts w:ascii="Palatino Linotype" w:eastAsia="Calibri" w:hAnsi="Palatino Linotype" w:cs="Arial"/>
          <w:color w:val="000000" w:themeColor="text1"/>
          <w:lang w:val="es-ES"/>
        </w:rPr>
        <w:t xml:space="preserve">de la </w:t>
      </w:r>
      <w:r w:rsidRPr="00A85CB7">
        <w:rPr>
          <w:rFonts w:ascii="Palatino Linotype" w:eastAsia="Calibri" w:hAnsi="Palatino Linotype" w:cs="Arial"/>
          <w:b/>
          <w:color w:val="000000" w:themeColor="text1"/>
          <w:lang w:val="es-ES"/>
        </w:rPr>
        <w:t>Ley de Transparencia y Acceso a la Información Pública del Estado de México y Municipios</w:t>
      </w:r>
      <w:r w:rsidRPr="00A85CB7">
        <w:rPr>
          <w:rFonts w:ascii="Palatino Linotype" w:eastAsia="Calibri" w:hAnsi="Palatino Linotype" w:cs="Arial"/>
          <w:color w:val="000000" w:themeColor="text1"/>
          <w:lang w:val="es-ES"/>
        </w:rPr>
        <w:t xml:space="preserve">; y 10, 7, 9 fracciones I y XXIV, y 11 del </w:t>
      </w:r>
      <w:r w:rsidRPr="00A85CB7">
        <w:rPr>
          <w:rFonts w:ascii="Palatino Linotype" w:eastAsia="Calibri" w:hAnsi="Palatino Linotype" w:cs="Arial"/>
          <w:b/>
          <w:color w:val="000000" w:themeColor="text1"/>
          <w:lang w:val="es-ES"/>
        </w:rPr>
        <w:t>Reglamento Interior del Instituto de Transparencia, Acceso a la Información Pública y Protección de Datos Personales del Estado de México y Municipios.</w:t>
      </w:r>
    </w:p>
    <w:p w14:paraId="67A0A8E3" w14:textId="77777777" w:rsidR="002630E4" w:rsidRDefault="002630E4" w:rsidP="00751061">
      <w:pPr>
        <w:pStyle w:val="Prrafodelista"/>
        <w:tabs>
          <w:tab w:val="left" w:pos="426"/>
        </w:tabs>
        <w:spacing w:line="360" w:lineRule="auto"/>
        <w:ind w:left="0"/>
        <w:jc w:val="both"/>
        <w:rPr>
          <w:rFonts w:ascii="Palatino Linotype" w:eastAsia="Calibri" w:hAnsi="Palatino Linotype" w:cs="Times New Roman"/>
          <w:b/>
          <w:color w:val="000000" w:themeColor="text1"/>
          <w:lang w:val="es-ES"/>
        </w:rPr>
      </w:pPr>
    </w:p>
    <w:p w14:paraId="753DC7A1" w14:textId="5E205177" w:rsidR="00C6440A" w:rsidRPr="00A85CB7" w:rsidRDefault="007C0013" w:rsidP="00B31E90">
      <w:pPr>
        <w:pStyle w:val="Ttulo2"/>
        <w:tabs>
          <w:tab w:val="left" w:pos="426"/>
        </w:tabs>
        <w:spacing w:before="0"/>
        <w:rPr>
          <w:rFonts w:ascii="Palatino Linotype" w:hAnsi="Palatino Linotype"/>
          <w:b/>
          <w:color w:val="000000" w:themeColor="text1"/>
          <w:sz w:val="24"/>
        </w:rPr>
      </w:pPr>
      <w:bookmarkStart w:id="9" w:name="_Toc461555891"/>
      <w:bookmarkStart w:id="10" w:name="_Toc466371860"/>
      <w:bookmarkStart w:id="11" w:name="_Toc87456487"/>
      <w:r w:rsidRPr="00A85CB7">
        <w:rPr>
          <w:rFonts w:ascii="Palatino Linotype" w:hAnsi="Palatino Linotype"/>
          <w:b/>
          <w:color w:val="000000" w:themeColor="text1"/>
          <w:sz w:val="24"/>
        </w:rPr>
        <w:t>SEGUNDO. De la oportunidad y proced</w:t>
      </w:r>
      <w:r w:rsidR="00F35C44" w:rsidRPr="00A85CB7">
        <w:rPr>
          <w:rFonts w:ascii="Palatino Linotype" w:hAnsi="Palatino Linotype"/>
          <w:b/>
          <w:color w:val="000000" w:themeColor="text1"/>
          <w:sz w:val="24"/>
        </w:rPr>
        <w:t>encia</w:t>
      </w:r>
      <w:r w:rsidRPr="00A85CB7">
        <w:rPr>
          <w:rFonts w:ascii="Palatino Linotype" w:hAnsi="Palatino Linotype"/>
          <w:b/>
          <w:color w:val="000000" w:themeColor="text1"/>
          <w:sz w:val="24"/>
        </w:rPr>
        <w:t>.</w:t>
      </w:r>
      <w:bookmarkEnd w:id="9"/>
      <w:bookmarkEnd w:id="10"/>
      <w:bookmarkEnd w:id="11"/>
    </w:p>
    <w:p w14:paraId="18E22450" w14:textId="77777777" w:rsidR="00C6440A" w:rsidRPr="00A85CB7" w:rsidRDefault="00C6440A" w:rsidP="00B31E90">
      <w:pPr>
        <w:rPr>
          <w:color w:val="000000" w:themeColor="text1"/>
          <w:lang w:eastAsia="en-US"/>
        </w:rPr>
      </w:pPr>
    </w:p>
    <w:p w14:paraId="63E5A495" w14:textId="0303828F" w:rsidR="009E360A" w:rsidRPr="00740BA4" w:rsidRDefault="003E6D0F" w:rsidP="00DA22D8">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sidRPr="00A85CB7">
        <w:rPr>
          <w:rFonts w:ascii="Palatino Linotype" w:eastAsia="Calibri" w:hAnsi="Palatino Linotype" w:cs="Arial"/>
          <w:color w:val="000000" w:themeColor="text1"/>
        </w:rPr>
        <w:t xml:space="preserve">El </w:t>
      </w:r>
      <w:r w:rsidR="00740BA4" w:rsidRPr="00740BA4">
        <w:rPr>
          <w:rFonts w:ascii="Palatino Linotype" w:eastAsia="Calibri" w:hAnsi="Palatino Linotype" w:cs="Arial"/>
          <w:color w:val="000000" w:themeColor="text1"/>
        </w:rPr>
        <w:t xml:space="preserve">medio de impugnación fue presentado a través del </w:t>
      </w:r>
      <w:r w:rsidR="00740BA4" w:rsidRPr="007F372C">
        <w:rPr>
          <w:rFonts w:ascii="Palatino Linotype" w:eastAsia="Calibri" w:hAnsi="Palatino Linotype" w:cs="Arial"/>
          <w:bCs/>
          <w:iCs/>
          <w:color w:val="000000" w:themeColor="text1"/>
        </w:rPr>
        <w:t>SAIMEX</w:t>
      </w:r>
      <w:r w:rsidR="00740BA4" w:rsidRPr="00740BA4">
        <w:rPr>
          <w:rFonts w:ascii="Palatino Linotype" w:eastAsia="Calibri" w:hAnsi="Palatino Linotype" w:cs="Arial"/>
          <w:color w:val="000000" w:themeColor="text1"/>
        </w:rPr>
        <w:t xml:space="preserve"> en el formato previamente aprobado para tal efecto y dentro del plazo legal de quince días hábiles otorgados; siendo así que el </w:t>
      </w:r>
      <w:r w:rsidR="00740BA4" w:rsidRPr="00740BA4">
        <w:rPr>
          <w:rFonts w:ascii="Palatino Linotype" w:eastAsia="Calibri" w:hAnsi="Palatino Linotype" w:cs="Arial"/>
          <w:b/>
          <w:color w:val="000000" w:themeColor="text1"/>
        </w:rPr>
        <w:t>SUJETO OBLIGADO</w:t>
      </w:r>
      <w:r w:rsidR="00740BA4" w:rsidRPr="00740BA4">
        <w:rPr>
          <w:rFonts w:ascii="Palatino Linotype" w:eastAsia="Calibri" w:hAnsi="Palatino Linotype" w:cs="Arial"/>
          <w:color w:val="000000" w:themeColor="text1"/>
        </w:rPr>
        <w:t xml:space="preserve"> entregó respuesta el </w:t>
      </w:r>
      <w:r w:rsidR="00D85F03">
        <w:rPr>
          <w:rFonts w:ascii="Palatino Linotype" w:eastAsia="Calibri" w:hAnsi="Palatino Linotype" w:cs="Arial"/>
          <w:color w:val="000000" w:themeColor="text1"/>
        </w:rPr>
        <w:t>treinta y</w:t>
      </w:r>
      <w:r w:rsidR="000317B3">
        <w:rPr>
          <w:rFonts w:ascii="Palatino Linotype" w:eastAsia="Calibri" w:hAnsi="Palatino Linotype" w:cs="Arial"/>
          <w:color w:val="000000" w:themeColor="text1"/>
        </w:rPr>
        <w:t xml:space="preserve"> </w:t>
      </w:r>
      <w:r w:rsidR="00D85F03">
        <w:rPr>
          <w:rFonts w:ascii="Palatino Linotype" w:eastAsia="Calibri" w:hAnsi="Palatino Linotype" w:cs="Arial"/>
          <w:color w:val="000000" w:themeColor="text1"/>
        </w:rPr>
        <w:t>uno (31) de enero</w:t>
      </w:r>
      <w:r w:rsidR="00EF7B70">
        <w:rPr>
          <w:rFonts w:ascii="Palatino Linotype" w:eastAsia="Calibri" w:hAnsi="Palatino Linotype" w:cs="Arial"/>
          <w:color w:val="000000" w:themeColor="text1"/>
        </w:rPr>
        <w:t xml:space="preserve"> de dos mil veintidós</w:t>
      </w:r>
      <w:r w:rsidR="00740BA4" w:rsidRPr="00740BA4">
        <w:rPr>
          <w:rFonts w:ascii="Palatino Linotype" w:eastAsia="Calibri" w:hAnsi="Palatino Linotype" w:cs="Arial"/>
          <w:color w:val="000000" w:themeColor="text1"/>
        </w:rPr>
        <w:t xml:space="preserve">, de tal forma que el plazo para interponer el </w:t>
      </w:r>
      <w:r w:rsidR="00740BA4" w:rsidRPr="00740BA4">
        <w:rPr>
          <w:rFonts w:ascii="Palatino Linotype" w:eastAsia="Calibri" w:hAnsi="Palatino Linotype" w:cs="Arial"/>
          <w:color w:val="000000" w:themeColor="text1"/>
        </w:rPr>
        <w:lastRenderedPageBreak/>
        <w:t xml:space="preserve">recurso de revisión transcurrió del </w:t>
      </w:r>
      <w:r w:rsidR="00D85F03">
        <w:rPr>
          <w:rFonts w:ascii="Palatino Linotype" w:eastAsia="Calibri" w:hAnsi="Palatino Linotype" w:cs="Arial"/>
          <w:color w:val="000000" w:themeColor="text1"/>
        </w:rPr>
        <w:t>uno (01</w:t>
      </w:r>
      <w:r w:rsidR="00666897">
        <w:rPr>
          <w:rFonts w:ascii="Palatino Linotype" w:eastAsia="Calibri" w:hAnsi="Palatino Linotype" w:cs="Arial"/>
          <w:color w:val="000000" w:themeColor="text1"/>
        </w:rPr>
        <w:t>)</w:t>
      </w:r>
      <w:r w:rsidR="00D85F03">
        <w:rPr>
          <w:rFonts w:ascii="Palatino Linotype" w:eastAsia="Calibri" w:hAnsi="Palatino Linotype" w:cs="Arial"/>
          <w:color w:val="000000" w:themeColor="text1"/>
        </w:rPr>
        <w:t xml:space="preserve"> al veintidós (22)</w:t>
      </w:r>
      <w:r w:rsidR="00666897">
        <w:rPr>
          <w:rFonts w:ascii="Palatino Linotype" w:eastAsia="Calibri" w:hAnsi="Palatino Linotype" w:cs="Arial"/>
          <w:color w:val="000000" w:themeColor="text1"/>
        </w:rPr>
        <w:t xml:space="preserve"> de febrero</w:t>
      </w:r>
      <w:r w:rsidR="00705CFC">
        <w:rPr>
          <w:rFonts w:ascii="Palatino Linotype" w:eastAsia="Calibri" w:hAnsi="Palatino Linotype" w:cs="Arial"/>
          <w:color w:val="000000" w:themeColor="text1"/>
        </w:rPr>
        <w:t xml:space="preserve"> de dos mil veintidós</w:t>
      </w:r>
      <w:r w:rsidR="00921375">
        <w:rPr>
          <w:rFonts w:ascii="Palatino Linotype" w:eastAsia="Calibri" w:hAnsi="Palatino Linotype" w:cs="Arial"/>
          <w:color w:val="000000" w:themeColor="text1"/>
        </w:rPr>
        <w:t>,</w:t>
      </w:r>
      <w:r w:rsidR="00740BA4" w:rsidRPr="00740BA4">
        <w:rPr>
          <w:rFonts w:ascii="Palatino Linotype" w:eastAsia="Calibri" w:hAnsi="Palatino Linotype" w:cs="Arial"/>
          <w:color w:val="000000" w:themeColor="text1"/>
        </w:rPr>
        <w:t xml:space="preserve"> sin contemplar en el cómputo los días </w:t>
      </w:r>
      <w:r w:rsidR="00D85F03">
        <w:rPr>
          <w:rFonts w:ascii="Palatino Linotype" w:eastAsia="Calibri" w:hAnsi="Palatino Linotype" w:cs="Arial"/>
          <w:color w:val="000000" w:themeColor="text1"/>
        </w:rPr>
        <w:t xml:space="preserve">cinco (05), seis (06), siete (07), </w:t>
      </w:r>
      <w:r w:rsidR="00666897">
        <w:rPr>
          <w:rFonts w:ascii="Palatino Linotype" w:eastAsia="Calibri" w:hAnsi="Palatino Linotype" w:cs="Arial"/>
          <w:color w:val="000000" w:themeColor="text1"/>
        </w:rPr>
        <w:t xml:space="preserve">doce (12), </w:t>
      </w:r>
      <w:r w:rsidR="001B095D">
        <w:rPr>
          <w:rFonts w:ascii="Palatino Linotype" w:eastAsia="Calibri" w:hAnsi="Palatino Linotype" w:cs="Arial"/>
          <w:color w:val="000000" w:themeColor="text1"/>
        </w:rPr>
        <w:t>trece (13)</w:t>
      </w:r>
      <w:r w:rsidR="00D85F03">
        <w:rPr>
          <w:rFonts w:ascii="Palatino Linotype" w:eastAsia="Calibri" w:hAnsi="Palatino Linotype" w:cs="Arial"/>
          <w:color w:val="000000" w:themeColor="text1"/>
        </w:rPr>
        <w:t xml:space="preserve">, diecinueve (19) y veinte (20) </w:t>
      </w:r>
      <w:r w:rsidR="001B095D">
        <w:rPr>
          <w:rFonts w:ascii="Palatino Linotype" w:eastAsia="Calibri" w:hAnsi="Palatino Linotype" w:cs="Arial"/>
          <w:color w:val="000000" w:themeColor="text1"/>
        </w:rPr>
        <w:t xml:space="preserve">de febrero, </w:t>
      </w:r>
      <w:r w:rsidR="00740BA4" w:rsidRPr="00740BA4">
        <w:rPr>
          <w:rFonts w:ascii="Palatino Linotype" w:eastAsia="Calibri" w:hAnsi="Palatino Linotype" w:cs="Arial"/>
          <w:color w:val="000000" w:themeColor="text1"/>
        </w:rPr>
        <w:t>por corresponder a sábados</w:t>
      </w:r>
      <w:r w:rsidR="00D85F03">
        <w:rPr>
          <w:rFonts w:ascii="Palatino Linotype" w:eastAsia="Calibri" w:hAnsi="Palatino Linotype" w:cs="Arial"/>
          <w:color w:val="000000" w:themeColor="text1"/>
        </w:rPr>
        <w:t>,</w:t>
      </w:r>
      <w:r w:rsidR="00740BA4" w:rsidRPr="00740BA4">
        <w:rPr>
          <w:rFonts w:ascii="Palatino Linotype" w:eastAsia="Calibri" w:hAnsi="Palatino Linotype" w:cs="Arial"/>
          <w:color w:val="000000" w:themeColor="text1"/>
        </w:rPr>
        <w:t xml:space="preserve"> domingos</w:t>
      </w:r>
      <w:r w:rsidR="00D85F03">
        <w:rPr>
          <w:rFonts w:ascii="Palatino Linotype" w:eastAsia="Calibri" w:hAnsi="Palatino Linotype" w:cs="Arial"/>
          <w:color w:val="000000" w:themeColor="text1"/>
        </w:rPr>
        <w:t xml:space="preserve"> e inhábiles</w:t>
      </w:r>
      <w:r w:rsidR="00666897">
        <w:rPr>
          <w:rFonts w:ascii="Palatino Linotype" w:eastAsia="Calibri" w:hAnsi="Palatino Linotype" w:cs="Arial"/>
          <w:color w:val="000000" w:themeColor="text1"/>
        </w:rPr>
        <w:t xml:space="preserve">, </w:t>
      </w:r>
      <w:r w:rsidR="00740BA4" w:rsidRPr="00740BA4">
        <w:rPr>
          <w:rFonts w:ascii="Palatino Linotype" w:eastAsia="Calibri" w:hAnsi="Palatino Linotype" w:cs="Arial"/>
          <w:color w:val="000000" w:themeColor="text1"/>
        </w:rPr>
        <w:t>en términos del artículo 3</w:t>
      </w:r>
      <w:r w:rsidR="00921375">
        <w:rPr>
          <w:rFonts w:ascii="Palatino Linotype" w:eastAsia="Calibri" w:hAnsi="Palatino Linotype" w:cs="Arial"/>
          <w:color w:val="000000" w:themeColor="text1"/>
        </w:rPr>
        <w:t>,</w:t>
      </w:r>
      <w:r w:rsidR="00740BA4" w:rsidRPr="00740BA4">
        <w:rPr>
          <w:rFonts w:ascii="Palatino Linotype" w:eastAsia="Calibri" w:hAnsi="Palatino Linotype" w:cs="Arial"/>
          <w:color w:val="000000" w:themeColor="text1"/>
        </w:rPr>
        <w:t xml:space="preserve"> fracción X</w:t>
      </w:r>
      <w:r w:rsidR="00921375">
        <w:rPr>
          <w:rFonts w:ascii="Palatino Linotype" w:eastAsia="Calibri" w:hAnsi="Palatino Linotype" w:cs="Arial"/>
          <w:color w:val="000000" w:themeColor="text1"/>
        </w:rPr>
        <w:t>,</w:t>
      </w:r>
      <w:r w:rsidR="00740BA4" w:rsidRPr="00740BA4">
        <w:rPr>
          <w:rFonts w:ascii="Palatino Linotype" w:eastAsia="Calibri" w:hAnsi="Palatino Linotype" w:cs="Arial"/>
          <w:color w:val="000000" w:themeColor="text1"/>
        </w:rPr>
        <w:t xml:space="preserve"> de la Ley de Transparencia y Acceso a la Información Pública del Estado de México y Municipios.</w:t>
      </w:r>
    </w:p>
    <w:p w14:paraId="21903286" w14:textId="77777777" w:rsidR="00740BA4" w:rsidRPr="00740BA4" w:rsidRDefault="00740BA4" w:rsidP="00740BA4">
      <w:pPr>
        <w:pStyle w:val="Prrafodelista"/>
        <w:tabs>
          <w:tab w:val="left" w:pos="426"/>
        </w:tabs>
        <w:spacing w:line="360" w:lineRule="auto"/>
        <w:ind w:left="0" w:right="49"/>
        <w:jc w:val="both"/>
        <w:rPr>
          <w:rFonts w:ascii="Palatino Linotype" w:eastAsia="Times New Roman" w:hAnsi="Palatino Linotype" w:cs="Arial"/>
          <w:bCs/>
          <w:color w:val="000000" w:themeColor="text1"/>
          <w:lang w:eastAsia="es-MX"/>
        </w:rPr>
      </w:pPr>
    </w:p>
    <w:p w14:paraId="2666509F" w14:textId="70BD55F0" w:rsidR="00740BA4" w:rsidRPr="00774AB3" w:rsidRDefault="00E95534" w:rsidP="00DA22D8">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Pr>
          <w:rFonts w:ascii="Palatino Linotype" w:eastAsia="Calibri" w:hAnsi="Palatino Linotype" w:cs="Arial"/>
          <w:color w:val="000000" w:themeColor="text1"/>
        </w:rPr>
        <w:t xml:space="preserve">Luego </w:t>
      </w:r>
      <w:r w:rsidRPr="00A85CB7">
        <w:rPr>
          <w:rFonts w:ascii="Palatino Linotype" w:hAnsi="Palatino Linotype"/>
          <w:color w:val="000000" w:themeColor="text1"/>
        </w:rPr>
        <w:t xml:space="preserve">entonces, si el presente recurso de revisión fue interpuesto el </w:t>
      </w:r>
      <w:r w:rsidR="00D85F03">
        <w:rPr>
          <w:rFonts w:ascii="Palatino Linotype" w:hAnsi="Palatino Linotype"/>
          <w:color w:val="000000" w:themeColor="text1"/>
        </w:rPr>
        <w:t>catorce (14</w:t>
      </w:r>
      <w:r w:rsidR="008474DB">
        <w:rPr>
          <w:rFonts w:ascii="Palatino Linotype" w:hAnsi="Palatino Linotype"/>
          <w:color w:val="000000" w:themeColor="text1"/>
        </w:rPr>
        <w:t>) de febrero</w:t>
      </w:r>
      <w:r w:rsidR="00705CFC">
        <w:rPr>
          <w:rFonts w:ascii="Palatino Linotype" w:hAnsi="Palatino Linotype"/>
          <w:color w:val="000000" w:themeColor="text1"/>
        </w:rPr>
        <w:t xml:space="preserve"> de dos mil veintidós</w:t>
      </w:r>
      <w:r w:rsidRPr="00A85CB7">
        <w:rPr>
          <w:rFonts w:ascii="Palatino Linotype" w:hAnsi="Palatino Linotype"/>
          <w:color w:val="000000" w:themeColor="text1"/>
        </w:rPr>
        <w:t>, éste</w:t>
      </w:r>
      <w:r w:rsidRPr="00A85CB7">
        <w:rPr>
          <w:rFonts w:ascii="Palatino Linotype" w:hAnsi="Palatino Linotype" w:cs="Arial"/>
          <w:color w:val="000000" w:themeColor="text1"/>
        </w:rPr>
        <w:t xml:space="preserve"> se encuentra dentro de los márgenes temporales previstos en el artículo 178 de la Ley de Transparencia y Acceso a la Información Pública del Estado de México y Municipios</w:t>
      </w:r>
      <w:r w:rsidRPr="00A85CB7">
        <w:rPr>
          <w:rFonts w:ascii="Palatino Linotype" w:hAnsi="Palatino Linotype" w:cs="Arial"/>
          <w:b/>
          <w:color w:val="000000" w:themeColor="text1"/>
        </w:rPr>
        <w:t xml:space="preserve"> </w:t>
      </w:r>
      <w:r w:rsidRPr="00A85CB7">
        <w:rPr>
          <w:rFonts w:ascii="Palatino Linotype" w:hAnsi="Palatino Linotype" w:cs="Arial"/>
          <w:color w:val="000000" w:themeColor="text1"/>
        </w:rPr>
        <w:t>vigente.</w:t>
      </w:r>
    </w:p>
    <w:p w14:paraId="59CCEA40" w14:textId="77777777" w:rsidR="00774AB3" w:rsidRPr="00774AB3" w:rsidRDefault="00774AB3" w:rsidP="00774AB3">
      <w:pPr>
        <w:pStyle w:val="Prrafodelista"/>
        <w:tabs>
          <w:tab w:val="left" w:pos="426"/>
        </w:tabs>
        <w:spacing w:line="360" w:lineRule="auto"/>
        <w:ind w:left="0" w:right="49"/>
        <w:jc w:val="both"/>
        <w:rPr>
          <w:rFonts w:ascii="Palatino Linotype" w:eastAsia="Times New Roman" w:hAnsi="Palatino Linotype" w:cs="Arial"/>
          <w:bCs/>
          <w:color w:val="000000" w:themeColor="text1"/>
          <w:lang w:eastAsia="es-MX"/>
        </w:rPr>
      </w:pPr>
    </w:p>
    <w:p w14:paraId="72B2F168" w14:textId="67ECA9AE" w:rsidR="00774AB3" w:rsidRPr="00774AB3" w:rsidRDefault="00774AB3" w:rsidP="00DA22D8">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Pr>
          <w:rFonts w:ascii="Palatino Linotype" w:hAnsi="Palatino Linotype" w:cs="Arial"/>
          <w:color w:val="000000" w:themeColor="text1"/>
        </w:rPr>
        <w:t xml:space="preserve">Por </w:t>
      </w:r>
      <w:r w:rsidRPr="006B31E7">
        <w:rPr>
          <w:rFonts w:ascii="Palatino Linotype" w:hAnsi="Palatino Linotype" w:cs="Arial"/>
          <w:color w:val="000000" w:themeColor="text1"/>
          <w:lang w:val="es-ES"/>
        </w:rPr>
        <w:t xml:space="preserve">otro lado, de la revisión al expediente electrónico contenido en el </w:t>
      </w:r>
      <w:r w:rsidR="00705CFC">
        <w:rPr>
          <w:rFonts w:ascii="Palatino Linotype" w:hAnsi="Palatino Linotype" w:cs="Arial"/>
          <w:color w:val="000000" w:themeColor="text1"/>
          <w:lang w:val="es-ES"/>
        </w:rPr>
        <w:t>SAIMEX,</w:t>
      </w:r>
      <w:r w:rsidRPr="006B31E7">
        <w:rPr>
          <w:rFonts w:ascii="Palatino Linotype" w:hAnsi="Palatino Linotype" w:cs="Arial"/>
          <w:color w:val="000000" w:themeColor="text1"/>
          <w:lang w:val="es-ES"/>
        </w:rPr>
        <w:t xml:space="preserve"> se desprende que la parte solicitante, en ejercicio de su derecho de acceso a la información pública, tanto en la solicitud de información como en el recurso de revisión, </w:t>
      </w:r>
      <w:r w:rsidRPr="006B31E7">
        <w:rPr>
          <w:rFonts w:ascii="Palatino Linotype" w:hAnsi="Palatino Linotype" w:cs="Arial"/>
          <w:b/>
          <w:color w:val="000000" w:themeColor="text1"/>
          <w:lang w:val="es-ES"/>
        </w:rPr>
        <w:t xml:space="preserve">no </w:t>
      </w:r>
      <w:r w:rsidR="00921375">
        <w:rPr>
          <w:rFonts w:ascii="Palatino Linotype" w:hAnsi="Palatino Linotype" w:cs="Arial"/>
          <w:b/>
          <w:color w:val="000000" w:themeColor="text1"/>
          <w:lang w:val="es-ES"/>
        </w:rPr>
        <w:t xml:space="preserve">señaló </w:t>
      </w:r>
      <w:r w:rsidR="00D85F03">
        <w:rPr>
          <w:rFonts w:ascii="Palatino Linotype" w:hAnsi="Palatino Linotype" w:cs="Arial"/>
          <w:b/>
          <w:color w:val="000000" w:themeColor="text1"/>
          <w:lang w:val="es-ES"/>
        </w:rPr>
        <w:t>su nombre completo para identificarse</w:t>
      </w:r>
      <w:r w:rsidR="00921375">
        <w:rPr>
          <w:rFonts w:ascii="Palatino Linotype" w:hAnsi="Palatino Linotype" w:cs="Arial"/>
          <w:b/>
          <w:color w:val="000000" w:themeColor="text1"/>
          <w:lang w:val="es-ES"/>
        </w:rPr>
        <w:t>, ni se tiene certeza de su identidad</w:t>
      </w:r>
      <w:r w:rsidRPr="006B31E7">
        <w:rPr>
          <w:rFonts w:ascii="Palatino Linotype" w:hAnsi="Palatino Linotype" w:cs="Arial"/>
          <w:color w:val="000000" w:themeColor="text1"/>
          <w:lang w:val="es-ES"/>
        </w:rPr>
        <w:t xml:space="preserve">; sin embargo, es importante señalar que </w:t>
      </w:r>
      <w:r w:rsidRPr="006B31E7">
        <w:rPr>
          <w:rFonts w:ascii="Palatino Linotype" w:hAnsi="Palatino Linotype" w:cs="Arial"/>
          <w:color w:val="000000" w:themeColor="text1"/>
        </w:rPr>
        <w:t>el nombre de los Solicitantes y Recurrentes no es un requisito indispensable para la tramitación del acto procesal específico en materia de acceso a la información, ello en estricto apego al numeral 155 párrafo tercero de la Ley de la materia, en concatenación con el 180 del mismo ordenamiento.</w:t>
      </w:r>
    </w:p>
    <w:p w14:paraId="254381B4" w14:textId="77777777" w:rsidR="00774AB3" w:rsidRPr="00774AB3" w:rsidRDefault="00774AB3" w:rsidP="00774AB3">
      <w:pPr>
        <w:pStyle w:val="Prrafodelista"/>
        <w:tabs>
          <w:tab w:val="left" w:pos="426"/>
        </w:tabs>
        <w:spacing w:line="360" w:lineRule="auto"/>
        <w:ind w:left="0" w:right="49"/>
        <w:jc w:val="both"/>
        <w:rPr>
          <w:rFonts w:ascii="Palatino Linotype" w:eastAsia="Times New Roman" w:hAnsi="Palatino Linotype" w:cs="Arial"/>
          <w:bCs/>
          <w:color w:val="000000" w:themeColor="text1"/>
          <w:lang w:eastAsia="es-MX"/>
        </w:rPr>
      </w:pPr>
    </w:p>
    <w:p w14:paraId="55E42741" w14:textId="51A5ADFE" w:rsidR="00774AB3" w:rsidRPr="00774AB3" w:rsidRDefault="00774AB3" w:rsidP="00DA22D8">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Pr>
          <w:rFonts w:ascii="Palatino Linotype" w:hAnsi="Palatino Linotype" w:cs="Arial"/>
          <w:color w:val="000000" w:themeColor="text1"/>
        </w:rPr>
        <w:t xml:space="preserve">Esto </w:t>
      </w:r>
      <w:r w:rsidRPr="006B31E7">
        <w:rPr>
          <w:rFonts w:ascii="Palatino Linotype" w:hAnsi="Palatino Linotype" w:cs="Arial"/>
          <w:color w:val="000000" w:themeColor="text1"/>
          <w:lang w:val="es-ES"/>
        </w:rPr>
        <w:t xml:space="preserve">es así, ya que de conformidad con los artículos 6, apartado A, fracciones III y IV de la </w:t>
      </w:r>
      <w:r w:rsidRPr="006B31E7">
        <w:rPr>
          <w:rFonts w:ascii="Palatino Linotype" w:hAnsi="Palatino Linotype" w:cs="Arial"/>
          <w:b/>
          <w:color w:val="000000" w:themeColor="text1"/>
          <w:lang w:val="es-ES"/>
        </w:rPr>
        <w:t>Constitución Política de los Estados Unidos Mexicanos</w:t>
      </w:r>
      <w:r w:rsidRPr="006B31E7">
        <w:rPr>
          <w:rFonts w:ascii="Palatino Linotype" w:hAnsi="Palatino Linotype" w:cs="Arial"/>
          <w:color w:val="000000" w:themeColor="text1"/>
          <w:lang w:val="es-ES"/>
        </w:rPr>
        <w:t xml:space="preserve">; 5, párrafos vigésimo segundo, vigésimo tercero y vigésimo cuarto, fracciones III, IV y V, de la </w:t>
      </w:r>
      <w:r w:rsidRPr="006B31E7">
        <w:rPr>
          <w:rFonts w:ascii="Palatino Linotype" w:hAnsi="Palatino Linotype" w:cs="Arial"/>
          <w:b/>
          <w:color w:val="000000" w:themeColor="text1"/>
          <w:lang w:val="es-ES"/>
        </w:rPr>
        <w:lastRenderedPageBreak/>
        <w:t>Constitución Política del Estado Libre y Soberano de México</w:t>
      </w:r>
      <w:r w:rsidRPr="006B31E7">
        <w:rPr>
          <w:rFonts w:ascii="Palatino Linotype" w:hAnsi="Palatino Linotype" w:cs="Arial"/>
          <w:color w:val="000000" w:themeColor="text1"/>
          <w:lang w:val="es-ES"/>
        </w:rPr>
        <w:t>, se establece que toda persona, sin necesidad de acreditar interés alguno o justificar su utilización, tendrá acceso gratuito a la información pública, a sus datos personales o a la rectificación de éstos, además de  que se establecerán mecanismos de acceso a la información y procedimientos de revisión expeditos que se sustanciarán ante los organismos autónomos especializados e imparciales que establece la Constitución Federal y Local.</w:t>
      </w:r>
    </w:p>
    <w:p w14:paraId="29D391CF" w14:textId="77777777" w:rsidR="00774AB3" w:rsidRPr="00774AB3" w:rsidRDefault="00774AB3" w:rsidP="00774AB3">
      <w:pPr>
        <w:pStyle w:val="Prrafodelista"/>
        <w:tabs>
          <w:tab w:val="left" w:pos="426"/>
        </w:tabs>
        <w:spacing w:line="360" w:lineRule="auto"/>
        <w:ind w:left="0" w:right="49"/>
        <w:jc w:val="both"/>
        <w:rPr>
          <w:rFonts w:ascii="Palatino Linotype" w:eastAsia="Times New Roman" w:hAnsi="Palatino Linotype" w:cs="Arial"/>
          <w:bCs/>
          <w:color w:val="000000" w:themeColor="text1"/>
          <w:lang w:eastAsia="es-MX"/>
        </w:rPr>
      </w:pPr>
    </w:p>
    <w:p w14:paraId="4779A480" w14:textId="3D6523B9" w:rsidR="00774AB3" w:rsidRPr="00774AB3" w:rsidRDefault="00774AB3" w:rsidP="00DA22D8">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Pr>
          <w:rFonts w:ascii="Palatino Linotype" w:hAnsi="Palatino Linotype" w:cs="Arial"/>
          <w:color w:val="000000" w:themeColor="text1"/>
        </w:rPr>
        <w:t xml:space="preserve">Por </w:t>
      </w:r>
      <w:r w:rsidRPr="00F43C60">
        <w:rPr>
          <w:rFonts w:ascii="Palatino Linotype" w:eastAsia="Times New Roman" w:hAnsi="Palatino Linotype" w:cs="Arial"/>
          <w:color w:val="000000" w:themeColor="text1"/>
          <w:lang w:val="es-ES" w:eastAsia="es-MX"/>
        </w:rPr>
        <w:t>lo cual, de una interpretación sistemática, armónica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14:paraId="348D8D9D" w14:textId="77777777" w:rsidR="00774AB3" w:rsidRPr="00774AB3" w:rsidRDefault="00774AB3" w:rsidP="00774AB3">
      <w:pPr>
        <w:pStyle w:val="Prrafodelista"/>
        <w:tabs>
          <w:tab w:val="left" w:pos="426"/>
        </w:tabs>
        <w:spacing w:line="360" w:lineRule="auto"/>
        <w:ind w:left="0" w:right="49"/>
        <w:jc w:val="both"/>
        <w:rPr>
          <w:rFonts w:ascii="Palatino Linotype" w:eastAsia="Times New Roman" w:hAnsi="Palatino Linotype" w:cs="Arial"/>
          <w:bCs/>
          <w:color w:val="000000" w:themeColor="text1"/>
          <w:lang w:eastAsia="es-MX"/>
        </w:rPr>
      </w:pPr>
    </w:p>
    <w:p w14:paraId="00F83678" w14:textId="530BDC20" w:rsidR="00774AB3" w:rsidRPr="00774AB3" w:rsidRDefault="00774AB3" w:rsidP="00DA22D8">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Pr>
          <w:rFonts w:ascii="Palatino Linotype" w:hAnsi="Palatino Linotype" w:cs="Arial"/>
          <w:color w:val="000000" w:themeColor="text1"/>
        </w:rPr>
        <w:t xml:space="preserve">Asimismo, </w:t>
      </w:r>
      <w:r w:rsidRPr="00C25050">
        <w:rPr>
          <w:rFonts w:ascii="Palatino Linotype" w:eastAsia="Calibri" w:hAnsi="Palatino Linotype" w:cs="Arial"/>
        </w:rPr>
        <w:t>como lo establece la Convención Americana en su artículo 13, el derecho de acceso a la información es un derecho humano universal y en consecuencia, toda persona tiene derecho a solicitar acceso a la información.</w:t>
      </w:r>
    </w:p>
    <w:p w14:paraId="357E8A97" w14:textId="77777777" w:rsidR="00774AB3" w:rsidRPr="00774AB3" w:rsidRDefault="00774AB3" w:rsidP="00774AB3">
      <w:pPr>
        <w:pStyle w:val="Prrafodelista"/>
        <w:tabs>
          <w:tab w:val="left" w:pos="426"/>
        </w:tabs>
        <w:spacing w:line="360" w:lineRule="auto"/>
        <w:ind w:left="0" w:right="49"/>
        <w:jc w:val="both"/>
        <w:rPr>
          <w:rFonts w:ascii="Palatino Linotype" w:eastAsia="Times New Roman" w:hAnsi="Palatino Linotype" w:cs="Arial"/>
          <w:bCs/>
          <w:color w:val="000000" w:themeColor="text1"/>
          <w:lang w:eastAsia="es-MX"/>
        </w:rPr>
      </w:pPr>
    </w:p>
    <w:p w14:paraId="5011FBA9" w14:textId="64AA7D6D" w:rsidR="00774AB3" w:rsidRPr="00774AB3" w:rsidRDefault="00774AB3" w:rsidP="00DA22D8">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Pr>
          <w:rFonts w:ascii="Palatino Linotype" w:hAnsi="Palatino Linotype" w:cs="Arial"/>
          <w:color w:val="000000" w:themeColor="text1"/>
        </w:rPr>
        <w:t xml:space="preserve">De </w:t>
      </w:r>
      <w:r w:rsidRPr="00C25050">
        <w:rPr>
          <w:rFonts w:ascii="Palatino Linotype" w:eastAsia="Calibri" w:hAnsi="Palatino Linotype" w:cs="Arial"/>
        </w:rPr>
        <w:t>igual forma, la Corte Interamericana ha precisado que no es necesario acreditar un interés directo ni una afectación personal para obtener la información en poder del Estado, excepto en los casos en que se aplique una legítima restricción permitida por la Convención Americana.</w:t>
      </w:r>
    </w:p>
    <w:p w14:paraId="5297926E" w14:textId="77777777" w:rsidR="00774AB3" w:rsidRPr="00774AB3" w:rsidRDefault="00774AB3" w:rsidP="00774AB3">
      <w:pPr>
        <w:pStyle w:val="Prrafodelista"/>
        <w:tabs>
          <w:tab w:val="left" w:pos="426"/>
        </w:tabs>
        <w:spacing w:line="360" w:lineRule="auto"/>
        <w:ind w:left="0" w:right="49"/>
        <w:jc w:val="both"/>
        <w:rPr>
          <w:rFonts w:ascii="Palatino Linotype" w:eastAsia="Times New Roman" w:hAnsi="Palatino Linotype" w:cs="Arial"/>
          <w:bCs/>
          <w:color w:val="000000" w:themeColor="text1"/>
          <w:lang w:eastAsia="es-MX"/>
        </w:rPr>
      </w:pPr>
    </w:p>
    <w:p w14:paraId="0C0C5B9A" w14:textId="2C96D91D" w:rsidR="00774AB3" w:rsidRPr="009C4817" w:rsidRDefault="009B1D13" w:rsidP="00DA22D8">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Pr>
          <w:rFonts w:ascii="Palatino Linotype" w:hAnsi="Palatino Linotype" w:cs="Arial"/>
          <w:color w:val="000000" w:themeColor="text1"/>
        </w:rPr>
        <w:t>Luego entonces</w:t>
      </w:r>
      <w:r w:rsidR="00774AB3">
        <w:rPr>
          <w:rFonts w:ascii="Palatino Linotype" w:eastAsia="Calibri" w:hAnsi="Palatino Linotype" w:cs="Arial"/>
        </w:rPr>
        <w:t xml:space="preserve">, </w:t>
      </w:r>
      <w:r w:rsidR="00774AB3" w:rsidRPr="00F43C60">
        <w:rPr>
          <w:rFonts w:ascii="Palatino Linotype" w:eastAsia="Times New Roman" w:hAnsi="Palatino Linotype" w:cs="Arial"/>
          <w:color w:val="000000" w:themeColor="text1"/>
          <w:lang w:val="es-ES" w:eastAsia="es-MX"/>
        </w:rPr>
        <w:t>el nombre de</w:t>
      </w:r>
      <w:r w:rsidR="00D85F03">
        <w:rPr>
          <w:rFonts w:ascii="Palatino Linotype" w:eastAsia="Times New Roman" w:hAnsi="Palatino Linotype" w:cs="Arial"/>
          <w:color w:val="000000" w:themeColor="text1"/>
          <w:lang w:val="es-ES" w:eastAsia="es-MX"/>
        </w:rPr>
        <w:t xml:space="preserve"> </w:t>
      </w:r>
      <w:r w:rsidR="00774AB3" w:rsidRPr="00F43C60">
        <w:rPr>
          <w:rFonts w:ascii="Palatino Linotype" w:eastAsia="Times New Roman" w:hAnsi="Palatino Linotype" w:cs="Arial"/>
          <w:color w:val="000000" w:themeColor="text1"/>
          <w:lang w:val="es-ES" w:eastAsia="es-MX"/>
        </w:rPr>
        <w:t>l</w:t>
      </w:r>
      <w:r w:rsidR="00D85F03">
        <w:rPr>
          <w:rFonts w:ascii="Palatino Linotype" w:eastAsia="Times New Roman" w:hAnsi="Palatino Linotype" w:cs="Arial"/>
          <w:color w:val="000000" w:themeColor="text1"/>
          <w:lang w:val="es-ES" w:eastAsia="es-MX"/>
        </w:rPr>
        <w:t>a</w:t>
      </w:r>
      <w:r w:rsidR="00774AB3" w:rsidRPr="00F43C60">
        <w:rPr>
          <w:rFonts w:ascii="Palatino Linotype" w:eastAsia="Times New Roman" w:hAnsi="Palatino Linotype" w:cs="Arial"/>
          <w:color w:val="000000" w:themeColor="text1"/>
          <w:lang w:val="es-ES" w:eastAsia="es-MX"/>
        </w:rPr>
        <w:t xml:space="preserve"> </w:t>
      </w:r>
      <w:r w:rsidR="00774AB3">
        <w:rPr>
          <w:rFonts w:ascii="Palatino Linotype" w:eastAsia="Times New Roman" w:hAnsi="Palatino Linotype" w:cs="Arial"/>
          <w:b/>
          <w:color w:val="000000" w:themeColor="text1"/>
          <w:lang w:val="es-ES" w:eastAsia="es-MX"/>
        </w:rPr>
        <w:t>SOLICITANTE</w:t>
      </w:r>
      <w:r w:rsidR="00774AB3" w:rsidRPr="00F43C60">
        <w:rPr>
          <w:rFonts w:ascii="Palatino Linotype" w:eastAsia="Times New Roman" w:hAnsi="Palatino Linotype" w:cs="Arial"/>
          <w:color w:val="000000" w:themeColor="text1"/>
          <w:lang w:val="es-ES" w:eastAsia="es-MX"/>
        </w:rPr>
        <w:t xml:space="preserve"> y</w:t>
      </w:r>
      <w:r w:rsidR="00774AB3">
        <w:rPr>
          <w:rFonts w:ascii="Palatino Linotype" w:eastAsia="Times New Roman" w:hAnsi="Palatino Linotype" w:cs="Arial"/>
          <w:color w:val="000000" w:themeColor="text1"/>
          <w:lang w:val="es-ES" w:eastAsia="es-MX"/>
        </w:rPr>
        <w:t xml:space="preserve"> subsecuente</w:t>
      </w:r>
      <w:r w:rsidR="00774AB3" w:rsidRPr="00F43C60">
        <w:rPr>
          <w:rFonts w:ascii="Palatino Linotype" w:eastAsia="Times New Roman" w:hAnsi="Palatino Linotype" w:cs="Arial"/>
          <w:color w:val="000000" w:themeColor="text1"/>
          <w:lang w:val="es-ES" w:eastAsia="es-MX"/>
        </w:rPr>
        <w:t xml:space="preserve"> </w:t>
      </w:r>
      <w:r w:rsidR="00774AB3" w:rsidRPr="00F43C60">
        <w:rPr>
          <w:rFonts w:ascii="Palatino Linotype" w:eastAsia="Times New Roman" w:hAnsi="Palatino Linotype" w:cs="Arial"/>
          <w:b/>
          <w:color w:val="000000" w:themeColor="text1"/>
          <w:lang w:val="es-ES" w:eastAsia="es-MX"/>
        </w:rPr>
        <w:t>RECURRENTE</w:t>
      </w:r>
      <w:r w:rsidR="00774AB3" w:rsidRPr="00F43C60">
        <w:rPr>
          <w:rFonts w:ascii="Palatino Linotype" w:eastAsia="Times New Roman" w:hAnsi="Palatino Linotype" w:cs="Arial"/>
          <w:color w:val="000000" w:themeColor="text1"/>
          <w:lang w:val="es-ES" w:eastAsia="es-MX"/>
        </w:rPr>
        <w:t xml:space="preserve"> no puede ser considerado un requisito indispensable de procedencia del recurso de revisión que nos ocupa, ya que el acceso a la información no está condicionado a acreditar algún interés ya sea jurídico o legítimo, máxime que es un elemento subsanable por este Órgano Resolutor.</w:t>
      </w:r>
    </w:p>
    <w:p w14:paraId="2394D29D" w14:textId="77777777" w:rsidR="009C4817" w:rsidRPr="009C4817" w:rsidRDefault="009C4817" w:rsidP="009C4817">
      <w:pPr>
        <w:pStyle w:val="Prrafodelista"/>
        <w:rPr>
          <w:rFonts w:ascii="Palatino Linotype" w:eastAsia="Times New Roman" w:hAnsi="Palatino Linotype" w:cs="Arial"/>
          <w:bCs/>
          <w:color w:val="000000" w:themeColor="text1"/>
          <w:lang w:eastAsia="es-MX"/>
        </w:rPr>
      </w:pPr>
    </w:p>
    <w:p w14:paraId="16C57CE8" w14:textId="773E2A38" w:rsidR="001B5BC3" w:rsidRPr="001B5BC3" w:rsidRDefault="00C6440A" w:rsidP="001B5BC3">
      <w:pPr>
        <w:pStyle w:val="Prrafodelista"/>
        <w:numPr>
          <w:ilvl w:val="0"/>
          <w:numId w:val="1"/>
        </w:numPr>
        <w:tabs>
          <w:tab w:val="left" w:pos="426"/>
        </w:tabs>
        <w:spacing w:line="360" w:lineRule="auto"/>
        <w:jc w:val="both"/>
        <w:rPr>
          <w:rFonts w:ascii="Palatino Linotype" w:hAnsi="Palatino Linotype"/>
          <w:color w:val="000000" w:themeColor="text1"/>
        </w:rPr>
      </w:pPr>
      <w:r w:rsidRPr="00A85CB7">
        <w:rPr>
          <w:rFonts w:ascii="Palatino Linotype" w:eastAsia="Calibri" w:hAnsi="Palatino Linotype" w:cs="Arial"/>
          <w:color w:val="000000" w:themeColor="text1"/>
        </w:rPr>
        <w:t>C</w:t>
      </w:r>
      <w:r w:rsidR="00AF6795">
        <w:rPr>
          <w:rFonts w:ascii="Palatino Linotype" w:eastAsia="Calibri" w:hAnsi="Palatino Linotype" w:cs="Arial"/>
          <w:color w:val="000000" w:themeColor="text1"/>
        </w:rPr>
        <w:t>onsecuencia de lo anterior, este</w:t>
      </w:r>
      <w:r w:rsidRPr="00A85CB7">
        <w:rPr>
          <w:rFonts w:ascii="Palatino Linotype" w:eastAsia="Calibri" w:hAnsi="Palatino Linotype" w:cs="Arial"/>
          <w:color w:val="000000" w:themeColor="text1"/>
        </w:rPr>
        <w:t xml:space="preserve"> </w:t>
      </w:r>
      <w:r w:rsidR="00AF6795">
        <w:rPr>
          <w:rFonts w:ascii="Palatino Linotype" w:eastAsia="Calibri" w:hAnsi="Palatino Linotype" w:cs="Arial"/>
          <w:color w:val="000000" w:themeColor="text1"/>
        </w:rPr>
        <w:t>Órgano Garante</w:t>
      </w:r>
      <w:r w:rsidRPr="00A85CB7">
        <w:rPr>
          <w:rFonts w:ascii="Palatino Linotype" w:eastAsia="Calibri" w:hAnsi="Palatino Linotype" w:cs="Arial"/>
          <w:color w:val="000000" w:themeColor="text1"/>
        </w:rPr>
        <w:t xml:space="preserve"> advierte que </w:t>
      </w:r>
      <w:r w:rsidR="00540208" w:rsidRPr="00A85CB7">
        <w:rPr>
          <w:rFonts w:ascii="Palatino Linotype" w:eastAsia="Calibri" w:hAnsi="Palatino Linotype" w:cs="Arial"/>
          <w:color w:val="000000" w:themeColor="text1"/>
        </w:rPr>
        <w:t>el escrito contiene las formalidades previstas por el artículo 180</w:t>
      </w:r>
      <w:r w:rsidR="00642BAA">
        <w:rPr>
          <w:rFonts w:ascii="Palatino Linotype" w:eastAsia="Calibri" w:hAnsi="Palatino Linotype" w:cs="Arial"/>
          <w:color w:val="000000" w:themeColor="text1"/>
        </w:rPr>
        <w:t>,</w:t>
      </w:r>
      <w:r w:rsidR="00540208" w:rsidRPr="00A85CB7">
        <w:rPr>
          <w:rFonts w:ascii="Palatino Linotype" w:eastAsia="Calibri" w:hAnsi="Palatino Linotype" w:cs="Arial"/>
          <w:color w:val="000000" w:themeColor="text1"/>
        </w:rPr>
        <w:t xml:space="preserve"> último párrafo</w:t>
      </w:r>
      <w:r w:rsidR="00642BAA">
        <w:rPr>
          <w:rFonts w:ascii="Palatino Linotype" w:eastAsia="Calibri" w:hAnsi="Palatino Linotype" w:cs="Arial"/>
          <w:color w:val="000000" w:themeColor="text1"/>
        </w:rPr>
        <w:t>,</w:t>
      </w:r>
      <w:r w:rsidR="00540208" w:rsidRPr="00A85CB7">
        <w:rPr>
          <w:rFonts w:ascii="Palatino Linotype" w:eastAsia="Calibri" w:hAnsi="Palatino Linotype" w:cs="Arial"/>
          <w:color w:val="000000" w:themeColor="text1"/>
        </w:rPr>
        <w:t xml:space="preserve"> de la Ley </w:t>
      </w:r>
      <w:r w:rsidR="004911B6" w:rsidRPr="00A85CB7">
        <w:rPr>
          <w:rFonts w:ascii="Palatino Linotype" w:eastAsia="Calibri" w:hAnsi="Palatino Linotype" w:cs="Arial"/>
          <w:color w:val="000000" w:themeColor="text1"/>
        </w:rPr>
        <w:t>de Transparencia y Acceso a la Información Pública del Estado de México y Municipios</w:t>
      </w:r>
      <w:r w:rsidR="00540208" w:rsidRPr="00A85CB7">
        <w:rPr>
          <w:rFonts w:ascii="Palatino Linotype" w:eastAsia="Calibri" w:hAnsi="Palatino Linotype" w:cs="Arial"/>
          <w:color w:val="000000" w:themeColor="text1"/>
        </w:rPr>
        <w:t xml:space="preserve">, por lo que es procedente que </w:t>
      </w:r>
      <w:r w:rsidR="004911B6" w:rsidRPr="00A85CB7">
        <w:rPr>
          <w:rFonts w:ascii="Palatino Linotype" w:eastAsia="Calibri" w:hAnsi="Palatino Linotype" w:cs="Arial"/>
          <w:color w:val="000000" w:themeColor="text1"/>
        </w:rPr>
        <w:t>e</w:t>
      </w:r>
      <w:r w:rsidR="00540208" w:rsidRPr="00A85CB7">
        <w:rPr>
          <w:rFonts w:ascii="Palatino Linotype" w:eastAsia="Calibri" w:hAnsi="Palatino Linotype" w:cs="Arial"/>
          <w:color w:val="000000" w:themeColor="text1"/>
        </w:rPr>
        <w:t>ste Instituto de Transparencia, Acceso a la Información Pública y Protección de Datos Personales del Estado de México y Municipios, conozca y resuelva el presente recurso.</w:t>
      </w:r>
    </w:p>
    <w:p w14:paraId="789605C8" w14:textId="31D54AF8" w:rsidR="001B5BC3" w:rsidRDefault="001B5BC3" w:rsidP="001B5BC3">
      <w:pPr>
        <w:pStyle w:val="Prrafodelista"/>
        <w:rPr>
          <w:rFonts w:ascii="Palatino Linotype" w:hAnsi="Palatino Linotype"/>
          <w:color w:val="000000" w:themeColor="text1"/>
        </w:rPr>
      </w:pPr>
    </w:p>
    <w:p w14:paraId="5EA9CFE7" w14:textId="4BE7A72F" w:rsidR="001B5BC3" w:rsidRPr="001B5BC3" w:rsidRDefault="001B5BC3" w:rsidP="00D86A5E">
      <w:pPr>
        <w:pStyle w:val="Ttulo3"/>
        <w:spacing w:after="240"/>
        <w:rPr>
          <w:rFonts w:ascii="Palatino Linotype" w:hAnsi="Palatino Linotype"/>
          <w:b/>
          <w:bCs/>
          <w:color w:val="000000" w:themeColor="text1"/>
        </w:rPr>
      </w:pPr>
      <w:r>
        <w:rPr>
          <w:rFonts w:ascii="Palatino Linotype" w:hAnsi="Palatino Linotype"/>
          <w:b/>
          <w:bCs/>
          <w:color w:val="000000" w:themeColor="text1"/>
        </w:rPr>
        <w:t>TERCERO. Cuestiones de previo y especial pronunciamiento.</w:t>
      </w:r>
    </w:p>
    <w:p w14:paraId="2B6EECAC" w14:textId="24A86217" w:rsidR="001B5BC3" w:rsidRPr="00D86A5E" w:rsidRDefault="00D86A5E" w:rsidP="00D86A5E">
      <w:pPr>
        <w:rPr>
          <w:rFonts w:ascii="Palatino Linotype" w:hAnsi="Palatino Linotype"/>
          <w:b/>
          <w:bCs/>
          <w:color w:val="000000" w:themeColor="text1"/>
        </w:rPr>
      </w:pPr>
      <w:r>
        <w:rPr>
          <w:rFonts w:ascii="Palatino Linotype" w:hAnsi="Palatino Linotype"/>
          <w:b/>
          <w:bCs/>
          <w:color w:val="000000" w:themeColor="text1"/>
        </w:rPr>
        <w:t>I. De las pruebas aportadas por las partes.</w:t>
      </w:r>
    </w:p>
    <w:p w14:paraId="79120CD2" w14:textId="77777777" w:rsidR="00D86A5E" w:rsidRPr="00D86A5E" w:rsidRDefault="00D86A5E" w:rsidP="00D86A5E">
      <w:pPr>
        <w:rPr>
          <w:rFonts w:ascii="Palatino Linotype" w:hAnsi="Palatino Linotype"/>
          <w:color w:val="000000" w:themeColor="text1"/>
        </w:rPr>
      </w:pPr>
    </w:p>
    <w:p w14:paraId="26E6A007" w14:textId="2A0A2E56" w:rsidR="001B5BC3" w:rsidRDefault="00D86A5E" w:rsidP="001B5BC3">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hAnsi="Palatino Linotype"/>
          <w:color w:val="000000" w:themeColor="text1"/>
        </w:rPr>
        <w:t>La Ley de Transparencia y Acceso a la Información Pública del Estado de México y Municipios, en sus artículos 180 y 185, establece lo siguiente:</w:t>
      </w:r>
    </w:p>
    <w:p w14:paraId="33EE737B" w14:textId="3C193533" w:rsidR="001B5BC3" w:rsidRDefault="001B5BC3" w:rsidP="00D86A5E">
      <w:pPr>
        <w:rPr>
          <w:rFonts w:ascii="Palatino Linotype" w:hAnsi="Palatino Linotype"/>
          <w:color w:val="000000" w:themeColor="text1"/>
        </w:rPr>
      </w:pPr>
    </w:p>
    <w:p w14:paraId="590A0A34"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Pr>
          <w:rFonts w:ascii="Palatino Linotype" w:hAnsi="Palatino Linotype"/>
          <w:i/>
          <w:sz w:val="22"/>
        </w:rPr>
        <w:t>“</w:t>
      </w:r>
      <w:r w:rsidRPr="00785321">
        <w:rPr>
          <w:rFonts w:ascii="Palatino Linotype" w:hAnsi="Palatino Linotype"/>
          <w:b/>
          <w:i/>
          <w:sz w:val="22"/>
        </w:rPr>
        <w:t>Artículo 180.</w:t>
      </w:r>
      <w:r w:rsidRPr="00785321">
        <w:rPr>
          <w:rFonts w:ascii="Palatino Linotype" w:hAnsi="Palatino Linotype"/>
          <w:i/>
          <w:sz w:val="22"/>
        </w:rPr>
        <w:t xml:space="preserve"> El recurso de revisión contendrá: </w:t>
      </w:r>
    </w:p>
    <w:p w14:paraId="71366333"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785321">
        <w:rPr>
          <w:rFonts w:ascii="Palatino Linotype" w:hAnsi="Palatino Linotype"/>
          <w:b/>
          <w:i/>
          <w:sz w:val="22"/>
        </w:rPr>
        <w:t>I.</w:t>
      </w:r>
      <w:r w:rsidRPr="00785321">
        <w:rPr>
          <w:rFonts w:ascii="Palatino Linotype" w:hAnsi="Palatino Linotype"/>
          <w:i/>
          <w:sz w:val="22"/>
        </w:rPr>
        <w:t xml:space="preserve"> El sujeto obligado ante la cual se presentó la solicitud; </w:t>
      </w:r>
    </w:p>
    <w:p w14:paraId="4E889476"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785321">
        <w:rPr>
          <w:rFonts w:ascii="Palatino Linotype" w:hAnsi="Palatino Linotype"/>
          <w:b/>
          <w:i/>
          <w:sz w:val="22"/>
        </w:rPr>
        <w:t>II.</w:t>
      </w:r>
      <w:r w:rsidRPr="00785321">
        <w:rPr>
          <w:rFonts w:ascii="Palatino Linotype" w:hAnsi="Palatino Linotype"/>
          <w:i/>
          <w:sz w:val="22"/>
        </w:rPr>
        <w:t xml:space="preserve"> El nombre del solicitante que recurre o de su representante y, en su caso, del tercero interesado, así como la dirección o medio que señale para recibir notificaciones; </w:t>
      </w:r>
    </w:p>
    <w:p w14:paraId="68B4534C"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785321">
        <w:rPr>
          <w:rFonts w:ascii="Palatino Linotype" w:hAnsi="Palatino Linotype"/>
          <w:b/>
          <w:i/>
          <w:sz w:val="22"/>
        </w:rPr>
        <w:t>III.</w:t>
      </w:r>
      <w:r w:rsidRPr="00785321">
        <w:rPr>
          <w:rFonts w:ascii="Palatino Linotype" w:hAnsi="Palatino Linotype"/>
          <w:i/>
          <w:sz w:val="22"/>
        </w:rPr>
        <w:t xml:space="preserve"> El número de folio de respuesta de la solicitud de acceso; </w:t>
      </w:r>
    </w:p>
    <w:p w14:paraId="68EC820B"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785321">
        <w:rPr>
          <w:rFonts w:ascii="Palatino Linotype" w:hAnsi="Palatino Linotype"/>
          <w:b/>
          <w:i/>
          <w:sz w:val="22"/>
        </w:rPr>
        <w:t>IV.</w:t>
      </w:r>
      <w:r w:rsidRPr="00785321">
        <w:rPr>
          <w:rFonts w:ascii="Palatino Linotype" w:hAnsi="Palatino Linotype"/>
          <w:i/>
          <w:sz w:val="22"/>
        </w:rPr>
        <w:t xml:space="preserve"> La fecha en que fue notificada la respuesta al solicitante o tuvo conocimiento del acto reclamado, o de presentación de la solicitud, en caso de falta de respuesta; </w:t>
      </w:r>
    </w:p>
    <w:p w14:paraId="5445CE5D"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785321">
        <w:rPr>
          <w:rFonts w:ascii="Palatino Linotype" w:hAnsi="Palatino Linotype"/>
          <w:b/>
          <w:i/>
          <w:sz w:val="22"/>
        </w:rPr>
        <w:t>V.</w:t>
      </w:r>
      <w:r w:rsidRPr="00785321">
        <w:rPr>
          <w:rFonts w:ascii="Palatino Linotype" w:hAnsi="Palatino Linotype"/>
          <w:i/>
          <w:sz w:val="22"/>
        </w:rPr>
        <w:t xml:space="preserve"> El acto que se recurre; </w:t>
      </w:r>
    </w:p>
    <w:p w14:paraId="150AB4FB"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785321">
        <w:rPr>
          <w:rFonts w:ascii="Palatino Linotype" w:hAnsi="Palatino Linotype"/>
          <w:b/>
          <w:i/>
          <w:sz w:val="22"/>
        </w:rPr>
        <w:t>VI.</w:t>
      </w:r>
      <w:r w:rsidRPr="00785321">
        <w:rPr>
          <w:rFonts w:ascii="Palatino Linotype" w:hAnsi="Palatino Linotype"/>
          <w:i/>
          <w:sz w:val="22"/>
        </w:rPr>
        <w:t xml:space="preserve"> Las razones o motivos de inconformidad; </w:t>
      </w:r>
    </w:p>
    <w:p w14:paraId="56CDC9F0"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785321">
        <w:rPr>
          <w:rFonts w:ascii="Palatino Linotype" w:hAnsi="Palatino Linotype"/>
          <w:b/>
          <w:i/>
          <w:sz w:val="22"/>
        </w:rPr>
        <w:lastRenderedPageBreak/>
        <w:t>VII.</w:t>
      </w:r>
      <w:r w:rsidRPr="00785321">
        <w:rPr>
          <w:rFonts w:ascii="Palatino Linotype" w:hAnsi="Palatino Linotype"/>
          <w:i/>
          <w:sz w:val="22"/>
        </w:rPr>
        <w:t xml:space="preserve"> La copia de la respuesta que se impugna y, en su caso, de la notificación correspondiente, en el caso de respuesta de la solicitud; y </w:t>
      </w:r>
    </w:p>
    <w:p w14:paraId="2FC8E457"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785321">
        <w:rPr>
          <w:rFonts w:ascii="Palatino Linotype" w:hAnsi="Palatino Linotype"/>
          <w:b/>
          <w:i/>
          <w:sz w:val="22"/>
        </w:rPr>
        <w:t>VIII.</w:t>
      </w:r>
      <w:r w:rsidRPr="00785321">
        <w:rPr>
          <w:rFonts w:ascii="Palatino Linotype" w:hAnsi="Palatino Linotype"/>
          <w:i/>
          <w:sz w:val="22"/>
        </w:rPr>
        <w:t xml:space="preserve"> Firma del recurrente, en su caso, cuando se presente por escrito, requisito sin el cual se dará trámite al recurso. </w:t>
      </w:r>
    </w:p>
    <w:p w14:paraId="48ECA383"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785321">
        <w:rPr>
          <w:rFonts w:ascii="Palatino Linotype" w:hAnsi="Palatino Linotype"/>
          <w:b/>
          <w:i/>
          <w:sz w:val="22"/>
        </w:rPr>
        <w:t>Adicionalmente, se podrán anexar las pruebas y demás elementos que considere procedentes someter a juicio del Instituto.</w:t>
      </w:r>
    </w:p>
    <w:p w14:paraId="3949C47D"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Pr>
          <w:rFonts w:ascii="Palatino Linotype" w:hAnsi="Palatino Linotype"/>
          <w:i/>
          <w:sz w:val="22"/>
        </w:rPr>
        <w:t>(…)</w:t>
      </w:r>
    </w:p>
    <w:p w14:paraId="5E03B877"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p>
    <w:p w14:paraId="4FC88AE4"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CA62D4">
        <w:rPr>
          <w:rFonts w:ascii="Palatino Linotype" w:hAnsi="Palatino Linotype"/>
          <w:b/>
          <w:i/>
          <w:sz w:val="22"/>
        </w:rPr>
        <w:t xml:space="preserve">Artículo 185. </w:t>
      </w:r>
      <w:r w:rsidRPr="00CA62D4">
        <w:rPr>
          <w:rFonts w:ascii="Palatino Linotype" w:hAnsi="Palatino Linotype"/>
          <w:i/>
          <w:sz w:val="22"/>
        </w:rPr>
        <w:t xml:space="preserve">El Instituto resolverá el recurso de revisión conforme a lo siguiente: </w:t>
      </w:r>
    </w:p>
    <w:p w14:paraId="5B85289D"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Pr>
          <w:rFonts w:ascii="Palatino Linotype" w:hAnsi="Palatino Linotype"/>
          <w:i/>
          <w:sz w:val="22"/>
        </w:rPr>
        <w:t>(…)</w:t>
      </w:r>
    </w:p>
    <w:p w14:paraId="1E73FC6F" w14:textId="77777777" w:rsidR="00D86A5E" w:rsidRDefault="00D86A5E" w:rsidP="00D86A5E">
      <w:pPr>
        <w:pStyle w:val="Prrafodelista"/>
        <w:tabs>
          <w:tab w:val="left" w:pos="426"/>
        </w:tabs>
        <w:spacing w:line="276" w:lineRule="auto"/>
        <w:ind w:left="567" w:right="567"/>
        <w:jc w:val="both"/>
        <w:rPr>
          <w:rFonts w:ascii="Palatino Linotype" w:hAnsi="Palatino Linotype"/>
          <w:i/>
          <w:sz w:val="22"/>
        </w:rPr>
      </w:pPr>
      <w:r w:rsidRPr="00CA62D4">
        <w:rPr>
          <w:rFonts w:ascii="Palatino Linotype" w:hAnsi="Palatino Linotype"/>
          <w:b/>
          <w:i/>
          <w:sz w:val="22"/>
        </w:rPr>
        <w:t xml:space="preserve"> II.</w:t>
      </w:r>
      <w:r w:rsidRPr="00CA62D4">
        <w:rPr>
          <w:rFonts w:ascii="Palatino Linotype" w:hAnsi="Palatino Linotype"/>
          <w:i/>
          <w:sz w:val="22"/>
        </w:rPr>
        <w:t xml:space="preserve"> Admitido el recurso de revisión, la o el Comisionado ponente deberá integrar un expediente y ponerlo a disposición de las partes, para que, en un plazo máximo de siete días hábiles, manifiesten lo que a su derecho convenga; </w:t>
      </w:r>
    </w:p>
    <w:p w14:paraId="62A7E94A" w14:textId="77777777" w:rsidR="00D86A5E" w:rsidRPr="00CA62D4" w:rsidRDefault="00D86A5E" w:rsidP="00D86A5E">
      <w:pPr>
        <w:pStyle w:val="Prrafodelista"/>
        <w:tabs>
          <w:tab w:val="left" w:pos="426"/>
        </w:tabs>
        <w:spacing w:line="276" w:lineRule="auto"/>
        <w:ind w:left="567" w:right="567"/>
        <w:jc w:val="both"/>
        <w:rPr>
          <w:rFonts w:ascii="Palatino Linotype" w:hAnsi="Palatino Linotype"/>
          <w:i/>
          <w:sz w:val="22"/>
        </w:rPr>
      </w:pPr>
      <w:r>
        <w:rPr>
          <w:rFonts w:ascii="Palatino Linotype" w:hAnsi="Palatino Linotype"/>
          <w:i/>
          <w:sz w:val="22"/>
        </w:rPr>
        <w:t>(…)</w:t>
      </w:r>
    </w:p>
    <w:p w14:paraId="5EADBA36" w14:textId="77777777" w:rsidR="00D86A5E" w:rsidRPr="00785321" w:rsidRDefault="00D86A5E" w:rsidP="00D86A5E">
      <w:pPr>
        <w:pStyle w:val="Prrafodelista"/>
        <w:tabs>
          <w:tab w:val="left" w:pos="426"/>
        </w:tabs>
        <w:spacing w:line="276" w:lineRule="auto"/>
        <w:ind w:left="567" w:right="567"/>
        <w:jc w:val="both"/>
        <w:rPr>
          <w:rFonts w:ascii="Palatino Linotype" w:hAnsi="Palatino Linotype"/>
          <w:i/>
          <w:color w:val="000000" w:themeColor="text1"/>
          <w:sz w:val="22"/>
        </w:rPr>
      </w:pPr>
      <w:r w:rsidRPr="00CA62D4">
        <w:rPr>
          <w:rFonts w:ascii="Palatino Linotype" w:hAnsi="Palatino Linotype"/>
          <w:b/>
          <w:i/>
          <w:sz w:val="22"/>
        </w:rPr>
        <w:t>IV. Dentro del plazo mencionado en la fracción II, las partes podrán ofrecer todo tipo de pruebas o alegatos</w:t>
      </w:r>
      <w:r w:rsidRPr="00CA62D4">
        <w:rPr>
          <w:rFonts w:ascii="Palatino Linotype" w:hAnsi="Palatino Linotype"/>
          <w:i/>
          <w:sz w:val="22"/>
        </w:rPr>
        <w:t xml:space="preserve"> excepto la confesional por parte de los sujetos obligados y aquéllas que sean contrarias a derecho;</w:t>
      </w:r>
      <w:r>
        <w:rPr>
          <w:rFonts w:ascii="Palatino Linotype" w:hAnsi="Palatino Linotype"/>
          <w:i/>
          <w:sz w:val="22"/>
        </w:rPr>
        <w:t>”</w:t>
      </w:r>
    </w:p>
    <w:p w14:paraId="4FB7D571" w14:textId="77777777" w:rsidR="00D86A5E" w:rsidRPr="00D86A5E" w:rsidRDefault="00D86A5E" w:rsidP="00D86A5E">
      <w:pPr>
        <w:rPr>
          <w:rFonts w:ascii="Palatino Linotype" w:hAnsi="Palatino Linotype"/>
          <w:color w:val="000000" w:themeColor="text1"/>
        </w:rPr>
      </w:pPr>
    </w:p>
    <w:p w14:paraId="0C6F1233" w14:textId="4BCB8FB7" w:rsidR="00D86A5E" w:rsidRPr="00710B50" w:rsidRDefault="00D86A5E" w:rsidP="00D86A5E">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hAnsi="Palatino Linotype"/>
          <w:color w:val="000000" w:themeColor="text1"/>
        </w:rPr>
        <w:t xml:space="preserve">De la lectura al dispositivo normativo inserto </w:t>
      </w:r>
      <w:r>
        <w:rPr>
          <w:rFonts w:ascii="Palatino Linotype" w:hAnsi="Palatino Linotype"/>
          <w:i/>
          <w:color w:val="000000" w:themeColor="text1"/>
        </w:rPr>
        <w:t>supra</w:t>
      </w:r>
      <w:r>
        <w:rPr>
          <w:rFonts w:ascii="Palatino Linotype" w:hAnsi="Palatino Linotype"/>
          <w:color w:val="000000" w:themeColor="text1"/>
        </w:rPr>
        <w:t xml:space="preserve"> se identifican los elementos esenciales que deberá contener el recurso de revisión para que éste sea procedente; así mismo, se señala que, adicionalmente, la </w:t>
      </w:r>
      <w:r>
        <w:rPr>
          <w:rFonts w:ascii="Palatino Linotype" w:hAnsi="Palatino Linotype"/>
          <w:b/>
          <w:color w:val="000000" w:themeColor="text1"/>
        </w:rPr>
        <w:t>RECURRENTE</w:t>
      </w:r>
      <w:r>
        <w:rPr>
          <w:rFonts w:ascii="Palatino Linotype" w:hAnsi="Palatino Linotype"/>
          <w:color w:val="000000" w:themeColor="text1"/>
        </w:rPr>
        <w:t xml:space="preserve"> podrá adjuntar las pruebas y demás elementos que considere procedentes para que sean sometidos a juicio de este Órgano Garante, resultando en el mismo sentido en favor del </w:t>
      </w:r>
      <w:r>
        <w:rPr>
          <w:rFonts w:ascii="Palatino Linotype" w:hAnsi="Palatino Linotype"/>
          <w:b/>
          <w:color w:val="000000" w:themeColor="text1"/>
        </w:rPr>
        <w:t>SUJETO OBLIGADO</w:t>
      </w:r>
      <w:r>
        <w:rPr>
          <w:rFonts w:ascii="Palatino Linotype" w:hAnsi="Palatino Linotype"/>
          <w:color w:val="000000" w:themeColor="text1"/>
        </w:rPr>
        <w:t>, ya que dentro de la etapa de instrucción del recurso de revisión, también podrá aportar todo tipo de pruebas o alegatos.</w:t>
      </w:r>
    </w:p>
    <w:p w14:paraId="1C19E108" w14:textId="77777777" w:rsidR="00D86A5E" w:rsidRPr="00710B50" w:rsidRDefault="00D86A5E" w:rsidP="00D86A5E">
      <w:pPr>
        <w:pStyle w:val="Prrafodelista"/>
        <w:tabs>
          <w:tab w:val="left" w:pos="426"/>
        </w:tabs>
        <w:spacing w:line="360" w:lineRule="auto"/>
        <w:ind w:left="0"/>
        <w:jc w:val="both"/>
        <w:rPr>
          <w:rFonts w:ascii="Palatino Linotype" w:hAnsi="Palatino Linotype"/>
          <w:color w:val="000000" w:themeColor="text1"/>
        </w:rPr>
      </w:pPr>
    </w:p>
    <w:p w14:paraId="27DAB3B8" w14:textId="77777777" w:rsidR="00D86A5E" w:rsidRPr="00710B50" w:rsidRDefault="00D86A5E" w:rsidP="00D86A5E">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eastAsia="Calibri" w:hAnsi="Palatino Linotype" w:cs="Arial"/>
          <w:color w:val="000000" w:themeColor="text1"/>
        </w:rPr>
        <w:t xml:space="preserve">Dicho </w:t>
      </w:r>
      <w:r>
        <w:rPr>
          <w:rFonts w:ascii="Palatino Linotype" w:hAnsi="Palatino Linotype"/>
          <w:color w:val="000000" w:themeColor="text1"/>
        </w:rPr>
        <w:t xml:space="preserve">lo anterior, si bien es cierto que la Ley de la materia no considera </w:t>
      </w:r>
      <w:r>
        <w:rPr>
          <w:rFonts w:ascii="Palatino Linotype" w:hAnsi="Palatino Linotype"/>
          <w:i/>
          <w:color w:val="000000" w:themeColor="text1"/>
        </w:rPr>
        <w:t>per se</w:t>
      </w:r>
      <w:r>
        <w:rPr>
          <w:rFonts w:ascii="Palatino Linotype" w:hAnsi="Palatino Linotype"/>
          <w:color w:val="000000" w:themeColor="text1"/>
        </w:rPr>
        <w:t xml:space="preserve"> un apartado específico relativo a la valoración de las pruebas que presenten las partes, también lo es que reconoce, expresamente, que durante la </w:t>
      </w:r>
      <w:r w:rsidRPr="002D28CB">
        <w:rPr>
          <w:rFonts w:ascii="Palatino Linotype" w:hAnsi="Palatino Linotype"/>
          <w:color w:val="000000" w:themeColor="text1"/>
        </w:rPr>
        <w:t xml:space="preserve">tramitación del recurso </w:t>
      </w:r>
      <w:r w:rsidRPr="002D28CB">
        <w:rPr>
          <w:rFonts w:ascii="Palatino Linotype" w:hAnsi="Palatino Linotype"/>
          <w:color w:val="000000" w:themeColor="text1"/>
        </w:rPr>
        <w:lastRenderedPageBreak/>
        <w:t>de revisión se aplicarán supletoriamente las disposiciones contenidas en el Código de Procedimientos Administrativos del Estado de México</w:t>
      </w:r>
      <w:r>
        <w:rPr>
          <w:rStyle w:val="Refdenotaalpie"/>
          <w:rFonts w:ascii="Palatino Linotype" w:hAnsi="Palatino Linotype"/>
          <w:color w:val="000000" w:themeColor="text1"/>
        </w:rPr>
        <w:footnoteReference w:id="1"/>
      </w:r>
      <w:r w:rsidRPr="002D28CB">
        <w:rPr>
          <w:rFonts w:ascii="Palatino Linotype" w:hAnsi="Palatino Linotype"/>
          <w:color w:val="000000" w:themeColor="text1"/>
        </w:rPr>
        <w:t>.</w:t>
      </w:r>
    </w:p>
    <w:p w14:paraId="0C2D5C15" w14:textId="77777777" w:rsidR="00D86A5E" w:rsidRPr="00710B50" w:rsidRDefault="00D86A5E" w:rsidP="00D86A5E">
      <w:pPr>
        <w:pStyle w:val="Prrafodelista"/>
        <w:tabs>
          <w:tab w:val="left" w:pos="426"/>
        </w:tabs>
        <w:spacing w:line="360" w:lineRule="auto"/>
        <w:ind w:left="0"/>
        <w:jc w:val="both"/>
        <w:rPr>
          <w:rFonts w:ascii="Palatino Linotype" w:hAnsi="Palatino Linotype"/>
          <w:color w:val="000000" w:themeColor="text1"/>
        </w:rPr>
      </w:pPr>
    </w:p>
    <w:p w14:paraId="263AAC3D" w14:textId="5B5541B6" w:rsidR="001B5BC3" w:rsidRDefault="00D86A5E" w:rsidP="00D86A5E">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eastAsia="Calibri" w:hAnsi="Palatino Linotype" w:cs="Arial"/>
          <w:color w:val="000000" w:themeColor="text1"/>
        </w:rPr>
        <w:t xml:space="preserve">Al </w:t>
      </w:r>
      <w:r>
        <w:rPr>
          <w:rFonts w:ascii="Palatino Linotype" w:hAnsi="Palatino Linotype"/>
          <w:color w:val="000000" w:themeColor="text1"/>
        </w:rPr>
        <w:t>respecto, el Código de Procedimientos Administrativos del Estado de México, en su numeral 38, enlista y reconoce los medios de prueba admisibles en el procedimiento administrativo, a saber:</w:t>
      </w:r>
    </w:p>
    <w:p w14:paraId="58A36D1E" w14:textId="77777777" w:rsidR="00D86A5E" w:rsidRPr="002D28CB" w:rsidRDefault="00D86A5E" w:rsidP="00D86A5E">
      <w:pPr>
        <w:pStyle w:val="Prrafodelista"/>
        <w:numPr>
          <w:ilvl w:val="1"/>
          <w:numId w:val="23"/>
        </w:numPr>
        <w:tabs>
          <w:tab w:val="left" w:pos="426"/>
        </w:tabs>
        <w:spacing w:before="240" w:after="240" w:line="276" w:lineRule="auto"/>
        <w:ind w:left="1134" w:right="51"/>
        <w:jc w:val="both"/>
        <w:rPr>
          <w:rFonts w:ascii="Palatino Linotype" w:hAnsi="Palatino Linotype"/>
          <w:color w:val="000000" w:themeColor="text1"/>
        </w:rPr>
      </w:pPr>
      <w:r>
        <w:rPr>
          <w:rFonts w:ascii="Palatino Linotype" w:hAnsi="Palatino Linotype"/>
          <w:color w:val="000000" w:themeColor="text1"/>
        </w:rPr>
        <w:t>Confesional</w:t>
      </w:r>
      <w:r w:rsidRPr="002D28CB">
        <w:rPr>
          <w:rFonts w:ascii="Palatino Linotype" w:hAnsi="Palatino Linotype"/>
          <w:color w:val="000000" w:themeColor="text1"/>
        </w:rPr>
        <w:t>;</w:t>
      </w:r>
    </w:p>
    <w:p w14:paraId="109DEBF9" w14:textId="77777777" w:rsidR="00D86A5E" w:rsidRPr="002D28CB" w:rsidRDefault="00D86A5E" w:rsidP="00D86A5E">
      <w:pPr>
        <w:pStyle w:val="Prrafodelista"/>
        <w:numPr>
          <w:ilvl w:val="1"/>
          <w:numId w:val="23"/>
        </w:numPr>
        <w:tabs>
          <w:tab w:val="left" w:pos="426"/>
        </w:tabs>
        <w:spacing w:before="240" w:after="240" w:line="276" w:lineRule="auto"/>
        <w:ind w:left="1134" w:right="51"/>
        <w:jc w:val="both"/>
        <w:rPr>
          <w:rFonts w:ascii="Palatino Linotype" w:hAnsi="Palatino Linotype"/>
          <w:color w:val="000000" w:themeColor="text1"/>
        </w:rPr>
      </w:pPr>
      <w:r w:rsidRPr="002D28CB">
        <w:rPr>
          <w:rFonts w:ascii="Palatino Linotype" w:hAnsi="Palatino Linotype"/>
          <w:color w:val="000000" w:themeColor="text1"/>
        </w:rPr>
        <w:t>Documentos públicos y privados;</w:t>
      </w:r>
    </w:p>
    <w:p w14:paraId="15725B4B" w14:textId="77777777" w:rsidR="00D86A5E" w:rsidRPr="002D28CB" w:rsidRDefault="00D86A5E" w:rsidP="00D86A5E">
      <w:pPr>
        <w:pStyle w:val="Prrafodelista"/>
        <w:numPr>
          <w:ilvl w:val="1"/>
          <w:numId w:val="23"/>
        </w:numPr>
        <w:tabs>
          <w:tab w:val="left" w:pos="426"/>
        </w:tabs>
        <w:spacing w:before="240" w:after="240" w:line="276" w:lineRule="auto"/>
        <w:ind w:left="1134" w:right="51"/>
        <w:jc w:val="both"/>
        <w:rPr>
          <w:rFonts w:ascii="Palatino Linotype" w:hAnsi="Palatino Linotype"/>
          <w:color w:val="000000" w:themeColor="text1"/>
        </w:rPr>
      </w:pPr>
      <w:r w:rsidRPr="002D28CB">
        <w:rPr>
          <w:rFonts w:ascii="Palatino Linotype" w:hAnsi="Palatino Linotype"/>
          <w:color w:val="000000" w:themeColor="text1"/>
        </w:rPr>
        <w:t>Testimonial;</w:t>
      </w:r>
    </w:p>
    <w:p w14:paraId="5F2509B0" w14:textId="77777777" w:rsidR="00D86A5E" w:rsidRPr="002D28CB" w:rsidRDefault="00D86A5E" w:rsidP="00D86A5E">
      <w:pPr>
        <w:pStyle w:val="Prrafodelista"/>
        <w:numPr>
          <w:ilvl w:val="1"/>
          <w:numId w:val="23"/>
        </w:numPr>
        <w:tabs>
          <w:tab w:val="left" w:pos="426"/>
        </w:tabs>
        <w:spacing w:before="240" w:after="240" w:line="276" w:lineRule="auto"/>
        <w:ind w:left="1134" w:right="51"/>
        <w:jc w:val="both"/>
        <w:rPr>
          <w:rFonts w:ascii="Palatino Linotype" w:hAnsi="Palatino Linotype"/>
          <w:color w:val="000000" w:themeColor="text1"/>
        </w:rPr>
      </w:pPr>
      <w:r w:rsidRPr="002D28CB">
        <w:rPr>
          <w:rFonts w:ascii="Palatino Linotype" w:hAnsi="Palatino Linotype"/>
          <w:color w:val="000000" w:themeColor="text1"/>
        </w:rPr>
        <w:t>Inspección;</w:t>
      </w:r>
    </w:p>
    <w:p w14:paraId="2AF17CAE" w14:textId="77777777" w:rsidR="00D86A5E" w:rsidRPr="002D28CB" w:rsidRDefault="00D86A5E" w:rsidP="00D86A5E">
      <w:pPr>
        <w:pStyle w:val="Prrafodelista"/>
        <w:numPr>
          <w:ilvl w:val="1"/>
          <w:numId w:val="23"/>
        </w:numPr>
        <w:tabs>
          <w:tab w:val="left" w:pos="426"/>
        </w:tabs>
        <w:spacing w:before="240" w:after="240" w:line="276" w:lineRule="auto"/>
        <w:ind w:left="1134" w:right="51"/>
        <w:jc w:val="both"/>
        <w:rPr>
          <w:rFonts w:ascii="Palatino Linotype" w:hAnsi="Palatino Linotype"/>
          <w:color w:val="000000" w:themeColor="text1"/>
        </w:rPr>
      </w:pPr>
      <w:r w:rsidRPr="002D28CB">
        <w:rPr>
          <w:rFonts w:ascii="Palatino Linotype" w:hAnsi="Palatino Linotype"/>
          <w:color w:val="000000" w:themeColor="text1"/>
        </w:rPr>
        <w:t>Pericial;</w:t>
      </w:r>
    </w:p>
    <w:p w14:paraId="0D48ED97" w14:textId="77777777" w:rsidR="00D86A5E" w:rsidRPr="002D28CB" w:rsidRDefault="00D86A5E" w:rsidP="00D86A5E">
      <w:pPr>
        <w:pStyle w:val="Prrafodelista"/>
        <w:numPr>
          <w:ilvl w:val="1"/>
          <w:numId w:val="23"/>
        </w:numPr>
        <w:tabs>
          <w:tab w:val="left" w:pos="426"/>
        </w:tabs>
        <w:spacing w:before="240" w:after="240" w:line="276" w:lineRule="auto"/>
        <w:ind w:left="1134" w:right="51"/>
        <w:jc w:val="both"/>
        <w:rPr>
          <w:rFonts w:ascii="Palatino Linotype" w:hAnsi="Palatino Linotype"/>
          <w:color w:val="000000" w:themeColor="text1"/>
        </w:rPr>
      </w:pPr>
      <w:proofErr w:type="spellStart"/>
      <w:r w:rsidRPr="002D28CB">
        <w:rPr>
          <w:rFonts w:ascii="Palatino Linotype" w:hAnsi="Palatino Linotype"/>
          <w:color w:val="000000" w:themeColor="text1"/>
        </w:rPr>
        <w:t>Presuncional</w:t>
      </w:r>
      <w:proofErr w:type="spellEnd"/>
      <w:r w:rsidRPr="002D28CB">
        <w:rPr>
          <w:rFonts w:ascii="Palatino Linotype" w:hAnsi="Palatino Linotype"/>
          <w:color w:val="000000" w:themeColor="text1"/>
        </w:rPr>
        <w:t>;</w:t>
      </w:r>
    </w:p>
    <w:p w14:paraId="41CF6D2E" w14:textId="77777777" w:rsidR="00D86A5E" w:rsidRPr="002D28CB" w:rsidRDefault="00D86A5E" w:rsidP="00D86A5E">
      <w:pPr>
        <w:pStyle w:val="Prrafodelista"/>
        <w:numPr>
          <w:ilvl w:val="1"/>
          <w:numId w:val="23"/>
        </w:numPr>
        <w:tabs>
          <w:tab w:val="left" w:pos="426"/>
        </w:tabs>
        <w:spacing w:before="240" w:after="240" w:line="276" w:lineRule="auto"/>
        <w:ind w:left="1134" w:right="51"/>
        <w:jc w:val="both"/>
        <w:rPr>
          <w:rFonts w:ascii="Palatino Linotype" w:hAnsi="Palatino Linotype"/>
          <w:color w:val="000000" w:themeColor="text1"/>
        </w:rPr>
      </w:pPr>
      <w:r w:rsidRPr="002D28CB">
        <w:rPr>
          <w:rFonts w:ascii="Palatino Linotype" w:hAnsi="Palatino Linotype"/>
          <w:color w:val="000000" w:themeColor="text1"/>
        </w:rPr>
        <w:t>Instrumental; y</w:t>
      </w:r>
    </w:p>
    <w:p w14:paraId="70C6C1F9" w14:textId="4D9C67CF" w:rsidR="00D86A5E" w:rsidRDefault="00D86A5E" w:rsidP="00D86A5E">
      <w:pPr>
        <w:pStyle w:val="Prrafodelista"/>
        <w:numPr>
          <w:ilvl w:val="1"/>
          <w:numId w:val="23"/>
        </w:numPr>
        <w:tabs>
          <w:tab w:val="left" w:pos="426"/>
        </w:tabs>
        <w:spacing w:line="360" w:lineRule="auto"/>
        <w:ind w:left="1134"/>
        <w:jc w:val="both"/>
        <w:rPr>
          <w:rFonts w:ascii="Palatino Linotype" w:hAnsi="Palatino Linotype"/>
          <w:color w:val="000000" w:themeColor="text1"/>
        </w:rPr>
      </w:pPr>
      <w:r w:rsidRPr="002D28CB">
        <w:rPr>
          <w:rFonts w:ascii="Palatino Linotype" w:hAnsi="Palatino Linotype"/>
          <w:color w:val="000000" w:themeColor="text1"/>
        </w:rPr>
        <w:t>Fotografías y demás elementos aportados por la ciencia.</w:t>
      </w:r>
    </w:p>
    <w:p w14:paraId="69C5F366" w14:textId="77777777" w:rsidR="00D86A5E" w:rsidRDefault="00D86A5E" w:rsidP="00D86A5E">
      <w:pPr>
        <w:pStyle w:val="Prrafodelista"/>
        <w:tabs>
          <w:tab w:val="left" w:pos="426"/>
        </w:tabs>
        <w:spacing w:line="360" w:lineRule="auto"/>
        <w:ind w:left="0"/>
        <w:jc w:val="both"/>
        <w:rPr>
          <w:rFonts w:ascii="Palatino Linotype" w:hAnsi="Palatino Linotype"/>
          <w:color w:val="000000" w:themeColor="text1"/>
        </w:rPr>
      </w:pPr>
    </w:p>
    <w:p w14:paraId="3BB5D07A" w14:textId="47C6B038" w:rsidR="00D86A5E" w:rsidRPr="00710B50" w:rsidRDefault="00D86A5E" w:rsidP="00D86A5E">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hAnsi="Palatino Linotype"/>
          <w:color w:val="000000" w:themeColor="text1"/>
        </w:rPr>
        <w:t xml:space="preserve">Siendo </w:t>
      </w:r>
      <w:r>
        <w:rPr>
          <w:rFonts w:ascii="Palatino Linotype" w:eastAsia="Calibri" w:hAnsi="Palatino Linotype" w:cs="Arial"/>
          <w:color w:val="000000" w:themeColor="text1"/>
        </w:rPr>
        <w:t xml:space="preserve">de especial interés la </w:t>
      </w:r>
      <w:r>
        <w:rPr>
          <w:rFonts w:ascii="Palatino Linotype" w:eastAsia="Calibri" w:hAnsi="Palatino Linotype" w:cs="Arial"/>
          <w:b/>
          <w:color w:val="000000" w:themeColor="text1"/>
        </w:rPr>
        <w:t>documental</w:t>
      </w:r>
      <w:r>
        <w:rPr>
          <w:rFonts w:ascii="Palatino Linotype" w:eastAsia="Calibri" w:hAnsi="Palatino Linotype" w:cs="Arial"/>
          <w:color w:val="000000" w:themeColor="text1"/>
        </w:rPr>
        <w:t xml:space="preserve">, </w:t>
      </w:r>
      <w:proofErr w:type="spellStart"/>
      <w:r>
        <w:rPr>
          <w:rFonts w:ascii="Palatino Linotype" w:eastAsia="Calibri" w:hAnsi="Palatino Linotype" w:cs="Arial"/>
          <w:b/>
          <w:color w:val="000000" w:themeColor="text1"/>
        </w:rPr>
        <w:t>presuncional</w:t>
      </w:r>
      <w:proofErr w:type="spellEnd"/>
      <w:r>
        <w:rPr>
          <w:rFonts w:ascii="Palatino Linotype" w:eastAsia="Calibri" w:hAnsi="Palatino Linotype" w:cs="Arial"/>
          <w:color w:val="000000" w:themeColor="text1"/>
        </w:rPr>
        <w:t xml:space="preserve">, y la </w:t>
      </w:r>
      <w:r>
        <w:rPr>
          <w:rFonts w:ascii="Palatino Linotype" w:eastAsia="Calibri" w:hAnsi="Palatino Linotype" w:cs="Arial"/>
          <w:b/>
          <w:color w:val="000000" w:themeColor="text1"/>
        </w:rPr>
        <w:t>instrumental</w:t>
      </w:r>
      <w:r>
        <w:rPr>
          <w:rFonts w:ascii="Palatino Linotype" w:eastAsia="Calibri" w:hAnsi="Palatino Linotype" w:cs="Arial"/>
          <w:color w:val="000000" w:themeColor="text1"/>
        </w:rPr>
        <w:t xml:space="preserve">, las cuales fueron señaladas por el </w:t>
      </w:r>
      <w:r>
        <w:rPr>
          <w:rFonts w:ascii="Palatino Linotype" w:eastAsia="Calibri" w:hAnsi="Palatino Linotype" w:cs="Arial"/>
          <w:b/>
          <w:color w:val="000000" w:themeColor="text1"/>
        </w:rPr>
        <w:t>SUJETO OBLIGADO</w:t>
      </w:r>
      <w:r>
        <w:rPr>
          <w:rFonts w:ascii="Palatino Linotype" w:eastAsia="Calibri" w:hAnsi="Palatino Linotype" w:cs="Arial"/>
          <w:color w:val="000000" w:themeColor="text1"/>
        </w:rPr>
        <w:t xml:space="preserve"> dentro de su recurso de revisión.</w:t>
      </w:r>
    </w:p>
    <w:p w14:paraId="490BB78E" w14:textId="77777777" w:rsidR="00D86A5E" w:rsidRPr="00710B50" w:rsidRDefault="00D86A5E" w:rsidP="00D86A5E">
      <w:pPr>
        <w:pStyle w:val="Prrafodelista"/>
        <w:tabs>
          <w:tab w:val="left" w:pos="426"/>
        </w:tabs>
        <w:spacing w:line="360" w:lineRule="auto"/>
        <w:ind w:left="0"/>
        <w:jc w:val="both"/>
        <w:rPr>
          <w:rFonts w:ascii="Palatino Linotype" w:hAnsi="Palatino Linotype"/>
          <w:color w:val="000000" w:themeColor="text1"/>
        </w:rPr>
      </w:pPr>
    </w:p>
    <w:p w14:paraId="618D9741" w14:textId="77777777" w:rsidR="00D86A5E" w:rsidRPr="002617DC" w:rsidRDefault="00D86A5E" w:rsidP="00D86A5E">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eastAsia="Calibri" w:hAnsi="Palatino Linotype" w:cs="Arial"/>
          <w:color w:val="000000" w:themeColor="text1"/>
        </w:rPr>
        <w:t xml:space="preserve">Al respecto, el Código de Procedimientos Administrativos del Estado de México, en su artículo 57, reconoce por </w:t>
      </w:r>
      <w:r>
        <w:rPr>
          <w:rFonts w:ascii="Palatino Linotype" w:eastAsia="Calibri" w:hAnsi="Palatino Linotype" w:cs="Arial"/>
          <w:b/>
          <w:color w:val="000000" w:themeColor="text1"/>
        </w:rPr>
        <w:t>documentos públicos</w:t>
      </w:r>
      <w:r>
        <w:rPr>
          <w:rFonts w:ascii="Palatino Linotype" w:eastAsia="Calibri" w:hAnsi="Palatino Linotype" w:cs="Arial"/>
          <w:color w:val="000000" w:themeColor="text1"/>
        </w:rPr>
        <w:t xml:space="preserve"> </w:t>
      </w:r>
      <w:r w:rsidRPr="002617DC">
        <w:rPr>
          <w:rFonts w:ascii="Palatino Linotype" w:eastAsia="Calibri" w:hAnsi="Palatino Linotype" w:cs="Arial"/>
          <w:color w:val="000000" w:themeColor="text1"/>
        </w:rPr>
        <w:t>aquéllos cuya formulación está encomendada por ley, dentro de los límites de sus facultades, a las personas dotadas de fe pública y los expedidos por servidores públicos en</w:t>
      </w:r>
      <w:r>
        <w:rPr>
          <w:rFonts w:ascii="Palatino Linotype" w:eastAsia="Calibri" w:hAnsi="Palatino Linotype" w:cs="Arial"/>
          <w:color w:val="000000" w:themeColor="text1"/>
        </w:rPr>
        <w:t xml:space="preserve"> el ejercicio de sus funciones; asimismo, refiere que la </w:t>
      </w:r>
      <w:r w:rsidRPr="002617DC">
        <w:rPr>
          <w:rFonts w:ascii="Palatino Linotype" w:eastAsia="Calibri" w:hAnsi="Palatino Linotype" w:cs="Arial"/>
          <w:color w:val="000000" w:themeColor="text1"/>
        </w:rPr>
        <w:t xml:space="preserve">calidad de públicos se demuestra por la existencia regular, sobre los documentos, de sellos, firmas u otros signos exteriores </w:t>
      </w:r>
      <w:r w:rsidRPr="002617DC">
        <w:rPr>
          <w:rFonts w:ascii="Palatino Linotype" w:eastAsia="Calibri" w:hAnsi="Palatino Linotype" w:cs="Arial"/>
          <w:color w:val="000000" w:themeColor="text1"/>
        </w:rPr>
        <w:lastRenderedPageBreak/>
        <w:t>que, en su caso, prevengan las leyes, salvo prueba en contrario.</w:t>
      </w:r>
      <w:r>
        <w:rPr>
          <w:rFonts w:ascii="Palatino Linotype" w:eastAsia="Calibri" w:hAnsi="Palatino Linotype" w:cs="Arial"/>
          <w:color w:val="000000" w:themeColor="text1"/>
        </w:rPr>
        <w:t xml:space="preserve"> Por otro lado, identifica a los </w:t>
      </w:r>
      <w:r>
        <w:rPr>
          <w:rFonts w:ascii="Palatino Linotype" w:eastAsia="Calibri" w:hAnsi="Palatino Linotype" w:cs="Arial"/>
          <w:b/>
          <w:color w:val="000000" w:themeColor="text1"/>
        </w:rPr>
        <w:t>documentos privados</w:t>
      </w:r>
      <w:r>
        <w:rPr>
          <w:rFonts w:ascii="Palatino Linotype" w:eastAsia="Calibri" w:hAnsi="Palatino Linotype" w:cs="Arial"/>
          <w:color w:val="000000" w:themeColor="text1"/>
        </w:rPr>
        <w:t xml:space="preserve"> a aquéllos que no reúnan las condiciones previstas para los públicos</w:t>
      </w:r>
      <w:r>
        <w:rPr>
          <w:rStyle w:val="Refdenotaalpie"/>
          <w:rFonts w:ascii="Palatino Linotype" w:eastAsia="Calibri" w:hAnsi="Palatino Linotype" w:cs="Arial"/>
          <w:color w:val="000000" w:themeColor="text1"/>
        </w:rPr>
        <w:footnoteReference w:id="2"/>
      </w:r>
      <w:r>
        <w:rPr>
          <w:rFonts w:ascii="Palatino Linotype" w:eastAsia="Calibri" w:hAnsi="Palatino Linotype" w:cs="Arial"/>
          <w:color w:val="000000" w:themeColor="text1"/>
        </w:rPr>
        <w:t>.</w:t>
      </w:r>
    </w:p>
    <w:p w14:paraId="0FF07C32" w14:textId="77777777" w:rsidR="00D86A5E" w:rsidRPr="002617DC" w:rsidRDefault="00D86A5E" w:rsidP="00D86A5E">
      <w:pPr>
        <w:pStyle w:val="Prrafodelista"/>
        <w:tabs>
          <w:tab w:val="left" w:pos="426"/>
        </w:tabs>
        <w:spacing w:line="360" w:lineRule="auto"/>
        <w:ind w:left="0"/>
        <w:jc w:val="both"/>
        <w:rPr>
          <w:rFonts w:ascii="Palatino Linotype" w:hAnsi="Palatino Linotype"/>
          <w:color w:val="000000" w:themeColor="text1"/>
        </w:rPr>
      </w:pPr>
    </w:p>
    <w:p w14:paraId="17D94D01" w14:textId="77777777" w:rsidR="00D86A5E" w:rsidRPr="002617DC" w:rsidRDefault="00D86A5E" w:rsidP="00D86A5E">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eastAsia="Calibri" w:hAnsi="Palatino Linotype" w:cs="Arial"/>
          <w:color w:val="000000" w:themeColor="text1"/>
        </w:rPr>
        <w:t xml:space="preserve">Por cuanto hace a la prueba </w:t>
      </w:r>
      <w:proofErr w:type="spellStart"/>
      <w:r w:rsidRPr="004B4713">
        <w:rPr>
          <w:rFonts w:ascii="Palatino Linotype" w:eastAsia="Calibri" w:hAnsi="Palatino Linotype" w:cs="Arial"/>
          <w:b/>
          <w:color w:val="000000" w:themeColor="text1"/>
        </w:rPr>
        <w:t>presuncional</w:t>
      </w:r>
      <w:proofErr w:type="spellEnd"/>
      <w:r>
        <w:rPr>
          <w:rFonts w:ascii="Palatino Linotype" w:eastAsia="Calibri" w:hAnsi="Palatino Linotype" w:cs="Arial"/>
          <w:color w:val="000000" w:themeColor="text1"/>
        </w:rPr>
        <w:t xml:space="preserve">, se establece como </w:t>
      </w:r>
      <w:r>
        <w:rPr>
          <w:rFonts w:ascii="Palatino Linotype" w:eastAsia="Calibri" w:hAnsi="Palatino Linotype" w:cs="Arial"/>
          <w:i/>
          <w:color w:val="000000" w:themeColor="text1"/>
        </w:rPr>
        <w:t>presunción</w:t>
      </w:r>
      <w:r>
        <w:rPr>
          <w:rFonts w:ascii="Palatino Linotype" w:eastAsia="Calibri" w:hAnsi="Palatino Linotype" w:cs="Arial"/>
          <w:color w:val="000000" w:themeColor="text1"/>
        </w:rPr>
        <w:t xml:space="preserve"> como la </w:t>
      </w:r>
      <w:r w:rsidRPr="002617DC">
        <w:rPr>
          <w:rFonts w:ascii="Palatino Linotype" w:eastAsia="Calibri" w:hAnsi="Palatino Linotype" w:cs="Arial"/>
          <w:color w:val="000000" w:themeColor="text1"/>
        </w:rPr>
        <w:t>consecuencia que la ley, autoridad administrativa o el Tribunal</w:t>
      </w:r>
      <w:r>
        <w:rPr>
          <w:rFonts w:ascii="Palatino Linotype" w:eastAsia="Calibri" w:hAnsi="Palatino Linotype" w:cs="Arial"/>
          <w:color w:val="000000" w:themeColor="text1"/>
        </w:rPr>
        <w:t xml:space="preserve"> de Justicia Administrativa del Estado de México</w:t>
      </w:r>
      <w:r w:rsidRPr="002617DC">
        <w:rPr>
          <w:rFonts w:ascii="Palatino Linotype" w:eastAsia="Calibri" w:hAnsi="Palatino Linotype" w:cs="Arial"/>
          <w:color w:val="000000" w:themeColor="text1"/>
        </w:rPr>
        <w:t xml:space="preserve"> deducen de un hecho conocido para averiguar la verdad de otro desconocido; la primera se llama legal y la segunda humana. </w:t>
      </w:r>
      <w:r>
        <w:rPr>
          <w:rFonts w:ascii="Palatino Linotype" w:eastAsia="Calibri" w:hAnsi="Palatino Linotype" w:cs="Arial"/>
          <w:color w:val="000000" w:themeColor="text1"/>
        </w:rPr>
        <w:t>en ese sentido, h</w:t>
      </w:r>
      <w:r w:rsidRPr="002617DC">
        <w:rPr>
          <w:rFonts w:ascii="Palatino Linotype" w:eastAsia="Calibri" w:hAnsi="Palatino Linotype" w:cs="Arial"/>
          <w:color w:val="000000" w:themeColor="text1"/>
        </w:rPr>
        <w:t>ay presunción legal cuando la</w:t>
      </w:r>
      <w:r>
        <w:rPr>
          <w:rFonts w:ascii="Palatino Linotype" w:eastAsia="Calibri" w:hAnsi="Palatino Linotype" w:cs="Arial"/>
          <w:color w:val="000000" w:themeColor="text1"/>
        </w:rPr>
        <w:t xml:space="preserve"> ley la establece expresamente; por su parte, hay </w:t>
      </w:r>
      <w:r w:rsidRPr="002617DC">
        <w:rPr>
          <w:rFonts w:ascii="Palatino Linotype" w:eastAsia="Calibri" w:hAnsi="Palatino Linotype" w:cs="Arial"/>
          <w:color w:val="000000" w:themeColor="text1"/>
        </w:rPr>
        <w:t>presunción humana cuando de un hecho debidamente probado se deduce otro que es consecuencia ordinaria de aquél</w:t>
      </w:r>
      <w:r>
        <w:rPr>
          <w:rStyle w:val="Refdenotaalpie"/>
          <w:rFonts w:ascii="Palatino Linotype" w:eastAsia="Calibri" w:hAnsi="Palatino Linotype" w:cs="Arial"/>
          <w:color w:val="000000" w:themeColor="text1"/>
        </w:rPr>
        <w:footnoteReference w:id="3"/>
      </w:r>
      <w:r w:rsidRPr="002617DC">
        <w:rPr>
          <w:rFonts w:ascii="Palatino Linotype" w:eastAsia="Calibri" w:hAnsi="Palatino Linotype" w:cs="Arial"/>
          <w:color w:val="000000" w:themeColor="text1"/>
        </w:rPr>
        <w:t>.</w:t>
      </w:r>
    </w:p>
    <w:p w14:paraId="066BD3BE" w14:textId="77777777" w:rsidR="00D86A5E" w:rsidRPr="002617DC" w:rsidRDefault="00D86A5E" w:rsidP="00D86A5E">
      <w:pPr>
        <w:pStyle w:val="Prrafodelista"/>
        <w:tabs>
          <w:tab w:val="left" w:pos="426"/>
        </w:tabs>
        <w:spacing w:line="360" w:lineRule="auto"/>
        <w:ind w:left="0"/>
        <w:jc w:val="both"/>
        <w:rPr>
          <w:rFonts w:ascii="Palatino Linotype" w:hAnsi="Palatino Linotype"/>
          <w:color w:val="000000" w:themeColor="text1"/>
        </w:rPr>
      </w:pPr>
    </w:p>
    <w:p w14:paraId="71A6D239" w14:textId="77777777" w:rsidR="00D86A5E" w:rsidRPr="002617DC" w:rsidRDefault="00D86A5E" w:rsidP="00D86A5E">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eastAsia="Calibri" w:hAnsi="Palatino Linotype" w:cs="Arial"/>
          <w:color w:val="000000" w:themeColor="text1"/>
        </w:rPr>
        <w:t xml:space="preserve">En lo que corresponde a la prueba </w:t>
      </w:r>
      <w:r w:rsidRPr="004B4713">
        <w:rPr>
          <w:rFonts w:ascii="Palatino Linotype" w:eastAsia="Calibri" w:hAnsi="Palatino Linotype" w:cs="Arial"/>
          <w:b/>
          <w:color w:val="000000" w:themeColor="text1"/>
        </w:rPr>
        <w:t>instrumental</w:t>
      </w:r>
      <w:r>
        <w:rPr>
          <w:rFonts w:ascii="Palatino Linotype" w:eastAsia="Calibri" w:hAnsi="Palatino Linotype" w:cs="Arial"/>
          <w:color w:val="000000" w:themeColor="text1"/>
        </w:rPr>
        <w:t xml:space="preserve">, ésta es el </w:t>
      </w:r>
      <w:r w:rsidRPr="002617DC">
        <w:rPr>
          <w:rFonts w:ascii="Palatino Linotype" w:eastAsia="Calibri" w:hAnsi="Palatino Linotype" w:cs="Arial"/>
          <w:color w:val="000000" w:themeColor="text1"/>
        </w:rPr>
        <w:t>conjunto de actuaciones que obren en el expediente formado con motivo del asunto</w:t>
      </w:r>
      <w:r>
        <w:rPr>
          <w:rStyle w:val="Refdenotaalpie"/>
          <w:rFonts w:ascii="Palatino Linotype" w:eastAsia="Calibri" w:hAnsi="Palatino Linotype" w:cs="Arial"/>
          <w:color w:val="000000" w:themeColor="text1"/>
        </w:rPr>
        <w:footnoteReference w:id="4"/>
      </w:r>
      <w:r w:rsidRPr="002617DC">
        <w:rPr>
          <w:rFonts w:ascii="Palatino Linotype" w:eastAsia="Calibri" w:hAnsi="Palatino Linotype" w:cs="Arial"/>
          <w:color w:val="000000" w:themeColor="text1"/>
        </w:rPr>
        <w:t>.</w:t>
      </w:r>
      <w:r>
        <w:rPr>
          <w:rFonts w:ascii="Palatino Linotype" w:eastAsia="Calibri" w:hAnsi="Palatino Linotype" w:cs="Arial"/>
          <w:color w:val="000000" w:themeColor="text1"/>
        </w:rPr>
        <w:t xml:space="preserve"> En razón de lo anterior, la </w:t>
      </w:r>
      <w:r w:rsidRPr="002617DC">
        <w:rPr>
          <w:rFonts w:ascii="Palatino Linotype" w:eastAsia="Calibri" w:hAnsi="Palatino Linotype" w:cs="Arial"/>
          <w:color w:val="000000" w:themeColor="text1"/>
        </w:rPr>
        <w:t>autoridad administrativa o el Tribunal están obligados a tomar en cuenta las actuaciones que obren en el expediente</w:t>
      </w:r>
      <w:r>
        <w:rPr>
          <w:rStyle w:val="Refdenotaalpie"/>
          <w:rFonts w:ascii="Palatino Linotype" w:eastAsia="Calibri" w:hAnsi="Palatino Linotype" w:cs="Arial"/>
          <w:color w:val="000000" w:themeColor="text1"/>
        </w:rPr>
        <w:footnoteReference w:id="5"/>
      </w:r>
      <w:r w:rsidRPr="002617DC">
        <w:rPr>
          <w:rFonts w:ascii="Palatino Linotype" w:eastAsia="Calibri" w:hAnsi="Palatino Linotype" w:cs="Arial"/>
          <w:color w:val="000000" w:themeColor="text1"/>
        </w:rPr>
        <w:t>.</w:t>
      </w:r>
    </w:p>
    <w:p w14:paraId="27DBC95F" w14:textId="77777777" w:rsidR="00D86A5E" w:rsidRPr="002617DC" w:rsidRDefault="00D86A5E" w:rsidP="00D86A5E">
      <w:pPr>
        <w:pStyle w:val="Prrafodelista"/>
        <w:tabs>
          <w:tab w:val="left" w:pos="426"/>
        </w:tabs>
        <w:spacing w:line="360" w:lineRule="auto"/>
        <w:ind w:left="0"/>
        <w:jc w:val="both"/>
        <w:rPr>
          <w:rFonts w:ascii="Palatino Linotype" w:hAnsi="Palatino Linotype"/>
          <w:color w:val="000000" w:themeColor="text1"/>
        </w:rPr>
      </w:pPr>
    </w:p>
    <w:p w14:paraId="7E0F2055" w14:textId="3392D109" w:rsidR="00D86A5E" w:rsidRDefault="00D86A5E" w:rsidP="00D86A5E">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eastAsia="Calibri" w:hAnsi="Palatino Linotype" w:cs="Arial"/>
          <w:color w:val="000000" w:themeColor="text1"/>
        </w:rPr>
        <w:t>Cada uno de los medios de prueba aportados por las partes serán analizados dentro del estudio de la presente resolución, y permitirán que esta Ponencia Resolutora se haga de tantos elementos posibles para llegar a una determinación apegada a derecho en estricta tutela del derecho de acceso a la información ejercido por la particular.</w:t>
      </w:r>
    </w:p>
    <w:p w14:paraId="740A685D" w14:textId="77777777" w:rsidR="002630E4" w:rsidRPr="00103662" w:rsidRDefault="002630E4" w:rsidP="00103662">
      <w:pPr>
        <w:pStyle w:val="Prrafodelista"/>
        <w:tabs>
          <w:tab w:val="left" w:pos="426"/>
        </w:tabs>
        <w:spacing w:line="360" w:lineRule="auto"/>
        <w:ind w:left="0"/>
        <w:jc w:val="both"/>
        <w:rPr>
          <w:rFonts w:ascii="Palatino Linotype" w:hAnsi="Palatino Linotype"/>
          <w:color w:val="000000" w:themeColor="text1"/>
        </w:rPr>
      </w:pPr>
    </w:p>
    <w:p w14:paraId="15661DD9" w14:textId="2ADDC187" w:rsidR="00540208" w:rsidRPr="00A85CB7" w:rsidRDefault="001B5BC3" w:rsidP="00B31E90">
      <w:pPr>
        <w:pStyle w:val="Ttulo2"/>
        <w:spacing w:before="0"/>
        <w:rPr>
          <w:rFonts w:ascii="Palatino Linotype" w:hAnsi="Palatino Linotype"/>
          <w:b/>
          <w:color w:val="000000" w:themeColor="text1"/>
          <w:sz w:val="24"/>
          <w:szCs w:val="24"/>
        </w:rPr>
      </w:pPr>
      <w:bookmarkStart w:id="12" w:name="_Toc500360400"/>
      <w:bookmarkStart w:id="13" w:name="_Toc500786931"/>
      <w:bookmarkStart w:id="14" w:name="_Toc87456488"/>
      <w:bookmarkStart w:id="15" w:name="_Toc495427545"/>
      <w:bookmarkStart w:id="16" w:name="_Toc499296549"/>
      <w:bookmarkStart w:id="17" w:name="_Toc459174366"/>
      <w:bookmarkStart w:id="18" w:name="_Toc459659884"/>
      <w:bookmarkStart w:id="19" w:name="_Toc461687280"/>
      <w:bookmarkStart w:id="20" w:name="_Toc462771051"/>
      <w:bookmarkStart w:id="21" w:name="_Toc464139201"/>
      <w:r>
        <w:rPr>
          <w:rFonts w:ascii="Palatino Linotype" w:hAnsi="Palatino Linotype"/>
          <w:b/>
          <w:color w:val="000000" w:themeColor="text1"/>
          <w:sz w:val="24"/>
          <w:szCs w:val="24"/>
        </w:rPr>
        <w:t>CUARTO</w:t>
      </w:r>
      <w:r w:rsidR="00C50A2B" w:rsidRPr="00A85CB7">
        <w:rPr>
          <w:rFonts w:ascii="Palatino Linotype" w:hAnsi="Palatino Linotype"/>
          <w:b/>
          <w:color w:val="000000" w:themeColor="text1"/>
          <w:sz w:val="24"/>
          <w:szCs w:val="24"/>
        </w:rPr>
        <w:t>. De</w:t>
      </w:r>
      <w:r w:rsidR="00AD76A1" w:rsidRPr="00A85CB7">
        <w:rPr>
          <w:rFonts w:ascii="Palatino Linotype" w:hAnsi="Palatino Linotype"/>
          <w:b/>
          <w:color w:val="000000" w:themeColor="text1"/>
          <w:sz w:val="24"/>
          <w:szCs w:val="24"/>
        </w:rPr>
        <w:t xml:space="preserve">l planteamiento de la </w:t>
      </w:r>
      <w:r w:rsidR="00AD76A1" w:rsidRPr="00A85CB7">
        <w:rPr>
          <w:rFonts w:ascii="Palatino Linotype" w:hAnsi="Palatino Linotype"/>
          <w:b/>
          <w:i/>
          <w:color w:val="000000" w:themeColor="text1"/>
          <w:sz w:val="24"/>
          <w:szCs w:val="24"/>
        </w:rPr>
        <w:t>Litis</w:t>
      </w:r>
      <w:r w:rsidR="00C50A2B" w:rsidRPr="00A85CB7">
        <w:rPr>
          <w:rFonts w:ascii="Palatino Linotype" w:hAnsi="Palatino Linotype"/>
          <w:b/>
          <w:color w:val="000000" w:themeColor="text1"/>
          <w:sz w:val="24"/>
          <w:szCs w:val="24"/>
        </w:rPr>
        <w:t>.</w:t>
      </w:r>
      <w:bookmarkEnd w:id="12"/>
      <w:bookmarkEnd w:id="13"/>
      <w:bookmarkEnd w:id="14"/>
    </w:p>
    <w:p w14:paraId="4231B8D5" w14:textId="77777777" w:rsidR="00540208" w:rsidRPr="00A85CB7" w:rsidRDefault="00540208" w:rsidP="00B31E90">
      <w:pPr>
        <w:rPr>
          <w:rFonts w:ascii="Palatino Linotype" w:hAnsi="Palatino Linotype"/>
          <w:color w:val="000000" w:themeColor="text1"/>
          <w:lang w:eastAsia="en-US"/>
        </w:rPr>
      </w:pPr>
    </w:p>
    <w:bookmarkEnd w:id="15"/>
    <w:bookmarkEnd w:id="16"/>
    <w:p w14:paraId="26137E4C" w14:textId="494D7C96" w:rsidR="0056788F" w:rsidRPr="00CA0640" w:rsidRDefault="001C20E8" w:rsidP="00DA22D8">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Pr>
          <w:rFonts w:ascii="Palatino Linotype" w:hAnsi="Palatino Linotype" w:cs="Arial"/>
          <w:color w:val="000000" w:themeColor="text1"/>
        </w:rPr>
        <w:t xml:space="preserve">Se requirió </w:t>
      </w:r>
      <w:r w:rsidR="00642BAA">
        <w:rPr>
          <w:rFonts w:ascii="Palatino Linotype" w:hAnsi="Palatino Linotype" w:cs="Arial"/>
          <w:color w:val="000000" w:themeColor="text1"/>
        </w:rPr>
        <w:t>una relación que contenga todos los fideicomisos en los que el Gobierno del Estado de México tenga participación, así como sus respectivos contratos, convenios modificatorios y anexos</w:t>
      </w:r>
      <w:r w:rsidR="007E64B6">
        <w:rPr>
          <w:rFonts w:ascii="Palatino Linotype" w:hAnsi="Palatino Linotype" w:cs="Arial"/>
          <w:color w:val="000000" w:themeColor="text1"/>
        </w:rPr>
        <w:t>.</w:t>
      </w:r>
      <w:r w:rsidR="00910076">
        <w:rPr>
          <w:rFonts w:ascii="Palatino Linotype" w:hAnsi="Palatino Linotype" w:cs="Arial"/>
          <w:color w:val="000000" w:themeColor="text1"/>
        </w:rPr>
        <w:t xml:space="preserve"> El </w:t>
      </w:r>
      <w:r w:rsidR="00910076">
        <w:rPr>
          <w:rFonts w:ascii="Palatino Linotype" w:hAnsi="Palatino Linotype" w:cs="Arial"/>
          <w:b/>
          <w:bCs/>
          <w:color w:val="000000" w:themeColor="text1"/>
        </w:rPr>
        <w:t>SUJETO OBLIGADO</w:t>
      </w:r>
      <w:r w:rsidR="00910076">
        <w:rPr>
          <w:rFonts w:ascii="Palatino Linotype" w:hAnsi="Palatino Linotype" w:cs="Arial"/>
          <w:color w:val="000000" w:themeColor="text1"/>
        </w:rPr>
        <w:t xml:space="preserve"> </w:t>
      </w:r>
      <w:r w:rsidR="00642BAA">
        <w:rPr>
          <w:rFonts w:ascii="Palatino Linotype" w:hAnsi="Palatino Linotype" w:cs="Arial"/>
          <w:color w:val="000000" w:themeColor="text1"/>
        </w:rPr>
        <w:t>entregó varios documentos consistentes en los expedientes formados por los diversos Fideicomisos celebrados entre el Gobierno del Estado de México y distintas Instituciones de Banca Múltiple</w:t>
      </w:r>
      <w:r w:rsidR="007E64B6">
        <w:rPr>
          <w:rFonts w:ascii="Palatino Linotype" w:hAnsi="Palatino Linotype" w:cs="Arial"/>
          <w:color w:val="000000" w:themeColor="text1"/>
        </w:rPr>
        <w:t>.</w:t>
      </w:r>
      <w:r w:rsidR="007758D3">
        <w:rPr>
          <w:rFonts w:ascii="Palatino Linotype" w:hAnsi="Palatino Linotype" w:cs="Arial"/>
          <w:color w:val="000000" w:themeColor="text1"/>
        </w:rPr>
        <w:t xml:space="preserve"> </w:t>
      </w:r>
      <w:r w:rsidR="00642BAA">
        <w:rPr>
          <w:rFonts w:ascii="Palatino Linotype" w:hAnsi="Palatino Linotype" w:cs="Arial"/>
          <w:color w:val="000000" w:themeColor="text1"/>
        </w:rPr>
        <w:t>La</w:t>
      </w:r>
      <w:r w:rsidR="00080B7D">
        <w:rPr>
          <w:rFonts w:ascii="Palatino Linotype" w:hAnsi="Palatino Linotype" w:cs="Arial"/>
          <w:color w:val="000000" w:themeColor="text1"/>
        </w:rPr>
        <w:t xml:space="preserve"> </w:t>
      </w:r>
      <w:r w:rsidR="007758D3">
        <w:rPr>
          <w:rFonts w:ascii="Palatino Linotype" w:hAnsi="Palatino Linotype" w:cs="Arial"/>
          <w:color w:val="000000" w:themeColor="text1"/>
        </w:rPr>
        <w:t xml:space="preserve">particular impugnó la respuesta del </w:t>
      </w:r>
      <w:r w:rsidR="007758D3">
        <w:rPr>
          <w:rFonts w:ascii="Palatino Linotype" w:hAnsi="Palatino Linotype" w:cs="Arial"/>
          <w:b/>
          <w:color w:val="000000" w:themeColor="text1"/>
        </w:rPr>
        <w:t>SUJETO OBLIGADO</w:t>
      </w:r>
      <w:r w:rsidR="007758D3">
        <w:rPr>
          <w:rFonts w:ascii="Palatino Linotype" w:hAnsi="Palatino Linotype" w:cs="Arial"/>
          <w:color w:val="000000" w:themeColor="text1"/>
        </w:rPr>
        <w:t xml:space="preserve"> mediante recurso de revisión</w:t>
      </w:r>
      <w:r w:rsidR="00080B7D">
        <w:rPr>
          <w:rFonts w:ascii="Palatino Linotype" w:hAnsi="Palatino Linotype" w:cs="Arial"/>
          <w:color w:val="000000" w:themeColor="text1"/>
        </w:rPr>
        <w:t>,</w:t>
      </w:r>
      <w:r w:rsidR="007758D3">
        <w:rPr>
          <w:rFonts w:ascii="Palatino Linotype" w:hAnsi="Palatino Linotype" w:cs="Arial"/>
          <w:color w:val="000000" w:themeColor="text1"/>
        </w:rPr>
        <w:t xml:space="preserve"> en el que señaló por agravios</w:t>
      </w:r>
      <w:r w:rsidR="00642BAA">
        <w:rPr>
          <w:rFonts w:ascii="Palatino Linotype" w:hAnsi="Palatino Linotype" w:cs="Arial"/>
          <w:color w:val="000000" w:themeColor="text1"/>
        </w:rPr>
        <w:t xml:space="preserve"> que no se le entregó la información vía correo electrónico y q</w:t>
      </w:r>
      <w:r w:rsidR="00C16D2F">
        <w:rPr>
          <w:rFonts w:ascii="Palatino Linotype" w:hAnsi="Palatino Linotype" w:cs="Arial"/>
          <w:color w:val="000000" w:themeColor="text1"/>
        </w:rPr>
        <w:t>ue los archivos entregados en respuesta no se pueden descargar ni visualizar.</w:t>
      </w:r>
    </w:p>
    <w:p w14:paraId="52493E42" w14:textId="77777777" w:rsidR="0056788F" w:rsidRDefault="0056788F" w:rsidP="0056788F">
      <w:pPr>
        <w:pStyle w:val="Prrafodelista"/>
        <w:tabs>
          <w:tab w:val="left" w:pos="426"/>
        </w:tabs>
        <w:spacing w:line="360" w:lineRule="auto"/>
        <w:ind w:left="0" w:right="49"/>
        <w:jc w:val="both"/>
        <w:rPr>
          <w:rFonts w:ascii="Palatino Linotype" w:hAnsi="Palatino Linotype" w:cs="Arial"/>
          <w:color w:val="000000" w:themeColor="text1"/>
        </w:rPr>
      </w:pPr>
    </w:p>
    <w:p w14:paraId="17C58E36" w14:textId="709D0831" w:rsidR="001A032D" w:rsidRPr="0056788F" w:rsidRDefault="001A032D" w:rsidP="00DA22D8">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sidRPr="0056788F">
        <w:rPr>
          <w:rFonts w:ascii="Palatino Linotype" w:hAnsi="Palatino Linotype" w:cs="Arial"/>
          <w:color w:val="000000" w:themeColor="text1"/>
        </w:rPr>
        <w:t xml:space="preserve">En ese sentido, </w:t>
      </w:r>
      <w:r w:rsidR="00AF6795">
        <w:rPr>
          <w:rFonts w:ascii="Palatino Linotype" w:hAnsi="Palatino Linotype" w:cs="Arial"/>
          <w:color w:val="000000" w:themeColor="text1"/>
        </w:rPr>
        <w:t>este</w:t>
      </w:r>
      <w:r w:rsidR="002E160F" w:rsidRPr="0056788F">
        <w:rPr>
          <w:rFonts w:ascii="Palatino Linotype" w:hAnsi="Palatino Linotype" w:cs="Arial"/>
          <w:color w:val="000000" w:themeColor="text1"/>
        </w:rPr>
        <w:t xml:space="preserve"> </w:t>
      </w:r>
      <w:r w:rsidR="00AF6795">
        <w:rPr>
          <w:rFonts w:ascii="Palatino Linotype" w:hAnsi="Palatino Linotype" w:cs="Arial"/>
          <w:color w:val="000000" w:themeColor="text1"/>
        </w:rPr>
        <w:t>Órgano Garante</w:t>
      </w:r>
      <w:r w:rsidR="002E160F" w:rsidRPr="0056788F">
        <w:rPr>
          <w:rFonts w:ascii="Palatino Linotype" w:hAnsi="Palatino Linotype" w:cs="Arial"/>
          <w:color w:val="000000" w:themeColor="text1"/>
        </w:rPr>
        <w:t xml:space="preserve"> advierte que las razones o motivos de inconformidad manifestados por </w:t>
      </w:r>
      <w:r w:rsidR="00C16D2F">
        <w:rPr>
          <w:rFonts w:ascii="Palatino Linotype" w:hAnsi="Palatino Linotype" w:cs="Arial"/>
          <w:color w:val="000000" w:themeColor="text1"/>
        </w:rPr>
        <w:t>la</w:t>
      </w:r>
      <w:r w:rsidR="002E160F" w:rsidRPr="0056788F">
        <w:rPr>
          <w:rFonts w:ascii="Palatino Linotype" w:hAnsi="Palatino Linotype" w:cs="Arial"/>
          <w:color w:val="000000" w:themeColor="text1"/>
        </w:rPr>
        <w:t xml:space="preserve"> </w:t>
      </w:r>
      <w:r w:rsidRPr="0056788F">
        <w:rPr>
          <w:rFonts w:ascii="Palatino Linotype" w:hAnsi="Palatino Linotype" w:cs="Arial"/>
          <w:b/>
          <w:bCs/>
          <w:color w:val="000000" w:themeColor="text1"/>
        </w:rPr>
        <w:t>RECURRENTE</w:t>
      </w:r>
      <w:r w:rsidRPr="0056788F">
        <w:rPr>
          <w:rFonts w:ascii="Palatino Linotype" w:hAnsi="Palatino Linotype" w:cs="Arial"/>
          <w:color w:val="000000" w:themeColor="text1"/>
        </w:rPr>
        <w:t xml:space="preserve"> </w:t>
      </w:r>
      <w:r w:rsidR="002E160F" w:rsidRPr="0056788F">
        <w:rPr>
          <w:rFonts w:ascii="Palatino Linotype" w:hAnsi="Palatino Linotype" w:cs="Arial"/>
          <w:color w:val="000000" w:themeColor="text1"/>
        </w:rPr>
        <w:t>sugieren que la respuesta proporcionada</w:t>
      </w:r>
      <w:r w:rsidR="00B855AA" w:rsidRPr="0056788F">
        <w:rPr>
          <w:rFonts w:ascii="Palatino Linotype" w:hAnsi="Palatino Linotype" w:cs="Arial"/>
          <w:color w:val="000000" w:themeColor="text1"/>
        </w:rPr>
        <w:t xml:space="preserve"> por el </w:t>
      </w:r>
      <w:r w:rsidR="00B855AA" w:rsidRPr="0056788F">
        <w:rPr>
          <w:rFonts w:ascii="Palatino Linotype" w:hAnsi="Palatino Linotype" w:cs="Arial"/>
          <w:b/>
          <w:bCs/>
          <w:color w:val="000000" w:themeColor="text1"/>
        </w:rPr>
        <w:t>SUJETO OBLIGADO</w:t>
      </w:r>
      <w:r w:rsidR="00B855AA" w:rsidRPr="0056788F">
        <w:rPr>
          <w:rFonts w:ascii="Palatino Linotype" w:hAnsi="Palatino Linotype" w:cs="Arial"/>
          <w:color w:val="000000" w:themeColor="text1"/>
        </w:rPr>
        <w:t xml:space="preserve"> no cumplió con </w:t>
      </w:r>
      <w:r w:rsidR="008F7752">
        <w:rPr>
          <w:rFonts w:ascii="Palatino Linotype" w:hAnsi="Palatino Linotype" w:cs="Arial"/>
          <w:color w:val="000000" w:themeColor="text1"/>
        </w:rPr>
        <w:t>los</w:t>
      </w:r>
      <w:r w:rsidR="00B855AA" w:rsidRPr="0056788F">
        <w:rPr>
          <w:rFonts w:ascii="Palatino Linotype" w:hAnsi="Palatino Linotype" w:cs="Arial"/>
          <w:color w:val="000000" w:themeColor="text1"/>
        </w:rPr>
        <w:t xml:space="preserve"> principio</w:t>
      </w:r>
      <w:r w:rsidR="008F7752">
        <w:rPr>
          <w:rFonts w:ascii="Palatino Linotype" w:hAnsi="Palatino Linotype" w:cs="Arial"/>
          <w:color w:val="000000" w:themeColor="text1"/>
        </w:rPr>
        <w:t>s</w:t>
      </w:r>
      <w:r w:rsidR="00B855AA" w:rsidRPr="0056788F">
        <w:rPr>
          <w:rFonts w:ascii="Palatino Linotype" w:hAnsi="Palatino Linotype" w:cs="Arial"/>
          <w:color w:val="000000" w:themeColor="text1"/>
        </w:rPr>
        <w:t xml:space="preserve"> contendido</w:t>
      </w:r>
      <w:r w:rsidR="008F7752">
        <w:rPr>
          <w:rFonts w:ascii="Palatino Linotype" w:hAnsi="Palatino Linotype" w:cs="Arial"/>
          <w:color w:val="000000" w:themeColor="text1"/>
        </w:rPr>
        <w:t>s</w:t>
      </w:r>
      <w:r w:rsidR="00B855AA" w:rsidRPr="0056788F">
        <w:rPr>
          <w:rFonts w:ascii="Palatino Linotype" w:hAnsi="Palatino Linotype" w:cs="Arial"/>
          <w:color w:val="000000" w:themeColor="text1"/>
        </w:rPr>
        <w:t xml:space="preserve"> en el artículo 11 de la Ley de Transparencia y Acceso a la Información Pública del Estado de México y Municipios, l</w:t>
      </w:r>
      <w:r w:rsidR="008F7752">
        <w:rPr>
          <w:rFonts w:ascii="Palatino Linotype" w:hAnsi="Palatino Linotype" w:cs="Arial"/>
          <w:color w:val="000000" w:themeColor="text1"/>
        </w:rPr>
        <w:t>os</w:t>
      </w:r>
      <w:r w:rsidR="00B855AA" w:rsidRPr="0056788F">
        <w:rPr>
          <w:rFonts w:ascii="Palatino Linotype" w:hAnsi="Palatino Linotype" w:cs="Arial"/>
          <w:color w:val="000000" w:themeColor="text1"/>
        </w:rPr>
        <w:t xml:space="preserve"> cual</w:t>
      </w:r>
      <w:r w:rsidR="008F7752">
        <w:rPr>
          <w:rFonts w:ascii="Palatino Linotype" w:hAnsi="Palatino Linotype" w:cs="Arial"/>
          <w:color w:val="000000" w:themeColor="text1"/>
        </w:rPr>
        <w:t>es</w:t>
      </w:r>
      <w:r w:rsidR="00B855AA" w:rsidRPr="0056788F">
        <w:rPr>
          <w:rFonts w:ascii="Palatino Linotype" w:hAnsi="Palatino Linotype" w:cs="Arial"/>
          <w:color w:val="000000" w:themeColor="text1"/>
        </w:rPr>
        <w:t xml:space="preserve"> señala</w:t>
      </w:r>
      <w:r w:rsidR="008F7752">
        <w:rPr>
          <w:rFonts w:ascii="Palatino Linotype" w:hAnsi="Palatino Linotype" w:cs="Arial"/>
          <w:color w:val="000000" w:themeColor="text1"/>
        </w:rPr>
        <w:t>n</w:t>
      </w:r>
      <w:r w:rsidR="00B855AA" w:rsidRPr="0056788F">
        <w:rPr>
          <w:rFonts w:ascii="Palatino Linotype" w:hAnsi="Palatino Linotype" w:cs="Arial"/>
          <w:color w:val="000000" w:themeColor="text1"/>
        </w:rPr>
        <w:t xml:space="preserve"> que en la generación, publicación y entrega de información se deberá garantizar que ésta </w:t>
      </w:r>
      <w:r w:rsidR="00C51671" w:rsidRPr="0056788F">
        <w:rPr>
          <w:rFonts w:ascii="Palatino Linotype" w:hAnsi="Palatino Linotype" w:cs="Arial"/>
          <w:color w:val="000000" w:themeColor="text1"/>
        </w:rPr>
        <w:t>sea</w:t>
      </w:r>
      <w:r w:rsidR="008474DB">
        <w:rPr>
          <w:rFonts w:ascii="Palatino Linotype" w:hAnsi="Palatino Linotype" w:cs="Arial"/>
          <w:color w:val="000000" w:themeColor="text1"/>
        </w:rPr>
        <w:t xml:space="preserve"> </w:t>
      </w:r>
      <w:r w:rsidR="008474DB">
        <w:rPr>
          <w:rFonts w:ascii="Palatino Linotype" w:hAnsi="Palatino Linotype" w:cs="Arial"/>
          <w:b/>
          <w:bCs/>
          <w:color w:val="000000" w:themeColor="text1"/>
        </w:rPr>
        <w:t>accesible</w:t>
      </w:r>
      <w:r w:rsidR="008474DB">
        <w:rPr>
          <w:rFonts w:ascii="Palatino Linotype" w:hAnsi="Palatino Linotype" w:cs="Arial"/>
          <w:color w:val="000000" w:themeColor="text1"/>
        </w:rPr>
        <w:t xml:space="preserve"> y</w:t>
      </w:r>
      <w:r w:rsidR="00B855AA" w:rsidRPr="0056788F">
        <w:rPr>
          <w:rFonts w:ascii="Palatino Linotype" w:hAnsi="Palatino Linotype" w:cs="Arial"/>
          <w:color w:val="000000" w:themeColor="text1"/>
        </w:rPr>
        <w:t xml:space="preserve"> </w:t>
      </w:r>
      <w:r w:rsidR="00C16D2F">
        <w:rPr>
          <w:rFonts w:ascii="Palatino Linotype" w:hAnsi="Palatino Linotype" w:cs="Arial"/>
          <w:b/>
          <w:bCs/>
          <w:color w:val="000000" w:themeColor="text1"/>
        </w:rPr>
        <w:t>oportuna</w:t>
      </w:r>
      <w:r w:rsidR="00B855AA" w:rsidRPr="0056788F">
        <w:rPr>
          <w:rFonts w:ascii="Palatino Linotype" w:hAnsi="Palatino Linotype" w:cs="Arial"/>
          <w:color w:val="000000" w:themeColor="text1"/>
        </w:rPr>
        <w:t>.</w:t>
      </w:r>
    </w:p>
    <w:p w14:paraId="026A3A70" w14:textId="77777777" w:rsidR="00197091" w:rsidRPr="00A85CB7" w:rsidRDefault="00197091" w:rsidP="00B31E90">
      <w:pPr>
        <w:pStyle w:val="Prrafodelista"/>
        <w:tabs>
          <w:tab w:val="left" w:pos="426"/>
        </w:tabs>
        <w:spacing w:line="360" w:lineRule="auto"/>
        <w:ind w:left="0" w:right="49"/>
        <w:jc w:val="both"/>
        <w:rPr>
          <w:rFonts w:ascii="Palatino Linotype" w:hAnsi="Palatino Linotype" w:cs="Arial"/>
          <w:color w:val="000000" w:themeColor="text1"/>
        </w:rPr>
      </w:pPr>
    </w:p>
    <w:p w14:paraId="4B724D91" w14:textId="748FFBD8" w:rsidR="00AD76A1" w:rsidRPr="00A85CB7" w:rsidRDefault="00BC4307" w:rsidP="00DA22D8">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sidRPr="00A85CB7">
        <w:rPr>
          <w:rFonts w:ascii="Palatino Linotype" w:hAnsi="Palatino Linotype" w:cs="Arial"/>
          <w:color w:val="000000" w:themeColor="text1"/>
          <w:szCs w:val="23"/>
        </w:rPr>
        <w:t xml:space="preserve">Por lo anterior, la </w:t>
      </w:r>
      <w:r w:rsidRPr="00A85CB7">
        <w:rPr>
          <w:rFonts w:ascii="Palatino Linotype" w:hAnsi="Palatino Linotype" w:cs="Arial"/>
          <w:i/>
          <w:color w:val="000000" w:themeColor="text1"/>
          <w:szCs w:val="23"/>
        </w:rPr>
        <w:t>Litis</w:t>
      </w:r>
      <w:r w:rsidRPr="00A85CB7">
        <w:rPr>
          <w:rFonts w:ascii="Palatino Linotype" w:hAnsi="Palatino Linotype" w:cs="Arial"/>
          <w:color w:val="000000" w:themeColor="text1"/>
          <w:szCs w:val="23"/>
        </w:rPr>
        <w:t xml:space="preserve"> a resolver en el presente recurso se circunscribe en determinar si</w:t>
      </w:r>
      <w:r w:rsidR="002C6561">
        <w:rPr>
          <w:rFonts w:ascii="Palatino Linotype" w:hAnsi="Palatino Linotype" w:cs="Arial"/>
          <w:color w:val="000000" w:themeColor="text1"/>
          <w:szCs w:val="23"/>
        </w:rPr>
        <w:t xml:space="preserve"> </w:t>
      </w:r>
      <w:r w:rsidR="004B0EB6">
        <w:rPr>
          <w:rFonts w:ascii="Palatino Linotype" w:hAnsi="Palatino Linotype" w:cs="Arial"/>
          <w:color w:val="000000" w:themeColor="text1"/>
          <w:szCs w:val="23"/>
        </w:rPr>
        <w:t>la respuesta del</w:t>
      </w:r>
      <w:r w:rsidR="002C6561">
        <w:rPr>
          <w:rFonts w:ascii="Palatino Linotype" w:hAnsi="Palatino Linotype" w:cs="Arial"/>
          <w:color w:val="000000" w:themeColor="text1"/>
          <w:szCs w:val="23"/>
        </w:rPr>
        <w:t xml:space="preserve"> </w:t>
      </w:r>
      <w:r w:rsidR="002C6561">
        <w:rPr>
          <w:rFonts w:ascii="Palatino Linotype" w:hAnsi="Palatino Linotype" w:cs="Arial"/>
          <w:b/>
          <w:bCs/>
          <w:color w:val="000000" w:themeColor="text1"/>
          <w:szCs w:val="23"/>
        </w:rPr>
        <w:t xml:space="preserve">SUJETO </w:t>
      </w:r>
      <w:r w:rsidR="002C6561" w:rsidRPr="002C6561">
        <w:rPr>
          <w:rFonts w:ascii="Palatino Linotype" w:hAnsi="Palatino Linotype" w:cs="Arial"/>
          <w:b/>
          <w:bCs/>
          <w:color w:val="000000" w:themeColor="text1"/>
          <w:szCs w:val="23"/>
        </w:rPr>
        <w:t>OBLIGADO</w:t>
      </w:r>
      <w:r w:rsidR="002C6561">
        <w:rPr>
          <w:rFonts w:ascii="Palatino Linotype" w:hAnsi="Palatino Linotype" w:cs="Arial"/>
          <w:color w:val="000000" w:themeColor="text1"/>
          <w:szCs w:val="23"/>
        </w:rPr>
        <w:t xml:space="preserve"> </w:t>
      </w:r>
      <w:r w:rsidR="004B0EB6">
        <w:rPr>
          <w:rFonts w:ascii="Palatino Linotype" w:hAnsi="Palatino Linotype" w:cs="Arial"/>
          <w:color w:val="000000" w:themeColor="text1"/>
          <w:szCs w:val="23"/>
        </w:rPr>
        <w:t xml:space="preserve">colma el derecho de acceso a la información ejercido por </w:t>
      </w:r>
      <w:r w:rsidR="00C16D2F">
        <w:rPr>
          <w:rFonts w:ascii="Palatino Linotype" w:hAnsi="Palatino Linotype" w:cs="Arial"/>
          <w:color w:val="000000" w:themeColor="text1"/>
          <w:szCs w:val="23"/>
        </w:rPr>
        <w:t>la</w:t>
      </w:r>
      <w:r w:rsidR="004B0EB6">
        <w:rPr>
          <w:rFonts w:ascii="Palatino Linotype" w:hAnsi="Palatino Linotype" w:cs="Arial"/>
          <w:color w:val="000000" w:themeColor="text1"/>
          <w:szCs w:val="23"/>
        </w:rPr>
        <w:t xml:space="preserve"> </w:t>
      </w:r>
      <w:r w:rsidR="004B0EB6">
        <w:rPr>
          <w:rFonts w:ascii="Palatino Linotype" w:hAnsi="Palatino Linotype" w:cs="Arial"/>
          <w:b/>
          <w:bCs/>
          <w:color w:val="000000" w:themeColor="text1"/>
          <w:szCs w:val="23"/>
        </w:rPr>
        <w:t>RECURRENTE</w:t>
      </w:r>
      <w:r w:rsidR="002C6561">
        <w:rPr>
          <w:rFonts w:ascii="Palatino Linotype" w:hAnsi="Palatino Linotype" w:cs="Arial"/>
          <w:color w:val="000000" w:themeColor="text1"/>
          <w:szCs w:val="23"/>
        </w:rPr>
        <w:t xml:space="preserve">; o si, por el contrario, </w:t>
      </w:r>
      <w:r w:rsidR="002C6561" w:rsidRPr="002C6561">
        <w:rPr>
          <w:rFonts w:ascii="Palatino Linotype" w:hAnsi="Palatino Linotype" w:cs="Arial"/>
          <w:color w:val="000000" w:themeColor="text1"/>
          <w:szCs w:val="23"/>
        </w:rPr>
        <w:t>se</w:t>
      </w:r>
      <w:r w:rsidR="00E32652" w:rsidRPr="00A85CB7">
        <w:rPr>
          <w:rFonts w:ascii="Palatino Linotype" w:hAnsi="Palatino Linotype" w:cs="Arial"/>
          <w:color w:val="000000" w:themeColor="text1"/>
          <w:szCs w:val="23"/>
        </w:rPr>
        <w:t xml:space="preserve"> </w:t>
      </w:r>
      <w:r w:rsidR="0028248C" w:rsidRPr="00A85CB7">
        <w:rPr>
          <w:rFonts w:ascii="Palatino Linotype" w:hAnsi="Palatino Linotype"/>
          <w:color w:val="000000" w:themeColor="text1"/>
        </w:rPr>
        <w:t>actualiza</w:t>
      </w:r>
      <w:r w:rsidR="00C16D2F">
        <w:rPr>
          <w:rFonts w:ascii="Palatino Linotype" w:hAnsi="Palatino Linotype"/>
          <w:color w:val="000000" w:themeColor="text1"/>
        </w:rPr>
        <w:t>s</w:t>
      </w:r>
      <w:r w:rsidR="0028248C" w:rsidRPr="00A85CB7">
        <w:rPr>
          <w:rFonts w:ascii="Palatino Linotype" w:hAnsi="Palatino Linotype"/>
          <w:color w:val="000000" w:themeColor="text1"/>
        </w:rPr>
        <w:t xml:space="preserve"> la</w:t>
      </w:r>
      <w:r w:rsidR="00C16D2F">
        <w:rPr>
          <w:rFonts w:ascii="Palatino Linotype" w:hAnsi="Palatino Linotype"/>
          <w:color w:val="000000" w:themeColor="text1"/>
        </w:rPr>
        <w:t>s</w:t>
      </w:r>
      <w:r w:rsidR="0028248C" w:rsidRPr="00A85CB7">
        <w:rPr>
          <w:rFonts w:ascii="Palatino Linotype" w:hAnsi="Palatino Linotype"/>
          <w:color w:val="000000" w:themeColor="text1"/>
        </w:rPr>
        <w:t xml:space="preserve"> causal</w:t>
      </w:r>
      <w:r w:rsidR="00C16D2F">
        <w:rPr>
          <w:rFonts w:ascii="Palatino Linotype" w:hAnsi="Palatino Linotype"/>
          <w:color w:val="000000" w:themeColor="text1"/>
        </w:rPr>
        <w:t>es</w:t>
      </w:r>
      <w:r w:rsidR="0028248C" w:rsidRPr="00A85CB7">
        <w:rPr>
          <w:rFonts w:ascii="Palatino Linotype" w:hAnsi="Palatino Linotype"/>
          <w:color w:val="000000" w:themeColor="text1"/>
        </w:rPr>
        <w:t xml:space="preserve"> de procedencia</w:t>
      </w:r>
      <w:r w:rsidR="00E66A80" w:rsidRPr="00A85CB7">
        <w:rPr>
          <w:rFonts w:ascii="Palatino Linotype" w:hAnsi="Palatino Linotype" w:cs="Arial"/>
          <w:color w:val="000000" w:themeColor="text1"/>
          <w:szCs w:val="23"/>
        </w:rPr>
        <w:t xml:space="preserve"> del recurso de revisión establecida</w:t>
      </w:r>
      <w:r w:rsidR="00C16D2F">
        <w:rPr>
          <w:rFonts w:ascii="Palatino Linotype" w:hAnsi="Palatino Linotype" w:cs="Arial"/>
          <w:color w:val="000000" w:themeColor="text1"/>
          <w:szCs w:val="23"/>
        </w:rPr>
        <w:t>s</w:t>
      </w:r>
      <w:r w:rsidR="00E66A80" w:rsidRPr="00A85CB7">
        <w:rPr>
          <w:rFonts w:ascii="Palatino Linotype" w:hAnsi="Palatino Linotype" w:cs="Arial"/>
          <w:color w:val="000000" w:themeColor="text1"/>
          <w:szCs w:val="23"/>
        </w:rPr>
        <w:t xml:space="preserve"> en el artículo 179</w:t>
      </w:r>
      <w:r w:rsidR="004364EE">
        <w:rPr>
          <w:rFonts w:ascii="Palatino Linotype" w:hAnsi="Palatino Linotype" w:cs="Arial"/>
          <w:color w:val="000000" w:themeColor="text1"/>
          <w:szCs w:val="23"/>
        </w:rPr>
        <w:t>,</w:t>
      </w:r>
      <w:r w:rsidR="00E66A80" w:rsidRPr="00A85CB7">
        <w:rPr>
          <w:rFonts w:ascii="Palatino Linotype" w:hAnsi="Palatino Linotype" w:cs="Arial"/>
          <w:color w:val="000000" w:themeColor="text1"/>
          <w:szCs w:val="23"/>
        </w:rPr>
        <w:t xml:space="preserve"> </w:t>
      </w:r>
      <w:r w:rsidR="00C16D2F">
        <w:rPr>
          <w:rFonts w:ascii="Palatino Linotype" w:hAnsi="Palatino Linotype" w:cs="Arial"/>
          <w:color w:val="000000" w:themeColor="text1"/>
          <w:szCs w:val="23"/>
        </w:rPr>
        <w:lastRenderedPageBreak/>
        <w:t>fracciones</w:t>
      </w:r>
      <w:r w:rsidR="00E66A80" w:rsidRPr="00A85CB7">
        <w:rPr>
          <w:rFonts w:ascii="Palatino Linotype" w:hAnsi="Palatino Linotype" w:cs="Arial"/>
          <w:color w:val="000000" w:themeColor="text1"/>
          <w:szCs w:val="23"/>
        </w:rPr>
        <w:t xml:space="preserve"> </w:t>
      </w:r>
      <w:r w:rsidR="00C16D2F">
        <w:rPr>
          <w:rFonts w:ascii="Palatino Linotype" w:hAnsi="Palatino Linotype" w:cs="Arial"/>
          <w:color w:val="000000" w:themeColor="text1"/>
          <w:szCs w:val="23"/>
        </w:rPr>
        <w:t>VIII y/o IX,</w:t>
      </w:r>
      <w:r w:rsidR="00C15F97" w:rsidRPr="00A85CB7">
        <w:rPr>
          <w:rFonts w:ascii="Palatino Linotype" w:hAnsi="Palatino Linotype" w:cs="Arial"/>
          <w:color w:val="000000" w:themeColor="text1"/>
          <w:szCs w:val="23"/>
        </w:rPr>
        <w:t xml:space="preserve"> </w:t>
      </w:r>
      <w:r w:rsidR="00E66A80" w:rsidRPr="00A85CB7">
        <w:rPr>
          <w:rFonts w:ascii="Palatino Linotype" w:hAnsi="Palatino Linotype" w:cs="Arial"/>
          <w:color w:val="000000" w:themeColor="text1"/>
          <w:szCs w:val="23"/>
        </w:rPr>
        <w:t xml:space="preserve">de la Ley de Transparencia y Acceso a la Información Pública del Estado de México y Municipios, </w:t>
      </w:r>
      <w:r w:rsidR="004364EE">
        <w:rPr>
          <w:rFonts w:ascii="Palatino Linotype" w:hAnsi="Palatino Linotype" w:cs="Arial"/>
          <w:color w:val="000000" w:themeColor="text1"/>
          <w:szCs w:val="23"/>
        </w:rPr>
        <w:t>misma</w:t>
      </w:r>
      <w:r w:rsidR="00C16D2F">
        <w:rPr>
          <w:rFonts w:ascii="Palatino Linotype" w:hAnsi="Palatino Linotype" w:cs="Arial"/>
          <w:color w:val="000000" w:themeColor="text1"/>
          <w:szCs w:val="23"/>
        </w:rPr>
        <w:t>s</w:t>
      </w:r>
      <w:r w:rsidR="00C51671">
        <w:rPr>
          <w:rFonts w:ascii="Palatino Linotype" w:hAnsi="Palatino Linotype" w:cs="Arial"/>
          <w:color w:val="000000" w:themeColor="text1"/>
          <w:szCs w:val="23"/>
        </w:rPr>
        <w:t xml:space="preserve"> </w:t>
      </w:r>
      <w:r w:rsidR="00E66A80" w:rsidRPr="00A85CB7">
        <w:rPr>
          <w:rFonts w:ascii="Palatino Linotype" w:hAnsi="Palatino Linotype" w:cs="Arial"/>
          <w:color w:val="000000" w:themeColor="text1"/>
          <w:szCs w:val="23"/>
        </w:rPr>
        <w:t>que se transcribe</w:t>
      </w:r>
      <w:r w:rsidR="00C16D2F">
        <w:rPr>
          <w:rFonts w:ascii="Palatino Linotype" w:hAnsi="Palatino Linotype" w:cs="Arial"/>
          <w:color w:val="000000" w:themeColor="text1"/>
          <w:szCs w:val="23"/>
        </w:rPr>
        <w:t>n</w:t>
      </w:r>
      <w:r w:rsidR="00E66A80" w:rsidRPr="00A85CB7">
        <w:rPr>
          <w:rFonts w:ascii="Palatino Linotype" w:hAnsi="Palatino Linotype" w:cs="Arial"/>
          <w:color w:val="000000" w:themeColor="text1"/>
          <w:szCs w:val="23"/>
        </w:rPr>
        <w:t xml:space="preserve"> a continuación:</w:t>
      </w:r>
    </w:p>
    <w:p w14:paraId="5D251E5B" w14:textId="77777777" w:rsidR="002630E4" w:rsidRDefault="002630E4" w:rsidP="00B31E90">
      <w:pPr>
        <w:pStyle w:val="Sinespaciado"/>
        <w:tabs>
          <w:tab w:val="left" w:pos="426"/>
        </w:tabs>
        <w:ind w:left="851" w:right="567"/>
        <w:jc w:val="both"/>
        <w:rPr>
          <w:rFonts w:ascii="Palatino Linotype" w:hAnsi="Palatino Linotype"/>
          <w:i/>
          <w:color w:val="000000" w:themeColor="text1"/>
          <w:sz w:val="22"/>
        </w:rPr>
      </w:pPr>
    </w:p>
    <w:p w14:paraId="694942AF" w14:textId="62D2F7A9" w:rsidR="00AD76A1" w:rsidRPr="00A85CB7" w:rsidRDefault="00E66A80" w:rsidP="00B31E90">
      <w:pPr>
        <w:pStyle w:val="Sinespaciado"/>
        <w:tabs>
          <w:tab w:val="left" w:pos="426"/>
        </w:tabs>
        <w:ind w:left="851" w:right="567"/>
        <w:jc w:val="both"/>
        <w:rPr>
          <w:rFonts w:ascii="Palatino Linotype" w:hAnsi="Palatino Linotype"/>
          <w:i/>
          <w:color w:val="000000" w:themeColor="text1"/>
          <w:sz w:val="22"/>
        </w:rPr>
      </w:pPr>
      <w:r w:rsidRPr="00A85CB7">
        <w:rPr>
          <w:rFonts w:ascii="Palatino Linotype" w:hAnsi="Palatino Linotype"/>
          <w:i/>
          <w:color w:val="000000" w:themeColor="text1"/>
          <w:sz w:val="22"/>
        </w:rPr>
        <w:t>“</w:t>
      </w:r>
      <w:r w:rsidRPr="00A85CB7">
        <w:rPr>
          <w:rFonts w:ascii="Palatino Linotype" w:hAnsi="Palatino Linotype"/>
          <w:b/>
          <w:i/>
          <w:color w:val="000000" w:themeColor="text1"/>
          <w:sz w:val="22"/>
        </w:rPr>
        <w:t>Artículo 179.</w:t>
      </w:r>
      <w:r w:rsidRPr="00A85CB7">
        <w:rPr>
          <w:rFonts w:ascii="Palatino Linotype" w:hAnsi="Palatino Linotype"/>
          <w:i/>
          <w:color w:val="000000" w:themeColor="text1"/>
          <w:sz w:val="22"/>
        </w:rPr>
        <w:t xml:space="preserve"> El recurso de revisión es un medio de protección que la Ley otorga a los particulares, para hacer valer su derecho de acceso a la información pública, y procederá en contra de las siguientes causas:</w:t>
      </w:r>
    </w:p>
    <w:p w14:paraId="2A0424B8" w14:textId="584C318A" w:rsidR="008969BB" w:rsidRDefault="00C16D2F" w:rsidP="004364EE">
      <w:pPr>
        <w:pStyle w:val="Sinespaciado"/>
        <w:tabs>
          <w:tab w:val="left" w:pos="426"/>
        </w:tabs>
        <w:ind w:left="851" w:right="567"/>
        <w:jc w:val="both"/>
        <w:rPr>
          <w:rFonts w:ascii="Palatino Linotype" w:hAnsi="Palatino Linotype"/>
          <w:i/>
          <w:color w:val="000000" w:themeColor="text1"/>
          <w:sz w:val="22"/>
        </w:rPr>
      </w:pPr>
      <w:r w:rsidRPr="00A85CB7">
        <w:rPr>
          <w:rFonts w:ascii="Palatino Linotype" w:hAnsi="Palatino Linotype"/>
          <w:i/>
          <w:color w:val="000000" w:themeColor="text1"/>
          <w:sz w:val="22"/>
        </w:rPr>
        <w:t xml:space="preserve"> </w:t>
      </w:r>
      <w:r w:rsidR="00515DEC" w:rsidRPr="00A85CB7">
        <w:rPr>
          <w:rFonts w:ascii="Palatino Linotype" w:hAnsi="Palatino Linotype"/>
          <w:i/>
          <w:color w:val="000000" w:themeColor="text1"/>
          <w:sz w:val="22"/>
        </w:rPr>
        <w:t>(…)</w:t>
      </w:r>
    </w:p>
    <w:p w14:paraId="3AA51206" w14:textId="31CE2082" w:rsidR="00C16D2F" w:rsidRPr="00C16D2F" w:rsidRDefault="00C16D2F" w:rsidP="00C16D2F">
      <w:pPr>
        <w:pStyle w:val="Sinespaciado"/>
        <w:tabs>
          <w:tab w:val="left" w:pos="426"/>
        </w:tabs>
        <w:ind w:left="851" w:right="567"/>
        <w:jc w:val="both"/>
        <w:rPr>
          <w:rFonts w:ascii="Palatino Linotype" w:hAnsi="Palatino Linotype"/>
          <w:bCs/>
          <w:i/>
          <w:color w:val="000000" w:themeColor="text1"/>
          <w:sz w:val="22"/>
          <w:lang w:val="es-MX"/>
        </w:rPr>
      </w:pPr>
      <w:r w:rsidRPr="00C16D2F">
        <w:rPr>
          <w:rFonts w:ascii="Palatino Linotype" w:hAnsi="Palatino Linotype"/>
          <w:b/>
          <w:bCs/>
          <w:i/>
          <w:color w:val="000000" w:themeColor="text1"/>
          <w:sz w:val="22"/>
          <w:lang w:val="es-MX"/>
        </w:rPr>
        <w:t xml:space="preserve">VIII. </w:t>
      </w:r>
      <w:r w:rsidRPr="00C16D2F">
        <w:rPr>
          <w:rFonts w:ascii="Palatino Linotype" w:hAnsi="Palatino Linotype"/>
          <w:bCs/>
          <w:i/>
          <w:color w:val="000000" w:themeColor="text1"/>
          <w:sz w:val="22"/>
          <w:lang w:val="es-MX"/>
        </w:rPr>
        <w:t>La notificación, entrega o puesta a disposición de información en una modalidad o formato distinto al solicitado;</w:t>
      </w:r>
    </w:p>
    <w:p w14:paraId="3A54FE81" w14:textId="77777777" w:rsidR="00C16D2F" w:rsidRDefault="00C16D2F" w:rsidP="00C16D2F">
      <w:pPr>
        <w:pStyle w:val="Sinespaciado"/>
        <w:tabs>
          <w:tab w:val="left" w:pos="426"/>
        </w:tabs>
        <w:ind w:left="851" w:right="567"/>
        <w:jc w:val="both"/>
        <w:rPr>
          <w:rFonts w:ascii="Palatino Linotype" w:hAnsi="Palatino Linotype"/>
          <w:i/>
          <w:color w:val="000000" w:themeColor="text1"/>
          <w:sz w:val="22"/>
        </w:rPr>
      </w:pPr>
      <w:r w:rsidRPr="00C16D2F">
        <w:rPr>
          <w:rFonts w:ascii="Palatino Linotype" w:hAnsi="Palatino Linotype"/>
          <w:b/>
          <w:bCs/>
          <w:i/>
          <w:color w:val="000000" w:themeColor="text1"/>
          <w:sz w:val="22"/>
          <w:lang w:val="es-MX"/>
        </w:rPr>
        <w:t xml:space="preserve">IX. </w:t>
      </w:r>
      <w:r w:rsidRPr="00C16D2F">
        <w:rPr>
          <w:rFonts w:ascii="Palatino Linotype" w:hAnsi="Palatino Linotype"/>
          <w:bCs/>
          <w:i/>
          <w:color w:val="000000" w:themeColor="text1"/>
          <w:sz w:val="22"/>
          <w:lang w:val="es-MX"/>
        </w:rPr>
        <w:t>La entrega o puesta a disposición de información en un formato incomprensible y/o no accesible para el solicitante;</w:t>
      </w:r>
      <w:r w:rsidRPr="00C16D2F">
        <w:rPr>
          <w:rFonts w:ascii="Palatino Linotype" w:hAnsi="Palatino Linotype"/>
          <w:b/>
          <w:bCs/>
          <w:i/>
          <w:color w:val="000000" w:themeColor="text1"/>
          <w:sz w:val="22"/>
          <w:lang w:val="es-MX"/>
        </w:rPr>
        <w:t xml:space="preserve"> </w:t>
      </w:r>
    </w:p>
    <w:p w14:paraId="4FCA9B3F" w14:textId="69B46ACF" w:rsidR="00515DEC" w:rsidRPr="00A85CB7" w:rsidRDefault="008969BB" w:rsidP="00C16D2F">
      <w:pPr>
        <w:pStyle w:val="Sinespaciado"/>
        <w:tabs>
          <w:tab w:val="left" w:pos="426"/>
        </w:tabs>
        <w:ind w:left="851" w:right="567"/>
        <w:jc w:val="both"/>
        <w:rPr>
          <w:rFonts w:ascii="Palatino Linotype" w:hAnsi="Palatino Linotype"/>
          <w:i/>
          <w:color w:val="000000" w:themeColor="text1"/>
          <w:sz w:val="22"/>
        </w:rPr>
      </w:pPr>
      <w:r>
        <w:rPr>
          <w:rFonts w:ascii="Palatino Linotype" w:hAnsi="Palatino Linotype"/>
          <w:i/>
          <w:color w:val="000000" w:themeColor="text1"/>
          <w:sz w:val="22"/>
        </w:rPr>
        <w:t>(…)</w:t>
      </w:r>
      <w:r w:rsidR="00A073A0" w:rsidRPr="00A85CB7">
        <w:rPr>
          <w:rFonts w:ascii="Palatino Linotype" w:hAnsi="Palatino Linotype"/>
          <w:i/>
          <w:color w:val="000000" w:themeColor="text1"/>
          <w:sz w:val="22"/>
        </w:rPr>
        <w:t>”</w:t>
      </w:r>
    </w:p>
    <w:p w14:paraId="1C5AB6B5" w14:textId="46B28510" w:rsidR="009F1566" w:rsidRPr="009F1566" w:rsidRDefault="009F1566" w:rsidP="00F96156">
      <w:pPr>
        <w:pStyle w:val="Ttulo2"/>
        <w:tabs>
          <w:tab w:val="left" w:pos="426"/>
        </w:tabs>
        <w:rPr>
          <w:rFonts w:ascii="Palatino Linotype" w:hAnsi="Palatino Linotype" w:cs="Arial"/>
          <w:b/>
          <w:color w:val="FF0000"/>
          <w:sz w:val="24"/>
        </w:rPr>
      </w:pPr>
    </w:p>
    <w:p w14:paraId="5CEC2F48" w14:textId="1BE3BF22" w:rsidR="00EF014A" w:rsidRPr="00A85CB7" w:rsidRDefault="001B5BC3" w:rsidP="00F96156">
      <w:pPr>
        <w:pStyle w:val="Ttulo2"/>
        <w:tabs>
          <w:tab w:val="left" w:pos="426"/>
        </w:tabs>
        <w:rPr>
          <w:rFonts w:ascii="Palatino Linotype" w:hAnsi="Palatino Linotype" w:cs="Arial"/>
          <w:b/>
          <w:color w:val="000000" w:themeColor="text1"/>
          <w:sz w:val="24"/>
        </w:rPr>
      </w:pPr>
      <w:bookmarkStart w:id="22" w:name="_Toc87456489"/>
      <w:r>
        <w:rPr>
          <w:rFonts w:ascii="Palatino Linotype" w:hAnsi="Palatino Linotype" w:cs="Arial"/>
          <w:b/>
          <w:color w:val="000000" w:themeColor="text1"/>
          <w:sz w:val="24"/>
        </w:rPr>
        <w:t>QUINTO</w:t>
      </w:r>
      <w:r w:rsidR="00EF014A" w:rsidRPr="00A85CB7">
        <w:rPr>
          <w:rFonts w:ascii="Palatino Linotype" w:hAnsi="Palatino Linotype" w:cs="Arial"/>
          <w:b/>
          <w:color w:val="000000" w:themeColor="text1"/>
          <w:sz w:val="24"/>
        </w:rPr>
        <w:t>. Estudio y Resolución del asunto.</w:t>
      </w:r>
      <w:bookmarkEnd w:id="22"/>
    </w:p>
    <w:p w14:paraId="6E979250" w14:textId="2A34D6B5" w:rsidR="00A55D2B" w:rsidRDefault="00A55D2B" w:rsidP="00B8225B">
      <w:pPr>
        <w:pStyle w:val="Prrafodelista"/>
        <w:tabs>
          <w:tab w:val="left" w:pos="426"/>
        </w:tabs>
        <w:spacing w:line="360" w:lineRule="auto"/>
        <w:ind w:left="0" w:right="51"/>
        <w:jc w:val="both"/>
        <w:rPr>
          <w:rFonts w:ascii="Palatino Linotype" w:hAnsi="Palatino Linotype"/>
          <w:color w:val="000000" w:themeColor="text1"/>
        </w:rPr>
      </w:pPr>
      <w:bookmarkStart w:id="23" w:name="_Toc466371865"/>
      <w:bookmarkStart w:id="24" w:name="_Toc466377653"/>
      <w:bookmarkEnd w:id="17"/>
      <w:bookmarkEnd w:id="18"/>
      <w:bookmarkEnd w:id="19"/>
      <w:bookmarkEnd w:id="20"/>
      <w:bookmarkEnd w:id="21"/>
    </w:p>
    <w:p w14:paraId="46B0833E" w14:textId="66D496E7" w:rsidR="00DA2D95" w:rsidRPr="00DA2D95" w:rsidRDefault="00DA2D95" w:rsidP="00DA2D95">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bookmarkStart w:id="25" w:name="_Toc87456490"/>
      <w:r>
        <w:rPr>
          <w:rFonts w:ascii="Palatino Linotype" w:hAnsi="Palatino Linotype"/>
          <w:b/>
          <w:bCs/>
          <w:color w:val="000000" w:themeColor="text1"/>
        </w:rPr>
        <w:t xml:space="preserve">I. De la </w:t>
      </w:r>
      <w:r w:rsidR="00167813">
        <w:rPr>
          <w:rFonts w:ascii="Palatino Linotype" w:hAnsi="Palatino Linotype"/>
          <w:b/>
          <w:bCs/>
          <w:color w:val="000000" w:themeColor="text1"/>
        </w:rPr>
        <w:t>atención</w:t>
      </w:r>
      <w:r w:rsidR="00D00269">
        <w:rPr>
          <w:rFonts w:ascii="Palatino Linotype" w:hAnsi="Palatino Linotype"/>
          <w:b/>
          <w:bCs/>
          <w:color w:val="000000" w:themeColor="text1"/>
        </w:rPr>
        <w:t xml:space="preserve"> a la solicitud de información</w:t>
      </w:r>
      <w:r>
        <w:rPr>
          <w:rFonts w:ascii="Palatino Linotype" w:hAnsi="Palatino Linotype"/>
          <w:b/>
          <w:bCs/>
          <w:color w:val="000000" w:themeColor="text1"/>
        </w:rPr>
        <w:t>.</w:t>
      </w:r>
      <w:bookmarkEnd w:id="25"/>
    </w:p>
    <w:p w14:paraId="47DD46B3" w14:textId="77777777" w:rsidR="00DA2D95" w:rsidRDefault="00DA2D95" w:rsidP="00A55D2B">
      <w:pPr>
        <w:pStyle w:val="Prrafodelista"/>
        <w:tabs>
          <w:tab w:val="left" w:pos="426"/>
        </w:tabs>
        <w:spacing w:before="240" w:after="240" w:line="360" w:lineRule="auto"/>
        <w:ind w:left="0" w:right="51"/>
        <w:jc w:val="both"/>
        <w:rPr>
          <w:rFonts w:ascii="Palatino Linotype" w:hAnsi="Palatino Linotype"/>
          <w:color w:val="000000" w:themeColor="text1"/>
        </w:rPr>
      </w:pPr>
    </w:p>
    <w:p w14:paraId="29D23E2C" w14:textId="681B9CE1" w:rsidR="007B12AA" w:rsidRPr="0047030A" w:rsidRDefault="007A21AC" w:rsidP="007B12AA">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rPr>
        <w:t>D</w:t>
      </w:r>
      <w:r w:rsidR="00910076" w:rsidRPr="00511FD6">
        <w:rPr>
          <w:rFonts w:ascii="Palatino Linotype" w:hAnsi="Palatino Linotype"/>
        </w:rPr>
        <w:t xml:space="preserve">e la lectura a la solicitud de información </w:t>
      </w:r>
      <w:r w:rsidR="002B1F7B">
        <w:rPr>
          <w:rFonts w:ascii="Palatino Linotype" w:hAnsi="Palatino Linotype"/>
          <w:b/>
          <w:bCs/>
        </w:rPr>
        <w:t>00571/SF/IP/2021</w:t>
      </w:r>
      <w:r w:rsidR="00910076" w:rsidRPr="00511FD6">
        <w:rPr>
          <w:rFonts w:ascii="Palatino Linotype" w:hAnsi="Palatino Linotype"/>
        </w:rPr>
        <w:t xml:space="preserve">, y como fuera señalado en el </w:t>
      </w:r>
      <w:r w:rsidR="00910076" w:rsidRPr="00511FD6">
        <w:rPr>
          <w:rFonts w:ascii="Palatino Linotype" w:hAnsi="Palatino Linotype"/>
          <w:i/>
          <w:iCs/>
        </w:rPr>
        <w:t>Planteamiento de la Litis</w:t>
      </w:r>
      <w:r w:rsidR="00910076" w:rsidRPr="00511FD6">
        <w:rPr>
          <w:rFonts w:ascii="Palatino Linotype" w:hAnsi="Palatino Linotype"/>
        </w:rPr>
        <w:t xml:space="preserve"> de esta resolución, se advierte que </w:t>
      </w:r>
      <w:r w:rsidR="0047030A">
        <w:rPr>
          <w:rFonts w:ascii="Palatino Linotype" w:hAnsi="Palatino Linotype"/>
        </w:rPr>
        <w:t>la</w:t>
      </w:r>
      <w:r w:rsidR="00910076" w:rsidRPr="00511FD6">
        <w:rPr>
          <w:rFonts w:ascii="Palatino Linotype" w:hAnsi="Palatino Linotype"/>
        </w:rPr>
        <w:t xml:space="preserve"> </w:t>
      </w:r>
      <w:r w:rsidR="00EB3F5C" w:rsidRPr="00511FD6">
        <w:rPr>
          <w:rFonts w:ascii="Palatino Linotype" w:hAnsi="Palatino Linotype"/>
        </w:rPr>
        <w:t xml:space="preserve">entonces </w:t>
      </w:r>
      <w:r w:rsidR="00EB3F5C" w:rsidRPr="00511FD6">
        <w:rPr>
          <w:rFonts w:ascii="Palatino Linotype" w:hAnsi="Palatino Linotype"/>
          <w:b/>
        </w:rPr>
        <w:t>SOLICITANTE</w:t>
      </w:r>
      <w:r w:rsidR="00EB3F5C" w:rsidRPr="00511FD6">
        <w:rPr>
          <w:rFonts w:ascii="Palatino Linotype" w:hAnsi="Palatino Linotype"/>
        </w:rPr>
        <w:t xml:space="preserve"> requirió</w:t>
      </w:r>
      <w:r w:rsidR="00910076" w:rsidRPr="00511FD6">
        <w:rPr>
          <w:rFonts w:ascii="Palatino Linotype" w:hAnsi="Palatino Linotype"/>
        </w:rPr>
        <w:t xml:space="preserve"> </w:t>
      </w:r>
      <w:r w:rsidR="00B8225B" w:rsidRPr="00511FD6">
        <w:rPr>
          <w:rFonts w:ascii="Palatino Linotype" w:hAnsi="Palatino Linotype"/>
        </w:rPr>
        <w:t>a</w:t>
      </w:r>
      <w:r w:rsidR="0047030A">
        <w:rPr>
          <w:rFonts w:ascii="Palatino Linotype" w:hAnsi="Palatino Linotype"/>
        </w:rPr>
        <w:t xml:space="preserve"> </w:t>
      </w:r>
      <w:r w:rsidR="00B8225B" w:rsidRPr="00511FD6">
        <w:rPr>
          <w:rFonts w:ascii="Palatino Linotype" w:hAnsi="Palatino Linotype"/>
        </w:rPr>
        <w:t>l</w:t>
      </w:r>
      <w:r w:rsidR="0047030A">
        <w:rPr>
          <w:rFonts w:ascii="Palatino Linotype" w:hAnsi="Palatino Linotype"/>
        </w:rPr>
        <w:t>a</w:t>
      </w:r>
      <w:r w:rsidR="00B8225B" w:rsidRPr="00511FD6">
        <w:rPr>
          <w:rFonts w:ascii="Palatino Linotype" w:hAnsi="Palatino Linotype"/>
        </w:rPr>
        <w:t xml:space="preserve"> </w:t>
      </w:r>
      <w:r w:rsidR="002B1F7B">
        <w:rPr>
          <w:rFonts w:ascii="Palatino Linotype" w:hAnsi="Palatino Linotype"/>
        </w:rPr>
        <w:t>Secretaría de Finanzas</w:t>
      </w:r>
      <w:r w:rsidR="00B8225B" w:rsidRPr="00511FD6">
        <w:rPr>
          <w:rFonts w:ascii="Palatino Linotype" w:hAnsi="Palatino Linotype"/>
        </w:rPr>
        <w:t>,</w:t>
      </w:r>
      <w:r w:rsidR="00910076" w:rsidRPr="00511FD6">
        <w:rPr>
          <w:rFonts w:ascii="Palatino Linotype" w:hAnsi="Palatino Linotype"/>
        </w:rPr>
        <w:t xml:space="preserve"> </w:t>
      </w:r>
      <w:r w:rsidR="0047030A">
        <w:rPr>
          <w:rFonts w:ascii="Palatino Linotype" w:hAnsi="Palatino Linotype"/>
        </w:rPr>
        <w:t>lo siguiente:</w:t>
      </w:r>
    </w:p>
    <w:p w14:paraId="065E4F90" w14:textId="440B180B" w:rsidR="0047030A" w:rsidRPr="007B12AA" w:rsidRDefault="00946211" w:rsidP="0047030A">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Pr>
          <w:rFonts w:ascii="Palatino Linotype" w:hAnsi="Palatino Linotype"/>
        </w:rPr>
        <w:t>Relación de</w:t>
      </w:r>
      <w:r w:rsidR="0047030A">
        <w:rPr>
          <w:rFonts w:ascii="Palatino Linotype" w:hAnsi="Palatino Linotype"/>
        </w:rPr>
        <w:t xml:space="preserve"> todos fideicomisos en los que el Gobierno del Estado de México tenga participaci</w:t>
      </w:r>
      <w:r>
        <w:rPr>
          <w:rFonts w:ascii="Palatino Linotype" w:hAnsi="Palatino Linotype"/>
        </w:rPr>
        <w:t>ón; así como sus respectivos contratos, convenios modificatorios y anexos.</w:t>
      </w:r>
    </w:p>
    <w:p w14:paraId="15771B33" w14:textId="01A7F3A2" w:rsidR="00B8225B" w:rsidRPr="007B12AA" w:rsidRDefault="007B12AA" w:rsidP="007B12AA">
      <w:pPr>
        <w:pStyle w:val="Prrafodelista"/>
        <w:tabs>
          <w:tab w:val="left" w:pos="426"/>
        </w:tabs>
        <w:spacing w:before="240" w:after="240" w:line="360" w:lineRule="auto"/>
        <w:ind w:left="0" w:right="51"/>
        <w:jc w:val="both"/>
        <w:rPr>
          <w:rFonts w:ascii="Palatino Linotype" w:hAnsi="Palatino Linotype"/>
          <w:color w:val="000000" w:themeColor="text1"/>
        </w:rPr>
      </w:pPr>
      <w:r w:rsidRPr="007B12AA">
        <w:rPr>
          <w:rFonts w:ascii="Palatino Linotype" w:hAnsi="Palatino Linotype"/>
          <w:color w:val="000000" w:themeColor="text1"/>
        </w:rPr>
        <w:t xml:space="preserve"> </w:t>
      </w:r>
    </w:p>
    <w:p w14:paraId="2D403DA4" w14:textId="78BA0690" w:rsidR="00910076" w:rsidRDefault="00794C2B"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En </w:t>
      </w:r>
      <w:r w:rsidRPr="00794C2B">
        <w:rPr>
          <w:rFonts w:ascii="Palatino Linotype" w:hAnsi="Palatino Linotype"/>
          <w:color w:val="000000" w:themeColor="text1"/>
        </w:rPr>
        <w:t xml:space="preserve">respuesta a la solicitud de información, </w:t>
      </w:r>
      <w:r w:rsidR="00EB3F5C">
        <w:rPr>
          <w:rFonts w:ascii="Palatino Linotype" w:hAnsi="Palatino Linotype"/>
          <w:color w:val="000000" w:themeColor="text1"/>
        </w:rPr>
        <w:t xml:space="preserve">el </w:t>
      </w:r>
      <w:r w:rsidR="00EB3F5C">
        <w:rPr>
          <w:rFonts w:ascii="Palatino Linotype" w:hAnsi="Palatino Linotype"/>
          <w:b/>
          <w:color w:val="000000" w:themeColor="text1"/>
        </w:rPr>
        <w:t>SUJETO OBLIGADO</w:t>
      </w:r>
      <w:r w:rsidR="00C871C7">
        <w:rPr>
          <w:rFonts w:ascii="Palatino Linotype" w:hAnsi="Palatino Linotype"/>
          <w:color w:val="000000" w:themeColor="text1"/>
        </w:rPr>
        <w:t xml:space="preserve"> </w:t>
      </w:r>
      <w:r w:rsidR="00946211">
        <w:rPr>
          <w:rFonts w:ascii="Palatino Linotype" w:hAnsi="Palatino Linotype"/>
          <w:color w:val="000000" w:themeColor="text1"/>
        </w:rPr>
        <w:t>entregó a</w:t>
      </w:r>
      <w:r w:rsidR="000317B3">
        <w:rPr>
          <w:rFonts w:ascii="Palatino Linotype" w:hAnsi="Palatino Linotype"/>
          <w:color w:val="000000" w:themeColor="text1"/>
        </w:rPr>
        <w:t xml:space="preserve"> </w:t>
      </w:r>
      <w:r w:rsidR="00946211">
        <w:rPr>
          <w:rFonts w:ascii="Palatino Linotype" w:hAnsi="Palatino Linotype"/>
          <w:color w:val="000000" w:themeColor="text1"/>
        </w:rPr>
        <w:t>l</w:t>
      </w:r>
      <w:r w:rsidR="000317B3">
        <w:rPr>
          <w:rFonts w:ascii="Palatino Linotype" w:hAnsi="Palatino Linotype"/>
          <w:color w:val="000000" w:themeColor="text1"/>
        </w:rPr>
        <w:t>a</w:t>
      </w:r>
      <w:r w:rsidR="00946211">
        <w:rPr>
          <w:rFonts w:ascii="Palatino Linotype" w:hAnsi="Palatino Linotype"/>
          <w:color w:val="000000" w:themeColor="text1"/>
        </w:rPr>
        <w:t xml:space="preserve"> particular los archivos electrónicos cuyo contenido se describe a continuación:</w:t>
      </w:r>
    </w:p>
    <w:p w14:paraId="69D09AE5"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UIPPE 571</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 xml:space="preserve">de una foja consistente en el oficio número 20700004S/UT-0234/2022, de treinta y uno (31) de enero de dos mil veintidós, emitido por el Jefe de la Unidad de Información, Planeación, </w:t>
      </w:r>
      <w:r>
        <w:rPr>
          <w:rFonts w:ascii="Palatino Linotype" w:hAnsi="Palatino Linotype" w:cs="Arial"/>
        </w:rPr>
        <w:lastRenderedPageBreak/>
        <w:t xml:space="preserve">Programación y Evaluación, y Titular de la Unidad de Transparencia del </w:t>
      </w:r>
      <w:r>
        <w:rPr>
          <w:rFonts w:ascii="Palatino Linotype" w:hAnsi="Palatino Linotype" w:cs="Arial"/>
          <w:b/>
          <w:bCs/>
        </w:rPr>
        <w:t>SUJETO OBLIGADO</w:t>
      </w:r>
      <w:r>
        <w:rPr>
          <w:rFonts w:ascii="Palatino Linotype" w:hAnsi="Palatino Linotype" w:cs="Arial"/>
        </w:rPr>
        <w:t>, por medio del cual, presenta las respuestas otorgadas por las Direcciones Generales de Crédito; Personal; Evaluación de la Información Financiera y Recursos Federales; y, de la Subsecretaría de Tesorería.</w:t>
      </w:r>
    </w:p>
    <w:p w14:paraId="02D340A0"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571 DG Crédito</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de cuatro fojas consistente en el oficio número 2070500202100L-010/2022, de veintiocho (28) de enero de dos mil veintidós, firmado por el Servidor Público Habilitado de la Dirección General de Crédito, por medio del cual, informa que la Dirección de mérito actúa como unidad ejecutora de tres fideicomisos; asimismo, manifiesta entregar 51 actas de inscripción en el Registro de Fideicomisos del Estado de México.</w:t>
      </w:r>
    </w:p>
    <w:p w14:paraId="7D62F025"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571 DG Personal</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de dos fojas consistente en el oficio número 20706004000100S-011/2022, de veinte (20) de enero de dos mil veintidós, emitido por el Jefe de la Unidad y Servidor Público Habilitado de la Dirección General de Personal, por medio del cual, manifiesta entregar información de cuatro fideicomisos en los que participa la Dirección en comento.</w:t>
      </w:r>
    </w:p>
    <w:p w14:paraId="57A3BA39"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571 DG EIF Y RF</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 xml:space="preserve">de dos fojas consistente en el oficio número 20704000020000S/239/2021, de veinte (20) de diciembre de dos mil veintiuno, firmado por la Servidora Pública Habilitada de la Dirección General de Evaluación de la Información Financiera y Recursos Federales, mediante el cual, informa que es competencia de la Subsecretaría de Tesorería el llevar el registro, control y seguimiento de los fideicomisos constituidos por los entes públicos; asimismo, señala a la </w:t>
      </w:r>
      <w:r>
        <w:rPr>
          <w:rFonts w:ascii="Palatino Linotype" w:hAnsi="Palatino Linotype" w:cs="Arial"/>
        </w:rPr>
        <w:lastRenderedPageBreak/>
        <w:t>Dirección General de Crédito, con la dependencia encargada de inscribir los fideicomisos de los entes en el Registro de Fideicomisos del Estado de México.</w:t>
      </w:r>
    </w:p>
    <w:p w14:paraId="3F2BF426"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571 Subsecretaría de Tesorería</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de dos fojas consistente en los siguientes instrumentos:</w:t>
      </w:r>
    </w:p>
    <w:p w14:paraId="14422EAC" w14:textId="77777777" w:rsidR="00946211" w:rsidRDefault="00946211" w:rsidP="00946211">
      <w:pPr>
        <w:pStyle w:val="Prrafodelista"/>
        <w:numPr>
          <w:ilvl w:val="1"/>
          <w:numId w:val="16"/>
        </w:numPr>
        <w:spacing w:line="360" w:lineRule="auto"/>
        <w:ind w:left="1701"/>
        <w:contextualSpacing w:val="0"/>
        <w:jc w:val="both"/>
        <w:rPr>
          <w:rFonts w:ascii="Palatino Linotype" w:hAnsi="Palatino Linotype" w:cs="Arial"/>
        </w:rPr>
      </w:pPr>
      <w:r>
        <w:rPr>
          <w:rFonts w:ascii="Palatino Linotype" w:hAnsi="Palatino Linotype" w:cs="Arial"/>
        </w:rPr>
        <w:t>Oficio número 20705001000000S/451/2021, de veintiuno (21) de diciembre de dos mil veintiuno, emitido por la Titular de la Unidad de Apoyo Técnico Financiero, por el que ofrece la respuesta de la Dirección General de Crédito, contenida en el oficio número 20705002A000000/855/2021.</w:t>
      </w:r>
    </w:p>
    <w:p w14:paraId="4A05404B" w14:textId="77777777" w:rsidR="00946211" w:rsidRDefault="00946211" w:rsidP="00946211">
      <w:pPr>
        <w:pStyle w:val="Prrafodelista"/>
        <w:numPr>
          <w:ilvl w:val="1"/>
          <w:numId w:val="16"/>
        </w:numPr>
        <w:spacing w:line="360" w:lineRule="auto"/>
        <w:ind w:left="1701"/>
        <w:contextualSpacing w:val="0"/>
        <w:jc w:val="both"/>
        <w:rPr>
          <w:rFonts w:ascii="Palatino Linotype" w:hAnsi="Palatino Linotype" w:cs="Arial"/>
        </w:rPr>
      </w:pPr>
      <w:r>
        <w:rPr>
          <w:rFonts w:ascii="Palatino Linotype" w:hAnsi="Palatino Linotype" w:cs="Arial"/>
        </w:rPr>
        <w:t>Oficio número 20705002A000000/855/2021, de veintiuno (21) de diciembre de dos mil veintiuno, firmado por el Director General de Crédito, por el que manifiesta remitir 52 actas de inscripción en el Registro de Fideicomisos del Estado de México, a cargo de la Dirección General de Crédito.</w:t>
      </w:r>
    </w:p>
    <w:p w14:paraId="468065D9"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Actas de inscripción</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de 52 fojas consistente en diversas Actas de Inscripción de Contratos de Fideicomisos, así como Convenios Modificatorios, en el Registro de Fideicomisos del Estado de México.</w:t>
      </w:r>
    </w:p>
    <w:p w14:paraId="46CFFF30"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Fideicomiso F105_redacted</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 xml:space="preserve">de 954 fojas consistente en el expediente formado del Fideicomiso Irrevocable de Administración y Fuente de Pago Número F/00105, suscrito entre el Gobierno del Estado de México y la Institución de Banca Múltiple </w:t>
      </w:r>
      <w:r>
        <w:rPr>
          <w:rFonts w:ascii="Palatino Linotype" w:hAnsi="Palatino Linotype" w:cs="Arial"/>
          <w:i/>
        </w:rPr>
        <w:t>Banco J.P. MORGAN, S. A.</w:t>
      </w:r>
    </w:p>
    <w:p w14:paraId="347DA79C"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Fideicomiso FAI</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 xml:space="preserve">de 44 fojas consistente en el contrato de Fideicomiso Irrevocable de Administración y Pago Número 796, </w:t>
      </w:r>
      <w:r>
        <w:rPr>
          <w:rFonts w:ascii="Palatino Linotype" w:hAnsi="Palatino Linotype" w:cs="Arial"/>
        </w:rPr>
        <w:lastRenderedPageBreak/>
        <w:t xml:space="preserve">suscrito entre el Gobierno del Estado de México, y la Institución de Banca Múltiple </w:t>
      </w:r>
      <w:r>
        <w:rPr>
          <w:rFonts w:ascii="Palatino Linotype" w:hAnsi="Palatino Linotype" w:cs="Arial"/>
          <w:i/>
        </w:rPr>
        <w:t>IXE Banco, S. A.</w:t>
      </w:r>
    </w:p>
    <w:p w14:paraId="5393D6F9"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Fideicomiso ISRTP_redacted</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 xml:space="preserve">de 605 fojas consistente en el expediente formado del Fideicomiso Irrevocable de Fuente de Pago Número 2253-0, celebrado entre el Gobierno del Estado de México y la Institución de Banca Múltiple </w:t>
      </w:r>
      <w:r>
        <w:rPr>
          <w:rFonts w:ascii="Palatino Linotype" w:hAnsi="Palatino Linotype" w:cs="Arial"/>
          <w:i/>
        </w:rPr>
        <w:t>Banco Mercantil del Norte S.A.</w:t>
      </w:r>
    </w:p>
    <w:p w14:paraId="69AAFD59"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FOAVI SMSEM</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 xml:space="preserve">de 46 fojas consistente en el expediente formado del Fideicomiso Irrevocable para la Administración del Fondo de Apoyo a la Vivienda para los Servidores Públicos Docentes al Servicio del Estado de México, celebrado entre el Gobierno del Estado de México, y la Institución de Banca Múltiple </w:t>
      </w:r>
      <w:r>
        <w:rPr>
          <w:rFonts w:ascii="Palatino Linotype" w:hAnsi="Palatino Linotype" w:cs="Arial"/>
          <w:i/>
        </w:rPr>
        <w:t>Grupo Financiero Interacciones S. A.</w:t>
      </w:r>
    </w:p>
    <w:p w14:paraId="5FC638F0"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FOAVI SUTEYM</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 xml:space="preserve">de 49 fojas consistente en el expediente formado del Fideicomiso Irrevocable para la Administración del Fondo de Apoyo a la Vivienda para los Servidores Públicos Generales de los Poderes Ejecutivo y Judicial del Gobierno del Estado de México Afiliados al Sindicato Único de Trabajadores de los Poderes, Municipios e Instituciones Descentralizadas del Estado de México; celebrado entre el Gobierno del Estado de México y la Institución de Banca Múltiple </w:t>
      </w:r>
      <w:r>
        <w:rPr>
          <w:rFonts w:ascii="Palatino Linotype" w:hAnsi="Palatino Linotype" w:cs="Arial"/>
          <w:i/>
        </w:rPr>
        <w:t>Grupo Financiero Interacciones S. A.</w:t>
      </w:r>
    </w:p>
    <w:p w14:paraId="528347D2"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FOREMEX</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 xml:space="preserve">de 42 fojas consistente en el expediente formado con motivo del Fideicomiso Irrevocable para la Administración del Fondo de Retiro para los Servidores Públicos de los Poderes Ejecutivo y Judicial del Gobierno del Estado de México, celebrado entre el Gobierno </w:t>
      </w:r>
      <w:r>
        <w:rPr>
          <w:rFonts w:ascii="Palatino Linotype" w:hAnsi="Palatino Linotype" w:cs="Arial"/>
        </w:rPr>
        <w:lastRenderedPageBreak/>
        <w:t xml:space="preserve">del Estado de México, y la Institución de Banca Múltiple </w:t>
      </w:r>
      <w:r>
        <w:rPr>
          <w:rFonts w:ascii="Palatino Linotype" w:hAnsi="Palatino Linotype" w:cs="Arial"/>
          <w:i/>
        </w:rPr>
        <w:t>Grupo Financiero Interacciones S. A.</w:t>
      </w:r>
    </w:p>
    <w:p w14:paraId="11672E11" w14:textId="77777777" w:rsidR="00946211" w:rsidRDefault="00946211" w:rsidP="00946211">
      <w:pPr>
        <w:pStyle w:val="Prrafodelista"/>
        <w:numPr>
          <w:ilvl w:val="0"/>
          <w:numId w:val="16"/>
        </w:numPr>
        <w:spacing w:line="360" w:lineRule="auto"/>
        <w:ind w:left="1134"/>
        <w:contextualSpacing w:val="0"/>
        <w:jc w:val="both"/>
        <w:rPr>
          <w:rFonts w:ascii="Palatino Linotype" w:hAnsi="Palatino Linotype" w:cs="Arial"/>
        </w:rPr>
      </w:pPr>
      <w:r w:rsidRPr="00C967DD">
        <w:rPr>
          <w:rFonts w:ascii="Palatino Linotype" w:hAnsi="Palatino Linotype" w:cs="Arial"/>
          <w:b/>
          <w:i/>
        </w:rPr>
        <w:t>“</w:t>
      </w:r>
      <w:r>
        <w:rPr>
          <w:rFonts w:ascii="Palatino Linotype" w:hAnsi="Palatino Linotype" w:cs="Arial"/>
          <w:b/>
          <w:i/>
        </w:rPr>
        <w:t>FROA</w:t>
      </w:r>
      <w:r w:rsidRPr="000F0E0D">
        <w:rPr>
          <w:rFonts w:ascii="Palatino Linotype" w:hAnsi="Palatino Linotype" w:cs="Arial"/>
          <w:b/>
          <w:i/>
        </w:rPr>
        <w:t>.pdf</w:t>
      </w:r>
      <w:r w:rsidRPr="00C967DD">
        <w:rPr>
          <w:rFonts w:ascii="Palatino Linotype" w:hAnsi="Palatino Linotype" w:cs="Arial"/>
          <w:b/>
          <w:i/>
        </w:rPr>
        <w:t>”</w:t>
      </w:r>
      <w:r w:rsidRPr="00C967DD">
        <w:rPr>
          <w:rFonts w:ascii="Palatino Linotype" w:hAnsi="Palatino Linotype" w:cs="Arial"/>
        </w:rPr>
        <w:t xml:space="preserve">: Documento </w:t>
      </w:r>
      <w:r>
        <w:rPr>
          <w:rFonts w:ascii="Palatino Linotype" w:hAnsi="Palatino Linotype" w:cs="Arial"/>
        </w:rPr>
        <w:t xml:space="preserve">de 45 fojas consistente en el expediente formado por el Fideicomiso Irrevocable para la Administración del Fondo de Retiro para los Servidores Públicos de los Organismos Auxiliares del Poder Ejecutivo del Estado de México, suscrito entre el Gobierno del Estado de México, y la Institución de Banca Múltiple </w:t>
      </w:r>
      <w:r>
        <w:rPr>
          <w:rFonts w:ascii="Palatino Linotype" w:hAnsi="Palatino Linotype" w:cs="Arial"/>
          <w:i/>
        </w:rPr>
        <w:t>Grupo Financiero Interacciones S. A.</w:t>
      </w:r>
    </w:p>
    <w:p w14:paraId="6BBC322F" w14:textId="77777777" w:rsidR="00EB3F5C" w:rsidRDefault="00EB3F5C" w:rsidP="00100C6D">
      <w:pPr>
        <w:pStyle w:val="Prrafodelista"/>
        <w:tabs>
          <w:tab w:val="left" w:pos="426"/>
        </w:tabs>
        <w:spacing w:before="240" w:after="240" w:line="360" w:lineRule="auto"/>
        <w:ind w:left="0" w:right="51"/>
        <w:jc w:val="both"/>
        <w:rPr>
          <w:rFonts w:ascii="Palatino Linotype" w:hAnsi="Palatino Linotype"/>
          <w:color w:val="000000" w:themeColor="text1"/>
        </w:rPr>
      </w:pPr>
    </w:p>
    <w:p w14:paraId="1AB7D64C" w14:textId="139AC73D" w:rsidR="00B7018A" w:rsidRPr="00660214" w:rsidRDefault="00B7018A" w:rsidP="00B7018A">
      <w:pPr>
        <w:pStyle w:val="Prrafodelista"/>
        <w:numPr>
          <w:ilvl w:val="0"/>
          <w:numId w:val="1"/>
        </w:numPr>
        <w:tabs>
          <w:tab w:val="left" w:pos="426"/>
        </w:tabs>
        <w:autoSpaceDE w:val="0"/>
        <w:autoSpaceDN w:val="0"/>
        <w:adjustRightInd w:val="0"/>
        <w:spacing w:line="360" w:lineRule="auto"/>
        <w:ind w:right="113"/>
        <w:jc w:val="both"/>
        <w:rPr>
          <w:rFonts w:ascii="Palatino Linotype" w:hAnsi="Palatino Linotype"/>
          <w:i/>
          <w:iCs/>
        </w:rPr>
      </w:pPr>
      <w:r>
        <w:rPr>
          <w:rFonts w:ascii="Palatino Linotype" w:hAnsi="Palatino Linotype"/>
          <w:iCs/>
        </w:rPr>
        <w:t>No es ocioso referir que</w:t>
      </w:r>
      <w:r w:rsidR="000317B3">
        <w:rPr>
          <w:rFonts w:ascii="Palatino Linotype" w:hAnsi="Palatino Linotype"/>
          <w:iCs/>
        </w:rPr>
        <w:t>,</w:t>
      </w:r>
      <w:r w:rsidRPr="00660214">
        <w:rPr>
          <w:rFonts w:ascii="Palatino Linotype" w:hAnsi="Palatino Linotype"/>
          <w:iCs/>
        </w:rPr>
        <w:t xml:space="preserve"> al existir un pronunciamiento directo por parte del </w:t>
      </w:r>
      <w:r w:rsidRPr="00660214">
        <w:rPr>
          <w:rFonts w:ascii="Palatino Linotype" w:hAnsi="Palatino Linotype"/>
          <w:b/>
          <w:iCs/>
        </w:rPr>
        <w:t>SUJETO OBLIGADO</w:t>
      </w:r>
      <w:r w:rsidRPr="00660214">
        <w:rPr>
          <w:rFonts w:ascii="Palatino Linotype" w:hAnsi="Palatino Linotype"/>
          <w:iCs/>
        </w:rPr>
        <w:t xml:space="preserve">, a fin de atender la solicitud planteada por </w:t>
      </w:r>
      <w:r>
        <w:rPr>
          <w:rFonts w:ascii="Palatino Linotype" w:hAnsi="Palatino Linotype"/>
          <w:iCs/>
        </w:rPr>
        <w:t>la</w:t>
      </w:r>
      <w:r w:rsidRPr="00660214">
        <w:rPr>
          <w:rFonts w:ascii="Palatino Linotype" w:hAnsi="Palatino Linotype"/>
          <w:iCs/>
        </w:rPr>
        <w:t xml:space="preserve"> hoy </w:t>
      </w:r>
      <w:r w:rsidRPr="00660214">
        <w:rPr>
          <w:rFonts w:ascii="Palatino Linotype" w:hAnsi="Palatino Linotype"/>
          <w:b/>
          <w:iCs/>
        </w:rPr>
        <w:t>RECURRENTE</w:t>
      </w:r>
      <w:r w:rsidRPr="00660214">
        <w:rPr>
          <w:rFonts w:ascii="Palatino Linotype" w:hAnsi="Palatino Linotype"/>
          <w:iCs/>
        </w:rPr>
        <w:t xml:space="preserve">, es necesario señalar que este Órgano Garante no está facultado para pronunciarse sobre la veracidad de la información que los Sujetos Obligados ponen a disposición de los Solicitantes; situación que se aleja de las atribuciones de este Instituto, máxime que al momento que ponen a disposición ésta, la misma tiene el carácter oficial y se presume veraz, tan es así que la misma queda registrada en el </w:t>
      </w:r>
      <w:r w:rsidRPr="00660214">
        <w:rPr>
          <w:rFonts w:ascii="Palatino Linotype" w:hAnsi="Palatino Linotype"/>
          <w:bCs/>
          <w:iCs/>
        </w:rPr>
        <w:t>SAIMEX</w:t>
      </w:r>
      <w:r w:rsidRPr="00660214">
        <w:rPr>
          <w:rFonts w:ascii="Palatino Linotype" w:hAnsi="Palatino Linotype"/>
          <w:iCs/>
        </w:rPr>
        <w:t>.</w:t>
      </w:r>
    </w:p>
    <w:p w14:paraId="19A4DBD5" w14:textId="77777777" w:rsidR="00B7018A" w:rsidRPr="00660214" w:rsidRDefault="00B7018A" w:rsidP="00B7018A">
      <w:pPr>
        <w:pStyle w:val="Prrafodelista"/>
        <w:tabs>
          <w:tab w:val="left" w:pos="426"/>
        </w:tabs>
        <w:autoSpaceDE w:val="0"/>
        <w:autoSpaceDN w:val="0"/>
        <w:adjustRightInd w:val="0"/>
        <w:spacing w:line="360" w:lineRule="auto"/>
        <w:ind w:left="0" w:right="113"/>
        <w:jc w:val="both"/>
        <w:rPr>
          <w:rFonts w:ascii="Palatino Linotype" w:hAnsi="Palatino Linotype"/>
          <w:i/>
          <w:iCs/>
        </w:rPr>
      </w:pPr>
    </w:p>
    <w:p w14:paraId="64923306" w14:textId="77777777" w:rsidR="00B7018A" w:rsidRPr="002A4DEB" w:rsidRDefault="00B7018A" w:rsidP="00B7018A">
      <w:pPr>
        <w:pStyle w:val="Prrafodelista"/>
        <w:numPr>
          <w:ilvl w:val="0"/>
          <w:numId w:val="1"/>
        </w:numPr>
        <w:tabs>
          <w:tab w:val="left" w:pos="426"/>
        </w:tabs>
        <w:autoSpaceDE w:val="0"/>
        <w:autoSpaceDN w:val="0"/>
        <w:adjustRightInd w:val="0"/>
        <w:spacing w:line="360" w:lineRule="auto"/>
        <w:ind w:right="113"/>
        <w:jc w:val="both"/>
        <w:rPr>
          <w:rFonts w:ascii="Palatino Linotype" w:hAnsi="Palatino Linotype"/>
          <w:i/>
          <w:iCs/>
        </w:rPr>
      </w:pPr>
      <w:r>
        <w:rPr>
          <w:rFonts w:ascii="Palatino Linotype" w:hAnsi="Palatino Linotype"/>
          <w:iCs/>
        </w:rPr>
        <w:t xml:space="preserve">Sirve </w:t>
      </w:r>
      <w:r w:rsidRPr="00660214">
        <w:rPr>
          <w:rFonts w:ascii="Palatino Linotype" w:hAnsi="Palatino Linotype"/>
          <w:iCs/>
        </w:rPr>
        <w:t>de apoyo a lo anterior por analogía, el Criterio 31-10 emitido por el ahora Instituto Nacional de Transparencia, Acceso a la Información y Protección de Datos Personales, que a la letra dice:</w:t>
      </w:r>
    </w:p>
    <w:p w14:paraId="57BC534E" w14:textId="77777777" w:rsidR="00B7018A" w:rsidRDefault="00B7018A" w:rsidP="00B7018A">
      <w:pPr>
        <w:pStyle w:val="Prrafodelista"/>
        <w:autoSpaceDE w:val="0"/>
        <w:autoSpaceDN w:val="0"/>
        <w:adjustRightInd w:val="0"/>
        <w:spacing w:line="360" w:lineRule="auto"/>
        <w:ind w:left="0" w:right="113"/>
        <w:jc w:val="both"/>
        <w:rPr>
          <w:rFonts w:ascii="Palatino Linotype" w:hAnsi="Palatino Linotype"/>
          <w:i/>
          <w:iCs/>
        </w:rPr>
      </w:pPr>
    </w:p>
    <w:p w14:paraId="6ED4C747" w14:textId="77777777" w:rsidR="00B7018A" w:rsidRPr="00794C2B" w:rsidRDefault="00B7018A" w:rsidP="00B7018A">
      <w:pPr>
        <w:pStyle w:val="Default"/>
        <w:spacing w:line="276" w:lineRule="auto"/>
        <w:ind w:left="567" w:right="567"/>
        <w:jc w:val="both"/>
        <w:rPr>
          <w:rFonts w:ascii="Palatino Linotype" w:hAnsi="Palatino Linotype"/>
          <w:sz w:val="22"/>
          <w:szCs w:val="20"/>
        </w:rPr>
      </w:pPr>
      <w:r w:rsidRPr="00BB7E0C">
        <w:rPr>
          <w:rFonts w:ascii="Palatino Linotype" w:hAnsi="Palatino Linotype"/>
          <w:b/>
          <w:i/>
          <w:sz w:val="22"/>
          <w:szCs w:val="20"/>
        </w:rPr>
        <w:t>EL INSTITUTO FEDERAL DE ACCESO A LA INFORMACIÓN Y PROTECCIÓN DE DATOS</w:t>
      </w:r>
      <w:r w:rsidRPr="00031358">
        <w:rPr>
          <w:rFonts w:ascii="Palatino Linotype" w:hAnsi="Palatino Linotype"/>
          <w:i/>
          <w:sz w:val="22"/>
          <w:szCs w:val="20"/>
        </w:rPr>
        <w:t xml:space="preserve"> </w:t>
      </w:r>
      <w:r w:rsidRPr="004B3660">
        <w:rPr>
          <w:rFonts w:ascii="Palatino Linotype" w:hAnsi="Palatino Linotype"/>
          <w:b/>
          <w:i/>
          <w:sz w:val="22"/>
          <w:szCs w:val="20"/>
        </w:rPr>
        <w:t>NO CUENTA CON FACULTADES PARA PRONUNCIARSE RESPECTO DE LA VERACIDAD DE LOS DOCUMENTOS PROPORCIONADOS POR LOS SUJETOS OBLIGADOS.</w:t>
      </w:r>
      <w:r w:rsidRPr="00031358">
        <w:rPr>
          <w:rFonts w:ascii="Palatino Linotype" w:hAnsi="Palatino Linotype"/>
          <w:i/>
          <w:sz w:val="22"/>
          <w:szCs w:val="20"/>
        </w:rPr>
        <w:t xml:space="preserve"> </w:t>
      </w:r>
      <w:r>
        <w:rPr>
          <w:rFonts w:ascii="Palatino Linotype" w:hAnsi="Palatino Linotype"/>
          <w:i/>
          <w:sz w:val="22"/>
          <w:szCs w:val="20"/>
        </w:rPr>
        <w:t>“</w:t>
      </w:r>
      <w:r w:rsidRPr="00031358">
        <w:rPr>
          <w:rFonts w:ascii="Palatino Linotype" w:hAnsi="Palatino Linotype"/>
          <w:i/>
          <w:sz w:val="22"/>
          <w:szCs w:val="20"/>
        </w:rPr>
        <w:t xml:space="preserve">El Instituto Federal </w:t>
      </w:r>
      <w:r w:rsidRPr="00031358">
        <w:rPr>
          <w:rFonts w:ascii="Palatino Linotype" w:hAnsi="Palatino Linotype"/>
          <w:i/>
          <w:sz w:val="22"/>
          <w:szCs w:val="20"/>
        </w:rPr>
        <w:lastRenderedPageBreak/>
        <w:t xml:space="preserve">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w:t>
      </w:r>
      <w:r w:rsidRPr="00BB7E0C">
        <w:rPr>
          <w:rFonts w:ascii="Palatino Linotype" w:hAnsi="Palatino Linotype"/>
          <w:b/>
          <w:i/>
          <w:sz w:val="22"/>
          <w:szCs w:val="20"/>
        </w:rPr>
        <w:t>no está facultado para pronunciarse sobre la veracidad de la información proporcionada por las autoridades en respuesta a las solicitudes de información que les presentan los particulares</w:t>
      </w:r>
      <w:r w:rsidRPr="00031358">
        <w:rPr>
          <w:rFonts w:ascii="Palatino Linotype" w:hAnsi="Palatino Linotype"/>
          <w:i/>
          <w:sz w:val="22"/>
          <w:szCs w:val="20"/>
        </w:rPr>
        <w:t>, en virtud de que en los artículos 49 y 50 de la Ley Federal de Transparencia y Acceso a la Información Pública Gubernamental no se prevé una causal que permita al Instituto Federal de Acceso a la Información y Protección de Datos conocer, vía</w:t>
      </w:r>
      <w:r>
        <w:rPr>
          <w:rFonts w:ascii="Palatino Linotype" w:hAnsi="Palatino Linotype"/>
          <w:i/>
          <w:sz w:val="22"/>
          <w:szCs w:val="20"/>
        </w:rPr>
        <w:t xml:space="preserve"> recurso revisión, al respecto.”</w:t>
      </w:r>
      <w:r>
        <w:rPr>
          <w:rFonts w:ascii="Palatino Linotype" w:hAnsi="Palatino Linotype"/>
          <w:i/>
          <w:sz w:val="22"/>
          <w:szCs w:val="20"/>
        </w:rPr>
        <w:br/>
      </w:r>
      <w:r>
        <w:rPr>
          <w:rFonts w:ascii="Palatino Linotype" w:hAnsi="Palatino Linotype"/>
          <w:sz w:val="22"/>
          <w:szCs w:val="20"/>
        </w:rPr>
        <w:t>(Énfasis añadido)</w:t>
      </w:r>
    </w:p>
    <w:p w14:paraId="73EDD6DE" w14:textId="77777777" w:rsidR="00B7018A" w:rsidRPr="002A4DEB" w:rsidRDefault="00B7018A" w:rsidP="00B7018A">
      <w:pPr>
        <w:pStyle w:val="Prrafodelista"/>
        <w:autoSpaceDE w:val="0"/>
        <w:autoSpaceDN w:val="0"/>
        <w:adjustRightInd w:val="0"/>
        <w:spacing w:line="360" w:lineRule="auto"/>
        <w:ind w:left="0" w:right="113"/>
        <w:jc w:val="both"/>
        <w:rPr>
          <w:rFonts w:ascii="Palatino Linotype" w:hAnsi="Palatino Linotype"/>
          <w:i/>
          <w:iCs/>
        </w:rPr>
      </w:pPr>
    </w:p>
    <w:p w14:paraId="0658E808" w14:textId="77777777" w:rsidR="00B7018A" w:rsidRPr="00660214" w:rsidRDefault="00B7018A" w:rsidP="00B7018A">
      <w:pPr>
        <w:pStyle w:val="Prrafodelista"/>
        <w:numPr>
          <w:ilvl w:val="0"/>
          <w:numId w:val="1"/>
        </w:numPr>
        <w:autoSpaceDE w:val="0"/>
        <w:autoSpaceDN w:val="0"/>
        <w:adjustRightInd w:val="0"/>
        <w:spacing w:line="360" w:lineRule="auto"/>
        <w:ind w:right="113"/>
        <w:jc w:val="both"/>
        <w:rPr>
          <w:rFonts w:ascii="Palatino Linotype" w:hAnsi="Palatino Linotype"/>
          <w:i/>
          <w:iCs/>
        </w:rPr>
      </w:pPr>
      <w:r>
        <w:rPr>
          <w:rFonts w:ascii="Palatino Linotype" w:hAnsi="Palatino Linotype"/>
          <w:iCs/>
        </w:rPr>
        <w:t xml:space="preserve">En </w:t>
      </w:r>
      <w:r w:rsidRPr="00660214">
        <w:rPr>
          <w:rFonts w:ascii="Palatino Linotype" w:hAnsi="Palatino Linotype"/>
          <w:iCs/>
        </w:rPr>
        <w:t>el mismo sentido, el artículo 3 de la Ley de Transparencia y Acceso a la Información Pública del Estado de México y Municipios, establece que la información pública generada, administrada o en posesión de los Sujetos Obligados en ejercicio de sus atribuciones, será accesible de manera permanente a cualquier persona, privilegiando el principio de máxima publicidad de la información, por lo que deberán apegarse en todo momento a los criterios de publicidad, veracidad, oportunidad entre otros, y que a la letra señalan:</w:t>
      </w:r>
    </w:p>
    <w:p w14:paraId="1BCA253E" w14:textId="77777777" w:rsidR="00B7018A" w:rsidRDefault="00B7018A" w:rsidP="00B7018A">
      <w:pPr>
        <w:pStyle w:val="Prrafodelista"/>
        <w:autoSpaceDE w:val="0"/>
        <w:autoSpaceDN w:val="0"/>
        <w:adjustRightInd w:val="0"/>
        <w:spacing w:line="360" w:lineRule="auto"/>
        <w:ind w:left="0" w:right="113"/>
        <w:jc w:val="both"/>
        <w:rPr>
          <w:rFonts w:ascii="Palatino Linotype" w:hAnsi="Palatino Linotype"/>
          <w:i/>
          <w:iCs/>
        </w:rPr>
      </w:pPr>
    </w:p>
    <w:p w14:paraId="3503870D" w14:textId="77777777" w:rsidR="00B7018A" w:rsidRPr="00640DE6" w:rsidRDefault="00B7018A" w:rsidP="00B7018A">
      <w:pPr>
        <w:pStyle w:val="Prrafodelista"/>
        <w:spacing w:line="276" w:lineRule="auto"/>
        <w:ind w:left="567" w:right="567"/>
        <w:jc w:val="both"/>
        <w:rPr>
          <w:rFonts w:ascii="Palatino Linotype" w:hAnsi="Palatino Linotype" w:cs="Arial"/>
          <w:b/>
          <w:i/>
          <w:sz w:val="22"/>
          <w:szCs w:val="22"/>
        </w:rPr>
      </w:pPr>
      <w:r w:rsidRPr="00640DE6">
        <w:rPr>
          <w:rFonts w:ascii="Palatino Linotype" w:hAnsi="Palatino Linotype" w:cs="Arial"/>
          <w:b/>
          <w:i/>
          <w:sz w:val="22"/>
          <w:szCs w:val="22"/>
        </w:rPr>
        <w:t>Artículo 3.-</w:t>
      </w:r>
      <w:r w:rsidRPr="00640DE6">
        <w:rPr>
          <w:rFonts w:ascii="Palatino Linotype" w:hAnsi="Palatino Linotype" w:cs="Arial"/>
          <w:i/>
          <w:sz w:val="22"/>
          <w:szCs w:val="22"/>
        </w:rPr>
        <w:t xml:space="preserve"> La información pública generada, administrada o en posesión de los Sujetos Obligados en ejercicio de sus atribuciones, será accesible de manera permanente a cualquier persona, privilegiando el principio de máxima publicidad de la información. </w:t>
      </w:r>
      <w:r w:rsidRPr="00640DE6">
        <w:rPr>
          <w:rFonts w:ascii="Palatino Linotype" w:hAnsi="Palatino Linotype" w:cs="Arial"/>
          <w:b/>
          <w:i/>
          <w:sz w:val="22"/>
          <w:szCs w:val="22"/>
        </w:rPr>
        <w:t>Los Sujetos Obligados deben poner en práctica, políticas y programas de acceso a la información que se apeguen a criterios de publicidad, veracidad, oportunidad, precisión y suficiencia en beneficio de los solicitantes.</w:t>
      </w:r>
    </w:p>
    <w:p w14:paraId="6360DB28" w14:textId="77777777" w:rsidR="00B7018A" w:rsidRPr="00794C2B" w:rsidRDefault="00B7018A" w:rsidP="00B7018A">
      <w:pPr>
        <w:pStyle w:val="Prrafodelista"/>
        <w:spacing w:line="276" w:lineRule="auto"/>
        <w:ind w:left="567" w:right="567"/>
        <w:jc w:val="both"/>
        <w:rPr>
          <w:rFonts w:ascii="Palatino Linotype" w:hAnsi="Palatino Linotype" w:cs="Arial"/>
          <w:iCs/>
          <w:sz w:val="22"/>
          <w:szCs w:val="22"/>
        </w:rPr>
      </w:pPr>
      <w:r w:rsidRPr="00640DE6">
        <w:rPr>
          <w:rFonts w:ascii="Palatino Linotype" w:hAnsi="Palatino Linotype" w:cs="Arial"/>
          <w:iCs/>
          <w:sz w:val="22"/>
          <w:szCs w:val="22"/>
        </w:rPr>
        <w:t>(Énfasis añadido)</w:t>
      </w:r>
    </w:p>
    <w:p w14:paraId="15C47AC8" w14:textId="77777777" w:rsidR="00B7018A" w:rsidRPr="00660214" w:rsidRDefault="00B7018A" w:rsidP="00B7018A">
      <w:pPr>
        <w:pStyle w:val="Prrafodelista"/>
        <w:autoSpaceDE w:val="0"/>
        <w:autoSpaceDN w:val="0"/>
        <w:adjustRightInd w:val="0"/>
        <w:spacing w:line="360" w:lineRule="auto"/>
        <w:ind w:left="0" w:right="113"/>
        <w:jc w:val="both"/>
        <w:rPr>
          <w:rFonts w:ascii="Palatino Linotype" w:hAnsi="Palatino Linotype"/>
          <w:i/>
          <w:iCs/>
        </w:rPr>
      </w:pPr>
    </w:p>
    <w:p w14:paraId="2DA6F7B1" w14:textId="77777777" w:rsidR="00B7018A" w:rsidRPr="00FD1354" w:rsidRDefault="00B7018A" w:rsidP="00B7018A">
      <w:pPr>
        <w:pStyle w:val="Prrafodelista"/>
        <w:numPr>
          <w:ilvl w:val="0"/>
          <w:numId w:val="1"/>
        </w:numPr>
        <w:autoSpaceDE w:val="0"/>
        <w:autoSpaceDN w:val="0"/>
        <w:adjustRightInd w:val="0"/>
        <w:spacing w:line="360" w:lineRule="auto"/>
        <w:ind w:right="113"/>
        <w:jc w:val="both"/>
        <w:rPr>
          <w:rFonts w:ascii="Palatino Linotype" w:hAnsi="Palatino Linotype"/>
          <w:i/>
          <w:iCs/>
        </w:rPr>
      </w:pPr>
      <w:r>
        <w:rPr>
          <w:rFonts w:ascii="Palatino Linotype" w:hAnsi="Palatino Linotype"/>
          <w:iCs/>
        </w:rPr>
        <w:lastRenderedPageBreak/>
        <w:t xml:space="preserve">Disposiciones </w:t>
      </w:r>
      <w:r w:rsidRPr="00660214">
        <w:rPr>
          <w:rFonts w:ascii="Palatino Linotype" w:hAnsi="Palatino Linotype"/>
          <w:iCs/>
        </w:rPr>
        <w:t xml:space="preserve">que compelen al </w:t>
      </w:r>
      <w:r w:rsidRPr="00660214">
        <w:rPr>
          <w:rFonts w:ascii="Palatino Linotype" w:hAnsi="Palatino Linotype"/>
          <w:b/>
          <w:iCs/>
        </w:rPr>
        <w:t>SUJETO OBLIGADO</w:t>
      </w:r>
      <w:r w:rsidRPr="00660214">
        <w:rPr>
          <w:rFonts w:ascii="Palatino Linotype" w:hAnsi="Palatino Linotype"/>
          <w:iCs/>
        </w:rPr>
        <w:t xml:space="preserve"> a apegarse en todo momento a los criterios ya expuestos, impidiendo a este Órgano Colegiado cuestionar la veracidad de la información.</w:t>
      </w:r>
    </w:p>
    <w:p w14:paraId="1040B9BC" w14:textId="77777777" w:rsidR="00B7018A" w:rsidRDefault="00B7018A" w:rsidP="00B7018A">
      <w:pPr>
        <w:pStyle w:val="Prrafodelista"/>
        <w:tabs>
          <w:tab w:val="left" w:pos="426"/>
        </w:tabs>
        <w:spacing w:before="240" w:after="240" w:line="360" w:lineRule="auto"/>
        <w:ind w:left="0" w:right="51"/>
        <w:jc w:val="both"/>
        <w:rPr>
          <w:rFonts w:ascii="Palatino Linotype" w:hAnsi="Palatino Linotype"/>
          <w:color w:val="000000" w:themeColor="text1"/>
        </w:rPr>
      </w:pPr>
    </w:p>
    <w:p w14:paraId="186A75AA" w14:textId="27C75434" w:rsidR="00100C6D" w:rsidRDefault="00B7018A"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P</w:t>
      </w:r>
      <w:r w:rsidR="00F12438">
        <w:rPr>
          <w:rFonts w:ascii="Palatino Linotype" w:hAnsi="Palatino Linotype"/>
          <w:color w:val="000000" w:themeColor="text1"/>
        </w:rPr>
        <w:t>osteriormente</w:t>
      </w:r>
      <w:r w:rsidR="00EB3F5C">
        <w:rPr>
          <w:rFonts w:ascii="Palatino Linotype" w:hAnsi="Palatino Linotype"/>
          <w:color w:val="000000" w:themeColor="text1"/>
        </w:rPr>
        <w:t xml:space="preserve">, </w:t>
      </w:r>
      <w:r w:rsidR="004003E9">
        <w:rPr>
          <w:rFonts w:ascii="Palatino Linotype" w:hAnsi="Palatino Linotype"/>
          <w:color w:val="000000" w:themeColor="text1"/>
        </w:rPr>
        <w:t>l</w:t>
      </w:r>
      <w:r w:rsidR="00F12438">
        <w:rPr>
          <w:rFonts w:ascii="Palatino Linotype" w:hAnsi="Palatino Linotype"/>
          <w:color w:val="000000" w:themeColor="text1"/>
        </w:rPr>
        <w:t>a</w:t>
      </w:r>
      <w:r w:rsidR="00EB3F5C">
        <w:rPr>
          <w:rFonts w:ascii="Palatino Linotype" w:hAnsi="Palatino Linotype"/>
          <w:color w:val="000000" w:themeColor="text1"/>
        </w:rPr>
        <w:t xml:space="preserve"> </w:t>
      </w:r>
      <w:r w:rsidR="00EB3F5C">
        <w:rPr>
          <w:rFonts w:ascii="Palatino Linotype" w:hAnsi="Palatino Linotype"/>
          <w:b/>
          <w:color w:val="000000" w:themeColor="text1"/>
        </w:rPr>
        <w:t>RECURRENTE</w:t>
      </w:r>
      <w:r w:rsidR="00EB3F5C">
        <w:rPr>
          <w:rFonts w:ascii="Palatino Linotype" w:hAnsi="Palatino Linotype"/>
          <w:color w:val="000000" w:themeColor="text1"/>
        </w:rPr>
        <w:t xml:space="preserve"> promovió el recurso de revisión con número al rubro indicado</w:t>
      </w:r>
      <w:r w:rsidR="004003E9">
        <w:rPr>
          <w:rFonts w:ascii="Palatino Linotype" w:hAnsi="Palatino Linotype"/>
          <w:color w:val="000000" w:themeColor="text1"/>
        </w:rPr>
        <w:t>,</w:t>
      </w:r>
      <w:r w:rsidR="00EB3F5C">
        <w:rPr>
          <w:rFonts w:ascii="Palatino Linotype" w:hAnsi="Palatino Linotype"/>
          <w:color w:val="000000" w:themeColor="text1"/>
        </w:rPr>
        <w:t xml:space="preserve"> en contra de la respuesta del </w:t>
      </w:r>
      <w:r w:rsidR="00EB3F5C">
        <w:rPr>
          <w:rFonts w:ascii="Palatino Linotype" w:hAnsi="Palatino Linotype"/>
          <w:b/>
          <w:color w:val="000000" w:themeColor="text1"/>
        </w:rPr>
        <w:t>SUJETO OBLIGADO</w:t>
      </w:r>
      <w:r w:rsidR="00EB3F5C">
        <w:rPr>
          <w:rFonts w:ascii="Palatino Linotype" w:hAnsi="Palatino Linotype"/>
          <w:color w:val="000000" w:themeColor="text1"/>
        </w:rPr>
        <w:t>,</w:t>
      </w:r>
      <w:r w:rsidR="004003E9">
        <w:rPr>
          <w:rFonts w:ascii="Palatino Linotype" w:hAnsi="Palatino Linotype"/>
          <w:color w:val="000000" w:themeColor="text1"/>
        </w:rPr>
        <w:t xml:space="preserve"> y</w:t>
      </w:r>
      <w:r w:rsidR="00F12438">
        <w:rPr>
          <w:rFonts w:ascii="Palatino Linotype" w:hAnsi="Palatino Linotype"/>
          <w:color w:val="000000" w:themeColor="text1"/>
        </w:rPr>
        <w:t xml:space="preserve"> en el que señaló por agravios</w:t>
      </w:r>
      <w:r w:rsidR="0089651A">
        <w:rPr>
          <w:rFonts w:ascii="Palatino Linotype" w:hAnsi="Palatino Linotype"/>
          <w:color w:val="000000" w:themeColor="text1"/>
        </w:rPr>
        <w:t>,</w:t>
      </w:r>
      <w:r w:rsidR="00EB3F5C">
        <w:rPr>
          <w:rFonts w:ascii="Palatino Linotype" w:hAnsi="Palatino Linotype"/>
          <w:color w:val="000000" w:themeColor="text1"/>
        </w:rPr>
        <w:t xml:space="preserve"> lo siguiente:</w:t>
      </w:r>
    </w:p>
    <w:p w14:paraId="19AE1CE3" w14:textId="6BE358A7" w:rsidR="005655F3" w:rsidRDefault="005655F3" w:rsidP="00F12438">
      <w:pPr>
        <w:pStyle w:val="Prrafodelista"/>
        <w:numPr>
          <w:ilvl w:val="1"/>
          <w:numId w:val="12"/>
        </w:numPr>
        <w:tabs>
          <w:tab w:val="left" w:pos="426"/>
        </w:tabs>
        <w:spacing w:before="240" w:after="240" w:line="360" w:lineRule="auto"/>
        <w:ind w:left="1134" w:right="51"/>
        <w:jc w:val="both"/>
        <w:rPr>
          <w:rFonts w:ascii="Palatino Linotype" w:hAnsi="Palatino Linotype"/>
          <w:color w:val="000000" w:themeColor="text1"/>
        </w:rPr>
      </w:pPr>
      <w:r>
        <w:rPr>
          <w:rFonts w:ascii="Palatino Linotype" w:hAnsi="Palatino Linotype"/>
          <w:color w:val="000000" w:themeColor="text1"/>
        </w:rPr>
        <w:t xml:space="preserve">Que </w:t>
      </w:r>
      <w:r w:rsidR="00F12438">
        <w:rPr>
          <w:rFonts w:ascii="Palatino Linotype" w:hAnsi="Palatino Linotype"/>
          <w:color w:val="000000" w:themeColor="text1"/>
        </w:rPr>
        <w:t xml:space="preserve">el </w:t>
      </w:r>
      <w:r w:rsidR="00F12438">
        <w:rPr>
          <w:rFonts w:ascii="Palatino Linotype" w:hAnsi="Palatino Linotype"/>
          <w:b/>
          <w:color w:val="000000" w:themeColor="text1"/>
        </w:rPr>
        <w:t>SUJETO OBLIGADO</w:t>
      </w:r>
      <w:r w:rsidR="00F12438">
        <w:rPr>
          <w:rFonts w:ascii="Palatino Linotype" w:hAnsi="Palatino Linotype"/>
          <w:color w:val="000000" w:themeColor="text1"/>
        </w:rPr>
        <w:t xml:space="preserve"> no le entregó la información vía correo electrónico; y</w:t>
      </w:r>
    </w:p>
    <w:p w14:paraId="33415194" w14:textId="6FA3E1C8" w:rsidR="00F12438" w:rsidRDefault="00F12438" w:rsidP="00F12438">
      <w:pPr>
        <w:pStyle w:val="Prrafodelista"/>
        <w:numPr>
          <w:ilvl w:val="1"/>
          <w:numId w:val="12"/>
        </w:numPr>
        <w:tabs>
          <w:tab w:val="left" w:pos="426"/>
        </w:tabs>
        <w:spacing w:before="240" w:after="240" w:line="360" w:lineRule="auto"/>
        <w:ind w:left="1134" w:right="51"/>
        <w:jc w:val="both"/>
        <w:rPr>
          <w:rFonts w:ascii="Palatino Linotype" w:hAnsi="Palatino Linotype"/>
          <w:color w:val="000000" w:themeColor="text1"/>
        </w:rPr>
      </w:pPr>
      <w:r>
        <w:rPr>
          <w:rFonts w:ascii="Palatino Linotype" w:hAnsi="Palatino Linotype"/>
          <w:color w:val="000000" w:themeColor="text1"/>
        </w:rPr>
        <w:t>Que los documentos adjuntos en la respuesta disponible en el SAIMEX no se pueden descargar o visualizar.</w:t>
      </w:r>
    </w:p>
    <w:p w14:paraId="702E3841" w14:textId="77777777" w:rsidR="007820F2" w:rsidRDefault="007820F2" w:rsidP="007820F2">
      <w:pPr>
        <w:pStyle w:val="Prrafodelista"/>
        <w:tabs>
          <w:tab w:val="left" w:pos="426"/>
        </w:tabs>
        <w:spacing w:before="240" w:after="240" w:line="360" w:lineRule="auto"/>
        <w:ind w:left="0" w:right="51"/>
        <w:jc w:val="both"/>
        <w:rPr>
          <w:rFonts w:ascii="Palatino Linotype" w:hAnsi="Palatino Linotype"/>
          <w:color w:val="000000" w:themeColor="text1"/>
        </w:rPr>
      </w:pPr>
    </w:p>
    <w:p w14:paraId="6E57BF85" w14:textId="47CD44BB" w:rsidR="00960E81" w:rsidRDefault="00960E81"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Así </w:t>
      </w:r>
      <w:r w:rsidRPr="00960E81">
        <w:rPr>
          <w:rFonts w:ascii="Palatino Linotype" w:hAnsi="Palatino Linotype"/>
          <w:color w:val="000000" w:themeColor="text1"/>
        </w:rPr>
        <w:t xml:space="preserve">las cosas, toda vez que la inconformidad de la </w:t>
      </w:r>
      <w:r w:rsidRPr="00960E81">
        <w:rPr>
          <w:rFonts w:ascii="Palatino Linotype" w:hAnsi="Palatino Linotype"/>
          <w:b/>
          <w:bCs/>
          <w:color w:val="000000" w:themeColor="text1"/>
        </w:rPr>
        <w:t>RECURRENTE</w:t>
      </w:r>
      <w:r w:rsidRPr="00960E81">
        <w:rPr>
          <w:rFonts w:ascii="Palatino Linotype" w:hAnsi="Palatino Linotype"/>
          <w:color w:val="000000" w:themeColor="text1"/>
        </w:rPr>
        <w:t xml:space="preserve"> radica específicamente en que el </w:t>
      </w:r>
      <w:r w:rsidRPr="00960E81">
        <w:rPr>
          <w:rFonts w:ascii="Palatino Linotype" w:hAnsi="Palatino Linotype"/>
          <w:b/>
          <w:color w:val="000000" w:themeColor="text1"/>
        </w:rPr>
        <w:t>SUJETO OBLIGADO</w:t>
      </w:r>
      <w:r w:rsidRPr="00960E81">
        <w:rPr>
          <w:rFonts w:ascii="Palatino Linotype" w:hAnsi="Palatino Linotype"/>
          <w:color w:val="000000" w:themeColor="text1"/>
        </w:rPr>
        <w:t xml:space="preserve"> </w:t>
      </w:r>
      <w:r w:rsidR="00F12438">
        <w:rPr>
          <w:rFonts w:ascii="Palatino Linotype" w:hAnsi="Palatino Linotype"/>
          <w:color w:val="000000" w:themeColor="text1"/>
        </w:rPr>
        <w:t>no entregó la información vía correo electrónico, y que no puede consultar los archivos en el SAIMEX</w:t>
      </w:r>
      <w:r w:rsidRPr="00960E81">
        <w:rPr>
          <w:rFonts w:ascii="Palatino Linotype" w:hAnsi="Palatino Linotype"/>
          <w:color w:val="000000" w:themeColor="text1"/>
        </w:rPr>
        <w:t xml:space="preserve">, se debe entender que </w:t>
      </w:r>
      <w:r w:rsidR="00F12438">
        <w:rPr>
          <w:rFonts w:ascii="Palatino Linotype" w:hAnsi="Palatino Linotype"/>
          <w:color w:val="000000" w:themeColor="text1"/>
        </w:rPr>
        <w:t>la</w:t>
      </w:r>
      <w:r w:rsidRPr="00960E81">
        <w:rPr>
          <w:rFonts w:ascii="Palatino Linotype" w:hAnsi="Palatino Linotype"/>
          <w:color w:val="000000" w:themeColor="text1"/>
        </w:rPr>
        <w:t xml:space="preserve"> particular está parcialmente conforme con la respuesta proporcionada por el </w:t>
      </w:r>
      <w:r w:rsidR="002B1F7B">
        <w:rPr>
          <w:rFonts w:ascii="Palatino Linotype" w:hAnsi="Palatino Linotype"/>
          <w:color w:val="000000" w:themeColor="text1"/>
        </w:rPr>
        <w:t>Secretaría de Finanzas</w:t>
      </w:r>
      <w:r w:rsidRPr="00960E81">
        <w:rPr>
          <w:rFonts w:ascii="Palatino Linotype" w:hAnsi="Palatino Linotype"/>
          <w:color w:val="000000" w:themeColor="text1"/>
        </w:rPr>
        <w:t>.</w:t>
      </w:r>
    </w:p>
    <w:p w14:paraId="67F5D1B0" w14:textId="77777777" w:rsidR="00960E81" w:rsidRDefault="00960E81" w:rsidP="00960E81">
      <w:pPr>
        <w:pStyle w:val="Prrafodelista"/>
        <w:tabs>
          <w:tab w:val="left" w:pos="426"/>
        </w:tabs>
        <w:spacing w:before="240" w:after="240" w:line="360" w:lineRule="auto"/>
        <w:ind w:left="0" w:right="51"/>
        <w:jc w:val="both"/>
        <w:rPr>
          <w:rFonts w:ascii="Palatino Linotype" w:hAnsi="Palatino Linotype"/>
          <w:color w:val="000000" w:themeColor="text1"/>
        </w:rPr>
      </w:pPr>
    </w:p>
    <w:p w14:paraId="60E1DD3E" w14:textId="147F8C24" w:rsidR="007820F2" w:rsidRDefault="00960E81"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E</w:t>
      </w:r>
      <w:r w:rsidR="007820F2">
        <w:rPr>
          <w:rFonts w:ascii="Palatino Linotype" w:hAnsi="Palatino Linotype"/>
          <w:color w:val="000000" w:themeColor="text1"/>
        </w:rPr>
        <w:t>n razón de lo anterior,</w:t>
      </w:r>
      <w:r w:rsidR="007820F2" w:rsidRPr="00140206">
        <w:rPr>
          <w:rFonts w:ascii="Palatino Linotype" w:hAnsi="Palatino Linotype"/>
          <w:color w:val="000000" w:themeColor="text1"/>
        </w:rPr>
        <w:t xml:space="preserve"> el estudio del presente asuntó versará en analizar </w:t>
      </w:r>
      <w:r w:rsidR="005655F3">
        <w:rPr>
          <w:rFonts w:ascii="Palatino Linotype" w:hAnsi="Palatino Linotype"/>
          <w:color w:val="000000" w:themeColor="text1"/>
        </w:rPr>
        <w:t xml:space="preserve">las constancias que obran en el expediente digital formado en el SAIMEX, así como </w:t>
      </w:r>
      <w:r w:rsidR="00841181">
        <w:rPr>
          <w:rFonts w:ascii="Palatino Linotype" w:hAnsi="Palatino Linotype"/>
          <w:color w:val="000000" w:themeColor="text1"/>
        </w:rPr>
        <w:t xml:space="preserve">los agravios expuestos por </w:t>
      </w:r>
      <w:r w:rsidR="00F12438">
        <w:rPr>
          <w:rFonts w:ascii="Palatino Linotype" w:hAnsi="Palatino Linotype"/>
          <w:color w:val="000000" w:themeColor="text1"/>
        </w:rPr>
        <w:t>la</w:t>
      </w:r>
      <w:r w:rsidR="00841181">
        <w:rPr>
          <w:rFonts w:ascii="Palatino Linotype" w:hAnsi="Palatino Linotype"/>
          <w:color w:val="000000" w:themeColor="text1"/>
        </w:rPr>
        <w:t xml:space="preserve"> </w:t>
      </w:r>
      <w:r w:rsidR="00841181">
        <w:rPr>
          <w:rFonts w:ascii="Palatino Linotype" w:hAnsi="Palatino Linotype"/>
          <w:b/>
          <w:bCs/>
          <w:color w:val="000000" w:themeColor="text1"/>
        </w:rPr>
        <w:t>RECURRENTE</w:t>
      </w:r>
      <w:r w:rsidR="00841181">
        <w:rPr>
          <w:rFonts w:ascii="Palatino Linotype" w:hAnsi="Palatino Linotype"/>
          <w:color w:val="000000" w:themeColor="text1"/>
        </w:rPr>
        <w:t xml:space="preserve"> a través del recurso de revisión </w:t>
      </w:r>
      <w:r w:rsidR="00F12438">
        <w:rPr>
          <w:rFonts w:ascii="Palatino Linotype" w:hAnsi="Palatino Linotype"/>
          <w:b/>
          <w:bCs/>
          <w:color w:val="000000" w:themeColor="text1"/>
        </w:rPr>
        <w:t>00838</w:t>
      </w:r>
      <w:r w:rsidR="00841181">
        <w:rPr>
          <w:rFonts w:ascii="Palatino Linotype" w:hAnsi="Palatino Linotype"/>
          <w:b/>
          <w:bCs/>
          <w:color w:val="000000" w:themeColor="text1"/>
        </w:rPr>
        <w:t>/</w:t>
      </w:r>
      <w:r w:rsidR="00F12438">
        <w:rPr>
          <w:rFonts w:ascii="Palatino Linotype" w:hAnsi="Palatino Linotype"/>
          <w:b/>
          <w:bCs/>
          <w:color w:val="000000" w:themeColor="text1"/>
        </w:rPr>
        <w:t>INFOEM</w:t>
      </w:r>
      <w:r w:rsidR="00841181">
        <w:rPr>
          <w:rFonts w:ascii="Palatino Linotype" w:hAnsi="Palatino Linotype"/>
          <w:b/>
          <w:bCs/>
          <w:color w:val="000000" w:themeColor="text1"/>
        </w:rPr>
        <w:t>/IP/RR/2022</w:t>
      </w:r>
      <w:r w:rsidR="004003E9">
        <w:rPr>
          <w:rFonts w:ascii="Palatino Linotype" w:hAnsi="Palatino Linotype"/>
          <w:color w:val="000000" w:themeColor="text1"/>
        </w:rPr>
        <w:t xml:space="preserve">, con el objeto de determinar si, con su respuesta, el </w:t>
      </w:r>
      <w:r w:rsidR="004003E9">
        <w:rPr>
          <w:rFonts w:ascii="Palatino Linotype" w:hAnsi="Palatino Linotype"/>
          <w:b/>
          <w:color w:val="000000" w:themeColor="text1"/>
        </w:rPr>
        <w:t>SUJETO OBLIGADO</w:t>
      </w:r>
      <w:r w:rsidR="004003E9">
        <w:rPr>
          <w:rFonts w:ascii="Palatino Linotype" w:hAnsi="Palatino Linotype"/>
          <w:color w:val="000000" w:themeColor="text1"/>
        </w:rPr>
        <w:t xml:space="preserve"> colmó el derecho de acceso a la información o, si por el contrario, procede la entrega de información.</w:t>
      </w:r>
    </w:p>
    <w:p w14:paraId="2ACA06ED" w14:textId="77777777" w:rsidR="007820F2" w:rsidRDefault="007820F2" w:rsidP="007820F2">
      <w:pPr>
        <w:pStyle w:val="Prrafodelista"/>
        <w:tabs>
          <w:tab w:val="left" w:pos="426"/>
        </w:tabs>
        <w:spacing w:before="240" w:after="240" w:line="360" w:lineRule="auto"/>
        <w:ind w:left="0" w:right="51"/>
        <w:jc w:val="both"/>
        <w:rPr>
          <w:rFonts w:ascii="Palatino Linotype" w:hAnsi="Palatino Linotype"/>
          <w:color w:val="000000" w:themeColor="text1"/>
        </w:rPr>
      </w:pPr>
    </w:p>
    <w:p w14:paraId="2E231DA7" w14:textId="4E35588C" w:rsidR="007820F2" w:rsidRPr="007820F2" w:rsidRDefault="007820F2" w:rsidP="007820F2">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bookmarkStart w:id="26" w:name="_Toc87456491"/>
      <w:r>
        <w:rPr>
          <w:rFonts w:ascii="Palatino Linotype" w:hAnsi="Palatino Linotype"/>
          <w:b/>
          <w:color w:val="000000" w:themeColor="text1"/>
        </w:rPr>
        <w:lastRenderedPageBreak/>
        <w:t xml:space="preserve">II. </w:t>
      </w:r>
      <w:r w:rsidR="00F12438">
        <w:rPr>
          <w:rFonts w:ascii="Palatino Linotype" w:hAnsi="Palatino Linotype"/>
          <w:b/>
          <w:color w:val="000000" w:themeColor="text1"/>
        </w:rPr>
        <w:t>De los límites del derecho de acceso a la información</w:t>
      </w:r>
      <w:r>
        <w:rPr>
          <w:rFonts w:ascii="Palatino Linotype" w:hAnsi="Palatino Linotype"/>
          <w:b/>
          <w:color w:val="000000" w:themeColor="text1"/>
        </w:rPr>
        <w:t>.</w:t>
      </w:r>
      <w:bookmarkEnd w:id="26"/>
    </w:p>
    <w:p w14:paraId="1435567A" w14:textId="77777777" w:rsidR="007820F2" w:rsidRDefault="007820F2" w:rsidP="007820F2">
      <w:pPr>
        <w:pStyle w:val="Prrafodelista"/>
        <w:tabs>
          <w:tab w:val="left" w:pos="426"/>
        </w:tabs>
        <w:spacing w:before="240" w:after="240" w:line="360" w:lineRule="auto"/>
        <w:ind w:left="0" w:right="51"/>
        <w:jc w:val="both"/>
        <w:rPr>
          <w:rFonts w:ascii="Palatino Linotype" w:hAnsi="Palatino Linotype"/>
          <w:color w:val="000000" w:themeColor="text1"/>
        </w:rPr>
      </w:pPr>
    </w:p>
    <w:p w14:paraId="6F92DA7C" w14:textId="2629DF94" w:rsidR="00F12438" w:rsidRDefault="00F12438"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Con </w:t>
      </w:r>
      <w:r w:rsidRPr="00F12438">
        <w:rPr>
          <w:rFonts w:ascii="Palatino Linotype" w:hAnsi="Palatino Linotype"/>
          <w:color w:val="000000" w:themeColor="text1"/>
        </w:rPr>
        <w:t>la finalidad de identificar los alcances que posee el derecho de acceso a la información pública, se considera importante citar el Criterio 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(19) de octubre de dos mil once, cuyo rubro y texto dispone:</w:t>
      </w:r>
    </w:p>
    <w:p w14:paraId="0DF33898" w14:textId="77777777" w:rsidR="00F12438" w:rsidRDefault="00F12438" w:rsidP="00F12438">
      <w:pPr>
        <w:pStyle w:val="Prrafodelista"/>
        <w:tabs>
          <w:tab w:val="left" w:pos="426"/>
        </w:tabs>
        <w:spacing w:before="240" w:line="360" w:lineRule="auto"/>
        <w:ind w:left="0" w:right="51"/>
        <w:jc w:val="both"/>
        <w:rPr>
          <w:rFonts w:ascii="Palatino Linotype" w:hAnsi="Palatino Linotype"/>
          <w:color w:val="000000" w:themeColor="text1"/>
        </w:rPr>
      </w:pPr>
    </w:p>
    <w:p w14:paraId="45DC98F7" w14:textId="77777777" w:rsidR="00F12438" w:rsidRPr="000B554F" w:rsidRDefault="00F12438" w:rsidP="00F12438">
      <w:pPr>
        <w:spacing w:line="276" w:lineRule="auto"/>
        <w:ind w:left="567" w:right="567"/>
        <w:jc w:val="both"/>
        <w:rPr>
          <w:rFonts w:ascii="Palatino Linotype" w:eastAsia="Palatino Linotype" w:hAnsi="Palatino Linotype" w:cs="Palatino Linotype"/>
          <w:i/>
          <w:sz w:val="22"/>
        </w:rPr>
      </w:pPr>
      <w:r w:rsidRPr="000B554F">
        <w:rPr>
          <w:rFonts w:ascii="Palatino Linotype" w:eastAsia="Palatino Linotype" w:hAnsi="Palatino Linotype" w:cs="Palatino Linotype"/>
          <w:b/>
          <w:i/>
          <w:sz w:val="22"/>
        </w:rPr>
        <w:t>INFORMACIÓN PÚBLICA, CONCEPTO DE, EN MATERIA DE TRANSPARENCIA. INTERPRETACIÓN TEMÁTICA DE LOS ARTÍCULOS 2, FRACCIÓN V, XV, Y XVI, 3, 4,11 Y 41.</w:t>
      </w:r>
      <w:r w:rsidRPr="000B554F">
        <w:rPr>
          <w:rFonts w:ascii="Palatino Linotype" w:eastAsia="Palatino Linotype" w:hAnsi="Palatino Linotype" w:cs="Palatino Linotype"/>
          <w:i/>
          <w:sz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3AE52023" w14:textId="77777777" w:rsidR="00F12438" w:rsidRPr="000B554F" w:rsidRDefault="00F12438" w:rsidP="00F12438">
      <w:pPr>
        <w:spacing w:line="276" w:lineRule="auto"/>
        <w:ind w:left="567" w:right="567"/>
        <w:jc w:val="both"/>
        <w:rPr>
          <w:rFonts w:ascii="Palatino Linotype" w:eastAsia="Palatino Linotype" w:hAnsi="Palatino Linotype" w:cs="Palatino Linotype"/>
          <w:i/>
          <w:sz w:val="22"/>
        </w:rPr>
      </w:pPr>
      <w:r w:rsidRPr="000B554F">
        <w:rPr>
          <w:rFonts w:ascii="Palatino Linotype" w:eastAsia="Palatino Linotype" w:hAnsi="Palatino Linotype" w:cs="Palatino Linotype"/>
          <w:i/>
          <w:sz w:val="22"/>
        </w:rPr>
        <w:t>En consecuencia el acceso a la información se refiere a que se cumplan cualquiera de los siguientes tres supuestos:</w:t>
      </w:r>
    </w:p>
    <w:p w14:paraId="030EB87C" w14:textId="77777777" w:rsidR="00F12438" w:rsidRPr="000B554F" w:rsidRDefault="00F12438" w:rsidP="00F12438">
      <w:pPr>
        <w:spacing w:line="276" w:lineRule="auto"/>
        <w:ind w:left="567" w:right="567"/>
        <w:jc w:val="both"/>
        <w:rPr>
          <w:rFonts w:ascii="Palatino Linotype" w:eastAsia="Palatino Linotype" w:hAnsi="Palatino Linotype" w:cs="Palatino Linotype"/>
          <w:i/>
          <w:sz w:val="22"/>
        </w:rPr>
      </w:pPr>
      <w:r w:rsidRPr="000B554F">
        <w:rPr>
          <w:rFonts w:ascii="Palatino Linotype" w:eastAsia="Palatino Linotype" w:hAnsi="Palatino Linotype" w:cs="Palatino Linotype"/>
          <w:i/>
          <w:sz w:val="22"/>
        </w:rPr>
        <w:t>Que se trate de información registrada en cualquier soporte documental, que en ejercicio de las atribuciones conferidas, sea generada por los Sujetos Obligados;</w:t>
      </w:r>
    </w:p>
    <w:p w14:paraId="66C81163" w14:textId="77777777" w:rsidR="00F12438" w:rsidRPr="000B554F" w:rsidRDefault="00F12438" w:rsidP="00F12438">
      <w:pPr>
        <w:spacing w:line="276" w:lineRule="auto"/>
        <w:ind w:left="567" w:right="567"/>
        <w:jc w:val="both"/>
        <w:rPr>
          <w:rFonts w:ascii="Palatino Linotype" w:eastAsia="Palatino Linotype" w:hAnsi="Palatino Linotype" w:cs="Palatino Linotype"/>
          <w:i/>
          <w:sz w:val="22"/>
        </w:rPr>
      </w:pPr>
      <w:r w:rsidRPr="000B554F">
        <w:rPr>
          <w:rFonts w:ascii="Palatino Linotype" w:eastAsia="Palatino Linotype" w:hAnsi="Palatino Linotype" w:cs="Palatino Linotype"/>
          <w:i/>
          <w:sz w:val="22"/>
        </w:rPr>
        <w:t>Que se trate de información registrada en cualquier soporte documental, que en ejercicio de las atribuciones conferidas, sea administrada por los Sujetos Obligados, y</w:t>
      </w:r>
    </w:p>
    <w:p w14:paraId="244FE07B" w14:textId="77777777" w:rsidR="00F12438" w:rsidRPr="000B554F" w:rsidRDefault="00F12438" w:rsidP="00F12438">
      <w:pPr>
        <w:spacing w:line="276" w:lineRule="auto"/>
        <w:ind w:left="567" w:right="567"/>
        <w:jc w:val="both"/>
        <w:rPr>
          <w:rFonts w:ascii="Palatino Linotype" w:eastAsia="Palatino Linotype" w:hAnsi="Palatino Linotype" w:cs="Palatino Linotype"/>
          <w:sz w:val="22"/>
        </w:rPr>
      </w:pPr>
      <w:r w:rsidRPr="000B554F">
        <w:rPr>
          <w:rFonts w:ascii="Palatino Linotype" w:eastAsia="Palatino Linotype" w:hAnsi="Palatino Linotype" w:cs="Palatino Linotype"/>
          <w:i/>
          <w:sz w:val="22"/>
        </w:rPr>
        <w:t>Que se trate de información registrada en cualquier soporte documental, que en ejercicio de las atribuciones conferidas, se encuentre en posesión de los Sujetos Obligados.”</w:t>
      </w:r>
    </w:p>
    <w:p w14:paraId="1440B27F" w14:textId="77777777" w:rsidR="00F12438" w:rsidRDefault="00F12438" w:rsidP="00F12438">
      <w:pPr>
        <w:pStyle w:val="Prrafodelista"/>
        <w:tabs>
          <w:tab w:val="left" w:pos="426"/>
        </w:tabs>
        <w:spacing w:before="240" w:after="240" w:line="360" w:lineRule="auto"/>
        <w:ind w:left="0" w:right="51"/>
        <w:jc w:val="both"/>
        <w:rPr>
          <w:rFonts w:ascii="Palatino Linotype" w:hAnsi="Palatino Linotype"/>
          <w:color w:val="000000" w:themeColor="text1"/>
        </w:rPr>
      </w:pPr>
    </w:p>
    <w:p w14:paraId="09A00BCE" w14:textId="168A191D" w:rsidR="00F12438" w:rsidRDefault="000B554F"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El </w:t>
      </w:r>
      <w:r w:rsidRPr="000B554F">
        <w:rPr>
          <w:rFonts w:ascii="Palatino Linotype" w:hAnsi="Palatino Linotype"/>
          <w:color w:val="000000" w:themeColor="text1"/>
        </w:rPr>
        <w:t>derecho de acceso a la información encuentra su materia elemental en los documentos, y la Ley de Transparencia local nos brinda el siguiente concepto</w:t>
      </w:r>
      <w:r w:rsidRPr="000B554F">
        <w:rPr>
          <w:rFonts w:ascii="Palatino Linotype" w:hAnsi="Palatino Linotype"/>
          <w:color w:val="000000" w:themeColor="text1"/>
          <w:vertAlign w:val="superscript"/>
        </w:rPr>
        <w:footnoteReference w:id="6"/>
      </w:r>
      <w:r w:rsidRPr="000B554F">
        <w:rPr>
          <w:rFonts w:ascii="Palatino Linotype" w:hAnsi="Palatino Linotype"/>
          <w:color w:val="000000" w:themeColor="text1"/>
        </w:rPr>
        <w:t>, para darnos un mejor panorama:</w:t>
      </w:r>
    </w:p>
    <w:p w14:paraId="46CEE3A1" w14:textId="77777777" w:rsidR="00F12438" w:rsidRDefault="00F12438" w:rsidP="000B554F">
      <w:pPr>
        <w:pStyle w:val="Prrafodelista"/>
        <w:tabs>
          <w:tab w:val="left" w:pos="426"/>
        </w:tabs>
        <w:spacing w:before="240" w:line="360" w:lineRule="auto"/>
        <w:ind w:left="0" w:right="51"/>
        <w:jc w:val="both"/>
        <w:rPr>
          <w:rFonts w:ascii="Palatino Linotype" w:hAnsi="Palatino Linotype"/>
          <w:color w:val="000000" w:themeColor="text1"/>
        </w:rPr>
      </w:pPr>
    </w:p>
    <w:p w14:paraId="7D54A865" w14:textId="77777777" w:rsidR="000B554F" w:rsidRPr="000B554F" w:rsidRDefault="000B554F" w:rsidP="000B554F">
      <w:pPr>
        <w:spacing w:line="276" w:lineRule="auto"/>
        <w:ind w:left="567" w:right="567"/>
        <w:jc w:val="both"/>
        <w:rPr>
          <w:rFonts w:ascii="Palatino Linotype" w:eastAsia="Palatino Linotype" w:hAnsi="Palatino Linotype" w:cs="Palatino Linotype"/>
          <w:iCs/>
          <w:sz w:val="22"/>
        </w:rPr>
      </w:pPr>
      <w:r w:rsidRPr="000B554F">
        <w:rPr>
          <w:rFonts w:ascii="Palatino Linotype" w:eastAsia="Palatino Linotype" w:hAnsi="Palatino Linotype" w:cs="Palatino Linotype"/>
          <w:b/>
          <w:i/>
          <w:sz w:val="22"/>
        </w:rPr>
        <w:t xml:space="preserve">“XI. Documento: </w:t>
      </w:r>
      <w:r w:rsidRPr="000B554F">
        <w:rPr>
          <w:rFonts w:ascii="Palatino Linotype" w:eastAsia="Palatino Linotype" w:hAnsi="Palatino Linotype" w:cs="Palatino Linotype"/>
          <w:b/>
          <w:bCs/>
          <w:i/>
          <w:sz w:val="22"/>
          <w:u w:val="single"/>
        </w:rPr>
        <w:t>Los</w:t>
      </w:r>
      <w:r w:rsidRPr="000B554F">
        <w:rPr>
          <w:rFonts w:ascii="Palatino Linotype" w:eastAsia="Palatino Linotype" w:hAnsi="Palatino Linotype" w:cs="Palatino Linotype"/>
          <w:i/>
          <w:sz w:val="22"/>
        </w:rPr>
        <w:t xml:space="preserve"> expedientes, reportes, estudios, actas, resoluciones, </w:t>
      </w:r>
      <w:r w:rsidRPr="000B554F">
        <w:rPr>
          <w:rFonts w:ascii="Palatino Linotype" w:eastAsia="Palatino Linotype" w:hAnsi="Palatino Linotype" w:cs="Palatino Linotype"/>
          <w:b/>
          <w:bCs/>
          <w:i/>
          <w:sz w:val="22"/>
          <w:u w:val="single"/>
        </w:rPr>
        <w:t>oficios</w:t>
      </w:r>
      <w:r w:rsidRPr="000B554F">
        <w:rPr>
          <w:rFonts w:ascii="Palatino Linotype" w:eastAsia="Palatino Linotype" w:hAnsi="Palatino Linotype" w:cs="Palatino Linotype"/>
          <w:i/>
          <w:sz w:val="22"/>
        </w:rPr>
        <w:t xml:space="preserve">, correspondencia, acuerdos, directivas, directrices, circulares, contratos, convenios, instructivos, notas, memorandos, estadísticas o bien, cualquier otro registro </w:t>
      </w:r>
      <w:r w:rsidRPr="000B554F">
        <w:rPr>
          <w:rFonts w:ascii="Palatino Linotype" w:eastAsia="Palatino Linotype" w:hAnsi="Palatino Linotype" w:cs="Palatino Linotype"/>
          <w:b/>
          <w:bCs/>
          <w:i/>
          <w:sz w:val="22"/>
          <w:u w:val="single"/>
        </w:rPr>
        <w:t>que documente el ejercicio de las facultades, funciones y competencias de los</w:t>
      </w:r>
      <w:r w:rsidRPr="000B554F">
        <w:rPr>
          <w:rFonts w:ascii="Palatino Linotype" w:eastAsia="Palatino Linotype" w:hAnsi="Palatino Linotype" w:cs="Palatino Linotype"/>
          <w:i/>
          <w:sz w:val="22"/>
        </w:rPr>
        <w:t xml:space="preserve"> sujetos obligados, sus </w:t>
      </w:r>
      <w:r w:rsidRPr="000B554F">
        <w:rPr>
          <w:rFonts w:ascii="Palatino Linotype" w:eastAsia="Palatino Linotype" w:hAnsi="Palatino Linotype" w:cs="Palatino Linotype"/>
          <w:b/>
          <w:bCs/>
          <w:i/>
          <w:sz w:val="22"/>
          <w:u w:val="single"/>
        </w:rPr>
        <w:t>servidores públicos</w:t>
      </w:r>
      <w:r w:rsidRPr="000B554F">
        <w:rPr>
          <w:rFonts w:ascii="Palatino Linotype" w:eastAsia="Palatino Linotype" w:hAnsi="Palatino Linotype" w:cs="Palatino Linotype"/>
          <w:i/>
          <w:sz w:val="22"/>
        </w:rPr>
        <w:t xml:space="preserve"> e integrantes, </w:t>
      </w:r>
      <w:r w:rsidRPr="000B554F">
        <w:rPr>
          <w:rFonts w:ascii="Palatino Linotype" w:eastAsia="Palatino Linotype" w:hAnsi="Palatino Linotype" w:cs="Palatino Linotype"/>
          <w:b/>
          <w:bCs/>
          <w:i/>
          <w:sz w:val="22"/>
          <w:u w:val="single"/>
        </w:rPr>
        <w:t>sin importar su fuente o fecha de elaboración</w:t>
      </w:r>
      <w:r w:rsidRPr="000B554F">
        <w:rPr>
          <w:rFonts w:ascii="Palatino Linotype" w:eastAsia="Palatino Linotype" w:hAnsi="Palatino Linotype" w:cs="Palatino Linotype"/>
          <w:i/>
          <w:sz w:val="22"/>
        </w:rPr>
        <w:t xml:space="preserve">. Los documentos </w:t>
      </w:r>
      <w:r w:rsidRPr="000B554F">
        <w:rPr>
          <w:rFonts w:ascii="Palatino Linotype" w:eastAsia="Palatino Linotype" w:hAnsi="Palatino Linotype" w:cs="Palatino Linotype"/>
          <w:b/>
          <w:bCs/>
          <w:i/>
          <w:sz w:val="22"/>
          <w:u w:val="single"/>
        </w:rPr>
        <w:t>podrán estar en cualquier medio, sea escrito, impreso</w:t>
      </w:r>
      <w:r w:rsidRPr="000B554F">
        <w:rPr>
          <w:rFonts w:ascii="Palatino Linotype" w:eastAsia="Palatino Linotype" w:hAnsi="Palatino Linotype" w:cs="Palatino Linotype"/>
          <w:i/>
          <w:sz w:val="22"/>
        </w:rPr>
        <w:t>,  sonoro, visual, electrónico, informático u holográfico;”</w:t>
      </w:r>
    </w:p>
    <w:p w14:paraId="33CD30D0" w14:textId="77777777" w:rsidR="000B554F" w:rsidRPr="000B554F" w:rsidRDefault="000B554F" w:rsidP="000B554F">
      <w:pPr>
        <w:spacing w:line="276" w:lineRule="auto"/>
        <w:ind w:left="567" w:right="567"/>
        <w:jc w:val="both"/>
        <w:rPr>
          <w:rFonts w:ascii="Palatino Linotype" w:eastAsia="Palatino Linotype" w:hAnsi="Palatino Linotype" w:cs="Palatino Linotype"/>
          <w:iCs/>
          <w:sz w:val="22"/>
        </w:rPr>
      </w:pPr>
      <w:r w:rsidRPr="000B554F">
        <w:rPr>
          <w:rFonts w:ascii="Palatino Linotype" w:eastAsia="Palatino Linotype" w:hAnsi="Palatino Linotype" w:cs="Palatino Linotype"/>
          <w:iCs/>
          <w:sz w:val="22"/>
        </w:rPr>
        <w:t>(Énfasis añadido)</w:t>
      </w:r>
    </w:p>
    <w:p w14:paraId="0E118421" w14:textId="77777777" w:rsidR="000B554F" w:rsidRDefault="000B554F" w:rsidP="00F12438">
      <w:pPr>
        <w:pStyle w:val="Prrafodelista"/>
        <w:tabs>
          <w:tab w:val="left" w:pos="426"/>
        </w:tabs>
        <w:spacing w:before="240" w:after="240" w:line="360" w:lineRule="auto"/>
        <w:ind w:left="0" w:right="51"/>
        <w:jc w:val="both"/>
        <w:rPr>
          <w:rFonts w:ascii="Palatino Linotype" w:hAnsi="Palatino Linotype"/>
          <w:color w:val="000000" w:themeColor="text1"/>
        </w:rPr>
      </w:pPr>
    </w:p>
    <w:p w14:paraId="5BF19116" w14:textId="0925C4E2" w:rsidR="00F12438" w:rsidRDefault="000B554F"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Correlativo </w:t>
      </w:r>
      <w:r w:rsidRPr="001D3AD6">
        <w:rPr>
          <w:rFonts w:ascii="Palatino Linotype" w:eastAsia="MS Mincho" w:hAnsi="Palatino Linotype" w:cs="Times New Roman"/>
          <w:color w:val="000000"/>
        </w:rPr>
        <w:t>a lo anterior, debemos tomar en cuenta los artículos 4 y 12, de la Ley de Transparencia y Acceso a la Información Pública del Estado de México y Municipios, los cuales establecen lo siguiente:</w:t>
      </w:r>
    </w:p>
    <w:p w14:paraId="09FF6B1D" w14:textId="77777777" w:rsidR="00F12438" w:rsidRDefault="00F12438" w:rsidP="000B554F">
      <w:pPr>
        <w:pStyle w:val="Prrafodelista"/>
        <w:tabs>
          <w:tab w:val="left" w:pos="426"/>
        </w:tabs>
        <w:spacing w:before="240" w:line="360" w:lineRule="auto"/>
        <w:ind w:left="0" w:right="51"/>
        <w:jc w:val="both"/>
        <w:rPr>
          <w:rFonts w:ascii="Palatino Linotype" w:hAnsi="Palatino Linotype"/>
          <w:color w:val="000000" w:themeColor="text1"/>
        </w:rPr>
      </w:pPr>
    </w:p>
    <w:p w14:paraId="4C207940" w14:textId="77777777" w:rsidR="000B554F" w:rsidRPr="000B554F" w:rsidRDefault="000B554F" w:rsidP="000B554F">
      <w:pPr>
        <w:spacing w:line="276" w:lineRule="auto"/>
        <w:ind w:left="567" w:right="567"/>
        <w:jc w:val="both"/>
        <w:rPr>
          <w:rFonts w:ascii="Palatino Linotype" w:eastAsia="Palatino Linotype" w:hAnsi="Palatino Linotype" w:cs="Palatino Linotype"/>
          <w:i/>
          <w:sz w:val="22"/>
        </w:rPr>
      </w:pPr>
      <w:r w:rsidRPr="000B554F">
        <w:rPr>
          <w:rFonts w:ascii="Palatino Linotype" w:eastAsia="Palatino Linotype" w:hAnsi="Palatino Linotype" w:cs="Palatino Linotype"/>
          <w:b/>
          <w:i/>
          <w:sz w:val="22"/>
        </w:rPr>
        <w:t xml:space="preserve">“Artículo 4. </w:t>
      </w:r>
      <w:r w:rsidRPr="000B554F">
        <w:rPr>
          <w:rFonts w:ascii="Palatino Linotype" w:eastAsia="Palatino Linotype" w:hAnsi="Palatino Linotype" w:cs="Palatino Linotype"/>
          <w:i/>
          <w:sz w:val="22"/>
        </w:rPr>
        <w:t>El derecho humano de acceso a la información pública es la prerrogativa de las personas para buscar, difundir, investigar, recabar, recibir y solicitar información pública, sin necesidad de acreditar personalidad ni interés jurídico.</w:t>
      </w:r>
    </w:p>
    <w:p w14:paraId="14D86FD5" w14:textId="77777777" w:rsidR="000B554F" w:rsidRPr="000B554F" w:rsidRDefault="000B554F" w:rsidP="000B554F">
      <w:pPr>
        <w:spacing w:line="276" w:lineRule="auto"/>
        <w:ind w:left="567" w:right="567"/>
        <w:jc w:val="both"/>
        <w:rPr>
          <w:rFonts w:ascii="Palatino Linotype" w:eastAsia="Palatino Linotype" w:hAnsi="Palatino Linotype" w:cs="Palatino Linotype"/>
          <w:i/>
          <w:sz w:val="22"/>
        </w:rPr>
      </w:pPr>
      <w:r w:rsidRPr="000B554F">
        <w:rPr>
          <w:rFonts w:ascii="Palatino Linotype" w:eastAsia="Palatino Linotype" w:hAnsi="Palatino Linotype" w:cs="Palatino Linotype"/>
          <w:b/>
          <w:i/>
          <w:sz w:val="22"/>
        </w:rPr>
        <w:t>Toda la información generada, obtenida, adquirida, transformada, administrada o en posesión de los sujetos obligados es pública y accesible de manera permanente a cualquier persona</w:t>
      </w:r>
      <w:r w:rsidRPr="000B554F">
        <w:rPr>
          <w:rFonts w:ascii="Palatino Linotype" w:eastAsia="Palatino Linotype" w:hAnsi="Palatino Linotype" w:cs="Palatino Linotype"/>
          <w:i/>
          <w:sz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4E470137" w14:textId="77777777" w:rsidR="000B554F" w:rsidRPr="000B554F" w:rsidRDefault="000B554F" w:rsidP="000B554F">
      <w:pPr>
        <w:spacing w:line="276" w:lineRule="auto"/>
        <w:ind w:left="567" w:right="567"/>
        <w:jc w:val="both"/>
        <w:rPr>
          <w:rFonts w:ascii="Palatino Linotype" w:eastAsia="Palatino Linotype" w:hAnsi="Palatino Linotype" w:cs="Palatino Linotype"/>
          <w:b/>
          <w:i/>
          <w:sz w:val="22"/>
        </w:rPr>
      </w:pPr>
      <w:r w:rsidRPr="000B554F">
        <w:rPr>
          <w:rFonts w:ascii="Palatino Linotype" w:eastAsia="Palatino Linotype" w:hAnsi="Palatino Linotype" w:cs="Palatino Linotype"/>
          <w:b/>
          <w:i/>
          <w:sz w:val="22"/>
        </w:rPr>
        <w:lastRenderedPageBreak/>
        <w:t>Los sujetos obligados deben poner en práctica, políticas y programas de acceso a la información que se apeguen a criterios de publicidad, veracidad, oportunidad, precisión y suficiencia en beneficio de los solicitantes.</w:t>
      </w:r>
    </w:p>
    <w:p w14:paraId="150675B9" w14:textId="77777777" w:rsidR="000B554F" w:rsidRPr="000B554F" w:rsidRDefault="000B554F" w:rsidP="000B554F">
      <w:pPr>
        <w:spacing w:line="276" w:lineRule="auto"/>
        <w:ind w:right="567"/>
        <w:jc w:val="both"/>
        <w:rPr>
          <w:rFonts w:ascii="Palatino Linotype" w:eastAsia="Palatino Linotype" w:hAnsi="Palatino Linotype" w:cs="Palatino Linotype"/>
          <w:i/>
          <w:color w:val="000000"/>
          <w:szCs w:val="28"/>
        </w:rPr>
      </w:pPr>
    </w:p>
    <w:p w14:paraId="33DEEC69" w14:textId="77777777" w:rsidR="000B554F" w:rsidRPr="000B554F" w:rsidRDefault="000B554F" w:rsidP="000B554F">
      <w:pPr>
        <w:spacing w:line="276" w:lineRule="auto"/>
        <w:ind w:left="567" w:right="567"/>
        <w:jc w:val="both"/>
        <w:rPr>
          <w:rFonts w:ascii="Palatino Linotype" w:eastAsia="Palatino Linotype" w:hAnsi="Palatino Linotype" w:cs="Palatino Linotype"/>
          <w:i/>
          <w:sz w:val="22"/>
        </w:rPr>
      </w:pPr>
      <w:r w:rsidRPr="000B554F">
        <w:rPr>
          <w:rFonts w:ascii="Palatino Linotype" w:eastAsia="Palatino Linotype" w:hAnsi="Palatino Linotype" w:cs="Palatino Linotype"/>
          <w:b/>
          <w:i/>
          <w:sz w:val="22"/>
        </w:rPr>
        <w:t>Artículo 12. Quienes generen, recopilen, administren, manejen, procesen, archiven o conserven información pública serán responsables de la misma en los términos de las disposiciones jurídicas aplicables</w:t>
      </w:r>
      <w:r w:rsidRPr="000B554F">
        <w:rPr>
          <w:rFonts w:ascii="Palatino Linotype" w:eastAsia="Palatino Linotype" w:hAnsi="Palatino Linotype" w:cs="Palatino Linotype"/>
          <w:i/>
          <w:sz w:val="22"/>
        </w:rPr>
        <w:t xml:space="preserve">. </w:t>
      </w:r>
    </w:p>
    <w:p w14:paraId="0A204673" w14:textId="77777777" w:rsidR="000B554F" w:rsidRPr="000B554F" w:rsidRDefault="000B554F" w:rsidP="000B554F">
      <w:pPr>
        <w:spacing w:line="276" w:lineRule="auto"/>
        <w:ind w:left="567" w:right="567"/>
        <w:jc w:val="both"/>
        <w:rPr>
          <w:rFonts w:ascii="Palatino Linotype" w:eastAsia="Palatino Linotype" w:hAnsi="Palatino Linotype" w:cs="Palatino Linotype"/>
          <w:i/>
          <w:sz w:val="22"/>
        </w:rPr>
      </w:pPr>
      <w:r w:rsidRPr="000B554F">
        <w:rPr>
          <w:rFonts w:ascii="Palatino Linotype" w:eastAsia="Palatino Linotype" w:hAnsi="Palatino Linotype" w:cs="Palatino Linotype"/>
          <w:i/>
          <w:sz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133B5623" w14:textId="77777777" w:rsidR="000B554F" w:rsidRPr="000B554F" w:rsidRDefault="000B554F" w:rsidP="000B554F">
      <w:pPr>
        <w:spacing w:line="276" w:lineRule="auto"/>
        <w:ind w:left="567" w:right="567"/>
        <w:jc w:val="both"/>
        <w:rPr>
          <w:rFonts w:ascii="Palatino Linotype" w:eastAsia="Palatino Linotype" w:hAnsi="Palatino Linotype" w:cs="Palatino Linotype"/>
          <w:sz w:val="22"/>
        </w:rPr>
      </w:pPr>
      <w:r w:rsidRPr="000B554F">
        <w:rPr>
          <w:rFonts w:ascii="Palatino Linotype" w:eastAsia="Palatino Linotype" w:hAnsi="Palatino Linotype" w:cs="Palatino Linotype"/>
          <w:sz w:val="22"/>
        </w:rPr>
        <w:t>(Énfasis añadido)</w:t>
      </w:r>
    </w:p>
    <w:p w14:paraId="30677684" w14:textId="77777777" w:rsidR="000B554F" w:rsidRDefault="000B554F" w:rsidP="00F12438">
      <w:pPr>
        <w:pStyle w:val="Prrafodelista"/>
        <w:tabs>
          <w:tab w:val="left" w:pos="426"/>
        </w:tabs>
        <w:spacing w:before="240" w:after="240" w:line="360" w:lineRule="auto"/>
        <w:ind w:left="0" w:right="51"/>
        <w:jc w:val="both"/>
        <w:rPr>
          <w:rFonts w:ascii="Palatino Linotype" w:hAnsi="Palatino Linotype"/>
          <w:color w:val="000000" w:themeColor="text1"/>
        </w:rPr>
      </w:pPr>
    </w:p>
    <w:p w14:paraId="20209AE8" w14:textId="59938FC1" w:rsidR="00F12438" w:rsidRDefault="000B554F"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Es </w:t>
      </w:r>
      <w:r w:rsidRPr="001D3AD6">
        <w:rPr>
          <w:rFonts w:ascii="Palatino Linotype" w:eastAsia="MS Mincho" w:hAnsi="Palatino Linotype" w:cs="Times New Roman"/>
          <w:color w:val="000000"/>
        </w:rPr>
        <w:t>así como todos los actos de autoridad que realicen los Sujetos Obligados deben estar documentados y, bajo el más alto estándar de transparencia, deberán poner toda la información que se encuentre en su posesión, de manera permanente y actualizada, a disposición de los particulares que la soliciten.</w:t>
      </w:r>
    </w:p>
    <w:p w14:paraId="26BCDFEC" w14:textId="77777777" w:rsidR="00F12438" w:rsidRDefault="00F12438" w:rsidP="00F12438">
      <w:pPr>
        <w:pStyle w:val="Prrafodelista"/>
        <w:tabs>
          <w:tab w:val="left" w:pos="426"/>
        </w:tabs>
        <w:spacing w:before="240" w:after="240" w:line="360" w:lineRule="auto"/>
        <w:ind w:left="0" w:right="51"/>
        <w:jc w:val="both"/>
        <w:rPr>
          <w:rFonts w:ascii="Palatino Linotype" w:hAnsi="Palatino Linotype"/>
          <w:color w:val="000000" w:themeColor="text1"/>
        </w:rPr>
      </w:pPr>
    </w:p>
    <w:p w14:paraId="7F4BF657" w14:textId="101B133E" w:rsidR="00F12438" w:rsidRDefault="000B554F"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Por </w:t>
      </w:r>
      <w:r w:rsidRPr="001D3AD6">
        <w:rPr>
          <w:rFonts w:ascii="Palatino Linotype" w:eastAsia="MS Mincho" w:hAnsi="Palatino Linotype" w:cs="Times New Roman"/>
          <w:color w:val="000000"/>
        </w:rPr>
        <w:t>otro lado, la Ley de Transparencia y Acceso a la Información Pública del Estado de México y Municipios, establece que en la generación, publicación y entrega de información se deberá garantizar que ésta sea accesible, actualizada, completa, congruente, confiable, verificable, veraz, integral, oportuna y expedita, sujeta a un claro régimen de excepciones que deberá estar definido y ser además legítima y estrictamente necesaria en una sociedad democrática, por lo que atenderá las necesidades del derecho de acceso a la información de toda persona</w:t>
      </w:r>
      <w:r w:rsidRPr="001D3AD6">
        <w:rPr>
          <w:rFonts w:ascii="Palatino Linotype" w:eastAsia="MS Mincho" w:hAnsi="Palatino Linotype" w:cs="Times New Roman"/>
          <w:color w:val="000000"/>
          <w:vertAlign w:val="superscript"/>
        </w:rPr>
        <w:footnoteReference w:id="7"/>
      </w:r>
      <w:r w:rsidRPr="001D3AD6">
        <w:rPr>
          <w:rFonts w:ascii="Palatino Linotype" w:eastAsia="MS Mincho" w:hAnsi="Palatino Linotype" w:cs="Times New Roman"/>
          <w:color w:val="000000"/>
        </w:rPr>
        <w:t>.</w:t>
      </w:r>
    </w:p>
    <w:p w14:paraId="36E736E7" w14:textId="77777777" w:rsidR="00F12438" w:rsidRDefault="00F12438" w:rsidP="00F12438">
      <w:pPr>
        <w:pStyle w:val="Prrafodelista"/>
        <w:tabs>
          <w:tab w:val="left" w:pos="426"/>
        </w:tabs>
        <w:spacing w:before="240" w:after="240" w:line="360" w:lineRule="auto"/>
        <w:ind w:left="0" w:right="51"/>
        <w:jc w:val="both"/>
        <w:rPr>
          <w:rFonts w:ascii="Palatino Linotype" w:hAnsi="Palatino Linotype"/>
          <w:color w:val="000000" w:themeColor="text1"/>
        </w:rPr>
      </w:pPr>
    </w:p>
    <w:p w14:paraId="6457985E" w14:textId="79819189" w:rsidR="00F12438" w:rsidRDefault="000B554F"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En </w:t>
      </w:r>
      <w:r w:rsidRPr="001D3AD6">
        <w:rPr>
          <w:rFonts w:ascii="Palatino Linotype" w:eastAsia="MS Mincho" w:hAnsi="Palatino Linotype" w:cs="Times New Roman"/>
          <w:color w:val="000000"/>
        </w:rPr>
        <w:t>ese sentido, por un lado, se tiene la obligación de documentar todos los actos que se lleven a cabo en el ejercicio de sus funciones, atribuciones y competencias; mientras que por otro, se ven impuestos por la obligación de hacer pública toda aquella información que se encuentre en su posesión en estricto apego a los principios de eficacia</w:t>
      </w:r>
      <w:r w:rsidRPr="001D3AD6">
        <w:rPr>
          <w:rFonts w:ascii="Palatino Linotype" w:eastAsia="MS Mincho" w:hAnsi="Palatino Linotype" w:cs="Times New Roman"/>
          <w:color w:val="000000"/>
          <w:vertAlign w:val="superscript"/>
        </w:rPr>
        <w:footnoteReference w:id="8"/>
      </w:r>
      <w:r w:rsidRPr="001D3AD6">
        <w:rPr>
          <w:rFonts w:ascii="Palatino Linotype" w:eastAsia="MS Mincho" w:hAnsi="Palatino Linotype" w:cs="Times New Roman"/>
          <w:color w:val="000000"/>
        </w:rPr>
        <w:t xml:space="preserve"> y máxima publicidad; sobre éste último se debe poner mayor énfasis, puesto que establece que </w:t>
      </w:r>
      <w:r w:rsidRPr="001D3AD6">
        <w:rPr>
          <w:rFonts w:ascii="Palatino Linotype" w:eastAsia="MS Mincho" w:hAnsi="Palatino Linotype" w:cs="Times New Roman"/>
          <w:b/>
          <w:color w:val="000000"/>
          <w:u w:val="single"/>
        </w:rPr>
        <w:t>toda la información en posesión de los Sujetos Obligados será</w:t>
      </w:r>
      <w:r w:rsidRPr="001D3AD6">
        <w:rPr>
          <w:rFonts w:ascii="Palatino Linotype" w:eastAsia="MS Mincho" w:hAnsi="Palatino Linotype" w:cs="Times New Roman"/>
          <w:color w:val="000000"/>
        </w:rPr>
        <w:t xml:space="preserve"> pública, completa, </w:t>
      </w:r>
      <w:r w:rsidRPr="001D3AD6">
        <w:rPr>
          <w:rFonts w:ascii="Palatino Linotype" w:eastAsia="MS Mincho" w:hAnsi="Palatino Linotype" w:cs="Times New Roman"/>
          <w:b/>
          <w:color w:val="000000"/>
          <w:u w:val="single"/>
        </w:rPr>
        <w:t>oportuna</w:t>
      </w:r>
      <w:r w:rsidRPr="001D3AD6">
        <w:rPr>
          <w:rFonts w:ascii="Palatino Linotype" w:eastAsia="MS Mincho" w:hAnsi="Palatino Linotype" w:cs="Times New Roman"/>
          <w:color w:val="000000"/>
        </w:rPr>
        <w:t xml:space="preserve"> y </w:t>
      </w:r>
      <w:r w:rsidRPr="001D3AD6">
        <w:rPr>
          <w:rFonts w:ascii="Palatino Linotype" w:eastAsia="MS Mincho" w:hAnsi="Palatino Linotype" w:cs="Times New Roman"/>
          <w:b/>
          <w:color w:val="000000"/>
          <w:u w:val="single"/>
        </w:rPr>
        <w:t>accesible</w:t>
      </w:r>
      <w:r w:rsidRPr="001D3AD6">
        <w:rPr>
          <w:rFonts w:ascii="Palatino Linotype" w:eastAsia="MS Mincho" w:hAnsi="Palatino Linotype" w:cs="Times New Roman"/>
          <w:color w:val="000000"/>
        </w:rPr>
        <w:t xml:space="preserve">, </w:t>
      </w:r>
      <w:r w:rsidRPr="001D3AD6">
        <w:rPr>
          <w:rFonts w:ascii="Palatino Linotype" w:eastAsia="MS Mincho" w:hAnsi="Palatino Linotype" w:cs="Times New Roman"/>
          <w:b/>
          <w:color w:val="000000"/>
        </w:rPr>
        <w:t>lo que permite que la ciudadanía tenga un amplio acceso sobre lo que es el actuar de las autoridades</w:t>
      </w:r>
      <w:r w:rsidRPr="001D3AD6">
        <w:rPr>
          <w:rFonts w:ascii="Palatino Linotype" w:eastAsia="MS Mincho" w:hAnsi="Palatino Linotype" w:cs="Times New Roman"/>
          <w:color w:val="000000"/>
        </w:rPr>
        <w:t>.</w:t>
      </w:r>
    </w:p>
    <w:p w14:paraId="5F321169" w14:textId="77777777" w:rsidR="00F12438" w:rsidRDefault="00F12438" w:rsidP="00F12438">
      <w:pPr>
        <w:pStyle w:val="Prrafodelista"/>
        <w:tabs>
          <w:tab w:val="left" w:pos="426"/>
        </w:tabs>
        <w:spacing w:before="240" w:after="240" w:line="360" w:lineRule="auto"/>
        <w:ind w:left="0" w:right="51"/>
        <w:jc w:val="both"/>
        <w:rPr>
          <w:rFonts w:ascii="Palatino Linotype" w:hAnsi="Palatino Linotype"/>
          <w:color w:val="000000" w:themeColor="text1"/>
        </w:rPr>
      </w:pPr>
    </w:p>
    <w:p w14:paraId="3DA41B5C" w14:textId="2BF13750" w:rsidR="00F12438" w:rsidRDefault="000B554F"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Robustece</w:t>
      </w:r>
      <w:r w:rsidRPr="000B554F">
        <w:rPr>
          <w:rFonts w:ascii="Palatino Linotype" w:eastAsia="MS Mincho" w:hAnsi="Palatino Linotype" w:cs="Times New Roman"/>
          <w:color w:val="000000"/>
        </w:rPr>
        <w:t xml:space="preserve"> </w:t>
      </w:r>
      <w:r w:rsidRPr="001D3AD6">
        <w:rPr>
          <w:rFonts w:ascii="Palatino Linotype" w:eastAsia="MS Mincho" w:hAnsi="Palatino Linotype" w:cs="Times New Roman"/>
          <w:color w:val="000000"/>
        </w:rPr>
        <w:t>lo anterior la Tesis aislada identificada con la clave I.4º.A.40 A del Cuarto Tribunal colegiado en Materia Administrativa del Primer Circuito, publicada en el Seminario Judicial de la Federación y su Gaceta en el libro XVIII, Marzo 2013, Página 1899:</w:t>
      </w:r>
    </w:p>
    <w:p w14:paraId="1ED2CCA7" w14:textId="77777777" w:rsidR="00F12438" w:rsidRDefault="00F12438" w:rsidP="000B554F">
      <w:pPr>
        <w:pStyle w:val="Prrafodelista"/>
        <w:tabs>
          <w:tab w:val="left" w:pos="426"/>
        </w:tabs>
        <w:spacing w:before="240" w:line="360" w:lineRule="auto"/>
        <w:ind w:left="0" w:right="51"/>
        <w:jc w:val="both"/>
        <w:rPr>
          <w:rFonts w:ascii="Palatino Linotype" w:hAnsi="Palatino Linotype"/>
          <w:color w:val="000000" w:themeColor="text1"/>
        </w:rPr>
      </w:pPr>
    </w:p>
    <w:p w14:paraId="7C645EFB" w14:textId="77777777" w:rsidR="000B554F" w:rsidRPr="000B554F" w:rsidRDefault="000B554F" w:rsidP="000B554F">
      <w:pPr>
        <w:pBdr>
          <w:top w:val="nil"/>
          <w:left w:val="nil"/>
          <w:bottom w:val="nil"/>
          <w:right w:val="nil"/>
          <w:between w:val="nil"/>
        </w:pBdr>
        <w:tabs>
          <w:tab w:val="left" w:pos="142"/>
          <w:tab w:val="left" w:pos="284"/>
          <w:tab w:val="left" w:pos="426"/>
        </w:tabs>
        <w:spacing w:line="276" w:lineRule="auto"/>
        <w:ind w:left="567" w:right="567"/>
        <w:jc w:val="both"/>
        <w:rPr>
          <w:rFonts w:ascii="Palatino Linotype" w:eastAsia="Palatino Linotype" w:hAnsi="Palatino Linotype" w:cs="Palatino Linotype"/>
          <w:color w:val="000000"/>
          <w:sz w:val="22"/>
        </w:rPr>
      </w:pPr>
      <w:r w:rsidRPr="000B554F">
        <w:rPr>
          <w:rFonts w:ascii="Palatino Linotype" w:eastAsia="Palatino Linotype" w:hAnsi="Palatino Linotype" w:cs="Palatino Linotype"/>
          <w:b/>
          <w:i/>
          <w:color w:val="000000"/>
          <w:sz w:val="22"/>
        </w:rPr>
        <w:t>ACCESO A LA INFORMACIÓN. IMPLICACIÓN DEL PRINCIPIO DE MÁXIMA PUBLICIDAD EN EL DERECHO FUNDAMENTAL RELATIVO.</w:t>
      </w:r>
      <w:r w:rsidRPr="000B554F">
        <w:rPr>
          <w:rFonts w:ascii="Palatino Linotype" w:eastAsia="Palatino Linotype" w:hAnsi="Palatino Linotype" w:cs="Palatino Linotype"/>
          <w:i/>
          <w:color w:val="000000"/>
          <w:sz w:val="22"/>
        </w:rPr>
        <w:t xml:space="preserve"> “Del artículo 6o. de la Constitución Política de los Estados Unidos Mexicanos se advierte que el Estado Mexicano está constreñido a publicitar sus actos, pues se reconoce el derecho fundamental de los ciudadanos a acceder a la información que obra en poder de la autoridad, que como lo ha expuesto el Pleno de la Suprema Corte de Justicia de la Nación en la tesis P./J. 54/2008, publicada en el Semanario Judicial de la Federación y su Gaceta, Novena Época, Tomo XXVII, junio de 2008, página 743, de rubro: "ACCESO A LA INFORMACIÓN. SU NATURALEZA COMO GARANTÍAS INDIVIDUAL Y SOCIAL.", contiene una doble dimensión: individual y social. En su </w:t>
      </w:r>
      <w:r w:rsidRPr="000B554F">
        <w:rPr>
          <w:rFonts w:ascii="Palatino Linotype" w:eastAsia="Palatino Linotype" w:hAnsi="Palatino Linotype" w:cs="Palatino Linotype"/>
          <w:i/>
          <w:color w:val="000000"/>
          <w:sz w:val="22"/>
        </w:rPr>
        <w:lastRenderedPageBreak/>
        <w:t>primer aspecto, cumple con la función de maximizar el campo de la autonomía personal, posibilitando el ejercicio de la libertad de expresión en un contexto de mayor diversidad de datos, voces y opiniones, mientras que en el segundo, brinda un derecho colectivo o social que tiende a revelar el empleo instrumental de la información no sólo como factor de autorrealización personal, sino como un mecanismo de control institucional, pues se trata de un derecho fundado en una de las características principales del gobierno republicano, que es la publicidad de los actos de gobierno y la transparencia en el actuar de la administración, conducente y necesaria para la rendición de cuentas. Por ello, el principio de máxima publicidad incorporado en el texto constitucional, implica para cualquier autoridad, realizar un manejo de la información bajo la premisa inicial que toda ella es pública y sólo por excepción, en los casos expresamente previstos en la legislación secundaria y justificados bajo determinadas circunstancias, se podrá clasificar como confidencial o reservada, esto es, considerarla con una calidad diversa.”</w:t>
      </w:r>
    </w:p>
    <w:p w14:paraId="3E18A935" w14:textId="77777777" w:rsidR="000B554F" w:rsidRDefault="000B554F" w:rsidP="00F12438">
      <w:pPr>
        <w:pStyle w:val="Prrafodelista"/>
        <w:tabs>
          <w:tab w:val="left" w:pos="426"/>
        </w:tabs>
        <w:spacing w:before="240" w:after="240" w:line="360" w:lineRule="auto"/>
        <w:ind w:left="0" w:right="51"/>
        <w:jc w:val="both"/>
        <w:rPr>
          <w:rFonts w:ascii="Palatino Linotype" w:hAnsi="Palatino Linotype"/>
          <w:color w:val="000000" w:themeColor="text1"/>
        </w:rPr>
      </w:pPr>
    </w:p>
    <w:p w14:paraId="20D2382A" w14:textId="4D267D30" w:rsidR="00F12438" w:rsidRDefault="000B554F"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Tal </w:t>
      </w:r>
      <w:r w:rsidRPr="001D3AD6">
        <w:rPr>
          <w:rFonts w:ascii="Palatino Linotype" w:eastAsia="MS Mincho" w:hAnsi="Palatino Linotype" w:cs="Times New Roman"/>
          <w:color w:val="000000"/>
        </w:rPr>
        <w:t xml:space="preserve">y como se ha señalado, </w:t>
      </w:r>
      <w:r w:rsidRPr="001D3AD6">
        <w:rPr>
          <w:rFonts w:ascii="Palatino Linotype" w:eastAsia="MS Mincho" w:hAnsi="Palatino Linotype" w:cs="Times New Roman"/>
          <w:b/>
          <w:bCs/>
          <w:color w:val="000000"/>
        </w:rPr>
        <w:t>el derecho de acceso a la información se basa en permitir que la ciudadanía conozca de primera mano toda aquella información que se encuentra en posesión de los Sujetos Obligados</w:t>
      </w:r>
      <w:r w:rsidRPr="001D3AD6">
        <w:rPr>
          <w:rFonts w:ascii="Palatino Linotype" w:eastAsia="MS Mincho" w:hAnsi="Palatino Linotype" w:cs="Times New Roman"/>
          <w:color w:val="000000"/>
        </w:rPr>
        <w:t xml:space="preserve">, ya sea porque la genera, posee o administra; </w:t>
      </w:r>
      <w:r w:rsidRPr="001D3AD6">
        <w:rPr>
          <w:rFonts w:ascii="Palatino Linotype" w:eastAsia="MS Mincho" w:hAnsi="Palatino Linotype" w:cs="Times New Roman"/>
          <w:b/>
          <w:bCs/>
          <w:color w:val="000000"/>
        </w:rPr>
        <w:t>toda vez que</w:t>
      </w:r>
      <w:r w:rsidRPr="001D3AD6">
        <w:rPr>
          <w:rFonts w:ascii="Palatino Linotype" w:eastAsia="MS Mincho" w:hAnsi="Palatino Linotype" w:cs="Times New Roman"/>
          <w:color w:val="000000"/>
        </w:rPr>
        <w:t xml:space="preserve">, a través de dicha acción, </w:t>
      </w:r>
      <w:r w:rsidRPr="001D3AD6">
        <w:rPr>
          <w:rFonts w:ascii="Palatino Linotype" w:eastAsia="MS Mincho" w:hAnsi="Palatino Linotype" w:cs="Times New Roman"/>
          <w:b/>
          <w:color w:val="000000"/>
        </w:rPr>
        <w:t>permite que las personas ejerzan un medio de control sobre las acciones que se están ejerciendo y evaluar su desempeño</w:t>
      </w:r>
      <w:r w:rsidRPr="001D3AD6">
        <w:rPr>
          <w:rFonts w:ascii="Palatino Linotype" w:eastAsia="MS Mincho" w:hAnsi="Palatino Linotype" w:cs="Times New Roman"/>
          <w:color w:val="000000"/>
        </w:rPr>
        <w:t>.</w:t>
      </w:r>
    </w:p>
    <w:p w14:paraId="0F35A6DC" w14:textId="77777777" w:rsidR="00F12438" w:rsidRDefault="00F12438" w:rsidP="00F12438">
      <w:pPr>
        <w:pStyle w:val="Prrafodelista"/>
        <w:tabs>
          <w:tab w:val="left" w:pos="426"/>
        </w:tabs>
        <w:spacing w:before="240" w:after="240" w:line="360" w:lineRule="auto"/>
        <w:ind w:left="0" w:right="51"/>
        <w:jc w:val="both"/>
        <w:rPr>
          <w:rFonts w:ascii="Palatino Linotype" w:hAnsi="Palatino Linotype"/>
          <w:color w:val="000000" w:themeColor="text1"/>
        </w:rPr>
      </w:pPr>
    </w:p>
    <w:p w14:paraId="27CE3AB9" w14:textId="0F006E7B" w:rsidR="00F12438" w:rsidRPr="00F12438" w:rsidRDefault="00F12438" w:rsidP="00F12438">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r>
        <w:rPr>
          <w:rFonts w:ascii="Palatino Linotype" w:hAnsi="Palatino Linotype"/>
          <w:b/>
          <w:color w:val="000000" w:themeColor="text1"/>
        </w:rPr>
        <w:t xml:space="preserve">III. </w:t>
      </w:r>
      <w:r w:rsidR="003423EA">
        <w:rPr>
          <w:rFonts w:ascii="Palatino Linotype" w:hAnsi="Palatino Linotype"/>
          <w:b/>
          <w:color w:val="000000" w:themeColor="text1"/>
        </w:rPr>
        <w:t>De la modalidad de entrega de la información</w:t>
      </w:r>
      <w:r>
        <w:rPr>
          <w:rFonts w:ascii="Palatino Linotype" w:hAnsi="Palatino Linotype"/>
          <w:b/>
          <w:color w:val="000000" w:themeColor="text1"/>
        </w:rPr>
        <w:t>.</w:t>
      </w:r>
    </w:p>
    <w:p w14:paraId="184EF308" w14:textId="77777777" w:rsidR="00F12438" w:rsidRDefault="00F12438" w:rsidP="00F12438">
      <w:pPr>
        <w:pStyle w:val="Prrafodelista"/>
        <w:tabs>
          <w:tab w:val="left" w:pos="426"/>
        </w:tabs>
        <w:spacing w:before="240" w:after="240" w:line="360" w:lineRule="auto"/>
        <w:ind w:left="0" w:right="51"/>
        <w:jc w:val="both"/>
        <w:rPr>
          <w:rFonts w:ascii="Palatino Linotype" w:hAnsi="Palatino Linotype"/>
          <w:color w:val="000000" w:themeColor="text1"/>
        </w:rPr>
      </w:pPr>
    </w:p>
    <w:p w14:paraId="13EDB48A" w14:textId="1F93F162" w:rsidR="007A21AC" w:rsidRDefault="00F12438"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La </w:t>
      </w:r>
      <w:r w:rsidR="007A21AC" w:rsidRPr="00167813">
        <w:rPr>
          <w:rFonts w:ascii="Palatino Linotype" w:hAnsi="Palatino Linotype"/>
          <w:color w:val="000000" w:themeColor="text1"/>
        </w:rPr>
        <w:t xml:space="preserve">Ley de Transparencia y Acceso a la Información Pública del Estado de México y Municipios, en </w:t>
      </w:r>
      <w:r w:rsidR="007A21AC" w:rsidRPr="00042E99">
        <w:rPr>
          <w:rFonts w:ascii="Palatino Linotype" w:hAnsi="Palatino Linotype"/>
          <w:color w:val="000000" w:themeColor="text1"/>
        </w:rPr>
        <w:t>su artículo 150, establece que el procedimiento de acceso a la información es la garantía primaria del derecho en cuestión y se rige por los principios de simplicidad, rapidez gratuidad del</w:t>
      </w:r>
      <w:r w:rsidR="007A21AC" w:rsidRPr="00167813">
        <w:rPr>
          <w:rFonts w:ascii="Palatino Linotype" w:hAnsi="Palatino Linotype"/>
          <w:color w:val="000000" w:themeColor="text1"/>
        </w:rPr>
        <w:t xml:space="preserve"> procedimiento, auxilio y orientación a los particulares, así como atención adecuada a las personas con </w:t>
      </w:r>
      <w:r w:rsidR="007A21AC" w:rsidRPr="00167813">
        <w:rPr>
          <w:rFonts w:ascii="Palatino Linotype" w:hAnsi="Palatino Linotype"/>
          <w:color w:val="000000" w:themeColor="text1"/>
        </w:rPr>
        <w:lastRenderedPageBreak/>
        <w:t>discapacidad y a los hablantes de lengua indígena con el objeto de otorgar la protección más amplia del derecho de las personas.</w:t>
      </w:r>
    </w:p>
    <w:p w14:paraId="6B1E26B2" w14:textId="77777777" w:rsidR="003423EA" w:rsidRDefault="003423EA" w:rsidP="003423EA">
      <w:pPr>
        <w:pStyle w:val="Prrafodelista"/>
        <w:tabs>
          <w:tab w:val="left" w:pos="426"/>
        </w:tabs>
        <w:spacing w:before="240" w:after="240" w:line="360" w:lineRule="auto"/>
        <w:ind w:left="0" w:right="51"/>
        <w:jc w:val="both"/>
        <w:rPr>
          <w:rFonts w:ascii="Palatino Linotype" w:hAnsi="Palatino Linotype"/>
          <w:color w:val="000000" w:themeColor="text1"/>
        </w:rPr>
      </w:pPr>
    </w:p>
    <w:p w14:paraId="39E1CFE4" w14:textId="77777777" w:rsidR="00B60033" w:rsidRPr="00553FE2" w:rsidRDefault="00B60033" w:rsidP="00B60033">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Para </w:t>
      </w:r>
      <w:r w:rsidRPr="00553FE2">
        <w:rPr>
          <w:rFonts w:ascii="Palatino Linotype" w:hAnsi="Palatino Linotype"/>
          <w:color w:val="000000" w:themeColor="text1"/>
        </w:rPr>
        <w:t xml:space="preserve">atender las solicitudes de información, los Sujetos Obligados contarán con un área denominada </w:t>
      </w:r>
      <w:r w:rsidRPr="00553FE2">
        <w:rPr>
          <w:rFonts w:ascii="Palatino Linotype" w:hAnsi="Palatino Linotype"/>
          <w:b/>
          <w:bCs/>
          <w:color w:val="000000" w:themeColor="text1"/>
        </w:rPr>
        <w:t>Unidad de Transparencia</w:t>
      </w:r>
      <w:r w:rsidRPr="00553FE2">
        <w:rPr>
          <w:rFonts w:ascii="Palatino Linotype" w:hAnsi="Palatino Linotype"/>
          <w:color w:val="000000" w:themeColor="text1"/>
          <w:vertAlign w:val="superscript"/>
        </w:rPr>
        <w:footnoteReference w:id="9"/>
      </w:r>
      <w:r w:rsidRPr="00553FE2">
        <w:rPr>
          <w:rFonts w:ascii="Palatino Linotype" w:hAnsi="Palatino Linotype"/>
          <w:color w:val="000000" w:themeColor="text1"/>
        </w:rPr>
        <w:t xml:space="preserve">, la cual será presidida por un Titular, quien fungirá como enlace entre éstos y los solicitantes. Dicha Unidad </w:t>
      </w:r>
      <w:r w:rsidRPr="00553FE2">
        <w:rPr>
          <w:rFonts w:ascii="Palatino Linotype" w:hAnsi="Palatino Linotype"/>
          <w:b/>
          <w:bCs/>
          <w:color w:val="000000" w:themeColor="text1"/>
        </w:rPr>
        <w:t>será la encargada de tramitar internamente la solicitud de información</w:t>
      </w:r>
      <w:r w:rsidRPr="00553FE2">
        <w:rPr>
          <w:rFonts w:ascii="Palatino Linotype" w:hAnsi="Palatino Linotype"/>
          <w:color w:val="000000" w:themeColor="text1"/>
        </w:rPr>
        <w:t xml:space="preserve"> y tendrá la responsabilidad de verificar en cada caso que la misma no sea confidencial o reservada. Asimismo, contará con las facultades internas necesarias para </w:t>
      </w:r>
      <w:r w:rsidRPr="00553FE2">
        <w:rPr>
          <w:rFonts w:ascii="Palatino Linotype" w:hAnsi="Palatino Linotype"/>
          <w:b/>
          <w:bCs/>
          <w:color w:val="000000" w:themeColor="text1"/>
        </w:rPr>
        <w:t xml:space="preserve">gestionar la atención a las solicitudes de información </w:t>
      </w:r>
      <w:r w:rsidRPr="00553FE2">
        <w:rPr>
          <w:rFonts w:ascii="Palatino Linotype" w:hAnsi="Palatino Linotype"/>
          <w:color w:val="000000" w:themeColor="text1"/>
        </w:rPr>
        <w:t>en los términos de la Ley General y la Ley de Transparencia y Acceso a la Información Pública del Estado de México y Municipios</w:t>
      </w:r>
      <w:r w:rsidRPr="00553FE2">
        <w:rPr>
          <w:rFonts w:ascii="Palatino Linotype" w:hAnsi="Palatino Linotype"/>
          <w:color w:val="000000" w:themeColor="text1"/>
          <w:vertAlign w:val="superscript"/>
        </w:rPr>
        <w:footnoteReference w:id="10"/>
      </w:r>
      <w:r w:rsidRPr="00553FE2">
        <w:rPr>
          <w:rFonts w:ascii="Palatino Linotype" w:hAnsi="Palatino Linotype"/>
          <w:color w:val="000000" w:themeColor="text1"/>
        </w:rPr>
        <w:t>.</w:t>
      </w:r>
    </w:p>
    <w:p w14:paraId="26F13951" w14:textId="77777777" w:rsidR="00B60033" w:rsidRPr="00553FE2" w:rsidRDefault="00B60033" w:rsidP="00B60033">
      <w:pPr>
        <w:pStyle w:val="Prrafodelista"/>
        <w:tabs>
          <w:tab w:val="left" w:pos="426"/>
        </w:tabs>
        <w:spacing w:before="240" w:after="240" w:line="360" w:lineRule="auto"/>
        <w:ind w:left="0" w:right="51"/>
        <w:jc w:val="both"/>
        <w:rPr>
          <w:rFonts w:ascii="Palatino Linotype" w:hAnsi="Palatino Linotype"/>
          <w:color w:val="000000" w:themeColor="text1"/>
        </w:rPr>
      </w:pPr>
    </w:p>
    <w:p w14:paraId="156E1F3E" w14:textId="0F30A9F3" w:rsidR="001C302E" w:rsidRPr="00B60033" w:rsidRDefault="00B60033" w:rsidP="00B60033">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553FE2">
        <w:rPr>
          <w:rFonts w:ascii="Palatino Linotype" w:hAnsi="Palatino Linotype"/>
          <w:color w:val="000000" w:themeColor="text1"/>
        </w:rPr>
        <w:t xml:space="preserve">De </w:t>
      </w:r>
      <w:r w:rsidRPr="00553FE2">
        <w:rPr>
          <w:rFonts w:ascii="Palatino Linotype" w:hAnsi="Palatino Linotype" w:cs="Arial"/>
          <w:color w:val="000000" w:themeColor="text1"/>
        </w:rPr>
        <w:t>conformidad con lo dispuesto por el artículo 53 de la Ley de Transparencia y Acceso a la Información Pública del Estado de México y Municipios, las Unidades de Transparencia tendrán, entre sus atribuciones, las siguientes:</w:t>
      </w:r>
    </w:p>
    <w:p w14:paraId="2C5A536C" w14:textId="77777777" w:rsidR="00B60033" w:rsidRPr="00B60033" w:rsidRDefault="00B60033" w:rsidP="00B60033">
      <w:pPr>
        <w:pStyle w:val="Prrafodelista"/>
        <w:numPr>
          <w:ilvl w:val="1"/>
          <w:numId w:val="19"/>
        </w:numPr>
        <w:tabs>
          <w:tab w:val="left" w:pos="426"/>
        </w:tabs>
        <w:spacing w:before="240" w:after="240" w:line="360" w:lineRule="auto"/>
        <w:ind w:left="1134" w:right="51"/>
        <w:jc w:val="both"/>
        <w:rPr>
          <w:rFonts w:ascii="Palatino Linotype" w:hAnsi="Palatino Linotype" w:cs="Arial"/>
          <w:color w:val="000000" w:themeColor="text1"/>
        </w:rPr>
      </w:pPr>
      <w:r>
        <w:rPr>
          <w:rFonts w:ascii="Palatino Linotype" w:hAnsi="Palatino Linotype" w:cs="Arial"/>
          <w:color w:val="000000" w:themeColor="text1"/>
        </w:rPr>
        <w:t xml:space="preserve">Recibir, </w:t>
      </w:r>
      <w:r w:rsidRPr="00B60033">
        <w:rPr>
          <w:rFonts w:ascii="Palatino Linotype" w:hAnsi="Palatino Linotype" w:cs="Arial"/>
          <w:color w:val="000000" w:themeColor="text1"/>
        </w:rPr>
        <w:t>tramitar y dar respuesta a las solicitudes de acceso a la información;</w:t>
      </w:r>
    </w:p>
    <w:p w14:paraId="203F1CBF" w14:textId="77777777" w:rsidR="00B60033" w:rsidRPr="00B60033" w:rsidRDefault="00B60033" w:rsidP="00B60033">
      <w:pPr>
        <w:pStyle w:val="Prrafodelista"/>
        <w:numPr>
          <w:ilvl w:val="1"/>
          <w:numId w:val="19"/>
        </w:numPr>
        <w:tabs>
          <w:tab w:val="left" w:pos="426"/>
        </w:tabs>
        <w:spacing w:before="240" w:after="240" w:line="360" w:lineRule="auto"/>
        <w:ind w:left="1134" w:right="51"/>
        <w:jc w:val="both"/>
        <w:rPr>
          <w:rFonts w:ascii="Palatino Linotype" w:hAnsi="Palatino Linotype" w:cs="Arial"/>
          <w:color w:val="000000" w:themeColor="text1"/>
        </w:rPr>
      </w:pPr>
      <w:r w:rsidRPr="00B60033">
        <w:rPr>
          <w:rFonts w:ascii="Palatino Linotype" w:hAnsi="Palatino Linotype" w:cs="Arial"/>
          <w:color w:val="000000" w:themeColor="text1"/>
        </w:rPr>
        <w:t xml:space="preserve">Realizar, con efectividad, los trámites internos necesarios para la atención de las solicitudes de acceso a la información; </w:t>
      </w:r>
    </w:p>
    <w:p w14:paraId="303E7BF1" w14:textId="77777777" w:rsidR="00B60033" w:rsidRPr="00B60033" w:rsidRDefault="00B60033" w:rsidP="00B60033">
      <w:pPr>
        <w:pStyle w:val="Prrafodelista"/>
        <w:numPr>
          <w:ilvl w:val="1"/>
          <w:numId w:val="19"/>
        </w:numPr>
        <w:tabs>
          <w:tab w:val="left" w:pos="426"/>
        </w:tabs>
        <w:spacing w:before="240" w:after="240" w:line="360" w:lineRule="auto"/>
        <w:ind w:left="1134" w:right="51"/>
        <w:jc w:val="both"/>
        <w:rPr>
          <w:rFonts w:ascii="Palatino Linotype" w:hAnsi="Palatino Linotype" w:cs="Arial"/>
          <w:color w:val="000000" w:themeColor="text1"/>
        </w:rPr>
      </w:pPr>
      <w:r w:rsidRPr="00B60033">
        <w:rPr>
          <w:rFonts w:ascii="Palatino Linotype" w:hAnsi="Palatino Linotype" w:cs="Arial"/>
          <w:color w:val="000000" w:themeColor="text1"/>
        </w:rPr>
        <w:t xml:space="preserve">Entregar, en su caso, a los particulares la información solicitada; y </w:t>
      </w:r>
    </w:p>
    <w:p w14:paraId="0AD1611E" w14:textId="68259B00" w:rsidR="00B60033" w:rsidRPr="00B60033" w:rsidRDefault="00B60033" w:rsidP="00B60033">
      <w:pPr>
        <w:pStyle w:val="Prrafodelista"/>
        <w:numPr>
          <w:ilvl w:val="1"/>
          <w:numId w:val="19"/>
        </w:numPr>
        <w:tabs>
          <w:tab w:val="left" w:pos="426"/>
        </w:tabs>
        <w:spacing w:before="240" w:after="240" w:line="360" w:lineRule="auto"/>
        <w:ind w:left="1134" w:right="51"/>
        <w:jc w:val="both"/>
        <w:rPr>
          <w:rFonts w:ascii="Palatino Linotype" w:hAnsi="Palatino Linotype"/>
          <w:color w:val="000000" w:themeColor="text1"/>
        </w:rPr>
      </w:pPr>
      <w:r w:rsidRPr="00B60033">
        <w:rPr>
          <w:rFonts w:ascii="Palatino Linotype" w:hAnsi="Palatino Linotype" w:cs="Arial"/>
          <w:color w:val="000000" w:themeColor="text1"/>
        </w:rPr>
        <w:lastRenderedPageBreak/>
        <w:t>Hacer del conocimiento de la instancia competente la probable responsabilidad por el incumplimiento de las obligaciones previstas en la Ley de la materia.</w:t>
      </w:r>
    </w:p>
    <w:p w14:paraId="765C171B" w14:textId="77777777" w:rsidR="00B60033" w:rsidRPr="00B60033" w:rsidRDefault="00B60033" w:rsidP="00B60033">
      <w:pPr>
        <w:pStyle w:val="Prrafodelista"/>
        <w:tabs>
          <w:tab w:val="left" w:pos="426"/>
        </w:tabs>
        <w:spacing w:before="240" w:after="240" w:line="360" w:lineRule="auto"/>
        <w:ind w:left="0" w:right="51"/>
        <w:jc w:val="both"/>
        <w:rPr>
          <w:rFonts w:ascii="Palatino Linotype" w:hAnsi="Palatino Linotype"/>
          <w:color w:val="000000" w:themeColor="text1"/>
        </w:rPr>
      </w:pPr>
    </w:p>
    <w:p w14:paraId="5D5B106B" w14:textId="5EF6209C" w:rsidR="00B60033" w:rsidRPr="00B60033" w:rsidRDefault="00B60033" w:rsidP="00B60033">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Otros </w:t>
      </w:r>
      <w:r w:rsidRPr="00B60033">
        <w:rPr>
          <w:rFonts w:ascii="Palatino Linotype" w:hAnsi="Palatino Linotype" w:cs="Arial"/>
          <w:color w:val="000000" w:themeColor="text1"/>
        </w:rPr>
        <w:t>sujetos del proceso de atención a las solicitudes de información son los servidores públicos habilitados, quienes serán designados por el titular del Sujeto Obligado a propuesta del responsable de la Unidad de Transparencia</w:t>
      </w:r>
      <w:r w:rsidRPr="00B60033">
        <w:rPr>
          <w:rFonts w:ascii="Palatino Linotype" w:hAnsi="Palatino Linotype" w:cs="Arial"/>
          <w:color w:val="000000" w:themeColor="text1"/>
          <w:vertAlign w:val="superscript"/>
        </w:rPr>
        <w:footnoteReference w:id="11"/>
      </w:r>
      <w:r w:rsidRPr="00B60033">
        <w:rPr>
          <w:rFonts w:ascii="Palatino Linotype" w:hAnsi="Palatino Linotype" w:cs="Arial"/>
          <w:color w:val="000000" w:themeColor="text1"/>
        </w:rPr>
        <w:t xml:space="preserve"> y tendrán, entre sus atribuciones, las siguientes</w:t>
      </w:r>
      <w:r w:rsidRPr="00B60033">
        <w:rPr>
          <w:rFonts w:ascii="Palatino Linotype" w:hAnsi="Palatino Linotype" w:cs="Arial"/>
          <w:color w:val="000000" w:themeColor="text1"/>
          <w:vertAlign w:val="superscript"/>
        </w:rPr>
        <w:footnoteReference w:id="12"/>
      </w:r>
      <w:r w:rsidRPr="00B60033">
        <w:rPr>
          <w:rFonts w:ascii="Palatino Linotype" w:hAnsi="Palatino Linotype" w:cs="Arial"/>
          <w:color w:val="000000" w:themeColor="text1"/>
        </w:rPr>
        <w:t>:</w:t>
      </w:r>
    </w:p>
    <w:p w14:paraId="13AE9F43" w14:textId="77777777" w:rsidR="00B60033" w:rsidRPr="00B60033" w:rsidRDefault="00B60033" w:rsidP="00B60033">
      <w:pPr>
        <w:pStyle w:val="Prrafodelista"/>
        <w:numPr>
          <w:ilvl w:val="1"/>
          <w:numId w:val="20"/>
        </w:numPr>
        <w:tabs>
          <w:tab w:val="left" w:pos="426"/>
        </w:tabs>
        <w:spacing w:before="240" w:after="240" w:line="360" w:lineRule="auto"/>
        <w:ind w:left="1134" w:right="51"/>
        <w:jc w:val="both"/>
        <w:rPr>
          <w:rFonts w:ascii="Palatino Linotype" w:hAnsi="Palatino Linotype" w:cs="Arial"/>
          <w:color w:val="000000" w:themeColor="text1"/>
        </w:rPr>
      </w:pPr>
      <w:r>
        <w:rPr>
          <w:rFonts w:ascii="Palatino Linotype" w:hAnsi="Palatino Linotype" w:cs="Arial"/>
          <w:color w:val="000000" w:themeColor="text1"/>
        </w:rPr>
        <w:t xml:space="preserve">Localizar </w:t>
      </w:r>
      <w:r w:rsidRPr="00B60033">
        <w:rPr>
          <w:rFonts w:ascii="Palatino Linotype" w:hAnsi="Palatino Linotype" w:cs="Arial"/>
          <w:color w:val="000000" w:themeColor="text1"/>
        </w:rPr>
        <w:t>la información que le solicite la Unidad de Transparencia; y</w:t>
      </w:r>
    </w:p>
    <w:p w14:paraId="7738FF92" w14:textId="2D20890F" w:rsidR="00B60033" w:rsidRPr="00B60033" w:rsidRDefault="00B60033" w:rsidP="00B60033">
      <w:pPr>
        <w:pStyle w:val="Prrafodelista"/>
        <w:numPr>
          <w:ilvl w:val="1"/>
          <w:numId w:val="20"/>
        </w:numPr>
        <w:tabs>
          <w:tab w:val="left" w:pos="426"/>
        </w:tabs>
        <w:spacing w:before="240" w:after="240" w:line="360" w:lineRule="auto"/>
        <w:ind w:left="1134" w:right="51"/>
        <w:jc w:val="both"/>
        <w:rPr>
          <w:rFonts w:ascii="Palatino Linotype" w:hAnsi="Palatino Linotype"/>
          <w:color w:val="000000" w:themeColor="text1"/>
        </w:rPr>
      </w:pPr>
      <w:r w:rsidRPr="00B60033">
        <w:rPr>
          <w:rFonts w:ascii="Palatino Linotype" w:hAnsi="Palatino Linotype" w:cs="Arial"/>
          <w:color w:val="000000" w:themeColor="text1"/>
        </w:rPr>
        <w:t>Proporcionar la información que obre en sus archivos y que le sea solicitada por la Unidad de Transparencia.</w:t>
      </w:r>
    </w:p>
    <w:p w14:paraId="45EF5D0C" w14:textId="77777777" w:rsidR="00B60033" w:rsidRPr="00B60033" w:rsidRDefault="00B60033" w:rsidP="00B60033">
      <w:pPr>
        <w:pStyle w:val="Prrafodelista"/>
        <w:tabs>
          <w:tab w:val="left" w:pos="426"/>
        </w:tabs>
        <w:spacing w:before="240" w:after="240" w:line="360" w:lineRule="auto"/>
        <w:ind w:left="0" w:right="51"/>
        <w:jc w:val="both"/>
        <w:rPr>
          <w:rFonts w:ascii="Palatino Linotype" w:hAnsi="Palatino Linotype"/>
          <w:color w:val="000000" w:themeColor="text1"/>
        </w:rPr>
      </w:pPr>
    </w:p>
    <w:p w14:paraId="0991D242" w14:textId="478556D0" w:rsidR="00B60033" w:rsidRDefault="00B60033" w:rsidP="00B60033">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De </w:t>
      </w:r>
      <w:r w:rsidRPr="00553FE2">
        <w:rPr>
          <w:rFonts w:ascii="Palatino Linotype" w:hAnsi="Palatino Linotype" w:cs="Arial"/>
          <w:color w:val="000000" w:themeColor="text1"/>
        </w:rPr>
        <w:t xml:space="preserve">tal manera que cada una de las áreas administrativas del </w:t>
      </w:r>
      <w:r w:rsidRPr="00553FE2">
        <w:rPr>
          <w:rFonts w:ascii="Palatino Linotype" w:hAnsi="Palatino Linotype" w:cs="Arial"/>
          <w:b/>
          <w:bCs/>
          <w:color w:val="000000" w:themeColor="text1"/>
        </w:rPr>
        <w:t>SUJETO OBLIGADO</w:t>
      </w:r>
      <w:r w:rsidRPr="00553FE2">
        <w:rPr>
          <w:rFonts w:ascii="Palatino Linotype" w:hAnsi="Palatino Linotype" w:cs="Arial"/>
          <w:color w:val="000000" w:themeColor="text1"/>
        </w:rPr>
        <w:t xml:space="preserve"> deberá contar con un servidor público habilitado, quien será, a su vez, el enlace entre la Unidad de Transparencia y el área administrativa, y se encargará de buscar, localizar y proporcionar la información que se requiera a través de las solicitudes de acceso a la información.</w:t>
      </w:r>
    </w:p>
    <w:p w14:paraId="75F23BDC" w14:textId="77777777" w:rsidR="001C302E" w:rsidRPr="001C302E" w:rsidRDefault="001C302E" w:rsidP="001C302E">
      <w:pPr>
        <w:pStyle w:val="Prrafodelista"/>
        <w:tabs>
          <w:tab w:val="left" w:pos="426"/>
        </w:tabs>
        <w:spacing w:before="240" w:after="240" w:line="360" w:lineRule="auto"/>
        <w:ind w:left="0" w:right="51"/>
        <w:jc w:val="both"/>
        <w:rPr>
          <w:rFonts w:ascii="Palatino Linotype" w:hAnsi="Palatino Linotype"/>
          <w:color w:val="000000" w:themeColor="text1"/>
        </w:rPr>
      </w:pPr>
    </w:p>
    <w:p w14:paraId="62AA1105" w14:textId="05DC6C3D" w:rsidR="00042E99" w:rsidRPr="00042E99" w:rsidRDefault="00042E99"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Una vez establecido lo anterior, de las constancias que obran en el expediente electrónico del SAIMEX, </w:t>
      </w:r>
      <w:r w:rsidR="006466BF">
        <w:rPr>
          <w:rFonts w:ascii="Palatino Linotype" w:hAnsi="Palatino Linotype" w:cs="Arial"/>
          <w:color w:val="000000" w:themeColor="text1"/>
        </w:rPr>
        <w:t xml:space="preserve">específicamente dentro del apartado de </w:t>
      </w:r>
      <w:r w:rsidR="006466BF">
        <w:rPr>
          <w:rFonts w:ascii="Palatino Linotype" w:hAnsi="Palatino Linotype" w:cs="Arial"/>
          <w:i/>
          <w:color w:val="000000" w:themeColor="text1"/>
        </w:rPr>
        <w:t>Requerimientos</w:t>
      </w:r>
      <w:r w:rsidR="006466BF">
        <w:rPr>
          <w:rFonts w:ascii="Palatino Linotype" w:hAnsi="Palatino Linotype" w:cs="Arial"/>
          <w:color w:val="000000" w:themeColor="text1"/>
        </w:rPr>
        <w:t xml:space="preserve">, </w:t>
      </w:r>
      <w:r>
        <w:rPr>
          <w:rFonts w:ascii="Palatino Linotype" w:hAnsi="Palatino Linotype" w:cs="Arial"/>
          <w:color w:val="000000" w:themeColor="text1"/>
        </w:rPr>
        <w:t xml:space="preserve">se aprecia que la Unidad de Transparencia turnó </w:t>
      </w:r>
      <w:r w:rsidR="006466BF">
        <w:rPr>
          <w:rFonts w:ascii="Palatino Linotype" w:hAnsi="Palatino Linotype" w:cs="Arial"/>
          <w:color w:val="000000" w:themeColor="text1"/>
        </w:rPr>
        <w:t xml:space="preserve">la solicitud de información </w:t>
      </w:r>
      <w:r w:rsidR="006466BF">
        <w:rPr>
          <w:rFonts w:ascii="Palatino Linotype" w:hAnsi="Palatino Linotype" w:cs="Arial"/>
          <w:b/>
          <w:color w:val="000000" w:themeColor="text1"/>
        </w:rPr>
        <w:t>00571/SF/IP/2021</w:t>
      </w:r>
      <w:r w:rsidR="006466BF">
        <w:rPr>
          <w:rFonts w:ascii="Palatino Linotype" w:hAnsi="Palatino Linotype" w:cs="Arial"/>
          <w:color w:val="000000" w:themeColor="text1"/>
        </w:rPr>
        <w:t xml:space="preserve">, a los Servidores Públicos Habilitados </w:t>
      </w:r>
      <w:r w:rsidR="006466BF">
        <w:rPr>
          <w:rFonts w:ascii="Palatino Linotype" w:hAnsi="Palatino Linotype" w:cs="Arial"/>
          <w:i/>
          <w:color w:val="000000" w:themeColor="text1"/>
        </w:rPr>
        <w:t>Lic. Arturo Dávila Esquivel</w:t>
      </w:r>
      <w:r w:rsidR="006466BF">
        <w:rPr>
          <w:rFonts w:ascii="Palatino Linotype" w:hAnsi="Palatino Linotype" w:cs="Arial"/>
          <w:color w:val="000000" w:themeColor="text1"/>
        </w:rPr>
        <w:t xml:space="preserve"> y </w:t>
      </w:r>
      <w:r w:rsidR="006466BF">
        <w:rPr>
          <w:rFonts w:ascii="Palatino Linotype" w:hAnsi="Palatino Linotype" w:cs="Arial"/>
          <w:i/>
          <w:color w:val="000000" w:themeColor="text1"/>
        </w:rPr>
        <w:t xml:space="preserve">Lic. Silvia Patricia Pliego </w:t>
      </w:r>
      <w:proofErr w:type="spellStart"/>
      <w:r w:rsidR="006466BF">
        <w:rPr>
          <w:rFonts w:ascii="Palatino Linotype" w:hAnsi="Palatino Linotype" w:cs="Arial"/>
          <w:i/>
          <w:color w:val="000000" w:themeColor="text1"/>
        </w:rPr>
        <w:t>Terríquez</w:t>
      </w:r>
      <w:proofErr w:type="spellEnd"/>
      <w:r w:rsidR="006466BF">
        <w:rPr>
          <w:rFonts w:ascii="Palatino Linotype" w:hAnsi="Palatino Linotype" w:cs="Arial"/>
          <w:color w:val="000000" w:themeColor="text1"/>
        </w:rPr>
        <w:t xml:space="preserve">, quienes de acuerdo con los documentos </w:t>
      </w:r>
      <w:r w:rsidR="006466BF">
        <w:rPr>
          <w:rFonts w:ascii="Palatino Linotype" w:hAnsi="Palatino Linotype" w:cs="Arial"/>
          <w:color w:val="000000" w:themeColor="text1"/>
        </w:rPr>
        <w:lastRenderedPageBreak/>
        <w:t xml:space="preserve">entregados en respuesta a la solicitud, </w:t>
      </w:r>
      <w:r w:rsidR="003423EA">
        <w:rPr>
          <w:rFonts w:ascii="Palatino Linotype" w:hAnsi="Palatino Linotype" w:cs="Arial"/>
          <w:color w:val="000000" w:themeColor="text1"/>
        </w:rPr>
        <w:t xml:space="preserve">se advierte que </w:t>
      </w:r>
      <w:r w:rsidR="006466BF">
        <w:rPr>
          <w:rFonts w:ascii="Palatino Linotype" w:hAnsi="Palatino Linotype" w:cs="Arial"/>
          <w:color w:val="000000" w:themeColor="text1"/>
        </w:rPr>
        <w:t>forman parte de la Dirección General de Crédito, y la Unidad de Apoyo Técnico Financiero de la Subsecretaría de Tesorería, respectivamente.</w:t>
      </w:r>
    </w:p>
    <w:p w14:paraId="0505C7A9" w14:textId="77777777" w:rsidR="00042E99" w:rsidRPr="00042E99" w:rsidRDefault="00042E99"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49C960A2" w14:textId="1B1CA22D" w:rsidR="00042E99" w:rsidRPr="001C302E" w:rsidRDefault="000F6069" w:rsidP="00B60033">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1C302E">
        <w:rPr>
          <w:rFonts w:ascii="Palatino Linotype" w:hAnsi="Palatino Linotype" w:cs="Arial"/>
          <w:color w:val="000000" w:themeColor="text1"/>
        </w:rPr>
        <w:t xml:space="preserve">Así las cosas, conviene señalar que </w:t>
      </w:r>
      <w:r w:rsidR="001C302E" w:rsidRPr="001C302E">
        <w:rPr>
          <w:rFonts w:ascii="Palatino Linotype" w:hAnsi="Palatino Linotype" w:cs="Arial"/>
          <w:color w:val="000000" w:themeColor="text1"/>
        </w:rPr>
        <w:t>los</w:t>
      </w:r>
      <w:r w:rsidRPr="001C302E">
        <w:rPr>
          <w:rFonts w:ascii="Palatino Linotype" w:hAnsi="Palatino Linotype" w:cs="Arial"/>
          <w:color w:val="000000" w:themeColor="text1"/>
        </w:rPr>
        <w:t xml:space="preserve"> artículo</w:t>
      </w:r>
      <w:r w:rsidR="001C302E" w:rsidRPr="001C302E">
        <w:rPr>
          <w:rFonts w:ascii="Palatino Linotype" w:hAnsi="Palatino Linotype" w:cs="Arial"/>
          <w:color w:val="000000" w:themeColor="text1"/>
        </w:rPr>
        <w:t>s</w:t>
      </w:r>
      <w:r w:rsidRPr="001C302E">
        <w:rPr>
          <w:rFonts w:ascii="Palatino Linotype" w:hAnsi="Palatino Linotype" w:cs="Arial"/>
          <w:color w:val="000000" w:themeColor="text1"/>
        </w:rPr>
        <w:t xml:space="preserve"> </w:t>
      </w:r>
      <w:r w:rsidR="00AA558E">
        <w:rPr>
          <w:rFonts w:ascii="Palatino Linotype" w:hAnsi="Palatino Linotype" w:cs="Arial"/>
          <w:color w:val="000000" w:themeColor="text1"/>
        </w:rPr>
        <w:t>23</w:t>
      </w:r>
      <w:r w:rsidR="001C302E">
        <w:rPr>
          <w:rFonts w:ascii="Palatino Linotype" w:hAnsi="Palatino Linotype" w:cs="Arial"/>
          <w:color w:val="000000" w:themeColor="text1"/>
        </w:rPr>
        <w:t xml:space="preserve"> y 26 del Reglamento Interior de la Secretaría de Finanzas establecen lo siguiente:</w:t>
      </w:r>
    </w:p>
    <w:p w14:paraId="78FFA62A" w14:textId="77777777" w:rsidR="001C302E" w:rsidRDefault="001C302E" w:rsidP="001C302E">
      <w:pPr>
        <w:pStyle w:val="Prrafodelista"/>
        <w:tabs>
          <w:tab w:val="left" w:pos="426"/>
        </w:tabs>
        <w:spacing w:before="240" w:line="360" w:lineRule="auto"/>
        <w:ind w:left="0" w:right="51"/>
        <w:jc w:val="both"/>
        <w:rPr>
          <w:rFonts w:ascii="Palatino Linotype" w:hAnsi="Palatino Linotype"/>
          <w:color w:val="000000" w:themeColor="text1"/>
        </w:rPr>
      </w:pPr>
    </w:p>
    <w:p w14:paraId="34E8E21D" w14:textId="72753F7C"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i/>
          <w:color w:val="000000" w:themeColor="text1"/>
          <w:sz w:val="22"/>
          <w:szCs w:val="22"/>
        </w:rPr>
        <w:t>“</w:t>
      </w:r>
      <w:r w:rsidRPr="001C302E">
        <w:rPr>
          <w:rFonts w:ascii="Palatino Linotype" w:hAnsi="Palatino Linotype"/>
          <w:b/>
          <w:i/>
          <w:sz w:val="22"/>
          <w:szCs w:val="22"/>
        </w:rPr>
        <w:t>Artículo 23.- Corresponde al Subsecretario de Tesorería:</w:t>
      </w:r>
    </w:p>
    <w:p w14:paraId="17117495" w14:textId="3A062894" w:rsidR="001C302E" w:rsidRPr="001C302E" w:rsidRDefault="001C302E" w:rsidP="001C302E">
      <w:pPr>
        <w:pStyle w:val="Prrafodelista"/>
        <w:tabs>
          <w:tab w:val="left" w:pos="426"/>
        </w:tabs>
        <w:spacing w:line="276" w:lineRule="auto"/>
        <w:ind w:left="567" w:right="567"/>
        <w:jc w:val="both"/>
        <w:rPr>
          <w:rFonts w:ascii="Palatino Linotype" w:hAnsi="Palatino Linotype"/>
          <w:i/>
          <w:color w:val="000000" w:themeColor="text1"/>
          <w:sz w:val="22"/>
          <w:szCs w:val="22"/>
        </w:rPr>
      </w:pPr>
      <w:r w:rsidRPr="001C302E">
        <w:rPr>
          <w:rFonts w:ascii="Palatino Linotype" w:hAnsi="Palatino Linotype"/>
          <w:i/>
          <w:color w:val="000000" w:themeColor="text1"/>
          <w:sz w:val="22"/>
          <w:szCs w:val="22"/>
        </w:rPr>
        <w:t>(…)</w:t>
      </w:r>
    </w:p>
    <w:p w14:paraId="45CF49CD" w14:textId="77777777"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b/>
          <w:i/>
          <w:sz w:val="22"/>
          <w:szCs w:val="22"/>
        </w:rPr>
        <w:t>XXIV.</w:t>
      </w:r>
      <w:r w:rsidRPr="001C302E">
        <w:rPr>
          <w:rFonts w:ascii="Palatino Linotype" w:hAnsi="Palatino Linotype"/>
          <w:i/>
          <w:sz w:val="22"/>
          <w:szCs w:val="22"/>
        </w:rPr>
        <w:t xml:space="preserve"> </w:t>
      </w:r>
      <w:r w:rsidRPr="001C302E">
        <w:rPr>
          <w:rFonts w:ascii="Palatino Linotype" w:hAnsi="Palatino Linotype"/>
          <w:b/>
          <w:i/>
          <w:sz w:val="22"/>
          <w:szCs w:val="22"/>
        </w:rPr>
        <w:t>Emitir el dictamen de viabilidad o la autorización, según corresponda, para la constitución de los fideicomisos públicos</w:t>
      </w:r>
      <w:r w:rsidRPr="001C302E">
        <w:rPr>
          <w:rFonts w:ascii="Palatino Linotype" w:hAnsi="Palatino Linotype"/>
          <w:i/>
          <w:sz w:val="22"/>
          <w:szCs w:val="22"/>
        </w:rPr>
        <w:t xml:space="preserve"> en los que intervengan los Entes Públicos, de acuerdo con su naturaleza jurídica y según corresponda. </w:t>
      </w:r>
    </w:p>
    <w:p w14:paraId="440149EC" w14:textId="77777777"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b/>
          <w:i/>
          <w:sz w:val="22"/>
          <w:szCs w:val="22"/>
        </w:rPr>
        <w:t>XXV.</w:t>
      </w:r>
      <w:r w:rsidRPr="001C302E">
        <w:rPr>
          <w:rFonts w:ascii="Palatino Linotype" w:hAnsi="Palatino Linotype"/>
          <w:i/>
          <w:sz w:val="22"/>
          <w:szCs w:val="22"/>
        </w:rPr>
        <w:t xml:space="preserve"> Establecer el </w:t>
      </w:r>
      <w:r w:rsidRPr="001C302E">
        <w:rPr>
          <w:rFonts w:ascii="Palatino Linotype" w:hAnsi="Palatino Linotype"/>
          <w:b/>
          <w:i/>
          <w:sz w:val="22"/>
          <w:szCs w:val="22"/>
        </w:rPr>
        <w:t>Registro de Fideicomisos del Estado de México</w:t>
      </w:r>
      <w:r w:rsidRPr="001C302E">
        <w:rPr>
          <w:rFonts w:ascii="Palatino Linotype" w:hAnsi="Palatino Linotype"/>
          <w:i/>
          <w:sz w:val="22"/>
          <w:szCs w:val="22"/>
        </w:rPr>
        <w:t xml:space="preserve">. </w:t>
      </w:r>
    </w:p>
    <w:p w14:paraId="49D2AB8D" w14:textId="77777777" w:rsid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b/>
          <w:i/>
          <w:sz w:val="22"/>
          <w:szCs w:val="22"/>
        </w:rPr>
        <w:t>XXVI. Llevar el registro, control y seguimiento de los fideicomisos constituidos por los Entes Públicos</w:t>
      </w:r>
      <w:r w:rsidRPr="001C302E">
        <w:rPr>
          <w:rFonts w:ascii="Palatino Linotype" w:hAnsi="Palatino Linotype"/>
          <w:i/>
          <w:sz w:val="22"/>
          <w:szCs w:val="22"/>
        </w:rPr>
        <w:t xml:space="preserve">, de acuerdo con su naturaleza jurídica y según corresponda, en el Registro de Fideicomisos del Estado de México. </w:t>
      </w:r>
    </w:p>
    <w:p w14:paraId="194F84BE" w14:textId="320C1498"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b/>
          <w:i/>
          <w:sz w:val="22"/>
          <w:szCs w:val="22"/>
        </w:rPr>
        <w:t>XXVII.</w:t>
      </w:r>
      <w:r w:rsidRPr="001C302E">
        <w:rPr>
          <w:rFonts w:ascii="Palatino Linotype" w:hAnsi="Palatino Linotype"/>
          <w:i/>
          <w:sz w:val="22"/>
          <w:szCs w:val="22"/>
        </w:rPr>
        <w:t xml:space="preserve"> </w:t>
      </w:r>
      <w:r w:rsidRPr="001C302E">
        <w:rPr>
          <w:rFonts w:ascii="Palatino Linotype" w:hAnsi="Palatino Linotype"/>
          <w:b/>
          <w:i/>
          <w:sz w:val="22"/>
          <w:szCs w:val="22"/>
        </w:rPr>
        <w:t>Acordar</w:t>
      </w:r>
      <w:r w:rsidRPr="001C302E">
        <w:rPr>
          <w:rFonts w:ascii="Palatino Linotype" w:hAnsi="Palatino Linotype"/>
          <w:i/>
          <w:sz w:val="22"/>
          <w:szCs w:val="22"/>
        </w:rPr>
        <w:t xml:space="preserve"> con el Comité Técnico u Órgano de Gobierno del fideicomiso, </w:t>
      </w:r>
      <w:r w:rsidRPr="001C302E">
        <w:rPr>
          <w:rFonts w:ascii="Palatino Linotype" w:hAnsi="Palatino Linotype"/>
          <w:b/>
          <w:i/>
          <w:sz w:val="22"/>
          <w:szCs w:val="22"/>
        </w:rPr>
        <w:t>las modificaciones a los contratos de fideicomiso y su posible extinción</w:t>
      </w:r>
      <w:r w:rsidRPr="001C302E">
        <w:rPr>
          <w:rFonts w:ascii="Palatino Linotype" w:hAnsi="Palatino Linotype"/>
          <w:i/>
          <w:sz w:val="22"/>
          <w:szCs w:val="22"/>
        </w:rPr>
        <w:t>, cuando exista alguna causa que lo justifique; con excepción de los señalados en los artículos 265-A y 265 B Bis del Código Financiero del Estado de México y Municipios.</w:t>
      </w:r>
    </w:p>
    <w:p w14:paraId="5F83B438" w14:textId="331B9FD4"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i/>
          <w:sz w:val="22"/>
          <w:szCs w:val="22"/>
        </w:rPr>
        <w:t>(…)”</w:t>
      </w:r>
    </w:p>
    <w:p w14:paraId="7034420A" w14:textId="77777777"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p>
    <w:p w14:paraId="1FD67BC9" w14:textId="1D828CC0"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i/>
          <w:sz w:val="22"/>
          <w:szCs w:val="22"/>
        </w:rPr>
        <w:t>“</w:t>
      </w:r>
      <w:r w:rsidRPr="001C302E">
        <w:rPr>
          <w:rFonts w:ascii="Palatino Linotype" w:hAnsi="Palatino Linotype"/>
          <w:b/>
          <w:i/>
          <w:sz w:val="22"/>
          <w:szCs w:val="22"/>
        </w:rPr>
        <w:t>Artículo 26.- Corresponde a la Dirección General de Crédito:</w:t>
      </w:r>
    </w:p>
    <w:p w14:paraId="345E60C4" w14:textId="5437B34B"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i/>
          <w:sz w:val="22"/>
          <w:szCs w:val="22"/>
        </w:rPr>
        <w:t>(…)</w:t>
      </w:r>
    </w:p>
    <w:p w14:paraId="77E61E31" w14:textId="7E7673E8"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b/>
          <w:i/>
          <w:sz w:val="22"/>
          <w:szCs w:val="22"/>
        </w:rPr>
        <w:t>XV.</w:t>
      </w:r>
      <w:r w:rsidRPr="001C302E">
        <w:rPr>
          <w:rFonts w:ascii="Palatino Linotype" w:hAnsi="Palatino Linotype"/>
          <w:i/>
          <w:sz w:val="22"/>
          <w:szCs w:val="22"/>
        </w:rPr>
        <w:t xml:space="preserve"> </w:t>
      </w:r>
      <w:r w:rsidRPr="001C302E">
        <w:rPr>
          <w:rFonts w:ascii="Palatino Linotype" w:hAnsi="Palatino Linotype"/>
          <w:b/>
          <w:i/>
          <w:sz w:val="22"/>
          <w:szCs w:val="22"/>
        </w:rPr>
        <w:t>Analizar las propuestas de constitución de fideicomisos públicos</w:t>
      </w:r>
      <w:r w:rsidRPr="001C302E">
        <w:rPr>
          <w:rFonts w:ascii="Palatino Linotype" w:hAnsi="Palatino Linotype"/>
          <w:i/>
          <w:sz w:val="22"/>
          <w:szCs w:val="22"/>
        </w:rPr>
        <w:t xml:space="preserve"> en que intervenga un Ente Público, de acuerdo con su naturaleza jurídica y según corresponda, y someterlas a consideración del Subsecretario; así como emitir opinión de los fideicomisos municipales, cuando se lo soliciten.</w:t>
      </w:r>
    </w:p>
    <w:p w14:paraId="560019EA" w14:textId="77777777"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b/>
          <w:i/>
          <w:sz w:val="22"/>
          <w:szCs w:val="22"/>
        </w:rPr>
        <w:t>XVI.</w:t>
      </w:r>
      <w:r w:rsidRPr="001C302E">
        <w:rPr>
          <w:rFonts w:ascii="Palatino Linotype" w:hAnsi="Palatino Linotype"/>
          <w:i/>
          <w:sz w:val="22"/>
          <w:szCs w:val="22"/>
        </w:rPr>
        <w:t xml:space="preserve"> </w:t>
      </w:r>
      <w:r w:rsidRPr="001C302E">
        <w:rPr>
          <w:rFonts w:ascii="Palatino Linotype" w:hAnsi="Palatino Linotype"/>
          <w:b/>
          <w:i/>
          <w:sz w:val="22"/>
          <w:szCs w:val="22"/>
        </w:rPr>
        <w:t>Inscribir en el Registro de Fideicomisos del Estado de México a los fideicomisos públicos constituidos por un Ente Público</w:t>
      </w:r>
      <w:r w:rsidRPr="001C302E">
        <w:rPr>
          <w:rFonts w:ascii="Palatino Linotype" w:hAnsi="Palatino Linotype"/>
          <w:i/>
          <w:sz w:val="22"/>
          <w:szCs w:val="22"/>
        </w:rPr>
        <w:t xml:space="preserve">, de acuerdo con su naturaleza jurídica y según corresponda; así como establecer el procedimiento para su registro y seguimiento. </w:t>
      </w:r>
    </w:p>
    <w:p w14:paraId="57EE1899" w14:textId="77777777"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b/>
          <w:i/>
          <w:sz w:val="22"/>
          <w:szCs w:val="22"/>
        </w:rPr>
        <w:lastRenderedPageBreak/>
        <w:t>XVII.</w:t>
      </w:r>
      <w:r w:rsidRPr="001C302E">
        <w:rPr>
          <w:rFonts w:ascii="Palatino Linotype" w:hAnsi="Palatino Linotype"/>
          <w:i/>
          <w:sz w:val="22"/>
          <w:szCs w:val="22"/>
        </w:rPr>
        <w:t xml:space="preserve"> </w:t>
      </w:r>
      <w:r w:rsidRPr="001C302E">
        <w:rPr>
          <w:rFonts w:ascii="Palatino Linotype" w:hAnsi="Palatino Linotype"/>
          <w:b/>
          <w:i/>
          <w:sz w:val="22"/>
          <w:szCs w:val="22"/>
        </w:rPr>
        <w:t>Solicitar información financiera de los fideicomisos públicos constituidos por un Ente Público</w:t>
      </w:r>
      <w:r w:rsidRPr="001C302E">
        <w:rPr>
          <w:rFonts w:ascii="Palatino Linotype" w:hAnsi="Palatino Linotype"/>
          <w:i/>
          <w:sz w:val="22"/>
          <w:szCs w:val="22"/>
        </w:rPr>
        <w:t xml:space="preserve">, de acuerdo con su naturaleza jurídica y según corresponda, así como información de los recursos </w:t>
      </w:r>
      <w:proofErr w:type="spellStart"/>
      <w:r w:rsidRPr="001C302E">
        <w:rPr>
          <w:rFonts w:ascii="Palatino Linotype" w:hAnsi="Palatino Linotype"/>
          <w:i/>
          <w:sz w:val="22"/>
          <w:szCs w:val="22"/>
        </w:rPr>
        <w:t>fideicomitidos</w:t>
      </w:r>
      <w:proofErr w:type="spellEnd"/>
      <w:r w:rsidRPr="001C302E">
        <w:rPr>
          <w:rFonts w:ascii="Palatino Linotype" w:hAnsi="Palatino Linotype"/>
          <w:i/>
          <w:sz w:val="22"/>
          <w:szCs w:val="22"/>
        </w:rPr>
        <w:t xml:space="preserve">, cuando éstos se afecten como fuente de pago o garantía. </w:t>
      </w:r>
    </w:p>
    <w:p w14:paraId="21499082" w14:textId="6432887C" w:rsidR="001C302E" w:rsidRP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b/>
          <w:i/>
          <w:sz w:val="22"/>
          <w:szCs w:val="22"/>
        </w:rPr>
        <w:t>XVIII.</w:t>
      </w:r>
      <w:r w:rsidRPr="001C302E">
        <w:rPr>
          <w:rFonts w:ascii="Palatino Linotype" w:hAnsi="Palatino Linotype"/>
          <w:i/>
          <w:sz w:val="22"/>
          <w:szCs w:val="22"/>
        </w:rPr>
        <w:t xml:space="preserve"> </w:t>
      </w:r>
      <w:r w:rsidRPr="001C302E">
        <w:rPr>
          <w:rFonts w:ascii="Palatino Linotype" w:hAnsi="Palatino Linotype"/>
          <w:b/>
          <w:i/>
          <w:sz w:val="22"/>
          <w:szCs w:val="22"/>
        </w:rPr>
        <w:t>Proponer</w:t>
      </w:r>
      <w:r w:rsidRPr="001C302E">
        <w:rPr>
          <w:rFonts w:ascii="Palatino Linotype" w:hAnsi="Palatino Linotype"/>
          <w:i/>
          <w:sz w:val="22"/>
          <w:szCs w:val="22"/>
        </w:rPr>
        <w:t xml:space="preserve"> al Subsecretario, previo análisis, </w:t>
      </w:r>
      <w:r w:rsidRPr="001C302E">
        <w:rPr>
          <w:rFonts w:ascii="Palatino Linotype" w:hAnsi="Palatino Linotype"/>
          <w:b/>
          <w:i/>
          <w:sz w:val="22"/>
          <w:szCs w:val="22"/>
        </w:rPr>
        <w:t>las modificaciones a los contratos de fideicomiso y su posible extinción</w:t>
      </w:r>
      <w:r w:rsidRPr="001C302E">
        <w:rPr>
          <w:rFonts w:ascii="Palatino Linotype" w:hAnsi="Palatino Linotype"/>
          <w:i/>
          <w:sz w:val="22"/>
          <w:szCs w:val="22"/>
        </w:rPr>
        <w:t xml:space="preserve"> cuando exista alguna causa que lo justifique.</w:t>
      </w:r>
    </w:p>
    <w:p w14:paraId="01AAF443" w14:textId="64A9CB09" w:rsidR="001C302E" w:rsidRDefault="001C302E" w:rsidP="001C302E">
      <w:pPr>
        <w:pStyle w:val="Prrafodelista"/>
        <w:tabs>
          <w:tab w:val="left" w:pos="426"/>
        </w:tabs>
        <w:spacing w:line="276" w:lineRule="auto"/>
        <w:ind w:left="567" w:right="567"/>
        <w:jc w:val="both"/>
        <w:rPr>
          <w:rFonts w:ascii="Palatino Linotype" w:hAnsi="Palatino Linotype"/>
          <w:i/>
          <w:sz w:val="22"/>
          <w:szCs w:val="22"/>
        </w:rPr>
      </w:pPr>
      <w:r w:rsidRPr="001C302E">
        <w:rPr>
          <w:rFonts w:ascii="Palatino Linotype" w:hAnsi="Palatino Linotype"/>
          <w:i/>
          <w:sz w:val="22"/>
          <w:szCs w:val="22"/>
        </w:rPr>
        <w:t>(…)”</w:t>
      </w:r>
    </w:p>
    <w:p w14:paraId="147ED2EE" w14:textId="6180F154" w:rsidR="001C302E" w:rsidRPr="001C302E" w:rsidRDefault="001C302E" w:rsidP="001C302E">
      <w:pPr>
        <w:pStyle w:val="Prrafodelista"/>
        <w:tabs>
          <w:tab w:val="left" w:pos="426"/>
        </w:tabs>
        <w:spacing w:line="276" w:lineRule="auto"/>
        <w:ind w:left="567" w:right="567"/>
        <w:jc w:val="both"/>
        <w:rPr>
          <w:rFonts w:ascii="Palatino Linotype" w:hAnsi="Palatino Linotype"/>
          <w:color w:val="000000" w:themeColor="text1"/>
          <w:sz w:val="22"/>
          <w:szCs w:val="22"/>
        </w:rPr>
      </w:pPr>
      <w:r>
        <w:rPr>
          <w:rFonts w:ascii="Palatino Linotype" w:hAnsi="Palatino Linotype"/>
          <w:sz w:val="22"/>
          <w:szCs w:val="22"/>
        </w:rPr>
        <w:t>(Énfasis añadido)</w:t>
      </w:r>
    </w:p>
    <w:p w14:paraId="653740FC" w14:textId="77777777" w:rsidR="001C302E" w:rsidRPr="001C302E" w:rsidRDefault="001C302E" w:rsidP="001C302E">
      <w:pPr>
        <w:pStyle w:val="Prrafodelista"/>
        <w:tabs>
          <w:tab w:val="left" w:pos="426"/>
        </w:tabs>
        <w:spacing w:before="240" w:after="240" w:line="360" w:lineRule="auto"/>
        <w:ind w:left="0" w:right="51"/>
        <w:jc w:val="both"/>
        <w:rPr>
          <w:rFonts w:ascii="Palatino Linotype" w:hAnsi="Palatino Linotype"/>
          <w:color w:val="000000" w:themeColor="text1"/>
        </w:rPr>
      </w:pPr>
    </w:p>
    <w:p w14:paraId="000AA130" w14:textId="2FD1B3CA" w:rsidR="00042E99" w:rsidRPr="00042E99" w:rsidRDefault="001C302E"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De lo anterior se coligue que la Unidad de Transparencia turnó adecuadamente la solicitud </w:t>
      </w:r>
      <w:r>
        <w:rPr>
          <w:rFonts w:ascii="Palatino Linotype" w:hAnsi="Palatino Linotype" w:cs="Arial"/>
          <w:b/>
          <w:color w:val="000000" w:themeColor="text1"/>
        </w:rPr>
        <w:t>00571/SF/IP/2021</w:t>
      </w:r>
      <w:r>
        <w:rPr>
          <w:rFonts w:ascii="Palatino Linotype" w:hAnsi="Palatino Linotype" w:cs="Arial"/>
          <w:color w:val="000000" w:themeColor="text1"/>
        </w:rPr>
        <w:t>, al ser justamente la Subsecretaría de Tesorería, y la Dirección General de Crédito, las áreas administrativas competentes para poseer, generar y administrar toda la información relacionada con la constitución, registro y administración de los fideicomisos públicos en los que el Gobierno del Estado de México, o los entes públicos estatales, sean parte.</w:t>
      </w:r>
    </w:p>
    <w:p w14:paraId="4D8CF035" w14:textId="77777777" w:rsidR="00042E99" w:rsidRPr="00042E99" w:rsidRDefault="00042E99"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4DECA280" w14:textId="043B84B9" w:rsidR="00042E99" w:rsidRPr="00042E99" w:rsidRDefault="001C302E"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Continuando con el estudio de la controversia, conviene recordar que la </w:t>
      </w:r>
      <w:r>
        <w:rPr>
          <w:rFonts w:ascii="Palatino Linotype" w:hAnsi="Palatino Linotype" w:cs="Arial"/>
          <w:b/>
          <w:color w:val="000000" w:themeColor="text1"/>
        </w:rPr>
        <w:t>RECURRENTE</w:t>
      </w:r>
      <w:r>
        <w:rPr>
          <w:rFonts w:ascii="Palatino Linotype" w:hAnsi="Palatino Linotype" w:cs="Arial"/>
          <w:color w:val="000000" w:themeColor="text1"/>
        </w:rPr>
        <w:t xml:space="preserve"> señaló, como primer agravio, que la información no se le había remitido vía correo electrónico.</w:t>
      </w:r>
    </w:p>
    <w:p w14:paraId="32E7F46D" w14:textId="77777777" w:rsidR="00042E99" w:rsidRPr="00042E99" w:rsidRDefault="00042E99"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25EE5391" w14:textId="286415D9" w:rsidR="001C302E" w:rsidRDefault="001C302E" w:rsidP="001C302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En ese sentido, conviene referir que la Ley de Transparencia y Acceso a la Información Pública del Estado de México y Municipios reconoce, que para </w:t>
      </w:r>
      <w:r>
        <w:rPr>
          <w:rFonts w:ascii="Palatino Linotype" w:hAnsi="Palatino Linotype"/>
          <w:color w:val="000000" w:themeColor="text1"/>
        </w:rPr>
        <w:t>presentar una solicitud de información por escrito, no se podrán exigir mayores requisitos que los siguientes</w:t>
      </w:r>
      <w:r>
        <w:rPr>
          <w:rStyle w:val="Refdenotaalpie"/>
          <w:rFonts w:ascii="Palatino Linotype" w:hAnsi="Palatino Linotype"/>
          <w:color w:val="000000" w:themeColor="text1"/>
        </w:rPr>
        <w:footnoteReference w:id="13"/>
      </w:r>
      <w:r>
        <w:rPr>
          <w:rFonts w:ascii="Palatino Linotype" w:hAnsi="Palatino Linotype"/>
          <w:color w:val="000000" w:themeColor="text1"/>
        </w:rPr>
        <w:t>:</w:t>
      </w:r>
    </w:p>
    <w:p w14:paraId="4308A2B7" w14:textId="77777777" w:rsidR="001C302E" w:rsidRDefault="001C302E" w:rsidP="001C302E">
      <w:pPr>
        <w:pStyle w:val="Prrafodelista"/>
        <w:numPr>
          <w:ilvl w:val="1"/>
          <w:numId w:val="18"/>
        </w:numPr>
        <w:tabs>
          <w:tab w:val="left" w:pos="426"/>
        </w:tabs>
        <w:spacing w:before="240" w:after="240" w:line="360" w:lineRule="auto"/>
        <w:ind w:left="1134" w:right="51"/>
        <w:jc w:val="both"/>
        <w:rPr>
          <w:rFonts w:ascii="Palatino Linotype" w:hAnsi="Palatino Linotype"/>
          <w:color w:val="000000" w:themeColor="text1"/>
        </w:rPr>
      </w:pPr>
      <w:r>
        <w:rPr>
          <w:rFonts w:ascii="Palatino Linotype" w:hAnsi="Palatino Linotype"/>
          <w:color w:val="000000" w:themeColor="text1"/>
        </w:rPr>
        <w:lastRenderedPageBreak/>
        <w:t xml:space="preserve">Nombre </w:t>
      </w:r>
      <w:r w:rsidRPr="000F68FA">
        <w:rPr>
          <w:rFonts w:ascii="Palatino Linotype" w:hAnsi="Palatino Linotype"/>
          <w:color w:val="000000" w:themeColor="text1"/>
        </w:rPr>
        <w:t xml:space="preserve">del solicitante, o en su caso, los datos generales de su representante; </w:t>
      </w:r>
    </w:p>
    <w:p w14:paraId="3D57136F" w14:textId="77777777" w:rsidR="001C302E" w:rsidRDefault="001C302E" w:rsidP="001C302E">
      <w:pPr>
        <w:pStyle w:val="Prrafodelista"/>
        <w:numPr>
          <w:ilvl w:val="1"/>
          <w:numId w:val="18"/>
        </w:numPr>
        <w:tabs>
          <w:tab w:val="left" w:pos="426"/>
        </w:tabs>
        <w:spacing w:before="240" w:after="240" w:line="360" w:lineRule="auto"/>
        <w:ind w:left="1134" w:right="51"/>
        <w:jc w:val="both"/>
        <w:rPr>
          <w:rFonts w:ascii="Palatino Linotype" w:hAnsi="Palatino Linotype"/>
          <w:color w:val="000000" w:themeColor="text1"/>
        </w:rPr>
      </w:pPr>
      <w:r w:rsidRPr="000F68FA">
        <w:rPr>
          <w:rFonts w:ascii="Palatino Linotype" w:hAnsi="Palatino Linotype"/>
          <w:color w:val="000000" w:themeColor="text1"/>
        </w:rPr>
        <w:t xml:space="preserve">Domicilio o </w:t>
      </w:r>
      <w:r w:rsidRPr="000F68FA">
        <w:rPr>
          <w:rFonts w:ascii="Palatino Linotype" w:hAnsi="Palatino Linotype"/>
          <w:b/>
          <w:color w:val="000000" w:themeColor="text1"/>
        </w:rPr>
        <w:t>en su caso correo electrónico para recibir notificaciones</w:t>
      </w:r>
      <w:r w:rsidRPr="000F68FA">
        <w:rPr>
          <w:rFonts w:ascii="Palatino Linotype" w:hAnsi="Palatino Linotype"/>
          <w:color w:val="000000" w:themeColor="text1"/>
        </w:rPr>
        <w:t xml:space="preserve">; </w:t>
      </w:r>
    </w:p>
    <w:p w14:paraId="509151B4" w14:textId="77777777" w:rsidR="001C302E" w:rsidRDefault="001C302E" w:rsidP="001C302E">
      <w:pPr>
        <w:pStyle w:val="Prrafodelista"/>
        <w:numPr>
          <w:ilvl w:val="1"/>
          <w:numId w:val="18"/>
        </w:numPr>
        <w:tabs>
          <w:tab w:val="left" w:pos="426"/>
        </w:tabs>
        <w:spacing w:before="240" w:after="240" w:line="360" w:lineRule="auto"/>
        <w:ind w:left="1134" w:right="51"/>
        <w:jc w:val="both"/>
        <w:rPr>
          <w:rFonts w:ascii="Palatino Linotype" w:hAnsi="Palatino Linotype"/>
          <w:color w:val="000000" w:themeColor="text1"/>
        </w:rPr>
      </w:pPr>
      <w:r w:rsidRPr="000F68FA">
        <w:rPr>
          <w:rFonts w:ascii="Palatino Linotype" w:hAnsi="Palatino Linotype"/>
          <w:color w:val="000000" w:themeColor="text1"/>
        </w:rPr>
        <w:t xml:space="preserve">La descripción de la información solicitada; </w:t>
      </w:r>
    </w:p>
    <w:p w14:paraId="71F8520F" w14:textId="77777777" w:rsidR="001C302E" w:rsidRDefault="001C302E" w:rsidP="001C302E">
      <w:pPr>
        <w:pStyle w:val="Prrafodelista"/>
        <w:numPr>
          <w:ilvl w:val="1"/>
          <w:numId w:val="18"/>
        </w:numPr>
        <w:tabs>
          <w:tab w:val="left" w:pos="426"/>
        </w:tabs>
        <w:spacing w:before="240" w:after="240" w:line="360" w:lineRule="auto"/>
        <w:ind w:left="1134" w:right="51"/>
        <w:jc w:val="both"/>
        <w:rPr>
          <w:rFonts w:ascii="Palatino Linotype" w:hAnsi="Palatino Linotype"/>
          <w:color w:val="000000" w:themeColor="text1"/>
        </w:rPr>
      </w:pPr>
      <w:r w:rsidRPr="000F68FA">
        <w:rPr>
          <w:rFonts w:ascii="Palatino Linotype" w:hAnsi="Palatino Linotype"/>
          <w:color w:val="000000" w:themeColor="text1"/>
        </w:rPr>
        <w:t xml:space="preserve">Cualquier otro dato que facilite la búsqueda y eventual localización de la información; y </w:t>
      </w:r>
    </w:p>
    <w:p w14:paraId="5E710A53" w14:textId="77777777" w:rsidR="001C302E" w:rsidRDefault="001C302E" w:rsidP="001C302E">
      <w:pPr>
        <w:pStyle w:val="Prrafodelista"/>
        <w:numPr>
          <w:ilvl w:val="1"/>
          <w:numId w:val="18"/>
        </w:numPr>
        <w:tabs>
          <w:tab w:val="left" w:pos="426"/>
        </w:tabs>
        <w:spacing w:before="240" w:after="240" w:line="360" w:lineRule="auto"/>
        <w:ind w:left="1134" w:right="51"/>
        <w:jc w:val="both"/>
        <w:rPr>
          <w:rFonts w:ascii="Palatino Linotype" w:hAnsi="Palatino Linotype"/>
          <w:color w:val="000000" w:themeColor="text1"/>
        </w:rPr>
      </w:pPr>
      <w:r w:rsidRPr="000F68FA">
        <w:rPr>
          <w:rFonts w:ascii="Palatino Linotype" w:hAnsi="Palatino Linotype"/>
          <w:b/>
          <w:color w:val="000000" w:themeColor="text1"/>
        </w:rPr>
        <w:t>La modalidad en la que prefiere se otorgue el acceso a la información</w:t>
      </w:r>
      <w:r w:rsidRPr="000F68FA">
        <w:rPr>
          <w:rFonts w:ascii="Palatino Linotype" w:hAnsi="Palatino Linotype"/>
          <w:color w:val="000000" w:themeColor="text1"/>
        </w:rPr>
        <w:t>, la cual podrá ser verbal, siempre y cuando sea para fines de orientación, mediante consulta directa, mediante la expedición de copias simples o certificadas o la reproducción en cualquier otro medio, incluidos los electrónicos.</w:t>
      </w:r>
    </w:p>
    <w:p w14:paraId="31A5FC2D" w14:textId="77777777" w:rsidR="001C302E" w:rsidRDefault="001C302E" w:rsidP="001C302E">
      <w:pPr>
        <w:pStyle w:val="Prrafodelista"/>
        <w:tabs>
          <w:tab w:val="left" w:pos="426"/>
        </w:tabs>
        <w:spacing w:before="240" w:after="240" w:line="360" w:lineRule="auto"/>
        <w:ind w:left="0" w:right="51"/>
        <w:jc w:val="both"/>
        <w:rPr>
          <w:rFonts w:ascii="Palatino Linotype" w:hAnsi="Palatino Linotype"/>
          <w:color w:val="000000" w:themeColor="text1"/>
        </w:rPr>
      </w:pPr>
    </w:p>
    <w:p w14:paraId="47C82503" w14:textId="77777777" w:rsidR="001C302E" w:rsidRDefault="001C302E" w:rsidP="001C302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Una vez recibida la solicitud, la Unidad de Transparencia deberá</w:t>
      </w:r>
      <w:r w:rsidRPr="000F68FA">
        <w:rPr>
          <w:rFonts w:ascii="Palatino Linotype" w:hAnsi="Palatino Linotype"/>
          <w:color w:val="000000" w:themeColor="text1"/>
        </w:rPr>
        <w:t xml:space="preserve"> garantizar que </w:t>
      </w:r>
      <w:r>
        <w:rPr>
          <w:rFonts w:ascii="Palatino Linotype" w:hAnsi="Palatino Linotype"/>
          <w:color w:val="000000" w:themeColor="text1"/>
        </w:rPr>
        <w:t>ésta</w:t>
      </w:r>
      <w:r w:rsidRPr="000F68FA">
        <w:rPr>
          <w:rFonts w:ascii="Palatino Linotype" w:hAnsi="Palatino Linotype"/>
          <w:color w:val="000000" w:themeColor="text1"/>
        </w:rPr>
        <w:t xml:space="preserve"> se turne a todas las áreas competentes que cuenten con la información o deban tenerla de acuerdo a sus facultades, competencias y funciones, con el objeto de que realicen una búsqueda exhaustiva y razonable de la información solicitada</w:t>
      </w:r>
      <w:r>
        <w:rPr>
          <w:rStyle w:val="Refdenotaalpie"/>
          <w:rFonts w:ascii="Palatino Linotype" w:hAnsi="Palatino Linotype"/>
          <w:color w:val="000000" w:themeColor="text1"/>
        </w:rPr>
        <w:footnoteReference w:id="14"/>
      </w:r>
      <w:r w:rsidRPr="000F68FA">
        <w:rPr>
          <w:rFonts w:ascii="Palatino Linotype" w:hAnsi="Palatino Linotype"/>
          <w:color w:val="000000" w:themeColor="text1"/>
        </w:rPr>
        <w:t>.</w:t>
      </w:r>
    </w:p>
    <w:p w14:paraId="6440B5AF" w14:textId="77777777" w:rsidR="001C302E" w:rsidRDefault="001C302E" w:rsidP="001C302E">
      <w:pPr>
        <w:pStyle w:val="Prrafodelista"/>
        <w:tabs>
          <w:tab w:val="left" w:pos="426"/>
        </w:tabs>
        <w:spacing w:before="240" w:after="240" w:line="360" w:lineRule="auto"/>
        <w:ind w:left="0" w:right="51"/>
        <w:jc w:val="both"/>
        <w:rPr>
          <w:rFonts w:ascii="Palatino Linotype" w:hAnsi="Palatino Linotype"/>
          <w:color w:val="000000" w:themeColor="text1"/>
        </w:rPr>
      </w:pPr>
    </w:p>
    <w:p w14:paraId="2186F35C" w14:textId="77777777" w:rsidR="001C302E" w:rsidRDefault="001C302E" w:rsidP="001C302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De conformidad con lo establecido por el artículo 164 de la Ley de Transparencia y Acceso a la Información Pública del Estado de México y Municipios, </w:t>
      </w:r>
      <w:r w:rsidRPr="000F68FA">
        <w:rPr>
          <w:rFonts w:ascii="Palatino Linotype" w:hAnsi="Palatino Linotype"/>
          <w:b/>
          <w:color w:val="000000" w:themeColor="text1"/>
        </w:rPr>
        <w:t xml:space="preserve">el acceso a la información deberá darse en la modalidad de entrega y, en su caso, de envío elegidos </w:t>
      </w:r>
      <w:r>
        <w:rPr>
          <w:rFonts w:ascii="Palatino Linotype" w:hAnsi="Palatino Linotype"/>
          <w:b/>
          <w:color w:val="000000" w:themeColor="text1"/>
        </w:rPr>
        <w:t xml:space="preserve">inicialmente </w:t>
      </w:r>
      <w:r w:rsidRPr="000F68FA">
        <w:rPr>
          <w:rFonts w:ascii="Palatino Linotype" w:hAnsi="Palatino Linotype"/>
          <w:b/>
          <w:color w:val="000000" w:themeColor="text1"/>
        </w:rPr>
        <w:t>por el solicitante</w:t>
      </w:r>
      <w:r w:rsidRPr="000F68FA">
        <w:rPr>
          <w:rFonts w:ascii="Palatino Linotype" w:hAnsi="Palatino Linotype"/>
          <w:color w:val="000000" w:themeColor="text1"/>
        </w:rPr>
        <w:t xml:space="preserve">. </w:t>
      </w:r>
      <w:r>
        <w:rPr>
          <w:rFonts w:ascii="Palatino Linotype" w:hAnsi="Palatino Linotype"/>
          <w:color w:val="000000" w:themeColor="text1"/>
        </w:rPr>
        <w:t>Solamente cuando</w:t>
      </w:r>
      <w:r w:rsidRPr="000F68FA">
        <w:rPr>
          <w:rFonts w:ascii="Palatino Linotype" w:hAnsi="Palatino Linotype"/>
          <w:color w:val="000000" w:themeColor="text1"/>
        </w:rPr>
        <w:t xml:space="preserve"> la información no pueda entregarse o enviarse en la modalidad solicitada, el </w:t>
      </w:r>
      <w:r w:rsidRPr="000F68FA">
        <w:rPr>
          <w:rFonts w:ascii="Palatino Linotype" w:hAnsi="Palatino Linotype"/>
          <w:b/>
          <w:color w:val="000000" w:themeColor="text1"/>
        </w:rPr>
        <w:t>SUJETO OBLIGADO</w:t>
      </w:r>
      <w:r w:rsidRPr="000F68FA">
        <w:rPr>
          <w:rFonts w:ascii="Palatino Linotype" w:hAnsi="Palatino Linotype"/>
          <w:color w:val="000000" w:themeColor="text1"/>
        </w:rPr>
        <w:t xml:space="preserve"> </w:t>
      </w:r>
      <w:r>
        <w:rPr>
          <w:rFonts w:ascii="Palatino Linotype" w:hAnsi="Palatino Linotype"/>
          <w:color w:val="000000" w:themeColor="text1"/>
        </w:rPr>
        <w:t>podrá</w:t>
      </w:r>
      <w:r w:rsidRPr="000F68FA">
        <w:rPr>
          <w:rFonts w:ascii="Palatino Linotype" w:hAnsi="Palatino Linotype"/>
          <w:color w:val="000000" w:themeColor="text1"/>
        </w:rPr>
        <w:t xml:space="preserve"> ofrecer otra</w:t>
      </w:r>
      <w:r>
        <w:rPr>
          <w:rFonts w:ascii="Palatino Linotype" w:hAnsi="Palatino Linotype"/>
          <w:color w:val="000000" w:themeColor="text1"/>
        </w:rPr>
        <w:t xml:space="preserve"> u otras modalidades de entrega; empero, </w:t>
      </w:r>
      <w:r w:rsidRPr="000F68FA">
        <w:rPr>
          <w:rFonts w:ascii="Palatino Linotype" w:hAnsi="Palatino Linotype"/>
          <w:color w:val="000000" w:themeColor="text1"/>
        </w:rPr>
        <w:t>deberá fundar y motivar la necesidad de ofrecer otras modalidades.</w:t>
      </w:r>
    </w:p>
    <w:p w14:paraId="0798C4E8" w14:textId="77777777" w:rsidR="00042E99" w:rsidRPr="00042E99" w:rsidRDefault="00042E99"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7C19F2FC" w14:textId="4C4329C3" w:rsidR="00042E99" w:rsidRPr="00042E99" w:rsidRDefault="00B60033"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En el presente asunto, del análisis realizado al contenido de la solicitud de información </w:t>
      </w:r>
      <w:r>
        <w:rPr>
          <w:rFonts w:ascii="Palatino Linotype" w:hAnsi="Palatino Linotype" w:cs="Arial"/>
          <w:b/>
          <w:color w:val="000000" w:themeColor="text1"/>
        </w:rPr>
        <w:t>00571/SF/IP/2021</w:t>
      </w:r>
      <w:r>
        <w:rPr>
          <w:rFonts w:ascii="Palatino Linotype" w:hAnsi="Palatino Linotype" w:cs="Arial"/>
          <w:color w:val="000000" w:themeColor="text1"/>
        </w:rPr>
        <w:t xml:space="preserve">, se advierte que la particular, dentro del apartado establecido para señalar la modalidad de entrega para recibir la información, señaló </w:t>
      </w:r>
      <w:r>
        <w:rPr>
          <w:rFonts w:ascii="Palatino Linotype" w:hAnsi="Palatino Linotype" w:cs="Arial"/>
          <w:b/>
          <w:i/>
          <w:color w:val="000000" w:themeColor="text1"/>
        </w:rPr>
        <w:t>correo electrónico</w:t>
      </w:r>
      <w:r>
        <w:rPr>
          <w:rFonts w:ascii="Palatino Linotype" w:hAnsi="Palatino Linotype" w:cs="Arial"/>
          <w:color w:val="000000" w:themeColor="text1"/>
        </w:rPr>
        <w:t xml:space="preserve"> y </w:t>
      </w:r>
      <w:r>
        <w:rPr>
          <w:rFonts w:ascii="Palatino Linotype" w:hAnsi="Palatino Linotype" w:cs="Arial"/>
          <w:b/>
          <w:i/>
          <w:color w:val="000000" w:themeColor="text1"/>
        </w:rPr>
        <w:t>electrónico a través del sistema de solicitudes de acceso a la información</w:t>
      </w:r>
      <w:r>
        <w:rPr>
          <w:rFonts w:ascii="Palatino Linotype" w:hAnsi="Palatino Linotype" w:cs="Arial"/>
          <w:color w:val="000000" w:themeColor="text1"/>
        </w:rPr>
        <w:t>, tal como se demuestra a través del siguiente fragmento:</w:t>
      </w:r>
    </w:p>
    <w:p w14:paraId="0AC69A74" w14:textId="77777777" w:rsidR="00042E99" w:rsidRDefault="00042E99"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487CD8F5" w14:textId="50F945CA" w:rsidR="00B60033" w:rsidRPr="00042E99" w:rsidRDefault="00B60033" w:rsidP="00B60033">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13650" w:dyaOrig="1425" w14:anchorId="4C0D0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5pt;height:40.5pt" o:ole="" o:bordertopcolor="this" o:borderleftcolor="this" o:borderbottomcolor="this" o:borderrightcolor="this">
            <v:imagedata r:id="rId8" o:title=""/>
            <w10:bordertop type="single" width="8"/>
            <w10:borderleft type="single" width="8"/>
            <w10:borderbottom type="single" width="8"/>
            <w10:borderright type="single" width="8"/>
          </v:shape>
          <o:OLEObject Type="Embed" ProgID="PBrush" ShapeID="_x0000_i1025" DrawAspect="Content" ObjectID="_1719050031" r:id="rId9"/>
        </w:object>
      </w:r>
    </w:p>
    <w:p w14:paraId="05F7383E" w14:textId="77777777" w:rsidR="00B60033" w:rsidRPr="00B60033" w:rsidRDefault="00B60033" w:rsidP="00B60033">
      <w:pPr>
        <w:pStyle w:val="Prrafodelista"/>
        <w:tabs>
          <w:tab w:val="left" w:pos="426"/>
        </w:tabs>
        <w:spacing w:before="240" w:after="240" w:line="360" w:lineRule="auto"/>
        <w:ind w:left="0" w:right="51"/>
        <w:jc w:val="both"/>
        <w:rPr>
          <w:rFonts w:ascii="Palatino Linotype" w:hAnsi="Palatino Linotype"/>
          <w:color w:val="000000" w:themeColor="text1"/>
        </w:rPr>
      </w:pPr>
    </w:p>
    <w:p w14:paraId="22808709" w14:textId="0526D926" w:rsidR="00042E99" w:rsidRPr="00042E99" w:rsidRDefault="00B60033"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Luego entonces, como fuera reconocido previamente en el apartado de </w:t>
      </w:r>
      <w:r>
        <w:rPr>
          <w:rFonts w:ascii="Palatino Linotype" w:hAnsi="Palatino Linotype" w:cs="Arial"/>
          <w:i/>
          <w:color w:val="000000" w:themeColor="text1"/>
        </w:rPr>
        <w:t>Antecedentes</w:t>
      </w:r>
      <w:r>
        <w:rPr>
          <w:rFonts w:ascii="Palatino Linotype" w:hAnsi="Palatino Linotype" w:cs="Arial"/>
          <w:color w:val="000000" w:themeColor="text1"/>
        </w:rPr>
        <w:t xml:space="preserve"> de la presente resolución, se advierte que, efectivamente, la </w:t>
      </w:r>
      <w:r>
        <w:rPr>
          <w:rFonts w:ascii="Palatino Linotype" w:hAnsi="Palatino Linotype" w:cs="Arial"/>
          <w:b/>
          <w:color w:val="000000" w:themeColor="text1"/>
        </w:rPr>
        <w:t>RECURRENTE</w:t>
      </w:r>
      <w:r>
        <w:rPr>
          <w:rFonts w:ascii="Palatino Linotype" w:hAnsi="Palatino Linotype" w:cs="Arial"/>
          <w:color w:val="000000" w:themeColor="text1"/>
        </w:rPr>
        <w:t xml:space="preserve"> señaló dos modalidades para recibir la información solicitada: A través del SAIMEX y </w:t>
      </w:r>
      <w:r>
        <w:rPr>
          <w:rFonts w:ascii="Palatino Linotype" w:hAnsi="Palatino Linotype" w:cs="Arial"/>
          <w:b/>
          <w:color w:val="000000" w:themeColor="text1"/>
          <w:u w:val="single"/>
        </w:rPr>
        <w:t>correo electrónico</w:t>
      </w:r>
      <w:r>
        <w:rPr>
          <w:rFonts w:ascii="Palatino Linotype" w:hAnsi="Palatino Linotype" w:cs="Arial"/>
          <w:color w:val="000000" w:themeColor="text1"/>
        </w:rPr>
        <w:t>.</w:t>
      </w:r>
    </w:p>
    <w:p w14:paraId="00200107" w14:textId="77777777" w:rsidR="00042E99" w:rsidRPr="00042E99" w:rsidRDefault="00042E99"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0FCA5965" w14:textId="49EE6F93" w:rsidR="00042E99" w:rsidRPr="00042E99" w:rsidRDefault="009A6926"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Así las cosas, y toda vez que la </w:t>
      </w:r>
      <w:r>
        <w:rPr>
          <w:rFonts w:ascii="Palatino Linotype" w:hAnsi="Palatino Linotype" w:cs="Arial"/>
          <w:b/>
          <w:color w:val="000000" w:themeColor="text1"/>
        </w:rPr>
        <w:t>RECURRENTE</w:t>
      </w:r>
      <w:r>
        <w:rPr>
          <w:rFonts w:ascii="Palatino Linotype" w:hAnsi="Palatino Linotype" w:cs="Arial"/>
          <w:color w:val="000000" w:themeColor="text1"/>
        </w:rPr>
        <w:t xml:space="preserve"> no formuló su agravio con base en alguna característica de la información entregada en respuesta, sino en una omisión del </w:t>
      </w:r>
      <w:r>
        <w:rPr>
          <w:rFonts w:ascii="Palatino Linotype" w:hAnsi="Palatino Linotype" w:cs="Arial"/>
          <w:b/>
          <w:color w:val="000000" w:themeColor="text1"/>
        </w:rPr>
        <w:t>SUJETO OBLIGADO</w:t>
      </w:r>
      <w:r>
        <w:rPr>
          <w:rFonts w:ascii="Palatino Linotype" w:hAnsi="Palatino Linotype" w:cs="Arial"/>
          <w:color w:val="000000" w:themeColor="text1"/>
        </w:rPr>
        <w:t xml:space="preserve"> respecto a la modalidad de entrega de la información, conviene remitirnos al Informe Justificado presentado dentro del archivo titulado </w:t>
      </w:r>
      <w:r>
        <w:rPr>
          <w:rFonts w:ascii="Palatino Linotype" w:hAnsi="Palatino Linotype" w:cs="Arial"/>
          <w:b/>
          <w:i/>
          <w:color w:val="000000" w:themeColor="text1"/>
        </w:rPr>
        <w:t>“RR 838-2022 Informe Justificado.pdf”</w:t>
      </w:r>
      <w:r>
        <w:rPr>
          <w:rFonts w:ascii="Palatino Linotype" w:hAnsi="Palatino Linotype" w:cs="Arial"/>
          <w:color w:val="000000" w:themeColor="text1"/>
        </w:rPr>
        <w:t>, mediante el cual, el Titular de la Unidad de Transparencia de la Secretaría de Finanzas manifestó lo siguiente:</w:t>
      </w:r>
    </w:p>
    <w:p w14:paraId="66D41573" w14:textId="77777777" w:rsidR="00042E99" w:rsidRDefault="00042E99"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5B3B355D" w14:textId="1E52A266" w:rsidR="009A6926" w:rsidRDefault="009A6926" w:rsidP="009A6926">
      <w:pPr>
        <w:pStyle w:val="Prrafodelista"/>
        <w:tabs>
          <w:tab w:val="left" w:pos="426"/>
        </w:tabs>
        <w:spacing w:before="240" w:after="240" w:line="276" w:lineRule="auto"/>
        <w:ind w:left="567" w:right="567"/>
        <w:jc w:val="both"/>
        <w:rPr>
          <w:rFonts w:ascii="Palatino Linotype" w:hAnsi="Palatino Linotype"/>
          <w:i/>
          <w:color w:val="000000" w:themeColor="text1"/>
          <w:sz w:val="22"/>
        </w:rPr>
      </w:pPr>
      <w:r>
        <w:rPr>
          <w:rFonts w:ascii="Palatino Linotype" w:hAnsi="Palatino Linotype"/>
          <w:i/>
          <w:color w:val="000000" w:themeColor="text1"/>
          <w:sz w:val="22"/>
        </w:rPr>
        <w:t>“Al respecto, privilegiando el principio de máxima publicidad de la información establecido en el artículo 4 de la Ley de Transparencia y Acceso a la Información Pública del Estado de México y Municipios, que a la letra dice:</w:t>
      </w:r>
    </w:p>
    <w:p w14:paraId="632CE79D" w14:textId="77777777" w:rsidR="009A6926" w:rsidRDefault="009A6926" w:rsidP="009A6926">
      <w:pPr>
        <w:pStyle w:val="Prrafodelista"/>
        <w:tabs>
          <w:tab w:val="left" w:pos="426"/>
        </w:tabs>
        <w:spacing w:before="240" w:after="240" w:line="276" w:lineRule="auto"/>
        <w:ind w:left="567" w:right="567"/>
        <w:jc w:val="both"/>
        <w:rPr>
          <w:rFonts w:ascii="Palatino Linotype" w:hAnsi="Palatino Linotype"/>
          <w:i/>
          <w:color w:val="000000" w:themeColor="text1"/>
          <w:sz w:val="22"/>
        </w:rPr>
      </w:pPr>
    </w:p>
    <w:p w14:paraId="4C46612E" w14:textId="137C6F10" w:rsidR="00D564E0" w:rsidRPr="00D564E0" w:rsidRDefault="00D564E0" w:rsidP="009A6926">
      <w:pPr>
        <w:pStyle w:val="Prrafodelista"/>
        <w:tabs>
          <w:tab w:val="left" w:pos="426"/>
        </w:tabs>
        <w:spacing w:before="240" w:after="240" w:line="276" w:lineRule="auto"/>
        <w:ind w:left="567" w:right="567"/>
        <w:jc w:val="both"/>
        <w:rPr>
          <w:rFonts w:ascii="Palatino Linotype" w:hAnsi="Palatino Linotype"/>
          <w:color w:val="000000" w:themeColor="text1"/>
          <w:sz w:val="22"/>
        </w:rPr>
      </w:pPr>
      <w:r>
        <w:rPr>
          <w:rFonts w:ascii="Palatino Linotype" w:hAnsi="Palatino Linotype"/>
          <w:color w:val="000000" w:themeColor="text1"/>
          <w:sz w:val="22"/>
        </w:rPr>
        <w:lastRenderedPageBreak/>
        <w:t>[Téngase por reproducido el artículo 4, párrafos primero y segundo, de la Ley de Transparencia y Acceso a la Información Pública del Estado de México y Municipios]</w:t>
      </w:r>
    </w:p>
    <w:p w14:paraId="4CBE5397" w14:textId="77777777" w:rsidR="009A6926" w:rsidRDefault="009A6926" w:rsidP="009A6926">
      <w:pPr>
        <w:pStyle w:val="Prrafodelista"/>
        <w:tabs>
          <w:tab w:val="left" w:pos="426"/>
        </w:tabs>
        <w:spacing w:before="240" w:after="240" w:line="276" w:lineRule="auto"/>
        <w:ind w:left="567" w:right="567"/>
        <w:jc w:val="both"/>
        <w:rPr>
          <w:rFonts w:ascii="Palatino Linotype" w:hAnsi="Palatino Linotype"/>
          <w:i/>
          <w:color w:val="000000" w:themeColor="text1"/>
          <w:sz w:val="22"/>
        </w:rPr>
      </w:pPr>
    </w:p>
    <w:p w14:paraId="3C99B4BA" w14:textId="6F2F0163" w:rsidR="009A6926" w:rsidRDefault="009A6926" w:rsidP="009A6926">
      <w:pPr>
        <w:pStyle w:val="Prrafodelista"/>
        <w:tabs>
          <w:tab w:val="left" w:pos="426"/>
        </w:tabs>
        <w:spacing w:before="240" w:after="240" w:line="276" w:lineRule="auto"/>
        <w:ind w:left="567" w:right="567"/>
        <w:jc w:val="both"/>
        <w:rPr>
          <w:rFonts w:ascii="Palatino Linotype" w:hAnsi="Palatino Linotype"/>
          <w:i/>
          <w:color w:val="000000" w:themeColor="text1"/>
          <w:sz w:val="22"/>
        </w:rPr>
      </w:pPr>
      <w:r>
        <w:rPr>
          <w:rFonts w:ascii="Palatino Linotype" w:hAnsi="Palatino Linotype"/>
          <w:i/>
          <w:color w:val="000000" w:themeColor="text1"/>
          <w:sz w:val="22"/>
        </w:rPr>
        <w:t>Transcripción de la que se advierte que el principal objetivo del derecho de acceso a la información, radica en la provisión de los medios necesarios para garantizar el derecho de toda persona, de acceder a la información gubernamental considerada como pública y que en el carácter público de la información en posesión de los sujetos obligados, impera el principio de máxima publicidad para transparentar la gestión pública, mediante la difusión de la información, con la finalidad de que la sociedad pueda emitir juicios de valor críticos e información sobre la función pública y de los servidores públicos con esta responsabilidad.</w:t>
      </w:r>
    </w:p>
    <w:p w14:paraId="35C8B0AF" w14:textId="77777777" w:rsidR="009A6926" w:rsidRDefault="009A6926" w:rsidP="009A6926">
      <w:pPr>
        <w:pStyle w:val="Prrafodelista"/>
        <w:tabs>
          <w:tab w:val="left" w:pos="426"/>
        </w:tabs>
        <w:spacing w:before="240" w:after="240" w:line="276" w:lineRule="auto"/>
        <w:ind w:left="567" w:right="567"/>
        <w:jc w:val="both"/>
        <w:rPr>
          <w:rFonts w:ascii="Palatino Linotype" w:hAnsi="Palatino Linotype"/>
          <w:i/>
          <w:color w:val="000000" w:themeColor="text1"/>
          <w:sz w:val="22"/>
        </w:rPr>
      </w:pPr>
    </w:p>
    <w:p w14:paraId="79552EAB" w14:textId="602DD4F0" w:rsidR="009A6926" w:rsidRDefault="009A6926" w:rsidP="009A6926">
      <w:pPr>
        <w:pStyle w:val="Prrafodelista"/>
        <w:tabs>
          <w:tab w:val="left" w:pos="426"/>
        </w:tabs>
        <w:spacing w:before="240" w:after="240" w:line="276" w:lineRule="auto"/>
        <w:ind w:left="567" w:right="567"/>
        <w:jc w:val="both"/>
        <w:rPr>
          <w:rFonts w:ascii="Palatino Linotype" w:hAnsi="Palatino Linotype"/>
          <w:i/>
          <w:color w:val="000000" w:themeColor="text1"/>
          <w:sz w:val="22"/>
        </w:rPr>
      </w:pPr>
      <w:r>
        <w:rPr>
          <w:rFonts w:ascii="Palatino Linotype" w:hAnsi="Palatino Linotype"/>
          <w:i/>
          <w:color w:val="000000" w:themeColor="text1"/>
          <w:sz w:val="22"/>
        </w:rPr>
        <w:t>Aunado a lo anterior se debe hacer mención que personal adscrito a la Dirección de Información de la Unidad de Transparencia de la Secretaría de Finanzas accedió al expediente electrónico de la solicitud de información pública número 00571/SF/IP/2021, integrado en el Sistema de Acceso a la Información Mexiquense (SAIMEX), específicamente al rubro denominado “Respuesta a Solicitud o Entrega de Información”, accediendo a la notificación de treinta y uno de enero de dos mil veintidós, de la que se advierten los siguientes archivos adjuntos “571 Subsecretaría de Tesorería.pdf, Actas de Inscripción.pdf, F</w:t>
      </w:r>
      <w:r w:rsidR="00D564E0">
        <w:rPr>
          <w:rFonts w:ascii="Palatino Linotype" w:hAnsi="Palatino Linotype"/>
          <w:i/>
          <w:color w:val="000000" w:themeColor="text1"/>
          <w:sz w:val="22"/>
        </w:rPr>
        <w:t>ideicomiso F105_redacted.pdf, Actas de Inscripción.pdf, Fideicomiso FAI.pdf, 571 DG Crédito.pdf, 571 DG RIF y RF.pdf, 571 DG Personal.pdf, Fideicomiso ISERTP_redacted.pdf, FROA.pdf, FOAVI SMSEM.pdf, FOAVI SUTEYM.pdf, FOREMEX.pdf y UIPPE 571.pdf, los cuales fueron descargados sin ninguna dificultad.</w:t>
      </w:r>
    </w:p>
    <w:p w14:paraId="5DAA0FD2" w14:textId="77777777" w:rsidR="00D564E0" w:rsidRDefault="00D564E0" w:rsidP="009A6926">
      <w:pPr>
        <w:pStyle w:val="Prrafodelista"/>
        <w:tabs>
          <w:tab w:val="left" w:pos="426"/>
        </w:tabs>
        <w:spacing w:before="240" w:after="240" w:line="276" w:lineRule="auto"/>
        <w:ind w:left="567" w:right="567"/>
        <w:jc w:val="both"/>
        <w:rPr>
          <w:rFonts w:ascii="Palatino Linotype" w:hAnsi="Palatino Linotype"/>
          <w:i/>
          <w:color w:val="000000" w:themeColor="text1"/>
          <w:sz w:val="22"/>
        </w:rPr>
      </w:pPr>
    </w:p>
    <w:p w14:paraId="594ED95F" w14:textId="36B4FBC0" w:rsidR="00D564E0" w:rsidRDefault="00D564E0" w:rsidP="009A6926">
      <w:pPr>
        <w:pStyle w:val="Prrafodelista"/>
        <w:tabs>
          <w:tab w:val="left" w:pos="426"/>
        </w:tabs>
        <w:spacing w:before="240" w:after="240" w:line="276" w:lineRule="auto"/>
        <w:ind w:left="567" w:right="567"/>
        <w:jc w:val="both"/>
        <w:rPr>
          <w:rFonts w:ascii="Palatino Linotype" w:hAnsi="Palatino Linotype"/>
          <w:i/>
          <w:color w:val="000000" w:themeColor="text1"/>
          <w:sz w:val="22"/>
        </w:rPr>
      </w:pPr>
      <w:r>
        <w:rPr>
          <w:rFonts w:ascii="Palatino Linotype" w:hAnsi="Palatino Linotype"/>
          <w:i/>
          <w:color w:val="000000" w:themeColor="text1"/>
          <w:sz w:val="22"/>
        </w:rPr>
        <w:t xml:space="preserve">No obstante lo anterior, privilegiando el principio de máxima publicidad de la información establecido en el artículo 4 de la Ley de Transparencia y Acceso a la Información Pública del Estado de México y Municipios, se adjuntan al presente informe justificado los documentos en mención, proporcionados por los servidores públicos habilitados de las Direcciones Generales de Personal y de Crédito y que guardan relación con los solicitado por la recurrente en la solicitud de información número </w:t>
      </w:r>
      <w:r>
        <w:rPr>
          <w:rFonts w:ascii="Palatino Linotype" w:hAnsi="Palatino Linotype"/>
          <w:b/>
          <w:i/>
          <w:color w:val="000000" w:themeColor="text1"/>
          <w:sz w:val="22"/>
        </w:rPr>
        <w:t>00571/SF/IP/2022</w:t>
      </w:r>
      <w:r>
        <w:rPr>
          <w:rFonts w:ascii="Palatino Linotype" w:hAnsi="Palatino Linotype"/>
          <w:i/>
          <w:color w:val="000000" w:themeColor="text1"/>
          <w:sz w:val="22"/>
        </w:rPr>
        <w:t>.</w:t>
      </w:r>
    </w:p>
    <w:p w14:paraId="582ABBDB" w14:textId="77777777" w:rsidR="00D564E0" w:rsidRDefault="00D564E0" w:rsidP="009A6926">
      <w:pPr>
        <w:pStyle w:val="Prrafodelista"/>
        <w:tabs>
          <w:tab w:val="left" w:pos="426"/>
        </w:tabs>
        <w:spacing w:before="240" w:after="240" w:line="276" w:lineRule="auto"/>
        <w:ind w:left="567" w:right="567"/>
        <w:jc w:val="both"/>
        <w:rPr>
          <w:rFonts w:ascii="Palatino Linotype" w:hAnsi="Palatino Linotype"/>
          <w:i/>
          <w:color w:val="000000" w:themeColor="text1"/>
          <w:sz w:val="22"/>
        </w:rPr>
      </w:pPr>
    </w:p>
    <w:p w14:paraId="7A75A8DB" w14:textId="481E44E8" w:rsidR="00D564E0" w:rsidRPr="00D564E0" w:rsidRDefault="00D564E0" w:rsidP="009A6926">
      <w:pPr>
        <w:pStyle w:val="Prrafodelista"/>
        <w:tabs>
          <w:tab w:val="left" w:pos="426"/>
        </w:tabs>
        <w:spacing w:before="240" w:after="240" w:line="276" w:lineRule="auto"/>
        <w:ind w:left="567" w:right="567"/>
        <w:jc w:val="both"/>
        <w:rPr>
          <w:rFonts w:ascii="Palatino Linotype" w:hAnsi="Palatino Linotype"/>
          <w:color w:val="000000" w:themeColor="text1"/>
          <w:sz w:val="22"/>
        </w:rPr>
      </w:pPr>
      <w:r>
        <w:rPr>
          <w:rFonts w:ascii="Palatino Linotype" w:hAnsi="Palatino Linotype"/>
          <w:i/>
          <w:color w:val="000000" w:themeColor="text1"/>
          <w:sz w:val="22"/>
        </w:rPr>
        <w:t xml:space="preserve">Por lo anteriormente expuesto y fundado se ratifican en todas y cada una de sus partes las respuestas otorgadas mediante los oficios números 2070600400100S-011-2022 y </w:t>
      </w:r>
      <w:r>
        <w:rPr>
          <w:rFonts w:ascii="Palatino Linotype" w:hAnsi="Palatino Linotype"/>
          <w:i/>
          <w:color w:val="000000" w:themeColor="text1"/>
          <w:sz w:val="22"/>
        </w:rPr>
        <w:lastRenderedPageBreak/>
        <w:t xml:space="preserve">2070500201100L-010/2022, de fechas veinte y veintiocho de enero de dos mil veintidós, signados por los servidores públicos habilitados de las Direcciones Generales de Personal y de Crédito, correspondientes a la solicitud de información número </w:t>
      </w:r>
      <w:r>
        <w:rPr>
          <w:rFonts w:ascii="Palatino Linotype" w:hAnsi="Palatino Linotype"/>
          <w:b/>
          <w:i/>
          <w:color w:val="000000" w:themeColor="text1"/>
          <w:sz w:val="22"/>
        </w:rPr>
        <w:t>00571/SF/IP/2022</w:t>
      </w:r>
      <w:r>
        <w:rPr>
          <w:rFonts w:ascii="Palatino Linotype" w:hAnsi="Palatino Linotype"/>
          <w:i/>
          <w:color w:val="000000" w:themeColor="text1"/>
          <w:sz w:val="22"/>
        </w:rPr>
        <w:t>.”</w:t>
      </w:r>
      <w:r>
        <w:rPr>
          <w:rFonts w:ascii="Palatino Linotype" w:hAnsi="Palatino Linotype"/>
          <w:color w:val="000000" w:themeColor="text1"/>
          <w:sz w:val="22"/>
        </w:rPr>
        <w:t xml:space="preserve"> (Sic)</w:t>
      </w:r>
    </w:p>
    <w:p w14:paraId="097B1E42" w14:textId="77777777" w:rsidR="009A6926" w:rsidRPr="00042E99" w:rsidRDefault="009A6926"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7147C78D" w14:textId="4713D65F" w:rsidR="00042E99" w:rsidRDefault="00D564E0"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De las manifestaciones transcritas </w:t>
      </w:r>
      <w:r>
        <w:rPr>
          <w:rFonts w:ascii="Palatino Linotype" w:hAnsi="Palatino Linotype"/>
          <w:i/>
          <w:color w:val="000000" w:themeColor="text1"/>
        </w:rPr>
        <w:t>supra</w:t>
      </w:r>
      <w:r>
        <w:rPr>
          <w:rFonts w:ascii="Palatino Linotype" w:hAnsi="Palatino Linotype"/>
          <w:color w:val="000000" w:themeColor="text1"/>
        </w:rPr>
        <w:t xml:space="preserve"> podemos rescatar los siguientes elementos:</w:t>
      </w:r>
    </w:p>
    <w:p w14:paraId="1703DA42" w14:textId="3A780C6F" w:rsidR="00697386" w:rsidRDefault="00697386" w:rsidP="00D564E0">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Pr>
          <w:rFonts w:ascii="Palatino Linotype" w:hAnsi="Palatino Linotype"/>
          <w:color w:val="000000" w:themeColor="text1"/>
        </w:rPr>
        <w:t>El Titular de la Unidad de Transparencia manifestó que los archivos presentados en respuesta a la solicitud no presentaban ningún problema en su descarga y visualización; y</w:t>
      </w:r>
    </w:p>
    <w:p w14:paraId="4F34DFBC" w14:textId="0C92342D" w:rsidR="00697386" w:rsidRDefault="00697386" w:rsidP="00D564E0">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Pr>
          <w:rFonts w:ascii="Palatino Linotype" w:hAnsi="Palatino Linotype"/>
          <w:color w:val="000000" w:themeColor="text1"/>
        </w:rPr>
        <w:t xml:space="preserve">El Titular de la Unidad de Transparencia </w:t>
      </w:r>
      <w:r>
        <w:rPr>
          <w:rFonts w:ascii="Palatino Linotype" w:hAnsi="Palatino Linotype"/>
          <w:b/>
          <w:color w:val="000000" w:themeColor="text1"/>
        </w:rPr>
        <w:t>no se pronunció sobre la falta de entrega de la información vía correo electrónico</w:t>
      </w:r>
      <w:r>
        <w:rPr>
          <w:rFonts w:ascii="Palatino Linotype" w:hAnsi="Palatino Linotype"/>
          <w:color w:val="000000" w:themeColor="text1"/>
        </w:rPr>
        <w:t>.</w:t>
      </w:r>
    </w:p>
    <w:p w14:paraId="69BF4E3A" w14:textId="77777777" w:rsidR="00042E99" w:rsidRPr="00042E99" w:rsidRDefault="00042E99"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60BF2097" w14:textId="611453B0" w:rsidR="00042E99" w:rsidRPr="00042E99" w:rsidRDefault="00697386"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En consecuencia de lo anterior, toda vez que el </w:t>
      </w:r>
      <w:r>
        <w:rPr>
          <w:rFonts w:ascii="Palatino Linotype" w:hAnsi="Palatino Linotype" w:cs="Arial"/>
          <w:b/>
          <w:color w:val="000000" w:themeColor="text1"/>
        </w:rPr>
        <w:t>SUJETO OBLIGADO</w:t>
      </w:r>
      <w:r>
        <w:rPr>
          <w:rFonts w:ascii="Palatino Linotype" w:hAnsi="Palatino Linotype" w:cs="Arial"/>
          <w:color w:val="000000" w:themeColor="text1"/>
        </w:rPr>
        <w:t xml:space="preserve"> no contradijo el agravio de la </w:t>
      </w:r>
      <w:r>
        <w:rPr>
          <w:rFonts w:ascii="Palatino Linotype" w:hAnsi="Palatino Linotype" w:cs="Arial"/>
          <w:b/>
          <w:color w:val="000000" w:themeColor="text1"/>
        </w:rPr>
        <w:t>RECURRENTE</w:t>
      </w:r>
      <w:r>
        <w:rPr>
          <w:rFonts w:ascii="Palatino Linotype" w:hAnsi="Palatino Linotype" w:cs="Arial"/>
          <w:color w:val="000000" w:themeColor="text1"/>
        </w:rPr>
        <w:t>, por el que refirió que no se le había entregado la información solicitada en una de las modalidades que originalmente eligió para tal efecto, se debe considerar que la Secretaría de Finanzas ha aceptado de forma tácita su omisión.</w:t>
      </w:r>
    </w:p>
    <w:p w14:paraId="072E64BA" w14:textId="77777777" w:rsidR="00042E99" w:rsidRPr="00042E99" w:rsidRDefault="00042E99" w:rsidP="00042E99">
      <w:pPr>
        <w:pStyle w:val="Prrafodelista"/>
        <w:tabs>
          <w:tab w:val="left" w:pos="426"/>
        </w:tabs>
        <w:spacing w:before="240" w:after="240" w:line="360" w:lineRule="auto"/>
        <w:ind w:left="0" w:right="51"/>
        <w:jc w:val="both"/>
        <w:rPr>
          <w:rFonts w:ascii="Palatino Linotype" w:hAnsi="Palatino Linotype"/>
          <w:color w:val="000000" w:themeColor="text1"/>
        </w:rPr>
      </w:pPr>
    </w:p>
    <w:p w14:paraId="0B8E15EB" w14:textId="3A4D462B" w:rsidR="0091724D" w:rsidRPr="0091724D" w:rsidRDefault="00387AC8" w:rsidP="0091724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Luego entonces</w:t>
      </w:r>
      <w:r w:rsidR="00697386">
        <w:rPr>
          <w:rFonts w:ascii="Palatino Linotype" w:hAnsi="Palatino Linotype" w:cs="Arial"/>
          <w:color w:val="000000" w:themeColor="text1"/>
        </w:rPr>
        <w:t xml:space="preserve">, este Organismo Garante encuentra </w:t>
      </w:r>
      <w:r w:rsidR="00697386">
        <w:rPr>
          <w:rFonts w:ascii="Palatino Linotype" w:hAnsi="Palatino Linotype" w:cs="Arial"/>
          <w:b/>
          <w:color w:val="000000" w:themeColor="text1"/>
        </w:rPr>
        <w:t>fundado</w:t>
      </w:r>
      <w:r w:rsidR="00697386">
        <w:rPr>
          <w:rFonts w:ascii="Palatino Linotype" w:hAnsi="Palatino Linotype" w:cs="Arial"/>
          <w:color w:val="000000" w:themeColor="text1"/>
        </w:rPr>
        <w:t xml:space="preserve"> al agravio de la </w:t>
      </w:r>
      <w:r w:rsidR="00697386">
        <w:rPr>
          <w:rFonts w:ascii="Palatino Linotype" w:hAnsi="Palatino Linotype" w:cs="Arial"/>
          <w:b/>
          <w:color w:val="000000" w:themeColor="text1"/>
        </w:rPr>
        <w:t>RECURRENTE</w:t>
      </w:r>
      <w:r w:rsidR="00697386">
        <w:rPr>
          <w:rFonts w:ascii="Palatino Linotype" w:hAnsi="Palatino Linotype" w:cs="Arial"/>
          <w:color w:val="000000" w:themeColor="text1"/>
        </w:rPr>
        <w:t xml:space="preserve"> y, por lo tanto, se </w:t>
      </w:r>
      <w:r w:rsidR="00697386">
        <w:rPr>
          <w:rFonts w:ascii="Palatino Linotype" w:hAnsi="Palatino Linotype" w:cs="Arial"/>
          <w:b/>
          <w:color w:val="000000" w:themeColor="text1"/>
        </w:rPr>
        <w:t>ordena</w:t>
      </w:r>
      <w:r w:rsidR="00697386">
        <w:rPr>
          <w:rFonts w:ascii="Palatino Linotype" w:hAnsi="Palatino Linotype" w:cs="Arial"/>
          <w:color w:val="000000" w:themeColor="text1"/>
        </w:rPr>
        <w:t xml:space="preserve"> al </w:t>
      </w:r>
      <w:r w:rsidR="00697386">
        <w:rPr>
          <w:rFonts w:ascii="Palatino Linotype" w:hAnsi="Palatino Linotype" w:cs="Arial"/>
          <w:b/>
          <w:color w:val="000000" w:themeColor="text1"/>
        </w:rPr>
        <w:t>SUJETO OBLIGADO</w:t>
      </w:r>
      <w:r w:rsidR="00697386">
        <w:rPr>
          <w:rFonts w:ascii="Palatino Linotype" w:hAnsi="Palatino Linotype" w:cs="Arial"/>
          <w:color w:val="000000" w:themeColor="text1"/>
        </w:rPr>
        <w:t xml:space="preserve"> resarcir su omisión en la atención de la solicitud de información </w:t>
      </w:r>
      <w:r w:rsidR="00697386">
        <w:rPr>
          <w:rFonts w:ascii="Palatino Linotype" w:hAnsi="Palatino Linotype" w:cs="Arial"/>
          <w:b/>
          <w:color w:val="000000" w:themeColor="text1"/>
        </w:rPr>
        <w:t>00571/SF/IP/2022</w:t>
      </w:r>
      <w:r w:rsidR="00697386">
        <w:rPr>
          <w:rFonts w:ascii="Palatino Linotype" w:hAnsi="Palatino Linotype" w:cs="Arial"/>
          <w:color w:val="000000" w:themeColor="text1"/>
        </w:rPr>
        <w:t xml:space="preserve"> y entregar la información solicitada, </w:t>
      </w:r>
      <w:r w:rsidR="00697386" w:rsidRPr="00387AC8">
        <w:rPr>
          <w:rFonts w:ascii="Palatino Linotype" w:hAnsi="Palatino Linotype" w:cs="Arial"/>
          <w:b/>
          <w:bCs/>
          <w:color w:val="000000" w:themeColor="text1"/>
        </w:rPr>
        <w:t>vía correo electrónico</w:t>
      </w:r>
      <w:r w:rsidR="00697386">
        <w:rPr>
          <w:rFonts w:ascii="Palatino Linotype" w:hAnsi="Palatino Linotype" w:cs="Arial"/>
          <w:color w:val="000000" w:themeColor="text1"/>
        </w:rPr>
        <w:t xml:space="preserve">, a la dirección </w:t>
      </w:r>
      <w:r w:rsidR="00697386">
        <w:rPr>
          <w:rFonts w:ascii="Palatino Linotype" w:hAnsi="Palatino Linotype" w:cs="Arial"/>
          <w:i/>
          <w:color w:val="000000" w:themeColor="text1"/>
        </w:rPr>
        <w:t>e-mail</w:t>
      </w:r>
      <w:r w:rsidR="00697386">
        <w:rPr>
          <w:rFonts w:ascii="Palatino Linotype" w:hAnsi="Palatino Linotype" w:cs="Arial"/>
          <w:color w:val="000000" w:themeColor="text1"/>
        </w:rPr>
        <w:t xml:space="preserve"> originalmente señalada por la particular en el acuse de su solicitud, en versión pública.</w:t>
      </w:r>
    </w:p>
    <w:p w14:paraId="04AEED92" w14:textId="77777777" w:rsidR="00697386" w:rsidRPr="00697386" w:rsidRDefault="00697386" w:rsidP="00697386">
      <w:pPr>
        <w:pStyle w:val="Prrafodelista"/>
        <w:tabs>
          <w:tab w:val="left" w:pos="426"/>
        </w:tabs>
        <w:spacing w:before="240" w:after="240" w:line="360" w:lineRule="auto"/>
        <w:ind w:left="0" w:right="51"/>
        <w:jc w:val="both"/>
        <w:rPr>
          <w:rFonts w:ascii="Palatino Linotype" w:hAnsi="Palatino Linotype"/>
          <w:color w:val="000000" w:themeColor="text1"/>
        </w:rPr>
      </w:pPr>
    </w:p>
    <w:p w14:paraId="59CF1763" w14:textId="50579E6F" w:rsidR="00697386" w:rsidRPr="00697386" w:rsidRDefault="00553779"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Ahora bien, como segundo y último agravio, la </w:t>
      </w:r>
      <w:r>
        <w:rPr>
          <w:rFonts w:ascii="Palatino Linotype" w:hAnsi="Palatino Linotype"/>
          <w:b/>
          <w:bCs/>
          <w:color w:val="000000" w:themeColor="text1"/>
        </w:rPr>
        <w:t>RECURRENTE</w:t>
      </w:r>
      <w:r>
        <w:rPr>
          <w:rFonts w:ascii="Palatino Linotype" w:hAnsi="Palatino Linotype"/>
          <w:color w:val="000000" w:themeColor="text1"/>
        </w:rPr>
        <w:t xml:space="preserve"> manifestó dentro de su escrito recursal que si bien el </w:t>
      </w:r>
      <w:r>
        <w:rPr>
          <w:rFonts w:ascii="Palatino Linotype" w:hAnsi="Palatino Linotype"/>
          <w:b/>
          <w:bCs/>
          <w:color w:val="000000" w:themeColor="text1"/>
        </w:rPr>
        <w:t>SUJETO OBLIGADO</w:t>
      </w:r>
      <w:r>
        <w:rPr>
          <w:rFonts w:ascii="Palatino Linotype" w:hAnsi="Palatino Linotype"/>
          <w:color w:val="000000" w:themeColor="text1"/>
        </w:rPr>
        <w:t xml:space="preserve"> había adjuntado un total de 14 documentos, éstos no se podían descargar o visualizar.</w:t>
      </w:r>
    </w:p>
    <w:p w14:paraId="45DCBDD9" w14:textId="77777777" w:rsidR="00697386" w:rsidRPr="00697386" w:rsidRDefault="00697386" w:rsidP="00697386">
      <w:pPr>
        <w:pStyle w:val="Prrafodelista"/>
        <w:tabs>
          <w:tab w:val="left" w:pos="426"/>
        </w:tabs>
        <w:spacing w:before="240" w:after="240" w:line="360" w:lineRule="auto"/>
        <w:ind w:left="0" w:right="51"/>
        <w:jc w:val="both"/>
        <w:rPr>
          <w:rFonts w:ascii="Palatino Linotype" w:hAnsi="Palatino Linotype"/>
          <w:color w:val="000000" w:themeColor="text1"/>
        </w:rPr>
      </w:pPr>
    </w:p>
    <w:p w14:paraId="78C11A29" w14:textId="640DA018" w:rsidR="00697386" w:rsidRPr="00697386" w:rsidRDefault="00553779"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En razón de lo anterior, este Organismo Garante procedió a consultar el expediente digital formado en el SAIMEX con motivo del recurso de revisión </w:t>
      </w:r>
      <w:r>
        <w:rPr>
          <w:rFonts w:ascii="Palatino Linotype" w:hAnsi="Palatino Linotype" w:cs="Arial"/>
          <w:b/>
          <w:bCs/>
          <w:color w:val="000000" w:themeColor="text1"/>
        </w:rPr>
        <w:t>00838/INFOEM/IP/RR/2022</w:t>
      </w:r>
      <w:r>
        <w:rPr>
          <w:rFonts w:ascii="Palatino Linotype" w:hAnsi="Palatino Linotype" w:cs="Arial"/>
          <w:color w:val="000000" w:themeColor="text1"/>
        </w:rPr>
        <w:t xml:space="preserve">, específicamente en el apartado titulado </w:t>
      </w:r>
      <w:r>
        <w:rPr>
          <w:rFonts w:ascii="Palatino Linotype" w:hAnsi="Palatino Linotype" w:cs="Arial"/>
          <w:i/>
          <w:iCs/>
          <w:color w:val="000000" w:themeColor="text1"/>
        </w:rPr>
        <w:t>Respuesta a Solicitud o Entrega de Información</w:t>
      </w:r>
      <w:r>
        <w:rPr>
          <w:rFonts w:ascii="Palatino Linotype" w:hAnsi="Palatino Linotype" w:cs="Arial"/>
          <w:color w:val="000000" w:themeColor="text1"/>
        </w:rPr>
        <w:t xml:space="preserve">, donde podemos apreciar el texto de respuesta proveído por el </w:t>
      </w:r>
      <w:r>
        <w:rPr>
          <w:rFonts w:ascii="Palatino Linotype" w:hAnsi="Palatino Linotype" w:cs="Arial"/>
          <w:b/>
          <w:bCs/>
          <w:color w:val="000000" w:themeColor="text1"/>
        </w:rPr>
        <w:t>SUJETO OBLIGADO</w:t>
      </w:r>
      <w:r>
        <w:rPr>
          <w:rFonts w:ascii="Palatino Linotype" w:hAnsi="Palatino Linotype" w:cs="Arial"/>
          <w:color w:val="000000" w:themeColor="text1"/>
        </w:rPr>
        <w:t xml:space="preserve"> -y transcrito en el párrafo </w:t>
      </w:r>
      <w:r>
        <w:rPr>
          <w:rFonts w:ascii="Palatino Linotype" w:hAnsi="Palatino Linotype" w:cs="Arial"/>
          <w:b/>
          <w:bCs/>
          <w:color w:val="000000" w:themeColor="text1"/>
        </w:rPr>
        <w:t>04</w:t>
      </w:r>
      <w:r>
        <w:rPr>
          <w:rFonts w:ascii="Palatino Linotype" w:hAnsi="Palatino Linotype" w:cs="Arial"/>
          <w:color w:val="000000" w:themeColor="text1"/>
        </w:rPr>
        <w:t xml:space="preserve"> de esta resolución-, así como los siguientes archivos electrónicos:</w:t>
      </w:r>
    </w:p>
    <w:p w14:paraId="406C166F" w14:textId="79C39B52" w:rsidR="00697386" w:rsidRDefault="00697386" w:rsidP="00697386">
      <w:pPr>
        <w:pStyle w:val="Prrafodelista"/>
        <w:tabs>
          <w:tab w:val="left" w:pos="426"/>
        </w:tabs>
        <w:spacing w:before="240" w:after="240" w:line="360" w:lineRule="auto"/>
        <w:ind w:left="0" w:right="51"/>
        <w:jc w:val="both"/>
        <w:rPr>
          <w:rFonts w:ascii="Palatino Linotype" w:hAnsi="Palatino Linotype"/>
          <w:color w:val="000000" w:themeColor="text1"/>
        </w:rPr>
      </w:pPr>
    </w:p>
    <w:p w14:paraId="602A9A7D" w14:textId="428EFA07" w:rsidR="00553779" w:rsidRDefault="00B23A75" w:rsidP="00553779">
      <w:pPr>
        <w:pStyle w:val="Prrafodelista"/>
        <w:tabs>
          <w:tab w:val="left" w:pos="426"/>
        </w:tabs>
        <w:spacing w:before="240" w:after="240" w:line="360" w:lineRule="auto"/>
        <w:ind w:left="0" w:right="51"/>
        <w:jc w:val="center"/>
      </w:pPr>
      <w:r>
        <w:rPr>
          <w:noProof/>
          <w:lang w:eastAsia="es-MX"/>
        </w:rPr>
        <mc:AlternateContent>
          <mc:Choice Requires="wps">
            <w:drawing>
              <wp:anchor distT="0" distB="0" distL="114300" distR="114300" simplePos="0" relativeHeight="251661312" behindDoc="0" locked="0" layoutInCell="1" allowOverlap="1" wp14:anchorId="021AC9B2" wp14:editId="54D6A77D">
                <wp:simplePos x="0" y="0"/>
                <wp:positionH relativeFrom="column">
                  <wp:posOffset>2660015</wp:posOffset>
                </wp:positionH>
                <wp:positionV relativeFrom="paragraph">
                  <wp:posOffset>1636395</wp:posOffset>
                </wp:positionV>
                <wp:extent cx="863600" cy="285750"/>
                <wp:effectExtent l="57150" t="19050" r="69850" b="95250"/>
                <wp:wrapNone/>
                <wp:docPr id="1" name="Rectángulo 1"/>
                <wp:cNvGraphicFramePr/>
                <a:graphic xmlns:a="http://schemas.openxmlformats.org/drawingml/2006/main">
                  <a:graphicData uri="http://schemas.microsoft.com/office/word/2010/wordprocessingShape">
                    <wps:wsp>
                      <wps:cNvSpPr/>
                      <wps:spPr>
                        <a:xfrm>
                          <a:off x="0" y="0"/>
                          <a:ext cx="863600" cy="285750"/>
                        </a:xfrm>
                        <a:prstGeom prst="rect">
                          <a:avLst/>
                        </a:prstGeom>
                        <a:solidFill>
                          <a:schemeClr val="dk1">
                            <a:tint val="100000"/>
                            <a:shade val="100000"/>
                            <a:satMod val="130000"/>
                          </a:schemeClr>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F7DBC7" id="Rectángulo 1" o:spid="_x0000_s1026" style="position:absolute;margin-left:209.45pt;margin-top:128.85pt;width:68pt;height:2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" fillcolor="black [3200]" strokecolor="black [3040]">
                <v:shadow on="t" color="black" opacity="22937f" origin=",.5" offset="0,.63889mm"/>
              </v:rect>
            </w:pict>
          </mc:Fallback>
        </mc:AlternateContent>
      </w:r>
      <w:r w:rsidR="000F0E81">
        <w:object w:dxaOrig="12855" w:dyaOrig="8145" w14:anchorId="219DFAE9">
          <v:shape id="_x0000_i1026" type="#_x0000_t75" style="width:380.5pt;height:240.5pt" o:ole="" o:bordertopcolor="this" o:borderleftcolor="this" o:borderbottomcolor="this" o:borderrightcolor="this">
            <v:imagedata r:id="rId10" o:title=""/>
            <w10:bordertop type="single" width="8"/>
            <w10:borderleft type="single" width="8"/>
            <w10:borderbottom type="single" width="8"/>
            <w10:borderright type="single" width="8"/>
          </v:shape>
          <o:OLEObject Type="Embed" ProgID="PBrush" ShapeID="_x0000_i1026" DrawAspect="Content" ObjectID="_1719050032" r:id="rId11"/>
        </w:object>
      </w:r>
    </w:p>
    <w:p w14:paraId="7ACA4FB3" w14:textId="15D8C879" w:rsidR="000F0E81" w:rsidRDefault="000F0E81" w:rsidP="00553779">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10545" w:dyaOrig="11295" w14:anchorId="4A59F8CB">
          <v:shape id="_x0000_i1027" type="#_x0000_t75" style="width:381.5pt;height:409pt" o:ole="" o:bordertopcolor="this" o:borderleftcolor="this" o:borderbottomcolor="this" o:borderrightcolor="this">
            <v:imagedata r:id="rId12" o:title=""/>
            <w10:bordertop type="single" width="8"/>
            <w10:borderleft type="single" width="8"/>
            <w10:borderbottom type="single" width="8"/>
            <w10:borderright type="single" width="8"/>
          </v:shape>
          <o:OLEObject Type="Embed" ProgID="PBrush" ShapeID="_x0000_i1027" DrawAspect="Content" ObjectID="_1719050033" r:id="rId13"/>
        </w:object>
      </w:r>
    </w:p>
    <w:p w14:paraId="033F57FE" w14:textId="77777777" w:rsidR="00553779" w:rsidRPr="00697386" w:rsidRDefault="00553779" w:rsidP="00697386">
      <w:pPr>
        <w:pStyle w:val="Prrafodelista"/>
        <w:tabs>
          <w:tab w:val="left" w:pos="426"/>
        </w:tabs>
        <w:spacing w:before="240" w:after="240" w:line="360" w:lineRule="auto"/>
        <w:ind w:left="0" w:right="51"/>
        <w:jc w:val="both"/>
        <w:rPr>
          <w:rFonts w:ascii="Palatino Linotype" w:hAnsi="Palatino Linotype"/>
          <w:color w:val="000000" w:themeColor="text1"/>
        </w:rPr>
      </w:pPr>
    </w:p>
    <w:p w14:paraId="2F19E36A" w14:textId="4B544127" w:rsidR="00697386" w:rsidRPr="00697386" w:rsidRDefault="000F0E81" w:rsidP="007A21A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Al hacer </w:t>
      </w:r>
      <w:r>
        <w:rPr>
          <w:rFonts w:ascii="Palatino Linotype" w:hAnsi="Palatino Linotype" w:cs="Arial"/>
          <w:i/>
          <w:iCs/>
          <w:color w:val="000000" w:themeColor="text1"/>
        </w:rPr>
        <w:t>clic</w:t>
      </w:r>
      <w:r>
        <w:rPr>
          <w:rFonts w:ascii="Palatino Linotype" w:hAnsi="Palatino Linotype" w:cs="Arial"/>
          <w:color w:val="000000" w:themeColor="text1"/>
        </w:rPr>
        <w:t xml:space="preserve"> en cada uno de los archivos señalados </w:t>
      </w:r>
      <w:r>
        <w:rPr>
          <w:rFonts w:ascii="Palatino Linotype" w:hAnsi="Palatino Linotype" w:cs="Arial"/>
          <w:i/>
          <w:iCs/>
          <w:color w:val="000000" w:themeColor="text1"/>
        </w:rPr>
        <w:t>supra</w:t>
      </w:r>
      <w:r>
        <w:rPr>
          <w:rFonts w:ascii="Palatino Linotype" w:hAnsi="Palatino Linotype" w:cs="Arial"/>
          <w:color w:val="000000" w:themeColor="text1"/>
        </w:rPr>
        <w:t>, el SAIMEX los descarga automáticamente en el ordenador para ser consultados a través de cualquier programa o navegador de internet compatible con la reproducción de archivos PDF (formato de documento portátil, por sus siglas en inglés)</w:t>
      </w:r>
      <w:r w:rsidR="002866A8">
        <w:rPr>
          <w:rFonts w:ascii="Palatino Linotype" w:hAnsi="Palatino Linotype" w:cs="Arial"/>
          <w:color w:val="000000" w:themeColor="text1"/>
        </w:rPr>
        <w:t xml:space="preserve">. A continuación, se realiza una demostración del contenido de los documentos previamente descritos en el capítulo </w:t>
      </w:r>
      <w:r w:rsidR="002866A8">
        <w:rPr>
          <w:rFonts w:ascii="Palatino Linotype" w:hAnsi="Palatino Linotype" w:cs="Arial"/>
          <w:b/>
          <w:bCs/>
          <w:color w:val="000000" w:themeColor="text1"/>
        </w:rPr>
        <w:t>I</w:t>
      </w:r>
      <w:r w:rsidR="002866A8">
        <w:rPr>
          <w:rFonts w:ascii="Palatino Linotype" w:hAnsi="Palatino Linotype" w:cs="Arial"/>
          <w:color w:val="000000" w:themeColor="text1"/>
        </w:rPr>
        <w:t xml:space="preserve"> del presente </w:t>
      </w:r>
      <w:r w:rsidR="002866A8">
        <w:rPr>
          <w:rFonts w:ascii="Palatino Linotype" w:hAnsi="Palatino Linotype" w:cs="Arial"/>
          <w:b/>
          <w:bCs/>
          <w:color w:val="000000" w:themeColor="text1"/>
        </w:rPr>
        <w:t>Considerando</w:t>
      </w:r>
      <w:r w:rsidR="002866A8">
        <w:rPr>
          <w:rFonts w:ascii="Palatino Linotype" w:hAnsi="Palatino Linotype" w:cs="Arial"/>
          <w:color w:val="000000" w:themeColor="text1"/>
        </w:rPr>
        <w:t>.</w:t>
      </w:r>
    </w:p>
    <w:p w14:paraId="0DA569AF" w14:textId="77777777" w:rsidR="00697386" w:rsidRPr="00697386" w:rsidRDefault="00697386" w:rsidP="00697386">
      <w:pPr>
        <w:pStyle w:val="Prrafodelista"/>
        <w:tabs>
          <w:tab w:val="left" w:pos="426"/>
        </w:tabs>
        <w:spacing w:before="240" w:after="240" w:line="360" w:lineRule="auto"/>
        <w:ind w:left="0" w:right="51"/>
        <w:jc w:val="both"/>
        <w:rPr>
          <w:rFonts w:ascii="Palatino Linotype" w:hAnsi="Palatino Linotype"/>
          <w:color w:val="000000" w:themeColor="text1"/>
        </w:rPr>
      </w:pPr>
    </w:p>
    <w:p w14:paraId="71A724B0" w14:textId="72F3168F" w:rsidR="00697386" w:rsidRPr="00E91379" w:rsidRDefault="002866A8"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lastRenderedPageBreak/>
        <w:t xml:space="preserve">Por cuanto hace al contenido del archivo titulado </w:t>
      </w:r>
      <w:r>
        <w:rPr>
          <w:rFonts w:ascii="Palatino Linotype" w:hAnsi="Palatino Linotype" w:cs="Arial"/>
          <w:b/>
          <w:bCs/>
          <w:i/>
          <w:iCs/>
          <w:color w:val="000000" w:themeColor="text1"/>
        </w:rPr>
        <w:t>“571 Subsecretaría de Tesorería.pdf”</w:t>
      </w:r>
      <w:r>
        <w:rPr>
          <w:rFonts w:ascii="Palatino Linotype" w:hAnsi="Palatino Linotype" w:cs="Arial"/>
          <w:color w:val="000000" w:themeColor="text1"/>
        </w:rPr>
        <w:t>, éste contiene la copia digitalizada de los oficios 20705001000000S/451/2021, de veintiuno (21) de diciembre de dos mil veintiuno, suscrito por la Titular de la Unidad de Apoyo Técnico Financiero, y dirigido al Jefe de la UIPPE</w:t>
      </w:r>
      <w:r w:rsidR="00E91379">
        <w:rPr>
          <w:rFonts w:ascii="Palatino Linotype" w:hAnsi="Palatino Linotype" w:cs="Arial"/>
          <w:color w:val="000000" w:themeColor="text1"/>
        </w:rPr>
        <w:t xml:space="preserve"> y Titular de la Unidad de Transparencia; así como el diverso 20705002A000000/855/2021, de veintiuno (21) de diciembre de dos mil veintidós, emitido por el Director General de Crédito, y dirigido a la Titular de la Unidad de Apoyo Técnico Financiero. Se adjunta un fragmento de los instrumentos como </w:t>
      </w:r>
      <w:proofErr w:type="spellStart"/>
      <w:r w:rsidR="00E91379">
        <w:rPr>
          <w:rFonts w:ascii="Palatino Linotype" w:hAnsi="Palatino Linotype" w:cs="Arial"/>
          <w:color w:val="000000" w:themeColor="text1"/>
        </w:rPr>
        <w:t>refrencia</w:t>
      </w:r>
      <w:proofErr w:type="spellEnd"/>
      <w:r w:rsidR="00E91379">
        <w:rPr>
          <w:rFonts w:ascii="Palatino Linotype" w:hAnsi="Palatino Linotype" w:cs="Arial"/>
          <w:color w:val="000000" w:themeColor="text1"/>
        </w:rPr>
        <w:t>:</w:t>
      </w:r>
    </w:p>
    <w:p w14:paraId="172F7FE4" w14:textId="77777777" w:rsidR="00E91379" w:rsidRPr="00E91379" w:rsidRDefault="00E91379" w:rsidP="00E91379">
      <w:pPr>
        <w:rPr>
          <w:rFonts w:ascii="Palatino Linotype" w:hAnsi="Palatino Linotype"/>
          <w:color w:val="000000" w:themeColor="text1"/>
        </w:rPr>
      </w:pPr>
    </w:p>
    <w:p w14:paraId="49FC5142" w14:textId="77777777" w:rsidR="00E91379" w:rsidRDefault="00E91379" w:rsidP="00E91379">
      <w:pPr>
        <w:pStyle w:val="Prrafodelista"/>
        <w:tabs>
          <w:tab w:val="left" w:pos="426"/>
        </w:tabs>
        <w:ind w:left="0"/>
        <w:jc w:val="center"/>
      </w:pPr>
      <w:r>
        <w:object w:dxaOrig="8355" w:dyaOrig="10815" w14:anchorId="319CC970">
          <v:shape id="_x0000_i1028" type="#_x0000_t75" style="width:381.5pt;height:261pt" o:ole="" o:bordertopcolor="this" o:borderleftcolor="this" o:borderbottomcolor="this" o:borderrightcolor="this">
            <v:imagedata r:id="rId14" o:title="" cropbottom="30876f"/>
            <w10:bordertop type="single" width="8"/>
            <w10:borderleft type="single" width="8"/>
            <w10:borderbottom type="single" width="8"/>
            <w10:borderright type="single" width="8"/>
          </v:shape>
          <o:OLEObject Type="Embed" ProgID="PBrush" ShapeID="_x0000_i1028" DrawAspect="Content" ObjectID="_1719050034" r:id="rId15"/>
        </w:object>
      </w:r>
    </w:p>
    <w:p w14:paraId="03EDF980" w14:textId="16F82DA8" w:rsidR="00E91379" w:rsidRDefault="00E91379" w:rsidP="00E91379">
      <w:pPr>
        <w:pStyle w:val="Prrafodelista"/>
        <w:tabs>
          <w:tab w:val="left" w:pos="426"/>
        </w:tabs>
        <w:ind w:left="0"/>
        <w:jc w:val="center"/>
      </w:pPr>
    </w:p>
    <w:p w14:paraId="7A8FCD9E" w14:textId="77777777" w:rsidR="00EF13E3" w:rsidRDefault="00EF13E3" w:rsidP="00E91379">
      <w:pPr>
        <w:pStyle w:val="Prrafodelista"/>
        <w:tabs>
          <w:tab w:val="left" w:pos="426"/>
        </w:tabs>
        <w:ind w:left="0"/>
        <w:jc w:val="center"/>
      </w:pPr>
      <w:r>
        <w:object w:dxaOrig="8445" w:dyaOrig="10815" w14:anchorId="5AFD41A9">
          <v:shape id="_x0000_i1029" type="#_x0000_t75" style="width:380pt;height:291pt" o:ole="" o:bordertopcolor="this" o:borderleftcolor="this" o:borderbottomcolor="this" o:borderrightcolor="this">
            <v:imagedata r:id="rId16" o:title="" cropbottom="26457f"/>
            <w10:bordertop type="single" width="8"/>
            <w10:borderleft type="single" width="8"/>
            <w10:borderbottom type="single" width="8"/>
            <w10:borderright type="single" width="8"/>
          </v:shape>
          <o:OLEObject Type="Embed" ProgID="PBrush" ShapeID="_x0000_i1029" DrawAspect="Content" ObjectID="_1719050035" r:id="rId17"/>
        </w:object>
      </w:r>
    </w:p>
    <w:p w14:paraId="0C684A9A" w14:textId="17F70537" w:rsidR="00E91379" w:rsidRDefault="00E91379" w:rsidP="00E91379">
      <w:pPr>
        <w:pStyle w:val="Prrafodelista"/>
        <w:tabs>
          <w:tab w:val="left" w:pos="426"/>
        </w:tabs>
        <w:ind w:left="0"/>
        <w:jc w:val="center"/>
        <w:rPr>
          <w:rFonts w:ascii="Palatino Linotype" w:hAnsi="Palatino Linotype"/>
          <w:color w:val="000000" w:themeColor="text1"/>
        </w:rPr>
      </w:pPr>
    </w:p>
    <w:p w14:paraId="0F3413BB" w14:textId="6A9C0040" w:rsidR="002866A8" w:rsidRDefault="00EF13E3"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Por cuanto hace al archivo titulado </w:t>
      </w:r>
      <w:r>
        <w:rPr>
          <w:rFonts w:ascii="Palatino Linotype" w:hAnsi="Palatino Linotype"/>
          <w:b/>
          <w:bCs/>
          <w:i/>
          <w:iCs/>
          <w:color w:val="000000" w:themeColor="text1"/>
        </w:rPr>
        <w:t>“Actas de Inscripción.pdf”</w:t>
      </w:r>
      <w:r>
        <w:rPr>
          <w:rFonts w:ascii="Palatino Linotype" w:hAnsi="Palatino Linotype"/>
          <w:color w:val="000000" w:themeColor="text1"/>
        </w:rPr>
        <w:t>, éste consiste en 56 Actas de Inscripción en el Registro de Fideicomisos del Estado de México, por concepto de inscripción de fideicomisos y convenios modificatorios, como a continuación se demuestra mediante la presentación de tres fragmentos de actas aleatorias:</w:t>
      </w:r>
    </w:p>
    <w:p w14:paraId="28E9407A" w14:textId="36877E4A" w:rsidR="00EF13E3" w:rsidRDefault="00AB1942" w:rsidP="00EF13E3">
      <w:pPr>
        <w:pStyle w:val="Prrafodelista"/>
        <w:tabs>
          <w:tab w:val="left" w:pos="426"/>
        </w:tabs>
        <w:ind w:left="0"/>
        <w:jc w:val="center"/>
      </w:pPr>
      <w:r>
        <w:object w:dxaOrig="10545" w:dyaOrig="4710" w14:anchorId="1E42584C">
          <v:shape id="_x0000_i1030" type="#_x0000_t75" style="width:5in;height:160.5pt" o:ole="" o:bordertopcolor="this" o:borderleftcolor="this" o:borderbottomcolor="this" o:borderrightcolor="this">
            <v:imagedata r:id="rId18" o:title=""/>
            <w10:bordertop type="single" width="8"/>
            <w10:borderleft type="single" width="8"/>
            <w10:borderbottom type="single" width="8"/>
            <w10:borderright type="single" width="8"/>
          </v:shape>
          <o:OLEObject Type="Embed" ProgID="PBrush" ShapeID="_x0000_i1030" DrawAspect="Content" ObjectID="_1719050036" r:id="rId19"/>
        </w:object>
      </w:r>
    </w:p>
    <w:p w14:paraId="112C6C01" w14:textId="77777777" w:rsidR="00AB1942" w:rsidRDefault="00AB1942" w:rsidP="00EF13E3">
      <w:pPr>
        <w:pStyle w:val="Prrafodelista"/>
        <w:tabs>
          <w:tab w:val="left" w:pos="426"/>
        </w:tabs>
        <w:ind w:left="0"/>
        <w:jc w:val="center"/>
      </w:pPr>
    </w:p>
    <w:p w14:paraId="26A687C9" w14:textId="5807A583" w:rsidR="00AB1942" w:rsidRDefault="00AB1942" w:rsidP="00EF13E3">
      <w:pPr>
        <w:pStyle w:val="Prrafodelista"/>
        <w:tabs>
          <w:tab w:val="left" w:pos="426"/>
        </w:tabs>
        <w:ind w:left="0"/>
        <w:jc w:val="center"/>
      </w:pPr>
      <w:r>
        <w:object w:dxaOrig="14010" w:dyaOrig="6825" w14:anchorId="0A8DE102">
          <v:shape id="_x0000_i1031" type="#_x0000_t75" style="width:385.5pt;height:187.5pt" o:ole="" o:bordertopcolor="this" o:borderleftcolor="this" o:borderbottomcolor="this" o:borderrightcolor="this">
            <v:imagedata r:id="rId20" o:title=""/>
            <w10:bordertop type="single" width="8"/>
            <w10:borderleft type="single" width="8"/>
            <w10:borderbottom type="single" width="8"/>
            <w10:borderright type="single" width="8"/>
          </v:shape>
          <o:OLEObject Type="Embed" ProgID="PBrush" ShapeID="_x0000_i1031" DrawAspect="Content" ObjectID="_1719050037" r:id="rId21"/>
        </w:object>
      </w:r>
    </w:p>
    <w:p w14:paraId="25A43468" w14:textId="77777777" w:rsidR="00AB1942" w:rsidRDefault="00AB1942" w:rsidP="00EF13E3">
      <w:pPr>
        <w:pStyle w:val="Prrafodelista"/>
        <w:tabs>
          <w:tab w:val="left" w:pos="426"/>
        </w:tabs>
        <w:ind w:left="0"/>
        <w:jc w:val="center"/>
      </w:pPr>
    </w:p>
    <w:p w14:paraId="0A4ECB22" w14:textId="3C6FC40B" w:rsidR="00AB1942" w:rsidRDefault="00AB1942" w:rsidP="00EF13E3">
      <w:pPr>
        <w:pStyle w:val="Prrafodelista"/>
        <w:tabs>
          <w:tab w:val="left" w:pos="426"/>
        </w:tabs>
        <w:ind w:left="0"/>
        <w:jc w:val="center"/>
        <w:rPr>
          <w:rFonts w:ascii="Palatino Linotype" w:hAnsi="Palatino Linotype"/>
          <w:color w:val="000000" w:themeColor="text1"/>
        </w:rPr>
      </w:pPr>
      <w:r>
        <w:object w:dxaOrig="14040" w:dyaOrig="6315" w14:anchorId="11359A6C">
          <v:shape id="_x0000_i1032" type="#_x0000_t75" style="width:382.5pt;height:172pt" o:ole="" o:bordertopcolor="this" o:borderleftcolor="this" o:borderbottomcolor="this" o:borderrightcolor="this">
            <v:imagedata r:id="rId22" o:title=""/>
            <w10:bordertop type="single" width="8"/>
            <w10:borderleft type="single" width="8"/>
            <w10:borderbottom type="single" width="8"/>
            <w10:borderright type="single" width="8"/>
          </v:shape>
          <o:OLEObject Type="Embed" ProgID="PBrush" ShapeID="_x0000_i1032" DrawAspect="Content" ObjectID="_1719050038" r:id="rId23"/>
        </w:object>
      </w:r>
    </w:p>
    <w:p w14:paraId="237642BF" w14:textId="23D6FF0B" w:rsidR="00EF13E3" w:rsidRDefault="00EF13E3" w:rsidP="002866A8">
      <w:pPr>
        <w:pStyle w:val="Prrafodelista"/>
        <w:tabs>
          <w:tab w:val="left" w:pos="426"/>
        </w:tabs>
        <w:ind w:left="0"/>
        <w:rPr>
          <w:rFonts w:ascii="Palatino Linotype" w:hAnsi="Palatino Linotype"/>
          <w:color w:val="000000" w:themeColor="text1"/>
        </w:rPr>
      </w:pPr>
    </w:p>
    <w:p w14:paraId="0A031919" w14:textId="77777777" w:rsidR="0037077E" w:rsidRPr="002866A8" w:rsidRDefault="0037077E" w:rsidP="002866A8">
      <w:pPr>
        <w:pStyle w:val="Prrafodelista"/>
        <w:tabs>
          <w:tab w:val="left" w:pos="426"/>
        </w:tabs>
        <w:ind w:left="0"/>
        <w:rPr>
          <w:rFonts w:ascii="Palatino Linotype" w:hAnsi="Palatino Linotype"/>
          <w:color w:val="000000" w:themeColor="text1"/>
        </w:rPr>
      </w:pPr>
    </w:p>
    <w:p w14:paraId="25CD367E" w14:textId="258CC89A" w:rsidR="002866A8" w:rsidRDefault="00773AD2"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rPr>
        <w:t xml:space="preserve">Respecto al archivo titulado </w:t>
      </w:r>
      <w:r>
        <w:rPr>
          <w:rFonts w:ascii="Palatino Linotype" w:hAnsi="Palatino Linotype" w:cs="Arial"/>
          <w:b/>
          <w:bCs/>
          <w:i/>
          <w:iCs/>
        </w:rPr>
        <w:t>“Fideicomiso F105_redacted.pdf”</w:t>
      </w:r>
      <w:r>
        <w:rPr>
          <w:rFonts w:ascii="Palatino Linotype" w:hAnsi="Palatino Linotype" w:cs="Arial"/>
        </w:rPr>
        <w:t>, éste consiste en un documento</w:t>
      </w:r>
      <w:r w:rsidR="0037077E" w:rsidRPr="00C967DD">
        <w:rPr>
          <w:rFonts w:ascii="Palatino Linotype" w:hAnsi="Palatino Linotype" w:cs="Arial"/>
        </w:rPr>
        <w:t xml:space="preserve"> </w:t>
      </w:r>
      <w:r w:rsidR="0037077E">
        <w:rPr>
          <w:rFonts w:ascii="Palatino Linotype" w:hAnsi="Palatino Linotype" w:cs="Arial"/>
        </w:rPr>
        <w:t xml:space="preserve">de 954 fojas consistente en el expediente formado del Fideicomiso Irrevocable de Administración y Fuente de Pago Número F/00105, suscrito entre el Gobierno del Estado de México y la Institución de Banca Múltiple </w:t>
      </w:r>
      <w:r w:rsidR="0037077E">
        <w:rPr>
          <w:rFonts w:ascii="Palatino Linotype" w:hAnsi="Palatino Linotype" w:cs="Arial"/>
          <w:i/>
        </w:rPr>
        <w:t>Banco J.P. MORGAN, S. A</w:t>
      </w:r>
      <w:r w:rsidR="00595CE6">
        <w:rPr>
          <w:rFonts w:ascii="Palatino Linotype" w:hAnsi="Palatino Linotype" w:cs="Arial"/>
          <w:iCs/>
        </w:rPr>
        <w:t>, en versión pública. Se adjuntan los fragmentos de la escritura pública por el que se protocoliza su creación, así como de uno de los convenios modificatorios:</w:t>
      </w:r>
    </w:p>
    <w:p w14:paraId="631CC30B" w14:textId="20685F09" w:rsidR="002866A8" w:rsidRDefault="002866A8" w:rsidP="002866A8">
      <w:pPr>
        <w:pStyle w:val="Prrafodelista"/>
        <w:tabs>
          <w:tab w:val="left" w:pos="426"/>
        </w:tabs>
        <w:ind w:left="0"/>
        <w:rPr>
          <w:rFonts w:ascii="Palatino Linotype" w:hAnsi="Palatino Linotype"/>
          <w:color w:val="000000" w:themeColor="text1"/>
        </w:rPr>
      </w:pPr>
    </w:p>
    <w:p w14:paraId="5F12AE50" w14:textId="67D096AA" w:rsidR="00595CE6" w:rsidRDefault="00773AD2" w:rsidP="00595CE6">
      <w:pPr>
        <w:pStyle w:val="Prrafodelista"/>
        <w:tabs>
          <w:tab w:val="left" w:pos="426"/>
        </w:tabs>
        <w:ind w:left="0"/>
        <w:jc w:val="center"/>
      </w:pPr>
      <w:r>
        <w:object w:dxaOrig="13980" w:dyaOrig="8970" w14:anchorId="6B498DEA">
          <v:shape id="_x0000_i1033" type="#_x0000_t75" style="width:383pt;height:245.5pt" o:ole="" o:bordertopcolor="this" o:borderleftcolor="this" o:borderbottomcolor="this" o:borderrightcolor="this">
            <v:imagedata r:id="rId24" o:title=""/>
            <w10:bordertop type="single" width="8"/>
            <w10:borderleft type="single" width="8"/>
            <w10:borderbottom type="single" width="8"/>
            <w10:borderright type="single" width="8"/>
          </v:shape>
          <o:OLEObject Type="Embed" ProgID="PBrush" ShapeID="_x0000_i1033" DrawAspect="Content" ObjectID="_1719050039" r:id="rId25"/>
        </w:object>
      </w:r>
    </w:p>
    <w:p w14:paraId="2EF81A8B" w14:textId="47A3B6E0" w:rsidR="00595CE6" w:rsidRDefault="00595CE6" w:rsidP="00595CE6">
      <w:pPr>
        <w:pStyle w:val="Prrafodelista"/>
        <w:tabs>
          <w:tab w:val="left" w:pos="426"/>
        </w:tabs>
        <w:ind w:left="0"/>
        <w:jc w:val="center"/>
      </w:pPr>
    </w:p>
    <w:p w14:paraId="6EAB841E" w14:textId="6E7882A3" w:rsidR="00773AD2" w:rsidRDefault="00773AD2" w:rsidP="00595CE6">
      <w:pPr>
        <w:pStyle w:val="Prrafodelista"/>
        <w:tabs>
          <w:tab w:val="left" w:pos="426"/>
        </w:tabs>
        <w:ind w:left="0"/>
        <w:jc w:val="center"/>
      </w:pPr>
      <w:r>
        <w:object w:dxaOrig="14040" w:dyaOrig="8985" w14:anchorId="62DE931B">
          <v:shape id="_x0000_i1034" type="#_x0000_t75" style="width:383.5pt;height:245pt" o:ole="" o:bordertopcolor="this" o:borderleftcolor="this" o:borderbottomcolor="this" o:borderrightcolor="this">
            <v:imagedata r:id="rId26" o:title=""/>
            <w10:bordertop type="single" width="8"/>
            <w10:borderleft type="single" width="8"/>
            <w10:borderbottom type="single" width="8"/>
            <w10:borderright type="single" width="8"/>
          </v:shape>
          <o:OLEObject Type="Embed" ProgID="PBrush" ShapeID="_x0000_i1034" DrawAspect="Content" ObjectID="_1719050040" r:id="rId27"/>
        </w:object>
      </w:r>
    </w:p>
    <w:p w14:paraId="2038979C" w14:textId="361D00D5" w:rsidR="00773AD2" w:rsidRDefault="00773AD2" w:rsidP="00595CE6">
      <w:pPr>
        <w:pStyle w:val="Prrafodelista"/>
        <w:tabs>
          <w:tab w:val="left" w:pos="426"/>
        </w:tabs>
        <w:ind w:left="0"/>
        <w:jc w:val="center"/>
      </w:pPr>
    </w:p>
    <w:p w14:paraId="11B5B7F5" w14:textId="57E68092" w:rsidR="00773AD2" w:rsidRDefault="00773AD2" w:rsidP="00595CE6">
      <w:pPr>
        <w:pStyle w:val="Prrafodelista"/>
        <w:tabs>
          <w:tab w:val="left" w:pos="426"/>
        </w:tabs>
        <w:ind w:left="0"/>
        <w:jc w:val="center"/>
        <w:rPr>
          <w:rFonts w:ascii="Palatino Linotype" w:hAnsi="Palatino Linotype"/>
          <w:color w:val="000000" w:themeColor="text1"/>
        </w:rPr>
      </w:pPr>
      <w:r>
        <w:object w:dxaOrig="14025" w:dyaOrig="3735" w14:anchorId="7BF5C3C0">
          <v:shape id="_x0000_i1035" type="#_x0000_t75" style="width:381pt;height:101pt" o:ole="" o:bordertopcolor="this" o:borderleftcolor="this" o:borderbottomcolor="this" o:borderrightcolor="this">
            <v:imagedata r:id="rId28" o:title=""/>
            <w10:bordertop type="single" width="8"/>
            <w10:borderleft type="single" width="8"/>
            <w10:borderbottom type="single" width="8"/>
            <w10:borderright type="single" width="8"/>
          </v:shape>
          <o:OLEObject Type="Embed" ProgID="PBrush" ShapeID="_x0000_i1035" DrawAspect="Content" ObjectID="_1719050041" r:id="rId29"/>
        </w:object>
      </w:r>
    </w:p>
    <w:p w14:paraId="6A41303A" w14:textId="77777777" w:rsidR="00595CE6" w:rsidRPr="002866A8" w:rsidRDefault="00595CE6" w:rsidP="002866A8">
      <w:pPr>
        <w:pStyle w:val="Prrafodelista"/>
        <w:tabs>
          <w:tab w:val="left" w:pos="426"/>
        </w:tabs>
        <w:ind w:left="0"/>
        <w:rPr>
          <w:rFonts w:ascii="Palatino Linotype" w:hAnsi="Palatino Linotype"/>
          <w:color w:val="000000" w:themeColor="text1"/>
        </w:rPr>
      </w:pPr>
    </w:p>
    <w:p w14:paraId="2D6D83FE" w14:textId="5AF41B2D" w:rsidR="002866A8" w:rsidRDefault="00773AD2"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El archivo </w:t>
      </w:r>
      <w:r>
        <w:rPr>
          <w:rFonts w:ascii="Palatino Linotype" w:hAnsi="Palatino Linotype"/>
          <w:b/>
          <w:bCs/>
          <w:i/>
          <w:iCs/>
          <w:color w:val="000000" w:themeColor="text1"/>
        </w:rPr>
        <w:t>“Fideicomiso FAI.pdf”</w:t>
      </w:r>
      <w:r>
        <w:rPr>
          <w:rFonts w:ascii="Palatino Linotype" w:hAnsi="Palatino Linotype"/>
          <w:color w:val="000000" w:themeColor="text1"/>
        </w:rPr>
        <w:t>, contiene un documento de 44 fojas</w:t>
      </w:r>
      <w:r w:rsidR="00812EAE">
        <w:rPr>
          <w:rFonts w:ascii="Palatino Linotype" w:hAnsi="Palatino Linotype"/>
          <w:color w:val="000000" w:themeColor="text1"/>
        </w:rPr>
        <w:t xml:space="preserve"> consistente en el Contrato de Fideicomiso Irrevocable de Administración y Pago, identificado con el número 796, celebrado entre el Gobierno del Estado de México y la Institución de Banca Múltiple </w:t>
      </w:r>
      <w:r w:rsidR="00812EAE">
        <w:rPr>
          <w:rFonts w:ascii="Palatino Linotype" w:hAnsi="Palatino Linotype"/>
          <w:i/>
          <w:iCs/>
          <w:color w:val="000000" w:themeColor="text1"/>
        </w:rPr>
        <w:t>IXE Grupo Financiero</w:t>
      </w:r>
      <w:r w:rsidR="00812EAE">
        <w:rPr>
          <w:rFonts w:ascii="Palatino Linotype" w:hAnsi="Palatino Linotype"/>
          <w:color w:val="000000" w:themeColor="text1"/>
        </w:rPr>
        <w:t>, en versión pública. Se comparte la imagen de la carátula del instrumento como referencia:</w:t>
      </w:r>
    </w:p>
    <w:p w14:paraId="127CAC4F" w14:textId="549F97CD" w:rsidR="002866A8" w:rsidRDefault="002866A8" w:rsidP="002866A8">
      <w:pPr>
        <w:pStyle w:val="Prrafodelista"/>
        <w:tabs>
          <w:tab w:val="left" w:pos="426"/>
        </w:tabs>
        <w:ind w:left="0"/>
        <w:rPr>
          <w:rFonts w:ascii="Palatino Linotype" w:hAnsi="Palatino Linotype"/>
          <w:color w:val="000000" w:themeColor="text1"/>
        </w:rPr>
      </w:pPr>
    </w:p>
    <w:p w14:paraId="098F83DE" w14:textId="50AF83E5" w:rsidR="00812EAE" w:rsidRDefault="00812EAE" w:rsidP="00812EAE">
      <w:pPr>
        <w:pStyle w:val="Prrafodelista"/>
        <w:tabs>
          <w:tab w:val="left" w:pos="426"/>
        </w:tabs>
        <w:ind w:left="0"/>
        <w:jc w:val="center"/>
        <w:rPr>
          <w:rFonts w:ascii="Palatino Linotype" w:hAnsi="Palatino Linotype"/>
          <w:color w:val="000000" w:themeColor="text1"/>
        </w:rPr>
      </w:pPr>
      <w:r>
        <w:object w:dxaOrig="10425" w:dyaOrig="9885" w14:anchorId="7BA941FD">
          <v:shape id="_x0000_i1036" type="#_x0000_t75" style="width:354.5pt;height:334.5pt" o:ole="" o:bordertopcolor="this" o:borderleftcolor="this" o:borderbottomcolor="this" o:borderrightcolor="this">
            <v:imagedata r:id="rId30" o:title=""/>
            <w10:bordertop type="single" width="8"/>
            <w10:borderleft type="single" width="8"/>
            <w10:borderbottom type="single" width="8"/>
            <w10:borderright type="single" width="8"/>
          </v:shape>
          <o:OLEObject Type="Embed" ProgID="PBrush" ShapeID="_x0000_i1036" DrawAspect="Content" ObjectID="_1719050042" r:id="rId31"/>
        </w:object>
      </w:r>
    </w:p>
    <w:p w14:paraId="029FF1C8" w14:textId="77777777" w:rsidR="00812EAE" w:rsidRPr="002866A8" w:rsidRDefault="00812EAE" w:rsidP="002866A8">
      <w:pPr>
        <w:pStyle w:val="Prrafodelista"/>
        <w:tabs>
          <w:tab w:val="left" w:pos="426"/>
        </w:tabs>
        <w:ind w:left="0"/>
        <w:rPr>
          <w:rFonts w:ascii="Palatino Linotype" w:hAnsi="Palatino Linotype"/>
          <w:color w:val="000000" w:themeColor="text1"/>
        </w:rPr>
      </w:pPr>
    </w:p>
    <w:p w14:paraId="5913E034" w14:textId="1DC0413C" w:rsidR="002866A8" w:rsidRDefault="00F75A1B"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El archivo </w:t>
      </w:r>
      <w:r>
        <w:rPr>
          <w:rFonts w:ascii="Palatino Linotype" w:hAnsi="Palatino Linotype"/>
          <w:b/>
          <w:bCs/>
          <w:i/>
          <w:iCs/>
          <w:color w:val="000000" w:themeColor="text1"/>
        </w:rPr>
        <w:t>“571 DG Crédito.pdf”</w:t>
      </w:r>
      <w:r>
        <w:rPr>
          <w:rFonts w:ascii="Palatino Linotype" w:hAnsi="Palatino Linotype"/>
          <w:color w:val="000000" w:themeColor="text1"/>
        </w:rPr>
        <w:t xml:space="preserve">, contiene la copia digitalizada del oficio 2070500202100L-010/2022, de veintiocho (28) de enero de dos mil veintidós, emitido por el Servidor Público Habilitado de la Dirección General de Crédito, y dirigido </w:t>
      </w:r>
      <w:r w:rsidR="000C460F">
        <w:rPr>
          <w:rFonts w:ascii="Palatino Linotype" w:hAnsi="Palatino Linotype"/>
          <w:color w:val="000000" w:themeColor="text1"/>
        </w:rPr>
        <w:t>al Jefe de la UIPPE y Titular de la Unidad de Transparencia:</w:t>
      </w:r>
    </w:p>
    <w:p w14:paraId="007EA6B5" w14:textId="73935CA8" w:rsidR="002866A8" w:rsidRDefault="002866A8" w:rsidP="002866A8">
      <w:pPr>
        <w:pStyle w:val="Prrafodelista"/>
        <w:tabs>
          <w:tab w:val="left" w:pos="426"/>
        </w:tabs>
        <w:ind w:left="0"/>
        <w:rPr>
          <w:rFonts w:ascii="Palatino Linotype" w:hAnsi="Palatino Linotype"/>
          <w:color w:val="000000" w:themeColor="text1"/>
        </w:rPr>
      </w:pPr>
    </w:p>
    <w:p w14:paraId="77568C45" w14:textId="277B1384" w:rsidR="000C460F" w:rsidRDefault="000C460F" w:rsidP="000C460F">
      <w:pPr>
        <w:pStyle w:val="Prrafodelista"/>
        <w:tabs>
          <w:tab w:val="left" w:pos="426"/>
        </w:tabs>
        <w:ind w:left="0"/>
        <w:jc w:val="center"/>
        <w:rPr>
          <w:rFonts w:ascii="Palatino Linotype" w:hAnsi="Palatino Linotype"/>
          <w:color w:val="000000" w:themeColor="text1"/>
        </w:rPr>
      </w:pPr>
      <w:r>
        <w:object w:dxaOrig="13965" w:dyaOrig="5535" w14:anchorId="16357D47">
          <v:shape id="_x0000_i1037" type="#_x0000_t75" style="width:378pt;height:149.5pt" o:ole="" o:bordertopcolor="this" o:borderleftcolor="this" o:borderbottomcolor="this" o:borderrightcolor="this">
            <v:imagedata r:id="rId32" o:title=""/>
            <w10:bordertop type="single" width="8"/>
            <w10:borderleft type="single" width="8"/>
            <w10:borderbottom type="single" width="8"/>
            <w10:borderright type="single" width="8"/>
          </v:shape>
          <o:OLEObject Type="Embed" ProgID="PBrush" ShapeID="_x0000_i1037" DrawAspect="Content" ObjectID="_1719050043" r:id="rId33"/>
        </w:object>
      </w:r>
    </w:p>
    <w:p w14:paraId="722859B6" w14:textId="77777777" w:rsidR="000C460F" w:rsidRPr="002866A8" w:rsidRDefault="000C460F" w:rsidP="002866A8">
      <w:pPr>
        <w:pStyle w:val="Prrafodelista"/>
        <w:tabs>
          <w:tab w:val="left" w:pos="426"/>
        </w:tabs>
        <w:ind w:left="0"/>
        <w:rPr>
          <w:rFonts w:ascii="Palatino Linotype" w:hAnsi="Palatino Linotype"/>
          <w:color w:val="000000" w:themeColor="text1"/>
        </w:rPr>
      </w:pPr>
    </w:p>
    <w:p w14:paraId="644E6AE7" w14:textId="25773D01" w:rsidR="002866A8" w:rsidRPr="00697386" w:rsidRDefault="000C460F"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Por su parte, el archivo </w:t>
      </w:r>
      <w:r>
        <w:rPr>
          <w:rFonts w:ascii="Palatino Linotype" w:hAnsi="Palatino Linotype"/>
          <w:b/>
          <w:bCs/>
          <w:i/>
          <w:iCs/>
          <w:color w:val="000000" w:themeColor="text1"/>
        </w:rPr>
        <w:t>“ DG EIF Y RF.pdf”</w:t>
      </w:r>
      <w:r>
        <w:rPr>
          <w:rFonts w:ascii="Palatino Linotype" w:hAnsi="Palatino Linotype"/>
          <w:color w:val="000000" w:themeColor="text1"/>
        </w:rPr>
        <w:t xml:space="preserve">, resulta ser un documento de dos fojas consistente en el oficio número 20704000020000S/239/2021, de veinte (20) de diciembre de dos mil veintiuno, firmado por la Servidora Pública Habilitada de la Dirección General de Evaluación de la Información Financiera y Recursos Federales, y dirigido al Jefe de la UIPPE y Titular de la Unidad de Transparencia, como </w:t>
      </w:r>
      <w:r w:rsidR="00742DDE">
        <w:rPr>
          <w:rFonts w:ascii="Palatino Linotype" w:hAnsi="Palatino Linotype"/>
          <w:color w:val="000000" w:themeColor="text1"/>
        </w:rPr>
        <w:t>a continuación se demuestra:</w:t>
      </w:r>
    </w:p>
    <w:p w14:paraId="4F5F0520" w14:textId="65866D5B" w:rsidR="00742DDE" w:rsidRDefault="000317B3" w:rsidP="00742DDE">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13965" w:dyaOrig="7755" w14:anchorId="32DF2749">
          <v:shape id="_x0000_i1038" type="#_x0000_t75" style="width:310.5pt;height:172pt" o:ole="" o:bordertopcolor="this" o:borderleftcolor="this" o:borderbottomcolor="this" o:borderrightcolor="this">
            <v:imagedata r:id="rId34" o:title=""/>
            <w10:bordertop type="single" width="8"/>
            <w10:borderleft type="single" width="8"/>
            <w10:borderbottom type="single" width="8"/>
            <w10:borderright type="single" width="8"/>
          </v:shape>
          <o:OLEObject Type="Embed" ProgID="PBrush" ShapeID="_x0000_i1038" DrawAspect="Content" ObjectID="_1719050044" r:id="rId35"/>
        </w:object>
      </w:r>
    </w:p>
    <w:p w14:paraId="455C81DB" w14:textId="77777777" w:rsidR="00742DDE" w:rsidRPr="00697386" w:rsidRDefault="00742DDE" w:rsidP="002866A8">
      <w:pPr>
        <w:pStyle w:val="Prrafodelista"/>
        <w:tabs>
          <w:tab w:val="left" w:pos="426"/>
        </w:tabs>
        <w:spacing w:before="240" w:after="240" w:line="360" w:lineRule="auto"/>
        <w:ind w:left="0" w:right="51"/>
        <w:jc w:val="both"/>
        <w:rPr>
          <w:rFonts w:ascii="Palatino Linotype" w:hAnsi="Palatino Linotype"/>
          <w:color w:val="000000" w:themeColor="text1"/>
        </w:rPr>
      </w:pPr>
    </w:p>
    <w:p w14:paraId="59571DC7" w14:textId="5885405E" w:rsidR="00697386" w:rsidRPr="00697386" w:rsidRDefault="00742DDE"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Dentro del archivo </w:t>
      </w:r>
      <w:r>
        <w:rPr>
          <w:rFonts w:ascii="Palatino Linotype" w:hAnsi="Palatino Linotype" w:cs="Arial"/>
          <w:b/>
          <w:bCs/>
          <w:i/>
          <w:iCs/>
          <w:color w:val="000000" w:themeColor="text1"/>
        </w:rPr>
        <w:t>“571 DG Personal.pdf”</w:t>
      </w:r>
      <w:r>
        <w:rPr>
          <w:rFonts w:ascii="Palatino Linotype" w:hAnsi="Palatino Linotype" w:cs="Arial"/>
          <w:color w:val="000000" w:themeColor="text1"/>
        </w:rPr>
        <w:t>, podemos encontrar al oficio número 20706004000100S-011/2022, de veinte de enero de dos mil veintidós, emitido por el Jefe de la Unidad y Servidor Público Habilitado de la Dirección General de Personal, y dirigido al Jefe de la UIPPE y Responsable de la Unidad de Transparencia:</w:t>
      </w:r>
    </w:p>
    <w:p w14:paraId="77D5C5A6" w14:textId="0B033A55" w:rsidR="00697386" w:rsidRDefault="00697386" w:rsidP="002866A8">
      <w:pPr>
        <w:pStyle w:val="Prrafodelista"/>
        <w:tabs>
          <w:tab w:val="left" w:pos="426"/>
        </w:tabs>
        <w:spacing w:before="240" w:after="240" w:line="360" w:lineRule="auto"/>
        <w:ind w:left="0" w:right="51"/>
        <w:jc w:val="both"/>
        <w:rPr>
          <w:rFonts w:ascii="Palatino Linotype" w:hAnsi="Palatino Linotype"/>
          <w:color w:val="000000" w:themeColor="text1"/>
        </w:rPr>
      </w:pPr>
    </w:p>
    <w:p w14:paraId="15E17CBD" w14:textId="198A0393" w:rsidR="00742DDE" w:rsidRDefault="00742DDE" w:rsidP="00742DDE">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13965" w:dyaOrig="7095" w14:anchorId="62B14746">
          <v:shape id="_x0000_i1039" type="#_x0000_t75" style="width:381pt;height:193.5pt" o:ole="" o:bordertopcolor="this" o:borderleftcolor="this" o:borderbottomcolor="this" o:borderrightcolor="this">
            <v:imagedata r:id="rId36" o:title=""/>
            <w10:bordertop type="single" width="8"/>
            <w10:borderleft type="single" width="8"/>
            <w10:borderbottom type="single" width="8"/>
            <w10:borderright type="single" width="8"/>
          </v:shape>
          <o:OLEObject Type="Embed" ProgID="PBrush" ShapeID="_x0000_i1039" DrawAspect="Content" ObjectID="_1719050045" r:id="rId37"/>
        </w:object>
      </w:r>
    </w:p>
    <w:p w14:paraId="3B650F86" w14:textId="77777777" w:rsidR="00742DDE" w:rsidRPr="00697386" w:rsidRDefault="00742DDE" w:rsidP="002866A8">
      <w:pPr>
        <w:pStyle w:val="Prrafodelista"/>
        <w:tabs>
          <w:tab w:val="left" w:pos="426"/>
        </w:tabs>
        <w:spacing w:before="240" w:after="240" w:line="360" w:lineRule="auto"/>
        <w:ind w:left="0" w:right="51"/>
        <w:jc w:val="both"/>
        <w:rPr>
          <w:rFonts w:ascii="Palatino Linotype" w:hAnsi="Palatino Linotype"/>
          <w:color w:val="000000" w:themeColor="text1"/>
        </w:rPr>
      </w:pPr>
    </w:p>
    <w:p w14:paraId="3F6AC487" w14:textId="1F351151" w:rsidR="00697386" w:rsidRPr="00042E99" w:rsidRDefault="00DF49F3"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Por cuanto hace al archivo titulado </w:t>
      </w:r>
      <w:r>
        <w:rPr>
          <w:rFonts w:ascii="Palatino Linotype" w:hAnsi="Palatino Linotype" w:cs="Arial"/>
          <w:b/>
          <w:bCs/>
          <w:i/>
          <w:iCs/>
          <w:color w:val="000000" w:themeColor="text1"/>
        </w:rPr>
        <w:t>“Fideicomiso ISERTP_redacted.pdf”</w:t>
      </w:r>
      <w:r>
        <w:rPr>
          <w:rFonts w:ascii="Palatino Linotype" w:hAnsi="Palatino Linotype" w:cs="Arial"/>
          <w:color w:val="000000" w:themeColor="text1"/>
        </w:rPr>
        <w:t xml:space="preserve">, </w:t>
      </w:r>
      <w:r>
        <w:rPr>
          <w:rFonts w:ascii="Palatino Linotype" w:hAnsi="Palatino Linotype" w:cs="Arial"/>
        </w:rPr>
        <w:t>consiste en un documento</w:t>
      </w:r>
      <w:r w:rsidRPr="00C967DD">
        <w:rPr>
          <w:rFonts w:ascii="Palatino Linotype" w:hAnsi="Palatino Linotype" w:cs="Arial"/>
        </w:rPr>
        <w:t xml:space="preserve"> </w:t>
      </w:r>
      <w:r>
        <w:rPr>
          <w:rFonts w:ascii="Palatino Linotype" w:hAnsi="Palatino Linotype" w:cs="Arial"/>
        </w:rPr>
        <w:t xml:space="preserve">de 605 fojas, las cuales, contienen el expediente formado del Fideicomiso Irrevocable de Fuente de Pago Número 2253-0, suscrito entre el Gobierno del Estado de México y la Institución de Banca Múltiple </w:t>
      </w:r>
      <w:r>
        <w:rPr>
          <w:rFonts w:ascii="Palatino Linotype" w:hAnsi="Palatino Linotype" w:cs="Arial"/>
          <w:i/>
        </w:rPr>
        <w:t>Banco Mercantil del Norte S. A.</w:t>
      </w:r>
      <w:r>
        <w:rPr>
          <w:rFonts w:ascii="Palatino Linotype" w:hAnsi="Palatino Linotype" w:cs="Arial"/>
          <w:iCs/>
        </w:rPr>
        <w:t>, en versión pública. Se adjuntan los fragmentos contrato, así como de uno de los convenios modificatorios:</w:t>
      </w:r>
    </w:p>
    <w:p w14:paraId="19DAE267" w14:textId="2DE9BFCF" w:rsidR="00042E99" w:rsidRDefault="000317B3" w:rsidP="002866A8">
      <w:pPr>
        <w:pStyle w:val="Prrafodelista"/>
        <w:tabs>
          <w:tab w:val="left" w:pos="426"/>
        </w:tabs>
        <w:spacing w:before="240" w:after="240" w:line="360" w:lineRule="auto"/>
        <w:ind w:left="0" w:right="51"/>
        <w:jc w:val="both"/>
        <w:rPr>
          <w:rFonts w:ascii="Palatino Linotype" w:hAnsi="Palatino Linotype"/>
          <w:color w:val="000000" w:themeColor="text1"/>
        </w:rPr>
      </w:pPr>
      <w:r>
        <w:rPr>
          <w:rFonts w:ascii="Palatino Linotype" w:hAnsi="Palatino Linotype"/>
          <w:noProof/>
          <w:color w:val="000000" w:themeColor="text1"/>
          <w:lang w:eastAsia="es-MX"/>
        </w:rPr>
        <mc:AlternateContent>
          <mc:Choice Requires="wps">
            <w:drawing>
              <wp:anchor distT="0" distB="0" distL="114300" distR="114300" simplePos="0" relativeHeight="251659264" behindDoc="0" locked="0" layoutInCell="1" allowOverlap="1" wp14:anchorId="7B7038BE" wp14:editId="2F7AF8EE">
                <wp:simplePos x="0" y="0"/>
                <wp:positionH relativeFrom="margin">
                  <wp:align>right</wp:align>
                </wp:positionH>
                <wp:positionV relativeFrom="paragraph">
                  <wp:posOffset>40589</wp:posOffset>
                </wp:positionV>
                <wp:extent cx="5499506" cy="1038555"/>
                <wp:effectExtent l="38100" t="38100" r="63500" b="85725"/>
                <wp:wrapNone/>
                <wp:docPr id="3" name="Conector recto 3"/>
                <wp:cNvGraphicFramePr/>
                <a:graphic xmlns:a="http://schemas.openxmlformats.org/drawingml/2006/main">
                  <a:graphicData uri="http://schemas.microsoft.com/office/word/2010/wordprocessingShape">
                    <wps:wsp>
                      <wps:cNvCnPr/>
                      <wps:spPr>
                        <a:xfrm flipV="1">
                          <a:off x="0" y="0"/>
                          <a:ext cx="5499506" cy="103855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702545" id="Conector recto 3" o:spid="_x0000_s1026" style="position:absolute;flip:y;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1.85pt,3.2pt" to="814.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" strokecolor="black [3213]" strokeweight="2pt">
                <v:shadow on="t" color="black" opacity="24903f" origin=",.5" offset="0,.55556mm"/>
                <w10:wrap anchorx="margin"/>
              </v:line>
            </w:pict>
          </mc:Fallback>
        </mc:AlternateContent>
      </w:r>
    </w:p>
    <w:p w14:paraId="05100E77" w14:textId="67892C4E" w:rsidR="00DF49F3" w:rsidRDefault="008D3F6F" w:rsidP="00DF49F3">
      <w:pPr>
        <w:pStyle w:val="Prrafodelista"/>
        <w:tabs>
          <w:tab w:val="left" w:pos="426"/>
        </w:tabs>
        <w:spacing w:before="240" w:after="240" w:line="360" w:lineRule="auto"/>
        <w:ind w:left="0" w:right="51"/>
        <w:jc w:val="center"/>
      </w:pPr>
      <w:r>
        <w:object w:dxaOrig="9390" w:dyaOrig="5850" w14:anchorId="6683D48F">
          <v:shape id="_x0000_i1040" type="#_x0000_t75" style="width:383.5pt;height:238.5pt" o:ole="" o:bordertopcolor="this" o:borderleftcolor="this" o:borderbottomcolor="this" o:borderrightcolor="this">
            <v:imagedata r:id="rId38" o:title=""/>
            <w10:bordertop type="single" width="8"/>
            <w10:borderleft type="single" width="8"/>
            <w10:borderbottom type="single" width="8"/>
            <w10:borderright type="single" width="8"/>
          </v:shape>
          <o:OLEObject Type="Embed" ProgID="PBrush" ShapeID="_x0000_i1040" DrawAspect="Content" ObjectID="_1719050046" r:id="rId39"/>
        </w:object>
      </w:r>
    </w:p>
    <w:p w14:paraId="5DB6121B" w14:textId="7FA2D03C" w:rsidR="00DF49F3" w:rsidRDefault="008D3F6F" w:rsidP="00DF49F3">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9330" w:dyaOrig="5160" w14:anchorId="4760E771">
          <v:shape id="_x0000_i1041" type="#_x0000_t75" style="width:382.5pt;height:211pt" o:ole="" o:bordertopcolor="this" o:borderleftcolor="this" o:borderbottomcolor="this" o:borderrightcolor="this">
            <v:imagedata r:id="rId40" o:title=""/>
            <w10:bordertop type="single" width="8"/>
            <w10:borderleft type="single" width="8"/>
            <w10:borderbottom type="single" width="8"/>
            <w10:borderright type="single" width="8"/>
          </v:shape>
          <o:OLEObject Type="Embed" ProgID="PBrush" ShapeID="_x0000_i1041" DrawAspect="Content" ObjectID="_1719050047" r:id="rId41"/>
        </w:object>
      </w:r>
    </w:p>
    <w:p w14:paraId="457CBF1D" w14:textId="77777777" w:rsidR="00DF49F3" w:rsidRPr="00042E99" w:rsidRDefault="00DF49F3" w:rsidP="002866A8">
      <w:pPr>
        <w:pStyle w:val="Prrafodelista"/>
        <w:tabs>
          <w:tab w:val="left" w:pos="426"/>
        </w:tabs>
        <w:spacing w:before="240" w:after="240" w:line="360" w:lineRule="auto"/>
        <w:ind w:left="0" w:right="51"/>
        <w:jc w:val="both"/>
        <w:rPr>
          <w:rFonts w:ascii="Palatino Linotype" w:hAnsi="Palatino Linotype"/>
          <w:color w:val="000000" w:themeColor="text1"/>
        </w:rPr>
      </w:pPr>
    </w:p>
    <w:p w14:paraId="2A9E20FC" w14:textId="1E5D899D" w:rsidR="00042E99" w:rsidRPr="008D3F6F" w:rsidRDefault="00577DDF"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El archivo </w:t>
      </w:r>
      <w:r>
        <w:rPr>
          <w:rFonts w:ascii="Palatino Linotype" w:hAnsi="Palatino Linotype" w:cs="Arial"/>
          <w:b/>
          <w:bCs/>
          <w:i/>
          <w:iCs/>
          <w:color w:val="000000" w:themeColor="text1"/>
        </w:rPr>
        <w:t>“FROA.pdf”</w:t>
      </w:r>
      <w:r>
        <w:rPr>
          <w:rFonts w:ascii="Palatino Linotype" w:hAnsi="Palatino Linotype" w:cs="Arial"/>
          <w:color w:val="000000" w:themeColor="text1"/>
        </w:rPr>
        <w:t xml:space="preserve"> es un documento de 45 fojas consistente en el expediente formado por el </w:t>
      </w:r>
      <w:r w:rsidR="00191367">
        <w:rPr>
          <w:rFonts w:ascii="Palatino Linotype" w:hAnsi="Palatino Linotype" w:cs="Arial"/>
          <w:color w:val="000000" w:themeColor="text1"/>
        </w:rPr>
        <w:t>Fideicomiso para la Administración del Fondo de Retiro para los Servidores Públicos de los Organismos Auxiliares y Fideicomisos Públicos del Poder Ejecutivo del Estado de México</w:t>
      </w:r>
      <w:r w:rsidR="00E01CE1">
        <w:rPr>
          <w:rFonts w:ascii="Palatino Linotype" w:hAnsi="Palatino Linotype" w:cs="Arial"/>
          <w:color w:val="000000" w:themeColor="text1"/>
        </w:rPr>
        <w:t>, en versión pública</w:t>
      </w:r>
      <w:r w:rsidR="00191367">
        <w:rPr>
          <w:rFonts w:ascii="Palatino Linotype" w:hAnsi="Palatino Linotype" w:cs="Arial"/>
          <w:color w:val="000000" w:themeColor="text1"/>
        </w:rPr>
        <w:t>. Se comparte la captura del rubro del Contrato nuclear</w:t>
      </w:r>
      <w:r w:rsidR="00E01CE1">
        <w:rPr>
          <w:rFonts w:ascii="Palatino Linotype" w:hAnsi="Palatino Linotype" w:cs="Arial"/>
          <w:color w:val="000000" w:themeColor="text1"/>
        </w:rPr>
        <w:t xml:space="preserve"> </w:t>
      </w:r>
      <w:r w:rsidR="00191367">
        <w:rPr>
          <w:rFonts w:ascii="Palatino Linotype" w:hAnsi="Palatino Linotype" w:cs="Arial"/>
          <w:color w:val="000000" w:themeColor="text1"/>
        </w:rPr>
        <w:t>y un convenio modificatorio:</w:t>
      </w:r>
    </w:p>
    <w:p w14:paraId="069C1047" w14:textId="4AC7C8F4" w:rsidR="008D3F6F" w:rsidRDefault="008D3F6F" w:rsidP="008D3F6F">
      <w:pPr>
        <w:pStyle w:val="Prrafodelista"/>
        <w:tabs>
          <w:tab w:val="left" w:pos="426"/>
        </w:tabs>
        <w:spacing w:before="240" w:after="240" w:line="360" w:lineRule="auto"/>
        <w:ind w:left="0" w:right="51"/>
        <w:jc w:val="both"/>
        <w:rPr>
          <w:rFonts w:ascii="Palatino Linotype" w:hAnsi="Palatino Linotype"/>
          <w:color w:val="000000" w:themeColor="text1"/>
        </w:rPr>
      </w:pPr>
    </w:p>
    <w:p w14:paraId="6D750BF5" w14:textId="2CB1CE3F" w:rsidR="00191367" w:rsidRDefault="00E01CE1" w:rsidP="00191367">
      <w:pPr>
        <w:pStyle w:val="Prrafodelista"/>
        <w:tabs>
          <w:tab w:val="left" w:pos="426"/>
        </w:tabs>
        <w:spacing w:before="240" w:after="240" w:line="360" w:lineRule="auto"/>
        <w:ind w:left="0" w:right="51"/>
        <w:jc w:val="center"/>
      </w:pPr>
      <w:r>
        <w:object w:dxaOrig="8970" w:dyaOrig="4575" w14:anchorId="5CA14F5D">
          <v:shape id="_x0000_i1042" type="#_x0000_t75" style="width:384.5pt;height:196pt" o:ole="" o:bordertopcolor="this" o:borderleftcolor="this" o:borderbottomcolor="this" o:borderrightcolor="this">
            <v:imagedata r:id="rId42" o:title=""/>
            <w10:bordertop type="single" width="8"/>
            <w10:borderleft type="single" width="8"/>
            <w10:borderbottom type="single" width="8"/>
            <w10:borderright type="single" width="8"/>
          </v:shape>
          <o:OLEObject Type="Embed" ProgID="PBrush" ShapeID="_x0000_i1042" DrawAspect="Content" ObjectID="_1719050048" r:id="rId43"/>
        </w:object>
      </w:r>
    </w:p>
    <w:p w14:paraId="4FE1E90C" w14:textId="4FCEB2AA" w:rsidR="00191367" w:rsidRDefault="00E01CE1" w:rsidP="00191367">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9765" w:dyaOrig="6945" w14:anchorId="1C3FB2BE">
          <v:shape id="_x0000_i1043" type="#_x0000_t75" style="width:380.5pt;height:271pt" o:ole="" o:bordertopcolor="this" o:borderleftcolor="this" o:borderbottomcolor="this" o:borderrightcolor="this">
            <v:imagedata r:id="rId44" o:title=""/>
            <w10:bordertop type="single" width="8"/>
            <w10:borderleft type="single" width="8"/>
            <w10:borderbottom type="single" width="8"/>
            <w10:borderright type="single" width="8"/>
          </v:shape>
          <o:OLEObject Type="Embed" ProgID="PBrush" ShapeID="_x0000_i1043" DrawAspect="Content" ObjectID="_1719050049" r:id="rId45"/>
        </w:object>
      </w:r>
    </w:p>
    <w:p w14:paraId="6C3BE208" w14:textId="77777777" w:rsidR="00191367" w:rsidRPr="008D3F6F" w:rsidRDefault="00191367" w:rsidP="008D3F6F">
      <w:pPr>
        <w:pStyle w:val="Prrafodelista"/>
        <w:tabs>
          <w:tab w:val="left" w:pos="426"/>
        </w:tabs>
        <w:spacing w:before="240" w:after="240" w:line="360" w:lineRule="auto"/>
        <w:ind w:left="0" w:right="51"/>
        <w:jc w:val="both"/>
        <w:rPr>
          <w:rFonts w:ascii="Palatino Linotype" w:hAnsi="Palatino Linotype"/>
          <w:color w:val="000000" w:themeColor="text1"/>
        </w:rPr>
      </w:pPr>
    </w:p>
    <w:p w14:paraId="4FE9EA55" w14:textId="59332115" w:rsidR="008D3F6F" w:rsidRPr="008D3F6F" w:rsidRDefault="00E01CE1"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En lo que corresponde al archivo </w:t>
      </w:r>
      <w:r>
        <w:rPr>
          <w:rFonts w:ascii="Palatino Linotype" w:hAnsi="Palatino Linotype" w:cs="Arial"/>
          <w:b/>
          <w:bCs/>
          <w:i/>
          <w:iCs/>
          <w:color w:val="000000" w:themeColor="text1"/>
        </w:rPr>
        <w:t>“FOAVI SMSEM.pdf”</w:t>
      </w:r>
      <w:r>
        <w:rPr>
          <w:rFonts w:ascii="Palatino Linotype" w:hAnsi="Palatino Linotype" w:cs="Arial"/>
          <w:color w:val="000000" w:themeColor="text1"/>
        </w:rPr>
        <w:t xml:space="preserve">, muestra un documento de 46 fojas consistente en el expediente formado del Fideicomiso Irrevocable para la Administración del Fondo de Apoyo a la vivienda para los Servidores Públicos </w:t>
      </w:r>
      <w:r>
        <w:rPr>
          <w:rFonts w:ascii="Palatino Linotype" w:hAnsi="Palatino Linotype" w:cs="Arial"/>
          <w:color w:val="000000" w:themeColor="text1"/>
        </w:rPr>
        <w:lastRenderedPageBreak/>
        <w:t>Docentes del Estado de México</w:t>
      </w:r>
      <w:r w:rsidR="006153CD">
        <w:rPr>
          <w:rFonts w:ascii="Palatino Linotype" w:hAnsi="Palatino Linotype" w:cs="Arial"/>
          <w:color w:val="000000" w:themeColor="text1"/>
        </w:rPr>
        <w:t xml:space="preserve">, celebrado por el Gobierno del Estado de México y la Institución de Banca Múltiple </w:t>
      </w:r>
      <w:r w:rsidR="006153CD">
        <w:rPr>
          <w:rFonts w:ascii="Palatino Linotype" w:hAnsi="Palatino Linotype" w:cs="Arial"/>
          <w:i/>
          <w:iCs/>
          <w:color w:val="000000" w:themeColor="text1"/>
        </w:rPr>
        <w:t>Grupo Financiero Interacciones</w:t>
      </w:r>
      <w:r w:rsidR="006153CD">
        <w:rPr>
          <w:rFonts w:ascii="Palatino Linotype" w:hAnsi="Palatino Linotype" w:cs="Arial"/>
          <w:color w:val="000000" w:themeColor="text1"/>
        </w:rPr>
        <w:t>, en versión pública</w:t>
      </w:r>
      <w:r>
        <w:rPr>
          <w:rFonts w:ascii="Palatino Linotype" w:hAnsi="Palatino Linotype" w:cs="Arial"/>
          <w:color w:val="000000" w:themeColor="text1"/>
        </w:rPr>
        <w:t>:</w:t>
      </w:r>
    </w:p>
    <w:p w14:paraId="3FCEEB04" w14:textId="61F96DD3" w:rsidR="008D3F6F" w:rsidRDefault="008D3F6F" w:rsidP="008D3F6F">
      <w:pPr>
        <w:pStyle w:val="Prrafodelista"/>
        <w:tabs>
          <w:tab w:val="left" w:pos="426"/>
        </w:tabs>
        <w:spacing w:before="240" w:after="240" w:line="360" w:lineRule="auto"/>
        <w:ind w:left="0" w:right="51"/>
        <w:jc w:val="both"/>
        <w:rPr>
          <w:rFonts w:ascii="Palatino Linotype" w:hAnsi="Palatino Linotype"/>
          <w:color w:val="000000" w:themeColor="text1"/>
        </w:rPr>
      </w:pPr>
    </w:p>
    <w:p w14:paraId="38F73083" w14:textId="5BD67DC9" w:rsidR="00E01CE1" w:rsidRDefault="006153CD" w:rsidP="00E01CE1">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16605" w:dyaOrig="7905" w14:anchorId="4D30D496">
          <v:shape id="_x0000_i1044" type="#_x0000_t75" style="width:382.5pt;height:181.5pt" o:ole="" o:bordertopcolor="this" o:borderleftcolor="this" o:borderbottomcolor="this" o:borderrightcolor="this">
            <v:imagedata r:id="rId46" o:title=""/>
            <w10:bordertop type="single" width="8"/>
            <w10:borderleft type="single" width="8"/>
            <w10:borderbottom type="single" width="8"/>
            <w10:borderright type="single" width="8"/>
          </v:shape>
          <o:OLEObject Type="Embed" ProgID="PBrush" ShapeID="_x0000_i1044" DrawAspect="Content" ObjectID="_1719050050" r:id="rId47"/>
        </w:object>
      </w:r>
    </w:p>
    <w:p w14:paraId="509C8D8A" w14:textId="77777777" w:rsidR="00E01CE1" w:rsidRPr="008D3F6F" w:rsidRDefault="00E01CE1" w:rsidP="008D3F6F">
      <w:pPr>
        <w:pStyle w:val="Prrafodelista"/>
        <w:tabs>
          <w:tab w:val="left" w:pos="426"/>
        </w:tabs>
        <w:spacing w:before="240" w:after="240" w:line="360" w:lineRule="auto"/>
        <w:ind w:left="0" w:right="51"/>
        <w:jc w:val="both"/>
        <w:rPr>
          <w:rFonts w:ascii="Palatino Linotype" w:hAnsi="Palatino Linotype"/>
          <w:color w:val="000000" w:themeColor="text1"/>
        </w:rPr>
      </w:pPr>
    </w:p>
    <w:p w14:paraId="6FB0B985" w14:textId="39B1AD81" w:rsidR="008D3F6F" w:rsidRPr="008D3F6F" w:rsidRDefault="00C637C3"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noProof/>
          <w:color w:val="000000" w:themeColor="text1"/>
          <w:lang w:eastAsia="es-MX"/>
        </w:rPr>
        <mc:AlternateContent>
          <mc:Choice Requires="wps">
            <w:drawing>
              <wp:anchor distT="0" distB="0" distL="114300" distR="114300" simplePos="0" relativeHeight="251660288" behindDoc="0" locked="0" layoutInCell="1" allowOverlap="1" wp14:anchorId="207CBDEC" wp14:editId="705A1051">
                <wp:simplePos x="0" y="0"/>
                <wp:positionH relativeFrom="margin">
                  <wp:align>right</wp:align>
                </wp:positionH>
                <wp:positionV relativeFrom="paragraph">
                  <wp:posOffset>2433294</wp:posOffset>
                </wp:positionV>
                <wp:extent cx="5514136" cy="1572641"/>
                <wp:effectExtent l="38100" t="38100" r="67945" b="85090"/>
                <wp:wrapNone/>
                <wp:docPr id="4" name="Conector recto 4"/>
                <wp:cNvGraphicFramePr/>
                <a:graphic xmlns:a="http://schemas.openxmlformats.org/drawingml/2006/main">
                  <a:graphicData uri="http://schemas.microsoft.com/office/word/2010/wordprocessingShape">
                    <wps:wsp>
                      <wps:cNvCnPr/>
                      <wps:spPr>
                        <a:xfrm flipV="1">
                          <a:off x="0" y="0"/>
                          <a:ext cx="5514136" cy="1572641"/>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A4E3859" id="Conector recto 4" o:spid="_x0000_s1026" style="position:absolute;flip:y;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3pt,191.6pt" to="817.2pt,3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" strokecolor="black [3200]" strokeweight="2pt">
                <v:shadow on="t" color="black" opacity="24903f" origin=",.5" offset="0,.55556mm"/>
                <w10:wrap anchorx="margin"/>
              </v:line>
            </w:pict>
          </mc:Fallback>
        </mc:AlternateContent>
      </w:r>
      <w:r w:rsidR="006153CD">
        <w:rPr>
          <w:rFonts w:ascii="Palatino Linotype" w:hAnsi="Palatino Linotype" w:cs="Arial"/>
          <w:color w:val="000000" w:themeColor="text1"/>
        </w:rPr>
        <w:t xml:space="preserve">Por su parte, el archivo </w:t>
      </w:r>
      <w:r w:rsidR="006153CD">
        <w:rPr>
          <w:rFonts w:ascii="Palatino Linotype" w:hAnsi="Palatino Linotype" w:cs="Arial"/>
          <w:b/>
          <w:bCs/>
          <w:i/>
          <w:iCs/>
          <w:color w:val="000000" w:themeColor="text1"/>
        </w:rPr>
        <w:t>“FOAVI SUTEYM.pdf”</w:t>
      </w:r>
      <w:r w:rsidR="006153CD">
        <w:rPr>
          <w:rFonts w:ascii="Palatino Linotype" w:hAnsi="Palatino Linotype" w:cs="Arial"/>
          <w:color w:val="000000" w:themeColor="text1"/>
        </w:rPr>
        <w:t xml:space="preserve">, muestra un documento de 49 fojas consistente en el expediente formado del Fideicomiso Irrevocable para la Administración del Fondo de Apoyo a la Vivienda para los Servidores Públicos Generales de los Poderes Ejecutivo y Judicial del Gobierno del Estado de México Afiliados al sindicato Único de Trabajadores de los Poderes, Municipios e Instituciones Descentralizadas del Estado de México, celebrado por el Gobierno del Estado de México y la Institución de Banca Múltiple </w:t>
      </w:r>
      <w:r w:rsidR="006153CD">
        <w:rPr>
          <w:rFonts w:ascii="Palatino Linotype" w:hAnsi="Palatino Linotype" w:cs="Arial"/>
          <w:i/>
          <w:iCs/>
          <w:color w:val="000000" w:themeColor="text1"/>
        </w:rPr>
        <w:t>Grupo Financiero Interacciones</w:t>
      </w:r>
      <w:r w:rsidR="006153CD">
        <w:rPr>
          <w:rFonts w:ascii="Palatino Linotype" w:hAnsi="Palatino Linotype" w:cs="Arial"/>
          <w:color w:val="000000" w:themeColor="text1"/>
        </w:rPr>
        <w:t>, en versión pública:</w:t>
      </w:r>
    </w:p>
    <w:p w14:paraId="70543AA3" w14:textId="099524CE" w:rsidR="008D3F6F" w:rsidRDefault="008D3F6F" w:rsidP="008D3F6F">
      <w:pPr>
        <w:pStyle w:val="Prrafodelista"/>
        <w:tabs>
          <w:tab w:val="left" w:pos="426"/>
        </w:tabs>
        <w:spacing w:before="240" w:after="240" w:line="360" w:lineRule="auto"/>
        <w:ind w:left="0" w:right="51"/>
        <w:jc w:val="both"/>
        <w:rPr>
          <w:rFonts w:ascii="Palatino Linotype" w:hAnsi="Palatino Linotype"/>
          <w:color w:val="000000" w:themeColor="text1"/>
        </w:rPr>
      </w:pPr>
    </w:p>
    <w:p w14:paraId="08988CEE" w14:textId="73B4A3DF" w:rsidR="006153CD" w:rsidRDefault="00F22309" w:rsidP="006153CD">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9330" w:dyaOrig="6405" w14:anchorId="573150A3">
          <v:shape id="_x0000_i1045" type="#_x0000_t75" style="width:381pt;height:261.5pt" o:ole="" o:bordertopcolor="this" o:borderleftcolor="this" o:borderbottomcolor="this" o:borderrightcolor="this">
            <v:imagedata r:id="rId48" o:title=""/>
            <w10:bordertop type="single" width="8"/>
            <w10:borderleft type="single" width="8"/>
            <w10:borderbottom type="single" width="8"/>
            <w10:borderright type="single" width="8"/>
          </v:shape>
          <o:OLEObject Type="Embed" ProgID="PBrush" ShapeID="_x0000_i1045" DrawAspect="Content" ObjectID="_1719050051" r:id="rId49"/>
        </w:object>
      </w:r>
    </w:p>
    <w:p w14:paraId="7C3123AD" w14:textId="77777777" w:rsidR="006153CD" w:rsidRDefault="006153CD" w:rsidP="008D3F6F">
      <w:pPr>
        <w:pStyle w:val="Prrafodelista"/>
        <w:tabs>
          <w:tab w:val="left" w:pos="426"/>
        </w:tabs>
        <w:spacing w:before="240" w:after="240" w:line="360" w:lineRule="auto"/>
        <w:ind w:left="0" w:right="51"/>
        <w:jc w:val="both"/>
        <w:rPr>
          <w:rFonts w:ascii="Palatino Linotype" w:hAnsi="Palatino Linotype"/>
          <w:color w:val="000000" w:themeColor="text1"/>
        </w:rPr>
      </w:pPr>
    </w:p>
    <w:p w14:paraId="145FE73F" w14:textId="16AF5548" w:rsidR="008D3F6F" w:rsidRPr="00042E99" w:rsidRDefault="00973DB8"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Por cuanto hace al archivo </w:t>
      </w:r>
      <w:r>
        <w:rPr>
          <w:rFonts w:ascii="Palatino Linotype" w:hAnsi="Palatino Linotype" w:cs="Arial"/>
          <w:b/>
          <w:bCs/>
          <w:i/>
          <w:iCs/>
          <w:color w:val="000000" w:themeColor="text1"/>
        </w:rPr>
        <w:t>“FOREMEX.pdf”</w:t>
      </w:r>
      <w:r>
        <w:rPr>
          <w:rFonts w:ascii="Palatino Linotype" w:hAnsi="Palatino Linotype" w:cs="Arial"/>
          <w:color w:val="000000" w:themeColor="text1"/>
        </w:rPr>
        <w:t>, consiste en un documento de 42 fojas cuyo contenido muestra el expediente formado por el Fideicomiso Irrevocable para la Administración de un Fondo de Retiro para los Servidores Públicos de los Poderes Ejecutivo y Judicial del Estado de México</w:t>
      </w:r>
      <w:r w:rsidR="00B7018A">
        <w:rPr>
          <w:rFonts w:ascii="Palatino Linotype" w:hAnsi="Palatino Linotype" w:cs="Arial"/>
          <w:color w:val="000000" w:themeColor="text1"/>
        </w:rPr>
        <w:t>, en versión pública:</w:t>
      </w:r>
    </w:p>
    <w:p w14:paraId="7D2C510C" w14:textId="5F677ABA" w:rsidR="00042E99" w:rsidRDefault="00042E99" w:rsidP="002866A8">
      <w:pPr>
        <w:pStyle w:val="Prrafodelista"/>
        <w:tabs>
          <w:tab w:val="left" w:pos="426"/>
        </w:tabs>
        <w:spacing w:before="240" w:after="240" w:line="360" w:lineRule="auto"/>
        <w:ind w:left="0" w:right="51"/>
        <w:jc w:val="both"/>
        <w:rPr>
          <w:rFonts w:ascii="Palatino Linotype" w:hAnsi="Palatino Linotype"/>
          <w:color w:val="000000" w:themeColor="text1"/>
        </w:rPr>
      </w:pPr>
    </w:p>
    <w:p w14:paraId="1FDC2E07" w14:textId="51220EB4" w:rsidR="00B7018A" w:rsidRDefault="00C637C3" w:rsidP="00B7018A">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13560" w:dyaOrig="7290" w14:anchorId="74EF114E">
          <v:shape id="_x0000_i1046" type="#_x0000_t75" style="width:323.5pt;height:174pt" o:ole="" o:bordertopcolor="this" o:borderleftcolor="this" o:borderbottomcolor="this" o:borderrightcolor="this">
            <v:imagedata r:id="rId50" o:title=""/>
            <w10:bordertop type="single" width="8"/>
            <w10:borderleft type="single" width="8"/>
            <w10:borderbottom type="single" width="8"/>
            <w10:borderright type="single" width="8"/>
          </v:shape>
          <o:OLEObject Type="Embed" ProgID="PBrush" ShapeID="_x0000_i1046" DrawAspect="Content" ObjectID="_1719050052" r:id="rId51"/>
        </w:object>
      </w:r>
    </w:p>
    <w:p w14:paraId="617020CD" w14:textId="77777777" w:rsidR="00B7018A" w:rsidRPr="00042E99" w:rsidRDefault="00B7018A" w:rsidP="002866A8">
      <w:pPr>
        <w:pStyle w:val="Prrafodelista"/>
        <w:tabs>
          <w:tab w:val="left" w:pos="426"/>
        </w:tabs>
        <w:spacing w:before="240" w:after="240" w:line="360" w:lineRule="auto"/>
        <w:ind w:left="0" w:right="51"/>
        <w:jc w:val="both"/>
        <w:rPr>
          <w:rFonts w:ascii="Palatino Linotype" w:hAnsi="Palatino Linotype"/>
          <w:color w:val="000000" w:themeColor="text1"/>
        </w:rPr>
      </w:pPr>
    </w:p>
    <w:p w14:paraId="6DBA827A" w14:textId="4D49A669" w:rsidR="00042E99" w:rsidRPr="00B7018A" w:rsidRDefault="00B7018A"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Finalmente, por cuanto hace al archivo titulado </w:t>
      </w:r>
      <w:r>
        <w:rPr>
          <w:rFonts w:ascii="Palatino Linotype" w:hAnsi="Palatino Linotype" w:cs="Arial"/>
          <w:b/>
          <w:bCs/>
          <w:i/>
          <w:iCs/>
          <w:color w:val="000000" w:themeColor="text1"/>
        </w:rPr>
        <w:t>“UIPPE 571.pdf”</w:t>
      </w:r>
      <w:r>
        <w:rPr>
          <w:rFonts w:ascii="Palatino Linotype" w:hAnsi="Palatino Linotype" w:cs="Arial"/>
          <w:color w:val="000000" w:themeColor="text1"/>
        </w:rPr>
        <w:t>, éste consiste en un documento de una foja que muestra el oficio 20700004S/UT-0234/2022, de treinta y uno (31) de enero de dos mil veintidós, emitido por el Jefe de la UIPPE y Titular de la Unidad de Transparencia:</w:t>
      </w:r>
    </w:p>
    <w:p w14:paraId="1E78252A" w14:textId="2EB9B4B2" w:rsidR="00B7018A" w:rsidRDefault="00B7018A" w:rsidP="00B7018A">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9315" w:dyaOrig="6555" w14:anchorId="7B80E908">
          <v:shape id="_x0000_i1047" type="#_x0000_t75" style="width:329.5pt;height:232pt" o:ole="" o:bordertopcolor="this" o:borderleftcolor="this" o:borderbottomcolor="this" o:borderrightcolor="this">
            <v:imagedata r:id="rId52" o:title=""/>
            <w10:bordertop type="single" width="8"/>
            <w10:borderleft type="single" width="8"/>
            <w10:borderbottom type="single" width="8"/>
            <w10:borderright type="single" width="8"/>
          </v:shape>
          <o:OLEObject Type="Embed" ProgID="PBrush" ShapeID="_x0000_i1047" DrawAspect="Content" ObjectID="_1719050053" r:id="rId53"/>
        </w:object>
      </w:r>
    </w:p>
    <w:p w14:paraId="008E2CC3" w14:textId="77777777" w:rsidR="00B7018A" w:rsidRPr="00B7018A" w:rsidRDefault="00B7018A" w:rsidP="00B7018A">
      <w:pPr>
        <w:pStyle w:val="Prrafodelista"/>
        <w:tabs>
          <w:tab w:val="left" w:pos="426"/>
        </w:tabs>
        <w:spacing w:before="240" w:after="240" w:line="360" w:lineRule="auto"/>
        <w:ind w:left="0" w:right="51"/>
        <w:jc w:val="both"/>
        <w:rPr>
          <w:rFonts w:ascii="Palatino Linotype" w:hAnsi="Palatino Linotype"/>
          <w:color w:val="000000" w:themeColor="text1"/>
        </w:rPr>
      </w:pPr>
    </w:p>
    <w:p w14:paraId="3888538B" w14:textId="181781C6" w:rsidR="00B7018A" w:rsidRPr="0091724D" w:rsidRDefault="00B7018A" w:rsidP="009C74F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Así las cosas, queda demostrado que </w:t>
      </w:r>
      <w:r w:rsidR="009C74FD">
        <w:rPr>
          <w:rFonts w:ascii="Palatino Linotype" w:hAnsi="Palatino Linotype" w:cs="Arial"/>
          <w:color w:val="000000" w:themeColor="text1"/>
        </w:rPr>
        <w:t xml:space="preserve">todos y cada uno de los archivos electrónicos presentados por el </w:t>
      </w:r>
      <w:r w:rsidR="009C74FD">
        <w:rPr>
          <w:rFonts w:ascii="Palatino Linotype" w:hAnsi="Palatino Linotype" w:cs="Arial"/>
          <w:b/>
          <w:bCs/>
          <w:color w:val="000000" w:themeColor="text1"/>
        </w:rPr>
        <w:t>SUJETO OBLIGADO</w:t>
      </w:r>
      <w:r w:rsidR="009C74FD">
        <w:rPr>
          <w:rFonts w:ascii="Palatino Linotype" w:hAnsi="Palatino Linotype" w:cs="Arial"/>
          <w:color w:val="000000" w:themeColor="text1"/>
        </w:rPr>
        <w:t xml:space="preserve"> en respuesta a la solicitud pueden ser descargados y visualizados sin ningún contratiempo. Por lo tanto, por cuanto hace al agravio expuesto por la </w:t>
      </w:r>
      <w:r w:rsidR="009C74FD">
        <w:rPr>
          <w:rFonts w:ascii="Palatino Linotype" w:hAnsi="Palatino Linotype" w:cs="Arial"/>
          <w:b/>
          <w:bCs/>
          <w:color w:val="000000" w:themeColor="text1"/>
        </w:rPr>
        <w:t>RECURRENTE</w:t>
      </w:r>
      <w:r w:rsidR="009C74FD">
        <w:rPr>
          <w:rFonts w:ascii="Palatino Linotype" w:hAnsi="Palatino Linotype" w:cs="Arial"/>
          <w:color w:val="000000" w:themeColor="text1"/>
        </w:rPr>
        <w:t xml:space="preserve"> mediante el cual manifestó una imposibilidad para acceder a los documentos entregados en respuesta, este Organismo Garante lo encuentra </w:t>
      </w:r>
      <w:r w:rsidR="009C74FD">
        <w:rPr>
          <w:rFonts w:ascii="Palatino Linotype" w:hAnsi="Palatino Linotype" w:cs="Arial"/>
          <w:b/>
          <w:bCs/>
          <w:color w:val="000000" w:themeColor="text1"/>
        </w:rPr>
        <w:t>infundado</w:t>
      </w:r>
      <w:r w:rsidR="009C74FD">
        <w:rPr>
          <w:rFonts w:ascii="Palatino Linotype" w:hAnsi="Palatino Linotype" w:cs="Arial"/>
          <w:color w:val="000000" w:themeColor="text1"/>
        </w:rPr>
        <w:t>.</w:t>
      </w:r>
    </w:p>
    <w:p w14:paraId="58DA380F" w14:textId="77777777" w:rsidR="0091724D" w:rsidRPr="0091724D" w:rsidRDefault="0091724D" w:rsidP="0091724D">
      <w:pPr>
        <w:pStyle w:val="Prrafodelista"/>
        <w:tabs>
          <w:tab w:val="left" w:pos="426"/>
        </w:tabs>
        <w:spacing w:before="240" w:after="240" w:line="360" w:lineRule="auto"/>
        <w:ind w:left="0" w:right="51"/>
        <w:jc w:val="both"/>
        <w:rPr>
          <w:rFonts w:ascii="Palatino Linotype" w:hAnsi="Palatino Linotype"/>
          <w:color w:val="000000" w:themeColor="text1"/>
        </w:rPr>
      </w:pPr>
    </w:p>
    <w:p w14:paraId="57D4011F" w14:textId="7AAB2569" w:rsidR="0091724D" w:rsidRPr="0091724D" w:rsidRDefault="0091724D" w:rsidP="009C74F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Una vez expuesto lo anterior, no se pierde de vista que las versiones públicas de los expedientes pertenecientes a los diversos Fideicomisos en los que el Gobierno </w:t>
      </w:r>
      <w:r>
        <w:rPr>
          <w:rFonts w:ascii="Palatino Linotype" w:hAnsi="Palatino Linotype" w:cs="Arial"/>
          <w:color w:val="000000" w:themeColor="text1"/>
        </w:rPr>
        <w:lastRenderedPageBreak/>
        <w:t xml:space="preserve">del Estado de México es parte, carecen de un adecuado ejercicio de clasificación, toda vez que el </w:t>
      </w:r>
      <w:r>
        <w:rPr>
          <w:rFonts w:ascii="Palatino Linotype" w:hAnsi="Palatino Linotype" w:cs="Arial"/>
          <w:b/>
          <w:bCs/>
          <w:color w:val="000000" w:themeColor="text1"/>
        </w:rPr>
        <w:t>SUJETO OBLIGADO</w:t>
      </w:r>
      <w:r>
        <w:rPr>
          <w:rFonts w:ascii="Palatino Linotype" w:hAnsi="Palatino Linotype" w:cs="Arial"/>
          <w:color w:val="000000" w:themeColor="text1"/>
        </w:rPr>
        <w:t xml:space="preserve"> pretendió testar </w:t>
      </w:r>
      <w:r w:rsidR="001D25FC">
        <w:rPr>
          <w:rFonts w:ascii="Palatino Linotype" w:hAnsi="Palatino Linotype" w:cs="Arial"/>
          <w:color w:val="000000" w:themeColor="text1"/>
        </w:rPr>
        <w:t>las firmas de muchos de los servidores públicos, y representantes legales de las Instituciones de Banca Múltiple, quienes participaron en su suscripción</w:t>
      </w:r>
      <w:r w:rsidR="00BF0627">
        <w:rPr>
          <w:rFonts w:ascii="Palatino Linotype" w:hAnsi="Palatino Linotype" w:cs="Arial"/>
          <w:color w:val="000000" w:themeColor="text1"/>
        </w:rPr>
        <w:t>, así como de los números de cuenta de los fideicomisos</w:t>
      </w:r>
      <w:r w:rsidR="001D25FC">
        <w:rPr>
          <w:rFonts w:ascii="Palatino Linotype" w:hAnsi="Palatino Linotype" w:cs="Arial"/>
          <w:color w:val="000000" w:themeColor="text1"/>
        </w:rPr>
        <w:t>.</w:t>
      </w:r>
    </w:p>
    <w:p w14:paraId="556AC4DF" w14:textId="77777777" w:rsidR="0091724D" w:rsidRPr="0091724D" w:rsidRDefault="0091724D" w:rsidP="0091724D">
      <w:pPr>
        <w:pStyle w:val="Prrafodelista"/>
        <w:tabs>
          <w:tab w:val="left" w:pos="426"/>
        </w:tabs>
        <w:spacing w:before="240" w:after="240" w:line="360" w:lineRule="auto"/>
        <w:ind w:left="0" w:right="51"/>
        <w:jc w:val="both"/>
        <w:rPr>
          <w:rFonts w:ascii="Palatino Linotype" w:hAnsi="Palatino Linotype"/>
          <w:color w:val="000000" w:themeColor="text1"/>
        </w:rPr>
      </w:pPr>
    </w:p>
    <w:p w14:paraId="4B67AEC2" w14:textId="229AE94F" w:rsidR="0091724D" w:rsidRPr="0091724D" w:rsidRDefault="001D25FC" w:rsidP="009C74F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Por ello, para la entrega de la información </w:t>
      </w:r>
      <w:r>
        <w:rPr>
          <w:rFonts w:ascii="Palatino Linotype" w:hAnsi="Palatino Linotype" w:cs="Arial"/>
          <w:b/>
          <w:bCs/>
          <w:color w:val="000000" w:themeColor="text1"/>
        </w:rPr>
        <w:t>vía correo electrónico</w:t>
      </w:r>
      <w:r>
        <w:rPr>
          <w:rFonts w:ascii="Palatino Linotype" w:hAnsi="Palatino Linotype" w:cs="Arial"/>
          <w:color w:val="000000" w:themeColor="text1"/>
        </w:rPr>
        <w:t xml:space="preserve"> el </w:t>
      </w:r>
      <w:r>
        <w:rPr>
          <w:rFonts w:ascii="Palatino Linotype" w:hAnsi="Palatino Linotype" w:cs="Arial"/>
          <w:b/>
          <w:bCs/>
          <w:color w:val="000000" w:themeColor="text1"/>
        </w:rPr>
        <w:t>SUJETO OBLIGADO</w:t>
      </w:r>
      <w:r>
        <w:rPr>
          <w:rFonts w:ascii="Palatino Linotype" w:hAnsi="Palatino Linotype" w:cs="Arial"/>
          <w:color w:val="000000" w:themeColor="text1"/>
        </w:rPr>
        <w:t xml:space="preserve"> deberá ser sumamente cuidadoso en no exceder la restricción al derecho de acceso a la información pública de la </w:t>
      </w:r>
      <w:r>
        <w:rPr>
          <w:rFonts w:ascii="Palatino Linotype" w:hAnsi="Palatino Linotype" w:cs="Arial"/>
          <w:b/>
          <w:bCs/>
          <w:color w:val="000000" w:themeColor="text1"/>
        </w:rPr>
        <w:t>RECURRENTE</w:t>
      </w:r>
      <w:r>
        <w:rPr>
          <w:rFonts w:ascii="Palatino Linotype" w:hAnsi="Palatino Linotype" w:cs="Arial"/>
          <w:color w:val="000000" w:themeColor="text1"/>
        </w:rPr>
        <w:t>, y generar versiones públicas apegadas a derecho, acompañadas del respectivo Acuerdo de Clasificación en el que se funden y motiven las razones por las que se supriman datos o información específica.</w:t>
      </w:r>
    </w:p>
    <w:p w14:paraId="795CAC33" w14:textId="77777777" w:rsidR="0091724D" w:rsidRPr="0091724D" w:rsidRDefault="0091724D" w:rsidP="0091724D">
      <w:pPr>
        <w:pStyle w:val="Prrafodelista"/>
        <w:tabs>
          <w:tab w:val="left" w:pos="426"/>
        </w:tabs>
        <w:spacing w:before="240" w:after="240" w:line="360" w:lineRule="auto"/>
        <w:ind w:left="0" w:right="51"/>
        <w:jc w:val="both"/>
        <w:rPr>
          <w:rFonts w:ascii="Palatino Linotype" w:hAnsi="Palatino Linotype"/>
          <w:color w:val="000000" w:themeColor="text1"/>
        </w:rPr>
      </w:pPr>
    </w:p>
    <w:p w14:paraId="5F1C09FC" w14:textId="2ABBF7C5" w:rsidR="0091724D" w:rsidRPr="0091724D" w:rsidRDefault="00BF0627" w:rsidP="009C74F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En ese sentido</w:t>
      </w:r>
      <w:r w:rsidR="00700275">
        <w:rPr>
          <w:rFonts w:ascii="Palatino Linotype" w:hAnsi="Palatino Linotype"/>
          <w:color w:val="000000" w:themeColor="text1"/>
        </w:rPr>
        <w:t xml:space="preserve">, conviene compartir el contenido del Criterio de Interpretación 01-19 publicado por el Instituto Nacional de Transparencia, Acceso a la Información Pública y Protección de Datos Personales del Estado de México y Municipios, cuyo </w:t>
      </w:r>
      <w:r>
        <w:rPr>
          <w:rFonts w:ascii="Palatino Linotype" w:hAnsi="Palatino Linotype"/>
          <w:color w:val="000000" w:themeColor="text1"/>
        </w:rPr>
        <w:t>rubro y texto establecen lo siguiente:</w:t>
      </w:r>
    </w:p>
    <w:p w14:paraId="098EC564" w14:textId="7B6049B4" w:rsidR="0091724D" w:rsidRDefault="0091724D" w:rsidP="00700275">
      <w:pPr>
        <w:pStyle w:val="Prrafodelista"/>
        <w:tabs>
          <w:tab w:val="left" w:pos="426"/>
        </w:tabs>
        <w:spacing w:line="360" w:lineRule="auto"/>
        <w:ind w:left="0" w:right="51"/>
        <w:jc w:val="both"/>
        <w:rPr>
          <w:rFonts w:ascii="Palatino Linotype" w:hAnsi="Palatino Linotype"/>
          <w:color w:val="000000" w:themeColor="text1"/>
        </w:rPr>
      </w:pPr>
    </w:p>
    <w:p w14:paraId="37F877ED" w14:textId="4C8A5C3D" w:rsidR="00700275" w:rsidRPr="00700275" w:rsidRDefault="00700275" w:rsidP="00700275">
      <w:pPr>
        <w:spacing w:line="276" w:lineRule="auto"/>
        <w:ind w:left="567" w:right="567"/>
        <w:jc w:val="both"/>
        <w:rPr>
          <w:rFonts w:ascii="Palatino Linotype" w:hAnsi="Palatino Linotype" w:cs="Arial"/>
          <w:bCs/>
          <w:i/>
          <w:iCs/>
          <w:sz w:val="22"/>
          <w:szCs w:val="22"/>
        </w:rPr>
      </w:pPr>
      <w:r w:rsidRPr="00700275">
        <w:rPr>
          <w:rFonts w:ascii="Palatino Linotype" w:eastAsia="Calibri" w:hAnsi="Palatino Linotype" w:cs="Arial"/>
          <w:b/>
          <w:i/>
          <w:iCs/>
          <w:sz w:val="22"/>
          <w:szCs w:val="22"/>
        </w:rPr>
        <w:t>DATOS DE IDENTIFICACIÓN DEL REPRESENTANTE O APODERADO LEGAL.</w:t>
      </w:r>
      <w:r w:rsidRPr="00700275">
        <w:rPr>
          <w:rFonts w:ascii="Palatino Linotype" w:eastAsia="Calibri" w:hAnsi="Palatino Linotype" w:cs="Arial"/>
          <w:i/>
          <w:iCs/>
          <w:sz w:val="22"/>
          <w:szCs w:val="22"/>
        </w:rPr>
        <w:t xml:space="preserve"> </w:t>
      </w:r>
      <w:r w:rsidRPr="00700275">
        <w:rPr>
          <w:rFonts w:ascii="Palatino Linotype" w:eastAsia="Calibri" w:hAnsi="Palatino Linotype" w:cs="Arial"/>
          <w:b/>
          <w:i/>
          <w:iCs/>
          <w:sz w:val="22"/>
          <w:szCs w:val="22"/>
        </w:rPr>
        <w:t xml:space="preserve">NATURALEZA JURÍDICA. </w:t>
      </w:r>
      <w:r>
        <w:rPr>
          <w:rFonts w:ascii="Palatino Linotype" w:eastAsia="Calibri" w:hAnsi="Palatino Linotype" w:cs="Arial"/>
          <w:b/>
          <w:i/>
          <w:iCs/>
          <w:sz w:val="22"/>
          <w:szCs w:val="22"/>
        </w:rPr>
        <w:t>“</w:t>
      </w:r>
      <w:r w:rsidRPr="00700275">
        <w:rPr>
          <w:rFonts w:ascii="Palatino Linotype" w:eastAsia="Calibri" w:hAnsi="Palatino Linotype" w:cs="Arial"/>
          <w:i/>
          <w:iCs/>
          <w:sz w:val="22"/>
          <w:szCs w:val="22"/>
        </w:rPr>
        <w:t>El nombre, la firma y la rúbrica de una persona física, que actúe como representante o apoderado legal de un tercero que haya celebrado un acto jurídico, con algún sujeto obligado, es información pública, en razón de que tales datos fueron proporcionados con el objeto de expresar el consentimiento obligacional del tercero y otorgar validez a dicho instrumento jurídico.</w:t>
      </w:r>
      <w:r>
        <w:rPr>
          <w:rFonts w:ascii="Palatino Linotype" w:eastAsia="Calibri" w:hAnsi="Palatino Linotype" w:cs="Arial"/>
          <w:i/>
          <w:iCs/>
          <w:sz w:val="22"/>
          <w:szCs w:val="22"/>
        </w:rPr>
        <w:t>”</w:t>
      </w:r>
    </w:p>
    <w:p w14:paraId="525919B0" w14:textId="77777777" w:rsidR="00700275" w:rsidRPr="0091724D" w:rsidRDefault="00700275" w:rsidP="0091724D">
      <w:pPr>
        <w:pStyle w:val="Prrafodelista"/>
        <w:tabs>
          <w:tab w:val="left" w:pos="426"/>
        </w:tabs>
        <w:spacing w:before="240" w:after="240" w:line="360" w:lineRule="auto"/>
        <w:ind w:left="0" w:right="51"/>
        <w:jc w:val="both"/>
        <w:rPr>
          <w:rFonts w:ascii="Palatino Linotype" w:hAnsi="Palatino Linotype"/>
          <w:color w:val="000000" w:themeColor="text1"/>
        </w:rPr>
      </w:pPr>
    </w:p>
    <w:p w14:paraId="117C411C" w14:textId="20FEF225" w:rsidR="005041B8" w:rsidRPr="005041B8" w:rsidRDefault="005041B8" w:rsidP="009C74F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lastRenderedPageBreak/>
        <w:t>Mientras que el Criterio de Interpretación 17-17 hace referencia a los anexos de los documentos que soliciten los particulares en los siguientes términos:</w:t>
      </w:r>
    </w:p>
    <w:p w14:paraId="03B6F4F9" w14:textId="6F9C3581" w:rsidR="005041B8" w:rsidRDefault="005041B8" w:rsidP="005041B8">
      <w:pPr>
        <w:pStyle w:val="Prrafodelista"/>
        <w:tabs>
          <w:tab w:val="left" w:pos="426"/>
        </w:tabs>
        <w:spacing w:before="240" w:after="240" w:line="360" w:lineRule="auto"/>
        <w:ind w:left="0" w:right="51"/>
        <w:jc w:val="both"/>
        <w:rPr>
          <w:rFonts w:ascii="Palatino Linotype" w:hAnsi="Palatino Linotype"/>
          <w:color w:val="000000" w:themeColor="text1"/>
        </w:rPr>
      </w:pPr>
    </w:p>
    <w:p w14:paraId="56BD7B51" w14:textId="543F353B" w:rsidR="005041B8" w:rsidRPr="00C637C3" w:rsidRDefault="00CA3040" w:rsidP="005041B8">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C637C3">
        <w:rPr>
          <w:rFonts w:ascii="Palatino Linotype" w:hAnsi="Palatino Linotype"/>
          <w:b/>
          <w:bCs/>
          <w:i/>
          <w:iCs/>
          <w:color w:val="000000" w:themeColor="text1"/>
          <w:sz w:val="22"/>
          <w:szCs w:val="22"/>
        </w:rPr>
        <w:t>ANEXOS DE LOS DOCUMENTOS SOLICITADOS.</w:t>
      </w:r>
      <w:r w:rsidRPr="00C637C3">
        <w:rPr>
          <w:rFonts w:ascii="Palatino Linotype" w:hAnsi="Palatino Linotype"/>
          <w:i/>
          <w:iCs/>
          <w:color w:val="000000" w:themeColor="text1"/>
          <w:sz w:val="22"/>
          <w:szCs w:val="22"/>
        </w:rPr>
        <w:t xml:space="preserve"> “</w:t>
      </w:r>
      <w:r w:rsidR="005041B8" w:rsidRPr="00C637C3">
        <w:rPr>
          <w:rFonts w:ascii="Palatino Linotype" w:hAnsi="Palatino Linotype"/>
          <w:i/>
          <w:iCs/>
          <w:color w:val="000000" w:themeColor="text1"/>
          <w:sz w:val="22"/>
          <w:szCs w:val="22"/>
        </w:rPr>
        <w:t>Los anexos de un documento se consideran parte integral del mismo. Por lo anterior, ante solicitudes de información relacionadas con documentos que incluyen anexos, los sujetos obligados deberán entregarlos, con excepción de aquellos casos en que el solicitante manifieste expresamente su interés de acceder únicamente al documento principal.</w:t>
      </w:r>
      <w:r w:rsidRPr="00C637C3">
        <w:rPr>
          <w:rFonts w:ascii="Palatino Linotype" w:hAnsi="Palatino Linotype"/>
          <w:i/>
          <w:iCs/>
          <w:color w:val="000000" w:themeColor="text1"/>
          <w:sz w:val="22"/>
          <w:szCs w:val="22"/>
        </w:rPr>
        <w:t>”</w:t>
      </w:r>
    </w:p>
    <w:p w14:paraId="6BFD01FE" w14:textId="77777777" w:rsidR="005041B8" w:rsidRPr="005041B8" w:rsidRDefault="005041B8" w:rsidP="005041B8">
      <w:pPr>
        <w:pStyle w:val="Prrafodelista"/>
        <w:tabs>
          <w:tab w:val="left" w:pos="426"/>
        </w:tabs>
        <w:spacing w:before="240" w:after="240" w:line="360" w:lineRule="auto"/>
        <w:ind w:left="0" w:right="51"/>
        <w:jc w:val="both"/>
        <w:rPr>
          <w:rFonts w:ascii="Palatino Linotype" w:hAnsi="Palatino Linotype"/>
          <w:color w:val="000000" w:themeColor="text1"/>
        </w:rPr>
      </w:pPr>
    </w:p>
    <w:p w14:paraId="73681810" w14:textId="66DA94A1" w:rsidR="0091724D" w:rsidRPr="0091724D" w:rsidRDefault="005041B8" w:rsidP="009C74F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P</w:t>
      </w:r>
      <w:r w:rsidR="00BF0627">
        <w:rPr>
          <w:rFonts w:ascii="Palatino Linotype" w:hAnsi="Palatino Linotype" w:cs="Arial"/>
          <w:color w:val="000000" w:themeColor="text1"/>
        </w:rPr>
        <w:t>or su parte, el Criterio de Interpretación 11-17, también emitido por el Órgano Garante Nacional, establece que:</w:t>
      </w:r>
    </w:p>
    <w:p w14:paraId="76F40B84" w14:textId="4F188817" w:rsidR="0091724D" w:rsidRDefault="0091724D" w:rsidP="0091724D">
      <w:pPr>
        <w:pStyle w:val="Prrafodelista"/>
        <w:tabs>
          <w:tab w:val="left" w:pos="426"/>
        </w:tabs>
        <w:spacing w:before="240" w:after="240" w:line="360" w:lineRule="auto"/>
        <w:ind w:left="0" w:right="51"/>
        <w:jc w:val="both"/>
        <w:rPr>
          <w:rFonts w:ascii="Palatino Linotype" w:hAnsi="Palatino Linotype"/>
          <w:color w:val="000000" w:themeColor="text1"/>
        </w:rPr>
      </w:pPr>
    </w:p>
    <w:p w14:paraId="7B29BAB6" w14:textId="379DEC52" w:rsidR="00BF0627" w:rsidRPr="00BF0627" w:rsidRDefault="00BF0627" w:rsidP="00BF0627">
      <w:pPr>
        <w:pStyle w:val="Prrafodelista"/>
        <w:tabs>
          <w:tab w:val="left" w:pos="426"/>
        </w:tabs>
        <w:spacing w:before="240" w:after="240" w:line="276" w:lineRule="auto"/>
        <w:ind w:left="567" w:right="567"/>
        <w:jc w:val="both"/>
        <w:rPr>
          <w:rFonts w:ascii="Palatino Linotype" w:hAnsi="Palatino Linotype"/>
          <w:i/>
          <w:iCs/>
          <w:color w:val="000000" w:themeColor="text1"/>
          <w:sz w:val="20"/>
          <w:szCs w:val="20"/>
        </w:rPr>
      </w:pPr>
      <w:r w:rsidRPr="00BF0627">
        <w:rPr>
          <w:rFonts w:ascii="Palatino Linotype" w:hAnsi="Palatino Linotype"/>
          <w:b/>
          <w:bCs/>
          <w:i/>
          <w:iCs/>
          <w:sz w:val="22"/>
          <w:szCs w:val="22"/>
        </w:rPr>
        <w:t>CUENTAS BANCARIAS Y/O CLABE INTERBANCARIA DE SUJETOS OBLIGADOS QUE RECIBEN Y/O TRANSFIEREN RECURSOS PÚBLICOS, SON INFORMACIÓN PÚBLICA</w:t>
      </w:r>
      <w:r w:rsidRPr="00BF0627">
        <w:rPr>
          <w:rFonts w:ascii="Palatino Linotype" w:hAnsi="Palatino Linotype"/>
          <w:i/>
          <w:iCs/>
          <w:sz w:val="22"/>
          <w:szCs w:val="22"/>
        </w:rPr>
        <w:t xml:space="preserve">. </w:t>
      </w:r>
      <w:r>
        <w:rPr>
          <w:rFonts w:ascii="Palatino Linotype" w:hAnsi="Palatino Linotype"/>
          <w:i/>
          <w:iCs/>
          <w:sz w:val="22"/>
          <w:szCs w:val="22"/>
        </w:rPr>
        <w:t>“</w:t>
      </w:r>
      <w:r w:rsidRPr="00BF0627">
        <w:rPr>
          <w:rFonts w:ascii="Palatino Linotype" w:hAnsi="Palatino Linotype"/>
          <w:i/>
          <w:iCs/>
          <w:sz w:val="22"/>
          <w:szCs w:val="22"/>
        </w:rPr>
        <w:t>La difusión de las cuentas bancarias y claves interbancarias pertenecientes a un sujeto obligado favorece la rendición de cuentas al transparentar la forma en que se administran los recursos públicos, razón por la cual no pueden considerarse como información clasificada</w:t>
      </w:r>
      <w:r>
        <w:rPr>
          <w:rFonts w:ascii="Palatino Linotype" w:hAnsi="Palatino Linotype"/>
          <w:i/>
          <w:iCs/>
          <w:sz w:val="22"/>
          <w:szCs w:val="22"/>
        </w:rPr>
        <w:t>.”</w:t>
      </w:r>
    </w:p>
    <w:p w14:paraId="38D7EEB2" w14:textId="77777777" w:rsidR="00BF0627" w:rsidRPr="0091724D" w:rsidRDefault="00BF0627" w:rsidP="0091724D">
      <w:pPr>
        <w:pStyle w:val="Prrafodelista"/>
        <w:tabs>
          <w:tab w:val="left" w:pos="426"/>
        </w:tabs>
        <w:spacing w:before="240" w:after="240" w:line="360" w:lineRule="auto"/>
        <w:ind w:left="0" w:right="51"/>
        <w:jc w:val="both"/>
        <w:rPr>
          <w:rFonts w:ascii="Palatino Linotype" w:hAnsi="Palatino Linotype"/>
          <w:color w:val="000000" w:themeColor="text1"/>
        </w:rPr>
      </w:pPr>
    </w:p>
    <w:p w14:paraId="0089BA92" w14:textId="4CFD282B" w:rsidR="0091724D" w:rsidRPr="00CA3040" w:rsidRDefault="00BF0627" w:rsidP="009C74F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Aunado a lo anterior, el </w:t>
      </w:r>
      <w:r>
        <w:rPr>
          <w:rFonts w:ascii="Palatino Linotype" w:hAnsi="Palatino Linotype" w:cs="Arial"/>
          <w:b/>
          <w:bCs/>
          <w:color w:val="000000" w:themeColor="text1"/>
        </w:rPr>
        <w:t>SUJETO OBLIGADO</w:t>
      </w:r>
      <w:r>
        <w:rPr>
          <w:rFonts w:ascii="Palatino Linotype" w:hAnsi="Palatino Linotype" w:cs="Arial"/>
          <w:color w:val="000000" w:themeColor="text1"/>
        </w:rPr>
        <w:t xml:space="preserve"> deberá atender los argumentos vertidos en el Considerando SEXTO de esta resolución, donde se amplía el análisis al contenido de un adecuado Acuerdo de Clasificación.</w:t>
      </w:r>
    </w:p>
    <w:p w14:paraId="26FAD051" w14:textId="77777777" w:rsidR="00CA3040" w:rsidRPr="00CA3040" w:rsidRDefault="00CA3040" w:rsidP="00CA3040">
      <w:pPr>
        <w:pStyle w:val="Prrafodelista"/>
        <w:tabs>
          <w:tab w:val="left" w:pos="426"/>
        </w:tabs>
        <w:spacing w:before="240" w:after="240" w:line="360" w:lineRule="auto"/>
        <w:ind w:left="0" w:right="51"/>
        <w:jc w:val="both"/>
        <w:rPr>
          <w:rFonts w:ascii="Palatino Linotype" w:hAnsi="Palatino Linotype"/>
          <w:color w:val="000000" w:themeColor="text1"/>
        </w:rPr>
      </w:pPr>
    </w:p>
    <w:p w14:paraId="066788F1" w14:textId="67E33D58" w:rsidR="00CA3040" w:rsidRPr="0091724D" w:rsidRDefault="00CA3040" w:rsidP="009C74F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Finalmente, en el supuesto de que la información de que se ordena entregar sobrepase las capacidades técnicas para enviarla vía correo electrónico, el </w:t>
      </w:r>
      <w:r>
        <w:rPr>
          <w:rFonts w:ascii="Palatino Linotype" w:hAnsi="Palatino Linotype"/>
          <w:b/>
          <w:bCs/>
          <w:color w:val="000000" w:themeColor="text1"/>
        </w:rPr>
        <w:t>SUJETO OBLIGADO</w:t>
      </w:r>
      <w:r>
        <w:rPr>
          <w:rFonts w:ascii="Palatino Linotype" w:hAnsi="Palatino Linotype"/>
          <w:color w:val="000000" w:themeColor="text1"/>
        </w:rPr>
        <w:t xml:space="preserve"> deberá privilegiar otros medios digitales para entregar los documentos, tales como ofrecer un </w:t>
      </w:r>
      <w:r w:rsidRPr="00CA3040">
        <w:rPr>
          <w:rFonts w:ascii="Palatino Linotype" w:hAnsi="Palatino Linotype"/>
          <w:i/>
          <w:iCs/>
          <w:color w:val="000000" w:themeColor="text1"/>
        </w:rPr>
        <w:t>link</w:t>
      </w:r>
      <w:r>
        <w:rPr>
          <w:rFonts w:ascii="Palatino Linotype" w:hAnsi="Palatino Linotype"/>
          <w:color w:val="000000" w:themeColor="text1"/>
        </w:rPr>
        <w:t xml:space="preserve"> para descargarlos en la nube; o bien, a través del SAIMEX. </w:t>
      </w:r>
      <w:r w:rsidR="003F2090">
        <w:rPr>
          <w:rFonts w:ascii="Palatino Linotype" w:hAnsi="Palatino Linotype"/>
          <w:color w:val="000000" w:themeColor="text1"/>
        </w:rPr>
        <w:t xml:space="preserve">Para tal efecto, deberá fundar y motivar las razones que justifiquen su </w:t>
      </w:r>
      <w:r w:rsidR="003F2090">
        <w:rPr>
          <w:rFonts w:ascii="Palatino Linotype" w:hAnsi="Palatino Linotype"/>
          <w:color w:val="000000" w:themeColor="text1"/>
        </w:rPr>
        <w:lastRenderedPageBreak/>
        <w:t xml:space="preserve">imposibilidad de entregar la información en el medio originalmente señalado por la </w:t>
      </w:r>
      <w:r w:rsidR="003F2090">
        <w:rPr>
          <w:rFonts w:ascii="Palatino Linotype" w:hAnsi="Palatino Linotype"/>
          <w:b/>
          <w:bCs/>
          <w:color w:val="000000" w:themeColor="text1"/>
        </w:rPr>
        <w:t>RECURRENTE</w:t>
      </w:r>
      <w:r w:rsidR="003F2090">
        <w:rPr>
          <w:rFonts w:ascii="Palatino Linotype" w:hAnsi="Palatino Linotype"/>
          <w:color w:val="000000" w:themeColor="text1"/>
        </w:rPr>
        <w:t>.</w:t>
      </w:r>
    </w:p>
    <w:p w14:paraId="77036444" w14:textId="063AEB15" w:rsidR="009C74FD" w:rsidRDefault="009C74FD" w:rsidP="0067400D">
      <w:pPr>
        <w:pStyle w:val="Prrafodelista"/>
        <w:tabs>
          <w:tab w:val="left" w:pos="426"/>
        </w:tabs>
        <w:spacing w:before="240" w:line="360" w:lineRule="auto"/>
        <w:ind w:left="0" w:right="51"/>
        <w:jc w:val="both"/>
        <w:rPr>
          <w:rFonts w:ascii="Palatino Linotype" w:hAnsi="Palatino Linotype"/>
          <w:color w:val="000000" w:themeColor="text1"/>
        </w:rPr>
      </w:pPr>
    </w:p>
    <w:p w14:paraId="1D592F44" w14:textId="68D72149" w:rsidR="0067400D" w:rsidRPr="0067400D" w:rsidRDefault="0067400D" w:rsidP="0067400D">
      <w:pPr>
        <w:pStyle w:val="Ttulo3"/>
        <w:spacing w:before="0"/>
        <w:rPr>
          <w:rFonts w:ascii="Palatino Linotype" w:hAnsi="Palatino Linotype"/>
          <w:b/>
          <w:bCs/>
          <w:color w:val="000000" w:themeColor="text1"/>
        </w:rPr>
      </w:pPr>
      <w:r w:rsidRPr="0067400D">
        <w:rPr>
          <w:rFonts w:ascii="Palatino Linotype" w:hAnsi="Palatino Linotype"/>
          <w:b/>
          <w:bCs/>
          <w:color w:val="000000" w:themeColor="text1"/>
        </w:rPr>
        <w:t>IV.</w:t>
      </w:r>
      <w:r>
        <w:rPr>
          <w:rFonts w:ascii="Palatino Linotype" w:hAnsi="Palatino Linotype"/>
          <w:b/>
          <w:bCs/>
          <w:color w:val="000000" w:themeColor="text1"/>
        </w:rPr>
        <w:t xml:space="preserve"> De la exposición de datos personales.</w:t>
      </w:r>
    </w:p>
    <w:p w14:paraId="4DFDB9F9" w14:textId="77777777" w:rsidR="0067400D" w:rsidRPr="009C74FD" w:rsidRDefault="0067400D" w:rsidP="009C74FD">
      <w:pPr>
        <w:pStyle w:val="Prrafodelista"/>
        <w:tabs>
          <w:tab w:val="left" w:pos="426"/>
        </w:tabs>
        <w:spacing w:before="240" w:after="240" w:line="360" w:lineRule="auto"/>
        <w:ind w:left="0" w:right="51"/>
        <w:jc w:val="both"/>
        <w:rPr>
          <w:rFonts w:ascii="Palatino Linotype" w:hAnsi="Palatino Linotype"/>
          <w:color w:val="000000" w:themeColor="text1"/>
        </w:rPr>
      </w:pPr>
    </w:p>
    <w:p w14:paraId="028048CC" w14:textId="14771DF1" w:rsidR="0067400D" w:rsidRDefault="00BF0627" w:rsidP="0067400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Por último, es imperativo mencionar que del</w:t>
      </w:r>
      <w:r w:rsidR="0067400D">
        <w:rPr>
          <w:rFonts w:ascii="Palatino Linotype" w:hAnsi="Palatino Linotype" w:cs="Arial"/>
          <w:color w:val="000000" w:themeColor="text1"/>
        </w:rPr>
        <w:t xml:space="preserve"> </w:t>
      </w:r>
      <w:r w:rsidR="0067400D">
        <w:rPr>
          <w:rFonts w:ascii="Palatino Linotype" w:hAnsi="Palatino Linotype"/>
          <w:color w:val="000000" w:themeColor="text1"/>
        </w:rPr>
        <w:t xml:space="preserve">análisis </w:t>
      </w:r>
      <w:r w:rsidR="0067400D" w:rsidRPr="00644507">
        <w:rPr>
          <w:rFonts w:ascii="Palatino Linotype" w:hAnsi="Palatino Linotype"/>
          <w:color w:val="000000" w:themeColor="text1"/>
        </w:rPr>
        <w:t xml:space="preserve">realizado a los </w:t>
      </w:r>
      <w:r w:rsidR="00644507">
        <w:rPr>
          <w:rFonts w:ascii="Palatino Linotype" w:hAnsi="Palatino Linotype"/>
          <w:color w:val="000000" w:themeColor="text1"/>
        </w:rPr>
        <w:t>diversos documentos</w:t>
      </w:r>
      <w:r w:rsidR="0067400D" w:rsidRPr="00644507">
        <w:rPr>
          <w:rFonts w:ascii="Palatino Linotype" w:hAnsi="Palatino Linotype"/>
          <w:color w:val="000000" w:themeColor="text1"/>
        </w:rPr>
        <w:t xml:space="preserve"> entregados </w:t>
      </w:r>
      <w:r w:rsidR="00644507">
        <w:rPr>
          <w:rFonts w:ascii="Palatino Linotype" w:hAnsi="Palatino Linotype"/>
          <w:color w:val="000000" w:themeColor="text1"/>
        </w:rPr>
        <w:t xml:space="preserve">en respuesta </w:t>
      </w:r>
      <w:r w:rsidR="0067400D" w:rsidRPr="00644507">
        <w:rPr>
          <w:rFonts w:ascii="Palatino Linotype" w:hAnsi="Palatino Linotype"/>
          <w:color w:val="000000" w:themeColor="text1"/>
        </w:rPr>
        <w:t xml:space="preserve">por el </w:t>
      </w:r>
      <w:r w:rsidR="0067400D" w:rsidRPr="00644507">
        <w:rPr>
          <w:rFonts w:ascii="Palatino Linotype" w:hAnsi="Palatino Linotype"/>
          <w:b/>
          <w:color w:val="000000" w:themeColor="text1"/>
        </w:rPr>
        <w:t>SUJETO OBLIGADO</w:t>
      </w:r>
      <w:r w:rsidR="0067400D" w:rsidRPr="00644507">
        <w:rPr>
          <w:rFonts w:ascii="Palatino Linotype" w:hAnsi="Palatino Linotype"/>
          <w:color w:val="000000" w:themeColor="text1"/>
        </w:rPr>
        <w:t xml:space="preserve"> se aprecia que, por un lado, </w:t>
      </w:r>
      <w:r w:rsidR="00644507">
        <w:rPr>
          <w:rFonts w:ascii="Palatino Linotype" w:hAnsi="Palatino Linotype"/>
          <w:b/>
          <w:color w:val="000000" w:themeColor="text1"/>
        </w:rPr>
        <w:t>el ejercicio de</w:t>
      </w:r>
      <w:r w:rsidR="0067400D" w:rsidRPr="00644507">
        <w:rPr>
          <w:rFonts w:ascii="Palatino Linotype" w:hAnsi="Palatino Linotype"/>
          <w:b/>
          <w:color w:val="000000" w:themeColor="text1"/>
        </w:rPr>
        <w:t xml:space="preserve"> clasificación fue deficiente, pues </w:t>
      </w:r>
      <w:r w:rsidR="00644507">
        <w:rPr>
          <w:rFonts w:ascii="Palatino Linotype" w:hAnsi="Palatino Linotype"/>
          <w:b/>
          <w:color w:val="000000" w:themeColor="text1"/>
        </w:rPr>
        <w:t>una gran mayoría de las</w:t>
      </w:r>
      <w:r w:rsidR="0067400D" w:rsidRPr="00644507">
        <w:rPr>
          <w:rFonts w:ascii="Palatino Linotype" w:hAnsi="Palatino Linotype"/>
          <w:b/>
          <w:color w:val="000000" w:themeColor="text1"/>
        </w:rPr>
        <w:t xml:space="preserve"> cuadrícula</w:t>
      </w:r>
      <w:r w:rsidR="00644507">
        <w:rPr>
          <w:rFonts w:ascii="Palatino Linotype" w:hAnsi="Palatino Linotype"/>
          <w:b/>
          <w:color w:val="000000" w:themeColor="text1"/>
        </w:rPr>
        <w:t>s</w:t>
      </w:r>
      <w:r w:rsidR="0067400D" w:rsidRPr="00644507">
        <w:rPr>
          <w:rFonts w:ascii="Palatino Linotype" w:hAnsi="Palatino Linotype"/>
          <w:b/>
          <w:color w:val="000000" w:themeColor="text1"/>
        </w:rPr>
        <w:t xml:space="preserve"> utilizada</w:t>
      </w:r>
      <w:r w:rsidR="00644507">
        <w:rPr>
          <w:rFonts w:ascii="Palatino Linotype" w:hAnsi="Palatino Linotype"/>
          <w:b/>
          <w:color w:val="000000" w:themeColor="text1"/>
        </w:rPr>
        <w:t>s</w:t>
      </w:r>
      <w:r w:rsidR="0067400D" w:rsidRPr="00644507">
        <w:rPr>
          <w:rFonts w:ascii="Palatino Linotype" w:hAnsi="Palatino Linotype"/>
          <w:b/>
          <w:color w:val="000000" w:themeColor="text1"/>
        </w:rPr>
        <w:t xml:space="preserve"> para testar datos</w:t>
      </w:r>
      <w:r w:rsidR="00644507">
        <w:rPr>
          <w:rFonts w:ascii="Palatino Linotype" w:hAnsi="Palatino Linotype"/>
          <w:b/>
          <w:color w:val="000000" w:themeColor="text1"/>
        </w:rPr>
        <w:t xml:space="preserve"> o información contenida en los contratos, convenios modificatorios, etc.,</w:t>
      </w:r>
      <w:r w:rsidR="0067400D" w:rsidRPr="00644507">
        <w:rPr>
          <w:rFonts w:ascii="Palatino Linotype" w:hAnsi="Palatino Linotype"/>
          <w:b/>
          <w:color w:val="000000" w:themeColor="text1"/>
        </w:rPr>
        <w:t xml:space="preserve"> </w:t>
      </w:r>
      <w:r w:rsidR="00644507">
        <w:rPr>
          <w:rFonts w:ascii="Palatino Linotype" w:hAnsi="Palatino Linotype"/>
          <w:b/>
          <w:color w:val="000000" w:themeColor="text1"/>
        </w:rPr>
        <w:t>se puede seleccionar y suprimir, dejando a la vista la información</w:t>
      </w:r>
      <w:r w:rsidR="0067400D" w:rsidRPr="00644507">
        <w:rPr>
          <w:rFonts w:ascii="Palatino Linotype" w:hAnsi="Palatino Linotype"/>
          <w:color w:val="000000" w:themeColor="text1"/>
        </w:rPr>
        <w:t xml:space="preserve">; y, por otro lado, </w:t>
      </w:r>
      <w:r w:rsidR="0067400D" w:rsidRPr="00644507">
        <w:rPr>
          <w:rFonts w:ascii="Palatino Linotype" w:hAnsi="Palatino Linotype"/>
          <w:b/>
          <w:color w:val="000000" w:themeColor="text1"/>
        </w:rPr>
        <w:t xml:space="preserve">se dejaron datos personales relacionados con </w:t>
      </w:r>
      <w:r w:rsidR="00644507">
        <w:rPr>
          <w:rFonts w:ascii="Palatino Linotype" w:hAnsi="Palatino Linotype"/>
          <w:b/>
          <w:color w:val="000000" w:themeColor="text1"/>
        </w:rPr>
        <w:t xml:space="preserve">la </w:t>
      </w:r>
      <w:bookmarkStart w:id="27" w:name="_Hlk105040034"/>
      <w:r w:rsidR="00644507">
        <w:rPr>
          <w:rFonts w:ascii="Palatino Linotype" w:hAnsi="Palatino Linotype"/>
          <w:b/>
          <w:color w:val="000000" w:themeColor="text1"/>
        </w:rPr>
        <w:t>nacionalidad, fecha de nacimiento, estado civil y domicilio</w:t>
      </w:r>
      <w:bookmarkEnd w:id="27"/>
      <w:r w:rsidR="0067400D">
        <w:rPr>
          <w:rFonts w:ascii="Palatino Linotype" w:hAnsi="Palatino Linotype"/>
          <w:color w:val="000000" w:themeColor="text1"/>
        </w:rPr>
        <w:t>.</w:t>
      </w:r>
    </w:p>
    <w:p w14:paraId="0E756220" w14:textId="77777777" w:rsidR="0067400D" w:rsidRDefault="0067400D" w:rsidP="0067400D">
      <w:pPr>
        <w:pStyle w:val="Prrafodelista"/>
        <w:tabs>
          <w:tab w:val="left" w:pos="426"/>
        </w:tabs>
        <w:spacing w:before="240" w:after="240" w:line="360" w:lineRule="auto"/>
        <w:ind w:left="0" w:right="51"/>
        <w:jc w:val="both"/>
        <w:rPr>
          <w:rFonts w:ascii="Palatino Linotype" w:hAnsi="Palatino Linotype"/>
          <w:color w:val="000000" w:themeColor="text1"/>
        </w:rPr>
      </w:pPr>
    </w:p>
    <w:p w14:paraId="29F229B6" w14:textId="484218F4" w:rsidR="00B7018A" w:rsidRPr="00B7018A" w:rsidRDefault="0067400D" w:rsidP="0067400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Por </w:t>
      </w:r>
      <w:r w:rsidRPr="00792196">
        <w:rPr>
          <w:rFonts w:ascii="Palatino Linotype" w:hAnsi="Palatino Linotype"/>
          <w:lang w:val="es-ES_tradnl"/>
        </w:rPr>
        <w:t xml:space="preserve">lo anterior, </w:t>
      </w:r>
      <w:r>
        <w:rPr>
          <w:rFonts w:ascii="Palatino Linotype" w:hAnsi="Palatino Linotype"/>
          <w:lang w:val="es-ES_tradnl"/>
        </w:rPr>
        <w:t>este Organismo Garante</w:t>
      </w:r>
      <w:r w:rsidRPr="00792196">
        <w:rPr>
          <w:rFonts w:ascii="Palatino Linotype" w:hAnsi="Palatino Linotype"/>
          <w:lang w:val="es-ES_tradnl"/>
        </w:rPr>
        <w:t xml:space="preserve"> advierte que </w:t>
      </w:r>
      <w:r w:rsidRPr="0086276A">
        <w:rPr>
          <w:rFonts w:ascii="Palatino Linotype" w:hAnsi="Palatino Linotype"/>
          <w:b/>
          <w:lang w:val="es-ES_tradnl"/>
        </w:rPr>
        <w:t>el actuar del SUJETO OBLIGADO durante la atención y respuesta a la solicitud de información fue negligente y descui</w:t>
      </w:r>
      <w:r>
        <w:rPr>
          <w:rFonts w:ascii="Palatino Linotype" w:hAnsi="Palatino Linotype"/>
          <w:b/>
          <w:lang w:val="es-ES_tradnl"/>
        </w:rPr>
        <w:t>dado</w:t>
      </w:r>
      <w:r w:rsidRPr="0086276A">
        <w:rPr>
          <w:rFonts w:ascii="Palatino Linotype" w:hAnsi="Palatino Linotype"/>
          <w:b/>
          <w:lang w:val="es-ES_tradnl"/>
        </w:rPr>
        <w:t xml:space="preserve"> en demasía</w:t>
      </w:r>
      <w:r w:rsidRPr="00792196">
        <w:rPr>
          <w:rFonts w:ascii="Palatino Linotype" w:hAnsi="Palatino Linotype"/>
          <w:lang w:val="es-ES_tradnl"/>
        </w:rPr>
        <w:t xml:space="preserve">, </w:t>
      </w:r>
      <w:r>
        <w:rPr>
          <w:rFonts w:ascii="Palatino Linotype" w:hAnsi="Palatino Linotype"/>
          <w:lang w:val="es-ES_tradnl"/>
        </w:rPr>
        <w:t>pudiendo actualizar alguna de</w:t>
      </w:r>
      <w:r w:rsidRPr="00792196">
        <w:rPr>
          <w:rFonts w:ascii="Palatino Linotype" w:hAnsi="Palatino Linotype"/>
          <w:lang w:val="es-ES_tradnl"/>
        </w:rPr>
        <w:t xml:space="preserve"> las causales de responsabilidad administrativa contenidas en las fracciones IV y V</w:t>
      </w:r>
      <w:r>
        <w:rPr>
          <w:rFonts w:ascii="Palatino Linotype" w:hAnsi="Palatino Linotype"/>
          <w:lang w:val="es-ES_tradnl"/>
        </w:rPr>
        <w:t xml:space="preserve"> del numeral 222</w:t>
      </w:r>
      <w:r w:rsidRPr="00792196">
        <w:rPr>
          <w:rFonts w:ascii="Palatino Linotype" w:hAnsi="Palatino Linotype"/>
          <w:lang w:val="es-ES_tradnl"/>
        </w:rPr>
        <w:t xml:space="preserve"> de la Ley de Transparencia y Acceso a la Información del Estado de México y Municipios, cuyo contenido es el siguiente:</w:t>
      </w:r>
    </w:p>
    <w:p w14:paraId="1BAD1490" w14:textId="6ACD1FA3" w:rsidR="00B7018A" w:rsidRDefault="00B7018A" w:rsidP="00B7018A">
      <w:pPr>
        <w:pStyle w:val="Prrafodelista"/>
        <w:tabs>
          <w:tab w:val="left" w:pos="426"/>
        </w:tabs>
        <w:spacing w:before="240" w:after="240" w:line="360" w:lineRule="auto"/>
        <w:ind w:left="0" w:right="51"/>
        <w:jc w:val="both"/>
        <w:rPr>
          <w:rFonts w:ascii="Palatino Linotype" w:hAnsi="Palatino Linotype"/>
          <w:color w:val="000000" w:themeColor="text1"/>
        </w:rPr>
      </w:pPr>
    </w:p>
    <w:p w14:paraId="742B4F17" w14:textId="77777777" w:rsidR="0067400D" w:rsidRPr="00B425B8" w:rsidRDefault="0067400D" w:rsidP="0067400D">
      <w:pPr>
        <w:pStyle w:val="Sinespaciado"/>
        <w:ind w:left="567" w:right="567"/>
        <w:jc w:val="both"/>
        <w:rPr>
          <w:rFonts w:ascii="Palatino Linotype" w:eastAsia="MS Mincho" w:hAnsi="Palatino Linotype"/>
          <w:i/>
          <w:sz w:val="22"/>
        </w:rPr>
      </w:pPr>
      <w:r w:rsidRPr="00B425B8">
        <w:rPr>
          <w:rFonts w:ascii="Palatino Linotype" w:eastAsia="MS Mincho" w:hAnsi="Palatino Linotype"/>
          <w:i/>
          <w:sz w:val="22"/>
        </w:rPr>
        <w:t>“</w:t>
      </w:r>
      <w:r w:rsidRPr="00B425B8">
        <w:rPr>
          <w:rFonts w:ascii="Palatino Linotype" w:eastAsia="MS Mincho" w:hAnsi="Palatino Linotype"/>
          <w:b/>
          <w:i/>
          <w:sz w:val="22"/>
        </w:rPr>
        <w:t>Artículo 222.</w:t>
      </w:r>
      <w:r w:rsidRPr="00B425B8">
        <w:rPr>
          <w:rFonts w:ascii="Palatino Linotype" w:eastAsia="MS Mincho" w:hAnsi="Palatino Linotype"/>
          <w:i/>
          <w:sz w:val="22"/>
        </w:rPr>
        <w:t xml:space="preserve"> Son causas de responsabilidad administrativa de los servidores públicos de los sujetos obligados, por incumplimiento de las obligaciones establecidas en la materia de la presente Ley, las siguientes:</w:t>
      </w:r>
    </w:p>
    <w:p w14:paraId="3C86299B" w14:textId="77777777" w:rsidR="0067400D" w:rsidRPr="00B425B8" w:rsidRDefault="0067400D" w:rsidP="0067400D">
      <w:pPr>
        <w:pStyle w:val="Sinespaciado"/>
        <w:ind w:left="567" w:right="567"/>
        <w:jc w:val="both"/>
        <w:rPr>
          <w:rFonts w:ascii="Palatino Linotype" w:eastAsia="MS Mincho" w:hAnsi="Palatino Linotype"/>
          <w:i/>
          <w:sz w:val="22"/>
        </w:rPr>
      </w:pPr>
      <w:r w:rsidRPr="00B425B8">
        <w:rPr>
          <w:rFonts w:ascii="Palatino Linotype" w:eastAsia="MS Mincho" w:hAnsi="Palatino Linotype"/>
          <w:i/>
          <w:sz w:val="22"/>
        </w:rPr>
        <w:t>(…)</w:t>
      </w:r>
    </w:p>
    <w:p w14:paraId="01F6E9B7" w14:textId="77777777" w:rsidR="0067400D" w:rsidRPr="00B425B8" w:rsidRDefault="0067400D" w:rsidP="0067400D">
      <w:pPr>
        <w:pStyle w:val="Sinespaciado"/>
        <w:ind w:left="567" w:right="567"/>
        <w:jc w:val="both"/>
        <w:rPr>
          <w:rFonts w:ascii="Palatino Linotype" w:eastAsia="MS Mincho" w:hAnsi="Palatino Linotype"/>
          <w:i/>
          <w:sz w:val="22"/>
        </w:rPr>
      </w:pPr>
      <w:r w:rsidRPr="00B425B8">
        <w:rPr>
          <w:rFonts w:ascii="Palatino Linotype" w:eastAsia="MS Mincho" w:hAnsi="Palatino Linotype"/>
          <w:b/>
          <w:i/>
          <w:sz w:val="22"/>
        </w:rPr>
        <w:t xml:space="preserve">IV. </w:t>
      </w:r>
      <w:r w:rsidRPr="00B425B8">
        <w:rPr>
          <w:rFonts w:ascii="Palatino Linotype" w:eastAsia="MS Mincho" w:hAnsi="Palatino Linotype"/>
          <w:i/>
          <w:sz w:val="22"/>
        </w:rPr>
        <w:t>Entregar información clasificada como reservada;</w:t>
      </w:r>
    </w:p>
    <w:p w14:paraId="7870D31D" w14:textId="77777777" w:rsidR="0067400D" w:rsidRPr="00B425B8" w:rsidRDefault="0067400D" w:rsidP="0067400D">
      <w:pPr>
        <w:pStyle w:val="Sinespaciado"/>
        <w:ind w:left="567" w:right="567"/>
        <w:jc w:val="both"/>
        <w:rPr>
          <w:rFonts w:ascii="Palatino Linotype" w:eastAsia="MS Mincho" w:hAnsi="Palatino Linotype"/>
          <w:i/>
          <w:sz w:val="22"/>
        </w:rPr>
      </w:pPr>
      <w:r w:rsidRPr="00B425B8">
        <w:rPr>
          <w:rFonts w:ascii="Palatino Linotype" w:eastAsia="MS Mincho" w:hAnsi="Palatino Linotype"/>
          <w:b/>
          <w:i/>
          <w:sz w:val="22"/>
        </w:rPr>
        <w:t>V.</w:t>
      </w:r>
      <w:r w:rsidRPr="00B425B8">
        <w:rPr>
          <w:rFonts w:ascii="Palatino Linotype" w:eastAsia="MS Mincho" w:hAnsi="Palatino Linotype"/>
          <w:i/>
          <w:sz w:val="22"/>
        </w:rPr>
        <w:t xml:space="preserve"> Entregar información clasificada como confidencial fuera de los casos previstos por esta Ley;</w:t>
      </w:r>
    </w:p>
    <w:p w14:paraId="1B60043D" w14:textId="77777777" w:rsidR="0067400D" w:rsidRPr="00B425B8" w:rsidRDefault="0067400D" w:rsidP="0067400D">
      <w:pPr>
        <w:pStyle w:val="Sinespaciado"/>
        <w:ind w:left="567" w:right="567"/>
        <w:jc w:val="both"/>
        <w:rPr>
          <w:rFonts w:ascii="Palatino Linotype" w:eastAsia="MS Mincho" w:hAnsi="Palatino Linotype"/>
          <w:i/>
          <w:sz w:val="22"/>
        </w:rPr>
      </w:pPr>
      <w:r w:rsidRPr="00B425B8">
        <w:rPr>
          <w:rFonts w:ascii="Palatino Linotype" w:eastAsia="MS Mincho" w:hAnsi="Palatino Linotype"/>
          <w:i/>
          <w:sz w:val="22"/>
        </w:rPr>
        <w:lastRenderedPageBreak/>
        <w:t>(…)”</w:t>
      </w:r>
    </w:p>
    <w:p w14:paraId="35F630F1" w14:textId="77777777" w:rsidR="0067400D" w:rsidRPr="00B7018A" w:rsidRDefault="0067400D" w:rsidP="00B7018A">
      <w:pPr>
        <w:pStyle w:val="Prrafodelista"/>
        <w:tabs>
          <w:tab w:val="left" w:pos="426"/>
        </w:tabs>
        <w:spacing w:before="240" w:after="240" w:line="360" w:lineRule="auto"/>
        <w:ind w:left="0" w:right="51"/>
        <w:jc w:val="both"/>
        <w:rPr>
          <w:rFonts w:ascii="Palatino Linotype" w:hAnsi="Palatino Linotype"/>
          <w:color w:val="000000" w:themeColor="text1"/>
        </w:rPr>
      </w:pPr>
    </w:p>
    <w:p w14:paraId="55840572" w14:textId="188961ED" w:rsidR="0067400D" w:rsidRPr="0023588D" w:rsidRDefault="0067400D" w:rsidP="0067400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De </w:t>
      </w:r>
      <w:r>
        <w:rPr>
          <w:rFonts w:ascii="Palatino Linotype" w:eastAsia="MS Mincho" w:hAnsi="Palatino Linotype"/>
        </w:rPr>
        <w:t xml:space="preserve">tal manera que la exhibición de los datos personales consistentes en </w:t>
      </w:r>
      <w:r w:rsidR="00644507">
        <w:rPr>
          <w:rFonts w:ascii="Palatino Linotype" w:eastAsia="MS Mincho" w:hAnsi="Palatino Linotype"/>
        </w:rPr>
        <w:t xml:space="preserve">la </w:t>
      </w:r>
      <w:r w:rsidR="00644507" w:rsidRPr="00644507">
        <w:rPr>
          <w:rFonts w:ascii="Palatino Linotype" w:eastAsia="MS Mincho" w:hAnsi="Palatino Linotype"/>
        </w:rPr>
        <w:t>nacionalidad, fecha de nacimiento, estado civil y domicilio</w:t>
      </w:r>
      <w:r>
        <w:rPr>
          <w:rFonts w:ascii="Palatino Linotype" w:eastAsia="MS Mincho" w:hAnsi="Palatino Linotype"/>
        </w:rPr>
        <w:t xml:space="preserve"> </w:t>
      </w:r>
      <w:r w:rsidR="00644507">
        <w:rPr>
          <w:rFonts w:ascii="Palatino Linotype" w:eastAsia="MS Mincho" w:hAnsi="Palatino Linotype"/>
        </w:rPr>
        <w:t xml:space="preserve">de servidores </w:t>
      </w:r>
      <w:r w:rsidR="00C637C3">
        <w:rPr>
          <w:rFonts w:ascii="Palatino Linotype" w:eastAsia="MS Mincho" w:hAnsi="Palatino Linotype"/>
        </w:rPr>
        <w:t>públicos muestra</w:t>
      </w:r>
      <w:r>
        <w:rPr>
          <w:rFonts w:ascii="Palatino Linotype" w:eastAsia="MS Mincho" w:hAnsi="Palatino Linotype"/>
        </w:rPr>
        <w:t xml:space="preserve"> una total negligencia en el tratamiento de los mismos por parte de sus responsables, así como el </w:t>
      </w:r>
      <w:r w:rsidRPr="0023588D">
        <w:rPr>
          <w:rFonts w:ascii="Palatino Linotype" w:eastAsia="MS Mincho" w:hAnsi="Palatino Linotype"/>
        </w:rPr>
        <w:t xml:space="preserve">fehaciente incumplimiento del deber de confidencialidad derivado de su divulgación. Por lo que en cumplimiento con el artículo 168 de la Ley de Protección de Datos Personales en Posesión de Sujetos Obligados del Estado de México y Municipios, se dará vista </w:t>
      </w:r>
      <w:r w:rsidR="0043746E" w:rsidRPr="0023588D">
        <w:rPr>
          <w:rFonts w:ascii="Palatino Linotype" w:eastAsia="MS Mincho" w:hAnsi="Palatino Linotype"/>
        </w:rPr>
        <w:t>a la Dirección de Datos Personales de este Instituto</w:t>
      </w:r>
      <w:r w:rsidRPr="0023588D">
        <w:rPr>
          <w:rFonts w:ascii="Palatino Linotype" w:eastAsia="MS Mincho" w:hAnsi="Palatino Linotype"/>
        </w:rPr>
        <w:t xml:space="preserve"> a efecto de que se inicie la investigación y sustanciación de las responsabilidades a que haga lugar.</w:t>
      </w:r>
    </w:p>
    <w:p w14:paraId="44D1D934" w14:textId="77777777" w:rsidR="0067400D" w:rsidRPr="0023588D" w:rsidRDefault="0067400D" w:rsidP="0067400D">
      <w:pPr>
        <w:pStyle w:val="Prrafodelista"/>
        <w:tabs>
          <w:tab w:val="left" w:pos="426"/>
        </w:tabs>
        <w:spacing w:before="240" w:after="240" w:line="360" w:lineRule="auto"/>
        <w:ind w:left="0" w:right="51"/>
        <w:jc w:val="both"/>
        <w:rPr>
          <w:rFonts w:ascii="Palatino Linotype" w:hAnsi="Palatino Linotype"/>
          <w:color w:val="000000" w:themeColor="text1"/>
        </w:rPr>
      </w:pPr>
    </w:p>
    <w:p w14:paraId="41868438" w14:textId="520E0667" w:rsidR="0067400D" w:rsidRDefault="0067400D" w:rsidP="0067400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23588D">
        <w:rPr>
          <w:rFonts w:ascii="Palatino Linotype" w:hAnsi="Palatino Linotype"/>
          <w:color w:val="000000" w:themeColor="text1"/>
        </w:rPr>
        <w:t xml:space="preserve">Asimismo, </w:t>
      </w:r>
      <w:r w:rsidRPr="0023588D">
        <w:rPr>
          <w:rFonts w:ascii="Palatino Linotype" w:hAnsi="Palatino Linotype" w:cs="Arial"/>
          <w:color w:val="000000" w:themeColor="text1"/>
        </w:rPr>
        <w:t xml:space="preserve">no debe perderse de </w:t>
      </w:r>
      <w:r w:rsidRPr="0023588D">
        <w:rPr>
          <w:rFonts w:ascii="Palatino Linotype" w:hAnsi="Palatino Linotype" w:cs="Arial"/>
          <w:color w:val="000000" w:themeColor="text1"/>
          <w:lang w:val="es-ES_tradnl"/>
        </w:rPr>
        <w:t xml:space="preserve">vista que </w:t>
      </w:r>
      <w:r w:rsidRPr="0023588D">
        <w:rPr>
          <w:rFonts w:ascii="Palatino Linotype" w:hAnsi="Palatino Linotype" w:cs="Arial"/>
          <w:b/>
          <w:color w:val="000000" w:themeColor="text1"/>
          <w:u w:val="double"/>
          <w:lang w:val="es-ES_tradnl"/>
        </w:rPr>
        <w:t>la exposición</w:t>
      </w:r>
      <w:r w:rsidRPr="0086276A">
        <w:rPr>
          <w:rFonts w:ascii="Palatino Linotype" w:hAnsi="Palatino Linotype" w:cs="Arial"/>
          <w:b/>
          <w:color w:val="000000" w:themeColor="text1"/>
          <w:u w:val="double"/>
          <w:lang w:val="es-ES_tradnl"/>
        </w:rPr>
        <w:t xml:space="preserve"> de los </w:t>
      </w:r>
      <w:proofErr w:type="spellStart"/>
      <w:r w:rsidRPr="0086276A">
        <w:rPr>
          <w:rFonts w:ascii="Palatino Linotype" w:hAnsi="Palatino Linotype" w:cs="Arial"/>
          <w:b/>
          <w:color w:val="000000" w:themeColor="text1"/>
          <w:u w:val="double"/>
          <w:lang w:val="es-ES_tradnl"/>
        </w:rPr>
        <w:t>multirreferidos</w:t>
      </w:r>
      <w:proofErr w:type="spellEnd"/>
      <w:r w:rsidRPr="0086276A">
        <w:rPr>
          <w:rFonts w:ascii="Palatino Linotype" w:hAnsi="Palatino Linotype" w:cs="Arial"/>
          <w:b/>
          <w:color w:val="000000" w:themeColor="text1"/>
          <w:u w:val="double"/>
          <w:lang w:val="es-ES_tradnl"/>
        </w:rPr>
        <w:t xml:space="preserve"> datos personales, traen como consecuencia a</w:t>
      </w:r>
      <w:r w:rsidR="00C32DFE">
        <w:rPr>
          <w:rFonts w:ascii="Palatino Linotype" w:hAnsi="Palatino Linotype" w:cs="Arial"/>
          <w:b/>
          <w:color w:val="000000" w:themeColor="text1"/>
          <w:u w:val="double"/>
          <w:lang w:val="es-ES_tradnl"/>
        </w:rPr>
        <w:t xml:space="preserve"> </w:t>
      </w:r>
      <w:r w:rsidRPr="0086276A">
        <w:rPr>
          <w:rFonts w:ascii="Palatino Linotype" w:hAnsi="Palatino Linotype" w:cs="Arial"/>
          <w:b/>
          <w:color w:val="000000" w:themeColor="text1"/>
          <w:u w:val="double"/>
          <w:lang w:val="es-ES_tradnl"/>
        </w:rPr>
        <w:t>l</w:t>
      </w:r>
      <w:r w:rsidR="00C32DFE">
        <w:rPr>
          <w:rFonts w:ascii="Palatino Linotype" w:hAnsi="Palatino Linotype" w:cs="Arial"/>
          <w:b/>
          <w:color w:val="000000" w:themeColor="text1"/>
          <w:u w:val="double"/>
          <w:lang w:val="es-ES_tradnl"/>
        </w:rPr>
        <w:t>a</w:t>
      </w:r>
      <w:r w:rsidRPr="0086276A">
        <w:rPr>
          <w:rFonts w:ascii="Palatino Linotype" w:hAnsi="Palatino Linotype" w:cs="Arial"/>
          <w:b/>
          <w:color w:val="000000" w:themeColor="text1"/>
          <w:u w:val="double"/>
          <w:lang w:val="es-ES_tradnl"/>
        </w:rPr>
        <w:t xml:space="preserve"> RECURRENTE una serie de responsabilidades y obligaciones para salvaguardar la información personal que, por mera negligencia, le fuera entregada</w:t>
      </w:r>
      <w:r w:rsidRPr="0086276A">
        <w:rPr>
          <w:rFonts w:ascii="Palatino Linotype" w:hAnsi="Palatino Linotype" w:cs="Arial"/>
          <w:color w:val="000000" w:themeColor="text1"/>
          <w:lang w:val="es-ES_tradnl"/>
        </w:rPr>
        <w:t>.</w:t>
      </w:r>
    </w:p>
    <w:p w14:paraId="608B3A80" w14:textId="77777777" w:rsidR="0067400D" w:rsidRDefault="0067400D" w:rsidP="0067400D">
      <w:pPr>
        <w:pStyle w:val="Prrafodelista"/>
        <w:tabs>
          <w:tab w:val="left" w:pos="426"/>
        </w:tabs>
        <w:spacing w:before="240" w:after="240" w:line="360" w:lineRule="auto"/>
        <w:ind w:left="0" w:right="51"/>
        <w:jc w:val="both"/>
        <w:rPr>
          <w:rFonts w:ascii="Palatino Linotype" w:hAnsi="Palatino Linotype"/>
          <w:color w:val="000000" w:themeColor="text1"/>
        </w:rPr>
      </w:pPr>
    </w:p>
    <w:p w14:paraId="2DA65769" w14:textId="58501864" w:rsidR="00B7018A" w:rsidRPr="00B7018A" w:rsidRDefault="0067400D" w:rsidP="0067400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Al </w:t>
      </w:r>
      <w:r>
        <w:rPr>
          <w:rFonts w:ascii="Palatino Linotype" w:hAnsi="Palatino Linotype" w:cs="Arial"/>
          <w:color w:val="000000" w:themeColor="text1"/>
        </w:rPr>
        <w:t xml:space="preserve">respecto, </w:t>
      </w:r>
      <w:r>
        <w:rPr>
          <w:rFonts w:ascii="Palatino Linotype" w:eastAsia="MS Mincho" w:hAnsi="Palatino Linotype"/>
        </w:rPr>
        <w:t>el artículo 63 de la Ley de Protección de Datos Personales en Posesión de Particulares, considera como infracciones a la misma, las siguientes actividades:</w:t>
      </w:r>
    </w:p>
    <w:p w14:paraId="6D961935" w14:textId="12C7095D" w:rsidR="00B7018A" w:rsidRDefault="00B7018A" w:rsidP="0067400D">
      <w:pPr>
        <w:rPr>
          <w:rFonts w:ascii="Palatino Linotype" w:hAnsi="Palatino Linotype"/>
          <w:color w:val="000000" w:themeColor="text1"/>
        </w:rPr>
      </w:pPr>
    </w:p>
    <w:p w14:paraId="485E87C8"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i/>
          <w:sz w:val="22"/>
        </w:rPr>
        <w:t>“</w:t>
      </w:r>
      <w:r w:rsidRPr="00B425B8">
        <w:rPr>
          <w:rFonts w:ascii="Palatino Linotype" w:hAnsi="Palatino Linotype"/>
          <w:b/>
          <w:i/>
          <w:sz w:val="22"/>
        </w:rPr>
        <w:t xml:space="preserve">Artículo 63.- </w:t>
      </w:r>
      <w:r w:rsidRPr="00B425B8">
        <w:rPr>
          <w:rFonts w:ascii="Palatino Linotype" w:hAnsi="Palatino Linotype"/>
          <w:i/>
          <w:sz w:val="22"/>
        </w:rPr>
        <w:t xml:space="preserve">Constituyen infracciones a esta Ley, las siguientes conductas llevadas a cabo por el responsable: </w:t>
      </w:r>
    </w:p>
    <w:p w14:paraId="6D8BE848"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I.</w:t>
      </w:r>
      <w:r w:rsidRPr="00B425B8">
        <w:rPr>
          <w:rFonts w:ascii="Palatino Linotype" w:hAnsi="Palatino Linotype"/>
          <w:i/>
          <w:sz w:val="22"/>
        </w:rPr>
        <w:t xml:space="preserve"> No cumplir con la solicitud del titular para el acceso, rectificación, cancelación u oposición al tratamiento de sus datos personales, sin razón fundada, en los términos previstos en esta Ley; </w:t>
      </w:r>
    </w:p>
    <w:p w14:paraId="2B5B1030"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lastRenderedPageBreak/>
        <w:t>II.</w:t>
      </w:r>
      <w:r w:rsidRPr="00B425B8">
        <w:rPr>
          <w:rFonts w:ascii="Palatino Linotype" w:hAnsi="Palatino Linotype"/>
          <w:i/>
          <w:sz w:val="22"/>
        </w:rPr>
        <w:t xml:space="preserve"> Actuar con negligencia o dolo en la tramitación y respuesta de solicitudes de acceso, rectificación, cancelación u oposición de datos personales; </w:t>
      </w:r>
    </w:p>
    <w:p w14:paraId="5F88C8FE"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III.</w:t>
      </w:r>
      <w:r w:rsidRPr="00B425B8">
        <w:rPr>
          <w:rFonts w:ascii="Palatino Linotype" w:hAnsi="Palatino Linotype"/>
          <w:i/>
          <w:sz w:val="22"/>
        </w:rPr>
        <w:t xml:space="preserve"> Declarar dolosamente la inexistencia de datos personales, cuando exista total o parcialmente en las bases de datos del responsable; </w:t>
      </w:r>
    </w:p>
    <w:p w14:paraId="1D93A406"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IV.</w:t>
      </w:r>
      <w:r w:rsidRPr="00B425B8">
        <w:rPr>
          <w:rFonts w:ascii="Palatino Linotype" w:hAnsi="Palatino Linotype"/>
          <w:i/>
          <w:sz w:val="22"/>
        </w:rPr>
        <w:t xml:space="preserve"> Dar tratamiento a los datos personales en contravención a los principios establecidos en la presente Ley; </w:t>
      </w:r>
    </w:p>
    <w:p w14:paraId="4408354C"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V.</w:t>
      </w:r>
      <w:r w:rsidRPr="00B425B8">
        <w:rPr>
          <w:rFonts w:ascii="Palatino Linotype" w:hAnsi="Palatino Linotype"/>
          <w:i/>
          <w:sz w:val="22"/>
        </w:rPr>
        <w:t xml:space="preserve"> Omitir en el aviso de privacidad, alguno o todos los elementos a que se refiere el artículo 16 de esta Ley; </w:t>
      </w:r>
    </w:p>
    <w:p w14:paraId="09F18A84"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VI.</w:t>
      </w:r>
      <w:r w:rsidRPr="00B425B8">
        <w:rPr>
          <w:rFonts w:ascii="Palatino Linotype" w:hAnsi="Palatino Linotype"/>
          <w:i/>
          <w:sz w:val="22"/>
        </w:rPr>
        <w:t xml:space="preserve"> Mantener datos personales inexactos cuando resulte imputable al responsable, o no efectuar las rectificaciones o cancelaciones de los mismos que legalmente procedan cuando resulten afectados los derechos de los titulares; </w:t>
      </w:r>
    </w:p>
    <w:p w14:paraId="125B9EA1"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VII.</w:t>
      </w:r>
      <w:r w:rsidRPr="00B425B8">
        <w:rPr>
          <w:rFonts w:ascii="Palatino Linotype" w:hAnsi="Palatino Linotype"/>
          <w:i/>
          <w:sz w:val="22"/>
        </w:rPr>
        <w:t xml:space="preserve"> No cumplir con el apercibimiento a que se refiere la fracción I del artículo 64; </w:t>
      </w:r>
    </w:p>
    <w:p w14:paraId="5FE15490" w14:textId="77777777" w:rsidR="0067400D" w:rsidRPr="0086276A"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86276A">
        <w:rPr>
          <w:rFonts w:ascii="Palatino Linotype" w:hAnsi="Palatino Linotype"/>
          <w:b/>
          <w:i/>
          <w:sz w:val="22"/>
        </w:rPr>
        <w:t xml:space="preserve">VIII. Incumplir el deber de confidencialidad </w:t>
      </w:r>
      <w:r w:rsidRPr="0086276A">
        <w:rPr>
          <w:rFonts w:ascii="Palatino Linotype" w:hAnsi="Palatino Linotype"/>
          <w:i/>
          <w:sz w:val="22"/>
        </w:rPr>
        <w:t xml:space="preserve">establecido en el artículo 21 de esta Ley; </w:t>
      </w:r>
    </w:p>
    <w:p w14:paraId="6275FC7D"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IX.</w:t>
      </w:r>
      <w:r w:rsidRPr="00B425B8">
        <w:rPr>
          <w:rFonts w:ascii="Palatino Linotype" w:hAnsi="Palatino Linotype"/>
          <w:i/>
          <w:sz w:val="22"/>
        </w:rPr>
        <w:t xml:space="preserve"> Cambiar sustancialmente la finalidad originaria del tratamiento de los datos, sin observar lo dispuesto por el artículo 12; </w:t>
      </w:r>
    </w:p>
    <w:p w14:paraId="636441FE"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X.</w:t>
      </w:r>
      <w:r w:rsidRPr="00B425B8">
        <w:rPr>
          <w:rFonts w:ascii="Palatino Linotype" w:hAnsi="Palatino Linotype"/>
          <w:i/>
          <w:sz w:val="22"/>
        </w:rPr>
        <w:t xml:space="preserve"> </w:t>
      </w:r>
      <w:r w:rsidRPr="0086276A">
        <w:rPr>
          <w:rFonts w:ascii="Palatino Linotype" w:hAnsi="Palatino Linotype"/>
          <w:b/>
          <w:i/>
          <w:sz w:val="22"/>
        </w:rPr>
        <w:t>Transferir datos a terceros</w:t>
      </w:r>
      <w:r w:rsidRPr="00B425B8">
        <w:rPr>
          <w:rFonts w:ascii="Palatino Linotype" w:hAnsi="Palatino Linotype"/>
          <w:i/>
          <w:sz w:val="22"/>
        </w:rPr>
        <w:t xml:space="preserve"> sin comunicar a éstos el aviso de privacidad que contiene las limitaciones a que el titular sujetó la divulgación de los mismos; </w:t>
      </w:r>
    </w:p>
    <w:p w14:paraId="18448D69"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XI.</w:t>
      </w:r>
      <w:r w:rsidRPr="00B425B8">
        <w:rPr>
          <w:rFonts w:ascii="Palatino Linotype" w:hAnsi="Palatino Linotype"/>
          <w:i/>
          <w:sz w:val="22"/>
        </w:rPr>
        <w:t xml:space="preserve"> Vulnerar la seguridad de bases de datos, locales, programas o equipos, cuando resulte imputable al responsable; </w:t>
      </w:r>
    </w:p>
    <w:p w14:paraId="18F1AA59"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XII.</w:t>
      </w:r>
      <w:r w:rsidRPr="00B425B8">
        <w:rPr>
          <w:rFonts w:ascii="Palatino Linotype" w:hAnsi="Palatino Linotype"/>
          <w:i/>
          <w:sz w:val="22"/>
        </w:rPr>
        <w:t xml:space="preserve"> </w:t>
      </w:r>
      <w:r w:rsidRPr="0086276A">
        <w:rPr>
          <w:rFonts w:ascii="Palatino Linotype" w:hAnsi="Palatino Linotype"/>
          <w:b/>
          <w:i/>
          <w:sz w:val="22"/>
        </w:rPr>
        <w:t>Llevar a cabo la transferencia o cesión de los datos personales</w:t>
      </w:r>
      <w:r w:rsidRPr="00B425B8">
        <w:rPr>
          <w:rFonts w:ascii="Palatino Linotype" w:hAnsi="Palatino Linotype"/>
          <w:i/>
          <w:sz w:val="22"/>
        </w:rPr>
        <w:t xml:space="preserve">, fuera de los casos en que esté permitida por la Ley; </w:t>
      </w:r>
    </w:p>
    <w:p w14:paraId="0A20CA76"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XIII.</w:t>
      </w:r>
      <w:r w:rsidRPr="00B425B8">
        <w:rPr>
          <w:rFonts w:ascii="Palatino Linotype" w:hAnsi="Palatino Linotype"/>
          <w:i/>
          <w:sz w:val="22"/>
        </w:rPr>
        <w:t xml:space="preserve"> Recabar o transferir datos personales sin el consentimiento expreso del titular, en los casos en que éste sea exigible; </w:t>
      </w:r>
    </w:p>
    <w:p w14:paraId="2703D833"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XIV.</w:t>
      </w:r>
      <w:r w:rsidRPr="00B425B8">
        <w:rPr>
          <w:rFonts w:ascii="Palatino Linotype" w:hAnsi="Palatino Linotype"/>
          <w:i/>
          <w:sz w:val="22"/>
        </w:rPr>
        <w:t xml:space="preserve"> Obstruir los actos de verificación de la autoridad; </w:t>
      </w:r>
    </w:p>
    <w:p w14:paraId="5989F35E"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XV.</w:t>
      </w:r>
      <w:r w:rsidRPr="00B425B8">
        <w:rPr>
          <w:rFonts w:ascii="Palatino Linotype" w:hAnsi="Palatino Linotype"/>
          <w:i/>
          <w:sz w:val="22"/>
        </w:rPr>
        <w:t xml:space="preserve"> Recabar datos en forma engañosa y fraudulenta; </w:t>
      </w:r>
    </w:p>
    <w:p w14:paraId="1C4A4AFF"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XVI.</w:t>
      </w:r>
      <w:r w:rsidRPr="00B425B8">
        <w:rPr>
          <w:rFonts w:ascii="Palatino Linotype" w:hAnsi="Palatino Linotype"/>
          <w:i/>
          <w:sz w:val="22"/>
        </w:rPr>
        <w:t xml:space="preserve"> Continuar con el uso ilegítimo de los datos personales cuando se ha solicitado el cese del mismo por el Instituto o los titulares; </w:t>
      </w:r>
    </w:p>
    <w:p w14:paraId="692BD70D"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XVII.</w:t>
      </w:r>
      <w:r w:rsidRPr="00B425B8">
        <w:rPr>
          <w:rFonts w:ascii="Palatino Linotype" w:hAnsi="Palatino Linotype"/>
          <w:i/>
          <w:sz w:val="22"/>
        </w:rPr>
        <w:t xml:space="preserve"> Tratar los datos personales de manera que se afecte o impida el ejercicio de los derechos de acceso, rectificación, cancelación y oposición establecidos en el artículo 16 de la Constitución Política de los Estados Unidos Mexicanos; </w:t>
      </w:r>
    </w:p>
    <w:p w14:paraId="51E5F353" w14:textId="77777777" w:rsidR="0067400D" w:rsidRPr="00B425B8" w:rsidRDefault="0067400D" w:rsidP="0067400D">
      <w:pPr>
        <w:pStyle w:val="Prrafodelista"/>
        <w:tabs>
          <w:tab w:val="left" w:pos="0"/>
          <w:tab w:val="left" w:pos="426"/>
        </w:tabs>
        <w:spacing w:line="276" w:lineRule="auto"/>
        <w:ind w:left="567" w:right="567"/>
        <w:jc w:val="both"/>
        <w:rPr>
          <w:rFonts w:ascii="Palatino Linotype" w:hAnsi="Palatino Linotype"/>
          <w:i/>
          <w:sz w:val="22"/>
        </w:rPr>
      </w:pPr>
      <w:r w:rsidRPr="00B425B8">
        <w:rPr>
          <w:rFonts w:ascii="Palatino Linotype" w:hAnsi="Palatino Linotype"/>
          <w:b/>
          <w:i/>
          <w:sz w:val="22"/>
        </w:rPr>
        <w:t>XVIII.</w:t>
      </w:r>
      <w:r w:rsidRPr="00B425B8">
        <w:rPr>
          <w:rFonts w:ascii="Palatino Linotype" w:hAnsi="Palatino Linotype"/>
          <w:i/>
          <w:sz w:val="22"/>
        </w:rPr>
        <w:t xml:space="preserve"> Crear bases de datos en contravención a lo dispuesto por el artículo 9, segundo párrafo de esta Ley, y </w:t>
      </w:r>
    </w:p>
    <w:p w14:paraId="7DB49CAD" w14:textId="77777777" w:rsidR="0067400D" w:rsidRDefault="0067400D" w:rsidP="0067400D">
      <w:pPr>
        <w:pStyle w:val="Prrafodelista"/>
        <w:tabs>
          <w:tab w:val="left" w:pos="0"/>
          <w:tab w:val="left" w:pos="426"/>
        </w:tabs>
        <w:spacing w:line="276" w:lineRule="auto"/>
        <w:ind w:left="567" w:right="567"/>
        <w:jc w:val="both"/>
        <w:rPr>
          <w:rFonts w:ascii="Palatino Linotype" w:hAnsi="Palatino Linotype"/>
          <w:sz w:val="22"/>
        </w:rPr>
      </w:pPr>
      <w:r w:rsidRPr="00B425B8">
        <w:rPr>
          <w:rFonts w:ascii="Palatino Linotype" w:hAnsi="Palatino Linotype"/>
          <w:b/>
          <w:i/>
          <w:sz w:val="22"/>
        </w:rPr>
        <w:t>XIX.</w:t>
      </w:r>
      <w:r w:rsidRPr="00B425B8">
        <w:rPr>
          <w:rFonts w:ascii="Palatino Linotype" w:hAnsi="Palatino Linotype"/>
          <w:i/>
          <w:sz w:val="22"/>
        </w:rPr>
        <w:t xml:space="preserve"> Cualquier incumplimiento del responsable a las obligaciones establecidas a su cargo en términos de lo previsto en la presente Ley.”</w:t>
      </w:r>
    </w:p>
    <w:p w14:paraId="14EB9DC6" w14:textId="77777777" w:rsidR="0067400D" w:rsidRPr="0086276A" w:rsidRDefault="0067400D" w:rsidP="0067400D">
      <w:pPr>
        <w:pStyle w:val="Prrafodelista"/>
        <w:tabs>
          <w:tab w:val="left" w:pos="0"/>
          <w:tab w:val="left" w:pos="426"/>
        </w:tabs>
        <w:spacing w:line="276" w:lineRule="auto"/>
        <w:ind w:left="567" w:right="567"/>
        <w:jc w:val="both"/>
        <w:rPr>
          <w:rFonts w:ascii="Palatino Linotype" w:hAnsi="Palatino Linotype" w:cs="Arial"/>
          <w:noProof/>
          <w:sz w:val="22"/>
        </w:rPr>
      </w:pPr>
      <w:r w:rsidRPr="0086276A">
        <w:rPr>
          <w:rFonts w:ascii="Palatino Linotype" w:hAnsi="Palatino Linotype"/>
          <w:sz w:val="22"/>
        </w:rPr>
        <w:t>(Énfasis añadido)</w:t>
      </w:r>
    </w:p>
    <w:p w14:paraId="00FB85E2" w14:textId="77777777" w:rsidR="0067400D" w:rsidRPr="0067400D" w:rsidRDefault="0067400D" w:rsidP="0067400D">
      <w:pPr>
        <w:rPr>
          <w:rFonts w:ascii="Palatino Linotype" w:hAnsi="Palatino Linotype"/>
          <w:color w:val="000000" w:themeColor="text1"/>
        </w:rPr>
      </w:pPr>
    </w:p>
    <w:p w14:paraId="7E6B0C93" w14:textId="072D904E" w:rsidR="00B7018A" w:rsidRPr="00B7018A" w:rsidRDefault="0067400D" w:rsidP="002866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Por </w:t>
      </w:r>
      <w:r>
        <w:rPr>
          <w:rFonts w:ascii="Palatino Linotype" w:eastAsia="MS Mincho" w:hAnsi="Palatino Linotype"/>
        </w:rPr>
        <w:t>lo anterior, este Órgano Garante exhorta a la particular a conducir el uso de los datos personales de terceros que ahora están en su posesión con sumo respeto y secrecía, siguiendo los principios de licitud, lealtad y responsabilidad, previstos en la Ley Federal de Protección de Datos Personales en Posesión de los Particulares.</w:t>
      </w:r>
    </w:p>
    <w:p w14:paraId="7B91D167" w14:textId="0B283606" w:rsidR="00B7018A" w:rsidRDefault="00B7018A" w:rsidP="00B7018A">
      <w:pPr>
        <w:pStyle w:val="Prrafodelista"/>
        <w:tabs>
          <w:tab w:val="left" w:pos="426"/>
        </w:tabs>
        <w:spacing w:before="240" w:after="240" w:line="360" w:lineRule="auto"/>
        <w:ind w:left="0" w:right="51"/>
        <w:jc w:val="both"/>
        <w:rPr>
          <w:rFonts w:ascii="Palatino Linotype" w:hAnsi="Palatino Linotype"/>
          <w:color w:val="000000" w:themeColor="text1"/>
        </w:rPr>
      </w:pPr>
    </w:p>
    <w:p w14:paraId="20AD4046" w14:textId="14FC0B38" w:rsidR="001B5BC3" w:rsidRPr="001B5BC3" w:rsidRDefault="001B5BC3" w:rsidP="001B5BC3">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r>
        <w:rPr>
          <w:rFonts w:ascii="Palatino Linotype" w:hAnsi="Palatino Linotype"/>
          <w:b/>
          <w:bCs/>
          <w:color w:val="000000" w:themeColor="text1"/>
        </w:rPr>
        <w:t>SEXTO. De la versión pública.</w:t>
      </w:r>
    </w:p>
    <w:p w14:paraId="37E5D935" w14:textId="77777777" w:rsidR="001B5BC3" w:rsidRPr="00B7018A" w:rsidRDefault="001B5BC3" w:rsidP="00B7018A">
      <w:pPr>
        <w:pStyle w:val="Prrafodelista"/>
        <w:tabs>
          <w:tab w:val="left" w:pos="426"/>
        </w:tabs>
        <w:spacing w:before="240" w:after="240" w:line="360" w:lineRule="auto"/>
        <w:ind w:left="0" w:right="51"/>
        <w:jc w:val="both"/>
        <w:rPr>
          <w:rFonts w:ascii="Palatino Linotype" w:hAnsi="Palatino Linotype"/>
          <w:color w:val="000000" w:themeColor="text1"/>
        </w:rPr>
      </w:pPr>
    </w:p>
    <w:p w14:paraId="596E6308" w14:textId="77777777" w:rsidR="00520B3E" w:rsidRDefault="001B5BC3"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Debe </w:t>
      </w:r>
      <w:r w:rsidR="00520B3E" w:rsidRPr="00F01443">
        <w:rPr>
          <w:rFonts w:ascii="Palatino Linotype" w:hAnsi="Palatino Linotype"/>
          <w:color w:val="000000" w:themeColor="text1"/>
        </w:rPr>
        <w:t xml:space="preserve">destacarse que, debido a la naturaleza de la información </w:t>
      </w:r>
      <w:r w:rsidR="00520B3E" w:rsidRPr="00BB6ADD">
        <w:rPr>
          <w:rFonts w:ascii="Palatino Linotype" w:hAnsi="Palatino Linotype"/>
          <w:bCs/>
          <w:color w:val="000000" w:themeColor="text1"/>
        </w:rPr>
        <w:t>solicitada</w:t>
      </w:r>
      <w:r w:rsidR="00520B3E">
        <w:rPr>
          <w:rFonts w:ascii="Palatino Linotype" w:hAnsi="Palatino Linotype"/>
          <w:bCs/>
          <w:color w:val="000000" w:themeColor="text1"/>
        </w:rPr>
        <w:t xml:space="preserve">, consistente en el Registro de las Solicitudes de Información, </w:t>
      </w:r>
      <w:r w:rsidR="00520B3E" w:rsidRPr="00BB6ADD">
        <w:rPr>
          <w:rFonts w:ascii="Palatino Linotype" w:hAnsi="Palatino Linotype"/>
          <w:bCs/>
          <w:color w:val="000000" w:themeColor="text1"/>
        </w:rPr>
        <w:t>eventualmente</w:t>
      </w:r>
      <w:r w:rsidR="00520B3E" w:rsidRPr="00F01443">
        <w:rPr>
          <w:rFonts w:ascii="Palatino Linotype" w:hAnsi="Palatino Linotype"/>
          <w:color w:val="000000" w:themeColor="text1"/>
        </w:rPr>
        <w:t xml:space="preserve"> pudieran obrar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y en su caso generar la versión pública de los documentos por las consideraciones que se estimen pertinentes.</w:t>
      </w:r>
    </w:p>
    <w:p w14:paraId="7ADA1DAB"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1CB11B50"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La </w:t>
      </w:r>
      <w:r w:rsidRPr="0062325E">
        <w:rPr>
          <w:rFonts w:ascii="Palatino Linotype" w:hAnsi="Palatino Linotype" w:cs="Arial"/>
          <w:color w:val="000000" w:themeColor="text1"/>
        </w:rPr>
        <w:t>clasificación total o parcial de la información requerida, mediante solicitud de acceso a la información pública, constituye una restricción al derecho humano de acceso a la información. Como reiteradamente han dicho, diversos Órganos Jurisdiccionales, ningún derecho es absoluto</w:t>
      </w:r>
      <w:r>
        <w:rPr>
          <w:rFonts w:ascii="Palatino Linotype" w:hAnsi="Palatino Linotype" w:cs="Arial"/>
          <w:color w:val="000000" w:themeColor="text1"/>
        </w:rPr>
        <w:t>,</w:t>
      </w:r>
      <w:r w:rsidRPr="0062325E">
        <w:rPr>
          <w:rFonts w:ascii="Palatino Linotype" w:hAnsi="Palatino Linotype" w:cs="Arial"/>
          <w:color w:val="000000" w:themeColor="text1"/>
        </w:rPr>
        <w:t xml:space="preserve"> aunque cualquier límite o restricción, para ser legítimo, debe reunir con tres requisitos: primero, debe de estar establecida en un ordenamiento legal, antes de su aplicación; debe de corresponder a un fin legítimo y ser estrictamente proporcional con el principio o valor que se pretende preservar.  En este caso, la clasificación total o parcial de la información es un </w:t>
      </w:r>
      <w:r w:rsidRPr="0062325E">
        <w:rPr>
          <w:rFonts w:ascii="Palatino Linotype" w:hAnsi="Palatino Linotype" w:cs="Arial"/>
          <w:color w:val="000000" w:themeColor="text1"/>
        </w:rPr>
        <w:lastRenderedPageBreak/>
        <w:t>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51719F02"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5752B62D" w14:textId="0EEDEC7E" w:rsidR="00B7018A" w:rsidRPr="00B7018A" w:rsidRDefault="00520B3E" w:rsidP="00520B3E">
      <w:pPr>
        <w:pStyle w:val="Prrafodelista"/>
        <w:numPr>
          <w:ilvl w:val="0"/>
          <w:numId w:val="1"/>
        </w:numPr>
        <w:tabs>
          <w:tab w:val="left" w:pos="426"/>
        </w:tabs>
        <w:spacing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El </w:t>
      </w:r>
      <w:r w:rsidRPr="0062325E">
        <w:rPr>
          <w:rFonts w:ascii="Palatino Linotype" w:eastAsia="MS Mincho" w:hAnsi="Palatino Linotype" w:cs="Times New Roman"/>
        </w:rPr>
        <w:t>grave problema que enfrentamos en general, los acuerdos de clasificación de la información que emiten los Sujetos Obligados siguen sin observar los requisitos, tanto por la complejidad del procedimiento como por la falta de atención de los operadores jurídicos.</w:t>
      </w:r>
    </w:p>
    <w:p w14:paraId="030F4470" w14:textId="73730442" w:rsidR="00B7018A" w:rsidRDefault="00B7018A" w:rsidP="00520B3E">
      <w:pPr>
        <w:rPr>
          <w:rFonts w:ascii="Palatino Linotype" w:hAnsi="Palatino Linotype"/>
          <w:b/>
          <w:bCs/>
          <w:color w:val="000000" w:themeColor="text1"/>
        </w:rPr>
      </w:pPr>
    </w:p>
    <w:p w14:paraId="1E773B55" w14:textId="52F9BD9A" w:rsidR="00520B3E" w:rsidRPr="00520B3E" w:rsidRDefault="00520B3E" w:rsidP="00520B3E">
      <w:pPr>
        <w:pStyle w:val="Ttulo3"/>
        <w:rPr>
          <w:rFonts w:ascii="Palatino Linotype" w:hAnsi="Palatino Linotype"/>
          <w:b/>
          <w:bCs/>
          <w:color w:val="000000" w:themeColor="text1"/>
        </w:rPr>
      </w:pPr>
      <w:r w:rsidRPr="00520B3E">
        <w:rPr>
          <w:rFonts w:ascii="Palatino Linotype" w:hAnsi="Palatino Linotype"/>
          <w:b/>
          <w:bCs/>
          <w:color w:val="000000" w:themeColor="text1"/>
        </w:rPr>
        <w:t>I. Requisitos previos.</w:t>
      </w:r>
    </w:p>
    <w:p w14:paraId="4E888675" w14:textId="77777777" w:rsidR="00520B3E" w:rsidRPr="00520B3E" w:rsidRDefault="00520B3E" w:rsidP="00520B3E">
      <w:pPr>
        <w:rPr>
          <w:rFonts w:ascii="Palatino Linotype" w:hAnsi="Palatino Linotype"/>
          <w:color w:val="000000" w:themeColor="text1"/>
        </w:rPr>
      </w:pPr>
    </w:p>
    <w:p w14:paraId="7FCD4730"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Los </w:t>
      </w:r>
      <w:r w:rsidRPr="0062325E">
        <w:rPr>
          <w:rFonts w:ascii="Palatino Linotype" w:eastAsia="MS Mincho" w:hAnsi="Palatino Linotype" w:cs="Times New Roman"/>
        </w:rPr>
        <w:t>artículos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(nombre, registro federal de contribuyentes, edad, fotografía, entre otros) que forme parte de algún documento o el documento que se pretende reservar (contrato, licencia, póliza, entre otros), señalando el supuesto de clasificación (confidencialidad o reserva).</w:t>
      </w:r>
    </w:p>
    <w:p w14:paraId="0130FD18"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4F6A308C"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Además, </w:t>
      </w:r>
      <w:r w:rsidRPr="0062325E">
        <w:rPr>
          <w:rFonts w:ascii="Palatino Linotype" w:eastAsia="MS Mincho" w:hAnsi="Palatino Linotype" w:cs="Times New Roman"/>
        </w:rPr>
        <w:t>se debe señalar el procedimiento</w:t>
      </w:r>
      <w:r>
        <w:rPr>
          <w:rFonts w:ascii="Palatino Linotype" w:eastAsia="MS Mincho" w:hAnsi="Palatino Linotype" w:cs="Times New Roman"/>
        </w:rPr>
        <w:t xml:space="preserve"> </w:t>
      </w:r>
      <w:r w:rsidRPr="0062325E">
        <w:rPr>
          <w:rFonts w:ascii="Palatino Linotype" w:eastAsia="MS Mincho" w:hAnsi="Palatino Linotype" w:cs="Times New Roman"/>
        </w:rPr>
        <w:t>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14:paraId="37D558DB"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5D2844B1" w14:textId="0EBEA161" w:rsidR="00B7018A" w:rsidRPr="00B7018A" w:rsidRDefault="00520B3E" w:rsidP="00520B3E">
      <w:pPr>
        <w:pStyle w:val="Prrafodelista"/>
        <w:numPr>
          <w:ilvl w:val="0"/>
          <w:numId w:val="1"/>
        </w:numPr>
        <w:tabs>
          <w:tab w:val="left" w:pos="426"/>
        </w:tabs>
        <w:spacing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El </w:t>
      </w:r>
      <w:r w:rsidRPr="0062325E">
        <w:rPr>
          <w:rFonts w:ascii="Palatino Linotype" w:eastAsia="MS Mincho" w:hAnsi="Palatino Linotype" w:cs="Times New Roman"/>
        </w:rPr>
        <w:t>último de estos requisitos previos consiste en que no se pueden emitir acuerdos de carácter general ni particular, según lo disponen los artículos 134 y 108 de la Ley Estatal y de la Ley General, respectivamente, esto es, no se puede hacer un acuerdo para clasificar de manera general todos los documentos de un expediente o área,  sin individualizar su análisis y tampoco se puede hacer un acuerdo por cada dato que se vaya a clasificar dentro de un documento con diez datos, por ejemplo, susceptibles de ser clasificados.</w:t>
      </w:r>
    </w:p>
    <w:p w14:paraId="6A375400" w14:textId="04B352AC" w:rsidR="00B7018A" w:rsidRDefault="00B7018A" w:rsidP="00520B3E">
      <w:pPr>
        <w:pStyle w:val="Prrafodelista"/>
        <w:tabs>
          <w:tab w:val="left" w:pos="426"/>
        </w:tabs>
        <w:spacing w:line="360" w:lineRule="auto"/>
        <w:ind w:left="0" w:right="51"/>
        <w:jc w:val="both"/>
        <w:rPr>
          <w:rFonts w:ascii="Palatino Linotype" w:hAnsi="Palatino Linotype"/>
          <w:color w:val="000000" w:themeColor="text1"/>
        </w:rPr>
      </w:pPr>
    </w:p>
    <w:p w14:paraId="6E774681" w14:textId="3961CA88" w:rsidR="00520B3E" w:rsidRPr="00520B3E" w:rsidRDefault="00520B3E" w:rsidP="00520B3E">
      <w:pPr>
        <w:pStyle w:val="Prrafodelista"/>
        <w:tabs>
          <w:tab w:val="left" w:pos="426"/>
        </w:tabs>
        <w:spacing w:line="360" w:lineRule="auto"/>
        <w:ind w:left="0" w:right="51"/>
        <w:jc w:val="both"/>
        <w:outlineLvl w:val="2"/>
        <w:rPr>
          <w:rFonts w:ascii="Palatino Linotype" w:hAnsi="Palatino Linotype"/>
          <w:b/>
          <w:bCs/>
          <w:color w:val="000000" w:themeColor="text1"/>
        </w:rPr>
      </w:pPr>
      <w:r>
        <w:rPr>
          <w:rFonts w:ascii="Palatino Linotype" w:hAnsi="Palatino Linotype"/>
          <w:b/>
          <w:bCs/>
          <w:color w:val="000000" w:themeColor="text1"/>
        </w:rPr>
        <w:t>II. Supuestos de clasificación.</w:t>
      </w:r>
    </w:p>
    <w:p w14:paraId="4689974E" w14:textId="77777777" w:rsidR="00520B3E" w:rsidRPr="00B7018A" w:rsidRDefault="00520B3E" w:rsidP="00520B3E">
      <w:pPr>
        <w:pStyle w:val="Prrafodelista"/>
        <w:tabs>
          <w:tab w:val="left" w:pos="426"/>
        </w:tabs>
        <w:spacing w:line="360" w:lineRule="auto"/>
        <w:ind w:left="0" w:right="51"/>
        <w:jc w:val="both"/>
        <w:rPr>
          <w:rFonts w:ascii="Palatino Linotype" w:hAnsi="Palatino Linotype"/>
          <w:color w:val="000000" w:themeColor="text1"/>
        </w:rPr>
      </w:pPr>
    </w:p>
    <w:p w14:paraId="06E04B47"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Las </w:t>
      </w:r>
      <w:r w:rsidRPr="0062325E">
        <w:rPr>
          <w:rFonts w:ascii="Palatino Linotype" w:eastAsia="MS Mincho" w:hAnsi="Palatino Linotype" w:cs="Times New Roman"/>
        </w:rPr>
        <w:t>disposiciones constitucionales y legales en la materia establecen los dos supuestos generales para clasificar la información: por reserva y por confidencialidad.</w:t>
      </w:r>
    </w:p>
    <w:p w14:paraId="65B4A075"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3BF4AE09" w14:textId="5D7C9526" w:rsidR="00B7018A" w:rsidRPr="00B7018A"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Los </w:t>
      </w:r>
      <w:r w:rsidRPr="0062325E">
        <w:rPr>
          <w:rFonts w:ascii="Palatino Linotype" w:eastAsia="MS Mincho" w:hAnsi="Palatino Linotype" w:cs="Times New Roman"/>
        </w:rPr>
        <w:t>artículos 143 y 116 de la Ley Estatal y de la Ley General, respectivamente, señalan los supuestos para que la información pueda ser clasificada como confidencial:</w:t>
      </w:r>
    </w:p>
    <w:p w14:paraId="4379DC25" w14:textId="6A6FF5CD" w:rsidR="00B7018A" w:rsidRDefault="00B7018A" w:rsidP="00520B3E">
      <w:pPr>
        <w:pStyle w:val="Prrafodelista"/>
        <w:tabs>
          <w:tab w:val="left" w:pos="426"/>
        </w:tabs>
        <w:spacing w:line="360" w:lineRule="auto"/>
        <w:ind w:left="0" w:right="51"/>
        <w:jc w:val="both"/>
        <w:rPr>
          <w:rFonts w:ascii="Palatino Linotype" w:hAnsi="Palatino Linotype"/>
          <w:color w:val="000000" w:themeColor="text1"/>
        </w:rPr>
      </w:pPr>
    </w:p>
    <w:p w14:paraId="53C008C3" w14:textId="77777777" w:rsidR="00520B3E" w:rsidRPr="00F01443" w:rsidRDefault="00520B3E" w:rsidP="00520B3E">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F01443">
        <w:rPr>
          <w:rFonts w:ascii="Palatino Linotype" w:hAnsi="Palatino Linotype" w:cs="Bookman Old Style"/>
          <w:bCs/>
          <w:i/>
          <w:color w:val="000000"/>
          <w:sz w:val="22"/>
          <w:szCs w:val="22"/>
        </w:rPr>
        <w:t xml:space="preserve">“I. </w:t>
      </w:r>
      <w:r w:rsidRPr="00F01443">
        <w:rPr>
          <w:rFonts w:ascii="Palatino Linotype" w:hAnsi="Palatino Linotype" w:cs="Bookman Old Style"/>
          <w:i/>
          <w:color w:val="000000"/>
          <w:sz w:val="22"/>
          <w:szCs w:val="22"/>
        </w:rPr>
        <w:t xml:space="preserve">Se refiera a la información privada y los datos personales concernientes a una persona </w:t>
      </w:r>
      <w:r w:rsidRPr="00F01443">
        <w:rPr>
          <w:rFonts w:ascii="Palatino Linotype" w:hAnsi="Palatino Linotype" w:cs="Bookman Old Style"/>
          <w:i/>
          <w:color w:val="000000"/>
          <w:sz w:val="22"/>
          <w:szCs w:val="22"/>
        </w:rPr>
        <w:lastRenderedPageBreak/>
        <w:t xml:space="preserve">física o jurídico colectiva identificada o identificable; </w:t>
      </w:r>
    </w:p>
    <w:p w14:paraId="091CFCDB" w14:textId="77777777" w:rsidR="00520B3E" w:rsidRPr="00F01443" w:rsidRDefault="00520B3E" w:rsidP="00520B3E">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F01443">
        <w:rPr>
          <w:rFonts w:ascii="Palatino Linotype" w:hAnsi="Palatino Linotype" w:cs="Bookman Old Style"/>
          <w:bCs/>
          <w:i/>
          <w:color w:val="000000"/>
          <w:sz w:val="22"/>
          <w:szCs w:val="22"/>
        </w:rPr>
        <w:t xml:space="preserve">II. </w:t>
      </w:r>
      <w:r w:rsidRPr="00F01443">
        <w:rPr>
          <w:rFonts w:ascii="Palatino Linotype" w:hAnsi="Palatino Linotype" w:cs="Bookman Old Style"/>
          <w:i/>
          <w:color w:val="000000"/>
          <w:sz w:val="22"/>
          <w:szCs w:val="22"/>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381D1322" w14:textId="77777777" w:rsidR="00520B3E" w:rsidRPr="00F01443" w:rsidRDefault="00520B3E" w:rsidP="00520B3E">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F01443">
        <w:rPr>
          <w:rFonts w:ascii="Palatino Linotype" w:hAnsi="Palatino Linotype" w:cs="Bookman Old Style"/>
          <w:bCs/>
          <w:i/>
          <w:color w:val="000000"/>
          <w:sz w:val="22"/>
          <w:szCs w:val="22"/>
        </w:rPr>
        <w:t xml:space="preserve">III. </w:t>
      </w:r>
      <w:r w:rsidRPr="00F01443">
        <w:rPr>
          <w:rFonts w:ascii="Palatino Linotype" w:hAnsi="Palatino Linotype" w:cs="Bookman Old Style"/>
          <w:i/>
          <w:color w:val="000000"/>
          <w:sz w:val="22"/>
          <w:szCs w:val="22"/>
        </w:rPr>
        <w:t xml:space="preserve">La que presenten los particulares a los sujetos obligados, de conformidad con lo dispuesto por las leyes o los tratados internacionales. </w:t>
      </w:r>
    </w:p>
    <w:p w14:paraId="4E73D452" w14:textId="77777777" w:rsidR="00520B3E" w:rsidRPr="00F01443" w:rsidRDefault="00520B3E" w:rsidP="00520B3E">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F01443">
        <w:rPr>
          <w:rFonts w:ascii="Palatino Linotype" w:hAnsi="Palatino Linotype" w:cs="Bookman Old Style"/>
          <w:i/>
          <w:color w:val="000000"/>
          <w:sz w:val="22"/>
          <w:szCs w:val="22"/>
        </w:rPr>
        <w:t xml:space="preserve">La información confidencial no estará sujeta a temporalidad alguna y sólo podrán tener acceso a ella los titulares de la misma, sus representantes y los servidores públicos facultados para ello. </w:t>
      </w:r>
    </w:p>
    <w:p w14:paraId="4CA526E1" w14:textId="77777777" w:rsidR="00520B3E" w:rsidRPr="00F01443" w:rsidRDefault="00520B3E" w:rsidP="00520B3E">
      <w:pPr>
        <w:widowControl w:val="0"/>
        <w:tabs>
          <w:tab w:val="left" w:pos="8222"/>
        </w:tabs>
        <w:autoSpaceDE w:val="0"/>
        <w:autoSpaceDN w:val="0"/>
        <w:adjustRightInd w:val="0"/>
        <w:spacing w:line="276" w:lineRule="auto"/>
        <w:ind w:left="567" w:right="567"/>
        <w:jc w:val="both"/>
        <w:rPr>
          <w:rFonts w:ascii="Palatino Linotype" w:hAnsi="Palatino Linotype" w:cs="Bookman Old Style"/>
          <w:i/>
          <w:color w:val="000000"/>
          <w:sz w:val="22"/>
          <w:szCs w:val="22"/>
        </w:rPr>
      </w:pPr>
      <w:r w:rsidRPr="00F01443">
        <w:rPr>
          <w:rFonts w:ascii="Palatino Linotype" w:hAnsi="Palatino Linotype" w:cs="Bookman Old Style"/>
          <w:i/>
          <w:color w:val="000000"/>
          <w:sz w:val="22"/>
          <w:szCs w:val="22"/>
        </w:rPr>
        <w:t>No se considerará confidencial la información que se encuentre en los registros públicos o en fuentes de acceso público, ni tampoco la que sea considerada por la presente ley como información pública. “</w:t>
      </w:r>
    </w:p>
    <w:p w14:paraId="1138284E" w14:textId="77777777" w:rsidR="00520B3E" w:rsidRPr="00B7018A" w:rsidRDefault="00520B3E" w:rsidP="00B7018A">
      <w:pPr>
        <w:pStyle w:val="Prrafodelista"/>
        <w:tabs>
          <w:tab w:val="left" w:pos="426"/>
        </w:tabs>
        <w:spacing w:before="240" w:after="240" w:line="360" w:lineRule="auto"/>
        <w:ind w:left="0" w:right="51"/>
        <w:jc w:val="both"/>
        <w:rPr>
          <w:rFonts w:ascii="Palatino Linotype" w:hAnsi="Palatino Linotype"/>
          <w:color w:val="000000" w:themeColor="text1"/>
        </w:rPr>
      </w:pPr>
    </w:p>
    <w:p w14:paraId="751F4BD6"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Mientras </w:t>
      </w:r>
      <w:r w:rsidRPr="0062325E">
        <w:rPr>
          <w:rFonts w:ascii="Palatino Linotype" w:eastAsia="MS Mincho" w:hAnsi="Palatino Linotype" w:cs="Times New Roman"/>
        </w:rPr>
        <w:t>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4CAD3D2A"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2D1047CE"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Como </w:t>
      </w:r>
      <w:r w:rsidRPr="0062325E">
        <w:rPr>
          <w:rFonts w:ascii="Palatino Linotype" w:eastAsia="MS Mincho" w:hAnsi="Palatino Linotype" w:cs="Times New Roman"/>
        </w:rPr>
        <w:t xml:space="preserve">consecuencia de lo anterior, el </w:t>
      </w:r>
      <w:r w:rsidRPr="0062325E">
        <w:rPr>
          <w:rFonts w:ascii="Palatino Linotype" w:eastAsia="MS Mincho" w:hAnsi="Palatino Linotype" w:cs="Times New Roman"/>
          <w:b/>
          <w:bCs/>
        </w:rPr>
        <w:t>SUJETO OBLIGADO</w:t>
      </w:r>
      <w:r w:rsidRPr="0062325E">
        <w:rPr>
          <w:rFonts w:ascii="Palatino Linotype" w:eastAsia="MS Mincho" w:hAnsi="Palatino Linotype" w:cs="Times New Roman"/>
        </w:rPr>
        <w:t xml:space="preserve"> debe identificar claramente el tipo de información y hacer un juicio de subsunción o encaje para acreditar que el supuesto de hecho corresponde estrictamente con la hipótesis jurídica. Esto también lo debe de realizar el servidor público habilitado y el titular del área que administra la información.</w:t>
      </w:r>
    </w:p>
    <w:p w14:paraId="649F719E"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4AC128E3" w14:textId="53D694B0" w:rsidR="00B7018A" w:rsidRPr="00B7018A"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Al </w:t>
      </w:r>
      <w:r w:rsidRPr="0062325E">
        <w:rPr>
          <w:rFonts w:ascii="Palatino Linotype" w:eastAsia="MS Mincho" w:hAnsi="Palatino Linotype" w:cs="Times New Roman"/>
        </w:rPr>
        <w:t>respecto, los Lineamientos Generales en Materia de Clasificación y Desclasificación de la Información, así Como para la Elaboración de Versiones Públicas, por cuanto hace a la clasificación de la información, señalan lo siguiente:</w:t>
      </w:r>
    </w:p>
    <w:p w14:paraId="19E795DB" w14:textId="21947847" w:rsidR="00B7018A" w:rsidRDefault="00B7018A" w:rsidP="00C637C3">
      <w:pPr>
        <w:pStyle w:val="Prrafodelista"/>
        <w:tabs>
          <w:tab w:val="left" w:pos="426"/>
        </w:tabs>
        <w:spacing w:line="360" w:lineRule="auto"/>
        <w:ind w:left="0" w:right="51"/>
        <w:jc w:val="both"/>
        <w:rPr>
          <w:rFonts w:ascii="Palatino Linotype" w:hAnsi="Palatino Linotype"/>
          <w:color w:val="000000" w:themeColor="text1"/>
        </w:rPr>
      </w:pPr>
    </w:p>
    <w:p w14:paraId="0B33AC15"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w:t>
      </w:r>
      <w:r w:rsidRPr="00F01443">
        <w:rPr>
          <w:rFonts w:ascii="Palatino Linotype" w:hAnsi="Palatino Linotype" w:cs="Arial"/>
          <w:b/>
          <w:i/>
          <w:sz w:val="22"/>
          <w:szCs w:val="22"/>
        </w:rPr>
        <w:t>Quincuagésimo.</w:t>
      </w:r>
      <w:r w:rsidRPr="00F01443">
        <w:rPr>
          <w:rFonts w:ascii="Palatino Linotype" w:hAnsi="Palatino Linotype" w:cs="Arial"/>
          <w:i/>
          <w:sz w:val="22"/>
          <w:szCs w:val="22"/>
        </w:rPr>
        <w:t xml:space="preserve"> Los titulares de las áreas de los sujetos obligados podrán utilizar los formatos contenidos en el presente Capítulo como modelo para señalar la clasificación de documentos o expedientes, sin perjuicio de que establezcan los propios.</w:t>
      </w:r>
    </w:p>
    <w:p w14:paraId="585D4E23"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p>
    <w:p w14:paraId="0E8B6A83"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b/>
          <w:i/>
          <w:sz w:val="22"/>
          <w:szCs w:val="22"/>
        </w:rPr>
        <w:t>Quincuagésimo primero.</w:t>
      </w:r>
      <w:r w:rsidRPr="00F01443">
        <w:rPr>
          <w:rFonts w:ascii="Palatino Linotype" w:hAnsi="Palatino Linotype" w:cs="Arial"/>
          <w:i/>
          <w:sz w:val="22"/>
          <w:szCs w:val="22"/>
        </w:rPr>
        <w:t xml:space="preserve"> La leyenda en los documentos clasificados indicará:</w:t>
      </w:r>
    </w:p>
    <w:p w14:paraId="1581D63F"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BB24E5">
        <w:rPr>
          <w:rFonts w:ascii="Palatino Linotype" w:hAnsi="Palatino Linotype" w:cs="Arial"/>
          <w:b/>
          <w:bCs/>
          <w:i/>
          <w:sz w:val="22"/>
          <w:szCs w:val="22"/>
        </w:rPr>
        <w:t>I.</w:t>
      </w:r>
      <w:r w:rsidRPr="00F01443">
        <w:rPr>
          <w:rFonts w:ascii="Palatino Linotype" w:hAnsi="Palatino Linotype" w:cs="Arial"/>
          <w:i/>
          <w:sz w:val="22"/>
          <w:szCs w:val="22"/>
        </w:rPr>
        <w:t xml:space="preserve"> La fecha de sesión del Comité de Transparencia en donde se confirmó la clasificación, en su caso;</w:t>
      </w:r>
    </w:p>
    <w:p w14:paraId="3104DA45"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BB24E5">
        <w:rPr>
          <w:rFonts w:ascii="Palatino Linotype" w:hAnsi="Palatino Linotype" w:cs="Arial"/>
          <w:b/>
          <w:bCs/>
          <w:i/>
          <w:sz w:val="22"/>
          <w:szCs w:val="22"/>
        </w:rPr>
        <w:t>II.</w:t>
      </w:r>
      <w:r w:rsidRPr="00F01443">
        <w:rPr>
          <w:rFonts w:ascii="Palatino Linotype" w:hAnsi="Palatino Linotype" w:cs="Arial"/>
          <w:i/>
          <w:sz w:val="22"/>
          <w:szCs w:val="22"/>
        </w:rPr>
        <w:t xml:space="preserve"> El nombre del área;</w:t>
      </w:r>
    </w:p>
    <w:p w14:paraId="2236696D"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BB24E5">
        <w:rPr>
          <w:rFonts w:ascii="Palatino Linotype" w:hAnsi="Palatino Linotype" w:cs="Arial"/>
          <w:b/>
          <w:bCs/>
          <w:i/>
          <w:sz w:val="22"/>
          <w:szCs w:val="22"/>
        </w:rPr>
        <w:t>III.</w:t>
      </w:r>
      <w:r w:rsidRPr="00F01443">
        <w:rPr>
          <w:rFonts w:ascii="Palatino Linotype" w:hAnsi="Palatino Linotype" w:cs="Arial"/>
          <w:i/>
          <w:sz w:val="22"/>
          <w:szCs w:val="22"/>
        </w:rPr>
        <w:t xml:space="preserve"> La palabra reservado o confidencial;</w:t>
      </w:r>
    </w:p>
    <w:p w14:paraId="1C7744B4"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BB24E5">
        <w:rPr>
          <w:rFonts w:ascii="Palatino Linotype" w:hAnsi="Palatino Linotype" w:cs="Arial"/>
          <w:b/>
          <w:bCs/>
          <w:i/>
          <w:sz w:val="22"/>
          <w:szCs w:val="22"/>
        </w:rPr>
        <w:t>IV.</w:t>
      </w:r>
      <w:r w:rsidRPr="00F01443">
        <w:rPr>
          <w:rFonts w:ascii="Palatino Linotype" w:hAnsi="Palatino Linotype" w:cs="Arial"/>
          <w:i/>
          <w:sz w:val="22"/>
          <w:szCs w:val="22"/>
        </w:rPr>
        <w:t xml:space="preserve"> Las partes o secciones reservadas o confidenciales, en su caso;</w:t>
      </w:r>
    </w:p>
    <w:p w14:paraId="26937985"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BB24E5">
        <w:rPr>
          <w:rFonts w:ascii="Palatino Linotype" w:hAnsi="Palatino Linotype" w:cs="Arial"/>
          <w:b/>
          <w:bCs/>
          <w:i/>
          <w:sz w:val="22"/>
          <w:szCs w:val="22"/>
        </w:rPr>
        <w:t>V.</w:t>
      </w:r>
      <w:r w:rsidRPr="00F01443">
        <w:rPr>
          <w:rFonts w:ascii="Palatino Linotype" w:hAnsi="Palatino Linotype" w:cs="Arial"/>
          <w:i/>
          <w:sz w:val="22"/>
          <w:szCs w:val="22"/>
        </w:rPr>
        <w:t xml:space="preserve"> El fundamento legal;</w:t>
      </w:r>
    </w:p>
    <w:p w14:paraId="02A9ABC7"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BB24E5">
        <w:rPr>
          <w:rFonts w:ascii="Palatino Linotype" w:hAnsi="Palatino Linotype" w:cs="Arial"/>
          <w:b/>
          <w:bCs/>
          <w:i/>
          <w:sz w:val="22"/>
          <w:szCs w:val="22"/>
        </w:rPr>
        <w:t>VI.</w:t>
      </w:r>
      <w:r w:rsidRPr="00F01443">
        <w:rPr>
          <w:rFonts w:ascii="Palatino Linotype" w:hAnsi="Palatino Linotype" w:cs="Arial"/>
          <w:i/>
          <w:sz w:val="22"/>
          <w:szCs w:val="22"/>
        </w:rPr>
        <w:t xml:space="preserve"> El periodo de reserva, y</w:t>
      </w:r>
    </w:p>
    <w:p w14:paraId="422F9735"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BB24E5">
        <w:rPr>
          <w:rFonts w:ascii="Palatino Linotype" w:hAnsi="Palatino Linotype" w:cs="Arial"/>
          <w:b/>
          <w:bCs/>
          <w:i/>
          <w:sz w:val="22"/>
          <w:szCs w:val="22"/>
        </w:rPr>
        <w:t>VII.</w:t>
      </w:r>
      <w:r w:rsidRPr="00F01443">
        <w:rPr>
          <w:rFonts w:ascii="Palatino Linotype" w:hAnsi="Palatino Linotype" w:cs="Arial"/>
          <w:i/>
          <w:sz w:val="22"/>
          <w:szCs w:val="22"/>
        </w:rPr>
        <w:t xml:space="preserve"> La rúbrica del titular del área.</w:t>
      </w:r>
    </w:p>
    <w:p w14:paraId="36C8A2A6"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p>
    <w:p w14:paraId="4A149558"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b/>
          <w:i/>
          <w:sz w:val="22"/>
          <w:szCs w:val="22"/>
        </w:rPr>
        <w:t>Quincuagésimo segundo.</w:t>
      </w:r>
      <w:r w:rsidRPr="00F01443">
        <w:rPr>
          <w:rFonts w:ascii="Palatino Linotype" w:hAnsi="Palatino Linotype" w:cs="Arial"/>
          <w:i/>
          <w:sz w:val="22"/>
          <w:szCs w:val="22"/>
        </w:rPr>
        <w:t xml:space="preserve"> Los sujetos obligados elaborarán los formatos a que se refiere este Capítulo en medios impresos o electrónicos, entre otros, debiendo ubicarse la leyenda de clasificación en la esquina superior derecha del documento.</w:t>
      </w:r>
    </w:p>
    <w:p w14:paraId="12B21F0C"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En caso de que las condiciones del documento no permitan la inserción completa de la leyenda de clasificación, los sujetos obligados deberán señalar con números o letras las partes testadas para que, en una hoja anexa, se desglose la referida leyenda con las acotaciones realizadas.</w:t>
      </w:r>
    </w:p>
    <w:p w14:paraId="565DCD2D" w14:textId="77777777" w:rsidR="00520B3E" w:rsidRPr="00F01443"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p>
    <w:p w14:paraId="67950B91" w14:textId="77777777" w:rsidR="00520B3E" w:rsidRDefault="00520B3E" w:rsidP="00520B3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b/>
          <w:i/>
          <w:sz w:val="22"/>
          <w:szCs w:val="22"/>
        </w:rPr>
        <w:t>Quincuagésimo tercero.</w:t>
      </w:r>
      <w:r w:rsidRPr="00F01443">
        <w:rPr>
          <w:rFonts w:ascii="Palatino Linotype" w:hAnsi="Palatino Linotype" w:cs="Arial"/>
          <w:i/>
          <w:sz w:val="22"/>
          <w:szCs w:val="22"/>
        </w:rPr>
        <w:t xml:space="preserve"> El formato para señalar la clasificación parcial de un documento, es el siguiente:</w:t>
      </w:r>
    </w:p>
    <w:p w14:paraId="5BE999CF" w14:textId="77777777" w:rsidR="00520B3E" w:rsidRDefault="00520B3E" w:rsidP="00520B3E">
      <w:pPr>
        <w:pStyle w:val="Prrafodelista"/>
        <w:tabs>
          <w:tab w:val="left" w:pos="426"/>
        </w:tabs>
        <w:spacing w:before="240" w:after="240" w:line="360" w:lineRule="auto"/>
        <w:ind w:left="0" w:right="51"/>
        <w:jc w:val="center"/>
        <w:rPr>
          <w:rFonts w:ascii="Palatino Linotype" w:hAnsi="Palatino Linotype"/>
          <w:color w:val="000000" w:themeColor="text1"/>
        </w:rPr>
      </w:pPr>
      <w:r>
        <w:rPr>
          <w:rFonts w:ascii="Palatino Linotype" w:hAnsi="Palatino Linotype" w:cs="Arial"/>
          <w:i/>
          <w:noProof/>
          <w:lang w:eastAsia="es-MX"/>
        </w:rPr>
        <w:lastRenderedPageBreak/>
        <w:drawing>
          <wp:inline distT="0" distB="0" distL="0" distR="0" wp14:anchorId="2BBE75C3" wp14:editId="44B89255">
            <wp:extent cx="4717588" cy="3872286"/>
            <wp:effectExtent l="57150" t="57150" r="121285" b="109220"/>
            <wp:docPr id="10"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abla&#10;&#10;Descripción generada automá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5203" cy="391136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2EAA8E5" w14:textId="77777777" w:rsidR="00520B3E" w:rsidRPr="00B7018A" w:rsidRDefault="00520B3E" w:rsidP="00B7018A">
      <w:pPr>
        <w:pStyle w:val="Prrafodelista"/>
        <w:tabs>
          <w:tab w:val="left" w:pos="426"/>
        </w:tabs>
        <w:spacing w:before="240" w:after="240" w:line="360" w:lineRule="auto"/>
        <w:ind w:left="0" w:right="51"/>
        <w:jc w:val="both"/>
        <w:rPr>
          <w:rFonts w:ascii="Palatino Linotype" w:hAnsi="Palatino Linotype"/>
          <w:color w:val="000000" w:themeColor="text1"/>
        </w:rPr>
      </w:pPr>
    </w:p>
    <w:p w14:paraId="5BC15F29" w14:textId="4C1D231F" w:rsidR="00B7018A" w:rsidRPr="00B7018A" w:rsidRDefault="00520B3E" w:rsidP="00520B3E">
      <w:pPr>
        <w:pStyle w:val="Prrafodelista"/>
        <w:numPr>
          <w:ilvl w:val="0"/>
          <w:numId w:val="1"/>
        </w:numPr>
        <w:tabs>
          <w:tab w:val="left" w:pos="426"/>
        </w:tabs>
        <w:spacing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Una </w:t>
      </w:r>
      <w:r w:rsidRPr="0062325E">
        <w:rPr>
          <w:rFonts w:ascii="Palatino Linotype" w:eastAsia="MS Mincho" w:hAnsi="Palatino Linotype" w:cs="Times New Roman"/>
        </w:rPr>
        <w:t>vez hecho lo anterior, se remite la información al Titular de la Unidad de Transparencia, con el acuerdo de clasificación correspondiente, para que sea sometido al conocimiento del Comité de Transparencia.</w:t>
      </w:r>
    </w:p>
    <w:p w14:paraId="08B7B2F8" w14:textId="13F3B84C" w:rsidR="00B7018A" w:rsidRDefault="00B7018A" w:rsidP="00520B3E">
      <w:pPr>
        <w:rPr>
          <w:rFonts w:ascii="Palatino Linotype" w:hAnsi="Palatino Linotype"/>
          <w:color w:val="000000" w:themeColor="text1"/>
        </w:rPr>
      </w:pPr>
    </w:p>
    <w:p w14:paraId="07F1E57F" w14:textId="65A95712" w:rsidR="00520B3E" w:rsidRDefault="00520B3E" w:rsidP="00520B3E">
      <w:pPr>
        <w:pStyle w:val="Ttulo3"/>
        <w:rPr>
          <w:rFonts w:ascii="Palatino Linotype" w:hAnsi="Palatino Linotype"/>
          <w:b/>
          <w:bCs/>
          <w:color w:val="000000" w:themeColor="text1"/>
        </w:rPr>
      </w:pPr>
      <w:r>
        <w:rPr>
          <w:rFonts w:ascii="Palatino Linotype" w:hAnsi="Palatino Linotype"/>
          <w:b/>
          <w:bCs/>
          <w:color w:val="000000" w:themeColor="text1"/>
        </w:rPr>
        <w:t>III. La Intervención del Comité de Transparencia.</w:t>
      </w:r>
    </w:p>
    <w:p w14:paraId="2C7E322B" w14:textId="16D59D99" w:rsidR="00520B3E" w:rsidRPr="00520B3E" w:rsidRDefault="00520B3E" w:rsidP="00520B3E">
      <w:pPr>
        <w:rPr>
          <w:rFonts w:ascii="Palatino Linotype" w:hAnsi="Palatino Linotype"/>
          <w:b/>
          <w:bCs/>
          <w:color w:val="000000" w:themeColor="text1"/>
        </w:rPr>
      </w:pPr>
      <w:r>
        <w:rPr>
          <w:rFonts w:ascii="Palatino Linotype" w:hAnsi="Palatino Linotype"/>
          <w:b/>
          <w:bCs/>
          <w:color w:val="000000" w:themeColor="text1"/>
        </w:rPr>
        <w:t>a) Formalidades para emitir el Acuerdo de Clasificación.</w:t>
      </w:r>
    </w:p>
    <w:p w14:paraId="5C819124" w14:textId="77777777" w:rsidR="00520B3E" w:rsidRPr="00520B3E" w:rsidRDefault="00520B3E" w:rsidP="00520B3E">
      <w:pPr>
        <w:rPr>
          <w:rFonts w:ascii="Palatino Linotype" w:hAnsi="Palatino Linotype"/>
          <w:color w:val="000000" w:themeColor="text1"/>
        </w:rPr>
      </w:pPr>
    </w:p>
    <w:p w14:paraId="02E542FA"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El </w:t>
      </w:r>
      <w:r w:rsidRPr="0062325E">
        <w:rPr>
          <w:rFonts w:ascii="Palatino Linotype" w:eastAsia="MS Mincho" w:hAnsi="Palatino Linotype" w:cs="Times New Roman"/>
        </w:rPr>
        <w:t xml:space="preserve">Comité de Transparencia, según lo dispuesto en los artículos 128 y 103 de la Ley Estatal y de la Ley General, respectivamente, y la fracción III del numeral Segundo de los Lineamientos generales en materia de clasificación y desclasificación de la información, así como para la elaboración de versiones </w:t>
      </w:r>
      <w:r w:rsidRPr="0062325E">
        <w:rPr>
          <w:rFonts w:ascii="Palatino Linotype" w:eastAsia="MS Mincho" w:hAnsi="Palatino Linotype" w:cs="Times New Roman"/>
        </w:rPr>
        <w:lastRenderedPageBreak/>
        <w:t>públicas, en adelante los Lineamientos Generales, cuenta con las facultades para confirmar, modificar o revocar la clasificación de la información que ha hecho el titular del área que administra la información. Por lo tanto, el Comité no aprueba la clasificación, sino que revisa lo que ha hecho el titular del área y confirma, modifica o revoca la decisión a través de un acuerdo.</w:t>
      </w:r>
    </w:p>
    <w:p w14:paraId="304725CC"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3481C6B3"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Evidentemente, </w:t>
      </w:r>
      <w:r w:rsidRPr="0062325E">
        <w:rPr>
          <w:rFonts w:ascii="Palatino Linotype" w:eastAsia="MS Mincho" w:hAnsi="Palatino Linotype" w:cs="Times New Roman"/>
        </w:rPr>
        <w:t>esta decisión implica una restricción a un derecho humano, por lo tanto, puede generar un agravio al particular y, en consecuencia, es necesario que el acto reúna con los requisitos elementales, entre ellos, que la autoridad que va a emitir el acto de autoridad sea la legalmente facultada para ello, es 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14:paraId="71B0855C"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02109A6B" w14:textId="1BF90D70" w:rsidR="00B7018A" w:rsidRPr="00520B3E" w:rsidRDefault="00520B3E" w:rsidP="00520B3E">
      <w:pPr>
        <w:pStyle w:val="Prrafodelista"/>
        <w:numPr>
          <w:ilvl w:val="0"/>
          <w:numId w:val="1"/>
        </w:numPr>
        <w:tabs>
          <w:tab w:val="left" w:pos="426"/>
        </w:tabs>
        <w:spacing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La </w:t>
      </w:r>
      <w:r w:rsidRPr="0062325E">
        <w:rPr>
          <w:rFonts w:ascii="Palatino Linotype" w:eastAsia="MS Mincho" w:hAnsi="Palatino Linotype" w:cs="Times New Roman"/>
        </w:rPr>
        <w:t xml:space="preserve">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w:t>
      </w:r>
      <w:r w:rsidRPr="0062325E">
        <w:rPr>
          <w:rFonts w:ascii="Palatino Linotype" w:eastAsia="MS Mincho" w:hAnsi="Palatino Linotype" w:cs="Times New Roman"/>
        </w:rPr>
        <w:lastRenderedPageBreak/>
        <w:t>por los titulares de áreas y que son sujetas a control, en primera instancia, por el Comité de Transparencia.</w:t>
      </w:r>
    </w:p>
    <w:p w14:paraId="464D21CF" w14:textId="5C6A835A" w:rsidR="00520B3E" w:rsidRDefault="00520B3E" w:rsidP="00520B3E">
      <w:pPr>
        <w:pStyle w:val="Prrafodelista"/>
        <w:tabs>
          <w:tab w:val="left" w:pos="426"/>
        </w:tabs>
        <w:spacing w:line="360" w:lineRule="auto"/>
        <w:ind w:left="0" w:right="51"/>
        <w:jc w:val="both"/>
        <w:rPr>
          <w:rFonts w:ascii="Palatino Linotype" w:hAnsi="Palatino Linotype"/>
          <w:color w:val="000000" w:themeColor="text1"/>
        </w:rPr>
      </w:pPr>
    </w:p>
    <w:p w14:paraId="7D3DFE51" w14:textId="0B038C35" w:rsidR="00520B3E" w:rsidRPr="00520B3E" w:rsidRDefault="00520B3E" w:rsidP="00520B3E">
      <w:pPr>
        <w:pStyle w:val="Prrafodelista"/>
        <w:tabs>
          <w:tab w:val="left" w:pos="426"/>
        </w:tabs>
        <w:spacing w:line="360" w:lineRule="auto"/>
        <w:ind w:left="0" w:right="51"/>
        <w:jc w:val="both"/>
        <w:outlineLvl w:val="2"/>
        <w:rPr>
          <w:rFonts w:ascii="Palatino Linotype" w:hAnsi="Palatino Linotype"/>
          <w:b/>
          <w:bCs/>
          <w:color w:val="000000" w:themeColor="text1"/>
        </w:rPr>
      </w:pPr>
      <w:r>
        <w:rPr>
          <w:rFonts w:ascii="Palatino Linotype" w:hAnsi="Palatino Linotype"/>
          <w:b/>
          <w:bCs/>
          <w:color w:val="000000" w:themeColor="text1"/>
        </w:rPr>
        <w:t>b) Requisitos de fondo del Acuerdo de Clasificación.</w:t>
      </w:r>
    </w:p>
    <w:p w14:paraId="47A5DA19" w14:textId="77777777" w:rsidR="00520B3E" w:rsidRPr="00520B3E" w:rsidRDefault="00520B3E" w:rsidP="00520B3E">
      <w:pPr>
        <w:pStyle w:val="Prrafodelista"/>
        <w:tabs>
          <w:tab w:val="left" w:pos="426"/>
        </w:tabs>
        <w:spacing w:line="360" w:lineRule="auto"/>
        <w:ind w:left="0" w:right="51"/>
        <w:jc w:val="both"/>
        <w:rPr>
          <w:rFonts w:ascii="Palatino Linotype" w:hAnsi="Palatino Linotype"/>
          <w:color w:val="000000" w:themeColor="text1"/>
        </w:rPr>
      </w:pPr>
    </w:p>
    <w:p w14:paraId="4CB8B6BD"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Como </w:t>
      </w:r>
      <w:r w:rsidRPr="0062325E">
        <w:rPr>
          <w:rFonts w:ascii="Palatino Linotype" w:hAnsi="Palatino Linotype" w:cs="Arial"/>
          <w:color w:val="000000" w:themeColor="text1"/>
        </w:rPr>
        <w:t>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w:t>
      </w:r>
    </w:p>
    <w:p w14:paraId="654740D5"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798F12DA"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De </w:t>
      </w:r>
      <w:r w:rsidRPr="0062325E">
        <w:rPr>
          <w:rFonts w:ascii="Palatino Linotype" w:eastAsia="MS Mincho" w:hAnsi="Palatino Linotype" w:cs="Times New Roman"/>
        </w:rPr>
        <w:t>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00D32F7C"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40D145F2"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Han </w:t>
      </w:r>
      <w:r w:rsidRPr="0062325E">
        <w:rPr>
          <w:rFonts w:ascii="Palatino Linotype" w:eastAsia="MS Mincho" w:hAnsi="Palatino Linotype" w:cs="Times New Roman"/>
        </w:rPr>
        <w:t xml:space="preserve">sido vastos los estudios doctrinarios relativos a estos derechos fundamentales y al principio de legalidad en ellos contenidos; como ejemplo, el procesalista José Ovalle Fabela, en su obra “Garantías Constitucionales del </w:t>
      </w:r>
      <w:r w:rsidRPr="0062325E">
        <w:rPr>
          <w:rFonts w:ascii="Palatino Linotype" w:eastAsia="MS Mincho" w:hAnsi="Palatino Linotype" w:cs="Times New Roman"/>
        </w:rPr>
        <w:lastRenderedPageBreak/>
        <w:t xml:space="preserve">Proceso”, refiere que </w:t>
      </w:r>
      <w:r w:rsidRPr="0062325E">
        <w:rPr>
          <w:rFonts w:ascii="Palatino Linotype" w:eastAsia="MS Mincho" w:hAnsi="Palatino Linotype" w:cs="Times New Roman"/>
          <w:i/>
          <w:iCs/>
        </w:rPr>
        <w:t>“(...)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 (....)”</w:t>
      </w:r>
      <w:r>
        <w:rPr>
          <w:rFonts w:ascii="Palatino Linotype" w:eastAsia="MS Mincho" w:hAnsi="Palatino Linotype" w:cs="Times New Roman"/>
        </w:rPr>
        <w:t>.</w:t>
      </w:r>
    </w:p>
    <w:p w14:paraId="37751A99"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0089CBE9" w14:textId="228A420A" w:rsidR="00520B3E" w:rsidRPr="00520B3E" w:rsidRDefault="00520B3E" w:rsidP="00520B3E">
      <w:pPr>
        <w:pStyle w:val="Prrafodelista"/>
        <w:numPr>
          <w:ilvl w:val="0"/>
          <w:numId w:val="1"/>
        </w:numPr>
        <w:tabs>
          <w:tab w:val="left" w:pos="426"/>
        </w:tabs>
        <w:spacing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Por </w:t>
      </w:r>
      <w:r w:rsidRPr="0062325E">
        <w:rPr>
          <w:rFonts w:ascii="Palatino Linotype" w:eastAsia="MS Mincho" w:hAnsi="Palatino Linotype" w:cs="Times New Roman"/>
        </w:rPr>
        <w:t>su parte, el intérprete judicial del país ha establecido una jurisprudencia</w:t>
      </w:r>
      <w:r>
        <w:rPr>
          <w:rStyle w:val="Refdenotaalpie"/>
          <w:rFonts w:ascii="Palatino Linotype" w:eastAsia="MS Mincho" w:hAnsi="Palatino Linotype" w:cs="Times New Roman"/>
        </w:rPr>
        <w:footnoteReference w:id="15"/>
      </w:r>
      <w:r w:rsidRPr="0062325E">
        <w:rPr>
          <w:rFonts w:ascii="Palatino Linotype" w:eastAsia="MS Mincho" w:hAnsi="Palatino Linotype" w:cs="Times New Roman"/>
        </w:rPr>
        <w:t xml:space="preserve"> respecto a qué debe entenderse por fundamentación y motivación, en los siguientes términos:</w:t>
      </w:r>
    </w:p>
    <w:p w14:paraId="426B61A1" w14:textId="22C89349" w:rsidR="00520B3E" w:rsidRDefault="00520B3E" w:rsidP="00520B3E">
      <w:pPr>
        <w:pStyle w:val="Prrafodelista"/>
        <w:tabs>
          <w:tab w:val="left" w:pos="426"/>
        </w:tabs>
        <w:spacing w:line="360" w:lineRule="auto"/>
        <w:ind w:left="0" w:right="51"/>
        <w:jc w:val="both"/>
        <w:rPr>
          <w:rFonts w:ascii="Palatino Linotype" w:hAnsi="Palatino Linotype"/>
          <w:color w:val="000000" w:themeColor="text1"/>
        </w:rPr>
      </w:pPr>
    </w:p>
    <w:p w14:paraId="00A7E291" w14:textId="77777777" w:rsidR="00520B3E" w:rsidRPr="003E6079" w:rsidRDefault="00520B3E" w:rsidP="00520B3E">
      <w:pPr>
        <w:spacing w:line="276" w:lineRule="auto"/>
        <w:ind w:left="567" w:right="567"/>
        <w:contextualSpacing/>
        <w:jc w:val="both"/>
        <w:rPr>
          <w:rFonts w:ascii="Palatino Linotype" w:hAnsi="Palatino Linotype" w:cs="Arial"/>
          <w:i/>
          <w:color w:val="000000"/>
          <w:sz w:val="22"/>
          <w:szCs w:val="22"/>
        </w:rPr>
      </w:pPr>
      <w:r w:rsidRPr="003E6079">
        <w:rPr>
          <w:rFonts w:ascii="Palatino Linotype" w:hAnsi="Palatino Linotype" w:cs="Arial"/>
          <w:b/>
          <w:i/>
          <w:color w:val="000000"/>
          <w:sz w:val="22"/>
          <w:szCs w:val="22"/>
        </w:rPr>
        <w:t>FUNDAMENTACIÓN Y MOTIVACIÓN.</w:t>
      </w:r>
      <w:r w:rsidRPr="003E6079">
        <w:rPr>
          <w:rFonts w:ascii="Palatino Linotype" w:hAnsi="Palatino Linotype" w:cs="Arial"/>
          <w:i/>
          <w:color w:val="000000"/>
          <w:sz w:val="22"/>
          <w:szCs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14:paraId="5B204946" w14:textId="77777777" w:rsidR="00520B3E" w:rsidRPr="00520B3E" w:rsidRDefault="00520B3E" w:rsidP="00520B3E">
      <w:pPr>
        <w:pStyle w:val="Prrafodelista"/>
        <w:tabs>
          <w:tab w:val="left" w:pos="426"/>
        </w:tabs>
        <w:spacing w:line="360" w:lineRule="auto"/>
        <w:ind w:left="0" w:right="51"/>
        <w:jc w:val="both"/>
        <w:rPr>
          <w:rFonts w:ascii="Palatino Linotype" w:hAnsi="Palatino Linotype"/>
          <w:color w:val="000000" w:themeColor="text1"/>
        </w:rPr>
      </w:pPr>
    </w:p>
    <w:p w14:paraId="2EFFC9D2"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Así, </w:t>
      </w:r>
      <w:r w:rsidRPr="000D2150">
        <w:rPr>
          <w:rFonts w:ascii="Palatino Linotype" w:eastAsia="MS Mincho" w:hAnsi="Palatino Linotype" w:cs="Times New Roman"/>
        </w:rPr>
        <w:t>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25EE45BF"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40F67CAA"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En </w:t>
      </w:r>
      <w:r w:rsidRPr="000D2150">
        <w:rPr>
          <w:rFonts w:ascii="Palatino Linotype" w:eastAsia="MS Mincho" w:hAnsi="Palatino Linotype" w:cs="Times New Roman"/>
        </w:rPr>
        <w:t>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4B195C26"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26F10834" w14:textId="77777777" w:rsidR="00520B3E" w:rsidRDefault="00520B3E" w:rsidP="00520B3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En </w:t>
      </w:r>
      <w:r w:rsidRPr="000D2150">
        <w:rPr>
          <w:rFonts w:ascii="Palatino Linotype" w:eastAsia="MS Mincho" w:hAnsi="Palatino Linotype" w:cs="Times New Roman"/>
        </w:rPr>
        <w:t>ese mismo sentido, el numeral trigésimo tercero fracción V de los Lineamientos Generales, precisa que para motivar la clasificación se deben acreditar las circunstancias de tiempo, modo y lugar.</w:t>
      </w:r>
    </w:p>
    <w:p w14:paraId="07D48A09" w14:textId="77777777" w:rsidR="00520B3E" w:rsidRDefault="00520B3E" w:rsidP="00520B3E">
      <w:pPr>
        <w:pStyle w:val="Prrafodelista"/>
        <w:tabs>
          <w:tab w:val="left" w:pos="426"/>
        </w:tabs>
        <w:spacing w:before="240" w:after="240" w:line="360" w:lineRule="auto"/>
        <w:ind w:left="0" w:right="51"/>
        <w:jc w:val="both"/>
        <w:rPr>
          <w:rFonts w:ascii="Palatino Linotype" w:hAnsi="Palatino Linotype"/>
          <w:color w:val="000000" w:themeColor="text1"/>
        </w:rPr>
      </w:pPr>
    </w:p>
    <w:p w14:paraId="4E79E31F" w14:textId="7FC03842" w:rsidR="00520B3E" w:rsidRPr="0023588D" w:rsidRDefault="00520B3E" w:rsidP="00520B3E">
      <w:pPr>
        <w:pStyle w:val="Prrafodelista"/>
        <w:numPr>
          <w:ilvl w:val="0"/>
          <w:numId w:val="1"/>
        </w:numPr>
        <w:tabs>
          <w:tab w:val="left" w:pos="426"/>
        </w:tabs>
        <w:spacing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Otro </w:t>
      </w:r>
      <w:r w:rsidRPr="00F4286A">
        <w:rPr>
          <w:rFonts w:ascii="Palatino Linotype" w:eastAsia="Times New Roman" w:hAnsi="Palatino Linotype" w:cs="Arial"/>
        </w:rPr>
        <w:t xml:space="preserve">tipo de información confidencial constituyen los secretos bancario, fiduciario, industrial, comercial, fiscal, bursátil y postal, cuya titularidad corresponda a particulares, sujetos de derecho internacional o a Sujetos Obligados cuando no </w:t>
      </w:r>
      <w:r w:rsidRPr="0023588D">
        <w:rPr>
          <w:rFonts w:ascii="Palatino Linotype" w:eastAsia="Times New Roman" w:hAnsi="Palatino Linotype" w:cs="Arial"/>
        </w:rPr>
        <w:t>involucren el ejercicio de recursos públicos, así lo define la fracción XXI del artículo 3 de la Ley Estatal.</w:t>
      </w:r>
    </w:p>
    <w:p w14:paraId="3822205A" w14:textId="06879C6E" w:rsidR="00B7018A" w:rsidRPr="0023588D" w:rsidRDefault="00B7018A" w:rsidP="00520B3E">
      <w:pPr>
        <w:pStyle w:val="Prrafodelista"/>
        <w:tabs>
          <w:tab w:val="left" w:pos="426"/>
        </w:tabs>
        <w:spacing w:line="360" w:lineRule="auto"/>
        <w:ind w:left="0" w:right="51"/>
        <w:jc w:val="both"/>
        <w:rPr>
          <w:rFonts w:ascii="Palatino Linotype" w:hAnsi="Palatino Linotype"/>
          <w:color w:val="000000" w:themeColor="text1"/>
        </w:rPr>
      </w:pPr>
    </w:p>
    <w:p w14:paraId="1B88D7B1" w14:textId="7E9653AC" w:rsidR="001B5BC3" w:rsidRPr="0023588D" w:rsidRDefault="001B5BC3" w:rsidP="001B5BC3">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r w:rsidRPr="0023588D">
        <w:rPr>
          <w:rFonts w:ascii="Palatino Linotype" w:hAnsi="Palatino Linotype"/>
          <w:b/>
          <w:bCs/>
          <w:color w:val="000000" w:themeColor="text1"/>
        </w:rPr>
        <w:t xml:space="preserve">SÉPTIMO. Vista a </w:t>
      </w:r>
      <w:r w:rsidR="0043746E" w:rsidRPr="0023588D">
        <w:rPr>
          <w:rFonts w:ascii="Palatino Linotype" w:hAnsi="Palatino Linotype"/>
          <w:b/>
          <w:bCs/>
          <w:color w:val="000000" w:themeColor="text1"/>
        </w:rPr>
        <w:t>la Dirección de Datos Personales</w:t>
      </w:r>
      <w:r w:rsidRPr="0023588D">
        <w:rPr>
          <w:rFonts w:ascii="Palatino Linotype" w:hAnsi="Palatino Linotype"/>
          <w:b/>
          <w:bCs/>
          <w:color w:val="000000" w:themeColor="text1"/>
        </w:rPr>
        <w:t>.</w:t>
      </w:r>
    </w:p>
    <w:p w14:paraId="5D19D947" w14:textId="77777777" w:rsidR="001B5BC3" w:rsidRPr="0023588D" w:rsidRDefault="001B5BC3" w:rsidP="00B7018A">
      <w:pPr>
        <w:pStyle w:val="Prrafodelista"/>
        <w:tabs>
          <w:tab w:val="left" w:pos="426"/>
        </w:tabs>
        <w:spacing w:before="240" w:after="240" w:line="360" w:lineRule="auto"/>
        <w:ind w:left="0" w:right="51"/>
        <w:jc w:val="both"/>
        <w:rPr>
          <w:rFonts w:ascii="Palatino Linotype" w:hAnsi="Palatino Linotype"/>
          <w:color w:val="000000" w:themeColor="text1"/>
        </w:rPr>
      </w:pPr>
    </w:p>
    <w:p w14:paraId="37B52FEC" w14:textId="39451293" w:rsidR="0043746E" w:rsidRPr="0023588D" w:rsidRDefault="0043746E" w:rsidP="0043746E">
      <w:pPr>
        <w:pStyle w:val="Prrafodelista"/>
        <w:numPr>
          <w:ilvl w:val="0"/>
          <w:numId w:val="1"/>
        </w:numPr>
        <w:tabs>
          <w:tab w:val="left" w:pos="142"/>
          <w:tab w:val="left" w:pos="284"/>
          <w:tab w:val="left" w:pos="426"/>
        </w:tabs>
        <w:spacing w:before="240" w:after="240" w:line="360" w:lineRule="auto"/>
        <w:jc w:val="both"/>
        <w:rPr>
          <w:rFonts w:ascii="Palatino Linotype" w:hAnsi="Palatino Linotype" w:cs="Arial"/>
        </w:rPr>
      </w:pPr>
      <w:r w:rsidRPr="0023588D">
        <w:rPr>
          <w:rFonts w:ascii="Palatino Linotype" w:hAnsi="Palatino Linotype"/>
          <w:color w:val="000000" w:themeColor="text1"/>
        </w:rPr>
        <w:t xml:space="preserve">Es </w:t>
      </w:r>
      <w:r w:rsidRPr="0023588D">
        <w:rPr>
          <w:rFonts w:ascii="Palatino Linotype" w:eastAsia="MS Gothic" w:hAnsi="Palatino Linotype" w:cs="Times New Roman"/>
          <w:szCs w:val="26"/>
          <w:lang w:val="es-ES_tradnl"/>
        </w:rPr>
        <w:t xml:space="preserve">necesario resaltar que el recurso de revisión previsto en la Ley de la materia no es el medio para investigar y, en su caso, sancionar a servidores públicos por la falta de cuidado de la protección de datos personales; sin embargo, derivado de los planteamientos señalados en el estudio de la presente resolución, relativo a la exposición de datos personales contenidos en los documentos presentados en respuesta a la solicitud de información, se dará vista al área competente para que en </w:t>
      </w:r>
      <w:r w:rsidRPr="0023588D">
        <w:rPr>
          <w:rFonts w:ascii="Palatino Linotype" w:eastAsia="MS Gothic" w:hAnsi="Palatino Linotype" w:cs="Times New Roman"/>
          <w:szCs w:val="26"/>
          <w:lang w:val="es-ES_tradnl"/>
        </w:rPr>
        <w:lastRenderedPageBreak/>
        <w:t xml:space="preserve">ejercicio de sus atribuciones realice las investigaciones pertinentes por las omisiones detectadas atribuibles al </w:t>
      </w:r>
      <w:r w:rsidRPr="0023588D">
        <w:rPr>
          <w:rFonts w:ascii="Palatino Linotype" w:eastAsia="MS Gothic" w:hAnsi="Palatino Linotype" w:cs="Times New Roman"/>
          <w:b/>
          <w:szCs w:val="26"/>
          <w:lang w:val="es-ES_tradnl"/>
        </w:rPr>
        <w:t>SUJETO OBLIGADO</w:t>
      </w:r>
      <w:r w:rsidRPr="0023588D">
        <w:rPr>
          <w:rFonts w:ascii="Palatino Linotype" w:eastAsia="MS Gothic" w:hAnsi="Palatino Linotype" w:cs="Times New Roman"/>
          <w:szCs w:val="26"/>
          <w:lang w:val="es-ES_tradnl"/>
        </w:rPr>
        <w:t>.</w:t>
      </w:r>
    </w:p>
    <w:p w14:paraId="3CFC343F" w14:textId="77777777" w:rsidR="0043746E" w:rsidRPr="0023588D" w:rsidRDefault="0043746E" w:rsidP="0043746E">
      <w:pPr>
        <w:pStyle w:val="Prrafodelista"/>
        <w:tabs>
          <w:tab w:val="left" w:pos="142"/>
          <w:tab w:val="left" w:pos="284"/>
          <w:tab w:val="left" w:pos="426"/>
        </w:tabs>
        <w:spacing w:before="240" w:after="240" w:line="360" w:lineRule="auto"/>
        <w:ind w:left="0"/>
        <w:jc w:val="both"/>
        <w:rPr>
          <w:rFonts w:ascii="Palatino Linotype" w:hAnsi="Palatino Linotype" w:cs="Arial"/>
        </w:rPr>
      </w:pPr>
    </w:p>
    <w:p w14:paraId="1658A997" w14:textId="326D219D" w:rsidR="0043746E" w:rsidRPr="0023588D" w:rsidRDefault="0043746E" w:rsidP="0043746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23588D">
        <w:rPr>
          <w:rFonts w:ascii="Palatino Linotype" w:eastAsia="MS Gothic" w:hAnsi="Palatino Linotype" w:cs="Times New Roman"/>
          <w:szCs w:val="26"/>
          <w:lang w:val="es-ES"/>
        </w:rPr>
        <w:t xml:space="preserve">Por </w:t>
      </w:r>
      <w:r w:rsidRPr="0023588D">
        <w:rPr>
          <w:rFonts w:ascii="Palatino Linotype" w:eastAsia="MS Gothic" w:hAnsi="Palatino Linotype" w:cs="Times New Roman"/>
          <w:szCs w:val="26"/>
          <w:lang w:val="es-ES_tradnl"/>
        </w:rPr>
        <w:t>ello, es conveniente señalar las fracciones XIV, XXII, XXIII y XXV, del artículo 82, de la Ley de Protección de Datos Personales en Posesión de Sujetos Obligados del Estado de México y Municipios, que establece:</w:t>
      </w:r>
    </w:p>
    <w:p w14:paraId="6B9C2A9C" w14:textId="77777777" w:rsidR="0043746E" w:rsidRPr="0023588D" w:rsidRDefault="0043746E" w:rsidP="0043746E">
      <w:pPr>
        <w:pStyle w:val="Prrafodelista"/>
        <w:tabs>
          <w:tab w:val="left" w:pos="426"/>
        </w:tabs>
        <w:spacing w:before="240" w:after="240" w:line="360" w:lineRule="auto"/>
        <w:ind w:left="0" w:right="51"/>
        <w:jc w:val="both"/>
        <w:rPr>
          <w:rFonts w:ascii="Palatino Linotype" w:hAnsi="Palatino Linotype"/>
          <w:color w:val="000000" w:themeColor="text1"/>
        </w:rPr>
      </w:pPr>
    </w:p>
    <w:p w14:paraId="49089574"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hAnsi="Palatino Linotype"/>
          <w:b/>
          <w:i/>
          <w:sz w:val="22"/>
        </w:rPr>
      </w:pPr>
      <w:r w:rsidRPr="0023588D">
        <w:rPr>
          <w:rFonts w:ascii="Palatino Linotype" w:hAnsi="Palatino Linotype"/>
          <w:b/>
          <w:i/>
          <w:sz w:val="22"/>
        </w:rPr>
        <w:t xml:space="preserve">Atribuciones del Instituto </w:t>
      </w:r>
    </w:p>
    <w:p w14:paraId="695A5CD4"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hAnsi="Palatino Linotype"/>
          <w:i/>
          <w:sz w:val="22"/>
        </w:rPr>
      </w:pPr>
      <w:r w:rsidRPr="0023588D">
        <w:rPr>
          <w:rFonts w:ascii="Palatino Linotype" w:hAnsi="Palatino Linotype"/>
          <w:b/>
          <w:i/>
          <w:sz w:val="22"/>
        </w:rPr>
        <w:t>Artículo 82.</w:t>
      </w:r>
      <w:r w:rsidRPr="0023588D">
        <w:rPr>
          <w:rFonts w:ascii="Palatino Linotype" w:hAnsi="Palatino Linotype"/>
          <w:i/>
          <w:sz w:val="22"/>
        </w:rPr>
        <w:t xml:space="preserve"> El Instituto, además de las atribuciones encomendadas por la Ley de Transparencia y normatividad aplicable, tendrá las atribuciones siguientes:</w:t>
      </w:r>
    </w:p>
    <w:p w14:paraId="4AA81B1D"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eastAsia="MS Mincho" w:hAnsi="Palatino Linotype" w:cs="Times New Roman"/>
          <w:i/>
          <w:sz w:val="22"/>
        </w:rPr>
      </w:pPr>
      <w:r w:rsidRPr="0023588D">
        <w:rPr>
          <w:rFonts w:ascii="Palatino Linotype" w:hAnsi="Palatino Linotype"/>
          <w:i/>
          <w:sz w:val="22"/>
        </w:rPr>
        <w:t>(…)</w:t>
      </w:r>
    </w:p>
    <w:p w14:paraId="2E25092B"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hAnsi="Palatino Linotype"/>
          <w:i/>
          <w:sz w:val="22"/>
        </w:rPr>
      </w:pPr>
      <w:r w:rsidRPr="0023588D">
        <w:rPr>
          <w:rFonts w:ascii="Palatino Linotype" w:hAnsi="Palatino Linotype"/>
          <w:b/>
          <w:i/>
          <w:sz w:val="22"/>
        </w:rPr>
        <w:t>XIV.</w:t>
      </w:r>
      <w:r w:rsidRPr="0023588D">
        <w:rPr>
          <w:rFonts w:ascii="Palatino Linotype" w:hAnsi="Palatino Linotype"/>
          <w:i/>
          <w:sz w:val="22"/>
        </w:rPr>
        <w:t xml:space="preserve"> </w:t>
      </w:r>
      <w:r w:rsidRPr="0023588D">
        <w:rPr>
          <w:rFonts w:ascii="Palatino Linotype" w:hAnsi="Palatino Linotype"/>
          <w:b/>
          <w:i/>
          <w:sz w:val="22"/>
        </w:rPr>
        <w:t>Formular observaciones y recomendaciones</w:t>
      </w:r>
      <w:r w:rsidRPr="0023588D">
        <w:rPr>
          <w:rFonts w:ascii="Palatino Linotype" w:hAnsi="Palatino Linotype"/>
          <w:i/>
          <w:sz w:val="22"/>
        </w:rPr>
        <w:t xml:space="preserve"> a los sujetos obligados que incumplan esta Ley.</w:t>
      </w:r>
    </w:p>
    <w:p w14:paraId="5DDD8418"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hAnsi="Palatino Linotype"/>
          <w:i/>
          <w:sz w:val="22"/>
        </w:rPr>
      </w:pPr>
      <w:r w:rsidRPr="0023588D">
        <w:rPr>
          <w:rFonts w:ascii="Palatino Linotype" w:hAnsi="Palatino Linotype"/>
          <w:i/>
          <w:sz w:val="22"/>
        </w:rPr>
        <w:t>(…)</w:t>
      </w:r>
    </w:p>
    <w:p w14:paraId="162185E1"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hAnsi="Palatino Linotype"/>
          <w:i/>
          <w:sz w:val="22"/>
        </w:rPr>
      </w:pPr>
      <w:r w:rsidRPr="0023588D">
        <w:rPr>
          <w:rFonts w:ascii="Palatino Linotype" w:hAnsi="Palatino Linotype"/>
          <w:b/>
          <w:i/>
          <w:sz w:val="22"/>
        </w:rPr>
        <w:t>XXII.</w:t>
      </w:r>
      <w:r w:rsidRPr="0023588D">
        <w:rPr>
          <w:rFonts w:ascii="Palatino Linotype" w:hAnsi="Palatino Linotype"/>
          <w:i/>
          <w:sz w:val="22"/>
        </w:rPr>
        <w:t xml:space="preserve"> </w:t>
      </w:r>
      <w:r w:rsidRPr="0023588D">
        <w:rPr>
          <w:rFonts w:ascii="Palatino Linotype" w:hAnsi="Palatino Linotype"/>
          <w:b/>
          <w:i/>
          <w:sz w:val="22"/>
        </w:rPr>
        <w:t>Verificar el cumplimiento</w:t>
      </w:r>
      <w:r w:rsidRPr="0023588D">
        <w:rPr>
          <w:rFonts w:ascii="Palatino Linotype" w:hAnsi="Palatino Linotype"/>
          <w:i/>
          <w:sz w:val="22"/>
        </w:rPr>
        <w:t xml:space="preserve"> de las disposiciones previstas en esta Ley a través de los procedimientos de revisión que resulten compatibles con las disposiciones de esta Ley.</w:t>
      </w:r>
    </w:p>
    <w:p w14:paraId="1F19D791"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hAnsi="Palatino Linotype"/>
          <w:i/>
          <w:sz w:val="22"/>
        </w:rPr>
      </w:pPr>
      <w:r w:rsidRPr="0023588D">
        <w:rPr>
          <w:rFonts w:ascii="Palatino Linotype" w:hAnsi="Palatino Linotype"/>
          <w:b/>
          <w:i/>
          <w:sz w:val="22"/>
        </w:rPr>
        <w:t>XXIII.</w:t>
      </w:r>
      <w:r w:rsidRPr="0023588D">
        <w:rPr>
          <w:rFonts w:ascii="Palatino Linotype" w:hAnsi="Palatino Linotype"/>
          <w:i/>
          <w:sz w:val="22"/>
        </w:rPr>
        <w:t xml:space="preserve"> </w:t>
      </w:r>
      <w:r w:rsidRPr="0023588D">
        <w:rPr>
          <w:rFonts w:ascii="Palatino Linotype" w:hAnsi="Palatino Linotype"/>
          <w:b/>
          <w:i/>
          <w:sz w:val="22"/>
        </w:rPr>
        <w:t>Implementar</w:t>
      </w:r>
      <w:r w:rsidRPr="0023588D">
        <w:rPr>
          <w:rFonts w:ascii="Palatino Linotype" w:hAnsi="Palatino Linotype"/>
          <w:i/>
          <w:sz w:val="22"/>
        </w:rPr>
        <w:t xml:space="preserve"> los </w:t>
      </w:r>
      <w:r w:rsidRPr="0023588D">
        <w:rPr>
          <w:rFonts w:ascii="Palatino Linotype" w:hAnsi="Palatino Linotype"/>
          <w:b/>
          <w:i/>
          <w:sz w:val="22"/>
        </w:rPr>
        <w:t>procedimientos</w:t>
      </w:r>
      <w:r w:rsidRPr="0023588D">
        <w:rPr>
          <w:rFonts w:ascii="Palatino Linotype" w:hAnsi="Palatino Linotype"/>
          <w:i/>
          <w:sz w:val="22"/>
        </w:rPr>
        <w:t xml:space="preserve"> que resulten necesarios </w:t>
      </w:r>
      <w:r w:rsidRPr="0023588D">
        <w:rPr>
          <w:rFonts w:ascii="Palatino Linotype" w:hAnsi="Palatino Linotype"/>
          <w:b/>
          <w:i/>
          <w:sz w:val="22"/>
        </w:rPr>
        <w:t xml:space="preserve">para el cumplimiento </w:t>
      </w:r>
      <w:r w:rsidRPr="0023588D">
        <w:rPr>
          <w:rFonts w:ascii="Palatino Linotype" w:hAnsi="Palatino Linotype"/>
          <w:i/>
          <w:sz w:val="22"/>
        </w:rPr>
        <w:t>de las disposiciones de esta Ley y para asegurar la protección de datos personales de los titulares. (…)</w:t>
      </w:r>
    </w:p>
    <w:p w14:paraId="3D6F8C73"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hAnsi="Palatino Linotype"/>
          <w:i/>
          <w:sz w:val="22"/>
        </w:rPr>
      </w:pPr>
      <w:r w:rsidRPr="0023588D">
        <w:rPr>
          <w:rFonts w:ascii="Palatino Linotype" w:hAnsi="Palatino Linotype"/>
          <w:b/>
          <w:i/>
          <w:sz w:val="22"/>
        </w:rPr>
        <w:t>XXV.</w:t>
      </w:r>
      <w:r w:rsidRPr="0023588D">
        <w:rPr>
          <w:rFonts w:ascii="Palatino Linotype" w:hAnsi="Palatino Linotype"/>
          <w:i/>
          <w:sz w:val="22"/>
        </w:rPr>
        <w:t xml:space="preserve"> </w:t>
      </w:r>
      <w:r w:rsidRPr="0023588D">
        <w:rPr>
          <w:rFonts w:ascii="Palatino Linotype" w:hAnsi="Palatino Linotype"/>
          <w:b/>
          <w:i/>
          <w:sz w:val="22"/>
        </w:rPr>
        <w:t>Investigar</w:t>
      </w:r>
      <w:r w:rsidRPr="0023588D">
        <w:rPr>
          <w:rFonts w:ascii="Palatino Linotype" w:hAnsi="Palatino Linotype"/>
          <w:i/>
          <w:sz w:val="22"/>
        </w:rPr>
        <w:t xml:space="preserve"> las </w:t>
      </w:r>
      <w:r w:rsidRPr="0023588D">
        <w:rPr>
          <w:rFonts w:ascii="Palatino Linotype" w:hAnsi="Palatino Linotype"/>
          <w:b/>
          <w:i/>
          <w:sz w:val="22"/>
        </w:rPr>
        <w:t>posibles violaciones</w:t>
      </w:r>
      <w:r w:rsidRPr="0023588D">
        <w:rPr>
          <w:rFonts w:ascii="Palatino Linotype" w:hAnsi="Palatino Linotype"/>
          <w:i/>
          <w:sz w:val="22"/>
        </w:rPr>
        <w:t xml:space="preserve"> a la seguridad de los datos personales a fin de determinar la práctica de verificaciones.</w:t>
      </w:r>
    </w:p>
    <w:p w14:paraId="7B6BE925"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hAnsi="Palatino Linotype"/>
          <w:i/>
          <w:sz w:val="22"/>
        </w:rPr>
      </w:pPr>
      <w:r w:rsidRPr="0023588D">
        <w:rPr>
          <w:rFonts w:ascii="Palatino Linotype" w:hAnsi="Palatino Linotype"/>
          <w:i/>
          <w:sz w:val="22"/>
        </w:rPr>
        <w:t>(…)”</w:t>
      </w:r>
    </w:p>
    <w:p w14:paraId="75DC3AAE" w14:textId="77777777" w:rsidR="0043746E" w:rsidRPr="0023588D" w:rsidRDefault="0043746E" w:rsidP="0043746E">
      <w:pPr>
        <w:pStyle w:val="Prrafodelista"/>
        <w:tabs>
          <w:tab w:val="left" w:pos="142"/>
          <w:tab w:val="left" w:pos="284"/>
          <w:tab w:val="left" w:pos="426"/>
          <w:tab w:val="left" w:pos="993"/>
        </w:tabs>
        <w:spacing w:before="240" w:after="240" w:line="276" w:lineRule="auto"/>
        <w:ind w:left="567" w:right="567"/>
        <w:jc w:val="both"/>
        <w:rPr>
          <w:rFonts w:ascii="Palatino Linotype" w:eastAsia="MS Gothic" w:hAnsi="Palatino Linotype" w:cs="Times New Roman"/>
          <w:sz w:val="22"/>
          <w:szCs w:val="26"/>
        </w:rPr>
      </w:pPr>
      <w:r w:rsidRPr="0023588D">
        <w:rPr>
          <w:rFonts w:ascii="Palatino Linotype" w:hAnsi="Palatino Linotype"/>
          <w:sz w:val="22"/>
        </w:rPr>
        <w:t>(Énfasis añadido)</w:t>
      </w:r>
    </w:p>
    <w:p w14:paraId="05993320" w14:textId="77777777" w:rsidR="0043746E" w:rsidRPr="0023588D" w:rsidRDefault="0043746E" w:rsidP="0043746E">
      <w:pPr>
        <w:pStyle w:val="Prrafodelista"/>
        <w:tabs>
          <w:tab w:val="left" w:pos="426"/>
        </w:tabs>
        <w:spacing w:before="240" w:after="240" w:line="360" w:lineRule="auto"/>
        <w:ind w:left="0" w:right="51"/>
        <w:jc w:val="both"/>
        <w:rPr>
          <w:rFonts w:ascii="Palatino Linotype" w:hAnsi="Palatino Linotype"/>
          <w:color w:val="000000" w:themeColor="text1"/>
        </w:rPr>
      </w:pPr>
    </w:p>
    <w:p w14:paraId="6FD4A7AA" w14:textId="77777777" w:rsidR="0043746E" w:rsidRPr="0023588D" w:rsidRDefault="0043746E" w:rsidP="0043746E">
      <w:pPr>
        <w:pStyle w:val="Prrafodelista"/>
        <w:numPr>
          <w:ilvl w:val="0"/>
          <w:numId w:val="1"/>
        </w:numPr>
        <w:tabs>
          <w:tab w:val="left" w:pos="142"/>
          <w:tab w:val="left" w:pos="284"/>
          <w:tab w:val="left" w:pos="426"/>
        </w:tabs>
        <w:spacing w:before="240" w:after="240" w:line="360" w:lineRule="auto"/>
        <w:jc w:val="both"/>
        <w:rPr>
          <w:rFonts w:ascii="Palatino Linotype" w:hAnsi="Palatino Linotype" w:cs="Arial"/>
        </w:rPr>
      </w:pPr>
      <w:r w:rsidRPr="0023588D">
        <w:rPr>
          <w:rFonts w:ascii="Palatino Linotype" w:eastAsia="MS Mincho" w:hAnsi="Palatino Linotype" w:cs="Arial"/>
        </w:rPr>
        <w:t xml:space="preserve">Asimismo, </w:t>
      </w:r>
      <w:r w:rsidRPr="0023588D">
        <w:rPr>
          <w:rFonts w:ascii="Palatino Linotype" w:eastAsia="MS Gothic" w:hAnsi="Palatino Linotype" w:cs="Times New Roman"/>
          <w:szCs w:val="26"/>
          <w:lang w:val="es-ES_tradnl"/>
        </w:rPr>
        <w:t xml:space="preserve">este Pleno hará del conocimiento de la Dirección de Datos Personales de este Instituto de las infracciones en que el </w:t>
      </w:r>
      <w:r w:rsidRPr="0023588D">
        <w:rPr>
          <w:rFonts w:ascii="Palatino Linotype" w:eastAsia="MS Gothic" w:hAnsi="Palatino Linotype" w:cs="Times New Roman"/>
          <w:b/>
          <w:szCs w:val="26"/>
          <w:lang w:val="es-ES_tradnl"/>
        </w:rPr>
        <w:t>SUJETO OBLIGADO</w:t>
      </w:r>
      <w:r w:rsidRPr="0023588D">
        <w:rPr>
          <w:rFonts w:ascii="Palatino Linotype" w:eastAsia="MS Gothic" w:hAnsi="Palatino Linotype" w:cs="Times New Roman"/>
          <w:szCs w:val="26"/>
          <w:lang w:val="es-ES_tradnl"/>
        </w:rPr>
        <w:t xml:space="preserve"> incurrió, toda vez que la naturaleza de investigar omisiones relativas a la esfera de obligaciones de protección de datos personales en posesión de Sujetos Obligados corresponde a un ente distinto a éste, a través de un procedimiento diferente al recurso de revisión.</w:t>
      </w:r>
    </w:p>
    <w:p w14:paraId="4C31269C" w14:textId="77777777" w:rsidR="0043746E" w:rsidRPr="0023588D" w:rsidRDefault="0043746E" w:rsidP="0043746E">
      <w:pPr>
        <w:pStyle w:val="Prrafodelista"/>
        <w:tabs>
          <w:tab w:val="left" w:pos="142"/>
          <w:tab w:val="left" w:pos="284"/>
          <w:tab w:val="left" w:pos="426"/>
        </w:tabs>
        <w:spacing w:before="240" w:after="240" w:line="360" w:lineRule="auto"/>
        <w:ind w:left="0"/>
        <w:jc w:val="both"/>
        <w:rPr>
          <w:rFonts w:ascii="Palatino Linotype" w:hAnsi="Palatino Linotype" w:cs="Arial"/>
        </w:rPr>
      </w:pPr>
    </w:p>
    <w:p w14:paraId="7DB6D06D" w14:textId="2202EE29" w:rsidR="0043746E" w:rsidRPr="0023588D" w:rsidRDefault="0043746E" w:rsidP="00D27EB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23588D">
        <w:rPr>
          <w:rFonts w:ascii="Palatino Linotype" w:eastAsia="MS Gothic" w:hAnsi="Palatino Linotype" w:cs="Times New Roman"/>
          <w:szCs w:val="26"/>
          <w:lang w:val="es-ES"/>
        </w:rPr>
        <w:lastRenderedPageBreak/>
        <w:t xml:space="preserve">Por lo anterior, resulta conveniente dar vista a la Dirección de Protección de Datos Personales de este Instituto, para que en ejercicio de sus atribuciones contenidas en el numeral 23, fracciones V, XI y XII, del Reglamento Interior del Instituto de Transparencia, Acceso a la Información Pública y Protección de Datos Personales del Estado de México y Municipios, investigue y sancione las omisiones en las que el </w:t>
      </w:r>
      <w:r w:rsidRPr="0023588D">
        <w:rPr>
          <w:rFonts w:ascii="Palatino Linotype" w:eastAsia="MS Gothic" w:hAnsi="Palatino Linotype" w:cs="Times New Roman"/>
          <w:b/>
          <w:szCs w:val="26"/>
          <w:lang w:val="es-ES"/>
        </w:rPr>
        <w:t>SUJETO OBLIGADO</w:t>
      </w:r>
      <w:r w:rsidRPr="0023588D">
        <w:rPr>
          <w:rFonts w:ascii="Palatino Linotype" w:eastAsia="MS Gothic" w:hAnsi="Palatino Linotype" w:cs="Times New Roman"/>
          <w:szCs w:val="26"/>
          <w:lang w:val="es-ES"/>
        </w:rPr>
        <w:t xml:space="preserve"> pudo haber incurrido por el incumplimiento a las obligaciones previstas en la Ley de Protección de Datos Personales en Posesión de Sujetos Obligados del Estado de México y Municipios y, las demás disposiciones jurídicas aplicables en la materia; </w:t>
      </w:r>
      <w:r w:rsidR="004D6D99" w:rsidRPr="0023588D">
        <w:rPr>
          <w:rFonts w:ascii="Palatino Linotype" w:eastAsia="MS Gothic" w:hAnsi="Palatino Linotype" w:cs="Times New Roman"/>
          <w:szCs w:val="26"/>
          <w:lang w:val="es-ES"/>
        </w:rPr>
        <w:t xml:space="preserve">que </w:t>
      </w:r>
      <w:r w:rsidRPr="0023588D">
        <w:rPr>
          <w:rFonts w:ascii="Palatino Linotype" w:eastAsia="MS Gothic" w:hAnsi="Palatino Linotype" w:cs="Times New Roman"/>
          <w:szCs w:val="26"/>
          <w:lang w:val="es-ES"/>
        </w:rPr>
        <w:t xml:space="preserve">en el caso de acreditarse las mismas, lo deberá hacer del conocimiento del Órgano de Control Interno del </w:t>
      </w:r>
      <w:r w:rsidRPr="0023588D">
        <w:rPr>
          <w:rFonts w:ascii="Palatino Linotype" w:eastAsia="MS Gothic" w:hAnsi="Palatino Linotype" w:cs="Times New Roman"/>
          <w:b/>
          <w:szCs w:val="26"/>
          <w:lang w:val="es-ES"/>
        </w:rPr>
        <w:t xml:space="preserve">SUJETO OBLIGADO </w:t>
      </w:r>
      <w:r w:rsidRPr="0023588D">
        <w:rPr>
          <w:rFonts w:ascii="Palatino Linotype" w:eastAsia="MS Gothic" w:hAnsi="Palatino Linotype" w:cs="Times New Roman"/>
          <w:szCs w:val="26"/>
          <w:lang w:val="es-ES"/>
        </w:rPr>
        <w:t xml:space="preserve">para que éste determine lo que conforme a derecho conduzca, cuyo resultado deberá de ser informado al Instituto. </w:t>
      </w:r>
    </w:p>
    <w:p w14:paraId="2D76452E" w14:textId="77777777" w:rsidR="0043746E" w:rsidRPr="0023588D" w:rsidRDefault="0043746E" w:rsidP="0043746E">
      <w:pPr>
        <w:pStyle w:val="Prrafodelista"/>
        <w:tabs>
          <w:tab w:val="left" w:pos="426"/>
        </w:tabs>
        <w:spacing w:before="240" w:after="240" w:line="360" w:lineRule="auto"/>
        <w:ind w:left="0" w:right="51"/>
        <w:jc w:val="both"/>
        <w:rPr>
          <w:rFonts w:ascii="Palatino Linotype" w:hAnsi="Palatino Linotype"/>
          <w:color w:val="000000" w:themeColor="text1"/>
        </w:rPr>
      </w:pPr>
    </w:p>
    <w:p w14:paraId="0739EFEE" w14:textId="27010A11" w:rsidR="00B7018A" w:rsidRPr="0023588D" w:rsidRDefault="001B5BC3" w:rsidP="001B5BC3">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23588D">
        <w:rPr>
          <w:rFonts w:ascii="Palatino Linotype" w:eastAsia="MS Mincho" w:hAnsi="Palatino Linotype" w:cs="Arial"/>
        </w:rPr>
        <w:t xml:space="preserve">Lo </w:t>
      </w:r>
      <w:r w:rsidRPr="0023588D">
        <w:rPr>
          <w:rFonts w:ascii="Palatino Linotype" w:eastAsia="MS Gothic" w:hAnsi="Palatino Linotype" w:cs="Times New Roman"/>
          <w:szCs w:val="26"/>
          <w:lang w:val="es-ES"/>
        </w:rPr>
        <w:t xml:space="preserve">anterior, como consecuencia de que el </w:t>
      </w:r>
      <w:r w:rsidRPr="0023588D">
        <w:rPr>
          <w:rFonts w:ascii="Palatino Linotype" w:eastAsia="MS Gothic" w:hAnsi="Palatino Linotype" w:cs="Times New Roman"/>
          <w:b/>
          <w:bCs/>
          <w:szCs w:val="26"/>
          <w:lang w:val="es-ES"/>
        </w:rPr>
        <w:t>SUJETO OBLIGADO</w:t>
      </w:r>
      <w:r w:rsidRPr="0023588D">
        <w:rPr>
          <w:rFonts w:ascii="Palatino Linotype" w:eastAsia="MS Gothic" w:hAnsi="Palatino Linotype" w:cs="Times New Roman"/>
          <w:szCs w:val="26"/>
          <w:lang w:val="es-ES"/>
        </w:rPr>
        <w:t xml:space="preserve"> vulneró datos personales </w:t>
      </w:r>
      <w:r w:rsidR="00C32DFE" w:rsidRPr="0023588D">
        <w:rPr>
          <w:rFonts w:ascii="Palatino Linotype" w:eastAsia="MS Gothic" w:hAnsi="Palatino Linotype" w:cs="Times New Roman"/>
          <w:szCs w:val="26"/>
          <w:lang w:val="es-ES"/>
        </w:rPr>
        <w:t>de las personas quienes, en representación del Gobierno del Estado de México y alguna de las Instituciones de Banca Múltiple, celebraron contratos de apertura de fideicomisos</w:t>
      </w:r>
      <w:r w:rsidRPr="0023588D">
        <w:rPr>
          <w:rFonts w:ascii="Palatino Linotype" w:eastAsia="MS Gothic" w:hAnsi="Palatino Linotype" w:cs="Times New Roman"/>
          <w:szCs w:val="26"/>
          <w:lang w:val="es-ES"/>
        </w:rPr>
        <w:t xml:space="preserve">, tales como </w:t>
      </w:r>
      <w:r w:rsidR="00C32DFE" w:rsidRPr="0023588D">
        <w:rPr>
          <w:rFonts w:ascii="Palatino Linotype" w:eastAsia="MS Gothic" w:hAnsi="Palatino Linotype" w:cs="Times New Roman"/>
          <w:szCs w:val="26"/>
          <w:lang w:val="es-ES"/>
        </w:rPr>
        <w:t>la nacionalidad, fecha de nacimiento, estado civil y domicilio</w:t>
      </w:r>
      <w:r w:rsidRPr="0023588D">
        <w:rPr>
          <w:rFonts w:ascii="Palatino Linotype" w:eastAsia="MS Gothic" w:hAnsi="Palatino Linotype" w:cs="Times New Roman"/>
          <w:szCs w:val="26"/>
          <w:lang w:val="es-ES"/>
        </w:rPr>
        <w:t>, al entregar</w:t>
      </w:r>
      <w:r w:rsidR="00C32DFE" w:rsidRPr="0023588D">
        <w:rPr>
          <w:rFonts w:ascii="Palatino Linotype" w:eastAsia="MS Gothic" w:hAnsi="Palatino Linotype" w:cs="Times New Roman"/>
          <w:szCs w:val="26"/>
          <w:lang w:val="es-ES"/>
        </w:rPr>
        <w:t>, de manera enunciativa mas no limitativa, el archivo</w:t>
      </w:r>
      <w:r w:rsidRPr="0023588D">
        <w:rPr>
          <w:rFonts w:ascii="Palatino Linotype" w:eastAsia="MS Gothic" w:hAnsi="Palatino Linotype" w:cs="Times New Roman"/>
          <w:szCs w:val="26"/>
          <w:lang w:val="es-ES"/>
        </w:rPr>
        <w:t xml:space="preserve"> </w:t>
      </w:r>
      <w:r w:rsidRPr="0023588D">
        <w:rPr>
          <w:rFonts w:ascii="Palatino Linotype" w:hAnsi="Palatino Linotype"/>
          <w:b/>
          <w:i/>
          <w:color w:val="000000" w:themeColor="text1"/>
        </w:rPr>
        <w:t>“</w:t>
      </w:r>
      <w:r w:rsidR="00C32DFE" w:rsidRPr="0023588D">
        <w:rPr>
          <w:rFonts w:ascii="Palatino Linotype" w:hAnsi="Palatino Linotype"/>
          <w:b/>
          <w:i/>
          <w:color w:val="000000" w:themeColor="text1"/>
        </w:rPr>
        <w:t>Fideicomiso F105_redacted</w:t>
      </w:r>
      <w:r w:rsidRPr="0023588D">
        <w:rPr>
          <w:rFonts w:ascii="Palatino Linotype" w:hAnsi="Palatino Linotype"/>
          <w:b/>
          <w:i/>
          <w:color w:val="000000" w:themeColor="text1"/>
        </w:rPr>
        <w:t>.pdf”</w:t>
      </w:r>
      <w:r w:rsidRPr="0023588D">
        <w:rPr>
          <w:rFonts w:ascii="Palatino Linotype" w:hAnsi="Palatino Linotype"/>
          <w:color w:val="000000" w:themeColor="text1"/>
        </w:rPr>
        <w:t xml:space="preserve"> </w:t>
      </w:r>
      <w:r w:rsidRPr="0023588D">
        <w:rPr>
          <w:rFonts w:ascii="Palatino Linotype" w:eastAsia="MS Gothic" w:hAnsi="Palatino Linotype" w:cs="Times New Roman"/>
          <w:szCs w:val="26"/>
          <w:lang w:val="es-ES"/>
        </w:rPr>
        <w:t xml:space="preserve">en respuesta a la solicitud de información </w:t>
      </w:r>
      <w:r w:rsidR="004F5DBA" w:rsidRPr="0023588D">
        <w:rPr>
          <w:rFonts w:ascii="Palatino Linotype" w:eastAsia="MS Gothic" w:hAnsi="Palatino Linotype" w:cs="Times New Roman"/>
          <w:b/>
          <w:bCs/>
          <w:szCs w:val="26"/>
          <w:lang w:val="es-ES"/>
        </w:rPr>
        <w:t>00571</w:t>
      </w:r>
      <w:r w:rsidRPr="0023588D">
        <w:rPr>
          <w:rFonts w:ascii="Palatino Linotype" w:eastAsia="MS Gothic" w:hAnsi="Palatino Linotype" w:cs="Times New Roman"/>
          <w:b/>
          <w:bCs/>
          <w:szCs w:val="26"/>
          <w:lang w:val="es-ES"/>
        </w:rPr>
        <w:t>/</w:t>
      </w:r>
      <w:r w:rsidR="004F5DBA" w:rsidRPr="0023588D">
        <w:rPr>
          <w:rFonts w:ascii="Palatino Linotype" w:eastAsia="MS Gothic" w:hAnsi="Palatino Linotype" w:cs="Times New Roman"/>
          <w:b/>
          <w:bCs/>
          <w:szCs w:val="26"/>
          <w:lang w:val="es-ES"/>
        </w:rPr>
        <w:t>SF</w:t>
      </w:r>
      <w:r w:rsidRPr="0023588D">
        <w:rPr>
          <w:rFonts w:ascii="Palatino Linotype" w:eastAsia="MS Gothic" w:hAnsi="Palatino Linotype" w:cs="Times New Roman"/>
          <w:b/>
          <w:bCs/>
          <w:szCs w:val="26"/>
          <w:lang w:val="es-ES"/>
        </w:rPr>
        <w:t>/IP/2021</w:t>
      </w:r>
      <w:r w:rsidR="004D6D99" w:rsidRPr="0023588D">
        <w:rPr>
          <w:rFonts w:ascii="Palatino Linotype" w:eastAsia="MS Gothic" w:hAnsi="Palatino Linotype" w:cs="Times New Roman"/>
          <w:szCs w:val="26"/>
          <w:lang w:val="es-ES"/>
        </w:rPr>
        <w:t xml:space="preserve">, dentro del cual, en su foja </w:t>
      </w:r>
      <w:r w:rsidR="004D6D99" w:rsidRPr="0023588D">
        <w:rPr>
          <w:rFonts w:ascii="Palatino Linotype" w:eastAsia="MS Gothic" w:hAnsi="Palatino Linotype" w:cs="Times New Roman"/>
          <w:b/>
          <w:szCs w:val="26"/>
          <w:lang w:val="es-ES"/>
        </w:rPr>
        <w:t>04</w:t>
      </w:r>
      <w:r w:rsidR="004D6D99" w:rsidRPr="0023588D">
        <w:rPr>
          <w:rFonts w:ascii="Palatino Linotype" w:eastAsia="MS Gothic" w:hAnsi="Palatino Linotype" w:cs="Times New Roman"/>
          <w:szCs w:val="26"/>
          <w:lang w:val="es-ES"/>
        </w:rPr>
        <w:t xml:space="preserve"> exhibe los datos antes señalados.</w:t>
      </w:r>
    </w:p>
    <w:p w14:paraId="6C179252" w14:textId="77777777" w:rsidR="007C5B45" w:rsidRPr="0023588D" w:rsidRDefault="007C5B45" w:rsidP="007C5B45">
      <w:pPr>
        <w:pStyle w:val="Prrafodelista"/>
        <w:tabs>
          <w:tab w:val="left" w:pos="426"/>
        </w:tabs>
        <w:spacing w:before="240" w:after="240" w:line="360" w:lineRule="auto"/>
        <w:ind w:left="0" w:right="51"/>
        <w:jc w:val="both"/>
        <w:rPr>
          <w:rFonts w:ascii="Palatino Linotype" w:hAnsi="Palatino Linotype"/>
          <w:color w:val="000000" w:themeColor="text1"/>
        </w:rPr>
      </w:pPr>
    </w:p>
    <w:p w14:paraId="61B5E6A2" w14:textId="3EDCEBBB" w:rsidR="00F01443" w:rsidRDefault="003E6079" w:rsidP="00DA22D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23588D">
        <w:rPr>
          <w:rFonts w:ascii="Palatino Linotype" w:hAnsi="Palatino Linotype"/>
          <w:color w:val="000000" w:themeColor="text1"/>
        </w:rPr>
        <w:t xml:space="preserve">Por </w:t>
      </w:r>
      <w:r w:rsidR="007C5B45" w:rsidRPr="0023588D">
        <w:rPr>
          <w:rFonts w:ascii="Palatino Linotype" w:eastAsia="MS Mincho" w:hAnsi="Palatino Linotype" w:cstheme="majorBidi"/>
        </w:rPr>
        <w:t xml:space="preserve">lo tanto, </w:t>
      </w:r>
      <w:r w:rsidRPr="0023588D">
        <w:rPr>
          <w:rFonts w:ascii="Palatino Linotype" w:eastAsia="MS Mincho" w:hAnsi="Palatino Linotype" w:cstheme="majorBidi"/>
          <w:lang w:val="es-ES"/>
        </w:rPr>
        <w:t xml:space="preserve">y en mérito de lo expuesto en líneas anteriores, resultan </w:t>
      </w:r>
      <w:r w:rsidR="004F5DBA" w:rsidRPr="0023588D">
        <w:rPr>
          <w:rFonts w:ascii="Palatino Linotype" w:eastAsia="MS Mincho" w:hAnsi="Palatino Linotype" w:cstheme="majorBidi"/>
          <w:lang w:val="es-ES"/>
        </w:rPr>
        <w:t>parcialmente fundadas</w:t>
      </w:r>
      <w:r w:rsidRPr="0023588D">
        <w:rPr>
          <w:rFonts w:ascii="Palatino Linotype" w:eastAsia="MS Mincho" w:hAnsi="Palatino Linotype" w:cstheme="majorBidi"/>
          <w:lang w:val="es-ES"/>
        </w:rPr>
        <w:t xml:space="preserve"> las razones o motivos de inconformidad hechos valer por </w:t>
      </w:r>
      <w:r w:rsidR="004F5DBA" w:rsidRPr="0023588D">
        <w:rPr>
          <w:rFonts w:ascii="Palatino Linotype" w:eastAsia="MS Mincho" w:hAnsi="Palatino Linotype" w:cstheme="majorBidi"/>
          <w:lang w:val="es-ES"/>
        </w:rPr>
        <w:t>la</w:t>
      </w:r>
      <w:r w:rsidRPr="0023588D">
        <w:rPr>
          <w:rFonts w:ascii="Palatino Linotype" w:eastAsia="MS Mincho" w:hAnsi="Palatino Linotype" w:cstheme="majorBidi"/>
          <w:lang w:val="es-ES"/>
        </w:rPr>
        <w:t xml:space="preserve"> </w:t>
      </w:r>
      <w:r w:rsidRPr="0023588D">
        <w:rPr>
          <w:rFonts w:ascii="Palatino Linotype" w:eastAsia="MS Mincho" w:hAnsi="Palatino Linotype" w:cstheme="majorBidi"/>
          <w:b/>
          <w:lang w:val="es-ES"/>
        </w:rPr>
        <w:t>RECURRENTE</w:t>
      </w:r>
      <w:r w:rsidRPr="0023588D">
        <w:rPr>
          <w:rFonts w:ascii="Palatino Linotype" w:eastAsia="MS Mincho" w:hAnsi="Palatino Linotype" w:cstheme="majorBidi"/>
          <w:lang w:val="es-ES"/>
        </w:rPr>
        <w:t xml:space="preserve"> dentro del recurso de revisión </w:t>
      </w:r>
      <w:r w:rsidR="002B1F7B" w:rsidRPr="0023588D">
        <w:rPr>
          <w:rFonts w:ascii="Palatino Linotype" w:eastAsia="MS Mincho" w:hAnsi="Palatino Linotype" w:cstheme="majorBidi"/>
          <w:b/>
          <w:bCs/>
          <w:lang w:val="es-ES"/>
        </w:rPr>
        <w:t>00838/INFOEM/IP/RR/2022</w:t>
      </w:r>
      <w:r w:rsidRPr="0023588D">
        <w:rPr>
          <w:rFonts w:ascii="Palatino Linotype" w:eastAsia="MS Mincho" w:hAnsi="Palatino Linotype" w:cstheme="majorBidi"/>
          <w:lang w:val="es-ES"/>
        </w:rPr>
        <w:t>; por ello, y con fundamento en la fracción I</w:t>
      </w:r>
      <w:r w:rsidR="004F5DBA" w:rsidRPr="0023588D">
        <w:rPr>
          <w:rFonts w:ascii="Palatino Linotype" w:eastAsia="MS Mincho" w:hAnsi="Palatino Linotype" w:cstheme="majorBidi"/>
          <w:lang w:val="es-ES"/>
        </w:rPr>
        <w:t>I</w:t>
      </w:r>
      <w:r w:rsidRPr="0023588D">
        <w:rPr>
          <w:rFonts w:ascii="Palatino Linotype" w:eastAsia="MS Mincho" w:hAnsi="Palatino Linotype" w:cstheme="majorBidi"/>
          <w:lang w:val="es-ES"/>
        </w:rPr>
        <w:t xml:space="preserve">I del numeral 186 de la Ley de Transparencia </w:t>
      </w:r>
      <w:r w:rsidRPr="0023588D">
        <w:rPr>
          <w:rFonts w:ascii="Palatino Linotype" w:eastAsia="MS Mincho" w:hAnsi="Palatino Linotype" w:cstheme="majorBidi"/>
          <w:lang w:val="es-ES"/>
        </w:rPr>
        <w:lastRenderedPageBreak/>
        <w:t>y Acceso a la Información</w:t>
      </w:r>
      <w:r w:rsidRPr="0028241C">
        <w:rPr>
          <w:rFonts w:ascii="Palatino Linotype" w:eastAsia="MS Mincho" w:hAnsi="Palatino Linotype" w:cstheme="majorBidi"/>
          <w:lang w:val="es-ES"/>
        </w:rPr>
        <w:t xml:space="preserve"> Pública del Estado de México y Municipios, se </w:t>
      </w:r>
      <w:r w:rsidR="004F5DBA">
        <w:rPr>
          <w:rFonts w:ascii="Palatino Linotype" w:eastAsia="MS Mincho" w:hAnsi="Palatino Linotype" w:cstheme="majorBidi"/>
          <w:b/>
          <w:lang w:val="es-ES"/>
        </w:rPr>
        <w:t>MODIFICA</w:t>
      </w:r>
      <w:r w:rsidRPr="0028241C">
        <w:rPr>
          <w:rFonts w:ascii="Palatino Linotype" w:eastAsia="MS Mincho" w:hAnsi="Palatino Linotype" w:cstheme="majorBidi"/>
          <w:lang w:val="es-ES"/>
        </w:rPr>
        <w:t xml:space="preserve"> la respuesta a la solicitud de información número </w:t>
      </w:r>
      <w:r w:rsidR="002B1F7B">
        <w:rPr>
          <w:rFonts w:ascii="Palatino Linotype" w:eastAsia="MS Mincho" w:hAnsi="Palatino Linotype" w:cstheme="majorBidi"/>
          <w:b/>
          <w:lang w:val="es-ES"/>
        </w:rPr>
        <w:t>00571/SF/IP/2021</w:t>
      </w:r>
      <w:r w:rsidRPr="0028241C">
        <w:rPr>
          <w:rFonts w:ascii="Palatino Linotype" w:eastAsia="MS Mincho" w:hAnsi="Palatino Linotype" w:cstheme="majorBidi"/>
          <w:lang w:val="es-ES"/>
        </w:rPr>
        <w:t>.</w:t>
      </w:r>
    </w:p>
    <w:p w14:paraId="370E910A" w14:textId="77777777" w:rsidR="00F01443" w:rsidRDefault="00F01443" w:rsidP="00F01443">
      <w:pPr>
        <w:pStyle w:val="Prrafodelista"/>
        <w:tabs>
          <w:tab w:val="left" w:pos="426"/>
        </w:tabs>
        <w:spacing w:before="240" w:after="240" w:line="360" w:lineRule="auto"/>
        <w:ind w:left="0" w:right="51"/>
        <w:jc w:val="both"/>
        <w:rPr>
          <w:rFonts w:ascii="Palatino Linotype" w:hAnsi="Palatino Linotype"/>
          <w:color w:val="000000" w:themeColor="text1"/>
        </w:rPr>
      </w:pPr>
    </w:p>
    <w:p w14:paraId="7CFC3FBC" w14:textId="7EE5F1DD" w:rsidR="00C637C3" w:rsidRDefault="00F01801" w:rsidP="00DA22D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EB4A53">
        <w:rPr>
          <w:rFonts w:ascii="Palatino Linotype" w:hAnsi="Palatino Linotype"/>
          <w:color w:val="000000" w:themeColor="text1"/>
          <w:lang w:val="es-ES"/>
        </w:rPr>
        <w:t xml:space="preserve">Por </w:t>
      </w:r>
      <w:r w:rsidR="00B41516" w:rsidRPr="00EB4A53">
        <w:rPr>
          <w:rFonts w:ascii="Palatino Linotype" w:hAnsi="Palatino Linotype"/>
          <w:color w:val="000000" w:themeColor="text1"/>
        </w:rPr>
        <w:t xml:space="preserve">lo anteriormente expuesto y fundado, </w:t>
      </w:r>
      <w:r w:rsidR="003E6079">
        <w:rPr>
          <w:rFonts w:ascii="Palatino Linotype" w:hAnsi="Palatino Linotype"/>
          <w:color w:val="000000" w:themeColor="text1"/>
        </w:rPr>
        <w:t>e</w:t>
      </w:r>
      <w:r w:rsidR="00B41516" w:rsidRPr="00EB4A53">
        <w:rPr>
          <w:rFonts w:ascii="Palatino Linotype" w:hAnsi="Palatino Linotype"/>
          <w:color w:val="000000" w:themeColor="text1"/>
        </w:rPr>
        <w:t xml:space="preserve">ste </w:t>
      </w:r>
      <w:r w:rsidR="00B41516" w:rsidRPr="00EB4A53">
        <w:rPr>
          <w:rFonts w:ascii="Palatino Linotype" w:hAnsi="Palatino Linotype"/>
          <w:b/>
          <w:color w:val="000000" w:themeColor="text1"/>
        </w:rPr>
        <w:t>ÓRGANO GARANTE</w:t>
      </w:r>
      <w:r w:rsidR="00B41516" w:rsidRPr="00EB4A53">
        <w:rPr>
          <w:rFonts w:ascii="Palatino Linotype" w:hAnsi="Palatino Linotype"/>
          <w:color w:val="000000" w:themeColor="text1"/>
        </w:rPr>
        <w:t xml:space="preserve"> emite los siguientes:</w:t>
      </w:r>
      <w:r w:rsidR="009421FB">
        <w:rPr>
          <w:rFonts w:ascii="Palatino Linotype" w:hAnsi="Palatino Linotype"/>
          <w:color w:val="000000" w:themeColor="text1"/>
        </w:rPr>
        <w:t xml:space="preserve"> -------------------------------------------------------------------------------------------------------------------------------------------------------------------------------------------------------------------------------------------------------------------------------------------------------------------------</w:t>
      </w:r>
    </w:p>
    <w:p w14:paraId="567CB527" w14:textId="77777777" w:rsidR="00C637C3" w:rsidRDefault="00C637C3">
      <w:pPr>
        <w:rPr>
          <w:rFonts w:ascii="Palatino Linotype" w:hAnsi="Palatino Linotype"/>
          <w:color w:val="000000" w:themeColor="text1"/>
        </w:rPr>
      </w:pPr>
      <w:r>
        <w:rPr>
          <w:rFonts w:ascii="Palatino Linotype" w:hAnsi="Palatino Linotype"/>
          <w:color w:val="000000" w:themeColor="text1"/>
        </w:rPr>
        <w:br w:type="page"/>
      </w:r>
    </w:p>
    <w:p w14:paraId="18C7D92B" w14:textId="77777777" w:rsidR="009959DB" w:rsidRPr="007C5B45" w:rsidRDefault="009959DB" w:rsidP="009959DB">
      <w:pPr>
        <w:pStyle w:val="Ttulo1"/>
        <w:spacing w:line="360" w:lineRule="auto"/>
        <w:jc w:val="center"/>
        <w:rPr>
          <w:b/>
          <w:color w:val="000000" w:themeColor="text1"/>
          <w:szCs w:val="24"/>
        </w:rPr>
      </w:pPr>
      <w:bookmarkStart w:id="28" w:name="_Toc495427547"/>
      <w:bookmarkStart w:id="29" w:name="_Toc497905366"/>
      <w:bookmarkStart w:id="30" w:name="_Toc87456497"/>
      <w:r w:rsidRPr="007C5B45">
        <w:rPr>
          <w:b/>
          <w:color w:val="000000" w:themeColor="text1"/>
          <w:szCs w:val="24"/>
        </w:rPr>
        <w:lastRenderedPageBreak/>
        <w:t>R E S O L U T I V O S</w:t>
      </w:r>
      <w:bookmarkEnd w:id="23"/>
      <w:bookmarkEnd w:id="24"/>
      <w:bookmarkEnd w:id="28"/>
      <w:bookmarkEnd w:id="29"/>
      <w:bookmarkEnd w:id="30"/>
    </w:p>
    <w:p w14:paraId="17E8E9F8" w14:textId="5797600D" w:rsidR="004F5DBA" w:rsidRPr="00D020D3" w:rsidRDefault="004F5DBA" w:rsidP="004F5DBA">
      <w:pPr>
        <w:spacing w:line="360" w:lineRule="auto"/>
        <w:jc w:val="both"/>
        <w:rPr>
          <w:rFonts w:ascii="Palatino Linotype" w:eastAsia="Times New Roman" w:hAnsi="Palatino Linotype" w:cs="Times New Roman"/>
        </w:rPr>
      </w:pPr>
      <w:r w:rsidRPr="00CA0640">
        <w:rPr>
          <w:rFonts w:ascii="Palatino Linotype" w:eastAsia="Times New Roman" w:hAnsi="Palatino Linotype" w:cs="Arial"/>
          <w:b/>
          <w:sz w:val="28"/>
          <w:szCs w:val="28"/>
        </w:rPr>
        <w:t>PRIMERO</w:t>
      </w:r>
      <w:r w:rsidRPr="007B222D">
        <w:rPr>
          <w:rFonts w:ascii="Palatino Linotype" w:eastAsia="Times New Roman" w:hAnsi="Palatino Linotype" w:cs="Arial"/>
          <w:b/>
        </w:rPr>
        <w:t xml:space="preserve">. </w:t>
      </w:r>
      <w:r>
        <w:rPr>
          <w:rFonts w:ascii="Palatino Linotype" w:eastAsia="Times New Roman" w:hAnsi="Palatino Linotype" w:cs="Arial"/>
        </w:rPr>
        <w:t>Resultan parcialmente fundadas</w:t>
      </w:r>
      <w:r w:rsidRPr="007B222D">
        <w:rPr>
          <w:rFonts w:ascii="Palatino Linotype" w:eastAsia="Times New Roman" w:hAnsi="Palatino Linotype" w:cs="Arial"/>
        </w:rPr>
        <w:t xml:space="preserve"> las</w:t>
      </w:r>
      <w:r w:rsidRPr="007B222D">
        <w:rPr>
          <w:rFonts w:ascii="Palatino Linotype" w:eastAsia="Times New Roman" w:hAnsi="Palatino Linotype" w:cs="Arial"/>
          <w:b/>
        </w:rPr>
        <w:t xml:space="preserve"> </w:t>
      </w:r>
      <w:r w:rsidRPr="007B222D">
        <w:rPr>
          <w:rFonts w:ascii="Palatino Linotype" w:eastAsia="Times New Roman" w:hAnsi="Palatino Linotype" w:cs="Arial"/>
          <w:lang w:val="es-ES"/>
        </w:rPr>
        <w:t xml:space="preserve">razones o motivos de inconformidad hechos valer </w:t>
      </w:r>
      <w:r>
        <w:rPr>
          <w:rFonts w:ascii="Palatino Linotype" w:eastAsia="Calibri" w:hAnsi="Palatino Linotype" w:cs="Arial"/>
          <w:lang w:val="es-ES"/>
        </w:rPr>
        <w:t xml:space="preserve">en </w:t>
      </w:r>
      <w:r w:rsidRPr="007B222D">
        <w:rPr>
          <w:rFonts w:ascii="Palatino Linotype" w:eastAsia="Calibri" w:hAnsi="Palatino Linotype" w:cs="Arial"/>
          <w:lang w:val="es-ES"/>
        </w:rPr>
        <w:t xml:space="preserve">el </w:t>
      </w:r>
      <w:r w:rsidRPr="001607E7">
        <w:rPr>
          <w:rFonts w:ascii="Palatino Linotype" w:eastAsia="Calibri" w:hAnsi="Palatino Linotype" w:cs="Arial"/>
          <w:lang w:val="es-ES"/>
        </w:rPr>
        <w:t xml:space="preserve">recurso de revisión </w:t>
      </w:r>
      <w:r>
        <w:rPr>
          <w:rFonts w:ascii="Palatino Linotype" w:eastAsia="Times New Roman" w:hAnsi="Palatino Linotype" w:cs="Times New Roman"/>
          <w:b/>
        </w:rPr>
        <w:t xml:space="preserve">00838/INFOEM/IP/RR/2022 </w:t>
      </w:r>
      <w:r w:rsidRPr="001607E7">
        <w:rPr>
          <w:rFonts w:ascii="Palatino Linotype" w:eastAsia="Times New Roman" w:hAnsi="Palatino Linotype" w:cs="Times New Roman"/>
        </w:rPr>
        <w:t>en términos de</w:t>
      </w:r>
      <w:r>
        <w:rPr>
          <w:rFonts w:ascii="Palatino Linotype" w:eastAsia="Times New Roman" w:hAnsi="Palatino Linotype" w:cs="Times New Roman"/>
        </w:rPr>
        <w:t xml:space="preserve"> </w:t>
      </w:r>
      <w:r w:rsidRPr="001607E7">
        <w:rPr>
          <w:rFonts w:ascii="Palatino Linotype" w:eastAsia="Times New Roman" w:hAnsi="Palatino Linotype" w:cs="Times New Roman"/>
        </w:rPr>
        <w:t>l</w:t>
      </w:r>
      <w:r>
        <w:rPr>
          <w:rFonts w:ascii="Palatino Linotype" w:eastAsia="Times New Roman" w:hAnsi="Palatino Linotype" w:cs="Times New Roman"/>
        </w:rPr>
        <w:t>os</w:t>
      </w:r>
      <w:r w:rsidRPr="001607E7">
        <w:rPr>
          <w:rFonts w:ascii="Palatino Linotype" w:eastAsia="Times New Roman" w:hAnsi="Palatino Linotype" w:cs="Times New Roman"/>
          <w:b/>
          <w:bCs/>
        </w:rPr>
        <w:t xml:space="preserve"> Considerando</w:t>
      </w:r>
      <w:r>
        <w:rPr>
          <w:rFonts w:ascii="Palatino Linotype" w:eastAsia="Times New Roman" w:hAnsi="Palatino Linotype" w:cs="Times New Roman"/>
          <w:b/>
          <w:bCs/>
        </w:rPr>
        <w:t>s</w:t>
      </w:r>
      <w:r w:rsidRPr="001607E7">
        <w:rPr>
          <w:rFonts w:ascii="Palatino Linotype" w:eastAsia="Times New Roman" w:hAnsi="Palatino Linotype" w:cs="Times New Roman"/>
        </w:rPr>
        <w:t xml:space="preserve"> </w:t>
      </w:r>
      <w:r>
        <w:rPr>
          <w:rFonts w:ascii="Palatino Linotype" w:eastAsia="Times New Roman" w:hAnsi="Palatino Linotype" w:cs="Times New Roman"/>
          <w:b/>
        </w:rPr>
        <w:t>QUINTO</w:t>
      </w:r>
      <w:r>
        <w:rPr>
          <w:rFonts w:ascii="Palatino Linotype" w:eastAsia="Times New Roman" w:hAnsi="Palatino Linotype" w:cs="Times New Roman"/>
          <w:bCs/>
        </w:rPr>
        <w:t xml:space="preserve"> y </w:t>
      </w:r>
      <w:r>
        <w:rPr>
          <w:rFonts w:ascii="Palatino Linotype" w:eastAsia="Times New Roman" w:hAnsi="Palatino Linotype" w:cs="Times New Roman"/>
          <w:b/>
        </w:rPr>
        <w:t>SEXTO</w:t>
      </w:r>
      <w:r>
        <w:rPr>
          <w:rFonts w:ascii="Palatino Linotype" w:eastAsia="Times New Roman" w:hAnsi="Palatino Linotype" w:cs="Times New Roman"/>
          <w:bCs/>
        </w:rPr>
        <w:t xml:space="preserve"> </w:t>
      </w:r>
      <w:r w:rsidRPr="001607E7">
        <w:rPr>
          <w:rFonts w:ascii="Palatino Linotype" w:eastAsia="Times New Roman" w:hAnsi="Palatino Linotype" w:cs="Times New Roman"/>
        </w:rPr>
        <w:t>de la presente resolución.</w:t>
      </w:r>
    </w:p>
    <w:p w14:paraId="5D647FCC" w14:textId="77777777" w:rsidR="004F5DBA" w:rsidRDefault="004F5DBA" w:rsidP="004F5DBA">
      <w:pPr>
        <w:spacing w:line="360" w:lineRule="auto"/>
        <w:contextualSpacing/>
        <w:jc w:val="both"/>
        <w:rPr>
          <w:rFonts w:ascii="Palatino Linotype" w:eastAsia="Calibri" w:hAnsi="Palatino Linotype" w:cs="Arial"/>
          <w:b/>
          <w:bCs/>
          <w:lang w:val="es-ES"/>
        </w:rPr>
      </w:pPr>
    </w:p>
    <w:p w14:paraId="7387917E" w14:textId="50E37F7D" w:rsidR="004F5DBA" w:rsidRDefault="004F5DBA" w:rsidP="004F5DBA">
      <w:pPr>
        <w:spacing w:line="360" w:lineRule="auto"/>
        <w:contextualSpacing/>
        <w:jc w:val="both"/>
        <w:rPr>
          <w:rFonts w:ascii="Palatino Linotype" w:eastAsia="Times New Roman" w:hAnsi="Palatino Linotype" w:cs="Arial"/>
          <w:color w:val="000000"/>
        </w:rPr>
      </w:pPr>
      <w:r w:rsidRPr="00CA0640">
        <w:rPr>
          <w:rFonts w:ascii="Palatino Linotype" w:eastAsia="Calibri" w:hAnsi="Palatino Linotype" w:cs="Arial"/>
          <w:b/>
          <w:bCs/>
          <w:sz w:val="28"/>
          <w:szCs w:val="28"/>
          <w:lang w:val="es-ES"/>
        </w:rPr>
        <w:t>SEGUNDO</w:t>
      </w:r>
      <w:r w:rsidRPr="00D92794">
        <w:rPr>
          <w:rFonts w:ascii="Palatino Linotype" w:eastAsia="Calibri" w:hAnsi="Palatino Linotype" w:cs="Arial"/>
          <w:b/>
          <w:bCs/>
          <w:lang w:val="es-ES"/>
        </w:rPr>
        <w:t xml:space="preserve">. </w:t>
      </w:r>
      <w:r w:rsidRPr="00D92794">
        <w:rPr>
          <w:rFonts w:ascii="Palatino Linotype" w:eastAsia="Calibri" w:hAnsi="Palatino Linotype" w:cs="Arial"/>
          <w:lang w:val="es-ES"/>
        </w:rPr>
        <w:t xml:space="preserve">Se </w:t>
      </w:r>
      <w:r>
        <w:rPr>
          <w:rFonts w:ascii="Palatino Linotype" w:eastAsia="Calibri" w:hAnsi="Palatino Linotype" w:cs="Arial"/>
          <w:b/>
          <w:lang w:val="es-ES"/>
        </w:rPr>
        <w:t>MODIFICA</w:t>
      </w:r>
      <w:r w:rsidRPr="00D92794">
        <w:rPr>
          <w:rFonts w:ascii="Palatino Linotype" w:eastAsia="Calibri" w:hAnsi="Palatino Linotype" w:cs="Arial"/>
          <w:lang w:val="es-ES"/>
        </w:rPr>
        <w:t xml:space="preserve"> la respuesta </w:t>
      </w:r>
      <w:r>
        <w:rPr>
          <w:rFonts w:ascii="Palatino Linotype" w:eastAsia="Calibri" w:hAnsi="Palatino Linotype" w:cs="Arial"/>
          <w:lang w:val="es-ES"/>
        </w:rPr>
        <w:t>emitida por la</w:t>
      </w:r>
      <w:r w:rsidRPr="00D92794">
        <w:rPr>
          <w:rFonts w:ascii="Palatino Linotype" w:eastAsia="Calibri" w:hAnsi="Palatino Linotype" w:cs="Arial"/>
          <w:lang w:val="es-ES"/>
        </w:rPr>
        <w:t xml:space="preserve"> </w:t>
      </w:r>
      <w:r>
        <w:rPr>
          <w:rFonts w:ascii="Palatino Linotype" w:eastAsia="Calibri" w:hAnsi="Palatino Linotype" w:cs="Arial"/>
          <w:b/>
        </w:rPr>
        <w:t>Secretaría de Finanzas</w:t>
      </w:r>
      <w:r>
        <w:rPr>
          <w:rFonts w:ascii="Palatino Linotype" w:eastAsia="Calibri" w:hAnsi="Palatino Linotype" w:cs="Arial"/>
          <w:bCs/>
        </w:rPr>
        <w:t xml:space="preserve"> a la solicitud </w:t>
      </w:r>
      <w:r>
        <w:rPr>
          <w:rFonts w:ascii="Palatino Linotype" w:eastAsia="Calibri" w:hAnsi="Palatino Linotype" w:cs="Arial"/>
          <w:b/>
        </w:rPr>
        <w:t xml:space="preserve">00571/SF/IP/2021 </w:t>
      </w:r>
      <w:r w:rsidRPr="00D92794">
        <w:rPr>
          <w:rFonts w:ascii="Palatino Linotype" w:eastAsia="Calibri" w:hAnsi="Palatino Linotype" w:cs="Arial"/>
        </w:rPr>
        <w:t xml:space="preserve">y se </w:t>
      </w:r>
      <w:r w:rsidRPr="00D92794">
        <w:rPr>
          <w:rFonts w:ascii="Palatino Linotype" w:eastAsia="Calibri" w:hAnsi="Palatino Linotype" w:cs="Arial"/>
          <w:b/>
        </w:rPr>
        <w:t>ORDENA</w:t>
      </w:r>
      <w:r w:rsidRPr="00D92794">
        <w:rPr>
          <w:rFonts w:ascii="Palatino Linotype" w:eastAsia="Calibri" w:hAnsi="Palatino Linotype" w:cs="Arial"/>
          <w:b/>
          <w:lang w:val="es-ES"/>
        </w:rPr>
        <w:t xml:space="preserve"> </w:t>
      </w:r>
      <w:r w:rsidRPr="00D92794">
        <w:rPr>
          <w:rFonts w:ascii="Palatino Linotype" w:eastAsia="Calibri" w:hAnsi="Palatino Linotype" w:cs="Arial"/>
          <w:lang w:val="es-ES"/>
        </w:rPr>
        <w:t>entregar</w:t>
      </w:r>
      <w:bookmarkStart w:id="31" w:name="_Toc460947013"/>
      <w:r w:rsidR="00EA452A">
        <w:rPr>
          <w:rFonts w:ascii="Palatino Linotype" w:eastAsia="Calibri" w:hAnsi="Palatino Linotype" w:cs="Arial"/>
          <w:lang w:val="es-ES"/>
        </w:rPr>
        <w:t>,</w:t>
      </w:r>
      <w:r>
        <w:rPr>
          <w:rFonts w:ascii="Palatino Linotype" w:eastAsia="Calibri" w:hAnsi="Palatino Linotype" w:cs="Arial"/>
          <w:lang w:val="es-ES"/>
        </w:rPr>
        <w:t xml:space="preserve"> vía</w:t>
      </w:r>
      <w:r w:rsidR="003F2090">
        <w:rPr>
          <w:rFonts w:ascii="Palatino Linotype" w:eastAsia="Calibri" w:hAnsi="Palatino Linotype" w:cs="Arial"/>
          <w:lang w:val="es-ES"/>
        </w:rPr>
        <w:t xml:space="preserve"> </w:t>
      </w:r>
      <w:r>
        <w:rPr>
          <w:rFonts w:ascii="Palatino Linotype" w:eastAsia="Calibri" w:hAnsi="Palatino Linotype" w:cs="Arial"/>
          <w:lang w:val="es-ES"/>
        </w:rPr>
        <w:t>correo electrónico</w:t>
      </w:r>
      <w:r>
        <w:rPr>
          <w:rFonts w:ascii="Palatino Linotype" w:eastAsia="Times New Roman" w:hAnsi="Palatino Linotype" w:cs="Arial"/>
          <w:color w:val="000000"/>
        </w:rPr>
        <w:t xml:space="preserve">, </w:t>
      </w:r>
      <w:r w:rsidRPr="00613C31">
        <w:rPr>
          <w:rFonts w:ascii="Palatino Linotype" w:eastAsia="Times New Roman" w:hAnsi="Palatino Linotype" w:cs="Arial"/>
          <w:b/>
          <w:color w:val="000000"/>
        </w:rPr>
        <w:t xml:space="preserve">en </w:t>
      </w:r>
      <w:r>
        <w:rPr>
          <w:rFonts w:ascii="Palatino Linotype" w:eastAsia="Times New Roman" w:hAnsi="Palatino Linotype" w:cs="Arial"/>
          <w:b/>
          <w:color w:val="000000"/>
        </w:rPr>
        <w:t xml:space="preserve">una correcta </w:t>
      </w:r>
      <w:r w:rsidRPr="00613C31">
        <w:rPr>
          <w:rFonts w:ascii="Palatino Linotype" w:eastAsia="Times New Roman" w:hAnsi="Palatino Linotype" w:cs="Arial"/>
          <w:b/>
          <w:color w:val="000000"/>
        </w:rPr>
        <w:t>versión pública</w:t>
      </w:r>
      <w:r>
        <w:rPr>
          <w:rFonts w:ascii="Palatino Linotype" w:eastAsia="Times New Roman" w:hAnsi="Palatino Linotype" w:cs="Arial"/>
          <w:color w:val="000000"/>
        </w:rPr>
        <w:t xml:space="preserve">, la siguiente información: </w:t>
      </w:r>
    </w:p>
    <w:p w14:paraId="32E58D8E" w14:textId="77777777" w:rsidR="004F5DBA" w:rsidRDefault="004F5DBA" w:rsidP="004F5DBA">
      <w:pPr>
        <w:spacing w:line="360" w:lineRule="auto"/>
        <w:contextualSpacing/>
        <w:jc w:val="both"/>
        <w:rPr>
          <w:rFonts w:ascii="Palatino Linotype" w:eastAsia="Times New Roman" w:hAnsi="Palatino Linotype" w:cs="Arial"/>
          <w:color w:val="000000"/>
        </w:rPr>
      </w:pPr>
    </w:p>
    <w:p w14:paraId="2B7440F3" w14:textId="678CBF68" w:rsidR="004F5DBA" w:rsidRDefault="005041B8" w:rsidP="004F5DBA">
      <w:pPr>
        <w:pStyle w:val="Prrafodelista"/>
        <w:numPr>
          <w:ilvl w:val="0"/>
          <w:numId w:val="24"/>
        </w:numPr>
        <w:spacing w:after="240" w:line="360" w:lineRule="auto"/>
        <w:ind w:left="993" w:right="567"/>
        <w:jc w:val="both"/>
        <w:rPr>
          <w:rFonts w:ascii="Palatino Linotype" w:hAnsi="Palatino Linotype"/>
          <w:b/>
          <w:bCs/>
          <w:color w:val="000000"/>
        </w:rPr>
      </w:pPr>
      <w:r w:rsidRPr="00B23A75">
        <w:rPr>
          <w:rFonts w:ascii="Palatino Linotype" w:hAnsi="Palatino Linotype"/>
          <w:b/>
          <w:bCs/>
          <w:color w:val="000000"/>
        </w:rPr>
        <w:t>Fideicomisos en los que el Gobierno del Estado de México tenga participación,</w:t>
      </w:r>
      <w:r w:rsidR="0023588D" w:rsidRPr="00B23A75">
        <w:rPr>
          <w:rFonts w:ascii="Palatino Linotype" w:hAnsi="Palatino Linotype"/>
          <w:b/>
          <w:bCs/>
          <w:color w:val="000000"/>
        </w:rPr>
        <w:t xml:space="preserve"> entregados en respuesta a la solicitud,</w:t>
      </w:r>
      <w:r w:rsidRPr="00B23A75">
        <w:rPr>
          <w:rFonts w:ascii="Palatino Linotype" w:hAnsi="Palatino Linotype"/>
          <w:b/>
          <w:bCs/>
          <w:color w:val="000000"/>
        </w:rPr>
        <w:t xml:space="preserve"> junto con sus respectivos contratos</w:t>
      </w:r>
      <w:r>
        <w:rPr>
          <w:rFonts w:ascii="Palatino Linotype" w:hAnsi="Palatino Linotype"/>
          <w:b/>
          <w:bCs/>
          <w:color w:val="000000"/>
        </w:rPr>
        <w:t>, convenios modificatorios y anexos que formen parte integrante de los mismos.</w:t>
      </w:r>
    </w:p>
    <w:p w14:paraId="25EC853E" w14:textId="279841F7" w:rsidR="004F5DBA" w:rsidRDefault="004F5DBA" w:rsidP="004F5DBA">
      <w:pPr>
        <w:tabs>
          <w:tab w:val="left" w:pos="993"/>
        </w:tabs>
        <w:spacing w:line="360" w:lineRule="auto"/>
        <w:jc w:val="both"/>
        <w:rPr>
          <w:rFonts w:ascii="Palatino Linotype" w:eastAsia="Calibri" w:hAnsi="Palatino Linotype" w:cs="Arial"/>
        </w:rPr>
      </w:pPr>
      <w:r>
        <w:rPr>
          <w:rFonts w:ascii="Palatino Linotype" w:hAnsi="Palatino Linotype"/>
          <w:color w:val="000000"/>
        </w:rPr>
        <w:t xml:space="preserve">Para </w:t>
      </w:r>
      <w:r w:rsidRPr="00EF01CE">
        <w:rPr>
          <w:rFonts w:ascii="Palatino Linotype" w:eastAsia="Calibri" w:hAnsi="Palatino Linotype" w:cs="Arial"/>
        </w:rPr>
        <w:t>efectos de lo anterior se deberá emitir el Acuerdo del Comité de Transparencia en términos de los artículos 49</w:t>
      </w:r>
      <w:r>
        <w:rPr>
          <w:rFonts w:ascii="Palatino Linotype" w:eastAsia="Calibri" w:hAnsi="Palatino Linotype" w:cs="Arial"/>
        </w:rPr>
        <w:t>,</w:t>
      </w:r>
      <w:r w:rsidRPr="00EF01CE">
        <w:rPr>
          <w:rFonts w:ascii="Palatino Linotype" w:eastAsia="Calibri" w:hAnsi="Palatino Linotype" w:cs="Arial"/>
        </w:rPr>
        <w:t xml:space="preserve"> fracción VIII</w:t>
      </w:r>
      <w:r>
        <w:rPr>
          <w:rFonts w:ascii="Palatino Linotype" w:eastAsia="Calibri" w:hAnsi="Palatino Linotype" w:cs="Arial"/>
        </w:rPr>
        <w:t>,</w:t>
      </w:r>
      <w:r w:rsidRPr="00EF01CE">
        <w:rPr>
          <w:rFonts w:ascii="Palatino Linotype" w:eastAsia="Calibri" w:hAnsi="Palatino Linotype" w:cs="Arial"/>
        </w:rPr>
        <w:t xml:space="preserve"> y 132</w:t>
      </w:r>
      <w:r>
        <w:rPr>
          <w:rFonts w:ascii="Palatino Linotype" w:eastAsia="Calibri" w:hAnsi="Palatino Linotype" w:cs="Arial"/>
        </w:rPr>
        <w:t>,</w:t>
      </w:r>
      <w:r w:rsidRPr="00EF01CE">
        <w:rPr>
          <w:rFonts w:ascii="Palatino Linotype" w:eastAsia="Calibri" w:hAnsi="Palatino Linotype" w:cs="Arial"/>
        </w:rPr>
        <w:t xml:space="preserve"> fracción II</w:t>
      </w:r>
      <w:r>
        <w:rPr>
          <w:rFonts w:ascii="Palatino Linotype" w:eastAsia="Calibri" w:hAnsi="Palatino Linotype" w:cs="Arial"/>
        </w:rPr>
        <w:t>,</w:t>
      </w:r>
      <w:r w:rsidRPr="00EF01CE">
        <w:rPr>
          <w:rFonts w:ascii="Palatino Linotype" w:eastAsia="Calibri" w:hAnsi="Palatino Linotype" w:cs="Arial"/>
        </w:rPr>
        <w:t xml:space="preserve"> de la Ley de Transparencia y Acceso a la Información Pública del Estado de México y Municipios, en el que funde y motive las razones sobre los datos que se supriman o eliminen dentro del soporte documental respectivo objeto de las versiones públicas que se formulen</w:t>
      </w:r>
      <w:r>
        <w:rPr>
          <w:rFonts w:ascii="Palatino Linotype" w:eastAsia="Calibri" w:hAnsi="Palatino Linotype" w:cs="Arial"/>
        </w:rPr>
        <w:t xml:space="preserve"> y se ponga a disposición de</w:t>
      </w:r>
      <w:r w:rsidR="005041B8">
        <w:rPr>
          <w:rFonts w:ascii="Palatino Linotype" w:eastAsia="Calibri" w:hAnsi="Palatino Linotype" w:cs="Arial"/>
        </w:rPr>
        <w:t xml:space="preserve"> </w:t>
      </w:r>
      <w:r>
        <w:rPr>
          <w:rFonts w:ascii="Palatino Linotype" w:eastAsia="Calibri" w:hAnsi="Palatino Linotype" w:cs="Arial"/>
        </w:rPr>
        <w:t>l</w:t>
      </w:r>
      <w:r w:rsidR="005041B8">
        <w:rPr>
          <w:rFonts w:ascii="Palatino Linotype" w:eastAsia="Calibri" w:hAnsi="Palatino Linotype" w:cs="Arial"/>
        </w:rPr>
        <w:t>a</w:t>
      </w:r>
      <w:r>
        <w:rPr>
          <w:rFonts w:ascii="Palatino Linotype" w:eastAsia="Calibri" w:hAnsi="Palatino Linotype" w:cs="Arial"/>
        </w:rPr>
        <w:t xml:space="preserve"> </w:t>
      </w:r>
      <w:r>
        <w:rPr>
          <w:rFonts w:ascii="Palatino Linotype" w:eastAsia="Calibri" w:hAnsi="Palatino Linotype" w:cs="Arial"/>
          <w:b/>
        </w:rPr>
        <w:t>RECURRENTE</w:t>
      </w:r>
      <w:r w:rsidRPr="00EF01CE">
        <w:rPr>
          <w:rFonts w:ascii="Palatino Linotype" w:eastAsia="Calibri" w:hAnsi="Palatino Linotype" w:cs="Arial"/>
        </w:rPr>
        <w:t>.</w:t>
      </w:r>
    </w:p>
    <w:p w14:paraId="172760B9" w14:textId="5CB65154" w:rsidR="003F2090" w:rsidRDefault="003F2090" w:rsidP="004F5DBA">
      <w:pPr>
        <w:tabs>
          <w:tab w:val="left" w:pos="993"/>
        </w:tabs>
        <w:spacing w:line="360" w:lineRule="auto"/>
        <w:jc w:val="both"/>
        <w:rPr>
          <w:rFonts w:ascii="Palatino Linotype" w:eastAsia="Calibri" w:hAnsi="Palatino Linotype" w:cs="Arial"/>
        </w:rPr>
      </w:pPr>
    </w:p>
    <w:p w14:paraId="595ADF3A" w14:textId="39740EBF" w:rsidR="003F2090" w:rsidRPr="003F2090" w:rsidRDefault="003F2090" w:rsidP="004F5DBA">
      <w:pPr>
        <w:tabs>
          <w:tab w:val="left" w:pos="993"/>
        </w:tabs>
        <w:spacing w:line="360" w:lineRule="auto"/>
        <w:jc w:val="both"/>
        <w:rPr>
          <w:rFonts w:ascii="Palatino Linotype" w:eastAsia="Calibri" w:hAnsi="Palatino Linotype" w:cs="Arial"/>
        </w:rPr>
      </w:pPr>
      <w:r>
        <w:rPr>
          <w:rFonts w:ascii="Palatino Linotype" w:eastAsia="Calibri" w:hAnsi="Palatino Linotype" w:cs="Arial"/>
        </w:rPr>
        <w:t xml:space="preserve">Por otro lado, de ser el caso de que, debido al peso de los documentos que se pretenda entregar, el </w:t>
      </w:r>
      <w:r>
        <w:rPr>
          <w:rFonts w:ascii="Palatino Linotype" w:eastAsia="Calibri" w:hAnsi="Palatino Linotype" w:cs="Arial"/>
          <w:b/>
          <w:bCs/>
        </w:rPr>
        <w:t>SUJETO OBLIGADO</w:t>
      </w:r>
      <w:r>
        <w:rPr>
          <w:rFonts w:ascii="Palatino Linotype" w:eastAsia="Calibri" w:hAnsi="Palatino Linotype" w:cs="Arial"/>
        </w:rPr>
        <w:t xml:space="preserve"> sobrepase las capacidades técnicas para enviar la información vía correo electrónico, deberá procurar su entrega a través de otros medios digitales</w:t>
      </w:r>
      <w:r w:rsidR="00F51B43">
        <w:rPr>
          <w:rFonts w:ascii="Palatino Linotype" w:eastAsia="Calibri" w:hAnsi="Palatino Linotype" w:cs="Arial"/>
        </w:rPr>
        <w:t xml:space="preserve"> tales</w:t>
      </w:r>
      <w:r>
        <w:rPr>
          <w:rFonts w:ascii="Palatino Linotype" w:eastAsia="Calibri" w:hAnsi="Palatino Linotype" w:cs="Arial"/>
        </w:rPr>
        <w:t xml:space="preserve"> como, de manera enunciativa mas no limitativa, la </w:t>
      </w:r>
      <w:r>
        <w:rPr>
          <w:rFonts w:ascii="Palatino Linotype" w:eastAsia="Calibri" w:hAnsi="Palatino Linotype" w:cs="Arial"/>
        </w:rPr>
        <w:lastRenderedPageBreak/>
        <w:t xml:space="preserve">puesta a disposición a través de un enlace de descarga en la nube; para </w:t>
      </w:r>
      <w:r w:rsidR="00F51B43">
        <w:rPr>
          <w:rFonts w:ascii="Palatino Linotype" w:eastAsia="Calibri" w:hAnsi="Palatino Linotype" w:cs="Arial"/>
        </w:rPr>
        <w:t>ello,</w:t>
      </w:r>
      <w:r>
        <w:rPr>
          <w:rFonts w:ascii="Palatino Linotype" w:eastAsia="Calibri" w:hAnsi="Palatino Linotype" w:cs="Arial"/>
        </w:rPr>
        <w:t xml:space="preserve"> deberá de fundar y motivar las causas que justifiquen su imposibilidad</w:t>
      </w:r>
      <w:r w:rsidR="00F51B43">
        <w:rPr>
          <w:rFonts w:ascii="Palatino Linotype" w:eastAsia="Calibri" w:hAnsi="Palatino Linotype" w:cs="Arial"/>
        </w:rPr>
        <w:t xml:space="preserve"> de entregar la información en la modalidad originalmente señalada por la particular</w:t>
      </w:r>
      <w:r>
        <w:rPr>
          <w:rFonts w:ascii="Palatino Linotype" w:eastAsia="Calibri" w:hAnsi="Palatino Linotype" w:cs="Arial"/>
        </w:rPr>
        <w:t xml:space="preserve"> de manera clara y precisa.</w:t>
      </w:r>
    </w:p>
    <w:p w14:paraId="7DC062A0" w14:textId="77777777" w:rsidR="004F5DBA" w:rsidRDefault="004F5DBA" w:rsidP="004F5DBA">
      <w:pPr>
        <w:tabs>
          <w:tab w:val="left" w:pos="993"/>
        </w:tabs>
        <w:spacing w:line="360" w:lineRule="auto"/>
        <w:ind w:right="567"/>
        <w:jc w:val="both"/>
        <w:rPr>
          <w:rFonts w:ascii="Palatino Linotype" w:eastAsia="Calibri" w:hAnsi="Palatino Linotype" w:cs="Arial"/>
        </w:rPr>
      </w:pPr>
    </w:p>
    <w:p w14:paraId="5894A2CA" w14:textId="77777777" w:rsidR="004F5DBA" w:rsidRPr="0023588D" w:rsidRDefault="004F5DBA" w:rsidP="004F5DBA">
      <w:pPr>
        <w:spacing w:line="360" w:lineRule="auto"/>
        <w:jc w:val="both"/>
        <w:rPr>
          <w:rFonts w:ascii="Palatino Linotype" w:eastAsia="MS Mincho" w:hAnsi="Palatino Linotype" w:cs="Times New Roman"/>
          <w:color w:val="000000"/>
        </w:rPr>
      </w:pPr>
      <w:r w:rsidRPr="00CA0640">
        <w:rPr>
          <w:rFonts w:ascii="Palatino Linotype" w:eastAsia="MS Mincho" w:hAnsi="Palatino Linotype" w:cs="Times New Roman"/>
          <w:b/>
          <w:color w:val="000000"/>
          <w:sz w:val="28"/>
          <w:szCs w:val="28"/>
        </w:rPr>
        <w:t>TERCERO</w:t>
      </w:r>
      <w:r w:rsidRPr="00C07697">
        <w:rPr>
          <w:rFonts w:ascii="Palatino Linotype" w:eastAsia="MS Mincho" w:hAnsi="Palatino Linotype" w:cs="Times New Roman"/>
          <w:b/>
          <w:color w:val="000000"/>
        </w:rPr>
        <w:t>.</w:t>
      </w:r>
      <w:r w:rsidRPr="007B222D">
        <w:rPr>
          <w:rFonts w:ascii="Palatino Linotype" w:eastAsia="MS Mincho" w:hAnsi="Palatino Linotype" w:cs="Times New Roman"/>
          <w:color w:val="000000"/>
        </w:rPr>
        <w:t xml:space="preserve"> Notifíquese al Titular de la Unidad de </w:t>
      </w:r>
      <w:r w:rsidRPr="0023588D">
        <w:rPr>
          <w:rFonts w:ascii="Palatino Linotype" w:eastAsia="MS Mincho" w:hAnsi="Palatino Linotype" w:cs="Times New Roman"/>
          <w:color w:val="000000"/>
        </w:rPr>
        <w:t>Transparencia del</w:t>
      </w:r>
      <w:r w:rsidRPr="0023588D">
        <w:rPr>
          <w:rFonts w:ascii="Palatino Linotype" w:eastAsia="MS Mincho" w:hAnsi="Palatino Linotype" w:cs="Times New Roman"/>
          <w:b/>
          <w:color w:val="000000"/>
        </w:rPr>
        <w:t xml:space="preserve"> SUJETO OBLIGADO</w:t>
      </w:r>
      <w:r w:rsidRPr="0023588D">
        <w:rPr>
          <w:rFonts w:ascii="Palatino Linotype" w:eastAsia="MS Mincho" w:hAnsi="Palatino Linotype" w:cs="Times New Roman"/>
          <w:color w:val="000000"/>
        </w:rPr>
        <w:t>, para que conforme a los artículos 186, último párrafo, 189, párrafo segundo, y 199 de la Ley de Transparencia y Acceso a la Información Pública del Estado de México y Municipios, dé cumplimiento a lo ordenado dentro del plazo de diez (10) días hábiles, debiendo rendir a este Instituto el informe de cumplimiento de la resolución en un plazo de tres (03) días hábiles posteriores.</w:t>
      </w:r>
    </w:p>
    <w:p w14:paraId="5935F33A" w14:textId="77777777" w:rsidR="004F5DBA" w:rsidRPr="0023588D" w:rsidRDefault="004F5DBA" w:rsidP="004F5DBA">
      <w:pPr>
        <w:spacing w:line="360" w:lineRule="auto"/>
        <w:jc w:val="both"/>
        <w:rPr>
          <w:rFonts w:ascii="Palatino Linotype" w:eastAsia="MS Mincho" w:hAnsi="Palatino Linotype" w:cs="Times New Roman"/>
          <w:color w:val="000000"/>
        </w:rPr>
      </w:pPr>
    </w:p>
    <w:p w14:paraId="05C0DBBB" w14:textId="77777777" w:rsidR="004F5DBA" w:rsidRPr="0023588D" w:rsidRDefault="004F5DBA" w:rsidP="004F5DBA">
      <w:pPr>
        <w:spacing w:line="360" w:lineRule="auto"/>
        <w:jc w:val="both"/>
        <w:rPr>
          <w:rFonts w:ascii="Palatino Linotype" w:eastAsia="MS Mincho" w:hAnsi="Palatino Linotype" w:cs="Times New Roman"/>
          <w:color w:val="000000"/>
        </w:rPr>
      </w:pPr>
      <w:r w:rsidRPr="0023588D">
        <w:rPr>
          <w:rFonts w:ascii="Palatino Linotype" w:eastAsia="MS Mincho" w:hAnsi="Palatino Linotype" w:cs="Times New Roman"/>
          <w:b/>
          <w:bCs/>
          <w:color w:val="000000"/>
          <w:sz w:val="28"/>
          <w:szCs w:val="28"/>
        </w:rPr>
        <w:t>CUARTO</w:t>
      </w:r>
      <w:r w:rsidRPr="0023588D">
        <w:rPr>
          <w:rFonts w:ascii="Palatino Linotype" w:eastAsia="MS Mincho" w:hAnsi="Palatino Linotype" w:cs="Times New Roman"/>
          <w:b/>
          <w:bCs/>
          <w:color w:val="000000"/>
        </w:rPr>
        <w:t>.</w:t>
      </w:r>
      <w:r w:rsidRPr="0023588D">
        <w:rPr>
          <w:rFonts w:ascii="Palatino Linotype" w:eastAsia="MS Mincho" w:hAnsi="Palatino Linotype" w:cs="Times New Roman"/>
          <w:color w:val="000000"/>
        </w:rPr>
        <w:t xml:space="preserve"> De </w:t>
      </w:r>
      <w:r w:rsidRPr="0023588D">
        <w:rPr>
          <w:rFonts w:ascii="Palatino Linotype" w:eastAsia="MS Mincho" w:hAnsi="Palatino Linotype" w:cs="Times New Roman"/>
          <w:bCs/>
          <w:color w:val="000000"/>
        </w:rPr>
        <w:t xml:space="preserve">conformidad con el artículo 198 de la Ley de Transparencia y Acceso a la Información Pública del Estado de México y Municipios, de considerarlo procedente y, de manera fundada y motivada, el </w:t>
      </w:r>
      <w:r w:rsidRPr="0023588D">
        <w:rPr>
          <w:rFonts w:ascii="Palatino Linotype" w:eastAsia="MS Mincho" w:hAnsi="Palatino Linotype" w:cs="Times New Roman"/>
          <w:b/>
          <w:color w:val="000000"/>
        </w:rPr>
        <w:t>SUJETO OBLIGADO</w:t>
      </w:r>
      <w:r w:rsidRPr="0023588D">
        <w:rPr>
          <w:rFonts w:ascii="Palatino Linotype" w:eastAsia="MS Mincho" w:hAnsi="Palatino Linotype" w:cs="Times New Roman"/>
          <w:bCs/>
          <w:color w:val="000000"/>
        </w:rPr>
        <w:t xml:space="preserve"> podrá solicitar una ampliación de plazo para el cumplimiento de la presente resolución.</w:t>
      </w:r>
    </w:p>
    <w:p w14:paraId="52BA3860" w14:textId="77777777" w:rsidR="004F5DBA" w:rsidRPr="0023588D" w:rsidRDefault="004F5DBA" w:rsidP="004F5DBA">
      <w:pPr>
        <w:spacing w:line="360" w:lineRule="auto"/>
        <w:jc w:val="both"/>
        <w:rPr>
          <w:rFonts w:ascii="Palatino Linotype" w:eastAsia="MS Mincho" w:hAnsi="Palatino Linotype" w:cs="Times New Roman"/>
          <w:b/>
          <w:color w:val="000000"/>
          <w:sz w:val="28"/>
          <w:szCs w:val="28"/>
        </w:rPr>
      </w:pPr>
    </w:p>
    <w:p w14:paraId="4D11917E" w14:textId="41A7FD1F" w:rsidR="004F5DBA" w:rsidRPr="0023588D" w:rsidRDefault="004F5DBA" w:rsidP="004F5DBA">
      <w:pPr>
        <w:spacing w:line="360" w:lineRule="auto"/>
        <w:jc w:val="both"/>
        <w:rPr>
          <w:rFonts w:ascii="Palatino Linotype" w:eastAsia="MS Mincho" w:hAnsi="Palatino Linotype" w:cs="Times New Roman"/>
          <w:color w:val="000000"/>
        </w:rPr>
      </w:pPr>
      <w:r w:rsidRPr="0023588D">
        <w:rPr>
          <w:rFonts w:ascii="Palatino Linotype" w:eastAsia="MS Mincho" w:hAnsi="Palatino Linotype" w:cs="Times New Roman"/>
          <w:b/>
          <w:color w:val="000000"/>
          <w:sz w:val="28"/>
          <w:szCs w:val="28"/>
        </w:rPr>
        <w:t>QUINTO</w:t>
      </w:r>
      <w:r w:rsidRPr="0023588D">
        <w:rPr>
          <w:rFonts w:ascii="Palatino Linotype" w:eastAsia="MS Mincho" w:hAnsi="Palatino Linotype" w:cs="Times New Roman"/>
          <w:b/>
          <w:color w:val="000000"/>
        </w:rPr>
        <w:t xml:space="preserve">. </w:t>
      </w:r>
      <w:r w:rsidRPr="0023588D">
        <w:rPr>
          <w:rFonts w:ascii="Palatino Linotype" w:eastAsia="MS Mincho" w:hAnsi="Palatino Linotype" w:cs="Times New Roman"/>
          <w:color w:val="000000"/>
        </w:rPr>
        <w:t>Notifíquese a</w:t>
      </w:r>
      <w:r w:rsidR="005041B8" w:rsidRPr="0023588D">
        <w:rPr>
          <w:rFonts w:ascii="Palatino Linotype" w:eastAsia="MS Mincho" w:hAnsi="Palatino Linotype" w:cs="Times New Roman"/>
          <w:color w:val="000000"/>
        </w:rPr>
        <w:t xml:space="preserve"> </w:t>
      </w:r>
      <w:r w:rsidRPr="0023588D">
        <w:rPr>
          <w:rFonts w:ascii="Palatino Linotype" w:eastAsia="MS Mincho" w:hAnsi="Palatino Linotype" w:cs="Times New Roman"/>
          <w:color w:val="000000"/>
        </w:rPr>
        <w:t>l</w:t>
      </w:r>
      <w:r w:rsidR="005041B8" w:rsidRPr="0023588D">
        <w:rPr>
          <w:rFonts w:ascii="Palatino Linotype" w:eastAsia="MS Mincho" w:hAnsi="Palatino Linotype" w:cs="Times New Roman"/>
          <w:color w:val="000000"/>
        </w:rPr>
        <w:t>a</w:t>
      </w:r>
      <w:r w:rsidRPr="0023588D">
        <w:rPr>
          <w:rFonts w:ascii="Palatino Linotype" w:eastAsia="MS Mincho" w:hAnsi="Palatino Linotype" w:cs="Times New Roman"/>
          <w:color w:val="000000"/>
        </w:rPr>
        <w:t xml:space="preserve"> </w:t>
      </w:r>
      <w:r w:rsidRPr="0023588D">
        <w:rPr>
          <w:rFonts w:ascii="Palatino Linotype" w:eastAsia="MS Mincho" w:hAnsi="Palatino Linotype" w:cs="Times New Roman"/>
          <w:b/>
          <w:bCs/>
          <w:color w:val="000000"/>
        </w:rPr>
        <w:t>RECURRENTE</w:t>
      </w:r>
      <w:r w:rsidRPr="0023588D">
        <w:rPr>
          <w:rFonts w:ascii="Palatino Linotype" w:eastAsia="MS Mincho" w:hAnsi="Palatino Linotype" w:cs="Times New Roman"/>
          <w:bCs/>
          <w:color w:val="000000"/>
        </w:rPr>
        <w:t>, vía Sistema de Acceso a la Información Mexiquense (SAIMEX),</w:t>
      </w:r>
      <w:r w:rsidRPr="0023588D">
        <w:rPr>
          <w:rFonts w:ascii="Palatino Linotype" w:eastAsia="MS Mincho" w:hAnsi="Palatino Linotype" w:cs="Times New Roman"/>
          <w:color w:val="000000"/>
        </w:rPr>
        <w:t xml:space="preserve"> y correo electrónico, la presente resolución.</w:t>
      </w:r>
    </w:p>
    <w:p w14:paraId="360767B7" w14:textId="77777777" w:rsidR="004F5DBA" w:rsidRPr="0023588D" w:rsidRDefault="004F5DBA" w:rsidP="004F5DBA">
      <w:pPr>
        <w:spacing w:line="360" w:lineRule="auto"/>
        <w:jc w:val="both"/>
        <w:rPr>
          <w:rFonts w:ascii="Palatino Linotype" w:hAnsi="Palatino Linotype"/>
          <w:b/>
        </w:rPr>
      </w:pPr>
    </w:p>
    <w:p w14:paraId="5522A242" w14:textId="5F871885" w:rsidR="004F5DBA" w:rsidRPr="0023588D" w:rsidRDefault="004F5DBA" w:rsidP="004F5DBA">
      <w:pPr>
        <w:spacing w:line="360" w:lineRule="auto"/>
        <w:jc w:val="both"/>
        <w:rPr>
          <w:rFonts w:ascii="Palatino Linotype" w:eastAsia="MS Mincho" w:hAnsi="Palatino Linotype" w:cs="Times New Roman"/>
          <w:color w:val="000000"/>
          <w:lang w:val="es-ES"/>
        </w:rPr>
      </w:pPr>
      <w:r w:rsidRPr="0023588D">
        <w:rPr>
          <w:rFonts w:ascii="Palatino Linotype" w:eastAsia="MS Mincho" w:hAnsi="Palatino Linotype" w:cs="Times New Roman"/>
          <w:b/>
          <w:sz w:val="28"/>
          <w:szCs w:val="28"/>
        </w:rPr>
        <w:t>SEXTO</w:t>
      </w:r>
      <w:r w:rsidRPr="0023588D">
        <w:rPr>
          <w:rFonts w:ascii="Palatino Linotype" w:eastAsia="MS Mincho" w:hAnsi="Palatino Linotype" w:cs="Times New Roman"/>
          <w:b/>
          <w:color w:val="000000"/>
        </w:rPr>
        <w:t xml:space="preserve">. </w:t>
      </w:r>
      <w:r w:rsidRPr="0023588D">
        <w:rPr>
          <w:rFonts w:ascii="Palatino Linotype" w:eastAsia="MS Mincho" w:hAnsi="Palatino Linotype" w:cs="Times New Roman"/>
          <w:color w:val="000000"/>
        </w:rPr>
        <w:t>Se hace del conocimiento de</w:t>
      </w:r>
      <w:r w:rsidR="005041B8" w:rsidRPr="0023588D">
        <w:rPr>
          <w:rFonts w:ascii="Palatino Linotype" w:eastAsia="MS Mincho" w:hAnsi="Palatino Linotype" w:cs="Times New Roman"/>
          <w:color w:val="000000"/>
        </w:rPr>
        <w:t xml:space="preserve"> </w:t>
      </w:r>
      <w:r w:rsidRPr="0023588D">
        <w:rPr>
          <w:rFonts w:ascii="Palatino Linotype" w:eastAsia="MS Mincho" w:hAnsi="Palatino Linotype" w:cs="Times New Roman"/>
          <w:color w:val="000000"/>
        </w:rPr>
        <w:t>l</w:t>
      </w:r>
      <w:r w:rsidR="005041B8" w:rsidRPr="0023588D">
        <w:rPr>
          <w:rFonts w:ascii="Palatino Linotype" w:eastAsia="MS Mincho" w:hAnsi="Palatino Linotype" w:cs="Times New Roman"/>
          <w:color w:val="000000"/>
        </w:rPr>
        <w:t>a</w:t>
      </w:r>
      <w:r w:rsidRPr="0023588D">
        <w:rPr>
          <w:rFonts w:ascii="Palatino Linotype" w:eastAsia="MS Mincho" w:hAnsi="Palatino Linotype" w:cs="Times New Roman"/>
          <w:color w:val="000000"/>
        </w:rPr>
        <w:t xml:space="preserve"> </w:t>
      </w:r>
      <w:r w:rsidRPr="0023588D">
        <w:rPr>
          <w:rFonts w:ascii="Palatino Linotype" w:eastAsia="MS Mincho" w:hAnsi="Palatino Linotype" w:cs="Times New Roman"/>
          <w:b/>
          <w:bCs/>
          <w:color w:val="000000"/>
        </w:rPr>
        <w:t>RECURRENTE</w:t>
      </w:r>
      <w:r w:rsidRPr="0023588D">
        <w:rPr>
          <w:rFonts w:ascii="Palatino Linotype" w:hAnsi="Palatino Linotype"/>
          <w:b/>
        </w:rPr>
        <w:t xml:space="preserve"> </w:t>
      </w:r>
      <w:r w:rsidRPr="0023588D">
        <w:rPr>
          <w:rFonts w:ascii="Palatino Linotype" w:eastAsia="MS Mincho" w:hAnsi="Palatino Linotype" w:cs="Times New Roman"/>
          <w:color w:val="000000"/>
        </w:rPr>
        <w:t xml:space="preserve">que, </w:t>
      </w:r>
      <w:bookmarkEnd w:id="31"/>
      <w:r w:rsidRPr="0023588D">
        <w:rPr>
          <w:rFonts w:ascii="Palatino Linotype" w:eastAsia="MS Mincho" w:hAnsi="Palatino Linotype" w:cs="Times New Roman"/>
          <w:color w:val="000000"/>
        </w:rPr>
        <w:t xml:space="preserve">de conformidad con lo establecido en el artículo 196 de la Ley de Transparencia y Acceso a la Información Pública del Estado de México y Municipios, en caso de que considere que la </w:t>
      </w:r>
      <w:r w:rsidRPr="0023588D">
        <w:rPr>
          <w:rFonts w:ascii="Palatino Linotype" w:eastAsia="MS Mincho" w:hAnsi="Palatino Linotype" w:cs="Times New Roman"/>
          <w:color w:val="000000"/>
        </w:rPr>
        <w:lastRenderedPageBreak/>
        <w:t xml:space="preserve">resolución le cause algún perjuicio podrá impugnarla vía </w:t>
      </w:r>
      <w:r w:rsidRPr="0023588D">
        <w:rPr>
          <w:rFonts w:ascii="Palatino Linotype" w:eastAsia="MS Mincho" w:hAnsi="Palatino Linotype" w:cs="Times New Roman"/>
          <w:bCs/>
          <w:color w:val="000000"/>
          <w:lang w:val="es-ES"/>
        </w:rPr>
        <w:t xml:space="preserve">juicio de amparo </w:t>
      </w:r>
      <w:r w:rsidRPr="0023588D">
        <w:rPr>
          <w:rFonts w:ascii="Palatino Linotype" w:eastAsia="MS Mincho" w:hAnsi="Palatino Linotype" w:cs="Times New Roman"/>
          <w:color w:val="000000"/>
          <w:lang w:val="es-ES"/>
        </w:rPr>
        <w:t>en los términos de las Leyes aplicables.</w:t>
      </w:r>
    </w:p>
    <w:p w14:paraId="2CB7A275" w14:textId="77777777" w:rsidR="004F5DBA" w:rsidRPr="0023588D" w:rsidRDefault="004F5DBA" w:rsidP="004F5DBA">
      <w:pPr>
        <w:spacing w:line="360" w:lineRule="auto"/>
        <w:jc w:val="both"/>
        <w:rPr>
          <w:rFonts w:ascii="Palatino Linotype" w:eastAsia="MS Mincho" w:hAnsi="Palatino Linotype" w:cs="Times New Roman"/>
          <w:color w:val="000000"/>
          <w:lang w:val="es-ES"/>
        </w:rPr>
      </w:pPr>
    </w:p>
    <w:p w14:paraId="1BE02C3C" w14:textId="39D90E62" w:rsidR="004F5DBA" w:rsidRPr="0023588D" w:rsidRDefault="004F5DBA" w:rsidP="004F5DBA">
      <w:pPr>
        <w:spacing w:line="360" w:lineRule="auto"/>
        <w:jc w:val="both"/>
        <w:rPr>
          <w:rFonts w:ascii="Palatino Linotype" w:eastAsia="MS Mincho" w:hAnsi="Palatino Linotype" w:cs="Times New Roman"/>
          <w:color w:val="000000"/>
          <w:lang w:val="es-ES"/>
        </w:rPr>
      </w:pPr>
      <w:r w:rsidRPr="0023588D">
        <w:rPr>
          <w:rFonts w:ascii="Palatino Linotype" w:eastAsia="MS Mincho" w:hAnsi="Palatino Linotype" w:cs="Times New Roman"/>
          <w:b/>
          <w:sz w:val="28"/>
          <w:szCs w:val="28"/>
        </w:rPr>
        <w:t>SÉPTIMO</w:t>
      </w:r>
      <w:r w:rsidRPr="0023588D">
        <w:rPr>
          <w:rFonts w:ascii="Palatino Linotype" w:eastAsia="MS Mincho" w:hAnsi="Palatino Linotype" w:cs="Times New Roman"/>
          <w:lang w:val="es-ES_tradnl"/>
        </w:rPr>
        <w:t xml:space="preserve">. Gírese </w:t>
      </w:r>
      <w:r w:rsidR="004D6D99" w:rsidRPr="0023588D">
        <w:rPr>
          <w:rFonts w:ascii="Palatino Linotype" w:eastAsia="Times New Roman" w:hAnsi="Palatino Linotype" w:cs="Times New Roman"/>
          <w:lang w:val="es-ES_tradnl" w:eastAsia="es-MX"/>
        </w:rPr>
        <w:t>oficio a la Dirección de Protección de Datos Personales de este Instituto para hacer de su conocimiento la presente resolución, a fin de que en ejercicio de sus atribuciones, y de conformidad con lo dispuesto por el artículo 82, fracciones XIV, XXII, XXIII y XXV, de la Ley de Protección de Datos Personales en Posesión de Sujetos Obligados del Estado de México y Municipios, determine lo conducente, en términos del</w:t>
      </w:r>
      <w:r w:rsidRPr="0023588D">
        <w:rPr>
          <w:rFonts w:ascii="Palatino Linotype" w:eastAsia="MS Mincho" w:hAnsi="Palatino Linotype" w:cs="Times New Roman"/>
          <w:lang w:val="es-ES_tradnl"/>
        </w:rPr>
        <w:t xml:space="preserve"> </w:t>
      </w:r>
      <w:r w:rsidRPr="0023588D">
        <w:rPr>
          <w:rFonts w:ascii="Palatino Linotype" w:eastAsia="MS Mincho" w:hAnsi="Palatino Linotype" w:cs="Times New Roman"/>
          <w:b/>
          <w:lang w:val="es-ES_tradnl"/>
        </w:rPr>
        <w:t>Considerando SÉPTIMO.</w:t>
      </w:r>
    </w:p>
    <w:p w14:paraId="3193C8FC" w14:textId="77777777" w:rsidR="00CA0640" w:rsidRPr="0023588D" w:rsidRDefault="00CA0640" w:rsidP="00CA0640">
      <w:pPr>
        <w:spacing w:line="360" w:lineRule="auto"/>
        <w:jc w:val="both"/>
        <w:rPr>
          <w:rFonts w:ascii="Palatino Linotype" w:eastAsia="MS Mincho" w:hAnsi="Palatino Linotype" w:cs="Times New Roman"/>
          <w:color w:val="000000"/>
          <w:lang w:val="es-ES"/>
        </w:rPr>
      </w:pPr>
    </w:p>
    <w:p w14:paraId="2FF2F707" w14:textId="77777777" w:rsidR="00892A09" w:rsidRDefault="00892A09" w:rsidP="00892A09">
      <w:pPr>
        <w:spacing w:before="240" w:after="240" w:line="360" w:lineRule="auto"/>
        <w:ind w:firstLine="1"/>
        <w:jc w:val="both"/>
        <w:rPr>
          <w:rFonts w:ascii="Palatino Linotype" w:hAnsi="Palatino Linotype"/>
        </w:rPr>
      </w:pPr>
      <w:r w:rsidRPr="00A0054B">
        <w:rPr>
          <w:rFonts w:ascii="Palatino Linotype" w:hAnsi="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w:t>
      </w:r>
      <w:r>
        <w:rPr>
          <w:rFonts w:ascii="Palatino Linotype" w:hAnsi="Palatino Linotype"/>
        </w:rPr>
        <w:t xml:space="preserve">; </w:t>
      </w:r>
      <w:r w:rsidRPr="00A0054B">
        <w:rPr>
          <w:rFonts w:ascii="Palatino Linotype" w:hAnsi="Palatino Linotype"/>
        </w:rPr>
        <w:t xml:space="preserve">LUIS GUSTAVO PARRA NORIEGA Y GUADALUPE RAMÍREZ PEÑA EN LA </w:t>
      </w:r>
      <w:r>
        <w:rPr>
          <w:rFonts w:ascii="Palatino Linotype" w:hAnsi="Palatino Linotype"/>
        </w:rPr>
        <w:t xml:space="preserve">VIGÉSIMA PRIMERA </w:t>
      </w:r>
      <w:r w:rsidRPr="00A0054B">
        <w:rPr>
          <w:rFonts w:ascii="Palatino Linotype" w:hAnsi="Palatino Linotype"/>
        </w:rPr>
        <w:t xml:space="preserve">SESIÓN ORDINARIA CELEBRADA EL </w:t>
      </w:r>
      <w:r>
        <w:rPr>
          <w:rFonts w:ascii="Palatino Linotype" w:hAnsi="Palatino Linotype"/>
        </w:rPr>
        <w:t>OCHO (08)</w:t>
      </w:r>
      <w:r w:rsidRPr="00A0054B">
        <w:rPr>
          <w:rFonts w:ascii="Palatino Linotype" w:hAnsi="Palatino Linotype"/>
        </w:rPr>
        <w:t xml:space="preserve"> DE </w:t>
      </w:r>
      <w:r>
        <w:rPr>
          <w:rFonts w:ascii="Palatino Linotype" w:hAnsi="Palatino Linotype"/>
        </w:rPr>
        <w:t>JUNIO</w:t>
      </w:r>
      <w:r w:rsidRPr="00A0054B">
        <w:rPr>
          <w:rFonts w:ascii="Palatino Linotype" w:hAnsi="Palatino Linotype"/>
        </w:rPr>
        <w:t xml:space="preserve"> DE DOS MIL VEINTIDÓS, ANTE EL SECRETARIO TÉCNICO DEL PLENO ALEX</w:t>
      </w:r>
      <w:bookmarkStart w:id="32" w:name="_GoBack"/>
      <w:bookmarkEnd w:id="32"/>
      <w:r w:rsidRPr="00A0054B">
        <w:rPr>
          <w:rFonts w:ascii="Palatino Linotype" w:hAnsi="Palatino Linotype"/>
        </w:rPr>
        <w:t>IS TAPIA RAMÍREZ</w:t>
      </w:r>
      <w:r>
        <w:rPr>
          <w:rFonts w:ascii="Palatino Linotype" w:hAnsi="Palatino Linotype"/>
        </w:rPr>
        <w:t>.</w:t>
      </w:r>
      <w:r w:rsidRPr="00624AAD">
        <w:rPr>
          <w:rFonts w:ascii="Palatino Linotype" w:hAnsi="Palatino Linotype"/>
        </w:rPr>
        <w:t xml:space="preserve"> </w:t>
      </w:r>
    </w:p>
    <w:p w14:paraId="7EFA4F21" w14:textId="77777777" w:rsidR="00895335" w:rsidRDefault="00895335">
      <w:pPr>
        <w:rPr>
          <w:rFonts w:ascii="Palatino Linotype" w:hAnsi="Palatino Linotype" w:cs="Arial"/>
          <w:color w:val="000000" w:themeColor="text1"/>
        </w:rPr>
      </w:pPr>
      <w:r>
        <w:rPr>
          <w:rFonts w:ascii="Palatino Linotype" w:hAnsi="Palatino Linotype" w:cs="Arial"/>
          <w:color w:val="000000" w:themeColor="text1"/>
        </w:rPr>
        <w:br w:type="page"/>
      </w:r>
    </w:p>
    <w:sectPr w:rsidR="00895335" w:rsidSect="00472C41">
      <w:headerReference w:type="default" r:id="rId55"/>
      <w:footerReference w:type="default" r:id="rId56"/>
      <w:headerReference w:type="first" r:id="rId57"/>
      <w:footerReference w:type="first" r:id="rId58"/>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5487FA" w14:textId="77777777" w:rsidR="00ED631E" w:rsidRDefault="00ED631E" w:rsidP="00587366">
      <w:r>
        <w:separator/>
      </w:r>
    </w:p>
  </w:endnote>
  <w:endnote w:type="continuationSeparator" w:id="0">
    <w:p w14:paraId="4DA8B6C4" w14:textId="77777777" w:rsidR="00ED631E" w:rsidRDefault="00ED631E"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733850643"/>
      <w:docPartObj>
        <w:docPartGallery w:val="Page Numbers (Bottom of Page)"/>
        <w:docPartUnique/>
      </w:docPartObj>
    </w:sdtPr>
    <w:sdtEndPr/>
    <w:sdtContent>
      <w:sdt>
        <w:sdtPr>
          <w:rPr>
            <w:rFonts w:ascii="Palatino Linotype" w:hAnsi="Palatino Linotype"/>
            <w:sz w:val="28"/>
          </w:rPr>
          <w:id w:val="284547370"/>
          <w:docPartObj>
            <w:docPartGallery w:val="Page Numbers (Top of Page)"/>
            <w:docPartUnique/>
          </w:docPartObj>
        </w:sdtPr>
        <w:sdtEndPr/>
        <w:sdtContent>
          <w:p w14:paraId="187818B4" w14:textId="10661408" w:rsidR="00D27EBC" w:rsidRPr="00883450" w:rsidRDefault="00D27EBC">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B23A75">
              <w:rPr>
                <w:rFonts w:ascii="Palatino Linotype" w:hAnsi="Palatino Linotype"/>
                <w:b/>
                <w:bCs/>
                <w:noProof/>
                <w:sz w:val="22"/>
                <w:szCs w:val="20"/>
              </w:rPr>
              <w:t>70</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B23A75">
              <w:rPr>
                <w:rFonts w:ascii="Palatino Linotype" w:hAnsi="Palatino Linotype"/>
                <w:b/>
                <w:bCs/>
                <w:noProof/>
                <w:sz w:val="22"/>
                <w:szCs w:val="20"/>
              </w:rPr>
              <w:t>70</w:t>
            </w:r>
            <w:r w:rsidRPr="00883450">
              <w:rPr>
                <w:rFonts w:ascii="Palatino Linotype" w:hAnsi="Palatino Linotype"/>
                <w:b/>
                <w:bCs/>
                <w:sz w:val="22"/>
                <w:szCs w:val="20"/>
              </w:rPr>
              <w:fldChar w:fldCharType="end"/>
            </w:r>
          </w:p>
        </w:sdtContent>
      </w:sdt>
    </w:sdtContent>
  </w:sdt>
  <w:p w14:paraId="6243EC1B" w14:textId="47B193F0" w:rsidR="00D27EBC" w:rsidRDefault="00D27EB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72A420DD" w:rsidR="00D27EBC" w:rsidRPr="00883450" w:rsidRDefault="00D27EBC"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B23A75" w:rsidRPr="00B23A75">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B23A75" w:rsidRPr="00B23A75">
      <w:rPr>
        <w:rFonts w:ascii="Palatino Linotype" w:hAnsi="Palatino Linotype"/>
        <w:noProof/>
        <w:sz w:val="22"/>
        <w:szCs w:val="22"/>
        <w:lang w:val="es-ES"/>
      </w:rPr>
      <w:t>70</w:t>
    </w:r>
    <w:r w:rsidRPr="00883450">
      <w:rPr>
        <w:rFonts w:ascii="Palatino Linotype" w:hAnsi="Palatino Linotype"/>
        <w:sz w:val="22"/>
        <w:szCs w:val="22"/>
      </w:rPr>
      <w:fldChar w:fldCharType="end"/>
    </w:r>
  </w:p>
  <w:p w14:paraId="5F5C4865" w14:textId="0A9A2B26" w:rsidR="00D27EBC" w:rsidRPr="00883450" w:rsidRDefault="00D27EBC">
    <w:pPr>
      <w:pStyle w:val="Piedepgina"/>
      <w:rPr>
        <w:rFonts w:ascii="Palatino Linotype" w:hAnsi="Palatino Linotype"/>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CD3297" w14:textId="77777777" w:rsidR="00ED631E" w:rsidRDefault="00ED631E" w:rsidP="00587366">
      <w:r>
        <w:separator/>
      </w:r>
    </w:p>
  </w:footnote>
  <w:footnote w:type="continuationSeparator" w:id="0">
    <w:p w14:paraId="56383ACC" w14:textId="77777777" w:rsidR="00ED631E" w:rsidRDefault="00ED631E" w:rsidP="00587366">
      <w:r>
        <w:continuationSeparator/>
      </w:r>
    </w:p>
  </w:footnote>
  <w:footnote w:id="1">
    <w:p w14:paraId="7DD948B7" w14:textId="77777777" w:rsidR="00D27EBC" w:rsidRDefault="00D27EBC" w:rsidP="00D86A5E">
      <w:pPr>
        <w:pStyle w:val="Textonotapie"/>
      </w:pPr>
      <w:r>
        <w:rPr>
          <w:rStyle w:val="Refdenotaalpie"/>
        </w:rPr>
        <w:footnoteRef/>
      </w:r>
      <w:r>
        <w:t xml:space="preserve"> Artículo 195, Ley de Transparencia y Acceso a la Información Pública del Estado de México y Municipios.</w:t>
      </w:r>
    </w:p>
  </w:footnote>
  <w:footnote w:id="2">
    <w:p w14:paraId="0DA1A160" w14:textId="77777777" w:rsidR="00D27EBC" w:rsidRDefault="00D27EBC" w:rsidP="00D86A5E">
      <w:pPr>
        <w:pStyle w:val="Textonotapie"/>
      </w:pPr>
      <w:r>
        <w:rPr>
          <w:rStyle w:val="Refdenotaalpie"/>
        </w:rPr>
        <w:footnoteRef/>
      </w:r>
      <w:r>
        <w:t xml:space="preserve"> Artículo 58, Código de Procedimientos Administrativos del Estado de México y Municipios.</w:t>
      </w:r>
    </w:p>
  </w:footnote>
  <w:footnote w:id="3">
    <w:p w14:paraId="0CB8A45D" w14:textId="77777777" w:rsidR="00D27EBC" w:rsidRDefault="00D27EBC" w:rsidP="00D86A5E">
      <w:pPr>
        <w:pStyle w:val="Textonotapie"/>
      </w:pPr>
      <w:r>
        <w:rPr>
          <w:rStyle w:val="Refdenotaalpie"/>
        </w:rPr>
        <w:footnoteRef/>
      </w:r>
      <w:r>
        <w:t xml:space="preserve"> Artículo 88, Código de Procedimientos Administrativos del Estado de México.</w:t>
      </w:r>
    </w:p>
  </w:footnote>
  <w:footnote w:id="4">
    <w:p w14:paraId="22863803" w14:textId="77777777" w:rsidR="00D27EBC" w:rsidRDefault="00D27EBC" w:rsidP="00D86A5E">
      <w:pPr>
        <w:pStyle w:val="Textonotapie"/>
      </w:pPr>
      <w:r>
        <w:rPr>
          <w:rStyle w:val="Refdenotaalpie"/>
        </w:rPr>
        <w:footnoteRef/>
      </w:r>
      <w:r>
        <w:t xml:space="preserve"> Artículo 91, Ídem.</w:t>
      </w:r>
    </w:p>
  </w:footnote>
  <w:footnote w:id="5">
    <w:p w14:paraId="121F95B9" w14:textId="77777777" w:rsidR="00D27EBC" w:rsidRDefault="00D27EBC" w:rsidP="00D86A5E">
      <w:pPr>
        <w:pStyle w:val="Textonotapie"/>
      </w:pPr>
      <w:r>
        <w:rPr>
          <w:rStyle w:val="Refdenotaalpie"/>
        </w:rPr>
        <w:footnoteRef/>
      </w:r>
      <w:r>
        <w:t xml:space="preserve"> Artículo 92, Ídem.</w:t>
      </w:r>
    </w:p>
  </w:footnote>
  <w:footnote w:id="6">
    <w:p w14:paraId="4AF22488" w14:textId="77777777" w:rsidR="00D27EBC" w:rsidRDefault="00D27EBC" w:rsidP="000B554F">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Artículo 3, fracción XI, Ley de Transparencia y Acceso a la Información Pública del Estado de México y Municipios.</w:t>
      </w:r>
    </w:p>
  </w:footnote>
  <w:footnote w:id="7">
    <w:p w14:paraId="79BDE0E0" w14:textId="77777777" w:rsidR="00D27EBC" w:rsidRDefault="00D27EBC" w:rsidP="000B554F">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Artículo 11, Ley de Transparencia y Acceso a la Información Pública del Estado de México y Municipios.</w:t>
      </w:r>
    </w:p>
  </w:footnote>
  <w:footnote w:id="8">
    <w:p w14:paraId="7AB93BA3" w14:textId="77777777" w:rsidR="00D27EBC" w:rsidRDefault="00D27EBC" w:rsidP="000B554F">
      <w:pPr>
        <w:pBdr>
          <w:top w:val="nil"/>
          <w:left w:val="nil"/>
          <w:bottom w:val="nil"/>
          <w:right w:val="nil"/>
          <w:between w:val="nil"/>
        </w:pBdr>
        <w:rPr>
          <w:rFonts w:ascii="Palatino Linotype" w:eastAsia="Palatino Linotype" w:hAnsi="Palatino Linotype" w:cs="Palatino Linotype"/>
          <w:color w:val="000000"/>
          <w:sz w:val="18"/>
          <w:szCs w:val="18"/>
        </w:rPr>
      </w:pPr>
      <w:r>
        <w:rPr>
          <w:vertAlign w:val="superscript"/>
        </w:rPr>
        <w:footnoteRef/>
      </w:r>
      <w:r>
        <w:rPr>
          <w:color w:val="000000"/>
          <w:sz w:val="20"/>
          <w:szCs w:val="20"/>
        </w:rPr>
        <w:t xml:space="preserve"> </w:t>
      </w:r>
      <w:r>
        <w:rPr>
          <w:rFonts w:ascii="Palatino Linotype" w:eastAsia="Palatino Linotype" w:hAnsi="Palatino Linotype" w:cs="Palatino Linotype"/>
          <w:color w:val="000000"/>
          <w:sz w:val="18"/>
          <w:szCs w:val="18"/>
        </w:rPr>
        <w:t xml:space="preserve">Ley de Transparencia y Acceso a la Información Pública del Estado de México y Municipios. </w:t>
      </w:r>
    </w:p>
    <w:p w14:paraId="2F31DA9F" w14:textId="77777777" w:rsidR="00D27EBC" w:rsidRDefault="00D27EBC" w:rsidP="000B554F">
      <w:pPr>
        <w:pBdr>
          <w:top w:val="nil"/>
          <w:left w:val="nil"/>
          <w:bottom w:val="nil"/>
          <w:right w:val="nil"/>
          <w:between w:val="nil"/>
        </w:pBdr>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“Artículo 9</w:t>
      </w:r>
      <w:proofErr w:type="gramStart"/>
      <w:r>
        <w:rPr>
          <w:rFonts w:ascii="Palatino Linotype" w:eastAsia="Palatino Linotype" w:hAnsi="Palatino Linotype" w:cs="Palatino Linotype"/>
          <w:color w:val="000000"/>
          <w:sz w:val="18"/>
          <w:szCs w:val="18"/>
        </w:rPr>
        <w:t>.(</w:t>
      </w:r>
      <w:proofErr w:type="gramEnd"/>
      <w:r>
        <w:rPr>
          <w:rFonts w:ascii="Palatino Linotype" w:eastAsia="Palatino Linotype" w:hAnsi="Palatino Linotype" w:cs="Palatino Linotype"/>
          <w:color w:val="000000"/>
          <w:sz w:val="18"/>
          <w:szCs w:val="18"/>
        </w:rPr>
        <w:t>…)</w:t>
      </w:r>
    </w:p>
    <w:p w14:paraId="269CC9B9" w14:textId="77777777" w:rsidR="00D27EBC" w:rsidRDefault="00D27EBC" w:rsidP="000B554F">
      <w:pPr>
        <w:pBdr>
          <w:top w:val="nil"/>
          <w:left w:val="nil"/>
          <w:bottom w:val="nil"/>
          <w:right w:val="nil"/>
          <w:between w:val="nil"/>
        </w:pBdr>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II. Eficacia: Obligación del Instituto para tutelar, de manera efectiva, el derecho de acceso a la información;</w:t>
      </w:r>
    </w:p>
    <w:p w14:paraId="67F38E61" w14:textId="77777777" w:rsidR="00D27EBC" w:rsidRDefault="00D27EBC" w:rsidP="000B554F">
      <w:pPr>
        <w:pBdr>
          <w:top w:val="nil"/>
          <w:left w:val="nil"/>
          <w:bottom w:val="nil"/>
          <w:right w:val="nil"/>
          <w:between w:val="nil"/>
        </w:pBdr>
        <w:rPr>
          <w:color w:val="000000"/>
          <w:sz w:val="20"/>
          <w:szCs w:val="20"/>
        </w:rPr>
      </w:pPr>
      <w:r>
        <w:rPr>
          <w:color w:val="000000"/>
          <w:sz w:val="20"/>
          <w:szCs w:val="20"/>
        </w:rPr>
        <w:t>(…)”</w:t>
      </w:r>
    </w:p>
  </w:footnote>
  <w:footnote w:id="9">
    <w:p w14:paraId="58F49ABB" w14:textId="77777777" w:rsidR="00D27EBC" w:rsidRDefault="00D27EBC" w:rsidP="00B60033">
      <w:pPr>
        <w:pStyle w:val="Textonotapie"/>
      </w:pPr>
      <w:r>
        <w:rPr>
          <w:rStyle w:val="Refdenotaalpie"/>
        </w:rPr>
        <w:footnoteRef/>
      </w:r>
      <w:r>
        <w:t xml:space="preserve"> Artículo 50, Ley de Transparencia y Acceso a la Información Pública del Estado de México y Municipios.</w:t>
      </w:r>
    </w:p>
  </w:footnote>
  <w:footnote w:id="10">
    <w:p w14:paraId="3AE0CE67" w14:textId="77777777" w:rsidR="00D27EBC" w:rsidRDefault="00D27EBC" w:rsidP="00B60033">
      <w:pPr>
        <w:pStyle w:val="Textonotapie"/>
      </w:pPr>
      <w:r>
        <w:rPr>
          <w:rStyle w:val="Refdenotaalpie"/>
        </w:rPr>
        <w:footnoteRef/>
      </w:r>
      <w:r>
        <w:t xml:space="preserve"> Artículo 51, Ídem.</w:t>
      </w:r>
    </w:p>
  </w:footnote>
  <w:footnote w:id="11">
    <w:p w14:paraId="234DE6BA" w14:textId="77777777" w:rsidR="00D27EBC" w:rsidRDefault="00D27EBC" w:rsidP="00B60033">
      <w:pPr>
        <w:pStyle w:val="Textonotapie"/>
      </w:pPr>
      <w:r>
        <w:rPr>
          <w:rStyle w:val="Refdenotaalpie"/>
        </w:rPr>
        <w:footnoteRef/>
      </w:r>
      <w:r>
        <w:t xml:space="preserve"> Artículo 58, Ley de Transparencia y Acceso a la Información Pública del Estado de México y Municipios.</w:t>
      </w:r>
    </w:p>
  </w:footnote>
  <w:footnote w:id="12">
    <w:p w14:paraId="7E99302E" w14:textId="77777777" w:rsidR="00D27EBC" w:rsidRDefault="00D27EBC" w:rsidP="00B60033">
      <w:pPr>
        <w:pStyle w:val="Textonotapie"/>
      </w:pPr>
      <w:r>
        <w:rPr>
          <w:rStyle w:val="Refdenotaalpie"/>
        </w:rPr>
        <w:footnoteRef/>
      </w:r>
      <w:r>
        <w:t xml:space="preserve"> Artículo 59, Ídem.</w:t>
      </w:r>
    </w:p>
  </w:footnote>
  <w:footnote w:id="13">
    <w:p w14:paraId="5132E2C4" w14:textId="77777777" w:rsidR="00D27EBC" w:rsidRDefault="00D27EBC" w:rsidP="001C302E">
      <w:pPr>
        <w:pStyle w:val="Textonotapie"/>
      </w:pPr>
      <w:r>
        <w:rPr>
          <w:rStyle w:val="Refdenotaalpie"/>
        </w:rPr>
        <w:footnoteRef/>
      </w:r>
      <w:r>
        <w:t xml:space="preserve"> Artículo 155, Ley de Transparencia y Acceso a la Información Pública del Estado de México y Municipios.</w:t>
      </w:r>
    </w:p>
  </w:footnote>
  <w:footnote w:id="14">
    <w:p w14:paraId="28326AF2" w14:textId="77777777" w:rsidR="00D27EBC" w:rsidRDefault="00D27EBC" w:rsidP="001C302E">
      <w:pPr>
        <w:pStyle w:val="Textonotapie"/>
      </w:pPr>
      <w:r>
        <w:rPr>
          <w:rStyle w:val="Refdenotaalpie"/>
        </w:rPr>
        <w:footnoteRef/>
      </w:r>
      <w:r>
        <w:t xml:space="preserve"> Artículo 162, Ídem.</w:t>
      </w:r>
    </w:p>
  </w:footnote>
  <w:footnote w:id="15">
    <w:p w14:paraId="2D144709" w14:textId="77777777" w:rsidR="00D27EBC" w:rsidRDefault="00D27EBC" w:rsidP="00520B3E">
      <w:pPr>
        <w:pStyle w:val="Textonotapie"/>
      </w:pPr>
      <w:r>
        <w:rPr>
          <w:rStyle w:val="Refdenotaalpie"/>
        </w:rPr>
        <w:footnoteRef/>
      </w:r>
      <w:r>
        <w:t xml:space="preserve"> Jurisprudencia 203143, Segundo Tribunal Colegiado del Sexto Circuito, Novena Época.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6950"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3690"/>
    </w:tblGrid>
    <w:tr w:rsidR="00D27EBC" w:rsidRPr="00025127" w14:paraId="73F1FE1C" w14:textId="77777777" w:rsidTr="00FA0F09">
      <w:trPr>
        <w:trHeight w:val="138"/>
        <w:jc w:val="right"/>
      </w:trPr>
      <w:tc>
        <w:tcPr>
          <w:tcW w:w="3260" w:type="dxa"/>
          <w:vAlign w:val="center"/>
        </w:tcPr>
        <w:p w14:paraId="4771C587" w14:textId="77777777" w:rsidR="00D27EBC" w:rsidRPr="00025127" w:rsidRDefault="00D27EBC" w:rsidP="005F1362">
          <w:pPr>
            <w:ind w:right="34"/>
            <w:jc w:val="right"/>
            <w:rPr>
              <w:rFonts w:ascii="Palatino Linotype" w:hAnsi="Palatino Linotype"/>
              <w:b/>
              <w:sz w:val="22"/>
              <w:szCs w:val="22"/>
            </w:rPr>
          </w:pPr>
        </w:p>
      </w:tc>
      <w:tc>
        <w:tcPr>
          <w:tcW w:w="3690" w:type="dxa"/>
          <w:vAlign w:val="center"/>
        </w:tcPr>
        <w:p w14:paraId="72B3B9F6" w14:textId="77777777" w:rsidR="00D27EBC" w:rsidRDefault="00D27EBC" w:rsidP="005F1362">
          <w:pPr>
            <w:pStyle w:val="Encabezado"/>
            <w:jc w:val="both"/>
            <w:rPr>
              <w:rFonts w:ascii="Palatino Linotype" w:hAnsi="Palatino Linotype"/>
              <w:b/>
              <w:sz w:val="22"/>
              <w:szCs w:val="22"/>
            </w:rPr>
          </w:pPr>
        </w:p>
      </w:tc>
    </w:tr>
    <w:tr w:rsidR="00D27EBC" w:rsidRPr="00025127" w14:paraId="07F2896E" w14:textId="77777777" w:rsidTr="00FA0F09">
      <w:trPr>
        <w:trHeight w:val="138"/>
        <w:jc w:val="right"/>
      </w:trPr>
      <w:tc>
        <w:tcPr>
          <w:tcW w:w="3260" w:type="dxa"/>
          <w:vAlign w:val="center"/>
        </w:tcPr>
        <w:p w14:paraId="4A5B1974" w14:textId="44CA9AFE" w:rsidR="00D27EBC" w:rsidRPr="00025127" w:rsidRDefault="00D27EBC" w:rsidP="005F1362">
          <w:pPr>
            <w:ind w:right="34"/>
            <w:jc w:val="right"/>
            <w:rPr>
              <w:rFonts w:ascii="Palatino Linotype" w:hAnsi="Palatino Linotype"/>
              <w:b/>
              <w:sz w:val="22"/>
              <w:szCs w:val="22"/>
            </w:rPr>
          </w:pPr>
          <w:r w:rsidRPr="00025127">
            <w:rPr>
              <w:rFonts w:ascii="Palatino Linotype" w:hAnsi="Palatino Linotype"/>
              <w:b/>
              <w:sz w:val="22"/>
              <w:szCs w:val="22"/>
            </w:rPr>
            <w:t>RECURSO DE REVISIÓN:</w:t>
          </w:r>
        </w:p>
      </w:tc>
      <w:tc>
        <w:tcPr>
          <w:tcW w:w="3690" w:type="dxa"/>
          <w:vAlign w:val="center"/>
        </w:tcPr>
        <w:p w14:paraId="3A05B4B6" w14:textId="1742E00E" w:rsidR="00D27EBC" w:rsidRPr="00025127" w:rsidRDefault="00D27EBC" w:rsidP="005F1362">
          <w:pPr>
            <w:pStyle w:val="Encabezado"/>
            <w:jc w:val="both"/>
            <w:rPr>
              <w:rFonts w:ascii="Palatino Linotype" w:hAnsi="Palatino Linotype"/>
              <w:b/>
              <w:sz w:val="22"/>
              <w:szCs w:val="22"/>
            </w:rPr>
          </w:pPr>
          <w:r>
            <w:rPr>
              <w:rFonts w:ascii="Palatino Linotype" w:hAnsi="Palatino Linotype"/>
              <w:b/>
              <w:sz w:val="22"/>
              <w:szCs w:val="22"/>
            </w:rPr>
            <w:t>00838</w:t>
          </w:r>
          <w:r w:rsidRPr="00025127">
            <w:rPr>
              <w:rFonts w:ascii="Palatino Linotype" w:hAnsi="Palatino Linotype"/>
              <w:b/>
              <w:sz w:val="22"/>
              <w:szCs w:val="22"/>
            </w:rPr>
            <w:t>/INFOEM/IP/RR/</w:t>
          </w:r>
          <w:r>
            <w:rPr>
              <w:rFonts w:ascii="Palatino Linotype" w:hAnsi="Palatino Linotype"/>
              <w:b/>
              <w:sz w:val="22"/>
              <w:szCs w:val="22"/>
            </w:rPr>
            <w:t>2022</w:t>
          </w:r>
        </w:p>
      </w:tc>
    </w:tr>
    <w:tr w:rsidR="00D27EBC" w:rsidRPr="00025127" w14:paraId="1B5D8690" w14:textId="77777777" w:rsidTr="00FA0F09">
      <w:trPr>
        <w:trHeight w:val="233"/>
        <w:jc w:val="right"/>
      </w:trPr>
      <w:tc>
        <w:tcPr>
          <w:tcW w:w="3260" w:type="dxa"/>
          <w:vAlign w:val="center"/>
        </w:tcPr>
        <w:p w14:paraId="3903F2C6" w14:textId="22D569F8" w:rsidR="00D27EBC" w:rsidRPr="00025127" w:rsidRDefault="00D27EBC" w:rsidP="000F0E0D">
          <w:pPr>
            <w:ind w:right="34"/>
            <w:jc w:val="right"/>
            <w:rPr>
              <w:rFonts w:ascii="Palatino Linotype" w:hAnsi="Palatino Linotype"/>
              <w:b/>
              <w:sz w:val="22"/>
              <w:szCs w:val="22"/>
            </w:rPr>
          </w:pPr>
          <w:r w:rsidRPr="00025127">
            <w:rPr>
              <w:rFonts w:ascii="Palatino Linotype" w:hAnsi="Palatino Linotype"/>
              <w:b/>
              <w:sz w:val="22"/>
              <w:szCs w:val="22"/>
            </w:rPr>
            <w:t>SUJETO OBLIGADO:</w:t>
          </w:r>
        </w:p>
      </w:tc>
      <w:tc>
        <w:tcPr>
          <w:tcW w:w="3690" w:type="dxa"/>
          <w:vAlign w:val="center"/>
        </w:tcPr>
        <w:p w14:paraId="03C799A2" w14:textId="62A8C126" w:rsidR="00D27EBC" w:rsidRPr="00025127" w:rsidRDefault="00D27EBC" w:rsidP="000F0E0D">
          <w:pPr>
            <w:pStyle w:val="Encabezado"/>
            <w:rPr>
              <w:rFonts w:ascii="Palatino Linotype" w:hAnsi="Palatino Linotype"/>
              <w:b/>
              <w:sz w:val="22"/>
              <w:szCs w:val="22"/>
            </w:rPr>
          </w:pPr>
          <w:r>
            <w:rPr>
              <w:rFonts w:ascii="Palatino Linotype" w:hAnsi="Palatino Linotype"/>
              <w:b/>
              <w:bCs/>
              <w:color w:val="000000"/>
              <w:sz w:val="22"/>
              <w:szCs w:val="22"/>
            </w:rPr>
            <w:t>Secretaría de Finanzas</w:t>
          </w:r>
        </w:p>
      </w:tc>
    </w:tr>
    <w:tr w:rsidR="00D27EBC" w:rsidRPr="00025127" w14:paraId="095EB01B" w14:textId="77777777" w:rsidTr="00FA0F09">
      <w:trPr>
        <w:trHeight w:val="321"/>
        <w:jc w:val="right"/>
      </w:trPr>
      <w:tc>
        <w:tcPr>
          <w:tcW w:w="3260" w:type="dxa"/>
          <w:vAlign w:val="center"/>
        </w:tcPr>
        <w:p w14:paraId="6E000A51" w14:textId="05E1861A" w:rsidR="00D27EBC" w:rsidRPr="00025127" w:rsidRDefault="00D27EBC" w:rsidP="006E6B65">
          <w:pPr>
            <w:ind w:right="34"/>
            <w:jc w:val="right"/>
            <w:rPr>
              <w:rFonts w:ascii="Palatino Linotype" w:hAnsi="Palatino Linotype"/>
              <w:b/>
              <w:sz w:val="22"/>
              <w:szCs w:val="22"/>
            </w:rPr>
          </w:pPr>
          <w:r w:rsidRPr="00025127">
            <w:rPr>
              <w:rFonts w:ascii="Palatino Linotype" w:hAnsi="Palatino Linotype"/>
              <w:b/>
              <w:sz w:val="22"/>
              <w:szCs w:val="22"/>
            </w:rPr>
            <w:t>COMISIONAD</w:t>
          </w:r>
          <w:r>
            <w:rPr>
              <w:rFonts w:ascii="Palatino Linotype" w:hAnsi="Palatino Linotype"/>
              <w:b/>
              <w:sz w:val="22"/>
              <w:szCs w:val="22"/>
            </w:rPr>
            <w:t>A</w:t>
          </w:r>
          <w:r w:rsidRPr="00025127">
            <w:rPr>
              <w:rFonts w:ascii="Palatino Linotype" w:hAnsi="Palatino Linotype"/>
              <w:b/>
              <w:sz w:val="22"/>
              <w:szCs w:val="22"/>
            </w:rPr>
            <w:t xml:space="preserve"> PONENTE:</w:t>
          </w:r>
        </w:p>
      </w:tc>
      <w:tc>
        <w:tcPr>
          <w:tcW w:w="3690" w:type="dxa"/>
          <w:vAlign w:val="center"/>
        </w:tcPr>
        <w:p w14:paraId="07560085" w14:textId="64DC8836" w:rsidR="00D27EBC" w:rsidRPr="00025127" w:rsidRDefault="00D27EBC" w:rsidP="00472C41">
          <w:pPr>
            <w:pStyle w:val="Encabezado"/>
            <w:rPr>
              <w:rFonts w:ascii="Palatino Linotype" w:hAnsi="Palatino Linotype"/>
              <w:b/>
              <w:sz w:val="22"/>
              <w:szCs w:val="22"/>
            </w:rPr>
          </w:pPr>
          <w:r>
            <w:rPr>
              <w:rFonts w:ascii="Palatino Linotype" w:hAnsi="Palatino Linotype"/>
              <w:b/>
              <w:sz w:val="22"/>
              <w:szCs w:val="22"/>
            </w:rPr>
            <w:t>María del Rosario Mejía Ayala</w:t>
          </w:r>
        </w:p>
      </w:tc>
    </w:tr>
  </w:tbl>
  <w:p w14:paraId="1096C1B8" w14:textId="2BA8EB40" w:rsidR="00D27EBC" w:rsidRDefault="00D27EBC" w:rsidP="00472C41">
    <w:pPr>
      <w:pStyle w:val="Encabezado"/>
    </w:pPr>
    <w:r>
      <w:rPr>
        <w:noProof/>
        <w:lang w:eastAsia="es-MX"/>
      </w:rPr>
      <w:drawing>
        <wp:anchor distT="0" distB="0" distL="114300" distR="114300" simplePos="0" relativeHeight="251657216" behindDoc="1" locked="0" layoutInCell="0" allowOverlap="1" wp14:anchorId="1A29E15A" wp14:editId="008297B4">
          <wp:simplePos x="0" y="0"/>
          <wp:positionH relativeFrom="page">
            <wp:posOffset>30480</wp:posOffset>
          </wp:positionH>
          <wp:positionV relativeFrom="page">
            <wp:posOffset>6019</wp:posOffset>
          </wp:positionV>
          <wp:extent cx="7695210" cy="10020839"/>
          <wp:effectExtent l="0" t="0" r="127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5210" cy="10020839"/>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D4FEF" w14:textId="43D004EA" w:rsidR="00D27EBC" w:rsidRDefault="00B23A75" w:rsidP="00472C41">
    <w:pPr>
      <w:pStyle w:val="Encabezado"/>
      <w:tabs>
        <w:tab w:val="clear" w:pos="4252"/>
        <w:tab w:val="clear" w:pos="8504"/>
        <w:tab w:val="left" w:pos="3103"/>
      </w:tabs>
    </w:pPr>
    <w:r>
      <w:rPr>
        <w:noProof/>
      </w:rPr>
      <w:pict w14:anchorId="1A29E1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5505343" o:spid="_x0000_s2049" type="#_x0000_t75" style="position:absolute;margin-left:-100.7pt;margin-top:-130.15pt;width:663.5pt;height:12in;z-index:-251658240;mso-position-horizontal-relative:margin;mso-position-vertical-relative:margin" o:allowincell="f">
          <v:imagedata r:id="rId1" o:title="PHOTO-2020-08-13-10-14-39"/>
          <w10:wrap anchorx="margin" anchory="margin"/>
        </v:shape>
      </w:pict>
    </w:r>
    <w:r w:rsidR="00D27EBC">
      <w:tab/>
    </w:r>
  </w:p>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3403"/>
    </w:tblGrid>
    <w:tr w:rsidR="00D27EBC" w:rsidRPr="00025127" w14:paraId="0A3256F2" w14:textId="77777777" w:rsidTr="000F0E0D">
      <w:trPr>
        <w:trHeight w:val="138"/>
        <w:jc w:val="right"/>
      </w:trPr>
      <w:tc>
        <w:tcPr>
          <w:tcW w:w="3969" w:type="dxa"/>
          <w:vAlign w:val="center"/>
        </w:tcPr>
        <w:p w14:paraId="3D80769D" w14:textId="316F11F8" w:rsidR="00D27EBC" w:rsidRPr="00025127" w:rsidRDefault="00D27EBC" w:rsidP="005F1362">
          <w:pPr>
            <w:jc w:val="right"/>
            <w:rPr>
              <w:rFonts w:ascii="Palatino Linotype" w:hAnsi="Palatino Linotype"/>
              <w:b/>
              <w:sz w:val="22"/>
              <w:szCs w:val="22"/>
            </w:rPr>
          </w:pPr>
          <w:r w:rsidRPr="00025127">
            <w:rPr>
              <w:rFonts w:ascii="Palatino Linotype" w:hAnsi="Palatino Linotype"/>
              <w:b/>
              <w:sz w:val="22"/>
              <w:szCs w:val="22"/>
            </w:rPr>
            <w:t>RECURSO DE REVISIÓN:</w:t>
          </w:r>
        </w:p>
      </w:tc>
      <w:tc>
        <w:tcPr>
          <w:tcW w:w="3403" w:type="dxa"/>
          <w:vAlign w:val="center"/>
        </w:tcPr>
        <w:p w14:paraId="0453495E" w14:textId="363762D0" w:rsidR="00D27EBC" w:rsidRPr="00025127" w:rsidRDefault="00D27EBC" w:rsidP="005F1362">
          <w:pPr>
            <w:pStyle w:val="Encabezado"/>
            <w:rPr>
              <w:rFonts w:ascii="Palatino Linotype" w:hAnsi="Palatino Linotype"/>
              <w:b/>
              <w:sz w:val="22"/>
              <w:szCs w:val="22"/>
            </w:rPr>
          </w:pPr>
          <w:r>
            <w:rPr>
              <w:rFonts w:ascii="Palatino Linotype" w:hAnsi="Palatino Linotype"/>
              <w:b/>
              <w:sz w:val="22"/>
              <w:szCs w:val="22"/>
            </w:rPr>
            <w:t>00838</w:t>
          </w:r>
          <w:r w:rsidRPr="00025127">
            <w:rPr>
              <w:rFonts w:ascii="Palatino Linotype" w:hAnsi="Palatino Linotype"/>
              <w:b/>
              <w:sz w:val="22"/>
              <w:szCs w:val="22"/>
            </w:rPr>
            <w:t>/INFOEM/IP/RR/</w:t>
          </w:r>
          <w:r>
            <w:rPr>
              <w:rFonts w:ascii="Palatino Linotype" w:hAnsi="Palatino Linotype"/>
              <w:b/>
              <w:sz w:val="22"/>
              <w:szCs w:val="22"/>
            </w:rPr>
            <w:t>2022</w:t>
          </w:r>
        </w:p>
      </w:tc>
    </w:tr>
    <w:tr w:rsidR="00D27EBC" w:rsidRPr="00025127" w14:paraId="128C8B3C" w14:textId="77777777" w:rsidTr="000F0E0D">
      <w:trPr>
        <w:trHeight w:val="233"/>
        <w:jc w:val="right"/>
      </w:trPr>
      <w:tc>
        <w:tcPr>
          <w:tcW w:w="3969" w:type="dxa"/>
          <w:vAlign w:val="center"/>
        </w:tcPr>
        <w:p w14:paraId="483E3371" w14:textId="66B1BC74" w:rsidR="00D27EBC" w:rsidRPr="00025127" w:rsidRDefault="00D27EBC" w:rsidP="00472C41">
          <w:pPr>
            <w:jc w:val="right"/>
            <w:rPr>
              <w:rFonts w:ascii="Palatino Linotype" w:hAnsi="Palatino Linotype"/>
              <w:b/>
              <w:sz w:val="22"/>
              <w:szCs w:val="22"/>
            </w:rPr>
          </w:pPr>
          <w:r w:rsidRPr="00025127">
            <w:rPr>
              <w:rFonts w:ascii="Palatino Linotype" w:hAnsi="Palatino Linotype"/>
              <w:b/>
              <w:sz w:val="22"/>
              <w:szCs w:val="22"/>
            </w:rPr>
            <w:t>RECURRENTE:</w:t>
          </w:r>
        </w:p>
      </w:tc>
      <w:tc>
        <w:tcPr>
          <w:tcW w:w="3403" w:type="dxa"/>
        </w:tcPr>
        <w:p w14:paraId="1548525E" w14:textId="1F21D8A5" w:rsidR="00D27EBC" w:rsidRPr="00025127" w:rsidRDefault="00E14230" w:rsidP="0058757A">
          <w:pPr>
            <w:pStyle w:val="Encabezado"/>
            <w:rPr>
              <w:rFonts w:ascii="Palatino Linotype" w:hAnsi="Palatino Linotype"/>
              <w:b/>
              <w:sz w:val="22"/>
              <w:szCs w:val="22"/>
            </w:rPr>
          </w:pPr>
          <w:proofErr w:type="spellStart"/>
          <w:r>
            <w:rPr>
              <w:rFonts w:ascii="Palatino Linotype" w:hAnsi="Palatino Linotype"/>
              <w:b/>
              <w:sz w:val="22"/>
              <w:szCs w:val="22"/>
            </w:rPr>
            <w:t>Xxxxxx</w:t>
          </w:r>
          <w:proofErr w:type="spellEnd"/>
          <w:r>
            <w:rPr>
              <w:rFonts w:ascii="Palatino Linotype" w:hAnsi="Palatino Linotype"/>
              <w:b/>
              <w:sz w:val="22"/>
              <w:szCs w:val="22"/>
            </w:rPr>
            <w:t xml:space="preserve"> </w:t>
          </w:r>
          <w:proofErr w:type="spellStart"/>
          <w:r>
            <w:rPr>
              <w:rFonts w:ascii="Palatino Linotype" w:hAnsi="Palatino Linotype"/>
              <w:b/>
              <w:sz w:val="22"/>
              <w:szCs w:val="22"/>
            </w:rPr>
            <w:t>Xxxxx</w:t>
          </w:r>
          <w:proofErr w:type="spellEnd"/>
        </w:p>
      </w:tc>
    </w:tr>
    <w:tr w:rsidR="00D27EBC" w:rsidRPr="00025127" w14:paraId="41BE0704" w14:textId="77777777" w:rsidTr="000F0E0D">
      <w:trPr>
        <w:trHeight w:val="321"/>
        <w:jc w:val="right"/>
      </w:trPr>
      <w:tc>
        <w:tcPr>
          <w:tcW w:w="3969" w:type="dxa"/>
          <w:vAlign w:val="center"/>
        </w:tcPr>
        <w:p w14:paraId="34C64148" w14:textId="10C6C8A9" w:rsidR="00D27EBC" w:rsidRPr="00025127" w:rsidRDefault="00D27EBC" w:rsidP="005F1362">
          <w:pPr>
            <w:jc w:val="right"/>
            <w:rPr>
              <w:rFonts w:ascii="Palatino Linotype" w:hAnsi="Palatino Linotype"/>
              <w:b/>
              <w:sz w:val="22"/>
              <w:szCs w:val="22"/>
            </w:rPr>
          </w:pPr>
          <w:r w:rsidRPr="00025127">
            <w:rPr>
              <w:rFonts w:ascii="Palatino Linotype" w:hAnsi="Palatino Linotype"/>
              <w:b/>
              <w:sz w:val="22"/>
              <w:szCs w:val="22"/>
            </w:rPr>
            <w:t>SUJETO OBLIGADO:</w:t>
          </w:r>
        </w:p>
      </w:tc>
      <w:tc>
        <w:tcPr>
          <w:tcW w:w="3403" w:type="dxa"/>
          <w:vAlign w:val="center"/>
        </w:tcPr>
        <w:p w14:paraId="34C341BF" w14:textId="54E8A590" w:rsidR="00D27EBC" w:rsidRPr="00025127" w:rsidRDefault="00D27EBC" w:rsidP="00AD2718">
          <w:pPr>
            <w:pStyle w:val="Encabezado"/>
            <w:rPr>
              <w:rFonts w:ascii="Palatino Linotype" w:hAnsi="Palatino Linotype"/>
              <w:b/>
              <w:sz w:val="22"/>
              <w:szCs w:val="22"/>
            </w:rPr>
          </w:pPr>
          <w:r>
            <w:rPr>
              <w:rFonts w:ascii="Palatino Linotype" w:hAnsi="Palatino Linotype"/>
              <w:b/>
              <w:bCs/>
              <w:color w:val="000000"/>
              <w:sz w:val="22"/>
              <w:szCs w:val="22"/>
            </w:rPr>
            <w:t>Secretaría de Finanzas</w:t>
          </w:r>
        </w:p>
      </w:tc>
    </w:tr>
    <w:tr w:rsidR="00D27EBC" w:rsidRPr="00025127" w14:paraId="0C8B6193" w14:textId="77777777" w:rsidTr="000F0E0D">
      <w:trPr>
        <w:trHeight w:val="321"/>
        <w:jc w:val="right"/>
      </w:trPr>
      <w:tc>
        <w:tcPr>
          <w:tcW w:w="3969" w:type="dxa"/>
          <w:vAlign w:val="center"/>
        </w:tcPr>
        <w:p w14:paraId="321FFAFF" w14:textId="0E8C2CE7" w:rsidR="00D27EBC" w:rsidRPr="00025127" w:rsidRDefault="00D27EBC" w:rsidP="00472C41">
          <w:pPr>
            <w:jc w:val="right"/>
            <w:rPr>
              <w:rFonts w:ascii="Palatino Linotype" w:hAnsi="Palatino Linotype"/>
              <w:b/>
              <w:sz w:val="22"/>
              <w:szCs w:val="22"/>
            </w:rPr>
          </w:pPr>
          <w:r w:rsidRPr="00025127">
            <w:rPr>
              <w:rFonts w:ascii="Palatino Linotype" w:hAnsi="Palatino Linotype"/>
              <w:b/>
              <w:sz w:val="22"/>
              <w:szCs w:val="22"/>
            </w:rPr>
            <w:t>COMISIONAD</w:t>
          </w:r>
          <w:r>
            <w:rPr>
              <w:rFonts w:ascii="Palatino Linotype" w:hAnsi="Palatino Linotype"/>
              <w:b/>
              <w:sz w:val="22"/>
              <w:szCs w:val="22"/>
            </w:rPr>
            <w:t>A</w:t>
          </w:r>
          <w:r w:rsidRPr="00025127">
            <w:rPr>
              <w:rFonts w:ascii="Palatino Linotype" w:hAnsi="Palatino Linotype"/>
              <w:b/>
              <w:sz w:val="22"/>
              <w:szCs w:val="22"/>
            </w:rPr>
            <w:t xml:space="preserve"> PONENTE:</w:t>
          </w:r>
        </w:p>
      </w:tc>
      <w:tc>
        <w:tcPr>
          <w:tcW w:w="3403" w:type="dxa"/>
          <w:vAlign w:val="center"/>
        </w:tcPr>
        <w:p w14:paraId="0FECDA9D" w14:textId="6D336FD0" w:rsidR="00D27EBC" w:rsidRPr="00025127" w:rsidRDefault="00D27EBC" w:rsidP="00B44F9F">
          <w:pPr>
            <w:pStyle w:val="Encabezado"/>
            <w:ind w:left="33"/>
            <w:rPr>
              <w:rFonts w:ascii="Palatino Linotype" w:hAnsi="Palatino Linotype"/>
              <w:b/>
              <w:sz w:val="22"/>
              <w:szCs w:val="22"/>
            </w:rPr>
          </w:pPr>
          <w:r>
            <w:rPr>
              <w:rFonts w:ascii="Palatino Linotype" w:hAnsi="Palatino Linotype"/>
              <w:b/>
              <w:sz w:val="22"/>
              <w:szCs w:val="22"/>
            </w:rPr>
            <w:t>María del Rosario Mejía Ayala</w:t>
          </w:r>
        </w:p>
      </w:tc>
    </w:tr>
  </w:tbl>
  <w:p w14:paraId="156B5574" w14:textId="3EA5B995" w:rsidR="00D27EBC" w:rsidRDefault="00D27EBC" w:rsidP="00472C41">
    <w:pPr>
      <w:pStyle w:val="Encabezado"/>
      <w:tabs>
        <w:tab w:val="clear" w:pos="4252"/>
        <w:tab w:val="clear" w:pos="8504"/>
        <w:tab w:val="left" w:pos="310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7816848E"/>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1931D6D"/>
    <w:multiLevelType w:val="hybridMultilevel"/>
    <w:tmpl w:val="4E683EBE"/>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EA17FB"/>
    <w:multiLevelType w:val="hybridMultilevel"/>
    <w:tmpl w:val="5EA695B8"/>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6175F2B"/>
    <w:multiLevelType w:val="hybridMultilevel"/>
    <w:tmpl w:val="B30A0FB4"/>
    <w:lvl w:ilvl="0" w:tplc="080A0013">
      <w:start w:val="1"/>
      <w:numFmt w:val="upperRoman"/>
      <w:lvlText w:val="%1."/>
      <w:lvlJc w:val="right"/>
      <w:pPr>
        <w:ind w:left="720" w:hanging="360"/>
      </w:pPr>
      <w:rPr>
        <w:rFonts w:hint="default"/>
        <w:b/>
        <w:bCs/>
      </w:rPr>
    </w:lvl>
    <w:lvl w:ilvl="1" w:tplc="FFFFFFFF">
      <w:start w:val="1"/>
      <w:numFmt w:val="lowerLetter"/>
      <w:lvlText w:val="%2)"/>
      <w:lvlJc w:val="left"/>
      <w:pPr>
        <w:ind w:left="1440" w:hanging="360"/>
      </w:pPr>
      <w:rPr>
        <w:rFonts w:hint="default"/>
        <w:b/>
        <w:bCs/>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8AB4AD2"/>
    <w:multiLevelType w:val="hybridMultilevel"/>
    <w:tmpl w:val="61EC19F2"/>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02625E6"/>
    <w:multiLevelType w:val="hybridMultilevel"/>
    <w:tmpl w:val="5558A162"/>
    <w:lvl w:ilvl="0" w:tplc="0E2AD2F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C23165A"/>
    <w:multiLevelType w:val="hybridMultilevel"/>
    <w:tmpl w:val="6C3CAA9A"/>
    <w:lvl w:ilvl="0" w:tplc="FFFFFFFF">
      <w:start w:val="1"/>
      <w:numFmt w:val="decimal"/>
      <w:lvlText w:val="%1."/>
      <w:lvlJc w:val="left"/>
      <w:pPr>
        <w:ind w:left="0" w:firstLine="0"/>
      </w:pPr>
      <w:rPr>
        <w:rFonts w:ascii="Palatino Linotype" w:hAnsi="Palatino Linotype" w:hint="default"/>
        <w:b/>
        <w:i w:val="0"/>
        <w:sz w:val="24"/>
      </w:rPr>
    </w:lvl>
    <w:lvl w:ilvl="1" w:tplc="080A000B">
      <w:start w:val="1"/>
      <w:numFmt w:val="bullet"/>
      <w:lvlText w:val=""/>
      <w:lvlJc w:val="left"/>
      <w:pPr>
        <w:ind w:left="1440" w:hanging="360"/>
      </w:pPr>
      <w:rPr>
        <w:rFonts w:ascii="Wingdings" w:hAnsi="Wingdings" w:cs="Wingdings" w:hint="default"/>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C550D41"/>
    <w:multiLevelType w:val="hybridMultilevel"/>
    <w:tmpl w:val="48BA7CA0"/>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4174A9"/>
    <w:multiLevelType w:val="hybridMultilevel"/>
    <w:tmpl w:val="94DC40AA"/>
    <w:lvl w:ilvl="0" w:tplc="FFFFFFFF">
      <w:start w:val="1"/>
      <w:numFmt w:val="decimal"/>
      <w:lvlText w:val="%1."/>
      <w:lvlJc w:val="left"/>
      <w:pPr>
        <w:ind w:left="0" w:firstLine="0"/>
      </w:pPr>
      <w:rPr>
        <w:rFonts w:ascii="Palatino Linotype" w:hAnsi="Palatino Linotype" w:hint="default"/>
        <w:b/>
        <w:i w:val="0"/>
        <w:sz w:val="24"/>
      </w:rPr>
    </w:lvl>
    <w:lvl w:ilvl="1" w:tplc="080A000B">
      <w:start w:val="1"/>
      <w:numFmt w:val="bullet"/>
      <w:lvlText w:val=""/>
      <w:lvlJc w:val="left"/>
      <w:pPr>
        <w:ind w:left="1004" w:hanging="360"/>
      </w:pPr>
      <w:rPr>
        <w:rFonts w:ascii="Wingdings" w:hAnsi="Wingdings" w:cs="Wingdings" w:hint="default"/>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39E19F6"/>
    <w:multiLevelType w:val="hybridMultilevel"/>
    <w:tmpl w:val="E2A80C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C073868"/>
    <w:multiLevelType w:val="hybridMultilevel"/>
    <w:tmpl w:val="D780D780"/>
    <w:lvl w:ilvl="0" w:tplc="FFFFFFFF">
      <w:start w:val="1"/>
      <w:numFmt w:val="decimal"/>
      <w:lvlText w:val="%1."/>
      <w:lvlJc w:val="left"/>
      <w:pPr>
        <w:ind w:left="0" w:firstLine="0"/>
      </w:pPr>
      <w:rPr>
        <w:rFonts w:ascii="Palatino Linotype" w:hAnsi="Palatino Linotype" w:hint="default"/>
        <w:b/>
        <w:i w:val="0"/>
        <w:sz w:val="24"/>
      </w:rPr>
    </w:lvl>
    <w:lvl w:ilvl="1" w:tplc="DC0C738C">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4317490"/>
    <w:multiLevelType w:val="hybridMultilevel"/>
    <w:tmpl w:val="5ECC0B94"/>
    <w:lvl w:ilvl="0" w:tplc="7EE0C6EC">
      <w:start w:val="1"/>
      <w:numFmt w:val="decimal"/>
      <w:lvlText w:val="%1."/>
      <w:lvlJc w:val="left"/>
      <w:pPr>
        <w:ind w:left="0" w:firstLine="0"/>
      </w:pPr>
      <w:rPr>
        <w:rFonts w:ascii="Palatino Linotype" w:hAnsi="Palatino Linotype" w:hint="default"/>
        <w:b/>
        <w:i w:val="0"/>
        <w:sz w:val="24"/>
      </w:rPr>
    </w:lvl>
    <w:lvl w:ilvl="1" w:tplc="080A0017">
      <w:start w:val="1"/>
      <w:numFmt w:val="lowerLetter"/>
      <w:lvlText w:val="%2)"/>
      <w:lvlJc w:val="lef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F8F1A63"/>
    <w:multiLevelType w:val="hybridMultilevel"/>
    <w:tmpl w:val="DB18E968"/>
    <w:lvl w:ilvl="0" w:tplc="080A000B">
      <w:start w:val="1"/>
      <w:numFmt w:val="bullet"/>
      <w:lvlText w:val=""/>
      <w:lvlJc w:val="left"/>
      <w:pPr>
        <w:ind w:left="720" w:hanging="360"/>
      </w:pPr>
      <w:rPr>
        <w:rFonts w:ascii="Wingdings" w:hAnsi="Wingdings" w:hint="default"/>
        <w:b/>
        <w:bCs/>
      </w:rPr>
    </w:lvl>
    <w:lvl w:ilvl="1" w:tplc="1458D568">
      <w:start w:val="1"/>
      <w:numFmt w:val="lowerLetter"/>
      <w:lvlText w:val="%2)"/>
      <w:lvlJc w:val="left"/>
      <w:pPr>
        <w:ind w:left="1440" w:hanging="360"/>
      </w:pPr>
      <w:rPr>
        <w:rFonts w:hint="default"/>
        <w:b/>
        <w:bCs/>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3BA75A7"/>
    <w:multiLevelType w:val="hybridMultilevel"/>
    <w:tmpl w:val="A6F6B4F2"/>
    <w:lvl w:ilvl="0" w:tplc="FFFFFFFF">
      <w:start w:val="1"/>
      <w:numFmt w:val="decimal"/>
      <w:lvlText w:val="%1."/>
      <w:lvlJc w:val="left"/>
      <w:pPr>
        <w:ind w:left="0" w:firstLine="0"/>
      </w:pPr>
      <w:rPr>
        <w:rFonts w:ascii="Palatino Linotype" w:hAnsi="Palatino Linotype" w:hint="default"/>
        <w:b/>
        <w:i w:val="0"/>
        <w:sz w:val="24"/>
      </w:rPr>
    </w:lvl>
    <w:lvl w:ilvl="1" w:tplc="04090013">
      <w:start w:val="1"/>
      <w:numFmt w:val="upperRoman"/>
      <w:lvlText w:val="%2."/>
      <w:lvlJc w:val="right"/>
      <w:pPr>
        <w:ind w:left="1440" w:hanging="360"/>
      </w:pPr>
      <w:rPr>
        <w:rFonts w:hint="default"/>
        <w:b/>
        <w:bCs/>
        <w:i w:val="0"/>
        <w:iCs w:val="0"/>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43E3101"/>
    <w:multiLevelType w:val="hybridMultilevel"/>
    <w:tmpl w:val="46FEE5CE"/>
    <w:lvl w:ilvl="0" w:tplc="FFFFFFFF">
      <w:start w:val="1"/>
      <w:numFmt w:val="decimal"/>
      <w:lvlText w:val="%1."/>
      <w:lvlJc w:val="left"/>
      <w:pPr>
        <w:ind w:left="0" w:firstLine="0"/>
      </w:pPr>
      <w:rPr>
        <w:rFonts w:ascii="Palatino Linotype" w:hAnsi="Palatino Linotype" w:hint="default"/>
        <w:b/>
        <w:i w:val="0"/>
        <w:sz w:val="24"/>
      </w:rPr>
    </w:lvl>
    <w:lvl w:ilvl="1" w:tplc="04090013">
      <w:start w:val="1"/>
      <w:numFmt w:val="upperRoman"/>
      <w:lvlText w:val="%2."/>
      <w:lvlJc w:val="right"/>
      <w:pPr>
        <w:ind w:left="1440" w:hanging="360"/>
      </w:pPr>
      <w:rPr>
        <w:rFonts w:hint="default"/>
        <w:b/>
        <w:bCs/>
        <w:i w:val="0"/>
        <w:iCs w:val="0"/>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83553F0"/>
    <w:multiLevelType w:val="hybridMultilevel"/>
    <w:tmpl w:val="C5A607D2"/>
    <w:lvl w:ilvl="0" w:tplc="FFFFFFFF">
      <w:start w:val="1"/>
      <w:numFmt w:val="decimal"/>
      <w:lvlText w:val="%1."/>
      <w:lvlJc w:val="left"/>
      <w:pPr>
        <w:ind w:left="0" w:firstLine="0"/>
      </w:pPr>
      <w:rPr>
        <w:rFonts w:ascii="Palatino Linotype" w:hAnsi="Palatino Linotype" w:hint="default"/>
        <w:b/>
        <w:i w:val="0"/>
        <w:sz w:val="24"/>
      </w:rPr>
    </w:lvl>
    <w:lvl w:ilvl="1" w:tplc="04090013">
      <w:start w:val="1"/>
      <w:numFmt w:val="upperRoman"/>
      <w:lvlText w:val="%2."/>
      <w:lvlJc w:val="right"/>
      <w:pPr>
        <w:ind w:left="1440" w:hanging="360"/>
      </w:pPr>
      <w:rPr>
        <w:rFonts w:hint="default"/>
        <w:b/>
        <w:bCs/>
        <w:i w:val="0"/>
        <w:iCs w:val="0"/>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8523D2E"/>
    <w:multiLevelType w:val="hybridMultilevel"/>
    <w:tmpl w:val="F5C411AA"/>
    <w:lvl w:ilvl="0" w:tplc="FFFFFFFF">
      <w:start w:val="1"/>
      <w:numFmt w:val="decimal"/>
      <w:lvlText w:val="%1."/>
      <w:lvlJc w:val="left"/>
      <w:pPr>
        <w:ind w:left="0" w:firstLine="0"/>
      </w:pPr>
      <w:rPr>
        <w:rFonts w:ascii="Palatino Linotype" w:hAnsi="Palatino Linotype" w:hint="default"/>
        <w:b/>
        <w:i w:val="0"/>
        <w:sz w:val="24"/>
      </w:rPr>
    </w:lvl>
    <w:lvl w:ilvl="1" w:tplc="188C3048">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E6B2C05"/>
    <w:multiLevelType w:val="hybridMultilevel"/>
    <w:tmpl w:val="7CD2EC38"/>
    <w:lvl w:ilvl="0" w:tplc="FFFFFFFF">
      <w:start w:val="1"/>
      <w:numFmt w:val="decimal"/>
      <w:lvlText w:val="%1."/>
      <w:lvlJc w:val="left"/>
      <w:pPr>
        <w:ind w:left="0" w:firstLine="0"/>
      </w:pPr>
      <w:rPr>
        <w:rFonts w:ascii="Palatino Linotype" w:hAnsi="Palatino Linotype" w:hint="default"/>
        <w:b/>
        <w:i w:val="0"/>
        <w:sz w:val="24"/>
      </w:rPr>
    </w:lvl>
    <w:lvl w:ilvl="1" w:tplc="A7E2F954">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0DB3566"/>
    <w:multiLevelType w:val="hybridMultilevel"/>
    <w:tmpl w:val="A7D894D8"/>
    <w:lvl w:ilvl="0" w:tplc="080A000B">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9" w15:restartNumberingAfterBreak="0">
    <w:nsid w:val="563C0557"/>
    <w:multiLevelType w:val="hybridMultilevel"/>
    <w:tmpl w:val="13BE9D7C"/>
    <w:lvl w:ilvl="0" w:tplc="080A0013">
      <w:start w:val="1"/>
      <w:numFmt w:val="upperRoman"/>
      <w:lvlText w:val="%1."/>
      <w:lvlJc w:val="right"/>
      <w:pPr>
        <w:ind w:left="1287" w:hanging="360"/>
      </w:pPr>
      <w:rPr>
        <w:rFonts w:hint="default"/>
        <w:b/>
        <w:bCs/>
        <w:i w:val="0"/>
        <w:iCs w:val="0"/>
        <w:sz w:val="22"/>
        <w:szCs w:val="22"/>
      </w:rPr>
    </w:lvl>
    <w:lvl w:ilvl="1" w:tplc="080A0017">
      <w:start w:val="1"/>
      <w:numFmt w:val="lowerLetter"/>
      <w:lvlText w:val="%2)"/>
      <w:lvlJc w:val="left"/>
      <w:pPr>
        <w:ind w:left="2007" w:hanging="360"/>
      </w:pPr>
      <w:rPr>
        <w:b/>
        <w:bCs/>
        <w:i w:val="0"/>
        <w:iCs w:val="0"/>
        <w:sz w:val="22"/>
        <w:szCs w:val="22"/>
      </w:r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0" w15:restartNumberingAfterBreak="0">
    <w:nsid w:val="5C5866BE"/>
    <w:multiLevelType w:val="hybridMultilevel"/>
    <w:tmpl w:val="B3C86EAA"/>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D443635"/>
    <w:multiLevelType w:val="hybridMultilevel"/>
    <w:tmpl w:val="9E0A8810"/>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06853C6"/>
    <w:multiLevelType w:val="hybridMultilevel"/>
    <w:tmpl w:val="2BB07CF6"/>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7DC4222"/>
    <w:multiLevelType w:val="hybridMultilevel"/>
    <w:tmpl w:val="CC5EAE82"/>
    <w:lvl w:ilvl="0" w:tplc="FFFFFFFF">
      <w:start w:val="1"/>
      <w:numFmt w:val="decimal"/>
      <w:lvlText w:val="%1."/>
      <w:lvlJc w:val="left"/>
      <w:pPr>
        <w:ind w:left="0" w:firstLine="0"/>
      </w:pPr>
      <w:rPr>
        <w:rFonts w:ascii="Palatino Linotype" w:hAnsi="Palatino Linotype" w:hint="default"/>
        <w:b/>
        <w:i w:val="0"/>
        <w:sz w:val="24"/>
      </w:rPr>
    </w:lvl>
    <w:lvl w:ilvl="1" w:tplc="04090013">
      <w:start w:val="1"/>
      <w:numFmt w:val="upperRoman"/>
      <w:lvlText w:val="%2."/>
      <w:lvlJc w:val="right"/>
      <w:pPr>
        <w:ind w:left="1440" w:hanging="360"/>
      </w:pPr>
      <w:rPr>
        <w:rFonts w:hint="default"/>
        <w:b/>
        <w:bCs/>
        <w:i w:val="0"/>
        <w:iCs w:val="0"/>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EDC38E2"/>
    <w:multiLevelType w:val="hybridMultilevel"/>
    <w:tmpl w:val="CCCEAFFA"/>
    <w:lvl w:ilvl="0" w:tplc="FFFFFFFF">
      <w:start w:val="1"/>
      <w:numFmt w:val="decimal"/>
      <w:lvlText w:val="%1."/>
      <w:lvlJc w:val="left"/>
      <w:pPr>
        <w:ind w:left="0" w:firstLine="0"/>
      </w:pPr>
      <w:rPr>
        <w:rFonts w:ascii="Palatino Linotype" w:hAnsi="Palatino Linotype" w:hint="default"/>
        <w:b/>
        <w:i w:val="0"/>
        <w:sz w:val="24"/>
      </w:rPr>
    </w:lvl>
    <w:lvl w:ilvl="1" w:tplc="B2BC41FA">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11"/>
  </w:num>
  <w:num w:numId="2">
    <w:abstractNumId w:val="18"/>
  </w:num>
  <w:num w:numId="3">
    <w:abstractNumId w:val="0"/>
  </w:num>
  <w:num w:numId="4">
    <w:abstractNumId w:val="12"/>
  </w:num>
  <w:num w:numId="5">
    <w:abstractNumId w:val="20"/>
  </w:num>
  <w:num w:numId="6">
    <w:abstractNumId w:val="22"/>
  </w:num>
  <w:num w:numId="7">
    <w:abstractNumId w:val="15"/>
  </w:num>
  <w:num w:numId="8">
    <w:abstractNumId w:val="23"/>
  </w:num>
  <w:num w:numId="9">
    <w:abstractNumId w:val="13"/>
  </w:num>
  <w:num w:numId="10">
    <w:abstractNumId w:val="14"/>
  </w:num>
  <w:num w:numId="11">
    <w:abstractNumId w:val="6"/>
  </w:num>
  <w:num w:numId="12">
    <w:abstractNumId w:val="17"/>
  </w:num>
  <w:num w:numId="13">
    <w:abstractNumId w:val="16"/>
  </w:num>
  <w:num w:numId="14">
    <w:abstractNumId w:val="8"/>
  </w:num>
  <w:num w:numId="15">
    <w:abstractNumId w:val="24"/>
  </w:num>
  <w:num w:numId="16">
    <w:abstractNumId w:val="3"/>
  </w:num>
  <w:num w:numId="17">
    <w:abstractNumId w:val="7"/>
  </w:num>
  <w:num w:numId="18">
    <w:abstractNumId w:val="4"/>
  </w:num>
  <w:num w:numId="19">
    <w:abstractNumId w:val="1"/>
  </w:num>
  <w:num w:numId="20">
    <w:abstractNumId w:val="21"/>
  </w:num>
  <w:num w:numId="21">
    <w:abstractNumId w:val="5"/>
  </w:num>
  <w:num w:numId="22">
    <w:abstractNumId w:val="2"/>
  </w:num>
  <w:num w:numId="23">
    <w:abstractNumId w:val="10"/>
  </w:num>
  <w:num w:numId="24">
    <w:abstractNumId w:val="19"/>
  </w:num>
  <w:num w:numId="25">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1EC"/>
    <w:rsid w:val="00001265"/>
    <w:rsid w:val="0000310F"/>
    <w:rsid w:val="0000381E"/>
    <w:rsid w:val="000039D0"/>
    <w:rsid w:val="00003A05"/>
    <w:rsid w:val="0000407F"/>
    <w:rsid w:val="000058E3"/>
    <w:rsid w:val="0000797D"/>
    <w:rsid w:val="00007E8A"/>
    <w:rsid w:val="000100D7"/>
    <w:rsid w:val="0001106B"/>
    <w:rsid w:val="00011B17"/>
    <w:rsid w:val="00012472"/>
    <w:rsid w:val="0001398B"/>
    <w:rsid w:val="000160F8"/>
    <w:rsid w:val="000203D3"/>
    <w:rsid w:val="000204A6"/>
    <w:rsid w:val="000211F8"/>
    <w:rsid w:val="0002146F"/>
    <w:rsid w:val="00022D89"/>
    <w:rsid w:val="00023250"/>
    <w:rsid w:val="000236A3"/>
    <w:rsid w:val="00024F35"/>
    <w:rsid w:val="00025127"/>
    <w:rsid w:val="00025266"/>
    <w:rsid w:val="0003063D"/>
    <w:rsid w:val="000317B3"/>
    <w:rsid w:val="00031D37"/>
    <w:rsid w:val="00031F10"/>
    <w:rsid w:val="00031F98"/>
    <w:rsid w:val="00032493"/>
    <w:rsid w:val="0004072A"/>
    <w:rsid w:val="0004193F"/>
    <w:rsid w:val="00042380"/>
    <w:rsid w:val="00042E99"/>
    <w:rsid w:val="00044DB9"/>
    <w:rsid w:val="0004686A"/>
    <w:rsid w:val="000468E2"/>
    <w:rsid w:val="00046CEE"/>
    <w:rsid w:val="000478BA"/>
    <w:rsid w:val="0005237C"/>
    <w:rsid w:val="00052A3C"/>
    <w:rsid w:val="00053394"/>
    <w:rsid w:val="00054A03"/>
    <w:rsid w:val="00056A79"/>
    <w:rsid w:val="0005777B"/>
    <w:rsid w:val="00061344"/>
    <w:rsid w:val="000622ED"/>
    <w:rsid w:val="0006247F"/>
    <w:rsid w:val="00062648"/>
    <w:rsid w:val="000631D9"/>
    <w:rsid w:val="0006381D"/>
    <w:rsid w:val="00063D06"/>
    <w:rsid w:val="0006407E"/>
    <w:rsid w:val="00064577"/>
    <w:rsid w:val="00064A37"/>
    <w:rsid w:val="00064B95"/>
    <w:rsid w:val="0007221E"/>
    <w:rsid w:val="00074573"/>
    <w:rsid w:val="000800AC"/>
    <w:rsid w:val="00080B7D"/>
    <w:rsid w:val="0008230A"/>
    <w:rsid w:val="00082D11"/>
    <w:rsid w:val="00082E28"/>
    <w:rsid w:val="000834FE"/>
    <w:rsid w:val="0008465D"/>
    <w:rsid w:val="00084E31"/>
    <w:rsid w:val="0008542A"/>
    <w:rsid w:val="00087CFE"/>
    <w:rsid w:val="00090D6F"/>
    <w:rsid w:val="00091C2C"/>
    <w:rsid w:val="00093FB4"/>
    <w:rsid w:val="00093FC7"/>
    <w:rsid w:val="000953E2"/>
    <w:rsid w:val="00095BB9"/>
    <w:rsid w:val="0009663D"/>
    <w:rsid w:val="000A26B8"/>
    <w:rsid w:val="000A3F90"/>
    <w:rsid w:val="000A4554"/>
    <w:rsid w:val="000A45FD"/>
    <w:rsid w:val="000A4E44"/>
    <w:rsid w:val="000A556A"/>
    <w:rsid w:val="000A77ED"/>
    <w:rsid w:val="000B0370"/>
    <w:rsid w:val="000B554F"/>
    <w:rsid w:val="000B5AB1"/>
    <w:rsid w:val="000B5D79"/>
    <w:rsid w:val="000B6C46"/>
    <w:rsid w:val="000B6D31"/>
    <w:rsid w:val="000B750B"/>
    <w:rsid w:val="000B7C4F"/>
    <w:rsid w:val="000C0061"/>
    <w:rsid w:val="000C0663"/>
    <w:rsid w:val="000C0BBB"/>
    <w:rsid w:val="000C10B9"/>
    <w:rsid w:val="000C1D19"/>
    <w:rsid w:val="000C2E5F"/>
    <w:rsid w:val="000C3423"/>
    <w:rsid w:val="000C3861"/>
    <w:rsid w:val="000C460F"/>
    <w:rsid w:val="000C48CA"/>
    <w:rsid w:val="000C4A8E"/>
    <w:rsid w:val="000C5A04"/>
    <w:rsid w:val="000C5AF7"/>
    <w:rsid w:val="000D0855"/>
    <w:rsid w:val="000D11CC"/>
    <w:rsid w:val="000D1E0F"/>
    <w:rsid w:val="000D2DC2"/>
    <w:rsid w:val="000D3275"/>
    <w:rsid w:val="000D5A1D"/>
    <w:rsid w:val="000D62FF"/>
    <w:rsid w:val="000D69DF"/>
    <w:rsid w:val="000D7369"/>
    <w:rsid w:val="000D7394"/>
    <w:rsid w:val="000E07DC"/>
    <w:rsid w:val="000E1389"/>
    <w:rsid w:val="000E2665"/>
    <w:rsid w:val="000E2A46"/>
    <w:rsid w:val="000E5176"/>
    <w:rsid w:val="000E67FC"/>
    <w:rsid w:val="000E77B8"/>
    <w:rsid w:val="000F0E0D"/>
    <w:rsid w:val="000F0E81"/>
    <w:rsid w:val="000F1731"/>
    <w:rsid w:val="000F1B9F"/>
    <w:rsid w:val="000F2739"/>
    <w:rsid w:val="000F2EDD"/>
    <w:rsid w:val="000F3457"/>
    <w:rsid w:val="000F37A8"/>
    <w:rsid w:val="000F55C1"/>
    <w:rsid w:val="000F6069"/>
    <w:rsid w:val="000F68FA"/>
    <w:rsid w:val="000F6BFE"/>
    <w:rsid w:val="000F6D7E"/>
    <w:rsid w:val="00100187"/>
    <w:rsid w:val="00100C6D"/>
    <w:rsid w:val="00100DDD"/>
    <w:rsid w:val="00102D65"/>
    <w:rsid w:val="00103662"/>
    <w:rsid w:val="00103888"/>
    <w:rsid w:val="00107499"/>
    <w:rsid w:val="00107557"/>
    <w:rsid w:val="00111418"/>
    <w:rsid w:val="0011167C"/>
    <w:rsid w:val="00111F02"/>
    <w:rsid w:val="0011279B"/>
    <w:rsid w:val="00112B02"/>
    <w:rsid w:val="00112F09"/>
    <w:rsid w:val="00114A21"/>
    <w:rsid w:val="00115F2B"/>
    <w:rsid w:val="00117441"/>
    <w:rsid w:val="0012006D"/>
    <w:rsid w:val="00121F4A"/>
    <w:rsid w:val="00122E4B"/>
    <w:rsid w:val="0012380D"/>
    <w:rsid w:val="00123CC2"/>
    <w:rsid w:val="00124015"/>
    <w:rsid w:val="00124CF1"/>
    <w:rsid w:val="001250B4"/>
    <w:rsid w:val="001253D1"/>
    <w:rsid w:val="00127E68"/>
    <w:rsid w:val="001318D2"/>
    <w:rsid w:val="00132C06"/>
    <w:rsid w:val="00133B79"/>
    <w:rsid w:val="00133CE5"/>
    <w:rsid w:val="00134AEC"/>
    <w:rsid w:val="001352E5"/>
    <w:rsid w:val="00135DD5"/>
    <w:rsid w:val="0013673A"/>
    <w:rsid w:val="0013752C"/>
    <w:rsid w:val="00140206"/>
    <w:rsid w:val="00140D44"/>
    <w:rsid w:val="00142648"/>
    <w:rsid w:val="00143219"/>
    <w:rsid w:val="001436BB"/>
    <w:rsid w:val="001437CC"/>
    <w:rsid w:val="00143BD1"/>
    <w:rsid w:val="001459C8"/>
    <w:rsid w:val="001468E9"/>
    <w:rsid w:val="00147864"/>
    <w:rsid w:val="00151114"/>
    <w:rsid w:val="0015233C"/>
    <w:rsid w:val="00152F19"/>
    <w:rsid w:val="001534BC"/>
    <w:rsid w:val="00153833"/>
    <w:rsid w:val="00153FA4"/>
    <w:rsid w:val="00154304"/>
    <w:rsid w:val="0015466E"/>
    <w:rsid w:val="00154765"/>
    <w:rsid w:val="001548CB"/>
    <w:rsid w:val="00154EF0"/>
    <w:rsid w:val="00156A23"/>
    <w:rsid w:val="001611E5"/>
    <w:rsid w:val="00161E95"/>
    <w:rsid w:val="00163780"/>
    <w:rsid w:val="00163B1F"/>
    <w:rsid w:val="001648EE"/>
    <w:rsid w:val="00164B65"/>
    <w:rsid w:val="001656F2"/>
    <w:rsid w:val="00166794"/>
    <w:rsid w:val="00167813"/>
    <w:rsid w:val="0017273C"/>
    <w:rsid w:val="001732E3"/>
    <w:rsid w:val="00174E02"/>
    <w:rsid w:val="0017653A"/>
    <w:rsid w:val="001775DF"/>
    <w:rsid w:val="0018345E"/>
    <w:rsid w:val="00185460"/>
    <w:rsid w:val="001862A3"/>
    <w:rsid w:val="00186F78"/>
    <w:rsid w:val="00191367"/>
    <w:rsid w:val="00192E4B"/>
    <w:rsid w:val="00194D62"/>
    <w:rsid w:val="001957B4"/>
    <w:rsid w:val="00196407"/>
    <w:rsid w:val="00197091"/>
    <w:rsid w:val="001972CC"/>
    <w:rsid w:val="001A032D"/>
    <w:rsid w:val="001A125E"/>
    <w:rsid w:val="001A138D"/>
    <w:rsid w:val="001A2857"/>
    <w:rsid w:val="001A2A89"/>
    <w:rsid w:val="001A2C62"/>
    <w:rsid w:val="001A3634"/>
    <w:rsid w:val="001A4D5D"/>
    <w:rsid w:val="001A5150"/>
    <w:rsid w:val="001A58B9"/>
    <w:rsid w:val="001A61E1"/>
    <w:rsid w:val="001A6C1E"/>
    <w:rsid w:val="001A7A87"/>
    <w:rsid w:val="001B095D"/>
    <w:rsid w:val="001B30F9"/>
    <w:rsid w:val="001B3659"/>
    <w:rsid w:val="001B40F3"/>
    <w:rsid w:val="001B53A0"/>
    <w:rsid w:val="001B5BC3"/>
    <w:rsid w:val="001B5F70"/>
    <w:rsid w:val="001B6845"/>
    <w:rsid w:val="001C0AED"/>
    <w:rsid w:val="001C13B1"/>
    <w:rsid w:val="001C1C2A"/>
    <w:rsid w:val="001C1CDE"/>
    <w:rsid w:val="001C20E8"/>
    <w:rsid w:val="001C263B"/>
    <w:rsid w:val="001C2713"/>
    <w:rsid w:val="001C2EF3"/>
    <w:rsid w:val="001C302E"/>
    <w:rsid w:val="001C34D6"/>
    <w:rsid w:val="001C54A9"/>
    <w:rsid w:val="001C6012"/>
    <w:rsid w:val="001C67B0"/>
    <w:rsid w:val="001C79FA"/>
    <w:rsid w:val="001D07C9"/>
    <w:rsid w:val="001D0B7C"/>
    <w:rsid w:val="001D25FC"/>
    <w:rsid w:val="001D3AB5"/>
    <w:rsid w:val="001D7D8F"/>
    <w:rsid w:val="001D7DF0"/>
    <w:rsid w:val="001D7E82"/>
    <w:rsid w:val="001E018C"/>
    <w:rsid w:val="001E0AD2"/>
    <w:rsid w:val="001E3596"/>
    <w:rsid w:val="001E3F91"/>
    <w:rsid w:val="001E4152"/>
    <w:rsid w:val="001E489D"/>
    <w:rsid w:val="001E5C94"/>
    <w:rsid w:val="001E6822"/>
    <w:rsid w:val="001E74A5"/>
    <w:rsid w:val="001E7B9E"/>
    <w:rsid w:val="001F025B"/>
    <w:rsid w:val="001F2B8C"/>
    <w:rsid w:val="001F783F"/>
    <w:rsid w:val="001F7AFD"/>
    <w:rsid w:val="001F7DE2"/>
    <w:rsid w:val="002001BE"/>
    <w:rsid w:val="002031F3"/>
    <w:rsid w:val="002058A7"/>
    <w:rsid w:val="00205A1A"/>
    <w:rsid w:val="00207665"/>
    <w:rsid w:val="00211229"/>
    <w:rsid w:val="00211E8C"/>
    <w:rsid w:val="00212C9C"/>
    <w:rsid w:val="00212FCA"/>
    <w:rsid w:val="00213108"/>
    <w:rsid w:val="0021453E"/>
    <w:rsid w:val="0021475E"/>
    <w:rsid w:val="00216B8B"/>
    <w:rsid w:val="002179AC"/>
    <w:rsid w:val="00220ADB"/>
    <w:rsid w:val="002217BA"/>
    <w:rsid w:val="00221E74"/>
    <w:rsid w:val="00223507"/>
    <w:rsid w:val="00223ACC"/>
    <w:rsid w:val="0022448D"/>
    <w:rsid w:val="002275DE"/>
    <w:rsid w:val="00230170"/>
    <w:rsid w:val="002305CF"/>
    <w:rsid w:val="00233E08"/>
    <w:rsid w:val="002345FF"/>
    <w:rsid w:val="0023588D"/>
    <w:rsid w:val="00237611"/>
    <w:rsid w:val="002408D7"/>
    <w:rsid w:val="002426EA"/>
    <w:rsid w:val="00244476"/>
    <w:rsid w:val="002457CF"/>
    <w:rsid w:val="00247139"/>
    <w:rsid w:val="002502ED"/>
    <w:rsid w:val="002507D8"/>
    <w:rsid w:val="00252A20"/>
    <w:rsid w:val="00252B41"/>
    <w:rsid w:val="0025524F"/>
    <w:rsid w:val="00257E5F"/>
    <w:rsid w:val="00260C1D"/>
    <w:rsid w:val="00261001"/>
    <w:rsid w:val="00261A42"/>
    <w:rsid w:val="00261D84"/>
    <w:rsid w:val="002629A6"/>
    <w:rsid w:val="002630E4"/>
    <w:rsid w:val="00263F23"/>
    <w:rsid w:val="00264D02"/>
    <w:rsid w:val="0026500D"/>
    <w:rsid w:val="002654AA"/>
    <w:rsid w:val="00265CD7"/>
    <w:rsid w:val="00266588"/>
    <w:rsid w:val="002665BD"/>
    <w:rsid w:val="00271B06"/>
    <w:rsid w:val="00272FEC"/>
    <w:rsid w:val="00273013"/>
    <w:rsid w:val="00273C37"/>
    <w:rsid w:val="00273D1A"/>
    <w:rsid w:val="0027430D"/>
    <w:rsid w:val="002746D9"/>
    <w:rsid w:val="00274ED2"/>
    <w:rsid w:val="002765F2"/>
    <w:rsid w:val="00277A35"/>
    <w:rsid w:val="00280994"/>
    <w:rsid w:val="00280E3F"/>
    <w:rsid w:val="00280F05"/>
    <w:rsid w:val="0028248C"/>
    <w:rsid w:val="002866A8"/>
    <w:rsid w:val="00286DDB"/>
    <w:rsid w:val="002871EB"/>
    <w:rsid w:val="002948C4"/>
    <w:rsid w:val="00297E45"/>
    <w:rsid w:val="002A2099"/>
    <w:rsid w:val="002A229B"/>
    <w:rsid w:val="002A35B6"/>
    <w:rsid w:val="002A4172"/>
    <w:rsid w:val="002A4516"/>
    <w:rsid w:val="002A4DEB"/>
    <w:rsid w:val="002A54DE"/>
    <w:rsid w:val="002A7FAB"/>
    <w:rsid w:val="002B085C"/>
    <w:rsid w:val="002B1AE9"/>
    <w:rsid w:val="002B1F7B"/>
    <w:rsid w:val="002B2278"/>
    <w:rsid w:val="002B284F"/>
    <w:rsid w:val="002B2A2E"/>
    <w:rsid w:val="002B2F59"/>
    <w:rsid w:val="002B309C"/>
    <w:rsid w:val="002B4D21"/>
    <w:rsid w:val="002C0074"/>
    <w:rsid w:val="002C0159"/>
    <w:rsid w:val="002C0804"/>
    <w:rsid w:val="002C0DC5"/>
    <w:rsid w:val="002C1007"/>
    <w:rsid w:val="002C2D44"/>
    <w:rsid w:val="002C4715"/>
    <w:rsid w:val="002C4780"/>
    <w:rsid w:val="002C47ED"/>
    <w:rsid w:val="002C484A"/>
    <w:rsid w:val="002C570D"/>
    <w:rsid w:val="002C6561"/>
    <w:rsid w:val="002C6DB3"/>
    <w:rsid w:val="002D0E3D"/>
    <w:rsid w:val="002D10C8"/>
    <w:rsid w:val="002D1A38"/>
    <w:rsid w:val="002D1AA7"/>
    <w:rsid w:val="002D28CB"/>
    <w:rsid w:val="002D2E16"/>
    <w:rsid w:val="002D35AE"/>
    <w:rsid w:val="002D373C"/>
    <w:rsid w:val="002E126F"/>
    <w:rsid w:val="002E160F"/>
    <w:rsid w:val="002E191E"/>
    <w:rsid w:val="002E1C05"/>
    <w:rsid w:val="002E3FAE"/>
    <w:rsid w:val="002E482C"/>
    <w:rsid w:val="002E5399"/>
    <w:rsid w:val="002E5A0B"/>
    <w:rsid w:val="002E6295"/>
    <w:rsid w:val="002E6531"/>
    <w:rsid w:val="002E66CA"/>
    <w:rsid w:val="002E689B"/>
    <w:rsid w:val="002E6CFE"/>
    <w:rsid w:val="002E74CE"/>
    <w:rsid w:val="002E76FD"/>
    <w:rsid w:val="002E7AD0"/>
    <w:rsid w:val="002F1871"/>
    <w:rsid w:val="002F3672"/>
    <w:rsid w:val="002F37C1"/>
    <w:rsid w:val="002F72FA"/>
    <w:rsid w:val="002F7D11"/>
    <w:rsid w:val="003007E0"/>
    <w:rsid w:val="0030150B"/>
    <w:rsid w:val="00301B41"/>
    <w:rsid w:val="00301D47"/>
    <w:rsid w:val="003030B1"/>
    <w:rsid w:val="00303717"/>
    <w:rsid w:val="00304013"/>
    <w:rsid w:val="00304137"/>
    <w:rsid w:val="003046AA"/>
    <w:rsid w:val="003049F3"/>
    <w:rsid w:val="00304CDF"/>
    <w:rsid w:val="00305BB3"/>
    <w:rsid w:val="00305F6D"/>
    <w:rsid w:val="003064B8"/>
    <w:rsid w:val="00306E7D"/>
    <w:rsid w:val="00307227"/>
    <w:rsid w:val="003076B1"/>
    <w:rsid w:val="0030794F"/>
    <w:rsid w:val="00307DBB"/>
    <w:rsid w:val="003105D0"/>
    <w:rsid w:val="003105D6"/>
    <w:rsid w:val="003106F6"/>
    <w:rsid w:val="00310B1D"/>
    <w:rsid w:val="00310D66"/>
    <w:rsid w:val="003111C5"/>
    <w:rsid w:val="00311481"/>
    <w:rsid w:val="003116A6"/>
    <w:rsid w:val="00311863"/>
    <w:rsid w:val="00312733"/>
    <w:rsid w:val="00316065"/>
    <w:rsid w:val="00317883"/>
    <w:rsid w:val="00317EFF"/>
    <w:rsid w:val="00321AA3"/>
    <w:rsid w:val="00321AE9"/>
    <w:rsid w:val="00321EEE"/>
    <w:rsid w:val="00323895"/>
    <w:rsid w:val="0032586C"/>
    <w:rsid w:val="00326579"/>
    <w:rsid w:val="00327D79"/>
    <w:rsid w:val="00332BCD"/>
    <w:rsid w:val="00332E6B"/>
    <w:rsid w:val="003337F3"/>
    <w:rsid w:val="00333BE8"/>
    <w:rsid w:val="003344DB"/>
    <w:rsid w:val="00335793"/>
    <w:rsid w:val="00335898"/>
    <w:rsid w:val="00335BFE"/>
    <w:rsid w:val="00335E9C"/>
    <w:rsid w:val="0033608B"/>
    <w:rsid w:val="0033675D"/>
    <w:rsid w:val="00337941"/>
    <w:rsid w:val="003407D0"/>
    <w:rsid w:val="0034181B"/>
    <w:rsid w:val="003423EA"/>
    <w:rsid w:val="00342C51"/>
    <w:rsid w:val="00345856"/>
    <w:rsid w:val="0034595C"/>
    <w:rsid w:val="00345B79"/>
    <w:rsid w:val="00345D0F"/>
    <w:rsid w:val="0034614E"/>
    <w:rsid w:val="00346885"/>
    <w:rsid w:val="003472B3"/>
    <w:rsid w:val="0035104F"/>
    <w:rsid w:val="003522BF"/>
    <w:rsid w:val="0035278E"/>
    <w:rsid w:val="00352901"/>
    <w:rsid w:val="00355AEE"/>
    <w:rsid w:val="00355D3B"/>
    <w:rsid w:val="0035606B"/>
    <w:rsid w:val="00356A25"/>
    <w:rsid w:val="0036073F"/>
    <w:rsid w:val="003615A3"/>
    <w:rsid w:val="003629EE"/>
    <w:rsid w:val="003643B3"/>
    <w:rsid w:val="0037077E"/>
    <w:rsid w:val="003708DD"/>
    <w:rsid w:val="00370B8E"/>
    <w:rsid w:val="00370BB1"/>
    <w:rsid w:val="00371EE6"/>
    <w:rsid w:val="003721B2"/>
    <w:rsid w:val="00372328"/>
    <w:rsid w:val="003740D7"/>
    <w:rsid w:val="00374CE8"/>
    <w:rsid w:val="003762FD"/>
    <w:rsid w:val="00376FD2"/>
    <w:rsid w:val="00377278"/>
    <w:rsid w:val="0038132B"/>
    <w:rsid w:val="00383E66"/>
    <w:rsid w:val="00384AE2"/>
    <w:rsid w:val="00385699"/>
    <w:rsid w:val="00387AC8"/>
    <w:rsid w:val="00387DC9"/>
    <w:rsid w:val="00390D23"/>
    <w:rsid w:val="0039142B"/>
    <w:rsid w:val="0039193E"/>
    <w:rsid w:val="00391ADA"/>
    <w:rsid w:val="00392CDB"/>
    <w:rsid w:val="0039380F"/>
    <w:rsid w:val="00393B71"/>
    <w:rsid w:val="00394095"/>
    <w:rsid w:val="003940F6"/>
    <w:rsid w:val="003955D3"/>
    <w:rsid w:val="00396545"/>
    <w:rsid w:val="0039671B"/>
    <w:rsid w:val="00396F71"/>
    <w:rsid w:val="003A03D0"/>
    <w:rsid w:val="003A04FF"/>
    <w:rsid w:val="003A1B01"/>
    <w:rsid w:val="003A2029"/>
    <w:rsid w:val="003A6080"/>
    <w:rsid w:val="003A6417"/>
    <w:rsid w:val="003A65FE"/>
    <w:rsid w:val="003A6A5A"/>
    <w:rsid w:val="003A7221"/>
    <w:rsid w:val="003A730E"/>
    <w:rsid w:val="003B1CEE"/>
    <w:rsid w:val="003B2199"/>
    <w:rsid w:val="003B2856"/>
    <w:rsid w:val="003B2A0D"/>
    <w:rsid w:val="003B31FA"/>
    <w:rsid w:val="003B55AD"/>
    <w:rsid w:val="003B7EC4"/>
    <w:rsid w:val="003C183D"/>
    <w:rsid w:val="003C7282"/>
    <w:rsid w:val="003D00D5"/>
    <w:rsid w:val="003D0A29"/>
    <w:rsid w:val="003D0BC7"/>
    <w:rsid w:val="003D181D"/>
    <w:rsid w:val="003D20C4"/>
    <w:rsid w:val="003D4163"/>
    <w:rsid w:val="003D46D0"/>
    <w:rsid w:val="003D5661"/>
    <w:rsid w:val="003D792A"/>
    <w:rsid w:val="003E05D7"/>
    <w:rsid w:val="003E2E98"/>
    <w:rsid w:val="003E4096"/>
    <w:rsid w:val="003E4701"/>
    <w:rsid w:val="003E6079"/>
    <w:rsid w:val="003E6128"/>
    <w:rsid w:val="003E6679"/>
    <w:rsid w:val="003E6D0F"/>
    <w:rsid w:val="003E712E"/>
    <w:rsid w:val="003F0DDA"/>
    <w:rsid w:val="003F140F"/>
    <w:rsid w:val="003F15DB"/>
    <w:rsid w:val="003F2090"/>
    <w:rsid w:val="003F2702"/>
    <w:rsid w:val="003F2778"/>
    <w:rsid w:val="003F2CBE"/>
    <w:rsid w:val="003F36A4"/>
    <w:rsid w:val="003F4900"/>
    <w:rsid w:val="003F4A7B"/>
    <w:rsid w:val="003F70CA"/>
    <w:rsid w:val="003F7823"/>
    <w:rsid w:val="004003E9"/>
    <w:rsid w:val="00400E76"/>
    <w:rsid w:val="0040137F"/>
    <w:rsid w:val="00402179"/>
    <w:rsid w:val="0040278D"/>
    <w:rsid w:val="00403249"/>
    <w:rsid w:val="004078C8"/>
    <w:rsid w:val="004102DE"/>
    <w:rsid w:val="00412696"/>
    <w:rsid w:val="00412E24"/>
    <w:rsid w:val="004147B1"/>
    <w:rsid w:val="00416727"/>
    <w:rsid w:val="0042068A"/>
    <w:rsid w:val="0042267F"/>
    <w:rsid w:val="0042437A"/>
    <w:rsid w:val="00424992"/>
    <w:rsid w:val="00424E72"/>
    <w:rsid w:val="00425F0D"/>
    <w:rsid w:val="00426D7C"/>
    <w:rsid w:val="00427621"/>
    <w:rsid w:val="004300ED"/>
    <w:rsid w:val="00431687"/>
    <w:rsid w:val="00432B72"/>
    <w:rsid w:val="00433016"/>
    <w:rsid w:val="004333EB"/>
    <w:rsid w:val="004342F1"/>
    <w:rsid w:val="004349C0"/>
    <w:rsid w:val="004364EE"/>
    <w:rsid w:val="0043746E"/>
    <w:rsid w:val="00437702"/>
    <w:rsid w:val="00437909"/>
    <w:rsid w:val="004401B5"/>
    <w:rsid w:val="0044066C"/>
    <w:rsid w:val="00440800"/>
    <w:rsid w:val="004413DD"/>
    <w:rsid w:val="00442393"/>
    <w:rsid w:val="004436D7"/>
    <w:rsid w:val="00443DCB"/>
    <w:rsid w:val="00443DEB"/>
    <w:rsid w:val="0044535B"/>
    <w:rsid w:val="00445FDA"/>
    <w:rsid w:val="004466B2"/>
    <w:rsid w:val="004473B2"/>
    <w:rsid w:val="00447F0D"/>
    <w:rsid w:val="00450A5F"/>
    <w:rsid w:val="00451514"/>
    <w:rsid w:val="00453BB4"/>
    <w:rsid w:val="00454B9D"/>
    <w:rsid w:val="00456317"/>
    <w:rsid w:val="00456348"/>
    <w:rsid w:val="004572A1"/>
    <w:rsid w:val="00457F74"/>
    <w:rsid w:val="004613B1"/>
    <w:rsid w:val="00461F2A"/>
    <w:rsid w:val="0046231E"/>
    <w:rsid w:val="0046340E"/>
    <w:rsid w:val="004635E2"/>
    <w:rsid w:val="00464CB6"/>
    <w:rsid w:val="0046532D"/>
    <w:rsid w:val="0046566E"/>
    <w:rsid w:val="00470027"/>
    <w:rsid w:val="0047025A"/>
    <w:rsid w:val="0047030A"/>
    <w:rsid w:val="004724EC"/>
    <w:rsid w:val="00472C41"/>
    <w:rsid w:val="00473115"/>
    <w:rsid w:val="004738D8"/>
    <w:rsid w:val="00473BD2"/>
    <w:rsid w:val="00474477"/>
    <w:rsid w:val="004764CB"/>
    <w:rsid w:val="00476730"/>
    <w:rsid w:val="004769A5"/>
    <w:rsid w:val="004773A3"/>
    <w:rsid w:val="004773E6"/>
    <w:rsid w:val="00477710"/>
    <w:rsid w:val="00481A7B"/>
    <w:rsid w:val="0048386B"/>
    <w:rsid w:val="00483C14"/>
    <w:rsid w:val="004858CD"/>
    <w:rsid w:val="00485DB6"/>
    <w:rsid w:val="0048628A"/>
    <w:rsid w:val="0048658E"/>
    <w:rsid w:val="00487D6A"/>
    <w:rsid w:val="004911B6"/>
    <w:rsid w:val="00491C96"/>
    <w:rsid w:val="004923B6"/>
    <w:rsid w:val="00494294"/>
    <w:rsid w:val="00495611"/>
    <w:rsid w:val="004961DA"/>
    <w:rsid w:val="00496359"/>
    <w:rsid w:val="00497926"/>
    <w:rsid w:val="004A115C"/>
    <w:rsid w:val="004A14BE"/>
    <w:rsid w:val="004A2BF5"/>
    <w:rsid w:val="004A3085"/>
    <w:rsid w:val="004A3C58"/>
    <w:rsid w:val="004A4178"/>
    <w:rsid w:val="004A4BD5"/>
    <w:rsid w:val="004A4CFD"/>
    <w:rsid w:val="004A677C"/>
    <w:rsid w:val="004A6C04"/>
    <w:rsid w:val="004B05A5"/>
    <w:rsid w:val="004B0EB6"/>
    <w:rsid w:val="004B176B"/>
    <w:rsid w:val="004B293C"/>
    <w:rsid w:val="004B3A2A"/>
    <w:rsid w:val="004B3D59"/>
    <w:rsid w:val="004B50F8"/>
    <w:rsid w:val="004B58EA"/>
    <w:rsid w:val="004B73EF"/>
    <w:rsid w:val="004C09B4"/>
    <w:rsid w:val="004C20F2"/>
    <w:rsid w:val="004C251E"/>
    <w:rsid w:val="004C3F25"/>
    <w:rsid w:val="004C4E77"/>
    <w:rsid w:val="004C525E"/>
    <w:rsid w:val="004C6796"/>
    <w:rsid w:val="004C67E2"/>
    <w:rsid w:val="004C7263"/>
    <w:rsid w:val="004C7A27"/>
    <w:rsid w:val="004D0490"/>
    <w:rsid w:val="004D12F1"/>
    <w:rsid w:val="004D1805"/>
    <w:rsid w:val="004D1CB6"/>
    <w:rsid w:val="004D2229"/>
    <w:rsid w:val="004D257A"/>
    <w:rsid w:val="004D2676"/>
    <w:rsid w:val="004D3142"/>
    <w:rsid w:val="004D36A1"/>
    <w:rsid w:val="004D37D7"/>
    <w:rsid w:val="004D4509"/>
    <w:rsid w:val="004D52DD"/>
    <w:rsid w:val="004D5A36"/>
    <w:rsid w:val="004D68F8"/>
    <w:rsid w:val="004D6D19"/>
    <w:rsid w:val="004D6D99"/>
    <w:rsid w:val="004E11D8"/>
    <w:rsid w:val="004E6E3A"/>
    <w:rsid w:val="004F0C96"/>
    <w:rsid w:val="004F0F98"/>
    <w:rsid w:val="004F28A0"/>
    <w:rsid w:val="004F39A4"/>
    <w:rsid w:val="004F3A6B"/>
    <w:rsid w:val="004F44C7"/>
    <w:rsid w:val="004F489F"/>
    <w:rsid w:val="004F4958"/>
    <w:rsid w:val="004F5DBA"/>
    <w:rsid w:val="004F766F"/>
    <w:rsid w:val="004F785F"/>
    <w:rsid w:val="004F78B7"/>
    <w:rsid w:val="004F7944"/>
    <w:rsid w:val="00500224"/>
    <w:rsid w:val="00501B93"/>
    <w:rsid w:val="005041B8"/>
    <w:rsid w:val="005041C2"/>
    <w:rsid w:val="00505CA0"/>
    <w:rsid w:val="00507043"/>
    <w:rsid w:val="00507C08"/>
    <w:rsid w:val="00507D18"/>
    <w:rsid w:val="0051016E"/>
    <w:rsid w:val="00511A30"/>
    <w:rsid w:val="00511FD6"/>
    <w:rsid w:val="00512F22"/>
    <w:rsid w:val="00513D21"/>
    <w:rsid w:val="005140E4"/>
    <w:rsid w:val="00514343"/>
    <w:rsid w:val="00514426"/>
    <w:rsid w:val="00515DEC"/>
    <w:rsid w:val="00516603"/>
    <w:rsid w:val="005166F9"/>
    <w:rsid w:val="005167B1"/>
    <w:rsid w:val="00517A46"/>
    <w:rsid w:val="00517D20"/>
    <w:rsid w:val="00520763"/>
    <w:rsid w:val="00520B3E"/>
    <w:rsid w:val="005215EE"/>
    <w:rsid w:val="00521F15"/>
    <w:rsid w:val="00522599"/>
    <w:rsid w:val="00522F5F"/>
    <w:rsid w:val="005248B9"/>
    <w:rsid w:val="005255D3"/>
    <w:rsid w:val="00525C4F"/>
    <w:rsid w:val="00526446"/>
    <w:rsid w:val="00527495"/>
    <w:rsid w:val="00527E7A"/>
    <w:rsid w:val="00531594"/>
    <w:rsid w:val="00537E2C"/>
    <w:rsid w:val="00540208"/>
    <w:rsid w:val="00542797"/>
    <w:rsid w:val="00542B3A"/>
    <w:rsid w:val="00544ADC"/>
    <w:rsid w:val="00544B9C"/>
    <w:rsid w:val="00544E13"/>
    <w:rsid w:val="00544EC9"/>
    <w:rsid w:val="00545B93"/>
    <w:rsid w:val="00546FBD"/>
    <w:rsid w:val="0055159A"/>
    <w:rsid w:val="005516E0"/>
    <w:rsid w:val="00551A9B"/>
    <w:rsid w:val="005520BF"/>
    <w:rsid w:val="00552213"/>
    <w:rsid w:val="005526F4"/>
    <w:rsid w:val="00553779"/>
    <w:rsid w:val="0055544F"/>
    <w:rsid w:val="00556B04"/>
    <w:rsid w:val="00556F72"/>
    <w:rsid w:val="00556F82"/>
    <w:rsid w:val="00560C00"/>
    <w:rsid w:val="00561ED1"/>
    <w:rsid w:val="00562B0A"/>
    <w:rsid w:val="00562CCE"/>
    <w:rsid w:val="00563FC3"/>
    <w:rsid w:val="0056555A"/>
    <w:rsid w:val="005655F3"/>
    <w:rsid w:val="005669D6"/>
    <w:rsid w:val="0056788F"/>
    <w:rsid w:val="00567998"/>
    <w:rsid w:val="00573BC6"/>
    <w:rsid w:val="005759CD"/>
    <w:rsid w:val="00575D39"/>
    <w:rsid w:val="00575F2C"/>
    <w:rsid w:val="00577884"/>
    <w:rsid w:val="00577DDF"/>
    <w:rsid w:val="00581C0F"/>
    <w:rsid w:val="00582919"/>
    <w:rsid w:val="005849B2"/>
    <w:rsid w:val="00585172"/>
    <w:rsid w:val="00586BA1"/>
    <w:rsid w:val="00587366"/>
    <w:rsid w:val="0058757A"/>
    <w:rsid w:val="00590037"/>
    <w:rsid w:val="00590892"/>
    <w:rsid w:val="00593476"/>
    <w:rsid w:val="005937BC"/>
    <w:rsid w:val="00594C52"/>
    <w:rsid w:val="00595511"/>
    <w:rsid w:val="00595CE6"/>
    <w:rsid w:val="00596514"/>
    <w:rsid w:val="0059679B"/>
    <w:rsid w:val="00597B44"/>
    <w:rsid w:val="00597D18"/>
    <w:rsid w:val="005A094D"/>
    <w:rsid w:val="005A1D1E"/>
    <w:rsid w:val="005A1FAB"/>
    <w:rsid w:val="005A228F"/>
    <w:rsid w:val="005A2A65"/>
    <w:rsid w:val="005A2F65"/>
    <w:rsid w:val="005A3513"/>
    <w:rsid w:val="005A3581"/>
    <w:rsid w:val="005A3BD7"/>
    <w:rsid w:val="005A60E1"/>
    <w:rsid w:val="005A6788"/>
    <w:rsid w:val="005A786F"/>
    <w:rsid w:val="005B13E4"/>
    <w:rsid w:val="005B169C"/>
    <w:rsid w:val="005B2DD1"/>
    <w:rsid w:val="005B3A49"/>
    <w:rsid w:val="005B6ADF"/>
    <w:rsid w:val="005B773D"/>
    <w:rsid w:val="005B7C5D"/>
    <w:rsid w:val="005C02B5"/>
    <w:rsid w:val="005C0821"/>
    <w:rsid w:val="005C1A74"/>
    <w:rsid w:val="005C3294"/>
    <w:rsid w:val="005C347F"/>
    <w:rsid w:val="005C3B63"/>
    <w:rsid w:val="005C450C"/>
    <w:rsid w:val="005C6961"/>
    <w:rsid w:val="005C6F55"/>
    <w:rsid w:val="005D0EB4"/>
    <w:rsid w:val="005D18A6"/>
    <w:rsid w:val="005D27DD"/>
    <w:rsid w:val="005D3493"/>
    <w:rsid w:val="005D622E"/>
    <w:rsid w:val="005D6617"/>
    <w:rsid w:val="005D6FF0"/>
    <w:rsid w:val="005E11D5"/>
    <w:rsid w:val="005E34D4"/>
    <w:rsid w:val="005E3716"/>
    <w:rsid w:val="005E3AE2"/>
    <w:rsid w:val="005E3FDE"/>
    <w:rsid w:val="005E55F2"/>
    <w:rsid w:val="005E68FC"/>
    <w:rsid w:val="005E7271"/>
    <w:rsid w:val="005E7CC9"/>
    <w:rsid w:val="005F0007"/>
    <w:rsid w:val="005F0E6C"/>
    <w:rsid w:val="005F1362"/>
    <w:rsid w:val="005F1BAD"/>
    <w:rsid w:val="005F487C"/>
    <w:rsid w:val="005F53A4"/>
    <w:rsid w:val="005F5FE1"/>
    <w:rsid w:val="005F62B2"/>
    <w:rsid w:val="005F704E"/>
    <w:rsid w:val="005F715E"/>
    <w:rsid w:val="00600CE2"/>
    <w:rsid w:val="006010DA"/>
    <w:rsid w:val="006017AB"/>
    <w:rsid w:val="00604AC3"/>
    <w:rsid w:val="00605865"/>
    <w:rsid w:val="00607B9A"/>
    <w:rsid w:val="00611DC1"/>
    <w:rsid w:val="00613655"/>
    <w:rsid w:val="006144EE"/>
    <w:rsid w:val="006153CD"/>
    <w:rsid w:val="00617125"/>
    <w:rsid w:val="00617813"/>
    <w:rsid w:val="006206CC"/>
    <w:rsid w:val="00622B06"/>
    <w:rsid w:val="00624425"/>
    <w:rsid w:val="006257C2"/>
    <w:rsid w:val="00625B2B"/>
    <w:rsid w:val="00627163"/>
    <w:rsid w:val="0063034E"/>
    <w:rsid w:val="00632E24"/>
    <w:rsid w:val="00634476"/>
    <w:rsid w:val="00637475"/>
    <w:rsid w:val="00642BAA"/>
    <w:rsid w:val="0064393B"/>
    <w:rsid w:val="006439A1"/>
    <w:rsid w:val="00644375"/>
    <w:rsid w:val="00644507"/>
    <w:rsid w:val="00644A5C"/>
    <w:rsid w:val="006466BF"/>
    <w:rsid w:val="00646A08"/>
    <w:rsid w:val="00650392"/>
    <w:rsid w:val="0065061D"/>
    <w:rsid w:val="00651701"/>
    <w:rsid w:val="00655146"/>
    <w:rsid w:val="0065715E"/>
    <w:rsid w:val="00657670"/>
    <w:rsid w:val="00657DBF"/>
    <w:rsid w:val="00657DE0"/>
    <w:rsid w:val="00660214"/>
    <w:rsid w:val="00662C69"/>
    <w:rsid w:val="006633C0"/>
    <w:rsid w:val="00663470"/>
    <w:rsid w:val="00663CC7"/>
    <w:rsid w:val="0066458B"/>
    <w:rsid w:val="006646C6"/>
    <w:rsid w:val="00664805"/>
    <w:rsid w:val="00664FB5"/>
    <w:rsid w:val="00666897"/>
    <w:rsid w:val="006674A0"/>
    <w:rsid w:val="006718FB"/>
    <w:rsid w:val="006720F3"/>
    <w:rsid w:val="00672744"/>
    <w:rsid w:val="00673695"/>
    <w:rsid w:val="00673DB5"/>
    <w:rsid w:val="0067400D"/>
    <w:rsid w:val="00674701"/>
    <w:rsid w:val="00674A46"/>
    <w:rsid w:val="006752B0"/>
    <w:rsid w:val="00675F80"/>
    <w:rsid w:val="00676959"/>
    <w:rsid w:val="00676C6B"/>
    <w:rsid w:val="00677358"/>
    <w:rsid w:val="00680F25"/>
    <w:rsid w:val="00682297"/>
    <w:rsid w:val="00682EF5"/>
    <w:rsid w:val="006842C0"/>
    <w:rsid w:val="00685689"/>
    <w:rsid w:val="0068594B"/>
    <w:rsid w:val="00686B04"/>
    <w:rsid w:val="00687CAD"/>
    <w:rsid w:val="006901FA"/>
    <w:rsid w:val="006904D3"/>
    <w:rsid w:val="00690ED0"/>
    <w:rsid w:val="00692D5E"/>
    <w:rsid w:val="00693427"/>
    <w:rsid w:val="00693FA4"/>
    <w:rsid w:val="00694C00"/>
    <w:rsid w:val="006958A7"/>
    <w:rsid w:val="00695F94"/>
    <w:rsid w:val="006964F5"/>
    <w:rsid w:val="00696EF8"/>
    <w:rsid w:val="00697159"/>
    <w:rsid w:val="00697365"/>
    <w:rsid w:val="00697386"/>
    <w:rsid w:val="00697C1C"/>
    <w:rsid w:val="006A0339"/>
    <w:rsid w:val="006A1047"/>
    <w:rsid w:val="006A11C8"/>
    <w:rsid w:val="006A2CF3"/>
    <w:rsid w:val="006A2D34"/>
    <w:rsid w:val="006A2EDE"/>
    <w:rsid w:val="006A2EFB"/>
    <w:rsid w:val="006A32B6"/>
    <w:rsid w:val="006A3D7A"/>
    <w:rsid w:val="006A79C3"/>
    <w:rsid w:val="006B004E"/>
    <w:rsid w:val="006B0198"/>
    <w:rsid w:val="006B0F92"/>
    <w:rsid w:val="006B12E8"/>
    <w:rsid w:val="006B1C19"/>
    <w:rsid w:val="006B31E7"/>
    <w:rsid w:val="006B65D4"/>
    <w:rsid w:val="006B7A58"/>
    <w:rsid w:val="006C26B3"/>
    <w:rsid w:val="006C2FEE"/>
    <w:rsid w:val="006C50B1"/>
    <w:rsid w:val="006C50C2"/>
    <w:rsid w:val="006C563A"/>
    <w:rsid w:val="006C6C8C"/>
    <w:rsid w:val="006C6E1A"/>
    <w:rsid w:val="006D24C4"/>
    <w:rsid w:val="006D27EF"/>
    <w:rsid w:val="006D425C"/>
    <w:rsid w:val="006D52D1"/>
    <w:rsid w:val="006D77A2"/>
    <w:rsid w:val="006E013D"/>
    <w:rsid w:val="006E1056"/>
    <w:rsid w:val="006E21C6"/>
    <w:rsid w:val="006E2564"/>
    <w:rsid w:val="006E3A2A"/>
    <w:rsid w:val="006E3C4C"/>
    <w:rsid w:val="006E4BD4"/>
    <w:rsid w:val="006E4E2A"/>
    <w:rsid w:val="006E5950"/>
    <w:rsid w:val="006E65C0"/>
    <w:rsid w:val="006E6B65"/>
    <w:rsid w:val="006E6C14"/>
    <w:rsid w:val="006E7CC5"/>
    <w:rsid w:val="006F1E31"/>
    <w:rsid w:val="006F2C12"/>
    <w:rsid w:val="006F2F92"/>
    <w:rsid w:val="006F3266"/>
    <w:rsid w:val="006F40FD"/>
    <w:rsid w:val="006F51AA"/>
    <w:rsid w:val="006F69E5"/>
    <w:rsid w:val="00700275"/>
    <w:rsid w:val="007050B1"/>
    <w:rsid w:val="00705527"/>
    <w:rsid w:val="00705CFC"/>
    <w:rsid w:val="00707096"/>
    <w:rsid w:val="007076C5"/>
    <w:rsid w:val="00707912"/>
    <w:rsid w:val="007127BB"/>
    <w:rsid w:val="007136BC"/>
    <w:rsid w:val="00714576"/>
    <w:rsid w:val="00714FEC"/>
    <w:rsid w:val="00715A04"/>
    <w:rsid w:val="00715B7D"/>
    <w:rsid w:val="00721335"/>
    <w:rsid w:val="00721924"/>
    <w:rsid w:val="00721F66"/>
    <w:rsid w:val="00722B93"/>
    <w:rsid w:val="0072445A"/>
    <w:rsid w:val="00725A49"/>
    <w:rsid w:val="00731F1F"/>
    <w:rsid w:val="0073324B"/>
    <w:rsid w:val="007337E6"/>
    <w:rsid w:val="00735A75"/>
    <w:rsid w:val="007365AD"/>
    <w:rsid w:val="00740BA4"/>
    <w:rsid w:val="00742486"/>
    <w:rsid w:val="00742DDE"/>
    <w:rsid w:val="0074433B"/>
    <w:rsid w:val="007446C2"/>
    <w:rsid w:val="00744E29"/>
    <w:rsid w:val="0074573F"/>
    <w:rsid w:val="0074628D"/>
    <w:rsid w:val="007473D2"/>
    <w:rsid w:val="007479C2"/>
    <w:rsid w:val="00750A80"/>
    <w:rsid w:val="00751061"/>
    <w:rsid w:val="0075151E"/>
    <w:rsid w:val="00751F8E"/>
    <w:rsid w:val="00752573"/>
    <w:rsid w:val="0075265E"/>
    <w:rsid w:val="0075440D"/>
    <w:rsid w:val="00754EF8"/>
    <w:rsid w:val="00755369"/>
    <w:rsid w:val="0075604A"/>
    <w:rsid w:val="0075650E"/>
    <w:rsid w:val="0075728A"/>
    <w:rsid w:val="00757995"/>
    <w:rsid w:val="00760BAE"/>
    <w:rsid w:val="00762511"/>
    <w:rsid w:val="00762697"/>
    <w:rsid w:val="007644E6"/>
    <w:rsid w:val="007652EA"/>
    <w:rsid w:val="00765E76"/>
    <w:rsid w:val="00766CDD"/>
    <w:rsid w:val="007674F3"/>
    <w:rsid w:val="00767CD2"/>
    <w:rsid w:val="00770859"/>
    <w:rsid w:val="00773AD2"/>
    <w:rsid w:val="00774A5F"/>
    <w:rsid w:val="00774AB3"/>
    <w:rsid w:val="00774DFD"/>
    <w:rsid w:val="007753FA"/>
    <w:rsid w:val="0077544D"/>
    <w:rsid w:val="00775598"/>
    <w:rsid w:val="007758D3"/>
    <w:rsid w:val="00775D67"/>
    <w:rsid w:val="00776C78"/>
    <w:rsid w:val="00777547"/>
    <w:rsid w:val="0078079A"/>
    <w:rsid w:val="007820F2"/>
    <w:rsid w:val="0078249C"/>
    <w:rsid w:val="00784AA0"/>
    <w:rsid w:val="00784F3D"/>
    <w:rsid w:val="00785321"/>
    <w:rsid w:val="00785E63"/>
    <w:rsid w:val="007860B9"/>
    <w:rsid w:val="00786DD5"/>
    <w:rsid w:val="00787184"/>
    <w:rsid w:val="007914E4"/>
    <w:rsid w:val="00791E58"/>
    <w:rsid w:val="00794C2B"/>
    <w:rsid w:val="00797D59"/>
    <w:rsid w:val="007A0692"/>
    <w:rsid w:val="007A078A"/>
    <w:rsid w:val="007A082B"/>
    <w:rsid w:val="007A0A0E"/>
    <w:rsid w:val="007A1303"/>
    <w:rsid w:val="007A21AC"/>
    <w:rsid w:val="007A2C90"/>
    <w:rsid w:val="007A4419"/>
    <w:rsid w:val="007A65E0"/>
    <w:rsid w:val="007A70B9"/>
    <w:rsid w:val="007A729D"/>
    <w:rsid w:val="007A7602"/>
    <w:rsid w:val="007A76B7"/>
    <w:rsid w:val="007A7A58"/>
    <w:rsid w:val="007A7E06"/>
    <w:rsid w:val="007B02B9"/>
    <w:rsid w:val="007B12AA"/>
    <w:rsid w:val="007B1AED"/>
    <w:rsid w:val="007B233D"/>
    <w:rsid w:val="007B2587"/>
    <w:rsid w:val="007B26B2"/>
    <w:rsid w:val="007B30F3"/>
    <w:rsid w:val="007B5AF0"/>
    <w:rsid w:val="007B6317"/>
    <w:rsid w:val="007B694D"/>
    <w:rsid w:val="007B79A9"/>
    <w:rsid w:val="007C0013"/>
    <w:rsid w:val="007C0CBC"/>
    <w:rsid w:val="007C255D"/>
    <w:rsid w:val="007C37D2"/>
    <w:rsid w:val="007C3985"/>
    <w:rsid w:val="007C5B45"/>
    <w:rsid w:val="007C6110"/>
    <w:rsid w:val="007C6AE2"/>
    <w:rsid w:val="007C7154"/>
    <w:rsid w:val="007D0C01"/>
    <w:rsid w:val="007D26D2"/>
    <w:rsid w:val="007D2922"/>
    <w:rsid w:val="007D3FBD"/>
    <w:rsid w:val="007D49A0"/>
    <w:rsid w:val="007D586E"/>
    <w:rsid w:val="007D7EF3"/>
    <w:rsid w:val="007E0553"/>
    <w:rsid w:val="007E5125"/>
    <w:rsid w:val="007E5DB4"/>
    <w:rsid w:val="007E6334"/>
    <w:rsid w:val="007E64B6"/>
    <w:rsid w:val="007E72DF"/>
    <w:rsid w:val="007F0617"/>
    <w:rsid w:val="007F313E"/>
    <w:rsid w:val="007F372C"/>
    <w:rsid w:val="007F3993"/>
    <w:rsid w:val="007F3A5A"/>
    <w:rsid w:val="007F5AD6"/>
    <w:rsid w:val="007F6131"/>
    <w:rsid w:val="007F6F57"/>
    <w:rsid w:val="007F729E"/>
    <w:rsid w:val="00800E69"/>
    <w:rsid w:val="00800EFF"/>
    <w:rsid w:val="00802BFE"/>
    <w:rsid w:val="00803827"/>
    <w:rsid w:val="0080391F"/>
    <w:rsid w:val="008039C2"/>
    <w:rsid w:val="008046E4"/>
    <w:rsid w:val="00804992"/>
    <w:rsid w:val="008055FF"/>
    <w:rsid w:val="00806782"/>
    <w:rsid w:val="00810302"/>
    <w:rsid w:val="0081094B"/>
    <w:rsid w:val="00810F94"/>
    <w:rsid w:val="008118AF"/>
    <w:rsid w:val="00812EAE"/>
    <w:rsid w:val="00814A17"/>
    <w:rsid w:val="008167F5"/>
    <w:rsid w:val="0081794B"/>
    <w:rsid w:val="00817D8E"/>
    <w:rsid w:val="008200A3"/>
    <w:rsid w:val="00820BF2"/>
    <w:rsid w:val="00824C4E"/>
    <w:rsid w:val="00826125"/>
    <w:rsid w:val="00826F38"/>
    <w:rsid w:val="00830D70"/>
    <w:rsid w:val="00831969"/>
    <w:rsid w:val="00833E4C"/>
    <w:rsid w:val="00834316"/>
    <w:rsid w:val="00836224"/>
    <w:rsid w:val="008374E9"/>
    <w:rsid w:val="008376CD"/>
    <w:rsid w:val="00837BE4"/>
    <w:rsid w:val="00840559"/>
    <w:rsid w:val="00841181"/>
    <w:rsid w:val="00842534"/>
    <w:rsid w:val="00843153"/>
    <w:rsid w:val="008433C1"/>
    <w:rsid w:val="00843908"/>
    <w:rsid w:val="008443E1"/>
    <w:rsid w:val="00845D12"/>
    <w:rsid w:val="00846713"/>
    <w:rsid w:val="00846D48"/>
    <w:rsid w:val="008473FA"/>
    <w:rsid w:val="008474DB"/>
    <w:rsid w:val="00847830"/>
    <w:rsid w:val="00851A81"/>
    <w:rsid w:val="00851DE7"/>
    <w:rsid w:val="00851F4C"/>
    <w:rsid w:val="0085224B"/>
    <w:rsid w:val="008523BA"/>
    <w:rsid w:val="00852B26"/>
    <w:rsid w:val="0085480B"/>
    <w:rsid w:val="00855021"/>
    <w:rsid w:val="00855985"/>
    <w:rsid w:val="008560F4"/>
    <w:rsid w:val="008568B1"/>
    <w:rsid w:val="008570EB"/>
    <w:rsid w:val="00857AE5"/>
    <w:rsid w:val="00860A1E"/>
    <w:rsid w:val="00861622"/>
    <w:rsid w:val="00863125"/>
    <w:rsid w:val="008662C0"/>
    <w:rsid w:val="0087030B"/>
    <w:rsid w:val="008705E1"/>
    <w:rsid w:val="0087153F"/>
    <w:rsid w:val="00872938"/>
    <w:rsid w:val="00873ABF"/>
    <w:rsid w:val="00874321"/>
    <w:rsid w:val="0087459A"/>
    <w:rsid w:val="00875167"/>
    <w:rsid w:val="00875A88"/>
    <w:rsid w:val="00875DF8"/>
    <w:rsid w:val="008760D0"/>
    <w:rsid w:val="008765E3"/>
    <w:rsid w:val="00876DCE"/>
    <w:rsid w:val="00876FBF"/>
    <w:rsid w:val="00880132"/>
    <w:rsid w:val="00881572"/>
    <w:rsid w:val="00882FEA"/>
    <w:rsid w:val="0088320F"/>
    <w:rsid w:val="00883450"/>
    <w:rsid w:val="0088398C"/>
    <w:rsid w:val="00885A71"/>
    <w:rsid w:val="00885C6E"/>
    <w:rsid w:val="00886AF2"/>
    <w:rsid w:val="0088743F"/>
    <w:rsid w:val="0089067B"/>
    <w:rsid w:val="00890700"/>
    <w:rsid w:val="00892A09"/>
    <w:rsid w:val="00892AB9"/>
    <w:rsid w:val="00893857"/>
    <w:rsid w:val="0089412A"/>
    <w:rsid w:val="00894767"/>
    <w:rsid w:val="00895335"/>
    <w:rsid w:val="00895536"/>
    <w:rsid w:val="0089651A"/>
    <w:rsid w:val="008965EF"/>
    <w:rsid w:val="008969BB"/>
    <w:rsid w:val="00896AD4"/>
    <w:rsid w:val="00897752"/>
    <w:rsid w:val="008A2811"/>
    <w:rsid w:val="008A3FC8"/>
    <w:rsid w:val="008A52F3"/>
    <w:rsid w:val="008A5456"/>
    <w:rsid w:val="008A7536"/>
    <w:rsid w:val="008A7F7D"/>
    <w:rsid w:val="008B1A5A"/>
    <w:rsid w:val="008B382F"/>
    <w:rsid w:val="008B38BC"/>
    <w:rsid w:val="008B4590"/>
    <w:rsid w:val="008B5AB4"/>
    <w:rsid w:val="008B66A6"/>
    <w:rsid w:val="008B6849"/>
    <w:rsid w:val="008B7FFE"/>
    <w:rsid w:val="008C0446"/>
    <w:rsid w:val="008C0D98"/>
    <w:rsid w:val="008C2B3C"/>
    <w:rsid w:val="008C41A7"/>
    <w:rsid w:val="008C6F34"/>
    <w:rsid w:val="008C7108"/>
    <w:rsid w:val="008C75C8"/>
    <w:rsid w:val="008D02A3"/>
    <w:rsid w:val="008D22D8"/>
    <w:rsid w:val="008D259C"/>
    <w:rsid w:val="008D2BCD"/>
    <w:rsid w:val="008D3F6F"/>
    <w:rsid w:val="008D406E"/>
    <w:rsid w:val="008D4E99"/>
    <w:rsid w:val="008D5066"/>
    <w:rsid w:val="008D5A97"/>
    <w:rsid w:val="008D6697"/>
    <w:rsid w:val="008D728C"/>
    <w:rsid w:val="008E0674"/>
    <w:rsid w:val="008E11CC"/>
    <w:rsid w:val="008E1B8F"/>
    <w:rsid w:val="008E2B17"/>
    <w:rsid w:val="008E3E12"/>
    <w:rsid w:val="008E4DCD"/>
    <w:rsid w:val="008E5767"/>
    <w:rsid w:val="008E580D"/>
    <w:rsid w:val="008F12E6"/>
    <w:rsid w:val="008F1558"/>
    <w:rsid w:val="008F2B44"/>
    <w:rsid w:val="008F5927"/>
    <w:rsid w:val="008F5F96"/>
    <w:rsid w:val="008F7752"/>
    <w:rsid w:val="0090174A"/>
    <w:rsid w:val="00902E52"/>
    <w:rsid w:val="009036B3"/>
    <w:rsid w:val="0090620F"/>
    <w:rsid w:val="009071FE"/>
    <w:rsid w:val="00907761"/>
    <w:rsid w:val="009077A0"/>
    <w:rsid w:val="00907A46"/>
    <w:rsid w:val="00910076"/>
    <w:rsid w:val="0091242A"/>
    <w:rsid w:val="00912E53"/>
    <w:rsid w:val="0091395C"/>
    <w:rsid w:val="00913AA4"/>
    <w:rsid w:val="00915778"/>
    <w:rsid w:val="009164DD"/>
    <w:rsid w:val="0091724D"/>
    <w:rsid w:val="009210C9"/>
    <w:rsid w:val="00921375"/>
    <w:rsid w:val="00925C68"/>
    <w:rsid w:val="00927DE1"/>
    <w:rsid w:val="009315B0"/>
    <w:rsid w:val="009316E9"/>
    <w:rsid w:val="00931C93"/>
    <w:rsid w:val="00931EE2"/>
    <w:rsid w:val="00931FD8"/>
    <w:rsid w:val="0093282F"/>
    <w:rsid w:val="0093416D"/>
    <w:rsid w:val="0093652D"/>
    <w:rsid w:val="00937309"/>
    <w:rsid w:val="00937D66"/>
    <w:rsid w:val="0094065A"/>
    <w:rsid w:val="00940FE2"/>
    <w:rsid w:val="009421FB"/>
    <w:rsid w:val="00943E62"/>
    <w:rsid w:val="00945A61"/>
    <w:rsid w:val="00946211"/>
    <w:rsid w:val="00950154"/>
    <w:rsid w:val="00950C6E"/>
    <w:rsid w:val="00951ECA"/>
    <w:rsid w:val="00953054"/>
    <w:rsid w:val="009531D6"/>
    <w:rsid w:val="00953610"/>
    <w:rsid w:val="0095382C"/>
    <w:rsid w:val="00953B03"/>
    <w:rsid w:val="009548C1"/>
    <w:rsid w:val="00956219"/>
    <w:rsid w:val="009563A5"/>
    <w:rsid w:val="00956868"/>
    <w:rsid w:val="0095723E"/>
    <w:rsid w:val="009572EE"/>
    <w:rsid w:val="0095765F"/>
    <w:rsid w:val="009606E6"/>
    <w:rsid w:val="009609D2"/>
    <w:rsid w:val="00960CFA"/>
    <w:rsid w:val="00960E81"/>
    <w:rsid w:val="0096161F"/>
    <w:rsid w:val="0096234B"/>
    <w:rsid w:val="00962F40"/>
    <w:rsid w:val="00963968"/>
    <w:rsid w:val="009670E9"/>
    <w:rsid w:val="00970F70"/>
    <w:rsid w:val="00971056"/>
    <w:rsid w:val="0097210F"/>
    <w:rsid w:val="0097252B"/>
    <w:rsid w:val="00972668"/>
    <w:rsid w:val="009727B4"/>
    <w:rsid w:val="00972C36"/>
    <w:rsid w:val="00972DF8"/>
    <w:rsid w:val="00973DB8"/>
    <w:rsid w:val="009750AA"/>
    <w:rsid w:val="00977D37"/>
    <w:rsid w:val="009813EA"/>
    <w:rsid w:val="009830D3"/>
    <w:rsid w:val="00983B8F"/>
    <w:rsid w:val="0098472F"/>
    <w:rsid w:val="009849BB"/>
    <w:rsid w:val="0098595E"/>
    <w:rsid w:val="00986073"/>
    <w:rsid w:val="00990EE2"/>
    <w:rsid w:val="009916D2"/>
    <w:rsid w:val="009917E9"/>
    <w:rsid w:val="009918B7"/>
    <w:rsid w:val="009918C6"/>
    <w:rsid w:val="0099229C"/>
    <w:rsid w:val="00994E5F"/>
    <w:rsid w:val="009959DB"/>
    <w:rsid w:val="00995C9F"/>
    <w:rsid w:val="009974F4"/>
    <w:rsid w:val="0099752D"/>
    <w:rsid w:val="00997C2A"/>
    <w:rsid w:val="009A0358"/>
    <w:rsid w:val="009A0461"/>
    <w:rsid w:val="009A0E2A"/>
    <w:rsid w:val="009A28A2"/>
    <w:rsid w:val="009A2D33"/>
    <w:rsid w:val="009A5191"/>
    <w:rsid w:val="009A593A"/>
    <w:rsid w:val="009A5FBB"/>
    <w:rsid w:val="009A6926"/>
    <w:rsid w:val="009B0F5C"/>
    <w:rsid w:val="009B11D6"/>
    <w:rsid w:val="009B1D13"/>
    <w:rsid w:val="009B2EE9"/>
    <w:rsid w:val="009B2FBC"/>
    <w:rsid w:val="009B3771"/>
    <w:rsid w:val="009B4864"/>
    <w:rsid w:val="009B5504"/>
    <w:rsid w:val="009B5D1A"/>
    <w:rsid w:val="009B649B"/>
    <w:rsid w:val="009B6F16"/>
    <w:rsid w:val="009C0940"/>
    <w:rsid w:val="009C0950"/>
    <w:rsid w:val="009C1D99"/>
    <w:rsid w:val="009C1F8B"/>
    <w:rsid w:val="009C20A8"/>
    <w:rsid w:val="009C4817"/>
    <w:rsid w:val="009C5057"/>
    <w:rsid w:val="009C74FD"/>
    <w:rsid w:val="009D1378"/>
    <w:rsid w:val="009D1780"/>
    <w:rsid w:val="009D2384"/>
    <w:rsid w:val="009D3240"/>
    <w:rsid w:val="009D3A6E"/>
    <w:rsid w:val="009D3BDB"/>
    <w:rsid w:val="009D61D9"/>
    <w:rsid w:val="009D624D"/>
    <w:rsid w:val="009D6AD5"/>
    <w:rsid w:val="009E0AB4"/>
    <w:rsid w:val="009E0C1F"/>
    <w:rsid w:val="009E10C7"/>
    <w:rsid w:val="009E360A"/>
    <w:rsid w:val="009E38A4"/>
    <w:rsid w:val="009E3D82"/>
    <w:rsid w:val="009E4942"/>
    <w:rsid w:val="009E6E48"/>
    <w:rsid w:val="009F0B67"/>
    <w:rsid w:val="009F0BD0"/>
    <w:rsid w:val="009F1566"/>
    <w:rsid w:val="009F1E4B"/>
    <w:rsid w:val="009F307E"/>
    <w:rsid w:val="009F37D5"/>
    <w:rsid w:val="009F50DE"/>
    <w:rsid w:val="009F5F3E"/>
    <w:rsid w:val="009F6D34"/>
    <w:rsid w:val="009F74A2"/>
    <w:rsid w:val="009F7BB0"/>
    <w:rsid w:val="00A0179F"/>
    <w:rsid w:val="00A01B7D"/>
    <w:rsid w:val="00A036C5"/>
    <w:rsid w:val="00A03AD2"/>
    <w:rsid w:val="00A05DA0"/>
    <w:rsid w:val="00A073A0"/>
    <w:rsid w:val="00A07D84"/>
    <w:rsid w:val="00A10336"/>
    <w:rsid w:val="00A10CE2"/>
    <w:rsid w:val="00A13703"/>
    <w:rsid w:val="00A13811"/>
    <w:rsid w:val="00A15C42"/>
    <w:rsid w:val="00A16DF1"/>
    <w:rsid w:val="00A17302"/>
    <w:rsid w:val="00A17A17"/>
    <w:rsid w:val="00A20B1F"/>
    <w:rsid w:val="00A21050"/>
    <w:rsid w:val="00A235D0"/>
    <w:rsid w:val="00A24131"/>
    <w:rsid w:val="00A27A7F"/>
    <w:rsid w:val="00A31BF8"/>
    <w:rsid w:val="00A3276A"/>
    <w:rsid w:val="00A349D2"/>
    <w:rsid w:val="00A34C05"/>
    <w:rsid w:val="00A35492"/>
    <w:rsid w:val="00A4044E"/>
    <w:rsid w:val="00A40951"/>
    <w:rsid w:val="00A42475"/>
    <w:rsid w:val="00A42869"/>
    <w:rsid w:val="00A4379F"/>
    <w:rsid w:val="00A4434D"/>
    <w:rsid w:val="00A45039"/>
    <w:rsid w:val="00A454E0"/>
    <w:rsid w:val="00A45546"/>
    <w:rsid w:val="00A4585A"/>
    <w:rsid w:val="00A459B3"/>
    <w:rsid w:val="00A459D6"/>
    <w:rsid w:val="00A45B12"/>
    <w:rsid w:val="00A462D5"/>
    <w:rsid w:val="00A4650A"/>
    <w:rsid w:val="00A46F7C"/>
    <w:rsid w:val="00A471A7"/>
    <w:rsid w:val="00A47279"/>
    <w:rsid w:val="00A50720"/>
    <w:rsid w:val="00A50922"/>
    <w:rsid w:val="00A50B8A"/>
    <w:rsid w:val="00A51F40"/>
    <w:rsid w:val="00A55D2B"/>
    <w:rsid w:val="00A572BC"/>
    <w:rsid w:val="00A57A82"/>
    <w:rsid w:val="00A60084"/>
    <w:rsid w:val="00A62B7B"/>
    <w:rsid w:val="00A66AE9"/>
    <w:rsid w:val="00A67428"/>
    <w:rsid w:val="00A70CF3"/>
    <w:rsid w:val="00A7155E"/>
    <w:rsid w:val="00A74EDE"/>
    <w:rsid w:val="00A763AE"/>
    <w:rsid w:val="00A76619"/>
    <w:rsid w:val="00A766D5"/>
    <w:rsid w:val="00A76B0D"/>
    <w:rsid w:val="00A80223"/>
    <w:rsid w:val="00A816EE"/>
    <w:rsid w:val="00A81AB5"/>
    <w:rsid w:val="00A82724"/>
    <w:rsid w:val="00A82C5A"/>
    <w:rsid w:val="00A83FF6"/>
    <w:rsid w:val="00A85CB7"/>
    <w:rsid w:val="00A8620F"/>
    <w:rsid w:val="00A8652F"/>
    <w:rsid w:val="00A86AAB"/>
    <w:rsid w:val="00A86D49"/>
    <w:rsid w:val="00A8769A"/>
    <w:rsid w:val="00A87B22"/>
    <w:rsid w:val="00A90FF4"/>
    <w:rsid w:val="00A92E9F"/>
    <w:rsid w:val="00A92EC0"/>
    <w:rsid w:val="00A92EED"/>
    <w:rsid w:val="00A975D5"/>
    <w:rsid w:val="00A9772B"/>
    <w:rsid w:val="00AA0660"/>
    <w:rsid w:val="00AA1409"/>
    <w:rsid w:val="00AA36BA"/>
    <w:rsid w:val="00AA3875"/>
    <w:rsid w:val="00AA404A"/>
    <w:rsid w:val="00AA40DC"/>
    <w:rsid w:val="00AA558E"/>
    <w:rsid w:val="00AA6228"/>
    <w:rsid w:val="00AA69A4"/>
    <w:rsid w:val="00AB1131"/>
    <w:rsid w:val="00AB1942"/>
    <w:rsid w:val="00AB1B91"/>
    <w:rsid w:val="00AB2744"/>
    <w:rsid w:val="00AB274F"/>
    <w:rsid w:val="00AB5F30"/>
    <w:rsid w:val="00AB61E4"/>
    <w:rsid w:val="00AB6BE3"/>
    <w:rsid w:val="00AB7AAA"/>
    <w:rsid w:val="00AC2197"/>
    <w:rsid w:val="00AC37C3"/>
    <w:rsid w:val="00AC3E65"/>
    <w:rsid w:val="00AC535B"/>
    <w:rsid w:val="00AC5F6A"/>
    <w:rsid w:val="00AC758A"/>
    <w:rsid w:val="00AD0B3C"/>
    <w:rsid w:val="00AD0FC3"/>
    <w:rsid w:val="00AD1CC0"/>
    <w:rsid w:val="00AD22B5"/>
    <w:rsid w:val="00AD2718"/>
    <w:rsid w:val="00AD33D3"/>
    <w:rsid w:val="00AD3DB4"/>
    <w:rsid w:val="00AD5133"/>
    <w:rsid w:val="00AD5712"/>
    <w:rsid w:val="00AD6AC5"/>
    <w:rsid w:val="00AD76A1"/>
    <w:rsid w:val="00AE48E8"/>
    <w:rsid w:val="00AE7F20"/>
    <w:rsid w:val="00AF0E7C"/>
    <w:rsid w:val="00AF1F04"/>
    <w:rsid w:val="00AF2612"/>
    <w:rsid w:val="00AF3B55"/>
    <w:rsid w:val="00AF3D59"/>
    <w:rsid w:val="00AF50BF"/>
    <w:rsid w:val="00AF6794"/>
    <w:rsid w:val="00AF6795"/>
    <w:rsid w:val="00AF6F48"/>
    <w:rsid w:val="00AF717E"/>
    <w:rsid w:val="00B016F7"/>
    <w:rsid w:val="00B02BDD"/>
    <w:rsid w:val="00B04E10"/>
    <w:rsid w:val="00B055B9"/>
    <w:rsid w:val="00B13243"/>
    <w:rsid w:val="00B13511"/>
    <w:rsid w:val="00B13D85"/>
    <w:rsid w:val="00B16296"/>
    <w:rsid w:val="00B16CC7"/>
    <w:rsid w:val="00B1786A"/>
    <w:rsid w:val="00B206D8"/>
    <w:rsid w:val="00B20C75"/>
    <w:rsid w:val="00B22AB4"/>
    <w:rsid w:val="00B22B27"/>
    <w:rsid w:val="00B230E5"/>
    <w:rsid w:val="00B23A75"/>
    <w:rsid w:val="00B23E88"/>
    <w:rsid w:val="00B267A4"/>
    <w:rsid w:val="00B312C7"/>
    <w:rsid w:val="00B316B9"/>
    <w:rsid w:val="00B31E90"/>
    <w:rsid w:val="00B32E58"/>
    <w:rsid w:val="00B335A2"/>
    <w:rsid w:val="00B342D1"/>
    <w:rsid w:val="00B34371"/>
    <w:rsid w:val="00B346F5"/>
    <w:rsid w:val="00B357DD"/>
    <w:rsid w:val="00B36BEC"/>
    <w:rsid w:val="00B37104"/>
    <w:rsid w:val="00B406E3"/>
    <w:rsid w:val="00B41516"/>
    <w:rsid w:val="00B433EB"/>
    <w:rsid w:val="00B447D7"/>
    <w:rsid w:val="00B44F9F"/>
    <w:rsid w:val="00B451F7"/>
    <w:rsid w:val="00B452A3"/>
    <w:rsid w:val="00B4545E"/>
    <w:rsid w:val="00B47889"/>
    <w:rsid w:val="00B47D0D"/>
    <w:rsid w:val="00B52B7D"/>
    <w:rsid w:val="00B531D2"/>
    <w:rsid w:val="00B537D8"/>
    <w:rsid w:val="00B53CCA"/>
    <w:rsid w:val="00B54441"/>
    <w:rsid w:val="00B54A5F"/>
    <w:rsid w:val="00B560C2"/>
    <w:rsid w:val="00B56409"/>
    <w:rsid w:val="00B56F9B"/>
    <w:rsid w:val="00B60033"/>
    <w:rsid w:val="00B64099"/>
    <w:rsid w:val="00B643D6"/>
    <w:rsid w:val="00B64919"/>
    <w:rsid w:val="00B667C6"/>
    <w:rsid w:val="00B66BC8"/>
    <w:rsid w:val="00B66C6E"/>
    <w:rsid w:val="00B7018A"/>
    <w:rsid w:val="00B71F08"/>
    <w:rsid w:val="00B73838"/>
    <w:rsid w:val="00B7421A"/>
    <w:rsid w:val="00B74366"/>
    <w:rsid w:val="00B75F20"/>
    <w:rsid w:val="00B762FD"/>
    <w:rsid w:val="00B808A4"/>
    <w:rsid w:val="00B81371"/>
    <w:rsid w:val="00B818B8"/>
    <w:rsid w:val="00B8225B"/>
    <w:rsid w:val="00B83E2E"/>
    <w:rsid w:val="00B83F95"/>
    <w:rsid w:val="00B855AA"/>
    <w:rsid w:val="00B8642B"/>
    <w:rsid w:val="00B8780A"/>
    <w:rsid w:val="00B902E7"/>
    <w:rsid w:val="00B922D9"/>
    <w:rsid w:val="00B926D6"/>
    <w:rsid w:val="00B93351"/>
    <w:rsid w:val="00B945F2"/>
    <w:rsid w:val="00B95670"/>
    <w:rsid w:val="00B959FD"/>
    <w:rsid w:val="00B966BF"/>
    <w:rsid w:val="00B974B4"/>
    <w:rsid w:val="00BA0012"/>
    <w:rsid w:val="00BA0458"/>
    <w:rsid w:val="00BA4F66"/>
    <w:rsid w:val="00BA54A2"/>
    <w:rsid w:val="00BA6D15"/>
    <w:rsid w:val="00BA7987"/>
    <w:rsid w:val="00BA7CFA"/>
    <w:rsid w:val="00BB1309"/>
    <w:rsid w:val="00BB2592"/>
    <w:rsid w:val="00BB3156"/>
    <w:rsid w:val="00BB5CA9"/>
    <w:rsid w:val="00BB6662"/>
    <w:rsid w:val="00BB7E0C"/>
    <w:rsid w:val="00BC0CE4"/>
    <w:rsid w:val="00BC12BA"/>
    <w:rsid w:val="00BC22CD"/>
    <w:rsid w:val="00BC260A"/>
    <w:rsid w:val="00BC30BF"/>
    <w:rsid w:val="00BC3150"/>
    <w:rsid w:val="00BC4013"/>
    <w:rsid w:val="00BC4307"/>
    <w:rsid w:val="00BC4C44"/>
    <w:rsid w:val="00BC61B2"/>
    <w:rsid w:val="00BC7E69"/>
    <w:rsid w:val="00BD025A"/>
    <w:rsid w:val="00BD02D5"/>
    <w:rsid w:val="00BD0A1C"/>
    <w:rsid w:val="00BD0DA4"/>
    <w:rsid w:val="00BD1B67"/>
    <w:rsid w:val="00BD2E8E"/>
    <w:rsid w:val="00BD335B"/>
    <w:rsid w:val="00BD33B6"/>
    <w:rsid w:val="00BD3D7F"/>
    <w:rsid w:val="00BD4097"/>
    <w:rsid w:val="00BD4163"/>
    <w:rsid w:val="00BD4E41"/>
    <w:rsid w:val="00BD4F95"/>
    <w:rsid w:val="00BD517B"/>
    <w:rsid w:val="00BD650E"/>
    <w:rsid w:val="00BD6560"/>
    <w:rsid w:val="00BD687D"/>
    <w:rsid w:val="00BD6C40"/>
    <w:rsid w:val="00BD7A19"/>
    <w:rsid w:val="00BE00FA"/>
    <w:rsid w:val="00BE0C95"/>
    <w:rsid w:val="00BE1433"/>
    <w:rsid w:val="00BE31BD"/>
    <w:rsid w:val="00BE462E"/>
    <w:rsid w:val="00BE545A"/>
    <w:rsid w:val="00BE57A2"/>
    <w:rsid w:val="00BE5E11"/>
    <w:rsid w:val="00BE6C95"/>
    <w:rsid w:val="00BE74FA"/>
    <w:rsid w:val="00BF0627"/>
    <w:rsid w:val="00BF0A54"/>
    <w:rsid w:val="00BF0F1C"/>
    <w:rsid w:val="00BF1278"/>
    <w:rsid w:val="00BF1B7F"/>
    <w:rsid w:val="00BF2346"/>
    <w:rsid w:val="00BF3B85"/>
    <w:rsid w:val="00BF46DB"/>
    <w:rsid w:val="00BF485E"/>
    <w:rsid w:val="00BF6B5B"/>
    <w:rsid w:val="00BF6D83"/>
    <w:rsid w:val="00BF704D"/>
    <w:rsid w:val="00BF7365"/>
    <w:rsid w:val="00BF7824"/>
    <w:rsid w:val="00BF793C"/>
    <w:rsid w:val="00C020F8"/>
    <w:rsid w:val="00C02535"/>
    <w:rsid w:val="00C04666"/>
    <w:rsid w:val="00C04D22"/>
    <w:rsid w:val="00C06C02"/>
    <w:rsid w:val="00C11482"/>
    <w:rsid w:val="00C1254E"/>
    <w:rsid w:val="00C12E38"/>
    <w:rsid w:val="00C14CDF"/>
    <w:rsid w:val="00C150E0"/>
    <w:rsid w:val="00C150F6"/>
    <w:rsid w:val="00C15F97"/>
    <w:rsid w:val="00C16762"/>
    <w:rsid w:val="00C16D2F"/>
    <w:rsid w:val="00C17637"/>
    <w:rsid w:val="00C179FC"/>
    <w:rsid w:val="00C203F6"/>
    <w:rsid w:val="00C20EB1"/>
    <w:rsid w:val="00C2139F"/>
    <w:rsid w:val="00C24101"/>
    <w:rsid w:val="00C24801"/>
    <w:rsid w:val="00C24FF3"/>
    <w:rsid w:val="00C2575E"/>
    <w:rsid w:val="00C26121"/>
    <w:rsid w:val="00C27ABF"/>
    <w:rsid w:val="00C3086E"/>
    <w:rsid w:val="00C315FB"/>
    <w:rsid w:val="00C31713"/>
    <w:rsid w:val="00C317BD"/>
    <w:rsid w:val="00C32DFE"/>
    <w:rsid w:val="00C33279"/>
    <w:rsid w:val="00C34B8F"/>
    <w:rsid w:val="00C35332"/>
    <w:rsid w:val="00C37421"/>
    <w:rsid w:val="00C41015"/>
    <w:rsid w:val="00C41131"/>
    <w:rsid w:val="00C411C1"/>
    <w:rsid w:val="00C422BD"/>
    <w:rsid w:val="00C42ED3"/>
    <w:rsid w:val="00C43A3B"/>
    <w:rsid w:val="00C45581"/>
    <w:rsid w:val="00C45BF0"/>
    <w:rsid w:val="00C46213"/>
    <w:rsid w:val="00C4712A"/>
    <w:rsid w:val="00C47468"/>
    <w:rsid w:val="00C47CDC"/>
    <w:rsid w:val="00C50A2B"/>
    <w:rsid w:val="00C51671"/>
    <w:rsid w:val="00C5280A"/>
    <w:rsid w:val="00C5401F"/>
    <w:rsid w:val="00C54922"/>
    <w:rsid w:val="00C55FE8"/>
    <w:rsid w:val="00C601EF"/>
    <w:rsid w:val="00C6220B"/>
    <w:rsid w:val="00C62658"/>
    <w:rsid w:val="00C634D6"/>
    <w:rsid w:val="00C637C3"/>
    <w:rsid w:val="00C63CF2"/>
    <w:rsid w:val="00C6440A"/>
    <w:rsid w:val="00C648FC"/>
    <w:rsid w:val="00C65EDE"/>
    <w:rsid w:val="00C663BE"/>
    <w:rsid w:val="00C66B68"/>
    <w:rsid w:val="00C70AB7"/>
    <w:rsid w:val="00C71858"/>
    <w:rsid w:val="00C722C5"/>
    <w:rsid w:val="00C74346"/>
    <w:rsid w:val="00C744AE"/>
    <w:rsid w:val="00C74781"/>
    <w:rsid w:val="00C76B87"/>
    <w:rsid w:val="00C80034"/>
    <w:rsid w:val="00C828E8"/>
    <w:rsid w:val="00C83579"/>
    <w:rsid w:val="00C83EA7"/>
    <w:rsid w:val="00C84559"/>
    <w:rsid w:val="00C84E31"/>
    <w:rsid w:val="00C862C4"/>
    <w:rsid w:val="00C86977"/>
    <w:rsid w:val="00C86B34"/>
    <w:rsid w:val="00C86FFF"/>
    <w:rsid w:val="00C871C7"/>
    <w:rsid w:val="00C91060"/>
    <w:rsid w:val="00C928FD"/>
    <w:rsid w:val="00C95593"/>
    <w:rsid w:val="00C967DD"/>
    <w:rsid w:val="00CA0640"/>
    <w:rsid w:val="00CA2022"/>
    <w:rsid w:val="00CA3040"/>
    <w:rsid w:val="00CA4741"/>
    <w:rsid w:val="00CA7A78"/>
    <w:rsid w:val="00CA7F49"/>
    <w:rsid w:val="00CB2FC0"/>
    <w:rsid w:val="00CB3C69"/>
    <w:rsid w:val="00CB57BF"/>
    <w:rsid w:val="00CB58C6"/>
    <w:rsid w:val="00CB5AEC"/>
    <w:rsid w:val="00CB7F82"/>
    <w:rsid w:val="00CC0B3A"/>
    <w:rsid w:val="00CC10A6"/>
    <w:rsid w:val="00CC10B3"/>
    <w:rsid w:val="00CC27BA"/>
    <w:rsid w:val="00CC2DE4"/>
    <w:rsid w:val="00CC360E"/>
    <w:rsid w:val="00CC3B04"/>
    <w:rsid w:val="00CC3D18"/>
    <w:rsid w:val="00CC3FC7"/>
    <w:rsid w:val="00CC48D6"/>
    <w:rsid w:val="00CD32FE"/>
    <w:rsid w:val="00CD3E7D"/>
    <w:rsid w:val="00CD5036"/>
    <w:rsid w:val="00CD6866"/>
    <w:rsid w:val="00CD76D4"/>
    <w:rsid w:val="00CD7893"/>
    <w:rsid w:val="00CD7911"/>
    <w:rsid w:val="00CE03CC"/>
    <w:rsid w:val="00CE7E6A"/>
    <w:rsid w:val="00CF030B"/>
    <w:rsid w:val="00CF23A2"/>
    <w:rsid w:val="00CF5D77"/>
    <w:rsid w:val="00CF6EB2"/>
    <w:rsid w:val="00D00269"/>
    <w:rsid w:val="00D007D1"/>
    <w:rsid w:val="00D02F72"/>
    <w:rsid w:val="00D07CFB"/>
    <w:rsid w:val="00D10AB0"/>
    <w:rsid w:val="00D12372"/>
    <w:rsid w:val="00D12402"/>
    <w:rsid w:val="00D12EE7"/>
    <w:rsid w:val="00D1373C"/>
    <w:rsid w:val="00D16B19"/>
    <w:rsid w:val="00D16BAD"/>
    <w:rsid w:val="00D172B8"/>
    <w:rsid w:val="00D1735B"/>
    <w:rsid w:val="00D17702"/>
    <w:rsid w:val="00D17C3D"/>
    <w:rsid w:val="00D20E91"/>
    <w:rsid w:val="00D225CB"/>
    <w:rsid w:val="00D23CD2"/>
    <w:rsid w:val="00D25A9F"/>
    <w:rsid w:val="00D266ED"/>
    <w:rsid w:val="00D2734A"/>
    <w:rsid w:val="00D276CF"/>
    <w:rsid w:val="00D27EBC"/>
    <w:rsid w:val="00D27F25"/>
    <w:rsid w:val="00D30003"/>
    <w:rsid w:val="00D306AB"/>
    <w:rsid w:val="00D31B93"/>
    <w:rsid w:val="00D31D5F"/>
    <w:rsid w:val="00D32293"/>
    <w:rsid w:val="00D33323"/>
    <w:rsid w:val="00D33F79"/>
    <w:rsid w:val="00D3469A"/>
    <w:rsid w:val="00D3478C"/>
    <w:rsid w:val="00D34A5C"/>
    <w:rsid w:val="00D35986"/>
    <w:rsid w:val="00D36CE3"/>
    <w:rsid w:val="00D37494"/>
    <w:rsid w:val="00D3789A"/>
    <w:rsid w:val="00D407B7"/>
    <w:rsid w:val="00D409B3"/>
    <w:rsid w:val="00D41B84"/>
    <w:rsid w:val="00D41E2D"/>
    <w:rsid w:val="00D42588"/>
    <w:rsid w:val="00D4287D"/>
    <w:rsid w:val="00D42957"/>
    <w:rsid w:val="00D446E7"/>
    <w:rsid w:val="00D47265"/>
    <w:rsid w:val="00D47500"/>
    <w:rsid w:val="00D4793C"/>
    <w:rsid w:val="00D564E0"/>
    <w:rsid w:val="00D60582"/>
    <w:rsid w:val="00D61222"/>
    <w:rsid w:val="00D63800"/>
    <w:rsid w:val="00D63990"/>
    <w:rsid w:val="00D65068"/>
    <w:rsid w:val="00D65243"/>
    <w:rsid w:val="00D658A1"/>
    <w:rsid w:val="00D65BBD"/>
    <w:rsid w:val="00D67E99"/>
    <w:rsid w:val="00D71057"/>
    <w:rsid w:val="00D730F6"/>
    <w:rsid w:val="00D738F0"/>
    <w:rsid w:val="00D75E6C"/>
    <w:rsid w:val="00D82CB3"/>
    <w:rsid w:val="00D82FC0"/>
    <w:rsid w:val="00D8322A"/>
    <w:rsid w:val="00D83C17"/>
    <w:rsid w:val="00D8541E"/>
    <w:rsid w:val="00D85885"/>
    <w:rsid w:val="00D85F03"/>
    <w:rsid w:val="00D86A5E"/>
    <w:rsid w:val="00D8720F"/>
    <w:rsid w:val="00D87527"/>
    <w:rsid w:val="00D87652"/>
    <w:rsid w:val="00D905C2"/>
    <w:rsid w:val="00D92D08"/>
    <w:rsid w:val="00D9372E"/>
    <w:rsid w:val="00D938BE"/>
    <w:rsid w:val="00D9392E"/>
    <w:rsid w:val="00D947F0"/>
    <w:rsid w:val="00D963CC"/>
    <w:rsid w:val="00DA22D8"/>
    <w:rsid w:val="00DA2D95"/>
    <w:rsid w:val="00DA3A4F"/>
    <w:rsid w:val="00DA42C0"/>
    <w:rsid w:val="00DA52A2"/>
    <w:rsid w:val="00DA57B0"/>
    <w:rsid w:val="00DA7E2F"/>
    <w:rsid w:val="00DB0C0B"/>
    <w:rsid w:val="00DB2446"/>
    <w:rsid w:val="00DB31E7"/>
    <w:rsid w:val="00DB3A66"/>
    <w:rsid w:val="00DB4BEF"/>
    <w:rsid w:val="00DB546B"/>
    <w:rsid w:val="00DB74A4"/>
    <w:rsid w:val="00DB78B2"/>
    <w:rsid w:val="00DC073A"/>
    <w:rsid w:val="00DC0A7B"/>
    <w:rsid w:val="00DC1539"/>
    <w:rsid w:val="00DC2022"/>
    <w:rsid w:val="00DC230C"/>
    <w:rsid w:val="00DC27E7"/>
    <w:rsid w:val="00DC2CE7"/>
    <w:rsid w:val="00DC301A"/>
    <w:rsid w:val="00DC5188"/>
    <w:rsid w:val="00DC6294"/>
    <w:rsid w:val="00DC6AEA"/>
    <w:rsid w:val="00DC7377"/>
    <w:rsid w:val="00DD2912"/>
    <w:rsid w:val="00DD353B"/>
    <w:rsid w:val="00DD3902"/>
    <w:rsid w:val="00DD417A"/>
    <w:rsid w:val="00DD45C1"/>
    <w:rsid w:val="00DD4849"/>
    <w:rsid w:val="00DE0FC0"/>
    <w:rsid w:val="00DE190A"/>
    <w:rsid w:val="00DE1A76"/>
    <w:rsid w:val="00DE31D8"/>
    <w:rsid w:val="00DE355C"/>
    <w:rsid w:val="00DE3A31"/>
    <w:rsid w:val="00DE4F75"/>
    <w:rsid w:val="00DE5C78"/>
    <w:rsid w:val="00DE5F76"/>
    <w:rsid w:val="00DE67AF"/>
    <w:rsid w:val="00DF09A4"/>
    <w:rsid w:val="00DF0DF7"/>
    <w:rsid w:val="00DF13A5"/>
    <w:rsid w:val="00DF1C93"/>
    <w:rsid w:val="00DF1E5D"/>
    <w:rsid w:val="00DF2ABA"/>
    <w:rsid w:val="00DF391A"/>
    <w:rsid w:val="00DF419C"/>
    <w:rsid w:val="00DF49F3"/>
    <w:rsid w:val="00DF51C5"/>
    <w:rsid w:val="00DF72C7"/>
    <w:rsid w:val="00E00D6F"/>
    <w:rsid w:val="00E01CE1"/>
    <w:rsid w:val="00E03246"/>
    <w:rsid w:val="00E03508"/>
    <w:rsid w:val="00E03C0E"/>
    <w:rsid w:val="00E047DA"/>
    <w:rsid w:val="00E066DF"/>
    <w:rsid w:val="00E07128"/>
    <w:rsid w:val="00E073C2"/>
    <w:rsid w:val="00E10AC3"/>
    <w:rsid w:val="00E10C25"/>
    <w:rsid w:val="00E1123F"/>
    <w:rsid w:val="00E12D1C"/>
    <w:rsid w:val="00E14230"/>
    <w:rsid w:val="00E14266"/>
    <w:rsid w:val="00E14307"/>
    <w:rsid w:val="00E15911"/>
    <w:rsid w:val="00E16412"/>
    <w:rsid w:val="00E165DD"/>
    <w:rsid w:val="00E16A98"/>
    <w:rsid w:val="00E227C3"/>
    <w:rsid w:val="00E22843"/>
    <w:rsid w:val="00E23111"/>
    <w:rsid w:val="00E24C79"/>
    <w:rsid w:val="00E26881"/>
    <w:rsid w:val="00E26DFE"/>
    <w:rsid w:val="00E2713B"/>
    <w:rsid w:val="00E274D7"/>
    <w:rsid w:val="00E3177E"/>
    <w:rsid w:val="00E32652"/>
    <w:rsid w:val="00E32DDF"/>
    <w:rsid w:val="00E33108"/>
    <w:rsid w:val="00E34622"/>
    <w:rsid w:val="00E34657"/>
    <w:rsid w:val="00E34706"/>
    <w:rsid w:val="00E35537"/>
    <w:rsid w:val="00E36F7D"/>
    <w:rsid w:val="00E43ABE"/>
    <w:rsid w:val="00E44057"/>
    <w:rsid w:val="00E445BD"/>
    <w:rsid w:val="00E463FD"/>
    <w:rsid w:val="00E46673"/>
    <w:rsid w:val="00E47A5F"/>
    <w:rsid w:val="00E506E7"/>
    <w:rsid w:val="00E507A5"/>
    <w:rsid w:val="00E50851"/>
    <w:rsid w:val="00E51A57"/>
    <w:rsid w:val="00E528D2"/>
    <w:rsid w:val="00E54E89"/>
    <w:rsid w:val="00E56DBA"/>
    <w:rsid w:val="00E57E0F"/>
    <w:rsid w:val="00E601CE"/>
    <w:rsid w:val="00E602CF"/>
    <w:rsid w:val="00E60B1D"/>
    <w:rsid w:val="00E61EE8"/>
    <w:rsid w:val="00E62061"/>
    <w:rsid w:val="00E62441"/>
    <w:rsid w:val="00E63879"/>
    <w:rsid w:val="00E647FF"/>
    <w:rsid w:val="00E650C6"/>
    <w:rsid w:val="00E66A80"/>
    <w:rsid w:val="00E66EE6"/>
    <w:rsid w:val="00E7041F"/>
    <w:rsid w:val="00E7063D"/>
    <w:rsid w:val="00E71329"/>
    <w:rsid w:val="00E71633"/>
    <w:rsid w:val="00E7218C"/>
    <w:rsid w:val="00E72689"/>
    <w:rsid w:val="00E730AA"/>
    <w:rsid w:val="00E74C7A"/>
    <w:rsid w:val="00E76F52"/>
    <w:rsid w:val="00E77E59"/>
    <w:rsid w:val="00E82B54"/>
    <w:rsid w:val="00E8380C"/>
    <w:rsid w:val="00E838B2"/>
    <w:rsid w:val="00E84521"/>
    <w:rsid w:val="00E84D6B"/>
    <w:rsid w:val="00E856B0"/>
    <w:rsid w:val="00E85D85"/>
    <w:rsid w:val="00E86868"/>
    <w:rsid w:val="00E86C2A"/>
    <w:rsid w:val="00E86CA1"/>
    <w:rsid w:val="00E87F07"/>
    <w:rsid w:val="00E91379"/>
    <w:rsid w:val="00E91E35"/>
    <w:rsid w:val="00E92215"/>
    <w:rsid w:val="00E937B5"/>
    <w:rsid w:val="00E9442F"/>
    <w:rsid w:val="00E94495"/>
    <w:rsid w:val="00E9486B"/>
    <w:rsid w:val="00E95534"/>
    <w:rsid w:val="00E96326"/>
    <w:rsid w:val="00E969D2"/>
    <w:rsid w:val="00E97D83"/>
    <w:rsid w:val="00EA0CA1"/>
    <w:rsid w:val="00EA1D8B"/>
    <w:rsid w:val="00EA3249"/>
    <w:rsid w:val="00EA3C59"/>
    <w:rsid w:val="00EA452A"/>
    <w:rsid w:val="00EA4CEB"/>
    <w:rsid w:val="00EA5118"/>
    <w:rsid w:val="00EA6C56"/>
    <w:rsid w:val="00EB02F9"/>
    <w:rsid w:val="00EB0C63"/>
    <w:rsid w:val="00EB0DF0"/>
    <w:rsid w:val="00EB1A2C"/>
    <w:rsid w:val="00EB2513"/>
    <w:rsid w:val="00EB3DF7"/>
    <w:rsid w:val="00EB3F5C"/>
    <w:rsid w:val="00EB40DC"/>
    <w:rsid w:val="00EB4A53"/>
    <w:rsid w:val="00EB5616"/>
    <w:rsid w:val="00EB743F"/>
    <w:rsid w:val="00EC064C"/>
    <w:rsid w:val="00EC0BFA"/>
    <w:rsid w:val="00EC0D38"/>
    <w:rsid w:val="00EC115D"/>
    <w:rsid w:val="00EC152A"/>
    <w:rsid w:val="00EC2896"/>
    <w:rsid w:val="00EC3328"/>
    <w:rsid w:val="00EC34A9"/>
    <w:rsid w:val="00EC3934"/>
    <w:rsid w:val="00EC6F0E"/>
    <w:rsid w:val="00EC7352"/>
    <w:rsid w:val="00ED2270"/>
    <w:rsid w:val="00ED3818"/>
    <w:rsid w:val="00ED3B1D"/>
    <w:rsid w:val="00ED512E"/>
    <w:rsid w:val="00ED631E"/>
    <w:rsid w:val="00EE0293"/>
    <w:rsid w:val="00EE03EC"/>
    <w:rsid w:val="00EE048D"/>
    <w:rsid w:val="00EE0ACB"/>
    <w:rsid w:val="00EE107C"/>
    <w:rsid w:val="00EE280E"/>
    <w:rsid w:val="00EE3E9C"/>
    <w:rsid w:val="00EE4D4C"/>
    <w:rsid w:val="00EE4FBE"/>
    <w:rsid w:val="00EF014A"/>
    <w:rsid w:val="00EF01CE"/>
    <w:rsid w:val="00EF0558"/>
    <w:rsid w:val="00EF13E3"/>
    <w:rsid w:val="00EF1D84"/>
    <w:rsid w:val="00EF1DC8"/>
    <w:rsid w:val="00EF1F30"/>
    <w:rsid w:val="00EF26CB"/>
    <w:rsid w:val="00EF2E2B"/>
    <w:rsid w:val="00EF34D2"/>
    <w:rsid w:val="00EF4C26"/>
    <w:rsid w:val="00EF5CC0"/>
    <w:rsid w:val="00EF7540"/>
    <w:rsid w:val="00EF75DE"/>
    <w:rsid w:val="00EF7B70"/>
    <w:rsid w:val="00F00649"/>
    <w:rsid w:val="00F01443"/>
    <w:rsid w:val="00F01801"/>
    <w:rsid w:val="00F02412"/>
    <w:rsid w:val="00F026B4"/>
    <w:rsid w:val="00F0292D"/>
    <w:rsid w:val="00F02E9D"/>
    <w:rsid w:val="00F04044"/>
    <w:rsid w:val="00F046C8"/>
    <w:rsid w:val="00F047AB"/>
    <w:rsid w:val="00F05DE1"/>
    <w:rsid w:val="00F05EBB"/>
    <w:rsid w:val="00F06D58"/>
    <w:rsid w:val="00F07353"/>
    <w:rsid w:val="00F104AB"/>
    <w:rsid w:val="00F10D6B"/>
    <w:rsid w:val="00F12438"/>
    <w:rsid w:val="00F12C08"/>
    <w:rsid w:val="00F12CDC"/>
    <w:rsid w:val="00F13E45"/>
    <w:rsid w:val="00F147C6"/>
    <w:rsid w:val="00F15830"/>
    <w:rsid w:val="00F20933"/>
    <w:rsid w:val="00F21705"/>
    <w:rsid w:val="00F22309"/>
    <w:rsid w:val="00F231FC"/>
    <w:rsid w:val="00F24AB7"/>
    <w:rsid w:val="00F2567E"/>
    <w:rsid w:val="00F25E84"/>
    <w:rsid w:val="00F26068"/>
    <w:rsid w:val="00F2706D"/>
    <w:rsid w:val="00F2723F"/>
    <w:rsid w:val="00F27ADB"/>
    <w:rsid w:val="00F31178"/>
    <w:rsid w:val="00F325F9"/>
    <w:rsid w:val="00F32971"/>
    <w:rsid w:val="00F3400B"/>
    <w:rsid w:val="00F35C44"/>
    <w:rsid w:val="00F37B6F"/>
    <w:rsid w:val="00F40C05"/>
    <w:rsid w:val="00F40E86"/>
    <w:rsid w:val="00F42168"/>
    <w:rsid w:val="00F425B3"/>
    <w:rsid w:val="00F448C5"/>
    <w:rsid w:val="00F44C78"/>
    <w:rsid w:val="00F44F38"/>
    <w:rsid w:val="00F452C0"/>
    <w:rsid w:val="00F459E6"/>
    <w:rsid w:val="00F51B43"/>
    <w:rsid w:val="00F53104"/>
    <w:rsid w:val="00F53C70"/>
    <w:rsid w:val="00F55309"/>
    <w:rsid w:val="00F562A9"/>
    <w:rsid w:val="00F56E0D"/>
    <w:rsid w:val="00F60C62"/>
    <w:rsid w:val="00F6300E"/>
    <w:rsid w:val="00F6301A"/>
    <w:rsid w:val="00F645AF"/>
    <w:rsid w:val="00F66BC9"/>
    <w:rsid w:val="00F67946"/>
    <w:rsid w:val="00F72B99"/>
    <w:rsid w:val="00F72CCD"/>
    <w:rsid w:val="00F72E9F"/>
    <w:rsid w:val="00F73166"/>
    <w:rsid w:val="00F736F9"/>
    <w:rsid w:val="00F739E9"/>
    <w:rsid w:val="00F75A1B"/>
    <w:rsid w:val="00F81620"/>
    <w:rsid w:val="00F84240"/>
    <w:rsid w:val="00F84865"/>
    <w:rsid w:val="00F85237"/>
    <w:rsid w:val="00F8564F"/>
    <w:rsid w:val="00F87DAE"/>
    <w:rsid w:val="00F9000A"/>
    <w:rsid w:val="00F9002A"/>
    <w:rsid w:val="00F906D0"/>
    <w:rsid w:val="00F90771"/>
    <w:rsid w:val="00F90CC8"/>
    <w:rsid w:val="00F93FEB"/>
    <w:rsid w:val="00F94AEA"/>
    <w:rsid w:val="00F94E43"/>
    <w:rsid w:val="00F96156"/>
    <w:rsid w:val="00F96460"/>
    <w:rsid w:val="00F97AFE"/>
    <w:rsid w:val="00F97E65"/>
    <w:rsid w:val="00FA0128"/>
    <w:rsid w:val="00FA0F09"/>
    <w:rsid w:val="00FA1786"/>
    <w:rsid w:val="00FA17C2"/>
    <w:rsid w:val="00FA215F"/>
    <w:rsid w:val="00FA3191"/>
    <w:rsid w:val="00FA375C"/>
    <w:rsid w:val="00FA4709"/>
    <w:rsid w:val="00FA5AE3"/>
    <w:rsid w:val="00FA73DD"/>
    <w:rsid w:val="00FB13C2"/>
    <w:rsid w:val="00FB27FA"/>
    <w:rsid w:val="00FB35D3"/>
    <w:rsid w:val="00FB380D"/>
    <w:rsid w:val="00FB3FB7"/>
    <w:rsid w:val="00FB68A4"/>
    <w:rsid w:val="00FB76C5"/>
    <w:rsid w:val="00FB7FBE"/>
    <w:rsid w:val="00FC0824"/>
    <w:rsid w:val="00FC0C57"/>
    <w:rsid w:val="00FC16B9"/>
    <w:rsid w:val="00FC1DA7"/>
    <w:rsid w:val="00FC2414"/>
    <w:rsid w:val="00FC2C4D"/>
    <w:rsid w:val="00FC2E20"/>
    <w:rsid w:val="00FC44A1"/>
    <w:rsid w:val="00FC4DEB"/>
    <w:rsid w:val="00FC50CE"/>
    <w:rsid w:val="00FC62AC"/>
    <w:rsid w:val="00FC6AC7"/>
    <w:rsid w:val="00FC77FF"/>
    <w:rsid w:val="00FC7E40"/>
    <w:rsid w:val="00FD0B5A"/>
    <w:rsid w:val="00FD1351"/>
    <w:rsid w:val="00FD1354"/>
    <w:rsid w:val="00FD4B65"/>
    <w:rsid w:val="00FD6729"/>
    <w:rsid w:val="00FD7996"/>
    <w:rsid w:val="00FD7B5E"/>
    <w:rsid w:val="00FD7EFE"/>
    <w:rsid w:val="00FE2025"/>
    <w:rsid w:val="00FE2D9D"/>
    <w:rsid w:val="00FE3280"/>
    <w:rsid w:val="00FE3629"/>
    <w:rsid w:val="00FE38A6"/>
    <w:rsid w:val="00FE45B9"/>
    <w:rsid w:val="00FE4790"/>
    <w:rsid w:val="00FE49E3"/>
    <w:rsid w:val="00FE4E1B"/>
    <w:rsid w:val="00FE562B"/>
    <w:rsid w:val="00FE7171"/>
    <w:rsid w:val="00FE7904"/>
    <w:rsid w:val="00FE79C6"/>
    <w:rsid w:val="00FF0AD1"/>
    <w:rsid w:val="00FF1502"/>
    <w:rsid w:val="00FF2F56"/>
    <w:rsid w:val="00FF3373"/>
    <w:rsid w:val="00FF3B7B"/>
    <w:rsid w:val="00FF3F58"/>
    <w:rsid w:val="00FF3FF6"/>
    <w:rsid w:val="00FF7333"/>
    <w:rsid w:val="00FF7602"/>
    <w:rsid w:val="00FF7A5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A4418CD"/>
  <w15:docId w15:val="{CB887431-E0A3-4D96-A126-060828FD7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765"/>
    <w:rPr>
      <w:lang w:val="es-MX"/>
    </w:rPr>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next w:val="Normal"/>
    <w:link w:val="Ttulo3Car"/>
    <w:uiPriority w:val="9"/>
    <w:semiHidden/>
    <w:unhideWhenUsed/>
    <w:qFormat/>
    <w:rsid w:val="003F2CBE"/>
    <w:pPr>
      <w:keepNext/>
      <w:keepLines/>
      <w:spacing w:before="40"/>
      <w:outlineLvl w:val="2"/>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INAI"/>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E34622"/>
    <w:pPr>
      <w:tabs>
        <w:tab w:val="left" w:pos="440"/>
        <w:tab w:val="right" w:leader="dot" w:pos="8828"/>
      </w:tabs>
      <w:spacing w:after="100" w:line="480" w:lineRule="auto"/>
      <w:ind w:left="440"/>
      <w:jc w:val="both"/>
    </w:pPr>
  </w:style>
  <w:style w:type="paragraph" w:styleId="TDC2">
    <w:name w:val="toc 2"/>
    <w:basedOn w:val="Normal"/>
    <w:next w:val="Normal"/>
    <w:autoRedefine/>
    <w:uiPriority w:val="39"/>
    <w:unhideWhenUsed/>
    <w:rsid w:val="004413DD"/>
    <w:pPr>
      <w:tabs>
        <w:tab w:val="right" w:leader="dot" w:pos="9676"/>
      </w:tabs>
      <w:spacing w:after="100" w:line="480" w:lineRule="auto"/>
      <w:ind w:left="720" w:hanging="240"/>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rFonts w:ascii="Times New Roman" w:eastAsia="Times New Roman" w:hAnsi="Times New Roman" w:cs="Times New Roman"/>
      <w:lang w:val="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INAI Car"/>
    <w:link w:val="Sinespaciado"/>
    <w:uiPriority w:val="1"/>
    <w:locked/>
    <w:rsid w:val="009C0940"/>
  </w:style>
  <w:style w:type="table" w:customStyle="1" w:styleId="Tablanormal11">
    <w:name w:val="Tabla normal 1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ascii="Times New Roman" w:eastAsiaTheme="minorHAnsi" w:hAnsi="Times New Roman" w:cs="Times New Roman"/>
      <w:lang w:eastAsia="es-ES_tradnl"/>
    </w:rPr>
  </w:style>
  <w:style w:type="character" w:customStyle="1" w:styleId="apple-style-span">
    <w:name w:val="apple-style-span"/>
    <w:rsid w:val="00847830"/>
  </w:style>
  <w:style w:type="paragraph" w:customStyle="1" w:styleId="Texto">
    <w:name w:val="Texto"/>
    <w:basedOn w:val="Normal"/>
    <w:link w:val="TextoCar"/>
    <w:rsid w:val="009959DB"/>
    <w:pPr>
      <w:spacing w:after="101" w:line="216" w:lineRule="exact"/>
      <w:ind w:firstLine="288"/>
      <w:jc w:val="both"/>
    </w:pPr>
    <w:rPr>
      <w:rFonts w:ascii="Arial" w:eastAsia="Times New Roman" w:hAnsi="Arial" w:cs="Arial"/>
      <w:sz w:val="18"/>
      <w:szCs w:val="20"/>
      <w:lang w:val="es-ES"/>
    </w:rPr>
  </w:style>
  <w:style w:type="paragraph" w:styleId="Textosinformato">
    <w:name w:val="Plain Text"/>
    <w:basedOn w:val="Normal"/>
    <w:link w:val="TextosinformatoCar"/>
    <w:rsid w:val="009959DB"/>
    <w:rPr>
      <w:rFonts w:ascii="Courier New" w:eastAsia="Times New Roman" w:hAnsi="Courier New" w:cs="Courier New"/>
      <w:sz w:val="20"/>
      <w:szCs w:val="20"/>
      <w:lang w:val="es-ES"/>
    </w:rPr>
  </w:style>
  <w:style w:type="character" w:customStyle="1" w:styleId="TextosinformatoCar">
    <w:name w:val="Texto sin formato Car"/>
    <w:basedOn w:val="Fuentedeprrafopredeter"/>
    <w:link w:val="Textosinformato"/>
    <w:rsid w:val="009959DB"/>
    <w:rPr>
      <w:rFonts w:ascii="Courier New" w:eastAsia="Times New Roman" w:hAnsi="Courier New" w:cs="Courier New"/>
      <w:sz w:val="20"/>
      <w:szCs w:val="20"/>
      <w:lang w:val="es-ES"/>
    </w:rPr>
  </w:style>
  <w:style w:type="character" w:customStyle="1" w:styleId="TextoCar">
    <w:name w:val="Texto Car"/>
    <w:link w:val="Texto"/>
    <w:locked/>
    <w:rsid w:val="009959DB"/>
    <w:rPr>
      <w:rFonts w:ascii="Arial" w:eastAsia="Times New Roman" w:hAnsi="Arial" w:cs="Arial"/>
      <w:sz w:val="18"/>
      <w:szCs w:val="20"/>
      <w:lang w:val="es-ES"/>
    </w:rPr>
  </w:style>
  <w:style w:type="paragraph" w:styleId="TDC3">
    <w:name w:val="toc 3"/>
    <w:basedOn w:val="Normal"/>
    <w:next w:val="Normal"/>
    <w:autoRedefine/>
    <w:uiPriority w:val="39"/>
    <w:unhideWhenUsed/>
    <w:rsid w:val="00F01801"/>
    <w:pPr>
      <w:spacing w:after="100"/>
      <w:ind w:left="480"/>
    </w:pPr>
  </w:style>
  <w:style w:type="table" w:styleId="Tabladecuadrcula6concolores">
    <w:name w:val="Grid Table 6 Colorful"/>
    <w:basedOn w:val="Tablanormal"/>
    <w:uiPriority w:val="51"/>
    <w:rsid w:val="005C02B5"/>
    <w:rPr>
      <w:rFonts w:eastAsiaTheme="minorHAnsi"/>
      <w:color w:val="000000" w:themeColor="text1"/>
      <w:sz w:val="22"/>
      <w:szCs w:val="22"/>
      <w:lang w:val="es-MX"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cinsinresolver1">
    <w:name w:val="Mención sin resolver1"/>
    <w:basedOn w:val="Fuentedeprrafopredeter"/>
    <w:uiPriority w:val="99"/>
    <w:semiHidden/>
    <w:unhideWhenUsed/>
    <w:rsid w:val="007A729D"/>
    <w:rPr>
      <w:color w:val="605E5C"/>
      <w:shd w:val="clear" w:color="auto" w:fill="E1DFDD"/>
    </w:rPr>
  </w:style>
  <w:style w:type="character" w:styleId="Hipervnculovisitado">
    <w:name w:val="FollowedHyperlink"/>
    <w:basedOn w:val="Fuentedeprrafopredeter"/>
    <w:uiPriority w:val="99"/>
    <w:semiHidden/>
    <w:unhideWhenUsed/>
    <w:rsid w:val="007A729D"/>
    <w:rPr>
      <w:color w:val="800080" w:themeColor="followedHyperlink"/>
      <w:u w:val="single"/>
    </w:rPr>
  </w:style>
  <w:style w:type="character" w:customStyle="1" w:styleId="Mencinsinresolver2">
    <w:name w:val="Mención sin resolver2"/>
    <w:basedOn w:val="Fuentedeprrafopredeter"/>
    <w:uiPriority w:val="99"/>
    <w:semiHidden/>
    <w:unhideWhenUsed/>
    <w:rsid w:val="006C6C8C"/>
    <w:rPr>
      <w:color w:val="605E5C"/>
      <w:shd w:val="clear" w:color="auto" w:fill="E1DFDD"/>
    </w:rPr>
  </w:style>
  <w:style w:type="character" w:customStyle="1" w:styleId="Mencinsinresolver3">
    <w:name w:val="Mención sin resolver3"/>
    <w:basedOn w:val="Fuentedeprrafopredeter"/>
    <w:uiPriority w:val="99"/>
    <w:semiHidden/>
    <w:unhideWhenUsed/>
    <w:rsid w:val="006439A1"/>
    <w:rPr>
      <w:color w:val="605E5C"/>
      <w:shd w:val="clear" w:color="auto" w:fill="E1DFDD"/>
    </w:rPr>
  </w:style>
  <w:style w:type="paragraph" w:styleId="Listaconvietas2">
    <w:name w:val="List Bullet 2"/>
    <w:basedOn w:val="Normal"/>
    <w:uiPriority w:val="99"/>
    <w:unhideWhenUsed/>
    <w:rsid w:val="00D00269"/>
    <w:pPr>
      <w:numPr>
        <w:numId w:val="3"/>
      </w:numPr>
      <w:contextualSpacing/>
    </w:pPr>
    <w:rPr>
      <w:rFonts w:ascii="Times New Roman" w:eastAsia="Times New Roman" w:hAnsi="Times New Roman" w:cs="Times New Roman"/>
      <w:sz w:val="20"/>
      <w:szCs w:val="20"/>
    </w:rPr>
  </w:style>
  <w:style w:type="character" w:customStyle="1" w:styleId="Ttulo3Car">
    <w:name w:val="Título 3 Car"/>
    <w:basedOn w:val="Fuentedeprrafopredeter"/>
    <w:link w:val="Ttulo3"/>
    <w:uiPriority w:val="9"/>
    <w:semiHidden/>
    <w:rsid w:val="003F2CBE"/>
    <w:rPr>
      <w:rFonts w:asciiTheme="majorHAnsi" w:eastAsiaTheme="majorEastAsia" w:hAnsiTheme="majorHAnsi" w:cstheme="majorBidi"/>
      <w:color w:val="243F60" w:themeColor="accent1" w:themeShade="7F"/>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0856">
      <w:bodyDiv w:val="1"/>
      <w:marLeft w:val="0"/>
      <w:marRight w:val="0"/>
      <w:marTop w:val="0"/>
      <w:marBottom w:val="0"/>
      <w:divBdr>
        <w:top w:val="none" w:sz="0" w:space="0" w:color="auto"/>
        <w:left w:val="none" w:sz="0" w:space="0" w:color="auto"/>
        <w:bottom w:val="none" w:sz="0" w:space="0" w:color="auto"/>
        <w:right w:val="none" w:sz="0" w:space="0" w:color="auto"/>
      </w:divBdr>
    </w:div>
    <w:div w:id="6756610">
      <w:bodyDiv w:val="1"/>
      <w:marLeft w:val="0"/>
      <w:marRight w:val="0"/>
      <w:marTop w:val="0"/>
      <w:marBottom w:val="0"/>
      <w:divBdr>
        <w:top w:val="none" w:sz="0" w:space="0" w:color="auto"/>
        <w:left w:val="none" w:sz="0" w:space="0" w:color="auto"/>
        <w:bottom w:val="none" w:sz="0" w:space="0" w:color="auto"/>
        <w:right w:val="none" w:sz="0" w:space="0" w:color="auto"/>
      </w:divBdr>
    </w:div>
    <w:div w:id="89545121">
      <w:bodyDiv w:val="1"/>
      <w:marLeft w:val="0"/>
      <w:marRight w:val="0"/>
      <w:marTop w:val="0"/>
      <w:marBottom w:val="0"/>
      <w:divBdr>
        <w:top w:val="none" w:sz="0" w:space="0" w:color="auto"/>
        <w:left w:val="none" w:sz="0" w:space="0" w:color="auto"/>
        <w:bottom w:val="none" w:sz="0" w:space="0" w:color="auto"/>
        <w:right w:val="none" w:sz="0" w:space="0" w:color="auto"/>
      </w:divBdr>
    </w:div>
    <w:div w:id="128480642">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177039485">
      <w:bodyDiv w:val="1"/>
      <w:marLeft w:val="0"/>
      <w:marRight w:val="0"/>
      <w:marTop w:val="0"/>
      <w:marBottom w:val="0"/>
      <w:divBdr>
        <w:top w:val="none" w:sz="0" w:space="0" w:color="auto"/>
        <w:left w:val="none" w:sz="0" w:space="0" w:color="auto"/>
        <w:bottom w:val="none" w:sz="0" w:space="0" w:color="auto"/>
        <w:right w:val="none" w:sz="0" w:space="0" w:color="auto"/>
      </w:divBdr>
    </w:div>
    <w:div w:id="178928491">
      <w:bodyDiv w:val="1"/>
      <w:marLeft w:val="0"/>
      <w:marRight w:val="0"/>
      <w:marTop w:val="0"/>
      <w:marBottom w:val="0"/>
      <w:divBdr>
        <w:top w:val="none" w:sz="0" w:space="0" w:color="auto"/>
        <w:left w:val="none" w:sz="0" w:space="0" w:color="auto"/>
        <w:bottom w:val="none" w:sz="0" w:space="0" w:color="auto"/>
        <w:right w:val="none" w:sz="0" w:space="0" w:color="auto"/>
      </w:divBdr>
    </w:div>
    <w:div w:id="229468170">
      <w:bodyDiv w:val="1"/>
      <w:marLeft w:val="0"/>
      <w:marRight w:val="0"/>
      <w:marTop w:val="0"/>
      <w:marBottom w:val="0"/>
      <w:divBdr>
        <w:top w:val="none" w:sz="0" w:space="0" w:color="auto"/>
        <w:left w:val="none" w:sz="0" w:space="0" w:color="auto"/>
        <w:bottom w:val="none" w:sz="0" w:space="0" w:color="auto"/>
        <w:right w:val="none" w:sz="0" w:space="0" w:color="auto"/>
      </w:divBdr>
    </w:div>
    <w:div w:id="233662111">
      <w:bodyDiv w:val="1"/>
      <w:marLeft w:val="0"/>
      <w:marRight w:val="0"/>
      <w:marTop w:val="0"/>
      <w:marBottom w:val="0"/>
      <w:divBdr>
        <w:top w:val="none" w:sz="0" w:space="0" w:color="auto"/>
        <w:left w:val="none" w:sz="0" w:space="0" w:color="auto"/>
        <w:bottom w:val="none" w:sz="0" w:space="0" w:color="auto"/>
        <w:right w:val="none" w:sz="0" w:space="0" w:color="auto"/>
      </w:divBdr>
    </w:div>
    <w:div w:id="299307674">
      <w:bodyDiv w:val="1"/>
      <w:marLeft w:val="0"/>
      <w:marRight w:val="0"/>
      <w:marTop w:val="0"/>
      <w:marBottom w:val="0"/>
      <w:divBdr>
        <w:top w:val="none" w:sz="0" w:space="0" w:color="auto"/>
        <w:left w:val="none" w:sz="0" w:space="0" w:color="auto"/>
        <w:bottom w:val="none" w:sz="0" w:space="0" w:color="auto"/>
        <w:right w:val="none" w:sz="0" w:space="0" w:color="auto"/>
      </w:divBdr>
    </w:div>
    <w:div w:id="359278069">
      <w:bodyDiv w:val="1"/>
      <w:marLeft w:val="0"/>
      <w:marRight w:val="0"/>
      <w:marTop w:val="0"/>
      <w:marBottom w:val="0"/>
      <w:divBdr>
        <w:top w:val="none" w:sz="0" w:space="0" w:color="auto"/>
        <w:left w:val="none" w:sz="0" w:space="0" w:color="auto"/>
        <w:bottom w:val="none" w:sz="0" w:space="0" w:color="auto"/>
        <w:right w:val="none" w:sz="0" w:space="0" w:color="auto"/>
      </w:divBdr>
    </w:div>
    <w:div w:id="359934883">
      <w:bodyDiv w:val="1"/>
      <w:marLeft w:val="0"/>
      <w:marRight w:val="0"/>
      <w:marTop w:val="0"/>
      <w:marBottom w:val="0"/>
      <w:divBdr>
        <w:top w:val="none" w:sz="0" w:space="0" w:color="auto"/>
        <w:left w:val="none" w:sz="0" w:space="0" w:color="auto"/>
        <w:bottom w:val="none" w:sz="0" w:space="0" w:color="auto"/>
        <w:right w:val="none" w:sz="0" w:space="0" w:color="auto"/>
      </w:divBdr>
    </w:div>
    <w:div w:id="449520440">
      <w:bodyDiv w:val="1"/>
      <w:marLeft w:val="0"/>
      <w:marRight w:val="0"/>
      <w:marTop w:val="0"/>
      <w:marBottom w:val="0"/>
      <w:divBdr>
        <w:top w:val="none" w:sz="0" w:space="0" w:color="auto"/>
        <w:left w:val="none" w:sz="0" w:space="0" w:color="auto"/>
        <w:bottom w:val="none" w:sz="0" w:space="0" w:color="auto"/>
        <w:right w:val="none" w:sz="0" w:space="0" w:color="auto"/>
      </w:divBdr>
    </w:div>
    <w:div w:id="455678494">
      <w:bodyDiv w:val="1"/>
      <w:marLeft w:val="0"/>
      <w:marRight w:val="0"/>
      <w:marTop w:val="0"/>
      <w:marBottom w:val="0"/>
      <w:divBdr>
        <w:top w:val="none" w:sz="0" w:space="0" w:color="auto"/>
        <w:left w:val="none" w:sz="0" w:space="0" w:color="auto"/>
        <w:bottom w:val="none" w:sz="0" w:space="0" w:color="auto"/>
        <w:right w:val="none" w:sz="0" w:space="0" w:color="auto"/>
      </w:divBdr>
    </w:div>
    <w:div w:id="515507803">
      <w:bodyDiv w:val="1"/>
      <w:marLeft w:val="0"/>
      <w:marRight w:val="0"/>
      <w:marTop w:val="0"/>
      <w:marBottom w:val="0"/>
      <w:divBdr>
        <w:top w:val="none" w:sz="0" w:space="0" w:color="auto"/>
        <w:left w:val="none" w:sz="0" w:space="0" w:color="auto"/>
        <w:bottom w:val="none" w:sz="0" w:space="0" w:color="auto"/>
        <w:right w:val="none" w:sz="0" w:space="0" w:color="auto"/>
      </w:divBdr>
      <w:divsChild>
        <w:div w:id="96409479">
          <w:marLeft w:val="0"/>
          <w:marRight w:val="0"/>
          <w:marTop w:val="0"/>
          <w:marBottom w:val="0"/>
          <w:divBdr>
            <w:top w:val="none" w:sz="0" w:space="0" w:color="auto"/>
            <w:left w:val="none" w:sz="0" w:space="0" w:color="auto"/>
            <w:bottom w:val="none" w:sz="0" w:space="0" w:color="auto"/>
            <w:right w:val="none" w:sz="0" w:space="0" w:color="auto"/>
          </w:divBdr>
          <w:divsChild>
            <w:div w:id="1325667516">
              <w:marLeft w:val="0"/>
              <w:marRight w:val="0"/>
              <w:marTop w:val="0"/>
              <w:marBottom w:val="0"/>
              <w:divBdr>
                <w:top w:val="none" w:sz="0" w:space="0" w:color="auto"/>
                <w:left w:val="none" w:sz="0" w:space="0" w:color="auto"/>
                <w:bottom w:val="none" w:sz="0" w:space="0" w:color="auto"/>
                <w:right w:val="none" w:sz="0" w:space="0" w:color="auto"/>
              </w:divBdr>
              <w:divsChild>
                <w:div w:id="103608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87153094">
      <w:bodyDiv w:val="1"/>
      <w:marLeft w:val="0"/>
      <w:marRight w:val="0"/>
      <w:marTop w:val="0"/>
      <w:marBottom w:val="0"/>
      <w:divBdr>
        <w:top w:val="none" w:sz="0" w:space="0" w:color="auto"/>
        <w:left w:val="none" w:sz="0" w:space="0" w:color="auto"/>
        <w:bottom w:val="none" w:sz="0" w:space="0" w:color="auto"/>
        <w:right w:val="none" w:sz="0" w:space="0" w:color="auto"/>
      </w:divBdr>
    </w:div>
    <w:div w:id="608317878">
      <w:bodyDiv w:val="1"/>
      <w:marLeft w:val="0"/>
      <w:marRight w:val="0"/>
      <w:marTop w:val="0"/>
      <w:marBottom w:val="0"/>
      <w:divBdr>
        <w:top w:val="none" w:sz="0" w:space="0" w:color="auto"/>
        <w:left w:val="none" w:sz="0" w:space="0" w:color="auto"/>
        <w:bottom w:val="none" w:sz="0" w:space="0" w:color="auto"/>
        <w:right w:val="none" w:sz="0" w:space="0" w:color="auto"/>
      </w:divBdr>
    </w:div>
    <w:div w:id="615066028">
      <w:bodyDiv w:val="1"/>
      <w:marLeft w:val="0"/>
      <w:marRight w:val="0"/>
      <w:marTop w:val="0"/>
      <w:marBottom w:val="0"/>
      <w:divBdr>
        <w:top w:val="none" w:sz="0" w:space="0" w:color="auto"/>
        <w:left w:val="none" w:sz="0" w:space="0" w:color="auto"/>
        <w:bottom w:val="none" w:sz="0" w:space="0" w:color="auto"/>
        <w:right w:val="none" w:sz="0" w:space="0" w:color="auto"/>
      </w:divBdr>
    </w:div>
    <w:div w:id="632255553">
      <w:bodyDiv w:val="1"/>
      <w:marLeft w:val="0"/>
      <w:marRight w:val="0"/>
      <w:marTop w:val="0"/>
      <w:marBottom w:val="0"/>
      <w:divBdr>
        <w:top w:val="none" w:sz="0" w:space="0" w:color="auto"/>
        <w:left w:val="none" w:sz="0" w:space="0" w:color="auto"/>
        <w:bottom w:val="none" w:sz="0" w:space="0" w:color="auto"/>
        <w:right w:val="none" w:sz="0" w:space="0" w:color="auto"/>
      </w:divBdr>
    </w:div>
    <w:div w:id="702752009">
      <w:bodyDiv w:val="1"/>
      <w:marLeft w:val="0"/>
      <w:marRight w:val="0"/>
      <w:marTop w:val="0"/>
      <w:marBottom w:val="0"/>
      <w:divBdr>
        <w:top w:val="none" w:sz="0" w:space="0" w:color="auto"/>
        <w:left w:val="none" w:sz="0" w:space="0" w:color="auto"/>
        <w:bottom w:val="none" w:sz="0" w:space="0" w:color="auto"/>
        <w:right w:val="none" w:sz="0" w:space="0" w:color="auto"/>
      </w:divBdr>
    </w:div>
    <w:div w:id="709308793">
      <w:bodyDiv w:val="1"/>
      <w:marLeft w:val="0"/>
      <w:marRight w:val="0"/>
      <w:marTop w:val="0"/>
      <w:marBottom w:val="0"/>
      <w:divBdr>
        <w:top w:val="none" w:sz="0" w:space="0" w:color="auto"/>
        <w:left w:val="none" w:sz="0" w:space="0" w:color="auto"/>
        <w:bottom w:val="none" w:sz="0" w:space="0" w:color="auto"/>
        <w:right w:val="none" w:sz="0" w:space="0" w:color="auto"/>
      </w:divBdr>
    </w:div>
    <w:div w:id="742147525">
      <w:bodyDiv w:val="1"/>
      <w:marLeft w:val="0"/>
      <w:marRight w:val="0"/>
      <w:marTop w:val="0"/>
      <w:marBottom w:val="0"/>
      <w:divBdr>
        <w:top w:val="none" w:sz="0" w:space="0" w:color="auto"/>
        <w:left w:val="none" w:sz="0" w:space="0" w:color="auto"/>
        <w:bottom w:val="none" w:sz="0" w:space="0" w:color="auto"/>
        <w:right w:val="none" w:sz="0" w:space="0" w:color="auto"/>
      </w:divBdr>
    </w:div>
    <w:div w:id="811873665">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4414800">
      <w:bodyDiv w:val="1"/>
      <w:marLeft w:val="0"/>
      <w:marRight w:val="0"/>
      <w:marTop w:val="0"/>
      <w:marBottom w:val="0"/>
      <w:divBdr>
        <w:top w:val="none" w:sz="0" w:space="0" w:color="auto"/>
        <w:left w:val="none" w:sz="0" w:space="0" w:color="auto"/>
        <w:bottom w:val="none" w:sz="0" w:space="0" w:color="auto"/>
        <w:right w:val="none" w:sz="0" w:space="0" w:color="auto"/>
      </w:divBdr>
    </w:div>
    <w:div w:id="889271280">
      <w:bodyDiv w:val="1"/>
      <w:marLeft w:val="0"/>
      <w:marRight w:val="0"/>
      <w:marTop w:val="0"/>
      <w:marBottom w:val="0"/>
      <w:divBdr>
        <w:top w:val="none" w:sz="0" w:space="0" w:color="auto"/>
        <w:left w:val="none" w:sz="0" w:space="0" w:color="auto"/>
        <w:bottom w:val="none" w:sz="0" w:space="0" w:color="auto"/>
        <w:right w:val="none" w:sz="0" w:space="0" w:color="auto"/>
      </w:divBdr>
    </w:div>
    <w:div w:id="907113895">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29629981">
      <w:bodyDiv w:val="1"/>
      <w:marLeft w:val="0"/>
      <w:marRight w:val="0"/>
      <w:marTop w:val="0"/>
      <w:marBottom w:val="0"/>
      <w:divBdr>
        <w:top w:val="none" w:sz="0" w:space="0" w:color="auto"/>
        <w:left w:val="none" w:sz="0" w:space="0" w:color="auto"/>
        <w:bottom w:val="none" w:sz="0" w:space="0" w:color="auto"/>
        <w:right w:val="none" w:sz="0" w:space="0" w:color="auto"/>
      </w:divBdr>
    </w:div>
    <w:div w:id="960647787">
      <w:bodyDiv w:val="1"/>
      <w:marLeft w:val="0"/>
      <w:marRight w:val="0"/>
      <w:marTop w:val="0"/>
      <w:marBottom w:val="0"/>
      <w:divBdr>
        <w:top w:val="none" w:sz="0" w:space="0" w:color="auto"/>
        <w:left w:val="none" w:sz="0" w:space="0" w:color="auto"/>
        <w:bottom w:val="none" w:sz="0" w:space="0" w:color="auto"/>
        <w:right w:val="none" w:sz="0" w:space="0" w:color="auto"/>
      </w:divBdr>
    </w:div>
    <w:div w:id="977565215">
      <w:bodyDiv w:val="1"/>
      <w:marLeft w:val="0"/>
      <w:marRight w:val="0"/>
      <w:marTop w:val="0"/>
      <w:marBottom w:val="0"/>
      <w:divBdr>
        <w:top w:val="none" w:sz="0" w:space="0" w:color="auto"/>
        <w:left w:val="none" w:sz="0" w:space="0" w:color="auto"/>
        <w:bottom w:val="none" w:sz="0" w:space="0" w:color="auto"/>
        <w:right w:val="none" w:sz="0" w:space="0" w:color="auto"/>
      </w:divBdr>
    </w:div>
    <w:div w:id="988553983">
      <w:bodyDiv w:val="1"/>
      <w:marLeft w:val="0"/>
      <w:marRight w:val="0"/>
      <w:marTop w:val="0"/>
      <w:marBottom w:val="0"/>
      <w:divBdr>
        <w:top w:val="none" w:sz="0" w:space="0" w:color="auto"/>
        <w:left w:val="none" w:sz="0" w:space="0" w:color="auto"/>
        <w:bottom w:val="none" w:sz="0" w:space="0" w:color="auto"/>
        <w:right w:val="none" w:sz="0" w:space="0" w:color="auto"/>
      </w:divBdr>
    </w:div>
    <w:div w:id="1084187191">
      <w:bodyDiv w:val="1"/>
      <w:marLeft w:val="0"/>
      <w:marRight w:val="0"/>
      <w:marTop w:val="0"/>
      <w:marBottom w:val="0"/>
      <w:divBdr>
        <w:top w:val="none" w:sz="0" w:space="0" w:color="auto"/>
        <w:left w:val="none" w:sz="0" w:space="0" w:color="auto"/>
        <w:bottom w:val="none" w:sz="0" w:space="0" w:color="auto"/>
        <w:right w:val="none" w:sz="0" w:space="0" w:color="auto"/>
      </w:divBdr>
    </w:div>
    <w:div w:id="1100950171">
      <w:bodyDiv w:val="1"/>
      <w:marLeft w:val="0"/>
      <w:marRight w:val="0"/>
      <w:marTop w:val="0"/>
      <w:marBottom w:val="0"/>
      <w:divBdr>
        <w:top w:val="none" w:sz="0" w:space="0" w:color="auto"/>
        <w:left w:val="none" w:sz="0" w:space="0" w:color="auto"/>
        <w:bottom w:val="none" w:sz="0" w:space="0" w:color="auto"/>
        <w:right w:val="none" w:sz="0" w:space="0" w:color="auto"/>
      </w:divBdr>
    </w:div>
    <w:div w:id="1151874679">
      <w:bodyDiv w:val="1"/>
      <w:marLeft w:val="0"/>
      <w:marRight w:val="0"/>
      <w:marTop w:val="0"/>
      <w:marBottom w:val="0"/>
      <w:divBdr>
        <w:top w:val="none" w:sz="0" w:space="0" w:color="auto"/>
        <w:left w:val="none" w:sz="0" w:space="0" w:color="auto"/>
        <w:bottom w:val="none" w:sz="0" w:space="0" w:color="auto"/>
        <w:right w:val="none" w:sz="0" w:space="0" w:color="auto"/>
      </w:divBdr>
    </w:div>
    <w:div w:id="1205866358">
      <w:bodyDiv w:val="1"/>
      <w:marLeft w:val="0"/>
      <w:marRight w:val="0"/>
      <w:marTop w:val="0"/>
      <w:marBottom w:val="0"/>
      <w:divBdr>
        <w:top w:val="none" w:sz="0" w:space="0" w:color="auto"/>
        <w:left w:val="none" w:sz="0" w:space="0" w:color="auto"/>
        <w:bottom w:val="none" w:sz="0" w:space="0" w:color="auto"/>
        <w:right w:val="none" w:sz="0" w:space="0" w:color="auto"/>
      </w:divBdr>
    </w:div>
    <w:div w:id="1219319204">
      <w:bodyDiv w:val="1"/>
      <w:marLeft w:val="0"/>
      <w:marRight w:val="0"/>
      <w:marTop w:val="0"/>
      <w:marBottom w:val="0"/>
      <w:divBdr>
        <w:top w:val="none" w:sz="0" w:space="0" w:color="auto"/>
        <w:left w:val="none" w:sz="0" w:space="0" w:color="auto"/>
        <w:bottom w:val="none" w:sz="0" w:space="0" w:color="auto"/>
        <w:right w:val="none" w:sz="0" w:space="0" w:color="auto"/>
      </w:divBdr>
    </w:div>
    <w:div w:id="1232420507">
      <w:bodyDiv w:val="1"/>
      <w:marLeft w:val="0"/>
      <w:marRight w:val="0"/>
      <w:marTop w:val="0"/>
      <w:marBottom w:val="0"/>
      <w:divBdr>
        <w:top w:val="none" w:sz="0" w:space="0" w:color="auto"/>
        <w:left w:val="none" w:sz="0" w:space="0" w:color="auto"/>
        <w:bottom w:val="none" w:sz="0" w:space="0" w:color="auto"/>
        <w:right w:val="none" w:sz="0" w:space="0" w:color="auto"/>
      </w:divBdr>
    </w:div>
    <w:div w:id="1244220483">
      <w:bodyDiv w:val="1"/>
      <w:marLeft w:val="0"/>
      <w:marRight w:val="0"/>
      <w:marTop w:val="0"/>
      <w:marBottom w:val="0"/>
      <w:divBdr>
        <w:top w:val="none" w:sz="0" w:space="0" w:color="auto"/>
        <w:left w:val="none" w:sz="0" w:space="0" w:color="auto"/>
        <w:bottom w:val="none" w:sz="0" w:space="0" w:color="auto"/>
        <w:right w:val="none" w:sz="0" w:space="0" w:color="auto"/>
      </w:divBdr>
    </w:div>
    <w:div w:id="1251309565">
      <w:bodyDiv w:val="1"/>
      <w:marLeft w:val="0"/>
      <w:marRight w:val="0"/>
      <w:marTop w:val="0"/>
      <w:marBottom w:val="0"/>
      <w:divBdr>
        <w:top w:val="none" w:sz="0" w:space="0" w:color="auto"/>
        <w:left w:val="none" w:sz="0" w:space="0" w:color="auto"/>
        <w:bottom w:val="none" w:sz="0" w:space="0" w:color="auto"/>
        <w:right w:val="none" w:sz="0" w:space="0" w:color="auto"/>
      </w:divBdr>
    </w:div>
    <w:div w:id="1262496299">
      <w:bodyDiv w:val="1"/>
      <w:marLeft w:val="0"/>
      <w:marRight w:val="0"/>
      <w:marTop w:val="0"/>
      <w:marBottom w:val="0"/>
      <w:divBdr>
        <w:top w:val="none" w:sz="0" w:space="0" w:color="auto"/>
        <w:left w:val="none" w:sz="0" w:space="0" w:color="auto"/>
        <w:bottom w:val="none" w:sz="0" w:space="0" w:color="auto"/>
        <w:right w:val="none" w:sz="0" w:space="0" w:color="auto"/>
      </w:divBdr>
    </w:div>
    <w:div w:id="1266234922">
      <w:bodyDiv w:val="1"/>
      <w:marLeft w:val="0"/>
      <w:marRight w:val="0"/>
      <w:marTop w:val="0"/>
      <w:marBottom w:val="0"/>
      <w:divBdr>
        <w:top w:val="none" w:sz="0" w:space="0" w:color="auto"/>
        <w:left w:val="none" w:sz="0" w:space="0" w:color="auto"/>
        <w:bottom w:val="none" w:sz="0" w:space="0" w:color="auto"/>
        <w:right w:val="none" w:sz="0" w:space="0" w:color="auto"/>
      </w:divBdr>
    </w:div>
    <w:div w:id="1279557300">
      <w:bodyDiv w:val="1"/>
      <w:marLeft w:val="0"/>
      <w:marRight w:val="0"/>
      <w:marTop w:val="0"/>
      <w:marBottom w:val="0"/>
      <w:divBdr>
        <w:top w:val="none" w:sz="0" w:space="0" w:color="auto"/>
        <w:left w:val="none" w:sz="0" w:space="0" w:color="auto"/>
        <w:bottom w:val="none" w:sz="0" w:space="0" w:color="auto"/>
        <w:right w:val="none" w:sz="0" w:space="0" w:color="auto"/>
      </w:divBdr>
    </w:div>
    <w:div w:id="1310359080">
      <w:bodyDiv w:val="1"/>
      <w:marLeft w:val="0"/>
      <w:marRight w:val="0"/>
      <w:marTop w:val="0"/>
      <w:marBottom w:val="0"/>
      <w:divBdr>
        <w:top w:val="none" w:sz="0" w:space="0" w:color="auto"/>
        <w:left w:val="none" w:sz="0" w:space="0" w:color="auto"/>
        <w:bottom w:val="none" w:sz="0" w:space="0" w:color="auto"/>
        <w:right w:val="none" w:sz="0" w:space="0" w:color="auto"/>
      </w:divBdr>
    </w:div>
    <w:div w:id="1353796273">
      <w:bodyDiv w:val="1"/>
      <w:marLeft w:val="0"/>
      <w:marRight w:val="0"/>
      <w:marTop w:val="0"/>
      <w:marBottom w:val="0"/>
      <w:divBdr>
        <w:top w:val="none" w:sz="0" w:space="0" w:color="auto"/>
        <w:left w:val="none" w:sz="0" w:space="0" w:color="auto"/>
        <w:bottom w:val="none" w:sz="0" w:space="0" w:color="auto"/>
        <w:right w:val="none" w:sz="0" w:space="0" w:color="auto"/>
      </w:divBdr>
    </w:div>
    <w:div w:id="1380126916">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16970715">
      <w:bodyDiv w:val="1"/>
      <w:marLeft w:val="0"/>
      <w:marRight w:val="0"/>
      <w:marTop w:val="0"/>
      <w:marBottom w:val="0"/>
      <w:divBdr>
        <w:top w:val="none" w:sz="0" w:space="0" w:color="auto"/>
        <w:left w:val="none" w:sz="0" w:space="0" w:color="auto"/>
        <w:bottom w:val="none" w:sz="0" w:space="0" w:color="auto"/>
        <w:right w:val="none" w:sz="0" w:space="0" w:color="auto"/>
      </w:divBdr>
    </w:div>
    <w:div w:id="1437098458">
      <w:bodyDiv w:val="1"/>
      <w:marLeft w:val="0"/>
      <w:marRight w:val="0"/>
      <w:marTop w:val="0"/>
      <w:marBottom w:val="0"/>
      <w:divBdr>
        <w:top w:val="none" w:sz="0" w:space="0" w:color="auto"/>
        <w:left w:val="none" w:sz="0" w:space="0" w:color="auto"/>
        <w:bottom w:val="none" w:sz="0" w:space="0" w:color="auto"/>
        <w:right w:val="none" w:sz="0" w:space="0" w:color="auto"/>
      </w:divBdr>
    </w:div>
    <w:div w:id="1455446053">
      <w:bodyDiv w:val="1"/>
      <w:marLeft w:val="0"/>
      <w:marRight w:val="0"/>
      <w:marTop w:val="0"/>
      <w:marBottom w:val="0"/>
      <w:divBdr>
        <w:top w:val="none" w:sz="0" w:space="0" w:color="auto"/>
        <w:left w:val="none" w:sz="0" w:space="0" w:color="auto"/>
        <w:bottom w:val="none" w:sz="0" w:space="0" w:color="auto"/>
        <w:right w:val="none" w:sz="0" w:space="0" w:color="auto"/>
      </w:divBdr>
    </w:div>
    <w:div w:id="1492330971">
      <w:bodyDiv w:val="1"/>
      <w:marLeft w:val="0"/>
      <w:marRight w:val="0"/>
      <w:marTop w:val="0"/>
      <w:marBottom w:val="0"/>
      <w:divBdr>
        <w:top w:val="none" w:sz="0" w:space="0" w:color="auto"/>
        <w:left w:val="none" w:sz="0" w:space="0" w:color="auto"/>
        <w:bottom w:val="none" w:sz="0" w:space="0" w:color="auto"/>
        <w:right w:val="none" w:sz="0" w:space="0" w:color="auto"/>
      </w:divBdr>
    </w:div>
    <w:div w:id="1521361269">
      <w:bodyDiv w:val="1"/>
      <w:marLeft w:val="0"/>
      <w:marRight w:val="0"/>
      <w:marTop w:val="0"/>
      <w:marBottom w:val="0"/>
      <w:divBdr>
        <w:top w:val="none" w:sz="0" w:space="0" w:color="auto"/>
        <w:left w:val="none" w:sz="0" w:space="0" w:color="auto"/>
        <w:bottom w:val="none" w:sz="0" w:space="0" w:color="auto"/>
        <w:right w:val="none" w:sz="0" w:space="0" w:color="auto"/>
      </w:divBdr>
    </w:div>
    <w:div w:id="1617714388">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712723238">
      <w:bodyDiv w:val="1"/>
      <w:marLeft w:val="0"/>
      <w:marRight w:val="0"/>
      <w:marTop w:val="0"/>
      <w:marBottom w:val="0"/>
      <w:divBdr>
        <w:top w:val="none" w:sz="0" w:space="0" w:color="auto"/>
        <w:left w:val="none" w:sz="0" w:space="0" w:color="auto"/>
        <w:bottom w:val="none" w:sz="0" w:space="0" w:color="auto"/>
        <w:right w:val="none" w:sz="0" w:space="0" w:color="auto"/>
      </w:divBdr>
    </w:div>
    <w:div w:id="1716805315">
      <w:bodyDiv w:val="1"/>
      <w:marLeft w:val="0"/>
      <w:marRight w:val="0"/>
      <w:marTop w:val="0"/>
      <w:marBottom w:val="0"/>
      <w:divBdr>
        <w:top w:val="none" w:sz="0" w:space="0" w:color="auto"/>
        <w:left w:val="none" w:sz="0" w:space="0" w:color="auto"/>
        <w:bottom w:val="none" w:sz="0" w:space="0" w:color="auto"/>
        <w:right w:val="none" w:sz="0" w:space="0" w:color="auto"/>
      </w:divBdr>
    </w:div>
    <w:div w:id="1717925839">
      <w:bodyDiv w:val="1"/>
      <w:marLeft w:val="0"/>
      <w:marRight w:val="0"/>
      <w:marTop w:val="0"/>
      <w:marBottom w:val="0"/>
      <w:divBdr>
        <w:top w:val="none" w:sz="0" w:space="0" w:color="auto"/>
        <w:left w:val="none" w:sz="0" w:space="0" w:color="auto"/>
        <w:bottom w:val="none" w:sz="0" w:space="0" w:color="auto"/>
        <w:right w:val="none" w:sz="0" w:space="0" w:color="auto"/>
      </w:divBdr>
    </w:div>
    <w:div w:id="1737318851">
      <w:bodyDiv w:val="1"/>
      <w:marLeft w:val="0"/>
      <w:marRight w:val="0"/>
      <w:marTop w:val="0"/>
      <w:marBottom w:val="0"/>
      <w:divBdr>
        <w:top w:val="none" w:sz="0" w:space="0" w:color="auto"/>
        <w:left w:val="none" w:sz="0" w:space="0" w:color="auto"/>
        <w:bottom w:val="none" w:sz="0" w:space="0" w:color="auto"/>
        <w:right w:val="none" w:sz="0" w:space="0" w:color="auto"/>
      </w:divBdr>
    </w:div>
    <w:div w:id="1777630800">
      <w:bodyDiv w:val="1"/>
      <w:marLeft w:val="0"/>
      <w:marRight w:val="0"/>
      <w:marTop w:val="0"/>
      <w:marBottom w:val="0"/>
      <w:divBdr>
        <w:top w:val="none" w:sz="0" w:space="0" w:color="auto"/>
        <w:left w:val="none" w:sz="0" w:space="0" w:color="auto"/>
        <w:bottom w:val="none" w:sz="0" w:space="0" w:color="auto"/>
        <w:right w:val="none" w:sz="0" w:space="0" w:color="auto"/>
      </w:divBdr>
    </w:div>
    <w:div w:id="1797723572">
      <w:bodyDiv w:val="1"/>
      <w:marLeft w:val="0"/>
      <w:marRight w:val="0"/>
      <w:marTop w:val="0"/>
      <w:marBottom w:val="0"/>
      <w:divBdr>
        <w:top w:val="none" w:sz="0" w:space="0" w:color="auto"/>
        <w:left w:val="none" w:sz="0" w:space="0" w:color="auto"/>
        <w:bottom w:val="none" w:sz="0" w:space="0" w:color="auto"/>
        <w:right w:val="none" w:sz="0" w:space="0" w:color="auto"/>
      </w:divBdr>
    </w:div>
    <w:div w:id="1861504442">
      <w:bodyDiv w:val="1"/>
      <w:marLeft w:val="0"/>
      <w:marRight w:val="0"/>
      <w:marTop w:val="0"/>
      <w:marBottom w:val="0"/>
      <w:divBdr>
        <w:top w:val="none" w:sz="0" w:space="0" w:color="auto"/>
        <w:left w:val="none" w:sz="0" w:space="0" w:color="auto"/>
        <w:bottom w:val="none" w:sz="0" w:space="0" w:color="auto"/>
        <w:right w:val="none" w:sz="0" w:space="0" w:color="auto"/>
      </w:divBdr>
    </w:div>
    <w:div w:id="1862434349">
      <w:bodyDiv w:val="1"/>
      <w:marLeft w:val="0"/>
      <w:marRight w:val="0"/>
      <w:marTop w:val="0"/>
      <w:marBottom w:val="0"/>
      <w:divBdr>
        <w:top w:val="none" w:sz="0" w:space="0" w:color="auto"/>
        <w:left w:val="none" w:sz="0" w:space="0" w:color="auto"/>
        <w:bottom w:val="none" w:sz="0" w:space="0" w:color="auto"/>
        <w:right w:val="none" w:sz="0" w:space="0" w:color="auto"/>
      </w:divBdr>
    </w:div>
    <w:div w:id="1874418103">
      <w:bodyDiv w:val="1"/>
      <w:marLeft w:val="0"/>
      <w:marRight w:val="0"/>
      <w:marTop w:val="0"/>
      <w:marBottom w:val="0"/>
      <w:divBdr>
        <w:top w:val="none" w:sz="0" w:space="0" w:color="auto"/>
        <w:left w:val="none" w:sz="0" w:space="0" w:color="auto"/>
        <w:bottom w:val="none" w:sz="0" w:space="0" w:color="auto"/>
        <w:right w:val="none" w:sz="0" w:space="0" w:color="auto"/>
      </w:divBdr>
    </w:div>
    <w:div w:id="1889409637">
      <w:bodyDiv w:val="1"/>
      <w:marLeft w:val="0"/>
      <w:marRight w:val="0"/>
      <w:marTop w:val="0"/>
      <w:marBottom w:val="0"/>
      <w:divBdr>
        <w:top w:val="none" w:sz="0" w:space="0" w:color="auto"/>
        <w:left w:val="none" w:sz="0" w:space="0" w:color="auto"/>
        <w:bottom w:val="none" w:sz="0" w:space="0" w:color="auto"/>
        <w:right w:val="none" w:sz="0" w:space="0" w:color="auto"/>
      </w:divBdr>
    </w:div>
    <w:div w:id="1927811481">
      <w:bodyDiv w:val="1"/>
      <w:marLeft w:val="0"/>
      <w:marRight w:val="0"/>
      <w:marTop w:val="0"/>
      <w:marBottom w:val="0"/>
      <w:divBdr>
        <w:top w:val="none" w:sz="0" w:space="0" w:color="auto"/>
        <w:left w:val="none" w:sz="0" w:space="0" w:color="auto"/>
        <w:bottom w:val="none" w:sz="0" w:space="0" w:color="auto"/>
        <w:right w:val="none" w:sz="0" w:space="0" w:color="auto"/>
      </w:divBdr>
      <w:divsChild>
        <w:div w:id="462310498">
          <w:marLeft w:val="60"/>
          <w:marRight w:val="0"/>
          <w:marTop w:val="0"/>
          <w:marBottom w:val="0"/>
          <w:divBdr>
            <w:top w:val="none" w:sz="0" w:space="0" w:color="auto"/>
            <w:left w:val="none" w:sz="0" w:space="0" w:color="auto"/>
            <w:bottom w:val="none" w:sz="0" w:space="0" w:color="auto"/>
            <w:right w:val="none" w:sz="0" w:space="0" w:color="auto"/>
          </w:divBdr>
          <w:divsChild>
            <w:div w:id="367880437">
              <w:marLeft w:val="0"/>
              <w:marRight w:val="0"/>
              <w:marTop w:val="0"/>
              <w:marBottom w:val="0"/>
              <w:divBdr>
                <w:top w:val="none" w:sz="0" w:space="0" w:color="auto"/>
                <w:left w:val="none" w:sz="0" w:space="0" w:color="auto"/>
                <w:bottom w:val="none" w:sz="0" w:space="0" w:color="auto"/>
                <w:right w:val="none" w:sz="0" w:space="0" w:color="auto"/>
              </w:divBdr>
              <w:divsChild>
                <w:div w:id="157111172">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 w:id="1941909872">
      <w:bodyDiv w:val="1"/>
      <w:marLeft w:val="0"/>
      <w:marRight w:val="0"/>
      <w:marTop w:val="0"/>
      <w:marBottom w:val="0"/>
      <w:divBdr>
        <w:top w:val="none" w:sz="0" w:space="0" w:color="auto"/>
        <w:left w:val="none" w:sz="0" w:space="0" w:color="auto"/>
        <w:bottom w:val="none" w:sz="0" w:space="0" w:color="auto"/>
        <w:right w:val="none" w:sz="0" w:space="0" w:color="auto"/>
      </w:divBdr>
    </w:div>
    <w:div w:id="1978026850">
      <w:bodyDiv w:val="1"/>
      <w:marLeft w:val="0"/>
      <w:marRight w:val="0"/>
      <w:marTop w:val="0"/>
      <w:marBottom w:val="0"/>
      <w:divBdr>
        <w:top w:val="none" w:sz="0" w:space="0" w:color="auto"/>
        <w:left w:val="none" w:sz="0" w:space="0" w:color="auto"/>
        <w:bottom w:val="none" w:sz="0" w:space="0" w:color="auto"/>
        <w:right w:val="none" w:sz="0" w:space="0" w:color="auto"/>
      </w:divBdr>
    </w:div>
    <w:div w:id="20911900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oleObject" Target="embeddings/oleObject20.bin"/><Relationship Id="rId50" Type="http://schemas.openxmlformats.org/officeDocument/2006/relationships/image" Target="media/image22.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oleObject" Target="embeddings/oleObject15.bin"/><Relationship Id="rId40" Type="http://schemas.openxmlformats.org/officeDocument/2006/relationships/image" Target="media/image17.png"/><Relationship Id="rId45" Type="http://schemas.openxmlformats.org/officeDocument/2006/relationships/oleObject" Target="embeddings/oleObject19.bin"/><Relationship Id="rId53" Type="http://schemas.openxmlformats.org/officeDocument/2006/relationships/oleObject" Target="embeddings/oleObject23.bin"/><Relationship Id="rId58"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1.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oleObject" Target="embeddings/oleObject22.bin"/><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oleObject" Target="embeddings/oleObject17.bin"/><Relationship Id="rId54"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oleObject" Target="embeddings/oleObject21.bin"/><Relationship Id="rId57"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oleObject" Target="embeddings/oleObject12.bin"/><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_rels/header2.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FBBDC4-761C-4D51-8991-85ACED66B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70</Pages>
  <Words>14191</Words>
  <Characters>78054</Characters>
  <Application>Microsoft Office Word</Application>
  <DocSecurity>0</DocSecurity>
  <Lines>650</Lines>
  <Paragraphs>184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92061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4</cp:revision>
  <cp:lastPrinted>2019-12-11T01:19:00Z</cp:lastPrinted>
  <dcterms:created xsi:type="dcterms:W3CDTF">2022-07-11T17:57:00Z</dcterms:created>
  <dcterms:modified xsi:type="dcterms:W3CDTF">2022-07-11T18:06:00Z</dcterms:modified>
</cp:coreProperties>
</file>