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701D3" w:rsidR="00C853D1" w:rsidP="001B16EC" w:rsidRDefault="00C853D1" w14:paraId="1DF6BBF6" w14:textId="3DC47192">
      <w:pPr>
        <w:spacing w:after="0" w:line="360" w:lineRule="auto"/>
        <w:rPr>
          <w:rFonts w:eastAsia="Times New Roman" w:cs="Tahoma"/>
          <w:bCs/>
          <w:color w:val="auto"/>
          <w:lang w:eastAsia="es-ES"/>
        </w:rPr>
      </w:pPr>
      <w:r w:rsidRPr="00A701D3">
        <w:rPr>
          <w:rFonts w:eastAsia="Calibri" w:cs="Tahoma"/>
          <w:bCs/>
          <w:color w:val="000000"/>
        </w:rPr>
        <w:t xml:space="preserve">Resolución del Pleno del Instituto de Transparencia, Acceso a la Información Pública y </w:t>
      </w:r>
      <w:r w:rsidRPr="00A701D3">
        <w:rPr>
          <w:rFonts w:eastAsia="Times New Roman" w:cs="Tahoma"/>
          <w:bCs/>
          <w:color w:val="auto"/>
          <w:lang w:eastAsia="es-ES"/>
        </w:rPr>
        <w:t xml:space="preserve">Protección de Datos Personales del Estado de México y Municipios, con domicilio en Metepec, Estado de México, de fecha </w:t>
      </w:r>
      <w:r w:rsidR="00056476">
        <w:rPr>
          <w:rFonts w:eastAsia="Times New Roman" w:cs="Tahoma"/>
          <w:bCs/>
          <w:color w:val="auto"/>
          <w:lang w:eastAsia="es-ES"/>
        </w:rPr>
        <w:t>veinte de abril</w:t>
      </w:r>
      <w:r w:rsidRPr="00A701D3" w:rsidR="001B2767">
        <w:rPr>
          <w:rFonts w:eastAsia="Times New Roman" w:cs="Tahoma"/>
          <w:bCs/>
          <w:color w:val="auto"/>
          <w:lang w:eastAsia="es-ES"/>
        </w:rPr>
        <w:t xml:space="preserve"> de dos mil veintidós. </w:t>
      </w:r>
      <w:r w:rsidRPr="00A701D3">
        <w:rPr>
          <w:rFonts w:eastAsia="Times New Roman" w:cs="Tahoma"/>
          <w:bCs/>
          <w:color w:val="auto"/>
          <w:lang w:eastAsia="es-ES"/>
        </w:rPr>
        <w:t xml:space="preserve"> </w:t>
      </w:r>
    </w:p>
    <w:p w:rsidRPr="00A701D3" w:rsidR="00C853D1" w:rsidP="001B16EC" w:rsidRDefault="00C853D1" w14:paraId="1D95A1A3" w14:textId="77777777">
      <w:pPr>
        <w:tabs>
          <w:tab w:val="left" w:pos="2839"/>
        </w:tabs>
        <w:spacing w:after="0" w:line="360" w:lineRule="auto"/>
        <w:rPr>
          <w:rFonts w:eastAsia="Times New Roman" w:cs="Tahoma"/>
          <w:bCs/>
          <w:color w:val="auto"/>
          <w:lang w:eastAsia="es-ES"/>
        </w:rPr>
      </w:pPr>
    </w:p>
    <w:p w:rsidRPr="00A701D3" w:rsidR="00C853D1" w:rsidP="001B16EC" w:rsidRDefault="00C853D1" w14:paraId="1066B8D1" w14:textId="4E9EA317">
      <w:pPr>
        <w:spacing w:after="0" w:line="360" w:lineRule="auto"/>
        <w:rPr>
          <w:rFonts w:eastAsia="Calibri" w:cs="Tahoma"/>
          <w:color w:val="0D0D0D"/>
        </w:rPr>
      </w:pPr>
      <w:r w:rsidRPr="056EC04B" w:rsidR="056EC04B">
        <w:rPr>
          <w:rFonts w:eastAsia="Times New Roman" w:cs="Tahoma"/>
          <w:b w:val="1"/>
          <w:bCs w:val="1"/>
          <w:color w:val="auto"/>
          <w:lang w:eastAsia="es-ES"/>
        </w:rPr>
        <w:t>VISTO</w:t>
      </w:r>
      <w:r w:rsidRPr="056EC04B" w:rsidR="056EC04B">
        <w:rPr>
          <w:rFonts w:eastAsia="Calibri" w:cs="Tahoma"/>
          <w:color w:val="0D0D0D" w:themeColor="text1" w:themeTint="F2" w:themeShade="FF"/>
        </w:rPr>
        <w:t xml:space="preserve"> el expediente conformado con motivo del Recurso de Revisión </w:t>
      </w:r>
      <w:r w:rsidRPr="056EC04B" w:rsidR="056EC04B">
        <w:rPr>
          <w:rFonts w:eastAsia="Calibri" w:cs="Tahoma"/>
          <w:b w:val="1"/>
          <w:bCs w:val="1"/>
          <w:color w:val="000000" w:themeColor="text1" w:themeTint="FF" w:themeShade="FF"/>
        </w:rPr>
        <w:t>00806/INFOEM/IP/RR/2022</w:t>
      </w:r>
      <w:r w:rsidRPr="056EC04B" w:rsidR="056EC04B">
        <w:rPr>
          <w:rFonts w:eastAsia="Calibri" w:cs="Tahoma"/>
          <w:color w:val="000000" w:themeColor="text1" w:themeTint="FF" w:themeShade="FF"/>
        </w:rPr>
        <w:t xml:space="preserve">, interpuesto por </w:t>
      </w:r>
      <w:r w:rsidRPr="056EC04B" w:rsidR="056EC04B">
        <w:rPr>
          <w:rFonts w:eastAsia="Calibri" w:cs="Tahoma"/>
          <w:color w:val="000000" w:themeColor="text1" w:themeTint="FF" w:themeShade="FF"/>
          <w:highlight w:val="black"/>
        </w:rPr>
        <w:t>XXXXXXXXXXXXXXXXXXXX</w:t>
      </w:r>
      <w:r w:rsidRPr="056EC04B" w:rsidR="056EC04B">
        <w:rPr>
          <w:rFonts w:eastAsia="Calibri" w:cs="Tahoma"/>
          <w:color w:val="000000" w:themeColor="text1" w:themeTint="FF" w:themeShade="FF"/>
        </w:rPr>
        <w:t xml:space="preserve">, en lo sucesivo, el </w:t>
      </w:r>
      <w:r w:rsidRPr="056EC04B" w:rsidR="056EC04B">
        <w:rPr>
          <w:rFonts w:eastAsia="Calibri" w:cs="Tahoma"/>
          <w:color w:val="0D0D0D" w:themeColor="text1" w:themeTint="F2" w:themeShade="FF"/>
        </w:rPr>
        <w:t>Recurrente o Particular, en contra de la respuesta del Sujeto Obligado,</w:t>
      </w:r>
      <w:r w:rsidRPr="056EC04B" w:rsidR="056EC04B">
        <w:rPr>
          <w:rFonts w:eastAsia="Calibri" w:cs="Tahoma"/>
          <w:color w:val="000000" w:themeColor="text1" w:themeTint="FF" w:themeShade="FF"/>
        </w:rPr>
        <w:t xml:space="preserve"> Instituto de Salud del Estado de México, a la solicitud de acceso a la información 00034/ISEM/IP/2022, se emite la presente Resolución, con base en los Antecedentes y Considerandos que se exponen a continuación:</w:t>
      </w:r>
    </w:p>
    <w:p w:rsidR="00B9197E" w:rsidP="001B16EC" w:rsidRDefault="00B9197E" w14:paraId="28CFA99B" w14:textId="77777777">
      <w:pPr>
        <w:tabs>
          <w:tab w:val="center" w:pos="4522"/>
          <w:tab w:val="left" w:pos="7245"/>
        </w:tabs>
        <w:spacing w:after="0" w:line="360" w:lineRule="auto"/>
        <w:rPr>
          <w:rFonts w:eastAsia="Calibri" w:cs="Tahoma"/>
          <w:b/>
          <w:color w:val="000000"/>
        </w:rPr>
      </w:pPr>
    </w:p>
    <w:p w:rsidRPr="00A701D3" w:rsidR="00C853D1" w:rsidP="001B16EC" w:rsidRDefault="00C853D1" w14:paraId="0472C645" w14:textId="77777777">
      <w:pPr>
        <w:tabs>
          <w:tab w:val="center" w:pos="4522"/>
          <w:tab w:val="left" w:pos="7245"/>
        </w:tabs>
        <w:spacing w:after="0" w:line="360" w:lineRule="auto"/>
        <w:jc w:val="center"/>
        <w:rPr>
          <w:rFonts w:eastAsia="Calibri" w:cs="Tahoma"/>
          <w:b/>
          <w:color w:val="000000"/>
        </w:rPr>
      </w:pPr>
      <w:r w:rsidRPr="00A701D3">
        <w:rPr>
          <w:rFonts w:eastAsia="Calibri" w:cs="Tahoma"/>
          <w:b/>
          <w:color w:val="000000"/>
        </w:rPr>
        <w:t>A N T E C E D E N T E S:</w:t>
      </w:r>
    </w:p>
    <w:p w:rsidRPr="00A701D3" w:rsidR="00C853D1" w:rsidP="001B16EC" w:rsidRDefault="00C853D1" w14:paraId="422D0175" w14:textId="77777777">
      <w:pPr>
        <w:spacing w:after="0" w:line="360" w:lineRule="auto"/>
      </w:pPr>
    </w:p>
    <w:p w:rsidRPr="00A701D3" w:rsidR="00C853D1" w:rsidP="001B16EC" w:rsidRDefault="00C853D1" w14:paraId="539DCEC7" w14:textId="77777777">
      <w:pPr>
        <w:tabs>
          <w:tab w:val="left" w:pos="567"/>
        </w:tabs>
        <w:spacing w:after="0" w:line="360" w:lineRule="auto"/>
        <w:rPr>
          <w:rFonts w:eastAsia="Times New Roman" w:cs="Tahoma"/>
          <w:b/>
          <w:color w:val="auto"/>
          <w:lang w:eastAsia="es-ES"/>
        </w:rPr>
      </w:pPr>
      <w:r w:rsidRPr="00A701D3">
        <w:rPr>
          <w:rFonts w:eastAsia="Times New Roman" w:cs="Tahoma"/>
          <w:b/>
          <w:color w:val="auto"/>
          <w:lang w:eastAsia="es-ES"/>
        </w:rPr>
        <w:t>I. Presentación de la solicitud de información:</w:t>
      </w:r>
    </w:p>
    <w:p w:rsidRPr="00A701D3" w:rsidR="00C853D1" w:rsidP="001B16EC" w:rsidRDefault="00C853D1" w14:paraId="681289FF" w14:textId="77777777">
      <w:pPr>
        <w:tabs>
          <w:tab w:val="left" w:pos="567"/>
        </w:tabs>
        <w:spacing w:after="0" w:line="360" w:lineRule="auto"/>
        <w:rPr>
          <w:rFonts w:eastAsia="Times New Roman" w:cs="Tahoma"/>
          <w:color w:val="auto"/>
          <w:lang w:eastAsia="es-ES"/>
        </w:rPr>
      </w:pPr>
    </w:p>
    <w:p w:rsidRPr="00A701D3" w:rsidR="00C853D1" w:rsidP="001B16EC" w:rsidRDefault="00C853D1" w14:paraId="2A44F672" w14:textId="62630369">
      <w:pPr>
        <w:spacing w:after="0" w:line="360" w:lineRule="auto"/>
        <w:rPr>
          <w:rFonts w:eastAsia="Times New Roman" w:cs="Tahoma"/>
          <w:color w:val="auto"/>
          <w:lang w:eastAsia="es-ES"/>
        </w:rPr>
      </w:pPr>
      <w:r w:rsidRPr="00A701D3">
        <w:rPr>
          <w:rFonts w:eastAsia="Times New Roman" w:cs="Tahoma"/>
          <w:color w:val="auto"/>
          <w:lang w:eastAsia="es-ES"/>
        </w:rPr>
        <w:t>Con fecha</w:t>
      </w:r>
      <w:r w:rsidRPr="00A701D3" w:rsidR="006F21F2">
        <w:rPr>
          <w:rFonts w:eastAsia="Times New Roman" w:cs="Tahoma"/>
          <w:color w:val="auto"/>
          <w:lang w:eastAsia="es-ES"/>
        </w:rPr>
        <w:t xml:space="preserve"> catorce de enero de dos mil veintidós</w:t>
      </w:r>
      <w:r w:rsidRPr="00A701D3">
        <w:rPr>
          <w:rFonts w:eastAsia="Times New Roman" w:cs="Tahoma"/>
          <w:color w:val="auto"/>
          <w:lang w:eastAsia="es-ES"/>
        </w:rPr>
        <w:t xml:space="preserve">, el Particular presentó una solicitud de acceso a la información pública, a través del Sistema de Acceso a la Información Mexiquense (SAIMEX), ante el </w:t>
      </w:r>
      <w:r w:rsidRPr="00A701D3" w:rsidR="006F21F2">
        <w:rPr>
          <w:rFonts w:eastAsia="Calibri" w:cs="Tahoma"/>
        </w:rPr>
        <w:t>Instituto de Salud del Estado de México</w:t>
      </w:r>
      <w:r w:rsidRPr="00A701D3">
        <w:rPr>
          <w:rFonts w:eastAsia="Calibri" w:cs="Tahoma"/>
        </w:rPr>
        <w:t xml:space="preserve">, en los siguientes términos: </w:t>
      </w:r>
    </w:p>
    <w:p w:rsidRPr="00A701D3" w:rsidR="00C853D1" w:rsidP="001B16EC" w:rsidRDefault="00C853D1" w14:paraId="32AF4217" w14:textId="77777777">
      <w:pPr>
        <w:spacing w:after="0" w:line="360" w:lineRule="auto"/>
        <w:rPr>
          <w:rFonts w:eastAsia="Calibri" w:cs="Tahoma"/>
        </w:rPr>
      </w:pPr>
    </w:p>
    <w:p w:rsidRPr="00A701D3" w:rsidR="00C853D1" w:rsidP="001B16EC"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A701D3">
        <w:rPr>
          <w:rFonts w:eastAsia="Times New Roman" w:cs="Tahoma"/>
          <w:b/>
          <w:i/>
          <w:iCs/>
          <w:color w:val="auto"/>
          <w:sz w:val="20"/>
          <w:szCs w:val="20"/>
          <w:lang w:eastAsia="es-ES"/>
        </w:rPr>
        <w:t>“DESCRIPCIÓN CLARA Y PRECISA DE LA INFORMACIÓN SOLICITADA.</w:t>
      </w:r>
    </w:p>
    <w:p w:rsidRPr="00A701D3" w:rsidR="00C853D1" w:rsidP="001B16EC" w:rsidRDefault="00B306E6" w14:paraId="47049033" w14:textId="7D5A0C14">
      <w:pPr>
        <w:tabs>
          <w:tab w:val="left" w:pos="4667"/>
        </w:tabs>
        <w:spacing w:after="0" w:line="360" w:lineRule="auto"/>
        <w:ind w:left="567" w:right="567"/>
        <w:rPr>
          <w:rFonts w:eastAsia="Times New Roman" w:cs="Tahoma"/>
          <w:bCs/>
          <w:i/>
          <w:iCs/>
          <w:color w:val="auto"/>
          <w:sz w:val="20"/>
          <w:szCs w:val="20"/>
          <w:lang w:eastAsia="es-ES"/>
        </w:rPr>
      </w:pPr>
      <w:r w:rsidRPr="00A701D3">
        <w:rPr>
          <w:rFonts w:eastAsia="Times New Roman" w:cs="Tahoma"/>
          <w:bCs/>
          <w:i/>
          <w:iCs/>
          <w:color w:val="auto"/>
          <w:sz w:val="20"/>
          <w:szCs w:val="20"/>
          <w:lang w:eastAsia="es-ES"/>
        </w:rPr>
        <w:t>Todos los contratos realizados por la dependencia mediante adjudicación directa del 2020 al 2022</w:t>
      </w:r>
      <w:r w:rsidRPr="00A701D3" w:rsidR="00BC2DAE">
        <w:rPr>
          <w:rFonts w:eastAsia="Times New Roman" w:cs="Tahoma"/>
          <w:bCs/>
          <w:i/>
          <w:iCs/>
          <w:color w:val="auto"/>
          <w:sz w:val="20"/>
          <w:szCs w:val="20"/>
          <w:lang w:eastAsia="es-ES"/>
        </w:rPr>
        <w:t>.</w:t>
      </w:r>
      <w:r w:rsidRPr="00A701D3" w:rsidR="00C853D1">
        <w:rPr>
          <w:rFonts w:eastAsia="Times New Roman" w:cs="Tahoma"/>
          <w:bCs/>
          <w:i/>
          <w:iCs/>
          <w:color w:val="auto"/>
          <w:sz w:val="20"/>
          <w:szCs w:val="20"/>
          <w:lang w:eastAsia="es-ES"/>
        </w:rPr>
        <w:t xml:space="preserve">” (Sic) </w:t>
      </w:r>
    </w:p>
    <w:p w:rsidRPr="00A701D3" w:rsidR="00C853D1" w:rsidP="001B16EC"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A701D3" w:rsidR="00C853D1" w:rsidP="001B16EC"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A701D3">
        <w:rPr>
          <w:rFonts w:eastAsia="Times New Roman" w:cs="Tahoma"/>
          <w:b/>
          <w:bCs/>
          <w:i/>
          <w:iCs/>
          <w:color w:val="auto"/>
          <w:sz w:val="20"/>
          <w:lang w:eastAsia="es-ES"/>
        </w:rPr>
        <w:t>“MODALIDAD DE ENTREGA</w:t>
      </w:r>
    </w:p>
    <w:p w:rsidRPr="00A701D3" w:rsidR="00C853D1" w:rsidP="001B16EC" w:rsidRDefault="00C853D1" w14:paraId="59678C94" w14:textId="1E32CB35">
      <w:pPr>
        <w:spacing w:after="0" w:line="360" w:lineRule="auto"/>
        <w:ind w:left="567" w:right="567"/>
        <w:rPr>
          <w:rFonts w:eastAsia="Times New Roman" w:cs="Arial"/>
          <w:bCs/>
          <w:i/>
          <w:iCs/>
          <w:color w:val="auto"/>
          <w:sz w:val="20"/>
          <w:lang w:eastAsia="es-ES"/>
        </w:rPr>
      </w:pPr>
      <w:r w:rsidRPr="00A701D3">
        <w:rPr>
          <w:rFonts w:eastAsia="Times New Roman" w:cs="Arial"/>
          <w:bCs/>
          <w:i/>
          <w:iCs/>
          <w:color w:val="auto"/>
          <w:sz w:val="20"/>
          <w:lang w:eastAsia="es-ES"/>
        </w:rPr>
        <w:t>A través del SAIMEX”</w:t>
      </w:r>
    </w:p>
    <w:p w:rsidRPr="00A701D3" w:rsidR="00682222" w:rsidP="001B16EC" w:rsidRDefault="00682222" w14:paraId="1DAA8380" w14:textId="77777777">
      <w:pPr>
        <w:spacing w:after="0" w:line="360" w:lineRule="auto"/>
        <w:ind w:left="567" w:right="567"/>
        <w:rPr>
          <w:rFonts w:eastAsia="Times New Roman" w:cs="Arial"/>
          <w:bCs/>
          <w:i/>
          <w:iCs/>
          <w:color w:val="auto"/>
          <w:sz w:val="20"/>
          <w:lang w:eastAsia="es-ES"/>
        </w:rPr>
      </w:pPr>
    </w:p>
    <w:p w:rsidRPr="00A701D3" w:rsidR="00C853D1" w:rsidP="001B16EC" w:rsidRDefault="00C853D1" w14:paraId="7488ED31" w14:textId="77777777">
      <w:pPr>
        <w:autoSpaceDE w:val="0"/>
        <w:autoSpaceDN w:val="0"/>
        <w:adjustRightInd w:val="0"/>
        <w:spacing w:after="0" w:line="360" w:lineRule="auto"/>
        <w:rPr>
          <w:b/>
          <w:bCs/>
        </w:rPr>
      </w:pPr>
      <w:r w:rsidRPr="00A701D3">
        <w:rPr>
          <w:rFonts w:cs="Tahoma"/>
          <w:b/>
        </w:rPr>
        <w:t>II.</w:t>
      </w:r>
      <w:r w:rsidRPr="00A701D3">
        <w:rPr>
          <w:b/>
          <w:bCs/>
        </w:rPr>
        <w:t xml:space="preserve"> Respuesta del Sujeto Obligado. </w:t>
      </w:r>
    </w:p>
    <w:p w:rsidRPr="00A701D3" w:rsidR="00C853D1" w:rsidP="001B16EC" w:rsidRDefault="00B306E6" w14:paraId="4400726D" w14:textId="3489189D">
      <w:pPr>
        <w:spacing w:after="0" w:line="360" w:lineRule="auto"/>
      </w:pPr>
      <w:r w:rsidRPr="00A701D3">
        <w:lastRenderedPageBreak/>
        <w:t xml:space="preserve">Con fecha </w:t>
      </w:r>
      <w:r w:rsidRPr="00A701D3" w:rsidR="00743A1D">
        <w:t xml:space="preserve">cuatro de febrero de dos mil veintidós, el Sujeto Obligado notifico, a través del Sistema de Acceso a la Información Mexiquense (SAIMEX), la respuesta a la solicitud de acceso a la información pública, mediante el oficio número: ISEM/SAIMEX/068/2022 del mismo mes y año previamente referido, suscrito por la Titular de la Unidad de Transparencia y es dirigido al Solicitante en los siguiente términos: </w:t>
      </w:r>
    </w:p>
    <w:p w:rsidRPr="00A701D3" w:rsidR="00743A1D" w:rsidP="001B16EC" w:rsidRDefault="00743A1D" w14:paraId="57320225" w14:textId="77777777">
      <w:pPr>
        <w:spacing w:after="0" w:line="360" w:lineRule="auto"/>
      </w:pPr>
    </w:p>
    <w:p w:rsidRPr="00A701D3" w:rsidR="00743A1D" w:rsidP="001B16EC" w:rsidRDefault="00743A1D" w14:paraId="0A820A57" w14:textId="0F8BBF54">
      <w:pPr>
        <w:spacing w:after="0" w:line="360" w:lineRule="auto"/>
        <w:ind w:left="567" w:right="567"/>
        <w:rPr>
          <w:i/>
          <w:sz w:val="20"/>
          <w:szCs w:val="20"/>
        </w:rPr>
      </w:pPr>
      <w:r w:rsidRPr="00A701D3">
        <w:rPr>
          <w:i/>
          <w:sz w:val="20"/>
          <w:szCs w:val="20"/>
        </w:rPr>
        <w:t>“…</w:t>
      </w:r>
    </w:p>
    <w:p w:rsidRPr="00A701D3" w:rsidR="00E82E16" w:rsidP="001B16EC" w:rsidRDefault="00743A1D" w14:paraId="0D1DB964" w14:textId="77777777">
      <w:pPr>
        <w:spacing w:after="0" w:line="360" w:lineRule="auto"/>
        <w:ind w:left="567" w:right="567"/>
        <w:rPr>
          <w:i/>
          <w:sz w:val="20"/>
          <w:szCs w:val="20"/>
        </w:rPr>
      </w:pPr>
      <w:r w:rsidRPr="00A701D3">
        <w:rPr>
          <w:i/>
          <w:sz w:val="20"/>
          <w:szCs w:val="20"/>
        </w:rPr>
        <w:t>En cumplimiento a los que establecen los artículos 1, 4, 6, 16, 17 y 45 de la Ley General de Transparencia y</w:t>
      </w:r>
      <w:r w:rsidRPr="00A701D3" w:rsidR="00E82E16">
        <w:rPr>
          <w:i/>
          <w:sz w:val="20"/>
          <w:szCs w:val="20"/>
        </w:rPr>
        <w:t xml:space="preserve"> </w:t>
      </w:r>
      <w:r w:rsidRPr="00A701D3">
        <w:rPr>
          <w:i/>
          <w:sz w:val="20"/>
          <w:szCs w:val="20"/>
        </w:rPr>
        <w:t>Acceso a la Información Pública, así como 1, 2, 7, 8, 11, 50, 52, 53 fracciones II, V, VI y XII, 58, 59 fracción</w:t>
      </w:r>
      <w:r w:rsidRPr="00A701D3" w:rsidR="00E82E16">
        <w:rPr>
          <w:i/>
          <w:sz w:val="20"/>
          <w:szCs w:val="20"/>
        </w:rPr>
        <w:t xml:space="preserve"> </w:t>
      </w:r>
      <w:r w:rsidRPr="00A701D3">
        <w:rPr>
          <w:i/>
          <w:sz w:val="20"/>
          <w:szCs w:val="20"/>
        </w:rPr>
        <w:t>I, 162 y 163 de la Ley de Transparencia y Acceso a la Información Pública del Estado de México y</w:t>
      </w:r>
      <w:r w:rsidRPr="00A701D3" w:rsidR="00E82E16">
        <w:rPr>
          <w:i/>
          <w:sz w:val="20"/>
          <w:szCs w:val="20"/>
        </w:rPr>
        <w:t xml:space="preserve"> </w:t>
      </w:r>
      <w:r w:rsidRPr="00A701D3">
        <w:rPr>
          <w:i/>
          <w:sz w:val="20"/>
          <w:szCs w:val="20"/>
        </w:rPr>
        <w:t>Municipios, se informa:</w:t>
      </w:r>
      <w:r w:rsidRPr="00A701D3" w:rsidR="00E82E16">
        <w:rPr>
          <w:i/>
          <w:sz w:val="20"/>
          <w:szCs w:val="20"/>
        </w:rPr>
        <w:t xml:space="preserve"> </w:t>
      </w:r>
      <w:r w:rsidRPr="00A701D3">
        <w:rPr>
          <w:i/>
          <w:sz w:val="20"/>
          <w:szCs w:val="20"/>
        </w:rPr>
        <w:t>Con fundamento en el artículo 12 de la Ley de Transparencia y Acceso a la Información Pública del Estado</w:t>
      </w:r>
      <w:r w:rsidRPr="00A701D3" w:rsidR="00E82E16">
        <w:rPr>
          <w:i/>
          <w:sz w:val="20"/>
          <w:szCs w:val="20"/>
        </w:rPr>
        <w:t xml:space="preserve"> </w:t>
      </w:r>
      <w:r w:rsidRPr="00A701D3">
        <w:rPr>
          <w:i/>
          <w:sz w:val="20"/>
          <w:szCs w:val="20"/>
        </w:rPr>
        <w:t>de México y Municipios, que textualmente señala: “Quienes generen, recopilen, administren, manejen,</w:t>
      </w:r>
      <w:r w:rsidRPr="00A701D3" w:rsidR="00E82E16">
        <w:rPr>
          <w:i/>
          <w:sz w:val="20"/>
          <w:szCs w:val="20"/>
        </w:rPr>
        <w:t xml:space="preserve"> </w:t>
      </w:r>
      <w:r w:rsidRPr="00A701D3">
        <w:rPr>
          <w:i/>
          <w:sz w:val="20"/>
          <w:szCs w:val="20"/>
        </w:rPr>
        <w:t>procesen, archiven o conserven información pública serán responsables de la misma en los términos de las</w:t>
      </w:r>
      <w:r w:rsidRPr="00A701D3" w:rsidR="00E82E16">
        <w:rPr>
          <w:i/>
          <w:sz w:val="20"/>
          <w:szCs w:val="20"/>
        </w:rPr>
        <w:t xml:space="preserve"> </w:t>
      </w:r>
      <w:r w:rsidRPr="00A701D3">
        <w:rPr>
          <w:i/>
          <w:sz w:val="20"/>
          <w:szCs w:val="20"/>
        </w:rPr>
        <w:t>disposiciones jurídicas aplicables.</w:t>
      </w:r>
    </w:p>
    <w:p w:rsidRPr="00A701D3" w:rsidR="00E82E16" w:rsidP="001B16EC" w:rsidRDefault="00E82E16" w14:paraId="0C53FEC6" w14:textId="77777777">
      <w:pPr>
        <w:spacing w:after="0" w:line="360" w:lineRule="auto"/>
        <w:ind w:left="567" w:right="567"/>
        <w:rPr>
          <w:i/>
          <w:sz w:val="20"/>
          <w:szCs w:val="20"/>
        </w:rPr>
      </w:pPr>
    </w:p>
    <w:p w:rsidRPr="00A701D3" w:rsidR="00E82E16" w:rsidP="001B16EC" w:rsidRDefault="00743A1D" w14:paraId="2BC3F397" w14:textId="77777777">
      <w:pPr>
        <w:spacing w:after="0" w:line="360" w:lineRule="auto"/>
        <w:ind w:left="567" w:right="567"/>
        <w:rPr>
          <w:i/>
          <w:sz w:val="20"/>
          <w:szCs w:val="20"/>
        </w:rPr>
      </w:pPr>
      <w:r w:rsidRPr="00A701D3">
        <w:rPr>
          <w:i/>
          <w:sz w:val="20"/>
          <w:szCs w:val="20"/>
        </w:rPr>
        <w:t>Los sujetos obligados sólo proporcionarán la información pública que se les requiera y que obre en sus</w:t>
      </w:r>
      <w:r w:rsidRPr="00A701D3" w:rsidR="00E82E16">
        <w:rPr>
          <w:i/>
          <w:sz w:val="20"/>
          <w:szCs w:val="20"/>
        </w:rPr>
        <w:t xml:space="preserve"> </w:t>
      </w:r>
      <w:r w:rsidRPr="00A701D3">
        <w:rPr>
          <w:i/>
          <w:sz w:val="20"/>
          <w:szCs w:val="20"/>
        </w:rPr>
        <w:t>archivos y en el estado en que ésta se encuentre. La obligación de proporcionar información no comprende</w:t>
      </w:r>
      <w:r w:rsidRPr="00A701D3" w:rsidR="00E82E16">
        <w:rPr>
          <w:i/>
          <w:sz w:val="20"/>
          <w:szCs w:val="20"/>
        </w:rPr>
        <w:t xml:space="preserve"> </w:t>
      </w:r>
      <w:r w:rsidRPr="00A701D3">
        <w:rPr>
          <w:i/>
          <w:sz w:val="20"/>
          <w:szCs w:val="20"/>
        </w:rPr>
        <w:t>el procesamiento de la misma, ni el presentarla conforme al int</w:t>
      </w:r>
      <w:r w:rsidRPr="00A701D3" w:rsidR="00E82E16">
        <w:rPr>
          <w:i/>
          <w:sz w:val="20"/>
          <w:szCs w:val="20"/>
        </w:rPr>
        <w:t xml:space="preserve">erés </w:t>
      </w:r>
      <w:r w:rsidRPr="00A701D3">
        <w:rPr>
          <w:i/>
          <w:sz w:val="20"/>
          <w:szCs w:val="20"/>
        </w:rPr>
        <w:t>del solicitante; no estarán obligados a</w:t>
      </w:r>
      <w:r w:rsidRPr="00A701D3" w:rsidR="00E82E16">
        <w:rPr>
          <w:i/>
          <w:sz w:val="20"/>
          <w:szCs w:val="20"/>
        </w:rPr>
        <w:t xml:space="preserve"> </w:t>
      </w:r>
      <w:r w:rsidRPr="00A701D3">
        <w:rPr>
          <w:i/>
          <w:sz w:val="20"/>
          <w:szCs w:val="20"/>
        </w:rPr>
        <w:t>generarla, resumirla, efectuar cálculos o practicar investigaciones”.</w:t>
      </w:r>
    </w:p>
    <w:p w:rsidRPr="00A701D3" w:rsidR="00E82E16" w:rsidP="001B16EC" w:rsidRDefault="00E82E16" w14:paraId="0D61B598" w14:textId="77777777">
      <w:pPr>
        <w:spacing w:after="0" w:line="360" w:lineRule="auto"/>
        <w:ind w:left="567" w:right="567"/>
        <w:rPr>
          <w:i/>
          <w:sz w:val="20"/>
          <w:szCs w:val="20"/>
        </w:rPr>
      </w:pPr>
    </w:p>
    <w:p w:rsidRPr="00A701D3" w:rsidR="00743A1D" w:rsidP="001B16EC" w:rsidRDefault="00743A1D" w14:paraId="7F37B7B4" w14:textId="3FE76A2F">
      <w:pPr>
        <w:spacing w:after="0" w:line="360" w:lineRule="auto"/>
        <w:ind w:left="567" w:right="567"/>
        <w:rPr>
          <w:i/>
          <w:sz w:val="20"/>
          <w:szCs w:val="20"/>
        </w:rPr>
      </w:pPr>
      <w:r w:rsidRPr="00A701D3">
        <w:rPr>
          <w:i/>
          <w:sz w:val="20"/>
          <w:szCs w:val="20"/>
        </w:rPr>
        <w:t>Toda vez de la búsqueda realizada en las unidades administrativas dependientes de la estructura orgánica</w:t>
      </w:r>
      <w:r w:rsidRPr="00A701D3" w:rsidR="00E82E16">
        <w:rPr>
          <w:i/>
          <w:sz w:val="20"/>
          <w:szCs w:val="20"/>
        </w:rPr>
        <w:t xml:space="preserve"> </w:t>
      </w:r>
      <w:r w:rsidRPr="00A701D3">
        <w:rPr>
          <w:i/>
          <w:sz w:val="20"/>
          <w:szCs w:val="20"/>
        </w:rPr>
        <w:t>de la Dirección de Administración de este Sujeto Obligado, a través de su Subdirección de Recursos</w:t>
      </w:r>
      <w:r w:rsidRPr="00A701D3" w:rsidR="00E82E16">
        <w:rPr>
          <w:i/>
          <w:sz w:val="20"/>
          <w:szCs w:val="20"/>
        </w:rPr>
        <w:t xml:space="preserve"> </w:t>
      </w:r>
      <w:r w:rsidRPr="00A701D3">
        <w:rPr>
          <w:i/>
          <w:sz w:val="20"/>
          <w:szCs w:val="20"/>
        </w:rPr>
        <w:t>Materiales cuyo objetivo es, de conformidad a la expuesto en el Manual General de Organización del</w:t>
      </w:r>
      <w:r w:rsidRPr="00A701D3" w:rsidR="00E82E16">
        <w:rPr>
          <w:i/>
          <w:sz w:val="20"/>
          <w:szCs w:val="20"/>
        </w:rPr>
        <w:t xml:space="preserve"> </w:t>
      </w:r>
      <w:r w:rsidRPr="00A701D3">
        <w:rPr>
          <w:i/>
          <w:sz w:val="20"/>
          <w:szCs w:val="20"/>
        </w:rPr>
        <w:t>Instituto de Salud del Est</w:t>
      </w:r>
      <w:r w:rsidRPr="00A701D3" w:rsidR="00E82E16">
        <w:rPr>
          <w:i/>
          <w:sz w:val="20"/>
          <w:szCs w:val="20"/>
        </w:rPr>
        <w:t>ado de México, el “Coordinar las</w:t>
      </w:r>
      <w:r w:rsidRPr="00A701D3">
        <w:rPr>
          <w:i/>
          <w:sz w:val="20"/>
          <w:szCs w:val="20"/>
        </w:rPr>
        <w:t xml:space="preserve"> acciones para la adquisición, almacenamiento y</w:t>
      </w:r>
      <w:r w:rsidRPr="00A701D3" w:rsidR="00E82E16">
        <w:rPr>
          <w:i/>
          <w:sz w:val="20"/>
          <w:szCs w:val="20"/>
        </w:rPr>
        <w:t xml:space="preserve"> </w:t>
      </w:r>
      <w:r w:rsidRPr="00A701D3">
        <w:rPr>
          <w:i/>
          <w:sz w:val="20"/>
          <w:szCs w:val="20"/>
        </w:rPr>
        <w:t>suministro de bienes muebles, alimentos, equipo y materiales que requie</w:t>
      </w:r>
      <w:r w:rsidRPr="00A701D3" w:rsidR="00E82E16">
        <w:rPr>
          <w:i/>
          <w:sz w:val="20"/>
          <w:szCs w:val="20"/>
        </w:rPr>
        <w:t xml:space="preserve">ran las unidades aplicativas del </w:t>
      </w:r>
      <w:r w:rsidRPr="00A701D3">
        <w:rPr>
          <w:i/>
          <w:sz w:val="20"/>
          <w:szCs w:val="20"/>
        </w:rPr>
        <w:t xml:space="preserve">Instituto para el logro de sus objetivos, a efecto de que puedan </w:t>
      </w:r>
      <w:r w:rsidRPr="00A701D3" w:rsidR="00E82E16">
        <w:rPr>
          <w:i/>
          <w:sz w:val="20"/>
          <w:szCs w:val="20"/>
        </w:rPr>
        <w:t xml:space="preserve">disponer de ellos en el tiempo, </w:t>
      </w:r>
      <w:r w:rsidRPr="00A701D3">
        <w:rPr>
          <w:i/>
          <w:sz w:val="20"/>
          <w:szCs w:val="20"/>
        </w:rPr>
        <w:t>lugar,</w:t>
      </w:r>
      <w:r w:rsidRPr="00A701D3" w:rsidR="00E82E16">
        <w:rPr>
          <w:i/>
          <w:sz w:val="20"/>
          <w:szCs w:val="20"/>
        </w:rPr>
        <w:t xml:space="preserve"> </w:t>
      </w:r>
      <w:r w:rsidRPr="00A701D3">
        <w:rPr>
          <w:i/>
          <w:sz w:val="20"/>
          <w:szCs w:val="20"/>
        </w:rPr>
        <w:t>cantidad y calidad requeridos”, se da atención a su solicitud mediante el documento</w:t>
      </w:r>
      <w:r w:rsidRPr="00A701D3" w:rsidR="00E82E16">
        <w:rPr>
          <w:i/>
          <w:sz w:val="20"/>
          <w:szCs w:val="20"/>
        </w:rPr>
        <w:t xml:space="preserve"> </w:t>
      </w:r>
      <w:r w:rsidRPr="00A701D3">
        <w:rPr>
          <w:i/>
          <w:sz w:val="20"/>
          <w:szCs w:val="20"/>
        </w:rPr>
        <w:t xml:space="preserve">208C0101320200l/0087/2022.[...] en el sentido de “después de realizar una </w:t>
      </w:r>
      <w:r w:rsidRPr="00A701D3">
        <w:rPr>
          <w:i/>
          <w:sz w:val="20"/>
          <w:szCs w:val="20"/>
        </w:rPr>
        <w:lastRenderedPageBreak/>
        <w:t>búsqueda exhaustiva y</w:t>
      </w:r>
      <w:r w:rsidRPr="00A701D3" w:rsidR="00E82E16">
        <w:rPr>
          <w:i/>
          <w:sz w:val="20"/>
          <w:szCs w:val="20"/>
        </w:rPr>
        <w:t xml:space="preserve"> </w:t>
      </w:r>
      <w:r w:rsidRPr="00A701D3">
        <w:rPr>
          <w:i/>
          <w:sz w:val="20"/>
          <w:szCs w:val="20"/>
        </w:rPr>
        <w:t>razonable, en las diferentes áreas que integran esta Subdirección a mi cargo, se cuenta con procedimientos</w:t>
      </w:r>
      <w:r w:rsidRPr="00A701D3" w:rsidR="00E82E16">
        <w:rPr>
          <w:i/>
          <w:sz w:val="20"/>
          <w:szCs w:val="20"/>
        </w:rPr>
        <w:t xml:space="preserve"> </w:t>
      </w:r>
      <w:r w:rsidRPr="00A701D3">
        <w:rPr>
          <w:i/>
          <w:sz w:val="20"/>
          <w:szCs w:val="20"/>
        </w:rPr>
        <w:t>cuyas documentales del expediente correspon</w:t>
      </w:r>
      <w:r w:rsidRPr="00A701D3" w:rsidR="00E82E16">
        <w:rPr>
          <w:i/>
          <w:sz w:val="20"/>
          <w:szCs w:val="20"/>
        </w:rPr>
        <w:t xml:space="preserve">diente en términos de la Ley de </w:t>
      </w:r>
      <w:r w:rsidRPr="00A701D3">
        <w:rPr>
          <w:i/>
          <w:sz w:val="20"/>
          <w:szCs w:val="20"/>
        </w:rPr>
        <w:t>Transparencia y Acceso a la</w:t>
      </w:r>
      <w:r w:rsidRPr="00A701D3" w:rsidR="00E82E16">
        <w:rPr>
          <w:i/>
          <w:sz w:val="20"/>
          <w:szCs w:val="20"/>
        </w:rPr>
        <w:t xml:space="preserve"> </w:t>
      </w:r>
      <w:r w:rsidRPr="00A701D3">
        <w:rPr>
          <w:i/>
          <w:sz w:val="20"/>
          <w:szCs w:val="20"/>
        </w:rPr>
        <w:t>Información Pública del Es</w:t>
      </w:r>
      <w:r w:rsidRPr="00A701D3" w:rsidR="00E82E16">
        <w:rPr>
          <w:i/>
          <w:sz w:val="20"/>
          <w:szCs w:val="20"/>
        </w:rPr>
        <w:t xml:space="preserve">tado de México y Municipios, se </w:t>
      </w:r>
      <w:r w:rsidRPr="00A701D3">
        <w:rPr>
          <w:i/>
          <w:sz w:val="20"/>
          <w:szCs w:val="20"/>
        </w:rPr>
        <w:t>encuentran disponibles en su versión pública en</w:t>
      </w:r>
      <w:r w:rsidRPr="00A701D3" w:rsidR="00E82E16">
        <w:rPr>
          <w:i/>
          <w:sz w:val="20"/>
          <w:szCs w:val="20"/>
        </w:rPr>
        <w:t xml:space="preserve"> </w:t>
      </w:r>
      <w:r w:rsidRPr="00A701D3">
        <w:rPr>
          <w:i/>
          <w:sz w:val="20"/>
          <w:szCs w:val="20"/>
        </w:rPr>
        <w:t>la página electrónica https://www.ipomex.org.mx/ipo3/lgt/indice/ISEM/art_92_xxix_a.web, fracción XXIX</w:t>
      </w:r>
    </w:p>
    <w:p w:rsidRPr="00A701D3" w:rsidR="00B306E6" w:rsidP="001B16EC" w:rsidRDefault="00B306E6" w14:paraId="2946C88E" w14:textId="77777777">
      <w:pPr>
        <w:spacing w:after="0" w:line="360" w:lineRule="auto"/>
        <w:ind w:left="567" w:right="567"/>
        <w:rPr>
          <w:i/>
          <w:sz w:val="20"/>
          <w:szCs w:val="20"/>
        </w:rPr>
      </w:pPr>
    </w:p>
    <w:p w:rsidRPr="00A701D3" w:rsidR="00B306E6" w:rsidP="001B16EC" w:rsidRDefault="00293FCE" w14:paraId="1B88AA7C" w14:textId="08F1259B">
      <w:pPr>
        <w:spacing w:after="0" w:line="360" w:lineRule="auto"/>
        <w:ind w:left="567" w:right="567"/>
        <w:jc w:val="center"/>
        <w:rPr>
          <w:i/>
          <w:sz w:val="20"/>
          <w:szCs w:val="20"/>
        </w:rPr>
      </w:pPr>
      <w:r w:rsidRPr="00A701D3">
        <w:rPr>
          <w:i/>
          <w:noProof/>
          <w:sz w:val="20"/>
          <w:szCs w:val="20"/>
          <w:lang w:eastAsia="es-MX"/>
        </w:rPr>
        <w:drawing>
          <wp:inline distT="0" distB="0" distL="0" distR="0" wp14:anchorId="263C70C5" wp14:editId="40B5A413">
            <wp:extent cx="4486275" cy="919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38FA.tmp"/>
                    <pic:cNvPicPr/>
                  </pic:nvPicPr>
                  <pic:blipFill>
                    <a:blip r:embed="rId8">
                      <a:extLst>
                        <a:ext uri="{28A0092B-C50C-407E-A947-70E740481C1C}">
                          <a14:useLocalDpi xmlns:a14="http://schemas.microsoft.com/office/drawing/2010/main" val="0"/>
                        </a:ext>
                      </a:extLst>
                    </a:blip>
                    <a:stretch>
                      <a:fillRect/>
                    </a:stretch>
                  </pic:blipFill>
                  <pic:spPr>
                    <a:xfrm>
                      <a:off x="0" y="0"/>
                      <a:ext cx="4522371" cy="926687"/>
                    </a:xfrm>
                    <a:prstGeom prst="rect">
                      <a:avLst/>
                    </a:prstGeom>
                  </pic:spPr>
                </pic:pic>
              </a:graphicData>
            </a:graphic>
          </wp:inline>
        </w:drawing>
      </w:r>
    </w:p>
    <w:p w:rsidRPr="00A701D3" w:rsidR="00B306E6" w:rsidP="001B16EC" w:rsidRDefault="00293FCE" w14:paraId="650118AF" w14:textId="20643D6E">
      <w:pPr>
        <w:spacing w:after="0" w:line="360" w:lineRule="auto"/>
        <w:ind w:left="567" w:right="567"/>
        <w:jc w:val="center"/>
        <w:rPr>
          <w:i/>
          <w:sz w:val="20"/>
          <w:szCs w:val="20"/>
        </w:rPr>
      </w:pPr>
      <w:r w:rsidRPr="00A701D3">
        <w:rPr>
          <w:i/>
          <w:noProof/>
          <w:sz w:val="20"/>
          <w:szCs w:val="20"/>
          <w:lang w:eastAsia="es-MX"/>
        </w:rPr>
        <w:drawing>
          <wp:inline distT="0" distB="0" distL="0" distR="0" wp14:anchorId="40955F8E" wp14:editId="075425CD">
            <wp:extent cx="4543425" cy="32462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8EBD.tmp"/>
                    <pic:cNvPicPr/>
                  </pic:nvPicPr>
                  <pic:blipFill>
                    <a:blip r:embed="rId9">
                      <a:extLst>
                        <a:ext uri="{28A0092B-C50C-407E-A947-70E740481C1C}">
                          <a14:useLocalDpi xmlns:a14="http://schemas.microsoft.com/office/drawing/2010/main" val="0"/>
                        </a:ext>
                      </a:extLst>
                    </a:blip>
                    <a:stretch>
                      <a:fillRect/>
                    </a:stretch>
                  </pic:blipFill>
                  <pic:spPr>
                    <a:xfrm>
                      <a:off x="0" y="0"/>
                      <a:ext cx="4558450" cy="3257035"/>
                    </a:xfrm>
                    <a:prstGeom prst="rect">
                      <a:avLst/>
                    </a:prstGeom>
                  </pic:spPr>
                </pic:pic>
              </a:graphicData>
            </a:graphic>
          </wp:inline>
        </w:drawing>
      </w:r>
    </w:p>
    <w:p w:rsidRPr="00A701D3" w:rsidR="00B306E6" w:rsidP="001B16EC" w:rsidRDefault="00293FCE" w14:paraId="761CCFE8" w14:textId="228AE9C8">
      <w:pPr>
        <w:spacing w:after="0" w:line="360" w:lineRule="auto"/>
        <w:ind w:left="567" w:right="567"/>
        <w:rPr>
          <w:i/>
          <w:sz w:val="20"/>
          <w:szCs w:val="20"/>
        </w:rPr>
      </w:pPr>
      <w:r w:rsidRPr="00A701D3">
        <w:rPr>
          <w:i/>
          <w:sz w:val="20"/>
          <w:szCs w:val="20"/>
        </w:rPr>
        <w:t xml:space="preserve">…” (Sic) </w:t>
      </w:r>
    </w:p>
    <w:p w:rsidRPr="00A701D3" w:rsidR="00C853D1" w:rsidP="001B16EC" w:rsidRDefault="00C853D1" w14:paraId="5A132506" w14:textId="77777777">
      <w:pPr>
        <w:spacing w:after="0" w:line="360" w:lineRule="auto"/>
        <w:ind w:right="567"/>
        <w:rPr>
          <w:iCs/>
          <w:sz w:val="20"/>
          <w:szCs w:val="20"/>
        </w:rPr>
      </w:pPr>
    </w:p>
    <w:p w:rsidRPr="00056476" w:rsidR="00A958D5" w:rsidP="001B16EC" w:rsidRDefault="00056476" w14:paraId="1A7BEB83" w14:textId="1DB95F9B">
      <w:pPr>
        <w:spacing w:after="0" w:line="360" w:lineRule="auto"/>
        <w:ind w:right="567"/>
        <w:rPr>
          <w:iCs/>
        </w:rPr>
      </w:pPr>
      <w:r>
        <w:rPr>
          <w:iCs/>
        </w:rPr>
        <w:t>E</w:t>
      </w:r>
      <w:r w:rsidRPr="00056476" w:rsidR="00A958D5">
        <w:rPr>
          <w:iCs/>
        </w:rPr>
        <w:t>l Sujeto Obligado adjunt</w:t>
      </w:r>
      <w:r>
        <w:rPr>
          <w:iCs/>
        </w:rPr>
        <w:t>ó</w:t>
      </w:r>
      <w:r w:rsidRPr="00056476" w:rsidR="00A958D5">
        <w:rPr>
          <w:iCs/>
        </w:rPr>
        <w:t xml:space="preserve"> la digitalización del oficio número 208C0101320200L/0087/2022</w:t>
      </w:r>
      <w:r>
        <w:rPr>
          <w:iCs/>
        </w:rPr>
        <w:t xml:space="preserve">, del </w:t>
      </w:r>
      <w:r w:rsidRPr="00056476" w:rsidR="00A958D5">
        <w:rPr>
          <w:iCs/>
        </w:rPr>
        <w:t xml:space="preserve">veintiséis de enero de dos mil veintidós, suscrito por la Subdirectora de Recursos Materiales y es dirigido a la Titular de la Unidad de Transparencia, por medio del cual manifiesta y expone: </w:t>
      </w:r>
    </w:p>
    <w:p w:rsidRPr="00A701D3" w:rsidR="00A958D5" w:rsidP="001B16EC" w:rsidRDefault="00A958D5" w14:paraId="094A96EC" w14:textId="35F3434B">
      <w:pPr>
        <w:spacing w:after="0" w:line="360" w:lineRule="auto"/>
        <w:ind w:left="567" w:right="567"/>
        <w:rPr>
          <w:i/>
          <w:iCs/>
          <w:sz w:val="20"/>
          <w:szCs w:val="20"/>
        </w:rPr>
      </w:pPr>
      <w:r w:rsidRPr="00A701D3">
        <w:rPr>
          <w:i/>
          <w:iCs/>
          <w:sz w:val="20"/>
          <w:szCs w:val="20"/>
        </w:rPr>
        <w:lastRenderedPageBreak/>
        <w:t>“…</w:t>
      </w:r>
    </w:p>
    <w:p w:rsidRPr="00A701D3" w:rsidR="00A958D5" w:rsidP="001B16EC" w:rsidRDefault="00A958D5" w14:paraId="5213AC9D" w14:textId="108B8A57">
      <w:pPr>
        <w:spacing w:after="0" w:line="360" w:lineRule="auto"/>
        <w:ind w:left="567" w:right="567"/>
        <w:rPr>
          <w:i/>
          <w:iCs/>
          <w:sz w:val="20"/>
          <w:szCs w:val="20"/>
        </w:rPr>
      </w:pPr>
      <w:r w:rsidRPr="00A701D3">
        <w:rPr>
          <w:i/>
          <w:iCs/>
          <w:sz w:val="20"/>
          <w:szCs w:val="20"/>
        </w:rPr>
        <w:t xml:space="preserve">Para los efectos procedentes, después de realizar una búsqueda exhaustiva y razonable, en las diferentes áreas que integran esta Subdirección a mi cargo, se cuenta con procedimientos cuyos documentos del expediente correspondiente en términos de la Ley de Transparencia y Acceso a la Información Pública del Estado de México y Municipios, se encuentran disponibles en su versión pública en la página electrónica </w:t>
      </w:r>
      <w:hyperlink w:history="1" r:id="rId10">
        <w:r w:rsidRPr="00A701D3">
          <w:rPr>
            <w:rStyle w:val="Hipervnculo"/>
            <w:i/>
            <w:iCs/>
            <w:sz w:val="20"/>
            <w:szCs w:val="20"/>
          </w:rPr>
          <w:t>https://www.ipomex.org.mx/ipo3/lgt/indice/ISEM/art_92_xxix_a.web</w:t>
        </w:r>
      </w:hyperlink>
      <w:r w:rsidRPr="00A701D3">
        <w:rPr>
          <w:i/>
          <w:iCs/>
          <w:sz w:val="20"/>
          <w:szCs w:val="20"/>
        </w:rPr>
        <w:t>, fracción XXIX</w:t>
      </w:r>
    </w:p>
    <w:p w:rsidRPr="00A701D3" w:rsidR="00A958D5" w:rsidP="001B16EC" w:rsidRDefault="00A958D5" w14:paraId="219F8D1B" w14:textId="7D86D23C">
      <w:pPr>
        <w:spacing w:after="0" w:line="360" w:lineRule="auto"/>
        <w:ind w:left="567" w:right="567"/>
        <w:rPr>
          <w:i/>
          <w:iCs/>
          <w:sz w:val="20"/>
          <w:szCs w:val="20"/>
        </w:rPr>
      </w:pPr>
      <w:r w:rsidRPr="00A701D3">
        <w:rPr>
          <w:i/>
          <w:iCs/>
          <w:sz w:val="20"/>
          <w:szCs w:val="20"/>
        </w:rPr>
        <w:t xml:space="preserve">…” (Sic) </w:t>
      </w:r>
    </w:p>
    <w:p w:rsidRPr="00A701D3" w:rsidR="00A958D5" w:rsidP="001B16EC" w:rsidRDefault="00A958D5" w14:paraId="00F50028" w14:textId="77777777">
      <w:pPr>
        <w:spacing w:after="0" w:line="360" w:lineRule="auto"/>
        <w:ind w:right="567"/>
        <w:rPr>
          <w:iCs/>
          <w:sz w:val="20"/>
          <w:szCs w:val="20"/>
        </w:rPr>
      </w:pPr>
    </w:p>
    <w:p w:rsidRPr="00A701D3" w:rsidR="00C853D1" w:rsidP="001B16EC" w:rsidRDefault="00C853D1" w14:paraId="2B803E22" w14:textId="77777777">
      <w:pPr>
        <w:spacing w:after="0" w:line="360" w:lineRule="auto"/>
        <w:rPr>
          <w:b/>
        </w:rPr>
      </w:pPr>
      <w:r w:rsidRPr="00A701D3">
        <w:rPr>
          <w:b/>
        </w:rPr>
        <w:t xml:space="preserve">III. Interposición del Recurso de Revisión. </w:t>
      </w:r>
    </w:p>
    <w:p w:rsidRPr="00A701D3" w:rsidR="00C853D1" w:rsidP="001B16EC" w:rsidRDefault="00C853D1" w14:paraId="71DC67DA" w14:textId="77777777">
      <w:pPr>
        <w:spacing w:after="0" w:line="360" w:lineRule="auto"/>
        <w:rPr>
          <w:bCs/>
        </w:rPr>
      </w:pPr>
    </w:p>
    <w:p w:rsidRPr="00A701D3" w:rsidR="00DE11E1" w:rsidP="001B16EC" w:rsidRDefault="00C853D1" w14:paraId="5D25CEBD" w14:textId="1D115E3A">
      <w:pPr>
        <w:spacing w:after="0" w:line="360" w:lineRule="auto"/>
        <w:rPr>
          <w:bCs/>
        </w:rPr>
      </w:pPr>
      <w:r w:rsidRPr="00A701D3">
        <w:rPr>
          <w:bCs/>
        </w:rPr>
        <w:t>Con fecha</w:t>
      </w:r>
      <w:r w:rsidRPr="00A701D3" w:rsidR="00827B0C">
        <w:rPr>
          <w:bCs/>
        </w:rPr>
        <w:t xml:space="preserve"> </w:t>
      </w:r>
      <w:r w:rsidRPr="00A701D3" w:rsidR="00DE11E1">
        <w:rPr>
          <w:bCs/>
        </w:rPr>
        <w:t xml:space="preserve">catorce de febrero de dos mil veintidós, se </w:t>
      </w:r>
      <w:r w:rsidR="00056476">
        <w:rPr>
          <w:bCs/>
        </w:rPr>
        <w:t>tuvo por recibido</w:t>
      </w:r>
      <w:r w:rsidRPr="00A701D3" w:rsidR="00DE11E1">
        <w:rPr>
          <w:bCs/>
        </w:rPr>
        <w:t xml:space="preserve"> en este Instituto, a través del </w:t>
      </w:r>
      <w:r w:rsidRPr="00A701D3" w:rsidR="00DE11E1">
        <w:rPr>
          <w:bCs/>
          <w:lang w:val="es-ES"/>
        </w:rPr>
        <w:t>Sistema de Acceso a la Información Mexiquense (SAIMEX)</w:t>
      </w:r>
      <w:r w:rsidRPr="00A701D3" w:rsidR="007A35E9">
        <w:rPr>
          <w:bCs/>
        </w:rPr>
        <w:t>, Recurso de Revisión inte</w:t>
      </w:r>
      <w:r w:rsidRPr="00A701D3" w:rsidR="00137156">
        <w:rPr>
          <w:bCs/>
        </w:rPr>
        <w:t>rpuesto por la parte Recurrente</w:t>
      </w:r>
      <w:r w:rsidRPr="00A701D3" w:rsidR="006E2C05">
        <w:rPr>
          <w:bCs/>
        </w:rPr>
        <w:t xml:space="preserve"> en contra de la respuesta por el Sujeto Obligado, a la solicitud de información</w:t>
      </w:r>
      <w:r w:rsidR="00056476">
        <w:rPr>
          <w:bCs/>
        </w:rPr>
        <w:t>;</w:t>
      </w:r>
      <w:r w:rsidRPr="00056476" w:rsidR="006E2C05">
        <w:rPr>
          <w:b/>
        </w:rPr>
        <w:t xml:space="preserve"> ya que si bien, se registró</w:t>
      </w:r>
      <w:r w:rsidRPr="00056476" w:rsidR="00DE11E1">
        <w:rPr>
          <w:b/>
        </w:rPr>
        <w:t xml:space="preserve"> el </w:t>
      </w:r>
      <w:r w:rsidRPr="00056476" w:rsidR="00137156">
        <w:rPr>
          <w:b/>
        </w:rPr>
        <w:t xml:space="preserve">trece de </w:t>
      </w:r>
      <w:r w:rsidR="00056476">
        <w:rPr>
          <w:b/>
        </w:rPr>
        <w:t>dicho mes y año</w:t>
      </w:r>
      <w:r w:rsidRPr="00056476" w:rsidR="00DE11E1">
        <w:rPr>
          <w:b/>
        </w:rPr>
        <w:t xml:space="preserve">, </w:t>
      </w:r>
      <w:r w:rsidRPr="00056476" w:rsidR="00DE11E1">
        <w:rPr>
          <w:b/>
          <w:lang w:val="es-ES"/>
        </w:rPr>
        <w:t>también lo es,</w:t>
      </w:r>
      <w:r w:rsidRPr="00A701D3" w:rsidR="00DE11E1">
        <w:rPr>
          <w:b/>
          <w:bCs/>
          <w:lang w:val="es-ES"/>
        </w:rPr>
        <w:t xml:space="preserve">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00056476">
        <w:rPr>
          <w:b/>
          <w:bCs/>
          <w:lang w:val="es-ES"/>
        </w:rPr>
        <w:t>veintidós</w:t>
      </w:r>
      <w:r w:rsidRPr="00A701D3" w:rsidR="00DE11E1">
        <w:rPr>
          <w:b/>
          <w:bCs/>
          <w:lang w:val="es-ES"/>
        </w:rPr>
        <w:t xml:space="preserve"> y enero dos mil </w:t>
      </w:r>
      <w:r w:rsidR="00056476">
        <w:rPr>
          <w:b/>
          <w:bCs/>
          <w:lang w:val="es-ES"/>
        </w:rPr>
        <w:t>veintitrés</w:t>
      </w:r>
      <w:r w:rsidRPr="00A701D3" w:rsidR="00DE11E1">
        <w:rPr>
          <w:b/>
          <w:bCs/>
          <w:lang w:val="es-ES"/>
        </w:rPr>
        <w:t xml:space="preserve">, por lo que, se </w:t>
      </w:r>
      <w:r w:rsidR="00056476">
        <w:rPr>
          <w:b/>
          <w:bCs/>
          <w:lang w:val="es-ES"/>
        </w:rPr>
        <w:t>tuvo por presentado</w:t>
      </w:r>
      <w:r w:rsidRPr="00A701D3" w:rsidR="00DE11E1">
        <w:rPr>
          <w:b/>
          <w:bCs/>
          <w:lang w:val="es-ES"/>
        </w:rPr>
        <w:t>, el día hábil subsecuente</w:t>
      </w:r>
      <w:r w:rsidRPr="00A701D3" w:rsidR="00DE11E1">
        <w:rPr>
          <w:bCs/>
        </w:rPr>
        <w:t xml:space="preserve">, </w:t>
      </w:r>
      <w:r w:rsidRPr="00A701D3" w:rsidR="006E2C05">
        <w:rPr>
          <w:bCs/>
        </w:rPr>
        <w:t xml:space="preserve">en los siguientes términos: </w:t>
      </w:r>
    </w:p>
    <w:p w:rsidRPr="00A701D3" w:rsidR="00C853D1" w:rsidP="001B16EC" w:rsidRDefault="00C853D1" w14:paraId="3A43EC2F" w14:textId="77777777">
      <w:pPr>
        <w:spacing w:after="0" w:line="360" w:lineRule="auto"/>
        <w:rPr>
          <w:bCs/>
        </w:rPr>
      </w:pPr>
    </w:p>
    <w:p w:rsidRPr="00A701D3" w:rsidR="00C853D1" w:rsidP="001B16EC" w:rsidRDefault="00C853D1" w14:paraId="5AC8905A" w14:textId="77777777">
      <w:pPr>
        <w:spacing w:after="0" w:line="360" w:lineRule="auto"/>
        <w:ind w:left="567" w:right="567"/>
        <w:rPr>
          <w:bCs/>
          <w:i/>
          <w:sz w:val="20"/>
          <w:szCs w:val="20"/>
        </w:rPr>
      </w:pPr>
      <w:r w:rsidRPr="00A701D3">
        <w:rPr>
          <w:b/>
          <w:bCs/>
          <w:i/>
          <w:sz w:val="20"/>
          <w:szCs w:val="20"/>
        </w:rPr>
        <w:t>“ACTO IMPUGNADO</w:t>
      </w:r>
    </w:p>
    <w:p w:rsidRPr="00A701D3" w:rsidR="00C853D1" w:rsidP="001B16EC" w:rsidRDefault="00302EAC" w14:paraId="5B56BF42" w14:textId="54AB3DF5">
      <w:pPr>
        <w:spacing w:after="0" w:line="360" w:lineRule="auto"/>
        <w:ind w:left="567" w:right="567"/>
        <w:rPr>
          <w:i/>
          <w:sz w:val="20"/>
          <w:szCs w:val="20"/>
        </w:rPr>
      </w:pPr>
      <w:r w:rsidRPr="00A701D3">
        <w:rPr>
          <w:i/>
          <w:sz w:val="20"/>
          <w:szCs w:val="20"/>
        </w:rPr>
        <w:t>Respuesta a la solicitud 0034/ISEM/IP/2022</w:t>
      </w:r>
      <w:r w:rsidRPr="00A701D3" w:rsidR="00C853D1">
        <w:rPr>
          <w:i/>
          <w:sz w:val="20"/>
          <w:szCs w:val="20"/>
        </w:rPr>
        <w:t>.” (Sic.)</w:t>
      </w:r>
    </w:p>
    <w:p w:rsidRPr="00A701D3" w:rsidR="00C853D1" w:rsidP="001B16EC" w:rsidRDefault="00C853D1" w14:paraId="29F43CC4" w14:textId="77777777">
      <w:pPr>
        <w:spacing w:after="0" w:line="360" w:lineRule="auto"/>
        <w:ind w:left="567" w:right="567"/>
        <w:rPr>
          <w:i/>
          <w:sz w:val="20"/>
          <w:szCs w:val="20"/>
        </w:rPr>
      </w:pPr>
    </w:p>
    <w:p w:rsidRPr="00A701D3" w:rsidR="00C853D1" w:rsidP="001B16EC" w:rsidRDefault="00C853D1" w14:paraId="19CBF35D" w14:textId="77777777">
      <w:pPr>
        <w:spacing w:after="0" w:line="360" w:lineRule="auto"/>
        <w:ind w:left="567" w:right="567"/>
        <w:rPr>
          <w:b/>
          <w:i/>
          <w:sz w:val="20"/>
          <w:szCs w:val="20"/>
        </w:rPr>
      </w:pPr>
      <w:r w:rsidRPr="00A701D3">
        <w:rPr>
          <w:b/>
          <w:i/>
          <w:sz w:val="20"/>
          <w:szCs w:val="20"/>
        </w:rPr>
        <w:t>“RAZONES O MOTIVOS DE LA INCONFORMIDAD</w:t>
      </w:r>
    </w:p>
    <w:p w:rsidRPr="00A701D3" w:rsidR="00C853D1" w:rsidP="001B16EC" w:rsidRDefault="00302EAC" w14:paraId="4043E730" w14:textId="72D2689C">
      <w:pPr>
        <w:spacing w:after="0" w:line="360" w:lineRule="auto"/>
        <w:ind w:left="567" w:right="567"/>
        <w:rPr>
          <w:i/>
          <w:sz w:val="20"/>
          <w:szCs w:val="20"/>
        </w:rPr>
      </w:pPr>
      <w:r w:rsidRPr="00A701D3">
        <w:rPr>
          <w:i/>
          <w:sz w:val="20"/>
          <w:szCs w:val="20"/>
        </w:rPr>
        <w:lastRenderedPageBreak/>
        <w:t xml:space="preserve">Los contratos no están disponibles para consulta en el enlace </w:t>
      </w:r>
      <w:hyperlink w:history="1" r:id="rId11">
        <w:r w:rsidRPr="00A701D3">
          <w:rPr>
            <w:rStyle w:val="Hipervnculo"/>
            <w:i/>
            <w:sz w:val="20"/>
            <w:szCs w:val="20"/>
          </w:rPr>
          <w:t>https://www.ipomex.org.mx/ipo3/lgt/indice/ISEM/art_92_xxix_b.web</w:t>
        </w:r>
      </w:hyperlink>
      <w:r w:rsidRPr="00A701D3">
        <w:rPr>
          <w:i/>
          <w:sz w:val="20"/>
          <w:szCs w:val="20"/>
        </w:rPr>
        <w:t xml:space="preserve"> </w:t>
      </w:r>
      <w:hyperlink w:history="1" r:id="rId12">
        <w:r w:rsidRPr="00A701D3">
          <w:rPr>
            <w:rStyle w:val="Hipervnculo"/>
            <w:i/>
            <w:sz w:val="20"/>
            <w:szCs w:val="20"/>
          </w:rPr>
          <w:t>https://www.ipomex.org.mx/ipo3/lgt/indice/ISEM/art_92_xxix_a.web</w:t>
        </w:r>
      </w:hyperlink>
      <w:r w:rsidRPr="00A701D3">
        <w:rPr>
          <w:i/>
          <w:sz w:val="20"/>
          <w:szCs w:val="20"/>
        </w:rPr>
        <w:t xml:space="preserve"> </w:t>
      </w:r>
      <w:r w:rsidRPr="00A701D3" w:rsidR="00827B0C">
        <w:rPr>
          <w:i/>
          <w:sz w:val="20"/>
          <w:szCs w:val="20"/>
        </w:rPr>
        <w:t>.</w:t>
      </w:r>
      <w:r w:rsidRPr="00A701D3" w:rsidR="00C853D1">
        <w:rPr>
          <w:i/>
          <w:sz w:val="20"/>
          <w:szCs w:val="20"/>
        </w:rPr>
        <w:t>” (Sic.)</w:t>
      </w:r>
    </w:p>
    <w:p w:rsidRPr="00A701D3" w:rsidR="00682222" w:rsidP="001B16EC" w:rsidRDefault="00682222" w14:paraId="08852F84" w14:textId="77777777">
      <w:pPr>
        <w:spacing w:after="0" w:line="360" w:lineRule="auto"/>
      </w:pPr>
    </w:p>
    <w:p w:rsidRPr="00A701D3" w:rsidR="00510768" w:rsidP="001B16EC" w:rsidRDefault="00056476" w14:paraId="7E64E7E5" w14:textId="50A0C6B7">
      <w:pPr>
        <w:spacing w:after="0" w:line="360" w:lineRule="auto"/>
      </w:pPr>
      <w:r>
        <w:t>El</w:t>
      </w:r>
      <w:r w:rsidRPr="00A701D3" w:rsidR="00510768">
        <w:t xml:space="preserve"> Particular adjunt</w:t>
      </w:r>
      <w:r>
        <w:t>ó</w:t>
      </w:r>
      <w:r w:rsidRPr="00A701D3" w:rsidR="00510768">
        <w:t xml:space="preserve"> un</w:t>
      </w:r>
      <w:r>
        <w:t>a imagen de pantalla</w:t>
      </w:r>
      <w:r w:rsidRPr="00A701D3" w:rsidR="00510768">
        <w:t xml:space="preserve">, del cual se advierte lo siguiente: </w:t>
      </w:r>
    </w:p>
    <w:p w:rsidRPr="00A701D3" w:rsidR="00510768" w:rsidP="001B16EC" w:rsidRDefault="00510768" w14:paraId="59D8235A" w14:textId="77777777">
      <w:pPr>
        <w:spacing w:after="0" w:line="360" w:lineRule="auto"/>
      </w:pPr>
    </w:p>
    <w:p w:rsidRPr="00A701D3" w:rsidR="00510768" w:rsidP="001B16EC" w:rsidRDefault="00510768" w14:paraId="16B06A8E" w14:textId="28EFA3A5">
      <w:pPr>
        <w:spacing w:after="0" w:line="360" w:lineRule="auto"/>
        <w:jc w:val="center"/>
      </w:pPr>
      <w:r w:rsidRPr="00A701D3">
        <w:rPr>
          <w:noProof/>
          <w:lang w:eastAsia="es-MX"/>
        </w:rPr>
        <w:drawing>
          <wp:inline distT="0" distB="0" distL="0" distR="0" wp14:anchorId="0C65CC0F" wp14:editId="5DA813D8">
            <wp:extent cx="4740249" cy="966136"/>
            <wp:effectExtent l="0" t="0" r="381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142F46.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58693" cy="969895"/>
                    </a:xfrm>
                    <a:prstGeom prst="rect">
                      <a:avLst/>
                    </a:prstGeom>
                  </pic:spPr>
                </pic:pic>
              </a:graphicData>
            </a:graphic>
          </wp:inline>
        </w:drawing>
      </w:r>
    </w:p>
    <w:p w:rsidRPr="00A701D3" w:rsidR="00510768" w:rsidP="001B16EC" w:rsidRDefault="00510768" w14:paraId="4705F09A" w14:textId="77777777">
      <w:pPr>
        <w:spacing w:after="0" w:line="360" w:lineRule="auto"/>
      </w:pPr>
    </w:p>
    <w:p w:rsidRPr="00A701D3" w:rsidR="00C853D1" w:rsidP="001B16EC" w:rsidRDefault="00C853D1" w14:paraId="5CD0FCF6" w14:textId="77777777">
      <w:pPr>
        <w:spacing w:after="0" w:line="360" w:lineRule="auto"/>
        <w:rPr>
          <w:b/>
          <w:bCs/>
        </w:rPr>
      </w:pPr>
      <w:r w:rsidRPr="00A701D3">
        <w:rPr>
          <w:b/>
        </w:rPr>
        <w:t xml:space="preserve">IV. </w:t>
      </w:r>
      <w:r w:rsidRPr="00A701D3">
        <w:rPr>
          <w:b/>
          <w:bCs/>
        </w:rPr>
        <w:t xml:space="preserve">Trámite del </w:t>
      </w:r>
      <w:r w:rsidRPr="00A701D3">
        <w:rPr>
          <w:b/>
        </w:rPr>
        <w:t xml:space="preserve">Recurso de Revisión </w:t>
      </w:r>
      <w:r w:rsidRPr="00A701D3">
        <w:rPr>
          <w:b/>
          <w:bCs/>
        </w:rPr>
        <w:t>ante este Instituto.</w:t>
      </w:r>
    </w:p>
    <w:p w:rsidRPr="00A701D3" w:rsidR="00C853D1" w:rsidP="001B16EC" w:rsidRDefault="00C853D1" w14:paraId="58854E98" w14:textId="77777777">
      <w:pPr>
        <w:spacing w:after="0" w:line="360" w:lineRule="auto"/>
        <w:rPr>
          <w:b/>
          <w:bCs/>
        </w:rPr>
      </w:pPr>
    </w:p>
    <w:p w:rsidRPr="00A701D3" w:rsidR="00C853D1" w:rsidP="001B16EC" w:rsidRDefault="00C853D1" w14:paraId="0D250646" w14:textId="41645E8D">
      <w:pPr>
        <w:spacing w:after="0" w:line="360" w:lineRule="auto"/>
        <w:rPr>
          <w:b/>
          <w:bCs/>
        </w:rPr>
      </w:pPr>
      <w:r w:rsidRPr="00A701D3">
        <w:rPr>
          <w:b/>
          <w:bCs/>
        </w:rPr>
        <w:t xml:space="preserve">a) Turno del Medio de Impugnación. </w:t>
      </w:r>
      <w:r w:rsidRPr="00A701D3">
        <w:rPr>
          <w:bCs/>
        </w:rPr>
        <w:t xml:space="preserve">El </w:t>
      </w:r>
      <w:r w:rsidRPr="00A701D3" w:rsidR="002D42AC">
        <w:rPr>
          <w:bCs/>
        </w:rPr>
        <w:t>catorce de febrero de dos mil veintidós</w:t>
      </w:r>
      <w:r w:rsidRPr="00A701D3">
        <w:rPr>
          <w:bCs/>
        </w:rPr>
        <w:t xml:space="preserve">, el </w:t>
      </w:r>
      <w:r w:rsidRPr="00A701D3">
        <w:rPr>
          <w:lang w:val="es-ES"/>
        </w:rPr>
        <w:t>Sistema de Acceso a la Información Mexiquense (SAIMEX),</w:t>
      </w:r>
      <w:r w:rsidRPr="00A701D3">
        <w:rPr>
          <w:bCs/>
        </w:rPr>
        <w:t xml:space="preserve"> asignó el número de expediente </w:t>
      </w:r>
      <w:r w:rsidRPr="00A701D3" w:rsidR="006F21F2">
        <w:rPr>
          <w:b/>
          <w:bCs/>
        </w:rPr>
        <w:t>00806/INFOEM/IP/RR/2022</w:t>
      </w:r>
      <w:r w:rsidRPr="00A701D3">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701D3" w:rsidR="00C853D1" w:rsidP="001B16EC" w:rsidRDefault="00C853D1" w14:paraId="606E51DE" w14:textId="77777777">
      <w:pPr>
        <w:spacing w:after="0" w:line="360" w:lineRule="auto"/>
        <w:rPr>
          <w:bCs/>
        </w:rPr>
      </w:pPr>
    </w:p>
    <w:p w:rsidRPr="00A701D3" w:rsidR="00C853D1" w:rsidP="001B16EC" w:rsidRDefault="00C853D1" w14:paraId="03479276" w14:textId="4B8D7657">
      <w:pPr>
        <w:spacing w:after="0" w:line="360" w:lineRule="auto"/>
        <w:rPr>
          <w:bCs/>
          <w:lang w:val="es-ES_tradnl"/>
        </w:rPr>
      </w:pPr>
      <w:r w:rsidRPr="00A701D3">
        <w:rPr>
          <w:b/>
          <w:bCs/>
        </w:rPr>
        <w:t>b) Admisión del Recurso de Revisión</w:t>
      </w:r>
      <w:r w:rsidRPr="00A701D3">
        <w:rPr>
          <w:b/>
          <w:bCs/>
          <w:lang w:val="es-ES_tradnl"/>
        </w:rPr>
        <w:t xml:space="preserve">. </w:t>
      </w:r>
      <w:r w:rsidRPr="00A701D3">
        <w:rPr>
          <w:bCs/>
          <w:lang w:val="es-ES_tradnl"/>
        </w:rPr>
        <w:t xml:space="preserve">El </w:t>
      </w:r>
      <w:r w:rsidRPr="00A701D3" w:rsidR="002D42AC">
        <w:rPr>
          <w:bCs/>
        </w:rPr>
        <w:t>diecisiete de febrero de dos mil veintidós</w:t>
      </w:r>
      <w:r w:rsidRPr="00A701D3">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A701D3" w:rsidR="004122A9" w:rsidP="001B16EC" w:rsidRDefault="00C853D1" w14:paraId="6C1B7DFE" w14:textId="5011A810">
      <w:pPr>
        <w:spacing w:after="0" w:line="360" w:lineRule="auto"/>
      </w:pPr>
      <w:r w:rsidRPr="00A701D3">
        <w:rPr>
          <w:b/>
        </w:rPr>
        <w:lastRenderedPageBreak/>
        <w:t>c) Informe Justificado</w:t>
      </w:r>
      <w:r w:rsidR="00012722">
        <w:rPr>
          <w:b/>
        </w:rPr>
        <w:t xml:space="preserve"> o manifestaciones</w:t>
      </w:r>
      <w:r w:rsidRPr="00A701D3">
        <w:rPr>
          <w:b/>
        </w:rPr>
        <w:t xml:space="preserve">. </w:t>
      </w:r>
      <w:r w:rsidRPr="00A701D3" w:rsidR="00FA3C10">
        <w:t>Las partes fueron omisas en realizar manifestaciones</w:t>
      </w:r>
      <w:r w:rsidR="00012722">
        <w:t xml:space="preserve"> o alegatos</w:t>
      </w:r>
      <w:r w:rsidRPr="00A701D3" w:rsidR="00FA3C10">
        <w:t xml:space="preserve">. </w:t>
      </w:r>
    </w:p>
    <w:p w:rsidRPr="00A701D3" w:rsidR="00C21871" w:rsidP="001B16EC" w:rsidRDefault="00C21871" w14:paraId="7BB2ECE6" w14:textId="77777777">
      <w:pPr>
        <w:spacing w:after="0" w:line="360" w:lineRule="auto"/>
        <w:rPr>
          <w:rFonts w:eastAsia="Palatino Linotype" w:cs="Palatino Linotype"/>
          <w:b/>
          <w:bCs/>
        </w:rPr>
      </w:pPr>
    </w:p>
    <w:p w:rsidR="004548CD" w:rsidP="001B16EC" w:rsidRDefault="00A4381A" w14:paraId="39328222" w14:textId="42F43824">
      <w:pPr>
        <w:spacing w:after="0" w:line="360" w:lineRule="auto"/>
        <w:rPr>
          <w:rFonts w:eastAsia="Palatino Linotype" w:cs="Palatino Linotype"/>
          <w:lang w:val="es-ES"/>
        </w:rPr>
      </w:pPr>
      <w:r w:rsidRPr="00A701D3">
        <w:rPr>
          <w:rFonts w:eastAsia="Times New Roman" w:cs="Tahoma"/>
          <w:b/>
          <w:color w:val="auto"/>
          <w:szCs w:val="24"/>
          <w:lang w:eastAsia="es-ES"/>
        </w:rPr>
        <w:t>d</w:t>
      </w:r>
      <w:r w:rsidRPr="00A701D3" w:rsidR="004548CD">
        <w:rPr>
          <w:rFonts w:eastAsia="Times New Roman" w:cs="Tahoma"/>
          <w:b/>
          <w:color w:val="auto"/>
          <w:szCs w:val="24"/>
          <w:lang w:eastAsia="es-ES"/>
        </w:rPr>
        <w:t>) Cierre de instrucción.</w:t>
      </w:r>
      <w:r w:rsidRPr="00A701D3" w:rsidR="004548CD">
        <w:rPr>
          <w:rFonts w:eastAsia="Times New Roman" w:cs="Tahoma"/>
          <w:color w:val="auto"/>
          <w:szCs w:val="24"/>
          <w:lang w:eastAsia="es-ES"/>
        </w:rPr>
        <w:t xml:space="preserve"> El</w:t>
      </w:r>
      <w:r w:rsidRPr="00A701D3" w:rsidR="00843AB9">
        <w:rPr>
          <w:rFonts w:eastAsia="Times New Roman" w:cs="Tahoma"/>
          <w:color w:val="auto"/>
          <w:szCs w:val="24"/>
          <w:lang w:eastAsia="es-ES"/>
        </w:rPr>
        <w:t xml:space="preserve"> </w:t>
      </w:r>
      <w:r w:rsidRPr="00A701D3" w:rsidR="00EB5335">
        <w:rPr>
          <w:rFonts w:eastAsia="Times New Roman" w:cs="Tahoma"/>
          <w:color w:val="auto"/>
          <w:szCs w:val="24"/>
          <w:lang w:eastAsia="es-ES"/>
        </w:rPr>
        <w:t>veintidós de marzo de dos mil veintidós</w:t>
      </w:r>
      <w:r w:rsidRPr="00A701D3"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701D3" w:rsidR="004548CD">
        <w:rPr>
          <w:rFonts w:eastAsia="Palatino Linotype" w:cs="Palatino Linotype"/>
          <w:lang w:val="es-ES"/>
        </w:rPr>
        <w:t>acto que fue notificado a las partes, mediante el Sistema de Acceso a la Información Mexiquense (SAIMEX), el mismo día.</w:t>
      </w:r>
    </w:p>
    <w:p w:rsidR="00056476" w:rsidP="001B16EC" w:rsidRDefault="00056476" w14:paraId="2E1A98DE" w14:textId="4D6743AE">
      <w:pPr>
        <w:spacing w:after="0" w:line="360" w:lineRule="auto"/>
        <w:rPr>
          <w:rFonts w:eastAsia="Palatino Linotype" w:cs="Palatino Linotype"/>
          <w:lang w:val="es-ES"/>
        </w:rPr>
      </w:pPr>
    </w:p>
    <w:p w:rsidRPr="00056476" w:rsidR="00056476" w:rsidP="001B16EC" w:rsidRDefault="00056476" w14:paraId="0D9C4B8C" w14:textId="5AB50D77">
      <w:pPr>
        <w:spacing w:after="0" w:line="360" w:lineRule="auto"/>
        <w:rPr>
          <w:rFonts w:eastAsia="Times New Roman" w:cs="Tahoma"/>
          <w:b/>
          <w:bCs/>
          <w:color w:val="auto"/>
          <w:szCs w:val="24"/>
          <w:lang w:eastAsia="es-ES"/>
        </w:rPr>
      </w:pPr>
      <w:r w:rsidRPr="00056476">
        <w:rPr>
          <w:rFonts w:eastAsia="Palatino Linotype" w:cs="Palatino Linotype"/>
          <w:b/>
          <w:bCs/>
          <w:lang w:val="es-ES"/>
        </w:rPr>
        <w:t xml:space="preserve">e) </w:t>
      </w:r>
      <w:r w:rsidR="00012722">
        <w:rPr>
          <w:rFonts w:cs="Tahoma"/>
          <w:b/>
          <w:bCs/>
          <w:lang w:val="es-ES"/>
        </w:rPr>
        <w:t xml:space="preserve">Ampliación de plazo para resolver. </w:t>
      </w:r>
      <w:r w:rsidR="00012722">
        <w:rPr>
          <w:rFonts w:cs="Tahoma"/>
          <w:lang w:val="es-ES"/>
        </w:rPr>
        <w:t>El cinco de abril de dos mil veintidós,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A701D3" w:rsidR="004548CD" w:rsidP="001B16EC" w:rsidRDefault="004548CD" w14:paraId="61B73302" w14:textId="77777777">
      <w:pPr>
        <w:spacing w:after="0" w:line="360" w:lineRule="auto"/>
        <w:rPr>
          <w:rFonts w:eastAsia="Times New Roman" w:cs="Tahoma"/>
          <w:color w:val="auto"/>
          <w:szCs w:val="24"/>
          <w:lang w:eastAsia="es-ES"/>
        </w:rPr>
      </w:pPr>
    </w:p>
    <w:p w:rsidRPr="00A701D3" w:rsidR="00C853D1" w:rsidP="001B16EC" w:rsidRDefault="00C853D1" w14:paraId="5795BBB6" w14:textId="77777777">
      <w:pPr>
        <w:spacing w:after="0" w:line="360" w:lineRule="auto"/>
        <w:rPr>
          <w:rFonts w:eastAsia="Times New Roman" w:cs="Tahoma"/>
          <w:color w:val="auto"/>
          <w:szCs w:val="24"/>
          <w:lang w:eastAsia="es-ES"/>
        </w:rPr>
      </w:pPr>
      <w:r w:rsidRPr="00A701D3">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A701D3" w:rsidR="00C853D1" w:rsidP="001B16EC" w:rsidRDefault="00C853D1" w14:paraId="264F2B95" w14:textId="77777777">
      <w:pPr>
        <w:spacing w:after="0" w:line="360" w:lineRule="auto"/>
        <w:rPr>
          <w:rFonts w:eastAsia="Times New Roman" w:cs="Tahoma"/>
          <w:bCs/>
          <w:iCs/>
          <w:color w:val="auto"/>
          <w:lang w:val="es-ES" w:eastAsia="es-ES"/>
        </w:rPr>
      </w:pPr>
    </w:p>
    <w:p w:rsidRPr="00A701D3" w:rsidR="00C853D1" w:rsidP="001B16EC" w:rsidRDefault="00C853D1" w14:paraId="4647AD46" w14:textId="77777777">
      <w:pPr>
        <w:spacing w:after="0" w:line="360" w:lineRule="auto"/>
        <w:jc w:val="center"/>
        <w:rPr>
          <w:rFonts w:eastAsia="Times New Roman" w:cs="Tahoma"/>
          <w:b/>
          <w:color w:val="auto"/>
          <w:lang w:val="es-ES" w:eastAsia="es-ES"/>
        </w:rPr>
      </w:pPr>
      <w:r w:rsidRPr="00A701D3">
        <w:rPr>
          <w:rFonts w:eastAsia="Times New Roman" w:cs="Tahoma"/>
          <w:b/>
          <w:color w:val="auto"/>
          <w:lang w:val="es-ES" w:eastAsia="es-ES"/>
        </w:rPr>
        <w:t>C O N S I D E R A N D O S:</w:t>
      </w:r>
    </w:p>
    <w:p w:rsidRPr="00A701D3" w:rsidR="00C853D1" w:rsidP="001B16EC" w:rsidRDefault="00C853D1" w14:paraId="46CF2E78" w14:textId="77777777">
      <w:pPr>
        <w:spacing w:after="0" w:line="360" w:lineRule="auto"/>
        <w:rPr>
          <w:b/>
        </w:rPr>
      </w:pPr>
    </w:p>
    <w:p w:rsidRPr="00A701D3" w:rsidR="00C853D1" w:rsidP="001B16EC"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A701D3">
        <w:rPr>
          <w:rFonts w:eastAsia="Calibri" w:cs="Tahoma"/>
          <w:b/>
          <w:color w:val="000000"/>
          <w:szCs w:val="24"/>
          <w:lang w:val="es-ES" w:eastAsia="es-MX"/>
        </w:rPr>
        <w:t>PRIMERO</w:t>
      </w:r>
      <w:r w:rsidRPr="00A701D3">
        <w:rPr>
          <w:rFonts w:eastAsia="Calibri" w:cs="Tahoma"/>
          <w:color w:val="000000"/>
          <w:szCs w:val="24"/>
          <w:lang w:val="es-ES" w:eastAsia="es-MX"/>
        </w:rPr>
        <w:t xml:space="preserve">. </w:t>
      </w:r>
      <w:r w:rsidRPr="00A701D3">
        <w:rPr>
          <w:rFonts w:eastAsia="Times New Roman" w:cs="Tahoma"/>
          <w:b/>
          <w:color w:val="auto"/>
          <w:szCs w:val="24"/>
          <w:lang w:val="es-ES" w:eastAsia="es-ES"/>
        </w:rPr>
        <w:t>Competencia.</w:t>
      </w:r>
    </w:p>
    <w:p w:rsidRPr="00A701D3" w:rsidR="00C853D1" w:rsidP="001B16EC"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A701D3" w:rsidR="00C853D1" w:rsidP="001B16EC" w:rsidRDefault="00C853D1" w14:paraId="4BA69015" w14:textId="35F4A5AE">
      <w:pPr>
        <w:spacing w:after="0" w:line="360" w:lineRule="auto"/>
        <w:rPr>
          <w:rFonts w:eastAsia="Times New Roman" w:cs="Tahoma"/>
          <w:bCs/>
          <w:color w:val="auto"/>
          <w:lang w:eastAsia="es-ES"/>
        </w:rPr>
      </w:pPr>
      <w:r w:rsidRPr="00A701D3">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w:t>
      </w:r>
      <w:r w:rsidRPr="00A701D3">
        <w:rPr>
          <w:rFonts w:eastAsia="Times New Roman" w:cs="Tahoma"/>
          <w:bCs/>
          <w:color w:val="auto"/>
          <w:lang w:eastAsia="es-ES"/>
        </w:rPr>
        <w:lastRenderedPageBreak/>
        <w:t xml:space="preserve">artículos 6°, apartado A, de la Constitución Política de los Estados Unidos Mexicanos; 5°, párrafos </w:t>
      </w:r>
      <w:r w:rsidRPr="00A701D3" w:rsidR="00682222">
        <w:rPr>
          <w:rFonts w:eastAsia="Times New Roman" w:cs="Tahoma"/>
          <w:bCs/>
          <w:color w:val="auto"/>
          <w:lang w:eastAsia="es-ES"/>
        </w:rPr>
        <w:t>trig</w:t>
      </w:r>
      <w:r w:rsidRPr="00A701D3" w:rsidR="00682222">
        <w:rPr>
          <w:rFonts w:eastAsia="Times New Roman" w:cs="Tahoma"/>
          <w:bCs/>
          <w:color w:val="auto"/>
          <w:lang w:val="x-none" w:eastAsia="es-ES"/>
        </w:rPr>
        <w:t>ésimo, trigésimo primero</w:t>
      </w:r>
      <w:r w:rsidRPr="00A701D3">
        <w:rPr>
          <w:rFonts w:eastAsia="Times New Roman" w:cs="Tahoma"/>
          <w:bCs/>
          <w:color w:val="auto"/>
          <w:lang w:eastAsia="es-ES"/>
        </w:rPr>
        <w:t xml:space="preserve"> y trigésimo </w:t>
      </w:r>
      <w:r w:rsidRPr="00A701D3" w:rsidR="00682222">
        <w:rPr>
          <w:rFonts w:eastAsia="Times New Roman" w:cs="Tahoma"/>
          <w:bCs/>
          <w:color w:val="auto"/>
          <w:lang w:eastAsia="es-ES"/>
        </w:rPr>
        <w:t>segundo</w:t>
      </w:r>
      <w:r w:rsidRPr="00A701D3">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701D3">
        <w:rPr>
          <w:rFonts w:eastAsia="Times New Roman" w:cs="Times New Roman"/>
          <w:bCs/>
          <w:color w:val="auto"/>
          <w:lang w:eastAsia="es-ES"/>
        </w:rPr>
        <w:t xml:space="preserve"> 7°, </w:t>
      </w:r>
      <w:r w:rsidRPr="00A701D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A701D3" w:rsidR="00C853D1" w:rsidP="001B16EC" w:rsidRDefault="00C853D1" w14:paraId="4FF2492C" w14:textId="77777777">
      <w:pPr>
        <w:spacing w:after="0" w:line="360" w:lineRule="auto"/>
        <w:rPr>
          <w:rFonts w:eastAsia="Times New Roman" w:cs="Tahoma"/>
          <w:bCs/>
          <w:color w:val="auto"/>
          <w:lang w:eastAsia="es-ES"/>
        </w:rPr>
      </w:pPr>
    </w:p>
    <w:p w:rsidRPr="00A701D3" w:rsidR="00C853D1" w:rsidP="001B16EC"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A701D3">
        <w:rPr>
          <w:rFonts w:eastAsia="Calibri" w:cs="Tahoma"/>
          <w:b/>
          <w:color w:val="000000"/>
          <w:szCs w:val="24"/>
          <w:lang w:val="es-ES" w:eastAsia="es-MX"/>
        </w:rPr>
        <w:t>SEGUNDO</w:t>
      </w:r>
      <w:r w:rsidRPr="00A701D3">
        <w:rPr>
          <w:rFonts w:eastAsia="Calibri" w:cs="Tahoma"/>
          <w:color w:val="000000"/>
          <w:szCs w:val="24"/>
          <w:lang w:val="es-ES" w:eastAsia="es-MX"/>
        </w:rPr>
        <w:t xml:space="preserve">. </w:t>
      </w:r>
      <w:r w:rsidRPr="00A701D3">
        <w:rPr>
          <w:rFonts w:eastAsia="Times New Roman" w:cs="Tahoma"/>
          <w:b/>
          <w:color w:val="auto"/>
          <w:szCs w:val="24"/>
          <w:lang w:val="es-ES" w:eastAsia="es-ES"/>
        </w:rPr>
        <w:t>Causales de improcedencia y sobreseimiento.</w:t>
      </w:r>
      <w:r w:rsidRPr="00A701D3">
        <w:rPr>
          <w:rFonts w:eastAsia="Times New Roman" w:cs="Tahoma"/>
          <w:color w:val="auto"/>
          <w:szCs w:val="24"/>
          <w:lang w:val="es-ES" w:eastAsia="es-ES"/>
        </w:rPr>
        <w:t xml:space="preserve"> </w:t>
      </w:r>
    </w:p>
    <w:p w:rsidRPr="00A701D3" w:rsidR="00C853D1" w:rsidP="001B16EC"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A701D3" w:rsidR="00C853D1" w:rsidP="001B16EC"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A701D3">
        <w:rPr>
          <w:rFonts w:eastAsia="Times New Roman" w:cs="Tahoma"/>
          <w:color w:val="auto"/>
          <w:szCs w:val="24"/>
          <w:lang w:val="es-ES" w:eastAsia="es-ES"/>
        </w:rPr>
        <w:t xml:space="preserve">De las constancias que forma parte del Recurso de Revisión que se analiza, se advierte que previo al estudio del fondo de la </w:t>
      </w:r>
      <w:r w:rsidRPr="00A701D3">
        <w:rPr>
          <w:rFonts w:eastAsia="Times New Roman" w:cs="Tahoma"/>
          <w:i/>
          <w:color w:val="auto"/>
          <w:szCs w:val="24"/>
          <w:lang w:val="es-ES" w:eastAsia="es-ES"/>
        </w:rPr>
        <w:t>litis</w:t>
      </w:r>
      <w:r w:rsidRPr="00A701D3">
        <w:rPr>
          <w:rFonts w:eastAsia="Times New Roman" w:cs="Tahoma"/>
          <w:color w:val="auto"/>
          <w:szCs w:val="24"/>
          <w:lang w:val="es-ES" w:eastAsia="es-ES"/>
        </w:rPr>
        <w:t>, es necesario estudiar las causales de improcedencia y sobreseimiento que se adviertan, para determinar lo que en Derecho proceda.</w:t>
      </w:r>
    </w:p>
    <w:p w:rsidRPr="00A701D3" w:rsidR="00C853D1" w:rsidP="001B16EC"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A701D3" w:rsidR="00C853D1" w:rsidP="001B16EC"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A701D3">
        <w:rPr>
          <w:rFonts w:eastAsia="Calibri" w:cs="Tahoma"/>
          <w:b/>
          <w:color w:val="000000"/>
          <w:szCs w:val="24"/>
          <w:lang w:val="es-ES" w:eastAsia="es-MX"/>
        </w:rPr>
        <w:t>Causales de improcedencia.</w:t>
      </w:r>
      <w:r w:rsidRPr="00A701D3">
        <w:rPr>
          <w:rFonts w:eastAsia="Calibri" w:cs="Tahoma"/>
          <w:color w:val="000000"/>
          <w:szCs w:val="24"/>
          <w:lang w:val="es-ES" w:eastAsia="es-MX"/>
        </w:rPr>
        <w:t xml:space="preserve"> </w:t>
      </w:r>
    </w:p>
    <w:p w:rsidRPr="00A701D3" w:rsidR="00C853D1" w:rsidP="001B16EC"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A701D3" w:rsidR="00C853D1" w:rsidP="001B16EC" w:rsidRDefault="00C853D1" w14:paraId="0231FCB7" w14:textId="77777777">
      <w:pPr>
        <w:autoSpaceDE w:val="0"/>
        <w:autoSpaceDN w:val="0"/>
        <w:adjustRightInd w:val="0"/>
        <w:spacing w:after="0" w:line="360" w:lineRule="auto"/>
        <w:rPr>
          <w:rFonts w:eastAsia="Calibri" w:cs="Tahoma"/>
          <w:color w:val="000000"/>
          <w:lang w:val="es-ES" w:eastAsia="es-MX"/>
        </w:rPr>
      </w:pPr>
      <w:r w:rsidRPr="00A701D3">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A701D3">
        <w:rPr>
          <w:rFonts w:eastAsia="Calibri" w:cs="Tahoma"/>
          <w:b/>
          <w:bCs/>
          <w:color w:val="000000"/>
          <w:lang w:eastAsia="es-MX"/>
        </w:rPr>
        <w:t xml:space="preserve"> </w:t>
      </w:r>
      <w:r w:rsidRPr="00A701D3">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A701D3" w:rsidR="00C853D1" w:rsidP="001B16EC" w:rsidRDefault="00C853D1" w14:paraId="52B897E0" w14:textId="77777777">
      <w:pPr>
        <w:autoSpaceDE w:val="0"/>
        <w:autoSpaceDN w:val="0"/>
        <w:adjustRightInd w:val="0"/>
        <w:spacing w:after="0" w:line="360" w:lineRule="auto"/>
        <w:rPr>
          <w:rFonts w:eastAsia="Calibri" w:cs="Tahoma"/>
          <w:color w:val="000000"/>
          <w:lang w:eastAsia="es-MX"/>
        </w:rPr>
      </w:pPr>
    </w:p>
    <w:p w:rsidRPr="00A701D3" w:rsidR="00C853D1" w:rsidP="001B16EC" w:rsidRDefault="00C853D1" w14:paraId="0EA74A57" w14:textId="77777777">
      <w:pPr>
        <w:autoSpaceDE w:val="0"/>
        <w:autoSpaceDN w:val="0"/>
        <w:adjustRightInd w:val="0"/>
        <w:spacing w:after="0" w:line="360" w:lineRule="auto"/>
        <w:rPr>
          <w:rFonts w:eastAsia="Calibri" w:cs="Tahoma"/>
          <w:color w:val="000000"/>
          <w:lang w:eastAsia="es-MX"/>
        </w:rPr>
      </w:pPr>
      <w:r w:rsidRPr="00A701D3">
        <w:rPr>
          <w:rFonts w:eastAsia="Calibri" w:cs="Tahoma"/>
          <w:color w:val="000000"/>
          <w:lang w:eastAsia="es-MX"/>
        </w:rPr>
        <w:lastRenderedPageBreak/>
        <w:t xml:space="preserve">En el presente caso, </w:t>
      </w:r>
      <w:r w:rsidRPr="00A701D3">
        <w:rPr>
          <w:rFonts w:eastAsia="Calibri" w:cs="Tahoma"/>
          <w:b/>
          <w:color w:val="000000"/>
          <w:lang w:eastAsia="es-MX"/>
        </w:rPr>
        <w:t>no se actualiza ninguna de las causales de improcedencia</w:t>
      </w:r>
      <w:r w:rsidRPr="00A701D3">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A701D3" w:rsidR="00C853D1" w:rsidP="001B16EC" w:rsidRDefault="00C853D1" w14:paraId="42DBAD8B" w14:textId="77777777">
      <w:pPr>
        <w:spacing w:after="0" w:line="360" w:lineRule="auto"/>
        <w:rPr>
          <w:rFonts w:eastAsia="Times New Roman" w:cs="Tahoma"/>
          <w:b/>
          <w:bCs/>
          <w:color w:val="auto"/>
          <w:lang w:eastAsia="es-ES"/>
        </w:rPr>
      </w:pPr>
    </w:p>
    <w:p w:rsidRPr="00A701D3" w:rsidR="00C853D1" w:rsidP="001B16EC" w:rsidRDefault="00DD116F" w14:paraId="009D8158" w14:textId="2E76B5DB">
      <w:pPr>
        <w:spacing w:after="0" w:line="360" w:lineRule="auto"/>
        <w:rPr>
          <w:rFonts w:eastAsia="Times New Roman" w:cs="Tahoma"/>
          <w:color w:val="auto"/>
          <w:lang w:eastAsia="es-ES"/>
        </w:rPr>
      </w:pPr>
      <w:r w:rsidRPr="00A701D3">
        <w:rPr>
          <w:rFonts w:eastAsia="Times New Roman" w:cs="Tahoma"/>
          <w:color w:val="auto"/>
          <w:lang w:eastAsia="es-ES"/>
        </w:rPr>
        <w:t xml:space="preserve">Asimismo, </w:t>
      </w:r>
      <w:r w:rsidRPr="00A701D3" w:rsidR="00C853D1">
        <w:rPr>
          <w:rFonts w:eastAsia="Times New Roman" w:cs="Tahoma"/>
          <w:color w:val="auto"/>
          <w:lang w:eastAsia="es-ES"/>
        </w:rPr>
        <w:t>se actualiza la causal de procedencia del Recurso de Revisión señalada en el artículo 179, fracciones V</w:t>
      </w:r>
      <w:r w:rsidRPr="00A701D3" w:rsidR="005E1AC0">
        <w:rPr>
          <w:rFonts w:eastAsia="Times New Roman" w:cs="Tahoma"/>
          <w:color w:val="auto"/>
          <w:lang w:eastAsia="es-ES"/>
        </w:rPr>
        <w:t>I</w:t>
      </w:r>
      <w:r w:rsidRPr="00A701D3" w:rsidR="00682222">
        <w:rPr>
          <w:rFonts w:eastAsia="Times New Roman" w:cs="Tahoma"/>
          <w:color w:val="auto"/>
          <w:lang w:eastAsia="es-ES"/>
        </w:rPr>
        <w:t>,</w:t>
      </w:r>
      <w:r w:rsidRPr="00A701D3" w:rsidR="00C853D1">
        <w:rPr>
          <w:rFonts w:eastAsia="Times New Roman" w:cs="Tahoma"/>
          <w:color w:val="auto"/>
          <w:lang w:eastAsia="es-ES"/>
        </w:rPr>
        <w:t xml:space="preserve"> de la Ley en cita, </w:t>
      </w:r>
      <w:r w:rsidRPr="00A701D3" w:rsidR="00C853D1">
        <w:rPr>
          <w:rFonts w:eastAsia="Calibri" w:cs="Tahoma"/>
          <w:color w:val="000000"/>
          <w:lang w:eastAsia="es-MX"/>
        </w:rPr>
        <w:t xml:space="preserve">pues la Recurrente se inconformó </w:t>
      </w:r>
      <w:r w:rsidRPr="00A701D3" w:rsidR="00C853D1">
        <w:rPr>
          <w:rFonts w:eastAsia="Times New Roman" w:cs="Tahoma"/>
          <w:color w:val="auto"/>
          <w:lang w:val="es-ES" w:eastAsia="es-ES"/>
        </w:rPr>
        <w:t xml:space="preserve">con la </w:t>
      </w:r>
      <w:r w:rsidRPr="00A701D3" w:rsidR="00682222">
        <w:rPr>
          <w:rFonts w:eastAsia="Times New Roman" w:cs="Tahoma"/>
          <w:color w:val="auto"/>
          <w:lang w:val="es-ES" w:eastAsia="es-ES"/>
        </w:rPr>
        <w:t>entrega de información</w:t>
      </w:r>
      <w:r w:rsidRPr="00A701D3" w:rsidR="00682222">
        <w:rPr>
          <w:rFonts w:eastAsia="Times New Roman" w:cs="Tahoma"/>
          <w:color w:val="auto"/>
          <w:lang w:val="x-none" w:eastAsia="es-ES"/>
        </w:rPr>
        <w:t xml:space="preserve"> </w:t>
      </w:r>
      <w:r w:rsidRPr="00A701D3" w:rsidR="005E1AC0">
        <w:rPr>
          <w:rFonts w:eastAsia="Times New Roman" w:cs="Tahoma"/>
          <w:color w:val="auto"/>
          <w:lang w:eastAsia="es-ES"/>
        </w:rPr>
        <w:t xml:space="preserve">que no corresponde con lo solicitado. </w:t>
      </w:r>
    </w:p>
    <w:p w:rsidRPr="00A701D3" w:rsidR="00C853D1" w:rsidP="001B16EC" w:rsidRDefault="00C853D1" w14:paraId="3577CA43" w14:textId="77777777">
      <w:pPr>
        <w:spacing w:after="0" w:line="360" w:lineRule="auto"/>
        <w:rPr>
          <w:rFonts w:eastAsia="Times New Roman" w:cs="Tahoma"/>
          <w:b/>
          <w:bCs/>
          <w:color w:val="auto"/>
          <w:lang w:eastAsia="es-ES"/>
        </w:rPr>
      </w:pPr>
    </w:p>
    <w:p w:rsidRPr="00A701D3" w:rsidR="00C853D1" w:rsidP="001B16EC" w:rsidRDefault="00C853D1" w14:paraId="4F973625" w14:textId="77777777">
      <w:pPr>
        <w:spacing w:after="0" w:line="360" w:lineRule="auto"/>
        <w:rPr>
          <w:rFonts w:eastAsia="Times New Roman" w:cs="Tahoma"/>
          <w:b/>
          <w:bCs/>
          <w:color w:val="auto"/>
          <w:lang w:eastAsia="es-ES"/>
        </w:rPr>
      </w:pPr>
      <w:r w:rsidRPr="00A701D3">
        <w:rPr>
          <w:rFonts w:eastAsia="Times New Roman" w:cs="Tahoma"/>
          <w:b/>
          <w:bCs/>
          <w:color w:val="auto"/>
          <w:lang w:eastAsia="es-ES"/>
        </w:rPr>
        <w:t>Causales de sobreseimiento.</w:t>
      </w:r>
    </w:p>
    <w:p w:rsidRPr="00A701D3" w:rsidR="00CD573E" w:rsidP="001B16EC" w:rsidRDefault="00CD573E" w14:paraId="3FF75C55" w14:textId="77777777">
      <w:pPr>
        <w:spacing w:after="0" w:line="360" w:lineRule="auto"/>
        <w:rPr>
          <w:rFonts w:eastAsia="Times New Roman" w:cs="Tahoma"/>
          <w:b/>
          <w:bCs/>
          <w:color w:val="auto"/>
          <w:lang w:eastAsia="es-ES"/>
        </w:rPr>
      </w:pPr>
    </w:p>
    <w:p w:rsidRPr="00A701D3" w:rsidR="00C853D1" w:rsidP="001B16EC" w:rsidRDefault="00C853D1" w14:paraId="77050B85" w14:textId="77777777">
      <w:pPr>
        <w:spacing w:after="0" w:line="360" w:lineRule="auto"/>
        <w:rPr>
          <w:rFonts w:eastAsia="Times New Roman" w:cs="Tahoma"/>
          <w:color w:val="auto"/>
          <w:szCs w:val="24"/>
          <w:lang w:eastAsia="es-ES"/>
        </w:rPr>
      </w:pPr>
      <w:r w:rsidRPr="00A701D3">
        <w:rPr>
          <w:rFonts w:eastAsia="Times New Roman" w:cs="Tahoma"/>
          <w:color w:val="auto"/>
          <w:szCs w:val="24"/>
          <w:lang w:eastAsia="es-ES"/>
        </w:rPr>
        <w:t>Por ser de previo y especial pronunciamiento, este Instituto analiza si se actualiza alguna causal de sobreseimiento.</w:t>
      </w:r>
    </w:p>
    <w:p w:rsidRPr="00A701D3" w:rsidR="00C853D1" w:rsidP="001B16EC" w:rsidRDefault="00C853D1" w14:paraId="1797E49B" w14:textId="77777777">
      <w:pPr>
        <w:spacing w:after="0" w:line="360" w:lineRule="auto"/>
        <w:rPr>
          <w:rFonts w:eastAsia="Times New Roman" w:cs="Tahoma"/>
          <w:color w:val="auto"/>
          <w:szCs w:val="24"/>
          <w:lang w:eastAsia="es-ES"/>
        </w:rPr>
      </w:pPr>
    </w:p>
    <w:p w:rsidRPr="00A701D3" w:rsidR="00C853D1" w:rsidP="001B16EC" w:rsidRDefault="00C853D1" w14:paraId="3929C861" w14:textId="77777777">
      <w:pPr>
        <w:spacing w:after="0" w:line="360" w:lineRule="auto"/>
        <w:rPr>
          <w:rFonts w:eastAsia="Times New Roman" w:cs="Tahoma"/>
          <w:color w:val="auto"/>
          <w:szCs w:val="24"/>
          <w:lang w:eastAsia="es-ES"/>
        </w:rPr>
      </w:pPr>
      <w:r w:rsidRPr="00A701D3">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A701D3" w:rsidR="00C853D1" w:rsidP="001B16EC" w:rsidRDefault="00C853D1" w14:paraId="12F90250" w14:textId="77777777">
      <w:pPr>
        <w:spacing w:after="0" w:line="360" w:lineRule="auto"/>
        <w:rPr>
          <w:rFonts w:eastAsia="Times New Roman" w:cs="Tahoma"/>
          <w:color w:val="auto"/>
          <w:szCs w:val="24"/>
          <w:lang w:eastAsia="es-ES"/>
        </w:rPr>
      </w:pPr>
    </w:p>
    <w:p w:rsidRPr="00A701D3" w:rsidR="00C853D1" w:rsidP="001B16EC" w:rsidRDefault="00C853D1" w14:paraId="75DA7F11" w14:textId="77777777">
      <w:pPr>
        <w:spacing w:after="0" w:line="360" w:lineRule="auto"/>
        <w:rPr>
          <w:rFonts w:eastAsia="Times New Roman" w:cs="Tahoma"/>
          <w:color w:val="auto"/>
          <w:szCs w:val="24"/>
          <w:lang w:val="es-ES" w:eastAsia="es-ES"/>
        </w:rPr>
      </w:pPr>
      <w:r w:rsidRPr="00A701D3">
        <w:rPr>
          <w:rFonts w:eastAsia="Times New Roman" w:cs="Tahoma"/>
          <w:bCs/>
          <w:color w:val="auto"/>
          <w:szCs w:val="24"/>
          <w:lang w:val="es-ES" w:eastAsia="es-ES"/>
        </w:rPr>
        <w:t xml:space="preserve">Por tales motivos, </w:t>
      </w:r>
      <w:r w:rsidRPr="00A701D3">
        <w:rPr>
          <w:rFonts w:eastAsia="Times New Roman" w:cs="Tahoma"/>
          <w:color w:val="auto"/>
          <w:szCs w:val="24"/>
          <w:lang w:val="es-ES" w:eastAsia="es-ES"/>
        </w:rPr>
        <w:t>se considera procedente entrar al fondo del presente asunto.</w:t>
      </w:r>
    </w:p>
    <w:p w:rsidRPr="00A701D3" w:rsidR="00C853D1" w:rsidP="001B16EC" w:rsidRDefault="00C853D1" w14:paraId="5A499E5E" w14:textId="77777777">
      <w:pPr>
        <w:spacing w:after="0" w:line="360" w:lineRule="auto"/>
      </w:pPr>
    </w:p>
    <w:p w:rsidRPr="00A701D3" w:rsidR="00C853D1" w:rsidP="001B16EC" w:rsidRDefault="00C853D1" w14:paraId="554D6B44" w14:textId="77777777">
      <w:pPr>
        <w:spacing w:after="0" w:line="360" w:lineRule="auto"/>
        <w:rPr>
          <w:rFonts w:eastAsia="Times New Roman" w:cs="Tahoma"/>
          <w:b/>
          <w:bCs/>
          <w:iCs/>
          <w:color w:val="auto"/>
          <w:lang w:val="es-ES" w:eastAsia="es-ES"/>
        </w:rPr>
      </w:pPr>
      <w:r w:rsidRPr="00A701D3">
        <w:rPr>
          <w:rFonts w:eastAsia="Times New Roman" w:cs="Tahoma"/>
          <w:b/>
          <w:bCs/>
          <w:iCs/>
          <w:color w:val="auto"/>
          <w:lang w:val="es-ES" w:eastAsia="es-ES"/>
        </w:rPr>
        <w:t xml:space="preserve">TERCERO. Determinación de la Controversia. </w:t>
      </w:r>
    </w:p>
    <w:p w:rsidRPr="00A701D3" w:rsidR="00BC336C" w:rsidP="001B16EC" w:rsidRDefault="00BC336C" w14:paraId="377E2F7F" w14:textId="76D1EE9C">
      <w:pPr>
        <w:autoSpaceDE w:val="0"/>
        <w:autoSpaceDN w:val="0"/>
        <w:adjustRightInd w:val="0"/>
        <w:spacing w:after="0" w:line="360" w:lineRule="auto"/>
        <w:rPr>
          <w:rFonts w:eastAsia="Calibri" w:cs="Tahoma"/>
          <w:bCs/>
          <w:iCs/>
          <w:color w:val="000000"/>
          <w:szCs w:val="24"/>
          <w:lang w:eastAsia="es-MX"/>
        </w:rPr>
      </w:pPr>
      <w:r w:rsidRPr="00A701D3">
        <w:rPr>
          <w:rFonts w:eastAsia="Calibri" w:cs="Tahoma"/>
          <w:color w:val="000000"/>
          <w:szCs w:val="24"/>
          <w:lang w:val="es-ES" w:eastAsia="es-MX"/>
        </w:rPr>
        <w:lastRenderedPageBreak/>
        <w:t>Con el objeto de ilustrar la controversia planteada, resulta conveniente precisar, que una vez realizado el estudio de las constancias que integran el expediente en que se actúa, se desprende que la Particular requirió los</w:t>
      </w:r>
      <w:r w:rsidRPr="00A701D3">
        <w:rPr>
          <w:rFonts w:eastAsia="Calibri" w:cs="Tahoma"/>
          <w:bCs/>
          <w:iCs/>
          <w:color w:val="000000"/>
          <w:szCs w:val="24"/>
          <w:lang w:eastAsia="es-MX"/>
        </w:rPr>
        <w:t xml:space="preserve"> contratos celebrados por el Instituto de Salud del Estado de México, derivados de procedimientos </w:t>
      </w:r>
      <w:r w:rsidR="00012722">
        <w:rPr>
          <w:rFonts w:eastAsia="Calibri" w:cs="Tahoma"/>
          <w:bCs/>
          <w:iCs/>
          <w:color w:val="000000"/>
          <w:szCs w:val="24"/>
          <w:lang w:eastAsia="es-MX"/>
        </w:rPr>
        <w:t>de</w:t>
      </w:r>
      <w:r w:rsidRPr="00A701D3">
        <w:rPr>
          <w:rFonts w:eastAsia="Calibri" w:cs="Tahoma"/>
          <w:bCs/>
          <w:iCs/>
          <w:color w:val="000000"/>
          <w:szCs w:val="24"/>
          <w:lang w:eastAsia="es-MX"/>
        </w:rPr>
        <w:t xml:space="preserve"> adjudicación directa, </w:t>
      </w:r>
      <w:r w:rsidR="00012722">
        <w:rPr>
          <w:rFonts w:eastAsia="Calibri" w:cs="Tahoma"/>
          <w:bCs/>
          <w:iCs/>
          <w:color w:val="000000"/>
          <w:szCs w:val="24"/>
          <w:lang w:eastAsia="es-MX"/>
        </w:rPr>
        <w:t>del primero de enero de dos mil veinte al catorce de enero de dos mil veintidós.</w:t>
      </w:r>
    </w:p>
    <w:p w:rsidRPr="00A701D3" w:rsidR="00A958D5" w:rsidP="001B16EC" w:rsidRDefault="00A958D5" w14:paraId="46AE05AA" w14:textId="77777777">
      <w:pPr>
        <w:autoSpaceDE w:val="0"/>
        <w:autoSpaceDN w:val="0"/>
        <w:adjustRightInd w:val="0"/>
        <w:spacing w:after="0" w:line="360" w:lineRule="auto"/>
        <w:rPr>
          <w:rFonts w:eastAsia="Calibri" w:cs="Tahoma"/>
          <w:bCs/>
          <w:iCs/>
          <w:color w:val="000000"/>
          <w:szCs w:val="24"/>
          <w:lang w:eastAsia="es-MX"/>
        </w:rPr>
      </w:pPr>
    </w:p>
    <w:p w:rsidRPr="00A701D3" w:rsidR="00BC336C" w:rsidP="001B16EC" w:rsidRDefault="00BC336C" w14:paraId="380BC400" w14:textId="5114FE33">
      <w:pPr>
        <w:autoSpaceDE w:val="0"/>
        <w:autoSpaceDN w:val="0"/>
        <w:adjustRightInd w:val="0"/>
        <w:spacing w:after="0" w:line="360" w:lineRule="auto"/>
        <w:rPr>
          <w:rFonts w:eastAsia="Calibri" w:cs="Tahoma"/>
          <w:color w:val="000000"/>
          <w:szCs w:val="24"/>
          <w:lang w:eastAsia="es-MX"/>
        </w:rPr>
      </w:pPr>
      <w:r w:rsidRPr="00A701D3">
        <w:rPr>
          <w:rFonts w:eastAsia="Calibri" w:cs="Tahoma"/>
          <w:bCs/>
          <w:iCs/>
          <w:color w:val="000000"/>
          <w:szCs w:val="24"/>
          <w:lang w:val="es-ES" w:eastAsia="es-MX"/>
        </w:rPr>
        <w:t>En respuesta, el Ente Recurrido, a través de la</w:t>
      </w:r>
      <w:r w:rsidRPr="00A701D3" w:rsidR="00A958D5">
        <w:rPr>
          <w:rFonts w:eastAsia="Calibri" w:cs="Tahoma"/>
          <w:bCs/>
          <w:iCs/>
          <w:color w:val="000000"/>
          <w:szCs w:val="24"/>
          <w:lang w:val="es-ES" w:eastAsia="es-MX"/>
        </w:rPr>
        <w:t xml:space="preserve"> Subdirección de Recursos Materiales, </w:t>
      </w:r>
      <w:r w:rsidRPr="00A701D3">
        <w:rPr>
          <w:rFonts w:eastAsia="Calibri" w:cs="Tahoma"/>
          <w:color w:val="000000"/>
          <w:szCs w:val="24"/>
          <w:lang w:eastAsia="es-MX"/>
        </w:rPr>
        <w:t>precisó que la información se podía consultar en el Portal de Informaci</w:t>
      </w:r>
      <w:r w:rsidRPr="00A701D3" w:rsidR="00A958D5">
        <w:rPr>
          <w:rFonts w:eastAsia="Calibri" w:cs="Tahoma"/>
          <w:color w:val="000000"/>
          <w:szCs w:val="24"/>
          <w:lang w:eastAsia="es-MX"/>
        </w:rPr>
        <w:t>ó</w:t>
      </w:r>
      <w:r w:rsidRPr="00A701D3" w:rsidR="00510768">
        <w:rPr>
          <w:rFonts w:eastAsia="Calibri" w:cs="Tahoma"/>
          <w:color w:val="000000"/>
          <w:szCs w:val="24"/>
          <w:lang w:eastAsia="es-MX"/>
        </w:rPr>
        <w:t xml:space="preserve">n Pública de Oficio Mexiquense, ante lo cual proporciono un enlace de consulta al </w:t>
      </w:r>
      <w:r w:rsidRPr="00A701D3" w:rsidR="00FE629E">
        <w:rPr>
          <w:rFonts w:eastAsia="Calibri" w:cs="Tahoma"/>
          <w:color w:val="000000"/>
          <w:szCs w:val="24"/>
          <w:lang w:eastAsia="es-MX"/>
        </w:rPr>
        <w:t>S</w:t>
      </w:r>
      <w:r w:rsidRPr="00A701D3" w:rsidR="000D6DCB">
        <w:rPr>
          <w:rFonts w:eastAsia="Calibri" w:cs="Tahoma"/>
          <w:color w:val="000000"/>
          <w:szCs w:val="24"/>
          <w:lang w:eastAsia="es-MX"/>
        </w:rPr>
        <w:t>olicitante</w:t>
      </w:r>
      <w:r w:rsidRPr="00A701D3">
        <w:rPr>
          <w:rFonts w:eastAsia="Calibri" w:cs="Tahoma"/>
          <w:color w:val="000000"/>
          <w:szCs w:val="24"/>
          <w:lang w:eastAsia="es-MX"/>
        </w:rPr>
        <w:t>; ante dicha circunstancia</w:t>
      </w:r>
      <w:r w:rsidRPr="00A701D3">
        <w:rPr>
          <w:rFonts w:eastAsia="Calibri" w:cs="Tahoma"/>
          <w:bCs/>
          <w:iCs/>
          <w:color w:val="000000"/>
          <w:szCs w:val="24"/>
          <w:lang w:val="es-ES" w:eastAsia="es-MX"/>
        </w:rPr>
        <w:t xml:space="preserve">, </w:t>
      </w:r>
      <w:r w:rsidR="00012722">
        <w:rPr>
          <w:rFonts w:eastAsia="Calibri" w:cs="Tahoma"/>
          <w:bCs/>
          <w:iCs/>
          <w:color w:val="000000"/>
          <w:szCs w:val="24"/>
          <w:lang w:val="es-ES" w:eastAsia="es-MX"/>
        </w:rPr>
        <w:t>el</w:t>
      </w:r>
      <w:r w:rsidRPr="00A701D3">
        <w:rPr>
          <w:rFonts w:eastAsia="Calibri" w:cs="Tahoma"/>
          <w:bCs/>
          <w:iCs/>
          <w:color w:val="000000"/>
          <w:szCs w:val="24"/>
          <w:lang w:val="es-ES" w:eastAsia="es-MX"/>
        </w:rPr>
        <w:t xml:space="preserve"> Particular se inconformó con la entrega de información que no corresponde</w:t>
      </w:r>
      <w:r w:rsidR="00012722">
        <w:rPr>
          <w:rFonts w:eastAsia="Calibri" w:cs="Tahoma"/>
          <w:bCs/>
          <w:iCs/>
          <w:color w:val="000000"/>
          <w:szCs w:val="24"/>
          <w:lang w:val="es-ES" w:eastAsia="es-MX"/>
        </w:rPr>
        <w:t xml:space="preserve"> con lo peticionado</w:t>
      </w:r>
      <w:r w:rsidRPr="00A701D3">
        <w:rPr>
          <w:rFonts w:eastAsia="Calibri" w:cs="Tahoma"/>
          <w:bCs/>
          <w:iCs/>
          <w:color w:val="000000"/>
          <w:szCs w:val="24"/>
          <w:lang w:val="es-ES" w:eastAsia="es-MX"/>
        </w:rPr>
        <w:t xml:space="preserve">, </w:t>
      </w:r>
      <w:r w:rsidR="00012722">
        <w:rPr>
          <w:rFonts w:eastAsia="Calibri" w:cs="Tahoma"/>
          <w:bCs/>
          <w:iCs/>
          <w:color w:val="000000"/>
          <w:szCs w:val="24"/>
          <w:lang w:val="es-ES" w:eastAsia="es-MX"/>
        </w:rPr>
        <w:t>al señalar que en la liga electrónica no obraban los expedientes</w:t>
      </w:r>
      <w:r w:rsidRPr="00A701D3" w:rsidR="00FE629E">
        <w:rPr>
          <w:rFonts w:eastAsia="Calibri" w:cs="Tahoma"/>
          <w:bCs/>
          <w:iCs/>
          <w:color w:val="000000"/>
          <w:szCs w:val="24"/>
          <w:lang w:val="es-ES" w:eastAsia="es-MX"/>
        </w:rPr>
        <w:t xml:space="preserve">, circunstancia </w:t>
      </w:r>
      <w:r w:rsidRPr="00A701D3" w:rsidR="00FA0B4C">
        <w:rPr>
          <w:rFonts w:eastAsia="Calibri" w:cs="Tahoma"/>
          <w:bCs/>
          <w:iCs/>
          <w:color w:val="000000"/>
          <w:szCs w:val="24"/>
          <w:lang w:val="es-ES" w:eastAsia="es-MX"/>
        </w:rPr>
        <w:t xml:space="preserve">que actualiza la causal de procedencia previstas en la fracción VI, del artículo 179 de la </w:t>
      </w:r>
      <w:r w:rsidRPr="00A701D3">
        <w:rPr>
          <w:rFonts w:eastAsia="Calibri" w:cs="Tahoma"/>
          <w:bCs/>
          <w:iCs/>
          <w:color w:val="000000"/>
          <w:szCs w:val="24"/>
          <w:lang w:val="es-ES" w:eastAsia="es-MX"/>
        </w:rPr>
        <w:t>Ley de Transparencia y Acceso a la Información Pública del Estado de México y Municipios</w:t>
      </w:r>
      <w:r w:rsidRPr="00A701D3">
        <w:rPr>
          <w:rFonts w:eastAsia="Calibri" w:cs="Tahoma"/>
          <w:bCs/>
          <w:iCs/>
          <w:color w:val="000000"/>
          <w:szCs w:val="24"/>
          <w:lang w:eastAsia="es-MX"/>
        </w:rPr>
        <w:t xml:space="preserve">. </w:t>
      </w:r>
      <w:r w:rsidRPr="00A701D3">
        <w:rPr>
          <w:rFonts w:eastAsia="Calibri" w:cs="Tahoma"/>
          <w:color w:val="000000"/>
          <w:szCs w:val="24"/>
          <w:lang w:val="es-ES" w:eastAsia="es-MX"/>
        </w:rPr>
        <w:t>Así las cosas, una vez admitidos</w:t>
      </w:r>
      <w:r w:rsidRPr="00A701D3" w:rsidR="00030569">
        <w:rPr>
          <w:rFonts w:eastAsia="Calibri" w:cs="Tahoma"/>
          <w:color w:val="000000"/>
          <w:szCs w:val="24"/>
          <w:lang w:val="es-ES" w:eastAsia="es-MX"/>
        </w:rPr>
        <w:t xml:space="preserve"> y notificado el Recurso de Revisión a las partes, estas fueron omisas en realizar alguna manifestación que a su derecho conviniera y asistiera. </w:t>
      </w:r>
    </w:p>
    <w:p w:rsidRPr="00A701D3" w:rsidR="00BC336C" w:rsidP="001B16EC" w:rsidRDefault="00BC336C" w14:paraId="366B1555" w14:textId="77777777">
      <w:pPr>
        <w:autoSpaceDE w:val="0"/>
        <w:autoSpaceDN w:val="0"/>
        <w:adjustRightInd w:val="0"/>
        <w:spacing w:after="0" w:line="360" w:lineRule="auto"/>
        <w:rPr>
          <w:rFonts w:eastAsia="Calibri" w:cs="Tahoma"/>
          <w:iCs/>
          <w:color w:val="000000"/>
          <w:szCs w:val="24"/>
          <w:lang w:val="es-ES" w:eastAsia="es-MX"/>
        </w:rPr>
      </w:pPr>
    </w:p>
    <w:p w:rsidRPr="00A701D3" w:rsidR="00BC336C" w:rsidP="001B16EC" w:rsidRDefault="00BC336C" w14:paraId="451E35D8" w14:textId="234F20E6">
      <w:pPr>
        <w:autoSpaceDE w:val="0"/>
        <w:autoSpaceDN w:val="0"/>
        <w:adjustRightInd w:val="0"/>
        <w:spacing w:after="0" w:line="360" w:lineRule="auto"/>
        <w:rPr>
          <w:rFonts w:eastAsia="Calibri" w:cs="Tahoma"/>
          <w:iCs/>
          <w:color w:val="000000"/>
          <w:szCs w:val="24"/>
          <w:lang w:val="es-ES" w:eastAsia="es-MX"/>
        </w:rPr>
      </w:pPr>
      <w:r w:rsidRPr="00A701D3">
        <w:rPr>
          <w:rFonts w:eastAsia="Calibri" w:cs="Tahoma"/>
          <w:iCs/>
          <w:color w:val="000000"/>
          <w:szCs w:val="24"/>
          <w:lang w:val="es-ES" w:eastAsia="es-MX"/>
        </w:rPr>
        <w:t xml:space="preserve">Lo anterior, se desprende de las documentales que obran en el expediente de referencia, materia de la presente resolución, consistente en: </w:t>
      </w:r>
      <w:r w:rsidRPr="00A701D3" w:rsidR="00030569">
        <w:rPr>
          <w:rFonts w:eastAsia="Calibri" w:cs="Tahoma"/>
          <w:iCs/>
          <w:color w:val="000000"/>
          <w:szCs w:val="24"/>
          <w:lang w:val="es-ES" w:eastAsia="es-MX"/>
        </w:rPr>
        <w:t>la solicitud de acceso a la información, la respuesta otorgada por el Sujeto Obligado y el escrito recursal</w:t>
      </w:r>
      <w:r w:rsidRPr="00A701D3">
        <w:rPr>
          <w:rFonts w:eastAsia="Calibri" w:cs="Tahoma"/>
          <w:iCs/>
          <w:color w:val="000000"/>
          <w:szCs w:val="24"/>
          <w:lang w:eastAsia="es-MX"/>
        </w:rPr>
        <w:t xml:space="preserve">; </w:t>
      </w:r>
      <w:r w:rsidRPr="00A701D3">
        <w:rPr>
          <w:rFonts w:eastAsia="Calibri" w:cs="Tahoma"/>
          <w:bCs/>
          <w:color w:val="000000"/>
          <w:szCs w:val="24"/>
          <w:lang w:eastAsia="es-MX"/>
        </w:rPr>
        <w:t>instrumentales que se toman en cuenta a efecto de resolver el presente medio de impugnación, conforme a lo dispuesto por el artículo 185, fracción IV, de la Ley de Transparencia y Acceso a la Información Pública del Estado de México y Municipios.</w:t>
      </w:r>
    </w:p>
    <w:p w:rsidRPr="00A701D3" w:rsidR="00C853D1" w:rsidP="001B16EC" w:rsidRDefault="00C853D1" w14:paraId="5796AF7E" w14:textId="77777777">
      <w:pPr>
        <w:spacing w:after="0" w:line="360" w:lineRule="auto"/>
      </w:pPr>
    </w:p>
    <w:p w:rsidRPr="00A701D3" w:rsidR="00C853D1" w:rsidP="001B16EC" w:rsidRDefault="00C853D1" w14:paraId="4AD760E5" w14:textId="77777777">
      <w:pPr>
        <w:spacing w:after="0" w:line="360" w:lineRule="auto"/>
        <w:rPr>
          <w:rFonts w:eastAsia="Times New Roman" w:cs="Tahoma"/>
          <w:b/>
          <w:bCs/>
          <w:iCs/>
          <w:color w:val="auto"/>
          <w:lang w:eastAsia="es-ES"/>
        </w:rPr>
      </w:pPr>
      <w:r w:rsidRPr="00A701D3">
        <w:rPr>
          <w:rFonts w:eastAsia="Times New Roman" w:cs="Tahoma"/>
          <w:b/>
          <w:bCs/>
          <w:iCs/>
          <w:color w:val="auto"/>
          <w:lang w:val="es-ES" w:eastAsia="es-ES"/>
        </w:rPr>
        <w:t xml:space="preserve">CUARTO. </w:t>
      </w:r>
      <w:r w:rsidRPr="00A701D3">
        <w:rPr>
          <w:rFonts w:eastAsia="Times New Roman" w:cs="Tahoma"/>
          <w:b/>
          <w:bCs/>
          <w:iCs/>
          <w:color w:val="auto"/>
          <w:lang w:eastAsia="es-ES"/>
        </w:rPr>
        <w:t>Marco normativo aplicable en materia de transparencia y acceso a la información pública.</w:t>
      </w:r>
    </w:p>
    <w:p w:rsidRPr="00A701D3" w:rsidR="00C853D1" w:rsidP="001B16EC" w:rsidRDefault="00C853D1" w14:paraId="43AD0F27" w14:textId="77777777">
      <w:pPr>
        <w:spacing w:after="0" w:line="360" w:lineRule="auto"/>
        <w:rPr>
          <w:rFonts w:eastAsia="Times New Roman" w:cs="Tahoma"/>
          <w:b/>
          <w:bCs/>
          <w:iCs/>
          <w:color w:val="auto"/>
          <w:lang w:eastAsia="es-ES"/>
        </w:rPr>
      </w:pPr>
    </w:p>
    <w:p w:rsidRPr="00A701D3" w:rsidR="00C853D1" w:rsidP="001B16EC" w:rsidRDefault="00C853D1" w14:paraId="612B1C77"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701D3" w:rsidR="00C853D1" w:rsidP="001B16EC" w:rsidRDefault="00C853D1" w14:paraId="4DEFDE24" w14:textId="77777777">
      <w:pPr>
        <w:spacing w:after="0" w:line="360" w:lineRule="auto"/>
        <w:rPr>
          <w:rFonts w:eastAsia="Times New Roman" w:cs="Tahoma"/>
          <w:bCs/>
          <w:iCs/>
          <w:color w:val="auto"/>
          <w:lang w:eastAsia="es-ES"/>
        </w:rPr>
      </w:pPr>
    </w:p>
    <w:p w:rsidRPr="00A701D3" w:rsidR="00C853D1" w:rsidP="001B16EC" w:rsidRDefault="00C853D1" w14:paraId="0629EDEA"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A701D3" w:rsidR="00C853D1" w:rsidP="001B16EC" w:rsidRDefault="00C853D1" w14:paraId="1198CD87" w14:textId="77777777">
      <w:pPr>
        <w:spacing w:after="0" w:line="360" w:lineRule="auto"/>
        <w:rPr>
          <w:rFonts w:eastAsia="Times New Roman" w:cs="Tahoma"/>
          <w:bCs/>
          <w:iCs/>
          <w:color w:val="auto"/>
          <w:lang w:eastAsia="es-ES"/>
        </w:rPr>
      </w:pPr>
    </w:p>
    <w:p w:rsidRPr="00A701D3" w:rsidR="00C853D1" w:rsidP="001B16EC" w:rsidRDefault="00C853D1" w14:paraId="2E116B44"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A701D3" w:rsidR="00C853D1" w:rsidP="001B16EC" w:rsidRDefault="00C853D1" w14:paraId="6D4CE485" w14:textId="77777777">
      <w:pPr>
        <w:spacing w:after="0" w:line="360" w:lineRule="auto"/>
        <w:rPr>
          <w:rFonts w:eastAsia="Times New Roman" w:cs="Tahoma"/>
          <w:bCs/>
          <w:iCs/>
          <w:color w:val="auto"/>
          <w:lang w:eastAsia="es-ES"/>
        </w:rPr>
      </w:pPr>
    </w:p>
    <w:p w:rsidRPr="00A701D3" w:rsidR="00C853D1" w:rsidP="001B16EC" w:rsidRDefault="00C853D1" w14:paraId="39E7B3D5"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A701D3" w:rsidR="00C853D1" w:rsidP="001B16EC" w:rsidRDefault="00C853D1" w14:paraId="08EAD36A" w14:textId="77777777">
      <w:pPr>
        <w:spacing w:after="0" w:line="360" w:lineRule="auto"/>
        <w:rPr>
          <w:rFonts w:eastAsia="Times New Roman" w:cs="Tahoma"/>
          <w:bCs/>
          <w:iCs/>
          <w:color w:val="auto"/>
          <w:lang w:eastAsia="es-ES"/>
        </w:rPr>
      </w:pPr>
    </w:p>
    <w:p w:rsidRPr="00A701D3" w:rsidR="00C853D1" w:rsidP="001B16EC" w:rsidRDefault="00C853D1" w14:paraId="33BD459A"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t>El artículo 12, que, quienes generen, recopilen, administren, manejen, procesen, archiven o conserven información pública serán responsables de la misma.</w:t>
      </w:r>
    </w:p>
    <w:p w:rsidRPr="00A701D3" w:rsidR="00C853D1" w:rsidP="001B16EC" w:rsidRDefault="00C853D1" w14:paraId="7F23F258" w14:textId="77777777">
      <w:pPr>
        <w:spacing w:after="0" w:line="360" w:lineRule="auto"/>
        <w:rPr>
          <w:rFonts w:eastAsia="Times New Roman" w:cs="Tahoma"/>
          <w:bCs/>
          <w:iCs/>
          <w:color w:val="auto"/>
          <w:lang w:eastAsia="es-ES"/>
        </w:rPr>
      </w:pPr>
    </w:p>
    <w:p w:rsidRPr="00A701D3" w:rsidR="00C853D1" w:rsidP="001B16EC" w:rsidRDefault="00C853D1" w14:paraId="21150C29"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A701D3" w:rsidR="00C853D1" w:rsidP="001B16EC" w:rsidRDefault="00C853D1" w14:paraId="3F8053D7" w14:textId="77777777">
      <w:pPr>
        <w:spacing w:after="0" w:line="360" w:lineRule="auto"/>
        <w:rPr>
          <w:rFonts w:eastAsia="Times New Roman" w:cs="Tahoma"/>
          <w:bCs/>
          <w:iCs/>
          <w:color w:val="auto"/>
          <w:lang w:eastAsia="es-ES"/>
        </w:rPr>
      </w:pPr>
    </w:p>
    <w:p w:rsidRPr="00A701D3" w:rsidR="00C853D1" w:rsidP="001B16EC" w:rsidRDefault="00C853D1" w14:paraId="391D3BDE" w14:textId="77777777">
      <w:pPr>
        <w:spacing w:after="0" w:line="360" w:lineRule="auto"/>
        <w:rPr>
          <w:rFonts w:eastAsia="Times New Roman" w:cs="Tahoma"/>
          <w:bCs/>
          <w:iCs/>
          <w:color w:val="auto"/>
          <w:lang w:eastAsia="es-ES"/>
        </w:rPr>
      </w:pPr>
      <w:r w:rsidRPr="00A701D3">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A701D3">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Pr="00A701D3" w:rsidR="00C853D1" w:rsidP="001B16EC" w:rsidRDefault="00C853D1" w14:paraId="318E888B" w14:textId="77777777">
      <w:pPr>
        <w:spacing w:after="0" w:line="360" w:lineRule="auto"/>
        <w:rPr>
          <w:rFonts w:eastAsia="Times New Roman" w:cs="Tahoma"/>
          <w:color w:val="auto"/>
          <w:lang w:eastAsia="es-ES"/>
        </w:rPr>
      </w:pPr>
    </w:p>
    <w:p w:rsidRPr="00A701D3" w:rsidR="00C853D1" w:rsidP="001B16EC" w:rsidRDefault="00C853D1" w14:paraId="44190E9E" w14:textId="65E4D036">
      <w:pPr>
        <w:spacing w:after="0" w:line="360" w:lineRule="auto"/>
        <w:rPr>
          <w:rFonts w:eastAsia="Times New Roman" w:cs="Tahoma"/>
          <w:color w:val="auto"/>
          <w:lang w:eastAsia="es-ES"/>
        </w:rPr>
      </w:pPr>
      <w:r w:rsidRPr="00A701D3">
        <w:rPr>
          <w:rFonts w:eastAsia="Times New Roman" w:cs="Tahoma"/>
          <w:color w:val="auto"/>
          <w:lang w:eastAsia="es-ES"/>
        </w:rPr>
        <w:t>El artículo 9</w:t>
      </w:r>
      <w:r w:rsidRPr="00A701D3" w:rsidR="00682222">
        <w:rPr>
          <w:rFonts w:eastAsia="Times New Roman" w:cs="Tahoma"/>
          <w:color w:val="auto"/>
          <w:lang w:eastAsia="es-ES"/>
        </w:rPr>
        <w:t>2</w:t>
      </w:r>
      <w:r w:rsidRPr="00A701D3">
        <w:rPr>
          <w:rFonts w:eastAsia="Times New Roman" w:cs="Tahoma"/>
          <w:color w:val="auto"/>
          <w:lang w:eastAsia="es-ES"/>
        </w:rPr>
        <w:t>,</w:t>
      </w:r>
      <w:r w:rsidRPr="00A701D3" w:rsidR="00A7585F">
        <w:rPr>
          <w:rFonts w:eastAsia="Times New Roman" w:cs="Tahoma"/>
          <w:color w:val="auto"/>
          <w:lang w:eastAsia="es-ES"/>
        </w:rPr>
        <w:t xml:space="preserve"> fracción </w:t>
      </w:r>
      <w:r w:rsidRPr="00A701D3" w:rsidR="00682222">
        <w:rPr>
          <w:rFonts w:eastAsia="Times New Roman" w:cs="Tahoma"/>
          <w:color w:val="auto"/>
          <w:lang w:val="x-none" w:eastAsia="es-ES"/>
        </w:rPr>
        <w:t>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rsidRPr="00A701D3" w:rsidR="00C853D1" w:rsidP="001B16EC" w:rsidRDefault="00C853D1" w14:paraId="1052A03D" w14:textId="77777777">
      <w:pPr>
        <w:spacing w:after="0" w:line="360" w:lineRule="auto"/>
        <w:rPr>
          <w:rFonts w:eastAsia="Times New Roman" w:cs="Tahoma"/>
          <w:b/>
          <w:bCs/>
          <w:iCs/>
          <w:color w:val="auto"/>
          <w:lang w:val="es-ES" w:eastAsia="es-ES"/>
        </w:rPr>
      </w:pPr>
    </w:p>
    <w:p w:rsidRPr="00A701D3" w:rsidR="00C853D1" w:rsidP="001B16EC" w:rsidRDefault="00C853D1" w14:paraId="4CD9F9A9" w14:textId="77777777">
      <w:pPr>
        <w:spacing w:after="0" w:line="360" w:lineRule="auto"/>
        <w:rPr>
          <w:rFonts w:eastAsia="Times New Roman" w:cs="Tahoma"/>
          <w:b/>
          <w:bCs/>
          <w:iCs/>
          <w:color w:val="auto"/>
          <w:lang w:val="es-ES" w:eastAsia="es-ES"/>
        </w:rPr>
      </w:pPr>
      <w:r w:rsidRPr="00A701D3">
        <w:rPr>
          <w:rFonts w:eastAsia="Times New Roman" w:cs="Tahoma"/>
          <w:b/>
          <w:bCs/>
          <w:iCs/>
          <w:color w:val="auto"/>
          <w:lang w:val="es-ES" w:eastAsia="es-ES"/>
        </w:rPr>
        <w:t>Quinto. Estudio de Fondo.</w:t>
      </w:r>
    </w:p>
    <w:p w:rsidRPr="00A701D3" w:rsidR="00C853D1" w:rsidP="001B16EC" w:rsidRDefault="00C853D1" w14:paraId="614B9665" w14:textId="5578038A">
      <w:pPr>
        <w:spacing w:after="0" w:line="360" w:lineRule="auto"/>
        <w:rPr>
          <w:rFonts w:eastAsia="Times New Roman" w:cs="Tahoma"/>
          <w:iCs/>
          <w:color w:val="auto"/>
          <w:lang w:val="es-ES" w:eastAsia="es-ES"/>
        </w:rPr>
      </w:pPr>
    </w:p>
    <w:p w:rsidRPr="00A701D3" w:rsidR="00C55413" w:rsidP="001B16EC" w:rsidRDefault="009E6313" w14:paraId="2E6D91A7" w14:textId="1FDC4A23">
      <w:pPr>
        <w:spacing w:after="0" w:line="360" w:lineRule="auto"/>
      </w:pPr>
      <w:r w:rsidRPr="00A701D3">
        <w:t>Expuestas las posturas de las partes, se procede al análisis del agravio hecho valer por el ahora Recurrente</w:t>
      </w:r>
      <w:r w:rsidRPr="00A701D3" w:rsidR="00BB672D">
        <w:t>,</w:t>
      </w:r>
      <w:r w:rsidRPr="00A701D3" w:rsidR="00682222">
        <w:t xml:space="preserve"> referente a la </w:t>
      </w:r>
      <w:r w:rsidR="00012722">
        <w:t xml:space="preserve">entrega </w:t>
      </w:r>
      <w:r w:rsidRPr="00A701D3" w:rsidR="00C55413">
        <w:t xml:space="preserve">de información que no corresponde con lo solicitado, ante lo cual, </w:t>
      </w:r>
      <w:r w:rsidRPr="00A701D3" w:rsidR="003B57DA">
        <w:t xml:space="preserve">en un primer momento es necesario contextualizar la información de interés del Recurrente. </w:t>
      </w:r>
    </w:p>
    <w:p w:rsidRPr="00A701D3" w:rsidR="003B57DA" w:rsidP="001B16EC" w:rsidRDefault="003B57DA" w14:paraId="0EF576B6" w14:textId="77777777">
      <w:pPr>
        <w:spacing w:after="0" w:line="360" w:lineRule="auto"/>
      </w:pPr>
    </w:p>
    <w:p w:rsidRPr="00A701D3" w:rsidR="00C55413" w:rsidP="001B16EC" w:rsidRDefault="003B57DA" w14:paraId="5C52D530" w14:textId="61C3702B">
      <w:pPr>
        <w:spacing w:after="0" w:line="360" w:lineRule="auto"/>
      </w:pPr>
      <w:r w:rsidRPr="00A701D3">
        <w:t xml:space="preserve">Sobre el tema, </w:t>
      </w:r>
      <w:r w:rsidRPr="00A701D3" w:rsidR="007E3A07">
        <w:t>López Olvera, Miguel Alejandro Cancino Gómez, Rodolfo. (2020). “La Contratación Pública y el Sistema Nacional Anticorrupción”.</w:t>
      </w:r>
      <w:r w:rsidRPr="00A701D3" w:rsidR="005162C3">
        <w:t xml:space="preserve"> (p. 4) la </w:t>
      </w:r>
      <w:r w:rsidRPr="00A701D3" w:rsidR="005162C3">
        <w:rPr>
          <w:b/>
        </w:rPr>
        <w:t>contratación pública</w:t>
      </w:r>
      <w:r w:rsidRPr="00A701D3" w:rsidR="005162C3">
        <w:t xml:space="preserve">, es el </w:t>
      </w:r>
      <w:r w:rsidRPr="00A701D3">
        <w:t>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Pr="00A701D3" w:rsidR="00C55413" w:rsidP="001B16EC" w:rsidRDefault="00C55413" w14:paraId="70C96B73" w14:textId="77777777">
      <w:pPr>
        <w:spacing w:after="0" w:line="360" w:lineRule="auto"/>
      </w:pPr>
    </w:p>
    <w:p w:rsidRPr="00A701D3" w:rsidR="005162C3" w:rsidP="001B16EC" w:rsidRDefault="005162C3" w14:paraId="714C73AD" w14:textId="3C2881DB">
      <w:pPr>
        <w:spacing w:after="0" w:line="360" w:lineRule="auto"/>
        <w:rPr>
          <w:rFonts w:eastAsia="Calibri" w:cs="Times New Roman"/>
        </w:rPr>
      </w:pPr>
      <w:r w:rsidRPr="00A701D3">
        <w:rPr>
          <w:rFonts w:eastAsia="Times New Roman" w:cs="Tahoma"/>
          <w:bCs/>
          <w:iCs/>
          <w:lang w:eastAsia="es-ES"/>
        </w:rPr>
        <w:t>Conforme a lo anterior</w:t>
      </w:r>
      <w:r w:rsidRPr="00A701D3" w:rsidR="00682222">
        <w:rPr>
          <w:rFonts w:eastAsia="Calibri" w:cs="Times New Roman"/>
        </w:rPr>
        <w:t xml:space="preserve">, el artículo 12.4 del Código Administrativo del Estado de México, establece que las obras públicas son aquellas cuyo objeto principal sea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w:t>
      </w:r>
      <w:r w:rsidRPr="00A701D3" w:rsidR="00682222">
        <w:rPr>
          <w:rFonts w:eastAsia="Calibri" w:cs="Times New Roman"/>
        </w:rPr>
        <w:lastRenderedPageBreak/>
        <w:t>infraestructura agropecuaria e hidroagrícola, entre otros. Además, conforme al artículo 12.6 de dicho ordenamiento jurídico, uno de los entes que pueden llevar a cabo contratos de obra pública o servicios relacionados con la misma, son</w:t>
      </w:r>
      <w:r w:rsidRPr="00A701D3">
        <w:rPr>
          <w:rFonts w:eastAsia="Calibri" w:cs="Times New Roman"/>
        </w:rPr>
        <w:t xml:space="preserve"> las Dependencias. </w:t>
      </w:r>
    </w:p>
    <w:p w:rsidRPr="00A701D3" w:rsidR="00931F8F" w:rsidP="001B16EC" w:rsidRDefault="00931F8F" w14:paraId="6928FF8F" w14:textId="77777777">
      <w:pPr>
        <w:spacing w:after="0" w:line="360" w:lineRule="auto"/>
        <w:rPr>
          <w:rFonts w:eastAsia="Calibri" w:cs="Times New Roman"/>
        </w:rPr>
      </w:pPr>
    </w:p>
    <w:p w:rsidRPr="00A701D3" w:rsidR="00682222" w:rsidP="001B16EC" w:rsidRDefault="00682222" w14:paraId="1D2D3A03" w14:textId="50E11B3A">
      <w:pPr>
        <w:spacing w:after="0" w:line="360" w:lineRule="auto"/>
        <w:rPr>
          <w:rFonts w:eastAsia="Calibri" w:cs="Times New Roman"/>
        </w:rPr>
      </w:pPr>
      <w:r w:rsidRPr="00A701D3">
        <w:rPr>
          <w:rFonts w:eastAsia="Calibri" w:cs="Times New Roman"/>
        </w:rPr>
        <w:t xml:space="preserve">En ese orden </w:t>
      </w:r>
      <w:r w:rsidRPr="00A701D3" w:rsidR="00931F8F">
        <w:rPr>
          <w:rFonts w:eastAsia="Calibri" w:cs="Times New Roman"/>
        </w:rPr>
        <w:t xml:space="preserve">de ideas, es responsabilidad de las Dependencias </w:t>
      </w:r>
      <w:r w:rsidRPr="00A701D3">
        <w:rPr>
          <w:rFonts w:eastAsia="Calibri" w:cs="Times New Roman"/>
        </w:rPr>
        <w:t>ejecutar la obra pública respectiva, mediante contrato con terceros o por administración directa; dicho acto jurídico, será adjudicado a través de</w:t>
      </w:r>
      <w:r w:rsidRPr="00A701D3">
        <w:rPr>
          <w:rFonts w:eastAsia="Calibri" w:cs="Times New Roman"/>
          <w:b/>
          <w:bCs/>
        </w:rPr>
        <w:t xml:space="preserve"> </w:t>
      </w:r>
      <w:r w:rsidRPr="00A701D3">
        <w:rPr>
          <w:rFonts w:eastAsia="Calibri" w:cs="Times New Roman"/>
          <w:bCs/>
        </w:rPr>
        <w:t>licitaciones públicas,</w:t>
      </w:r>
      <w:r w:rsidRPr="00A701D3">
        <w:rPr>
          <w:rFonts w:eastAsia="Calibri" w:cs="Times New Roman"/>
        </w:rPr>
        <w:t xml:space="preserve"> </w:t>
      </w:r>
      <w:r w:rsidRPr="00A701D3">
        <w:rPr>
          <w:rFonts w:eastAsia="Calibri" w:cs="Times New Roman"/>
          <w:bCs/>
        </w:rPr>
        <w:t>invitación restringida o</w:t>
      </w:r>
      <w:r w:rsidRPr="00A701D3">
        <w:rPr>
          <w:rFonts w:eastAsia="Calibri" w:cs="Times New Roman"/>
          <w:b/>
          <w:bCs/>
        </w:rPr>
        <w:t xml:space="preserve"> adjudicación directa,</w:t>
      </w:r>
      <w:r w:rsidRPr="00A701D3">
        <w:rPr>
          <w:rFonts w:eastAsia="Calibri" w:cs="Times New Roman"/>
        </w:rPr>
        <w:t xml:space="preserve"> conforme a los artículos 12.8, 12.20 y 12.21 del Código mencionado.</w:t>
      </w:r>
    </w:p>
    <w:p w:rsidRPr="00A701D3" w:rsidR="00C8543C" w:rsidP="001B16EC" w:rsidRDefault="00C8543C" w14:paraId="4393F2AF" w14:textId="77777777">
      <w:pPr>
        <w:spacing w:after="0" w:line="360" w:lineRule="auto"/>
        <w:rPr>
          <w:rFonts w:eastAsia="Calibri" w:cs="Times New Roman"/>
        </w:rPr>
      </w:pPr>
    </w:p>
    <w:p w:rsidR="00682222" w:rsidP="001B16EC" w:rsidRDefault="00682222" w14:paraId="27B472F5" w14:textId="62122D36">
      <w:pPr>
        <w:spacing w:after="0" w:line="360" w:lineRule="auto"/>
        <w:rPr>
          <w:rFonts w:eastAsia="Calibri" w:cs="Tahoma"/>
        </w:rPr>
      </w:pPr>
      <w:r w:rsidRPr="00A701D3">
        <w:rPr>
          <w:rFonts w:eastAsia="Calibri" w:cs="Tahoma"/>
        </w:rPr>
        <w:t>Por otra part</w:t>
      </w:r>
      <w:r w:rsidRPr="00A701D3" w:rsidR="00931F8F">
        <w:rPr>
          <w:rFonts w:eastAsia="Calibri" w:cs="Tahoma"/>
        </w:rPr>
        <w:t xml:space="preserve">e, los artículos 1°, fracción </w:t>
      </w:r>
      <w:r w:rsidRPr="00A701D3">
        <w:rPr>
          <w:rFonts w:eastAsia="Calibri" w:cs="Tahoma"/>
        </w:rPr>
        <w:t xml:space="preserve">I, y 4°de la Ley de la de Contratación Pública del Estado de México y Municipios, especifica que </w:t>
      </w:r>
      <w:r w:rsidRPr="00A701D3" w:rsidR="0006653A">
        <w:rPr>
          <w:rFonts w:eastAsia="Calibri" w:cs="Tahoma"/>
        </w:rPr>
        <w:t>las Dependencias, serán la</w:t>
      </w:r>
      <w:r w:rsidRPr="00A701D3">
        <w:rPr>
          <w:rFonts w:eastAsia="Calibri" w:cs="Tahoma"/>
        </w:rPr>
        <w:t>s encargados de realizar los actos relativos a la planeación, programación, presupuestación, ejecución y control de la adquisición (bienes muebles e inmuebles), arrendamiento (bienes muebles e inmuebles), y la contratación de ser</w:t>
      </w:r>
      <w:r w:rsidRPr="00A701D3" w:rsidR="0006653A">
        <w:rPr>
          <w:rFonts w:eastAsia="Calibri" w:cs="Tahoma"/>
        </w:rPr>
        <w:t xml:space="preserve">vicios de cualquier naturaleza. </w:t>
      </w:r>
    </w:p>
    <w:p w:rsidR="0072346D" w:rsidP="001B16EC" w:rsidRDefault="0072346D" w14:paraId="6E5D523F" w14:textId="0D292EBB">
      <w:pPr>
        <w:spacing w:after="0" w:line="360" w:lineRule="auto"/>
        <w:rPr>
          <w:rFonts w:eastAsia="Calibri" w:cs="Tahoma"/>
        </w:rPr>
      </w:pPr>
    </w:p>
    <w:p w:rsidRPr="0072346D" w:rsidR="0072346D" w:rsidP="001B16EC" w:rsidRDefault="0072346D" w14:paraId="403578BC" w14:textId="77777777">
      <w:pPr>
        <w:spacing w:after="0" w:line="360" w:lineRule="auto"/>
        <w:rPr>
          <w:rFonts w:eastAsia="Calibri" w:cs="Tahoma"/>
        </w:rPr>
      </w:pPr>
      <w:r w:rsidRPr="0072346D">
        <w:rPr>
          <w:rFonts w:eastAsia="Calibri" w:cs="Tahoma"/>
        </w:rPr>
        <w:t>En ese contexto, conforme a los artículos 26 y 27 de dicho ordenamiento jurídico, las adquisiciones, arrendamientos y servicios, se adjudicarán a través de procedimientos de licitación pública, invitación restringida y adjudicación directa.</w:t>
      </w:r>
    </w:p>
    <w:p w:rsidR="0072346D" w:rsidP="001B16EC" w:rsidRDefault="0072346D" w14:paraId="7FF26883" w14:textId="77777777">
      <w:pPr>
        <w:spacing w:after="0" w:line="360" w:lineRule="auto"/>
      </w:pPr>
    </w:p>
    <w:p w:rsidRPr="0072346D" w:rsidR="0072346D" w:rsidP="001B16EC" w:rsidRDefault="0072346D" w14:paraId="14AADD78" w14:textId="77777777">
      <w:pPr>
        <w:spacing w:after="0" w:line="360" w:lineRule="auto"/>
        <w:rPr>
          <w:rFonts w:eastAsia="Calibri" w:cs="Tahoma"/>
          <w:lang w:val="es-ES"/>
        </w:rPr>
      </w:pPr>
      <w:r w:rsidRPr="0072346D">
        <w:rPr>
          <w:rFonts w:eastAsia="Calibri" w:cs="Times New Roman"/>
        </w:rPr>
        <w:t xml:space="preserve">Ahora bien, sobre los documentos peticionados, se trae </w:t>
      </w:r>
      <w:r w:rsidRPr="0072346D">
        <w:rPr>
          <w:rFonts w:eastAsia="Calibri" w:cs="Tahoma"/>
          <w:lang w:val="es-ES"/>
        </w:rPr>
        <w:t xml:space="preserve">a colación el artículo 12.38 del Código Administrativo del Estado de México y el 65 de la Ley de Contratación Pública del Estado de México y Municipios, que establecen que la adjudicación de un procedimiento de </w:t>
      </w:r>
      <w:r w:rsidRPr="0072346D">
        <w:rPr>
          <w:rFonts w:eastAsia="Calibri" w:cs="Tahoma"/>
          <w:b/>
          <w:bCs/>
          <w:lang w:val="es-ES"/>
        </w:rPr>
        <w:t>adquisición y arrendamiento de bienes, contratación de servicios y ejecución de obra,</w:t>
      </w:r>
      <w:r w:rsidRPr="0072346D">
        <w:rPr>
          <w:rFonts w:eastAsia="Calibri" w:cs="Tahoma"/>
          <w:lang w:val="es-ES"/>
        </w:rPr>
        <w:t xml:space="preserve"> se realizará mediante la suscripción de un contrato, entre el Ayuntamiento y la persona a la cual haya ganado el procedimiento licitatorio, dentro de los diez días hábiles siguientes a la notificación del fallo.</w:t>
      </w:r>
    </w:p>
    <w:p w:rsidRPr="0072346D" w:rsidR="0072346D" w:rsidP="001B16EC" w:rsidRDefault="0072346D" w14:paraId="79FEF06C" w14:textId="77777777">
      <w:pPr>
        <w:spacing w:after="0" w:line="360" w:lineRule="auto"/>
        <w:rPr>
          <w:rFonts w:eastAsia="Calibri" w:cs="Times New Roman"/>
        </w:rPr>
      </w:pPr>
    </w:p>
    <w:p w:rsidRPr="0072346D" w:rsidR="0072346D" w:rsidP="001B16EC" w:rsidRDefault="0072346D" w14:paraId="445A6967" w14:textId="77777777">
      <w:pPr>
        <w:spacing w:after="0" w:line="360" w:lineRule="auto"/>
        <w:rPr>
          <w:rFonts w:eastAsia="Calibri" w:cs="Tahoma"/>
          <w:lang w:val="es-ES"/>
        </w:rPr>
      </w:pPr>
      <w:r w:rsidRPr="0072346D">
        <w:rPr>
          <w:rFonts w:eastAsia="Calibri" w:cs="Tahoma"/>
          <w:lang w:val="es-ES"/>
        </w:rPr>
        <w:lastRenderedPageBreak/>
        <w:t>Además, que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datos de identificación de las partes y del contrato, así como el importe total.</w:t>
      </w:r>
    </w:p>
    <w:p w:rsidR="0072346D" w:rsidP="001B16EC" w:rsidRDefault="0072346D" w14:paraId="1BD6244B" w14:textId="5B4FF988">
      <w:pPr>
        <w:spacing w:after="0" w:line="360" w:lineRule="auto"/>
      </w:pPr>
    </w:p>
    <w:p w:rsidR="0072346D" w:rsidP="001B16EC" w:rsidRDefault="0072346D" w14:paraId="21558569" w14:textId="730509F5">
      <w:pPr>
        <w:spacing w:after="0" w:line="360" w:lineRule="auto"/>
      </w:pPr>
      <w:r>
        <w:t xml:space="preserve">Conforme a lo anterior, se logra observar que, en el presente caso, la pretensión del ahora Recurrente, es obtener los contratos celebrados por el Instituto de Salud del Estado de México, para la adquisición o arrendamiento de bienes muebles o inmuebles, contratación de servicios y ejecución de obra, del primero de enero de dos mil veinte al catorce de enero de dos mil veintidós, derivados de procedimientos de adjudicación directa. </w:t>
      </w:r>
    </w:p>
    <w:p w:rsidR="0072346D" w:rsidP="001B16EC" w:rsidRDefault="0072346D" w14:paraId="2624BB56" w14:textId="77777777">
      <w:pPr>
        <w:spacing w:after="0" w:line="360" w:lineRule="auto"/>
      </w:pPr>
    </w:p>
    <w:p w:rsidRPr="00A701D3" w:rsidR="00DF7BD1" w:rsidP="001B16EC" w:rsidRDefault="0072346D" w14:paraId="6ED83E2D" w14:textId="25C9FD3D">
      <w:pPr>
        <w:autoSpaceDE w:val="0"/>
        <w:autoSpaceDN w:val="0"/>
        <w:adjustRightInd w:val="0"/>
        <w:spacing w:after="0" w:line="360" w:lineRule="auto"/>
      </w:pPr>
      <w:r>
        <w:rPr>
          <w:rFonts w:eastAsia="Times New Roman" w:cs="Tahoma"/>
          <w:bCs/>
          <w:iCs/>
          <w:color w:val="auto"/>
          <w:lang w:val="es-ES" w:eastAsia="es-ES"/>
        </w:rPr>
        <w:t>Ahora bien, de</w:t>
      </w:r>
      <w:r w:rsidRPr="00A701D3" w:rsidR="00DF7BD1">
        <w:t xml:space="preserve"> las constancias que obran en el expediente se logra vislumbrar, que el Sujeto Obligado turnó la solicitud de información a la </w:t>
      </w:r>
      <w:r w:rsidRPr="00455BCA" w:rsidR="00DF7BD1">
        <w:rPr>
          <w:rFonts w:eastAsia="Calibri" w:cs="Tahoma"/>
          <w:iCs/>
          <w:color w:val="000000"/>
          <w:szCs w:val="24"/>
          <w:lang w:val="es-ES" w:eastAsia="es-MX"/>
        </w:rPr>
        <w:t>Subdirección de Recursos Materiales</w:t>
      </w:r>
      <w:r w:rsidRPr="00A701D3" w:rsidR="00DF7BD1">
        <w:t>;</w:t>
      </w:r>
      <w:r w:rsidRPr="00A701D3" w:rsidR="00DF7BD1">
        <w:rPr>
          <w:rFonts w:eastAsia="Times New Roman" w:cs="Tahoma"/>
          <w:bCs/>
          <w:color w:val="auto"/>
          <w:lang w:val="es-ES" w:eastAsia="es-ES"/>
        </w:rPr>
        <w:t xml:space="preserve"> por lo cual, es necesario hacer </w:t>
      </w:r>
      <w:r w:rsidRPr="00A701D3" w:rsidR="00DF7BD1">
        <w:rPr>
          <w:rFonts w:eastAsia="Times New Roman" w:cs="Tahoma"/>
          <w:bCs/>
          <w:color w:val="auto"/>
          <w:lang w:eastAsia="es-ES"/>
        </w:rPr>
        <w:t xml:space="preserve">referencia al </w:t>
      </w:r>
      <w:r w:rsidRPr="00A701D3" w:rsidR="00DF7BD1">
        <w:rPr>
          <w:rFonts w:eastAsia="Times New Roman" w:cs="Tahoma"/>
          <w:b/>
          <w:bCs/>
          <w:color w:val="auto"/>
          <w:lang w:eastAsia="es-ES"/>
        </w:rPr>
        <w:t>procedimiento de búsqueda que deben de seguir los Sujetos Obligados para localizar la información</w:t>
      </w:r>
      <w:r w:rsidRPr="00A701D3" w:rsidR="00DF7BD1">
        <w:rPr>
          <w:rFonts w:eastAsia="Times New Roman" w:cs="Tahoma"/>
          <w:bCs/>
          <w:color w:val="auto"/>
          <w:lang w:eastAsia="es-ES"/>
        </w:rPr>
        <w:t>, el cual se encuentra previsto en los artículos 160 y 162 de la Ley de Transparencia y Acceso a la Información Pública del Estado de México y Municipios, mismo que es el siguiente:</w:t>
      </w:r>
    </w:p>
    <w:p w:rsidRPr="00A701D3" w:rsidR="00DF7BD1" w:rsidP="001B16EC" w:rsidRDefault="00DF7BD1" w14:paraId="78D64452" w14:textId="77777777">
      <w:pPr>
        <w:spacing w:after="0" w:line="360" w:lineRule="auto"/>
        <w:rPr>
          <w:rFonts w:eastAsia="Times New Roman" w:cs="Tahoma"/>
          <w:bCs/>
          <w:color w:val="auto"/>
          <w:lang w:eastAsia="es-ES"/>
        </w:rPr>
      </w:pPr>
    </w:p>
    <w:p w:rsidRPr="00A701D3" w:rsidR="00DF7BD1" w:rsidP="001B16EC" w:rsidRDefault="00DF7BD1" w14:paraId="4F080748" w14:textId="77777777">
      <w:pPr>
        <w:numPr>
          <w:ilvl w:val="0"/>
          <w:numId w:val="1"/>
        </w:numPr>
        <w:spacing w:after="0" w:line="360" w:lineRule="auto"/>
        <w:rPr>
          <w:rFonts w:eastAsia="Times New Roman" w:cs="Tahoma"/>
          <w:bCs/>
          <w:color w:val="auto"/>
          <w:lang w:val="es-ES" w:eastAsia="es-ES"/>
        </w:rPr>
      </w:pPr>
      <w:r w:rsidRPr="00A701D3">
        <w:rPr>
          <w:rFonts w:eastAsia="Times New Roman" w:cs="Tahoma"/>
          <w:bCs/>
          <w:color w:val="auto"/>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A701D3" w:rsidR="00DF7BD1" w:rsidP="001B16EC" w:rsidRDefault="00DF7BD1" w14:paraId="020C3AFD" w14:textId="77777777">
      <w:pPr>
        <w:spacing w:after="0" w:line="360" w:lineRule="auto"/>
        <w:ind w:left="720"/>
        <w:rPr>
          <w:rFonts w:eastAsia="Times New Roman" w:cs="Tahoma"/>
          <w:bCs/>
          <w:color w:val="auto"/>
          <w:lang w:val="es-ES" w:eastAsia="es-ES"/>
        </w:rPr>
      </w:pPr>
    </w:p>
    <w:p w:rsidRPr="00A701D3" w:rsidR="00DF7BD1" w:rsidP="001B16EC" w:rsidRDefault="00DF7BD1" w14:paraId="2A3FA99E" w14:textId="77777777">
      <w:pPr>
        <w:numPr>
          <w:ilvl w:val="0"/>
          <w:numId w:val="1"/>
        </w:numPr>
        <w:spacing w:after="0" w:line="360" w:lineRule="auto"/>
        <w:rPr>
          <w:rFonts w:eastAsia="Times New Roman" w:cs="Tahoma"/>
          <w:bCs/>
          <w:color w:val="auto"/>
          <w:lang w:val="es-ES" w:eastAsia="es-ES"/>
        </w:rPr>
      </w:pPr>
      <w:r w:rsidRPr="00A701D3">
        <w:rPr>
          <w:rFonts w:eastAsia="Times New Roman" w:cs="Tahoma"/>
          <w:bCs/>
          <w:color w:val="auto"/>
          <w:lang w:val="es-ES" w:eastAsia="es-ES"/>
        </w:rPr>
        <w:t xml:space="preserve">Los sujetos obligados otorgaran acceso a los documentos que se encuentren en sus archivos o que estén obligados a documentar de acuerdo con sus facultades, </w:t>
      </w:r>
      <w:r w:rsidRPr="00A701D3">
        <w:rPr>
          <w:rFonts w:eastAsia="Times New Roman" w:cs="Tahoma"/>
          <w:bCs/>
          <w:color w:val="auto"/>
          <w:lang w:val="es-ES" w:eastAsia="es-ES"/>
        </w:rPr>
        <w:lastRenderedPageBreak/>
        <w:t>competencias o funciones, en el formato en que el solicitante manifieste, de entre aquellos formatos existentes.</w:t>
      </w:r>
    </w:p>
    <w:p w:rsidRPr="00A701D3" w:rsidR="00DF7BD1" w:rsidP="001B16EC" w:rsidRDefault="00DF7BD1" w14:paraId="675AE498" w14:textId="77777777">
      <w:pPr>
        <w:spacing w:after="0" w:line="360" w:lineRule="auto"/>
        <w:rPr>
          <w:rFonts w:eastAsia="Times New Roman" w:cs="Tahoma"/>
          <w:bCs/>
          <w:iCs/>
          <w:color w:val="auto"/>
          <w:lang w:val="es-ES" w:eastAsia="es-ES"/>
        </w:rPr>
      </w:pPr>
    </w:p>
    <w:p w:rsidR="00455BCA" w:rsidP="001B16EC" w:rsidRDefault="00455BCA" w14:paraId="3E4D5959" w14:textId="56D8798D">
      <w:pPr>
        <w:spacing w:after="0" w:line="360" w:lineRule="auto"/>
      </w:pPr>
      <w:r>
        <w:rPr>
          <w:rFonts w:eastAsia="Calibri" w:cs="Tahoma"/>
          <w:bCs/>
          <w:color w:val="000000"/>
        </w:rPr>
        <w:t>Así</w:t>
      </w:r>
      <w:r w:rsidRPr="00A701D3" w:rsidR="00DF7BD1">
        <w:rPr>
          <w:rFonts w:eastAsia="Calibri" w:cs="Tahoma"/>
          <w:bCs/>
          <w:color w:val="000000"/>
        </w:rPr>
        <w:t>, a efecto de determinar si el Sujeto Obligado siguió el procedimiento antes descrito</w:t>
      </w:r>
      <w:r w:rsidRPr="00A701D3" w:rsidR="00F1062E">
        <w:rPr>
          <w:rFonts w:eastAsia="Calibri" w:cs="Tahoma"/>
          <w:bCs/>
          <w:color w:val="000000"/>
        </w:rPr>
        <w:t xml:space="preserve">, es importa citar </w:t>
      </w:r>
      <w:r>
        <w:rPr>
          <w:rFonts w:eastAsia="Calibri" w:cs="Tahoma"/>
          <w:bCs/>
          <w:color w:val="000000"/>
        </w:rPr>
        <w:t>el artículo</w:t>
      </w:r>
      <w:r w:rsidRPr="00A701D3" w:rsidR="00F1062E">
        <w:rPr>
          <w:rFonts w:eastAsia="Calibri" w:cs="Tahoma"/>
          <w:bCs/>
          <w:color w:val="000000"/>
        </w:rPr>
        <w:t xml:space="preserve"> 14, fracci</w:t>
      </w:r>
      <w:r>
        <w:rPr>
          <w:rFonts w:eastAsia="Calibri" w:cs="Tahoma"/>
          <w:bCs/>
          <w:color w:val="000000"/>
        </w:rPr>
        <w:t>o</w:t>
      </w:r>
      <w:r w:rsidRPr="00A701D3" w:rsidR="00F1062E">
        <w:rPr>
          <w:rFonts w:eastAsia="Calibri" w:cs="Tahoma"/>
          <w:bCs/>
          <w:color w:val="000000"/>
        </w:rPr>
        <w:t>n</w:t>
      </w:r>
      <w:r>
        <w:rPr>
          <w:rFonts w:eastAsia="Calibri" w:cs="Tahoma"/>
          <w:bCs/>
          <w:color w:val="000000"/>
        </w:rPr>
        <w:t>es</w:t>
      </w:r>
      <w:r w:rsidRPr="00A701D3" w:rsidR="00F1062E">
        <w:rPr>
          <w:rFonts w:eastAsia="Calibri" w:cs="Tahoma"/>
          <w:bCs/>
          <w:color w:val="000000"/>
        </w:rPr>
        <w:t xml:space="preserve"> XIII</w:t>
      </w:r>
      <w:r>
        <w:rPr>
          <w:rFonts w:eastAsia="Calibri" w:cs="Tahoma"/>
          <w:bCs/>
          <w:color w:val="000000"/>
        </w:rPr>
        <w:t xml:space="preserve"> y XV,</w:t>
      </w:r>
      <w:r w:rsidRPr="00A701D3" w:rsidR="00F1062E">
        <w:rPr>
          <w:rFonts w:eastAsia="Calibri" w:cs="Tahoma"/>
          <w:bCs/>
          <w:color w:val="000000"/>
        </w:rPr>
        <w:t xml:space="preserve"> </w:t>
      </w:r>
      <w:r w:rsidRPr="00A701D3">
        <w:rPr>
          <w:rFonts w:eastAsia="Calibri" w:cs="Tahoma"/>
          <w:bCs/>
          <w:color w:val="000000"/>
        </w:rPr>
        <w:t xml:space="preserve">del Reglamento Interno del </w:t>
      </w:r>
      <w:r w:rsidRPr="00A701D3">
        <w:rPr>
          <w:rFonts w:eastAsia="Calibri" w:cs="Tahoma"/>
          <w:bCs/>
        </w:rPr>
        <w:t xml:space="preserve">Instituto de Salud del Estado de México, el cual dispone que el Sujeto Obligado </w:t>
      </w:r>
      <w:r w:rsidRPr="00A701D3">
        <w:t xml:space="preserve">cuenta con diversas unidades administrativas </w:t>
      </w:r>
      <w:r>
        <w:t>para el ejercicio de sus funciones,</w:t>
      </w:r>
      <w:r w:rsidRPr="00A701D3">
        <w:t xml:space="preserve"> entre las cuales se encuentra</w:t>
      </w:r>
      <w:r>
        <w:t>n las siguientes:</w:t>
      </w:r>
    </w:p>
    <w:p w:rsidR="00455BCA" w:rsidP="001B16EC" w:rsidRDefault="00455BCA" w14:paraId="49BBF575" w14:textId="4AC45E2C">
      <w:pPr>
        <w:spacing w:after="0" w:line="360" w:lineRule="auto"/>
      </w:pPr>
    </w:p>
    <w:p w:rsidR="00DF7BD1" w:rsidP="001B16EC" w:rsidRDefault="00455BCA" w14:paraId="241E0C34" w14:textId="40D3994D">
      <w:pPr>
        <w:pStyle w:val="Prrafodelista"/>
        <w:numPr>
          <w:ilvl w:val="0"/>
          <w:numId w:val="24"/>
        </w:numPr>
        <w:spacing w:line="360" w:lineRule="auto"/>
      </w:pPr>
      <w:r w:rsidRPr="000F6402">
        <w:rPr>
          <w:rFonts w:eastAsia="Calibri" w:cs="Tahoma"/>
          <w:b/>
          <w:color w:val="000000"/>
        </w:rPr>
        <w:t>Subdirección de R</w:t>
      </w:r>
      <w:r w:rsidRPr="000F6402" w:rsidR="002C2E3F">
        <w:rPr>
          <w:rFonts w:eastAsia="Calibri" w:cs="Tahoma"/>
          <w:b/>
          <w:iCs/>
          <w:color w:val="000000"/>
          <w:lang w:val="es-ES" w:eastAsia="es-MX"/>
        </w:rPr>
        <w:t>ecursos Materiales</w:t>
      </w:r>
      <w:r w:rsidRPr="000F6402">
        <w:rPr>
          <w:rFonts w:eastAsia="Calibri" w:cs="Tahoma"/>
          <w:b/>
          <w:iCs/>
          <w:color w:val="000000"/>
          <w:lang w:val="es-ES" w:eastAsia="es-MX"/>
        </w:rPr>
        <w:t xml:space="preserve"> (Artículo 39):</w:t>
      </w:r>
      <w:r w:rsidRPr="000F6402">
        <w:rPr>
          <w:rFonts w:eastAsia="Calibri" w:cs="Tahoma"/>
          <w:bCs/>
          <w:iCs/>
          <w:color w:val="000000"/>
          <w:lang w:val="es-ES" w:eastAsia="es-MX"/>
        </w:rPr>
        <w:t xml:space="preserve"> Que</w:t>
      </w:r>
      <w:r w:rsidRPr="000F6402" w:rsidR="002C2E3F">
        <w:rPr>
          <w:rFonts w:eastAsia="Calibri" w:cs="Tahoma"/>
          <w:bCs/>
          <w:iCs/>
          <w:color w:val="000000"/>
          <w:lang w:val="es-ES" w:eastAsia="es-MX"/>
        </w:rPr>
        <w:t xml:space="preserve"> supervisa</w:t>
      </w:r>
      <w:r w:rsidRPr="00A701D3" w:rsidR="002C2E3F">
        <w:t>, dirig</w:t>
      </w:r>
      <w:r w:rsidR="000F6402">
        <w:t xml:space="preserve">e </w:t>
      </w:r>
      <w:r w:rsidRPr="00A701D3" w:rsidR="002C2E3F">
        <w:t>y controla los procedimientos de adquisición</w:t>
      </w:r>
      <w:r w:rsidR="000F6402">
        <w:t xml:space="preserve"> o arrendamiento</w:t>
      </w:r>
      <w:r w:rsidRPr="00A701D3" w:rsidR="002C2E3F">
        <w:t xml:space="preserve"> de bienes y contratación de servicios</w:t>
      </w:r>
      <w:r w:rsidR="000F6402">
        <w:t>;</w:t>
      </w:r>
      <w:r w:rsidRPr="00A701D3" w:rsidR="002C2E3F">
        <w:t xml:space="preserve"> vigila que los procesos de licitación pública, invitación restringida y adjudicación directa se realicen conforme </w:t>
      </w:r>
      <w:r w:rsidR="000F6402">
        <w:t>a la normatividad aplicable y</w:t>
      </w:r>
      <w:r w:rsidRPr="00A701D3" w:rsidR="002C2E3F">
        <w:t xml:space="preserve"> elabora los contratos de adquisición</w:t>
      </w:r>
      <w:r w:rsidR="000F6402">
        <w:t xml:space="preserve"> o arrendamiento</w:t>
      </w:r>
      <w:r w:rsidRPr="00A701D3" w:rsidR="002C2E3F">
        <w:t xml:space="preserve"> de bienes y contratación de servicios</w:t>
      </w:r>
      <w:r w:rsidR="000F6402">
        <w:t>.</w:t>
      </w:r>
    </w:p>
    <w:p w:rsidR="000F6402" w:rsidP="001B16EC" w:rsidRDefault="000F6402" w14:paraId="10AD06AD" w14:textId="77777777">
      <w:pPr>
        <w:pStyle w:val="Prrafodelista"/>
        <w:spacing w:line="360" w:lineRule="auto"/>
      </w:pPr>
    </w:p>
    <w:p w:rsidR="000F6402" w:rsidP="001B16EC" w:rsidRDefault="000F6402" w14:paraId="4C934644" w14:textId="74BF7C63">
      <w:pPr>
        <w:pStyle w:val="Prrafodelista"/>
        <w:numPr>
          <w:ilvl w:val="0"/>
          <w:numId w:val="24"/>
        </w:numPr>
        <w:spacing w:line="360" w:lineRule="auto"/>
        <w:rPr>
          <w:b/>
          <w:bCs/>
        </w:rPr>
      </w:pPr>
      <w:r w:rsidRPr="000F6402">
        <w:rPr>
          <w:b/>
          <w:bCs/>
        </w:rPr>
        <w:t>Subdirección de Infraestructura en Salud (Artículo 41):</w:t>
      </w:r>
      <w:r>
        <w:rPr>
          <w:b/>
          <w:bCs/>
        </w:rPr>
        <w:t xml:space="preserve"> </w:t>
      </w:r>
      <w:r>
        <w:t>Que vigila los procesos de licitación pública, invitación restringida y adjudicación directa en materia de obra pública; promueve y participa en la formulación y actualización de los modelos de contrato de obra pública y servicios relacionados con la misma; elabora y gestiona la formalización de los contratos de obra pública y servicios relacionados con la misma y verifica el cumplimiento de las obligaciones establecidas en los contratos respectivos.</w:t>
      </w:r>
    </w:p>
    <w:p w:rsidRPr="000F6402" w:rsidR="000F6402" w:rsidP="001B16EC" w:rsidRDefault="000F6402" w14:paraId="3FA2C2F0" w14:textId="77777777">
      <w:pPr>
        <w:pStyle w:val="Prrafodelista"/>
        <w:spacing w:line="360" w:lineRule="auto"/>
        <w:rPr>
          <w:b/>
          <w:bCs/>
        </w:rPr>
      </w:pPr>
    </w:p>
    <w:p w:rsidRPr="00A701D3" w:rsidR="00C8733D" w:rsidP="001B16EC" w:rsidRDefault="00C8733D" w14:paraId="417FDD7B" w14:textId="1C3F0779">
      <w:pPr>
        <w:spacing w:after="0" w:line="360" w:lineRule="auto"/>
      </w:pPr>
      <w:r w:rsidRPr="00A701D3">
        <w:t xml:space="preserve">Conforme a lo anterior, se logra vislumbrar que el Sujeto Obligado cuenta con </w:t>
      </w:r>
      <w:r w:rsidR="000F6402">
        <w:t>dos</w:t>
      </w:r>
      <w:r w:rsidRPr="00A701D3">
        <w:t xml:space="preserve"> área</w:t>
      </w:r>
      <w:r w:rsidR="000F6402">
        <w:t>s</w:t>
      </w:r>
      <w:r w:rsidRPr="00A701D3">
        <w:t xml:space="preserve"> administrativa</w:t>
      </w:r>
      <w:r w:rsidR="000F6402">
        <w:t>s</w:t>
      </w:r>
      <w:r w:rsidRPr="00A701D3">
        <w:t xml:space="preserve"> competente</w:t>
      </w:r>
      <w:r w:rsidR="000F6402">
        <w:t>s</w:t>
      </w:r>
      <w:r w:rsidRPr="00A701D3">
        <w:t xml:space="preserve"> para </w:t>
      </w:r>
      <w:r w:rsidR="000F6402">
        <w:rPr>
          <w:bCs/>
          <w:iCs/>
          <w:lang w:val="es-ES"/>
        </w:rPr>
        <w:t>conocer de lo peticionado</w:t>
      </w:r>
      <w:r w:rsidRPr="00A701D3">
        <w:t xml:space="preserve">, a saber, la </w:t>
      </w:r>
      <w:r w:rsidRPr="00A701D3">
        <w:rPr>
          <w:rFonts w:eastAsia="Calibri" w:cs="Tahoma"/>
          <w:b/>
          <w:bCs/>
          <w:iCs/>
          <w:color w:val="000000"/>
          <w:szCs w:val="24"/>
          <w:lang w:val="es-ES" w:eastAsia="es-MX"/>
        </w:rPr>
        <w:t>Subdirección de Recursos Materiales</w:t>
      </w:r>
      <w:r w:rsidR="000F6402">
        <w:rPr>
          <w:rFonts w:eastAsia="Calibri" w:cs="Tahoma"/>
          <w:b/>
          <w:bCs/>
          <w:iCs/>
          <w:color w:val="000000"/>
          <w:szCs w:val="24"/>
          <w:lang w:val="es-ES" w:eastAsia="es-MX"/>
        </w:rPr>
        <w:t xml:space="preserve"> y de Infraestructura en Salud, </w:t>
      </w:r>
      <w:r w:rsidR="000F6402">
        <w:rPr>
          <w:rFonts w:eastAsia="Calibri" w:cs="Tahoma"/>
          <w:iCs/>
          <w:color w:val="000000"/>
          <w:szCs w:val="24"/>
          <w:lang w:val="es-ES" w:eastAsia="es-MX"/>
        </w:rPr>
        <w:t xml:space="preserve">al ser los encargados de </w:t>
      </w:r>
      <w:r w:rsidR="003A08A2">
        <w:rPr>
          <w:rFonts w:eastAsia="Calibri" w:cs="Tahoma"/>
          <w:iCs/>
          <w:color w:val="000000"/>
          <w:szCs w:val="24"/>
          <w:lang w:val="es-ES" w:eastAsia="es-MX"/>
        </w:rPr>
        <w:t xml:space="preserve">ver todas las cuestiones relacionadas con procedimientos de adjudicación directa, lo cual incluye los contratos respectivos; </w:t>
      </w:r>
      <w:r w:rsidRPr="00A701D3">
        <w:rPr>
          <w:rFonts w:eastAsia="Calibri" w:cs="Tahoma"/>
          <w:bCs/>
          <w:iCs/>
          <w:color w:val="000000"/>
          <w:szCs w:val="24"/>
          <w:lang w:val="es-ES" w:eastAsia="es-MX"/>
        </w:rPr>
        <w:t xml:space="preserve">razón por la cual se advierte que </w:t>
      </w:r>
      <w:r w:rsidR="003A08A2">
        <w:rPr>
          <w:rFonts w:eastAsia="Calibri" w:cs="Tahoma"/>
          <w:bCs/>
          <w:iCs/>
          <w:color w:val="000000"/>
          <w:szCs w:val="24"/>
          <w:lang w:val="es-ES" w:eastAsia="es-MX"/>
        </w:rPr>
        <w:t>in</w:t>
      </w:r>
      <w:r w:rsidRPr="00A701D3">
        <w:rPr>
          <w:rFonts w:eastAsia="Calibri" w:cs="Tahoma"/>
          <w:bCs/>
          <w:iCs/>
          <w:color w:val="000000"/>
          <w:szCs w:val="24"/>
          <w:lang w:val="es-ES" w:eastAsia="es-MX"/>
        </w:rPr>
        <w:t xml:space="preserve">cumplió con el procedimiento de </w:t>
      </w:r>
      <w:r w:rsidRPr="00A701D3">
        <w:rPr>
          <w:rFonts w:eastAsia="Calibri" w:cs="Tahoma"/>
          <w:bCs/>
          <w:iCs/>
          <w:color w:val="000000"/>
          <w:szCs w:val="24"/>
          <w:lang w:val="es-ES" w:eastAsia="es-MX"/>
        </w:rPr>
        <w:lastRenderedPageBreak/>
        <w:t xml:space="preserve">búsqueda previsto en el </w:t>
      </w:r>
      <w:r w:rsidRPr="00A701D3">
        <w:t>artículo 162 de la Ley de la materia, pues no gestionó la solicitud a todas las unidades administrativas competentes.</w:t>
      </w:r>
    </w:p>
    <w:p w:rsidRPr="00A701D3" w:rsidR="00DF7BD1" w:rsidP="001B16EC" w:rsidRDefault="00DF7BD1" w14:paraId="2FC6F1AC" w14:textId="77777777">
      <w:pPr>
        <w:spacing w:after="0" w:line="360" w:lineRule="auto"/>
      </w:pPr>
    </w:p>
    <w:p w:rsidRPr="003A08A2" w:rsidR="00DF7BD1" w:rsidP="001B16EC" w:rsidRDefault="003A08A2" w14:paraId="7BAE0B32" w14:textId="4EC90095">
      <w:pPr>
        <w:spacing w:after="0" w:line="360" w:lineRule="auto"/>
        <w:rPr>
          <w:iCs/>
        </w:rPr>
      </w:pPr>
      <w:r>
        <w:t xml:space="preserve">Sin </w:t>
      </w:r>
      <w:r w:rsidR="001C49BB">
        <w:t xml:space="preserve">menoscabar </w:t>
      </w:r>
      <w:r>
        <w:t>lo anterior</w:t>
      </w:r>
      <w:r w:rsidRPr="00A701D3" w:rsidR="00BC74E6">
        <w:t xml:space="preserve">, se procede a analizar la respuesta entregada por la </w:t>
      </w:r>
      <w:r w:rsidRPr="00A701D3" w:rsidR="00BC74E6">
        <w:rPr>
          <w:bCs/>
          <w:iCs/>
          <w:lang w:val="es-ES"/>
        </w:rPr>
        <w:t>Subdirección de Recursos Materiales</w:t>
      </w:r>
      <w:r w:rsidRPr="00A701D3" w:rsidR="00D96220">
        <w:t>, por medio de la cual señalo que la información se podía consultar en</w:t>
      </w:r>
      <w:r>
        <w:t xml:space="preserve"> la liga </w:t>
      </w:r>
      <w:hyperlink w:history="1" r:id="rId14">
        <w:r w:rsidRPr="00455DA5" w:rsidR="00C8255D">
          <w:rPr>
            <w:rStyle w:val="Hipervnculo"/>
          </w:rPr>
          <w:t>https://www.ipomex.org.mx/ipo3/lgt/indice/ISEM/art_92_xxix_a.web</w:t>
        </w:r>
      </w:hyperlink>
      <w:r w:rsidRPr="00455DA5">
        <w:t>,</w:t>
      </w:r>
      <w:r>
        <w:rPr>
          <w:i/>
        </w:rPr>
        <w:t xml:space="preserve">  </w:t>
      </w:r>
      <w:r>
        <w:rPr>
          <w:iCs/>
        </w:rPr>
        <w:t>de cuya revisión se logra colegir que remite a la fracción XXIX A “Resultados de procedimientos de licitación pública e invitación a cuando menos tres personas realiza”, del artículo 92 del Portal de Información Pública de Oficio Mexiquense del Instituto de Salud del Estado de México, tal como se muestra a continuación:</w:t>
      </w:r>
    </w:p>
    <w:p w:rsidRPr="00A701D3" w:rsidR="00E02820" w:rsidP="001B16EC" w:rsidRDefault="00E02820" w14:paraId="6CCC11A3" w14:textId="77777777">
      <w:pPr>
        <w:spacing w:after="0" w:line="360" w:lineRule="auto"/>
      </w:pPr>
    </w:p>
    <w:p w:rsidRPr="00A701D3" w:rsidR="00E02820" w:rsidP="001B16EC" w:rsidRDefault="00E02820" w14:paraId="6BCD9A91" w14:textId="6EA87D9C">
      <w:pPr>
        <w:spacing w:after="0" w:line="360" w:lineRule="auto"/>
        <w:jc w:val="center"/>
      </w:pPr>
      <w:r w:rsidRPr="00A701D3">
        <w:rPr>
          <w:noProof/>
          <w:lang w:eastAsia="es-MX"/>
        </w:rPr>
        <w:drawing>
          <wp:inline distT="0" distB="0" distL="0" distR="0" wp14:anchorId="50E7C1DB" wp14:editId="3BCB2504">
            <wp:extent cx="4527832" cy="2721934"/>
            <wp:effectExtent l="0" t="0" r="635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141193.tmp"/>
                    <pic:cNvPicPr/>
                  </pic:nvPicPr>
                  <pic:blipFill>
                    <a:blip r:embed="rId15">
                      <a:extLst>
                        <a:ext uri="{28A0092B-C50C-407E-A947-70E740481C1C}">
                          <a14:useLocalDpi xmlns:a14="http://schemas.microsoft.com/office/drawing/2010/main" val="0"/>
                        </a:ext>
                      </a:extLst>
                    </a:blip>
                    <a:stretch>
                      <a:fillRect/>
                    </a:stretch>
                  </pic:blipFill>
                  <pic:spPr>
                    <a:xfrm>
                      <a:off x="0" y="0"/>
                      <a:ext cx="4567149" cy="2745570"/>
                    </a:xfrm>
                    <a:prstGeom prst="rect">
                      <a:avLst/>
                    </a:prstGeom>
                  </pic:spPr>
                </pic:pic>
              </a:graphicData>
            </a:graphic>
          </wp:inline>
        </w:drawing>
      </w:r>
    </w:p>
    <w:p w:rsidRPr="00A701D3" w:rsidR="00DF7BD1" w:rsidP="001B16EC" w:rsidRDefault="00DF7BD1" w14:paraId="5EF06DEE" w14:textId="77777777">
      <w:pPr>
        <w:spacing w:after="0" w:line="360" w:lineRule="auto"/>
      </w:pPr>
    </w:p>
    <w:p w:rsidRPr="00A701D3" w:rsidR="00E25736" w:rsidP="001B16EC" w:rsidRDefault="00E25736" w14:paraId="54C97B51" w14:textId="78275465">
      <w:pPr>
        <w:spacing w:after="0" w:line="360" w:lineRule="auto"/>
      </w:pPr>
      <w:r w:rsidRPr="00A701D3">
        <w:t xml:space="preserve">Ahora </w:t>
      </w:r>
      <w:r w:rsidRPr="00A701D3" w:rsidR="003A08A2">
        <w:t>bien,</w:t>
      </w:r>
      <w:r w:rsidRPr="00A701D3">
        <w:t xml:space="preserve"> este Instituto procedió </w:t>
      </w:r>
      <w:r w:rsidR="003A08A2">
        <w:t>al análisis</w:t>
      </w:r>
      <w:r w:rsidRPr="00A701D3">
        <w:t xml:space="preserve"> </w:t>
      </w:r>
      <w:r w:rsidR="003A08A2">
        <w:t>de los registros</w:t>
      </w:r>
      <w:r w:rsidRPr="00A701D3">
        <w:t xml:space="preserve"> que se </w:t>
      </w:r>
      <w:r w:rsidRPr="00A701D3" w:rsidR="003A08A2">
        <w:t>encontra</w:t>
      </w:r>
      <w:r w:rsidR="003A08A2">
        <w:t>ban</w:t>
      </w:r>
      <w:r w:rsidRPr="00A701D3">
        <w:t xml:space="preserve"> el enlace proporcionado, de los cuales se advirtió que se trata de contratos adjudicados a través de licitación pública e invitación a cuando menos tres personas, tal como se logra observar: </w:t>
      </w:r>
    </w:p>
    <w:p w:rsidRPr="00A701D3" w:rsidR="00E25736" w:rsidP="001B16EC" w:rsidRDefault="00E25736" w14:paraId="508CB661" w14:textId="77777777">
      <w:pPr>
        <w:spacing w:after="0" w:line="360" w:lineRule="auto"/>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16"/>
        <w:gridCol w:w="4405"/>
      </w:tblGrid>
      <w:tr w:rsidRPr="00A701D3" w:rsidR="00E25736" w:rsidTr="001B16EC" w14:paraId="38CC044D" w14:textId="77777777">
        <w:tc>
          <w:tcPr>
            <w:tcW w:w="4716" w:type="dxa"/>
            <w:vAlign w:val="center"/>
          </w:tcPr>
          <w:p w:rsidRPr="00A701D3" w:rsidR="00E25736" w:rsidP="001B16EC" w:rsidRDefault="00E25736" w14:paraId="413D8CEB" w14:textId="77777777">
            <w:pPr>
              <w:spacing w:line="360" w:lineRule="auto"/>
              <w:jc w:val="center"/>
            </w:pPr>
            <w:r w:rsidRPr="00A701D3">
              <w:rPr>
                <w:noProof/>
                <w:lang w:eastAsia="es-MX"/>
              </w:rPr>
              <w:lastRenderedPageBreak/>
              <mc:AlternateContent>
                <mc:Choice Requires="wps">
                  <w:drawing>
                    <wp:anchor distT="0" distB="0" distL="114300" distR="114300" simplePos="0" relativeHeight="251661312" behindDoc="0" locked="0" layoutInCell="1" allowOverlap="1" wp14:anchorId="46418833" wp14:editId="5B12D9A1">
                      <wp:simplePos x="0" y="0"/>
                      <wp:positionH relativeFrom="column">
                        <wp:posOffset>738618</wp:posOffset>
                      </wp:positionH>
                      <wp:positionV relativeFrom="paragraph">
                        <wp:posOffset>430082</wp:posOffset>
                      </wp:positionV>
                      <wp:extent cx="1082694" cy="106586"/>
                      <wp:effectExtent l="0" t="0" r="22225" b="27305"/>
                      <wp:wrapNone/>
                      <wp:docPr id="12" name="Rectángulo 12"/>
                      <wp:cNvGraphicFramePr/>
                      <a:graphic xmlns:a="http://schemas.openxmlformats.org/drawingml/2006/main">
                        <a:graphicData uri="http://schemas.microsoft.com/office/word/2010/wordprocessingShape">
                          <wps:wsp>
                            <wps:cNvSpPr/>
                            <wps:spPr>
                              <a:xfrm>
                                <a:off x="0" y="0"/>
                                <a:ext cx="1082694" cy="1065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2" style="position:absolute;margin-left:58.15pt;margin-top:33.85pt;width:85.25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2265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"/>
                  </w:pict>
                </mc:Fallback>
              </mc:AlternateContent>
            </w:r>
            <w:r w:rsidRPr="00A701D3">
              <w:rPr>
                <w:noProof/>
                <w:lang w:eastAsia="es-MX"/>
              </w:rPr>
              <w:drawing>
                <wp:inline distT="0" distB="0" distL="0" distR="0" wp14:anchorId="7D33CBCD" wp14:editId="471E8144">
                  <wp:extent cx="2853133" cy="1486783"/>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1478BB.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5050" cy="1492993"/>
                          </a:xfrm>
                          <a:prstGeom prst="rect">
                            <a:avLst/>
                          </a:prstGeom>
                        </pic:spPr>
                      </pic:pic>
                    </a:graphicData>
                  </a:graphic>
                </wp:inline>
              </w:drawing>
            </w:r>
          </w:p>
        </w:tc>
        <w:tc>
          <w:tcPr>
            <w:tcW w:w="4405" w:type="dxa"/>
            <w:vAlign w:val="center"/>
          </w:tcPr>
          <w:p w:rsidRPr="00A701D3" w:rsidR="00E25736" w:rsidP="001B16EC" w:rsidRDefault="00E25736" w14:paraId="7153D980" w14:textId="77777777">
            <w:pPr>
              <w:spacing w:line="360" w:lineRule="auto"/>
              <w:jc w:val="center"/>
            </w:pPr>
            <w:r w:rsidRPr="00A701D3">
              <w:rPr>
                <w:noProof/>
                <w:lang w:eastAsia="es-MX"/>
              </w:rPr>
              <mc:AlternateContent>
                <mc:Choice Requires="wps">
                  <w:drawing>
                    <wp:anchor distT="0" distB="0" distL="114300" distR="114300" simplePos="0" relativeHeight="251662336" behindDoc="0" locked="0" layoutInCell="1" allowOverlap="1" wp14:anchorId="7851E90A" wp14:editId="79660E94">
                      <wp:simplePos x="0" y="0"/>
                      <wp:positionH relativeFrom="column">
                        <wp:posOffset>711551</wp:posOffset>
                      </wp:positionH>
                      <wp:positionV relativeFrom="paragraph">
                        <wp:posOffset>385203</wp:posOffset>
                      </wp:positionV>
                      <wp:extent cx="471224" cy="67318"/>
                      <wp:effectExtent l="0" t="0" r="24130" b="27940"/>
                      <wp:wrapNone/>
                      <wp:docPr id="13" name="Rectángulo 13"/>
                      <wp:cNvGraphicFramePr/>
                      <a:graphic xmlns:a="http://schemas.openxmlformats.org/drawingml/2006/main">
                        <a:graphicData uri="http://schemas.microsoft.com/office/word/2010/wordprocessingShape">
                          <wps:wsp>
                            <wps:cNvSpPr/>
                            <wps:spPr>
                              <a:xfrm>
                                <a:off x="0" y="0"/>
                                <a:ext cx="471224" cy="673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3" style="position:absolute;margin-left:56.05pt;margin-top:30.35pt;width:37.1pt;height:5.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0EA8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"/>
                  </w:pict>
                </mc:Fallback>
              </mc:AlternateContent>
            </w:r>
            <w:r w:rsidRPr="00A701D3">
              <w:rPr>
                <w:noProof/>
                <w:lang w:eastAsia="es-MX"/>
              </w:rPr>
              <w:drawing>
                <wp:inline distT="0" distB="0" distL="0" distR="0" wp14:anchorId="5B4A3DF9" wp14:editId="4A385D30">
                  <wp:extent cx="2627773" cy="1526651"/>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14EC27.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4150" cy="1541975"/>
                          </a:xfrm>
                          <a:prstGeom prst="rect">
                            <a:avLst/>
                          </a:prstGeom>
                        </pic:spPr>
                      </pic:pic>
                    </a:graphicData>
                  </a:graphic>
                </wp:inline>
              </w:drawing>
            </w:r>
          </w:p>
        </w:tc>
      </w:tr>
    </w:tbl>
    <w:p w:rsidR="00E25736" w:rsidP="001B16EC" w:rsidRDefault="00E25736" w14:paraId="05CDE11B" w14:textId="17DD8D59">
      <w:pPr>
        <w:spacing w:after="0" w:line="360" w:lineRule="auto"/>
      </w:pPr>
    </w:p>
    <w:p w:rsidRPr="001B16EC" w:rsidR="001B16EC" w:rsidP="001B16EC" w:rsidRDefault="001B16EC" w14:paraId="23D40BED" w14:textId="77777777">
      <w:pPr>
        <w:spacing w:after="0" w:line="360" w:lineRule="auto"/>
        <w:rPr>
          <w:rFonts w:eastAsia="Calibri" w:cs="Tahoma"/>
          <w:lang w:val="es-ES"/>
        </w:rPr>
      </w:pPr>
      <w:r w:rsidRPr="001B16EC">
        <w:rPr>
          <w:rFonts w:eastAsia="Calibri" w:cs="Tahoma"/>
          <w:lang w:val="es-ES"/>
        </w:rPr>
        <w:t xml:space="preserve">En ese contexto,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sidRPr="001B16EC">
        <w:rPr>
          <w:rFonts w:eastAsia="Calibri" w:cs="Tahoma"/>
          <w:b/>
          <w:lang w:val="es-ES"/>
        </w:rPr>
        <w:t>la fuente, el lugar y la forma</w:t>
      </w:r>
      <w:r w:rsidRPr="001B16EC">
        <w:rPr>
          <w:rFonts w:eastAsia="Calibri" w:cs="Tahoma"/>
          <w:lang w:val="es-ES"/>
        </w:rPr>
        <w:t xml:space="preserve"> en que se puede obtener la información, siempre y cuando no implique una búsqueda para estos.</w:t>
      </w:r>
    </w:p>
    <w:p w:rsidRPr="001B16EC" w:rsidR="001B16EC" w:rsidP="001B16EC" w:rsidRDefault="001B16EC" w14:paraId="18DA384D" w14:textId="77777777">
      <w:pPr>
        <w:spacing w:after="0" w:line="360" w:lineRule="auto"/>
        <w:rPr>
          <w:rFonts w:eastAsia="Calibri" w:cs="Tahoma"/>
          <w:lang w:val="es-ES"/>
        </w:rPr>
      </w:pPr>
    </w:p>
    <w:p w:rsidR="001B16EC" w:rsidP="001B16EC" w:rsidRDefault="001B16EC" w14:paraId="22CFC5CB" w14:textId="77777777">
      <w:pPr>
        <w:spacing w:after="0" w:line="360" w:lineRule="auto"/>
        <w:rPr>
          <w:rFonts w:eastAsia="Calibri" w:cs="Tahoma"/>
          <w:lang w:val="es-ES"/>
        </w:rPr>
      </w:pPr>
      <w:r w:rsidRPr="001B16EC">
        <w:rPr>
          <w:rFonts w:eastAsia="Calibri" w:cs="Tahoma"/>
          <w:lang w:val="es-ES"/>
        </w:rPr>
        <w:t xml:space="preserve">Conforme a lo anterior, se considera que el Sujeto Obligado </w:t>
      </w:r>
      <w:r>
        <w:rPr>
          <w:rFonts w:eastAsia="Calibri" w:cs="Tahoma"/>
          <w:lang w:val="es-ES"/>
        </w:rPr>
        <w:t>no</w:t>
      </w:r>
      <w:r w:rsidRPr="001B16EC">
        <w:rPr>
          <w:rFonts w:eastAsia="Calibri" w:cs="Tahoma"/>
          <w:lang w:val="es-ES"/>
        </w:rPr>
        <w:t xml:space="preserve"> proporcionó la fuente</w:t>
      </w:r>
      <w:r>
        <w:rPr>
          <w:rFonts w:eastAsia="Calibri" w:cs="Tahoma"/>
          <w:lang w:val="es-ES"/>
        </w:rPr>
        <w:t xml:space="preserve">, </w:t>
      </w:r>
      <w:r w:rsidRPr="001B16EC">
        <w:rPr>
          <w:rFonts w:eastAsia="Calibri" w:cs="Tahoma"/>
          <w:lang w:val="es-ES"/>
        </w:rPr>
        <w:t xml:space="preserve">el lugar </w:t>
      </w:r>
      <w:r>
        <w:rPr>
          <w:rFonts w:eastAsia="Calibri" w:cs="Tahoma"/>
          <w:lang w:val="es-ES"/>
        </w:rPr>
        <w:t xml:space="preserve">y la forma </w:t>
      </w:r>
      <w:r w:rsidRPr="001B16EC">
        <w:rPr>
          <w:rFonts w:eastAsia="Calibri" w:cs="Tahoma"/>
          <w:lang w:val="es-ES"/>
        </w:rPr>
        <w:t>para obtener la información</w:t>
      </w:r>
      <w:r>
        <w:rPr>
          <w:rFonts w:eastAsia="Calibri" w:cs="Tahoma"/>
          <w:lang w:val="es-ES"/>
        </w:rPr>
        <w:t>, pues dio acceso a los procedimientos de licitación pública e invitación restringida, lo cual no corresponde con lo solicitado, pues la pretensión del Recurrente, es obtener los contratos derivados de procedimientos de adjudicación directa.</w:t>
      </w:r>
    </w:p>
    <w:p w:rsidR="001B16EC" w:rsidP="001B16EC" w:rsidRDefault="001B16EC" w14:paraId="178A0E40" w14:textId="77777777">
      <w:pPr>
        <w:spacing w:after="0" w:line="360" w:lineRule="auto"/>
        <w:rPr>
          <w:rFonts w:eastAsia="Calibri" w:cs="Tahoma"/>
          <w:lang w:val="es-ES"/>
        </w:rPr>
      </w:pPr>
    </w:p>
    <w:p w:rsidRPr="00A701D3" w:rsidR="000D4C04" w:rsidP="001B16EC" w:rsidRDefault="001B16EC" w14:paraId="6AA42FF2" w14:textId="2CB2AD63">
      <w:pPr>
        <w:spacing w:after="0" w:line="360" w:lineRule="auto"/>
        <w:rPr>
          <w:rFonts w:eastAsia="Calibri" w:cs="Tahoma"/>
          <w:bCs/>
          <w:color w:val="auto"/>
          <w:lang w:val="es-ES"/>
        </w:rPr>
      </w:pPr>
      <w:r>
        <w:rPr>
          <w:rFonts w:eastAsia="Calibri" w:cs="Tahoma"/>
          <w:lang w:val="es-ES"/>
        </w:rPr>
        <w:t xml:space="preserve">Además, se considera que la respuesta resulta incongruente; sobre el tema </w:t>
      </w:r>
      <w:r w:rsidRPr="00A701D3" w:rsidR="000D4C04">
        <w:t xml:space="preserve">el </w:t>
      </w:r>
      <w:r w:rsidRPr="00A701D3" w:rsidR="000D4C04">
        <w:rPr>
          <w:rFonts w:eastAsia="Times New Roman" w:cs="Tahoma"/>
          <w:color w:val="auto"/>
          <w:lang w:val="es-ES" w:eastAsia="es-ES"/>
        </w:rPr>
        <w:t>artículo 1.8, fracción IX, del Código Administrativo del Estado de México, establece que para que un acto administrativo tenga validez, deberá guardar congruencia con lo solicitado</w:t>
      </w:r>
      <w:r>
        <w:rPr>
          <w:rFonts w:eastAsia="Times New Roman" w:cs="Tahoma"/>
          <w:color w:val="auto"/>
          <w:lang w:val="es-ES" w:eastAsia="es-ES"/>
        </w:rPr>
        <w:t>; as</w:t>
      </w:r>
      <w:r w:rsidRPr="00A701D3" w:rsidR="000D4C04">
        <w:rPr>
          <w:rFonts w:eastAsia="Times New Roman" w:cs="Times New Roman"/>
          <w:color w:val="auto"/>
          <w:lang w:val="es-ES" w:eastAsia="es-ES"/>
        </w:rPr>
        <w:t>imismo,</w:t>
      </w:r>
      <w:r w:rsidRPr="00A701D3" w:rsidR="000D4C04">
        <w:rPr>
          <w:rFonts w:eastAsia="Times New Roman" w:cs="Tahoma"/>
          <w:color w:val="auto"/>
          <w:szCs w:val="20"/>
          <w:lang w:eastAsia="es-MX"/>
        </w:rPr>
        <w:t xml:space="preserve"> resulta necesario traer</w:t>
      </w:r>
      <w:r w:rsidRPr="00A701D3" w:rsidR="000D4C04">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rsidRPr="00A701D3" w:rsidR="000D4C04" w:rsidP="001B16EC" w:rsidRDefault="000D4C04" w14:paraId="37D0486E" w14:textId="77777777">
      <w:pPr>
        <w:spacing w:after="0" w:line="360" w:lineRule="auto"/>
        <w:rPr>
          <w:rFonts w:eastAsia="Calibri" w:cs="Tahoma"/>
          <w:bCs/>
          <w:color w:val="auto"/>
          <w:lang w:val="es-ES"/>
        </w:rPr>
      </w:pPr>
    </w:p>
    <w:p w:rsidRPr="00A701D3" w:rsidR="000D4C04" w:rsidP="001B16EC" w:rsidRDefault="000D4C04" w14:paraId="4C7784EB" w14:textId="77777777">
      <w:pPr>
        <w:spacing w:after="0" w:line="360" w:lineRule="auto"/>
        <w:ind w:left="567" w:right="567"/>
        <w:rPr>
          <w:rFonts w:eastAsia="Calibri" w:cs="Tahoma"/>
          <w:i/>
          <w:color w:val="auto"/>
          <w:sz w:val="20"/>
          <w:szCs w:val="20"/>
        </w:rPr>
      </w:pPr>
      <w:r w:rsidRPr="00A701D3">
        <w:rPr>
          <w:rFonts w:eastAsia="Calibri" w:cs="Tahoma"/>
          <w:b/>
          <w:bCs/>
          <w:i/>
          <w:color w:val="auto"/>
          <w:sz w:val="20"/>
          <w:szCs w:val="20"/>
        </w:rPr>
        <w:lastRenderedPageBreak/>
        <w:t xml:space="preserve">“Congruencia y exhaustividad. Sus alcances para garantizar el derecho de acceso a la información. </w:t>
      </w:r>
      <w:r w:rsidRPr="00A701D3">
        <w:rPr>
          <w:rFonts w:eastAsia="Calibri" w:cs="Tahoma"/>
          <w:bCs/>
          <w:i/>
          <w:color w:val="auto"/>
          <w:sz w:val="20"/>
          <w:szCs w:val="20"/>
        </w:rPr>
        <w:t xml:space="preserve">De conformidad con el artículo </w:t>
      </w:r>
      <w:r w:rsidRPr="00A701D3">
        <w:rPr>
          <w:rFonts w:eastAsia="Calibri" w:cs="Tahoma"/>
          <w:bCs/>
          <w:i/>
          <w:color w:val="auto"/>
          <w:sz w:val="20"/>
          <w:szCs w:val="20"/>
          <w:lang w:val="es-ES_tradnl"/>
        </w:rPr>
        <w:t>3 de la Ley Federal de Procedimiento Administrativo</w:t>
      </w:r>
      <w:r w:rsidRPr="00A701D3">
        <w:rPr>
          <w:rFonts w:eastAsia="Calibri" w:cs="Tahoma"/>
          <w:bCs/>
          <w:i/>
          <w:color w:val="auto"/>
          <w:sz w:val="20"/>
          <w:szCs w:val="20"/>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A701D3">
        <w:rPr>
          <w:rFonts w:eastAsia="Calibri" w:cs="Tahoma"/>
          <w:bCs/>
          <w:i/>
          <w:color w:val="auto"/>
          <w:sz w:val="20"/>
          <w:szCs w:val="20"/>
          <w:u w:val="single"/>
        </w:rPr>
        <w:t>a congruencia implica que exista concordancia entre el requerimiento formulado por el particular y la respuesta proporcionada por el sujeto obligado</w:t>
      </w:r>
      <w:r w:rsidRPr="00A701D3">
        <w:rPr>
          <w:rFonts w:eastAsia="Calibri" w:cs="Tahoma"/>
          <w:bCs/>
          <w:i/>
          <w:color w:val="auto"/>
          <w:sz w:val="20"/>
          <w:szCs w:val="20"/>
        </w:rPr>
        <w:t xml:space="preserve">; mientras que </w:t>
      </w:r>
      <w:r w:rsidRPr="00A701D3">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D4C04" w:rsidP="001B16EC" w:rsidRDefault="000D4C04" w14:paraId="176AC12F" w14:textId="5DB28BCD">
      <w:pPr>
        <w:spacing w:after="0" w:line="360" w:lineRule="auto"/>
      </w:pPr>
    </w:p>
    <w:p w:rsidR="001B16EC" w:rsidP="001B16EC" w:rsidRDefault="001B16EC" w14:paraId="63376447" w14:textId="259ECF12">
      <w:pPr>
        <w:spacing w:after="0" w:line="360" w:lineRule="auto"/>
        <w:rPr>
          <w:lang w:val="es-ES"/>
        </w:rPr>
      </w:pPr>
      <w:r>
        <w:t xml:space="preserve">Del citado criterio, se desprende que </w:t>
      </w:r>
      <w:r>
        <w:rPr>
          <w:bCs/>
        </w:rPr>
        <w:t>todo acto administrativo debe apegarse al</w:t>
      </w:r>
      <w:r>
        <w:rPr>
          <w:lang w:val="es-ES"/>
        </w:rPr>
        <w:t xml:space="preserve"> </w:t>
      </w:r>
      <w:r>
        <w:rPr>
          <w:b/>
          <w:lang w:val="es-ES"/>
        </w:rPr>
        <w:t xml:space="preserve">Principio de Congruencia, </w:t>
      </w:r>
      <w:r>
        <w:rPr>
          <w:lang w:val="es-ES"/>
        </w:rPr>
        <w:t>el cual</w:t>
      </w:r>
      <w:r>
        <w:rPr>
          <w:b/>
          <w:lang w:val="es-ES"/>
        </w:rPr>
        <w:t xml:space="preserve"> </w:t>
      </w:r>
      <w:r>
        <w:rPr>
          <w:lang w:val="es-ES"/>
        </w:rPr>
        <w:t>implica que exista concordancia entre el requerimiento formulado y la respuesta entregada.</w:t>
      </w:r>
    </w:p>
    <w:p w:rsidR="001B16EC" w:rsidP="001B16EC" w:rsidRDefault="001B16EC" w14:paraId="587AB410" w14:textId="765AB16F">
      <w:pPr>
        <w:spacing w:after="0" w:line="360" w:lineRule="auto"/>
        <w:rPr>
          <w:lang w:val="es-ES"/>
        </w:rPr>
      </w:pPr>
    </w:p>
    <w:p w:rsidRPr="001B16EC" w:rsidR="001B16EC" w:rsidP="001B16EC" w:rsidRDefault="001B16EC" w14:paraId="1055F78C" w14:textId="2D613430">
      <w:pPr>
        <w:spacing w:after="0" w:line="360" w:lineRule="auto"/>
        <w:rPr>
          <w:color w:val="auto"/>
          <w:lang w:val="es-ES"/>
        </w:rPr>
      </w:pPr>
      <w:r>
        <w:rPr>
          <w:lang w:val="es-ES"/>
        </w:rPr>
        <w:t xml:space="preserve">Conforme a lo expuesto, se considera que el agravio es </w:t>
      </w:r>
      <w:r>
        <w:rPr>
          <w:b/>
          <w:bCs/>
          <w:lang w:val="es-ES"/>
        </w:rPr>
        <w:t xml:space="preserve">FUNDADO, </w:t>
      </w:r>
      <w:r>
        <w:rPr>
          <w:lang w:val="es-ES"/>
        </w:rPr>
        <w:t>pues el Sujeto Obligado no turno la solicitud de información a todas las unidades administrativas competentes, y el pronunciamiento de la Subdirección de Recursaos Materiales resulta inco</w:t>
      </w:r>
      <w:r w:rsidR="00A330BB">
        <w:rPr>
          <w:lang w:val="es-ES"/>
        </w:rPr>
        <w:t>ngruente y no corresponde con lo peticionado.</w:t>
      </w:r>
      <w:r>
        <w:rPr>
          <w:lang w:val="es-ES"/>
        </w:rPr>
        <w:t xml:space="preserve"> </w:t>
      </w:r>
    </w:p>
    <w:p w:rsidR="001B16EC" w:rsidP="001B16EC" w:rsidRDefault="001B16EC" w14:paraId="25AA1356" w14:textId="6B0B0918">
      <w:pPr>
        <w:spacing w:after="0" w:line="360" w:lineRule="auto"/>
      </w:pPr>
    </w:p>
    <w:p w:rsidR="00A330BB" w:rsidP="00A330BB" w:rsidRDefault="00A330BB" w14:paraId="0F9D0B13" w14:textId="32B7DE86">
      <w:pPr>
        <w:spacing w:after="0" w:line="360" w:lineRule="auto"/>
      </w:pPr>
      <w:r>
        <w:rPr>
          <w:rFonts w:eastAsia="Calibri" w:cs="Tahoma"/>
          <w:bCs/>
          <w:iCs/>
          <w:color w:val="000000"/>
          <w:szCs w:val="24"/>
          <w:lang w:eastAsia="es-MX"/>
        </w:rPr>
        <w:t xml:space="preserve">Así y para atender el requerimiento de información, el Ente Recurrido, deberá realizar una </w:t>
      </w:r>
      <w:r w:rsidRPr="00A701D3">
        <w:rPr>
          <w:rFonts w:eastAsia="Calibri" w:cs="Tahoma"/>
          <w:bCs/>
          <w:iCs/>
          <w:color w:val="000000"/>
          <w:szCs w:val="24"/>
          <w:lang w:eastAsia="es-MX"/>
        </w:rPr>
        <w:t xml:space="preserve">búsqueda exhaustiva y razonable, en todas las áreas </w:t>
      </w:r>
      <w:r>
        <w:rPr>
          <w:rFonts w:eastAsia="Calibri" w:cs="Tahoma"/>
          <w:bCs/>
          <w:iCs/>
          <w:color w:val="000000"/>
          <w:szCs w:val="24"/>
          <w:lang w:eastAsia="es-MX"/>
        </w:rPr>
        <w:t>competentes</w:t>
      </w:r>
      <w:r w:rsidRPr="00A701D3">
        <w:rPr>
          <w:rFonts w:eastAsia="Calibri" w:cs="Tahoma"/>
          <w:bCs/>
          <w:iCs/>
          <w:color w:val="000000"/>
          <w:szCs w:val="24"/>
          <w:lang w:eastAsia="es-MX"/>
        </w:rPr>
        <w:t xml:space="preserve">, entre las cuales no podrá omitir a la </w:t>
      </w:r>
      <w:r w:rsidRPr="00A701D3">
        <w:rPr>
          <w:rFonts w:eastAsia="Calibri" w:cs="Tahoma"/>
          <w:bCs/>
          <w:iCs/>
          <w:color w:val="000000"/>
          <w:szCs w:val="24"/>
          <w:lang w:val="es-ES" w:eastAsia="es-MX"/>
        </w:rPr>
        <w:t>Subdirección de Recursos Materiales</w:t>
      </w:r>
      <w:r>
        <w:rPr>
          <w:rFonts w:eastAsia="Calibri" w:cs="Tahoma"/>
          <w:bCs/>
          <w:iCs/>
          <w:color w:val="000000"/>
          <w:szCs w:val="24"/>
          <w:lang w:val="es-ES" w:eastAsia="es-MX"/>
        </w:rPr>
        <w:t xml:space="preserve"> y de Infraestructura en Salud, con el fin de proporcionar los </w:t>
      </w:r>
      <w:r>
        <w:t xml:space="preserve">contratos celebrados por el Instituto de Salud del Estado de México, para la adquisición o arrendamiento de bienes muebles o inmuebles, contratación de servicios y ejecución de obra, del primero de enero de dos mil veinte al catorce de enero de dos mil veintidós, derivados de procedimientos de adjudicación directa. </w:t>
      </w:r>
    </w:p>
    <w:p w:rsidRPr="00A701D3" w:rsidR="00A330BB" w:rsidP="00A330BB" w:rsidRDefault="00A330BB" w14:paraId="4C222C05" w14:textId="77777777">
      <w:pPr>
        <w:spacing w:after="0" w:line="360" w:lineRule="auto"/>
        <w:rPr>
          <w:rFonts w:eastAsia="Calibri" w:cs="Tahoma"/>
          <w:bCs/>
          <w:iCs/>
          <w:color w:val="000000"/>
          <w:szCs w:val="24"/>
          <w:lang w:eastAsia="es-MX"/>
        </w:rPr>
      </w:pPr>
      <w:r w:rsidRPr="00A701D3">
        <w:rPr>
          <w:rFonts w:eastAsia="Calibri" w:cs="Tahoma"/>
          <w:bCs/>
          <w:iCs/>
          <w:color w:val="000000"/>
          <w:szCs w:val="24"/>
          <w:lang w:eastAsia="es-MX"/>
        </w:rPr>
        <w:lastRenderedPageBreak/>
        <w:t xml:space="preserve">Dicha determinación tiene sustento </w:t>
      </w:r>
      <w:r w:rsidRPr="00A701D3">
        <w:rPr>
          <w:rFonts w:eastAsia="Times New Roman" w:cs="Tahoma"/>
          <w:color w:val="auto"/>
          <w:lang w:eastAsia="es-ES"/>
        </w:rPr>
        <w:t>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A701D3" w:rsidR="00A330BB" w:rsidP="00A330BB" w:rsidRDefault="00A330BB" w14:paraId="55FFA6AA" w14:textId="77777777">
      <w:pPr>
        <w:tabs>
          <w:tab w:val="left" w:pos="4962"/>
        </w:tabs>
        <w:spacing w:after="0" w:line="360" w:lineRule="auto"/>
        <w:rPr>
          <w:rFonts w:eastAsia="Times New Roman" w:cs="Tahoma"/>
          <w:color w:val="auto"/>
          <w:lang w:eastAsia="es-ES"/>
        </w:rPr>
      </w:pPr>
    </w:p>
    <w:p w:rsidRPr="00A701D3" w:rsidR="00A330BB" w:rsidP="00A330BB" w:rsidRDefault="00A330BB" w14:paraId="4BA9A259" w14:textId="77777777">
      <w:pPr>
        <w:tabs>
          <w:tab w:val="left" w:pos="4962"/>
        </w:tabs>
        <w:spacing w:after="0" w:line="360" w:lineRule="auto"/>
        <w:rPr>
          <w:rFonts w:eastAsia="Calibri" w:cs="Tahoma"/>
          <w:iCs/>
          <w:color w:val="auto"/>
          <w:lang w:val="es-ES" w:eastAsia="es-ES_tradnl"/>
        </w:rPr>
      </w:pPr>
      <w:r w:rsidRPr="00A701D3">
        <w:rPr>
          <w:rFonts w:eastAsia="Times New Roman" w:cs="Tahoma"/>
          <w:color w:val="auto"/>
          <w:lang w:eastAsia="es-ES"/>
        </w:rPr>
        <w:t xml:space="preserve">De esta manera, </w:t>
      </w:r>
      <w:r w:rsidRPr="00A701D3">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A701D3">
        <w:rPr>
          <w:rFonts w:eastAsia="Times New Roman" w:cs="Tahoma"/>
          <w:i/>
          <w:color w:val="auto"/>
          <w:lang w:eastAsia="es-ES"/>
        </w:rPr>
        <w:t>ad hoc</w:t>
      </w:r>
      <w:r w:rsidRPr="00A701D3">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A701D3" w:rsidR="00A330BB" w:rsidP="00A330BB" w:rsidRDefault="00A330BB" w14:paraId="45C5FAF6" w14:textId="77777777">
      <w:pPr>
        <w:spacing w:after="0" w:line="360" w:lineRule="auto"/>
        <w:rPr>
          <w:rFonts w:eastAsia="Calibri" w:cs="Tahoma"/>
          <w:color w:val="000000"/>
          <w:szCs w:val="24"/>
          <w:lang w:val="es-ES" w:eastAsia="es-MX"/>
        </w:rPr>
      </w:pPr>
    </w:p>
    <w:p w:rsidR="00EF270A" w:rsidP="001B16EC" w:rsidRDefault="00A330BB" w14:paraId="71D77611" w14:textId="06957817">
      <w:pPr>
        <w:spacing w:after="0" w:line="360" w:lineRule="auto"/>
      </w:pPr>
      <w:r w:rsidRPr="00A701D3">
        <w:rPr>
          <w:rFonts w:cs="Tahoma"/>
          <w:lang w:val="es-ES"/>
        </w:rPr>
        <w:t xml:space="preserve">De tales circunstancias, se concluye que los sujetos obligados únicamente se encuentran constreñidos a proporcionar la información que dé cuenta de lo peticionado, como obre en sus </w:t>
      </w:r>
      <w:r w:rsidRPr="00A701D3">
        <w:rPr>
          <w:rFonts w:eastAsia="Times New Roman" w:cs="Tahoma"/>
          <w:bCs/>
          <w:iCs/>
          <w:color w:val="auto"/>
          <w:lang w:val="x-none" w:eastAsia="es-ES"/>
        </w:rPr>
        <w:t>archivos, sin tener que elaborarlos a las necesidades del Recurrente</w:t>
      </w:r>
      <w:r>
        <w:rPr>
          <w:rFonts w:eastAsia="Times New Roman" w:cs="Tahoma"/>
          <w:bCs/>
          <w:iCs/>
          <w:color w:val="auto"/>
          <w:lang w:eastAsia="es-ES"/>
        </w:rPr>
        <w:t>; situación que guarda relevancia, pues se realizó una búsqueda e</w:t>
      </w:r>
      <w:r w:rsidRPr="00A701D3" w:rsidR="000F1C5D">
        <w:t>n el Portal</w:t>
      </w:r>
      <w:r w:rsidRPr="00A701D3" w:rsidR="000F1C5D">
        <w:rPr>
          <w:rFonts w:eastAsia="Times New Roman" w:cs="Tahoma"/>
          <w:bCs/>
          <w:iCs/>
          <w:color w:val="auto"/>
          <w:lang w:val="es-ES" w:eastAsia="es-ES"/>
        </w:rPr>
        <w:t xml:space="preserve"> de Información Pública de Oficio Mexiquense del </w:t>
      </w:r>
      <w:r w:rsidRPr="00A701D3" w:rsidR="000F1C5D">
        <w:rPr>
          <w:rFonts w:eastAsia="Calibri" w:cs="Tahoma"/>
          <w:bCs/>
        </w:rPr>
        <w:t>Instituto de Salud del Estado de México</w:t>
      </w:r>
      <w:r w:rsidRPr="00A701D3" w:rsidR="00EF270A">
        <w:rPr>
          <w:rFonts w:eastAsia="Calibri" w:cs="Tahoma"/>
          <w:bCs/>
        </w:rPr>
        <w:t xml:space="preserve">, específicamente en la </w:t>
      </w:r>
      <w:r w:rsidRPr="00A701D3" w:rsidR="00EF270A">
        <w:t>Fracción XXIX B, del artículo 92</w:t>
      </w:r>
      <w:r>
        <w:t xml:space="preserve"> (</w:t>
      </w:r>
      <w:r w:rsidRPr="00A701D3" w:rsidR="00EF270A">
        <w:t>consultada</w:t>
      </w:r>
      <w:r>
        <w:t xml:space="preserve"> </w:t>
      </w:r>
      <w:r w:rsidRPr="00A701D3" w:rsidR="00EF270A">
        <w:t>el veintitrés de marzo de dos mil veintidós, en</w:t>
      </w:r>
      <w:r>
        <w:t xml:space="preserve"> la liga </w:t>
      </w:r>
      <w:r w:rsidRPr="00A330BB">
        <w:t>https://www.ipomex.org.mx/ipo3/lgt/indice/ISEM/art_92_xxix_b.web</w:t>
      </w:r>
      <w:r>
        <w:t>)</w:t>
      </w:r>
      <w:r w:rsidRPr="00A701D3" w:rsidR="00EF270A">
        <w:t xml:space="preserve"> de </w:t>
      </w:r>
      <w:r>
        <w:t xml:space="preserve">la cual se logró advertir </w:t>
      </w:r>
      <w:r w:rsidR="00455DA5">
        <w:t>que el Sujeto Obligado si llevó a cabo diversos procedimientos de adjudicación pública, se muestra un ejemplo a continuación:</w:t>
      </w:r>
    </w:p>
    <w:p w:rsidRPr="00A701D3" w:rsidR="00455DA5" w:rsidP="001B16EC" w:rsidRDefault="00455DA5" w14:paraId="2F2CC10E" w14:textId="77777777">
      <w:pPr>
        <w:spacing w:after="0" w:line="360" w:lineRule="auto"/>
      </w:pPr>
    </w:p>
    <w:p w:rsidR="00682222" w:rsidP="00455DA5" w:rsidRDefault="00455DA5" w14:paraId="3C70054B" w14:textId="38A1E0C3">
      <w:pPr>
        <w:spacing w:after="0" w:line="360" w:lineRule="auto"/>
        <w:jc w:val="center"/>
        <w:rPr>
          <w:rFonts w:eastAsia="Calibri" w:cs="Tahoma"/>
          <w:color w:val="000000"/>
          <w:szCs w:val="24"/>
          <w:lang w:val="es-ES" w:eastAsia="es-MX"/>
        </w:rPr>
      </w:pPr>
      <w:r w:rsidRPr="00A701D3">
        <w:rPr>
          <w:noProof/>
          <w:lang w:eastAsia="es-MX"/>
        </w:rPr>
        <w:drawing>
          <wp:inline distT="0" distB="0" distL="0" distR="0" wp14:anchorId="353873F4" wp14:editId="51C52CAF">
            <wp:extent cx="2623930" cy="1270738"/>
            <wp:effectExtent l="0" t="0" r="508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1415E1.tmp"/>
                    <pic:cNvPicPr/>
                  </pic:nvPicPr>
                  <pic:blipFill>
                    <a:blip r:embed="rId18">
                      <a:extLst>
                        <a:ext uri="{28A0092B-C50C-407E-A947-70E740481C1C}">
                          <a14:useLocalDpi xmlns:a14="http://schemas.microsoft.com/office/drawing/2010/main" val="0"/>
                        </a:ext>
                      </a:extLst>
                    </a:blip>
                    <a:stretch>
                      <a:fillRect/>
                    </a:stretch>
                  </pic:blipFill>
                  <pic:spPr>
                    <a:xfrm>
                      <a:off x="0" y="0"/>
                      <a:ext cx="2623930" cy="1270738"/>
                    </a:xfrm>
                    <a:prstGeom prst="rect">
                      <a:avLst/>
                    </a:prstGeom>
                  </pic:spPr>
                </pic:pic>
              </a:graphicData>
            </a:graphic>
          </wp:inline>
        </w:drawing>
      </w:r>
    </w:p>
    <w:p w:rsidRPr="00A701D3" w:rsidR="00F819CB" w:rsidP="001B16EC" w:rsidRDefault="00F819CB" w14:paraId="17AE6C16" w14:textId="36FC3E07">
      <w:pPr>
        <w:spacing w:after="0" w:line="360" w:lineRule="auto"/>
        <w:rPr>
          <w:rFonts w:eastAsia="Times New Roman" w:cs="Tahoma"/>
          <w:bCs/>
          <w:iCs/>
          <w:color w:val="auto"/>
          <w:lang w:val="es-ES" w:eastAsia="es-ES"/>
        </w:rPr>
      </w:pPr>
      <w:r w:rsidRPr="00A701D3">
        <w:rPr>
          <w:rFonts w:eastAsia="Times New Roman" w:cs="Tahoma"/>
          <w:bCs/>
          <w:iCs/>
          <w:color w:val="auto"/>
          <w:lang w:val="es-ES_tradnl" w:eastAsia="es-ES"/>
        </w:rPr>
        <w:lastRenderedPageBreak/>
        <w:t>No pasa desapercibido para este Instituto que los contratos, pudieran contener datos o información clasificada; a</w:t>
      </w:r>
      <w:r w:rsidRPr="00A701D3">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A701D3" w:rsidR="00F819CB" w:rsidP="001B16EC" w:rsidRDefault="00F819CB" w14:paraId="19755073" w14:textId="77777777">
      <w:pPr>
        <w:spacing w:after="0" w:line="360" w:lineRule="auto"/>
        <w:rPr>
          <w:rFonts w:eastAsia="Times New Roman" w:cs="Tahoma"/>
          <w:bCs/>
          <w:iCs/>
          <w:color w:val="auto"/>
          <w:lang w:val="es-ES" w:eastAsia="es-ES"/>
        </w:rPr>
      </w:pPr>
    </w:p>
    <w:p w:rsidRPr="00A701D3" w:rsidR="00F819CB" w:rsidP="001B16EC" w:rsidRDefault="00F819CB" w14:paraId="449C180E" w14:textId="77777777">
      <w:pPr>
        <w:spacing w:after="0" w:line="360" w:lineRule="auto"/>
        <w:rPr>
          <w:rFonts w:eastAsia="Times New Roman" w:cs="Tahoma"/>
          <w:bCs/>
          <w:iCs/>
          <w:color w:val="auto"/>
          <w:lang w:val="es-ES" w:eastAsia="es-ES"/>
        </w:rPr>
      </w:pPr>
      <w:r w:rsidRPr="00A701D3">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A701D3" w:rsidR="00682222" w:rsidP="001B16EC" w:rsidRDefault="00682222" w14:paraId="35BB4316" w14:textId="77777777">
      <w:pPr>
        <w:spacing w:after="0" w:line="360" w:lineRule="auto"/>
      </w:pPr>
    </w:p>
    <w:p w:rsidRPr="00A701D3" w:rsidR="001900B4" w:rsidP="001B16EC" w:rsidRDefault="001900B4" w14:paraId="1C5A2A33" w14:textId="77777777">
      <w:pPr>
        <w:spacing w:after="0" w:line="360" w:lineRule="auto"/>
        <w:rPr>
          <w:rFonts w:cs="Tahoma"/>
          <w:b/>
        </w:rPr>
      </w:pPr>
      <w:r w:rsidRPr="00A701D3">
        <w:rPr>
          <w:rFonts w:cs="Tahoma"/>
          <w:b/>
        </w:rPr>
        <w:t xml:space="preserve">SEXTO. Decisión. </w:t>
      </w:r>
    </w:p>
    <w:p w:rsidRPr="00A701D3" w:rsidR="001900B4" w:rsidP="001B16EC" w:rsidRDefault="001900B4" w14:paraId="4A11B667" w14:textId="77777777">
      <w:pPr>
        <w:spacing w:after="0" w:line="360" w:lineRule="auto"/>
        <w:rPr>
          <w:rFonts w:cs="Tahoma"/>
          <w:b/>
        </w:rPr>
      </w:pPr>
    </w:p>
    <w:p w:rsidRPr="00A701D3" w:rsidR="00265BC6" w:rsidP="00964F14" w:rsidRDefault="001900B4" w14:paraId="7FF5020C" w14:textId="2144E4D4">
      <w:pPr>
        <w:widowControl w:val="0"/>
        <w:spacing w:after="0" w:line="360" w:lineRule="auto"/>
        <w:rPr>
          <w:rFonts w:eastAsia="Calibri" w:cs="Tahoma"/>
          <w:iCs/>
          <w:lang w:eastAsia="es-ES_tradnl"/>
        </w:rPr>
      </w:pPr>
      <w:r w:rsidRPr="00A701D3">
        <w:rPr>
          <w:rFonts w:cs="Tahoma"/>
        </w:rPr>
        <w:t xml:space="preserve">Con fundamento en el artículo 186, fracción III, de la Ley de Transparencia y Acceso a la Información Pública del Estado de México y Municipios, este Instituto considera procedente </w:t>
      </w:r>
      <w:r w:rsidRPr="00A701D3" w:rsidR="00702C44">
        <w:rPr>
          <w:rFonts w:cs="Tahoma"/>
          <w:b/>
        </w:rPr>
        <w:t>REVOCAR</w:t>
      </w:r>
      <w:r w:rsidRPr="00A701D3">
        <w:rPr>
          <w:rFonts w:cs="Tahoma"/>
          <w:b/>
        </w:rPr>
        <w:t xml:space="preserve"> </w:t>
      </w:r>
      <w:r w:rsidRPr="00A701D3">
        <w:rPr>
          <w:rFonts w:cs="Tahoma"/>
          <w:bCs/>
        </w:rPr>
        <w:t>la</w:t>
      </w:r>
      <w:r w:rsidRPr="00A701D3">
        <w:rPr>
          <w:rFonts w:cs="Tahoma"/>
        </w:rPr>
        <w:t xml:space="preserve"> respuesta otorgada por el</w:t>
      </w:r>
      <w:r w:rsidRPr="00A701D3" w:rsidR="00EF0D39">
        <w:rPr>
          <w:rFonts w:cs="Tahoma"/>
        </w:rPr>
        <w:t xml:space="preserve"> </w:t>
      </w:r>
      <w:r w:rsidR="00964F14">
        <w:rPr>
          <w:rFonts w:eastAsia="Calibri" w:cs="Tahoma"/>
        </w:rPr>
        <w:t>Sujeto Obligado</w:t>
      </w:r>
      <w:r w:rsidRPr="00A701D3" w:rsidR="00EF0D39">
        <w:rPr>
          <w:rFonts w:eastAsia="Calibri" w:cs="Tahoma"/>
        </w:rPr>
        <w:t xml:space="preserve">, </w:t>
      </w:r>
      <w:r w:rsidRPr="00A701D3">
        <w:rPr>
          <w:rFonts w:cs="Tahoma"/>
        </w:rPr>
        <w:t>a efecto de que</w:t>
      </w:r>
      <w:r w:rsidR="00964F14">
        <w:rPr>
          <w:rFonts w:cs="Tahoma"/>
        </w:rPr>
        <w:t>,</w:t>
      </w:r>
      <w:r w:rsidR="00455DA5">
        <w:rPr>
          <w:rFonts w:cs="Tahoma"/>
        </w:rPr>
        <w:t xml:space="preserve"> previa búsqueda exhaustiva y razonable, en todas las unidades administrativas competente, entre las cuales no podrá omitir a la </w:t>
      </w:r>
      <w:r w:rsidRPr="00964F14" w:rsidR="00964F14">
        <w:rPr>
          <w:rFonts w:cs="Tahoma"/>
        </w:rPr>
        <w:t>Subdirección de Recursos Materiales y de Infraestructura en Salud</w:t>
      </w:r>
      <w:r w:rsidR="00964F14">
        <w:rPr>
          <w:rFonts w:cs="Tahoma"/>
        </w:rPr>
        <w:t xml:space="preserve">, </w:t>
      </w:r>
      <w:r w:rsidRPr="00A701D3">
        <w:rPr>
          <w:rFonts w:cs="Tahoma"/>
        </w:rPr>
        <w:t>entregue,</w:t>
      </w:r>
      <w:r w:rsidRPr="00964F14" w:rsidR="00964F14">
        <w:rPr>
          <w:rFonts w:eastAsia="Calibri" w:cs="Tahoma"/>
          <w:iCs/>
          <w:lang w:eastAsia="es-ES_tradnl"/>
        </w:rPr>
        <w:t xml:space="preserve"> </w:t>
      </w:r>
      <w:r w:rsidRPr="00A701D3" w:rsidR="00964F14">
        <w:rPr>
          <w:rFonts w:eastAsia="Calibri" w:cs="Tahoma"/>
          <w:iCs/>
          <w:lang w:eastAsia="es-ES_tradnl"/>
        </w:rPr>
        <w:t>a través del Sistema de Acceso a la Información Mexiquense (SAIMEX)</w:t>
      </w:r>
      <w:r w:rsidR="00964F14">
        <w:rPr>
          <w:rFonts w:eastAsia="Calibri" w:cs="Tahoma"/>
          <w:iCs/>
          <w:lang w:eastAsia="es-ES_tradnl"/>
        </w:rPr>
        <w:t>,</w:t>
      </w:r>
      <w:r w:rsidRPr="00A701D3" w:rsidR="00961441">
        <w:rPr>
          <w:rFonts w:cs="Tahoma"/>
        </w:rPr>
        <w:t xml:space="preserve"> en su caso en versión pública,</w:t>
      </w:r>
      <w:r w:rsidRPr="00A701D3">
        <w:rPr>
          <w:rFonts w:cs="Tahoma"/>
        </w:rPr>
        <w:t xml:space="preserve"> </w:t>
      </w:r>
      <w:r w:rsidR="00964F14">
        <w:rPr>
          <w:rFonts w:eastAsia="Calibri" w:cs="Tahoma"/>
          <w:iCs/>
          <w:lang w:eastAsia="es-ES_tradnl"/>
        </w:rPr>
        <w:t xml:space="preserve">los </w:t>
      </w:r>
      <w:r w:rsidRPr="00964F14" w:rsidR="00964F14">
        <w:rPr>
          <w:rFonts w:eastAsia="Calibri" w:cs="Tahoma"/>
          <w:iCs/>
          <w:lang w:eastAsia="es-ES_tradnl"/>
        </w:rPr>
        <w:t>contratos celebrados por el Instituto de Salud del Estado de México, para la adquisición o arrendamiento de bienes muebles o inmuebles, contratación de servicios y ejecución de obra, del primero de enero de dos mil veinte al catorce de enero de dos mil veintidós, derivados de procedimientos de adjudicación directa.</w:t>
      </w:r>
    </w:p>
    <w:p w:rsidRPr="00A701D3" w:rsidR="00265BC6" w:rsidP="001B16EC" w:rsidRDefault="00265BC6" w14:paraId="755C8DAD" w14:textId="77777777">
      <w:pPr>
        <w:widowControl w:val="0"/>
        <w:spacing w:after="0" w:line="360" w:lineRule="auto"/>
        <w:rPr>
          <w:rFonts w:eastAsia="Calibri" w:cs="Tahoma"/>
          <w:iCs/>
          <w:lang w:eastAsia="es-ES_tradnl"/>
        </w:rPr>
      </w:pPr>
    </w:p>
    <w:p w:rsidRPr="00A701D3" w:rsidR="00961441" w:rsidP="001B16EC" w:rsidRDefault="00961441" w14:paraId="2E555356" w14:textId="77777777">
      <w:pPr>
        <w:autoSpaceDE w:val="0"/>
        <w:autoSpaceDN w:val="0"/>
        <w:adjustRightInd w:val="0"/>
        <w:spacing w:after="0" w:line="360" w:lineRule="auto"/>
        <w:rPr>
          <w:rFonts w:eastAsia="Calibri" w:cs="Tahoma"/>
          <w:bCs/>
          <w:iCs/>
          <w:color w:val="000000"/>
        </w:rPr>
      </w:pPr>
      <w:r w:rsidRPr="00A701D3">
        <w:rPr>
          <w:rFonts w:eastAsia="Calibri" w:cs="Tahoma"/>
          <w:bCs/>
          <w:iCs/>
          <w:color w:val="000000"/>
        </w:rPr>
        <w:lastRenderedPageBreak/>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A701D3" w:rsidR="00682222" w:rsidP="001B16EC" w:rsidRDefault="00682222" w14:paraId="3CF302AD" w14:textId="77777777">
      <w:pPr>
        <w:spacing w:after="0" w:line="360" w:lineRule="auto"/>
      </w:pPr>
    </w:p>
    <w:p w:rsidRPr="00A701D3" w:rsidR="00C853D1" w:rsidP="001B16EC" w:rsidRDefault="00C853D1" w14:paraId="1BD24118" w14:textId="77777777">
      <w:pPr>
        <w:spacing w:after="0" w:line="360" w:lineRule="auto"/>
        <w:rPr>
          <w:b/>
          <w:bCs/>
        </w:rPr>
      </w:pPr>
      <w:r w:rsidRPr="00A701D3">
        <w:rPr>
          <w:b/>
          <w:bCs/>
        </w:rPr>
        <w:t>Términos de la Resolución.</w:t>
      </w:r>
    </w:p>
    <w:p w:rsidRPr="00A701D3" w:rsidR="00C853D1" w:rsidP="001B16EC" w:rsidRDefault="00C853D1" w14:paraId="6C1809B6" w14:textId="3933B954">
      <w:pPr>
        <w:spacing w:after="0" w:line="360" w:lineRule="auto"/>
      </w:pPr>
    </w:p>
    <w:p w:rsidRPr="00A701D3" w:rsidR="00FA74E9" w:rsidP="001B16EC" w:rsidRDefault="00FA74E9" w14:paraId="3409E3DA" w14:textId="24837A5F">
      <w:pPr>
        <w:spacing w:after="0" w:line="360" w:lineRule="auto"/>
        <w:rPr>
          <w:rFonts w:eastAsia="Calibri" w:cs="Tahoma"/>
          <w:bCs/>
          <w:iCs/>
        </w:rPr>
      </w:pPr>
      <w:r w:rsidRPr="00A701D3">
        <w:rPr>
          <w:rFonts w:eastAsia="Calibri" w:cs="Tahoma"/>
          <w:bCs/>
          <w:iCs/>
        </w:rPr>
        <w:t xml:space="preserve">Se le hace del conocimiento al Particular, que se le da la razón, </w:t>
      </w:r>
      <w:r w:rsidR="00964F14">
        <w:rPr>
          <w:rFonts w:eastAsia="Calibri" w:cs="Tahoma"/>
          <w:bCs/>
          <w:iCs/>
        </w:rPr>
        <w:t xml:space="preserve">pues la respuesta del Sujeto Obligado fue incongruente, por lo que, deberá realizar una búsqueda exhaustiva y razonable, a efecto de proporcionar los contratos derivados de procedimientos de adjudicación directa; lo anterior, toma relevancia, pues tampoco tiene la información publicada en su Portal de Información Pública de Oficio Mexiquense. </w:t>
      </w:r>
      <w:r w:rsidRPr="00A701D3">
        <w:rPr>
          <w:rFonts w:eastAsia="Calibri" w:cs="Tahoma"/>
          <w:bCs/>
          <w:iCs/>
        </w:rPr>
        <w:t>Finalmente, la labor de este Instituto es apoyar a la población a acceder a la información pública y garantizar la protección de los datos personales.</w:t>
      </w:r>
    </w:p>
    <w:p w:rsidRPr="00A701D3" w:rsidR="00C853D1" w:rsidP="001B16EC" w:rsidRDefault="00C853D1" w14:paraId="457213AE" w14:textId="77777777">
      <w:pPr>
        <w:spacing w:after="0" w:line="360" w:lineRule="auto"/>
      </w:pPr>
    </w:p>
    <w:p w:rsidRPr="00A701D3" w:rsidR="00C853D1" w:rsidP="001B16EC" w:rsidRDefault="00C853D1" w14:paraId="4469D1A7" w14:textId="77777777">
      <w:pPr>
        <w:spacing w:after="0" w:line="360" w:lineRule="auto"/>
        <w:rPr>
          <w:rFonts w:eastAsia="Calibri" w:cs="Tahoma"/>
          <w:bCs/>
          <w:color w:val="auto"/>
        </w:rPr>
      </w:pPr>
      <w:r w:rsidRPr="00A701D3">
        <w:t>Por</w:t>
      </w:r>
      <w:r w:rsidRPr="00A701D3">
        <w:rPr>
          <w:rFonts w:eastAsia="Calibri" w:cs="Tahoma"/>
          <w:bCs/>
          <w:color w:val="auto"/>
        </w:rPr>
        <w:t xml:space="preserve"> lo expuesto y fundado, este Pleno:</w:t>
      </w:r>
    </w:p>
    <w:p w:rsidRPr="00A701D3" w:rsidR="00C853D1" w:rsidP="001B16EC" w:rsidRDefault="00C853D1" w14:paraId="2A9CCC89" w14:textId="77777777">
      <w:pPr>
        <w:spacing w:after="0" w:line="360" w:lineRule="auto"/>
        <w:ind w:right="-28"/>
        <w:rPr>
          <w:rFonts w:eastAsia="Calibri" w:cs="Tahoma"/>
          <w:bCs/>
          <w:color w:val="auto"/>
        </w:rPr>
      </w:pPr>
    </w:p>
    <w:p w:rsidRPr="00A701D3" w:rsidR="00C853D1" w:rsidP="001B16EC" w:rsidRDefault="00C853D1" w14:paraId="5C5F6794" w14:textId="77777777">
      <w:pPr>
        <w:spacing w:after="0" w:line="360" w:lineRule="auto"/>
        <w:ind w:right="-28"/>
        <w:jc w:val="center"/>
        <w:rPr>
          <w:rFonts w:eastAsia="Calibri" w:cs="Tahoma"/>
          <w:b/>
          <w:bCs/>
          <w:color w:val="auto"/>
        </w:rPr>
      </w:pPr>
      <w:r w:rsidRPr="00A701D3">
        <w:rPr>
          <w:rFonts w:eastAsia="Calibri" w:cs="Tahoma"/>
          <w:b/>
          <w:bCs/>
          <w:color w:val="auto"/>
        </w:rPr>
        <w:t>R E S U E L V E:</w:t>
      </w:r>
    </w:p>
    <w:p w:rsidRPr="00A701D3" w:rsidR="00C853D1" w:rsidP="001B16EC" w:rsidRDefault="00C853D1" w14:paraId="5315815D" w14:textId="77777777">
      <w:pPr>
        <w:spacing w:after="0" w:line="360" w:lineRule="auto"/>
        <w:rPr>
          <w:lang w:val="es-ES" w:eastAsia="es-ES_tradnl"/>
        </w:rPr>
      </w:pPr>
    </w:p>
    <w:p w:rsidRPr="00A701D3" w:rsidR="00782132" w:rsidP="001B16EC" w:rsidRDefault="00782132" w14:paraId="3F37601B" w14:textId="62FA5E02">
      <w:pPr>
        <w:spacing w:after="0" w:line="360" w:lineRule="auto"/>
        <w:contextualSpacing/>
        <w:rPr>
          <w:rFonts w:eastAsia="Calibri" w:cs="Tahoma"/>
          <w:bCs/>
        </w:rPr>
      </w:pPr>
      <w:r w:rsidRPr="00A701D3">
        <w:rPr>
          <w:rFonts w:cs="Tahoma"/>
          <w:b/>
          <w:bCs/>
        </w:rPr>
        <w:t xml:space="preserve">PRIMERO. </w:t>
      </w:r>
      <w:r w:rsidRPr="00A701D3">
        <w:rPr>
          <w:rFonts w:cs="Tahoma"/>
          <w:bCs/>
        </w:rPr>
        <w:t xml:space="preserve">Se </w:t>
      </w:r>
      <w:r w:rsidRPr="00A701D3" w:rsidR="006A240B">
        <w:rPr>
          <w:rFonts w:cs="Tahoma"/>
          <w:b/>
          <w:bCs/>
        </w:rPr>
        <w:t>REVOCA</w:t>
      </w:r>
      <w:r w:rsidRPr="00A701D3">
        <w:rPr>
          <w:rFonts w:cs="Tahoma"/>
          <w:bCs/>
        </w:rPr>
        <w:t xml:space="preserve"> la respuesta entregada por el </w:t>
      </w:r>
      <w:r w:rsidRPr="00A701D3" w:rsidR="006F21F2">
        <w:rPr>
          <w:rFonts w:eastAsia="Calibri" w:cs="Tahoma"/>
        </w:rPr>
        <w:t>Instituto de Salud del Estado de México</w:t>
      </w:r>
      <w:r w:rsidRPr="00A701D3" w:rsidR="00F060A2">
        <w:rPr>
          <w:rFonts w:cs="Tahoma"/>
          <w:bCs/>
        </w:rPr>
        <w:t xml:space="preserve"> </w:t>
      </w:r>
      <w:r w:rsidRPr="00A701D3">
        <w:rPr>
          <w:rFonts w:cs="Tahoma"/>
          <w:bCs/>
        </w:rPr>
        <w:t xml:space="preserve">a la solicitud de </w:t>
      </w:r>
      <w:r w:rsidRPr="00A701D3">
        <w:rPr>
          <w:rFonts w:eastAsia="Calibri" w:cs="Tahoma"/>
        </w:rPr>
        <w:t xml:space="preserve">información </w:t>
      </w:r>
      <w:r w:rsidRPr="00964F14" w:rsidR="006F21F2">
        <w:rPr>
          <w:rFonts w:eastAsia="Calibri" w:cs="Tahoma"/>
        </w:rPr>
        <w:t>00034/ISEM/IP/2022</w:t>
      </w:r>
      <w:r w:rsidRPr="00A701D3" w:rsidR="00E92B4A">
        <w:t xml:space="preserve"> </w:t>
      </w:r>
      <w:r w:rsidRPr="00A701D3">
        <w:t xml:space="preserve">por resultar </w:t>
      </w:r>
      <w:r w:rsidRPr="00A701D3">
        <w:rPr>
          <w:b/>
        </w:rPr>
        <w:t>FUNDADAS</w:t>
      </w:r>
      <w:r w:rsidRPr="00A701D3">
        <w:rPr>
          <w:rFonts w:cs="Tahoma"/>
        </w:rPr>
        <w:t xml:space="preserve"> </w:t>
      </w:r>
      <w:r w:rsidRPr="00A701D3">
        <w:rPr>
          <w:rFonts w:eastAsia="Calibri" w:cs="Tahoma"/>
        </w:rPr>
        <w:t>las razones o motivos de inconformidad hechos valer por el Particular, en</w:t>
      </w:r>
      <w:r w:rsidRPr="00A701D3">
        <w:rPr>
          <w:rFonts w:eastAsia="Calibri" w:cs="Tahoma"/>
          <w:bCs/>
        </w:rPr>
        <w:t xml:space="preserve"> términos de los considerandos </w:t>
      </w:r>
      <w:r w:rsidRPr="00A701D3">
        <w:rPr>
          <w:rFonts w:eastAsia="Calibri" w:cs="Tahoma"/>
          <w:b/>
          <w:bCs/>
        </w:rPr>
        <w:t xml:space="preserve">QUINTO </w:t>
      </w:r>
      <w:r w:rsidRPr="00A701D3">
        <w:rPr>
          <w:rFonts w:eastAsia="Calibri" w:cs="Tahoma"/>
        </w:rPr>
        <w:t xml:space="preserve">y </w:t>
      </w:r>
      <w:r w:rsidRPr="00A701D3">
        <w:rPr>
          <w:rFonts w:eastAsia="Calibri" w:cs="Tahoma"/>
          <w:b/>
          <w:bCs/>
        </w:rPr>
        <w:t>SEXTO</w:t>
      </w:r>
      <w:r w:rsidRPr="00A701D3">
        <w:rPr>
          <w:rFonts w:eastAsia="Calibri" w:cs="Tahoma"/>
          <w:bCs/>
        </w:rPr>
        <w:t xml:space="preserve"> de la presente Resolución.</w:t>
      </w:r>
    </w:p>
    <w:p w:rsidRPr="00A701D3" w:rsidR="00782132" w:rsidP="001B16EC" w:rsidRDefault="00782132" w14:paraId="4A6EB131" w14:textId="77777777">
      <w:pPr>
        <w:spacing w:after="0" w:line="360" w:lineRule="auto"/>
        <w:contextualSpacing/>
        <w:rPr>
          <w:rFonts w:eastAsia="Calibri" w:cs="Tahoma"/>
          <w:bCs/>
        </w:rPr>
      </w:pPr>
    </w:p>
    <w:p w:rsidRPr="00A701D3" w:rsidR="00782132" w:rsidP="001B16EC" w:rsidRDefault="00782132" w14:paraId="13908649" w14:textId="1ECB5842">
      <w:pPr>
        <w:spacing w:after="0" w:line="360" w:lineRule="auto"/>
        <w:rPr>
          <w:rFonts w:cs="Tahoma"/>
        </w:rPr>
      </w:pPr>
      <w:r w:rsidRPr="00A701D3">
        <w:rPr>
          <w:rFonts w:cs="Tahoma"/>
          <w:b/>
          <w:bCs/>
        </w:rPr>
        <w:t xml:space="preserve">SEGUNDO. </w:t>
      </w:r>
      <w:r w:rsidRPr="00A701D3">
        <w:rPr>
          <w:rFonts w:cs="Tahoma"/>
        </w:rPr>
        <w:t xml:space="preserve">Se </w:t>
      </w:r>
      <w:r w:rsidRPr="00A701D3">
        <w:rPr>
          <w:rFonts w:cs="Tahoma"/>
          <w:b/>
        </w:rPr>
        <w:t xml:space="preserve">ORDENA </w:t>
      </w:r>
      <w:r w:rsidRPr="00A701D3">
        <w:rPr>
          <w:rFonts w:cs="Tahoma"/>
          <w:bCs/>
        </w:rPr>
        <w:t xml:space="preserve">al </w:t>
      </w:r>
      <w:r w:rsidRPr="00A701D3">
        <w:rPr>
          <w:rFonts w:cs="Tahoma"/>
        </w:rPr>
        <w:t>Ente Recurrido, a efecto de</w:t>
      </w:r>
      <w:r w:rsidRPr="00A701D3">
        <w:rPr>
          <w:rFonts w:eastAsia="Calibri" w:cs="Tahoma"/>
          <w:lang w:eastAsia="es-MX"/>
        </w:rPr>
        <w:t xml:space="preserve"> que</w:t>
      </w:r>
      <w:r w:rsidR="00964F14">
        <w:rPr>
          <w:rFonts w:eastAsia="Calibri" w:cs="Tahoma"/>
          <w:lang w:eastAsia="es-MX"/>
        </w:rPr>
        <w:t xml:space="preserve">, previa búsqueda exhaustiva y razonable </w:t>
      </w:r>
      <w:r w:rsidR="003B7322">
        <w:rPr>
          <w:rFonts w:eastAsia="Calibri" w:cs="Tahoma"/>
          <w:lang w:eastAsia="es-MX"/>
        </w:rPr>
        <w:t>en todas las unidades administrativas competentes,</w:t>
      </w:r>
      <w:r w:rsidRPr="00A701D3">
        <w:rPr>
          <w:rFonts w:eastAsia="Calibri" w:cs="Tahoma"/>
          <w:lang w:eastAsia="es-MX"/>
        </w:rPr>
        <w:t xml:space="preserve"> entregue</w:t>
      </w:r>
      <w:r w:rsidRPr="00A701D3">
        <w:rPr>
          <w:rFonts w:cs="Tahoma"/>
        </w:rPr>
        <w:t>, a través del Sistema de Acceso a la Información Mexiquense (SAIMEX),</w:t>
      </w:r>
      <w:r w:rsidR="003B7322">
        <w:rPr>
          <w:rFonts w:cs="Tahoma"/>
        </w:rPr>
        <w:t xml:space="preserve"> en su caso, en versión pública,</w:t>
      </w:r>
      <w:r w:rsidRPr="00A701D3">
        <w:rPr>
          <w:rFonts w:cs="Tahoma"/>
        </w:rPr>
        <w:t xml:space="preserve"> lo siguiente:</w:t>
      </w:r>
    </w:p>
    <w:p w:rsidRPr="00A701D3" w:rsidR="00682222" w:rsidP="001B16EC" w:rsidRDefault="00682222" w14:paraId="52925707" w14:textId="77777777">
      <w:pPr>
        <w:spacing w:after="0" w:line="360" w:lineRule="auto"/>
        <w:rPr>
          <w:rFonts w:cs="Tahoma"/>
        </w:rPr>
      </w:pPr>
    </w:p>
    <w:p w:rsidRPr="003B7322" w:rsidR="003B7322" w:rsidP="003B7322" w:rsidRDefault="003B7322" w14:paraId="44E6C996" w14:textId="69AAC93E">
      <w:pPr>
        <w:pStyle w:val="Prrafodelista"/>
        <w:widowControl w:val="0"/>
        <w:numPr>
          <w:ilvl w:val="0"/>
          <w:numId w:val="25"/>
        </w:numPr>
        <w:spacing w:line="360" w:lineRule="auto"/>
        <w:rPr>
          <w:rFonts w:eastAsia="Calibri" w:cs="Tahoma"/>
          <w:iCs/>
          <w:lang w:eastAsia="es-ES_tradnl"/>
        </w:rPr>
      </w:pPr>
      <w:r>
        <w:rPr>
          <w:rFonts w:eastAsia="Calibri" w:cs="Tahoma"/>
          <w:iCs/>
          <w:lang w:eastAsia="es-ES_tradnl"/>
        </w:rPr>
        <w:lastRenderedPageBreak/>
        <w:t>L</w:t>
      </w:r>
      <w:r w:rsidRPr="003B7322">
        <w:rPr>
          <w:rFonts w:eastAsia="Calibri" w:cs="Tahoma"/>
          <w:iCs/>
          <w:lang w:eastAsia="es-ES_tradnl"/>
        </w:rPr>
        <w:t>os contratos celebrados por el Instituto de Salud del Estado de México, para la adquisición o arrendamiento de bienes muebles o inmuebles, contratación de servicios y ejecución de obra, del primero de enero de dos mil veinte al catorce de enero de dos mil veintidós, derivados de procedimientos de adjudicación directa.</w:t>
      </w:r>
    </w:p>
    <w:p w:rsidRPr="00A701D3" w:rsidR="000D1655" w:rsidP="001B16EC" w:rsidRDefault="000D1655" w14:paraId="10C44592" w14:textId="77777777">
      <w:pPr>
        <w:spacing w:after="0" w:line="360" w:lineRule="auto"/>
        <w:rPr>
          <w:rFonts w:cs="Tahoma"/>
        </w:rPr>
      </w:pPr>
    </w:p>
    <w:p w:rsidRPr="00A701D3" w:rsidR="00682222" w:rsidP="001B16EC" w:rsidRDefault="00682222" w14:paraId="2AB062C2" w14:textId="77777777">
      <w:pPr>
        <w:spacing w:after="0" w:line="360" w:lineRule="auto"/>
        <w:rPr>
          <w:rFonts w:eastAsia="Calibri" w:cs="Tahoma"/>
          <w:bCs/>
          <w:iCs/>
          <w:color w:val="auto"/>
          <w:lang w:val="es-ES"/>
        </w:rPr>
      </w:pPr>
      <w:r w:rsidRPr="00A701D3">
        <w:rPr>
          <w:rFonts w:cs="Tahoma"/>
        </w:rPr>
        <w:t xml:space="preserve">Además, de ser necesario, deberá proporcionar el Acuerdo de Clasificación donde el Comité de </w:t>
      </w:r>
      <w:r w:rsidRPr="00A701D3">
        <w:rPr>
          <w:rFonts w:eastAsia="Calibri" w:cs="Tahoma"/>
          <w:bCs/>
          <w:iCs/>
          <w:color w:val="auto"/>
          <w:lang w:val="es-ES"/>
        </w:rPr>
        <w:t>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A701D3" w:rsidR="00782132" w:rsidP="001B16EC" w:rsidRDefault="00782132" w14:paraId="2D33E7EA" w14:textId="77777777">
      <w:pPr>
        <w:spacing w:after="0" w:line="360" w:lineRule="auto"/>
        <w:rPr>
          <w:rFonts w:eastAsia="Times New Roman" w:cs="Tahoma"/>
          <w:bCs/>
          <w:color w:val="auto"/>
          <w:lang w:eastAsia="es-ES"/>
        </w:rPr>
      </w:pPr>
    </w:p>
    <w:p w:rsidRPr="00A701D3" w:rsidR="00782132" w:rsidP="001B16EC" w:rsidRDefault="00782132" w14:paraId="3B54D014" w14:textId="77777777">
      <w:pPr>
        <w:spacing w:after="0" w:line="360" w:lineRule="auto"/>
        <w:rPr>
          <w:rFonts w:cs="Tahoma"/>
        </w:rPr>
      </w:pPr>
      <w:r w:rsidRPr="00A701D3">
        <w:rPr>
          <w:rFonts w:cs="Arial"/>
          <w:b/>
          <w:lang w:val="es-ES_tradnl"/>
        </w:rPr>
        <w:t>TERCERO.</w:t>
      </w:r>
      <w:r w:rsidRPr="00A701D3">
        <w:rPr>
          <w:rFonts w:cs="Tahoma"/>
          <w:b/>
        </w:rPr>
        <w:t xml:space="preserve"> NOTIFÍQUESE </w:t>
      </w:r>
      <w:r w:rsidRPr="00A701D3">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A701D3" w:rsidR="00782132" w:rsidP="001B16EC" w:rsidRDefault="00782132" w14:paraId="3FBF6176" w14:textId="20AE5D8D">
      <w:pPr>
        <w:spacing w:after="0" w:line="360" w:lineRule="auto"/>
        <w:rPr>
          <w:rFonts w:cs="Tahoma"/>
        </w:rPr>
      </w:pPr>
    </w:p>
    <w:p w:rsidRPr="00A701D3" w:rsidR="00682222" w:rsidP="001B16EC" w:rsidRDefault="00682222" w14:paraId="5C47A650" w14:textId="0C12761D">
      <w:pPr>
        <w:spacing w:after="0" w:line="360" w:lineRule="auto"/>
        <w:contextualSpacing/>
        <w:rPr>
          <w:rFonts w:eastAsia="Calibri" w:cs="Tahoma"/>
          <w:iCs/>
        </w:rPr>
      </w:pPr>
      <w:bookmarkStart w:name="_Hlk61509110" w:id="0"/>
      <w:r w:rsidRPr="00A701D3">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A701D3" w:rsidR="00682222" w:rsidP="001B16EC" w:rsidRDefault="00682222" w14:paraId="5AAB16D7" w14:textId="77777777">
      <w:pPr>
        <w:spacing w:after="0" w:line="360" w:lineRule="auto"/>
        <w:rPr>
          <w:rFonts w:cs="Tahoma"/>
        </w:rPr>
      </w:pPr>
    </w:p>
    <w:p w:rsidRPr="00A701D3" w:rsidR="00782132" w:rsidP="001B16EC" w:rsidRDefault="00782132" w14:paraId="2C0ACFAC" w14:textId="77777777">
      <w:pPr>
        <w:spacing w:after="0" w:line="360" w:lineRule="auto"/>
        <w:rPr>
          <w:rFonts w:cs="Tahoma"/>
        </w:rPr>
      </w:pPr>
      <w:r w:rsidRPr="00A701D3">
        <w:rPr>
          <w:rFonts w:cs="Tahoma"/>
          <w:b/>
        </w:rPr>
        <w:t>CUARTO. NOTIFÍQUESE</w:t>
      </w:r>
      <w:r w:rsidRPr="00A701D3">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701D3" w:rsidR="00782132" w:rsidP="001B16EC" w:rsidRDefault="00782132" w14:paraId="42C8D564" w14:textId="77777777">
      <w:pPr>
        <w:spacing w:after="0" w:line="360" w:lineRule="auto"/>
        <w:rPr>
          <w:rFonts w:eastAsia="Calibri" w:cs="Tahoma"/>
          <w:bCs/>
          <w:lang w:val="es-ES"/>
        </w:rPr>
      </w:pPr>
    </w:p>
    <w:p w:rsidR="00C853D1" w:rsidP="001B16EC" w:rsidRDefault="00C853D1" w14:paraId="61493576" w14:textId="5E48AD3B">
      <w:pPr>
        <w:spacing w:after="0" w:line="360" w:lineRule="auto"/>
        <w:rPr>
          <w:rFonts w:eastAsia="Calibri" w:cs="Tahoma"/>
          <w:bCs/>
        </w:rPr>
      </w:pPr>
      <w:r w:rsidRPr="00A701D3">
        <w:rPr>
          <w:rFonts w:eastAsia="Calibri" w:cs="Tahoma"/>
          <w:bCs/>
        </w:rPr>
        <w:lastRenderedPageBreak/>
        <w:t xml:space="preserve">ASÍ LO RESUELVE, POR </w:t>
      </w:r>
      <w:r w:rsidRPr="00A701D3">
        <w:rPr>
          <w:rFonts w:eastAsia="Calibri" w:cs="Tahoma"/>
          <w:b/>
        </w:rPr>
        <w:t>UNANIMIDAD</w:t>
      </w:r>
      <w:r w:rsidRPr="00A701D3">
        <w:rPr>
          <w:rFonts w:eastAsia="Calibri" w:cs="Tahoma"/>
          <w:bCs/>
        </w:rPr>
        <w:t xml:space="preserve"> DE VOTOS EL PLENO DEL INSTITUTO DE TRANSPARENCIA, ACCESO A LA INFORMACIÓN PÚBLICA Y PROTECCIÓN DE DATOS </w:t>
      </w:r>
      <w:r w:rsidRPr="00A701D3" w:rsidR="006F21F2">
        <w:rPr>
          <w:rFonts w:eastAsia="Calibri" w:cs="Tahoma"/>
          <w:bCs/>
        </w:rPr>
        <w:t xml:space="preserve">PERSONALES DEL ESTADO DE MÉXICO Y MUNICIPIOS, CONFORMADO POR LOS COMISIONADOS JOSÉ MARTÍNEZ VILCHIS, MARÍA DEL ROSARIO MEJÍA AYALA, SHARON CRISTINA MORALES MARTÍNEZ, LUIS GUSTAVO PARRA NORIEGA Y GUADALUPE RAMÍREZ PEÑA, EN LA DÉCIMA </w:t>
      </w:r>
      <w:r w:rsidR="003B7322">
        <w:rPr>
          <w:rFonts w:eastAsia="Calibri" w:cs="Tahoma"/>
          <w:bCs/>
        </w:rPr>
        <w:t>CUARTA</w:t>
      </w:r>
      <w:r w:rsidRPr="00A701D3" w:rsidR="006F21F2">
        <w:rPr>
          <w:rFonts w:eastAsia="Calibri" w:cs="Tahoma"/>
          <w:bCs/>
        </w:rPr>
        <w:t xml:space="preserve"> SESIÓN ORDINARIA, CELEBRADA EL </w:t>
      </w:r>
      <w:r w:rsidR="003B7322">
        <w:rPr>
          <w:rFonts w:eastAsia="Times New Roman" w:cs="Tahoma"/>
          <w:bCs/>
          <w:color w:val="auto"/>
          <w:lang w:eastAsia="es-ES"/>
        </w:rPr>
        <w:t>VEINTE DE ABRIL</w:t>
      </w:r>
      <w:r w:rsidRPr="00A701D3" w:rsidR="006F21F2">
        <w:rPr>
          <w:rFonts w:eastAsia="Times New Roman" w:cs="Tahoma"/>
          <w:bCs/>
          <w:color w:val="auto"/>
          <w:lang w:eastAsia="es-ES"/>
        </w:rPr>
        <w:t xml:space="preserve"> DE DOS MIL VEINTIDÓS</w:t>
      </w:r>
      <w:r w:rsidRPr="00A701D3" w:rsidR="006F21F2">
        <w:rPr>
          <w:rFonts w:eastAsia="Calibri" w:cs="Tahoma"/>
          <w:bCs/>
        </w:rPr>
        <w:t>, ANTE EL SECRETARIO TÉCNICO DEL PLENO, ALEXIS TAPIA RAMÍREZ.</w:t>
      </w:r>
    </w:p>
    <w:p w:rsidR="00C853D1" w:rsidP="001B16EC" w:rsidRDefault="00C853D1" w14:paraId="189BD5D9" w14:textId="5AA6579D">
      <w:pPr>
        <w:spacing w:after="0" w:line="360" w:lineRule="auto"/>
        <w:jc w:val="left"/>
        <w:rPr>
          <w:rFonts w:eastAsia="Calibri" w:cs="Tahoma"/>
          <w:b/>
          <w:bCs/>
        </w:rPr>
      </w:pPr>
      <w:r>
        <w:rPr>
          <w:rFonts w:eastAsia="Calibri" w:cs="Tahoma"/>
          <w:b/>
          <w:bCs/>
        </w:rPr>
        <w:br w:type="page"/>
      </w:r>
    </w:p>
    <w:p w:rsidR="00A6477D" w:rsidP="001B16EC" w:rsidRDefault="00A6477D" w14:paraId="3A7BF8F4" w14:textId="77777777">
      <w:pPr>
        <w:spacing w:after="0" w:line="360" w:lineRule="auto"/>
      </w:pPr>
    </w:p>
    <w:p w:rsidR="001B16EC" w:rsidRDefault="001B16EC" w14:paraId="02D503AB" w14:textId="77777777">
      <w:pPr>
        <w:spacing w:after="0" w:line="360" w:lineRule="auto"/>
      </w:pPr>
    </w:p>
    <w:sectPr w:rsidR="001B16EC" w:rsidSect="002C59A0">
      <w:headerReference w:type="even" r:id="rId19"/>
      <w:headerReference w:type="default" r:id="rId20"/>
      <w:footerReference w:type="even" r:id="rId21"/>
      <w:footerReference w:type="default" r:id="rId22"/>
      <w:headerReference w:type="first" r:id="rId23"/>
      <w:footerReference w:type="first" r:id="rId2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6C3E" w:rsidP="00C853D1" w:rsidRDefault="00076C3E" w14:paraId="1D134EC3" w14:textId="77777777">
      <w:pPr>
        <w:spacing w:after="0" w:line="240" w:lineRule="auto"/>
      </w:pPr>
      <w:r>
        <w:separator/>
      </w:r>
    </w:p>
  </w:endnote>
  <w:endnote w:type="continuationSeparator" w:id="0">
    <w:p w:rsidR="00076C3E" w:rsidP="00C853D1" w:rsidRDefault="00076C3E" w14:paraId="7B0E18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6E6" w:rsidRDefault="00B306E6"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B306E6" w:rsidRDefault="00B306E6"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B306E6" w:rsidRDefault="00B306E6"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242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242C">
              <w:rPr>
                <w:b/>
                <w:bCs/>
                <w:noProof/>
              </w:rPr>
              <w:t>21</w:t>
            </w:r>
            <w:r>
              <w:rPr>
                <w:b/>
                <w:bCs/>
                <w:sz w:val="24"/>
                <w:szCs w:val="24"/>
              </w:rPr>
              <w:fldChar w:fldCharType="end"/>
            </w:r>
          </w:p>
        </w:sdtContent>
      </w:sdt>
    </w:sdtContent>
  </w:sdt>
  <w:p w:rsidR="00B306E6" w:rsidRDefault="00B306E6"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06E6" w:rsidRDefault="00B306E6"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62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62C4">
      <w:rPr>
        <w:b/>
        <w:bCs/>
        <w:noProof/>
      </w:rPr>
      <w:t>21</w:t>
    </w:r>
    <w:r>
      <w:rPr>
        <w:b/>
        <w:bCs/>
        <w:sz w:val="24"/>
        <w:szCs w:val="24"/>
      </w:rPr>
      <w:fldChar w:fldCharType="end"/>
    </w:r>
  </w:p>
  <w:p w:rsidR="00B306E6" w:rsidRDefault="00B306E6"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6C3E" w:rsidP="00C853D1" w:rsidRDefault="00076C3E" w14:paraId="562F7A60" w14:textId="77777777">
      <w:pPr>
        <w:spacing w:after="0" w:line="240" w:lineRule="auto"/>
      </w:pPr>
      <w:r>
        <w:separator/>
      </w:r>
    </w:p>
  </w:footnote>
  <w:footnote w:type="continuationSeparator" w:id="0">
    <w:p w:rsidR="00076C3E" w:rsidP="00C853D1" w:rsidRDefault="00076C3E" w14:paraId="3E4AC8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B306E6" w:rsidTr="002C59A0" w14:paraId="282B3A75" w14:textId="77777777">
      <w:trPr>
        <w:trHeight w:val="141"/>
      </w:trPr>
      <w:tc>
        <w:tcPr>
          <w:tcW w:w="2404" w:type="dxa"/>
        </w:tcPr>
        <w:p w:rsidRPr="001B5FB6" w:rsidR="00B306E6" w:rsidP="002C59A0" w:rsidRDefault="00B306E6"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B306E6" w:rsidP="002C59A0" w:rsidRDefault="00B306E6"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B306E6" w:rsidTr="002C59A0" w14:paraId="46AFE2B4" w14:textId="77777777">
      <w:trPr>
        <w:trHeight w:val="276"/>
      </w:trPr>
      <w:tc>
        <w:tcPr>
          <w:tcW w:w="2404" w:type="dxa"/>
        </w:tcPr>
        <w:p w:rsidRPr="001B5FB6" w:rsidR="00B306E6" w:rsidP="002C59A0" w:rsidRDefault="00B306E6"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B306E6" w:rsidP="002C59A0" w:rsidRDefault="00B306E6"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B306E6" w:rsidTr="002C59A0" w14:paraId="1FA679E9" w14:textId="77777777">
      <w:trPr>
        <w:trHeight w:val="276"/>
      </w:trPr>
      <w:tc>
        <w:tcPr>
          <w:tcW w:w="2404" w:type="dxa"/>
        </w:tcPr>
        <w:p w:rsidRPr="001B5FB6" w:rsidR="00B306E6" w:rsidP="002C59A0" w:rsidRDefault="00B306E6"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B306E6" w:rsidP="002C59A0" w:rsidRDefault="00B306E6"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B306E6" w:rsidRDefault="001C49BB"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B306E6" w:rsidRDefault="00B306E6" w14:paraId="435693B3"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B306E6" w:rsidTr="00682222" w14:paraId="1E2FF18B" w14:textId="77777777">
      <w:trPr>
        <w:trHeight w:val="141"/>
      </w:trPr>
      <w:tc>
        <w:tcPr>
          <w:tcW w:w="2404" w:type="dxa"/>
        </w:tcPr>
        <w:p w:rsidRPr="001B5FB6" w:rsidR="00B306E6" w:rsidP="00682222" w:rsidRDefault="00B306E6"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1B2767" w:rsidR="00B306E6" w:rsidP="00682222" w:rsidRDefault="00B306E6" w14:paraId="503BB8DE" w14:textId="6992ECD5">
          <w:pPr>
            <w:tabs>
              <w:tab w:val="right" w:pos="8838"/>
            </w:tabs>
            <w:ind w:left="-28" w:right="454"/>
            <w:rPr>
              <w:rFonts w:eastAsia="Calibri" w:cs="Tahoma"/>
            </w:rPr>
          </w:pPr>
          <w:r w:rsidRPr="001B2767">
            <w:rPr>
              <w:rFonts w:eastAsia="Calibri" w:cs="Tahoma"/>
              <w:bCs/>
              <w:lang w:val="es-MX"/>
            </w:rPr>
            <w:t>00806/INFOEM/IP/RR/2022</w:t>
          </w:r>
        </w:p>
      </w:tc>
    </w:tr>
    <w:tr w:rsidR="00B306E6" w:rsidTr="00682222" w14:paraId="110906AA" w14:textId="77777777">
      <w:trPr>
        <w:trHeight w:val="276"/>
      </w:trPr>
      <w:tc>
        <w:tcPr>
          <w:tcW w:w="2404" w:type="dxa"/>
        </w:tcPr>
        <w:p w:rsidRPr="001B5FB6" w:rsidR="00B306E6" w:rsidP="002C59A0" w:rsidRDefault="00B306E6"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B306E6" w:rsidP="00682222" w:rsidRDefault="00B306E6" w14:paraId="5C93113C" w14:textId="27DDAD9B">
          <w:pPr>
            <w:tabs>
              <w:tab w:val="right" w:pos="8838"/>
            </w:tabs>
            <w:ind w:right="454"/>
            <w:rPr>
              <w:rFonts w:eastAsia="Calibri" w:cs="Tahoma"/>
              <w:lang w:val="es-MX"/>
            </w:rPr>
          </w:pPr>
          <w:r w:rsidRPr="001B2767">
            <w:rPr>
              <w:rFonts w:eastAsia="Calibri" w:cs="Tahoma"/>
              <w:bCs/>
              <w:lang w:val="es-MX"/>
            </w:rPr>
            <w:t>Instituto de Salud del Estado de México</w:t>
          </w:r>
        </w:p>
      </w:tc>
    </w:tr>
    <w:tr w:rsidR="00B306E6" w:rsidTr="00682222" w14:paraId="065F2043" w14:textId="77777777">
      <w:trPr>
        <w:trHeight w:val="276"/>
      </w:trPr>
      <w:tc>
        <w:tcPr>
          <w:tcW w:w="2404" w:type="dxa"/>
        </w:tcPr>
        <w:p w:rsidRPr="001B5FB6" w:rsidR="00B306E6" w:rsidP="002C59A0" w:rsidRDefault="00B306E6"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B306E6" w:rsidP="00682222" w:rsidRDefault="00B306E6"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B306E6" w:rsidRDefault="001C49BB"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B306E6" w:rsidTr="056EC04B" w14:paraId="5D26797B" w14:textId="77777777">
      <w:trPr>
        <w:trHeight w:val="1546"/>
      </w:trPr>
      <w:tc>
        <w:tcPr>
          <w:tcW w:w="2127" w:type="dxa"/>
          <w:shd w:val="clear" w:color="auto" w:fill="auto"/>
          <w:tcMar/>
        </w:tcPr>
        <w:p w:rsidRPr="005C106F" w:rsidR="00B306E6" w:rsidP="002C59A0" w:rsidRDefault="00B306E6"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B306E6" w:rsidTr="056EC04B" w14:paraId="5CB74832" w14:textId="77777777">
            <w:trPr>
              <w:trHeight w:val="141"/>
            </w:trPr>
            <w:tc>
              <w:tcPr>
                <w:tcW w:w="2404" w:type="dxa"/>
                <w:tcMar/>
                <w:vAlign w:val="bottom"/>
              </w:tcPr>
              <w:p w:rsidRPr="001B5FB6" w:rsidR="00B306E6" w:rsidP="002C59A0" w:rsidRDefault="00B306E6"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B306E6" w:rsidP="002C59A0" w:rsidRDefault="00B306E6" w14:paraId="0749605A" w14:textId="77777777">
                <w:pPr>
                  <w:tabs>
                    <w:tab w:val="right" w:pos="8838"/>
                  </w:tabs>
                  <w:ind w:left="-28" w:right="-107"/>
                  <w:rPr>
                    <w:rFonts w:eastAsia="Calibri" w:cs="Tahoma"/>
                    <w:lang w:val="es-MX"/>
                  </w:rPr>
                </w:pPr>
              </w:p>
              <w:p w:rsidRPr="001B2767" w:rsidR="00B306E6" w:rsidP="002C59A0" w:rsidRDefault="00B306E6" w14:paraId="25021A4A" w14:textId="5B137FD2">
                <w:pPr>
                  <w:tabs>
                    <w:tab w:val="right" w:pos="8838"/>
                  </w:tabs>
                  <w:ind w:left="-28" w:right="-107"/>
                  <w:rPr>
                    <w:rFonts w:eastAsia="Calibri" w:cs="Tahoma"/>
                  </w:rPr>
                </w:pPr>
                <w:r w:rsidRPr="001B2767">
                  <w:rPr>
                    <w:rFonts w:eastAsia="Calibri" w:cs="Tahoma"/>
                    <w:bCs/>
                    <w:lang w:val="es-MX"/>
                  </w:rPr>
                  <w:t>00806/INFOEM/IP/RR/2022</w:t>
                </w:r>
              </w:p>
            </w:tc>
          </w:tr>
          <w:tr w:rsidR="00B306E6" w:rsidTr="056EC04B" w14:paraId="65D6C982" w14:textId="77777777">
            <w:trPr>
              <w:trHeight w:val="141"/>
            </w:trPr>
            <w:tc>
              <w:tcPr>
                <w:tcW w:w="2404" w:type="dxa"/>
                <w:tcMar/>
              </w:tcPr>
              <w:p w:rsidRPr="001B5FB6" w:rsidR="00B306E6" w:rsidP="002C59A0" w:rsidRDefault="00B306E6"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B306E6" w:rsidP="056EC04B" w:rsidRDefault="00B306E6" w14:paraId="4D5C37D5" w14:textId="60A9F921">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056EC04B" w:rsidR="056EC04B">
                  <w:rPr>
                    <w:rFonts w:eastAsia="Calibri" w:cs="Tahoma"/>
                    <w:highlight w:val="black"/>
                    <w:lang w:val="es-MX"/>
                  </w:rPr>
                  <w:t>XXXXXXXXXXXXXXXXXXX</w:t>
                </w:r>
              </w:p>
            </w:tc>
          </w:tr>
          <w:tr w:rsidR="00B306E6" w:rsidTr="056EC04B" w14:paraId="40A995EA" w14:textId="77777777">
            <w:trPr>
              <w:trHeight w:val="276"/>
            </w:trPr>
            <w:tc>
              <w:tcPr>
                <w:tcW w:w="2404" w:type="dxa"/>
                <w:tcMar/>
              </w:tcPr>
              <w:p w:rsidRPr="001B5FB6" w:rsidR="00B306E6" w:rsidP="002C59A0" w:rsidRDefault="00B306E6"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1B2767" w:rsidR="00B306E6" w:rsidP="001B2767" w:rsidRDefault="00B306E6" w14:paraId="433E1B49" w14:textId="256F20EC">
                <w:pPr>
                  <w:tabs>
                    <w:tab w:val="right" w:pos="8838"/>
                  </w:tabs>
                  <w:ind w:right="636"/>
                  <w:rPr>
                    <w:rFonts w:eastAsia="Calibri" w:cs="Tahoma"/>
                    <w:lang w:val="es-MX"/>
                  </w:rPr>
                </w:pPr>
                <w:r w:rsidRPr="001B2767">
                  <w:rPr>
                    <w:rFonts w:eastAsia="Calibri" w:cs="Tahoma"/>
                    <w:bCs/>
                    <w:lang w:val="es-MX"/>
                  </w:rPr>
                  <w:t>Instituto de Salud del Estado de México</w:t>
                </w:r>
              </w:p>
            </w:tc>
          </w:tr>
          <w:tr w:rsidR="00B306E6" w:rsidTr="056EC04B" w14:paraId="386AB112" w14:textId="77777777">
            <w:trPr>
              <w:trHeight w:val="276"/>
            </w:trPr>
            <w:tc>
              <w:tcPr>
                <w:tcW w:w="2404" w:type="dxa"/>
                <w:tcMar/>
              </w:tcPr>
              <w:p w:rsidRPr="001B5FB6" w:rsidR="00B306E6" w:rsidP="002C59A0" w:rsidRDefault="00B306E6"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B306E6" w:rsidP="002C59A0" w:rsidRDefault="00B306E6"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B306E6" w:rsidP="002C59A0" w:rsidRDefault="00B306E6" w14:paraId="7017D3D5" w14:textId="77777777">
          <w:pPr>
            <w:tabs>
              <w:tab w:val="right" w:pos="8838"/>
            </w:tabs>
            <w:ind w:left="-28"/>
            <w:rPr>
              <w:rFonts w:ascii="Arial" w:hAnsi="Arial" w:eastAsia="Calibri" w:cs="Arial"/>
              <w:b/>
            </w:rPr>
          </w:pPr>
        </w:p>
      </w:tc>
    </w:tr>
  </w:tbl>
  <w:p w:rsidR="00B306E6" w:rsidRDefault="001C49BB"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50B5795"/>
    <w:multiLevelType w:val="hybridMultilevel"/>
    <w:tmpl w:val="788E50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852FA3"/>
    <w:multiLevelType w:val="hybridMultilevel"/>
    <w:tmpl w:val="5C8E41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E1348F9"/>
    <w:multiLevelType w:val="hybridMultilevel"/>
    <w:tmpl w:val="75024B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40990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330014">
    <w:abstractNumId w:val="1"/>
  </w:num>
  <w:num w:numId="3" w16cid:durableId="87432373">
    <w:abstractNumId w:val="6"/>
  </w:num>
  <w:num w:numId="4" w16cid:durableId="1051151615">
    <w:abstractNumId w:val="9"/>
  </w:num>
  <w:num w:numId="5" w16cid:durableId="152139867">
    <w:abstractNumId w:val="17"/>
  </w:num>
  <w:num w:numId="6" w16cid:durableId="1305433763">
    <w:abstractNumId w:val="14"/>
  </w:num>
  <w:num w:numId="7" w16cid:durableId="1920598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1122">
    <w:abstractNumId w:val="2"/>
  </w:num>
  <w:num w:numId="9" w16cid:durableId="382563272">
    <w:abstractNumId w:val="22"/>
  </w:num>
  <w:num w:numId="10" w16cid:durableId="117726683">
    <w:abstractNumId w:val="3"/>
  </w:num>
  <w:num w:numId="11" w16cid:durableId="494951558">
    <w:abstractNumId w:val="13"/>
  </w:num>
  <w:num w:numId="12" w16cid:durableId="651521520">
    <w:abstractNumId w:val="11"/>
  </w:num>
  <w:num w:numId="13" w16cid:durableId="76750377">
    <w:abstractNumId w:val="23"/>
  </w:num>
  <w:num w:numId="14" w16cid:durableId="1985238043">
    <w:abstractNumId w:val="16"/>
  </w:num>
  <w:num w:numId="15" w16cid:durableId="1298337975">
    <w:abstractNumId w:val="12"/>
  </w:num>
  <w:num w:numId="16" w16cid:durableId="1037315932">
    <w:abstractNumId w:val="19"/>
  </w:num>
  <w:num w:numId="17" w16cid:durableId="1846556804">
    <w:abstractNumId w:val="10"/>
  </w:num>
  <w:num w:numId="18" w16cid:durableId="502009354">
    <w:abstractNumId w:val="20"/>
  </w:num>
  <w:num w:numId="19" w16cid:durableId="372270824">
    <w:abstractNumId w:val="7"/>
  </w:num>
  <w:num w:numId="20" w16cid:durableId="449740118">
    <w:abstractNumId w:val="0"/>
  </w:num>
  <w:num w:numId="21" w16cid:durableId="1306010479">
    <w:abstractNumId w:val="18"/>
  </w:num>
  <w:num w:numId="22" w16cid:durableId="1108890691">
    <w:abstractNumId w:val="8"/>
  </w:num>
  <w:num w:numId="23" w16cid:durableId="1887181652">
    <w:abstractNumId w:val="5"/>
  </w:num>
  <w:num w:numId="24" w16cid:durableId="1451247246">
    <w:abstractNumId w:val="4"/>
  </w:num>
  <w:num w:numId="25" w16cid:durableId="1838375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2722"/>
    <w:rsid w:val="0001499A"/>
    <w:rsid w:val="00017D8C"/>
    <w:rsid w:val="000223B0"/>
    <w:rsid w:val="00027FA3"/>
    <w:rsid w:val="00030561"/>
    <w:rsid w:val="00030569"/>
    <w:rsid w:val="00046C4A"/>
    <w:rsid w:val="000477C6"/>
    <w:rsid w:val="00052A57"/>
    <w:rsid w:val="00056476"/>
    <w:rsid w:val="00062AAC"/>
    <w:rsid w:val="00062C8B"/>
    <w:rsid w:val="0006653A"/>
    <w:rsid w:val="000705A9"/>
    <w:rsid w:val="00076C3E"/>
    <w:rsid w:val="00081145"/>
    <w:rsid w:val="000939CD"/>
    <w:rsid w:val="00096694"/>
    <w:rsid w:val="000A2588"/>
    <w:rsid w:val="000A259F"/>
    <w:rsid w:val="000A61A2"/>
    <w:rsid w:val="000A785D"/>
    <w:rsid w:val="000B0EAF"/>
    <w:rsid w:val="000B7029"/>
    <w:rsid w:val="000C715C"/>
    <w:rsid w:val="000D1655"/>
    <w:rsid w:val="000D1A72"/>
    <w:rsid w:val="000D2522"/>
    <w:rsid w:val="000D45D9"/>
    <w:rsid w:val="000D4C04"/>
    <w:rsid w:val="000D59F5"/>
    <w:rsid w:val="000D69EB"/>
    <w:rsid w:val="000D6DCB"/>
    <w:rsid w:val="000D6E68"/>
    <w:rsid w:val="000D73F7"/>
    <w:rsid w:val="000E027A"/>
    <w:rsid w:val="000E28E6"/>
    <w:rsid w:val="000E4E10"/>
    <w:rsid w:val="000F1C5D"/>
    <w:rsid w:val="000F2A9A"/>
    <w:rsid w:val="000F3403"/>
    <w:rsid w:val="000F45A1"/>
    <w:rsid w:val="000F6402"/>
    <w:rsid w:val="001004CE"/>
    <w:rsid w:val="00100EB3"/>
    <w:rsid w:val="0010232F"/>
    <w:rsid w:val="0010413E"/>
    <w:rsid w:val="001059E3"/>
    <w:rsid w:val="00105EF9"/>
    <w:rsid w:val="001105F1"/>
    <w:rsid w:val="00115309"/>
    <w:rsid w:val="001202DE"/>
    <w:rsid w:val="00134C39"/>
    <w:rsid w:val="00136A1C"/>
    <w:rsid w:val="00137156"/>
    <w:rsid w:val="00142455"/>
    <w:rsid w:val="00146731"/>
    <w:rsid w:val="0014777B"/>
    <w:rsid w:val="001601CC"/>
    <w:rsid w:val="00161E74"/>
    <w:rsid w:val="00164599"/>
    <w:rsid w:val="001675D9"/>
    <w:rsid w:val="0017427D"/>
    <w:rsid w:val="0017444B"/>
    <w:rsid w:val="00174F57"/>
    <w:rsid w:val="00175572"/>
    <w:rsid w:val="001774F5"/>
    <w:rsid w:val="00180003"/>
    <w:rsid w:val="001830BC"/>
    <w:rsid w:val="001900B4"/>
    <w:rsid w:val="00190EBA"/>
    <w:rsid w:val="001935D3"/>
    <w:rsid w:val="00194DD1"/>
    <w:rsid w:val="0019678D"/>
    <w:rsid w:val="001A641F"/>
    <w:rsid w:val="001B16EC"/>
    <w:rsid w:val="001B2767"/>
    <w:rsid w:val="001B3B40"/>
    <w:rsid w:val="001B77BD"/>
    <w:rsid w:val="001C1007"/>
    <w:rsid w:val="001C3C7E"/>
    <w:rsid w:val="001C3D02"/>
    <w:rsid w:val="001C49BB"/>
    <w:rsid w:val="001C6764"/>
    <w:rsid w:val="001D02DD"/>
    <w:rsid w:val="001D37BB"/>
    <w:rsid w:val="001E386E"/>
    <w:rsid w:val="001E6D1F"/>
    <w:rsid w:val="001F7C51"/>
    <w:rsid w:val="00204AF1"/>
    <w:rsid w:val="002111A8"/>
    <w:rsid w:val="00213776"/>
    <w:rsid w:val="00220583"/>
    <w:rsid w:val="0022261D"/>
    <w:rsid w:val="00235BA0"/>
    <w:rsid w:val="002402DE"/>
    <w:rsid w:val="002409B4"/>
    <w:rsid w:val="002419E9"/>
    <w:rsid w:val="0024313A"/>
    <w:rsid w:val="00252EF3"/>
    <w:rsid w:val="0025433F"/>
    <w:rsid w:val="002557A7"/>
    <w:rsid w:val="00257F3B"/>
    <w:rsid w:val="00260AAA"/>
    <w:rsid w:val="00261807"/>
    <w:rsid w:val="00261BED"/>
    <w:rsid w:val="002634E5"/>
    <w:rsid w:val="00265BC6"/>
    <w:rsid w:val="002718A0"/>
    <w:rsid w:val="00271D9C"/>
    <w:rsid w:val="00272886"/>
    <w:rsid w:val="00273E3B"/>
    <w:rsid w:val="0028305A"/>
    <w:rsid w:val="00293FCE"/>
    <w:rsid w:val="00296E2A"/>
    <w:rsid w:val="002B3565"/>
    <w:rsid w:val="002B3FDA"/>
    <w:rsid w:val="002B54AE"/>
    <w:rsid w:val="002C2E3F"/>
    <w:rsid w:val="002C514D"/>
    <w:rsid w:val="002C59A0"/>
    <w:rsid w:val="002C6390"/>
    <w:rsid w:val="002C7309"/>
    <w:rsid w:val="002D2E5D"/>
    <w:rsid w:val="002D42AC"/>
    <w:rsid w:val="002E0552"/>
    <w:rsid w:val="002E05D6"/>
    <w:rsid w:val="002E25E7"/>
    <w:rsid w:val="002E333F"/>
    <w:rsid w:val="002E33E8"/>
    <w:rsid w:val="002E5CED"/>
    <w:rsid w:val="00300286"/>
    <w:rsid w:val="00302EAC"/>
    <w:rsid w:val="00311288"/>
    <w:rsid w:val="003114A1"/>
    <w:rsid w:val="00311811"/>
    <w:rsid w:val="003160D6"/>
    <w:rsid w:val="00316C63"/>
    <w:rsid w:val="00320671"/>
    <w:rsid w:val="00320B93"/>
    <w:rsid w:val="003265A2"/>
    <w:rsid w:val="00331E99"/>
    <w:rsid w:val="00334B20"/>
    <w:rsid w:val="00336980"/>
    <w:rsid w:val="0034462A"/>
    <w:rsid w:val="00345528"/>
    <w:rsid w:val="00350D55"/>
    <w:rsid w:val="003537E3"/>
    <w:rsid w:val="00355553"/>
    <w:rsid w:val="00360690"/>
    <w:rsid w:val="00362DE2"/>
    <w:rsid w:val="00363046"/>
    <w:rsid w:val="003647F7"/>
    <w:rsid w:val="00365075"/>
    <w:rsid w:val="00371DAE"/>
    <w:rsid w:val="00372BAB"/>
    <w:rsid w:val="00376559"/>
    <w:rsid w:val="00380368"/>
    <w:rsid w:val="00381FDE"/>
    <w:rsid w:val="00384A4A"/>
    <w:rsid w:val="0038779D"/>
    <w:rsid w:val="003936D2"/>
    <w:rsid w:val="003955C4"/>
    <w:rsid w:val="003975AD"/>
    <w:rsid w:val="00397660"/>
    <w:rsid w:val="003A08A2"/>
    <w:rsid w:val="003A1B84"/>
    <w:rsid w:val="003B0BA2"/>
    <w:rsid w:val="003B46DC"/>
    <w:rsid w:val="003B57DA"/>
    <w:rsid w:val="003B7322"/>
    <w:rsid w:val="003C2ED7"/>
    <w:rsid w:val="003C470A"/>
    <w:rsid w:val="003C5B59"/>
    <w:rsid w:val="003D15D4"/>
    <w:rsid w:val="003D30B4"/>
    <w:rsid w:val="003D4A58"/>
    <w:rsid w:val="003D7ED4"/>
    <w:rsid w:val="003E2FB0"/>
    <w:rsid w:val="003E6425"/>
    <w:rsid w:val="003E7060"/>
    <w:rsid w:val="003F0CE1"/>
    <w:rsid w:val="003F0E14"/>
    <w:rsid w:val="003F0F63"/>
    <w:rsid w:val="004059D0"/>
    <w:rsid w:val="00406A48"/>
    <w:rsid w:val="004122A9"/>
    <w:rsid w:val="00415A15"/>
    <w:rsid w:val="00417EED"/>
    <w:rsid w:val="0042422A"/>
    <w:rsid w:val="00425CB1"/>
    <w:rsid w:val="00430B0D"/>
    <w:rsid w:val="00433CAA"/>
    <w:rsid w:val="00450E6E"/>
    <w:rsid w:val="00452038"/>
    <w:rsid w:val="004542DC"/>
    <w:rsid w:val="004548CD"/>
    <w:rsid w:val="00455BCA"/>
    <w:rsid w:val="00455DA5"/>
    <w:rsid w:val="00460EAD"/>
    <w:rsid w:val="00462A63"/>
    <w:rsid w:val="004633F1"/>
    <w:rsid w:val="00463A70"/>
    <w:rsid w:val="00464242"/>
    <w:rsid w:val="00465EC8"/>
    <w:rsid w:val="004673C4"/>
    <w:rsid w:val="00467751"/>
    <w:rsid w:val="00470A7A"/>
    <w:rsid w:val="00470AF6"/>
    <w:rsid w:val="00471A6E"/>
    <w:rsid w:val="00474538"/>
    <w:rsid w:val="00474E4C"/>
    <w:rsid w:val="00474F40"/>
    <w:rsid w:val="00476ED1"/>
    <w:rsid w:val="0048031D"/>
    <w:rsid w:val="004829B9"/>
    <w:rsid w:val="0048648B"/>
    <w:rsid w:val="0049061B"/>
    <w:rsid w:val="00491C3E"/>
    <w:rsid w:val="00494387"/>
    <w:rsid w:val="004949AC"/>
    <w:rsid w:val="00496426"/>
    <w:rsid w:val="004A1E88"/>
    <w:rsid w:val="004A27DB"/>
    <w:rsid w:val="004A528D"/>
    <w:rsid w:val="004B15BE"/>
    <w:rsid w:val="004B720F"/>
    <w:rsid w:val="004B726A"/>
    <w:rsid w:val="004C1B53"/>
    <w:rsid w:val="004C34C6"/>
    <w:rsid w:val="004C3C1A"/>
    <w:rsid w:val="004D2468"/>
    <w:rsid w:val="004D4220"/>
    <w:rsid w:val="004D66A3"/>
    <w:rsid w:val="004E1BF6"/>
    <w:rsid w:val="004E2875"/>
    <w:rsid w:val="004E5602"/>
    <w:rsid w:val="004E617D"/>
    <w:rsid w:val="004E6D06"/>
    <w:rsid w:val="004F4445"/>
    <w:rsid w:val="004F6003"/>
    <w:rsid w:val="004F662C"/>
    <w:rsid w:val="004F736C"/>
    <w:rsid w:val="004F7666"/>
    <w:rsid w:val="00506F24"/>
    <w:rsid w:val="00510768"/>
    <w:rsid w:val="00513F33"/>
    <w:rsid w:val="00515CA2"/>
    <w:rsid w:val="005162C3"/>
    <w:rsid w:val="00517B06"/>
    <w:rsid w:val="00520182"/>
    <w:rsid w:val="00522E25"/>
    <w:rsid w:val="00522F3F"/>
    <w:rsid w:val="005230CF"/>
    <w:rsid w:val="005277CB"/>
    <w:rsid w:val="00533C3F"/>
    <w:rsid w:val="00534853"/>
    <w:rsid w:val="00534932"/>
    <w:rsid w:val="0054028E"/>
    <w:rsid w:val="00540994"/>
    <w:rsid w:val="00550D10"/>
    <w:rsid w:val="00551230"/>
    <w:rsid w:val="005706CC"/>
    <w:rsid w:val="00571737"/>
    <w:rsid w:val="00572AAD"/>
    <w:rsid w:val="005747FF"/>
    <w:rsid w:val="00581915"/>
    <w:rsid w:val="00583138"/>
    <w:rsid w:val="005861E7"/>
    <w:rsid w:val="00587FE6"/>
    <w:rsid w:val="00593E62"/>
    <w:rsid w:val="0059473F"/>
    <w:rsid w:val="0059523B"/>
    <w:rsid w:val="00596883"/>
    <w:rsid w:val="005C40CA"/>
    <w:rsid w:val="005C6308"/>
    <w:rsid w:val="005C7219"/>
    <w:rsid w:val="005D2E05"/>
    <w:rsid w:val="005D3368"/>
    <w:rsid w:val="005E0A33"/>
    <w:rsid w:val="005E1AC0"/>
    <w:rsid w:val="005E3063"/>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31373"/>
    <w:rsid w:val="00631FD1"/>
    <w:rsid w:val="0063438C"/>
    <w:rsid w:val="00635177"/>
    <w:rsid w:val="0063599F"/>
    <w:rsid w:val="006441E1"/>
    <w:rsid w:val="00644838"/>
    <w:rsid w:val="00644CE6"/>
    <w:rsid w:val="006473A8"/>
    <w:rsid w:val="006507ED"/>
    <w:rsid w:val="006510F8"/>
    <w:rsid w:val="00660363"/>
    <w:rsid w:val="00660E60"/>
    <w:rsid w:val="006631C9"/>
    <w:rsid w:val="006642B4"/>
    <w:rsid w:val="006703A5"/>
    <w:rsid w:val="006733E5"/>
    <w:rsid w:val="00682222"/>
    <w:rsid w:val="00687641"/>
    <w:rsid w:val="006901C3"/>
    <w:rsid w:val="0069249E"/>
    <w:rsid w:val="00695E03"/>
    <w:rsid w:val="006A0781"/>
    <w:rsid w:val="006A0B45"/>
    <w:rsid w:val="006A240B"/>
    <w:rsid w:val="006A29AD"/>
    <w:rsid w:val="006A4247"/>
    <w:rsid w:val="006A4E8D"/>
    <w:rsid w:val="006B06CA"/>
    <w:rsid w:val="006B5B3E"/>
    <w:rsid w:val="006C03ED"/>
    <w:rsid w:val="006D1782"/>
    <w:rsid w:val="006D4AB9"/>
    <w:rsid w:val="006D6F5A"/>
    <w:rsid w:val="006E035D"/>
    <w:rsid w:val="006E0643"/>
    <w:rsid w:val="006E2C05"/>
    <w:rsid w:val="006E353E"/>
    <w:rsid w:val="006E5273"/>
    <w:rsid w:val="006F0508"/>
    <w:rsid w:val="006F21F2"/>
    <w:rsid w:val="006F3217"/>
    <w:rsid w:val="006F6104"/>
    <w:rsid w:val="00702C44"/>
    <w:rsid w:val="00706604"/>
    <w:rsid w:val="00712914"/>
    <w:rsid w:val="00721566"/>
    <w:rsid w:val="0072346D"/>
    <w:rsid w:val="00723CF2"/>
    <w:rsid w:val="00724A49"/>
    <w:rsid w:val="007268C8"/>
    <w:rsid w:val="00732599"/>
    <w:rsid w:val="007359A2"/>
    <w:rsid w:val="00740CD0"/>
    <w:rsid w:val="007430FE"/>
    <w:rsid w:val="00743A1D"/>
    <w:rsid w:val="00743B72"/>
    <w:rsid w:val="00744439"/>
    <w:rsid w:val="00745AEC"/>
    <w:rsid w:val="007474FF"/>
    <w:rsid w:val="00750797"/>
    <w:rsid w:val="0075242C"/>
    <w:rsid w:val="007550F6"/>
    <w:rsid w:val="0075605D"/>
    <w:rsid w:val="0076077F"/>
    <w:rsid w:val="00762999"/>
    <w:rsid w:val="007745CA"/>
    <w:rsid w:val="00781464"/>
    <w:rsid w:val="00782132"/>
    <w:rsid w:val="0079077D"/>
    <w:rsid w:val="00792748"/>
    <w:rsid w:val="007A0941"/>
    <w:rsid w:val="007A0978"/>
    <w:rsid w:val="007A098B"/>
    <w:rsid w:val="007A0D0B"/>
    <w:rsid w:val="007A35E9"/>
    <w:rsid w:val="007A5334"/>
    <w:rsid w:val="007A66D1"/>
    <w:rsid w:val="007B18F1"/>
    <w:rsid w:val="007C7F7D"/>
    <w:rsid w:val="007D42C2"/>
    <w:rsid w:val="007D779A"/>
    <w:rsid w:val="007D7AB9"/>
    <w:rsid w:val="007E2548"/>
    <w:rsid w:val="007E38E8"/>
    <w:rsid w:val="007E3A07"/>
    <w:rsid w:val="007E5D97"/>
    <w:rsid w:val="007E600B"/>
    <w:rsid w:val="007F06F2"/>
    <w:rsid w:val="007F400F"/>
    <w:rsid w:val="007F7D92"/>
    <w:rsid w:val="008006C4"/>
    <w:rsid w:val="00800FED"/>
    <w:rsid w:val="00804053"/>
    <w:rsid w:val="00804248"/>
    <w:rsid w:val="00810184"/>
    <w:rsid w:val="0081663D"/>
    <w:rsid w:val="00820C1B"/>
    <w:rsid w:val="00823130"/>
    <w:rsid w:val="0082578E"/>
    <w:rsid w:val="008262C2"/>
    <w:rsid w:val="00827B0C"/>
    <w:rsid w:val="00831B0F"/>
    <w:rsid w:val="00831EAC"/>
    <w:rsid w:val="00834A0C"/>
    <w:rsid w:val="00836F1F"/>
    <w:rsid w:val="00842168"/>
    <w:rsid w:val="00843AB9"/>
    <w:rsid w:val="00845AB7"/>
    <w:rsid w:val="008508E2"/>
    <w:rsid w:val="00850A5F"/>
    <w:rsid w:val="00852049"/>
    <w:rsid w:val="008538DF"/>
    <w:rsid w:val="00853ACB"/>
    <w:rsid w:val="00853F28"/>
    <w:rsid w:val="0085649B"/>
    <w:rsid w:val="00857F62"/>
    <w:rsid w:val="008644E3"/>
    <w:rsid w:val="008702B3"/>
    <w:rsid w:val="00880F6A"/>
    <w:rsid w:val="00884AD3"/>
    <w:rsid w:val="00892595"/>
    <w:rsid w:val="008934EE"/>
    <w:rsid w:val="008949CD"/>
    <w:rsid w:val="008977F6"/>
    <w:rsid w:val="00897AC3"/>
    <w:rsid w:val="00897D57"/>
    <w:rsid w:val="008A34BD"/>
    <w:rsid w:val="008A43BA"/>
    <w:rsid w:val="008B0792"/>
    <w:rsid w:val="008B2FFC"/>
    <w:rsid w:val="008B42C1"/>
    <w:rsid w:val="008B4F02"/>
    <w:rsid w:val="008B5B74"/>
    <w:rsid w:val="008C1062"/>
    <w:rsid w:val="008C4F3D"/>
    <w:rsid w:val="008C5A8C"/>
    <w:rsid w:val="008D1382"/>
    <w:rsid w:val="008D4F4A"/>
    <w:rsid w:val="008E3B00"/>
    <w:rsid w:val="008E702E"/>
    <w:rsid w:val="008F5FA0"/>
    <w:rsid w:val="008F619E"/>
    <w:rsid w:val="00904433"/>
    <w:rsid w:val="00911857"/>
    <w:rsid w:val="00912D87"/>
    <w:rsid w:val="009144C6"/>
    <w:rsid w:val="0091790E"/>
    <w:rsid w:val="009237C1"/>
    <w:rsid w:val="009264DB"/>
    <w:rsid w:val="00927AEA"/>
    <w:rsid w:val="0093192E"/>
    <w:rsid w:val="00931F8F"/>
    <w:rsid w:val="0093249D"/>
    <w:rsid w:val="009366D5"/>
    <w:rsid w:val="009402FE"/>
    <w:rsid w:val="009418D2"/>
    <w:rsid w:val="00942065"/>
    <w:rsid w:val="009430B1"/>
    <w:rsid w:val="00943E54"/>
    <w:rsid w:val="009508A6"/>
    <w:rsid w:val="00951B5E"/>
    <w:rsid w:val="00951F34"/>
    <w:rsid w:val="00961441"/>
    <w:rsid w:val="0096288F"/>
    <w:rsid w:val="00963588"/>
    <w:rsid w:val="00964F14"/>
    <w:rsid w:val="0097775B"/>
    <w:rsid w:val="00977D0A"/>
    <w:rsid w:val="009836A6"/>
    <w:rsid w:val="00993DF5"/>
    <w:rsid w:val="00993F22"/>
    <w:rsid w:val="009A57DD"/>
    <w:rsid w:val="009B2A82"/>
    <w:rsid w:val="009B31FE"/>
    <w:rsid w:val="009B3CF0"/>
    <w:rsid w:val="009B772D"/>
    <w:rsid w:val="009D6CD2"/>
    <w:rsid w:val="009D7F75"/>
    <w:rsid w:val="009E3B82"/>
    <w:rsid w:val="009E5AC3"/>
    <w:rsid w:val="009E6313"/>
    <w:rsid w:val="009F508D"/>
    <w:rsid w:val="00A0114C"/>
    <w:rsid w:val="00A05BA1"/>
    <w:rsid w:val="00A1044E"/>
    <w:rsid w:val="00A159E8"/>
    <w:rsid w:val="00A17DFE"/>
    <w:rsid w:val="00A22D36"/>
    <w:rsid w:val="00A26733"/>
    <w:rsid w:val="00A27233"/>
    <w:rsid w:val="00A330BB"/>
    <w:rsid w:val="00A3342E"/>
    <w:rsid w:val="00A4381A"/>
    <w:rsid w:val="00A46802"/>
    <w:rsid w:val="00A477DA"/>
    <w:rsid w:val="00A47DC9"/>
    <w:rsid w:val="00A50618"/>
    <w:rsid w:val="00A519CC"/>
    <w:rsid w:val="00A556D2"/>
    <w:rsid w:val="00A6477D"/>
    <w:rsid w:val="00A701D3"/>
    <w:rsid w:val="00A7345F"/>
    <w:rsid w:val="00A7585F"/>
    <w:rsid w:val="00A760F1"/>
    <w:rsid w:val="00A82B69"/>
    <w:rsid w:val="00A91D47"/>
    <w:rsid w:val="00A92676"/>
    <w:rsid w:val="00A944F4"/>
    <w:rsid w:val="00A958D5"/>
    <w:rsid w:val="00AA484B"/>
    <w:rsid w:val="00AA64FB"/>
    <w:rsid w:val="00AB0C45"/>
    <w:rsid w:val="00AC4743"/>
    <w:rsid w:val="00AC5758"/>
    <w:rsid w:val="00AC6254"/>
    <w:rsid w:val="00AD4CDA"/>
    <w:rsid w:val="00AD546F"/>
    <w:rsid w:val="00AD5B92"/>
    <w:rsid w:val="00AE1BEB"/>
    <w:rsid w:val="00AE29CA"/>
    <w:rsid w:val="00AE3AE5"/>
    <w:rsid w:val="00AE6E01"/>
    <w:rsid w:val="00AF5CDA"/>
    <w:rsid w:val="00B042A0"/>
    <w:rsid w:val="00B125A8"/>
    <w:rsid w:val="00B15379"/>
    <w:rsid w:val="00B20B03"/>
    <w:rsid w:val="00B25B74"/>
    <w:rsid w:val="00B265BF"/>
    <w:rsid w:val="00B306E6"/>
    <w:rsid w:val="00B30B2A"/>
    <w:rsid w:val="00B30D07"/>
    <w:rsid w:val="00B31157"/>
    <w:rsid w:val="00B332FC"/>
    <w:rsid w:val="00B33A5D"/>
    <w:rsid w:val="00B43451"/>
    <w:rsid w:val="00B50F7D"/>
    <w:rsid w:val="00B53C33"/>
    <w:rsid w:val="00B561F9"/>
    <w:rsid w:val="00B57547"/>
    <w:rsid w:val="00B57EC4"/>
    <w:rsid w:val="00B606C3"/>
    <w:rsid w:val="00B65640"/>
    <w:rsid w:val="00B70C84"/>
    <w:rsid w:val="00B8071B"/>
    <w:rsid w:val="00B808EE"/>
    <w:rsid w:val="00B81498"/>
    <w:rsid w:val="00B85DBE"/>
    <w:rsid w:val="00B9197E"/>
    <w:rsid w:val="00B935E7"/>
    <w:rsid w:val="00BA48D6"/>
    <w:rsid w:val="00BA62C4"/>
    <w:rsid w:val="00BA75B1"/>
    <w:rsid w:val="00BA7EC9"/>
    <w:rsid w:val="00BB1C7F"/>
    <w:rsid w:val="00BB672D"/>
    <w:rsid w:val="00BB6A7A"/>
    <w:rsid w:val="00BC012A"/>
    <w:rsid w:val="00BC2DAE"/>
    <w:rsid w:val="00BC336C"/>
    <w:rsid w:val="00BC3F9C"/>
    <w:rsid w:val="00BC6F77"/>
    <w:rsid w:val="00BC74E6"/>
    <w:rsid w:val="00BD35D9"/>
    <w:rsid w:val="00BD6BDC"/>
    <w:rsid w:val="00BE0C4E"/>
    <w:rsid w:val="00BE2A2E"/>
    <w:rsid w:val="00BF0782"/>
    <w:rsid w:val="00BF27F5"/>
    <w:rsid w:val="00BF548C"/>
    <w:rsid w:val="00BF7714"/>
    <w:rsid w:val="00C00FE4"/>
    <w:rsid w:val="00C04DBE"/>
    <w:rsid w:val="00C160F9"/>
    <w:rsid w:val="00C171B9"/>
    <w:rsid w:val="00C21871"/>
    <w:rsid w:val="00C21CEE"/>
    <w:rsid w:val="00C228A9"/>
    <w:rsid w:val="00C252B9"/>
    <w:rsid w:val="00C26F66"/>
    <w:rsid w:val="00C334F1"/>
    <w:rsid w:val="00C35A21"/>
    <w:rsid w:val="00C452FF"/>
    <w:rsid w:val="00C546C5"/>
    <w:rsid w:val="00C55413"/>
    <w:rsid w:val="00C660F2"/>
    <w:rsid w:val="00C72970"/>
    <w:rsid w:val="00C72F8C"/>
    <w:rsid w:val="00C74988"/>
    <w:rsid w:val="00C8255D"/>
    <w:rsid w:val="00C84C2B"/>
    <w:rsid w:val="00C853D1"/>
    <w:rsid w:val="00C8543C"/>
    <w:rsid w:val="00C85A96"/>
    <w:rsid w:val="00C8733D"/>
    <w:rsid w:val="00CA0C1D"/>
    <w:rsid w:val="00CA2F84"/>
    <w:rsid w:val="00CB2B7B"/>
    <w:rsid w:val="00CB509D"/>
    <w:rsid w:val="00CB5A9E"/>
    <w:rsid w:val="00CC117B"/>
    <w:rsid w:val="00CC12D9"/>
    <w:rsid w:val="00CC2EBD"/>
    <w:rsid w:val="00CC5561"/>
    <w:rsid w:val="00CC7111"/>
    <w:rsid w:val="00CC7EAC"/>
    <w:rsid w:val="00CD573E"/>
    <w:rsid w:val="00CF1FCE"/>
    <w:rsid w:val="00CF38E2"/>
    <w:rsid w:val="00CF5199"/>
    <w:rsid w:val="00CF7911"/>
    <w:rsid w:val="00D02413"/>
    <w:rsid w:val="00D04493"/>
    <w:rsid w:val="00D060B7"/>
    <w:rsid w:val="00D069DF"/>
    <w:rsid w:val="00D104DB"/>
    <w:rsid w:val="00D10BBE"/>
    <w:rsid w:val="00D114F9"/>
    <w:rsid w:val="00D11E84"/>
    <w:rsid w:val="00D121F9"/>
    <w:rsid w:val="00D15032"/>
    <w:rsid w:val="00D16932"/>
    <w:rsid w:val="00D16C0D"/>
    <w:rsid w:val="00D237F3"/>
    <w:rsid w:val="00D2535A"/>
    <w:rsid w:val="00D349C8"/>
    <w:rsid w:val="00D5012F"/>
    <w:rsid w:val="00D53A0C"/>
    <w:rsid w:val="00D553B2"/>
    <w:rsid w:val="00D603BF"/>
    <w:rsid w:val="00D62C6E"/>
    <w:rsid w:val="00D6407D"/>
    <w:rsid w:val="00D733EF"/>
    <w:rsid w:val="00D752D2"/>
    <w:rsid w:val="00D76975"/>
    <w:rsid w:val="00D772C9"/>
    <w:rsid w:val="00D77542"/>
    <w:rsid w:val="00D90E06"/>
    <w:rsid w:val="00D93EFD"/>
    <w:rsid w:val="00D94C0C"/>
    <w:rsid w:val="00D96220"/>
    <w:rsid w:val="00D96276"/>
    <w:rsid w:val="00DA3751"/>
    <w:rsid w:val="00DA7965"/>
    <w:rsid w:val="00DB10DD"/>
    <w:rsid w:val="00DB268E"/>
    <w:rsid w:val="00DB6D27"/>
    <w:rsid w:val="00DC6387"/>
    <w:rsid w:val="00DD116F"/>
    <w:rsid w:val="00DD2536"/>
    <w:rsid w:val="00DD5573"/>
    <w:rsid w:val="00DD6442"/>
    <w:rsid w:val="00DE11E1"/>
    <w:rsid w:val="00DE6290"/>
    <w:rsid w:val="00DF2DD7"/>
    <w:rsid w:val="00DF63B1"/>
    <w:rsid w:val="00DF7BD1"/>
    <w:rsid w:val="00E00CF7"/>
    <w:rsid w:val="00E010F7"/>
    <w:rsid w:val="00E02820"/>
    <w:rsid w:val="00E0369E"/>
    <w:rsid w:val="00E04D30"/>
    <w:rsid w:val="00E06552"/>
    <w:rsid w:val="00E160CE"/>
    <w:rsid w:val="00E176FE"/>
    <w:rsid w:val="00E240BC"/>
    <w:rsid w:val="00E25736"/>
    <w:rsid w:val="00E278F2"/>
    <w:rsid w:val="00E30E7E"/>
    <w:rsid w:val="00E317EA"/>
    <w:rsid w:val="00E32D11"/>
    <w:rsid w:val="00E33E03"/>
    <w:rsid w:val="00E378A7"/>
    <w:rsid w:val="00E41E5D"/>
    <w:rsid w:val="00E45953"/>
    <w:rsid w:val="00E46DA8"/>
    <w:rsid w:val="00E504EB"/>
    <w:rsid w:val="00E5473E"/>
    <w:rsid w:val="00E61E5E"/>
    <w:rsid w:val="00E82E16"/>
    <w:rsid w:val="00E8346C"/>
    <w:rsid w:val="00E83494"/>
    <w:rsid w:val="00E9186A"/>
    <w:rsid w:val="00E92B4A"/>
    <w:rsid w:val="00E93EDF"/>
    <w:rsid w:val="00E966F3"/>
    <w:rsid w:val="00E97929"/>
    <w:rsid w:val="00EA1004"/>
    <w:rsid w:val="00EA2CF6"/>
    <w:rsid w:val="00EB051B"/>
    <w:rsid w:val="00EB0AEA"/>
    <w:rsid w:val="00EB1E57"/>
    <w:rsid w:val="00EB43DB"/>
    <w:rsid w:val="00EB4A38"/>
    <w:rsid w:val="00EB5335"/>
    <w:rsid w:val="00EC01B9"/>
    <w:rsid w:val="00EC023F"/>
    <w:rsid w:val="00ED23EB"/>
    <w:rsid w:val="00EE23E5"/>
    <w:rsid w:val="00EE53C5"/>
    <w:rsid w:val="00EF0402"/>
    <w:rsid w:val="00EF0D39"/>
    <w:rsid w:val="00EF270A"/>
    <w:rsid w:val="00EF639E"/>
    <w:rsid w:val="00F03666"/>
    <w:rsid w:val="00F05DDC"/>
    <w:rsid w:val="00F060A2"/>
    <w:rsid w:val="00F1062E"/>
    <w:rsid w:val="00F121AE"/>
    <w:rsid w:val="00F35A10"/>
    <w:rsid w:val="00F4029B"/>
    <w:rsid w:val="00F44120"/>
    <w:rsid w:val="00F516F1"/>
    <w:rsid w:val="00F54246"/>
    <w:rsid w:val="00F55709"/>
    <w:rsid w:val="00F561D0"/>
    <w:rsid w:val="00F7369F"/>
    <w:rsid w:val="00F762D3"/>
    <w:rsid w:val="00F819CB"/>
    <w:rsid w:val="00F81A9B"/>
    <w:rsid w:val="00F821C8"/>
    <w:rsid w:val="00F926A0"/>
    <w:rsid w:val="00FA0B4C"/>
    <w:rsid w:val="00FA3952"/>
    <w:rsid w:val="00FA3C10"/>
    <w:rsid w:val="00FA5759"/>
    <w:rsid w:val="00FA74E9"/>
    <w:rsid w:val="00FC4CB0"/>
    <w:rsid w:val="00FC63A5"/>
    <w:rsid w:val="00FC6454"/>
    <w:rsid w:val="00FC6B3E"/>
    <w:rsid w:val="00FD1A44"/>
    <w:rsid w:val="00FE3038"/>
    <w:rsid w:val="00FE53FE"/>
    <w:rsid w:val="00FE5E84"/>
    <w:rsid w:val="00FE629E"/>
    <w:rsid w:val="00FF69E9"/>
    <w:rsid w:val="056EC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732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961441"/>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61441"/>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12189760">
      <w:bodyDiv w:val="1"/>
      <w:marLeft w:val="0"/>
      <w:marRight w:val="0"/>
      <w:marTop w:val="0"/>
      <w:marBottom w:val="0"/>
      <w:divBdr>
        <w:top w:val="none" w:sz="0" w:space="0" w:color="auto"/>
        <w:left w:val="none" w:sz="0" w:space="0" w:color="auto"/>
        <w:bottom w:val="none" w:sz="0" w:space="0" w:color="auto"/>
        <w:right w:val="none" w:sz="0" w:space="0" w:color="auto"/>
      </w:divBdr>
    </w:div>
    <w:div w:id="566259325">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2839">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92660">
      <w:bodyDiv w:val="1"/>
      <w:marLeft w:val="0"/>
      <w:marRight w:val="0"/>
      <w:marTop w:val="0"/>
      <w:marBottom w:val="0"/>
      <w:divBdr>
        <w:top w:val="none" w:sz="0" w:space="0" w:color="auto"/>
        <w:left w:val="none" w:sz="0" w:space="0" w:color="auto"/>
        <w:bottom w:val="none" w:sz="0" w:space="0" w:color="auto"/>
        <w:right w:val="none" w:sz="0" w:space="0" w:color="auto"/>
      </w:divBdr>
    </w:div>
    <w:div w:id="1470972224">
      <w:bodyDiv w:val="1"/>
      <w:marLeft w:val="0"/>
      <w:marRight w:val="0"/>
      <w:marTop w:val="0"/>
      <w:marBottom w:val="0"/>
      <w:divBdr>
        <w:top w:val="none" w:sz="0" w:space="0" w:color="auto"/>
        <w:left w:val="none" w:sz="0" w:space="0" w:color="auto"/>
        <w:bottom w:val="none" w:sz="0" w:space="0" w:color="auto"/>
        <w:right w:val="none" w:sz="0" w:space="0" w:color="auto"/>
      </w:divBdr>
    </w:div>
    <w:div w:id="1471904166">
      <w:bodyDiv w:val="1"/>
      <w:marLeft w:val="0"/>
      <w:marRight w:val="0"/>
      <w:marTop w:val="0"/>
      <w:marBottom w:val="0"/>
      <w:divBdr>
        <w:top w:val="none" w:sz="0" w:space="0" w:color="auto"/>
        <w:left w:val="none" w:sz="0" w:space="0" w:color="auto"/>
        <w:bottom w:val="none" w:sz="0" w:space="0" w:color="auto"/>
        <w:right w:val="none" w:sz="0" w:space="0" w:color="auto"/>
      </w:divBdr>
    </w:div>
    <w:div w:id="158757159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4302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image" Target="media/image3.png" Id="rId13" /><Relationship Type="http://schemas.openxmlformats.org/officeDocument/2006/relationships/image" Target="media/image7.tmp"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hyperlink" Target="https://www.ipomex.org.mx/ipo3/lgt/indice/ISEM/art_92_xxix_a.web" TargetMode="External" Id="rId12" /><Relationship Type="http://schemas.openxmlformats.org/officeDocument/2006/relationships/image" Target="media/image6.tmp"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image" Target="media/image5.tmp"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ipomex.org.mx/ipo3/lgt/indice/ISEM/art_92_xxix_b.web" TargetMode="External" Id="rId11" /><Relationship Type="http://schemas.openxmlformats.org/officeDocument/2006/relationships/footer" Target="footer3.xml" Id="rId24" /><Relationship Type="http://schemas.openxmlformats.org/officeDocument/2006/relationships/webSettings" Target="webSettings.xml" Id="rId5" /><Relationship Type="http://schemas.openxmlformats.org/officeDocument/2006/relationships/image" Target="media/image4.tmp" Id="rId15" /><Relationship Type="http://schemas.openxmlformats.org/officeDocument/2006/relationships/header" Target="header3.xml" Id="rId23" /><Relationship Type="http://schemas.openxmlformats.org/officeDocument/2006/relationships/hyperlink" Target="https://www.ipomex.org.mx/ipo3/lgt/indice/ISEM/art_92_xxix_a.web"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hyperlink" Target="https://www.ipomex.org.mx/ipo3/lgt/indice/ISEM/art_92_xxix_a.web" TargetMode="External" Id="rId14" /><Relationship Type="http://schemas.openxmlformats.org/officeDocument/2006/relationships/footer" Target="footer2.xml" Id="rId22" /><Relationship Type="http://schemas.openxmlformats.org/officeDocument/2006/relationships/glossaryDocument" Target="glossary/document.xml" Id="R511797ef35c240f7" /></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77cbb8-1d85-4a3b-98f0-af01550518c2}"/>
      </w:docPartPr>
      <w:docPartBody>
        <w:p w14:paraId="57816D9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2524-99E3-49A3-8618-8DA11017DC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2022-04-06T03:48:00.0000000Z</dcterms:created>
  <dcterms:modified xsi:type="dcterms:W3CDTF">2022-05-12T20:24:55.5625868Z</dcterms:modified>
</coreProperties>
</file>