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790B" w14:textId="1083154D" w:rsidR="006E2564" w:rsidRPr="006E2564" w:rsidRDefault="009B11D6" w:rsidP="006E2564">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w:t>
      </w:r>
      <w:r w:rsidR="006E2564" w:rsidRPr="006E2564">
        <w:rPr>
          <w:rFonts w:ascii="Palatino Linotype" w:hAnsi="Palatino Linotype"/>
          <w:color w:val="000000" w:themeColor="text1"/>
        </w:rPr>
        <w:t>de doce (12) de enero de dos mil veintidós.</w:t>
      </w:r>
    </w:p>
    <w:p w14:paraId="1181C59D" w14:textId="5E7E4254"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59FB8196"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7076C5">
        <w:rPr>
          <w:rFonts w:ascii="Palatino Linotype" w:hAnsi="Palatino Linotype"/>
          <w:b/>
          <w:bCs/>
          <w:color w:val="000000" w:themeColor="text1"/>
        </w:rPr>
        <w:t>05468/INFOEM/IP/RR/2021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78249C">
        <w:rPr>
          <w:rFonts w:ascii="Palatino Linotype" w:eastAsia="Times New Roman" w:hAnsi="Palatino Linotype" w:cs="Times New Roman"/>
          <w:color w:val="000000" w:themeColor="text1"/>
        </w:rPr>
        <w:t xml:space="preserve"> </w:t>
      </w:r>
      <w:r w:rsidR="000120D4">
        <w:rPr>
          <w:rFonts w:ascii="Palatino Linotype" w:eastAsia="Times New Roman" w:hAnsi="Palatino Linotype" w:cs="Times New Roman"/>
          <w:b/>
          <w:color w:val="000000" w:themeColor="text1"/>
        </w:rPr>
        <w:t>Xxxx</w:t>
      </w:r>
      <w:r w:rsidR="007076C5">
        <w:rPr>
          <w:rFonts w:ascii="Palatino Linotype" w:eastAsia="Times New Roman" w:hAnsi="Palatino Linotype" w:cs="Times New Roman"/>
          <w:color w:val="000000" w:themeColor="text1"/>
        </w:rPr>
        <w:t>, en adelante la</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7076C5">
        <w:rPr>
          <w:rFonts w:ascii="Palatino Linotype" w:eastAsia="Times New Roman" w:hAnsi="Palatino Linotype" w:cs="Arial"/>
          <w:b/>
          <w:color w:val="000000" w:themeColor="text1"/>
        </w:rPr>
        <w:t>Sistema de Agua Potable, Alcantarillado y Saneamiento de Ecatepec de Morelos</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77F45709"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85CB7">
        <w:rPr>
          <w:b/>
          <w:color w:val="000000" w:themeColor="text1"/>
        </w:rPr>
        <w:t>A</w:t>
      </w:r>
      <w:r w:rsidR="00C967DD">
        <w:rPr>
          <w:b/>
          <w:color w:val="000000" w:themeColor="text1"/>
        </w:rPr>
        <w:t xml:space="preserve"> </w:t>
      </w:r>
      <w:r w:rsidRPr="00A85CB7">
        <w:rPr>
          <w:b/>
          <w:color w:val="000000" w:themeColor="text1"/>
        </w:rPr>
        <w:t>N</w:t>
      </w:r>
      <w:r w:rsidR="00C967DD">
        <w:rPr>
          <w:b/>
          <w:color w:val="000000" w:themeColor="text1"/>
        </w:rPr>
        <w:t xml:space="preserve"> </w:t>
      </w:r>
      <w:r w:rsidRPr="00A85CB7">
        <w:rPr>
          <w:b/>
          <w:color w:val="000000" w:themeColor="text1"/>
        </w:rPr>
        <w:t>T</w:t>
      </w:r>
      <w:r w:rsidR="00C967DD">
        <w:rPr>
          <w:b/>
          <w:color w:val="000000" w:themeColor="text1"/>
        </w:rPr>
        <w:t xml:space="preserve"> </w:t>
      </w:r>
      <w:r w:rsidRPr="00A85CB7">
        <w:rPr>
          <w:b/>
          <w:color w:val="000000" w:themeColor="text1"/>
        </w:rPr>
        <w:t>E</w:t>
      </w:r>
      <w:r w:rsidR="00C967DD">
        <w:rPr>
          <w:b/>
          <w:color w:val="000000" w:themeColor="text1"/>
        </w:rPr>
        <w:t xml:space="preserve"> </w:t>
      </w:r>
      <w:r w:rsidRPr="00A85CB7">
        <w:rPr>
          <w:b/>
          <w:color w:val="000000" w:themeColor="text1"/>
        </w:rPr>
        <w:t>C</w:t>
      </w:r>
      <w:r w:rsidR="00C967DD">
        <w:rPr>
          <w:b/>
          <w:color w:val="000000" w:themeColor="text1"/>
        </w:rPr>
        <w:t xml:space="preserve"> </w:t>
      </w:r>
      <w:r w:rsidRPr="00A85CB7">
        <w:rPr>
          <w:b/>
          <w:color w:val="000000" w:themeColor="text1"/>
        </w:rPr>
        <w:t>E</w:t>
      </w:r>
      <w:r w:rsidR="00C967DD">
        <w:rPr>
          <w:b/>
          <w:color w:val="000000" w:themeColor="text1"/>
        </w:rPr>
        <w:t xml:space="preserve"> </w:t>
      </w:r>
      <w:r w:rsidRPr="00A85CB7">
        <w:rPr>
          <w:b/>
          <w:color w:val="000000" w:themeColor="text1"/>
        </w:rPr>
        <w:t>D</w:t>
      </w:r>
      <w:r w:rsidR="00C967DD">
        <w:rPr>
          <w:b/>
          <w:color w:val="000000" w:themeColor="text1"/>
        </w:rPr>
        <w:t xml:space="preserve"> </w:t>
      </w:r>
      <w:r w:rsidRPr="00A85CB7">
        <w:rPr>
          <w:b/>
          <w:color w:val="000000" w:themeColor="text1"/>
        </w:rPr>
        <w:t>E</w:t>
      </w:r>
      <w:r w:rsidR="00C967DD">
        <w:rPr>
          <w:b/>
          <w:color w:val="000000" w:themeColor="text1"/>
        </w:rPr>
        <w:t xml:space="preserve"> </w:t>
      </w:r>
      <w:r w:rsidRPr="00A85CB7">
        <w:rPr>
          <w:b/>
          <w:color w:val="000000" w:themeColor="text1"/>
        </w:rPr>
        <w:t>N</w:t>
      </w:r>
      <w:r w:rsidR="00C967DD">
        <w:rPr>
          <w:b/>
          <w:color w:val="000000" w:themeColor="text1"/>
        </w:rPr>
        <w:t xml:space="preserve"> </w:t>
      </w:r>
      <w:r w:rsidRPr="00A85CB7">
        <w:rPr>
          <w:b/>
          <w:color w:val="000000" w:themeColor="text1"/>
        </w:rPr>
        <w:t>T</w:t>
      </w:r>
      <w:r w:rsidR="00C967DD">
        <w:rPr>
          <w:b/>
          <w:color w:val="000000" w:themeColor="text1"/>
        </w:rPr>
        <w:t xml:space="preserve"> </w:t>
      </w:r>
      <w:r w:rsidRPr="00A85CB7">
        <w:rPr>
          <w:b/>
          <w:color w:val="000000" w:themeColor="text1"/>
        </w:rPr>
        <w:t>E</w:t>
      </w:r>
      <w:r w:rsidR="00C967DD">
        <w:rPr>
          <w:b/>
          <w:color w:val="000000" w:themeColor="text1"/>
        </w:rPr>
        <w:t xml:space="preserve"> </w:t>
      </w:r>
      <w:r w:rsidRPr="00A85CB7">
        <w:rPr>
          <w:b/>
          <w:color w:val="000000" w:themeColor="text1"/>
        </w:rPr>
        <w:t>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F932D84"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7076C5">
        <w:rPr>
          <w:rFonts w:ascii="Palatino Linotype" w:eastAsia="Calibri" w:hAnsi="Palatino Linotype" w:cs="Arial"/>
          <w:color w:val="000000" w:themeColor="text1"/>
          <w:lang w:val="es-ES"/>
        </w:rPr>
        <w:t>veintiuno (21) de octubre</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7076C5">
        <w:rPr>
          <w:rFonts w:ascii="Palatino Linotype" w:hAnsi="Palatino Linotype"/>
          <w:color w:val="000000" w:themeColor="text1"/>
        </w:rPr>
        <w:t>la</w:t>
      </w:r>
      <w:r w:rsidR="00B31E90">
        <w:rPr>
          <w:rFonts w:ascii="Palatino Linotype" w:hAnsi="Palatino Linotype"/>
          <w:color w:val="000000" w:themeColor="text1"/>
        </w:rPr>
        <w:t xml:space="preserve">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de</w:t>
      </w:r>
      <w:r w:rsidR="007076C5">
        <w:rPr>
          <w:rFonts w:ascii="Palatino Linotype" w:hAnsi="Palatino Linotype"/>
          <w:bCs/>
          <w:color w:val="000000" w:themeColor="text1"/>
        </w:rPr>
        <w:t xml:space="preserve"> </w:t>
      </w:r>
      <w:r w:rsidR="00DE4F75">
        <w:rPr>
          <w:rFonts w:ascii="Palatino Linotype" w:hAnsi="Palatino Linotype"/>
          <w:bCs/>
          <w:color w:val="000000" w:themeColor="text1"/>
        </w:rPr>
        <w:t>l</w:t>
      </w:r>
      <w:r w:rsidR="007076C5">
        <w:rPr>
          <w:rFonts w:ascii="Palatino Linotype" w:hAnsi="Palatino Linotype"/>
          <w:bCs/>
          <w:color w:val="000000" w:themeColor="text1"/>
        </w:rPr>
        <w:t>a Plataforma Nacional de Transparencia (PNT), vinculada al</w:t>
      </w:r>
      <w:r w:rsidR="00DE4F75">
        <w:rPr>
          <w:rFonts w:ascii="Palatino Linotype" w:hAnsi="Palatino Linotype"/>
          <w:bCs/>
          <w:color w:val="000000" w:themeColor="text1"/>
        </w:rPr>
        <w:t xml:space="preserve">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7076C5">
        <w:rPr>
          <w:rFonts w:ascii="Palatino Linotype" w:eastAsia="Calibri" w:hAnsi="Palatino Linotype" w:cs="Arial"/>
          <w:bCs/>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7076C5">
        <w:rPr>
          <w:rFonts w:ascii="Palatino Linotype" w:hAnsi="Palatino Linotype"/>
          <w:b/>
          <w:bCs/>
          <w:color w:val="000000" w:themeColor="text1"/>
        </w:rPr>
        <w:t>00053/OASECATEPE/IP/2021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6024B22"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7076C5" w:rsidRPr="007076C5">
        <w:rPr>
          <w:rFonts w:ascii="Palatino Linotype" w:hAnsi="Palatino Linotype"/>
          <w:i/>
          <w:iCs/>
          <w:color w:val="000000" w:themeColor="text1"/>
          <w:sz w:val="22"/>
          <w:szCs w:val="22"/>
        </w:rPr>
        <w:t>Solicito la Manifestación de Impacto Ambiental (MIA) o documento que se haya generado por la autoridad ambiental correspondiente sobre la construcción del pozo de Agua "Emiliano Zapata" en Ecatepec de Morelos, así como las medidas de mitigación por el daño ambiental y las compensaciones que hayan sido solicitadas en la mencionada Manifestación</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1FF512F6"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lastRenderedPageBreak/>
        <w:t xml:space="preserve">Se hace constar que </w:t>
      </w:r>
      <w:r w:rsidR="00025127" w:rsidRPr="00A85CB7">
        <w:rPr>
          <w:rFonts w:ascii="Palatino Linotype" w:eastAsia="Times New Roman" w:hAnsi="Palatino Linotype" w:cs="Arial"/>
          <w:color w:val="000000" w:themeColor="text1"/>
          <w:lang w:val="es-ES"/>
        </w:rPr>
        <w:t>l</w:t>
      </w:r>
      <w:r w:rsidR="007076C5">
        <w:rPr>
          <w:rFonts w:ascii="Palatino Linotype" w:eastAsia="Times New Roman" w:hAnsi="Palatino Linotype" w:cs="Arial"/>
          <w:color w:val="000000" w:themeColor="text1"/>
          <w:lang w:val="es-ES"/>
        </w:rPr>
        <w:t>a</w:t>
      </w:r>
      <w:r w:rsidR="00025127" w:rsidRPr="00A85CB7">
        <w:rPr>
          <w:rFonts w:ascii="Palatino Linotype" w:eastAsia="Times New Roman" w:hAnsi="Palatino Linotype" w:cs="Arial"/>
          <w:color w:val="000000" w:themeColor="text1"/>
          <w:lang w:val="es-ES"/>
        </w:rPr>
        <w:t xml:space="preserve">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w:t>
      </w:r>
      <w:r w:rsidR="007076C5">
        <w:rPr>
          <w:rFonts w:ascii="Palatino Linotype" w:eastAsia="Times New Roman" w:hAnsi="Palatino Linotype" w:cs="Arial"/>
          <w:color w:val="000000" w:themeColor="text1"/>
          <w:lang w:val="es-ES"/>
        </w:rPr>
        <w:t>no señaló</w:t>
      </w:r>
      <w:r w:rsidRPr="00A85CB7">
        <w:rPr>
          <w:rFonts w:ascii="Palatino Linotype" w:eastAsia="Times New Roman" w:hAnsi="Palatino Linotype" w:cs="Arial"/>
          <w:color w:val="000000" w:themeColor="text1"/>
          <w:lang w:val="es-ES"/>
        </w:rPr>
        <w:t xml:space="preserve">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7076C5" w:rsidRPr="007076C5">
        <w:rPr>
          <w:rFonts w:ascii="Palatino Linotype" w:eastAsia="Calibri" w:hAnsi="Palatino Linotype" w:cs="Arial"/>
          <w:b/>
          <w:i/>
          <w:color w:val="000000" w:themeColor="text1"/>
          <w:lang w:val="es-AR"/>
        </w:rPr>
        <w:t xml:space="preserve"> </w:t>
      </w:r>
      <w:r w:rsidR="007076C5" w:rsidRPr="007076C5">
        <w:rPr>
          <w:rFonts w:ascii="Palatino Linotype" w:eastAsia="Calibri" w:hAnsi="Palatino Linotype" w:cs="Arial"/>
          <w:color w:val="000000" w:themeColor="text1"/>
          <w:lang w:val="es-AR"/>
        </w:rPr>
        <w:t>y</w:t>
      </w:r>
      <w:r w:rsidR="007076C5" w:rsidRPr="007076C5">
        <w:rPr>
          <w:rFonts w:ascii="Palatino Linotype" w:eastAsia="Calibri" w:hAnsi="Palatino Linotype" w:cs="Arial"/>
          <w:b/>
          <w:i/>
          <w:color w:val="000000" w:themeColor="text1"/>
          <w:lang w:val="es-AR"/>
        </w:rPr>
        <w:t xml:space="preserve"> correo electrónico.</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4599AC6C"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7076C5">
        <w:rPr>
          <w:rFonts w:ascii="Palatino Linotype" w:eastAsia="MS Mincho" w:hAnsi="Palatino Linotype" w:cs="Times New Roman"/>
          <w:color w:val="000000" w:themeColor="text1"/>
        </w:rPr>
        <w:t>cuatro (04) de noviembre</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w:t>
      </w:r>
      <w:r w:rsidR="007076C5">
        <w:rPr>
          <w:rFonts w:ascii="Palatino Linotype" w:hAnsi="Palatino Linotype"/>
          <w:color w:val="000000" w:themeColor="text1"/>
          <w:szCs w:val="14"/>
        </w:rPr>
        <w:t xml:space="preserve">dio respuesta a la solicitud de información </w:t>
      </w:r>
      <w:r w:rsidR="007076C5">
        <w:rPr>
          <w:rFonts w:ascii="Palatino Linotype" w:hAnsi="Palatino Linotype"/>
          <w:b/>
          <w:color w:val="000000" w:themeColor="text1"/>
          <w:szCs w:val="14"/>
        </w:rPr>
        <w:t>00053/OASECATEPE/IP/2021</w:t>
      </w:r>
      <w:r w:rsidR="007076C5">
        <w:rPr>
          <w:rFonts w:ascii="Palatino Linotype" w:hAnsi="Palatino Linotype"/>
          <w:color w:val="000000" w:themeColor="text1"/>
          <w:szCs w:val="14"/>
        </w:rPr>
        <w:t xml:space="preserve"> en los siguientes términos</w:t>
      </w:r>
      <w:r w:rsidR="005F1362" w:rsidRPr="00022D89">
        <w:rPr>
          <w:rFonts w:ascii="Palatino Linotype" w:hAnsi="Palatino Linotype"/>
          <w:color w:val="000000" w:themeColor="text1"/>
          <w:szCs w:val="14"/>
        </w:rPr>
        <w:t>:</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287014C1" w14:textId="77777777" w:rsidR="007076C5" w:rsidRPr="007076C5" w:rsidRDefault="005F1362" w:rsidP="007076C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7076C5" w:rsidRPr="007076C5">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A11B6A" w14:textId="77777777" w:rsidR="007076C5" w:rsidRDefault="007076C5" w:rsidP="007076C5">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ED90947" w14:textId="77777777" w:rsidR="007076C5" w:rsidRPr="007076C5" w:rsidRDefault="007076C5" w:rsidP="007076C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076C5">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 De conformidad con el artículo 6º fracción II, 8º y 16º párrafo primero de la constitución política de los Estados Unidos Mexicanos; el artículos 4º y 5º de la constitución del Estado Libre y soberano de México; artículo 5, 31 fracción IV de la Ley Orgánica Municipal, articulo 37, 38 de la Ley del Agua para el Estado de México y Municipios, artículo 1.41 del Código Administrativo del Estado de México, artículos 3 fracción XLIV, 12, segundo párrafo, 15, 16, 23, fracción IV, 24 fracción VIII, 50, 51, 52, 53 fracciones II, III, IV, V de la Ley de Transparencia y Acceso a la Información Pública del Estado de México y Municipios, referente a su solicitud de información con número 00053/OASECATEPE/IP/2021; relativo a su petición de información en la que a la letra dice: Solicito la Manifestación de Impacto Ambiental (MIA) o documento que se haya generado por la autoridad ambiental correspondiente sobre la construcción del pozo de Agua "Emiliano Zapata" en Ecatepec de Morelos, así como las medidas de mitigación por el daño ambiental y las compensaciones que hayan sido solicitadas en la mencionada Manifestación…(Sic) Por lo anterior me permito remitir a usted un archivo PDF en el cual encontrara la respuesta a su solicitud, proporcionada por la Dirección Técnica de Construccion, operación y Mantenimiento del O.P.D. S.A.P.A.S.E. Sin más por el momento, quedo de usted esperando que le sea de utilidad dicha información.</w:t>
      </w:r>
    </w:p>
    <w:p w14:paraId="3DA57279" w14:textId="77777777" w:rsidR="007076C5" w:rsidRDefault="007076C5" w:rsidP="007076C5">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745C87B" w14:textId="77777777" w:rsidR="007076C5" w:rsidRPr="007076C5" w:rsidRDefault="007076C5" w:rsidP="007076C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076C5">
        <w:rPr>
          <w:rFonts w:ascii="Palatino Linotype" w:hAnsi="Palatino Linotype"/>
          <w:i/>
          <w:noProof/>
          <w:color w:val="000000" w:themeColor="text1"/>
          <w:sz w:val="22"/>
          <w:szCs w:val="22"/>
          <w:lang w:val="es-MX" w:eastAsia="es-MX"/>
        </w:rPr>
        <w:lastRenderedPageBreak/>
        <w:t>ATENTAMENTE</w:t>
      </w:r>
    </w:p>
    <w:p w14:paraId="35A36DE0" w14:textId="6B28C882" w:rsidR="0039142B" w:rsidRPr="009A593A" w:rsidRDefault="007076C5" w:rsidP="007076C5">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7076C5">
        <w:rPr>
          <w:rFonts w:ascii="Palatino Linotype" w:hAnsi="Palatino Linotype"/>
          <w:i/>
          <w:noProof/>
          <w:color w:val="000000" w:themeColor="text1"/>
          <w:sz w:val="22"/>
          <w:szCs w:val="22"/>
          <w:lang w:val="es-MX" w:eastAsia="es-MX"/>
        </w:rPr>
        <w:t>C. CARLOS ENRIQUE MONTIEL SERVÍN</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1CD60DCB"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al acuse de </w:t>
      </w:r>
      <w:r w:rsidR="007076C5">
        <w:rPr>
          <w:rFonts w:ascii="Palatino Linotype" w:hAnsi="Palatino Linotype"/>
          <w:color w:val="000000" w:themeColor="text1"/>
          <w:szCs w:val="22"/>
        </w:rPr>
        <w:t>respuesta</w:t>
      </w:r>
      <w:r>
        <w:rPr>
          <w:rFonts w:ascii="Palatino Linotype" w:hAnsi="Palatino Linotype"/>
          <w:color w:val="000000" w:themeColor="text1"/>
          <w:szCs w:val="22"/>
        </w:rPr>
        <w:t xml:space="preserve">,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w:t>
      </w:r>
      <w:r w:rsidR="007076C5">
        <w:rPr>
          <w:rFonts w:ascii="Palatino Linotype" w:hAnsi="Palatino Linotype"/>
          <w:color w:val="000000" w:themeColor="text1"/>
          <w:szCs w:val="22"/>
        </w:rPr>
        <w:t xml:space="preserve"> </w:t>
      </w:r>
      <w:r>
        <w:rPr>
          <w:rFonts w:ascii="Palatino Linotype" w:hAnsi="Palatino Linotype"/>
          <w:color w:val="000000" w:themeColor="text1"/>
          <w:szCs w:val="22"/>
        </w:rPr>
        <w:t>l</w:t>
      </w:r>
      <w:r w:rsidR="007076C5">
        <w:rPr>
          <w:rFonts w:ascii="Palatino Linotype" w:hAnsi="Palatino Linotype"/>
          <w:color w:val="000000" w:themeColor="text1"/>
          <w:szCs w:val="22"/>
        </w:rPr>
        <w:t>a</w:t>
      </w:r>
      <w:r>
        <w:rPr>
          <w:rFonts w:ascii="Palatino Linotype" w:hAnsi="Palatino Linotype"/>
          <w:color w:val="000000" w:themeColor="text1"/>
          <w:szCs w:val="22"/>
        </w:rPr>
        <w:t xml:space="preserve"> particular </w:t>
      </w:r>
      <w:r w:rsidR="007076C5">
        <w:rPr>
          <w:rFonts w:ascii="Palatino Linotype" w:hAnsi="Palatino Linotype"/>
          <w:color w:val="000000" w:themeColor="text1"/>
          <w:szCs w:val="22"/>
        </w:rPr>
        <w:t>el</w:t>
      </w:r>
      <w:r>
        <w:rPr>
          <w:rFonts w:ascii="Palatino Linotype" w:hAnsi="Palatino Linotype"/>
          <w:color w:val="000000" w:themeColor="text1"/>
          <w:szCs w:val="22"/>
        </w:rPr>
        <w:t xml:space="preserve"> </w:t>
      </w:r>
      <w:r w:rsidR="007076C5">
        <w:rPr>
          <w:rFonts w:ascii="Palatino Linotype" w:hAnsi="Palatino Linotype"/>
          <w:color w:val="000000" w:themeColor="text1"/>
          <w:szCs w:val="22"/>
        </w:rPr>
        <w:t>archivo electrónico</w:t>
      </w:r>
      <w:r>
        <w:rPr>
          <w:rFonts w:ascii="Palatino Linotype" w:hAnsi="Palatino Linotype"/>
          <w:color w:val="000000" w:themeColor="text1"/>
          <w:szCs w:val="22"/>
        </w:rPr>
        <w:t xml:space="preserve"> </w:t>
      </w:r>
      <w:r w:rsidR="007076C5">
        <w:rPr>
          <w:rFonts w:ascii="Palatino Linotype" w:hAnsi="Palatino Linotype"/>
          <w:color w:val="000000" w:themeColor="text1"/>
          <w:szCs w:val="22"/>
        </w:rPr>
        <w:t>cuyo contenido</w:t>
      </w:r>
      <w:r>
        <w:rPr>
          <w:rFonts w:ascii="Palatino Linotype" w:hAnsi="Palatino Linotype"/>
          <w:color w:val="000000" w:themeColor="text1"/>
          <w:szCs w:val="22"/>
        </w:rPr>
        <w:t xml:space="preserve"> se describe a continuación:</w:t>
      </w:r>
    </w:p>
    <w:p w14:paraId="11423777" w14:textId="533334B2" w:rsidR="00F96460" w:rsidRDefault="006B31E7" w:rsidP="00F15830">
      <w:pPr>
        <w:pStyle w:val="Prrafodelista"/>
        <w:numPr>
          <w:ilvl w:val="0"/>
          <w:numId w:val="4"/>
        </w:numPr>
        <w:spacing w:line="360" w:lineRule="auto"/>
        <w:ind w:left="993"/>
        <w:contextualSpacing w:val="0"/>
        <w:jc w:val="both"/>
        <w:rPr>
          <w:rFonts w:ascii="Palatino Linotype" w:hAnsi="Palatino Linotype" w:cs="Arial"/>
        </w:rPr>
      </w:pPr>
      <w:r w:rsidRPr="00C967DD">
        <w:rPr>
          <w:rFonts w:ascii="Palatino Linotype" w:hAnsi="Palatino Linotype" w:cs="Arial"/>
          <w:b/>
          <w:i/>
        </w:rPr>
        <w:t>“</w:t>
      </w:r>
      <w:r w:rsidR="00C967DD" w:rsidRPr="00C967DD">
        <w:rPr>
          <w:rFonts w:ascii="Palatino Linotype" w:hAnsi="Palatino Linotype" w:cs="Arial"/>
          <w:b/>
          <w:i/>
        </w:rPr>
        <w:t>Oficio de Respuesta 424</w:t>
      </w:r>
      <w:r w:rsidRPr="00C967DD">
        <w:rPr>
          <w:rFonts w:ascii="Palatino Linotype" w:hAnsi="Palatino Linotype" w:cs="Arial"/>
          <w:b/>
          <w:i/>
        </w:rPr>
        <w:t>.pdf”</w:t>
      </w:r>
      <w:r w:rsidRPr="00C967DD">
        <w:rPr>
          <w:rFonts w:ascii="Palatino Linotype" w:hAnsi="Palatino Linotype" w:cs="Arial"/>
        </w:rPr>
        <w:t xml:space="preserve">: Documento </w:t>
      </w:r>
      <w:r w:rsidR="00C967DD">
        <w:rPr>
          <w:rFonts w:ascii="Palatino Linotype" w:hAnsi="Palatino Linotype" w:cs="Arial"/>
        </w:rPr>
        <w:t xml:space="preserve">de dos fojas consistente en </w:t>
      </w:r>
      <w:r w:rsidR="007076C5">
        <w:rPr>
          <w:rFonts w:ascii="Palatino Linotype" w:hAnsi="Palatino Linotype" w:cs="Arial"/>
        </w:rPr>
        <w:t>los siguientes instrumentos:</w:t>
      </w:r>
    </w:p>
    <w:p w14:paraId="6E796C39" w14:textId="63C0DFF2" w:rsidR="007076C5" w:rsidRDefault="007076C5" w:rsidP="00F15830">
      <w:pPr>
        <w:pStyle w:val="Prrafodelista"/>
        <w:numPr>
          <w:ilvl w:val="1"/>
          <w:numId w:val="4"/>
        </w:numPr>
        <w:spacing w:line="360" w:lineRule="auto"/>
        <w:ind w:left="1560"/>
        <w:contextualSpacing w:val="0"/>
        <w:jc w:val="both"/>
        <w:rPr>
          <w:rFonts w:ascii="Palatino Linotype" w:hAnsi="Palatino Linotype" w:cs="Arial"/>
        </w:rPr>
      </w:pPr>
      <w:r>
        <w:rPr>
          <w:rFonts w:ascii="Palatino Linotype" w:hAnsi="Palatino Linotype" w:cs="Arial"/>
        </w:rPr>
        <w:t>Oficio número DTCOM/572/2021, de uno (01) de noviembre de dos mil veintiuno, signado por el Director Técnico de Construcción, Operación y Mantenimiento, por el que informa que la Manifestación de Impacto Ambiental no es un requisito para la perforación de un pozo de agua potable.</w:t>
      </w:r>
    </w:p>
    <w:p w14:paraId="795C29E4" w14:textId="049E19A4" w:rsidR="007076C5" w:rsidRDefault="007076C5" w:rsidP="00F15830">
      <w:pPr>
        <w:pStyle w:val="Prrafodelista"/>
        <w:numPr>
          <w:ilvl w:val="1"/>
          <w:numId w:val="4"/>
        </w:numPr>
        <w:spacing w:line="360" w:lineRule="auto"/>
        <w:ind w:left="1560"/>
        <w:contextualSpacing w:val="0"/>
        <w:jc w:val="both"/>
        <w:rPr>
          <w:rFonts w:ascii="Palatino Linotype" w:hAnsi="Palatino Linotype" w:cs="Arial"/>
        </w:rPr>
      </w:pPr>
      <w:r>
        <w:rPr>
          <w:rFonts w:ascii="Palatino Linotype" w:hAnsi="Palatino Linotype" w:cs="Arial"/>
        </w:rPr>
        <w:t xml:space="preserve">Oficio sin número individual, de tres (03) de noviembre de dos mil veintiuno, signado por el Director General del Sistema de Agua Potable, Alcantarillado y Saneamiento de Ecatepec de Morelos, por el que informa remitir </w:t>
      </w:r>
      <w:r w:rsidR="007A078A">
        <w:rPr>
          <w:rFonts w:ascii="Palatino Linotype" w:hAnsi="Palatino Linotype" w:cs="Arial"/>
        </w:rPr>
        <w:t>la respuesta proporcionada por la Dirección Técnica de Construcción, Operación y Mantenimiento.</w:t>
      </w:r>
    </w:p>
    <w:p w14:paraId="3CDD0E7E" w14:textId="77777777" w:rsidR="00C967DD" w:rsidRPr="00C967DD"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41E139CD"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7A078A">
        <w:rPr>
          <w:rFonts w:ascii="Palatino Linotype" w:eastAsia="Times New Roman" w:hAnsi="Palatino Linotype" w:cs="Arial"/>
          <w:color w:val="000000" w:themeColor="text1"/>
          <w:lang w:val="es-ES"/>
        </w:rPr>
        <w:t>once (11) de noviembre</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7A078A">
        <w:rPr>
          <w:rFonts w:ascii="Palatino Linotype" w:eastAsia="Times New Roman" w:hAnsi="Palatino Linotype" w:cs="Arial"/>
          <w:color w:val="000000" w:themeColor="text1"/>
          <w:lang w:val="es-ES"/>
        </w:rPr>
        <w:t>la</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7076C5">
        <w:rPr>
          <w:rFonts w:ascii="Palatino Linotype" w:eastAsia="Calibri" w:hAnsi="Palatino Linotype" w:cs="Arial"/>
          <w:b/>
          <w:color w:val="000000" w:themeColor="text1"/>
          <w:lang w:val="es-ES"/>
        </w:rPr>
        <w:t>05468/INFOEM/IP/RR/2021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62D1E50" w:rsidR="00E34622" w:rsidRPr="00A85CB7"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7A078A" w:rsidRPr="007A078A">
        <w:rPr>
          <w:rFonts w:ascii="Palatino Linotype" w:eastAsia="Times New Roman" w:hAnsi="Palatino Linotype" w:cs="Arial"/>
          <w:i/>
          <w:color w:val="000000" w:themeColor="text1"/>
          <w:lang w:val="es-ES"/>
        </w:rPr>
        <w:t>No se entregó la información correspondiente, en virtud de lo anterior ¿cuáles son los requisitos para la perforación de un pozo para agua potable y cuál es el marco normativo aplicable?</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780FC4C1" w:rsidR="00E34622" w:rsidRPr="00A85CB7"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00874321">
        <w:rPr>
          <w:rFonts w:ascii="Palatino Linotype" w:eastAsia="Times New Roman" w:hAnsi="Palatino Linotype" w:cs="Arial"/>
          <w:color w:val="000000" w:themeColor="text1"/>
          <w:lang w:val="es-ES"/>
        </w:rPr>
        <w:t xml:space="preserve"> El </w:t>
      </w:r>
      <w:r w:rsidR="00874321">
        <w:rPr>
          <w:rFonts w:ascii="Palatino Linotype" w:eastAsia="Times New Roman" w:hAnsi="Palatino Linotype" w:cs="Arial"/>
          <w:b/>
          <w:color w:val="000000" w:themeColor="text1"/>
          <w:lang w:val="es-ES"/>
        </w:rPr>
        <w:t>RECURRENTE</w:t>
      </w:r>
      <w:r w:rsidR="00874321">
        <w:rPr>
          <w:rFonts w:ascii="Palatino Linotype" w:eastAsia="Times New Roman" w:hAnsi="Palatino Linotype" w:cs="Arial"/>
          <w:color w:val="000000" w:themeColor="text1"/>
          <w:lang w:val="es-ES"/>
        </w:rPr>
        <w:t xml:space="preserve"> no realizó ningún pronunciamiento en este apartado.</w:t>
      </w:r>
    </w:p>
    <w:p w14:paraId="4D16C3B0" w14:textId="77777777" w:rsidR="00E34622" w:rsidRPr="00874321" w:rsidRDefault="00E34622" w:rsidP="00874321">
      <w:pPr>
        <w:tabs>
          <w:tab w:val="left" w:pos="426"/>
        </w:tabs>
        <w:spacing w:line="360" w:lineRule="auto"/>
        <w:jc w:val="both"/>
        <w:rPr>
          <w:rFonts w:ascii="Palatino Linotype" w:hAnsi="Palatino Linotype"/>
          <w:color w:val="000000" w:themeColor="text1"/>
          <w:szCs w:val="22"/>
        </w:rPr>
      </w:pPr>
    </w:p>
    <w:p w14:paraId="0FFC209E" w14:textId="7FACBA9D" w:rsidR="00874321" w:rsidRDefault="0087432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Se hace constar que la </w:t>
      </w:r>
      <w:r>
        <w:rPr>
          <w:rFonts w:ascii="Palatino Linotype" w:eastAsia="Calibri" w:hAnsi="Palatino Linotype" w:cs="Arial"/>
          <w:b/>
          <w:color w:val="000000" w:themeColor="text1"/>
          <w:lang w:val="es-ES"/>
        </w:rPr>
        <w:t>RECURRENTE</w:t>
      </w:r>
      <w:r>
        <w:rPr>
          <w:rFonts w:ascii="Palatino Linotype" w:eastAsia="Calibri" w:hAnsi="Palatino Linotype" w:cs="Arial"/>
          <w:color w:val="000000" w:themeColor="text1"/>
          <w:lang w:val="es-ES"/>
        </w:rPr>
        <w:t xml:space="preserve"> adjuntó a su escrito recursal un archivo electrónico titulado </w:t>
      </w:r>
      <w:r>
        <w:rPr>
          <w:rFonts w:ascii="Palatino Linotype" w:eastAsia="Calibri" w:hAnsi="Palatino Linotype" w:cs="Arial"/>
          <w:b/>
          <w:i/>
          <w:color w:val="000000" w:themeColor="text1"/>
          <w:lang w:val="es-ES"/>
        </w:rPr>
        <w:t>“Archivo1636610988220”</w:t>
      </w:r>
      <w:r>
        <w:rPr>
          <w:rFonts w:ascii="Palatino Linotype" w:eastAsia="Calibri" w:hAnsi="Palatino Linotype" w:cs="Arial"/>
          <w:color w:val="000000" w:themeColor="text1"/>
          <w:lang w:val="es-ES"/>
        </w:rPr>
        <w:t xml:space="preserve">, </w:t>
      </w:r>
      <w:r w:rsidR="00BD6C40">
        <w:rPr>
          <w:rFonts w:ascii="Palatino Linotype" w:eastAsia="Calibri" w:hAnsi="Palatino Linotype" w:cs="Arial"/>
          <w:color w:val="000000" w:themeColor="text1"/>
          <w:lang w:val="es-ES"/>
        </w:rPr>
        <w:t>cuyo contenido no puede visualizarse, al encontrarse dañado.</w:t>
      </w:r>
    </w:p>
    <w:p w14:paraId="713140E7" w14:textId="77777777" w:rsidR="00874321" w:rsidRPr="00874321" w:rsidRDefault="00874321" w:rsidP="0087432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DD25F33"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96234B">
        <w:rPr>
          <w:rFonts w:ascii="Palatino Linotype" w:eastAsia="Times New Roman" w:hAnsi="Palatino Linotype" w:cs="Arial"/>
          <w:bCs/>
          <w:color w:val="000000" w:themeColor="text1"/>
          <w:lang w:val="es-ES"/>
        </w:rPr>
        <w:t xml:space="preserve">a la </w:t>
      </w:r>
      <w:r w:rsidR="0096234B" w:rsidRPr="00874321">
        <w:rPr>
          <w:rFonts w:ascii="Palatino Linotype" w:eastAsia="Times New Roman" w:hAnsi="Palatino Linotype" w:cs="Arial"/>
          <w:b/>
          <w:bCs/>
          <w:color w:val="000000" w:themeColor="text1"/>
          <w:lang w:val="es-ES"/>
        </w:rPr>
        <w:t xml:space="preserve">Comisionada </w:t>
      </w:r>
      <w:r w:rsidR="00D12402" w:rsidRPr="00874321">
        <w:rPr>
          <w:rFonts w:ascii="Palatino Linotype" w:eastAsia="Times New Roman" w:hAnsi="Palatino Linotype" w:cs="Arial"/>
          <w:b/>
          <w:bCs/>
          <w:color w:val="000000" w:themeColor="text1"/>
          <w:lang w:val="es-ES"/>
        </w:rPr>
        <w:t>María del Rosario Mejía Ayala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C630D91"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E647FF">
        <w:rPr>
          <w:rFonts w:ascii="Palatino Linotype" w:eastAsia="Times New Roman"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BD6C40">
        <w:rPr>
          <w:rFonts w:ascii="Palatino Linotype" w:eastAsia="Calibri" w:hAnsi="Palatino Linotype" w:cs="Arial"/>
          <w:color w:val="000000" w:themeColor="text1"/>
          <w:lang w:val="es-ES"/>
        </w:rPr>
        <w:t>diecisiete (17) de noviembre</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455C196B" w14:textId="77777777" w:rsidR="003F0DDA"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CFAEB9B" w14:textId="370BD0AE" w:rsidR="005C450C" w:rsidRPr="00BD6C40" w:rsidRDefault="00BD6C40" w:rsidP="00BD6C40">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lastRenderedPageBreak/>
        <w:t xml:space="preserve">De las constancias que obran en el expediente digital del recurso de revisión que hoy se resuelve, se aprecia que el </w:t>
      </w:r>
      <w:r>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no rindió su informe justificado para manifestar lo que a su derecho conviniera; por su parte, la </w:t>
      </w:r>
      <w:r>
        <w:rPr>
          <w:rFonts w:ascii="Palatino Linotype" w:eastAsia="Calibri" w:hAnsi="Palatino Linotype" w:cs="Arial"/>
          <w:b/>
          <w:color w:val="000000" w:themeColor="text1"/>
          <w:lang w:val="es-ES"/>
        </w:rPr>
        <w:t>RECURRENTE</w:t>
      </w:r>
      <w:r>
        <w:rPr>
          <w:rFonts w:ascii="Palatino Linotype" w:eastAsia="Calibri" w:hAnsi="Palatino Linotype" w:cs="Arial"/>
          <w:color w:val="000000" w:themeColor="text1"/>
          <w:lang w:val="es-ES"/>
        </w:rPr>
        <w:t xml:space="preserve"> no presentó alegatos u ofreció medios de prueba. Se adjunta la captura de imagen del apartado de </w:t>
      </w:r>
      <w:r>
        <w:rPr>
          <w:rFonts w:ascii="Palatino Linotype" w:eastAsia="Calibri" w:hAnsi="Palatino Linotype" w:cs="Arial"/>
          <w:i/>
          <w:color w:val="000000" w:themeColor="text1"/>
          <w:lang w:val="es-ES"/>
        </w:rPr>
        <w:t>Manifestaciones</w:t>
      </w:r>
      <w:r>
        <w:rPr>
          <w:rFonts w:ascii="Palatino Linotype" w:eastAsia="Calibri" w:hAnsi="Palatino Linotype" w:cs="Arial"/>
          <w:color w:val="000000" w:themeColor="text1"/>
          <w:lang w:val="es-ES"/>
        </w:rPr>
        <w:t xml:space="preserve"> del SAIMEX a modo de referencia:</w:t>
      </w:r>
    </w:p>
    <w:p w14:paraId="55573A83" w14:textId="77777777" w:rsidR="00BD6C40" w:rsidRDefault="00BD6C40" w:rsidP="00BD6C40">
      <w:pPr>
        <w:pStyle w:val="Prrafodelista"/>
        <w:tabs>
          <w:tab w:val="left" w:pos="426"/>
        </w:tabs>
        <w:spacing w:line="360" w:lineRule="auto"/>
        <w:ind w:left="0"/>
        <w:jc w:val="both"/>
        <w:rPr>
          <w:rFonts w:ascii="Palatino Linotype" w:hAnsi="Palatino Linotype"/>
          <w:color w:val="000000" w:themeColor="text1"/>
        </w:rPr>
      </w:pPr>
    </w:p>
    <w:p w14:paraId="5B51728F" w14:textId="2F1019AC" w:rsidR="00BD6C40" w:rsidRDefault="00BD6C40" w:rsidP="00BD6C40">
      <w:pPr>
        <w:pStyle w:val="Prrafodelista"/>
        <w:tabs>
          <w:tab w:val="left" w:pos="426"/>
        </w:tabs>
        <w:spacing w:line="360" w:lineRule="auto"/>
        <w:ind w:left="0"/>
        <w:jc w:val="center"/>
        <w:rPr>
          <w:rFonts w:ascii="Palatino Linotype" w:hAnsi="Palatino Linotype"/>
          <w:color w:val="000000" w:themeColor="text1"/>
        </w:rPr>
      </w:pPr>
      <w:r>
        <w:object w:dxaOrig="14850" w:dyaOrig="4440" w14:anchorId="0789B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85pt;height:11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06969297" r:id="rId9"/>
        </w:object>
      </w:r>
    </w:p>
    <w:p w14:paraId="5EA4BF80" w14:textId="77777777" w:rsidR="00BD6C40" w:rsidRDefault="00BD6C40" w:rsidP="00BD6C40">
      <w:pPr>
        <w:pStyle w:val="Prrafodelista"/>
        <w:tabs>
          <w:tab w:val="left" w:pos="426"/>
        </w:tabs>
        <w:spacing w:line="360" w:lineRule="auto"/>
        <w:ind w:left="0"/>
        <w:jc w:val="both"/>
        <w:rPr>
          <w:rFonts w:ascii="Palatino Linotype" w:hAnsi="Palatino Linotype"/>
          <w:color w:val="000000" w:themeColor="text1"/>
        </w:rPr>
      </w:pPr>
    </w:p>
    <w:p w14:paraId="3001AA57" w14:textId="10AA1581" w:rsidR="008965EF" w:rsidRPr="00F84865"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F84865">
        <w:rPr>
          <w:rFonts w:ascii="Palatino Linotype" w:eastAsia="Calibri" w:hAnsi="Palatino Linotype" w:cs="Arial"/>
          <w:color w:val="000000" w:themeColor="text1"/>
          <w:lang w:val="es-ES"/>
        </w:rPr>
        <w:t>El</w:t>
      </w:r>
      <w:bookmarkStart w:id="3" w:name="_Toc461555889"/>
      <w:bookmarkStart w:id="4" w:name="_Toc466371858"/>
      <w:r w:rsidR="00B855AA" w:rsidRPr="00F84865">
        <w:rPr>
          <w:rFonts w:ascii="Palatino Linotype" w:eastAsia="Calibri" w:hAnsi="Palatino Linotype" w:cs="Arial"/>
          <w:color w:val="000000" w:themeColor="text1"/>
          <w:lang w:val="es-ES"/>
        </w:rPr>
        <w:t xml:space="preserve"> </w:t>
      </w:r>
      <w:r w:rsidR="00BD6C40">
        <w:rPr>
          <w:rFonts w:ascii="Palatino Linotype" w:eastAsia="Calibri" w:hAnsi="Palatino Linotype" w:cs="Arial"/>
          <w:color w:val="000000" w:themeColor="text1"/>
          <w:lang w:val="es-ES"/>
        </w:rPr>
        <w:t>diecisiete (17) de diciembre</w:t>
      </w:r>
      <w:r w:rsidR="009917E9" w:rsidRPr="00F84865">
        <w:rPr>
          <w:rFonts w:ascii="Palatino Linotype" w:eastAsia="Calibri" w:hAnsi="Palatino Linotype" w:cs="Arial"/>
          <w:color w:val="000000" w:themeColor="text1"/>
          <w:lang w:val="es-ES"/>
        </w:rPr>
        <w:t xml:space="preserve"> de dos mil veintiuno</w:t>
      </w:r>
      <w:r w:rsidR="00AD6AC5" w:rsidRPr="00F84865">
        <w:rPr>
          <w:rFonts w:ascii="Palatino Linotype" w:hAnsi="Palatino Linotype" w:cs="Arial"/>
          <w:color w:val="000000" w:themeColor="text1"/>
        </w:rPr>
        <w:t xml:space="preserve">, </w:t>
      </w:r>
      <w:r w:rsidR="0096234B" w:rsidRPr="00F84865">
        <w:rPr>
          <w:rFonts w:ascii="Palatino Linotype" w:hAnsi="Palatino Linotype" w:cs="Arial"/>
          <w:color w:val="000000" w:themeColor="text1"/>
        </w:rPr>
        <w:t xml:space="preserve">la </w:t>
      </w:r>
      <w:r w:rsidR="00AD6AC5" w:rsidRPr="00F84865">
        <w:rPr>
          <w:rFonts w:ascii="Palatino Linotype" w:hAnsi="Palatino Linotype" w:cs="Arial"/>
          <w:color w:val="000000" w:themeColor="text1"/>
        </w:rPr>
        <w:t>Comisionad</w:t>
      </w:r>
      <w:r w:rsidR="0096234B" w:rsidRPr="00F84865">
        <w:rPr>
          <w:rFonts w:ascii="Palatino Linotype" w:hAnsi="Palatino Linotype" w:cs="Arial"/>
          <w:color w:val="000000" w:themeColor="text1"/>
        </w:rPr>
        <w:t>a</w:t>
      </w:r>
      <w:r w:rsidR="00AD6AC5" w:rsidRPr="00F84865">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84865" w:rsidRPr="00F84865">
        <w:rPr>
          <w:rFonts w:ascii="Palatino Linotype" w:hAnsi="Palatino Linotype" w:cs="Arial"/>
          <w:color w:val="000000" w:themeColor="text1"/>
        </w:rPr>
        <w:t xml:space="preserve">; y, </w:t>
      </w:r>
      <w:r w:rsidR="003522BF" w:rsidRPr="00F84865">
        <w:rPr>
          <w:rFonts w:ascii="Palatino Linotype" w:hAnsi="Palatino Linotype" w:cs="Arial"/>
          <w:color w:val="000000" w:themeColor="text1"/>
          <w:lang w:val="es-ES"/>
        </w:rPr>
        <w:t>-------------------------------------</w:t>
      </w:r>
      <w:r w:rsidR="00BD6C40">
        <w:rPr>
          <w:rFonts w:ascii="Palatino Linotype" w:hAnsi="Palatino Linotype" w:cs="Arial"/>
          <w:color w:val="000000" w:themeColor="text1"/>
          <w:lang w:val="es-ES"/>
        </w:rPr>
        <w:t>--</w:t>
      </w:r>
    </w:p>
    <w:p w14:paraId="76723CF0" w14:textId="1E451BB4" w:rsidR="009917E9"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87456485"/>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lastRenderedPageBreak/>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eastAsia="en-US"/>
        </w:rPr>
      </w:pPr>
    </w:p>
    <w:p w14:paraId="63E5A495" w14:textId="41DD3902"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921375">
        <w:rPr>
          <w:rFonts w:ascii="Palatino Linotype" w:eastAsia="Calibri" w:hAnsi="Palatino Linotype" w:cs="Arial"/>
          <w:color w:val="000000" w:themeColor="text1"/>
        </w:rPr>
        <w:t>cuatro (04) de noviembre</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921375">
        <w:rPr>
          <w:rFonts w:ascii="Palatino Linotype" w:eastAsia="Calibri" w:hAnsi="Palatino Linotype" w:cs="Arial"/>
          <w:color w:val="000000" w:themeColor="text1"/>
        </w:rPr>
        <w:t>cinco (05) al veintiséis (26) de noviembre de dos mil veintiuno,</w:t>
      </w:r>
      <w:r w:rsidR="00740BA4" w:rsidRPr="00740BA4">
        <w:rPr>
          <w:rFonts w:ascii="Palatino Linotype" w:eastAsia="Calibri" w:hAnsi="Palatino Linotype" w:cs="Arial"/>
          <w:color w:val="000000" w:themeColor="text1"/>
        </w:rPr>
        <w:t xml:space="preserve"> sin contemplar en el cómputo los días </w:t>
      </w:r>
      <w:r w:rsidR="00921375">
        <w:rPr>
          <w:rFonts w:ascii="Palatino Linotype" w:eastAsia="Calibri" w:hAnsi="Palatino Linotype" w:cs="Arial"/>
          <w:color w:val="000000" w:themeColor="text1"/>
        </w:rPr>
        <w:t>seis (06), siete (07), trece (13), catorce (14), quince (15), veinte (20) y veintiuno (21) de noviembre</w:t>
      </w:r>
      <w:r w:rsidR="008570EB">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por corresponder a sábados</w:t>
      </w:r>
      <w:r w:rsidR="00921375">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domingos</w:t>
      </w:r>
      <w:r w:rsidR="00921375">
        <w:rPr>
          <w:rFonts w:ascii="Palatino Linotype" w:eastAsia="Calibri" w:hAnsi="Palatino Linotype" w:cs="Arial"/>
          <w:color w:val="000000" w:themeColor="text1"/>
        </w:rPr>
        <w:t xml:space="preserve"> e inhábiles</w:t>
      </w:r>
      <w:r w:rsidR="00740BA4" w:rsidRPr="00740BA4">
        <w:rPr>
          <w:rFonts w:ascii="Palatino Linotype" w:eastAsia="Calibri" w:hAnsi="Palatino Linotype" w:cs="Arial"/>
          <w:color w:val="000000" w:themeColor="text1"/>
        </w:rPr>
        <w:t xml:space="preserve"> en términos del artículo 3</w:t>
      </w:r>
      <w:r w:rsidR="00921375">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fracción X</w:t>
      </w:r>
      <w:r w:rsidR="00921375">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32DBB2F6" w:rsidR="00740BA4" w:rsidRPr="00774AB3"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921375">
        <w:rPr>
          <w:rFonts w:ascii="Palatino Linotype" w:hAnsi="Palatino Linotype"/>
          <w:color w:val="000000" w:themeColor="text1"/>
        </w:rPr>
        <w:t>once (11) de noviembre</w:t>
      </w:r>
      <w:r w:rsidR="006E65C0">
        <w:rPr>
          <w:rFonts w:ascii="Palatino Linotype" w:hAnsi="Palatino Linotype"/>
          <w:color w:val="000000" w:themeColor="text1"/>
        </w:rPr>
        <w:t xml:space="preserve">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59CCEA40"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B2F168" w14:textId="3863EDC6"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6B31E7">
        <w:rPr>
          <w:rFonts w:ascii="Palatino Linotype" w:hAnsi="Palatino Linotype" w:cs="Arial"/>
          <w:color w:val="000000" w:themeColor="text1"/>
          <w:lang w:val="es-ES"/>
        </w:rPr>
        <w:t xml:space="preserve">otro lado, de la revisión al expediente electrónico contenido en el sistema </w:t>
      </w:r>
      <w:r w:rsidRPr="006B31E7">
        <w:rPr>
          <w:rFonts w:ascii="Palatino Linotype" w:hAnsi="Palatino Linotype" w:cs="Arial"/>
          <w:b/>
          <w:color w:val="000000" w:themeColor="text1"/>
          <w:lang w:val="es-ES"/>
        </w:rPr>
        <w:t>SAIMEX,</w:t>
      </w:r>
      <w:r w:rsidRPr="006B31E7">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6B31E7">
        <w:rPr>
          <w:rFonts w:ascii="Palatino Linotype" w:hAnsi="Palatino Linotype" w:cs="Arial"/>
          <w:b/>
          <w:color w:val="000000" w:themeColor="text1"/>
          <w:lang w:val="es-ES"/>
        </w:rPr>
        <w:t xml:space="preserve">no </w:t>
      </w:r>
      <w:r w:rsidR="00921375">
        <w:rPr>
          <w:rFonts w:ascii="Palatino Linotype" w:hAnsi="Palatino Linotype" w:cs="Arial"/>
          <w:b/>
          <w:color w:val="000000" w:themeColor="text1"/>
          <w:lang w:val="es-ES"/>
        </w:rPr>
        <w:t>señaló su nombre completo, ni se tiene certeza de su identidad</w:t>
      </w:r>
      <w:r w:rsidRPr="006B31E7">
        <w:rPr>
          <w:rFonts w:ascii="Palatino Linotype" w:hAnsi="Palatino Linotype" w:cs="Arial"/>
          <w:color w:val="000000" w:themeColor="text1"/>
          <w:lang w:val="es-ES"/>
        </w:rPr>
        <w:t xml:space="preserve">; sin embargo, es importante señalar que </w:t>
      </w:r>
      <w:r w:rsidRPr="006B31E7">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54381B4"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5E42741" w14:textId="51A5ADFE"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Esto </w:t>
      </w:r>
      <w:r w:rsidRPr="006B31E7">
        <w:rPr>
          <w:rFonts w:ascii="Palatino Linotype" w:hAnsi="Palatino Linotype" w:cs="Arial"/>
          <w:color w:val="000000" w:themeColor="text1"/>
          <w:lang w:val="es-ES"/>
        </w:rPr>
        <w:t xml:space="preserve">es así, ya que de conformidad con los artículos 6, apartado A, fracciones III y IV de la </w:t>
      </w:r>
      <w:r w:rsidRPr="006B31E7">
        <w:rPr>
          <w:rFonts w:ascii="Palatino Linotype" w:hAnsi="Palatino Linotype" w:cs="Arial"/>
          <w:b/>
          <w:color w:val="000000" w:themeColor="text1"/>
          <w:lang w:val="es-ES"/>
        </w:rPr>
        <w:t>Constitución Política de los Estados Unidos Mexicanos</w:t>
      </w:r>
      <w:r w:rsidRPr="006B31E7">
        <w:rPr>
          <w:rFonts w:ascii="Palatino Linotype" w:hAnsi="Palatino Linotype" w:cs="Arial"/>
          <w:color w:val="000000" w:themeColor="text1"/>
          <w:lang w:val="es-ES"/>
        </w:rPr>
        <w:t xml:space="preserve">; 5, párrafos vigésimo segundo, vigésimo tercero y vigésimo cuarto, fracciones III, IV y V, de la </w:t>
      </w:r>
      <w:r w:rsidRPr="006B31E7">
        <w:rPr>
          <w:rFonts w:ascii="Palatino Linotype" w:hAnsi="Palatino Linotype" w:cs="Arial"/>
          <w:b/>
          <w:color w:val="000000" w:themeColor="text1"/>
          <w:lang w:val="es-ES"/>
        </w:rPr>
        <w:t>Constitución Política del Estado Libre y Soberano de México</w:t>
      </w:r>
      <w:r w:rsidRPr="006B31E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9D391CF"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779A480" w14:textId="3D6523B9"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w:t>
      </w:r>
      <w:r w:rsidRPr="00F43C60">
        <w:rPr>
          <w:rFonts w:ascii="Palatino Linotype" w:eastAsia="Times New Roman" w:hAnsi="Palatino Linotype" w:cs="Arial"/>
          <w:color w:val="000000" w:themeColor="text1"/>
          <w:lang w:val="es-ES" w:eastAsia="es-MX"/>
        </w:rPr>
        <w:lastRenderedPageBreak/>
        <w:t>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8D8D9D"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0F83678" w14:textId="530BDC20"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57E8A97"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011FBA9" w14:textId="64AA7D6D"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297926E"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C0C5B9A" w14:textId="135C7B6C" w:rsidR="00774AB3" w:rsidRPr="009C4817" w:rsidRDefault="009B1D1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Luego entonces</w:t>
      </w:r>
      <w:r w:rsidR="00774AB3">
        <w:rPr>
          <w:rFonts w:ascii="Palatino Linotype" w:eastAsia="Calibri" w:hAnsi="Palatino Linotype" w:cs="Arial"/>
        </w:rPr>
        <w:t xml:space="preserve">, </w:t>
      </w:r>
      <w:r w:rsidR="00774AB3" w:rsidRPr="00F43C60">
        <w:rPr>
          <w:rFonts w:ascii="Palatino Linotype" w:eastAsia="Times New Roman" w:hAnsi="Palatino Linotype" w:cs="Arial"/>
          <w:color w:val="000000" w:themeColor="text1"/>
          <w:lang w:val="es-ES" w:eastAsia="es-MX"/>
        </w:rPr>
        <w:t xml:space="preserve">el nombre del </w:t>
      </w:r>
      <w:r w:rsidR="00774AB3">
        <w:rPr>
          <w:rFonts w:ascii="Palatino Linotype" w:eastAsia="Times New Roman" w:hAnsi="Palatino Linotype" w:cs="Arial"/>
          <w:b/>
          <w:color w:val="000000" w:themeColor="text1"/>
          <w:lang w:val="es-ES" w:eastAsia="es-MX"/>
        </w:rPr>
        <w:t>SOLICITANTE</w:t>
      </w:r>
      <w:r w:rsidR="00774AB3" w:rsidRPr="00F43C60">
        <w:rPr>
          <w:rFonts w:ascii="Palatino Linotype" w:eastAsia="Times New Roman" w:hAnsi="Palatino Linotype" w:cs="Arial"/>
          <w:color w:val="000000" w:themeColor="text1"/>
          <w:lang w:val="es-ES" w:eastAsia="es-MX"/>
        </w:rPr>
        <w:t xml:space="preserve"> y</w:t>
      </w:r>
      <w:r w:rsidR="00774AB3">
        <w:rPr>
          <w:rFonts w:ascii="Palatino Linotype" w:eastAsia="Times New Roman" w:hAnsi="Palatino Linotype" w:cs="Arial"/>
          <w:color w:val="000000" w:themeColor="text1"/>
          <w:lang w:val="es-ES" w:eastAsia="es-MX"/>
        </w:rPr>
        <w:t xml:space="preserve"> subsecuente</w:t>
      </w:r>
      <w:r w:rsidR="00774AB3" w:rsidRPr="00F43C60">
        <w:rPr>
          <w:rFonts w:ascii="Palatino Linotype" w:eastAsia="Times New Roman" w:hAnsi="Palatino Linotype" w:cs="Arial"/>
          <w:color w:val="000000" w:themeColor="text1"/>
          <w:lang w:val="es-ES" w:eastAsia="es-MX"/>
        </w:rPr>
        <w:t xml:space="preserve"> </w:t>
      </w:r>
      <w:r w:rsidR="00774AB3" w:rsidRPr="00F43C60">
        <w:rPr>
          <w:rFonts w:ascii="Palatino Linotype" w:eastAsia="Times New Roman" w:hAnsi="Palatino Linotype" w:cs="Arial"/>
          <w:b/>
          <w:color w:val="000000" w:themeColor="text1"/>
          <w:lang w:val="es-ES" w:eastAsia="es-MX"/>
        </w:rPr>
        <w:t>RECURRENTE</w:t>
      </w:r>
      <w:r w:rsidR="00774AB3"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394D29D" w14:textId="77777777" w:rsidR="009C4817" w:rsidRPr="009C4817" w:rsidRDefault="009C4817" w:rsidP="009C4817">
      <w:pPr>
        <w:pStyle w:val="Prrafodelista"/>
        <w:rPr>
          <w:rFonts w:ascii="Palatino Linotype" w:eastAsia="Times New Roman" w:hAnsi="Palatino Linotype" w:cs="Arial"/>
          <w:bCs/>
          <w:color w:val="000000" w:themeColor="text1"/>
          <w:lang w:eastAsia="es-MX"/>
        </w:rPr>
      </w:pPr>
    </w:p>
    <w:p w14:paraId="2E663F3D" w14:textId="19B79EAF" w:rsidR="009C4817" w:rsidRDefault="009B1D1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color w:val="000000" w:themeColor="text1"/>
          <w:lang w:eastAsia="es-MX"/>
        </w:rPr>
        <w:t xml:space="preserve">Por otro lado, el artículo 180 de la Ley de Transparencia y Acceso a la Información Pública del Estado de México y Municipios, reconoce los siguientes </w:t>
      </w:r>
      <w:r>
        <w:rPr>
          <w:rFonts w:ascii="Palatino Linotype" w:eastAsia="Times New Roman" w:hAnsi="Palatino Linotype" w:cs="Arial"/>
          <w:bCs/>
          <w:color w:val="000000" w:themeColor="text1"/>
          <w:lang w:eastAsia="es-MX"/>
        </w:rPr>
        <w:lastRenderedPageBreak/>
        <w:t>elementos de forma que deberá considerar el escrito recursal, cuando éste sea interpuesto de manera electrónica:</w:t>
      </w:r>
    </w:p>
    <w:p w14:paraId="435B721C" w14:textId="77777777" w:rsidR="00545B93" w:rsidRDefault="009B1D13" w:rsidP="00F15830">
      <w:pPr>
        <w:pStyle w:val="Prrafodelista"/>
        <w:numPr>
          <w:ilvl w:val="1"/>
          <w:numId w:val="7"/>
        </w:numPr>
        <w:tabs>
          <w:tab w:val="left" w:pos="426"/>
        </w:tabs>
        <w:spacing w:line="360" w:lineRule="auto"/>
        <w:ind w:left="1134" w:right="49"/>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color w:val="000000" w:themeColor="text1"/>
          <w:lang w:eastAsia="es-MX"/>
        </w:rPr>
        <w:t xml:space="preserve">El </w:t>
      </w:r>
      <w:r w:rsidR="00545B93" w:rsidRPr="00545B93">
        <w:rPr>
          <w:rFonts w:ascii="Palatino Linotype" w:eastAsia="Times New Roman" w:hAnsi="Palatino Linotype" w:cs="Arial"/>
          <w:bCs/>
          <w:color w:val="000000" w:themeColor="text1"/>
          <w:lang w:eastAsia="es-MX"/>
        </w:rPr>
        <w:t xml:space="preserve">sujeto obligado ante la cual se presentó la solicitud; </w:t>
      </w:r>
    </w:p>
    <w:p w14:paraId="24E17F5C" w14:textId="77777777" w:rsidR="00545B93" w:rsidRDefault="00545B93" w:rsidP="00F15830">
      <w:pPr>
        <w:pStyle w:val="Prrafodelista"/>
        <w:numPr>
          <w:ilvl w:val="1"/>
          <w:numId w:val="7"/>
        </w:numPr>
        <w:tabs>
          <w:tab w:val="left" w:pos="426"/>
        </w:tabs>
        <w:spacing w:line="360" w:lineRule="auto"/>
        <w:ind w:left="1134" w:right="49"/>
        <w:jc w:val="both"/>
        <w:rPr>
          <w:rFonts w:ascii="Palatino Linotype" w:eastAsia="Times New Roman" w:hAnsi="Palatino Linotype" w:cs="Arial"/>
          <w:bCs/>
          <w:color w:val="000000" w:themeColor="text1"/>
          <w:lang w:eastAsia="es-MX"/>
        </w:rPr>
      </w:pPr>
      <w:r w:rsidRPr="00545B93">
        <w:rPr>
          <w:rFonts w:ascii="Palatino Linotype" w:eastAsia="Times New Roman" w:hAnsi="Palatino Linotype" w:cs="Arial"/>
          <w:bCs/>
          <w:color w:val="000000" w:themeColor="text1"/>
          <w:lang w:eastAsia="es-MX"/>
        </w:rPr>
        <w:t xml:space="preserve">El número de folio de respuesta de la solicitud de acceso; </w:t>
      </w:r>
    </w:p>
    <w:p w14:paraId="1D4D6186" w14:textId="1AB8EE3A" w:rsidR="00545B93" w:rsidRPr="00545B93" w:rsidRDefault="00545B93" w:rsidP="00F15830">
      <w:pPr>
        <w:pStyle w:val="Prrafodelista"/>
        <w:numPr>
          <w:ilvl w:val="1"/>
          <w:numId w:val="7"/>
        </w:numPr>
        <w:tabs>
          <w:tab w:val="left" w:pos="426"/>
        </w:tabs>
        <w:spacing w:line="360" w:lineRule="auto"/>
        <w:ind w:left="1134" w:right="49"/>
        <w:jc w:val="both"/>
        <w:rPr>
          <w:rFonts w:ascii="Palatino Linotype" w:eastAsia="Times New Roman" w:hAnsi="Palatino Linotype" w:cs="Arial"/>
          <w:b/>
          <w:color w:val="000000" w:themeColor="text1"/>
          <w:lang w:eastAsia="es-MX"/>
        </w:rPr>
      </w:pPr>
      <w:r w:rsidRPr="00545B93">
        <w:rPr>
          <w:rFonts w:ascii="Palatino Linotype" w:eastAsia="Times New Roman" w:hAnsi="Palatino Linotype" w:cs="Arial"/>
          <w:b/>
          <w:color w:val="000000" w:themeColor="text1"/>
          <w:lang w:eastAsia="es-MX"/>
        </w:rPr>
        <w:t>El acto que se recurre; y</w:t>
      </w:r>
    </w:p>
    <w:p w14:paraId="0FBB13A9" w14:textId="35208D97" w:rsidR="00545B93" w:rsidRDefault="00545B93" w:rsidP="00F15830">
      <w:pPr>
        <w:pStyle w:val="Prrafodelista"/>
        <w:numPr>
          <w:ilvl w:val="1"/>
          <w:numId w:val="7"/>
        </w:numPr>
        <w:tabs>
          <w:tab w:val="left" w:pos="426"/>
        </w:tabs>
        <w:spacing w:line="360" w:lineRule="auto"/>
        <w:ind w:left="1134" w:right="49"/>
        <w:jc w:val="both"/>
        <w:rPr>
          <w:rFonts w:ascii="Palatino Linotype" w:eastAsia="Times New Roman" w:hAnsi="Palatino Linotype" w:cs="Arial"/>
          <w:bCs/>
          <w:color w:val="000000" w:themeColor="text1"/>
          <w:lang w:eastAsia="es-MX"/>
        </w:rPr>
      </w:pPr>
      <w:r w:rsidRPr="00545B93">
        <w:rPr>
          <w:rFonts w:ascii="Palatino Linotype" w:eastAsia="Times New Roman" w:hAnsi="Palatino Linotype" w:cs="Arial"/>
          <w:b/>
          <w:color w:val="000000" w:themeColor="text1"/>
          <w:lang w:eastAsia="es-MX"/>
        </w:rPr>
        <w:t>Las razones o motivos de inconformidad</w:t>
      </w:r>
      <w:r>
        <w:rPr>
          <w:rFonts w:ascii="Palatino Linotype" w:eastAsia="Times New Roman" w:hAnsi="Palatino Linotype" w:cs="Arial"/>
          <w:bCs/>
          <w:color w:val="000000" w:themeColor="text1"/>
          <w:lang w:eastAsia="es-MX"/>
        </w:rPr>
        <w:t>.</w:t>
      </w:r>
    </w:p>
    <w:p w14:paraId="5C8C1E11" w14:textId="77777777" w:rsidR="00545B93" w:rsidRPr="00545B93" w:rsidRDefault="00545B93" w:rsidP="00545B93">
      <w:pPr>
        <w:pStyle w:val="Prrafodelista"/>
        <w:tabs>
          <w:tab w:val="left" w:pos="426"/>
        </w:tabs>
        <w:spacing w:line="360" w:lineRule="auto"/>
        <w:ind w:left="1134" w:right="49"/>
        <w:jc w:val="both"/>
        <w:rPr>
          <w:rFonts w:ascii="Palatino Linotype" w:eastAsia="Times New Roman" w:hAnsi="Palatino Linotype" w:cs="Arial"/>
          <w:bCs/>
          <w:color w:val="000000" w:themeColor="text1"/>
          <w:lang w:eastAsia="es-MX"/>
        </w:rPr>
      </w:pPr>
    </w:p>
    <w:p w14:paraId="546EB499" w14:textId="25D2CA0D" w:rsidR="00545B93" w:rsidRDefault="00545B9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color w:val="000000" w:themeColor="text1"/>
          <w:lang w:eastAsia="es-MX"/>
        </w:rPr>
        <w:t xml:space="preserve">En el presente asunto, y como fuera señalado en el apartado de </w:t>
      </w:r>
      <w:r>
        <w:rPr>
          <w:rFonts w:ascii="Palatino Linotype" w:eastAsia="Times New Roman" w:hAnsi="Palatino Linotype" w:cs="Arial"/>
          <w:bCs/>
          <w:i/>
          <w:iCs/>
          <w:color w:val="000000" w:themeColor="text1"/>
          <w:lang w:eastAsia="es-MX"/>
        </w:rPr>
        <w:t>Antecedentes</w:t>
      </w:r>
      <w:r>
        <w:rPr>
          <w:rFonts w:ascii="Palatino Linotype" w:eastAsia="Times New Roman" w:hAnsi="Palatino Linotype" w:cs="Arial"/>
          <w:bCs/>
          <w:color w:val="000000" w:themeColor="text1"/>
          <w:lang w:eastAsia="es-MX"/>
        </w:rPr>
        <w:t xml:space="preserve"> de la presente resolución, la </w:t>
      </w:r>
      <w:r>
        <w:rPr>
          <w:rFonts w:ascii="Palatino Linotype" w:eastAsia="Times New Roman" w:hAnsi="Palatino Linotype" w:cs="Arial"/>
          <w:b/>
          <w:color w:val="000000" w:themeColor="text1"/>
          <w:lang w:eastAsia="es-MX"/>
        </w:rPr>
        <w:t>RECURRENTE</w:t>
      </w:r>
      <w:r>
        <w:rPr>
          <w:rFonts w:ascii="Palatino Linotype" w:eastAsia="Times New Roman" w:hAnsi="Palatino Linotype" w:cs="Arial"/>
          <w:bCs/>
          <w:color w:val="000000" w:themeColor="text1"/>
          <w:lang w:eastAsia="es-MX"/>
        </w:rPr>
        <w:t xml:space="preserve"> no utilizó el apartado denominado </w:t>
      </w:r>
      <w:r>
        <w:rPr>
          <w:rFonts w:ascii="Palatino Linotype" w:eastAsia="Times New Roman" w:hAnsi="Palatino Linotype" w:cs="Arial"/>
          <w:bCs/>
          <w:i/>
          <w:iCs/>
          <w:color w:val="000000" w:themeColor="text1"/>
          <w:lang w:eastAsia="es-MX"/>
        </w:rPr>
        <w:t>Razones o motivos de la inconformidad</w:t>
      </w:r>
      <w:r>
        <w:rPr>
          <w:rFonts w:ascii="Palatino Linotype" w:eastAsia="Times New Roman" w:hAnsi="Palatino Linotype" w:cs="Arial"/>
          <w:bCs/>
          <w:color w:val="000000" w:themeColor="text1"/>
          <w:lang w:eastAsia="es-MX"/>
        </w:rPr>
        <w:t xml:space="preserve">, para indicar los agravios que, a su consideración, le generaba la respuesta a la solicitud de información </w:t>
      </w:r>
      <w:r w:rsidR="007D586E">
        <w:rPr>
          <w:rFonts w:ascii="Palatino Linotype" w:eastAsia="Times New Roman" w:hAnsi="Palatino Linotype" w:cs="Arial"/>
          <w:b/>
          <w:color w:val="000000" w:themeColor="text1"/>
          <w:lang w:eastAsia="es-MX"/>
        </w:rPr>
        <w:t>00053/OASECATEPE/IP/2021</w:t>
      </w:r>
      <w:r w:rsidR="007D586E">
        <w:rPr>
          <w:rFonts w:ascii="Palatino Linotype" w:eastAsia="Times New Roman" w:hAnsi="Palatino Linotype" w:cs="Arial"/>
          <w:bCs/>
          <w:color w:val="000000" w:themeColor="text1"/>
          <w:lang w:eastAsia="es-MX"/>
        </w:rPr>
        <w:t>. Se adjunta fragmento del escrito recursal para efectos referenciativos:</w:t>
      </w:r>
    </w:p>
    <w:p w14:paraId="325B5CF1" w14:textId="229E0BDF" w:rsidR="009C4817" w:rsidRDefault="009C4817" w:rsidP="009C4817">
      <w:pPr>
        <w:pStyle w:val="Prrafodelista"/>
        <w:rPr>
          <w:rFonts w:ascii="Palatino Linotype" w:eastAsia="Times New Roman" w:hAnsi="Palatino Linotype" w:cs="Arial"/>
          <w:bCs/>
          <w:color w:val="000000" w:themeColor="text1"/>
          <w:lang w:eastAsia="es-MX"/>
        </w:rPr>
      </w:pPr>
    </w:p>
    <w:p w14:paraId="243A37DD" w14:textId="1C8A12B2" w:rsidR="007D586E" w:rsidRDefault="007D586E" w:rsidP="007D586E">
      <w:pPr>
        <w:pStyle w:val="Prrafodelista"/>
        <w:rPr>
          <w:rFonts w:ascii="Palatino Linotype" w:eastAsia="Times New Roman" w:hAnsi="Palatino Linotype" w:cs="Arial"/>
          <w:bCs/>
          <w:color w:val="000000" w:themeColor="text1"/>
          <w:lang w:eastAsia="es-MX"/>
        </w:rPr>
      </w:pPr>
      <w:r>
        <w:object w:dxaOrig="10770" w:dyaOrig="5230" w14:anchorId="7B031019">
          <v:shape id="_x0000_i1026" type="#_x0000_t75" style="width:375.05pt;height:181.6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6" DrawAspect="Content" ObjectID="_1706969298" r:id="rId11"/>
        </w:object>
      </w:r>
    </w:p>
    <w:p w14:paraId="414F9688" w14:textId="77777777" w:rsidR="007D586E" w:rsidRPr="009C4817" w:rsidRDefault="007D586E" w:rsidP="009C4817">
      <w:pPr>
        <w:pStyle w:val="Prrafodelista"/>
        <w:rPr>
          <w:rFonts w:ascii="Palatino Linotype" w:eastAsia="Times New Roman" w:hAnsi="Palatino Linotype" w:cs="Arial"/>
          <w:bCs/>
          <w:color w:val="000000" w:themeColor="text1"/>
          <w:lang w:eastAsia="es-MX"/>
        </w:rPr>
      </w:pPr>
    </w:p>
    <w:p w14:paraId="4EBD2BB0" w14:textId="0DBF94EF" w:rsidR="009C4817" w:rsidRDefault="007D586E"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color w:val="000000" w:themeColor="text1"/>
          <w:lang w:eastAsia="es-MX"/>
        </w:rPr>
        <w:t xml:space="preserve">No obstante, resulta esencial </w:t>
      </w:r>
      <w:r w:rsidR="00FA375C">
        <w:rPr>
          <w:rFonts w:ascii="Palatino Linotype" w:eastAsia="Times New Roman" w:hAnsi="Palatino Linotype" w:cs="Arial"/>
          <w:bCs/>
          <w:color w:val="000000" w:themeColor="text1"/>
          <w:lang w:eastAsia="es-MX"/>
        </w:rPr>
        <w:t xml:space="preserve">referir que el párrafo cuarto del artículo 181 de la Ley de la materia refiere que, </w:t>
      </w:r>
      <w:r w:rsidR="00FA375C" w:rsidRPr="00FA375C">
        <w:rPr>
          <w:rFonts w:ascii="Palatino Linotype" w:eastAsia="Times New Roman" w:hAnsi="Palatino Linotype" w:cs="Arial"/>
          <w:b/>
          <w:color w:val="000000" w:themeColor="text1"/>
          <w:lang w:eastAsia="es-MX"/>
        </w:rPr>
        <w:t xml:space="preserve">durante la sustanciación del procedimiento deberá </w:t>
      </w:r>
      <w:r w:rsidR="00FA375C" w:rsidRPr="00FA375C">
        <w:rPr>
          <w:rFonts w:ascii="Palatino Linotype" w:eastAsia="Times New Roman" w:hAnsi="Palatino Linotype" w:cs="Arial"/>
          <w:b/>
          <w:color w:val="000000" w:themeColor="text1"/>
          <w:lang w:eastAsia="es-MX"/>
        </w:rPr>
        <w:lastRenderedPageBreak/>
        <w:t>aplicarse la suplencia de la queja a favor del recurrente, sin cambiar los hechos expuestos</w:t>
      </w:r>
      <w:r w:rsidR="00FA375C" w:rsidRPr="00FA375C">
        <w:rPr>
          <w:rFonts w:ascii="Palatino Linotype" w:eastAsia="Times New Roman" w:hAnsi="Palatino Linotype" w:cs="Arial"/>
          <w:bCs/>
          <w:color w:val="000000" w:themeColor="text1"/>
          <w:lang w:eastAsia="es-MX"/>
        </w:rPr>
        <w:t>, asegurándose de que las partes puedan presentar, de manera oral o escrita, los argumentos que funden y motiven sus pretensiones.</w:t>
      </w:r>
    </w:p>
    <w:p w14:paraId="6B4054B3" w14:textId="77777777" w:rsidR="009C4817" w:rsidRPr="009C4817" w:rsidRDefault="009C4817" w:rsidP="009C4817">
      <w:pPr>
        <w:pStyle w:val="Prrafodelista"/>
        <w:rPr>
          <w:rFonts w:ascii="Palatino Linotype" w:eastAsia="Times New Roman" w:hAnsi="Palatino Linotype" w:cs="Arial"/>
          <w:bCs/>
          <w:color w:val="000000" w:themeColor="text1"/>
          <w:lang w:eastAsia="es-MX"/>
        </w:rPr>
      </w:pPr>
    </w:p>
    <w:p w14:paraId="72BA7262" w14:textId="0C50D921" w:rsidR="009C4817" w:rsidRPr="00FA375C" w:rsidRDefault="00FA375C" w:rsidP="00FA375C">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color w:val="000000" w:themeColor="text1"/>
          <w:lang w:eastAsia="es-MX"/>
        </w:rPr>
        <w:t xml:space="preserve">De tal guisa que, en aras de proteger y dar prevalencia del derecho de acceso a la información ejercido por la </w:t>
      </w:r>
      <w:r>
        <w:rPr>
          <w:rFonts w:ascii="Palatino Linotype" w:eastAsia="Times New Roman" w:hAnsi="Palatino Linotype" w:cs="Arial"/>
          <w:b/>
          <w:color w:val="000000" w:themeColor="text1"/>
          <w:lang w:eastAsia="es-MX"/>
        </w:rPr>
        <w:t>RECURRENTE</w:t>
      </w:r>
      <w:r>
        <w:rPr>
          <w:rFonts w:ascii="Palatino Linotype" w:eastAsia="Times New Roman" w:hAnsi="Palatino Linotype" w:cs="Arial"/>
          <w:bCs/>
          <w:color w:val="000000" w:themeColor="text1"/>
          <w:lang w:eastAsia="es-MX"/>
        </w:rPr>
        <w:t xml:space="preserve">, con base en los pronunciamientos vertidos en el apartado denominado </w:t>
      </w:r>
      <w:r>
        <w:rPr>
          <w:rFonts w:ascii="Palatino Linotype" w:eastAsia="Times New Roman" w:hAnsi="Palatino Linotype" w:cs="Arial"/>
          <w:bCs/>
          <w:i/>
          <w:iCs/>
          <w:color w:val="000000" w:themeColor="text1"/>
          <w:lang w:eastAsia="es-MX"/>
        </w:rPr>
        <w:t>Acto impugnado</w:t>
      </w:r>
      <w:r>
        <w:rPr>
          <w:rFonts w:ascii="Palatino Linotype" w:eastAsia="Times New Roman" w:hAnsi="Palatino Linotype" w:cs="Arial"/>
          <w:bCs/>
          <w:color w:val="000000" w:themeColor="text1"/>
          <w:lang w:eastAsia="es-MX"/>
        </w:rPr>
        <w:t xml:space="preserve"> del recurso de revisión, podemos identificar que el acto de autoridad que se impugna es justamente la respuesta otorgada a la solicitud de información, mientras que los agravios o </w:t>
      </w:r>
      <w:r>
        <w:rPr>
          <w:rFonts w:ascii="Palatino Linotype" w:eastAsia="Times New Roman" w:hAnsi="Palatino Linotype" w:cs="Arial"/>
          <w:bCs/>
          <w:i/>
          <w:iCs/>
          <w:color w:val="000000" w:themeColor="text1"/>
          <w:lang w:eastAsia="es-MX"/>
        </w:rPr>
        <w:t>Razones o motivos de la inconformidad</w:t>
      </w:r>
      <w:r>
        <w:rPr>
          <w:rFonts w:ascii="Palatino Linotype" w:eastAsia="Times New Roman" w:hAnsi="Palatino Linotype" w:cs="Arial"/>
          <w:bCs/>
          <w:color w:val="000000" w:themeColor="text1"/>
          <w:lang w:eastAsia="es-MX"/>
        </w:rPr>
        <w:t xml:space="preserve"> es, a consideración de la particular, que no se le hizo entrega de la información.</w:t>
      </w:r>
    </w:p>
    <w:p w14:paraId="1511F63E" w14:textId="77777777" w:rsidR="00855985" w:rsidRPr="00855985"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BD17DCF" w:rsidR="005F1362" w:rsidRPr="003F4A7B"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C</w:t>
      </w:r>
      <w:r w:rsidR="00AF6795">
        <w:rPr>
          <w:rFonts w:ascii="Palatino Linotype" w:eastAsia="Calibri" w:hAnsi="Palatino Linotype" w:cs="Arial"/>
          <w:color w:val="000000" w:themeColor="text1"/>
        </w:rPr>
        <w:t>onsecuencia de lo anterior, este</w:t>
      </w:r>
      <w:r w:rsidRPr="00A85CB7">
        <w:rPr>
          <w:rFonts w:ascii="Palatino Linotype" w:eastAsia="Calibri" w:hAnsi="Palatino Linotype" w:cs="Arial"/>
          <w:color w:val="000000" w:themeColor="text1"/>
        </w:rPr>
        <w:t xml:space="preserve"> </w:t>
      </w:r>
      <w:r w:rsidR="00AF6795">
        <w:rPr>
          <w:rFonts w:ascii="Palatino Linotype" w:eastAsia="Calibri" w:hAnsi="Palatino Linotype" w:cs="Arial"/>
          <w:color w:val="000000" w:themeColor="text1"/>
        </w:rPr>
        <w:t>Órgano Garante</w:t>
      </w:r>
      <w:r w:rsidRPr="00A85CB7">
        <w:rPr>
          <w:rFonts w:ascii="Palatino Linotype" w:eastAsia="Calibri" w:hAnsi="Palatino Linotype" w:cs="Arial"/>
          <w:color w:val="000000" w:themeColor="text1"/>
        </w:rPr>
        <w:t xml:space="preserve">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103662"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A85CB7"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2"/>
      <w:bookmarkEnd w:id="13"/>
      <w:bookmarkEnd w:id="14"/>
    </w:p>
    <w:p w14:paraId="4231B8D5" w14:textId="77777777" w:rsidR="00540208" w:rsidRPr="00A85CB7" w:rsidRDefault="00540208" w:rsidP="00B31E90">
      <w:pPr>
        <w:rPr>
          <w:rFonts w:ascii="Palatino Linotype" w:hAnsi="Palatino Linotype"/>
          <w:color w:val="000000" w:themeColor="text1"/>
          <w:lang w:eastAsia="en-US"/>
        </w:rPr>
      </w:pPr>
    </w:p>
    <w:bookmarkEnd w:id="15"/>
    <w:bookmarkEnd w:id="16"/>
    <w:p w14:paraId="26137E4C" w14:textId="621EBFC3" w:rsidR="0056788F" w:rsidRPr="00CA0640" w:rsidRDefault="001C20E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Se requirió </w:t>
      </w:r>
      <w:r w:rsidR="00921375">
        <w:rPr>
          <w:rFonts w:ascii="Palatino Linotype" w:hAnsi="Palatino Linotype" w:cs="Arial"/>
          <w:color w:val="000000" w:themeColor="text1"/>
        </w:rPr>
        <w:t>la Manifestación de Impacto Ambiental</w:t>
      </w:r>
      <w:r w:rsidR="00FF3F58">
        <w:rPr>
          <w:rFonts w:ascii="Palatino Linotype" w:hAnsi="Palatino Linotype" w:cs="Arial"/>
          <w:color w:val="000000" w:themeColor="text1"/>
        </w:rPr>
        <w:t>, o el documento generado por la autoridad ambiental, relativa a la construcción del pozo de agua “Emiliano Zapata”, así como las medidas de mitigación por el daño ambiental y compensaciones solicitadas en la misma</w:t>
      </w:r>
      <w:r w:rsidR="007E64B6">
        <w:rPr>
          <w:rFonts w:ascii="Palatino Linotype" w:hAnsi="Palatino Linotype" w:cs="Arial"/>
          <w:color w:val="000000" w:themeColor="text1"/>
        </w:rPr>
        <w:t>.</w:t>
      </w:r>
      <w:r w:rsidR="00910076">
        <w:rPr>
          <w:rFonts w:ascii="Palatino Linotype" w:hAnsi="Palatino Linotype" w:cs="Arial"/>
          <w:color w:val="000000" w:themeColor="text1"/>
        </w:rPr>
        <w:t xml:space="preserve"> El </w:t>
      </w:r>
      <w:r w:rsidR="00910076">
        <w:rPr>
          <w:rFonts w:ascii="Palatino Linotype" w:hAnsi="Palatino Linotype" w:cs="Arial"/>
          <w:b/>
          <w:bCs/>
          <w:color w:val="000000" w:themeColor="text1"/>
        </w:rPr>
        <w:t>SUJETO OBLIGADO</w:t>
      </w:r>
      <w:r w:rsidR="00910076">
        <w:rPr>
          <w:rFonts w:ascii="Palatino Linotype" w:hAnsi="Palatino Linotype" w:cs="Arial"/>
          <w:color w:val="000000" w:themeColor="text1"/>
        </w:rPr>
        <w:t xml:space="preserve"> </w:t>
      </w:r>
      <w:r w:rsidR="004364EE">
        <w:rPr>
          <w:rFonts w:ascii="Palatino Linotype" w:hAnsi="Palatino Linotype" w:cs="Arial"/>
          <w:color w:val="000000" w:themeColor="text1"/>
        </w:rPr>
        <w:t xml:space="preserve">informó que </w:t>
      </w:r>
      <w:r w:rsidR="004364EE">
        <w:rPr>
          <w:rFonts w:ascii="Palatino Linotype" w:hAnsi="Palatino Linotype" w:cs="Arial"/>
          <w:color w:val="000000" w:themeColor="text1"/>
        </w:rPr>
        <w:lastRenderedPageBreak/>
        <w:t>ninguna autoridad ambiental ha solicitado una manifestación ambiental para ninguno de los pozos, y que ésta no era un requisito para la perforación de un pozo para agua potable</w:t>
      </w:r>
      <w:r w:rsidR="007E64B6">
        <w:rPr>
          <w:rFonts w:ascii="Palatino Linotype" w:hAnsi="Palatino Linotype" w:cs="Arial"/>
          <w:color w:val="000000" w:themeColor="text1"/>
        </w:rPr>
        <w:t>.</w:t>
      </w:r>
      <w:r w:rsidR="007758D3">
        <w:rPr>
          <w:rFonts w:ascii="Palatino Linotype" w:hAnsi="Palatino Linotype" w:cs="Arial"/>
          <w:color w:val="000000" w:themeColor="text1"/>
        </w:rPr>
        <w:t xml:space="preserve"> </w:t>
      </w:r>
      <w:r w:rsidR="004364EE">
        <w:rPr>
          <w:rFonts w:ascii="Palatino Linotype" w:hAnsi="Palatino Linotype" w:cs="Arial"/>
          <w:color w:val="000000" w:themeColor="text1"/>
        </w:rPr>
        <w:t>La</w:t>
      </w:r>
      <w:r w:rsidR="00080B7D">
        <w:rPr>
          <w:rFonts w:ascii="Palatino Linotype" w:hAnsi="Palatino Linotype" w:cs="Arial"/>
          <w:color w:val="000000" w:themeColor="text1"/>
        </w:rPr>
        <w:t xml:space="preserve"> </w:t>
      </w:r>
      <w:r w:rsidR="007758D3">
        <w:rPr>
          <w:rFonts w:ascii="Palatino Linotype" w:hAnsi="Palatino Linotype" w:cs="Arial"/>
          <w:color w:val="000000" w:themeColor="text1"/>
        </w:rPr>
        <w:t xml:space="preserve">particular impugnó la respuesta del </w:t>
      </w:r>
      <w:r w:rsidR="007758D3">
        <w:rPr>
          <w:rFonts w:ascii="Palatino Linotype" w:hAnsi="Palatino Linotype" w:cs="Arial"/>
          <w:b/>
          <w:color w:val="000000" w:themeColor="text1"/>
        </w:rPr>
        <w:t>SUJETO OBLIGADO</w:t>
      </w:r>
      <w:r w:rsidR="007758D3">
        <w:rPr>
          <w:rFonts w:ascii="Palatino Linotype" w:hAnsi="Palatino Linotype" w:cs="Arial"/>
          <w:color w:val="000000" w:themeColor="text1"/>
        </w:rPr>
        <w:t xml:space="preserve"> mediante recurso de revisión</w:t>
      </w:r>
      <w:r w:rsidR="00080B7D">
        <w:rPr>
          <w:rFonts w:ascii="Palatino Linotype" w:hAnsi="Palatino Linotype" w:cs="Arial"/>
          <w:color w:val="000000" w:themeColor="text1"/>
        </w:rPr>
        <w:t>,</w:t>
      </w:r>
      <w:r w:rsidR="007758D3">
        <w:rPr>
          <w:rFonts w:ascii="Palatino Linotype" w:hAnsi="Palatino Linotype" w:cs="Arial"/>
          <w:color w:val="000000" w:themeColor="text1"/>
        </w:rPr>
        <w:t xml:space="preserve"> en el que señaló por agravios, </w:t>
      </w:r>
      <w:r w:rsidR="004364EE">
        <w:rPr>
          <w:rFonts w:ascii="Palatino Linotype" w:hAnsi="Palatino Linotype" w:cs="Arial"/>
          <w:color w:val="000000" w:themeColor="text1"/>
        </w:rPr>
        <w:t>que no se le había entregado la información correspondiente</w:t>
      </w:r>
      <w:r w:rsidR="007758D3">
        <w:rPr>
          <w:rFonts w:ascii="Palatino Linotype" w:hAnsi="Palatino Linotype" w:cs="Arial"/>
          <w:color w:val="000000" w:themeColor="text1"/>
        </w:rPr>
        <w:t>.</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138B2C9F"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AF6795">
        <w:rPr>
          <w:rFonts w:ascii="Palatino Linotype" w:hAnsi="Palatino Linotype" w:cs="Arial"/>
          <w:color w:val="000000" w:themeColor="text1"/>
        </w:rPr>
        <w:t>este</w:t>
      </w:r>
      <w:r w:rsidR="002E160F" w:rsidRPr="0056788F">
        <w:rPr>
          <w:rFonts w:ascii="Palatino Linotype" w:hAnsi="Palatino Linotype" w:cs="Arial"/>
          <w:color w:val="000000" w:themeColor="text1"/>
        </w:rPr>
        <w:t xml:space="preserve"> </w:t>
      </w:r>
      <w:r w:rsidR="00AF6795">
        <w:rPr>
          <w:rFonts w:ascii="Palatino Linotype" w:hAnsi="Palatino Linotype" w:cs="Arial"/>
          <w:color w:val="000000" w:themeColor="text1"/>
        </w:rPr>
        <w:t>Órgano Garante</w:t>
      </w:r>
      <w:r w:rsidR="002E160F" w:rsidRPr="0056788F">
        <w:rPr>
          <w:rFonts w:ascii="Palatino Linotype" w:hAnsi="Palatino Linotype" w:cs="Arial"/>
          <w:color w:val="000000" w:themeColor="text1"/>
        </w:rPr>
        <w:t xml:space="preserve"> advierte que las razones o motivos de inconformidad manifestados por el </w:t>
      </w:r>
      <w:r w:rsidRPr="0056788F">
        <w:rPr>
          <w:rFonts w:ascii="Palatino Linotype" w:hAnsi="Palatino Linotype" w:cs="Arial"/>
          <w:b/>
          <w:bCs/>
          <w:color w:val="000000" w:themeColor="text1"/>
        </w:rPr>
        <w:t>RECURRENTE</w:t>
      </w:r>
      <w:r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B855AA" w:rsidRPr="0056788F">
        <w:rPr>
          <w:rFonts w:ascii="Palatino Linotype" w:hAnsi="Palatino Linotype" w:cs="Arial"/>
          <w:color w:val="000000" w:themeColor="text1"/>
        </w:rPr>
        <w:t xml:space="preserve"> </w:t>
      </w:r>
      <w:r w:rsidR="007758D3">
        <w:rPr>
          <w:rFonts w:ascii="Palatino Linotype" w:hAnsi="Palatino Linotype" w:cs="Arial"/>
          <w:b/>
          <w:bCs/>
          <w:color w:val="000000" w:themeColor="text1"/>
        </w:rPr>
        <w:t>confiable</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13D0170E"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 la causal de procedencia</w:t>
      </w:r>
      <w:r w:rsidR="00E66A80" w:rsidRPr="00A85CB7">
        <w:rPr>
          <w:rFonts w:ascii="Palatino Linotype" w:hAnsi="Palatino Linotype" w:cs="Arial"/>
          <w:color w:val="000000" w:themeColor="text1"/>
          <w:szCs w:val="23"/>
        </w:rPr>
        <w:t xml:space="preserve"> del recurso de revisión establecida en el artículo 179</w:t>
      </w:r>
      <w:r w:rsidR="004364EE">
        <w:rPr>
          <w:rFonts w:ascii="Palatino Linotype" w:hAnsi="Palatino Linotype" w:cs="Arial"/>
          <w:color w:val="000000" w:themeColor="text1"/>
          <w:szCs w:val="23"/>
        </w:rPr>
        <w:t>,</w:t>
      </w:r>
      <w:r w:rsidR="00E66A80" w:rsidRPr="00A85CB7">
        <w:rPr>
          <w:rFonts w:ascii="Palatino Linotype" w:hAnsi="Palatino Linotype" w:cs="Arial"/>
          <w:color w:val="000000" w:themeColor="text1"/>
          <w:szCs w:val="23"/>
        </w:rPr>
        <w:t xml:space="preserve"> </w:t>
      </w:r>
      <w:r w:rsidR="00C51671">
        <w:rPr>
          <w:rFonts w:ascii="Palatino Linotype" w:hAnsi="Palatino Linotype" w:cs="Arial"/>
          <w:color w:val="000000" w:themeColor="text1"/>
          <w:szCs w:val="23"/>
        </w:rPr>
        <w:t>fracci</w:t>
      </w:r>
      <w:r w:rsidR="004364EE">
        <w:rPr>
          <w:rFonts w:ascii="Palatino Linotype" w:hAnsi="Palatino Linotype" w:cs="Arial"/>
          <w:color w:val="000000" w:themeColor="text1"/>
          <w:szCs w:val="23"/>
        </w:rPr>
        <w:t>ón</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4364EE">
        <w:rPr>
          <w:rFonts w:ascii="Palatino Linotype" w:hAnsi="Palatino Linotype" w:cs="Arial"/>
          <w:color w:val="000000" w:themeColor="text1"/>
          <w:szCs w:val="23"/>
        </w:rPr>
        <w:t>,</w:t>
      </w:r>
      <w:r w:rsidR="00C15F97" w:rsidRPr="00A85CB7">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4364EE">
        <w:rPr>
          <w:rFonts w:ascii="Palatino Linotype" w:hAnsi="Palatino Linotype" w:cs="Arial"/>
          <w:color w:val="000000" w:themeColor="text1"/>
          <w:szCs w:val="23"/>
        </w:rPr>
        <w:t>misma</w:t>
      </w:r>
      <w:r w:rsidR="00C51671">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que se transcribe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4FCA9B3F" w14:textId="78F726B6" w:rsidR="00515DEC" w:rsidRPr="00A85CB7" w:rsidRDefault="00515DEC" w:rsidP="004364EE">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1B05DC04" w:rsidR="00EF014A" w:rsidRPr="00A85CB7" w:rsidRDefault="00273D1A" w:rsidP="00F96156">
      <w:pPr>
        <w:pStyle w:val="Ttulo2"/>
        <w:tabs>
          <w:tab w:val="left" w:pos="426"/>
        </w:tabs>
        <w:rPr>
          <w:rFonts w:ascii="Palatino Linotype" w:hAnsi="Palatino Linotype" w:cs="Arial"/>
          <w:b/>
          <w:color w:val="000000" w:themeColor="text1"/>
          <w:sz w:val="24"/>
        </w:rPr>
      </w:pPr>
      <w:bookmarkStart w:id="22" w:name="_Toc87456489"/>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2"/>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Pr>
          <w:rFonts w:ascii="Palatino Linotype" w:hAnsi="Palatino Linotype"/>
          <w:b/>
          <w:bCs/>
          <w:color w:val="000000" w:themeColor="text1"/>
        </w:rPr>
        <w:t xml:space="preserve">I. De la </w:t>
      </w:r>
      <w:r w:rsidR="00167813">
        <w:rPr>
          <w:rFonts w:ascii="Palatino Linotype" w:hAnsi="Palatino Linotype"/>
          <w:b/>
          <w:bCs/>
          <w:color w:val="000000" w:themeColor="text1"/>
        </w:rPr>
        <w:t>atención</w:t>
      </w:r>
      <w:r w:rsidR="00D00269">
        <w:rPr>
          <w:rFonts w:ascii="Palatino Linotype" w:hAnsi="Palatino Linotype"/>
          <w:b/>
          <w:bCs/>
          <w:color w:val="000000" w:themeColor="text1"/>
        </w:rPr>
        <w:t xml:space="preserve"> a la solicitud de información</w:t>
      </w:r>
      <w:r>
        <w:rPr>
          <w:rFonts w:ascii="Palatino Linotype" w:hAnsi="Palatino Linotype"/>
          <w:b/>
          <w:bCs/>
          <w:color w:val="000000" w:themeColor="text1"/>
        </w:rPr>
        <w:t>.</w:t>
      </w:r>
      <w:bookmarkEnd w:id="25"/>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365ADD92" w14:textId="77777777" w:rsidR="00E50851" w:rsidRPr="00167813" w:rsidRDefault="00E50851" w:rsidP="00E508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167813">
        <w:rPr>
          <w:rFonts w:ascii="Palatino Linotype" w:hAnsi="Palatino Linotype"/>
          <w:color w:val="000000" w:themeColor="text1"/>
        </w:rPr>
        <w:t>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56F2EBC0" w14:textId="77777777" w:rsidR="00E50851" w:rsidRDefault="00E50851" w:rsidP="00E50851">
      <w:pPr>
        <w:pStyle w:val="Prrafodelista"/>
        <w:tabs>
          <w:tab w:val="left" w:pos="426"/>
        </w:tabs>
        <w:spacing w:before="240" w:after="240" w:line="360" w:lineRule="auto"/>
        <w:ind w:left="0" w:right="51"/>
        <w:jc w:val="both"/>
        <w:rPr>
          <w:rFonts w:ascii="Palatino Linotype" w:hAnsi="Palatino Linotype"/>
          <w:color w:val="000000" w:themeColor="text1"/>
        </w:rPr>
      </w:pPr>
    </w:p>
    <w:p w14:paraId="404B0A0E" w14:textId="77777777" w:rsidR="00E50851" w:rsidRDefault="00E50851" w:rsidP="00E508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956116">
        <w:rPr>
          <w:rFonts w:ascii="Palatino Linotype" w:hAnsi="Palatino Linotype" w:cs="Arial"/>
        </w:rPr>
        <w:t xml:space="preserve">atender las solicitudes de información, los Sujetos Obligados contarán con un área denominada </w:t>
      </w:r>
      <w:r w:rsidRPr="00956116">
        <w:rPr>
          <w:rFonts w:ascii="Palatino Linotype" w:hAnsi="Palatino Linotype" w:cs="Arial"/>
          <w:b/>
          <w:bCs/>
        </w:rPr>
        <w:t>Unidad de Transparencia</w:t>
      </w:r>
      <w:r w:rsidRPr="00956116">
        <w:rPr>
          <w:rFonts w:ascii="Palatino Linotype" w:hAnsi="Palatino Linotype" w:cs="Arial"/>
          <w:vertAlign w:val="superscript"/>
        </w:rPr>
        <w:footnoteReference w:id="1"/>
      </w:r>
      <w:r w:rsidRPr="00956116">
        <w:rPr>
          <w:rFonts w:ascii="Palatino Linotype" w:hAnsi="Palatino Linotype" w:cs="Arial"/>
        </w:rPr>
        <w:t xml:space="preserve">, la cual será presidida por un Titular, quien fungirá como enlace entre éstos y los solicitantes. Dicha Unidad </w:t>
      </w:r>
      <w:r w:rsidRPr="00956116">
        <w:rPr>
          <w:rFonts w:ascii="Palatino Linotype" w:hAnsi="Palatino Linotype" w:cs="Arial"/>
          <w:b/>
          <w:bCs/>
        </w:rPr>
        <w:t>será la encargada de tramitar internamente la solicitud de información</w:t>
      </w:r>
      <w:r w:rsidRPr="00956116">
        <w:rPr>
          <w:rFonts w:ascii="Palatino Linotype" w:hAnsi="Palatino Linotype" w:cs="Arial"/>
        </w:rPr>
        <w:t xml:space="preserve"> y tendrá la responsabilidad de verificar en cada caso que la misma no sea confidencial o reservada. Asimismo, contará con las facultades internas necesarias para </w:t>
      </w:r>
      <w:r w:rsidRPr="00956116">
        <w:rPr>
          <w:rFonts w:ascii="Palatino Linotype" w:hAnsi="Palatino Linotype" w:cs="Arial"/>
          <w:b/>
          <w:bCs/>
        </w:rPr>
        <w:t xml:space="preserve">gestionar la atención a las solicitudes de información </w:t>
      </w:r>
      <w:r w:rsidRPr="00956116">
        <w:rPr>
          <w:rFonts w:ascii="Palatino Linotype" w:hAnsi="Palatino Linotype" w:cs="Arial"/>
        </w:rPr>
        <w:t>en los términos de la Ley General y la Ley de Transparencia y Acceso a la Información Pública del Estado de México y Municipios</w:t>
      </w:r>
      <w:r w:rsidRPr="00956116">
        <w:rPr>
          <w:rFonts w:ascii="Palatino Linotype" w:hAnsi="Palatino Linotype" w:cs="Arial"/>
          <w:vertAlign w:val="superscript"/>
        </w:rPr>
        <w:footnoteReference w:id="2"/>
      </w:r>
      <w:r w:rsidRPr="00956116">
        <w:rPr>
          <w:rFonts w:ascii="Palatino Linotype" w:hAnsi="Palatino Linotype" w:cs="Arial"/>
        </w:rPr>
        <w:t>.</w:t>
      </w:r>
    </w:p>
    <w:p w14:paraId="19CD84BE" w14:textId="77777777" w:rsidR="00E50851" w:rsidRDefault="00E50851" w:rsidP="00E50851">
      <w:pPr>
        <w:pStyle w:val="Prrafodelista"/>
        <w:tabs>
          <w:tab w:val="left" w:pos="426"/>
        </w:tabs>
        <w:spacing w:before="240" w:after="240" w:line="360" w:lineRule="auto"/>
        <w:ind w:left="0" w:right="51"/>
        <w:jc w:val="both"/>
        <w:rPr>
          <w:rFonts w:ascii="Palatino Linotype" w:hAnsi="Palatino Linotype"/>
          <w:color w:val="000000" w:themeColor="text1"/>
        </w:rPr>
      </w:pPr>
    </w:p>
    <w:p w14:paraId="7C6A35B3" w14:textId="77777777" w:rsidR="00E50851" w:rsidRPr="00167813" w:rsidRDefault="00E50851" w:rsidP="00E508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119B1B93" w14:textId="77777777" w:rsidR="00E50851" w:rsidRPr="007B2587" w:rsidRDefault="00E50851" w:rsidP="00F15830">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Recibir, </w:t>
      </w:r>
      <w:r w:rsidRPr="007B2587">
        <w:rPr>
          <w:rFonts w:ascii="Palatino Linotype" w:hAnsi="Palatino Linotype" w:cs="Arial"/>
          <w:color w:val="000000" w:themeColor="text1"/>
        </w:rPr>
        <w:t>tramitar y dar respuesta a las solicitudes de acceso a la información;</w:t>
      </w:r>
    </w:p>
    <w:p w14:paraId="067DA083" w14:textId="77777777" w:rsidR="00E50851" w:rsidRPr="007B2587" w:rsidRDefault="00E50851" w:rsidP="00F15830">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7B2587">
        <w:rPr>
          <w:rFonts w:ascii="Palatino Linotype" w:hAnsi="Palatino Linotype" w:cs="Arial"/>
          <w:color w:val="000000" w:themeColor="text1"/>
        </w:rPr>
        <w:t xml:space="preserve">Realizar, con efectividad, los trámites internos necesarios para la atención de las solicitudes de acceso a la información; </w:t>
      </w:r>
    </w:p>
    <w:p w14:paraId="1C83675B" w14:textId="77777777" w:rsidR="00E50851" w:rsidRPr="007B2587" w:rsidRDefault="00E50851" w:rsidP="00F15830">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7B2587">
        <w:rPr>
          <w:rFonts w:ascii="Palatino Linotype" w:hAnsi="Palatino Linotype" w:cs="Arial"/>
          <w:color w:val="000000" w:themeColor="text1"/>
        </w:rPr>
        <w:t xml:space="preserve">Entregar, en su caso, a los particulares la información solicitada; y </w:t>
      </w:r>
    </w:p>
    <w:p w14:paraId="7820D683" w14:textId="77777777" w:rsidR="00E50851" w:rsidRDefault="00E50851" w:rsidP="00F15830">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Efectuar las notificaciones a los solicitantes.</w:t>
      </w:r>
    </w:p>
    <w:p w14:paraId="1ED2523C" w14:textId="77777777" w:rsidR="00E50851" w:rsidRDefault="00E50851" w:rsidP="00E50851">
      <w:pPr>
        <w:pStyle w:val="Prrafodelista"/>
        <w:tabs>
          <w:tab w:val="left" w:pos="426"/>
        </w:tabs>
        <w:spacing w:before="240" w:after="240" w:line="360" w:lineRule="auto"/>
        <w:ind w:left="0" w:right="51"/>
        <w:jc w:val="both"/>
        <w:rPr>
          <w:rFonts w:ascii="Palatino Linotype" w:hAnsi="Palatino Linotype"/>
          <w:color w:val="000000" w:themeColor="text1"/>
        </w:rPr>
      </w:pPr>
    </w:p>
    <w:p w14:paraId="05A977FB" w14:textId="77777777" w:rsidR="00E50851" w:rsidRPr="00167813" w:rsidRDefault="00E50851" w:rsidP="00E508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3"/>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4"/>
      </w:r>
      <w:r>
        <w:rPr>
          <w:rFonts w:ascii="Palatino Linotype" w:hAnsi="Palatino Linotype" w:cs="Arial"/>
          <w:color w:val="000000" w:themeColor="text1"/>
        </w:rPr>
        <w:t>:</w:t>
      </w:r>
    </w:p>
    <w:p w14:paraId="516C83CB" w14:textId="77777777" w:rsidR="00E50851" w:rsidRPr="00A44BE6" w:rsidRDefault="00E50851" w:rsidP="00F15830">
      <w:pPr>
        <w:pStyle w:val="Prrafodelista"/>
        <w:numPr>
          <w:ilvl w:val="1"/>
          <w:numId w:val="6"/>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Localizar </w:t>
      </w:r>
      <w:r w:rsidRPr="00A44BE6">
        <w:rPr>
          <w:rFonts w:ascii="Palatino Linotype" w:hAnsi="Palatino Linotype" w:cs="Arial"/>
          <w:color w:val="000000" w:themeColor="text1"/>
        </w:rPr>
        <w:t>la información que le solicite la Unidad de Transparencia; y</w:t>
      </w:r>
    </w:p>
    <w:p w14:paraId="4B08D1A5" w14:textId="77777777" w:rsidR="00E50851" w:rsidRDefault="00E50851" w:rsidP="00F15830">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A44BE6">
        <w:rPr>
          <w:rFonts w:ascii="Palatino Linotype" w:hAnsi="Palatino Linotype" w:cs="Arial"/>
          <w:color w:val="000000" w:themeColor="text1"/>
        </w:rPr>
        <w:t>Proporcionar la información que obre en los archivos y que le sea solicitada por la Unidad de Transparencia.</w:t>
      </w:r>
    </w:p>
    <w:p w14:paraId="2C5F8B0C" w14:textId="77777777" w:rsidR="00E50851" w:rsidRDefault="00E50851" w:rsidP="00E50851">
      <w:pPr>
        <w:pStyle w:val="Prrafodelista"/>
        <w:tabs>
          <w:tab w:val="left" w:pos="426"/>
        </w:tabs>
        <w:spacing w:before="240" w:after="240" w:line="360" w:lineRule="auto"/>
        <w:ind w:left="0" w:right="51"/>
        <w:jc w:val="both"/>
        <w:rPr>
          <w:rFonts w:ascii="Palatino Linotype" w:hAnsi="Palatino Linotype"/>
          <w:color w:val="000000" w:themeColor="text1"/>
        </w:rPr>
      </w:pPr>
    </w:p>
    <w:p w14:paraId="49DF5D16" w14:textId="75706C97" w:rsidR="00E50851" w:rsidRPr="00E50851" w:rsidRDefault="00E50851" w:rsidP="00E508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 xml:space="preserve">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w:t>
      </w:r>
      <w:r>
        <w:rPr>
          <w:rFonts w:ascii="Palatino Linotype" w:hAnsi="Palatino Linotype" w:cs="Arial"/>
          <w:color w:val="000000" w:themeColor="text1"/>
        </w:rPr>
        <w:lastRenderedPageBreak/>
        <w:t>de buscar, localizar y proporcionar la información que se requiera a través de las solicitudes de acceso a la información.</w:t>
      </w:r>
    </w:p>
    <w:p w14:paraId="21578A21" w14:textId="77777777" w:rsidR="00E50851" w:rsidRDefault="00E50851" w:rsidP="00E50851">
      <w:pPr>
        <w:pStyle w:val="Prrafodelista"/>
        <w:tabs>
          <w:tab w:val="left" w:pos="426"/>
        </w:tabs>
        <w:spacing w:before="240" w:after="240" w:line="360" w:lineRule="auto"/>
        <w:ind w:left="0" w:right="51"/>
        <w:jc w:val="both"/>
        <w:rPr>
          <w:rFonts w:ascii="Palatino Linotype" w:hAnsi="Palatino Linotype"/>
          <w:color w:val="000000" w:themeColor="text1"/>
        </w:rPr>
      </w:pPr>
    </w:p>
    <w:p w14:paraId="29D23E2C" w14:textId="074828D1" w:rsidR="007B12AA" w:rsidRPr="007B12AA" w:rsidRDefault="00910076" w:rsidP="007B12A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Pr>
          <w:rFonts w:ascii="Palatino Linotype" w:hAnsi="Palatino Linotype"/>
        </w:rPr>
        <w:t>vez expuesto lo anterior</w:t>
      </w:r>
      <w:r w:rsidRPr="0053687A">
        <w:rPr>
          <w:rFonts w:ascii="Palatino Linotype" w:hAnsi="Palatino Linotype"/>
        </w:rPr>
        <w:t xml:space="preserve">, </w:t>
      </w:r>
      <w:r>
        <w:rPr>
          <w:rFonts w:ascii="Palatino Linotype" w:hAnsi="Palatino Linotype"/>
        </w:rPr>
        <w:t xml:space="preserve">de la lectura a la solicitud de información </w:t>
      </w:r>
      <w:r w:rsidR="007076C5">
        <w:rPr>
          <w:rFonts w:ascii="Palatino Linotype" w:hAnsi="Palatino Linotype"/>
          <w:b/>
          <w:bCs/>
        </w:rPr>
        <w:t>00053/OASECATEPE/IP/2021</w:t>
      </w:r>
      <w:r>
        <w:rPr>
          <w:rFonts w:ascii="Palatino Linotype" w:hAnsi="Palatino Linotype"/>
        </w:rPr>
        <w:t xml:space="preserve">, y como fuera señalado en el </w:t>
      </w:r>
      <w:r>
        <w:rPr>
          <w:rFonts w:ascii="Palatino Linotype" w:hAnsi="Palatino Linotype"/>
          <w:i/>
          <w:iCs/>
        </w:rPr>
        <w:t>Planteamiento de la Litis</w:t>
      </w:r>
      <w:r>
        <w:rPr>
          <w:rFonts w:ascii="Palatino Linotype" w:hAnsi="Palatino Linotype"/>
        </w:rPr>
        <w:t xml:space="preserve"> de esta resolución, se advierte que </w:t>
      </w:r>
      <w:r w:rsidR="00E50851">
        <w:rPr>
          <w:rFonts w:ascii="Palatino Linotype" w:hAnsi="Palatino Linotype"/>
        </w:rPr>
        <w:t>la</w:t>
      </w:r>
      <w:r>
        <w:rPr>
          <w:rFonts w:ascii="Palatino Linotype" w:hAnsi="Palatino Linotype"/>
        </w:rPr>
        <w:t xml:space="preserve"> </w:t>
      </w:r>
      <w:r w:rsidR="00EB3F5C">
        <w:rPr>
          <w:rFonts w:ascii="Palatino Linotype" w:hAnsi="Palatino Linotype"/>
        </w:rPr>
        <w:t xml:space="preserve">entonces </w:t>
      </w:r>
      <w:r w:rsidR="00EB3F5C">
        <w:rPr>
          <w:rFonts w:ascii="Palatino Linotype" w:hAnsi="Palatino Linotype"/>
          <w:b/>
        </w:rPr>
        <w:t>SOLICITANTE</w:t>
      </w:r>
      <w:r w:rsidR="00EB3F5C">
        <w:rPr>
          <w:rFonts w:ascii="Palatino Linotype" w:hAnsi="Palatino Linotype"/>
        </w:rPr>
        <w:t xml:space="preserve"> requirió</w:t>
      </w:r>
      <w:r w:rsidR="00B8225B">
        <w:rPr>
          <w:rFonts w:ascii="Palatino Linotype" w:hAnsi="Palatino Linotype"/>
        </w:rPr>
        <w:t>,</w:t>
      </w:r>
      <w:r>
        <w:rPr>
          <w:rFonts w:ascii="Palatino Linotype" w:hAnsi="Palatino Linotype"/>
        </w:rPr>
        <w:t xml:space="preserve"> </w:t>
      </w:r>
      <w:r w:rsidR="00B8225B">
        <w:rPr>
          <w:rFonts w:ascii="Palatino Linotype" w:hAnsi="Palatino Linotype"/>
        </w:rPr>
        <w:t xml:space="preserve">al </w:t>
      </w:r>
      <w:r w:rsidR="007076C5">
        <w:rPr>
          <w:rFonts w:ascii="Palatino Linotype" w:hAnsi="Palatino Linotype"/>
        </w:rPr>
        <w:t>Sistema de Agua Potable, Alcantarillado y Saneamiento de Ecatepec de Morelos</w:t>
      </w:r>
      <w:r w:rsidR="00B8225B">
        <w:rPr>
          <w:rFonts w:ascii="Palatino Linotype" w:hAnsi="Palatino Linotype"/>
        </w:rPr>
        <w:t>,</w:t>
      </w:r>
      <w:r>
        <w:rPr>
          <w:rFonts w:ascii="Palatino Linotype" w:hAnsi="Palatino Linotype"/>
        </w:rPr>
        <w:t xml:space="preserve"> </w:t>
      </w:r>
      <w:r w:rsidR="007B12AA">
        <w:rPr>
          <w:rFonts w:ascii="Palatino Linotype" w:hAnsi="Palatino Linotype"/>
          <w:i/>
        </w:rPr>
        <w:t>“</w:t>
      </w:r>
      <w:r w:rsidR="00E50851">
        <w:rPr>
          <w:rFonts w:ascii="Palatino Linotype" w:hAnsi="Palatino Linotype"/>
          <w:i/>
        </w:rPr>
        <w:t>(…)</w:t>
      </w:r>
      <w:r w:rsidR="00E50851" w:rsidRPr="00E50851">
        <w:rPr>
          <w:rFonts w:ascii="Palatino Linotype" w:hAnsi="Palatino Linotype"/>
          <w:i/>
        </w:rPr>
        <w:t xml:space="preserve"> la Manifestación de Impacto Ambiental (MIA) o documento que se haya generado por la autoridad ambiental correspondiente sobre la construcción del pozo de Agua "Emiliano Zapata" en Ecatepec de Morelos, así como las medidas de mitigación por el daño ambiental y las compensaciones que hayan sido solicitadas en la mencionada Manifestación</w:t>
      </w:r>
      <w:r w:rsidR="007B12AA">
        <w:rPr>
          <w:rFonts w:ascii="Palatino Linotype" w:hAnsi="Palatino Linotype"/>
          <w:i/>
        </w:rPr>
        <w:t>”</w:t>
      </w:r>
      <w:r w:rsidR="007B12AA">
        <w:rPr>
          <w:rFonts w:ascii="Palatino Linotype" w:hAnsi="Palatino Linotype"/>
        </w:rPr>
        <w:t>.</w:t>
      </w:r>
    </w:p>
    <w:p w14:paraId="15771B33" w14:textId="01A7F3A2" w:rsidR="00B8225B" w:rsidRPr="007B12AA" w:rsidRDefault="007B12AA" w:rsidP="007B12AA">
      <w:pPr>
        <w:pStyle w:val="Prrafodelista"/>
        <w:tabs>
          <w:tab w:val="left" w:pos="426"/>
        </w:tabs>
        <w:spacing w:before="240" w:after="240" w:line="360" w:lineRule="auto"/>
        <w:ind w:left="0" w:right="51"/>
        <w:jc w:val="both"/>
        <w:rPr>
          <w:rFonts w:ascii="Palatino Linotype" w:hAnsi="Palatino Linotype"/>
          <w:color w:val="000000" w:themeColor="text1"/>
        </w:rPr>
      </w:pPr>
      <w:r w:rsidRPr="007B12AA">
        <w:rPr>
          <w:rFonts w:ascii="Palatino Linotype" w:hAnsi="Palatino Linotype"/>
          <w:color w:val="000000" w:themeColor="text1"/>
        </w:rPr>
        <w:t xml:space="preserve"> </w:t>
      </w:r>
    </w:p>
    <w:p w14:paraId="2D403DA4" w14:textId="5711215F"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794C2B">
        <w:rPr>
          <w:rFonts w:ascii="Palatino Linotype" w:hAnsi="Palatino Linotype"/>
          <w:color w:val="000000" w:themeColor="text1"/>
        </w:rPr>
        <w:t xml:space="preserve">respuesta a la solicitud de información, </w:t>
      </w:r>
      <w:r w:rsidR="00EB3F5C">
        <w:rPr>
          <w:rFonts w:ascii="Palatino Linotype" w:hAnsi="Palatino Linotype"/>
          <w:color w:val="000000" w:themeColor="text1"/>
        </w:rPr>
        <w:t xml:space="preserve">el </w:t>
      </w:r>
      <w:r w:rsidR="00EB3F5C">
        <w:rPr>
          <w:rFonts w:ascii="Palatino Linotype" w:hAnsi="Palatino Linotype"/>
          <w:b/>
          <w:color w:val="000000" w:themeColor="text1"/>
        </w:rPr>
        <w:t>SUJETO OBLIGADO</w:t>
      </w:r>
      <w:r w:rsidR="00C871C7">
        <w:rPr>
          <w:rFonts w:ascii="Palatino Linotype" w:hAnsi="Palatino Linotype"/>
          <w:color w:val="000000" w:themeColor="text1"/>
        </w:rPr>
        <w:t xml:space="preserve"> </w:t>
      </w:r>
      <w:r w:rsidR="0075728A">
        <w:rPr>
          <w:rFonts w:ascii="Palatino Linotype" w:hAnsi="Palatino Linotype"/>
          <w:color w:val="000000" w:themeColor="text1"/>
        </w:rPr>
        <w:t>entregó a la particular, el oficio número DTCOM/572/2021, de uno (01) de noviembre de dos mil veintiuno, signado por el Director Técnico de Construcción, Operación y Mantenimiento, en el que manifestó lo siguiente:</w:t>
      </w:r>
    </w:p>
    <w:p w14:paraId="34B541A5" w14:textId="77777777" w:rsidR="00100C6D" w:rsidRDefault="00100C6D"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0D139949" w14:textId="56B224CF" w:rsidR="00EB3F5C" w:rsidRPr="00EB3F5C" w:rsidRDefault="0089651A" w:rsidP="0075728A">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75728A">
        <w:rPr>
          <w:rFonts w:ascii="Palatino Linotype" w:hAnsi="Palatino Linotype"/>
          <w:i/>
          <w:color w:val="000000" w:themeColor="text1"/>
          <w:sz w:val="22"/>
        </w:rPr>
        <w:t>“</w:t>
      </w:r>
      <w:r w:rsidR="0075728A" w:rsidRPr="0075728A">
        <w:rPr>
          <w:rFonts w:ascii="Palatino Linotype" w:hAnsi="Palatino Linotype"/>
          <w:i/>
          <w:color w:val="000000" w:themeColor="text1"/>
          <w:sz w:val="22"/>
        </w:rPr>
        <w:t xml:space="preserve">Al respecto me permito informarle que ninguna </w:t>
      </w:r>
      <w:r w:rsidR="0075728A">
        <w:rPr>
          <w:rFonts w:ascii="Palatino Linotype" w:hAnsi="Palatino Linotype"/>
          <w:i/>
          <w:color w:val="000000" w:themeColor="text1"/>
          <w:sz w:val="22"/>
        </w:rPr>
        <w:t>Autoridad Ambiental a solicitado para ninguno de los pozos una Manifestación de impacto Ambiental, ni es requisito para la perforación de un pozo para Agua Potable.</w:t>
      </w:r>
      <w:r w:rsidR="00EB3F5C">
        <w:rPr>
          <w:rFonts w:ascii="Palatino Linotype" w:hAnsi="Palatino Linotype"/>
          <w:i/>
          <w:color w:val="000000" w:themeColor="text1"/>
          <w:sz w:val="22"/>
        </w:rPr>
        <w:t>”</w:t>
      </w:r>
      <w:r w:rsidR="00EB3F5C">
        <w:rPr>
          <w:rFonts w:ascii="Palatino Linotype" w:hAnsi="Palatino Linotype"/>
          <w:color w:val="000000" w:themeColor="text1"/>
          <w:sz w:val="22"/>
        </w:rPr>
        <w:t xml:space="preserve"> (Sic)</w:t>
      </w:r>
    </w:p>
    <w:p w14:paraId="6BBC322F" w14:textId="77777777" w:rsidR="00EB3F5C"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535373A3" w:rsidR="00100C6D" w:rsidRDefault="00100C6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w:t>
      </w:r>
      <w:r w:rsidR="00EB3F5C">
        <w:rPr>
          <w:rFonts w:ascii="Palatino Linotype" w:hAnsi="Palatino Linotype"/>
          <w:color w:val="000000" w:themeColor="text1"/>
        </w:rPr>
        <w:t xml:space="preserve">erivado de lo anterior, </w:t>
      </w:r>
      <w:r w:rsidR="0075728A">
        <w:rPr>
          <w:rFonts w:ascii="Palatino Linotype" w:hAnsi="Palatino Linotype"/>
          <w:color w:val="000000" w:themeColor="text1"/>
        </w:rPr>
        <w:t>la</w:t>
      </w:r>
      <w:r w:rsidR="00EB3F5C">
        <w:rPr>
          <w:rFonts w:ascii="Palatino Linotype" w:hAnsi="Palatino Linotype"/>
          <w:color w:val="000000" w:themeColor="text1"/>
        </w:rPr>
        <w:t xml:space="preserve"> </w:t>
      </w:r>
      <w:r w:rsidR="00EB3F5C">
        <w:rPr>
          <w:rFonts w:ascii="Palatino Linotype" w:hAnsi="Palatino Linotype"/>
          <w:b/>
          <w:color w:val="000000" w:themeColor="text1"/>
        </w:rPr>
        <w:t>RECURRENTE</w:t>
      </w:r>
      <w:r w:rsidR="00EB3F5C">
        <w:rPr>
          <w:rFonts w:ascii="Palatino Linotype" w:hAnsi="Palatino Linotype"/>
          <w:color w:val="000000" w:themeColor="text1"/>
        </w:rPr>
        <w:t xml:space="preserve"> promovió el recurso de revisión con número al rubro indicado en contra de la respuesta del </w:t>
      </w:r>
      <w:r w:rsidR="00EB3F5C">
        <w:rPr>
          <w:rFonts w:ascii="Palatino Linotype" w:hAnsi="Palatino Linotype"/>
          <w:b/>
          <w:color w:val="000000" w:themeColor="text1"/>
        </w:rPr>
        <w:t>SUJETO OBLIGADO</w:t>
      </w:r>
      <w:r w:rsidR="00EB3F5C">
        <w:rPr>
          <w:rFonts w:ascii="Palatino Linotype" w:hAnsi="Palatino Linotype"/>
          <w:color w:val="000000" w:themeColor="text1"/>
        </w:rPr>
        <w:t xml:space="preserve"> y, en el que señaló por agravios,</w:t>
      </w:r>
      <w:r w:rsidR="0089651A">
        <w:rPr>
          <w:rFonts w:ascii="Palatino Linotype" w:hAnsi="Palatino Linotype"/>
          <w:color w:val="000000" w:themeColor="text1"/>
        </w:rPr>
        <w:t xml:space="preserve"> esencialmente,</w:t>
      </w:r>
      <w:r w:rsidR="00EB3F5C">
        <w:rPr>
          <w:rFonts w:ascii="Palatino Linotype" w:hAnsi="Palatino Linotype"/>
          <w:color w:val="000000" w:themeColor="text1"/>
        </w:rPr>
        <w:t xml:space="preserve"> lo siguiente:</w:t>
      </w:r>
    </w:p>
    <w:p w14:paraId="74C0DB4E" w14:textId="23A1ECAE" w:rsidR="000B750B" w:rsidRDefault="0089651A" w:rsidP="00E047DA">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Que </w:t>
      </w:r>
      <w:r w:rsidR="0075728A">
        <w:rPr>
          <w:rFonts w:ascii="Palatino Linotype" w:hAnsi="Palatino Linotype"/>
          <w:color w:val="000000" w:themeColor="text1"/>
        </w:rPr>
        <w:t>no se le entregó la información correspondiente</w:t>
      </w:r>
      <w:r w:rsidR="00E047DA">
        <w:rPr>
          <w:rFonts w:ascii="Palatino Linotype" w:hAnsi="Palatino Linotype"/>
          <w:color w:val="000000" w:themeColor="text1"/>
        </w:rPr>
        <w:t>.</w:t>
      </w:r>
    </w:p>
    <w:p w14:paraId="702E3841" w14:textId="77777777" w:rsidR="007820F2"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60E1DD3E" w14:textId="5D08C23F" w:rsidR="007820F2" w:rsidRDefault="007820F2"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razón de lo anterior,</w:t>
      </w:r>
      <w:r w:rsidRPr="00140206">
        <w:rPr>
          <w:rFonts w:ascii="Palatino Linotype" w:hAnsi="Palatino Linotype"/>
          <w:color w:val="000000" w:themeColor="text1"/>
        </w:rPr>
        <w:t xml:space="preserve"> el estudio del presente asuntó versará en analizar el marco legal que recubre a la información solicitada, </w:t>
      </w:r>
      <w:r w:rsidR="00E047DA">
        <w:rPr>
          <w:rFonts w:ascii="Palatino Linotype" w:hAnsi="Palatino Linotype"/>
          <w:color w:val="000000" w:themeColor="text1"/>
        </w:rPr>
        <w:t xml:space="preserve">y así determinar si existe una obligación para contar con una manifestación de impacto ambiental respecto del pozo de agua potable referido en la solicitud de información </w:t>
      </w:r>
      <w:r w:rsidR="00E047DA">
        <w:rPr>
          <w:rFonts w:ascii="Palatino Linotype" w:hAnsi="Palatino Linotype"/>
          <w:b/>
          <w:bCs/>
          <w:color w:val="000000" w:themeColor="text1"/>
        </w:rPr>
        <w:t>00053/OASECATEPE/IP/2021</w:t>
      </w:r>
      <w:r w:rsidR="00E047DA">
        <w:rPr>
          <w:rFonts w:ascii="Palatino Linotype" w:hAnsi="Palatino Linotype"/>
          <w:color w:val="000000" w:themeColor="text1"/>
        </w:rPr>
        <w:t>.</w:t>
      </w:r>
    </w:p>
    <w:p w14:paraId="2ACA06ED" w14:textId="77777777" w:rsidR="007820F2"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40B25872" w:rsidR="007820F2" w:rsidRPr="007820F2"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7456491"/>
      <w:r>
        <w:rPr>
          <w:rFonts w:ascii="Palatino Linotype" w:hAnsi="Palatino Linotype"/>
          <w:b/>
          <w:color w:val="000000" w:themeColor="text1"/>
        </w:rPr>
        <w:t xml:space="preserve">II. Del </w:t>
      </w:r>
      <w:r w:rsidR="007076C5">
        <w:rPr>
          <w:rFonts w:ascii="Palatino Linotype" w:hAnsi="Palatino Linotype"/>
          <w:b/>
          <w:color w:val="000000" w:themeColor="text1"/>
        </w:rPr>
        <w:t>Sistema de Agua Potable, Alcantarillado y Saneamiento de Ecatepec de Morelos</w:t>
      </w:r>
      <w:r>
        <w:rPr>
          <w:rFonts w:ascii="Palatino Linotype" w:hAnsi="Palatino Linotype"/>
          <w:b/>
          <w:color w:val="000000" w:themeColor="text1"/>
        </w:rPr>
        <w:t>.</w:t>
      </w:r>
      <w:bookmarkEnd w:id="26"/>
    </w:p>
    <w:p w14:paraId="1435567A" w14:textId="77777777" w:rsidR="007820F2"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BD337F0" w14:textId="77777777" w:rsidR="007820F2" w:rsidRDefault="007820F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artículo 115 de la Constitución Política de los Estados Unidos Mexicanos, en su fracción II, establece que los </w:t>
      </w:r>
      <w:r w:rsidRPr="0009663D">
        <w:rPr>
          <w:rFonts w:ascii="Palatino Linotype" w:hAnsi="Palatino Linotype"/>
          <w:color w:val="000000" w:themeColor="text1"/>
        </w:rPr>
        <w:t xml:space="preserve">municipios estarán investidos de personalidad jurídica y manejarán su patrimonio </w:t>
      </w:r>
      <w:r>
        <w:rPr>
          <w:rFonts w:ascii="Palatino Linotype" w:hAnsi="Palatino Linotype"/>
          <w:color w:val="000000" w:themeColor="text1"/>
        </w:rPr>
        <w:t xml:space="preserve">conforme a la ley; derivado de lo anterior, </w:t>
      </w:r>
      <w:r w:rsidRPr="0009663D">
        <w:rPr>
          <w:rFonts w:ascii="Palatino Linotype" w:hAnsi="Palatino Linotype"/>
          <w:color w:val="000000" w:themeColor="text1"/>
        </w:rPr>
        <w:t xml:space="preserve">tendrán facultades para aprobar, de acuerdo con las leyes en materia municipal, los bandos de policía y gobierno, los reglamentos, circulares y disposiciones administrativas de observancia general dentro de sus respectivas jurisdicciones, que organicen </w:t>
      </w:r>
      <w:r w:rsidRPr="00335793">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Pr="0009663D">
        <w:rPr>
          <w:rFonts w:ascii="Palatino Linotype" w:hAnsi="Palatino Linotype"/>
          <w:color w:val="000000" w:themeColor="text1"/>
        </w:rPr>
        <w:t>.</w:t>
      </w:r>
    </w:p>
    <w:p w14:paraId="6115BD44" w14:textId="77777777" w:rsidR="007820F2"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1A0AB3B2" w14:textId="77777777" w:rsidR="007820F2" w:rsidRDefault="007820F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 la fracción III del artículo constitucional en estudio, señala que los municipios, también, tendrán a su cargo las funciones y servicios públicos siguientes:</w:t>
      </w:r>
    </w:p>
    <w:p w14:paraId="279C6CE9" w14:textId="77777777" w:rsidR="007820F2" w:rsidRPr="00E047DA" w:rsidRDefault="007820F2" w:rsidP="007820F2">
      <w:pPr>
        <w:pStyle w:val="Prrafodelista"/>
        <w:numPr>
          <w:ilvl w:val="1"/>
          <w:numId w:val="1"/>
        </w:numPr>
        <w:tabs>
          <w:tab w:val="left" w:pos="426"/>
        </w:tabs>
        <w:spacing w:before="240" w:after="240" w:line="360" w:lineRule="auto"/>
        <w:ind w:left="993" w:right="51"/>
        <w:jc w:val="both"/>
        <w:rPr>
          <w:rFonts w:ascii="Palatino Linotype" w:hAnsi="Palatino Linotype"/>
          <w:b/>
          <w:bCs/>
          <w:color w:val="000000" w:themeColor="text1"/>
        </w:rPr>
      </w:pPr>
      <w:r w:rsidRPr="00E047DA">
        <w:rPr>
          <w:rFonts w:ascii="Palatino Linotype" w:hAnsi="Palatino Linotype"/>
          <w:b/>
          <w:bCs/>
          <w:color w:val="000000" w:themeColor="text1"/>
        </w:rPr>
        <w:lastRenderedPageBreak/>
        <w:t>Agua potable, drenaje, alcantarillado, tratamiento y disposición de sus aguas residuales;</w:t>
      </w:r>
    </w:p>
    <w:p w14:paraId="370AF7CB" w14:textId="77777777" w:rsidR="007820F2" w:rsidRDefault="007820F2" w:rsidP="007820F2">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Alumbrado público;</w:t>
      </w:r>
    </w:p>
    <w:p w14:paraId="3AD0F5B9" w14:textId="77777777" w:rsidR="007820F2" w:rsidRDefault="007820F2" w:rsidP="007820F2">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335793">
        <w:rPr>
          <w:rFonts w:ascii="Palatino Linotype" w:hAnsi="Palatino Linotype"/>
          <w:color w:val="000000" w:themeColor="text1"/>
        </w:rPr>
        <w:t>Limpia, recolección, traslado, tratamiento y disposición final de residuos;</w:t>
      </w:r>
    </w:p>
    <w:p w14:paraId="7D6F7EEA" w14:textId="77777777" w:rsidR="007820F2" w:rsidRDefault="007820F2" w:rsidP="007820F2">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335793">
        <w:rPr>
          <w:rFonts w:ascii="Palatino Linotype" w:hAnsi="Palatino Linotype"/>
          <w:color w:val="000000" w:themeColor="text1"/>
        </w:rPr>
        <w:t>Mercados y centrales de abasto</w:t>
      </w:r>
      <w:r>
        <w:rPr>
          <w:rFonts w:ascii="Palatino Linotype" w:hAnsi="Palatino Linotype"/>
          <w:color w:val="000000" w:themeColor="text1"/>
        </w:rPr>
        <w:t>;</w:t>
      </w:r>
      <w:r w:rsidRPr="00335793">
        <w:rPr>
          <w:rFonts w:ascii="Palatino Linotype" w:hAnsi="Palatino Linotype"/>
          <w:color w:val="000000" w:themeColor="text1"/>
        </w:rPr>
        <w:t xml:space="preserve"> </w:t>
      </w:r>
    </w:p>
    <w:p w14:paraId="3964C680" w14:textId="77777777" w:rsidR="007820F2" w:rsidRDefault="007820F2" w:rsidP="007820F2">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335793">
        <w:rPr>
          <w:rFonts w:ascii="Palatino Linotype" w:hAnsi="Palatino Linotype"/>
          <w:color w:val="000000" w:themeColor="text1"/>
        </w:rPr>
        <w:t>Panteones.</w:t>
      </w:r>
    </w:p>
    <w:p w14:paraId="6A200120" w14:textId="77777777" w:rsidR="007820F2" w:rsidRDefault="007820F2" w:rsidP="007820F2">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335793">
        <w:rPr>
          <w:rFonts w:ascii="Palatino Linotype" w:hAnsi="Palatino Linotype"/>
          <w:color w:val="000000" w:themeColor="text1"/>
        </w:rPr>
        <w:t>Rastro</w:t>
      </w:r>
      <w:r>
        <w:rPr>
          <w:rFonts w:ascii="Palatino Linotype" w:hAnsi="Palatino Linotype"/>
          <w:color w:val="000000" w:themeColor="text1"/>
        </w:rPr>
        <w:t>;</w:t>
      </w:r>
      <w:r w:rsidRPr="00335793">
        <w:rPr>
          <w:rFonts w:ascii="Palatino Linotype" w:hAnsi="Palatino Linotype"/>
          <w:color w:val="000000" w:themeColor="text1"/>
        </w:rPr>
        <w:t xml:space="preserve"> </w:t>
      </w:r>
    </w:p>
    <w:p w14:paraId="68D826A7" w14:textId="77777777" w:rsidR="007820F2" w:rsidRDefault="007820F2" w:rsidP="007820F2">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335793">
        <w:rPr>
          <w:rFonts w:ascii="Palatino Linotype" w:hAnsi="Palatino Linotype"/>
          <w:color w:val="000000" w:themeColor="text1"/>
        </w:rPr>
        <w:t>Calles, parques y jardines y su equipamiento;</w:t>
      </w:r>
    </w:p>
    <w:p w14:paraId="474FC270" w14:textId="77777777" w:rsidR="007820F2" w:rsidRDefault="007820F2" w:rsidP="007820F2">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335793">
        <w:rPr>
          <w:rFonts w:ascii="Palatino Linotype" w:hAnsi="Palatino Linotype"/>
          <w:color w:val="000000" w:themeColor="text1"/>
        </w:rPr>
        <w:t xml:space="preserve">Seguridad pública, en </w:t>
      </w:r>
      <w:r>
        <w:rPr>
          <w:rFonts w:ascii="Palatino Linotype" w:hAnsi="Palatino Linotype"/>
          <w:color w:val="000000" w:themeColor="text1"/>
        </w:rPr>
        <w:t>los términos del artículo 21 constitucional</w:t>
      </w:r>
      <w:r w:rsidRPr="00335793">
        <w:rPr>
          <w:rFonts w:ascii="Palatino Linotype" w:hAnsi="Palatino Linotype"/>
          <w:color w:val="000000" w:themeColor="text1"/>
        </w:rPr>
        <w:t xml:space="preserve">, policía preventiva municipal y tránsito; </w:t>
      </w:r>
      <w:r>
        <w:rPr>
          <w:rFonts w:ascii="Palatino Linotype" w:hAnsi="Palatino Linotype"/>
          <w:color w:val="000000" w:themeColor="text1"/>
        </w:rPr>
        <w:t>y</w:t>
      </w:r>
    </w:p>
    <w:p w14:paraId="59E3207F" w14:textId="77777777" w:rsidR="007820F2" w:rsidRDefault="007820F2" w:rsidP="007820F2">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335793">
        <w:rPr>
          <w:rFonts w:ascii="Palatino Linotype" w:hAnsi="Palatino Linotype"/>
          <w:color w:val="000000" w:themeColor="text1"/>
        </w:rPr>
        <w:t>Los demás que las Legislaturas locales determinen según las condiciones territoriales y</w:t>
      </w:r>
      <w:r>
        <w:rPr>
          <w:rFonts w:ascii="Palatino Linotype" w:hAnsi="Palatino Linotype"/>
          <w:color w:val="000000" w:themeColor="text1"/>
        </w:rPr>
        <w:t xml:space="preserve"> socio-económicas de los Municipios, así como su capacidad administrativa y financiera.</w:t>
      </w:r>
    </w:p>
    <w:p w14:paraId="0CC0D243" w14:textId="77777777" w:rsidR="00E047DA" w:rsidRPr="00E50851" w:rsidRDefault="00E047DA" w:rsidP="00E047DA">
      <w:pPr>
        <w:pStyle w:val="Prrafodelista"/>
        <w:tabs>
          <w:tab w:val="left" w:pos="426"/>
        </w:tabs>
        <w:spacing w:before="240" w:after="240" w:line="360" w:lineRule="auto"/>
        <w:ind w:left="0" w:right="51"/>
        <w:jc w:val="both"/>
        <w:rPr>
          <w:rFonts w:ascii="Palatino Linotype" w:hAnsi="Palatino Linotype"/>
          <w:color w:val="000000" w:themeColor="text1"/>
        </w:rPr>
      </w:pPr>
    </w:p>
    <w:p w14:paraId="2F8D629A" w14:textId="7E028F85" w:rsidR="00E50851" w:rsidRPr="00F90771" w:rsidRDefault="00FA4709"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Por su parte, la Ley del Agua para el Estado de México y Municipios, en su artículo primero, refiere que el ordenamiento normativo en cuestión es </w:t>
      </w:r>
      <w:r w:rsidR="00F90771" w:rsidRPr="00F90771">
        <w:rPr>
          <w:rFonts w:ascii="Palatino Linotype" w:hAnsi="Palatino Linotype" w:cs="Arial"/>
          <w:color w:val="000000" w:themeColor="text1"/>
        </w:rPr>
        <w:t xml:space="preserve">de orden público e interés social, de aplicación y observancia general en el Estado de México, y tiene por objeto </w:t>
      </w:r>
      <w:r w:rsidR="00F90771" w:rsidRPr="00F90771">
        <w:rPr>
          <w:rFonts w:ascii="Palatino Linotype" w:hAnsi="Palatino Linotype" w:cs="Arial"/>
          <w:b/>
          <w:bCs/>
          <w:color w:val="000000" w:themeColor="text1"/>
        </w:rPr>
        <w:t>normar la explotación, uso, aprovechamiento, administración, control y suministro de las aguas de jurisdicción estatal y municipal y sus bienes inherentes</w:t>
      </w:r>
      <w:r w:rsidR="00F90771" w:rsidRPr="00F90771">
        <w:rPr>
          <w:rFonts w:ascii="Palatino Linotype" w:hAnsi="Palatino Linotype" w:cs="Arial"/>
          <w:color w:val="000000" w:themeColor="text1"/>
        </w:rPr>
        <w:t>, para la prestación de los servicios de agua potable, drenaje y alcantarillado, saneamiento, y tratamiento de aguas residuales, su reuso y la disposición final de sus productos resultantes.</w:t>
      </w:r>
    </w:p>
    <w:p w14:paraId="60310F4F" w14:textId="77777777" w:rsidR="00F90771" w:rsidRPr="00F90771" w:rsidRDefault="00F90771" w:rsidP="00F90771">
      <w:pPr>
        <w:pStyle w:val="Prrafodelista"/>
        <w:rPr>
          <w:rFonts w:ascii="Palatino Linotype" w:hAnsi="Palatino Linotype"/>
          <w:color w:val="000000" w:themeColor="text1"/>
        </w:rPr>
      </w:pPr>
    </w:p>
    <w:p w14:paraId="2F85439C" w14:textId="1991ED0C" w:rsidR="00123CC2" w:rsidRPr="00123CC2" w:rsidRDefault="00123CC2" w:rsidP="00123CC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Los municipios </w:t>
      </w:r>
      <w:r w:rsidRPr="00123CC2">
        <w:rPr>
          <w:rFonts w:ascii="Palatino Linotype" w:hAnsi="Palatino Linotype"/>
          <w:color w:val="000000" w:themeColor="text1"/>
        </w:rPr>
        <w:t xml:space="preserve">podrán prestar directamente los servicios a que se refiere la </w:t>
      </w:r>
      <w:r>
        <w:rPr>
          <w:rFonts w:ascii="Palatino Linotype" w:hAnsi="Palatino Linotype"/>
          <w:color w:val="000000" w:themeColor="text1"/>
        </w:rPr>
        <w:t>Ley del Agua para el Estado de México y Municipios</w:t>
      </w:r>
      <w:r w:rsidRPr="00123CC2">
        <w:rPr>
          <w:rFonts w:ascii="Palatino Linotype" w:hAnsi="Palatino Linotype"/>
          <w:color w:val="000000" w:themeColor="text1"/>
        </w:rPr>
        <w:t>, o bien por conducto de cualquiera de los siguientes prestadores de los servicios</w:t>
      </w:r>
      <w:r w:rsidR="00A31BF8">
        <w:rPr>
          <w:rStyle w:val="Refdenotaalpie"/>
          <w:rFonts w:ascii="Palatino Linotype" w:hAnsi="Palatino Linotype"/>
          <w:color w:val="000000" w:themeColor="text1"/>
        </w:rPr>
        <w:footnoteReference w:id="5"/>
      </w:r>
      <w:r w:rsidRPr="00123CC2">
        <w:rPr>
          <w:rFonts w:ascii="Palatino Linotype" w:hAnsi="Palatino Linotype"/>
          <w:color w:val="000000" w:themeColor="text1"/>
        </w:rPr>
        <w:t xml:space="preserve">: </w:t>
      </w:r>
    </w:p>
    <w:p w14:paraId="4D575BD1" w14:textId="15038CB6" w:rsidR="00123CC2" w:rsidRDefault="00123CC2" w:rsidP="00F15830">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123CC2">
        <w:rPr>
          <w:rFonts w:ascii="Palatino Linotype" w:hAnsi="Palatino Linotype"/>
          <w:b/>
          <w:bCs/>
          <w:color w:val="000000" w:themeColor="text1"/>
        </w:rPr>
        <w:t>Organismos descentralizados municipales</w:t>
      </w:r>
      <w:r w:rsidRPr="00123CC2">
        <w:rPr>
          <w:rFonts w:ascii="Palatino Linotype" w:hAnsi="Palatino Linotype"/>
          <w:color w:val="000000" w:themeColor="text1"/>
        </w:rPr>
        <w:t xml:space="preserve"> o intermunicipales, que serán los organismos operadores; </w:t>
      </w:r>
    </w:p>
    <w:p w14:paraId="281D8331" w14:textId="740EE007" w:rsidR="00123CC2" w:rsidRDefault="00123CC2" w:rsidP="00F15830">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123CC2">
        <w:rPr>
          <w:rFonts w:ascii="Palatino Linotype" w:hAnsi="Palatino Linotype"/>
          <w:color w:val="000000" w:themeColor="text1"/>
        </w:rPr>
        <w:t>La Comisión</w:t>
      </w:r>
      <w:r>
        <w:rPr>
          <w:rFonts w:ascii="Palatino Linotype" w:hAnsi="Palatino Linotype"/>
          <w:color w:val="000000" w:themeColor="text1"/>
        </w:rPr>
        <w:t xml:space="preserve"> del Agua del Estado de México</w:t>
      </w:r>
      <w:r w:rsidRPr="00123CC2">
        <w:rPr>
          <w:rFonts w:ascii="Palatino Linotype" w:hAnsi="Palatino Linotype"/>
          <w:color w:val="000000" w:themeColor="text1"/>
        </w:rPr>
        <w:t xml:space="preserve">; o </w:t>
      </w:r>
    </w:p>
    <w:p w14:paraId="4348F022" w14:textId="16F55851" w:rsidR="00F90771" w:rsidRDefault="00123CC2" w:rsidP="00F15830">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123CC2">
        <w:rPr>
          <w:rFonts w:ascii="Palatino Linotype" w:hAnsi="Palatino Linotype"/>
          <w:color w:val="000000" w:themeColor="text1"/>
        </w:rPr>
        <w:t>Personas jurídicas colectivas concesionarias.</w:t>
      </w:r>
    </w:p>
    <w:p w14:paraId="4A38B55F" w14:textId="77777777" w:rsidR="00F90771" w:rsidRPr="00F90771" w:rsidRDefault="00F90771" w:rsidP="00F90771">
      <w:pPr>
        <w:pStyle w:val="Prrafodelista"/>
        <w:rPr>
          <w:rFonts w:ascii="Palatino Linotype" w:hAnsi="Palatino Linotype"/>
          <w:color w:val="000000" w:themeColor="text1"/>
        </w:rPr>
      </w:pPr>
    </w:p>
    <w:p w14:paraId="38616830" w14:textId="4B60EDC8" w:rsidR="00F90771" w:rsidRDefault="00123CC2"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lo que respecta a la infraes</w:t>
      </w:r>
      <w:r w:rsidR="00A31BF8">
        <w:rPr>
          <w:rFonts w:ascii="Palatino Linotype" w:hAnsi="Palatino Linotype"/>
          <w:color w:val="000000" w:themeColor="text1"/>
        </w:rPr>
        <w:t xml:space="preserve">tructura hidráulica para el servicio de agua </w:t>
      </w:r>
      <w:r w:rsidR="00A31BF8" w:rsidRPr="00A31BF8">
        <w:rPr>
          <w:rFonts w:ascii="Palatino Linotype" w:hAnsi="Palatino Linotype"/>
          <w:color w:val="000000" w:themeColor="text1"/>
        </w:rPr>
        <w:t>potable</w:t>
      </w:r>
      <w:r w:rsidR="00A31BF8">
        <w:rPr>
          <w:rFonts w:ascii="Palatino Linotype" w:hAnsi="Palatino Linotype"/>
          <w:color w:val="000000" w:themeColor="text1"/>
        </w:rPr>
        <w:t>, éste</w:t>
      </w:r>
      <w:r w:rsidR="00A31BF8" w:rsidRPr="00A31BF8">
        <w:rPr>
          <w:rFonts w:ascii="Palatino Linotype" w:hAnsi="Palatino Linotype"/>
          <w:color w:val="000000" w:themeColor="text1"/>
        </w:rPr>
        <w:t xml:space="preserve"> comprende</w:t>
      </w:r>
      <w:r w:rsidR="00A31BF8">
        <w:rPr>
          <w:rFonts w:ascii="Palatino Linotype" w:hAnsi="Palatino Linotype"/>
          <w:color w:val="000000" w:themeColor="text1"/>
        </w:rPr>
        <w:t>rá</w:t>
      </w:r>
      <w:r w:rsidR="00A31BF8" w:rsidRPr="00A31BF8">
        <w:rPr>
          <w:rFonts w:ascii="Palatino Linotype" w:hAnsi="Palatino Linotype"/>
          <w:color w:val="000000" w:themeColor="text1"/>
        </w:rPr>
        <w:t xml:space="preserve"> las </w:t>
      </w:r>
      <w:r w:rsidR="00A31BF8" w:rsidRPr="00A31BF8">
        <w:rPr>
          <w:rFonts w:ascii="Palatino Linotype" w:hAnsi="Palatino Linotype"/>
          <w:b/>
          <w:bCs/>
          <w:color w:val="000000" w:themeColor="text1"/>
        </w:rPr>
        <w:t>fuentes de abastecimiento de agua</w:t>
      </w:r>
      <w:r w:rsidR="00A31BF8" w:rsidRPr="00A31BF8">
        <w:rPr>
          <w:rFonts w:ascii="Palatino Linotype" w:hAnsi="Palatino Linotype"/>
          <w:color w:val="000000" w:themeColor="text1"/>
        </w:rPr>
        <w:t>; las plantas de bombeo; las plantas potabilizadoras de agua; las líneas de conducción de agua en bloque y líneas de alimentación; los tanques de regulación y almacenamiento de agua, misma que será de jurisdicción del Estado cuando abastezca a más de un municipio; así como las redes de distribución, que son de estricta jurisdicción municipal</w:t>
      </w:r>
      <w:r w:rsidR="00A31BF8">
        <w:rPr>
          <w:rStyle w:val="Refdenotaalpie"/>
          <w:rFonts w:ascii="Palatino Linotype" w:hAnsi="Palatino Linotype"/>
          <w:color w:val="000000" w:themeColor="text1"/>
        </w:rPr>
        <w:footnoteReference w:id="6"/>
      </w:r>
      <w:r w:rsidR="00A31BF8" w:rsidRPr="00A31BF8">
        <w:rPr>
          <w:rFonts w:ascii="Palatino Linotype" w:hAnsi="Palatino Linotype"/>
          <w:color w:val="000000" w:themeColor="text1"/>
        </w:rPr>
        <w:t>.</w:t>
      </w:r>
    </w:p>
    <w:p w14:paraId="27218013" w14:textId="77777777" w:rsidR="00F90771" w:rsidRPr="00F90771" w:rsidRDefault="00F90771" w:rsidP="00F90771">
      <w:pPr>
        <w:pStyle w:val="Prrafodelista"/>
        <w:rPr>
          <w:rFonts w:ascii="Palatino Linotype" w:hAnsi="Palatino Linotype"/>
          <w:color w:val="000000" w:themeColor="text1"/>
        </w:rPr>
      </w:pPr>
    </w:p>
    <w:p w14:paraId="759588F4" w14:textId="74E6BFF6" w:rsidR="00A31BF8" w:rsidRPr="00A31BF8" w:rsidRDefault="00A31BF8" w:rsidP="00A31BF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Ahora bien, el numeral 69 de la Ley del Agua para el Estado de México y Municipios refiere que los prestadores de los servicios de agua tendrán a su cargo, entre otras atribuciones, las siguientes:</w:t>
      </w:r>
    </w:p>
    <w:p w14:paraId="48B57D52" w14:textId="0C5DEC69" w:rsidR="00A31BF8" w:rsidRDefault="00A31BF8" w:rsidP="00F15830">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La </w:t>
      </w:r>
      <w:r w:rsidRPr="00A31BF8">
        <w:rPr>
          <w:rFonts w:ascii="Palatino Linotype" w:hAnsi="Palatino Linotype"/>
          <w:color w:val="000000" w:themeColor="text1"/>
        </w:rPr>
        <w:t>prestación de los servicios en su respectiva jurisdicción, o bien aquéllos a que se refiere el instrumento jurídico de su creación, o bien, la concesión, en su caso;</w:t>
      </w:r>
      <w:r>
        <w:rPr>
          <w:rFonts w:ascii="Palatino Linotype" w:hAnsi="Palatino Linotype"/>
          <w:color w:val="000000" w:themeColor="text1"/>
        </w:rPr>
        <w:t xml:space="preserve"> y </w:t>
      </w:r>
    </w:p>
    <w:p w14:paraId="0A432F38" w14:textId="351B5D34" w:rsidR="00A31BF8" w:rsidRDefault="00A31BF8" w:rsidP="00F15830">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3E4096">
        <w:rPr>
          <w:rFonts w:ascii="Palatino Linotype" w:hAnsi="Palatino Linotype"/>
          <w:b/>
          <w:bCs/>
          <w:color w:val="000000" w:themeColor="text1"/>
        </w:rPr>
        <w:lastRenderedPageBreak/>
        <w:t>Realizar por sí, o a través de terceros, las obras hidráulicas necesarias para cumplir con sus funciones</w:t>
      </w:r>
      <w:r w:rsidRPr="00A31BF8">
        <w:rPr>
          <w:rFonts w:ascii="Palatino Linotype" w:hAnsi="Palatino Linotype"/>
          <w:color w:val="000000" w:themeColor="text1"/>
        </w:rPr>
        <w:t>, incluida su operación, conservación y mantenimiento, de conformidad con esta Ley, su Reglamento y otras disposiciones aplicables</w:t>
      </w:r>
      <w:r>
        <w:rPr>
          <w:rFonts w:ascii="Palatino Linotype" w:hAnsi="Palatino Linotype"/>
          <w:color w:val="000000" w:themeColor="text1"/>
        </w:rPr>
        <w:t>.</w:t>
      </w:r>
    </w:p>
    <w:p w14:paraId="3D239D68" w14:textId="77777777" w:rsidR="00F90771" w:rsidRPr="00F90771" w:rsidRDefault="00F90771" w:rsidP="00F90771">
      <w:pPr>
        <w:pStyle w:val="Prrafodelista"/>
        <w:rPr>
          <w:rFonts w:ascii="Palatino Linotype" w:hAnsi="Palatino Linotype"/>
          <w:color w:val="000000" w:themeColor="text1"/>
        </w:rPr>
      </w:pPr>
    </w:p>
    <w:p w14:paraId="0E10554C" w14:textId="12DF133E" w:rsidR="00F90771" w:rsidRPr="00E50851" w:rsidRDefault="003E4096"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Serán objeto de </w:t>
      </w:r>
      <w:r w:rsidRPr="003E4096">
        <w:rPr>
          <w:rFonts w:ascii="Palatino Linotype" w:hAnsi="Palatino Linotype"/>
          <w:color w:val="000000" w:themeColor="text1"/>
        </w:rPr>
        <w:t>concesión la construcción, operación, conservación y/o mantenimiento de obras hidráulicas, y/o la prestación de los servicios</w:t>
      </w:r>
      <w:r>
        <w:rPr>
          <w:rFonts w:ascii="Palatino Linotype" w:hAnsi="Palatino Linotype"/>
          <w:color w:val="000000" w:themeColor="text1"/>
        </w:rPr>
        <w:t xml:space="preserve"> a los que se refiere la Ley del Agua para el Estado de México y Municipios</w:t>
      </w:r>
      <w:r>
        <w:rPr>
          <w:rStyle w:val="Refdenotaalpie"/>
          <w:rFonts w:ascii="Palatino Linotype" w:hAnsi="Palatino Linotype"/>
          <w:color w:val="000000" w:themeColor="text1"/>
        </w:rPr>
        <w:footnoteReference w:id="7"/>
      </w:r>
      <w:r w:rsidRPr="003E4096">
        <w:rPr>
          <w:rFonts w:ascii="Palatino Linotype" w:hAnsi="Palatino Linotype"/>
          <w:color w:val="000000" w:themeColor="text1"/>
        </w:rPr>
        <w:t>. Las concesiones se otorgarán mediante concurso público, en el que se establecerán los mismos requisitos y condiciones para todos los participantes, a personas físicas o jurídicas colectivas</w:t>
      </w:r>
      <w:r>
        <w:rPr>
          <w:rStyle w:val="Refdenotaalpie"/>
          <w:rFonts w:ascii="Palatino Linotype" w:hAnsi="Palatino Linotype"/>
          <w:color w:val="000000" w:themeColor="text1"/>
        </w:rPr>
        <w:footnoteReference w:id="8"/>
      </w:r>
      <w:r w:rsidRPr="003E4096">
        <w:rPr>
          <w:rFonts w:ascii="Palatino Linotype" w:hAnsi="Palatino Linotype"/>
          <w:color w:val="000000" w:themeColor="text1"/>
        </w:rPr>
        <w:t>.</w:t>
      </w:r>
    </w:p>
    <w:p w14:paraId="00E685C5" w14:textId="77777777" w:rsidR="00E50851" w:rsidRPr="00E50851" w:rsidRDefault="00E50851" w:rsidP="00E50851">
      <w:pPr>
        <w:pStyle w:val="Prrafodelista"/>
        <w:tabs>
          <w:tab w:val="left" w:pos="426"/>
        </w:tabs>
        <w:spacing w:before="240" w:after="240" w:line="360" w:lineRule="auto"/>
        <w:ind w:left="0" w:right="51"/>
        <w:jc w:val="both"/>
        <w:rPr>
          <w:rFonts w:ascii="Palatino Linotype" w:hAnsi="Palatino Linotype"/>
          <w:color w:val="000000" w:themeColor="text1"/>
        </w:rPr>
      </w:pPr>
    </w:p>
    <w:p w14:paraId="06AC9CB0" w14:textId="1E270BC4" w:rsidR="00E50851" w:rsidRPr="00E50851" w:rsidRDefault="003E4096"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De acuerdo con lo que establece el artículo 114 de la Ley del Agua para el Estado de México y Municipios, las concesiones se otorgarán de conformidad con el procedimiento siguiente:</w:t>
      </w:r>
    </w:p>
    <w:p w14:paraId="15C2B63C" w14:textId="77777777" w:rsidR="00607B9A" w:rsidRDefault="00607B9A" w:rsidP="00607B9A">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Pr="00607B9A">
        <w:rPr>
          <w:rFonts w:ascii="Palatino Linotype" w:hAnsi="Palatino Linotype"/>
          <w:b/>
          <w:bCs/>
          <w:i/>
          <w:iCs/>
          <w:sz w:val="22"/>
          <w:szCs w:val="22"/>
        </w:rPr>
        <w:t>I.</w:t>
      </w:r>
      <w:r w:rsidRPr="00607B9A">
        <w:rPr>
          <w:rFonts w:ascii="Palatino Linotype" w:hAnsi="Palatino Linotype"/>
          <w:i/>
          <w:iCs/>
          <w:sz w:val="22"/>
          <w:szCs w:val="22"/>
        </w:rPr>
        <w:t xml:space="preserve"> Se expedirá convocatoria pública para que, en el plazo que se establezca en las bases del concurso, se presenten propuestas; </w:t>
      </w:r>
    </w:p>
    <w:p w14:paraId="49D6C99A" w14:textId="77777777" w:rsidR="00607B9A" w:rsidRDefault="00607B9A" w:rsidP="00607B9A">
      <w:pPr>
        <w:pStyle w:val="Prrafodelista"/>
        <w:tabs>
          <w:tab w:val="left" w:pos="426"/>
        </w:tabs>
        <w:spacing w:before="240" w:after="240" w:line="276" w:lineRule="auto"/>
        <w:ind w:left="567" w:right="567"/>
        <w:jc w:val="both"/>
        <w:rPr>
          <w:rFonts w:ascii="Palatino Linotype" w:hAnsi="Palatino Linotype"/>
          <w:i/>
          <w:iCs/>
          <w:sz w:val="22"/>
          <w:szCs w:val="22"/>
        </w:rPr>
      </w:pPr>
      <w:r w:rsidRPr="00607B9A">
        <w:rPr>
          <w:rFonts w:ascii="Palatino Linotype" w:hAnsi="Palatino Linotype"/>
          <w:b/>
          <w:bCs/>
          <w:i/>
          <w:iCs/>
          <w:sz w:val="22"/>
          <w:szCs w:val="22"/>
        </w:rPr>
        <w:t>II.</w:t>
      </w:r>
      <w:r w:rsidRPr="00607B9A">
        <w:rPr>
          <w:rFonts w:ascii="Palatino Linotype" w:hAnsi="Palatino Linotype"/>
          <w:i/>
          <w:iCs/>
          <w:sz w:val="22"/>
          <w:szCs w:val="22"/>
        </w:rPr>
        <w:t xml:space="preserve"> La convocatoria se publicará, simultáneamente en el periódico oficial "Gaceta del Gobierno", en un periódico de amplia circulación nacional y en otro de amplia circulación estatal, así como en los medios electrónicos correspondientes; </w:t>
      </w:r>
    </w:p>
    <w:p w14:paraId="0BF6F31C" w14:textId="77777777" w:rsidR="00607B9A" w:rsidRDefault="00607B9A" w:rsidP="00607B9A">
      <w:pPr>
        <w:pStyle w:val="Prrafodelista"/>
        <w:tabs>
          <w:tab w:val="left" w:pos="426"/>
        </w:tabs>
        <w:spacing w:before="240" w:after="240" w:line="276" w:lineRule="auto"/>
        <w:ind w:left="567" w:right="567"/>
        <w:jc w:val="both"/>
        <w:rPr>
          <w:rFonts w:ascii="Palatino Linotype" w:hAnsi="Palatino Linotype"/>
          <w:i/>
          <w:iCs/>
          <w:sz w:val="22"/>
          <w:szCs w:val="22"/>
        </w:rPr>
      </w:pPr>
      <w:r w:rsidRPr="00607B9A">
        <w:rPr>
          <w:rFonts w:ascii="Palatino Linotype" w:hAnsi="Palatino Linotype"/>
          <w:b/>
          <w:bCs/>
          <w:i/>
          <w:iCs/>
          <w:sz w:val="22"/>
          <w:szCs w:val="22"/>
        </w:rPr>
        <w:t>III.</w:t>
      </w:r>
      <w:r w:rsidRPr="00607B9A">
        <w:rPr>
          <w:rFonts w:ascii="Palatino Linotype" w:hAnsi="Palatino Linotype"/>
          <w:i/>
          <w:iCs/>
          <w:sz w:val="22"/>
          <w:szCs w:val="22"/>
        </w:rPr>
        <w:t xml:space="preserve"> Las bases del concurso contendrán los requisitos que al efecto establezcan las disposiciones legales y reglamentarias aplicables, y deberán incluir, según el caso, requisitos tales como: </w:t>
      </w:r>
    </w:p>
    <w:p w14:paraId="74FD34B3" w14:textId="77777777" w:rsidR="00607B9A" w:rsidRDefault="00607B9A" w:rsidP="00607B9A">
      <w:pPr>
        <w:pStyle w:val="Prrafodelista"/>
        <w:tabs>
          <w:tab w:val="left" w:pos="426"/>
        </w:tabs>
        <w:spacing w:before="240" w:after="240" w:line="276" w:lineRule="auto"/>
        <w:ind w:left="851" w:right="567"/>
        <w:jc w:val="both"/>
        <w:rPr>
          <w:rFonts w:ascii="Palatino Linotype" w:hAnsi="Palatino Linotype"/>
          <w:i/>
          <w:iCs/>
          <w:sz w:val="22"/>
          <w:szCs w:val="22"/>
        </w:rPr>
      </w:pPr>
      <w:r w:rsidRPr="00607B9A">
        <w:rPr>
          <w:rFonts w:ascii="Palatino Linotype" w:hAnsi="Palatino Linotype"/>
          <w:b/>
          <w:bCs/>
          <w:i/>
          <w:iCs/>
          <w:sz w:val="22"/>
          <w:szCs w:val="22"/>
        </w:rPr>
        <w:t>a)</w:t>
      </w:r>
      <w:r w:rsidRPr="00607B9A">
        <w:rPr>
          <w:rFonts w:ascii="Palatino Linotype" w:hAnsi="Palatino Linotype"/>
          <w:i/>
          <w:iCs/>
          <w:sz w:val="22"/>
          <w:szCs w:val="22"/>
        </w:rPr>
        <w:t xml:space="preserve"> Las características técnicas de la obra hidráulica o servicio de que se trate; </w:t>
      </w:r>
    </w:p>
    <w:p w14:paraId="759E805F" w14:textId="77777777" w:rsidR="00607B9A" w:rsidRDefault="00607B9A" w:rsidP="00607B9A">
      <w:pPr>
        <w:pStyle w:val="Prrafodelista"/>
        <w:tabs>
          <w:tab w:val="left" w:pos="426"/>
        </w:tabs>
        <w:spacing w:before="240" w:after="240" w:line="276" w:lineRule="auto"/>
        <w:ind w:left="851" w:right="567"/>
        <w:jc w:val="both"/>
        <w:rPr>
          <w:rFonts w:ascii="Palatino Linotype" w:hAnsi="Palatino Linotype"/>
          <w:i/>
          <w:iCs/>
          <w:sz w:val="22"/>
          <w:szCs w:val="22"/>
        </w:rPr>
      </w:pPr>
      <w:r w:rsidRPr="00607B9A">
        <w:rPr>
          <w:rFonts w:ascii="Palatino Linotype" w:hAnsi="Palatino Linotype"/>
          <w:b/>
          <w:bCs/>
          <w:i/>
          <w:iCs/>
          <w:sz w:val="22"/>
          <w:szCs w:val="22"/>
        </w:rPr>
        <w:t>b)</w:t>
      </w:r>
      <w:r w:rsidRPr="00607B9A">
        <w:rPr>
          <w:rFonts w:ascii="Palatino Linotype" w:hAnsi="Palatino Linotype"/>
          <w:i/>
          <w:iCs/>
          <w:sz w:val="22"/>
          <w:szCs w:val="22"/>
        </w:rPr>
        <w:t xml:space="preserve"> El anteproyecto técnico o, en su caso, términos de referencia de los servicios; </w:t>
      </w:r>
    </w:p>
    <w:p w14:paraId="5A890570" w14:textId="77777777" w:rsidR="00607B9A" w:rsidRDefault="00607B9A" w:rsidP="00607B9A">
      <w:pPr>
        <w:pStyle w:val="Prrafodelista"/>
        <w:tabs>
          <w:tab w:val="left" w:pos="426"/>
        </w:tabs>
        <w:spacing w:before="240" w:after="240" w:line="276" w:lineRule="auto"/>
        <w:ind w:left="851" w:right="567"/>
        <w:jc w:val="both"/>
        <w:rPr>
          <w:rFonts w:ascii="Palatino Linotype" w:hAnsi="Palatino Linotype"/>
          <w:i/>
          <w:iCs/>
          <w:sz w:val="22"/>
          <w:szCs w:val="22"/>
        </w:rPr>
      </w:pPr>
      <w:r w:rsidRPr="00607B9A">
        <w:rPr>
          <w:rFonts w:ascii="Palatino Linotype" w:hAnsi="Palatino Linotype"/>
          <w:b/>
          <w:bCs/>
          <w:i/>
          <w:iCs/>
          <w:sz w:val="22"/>
          <w:szCs w:val="22"/>
        </w:rPr>
        <w:t>c)</w:t>
      </w:r>
      <w:r w:rsidRPr="00607B9A">
        <w:rPr>
          <w:rFonts w:ascii="Palatino Linotype" w:hAnsi="Palatino Linotype"/>
          <w:i/>
          <w:iCs/>
          <w:sz w:val="22"/>
          <w:szCs w:val="22"/>
        </w:rPr>
        <w:t xml:space="preserve"> El plazo máximo de la concesión; </w:t>
      </w:r>
    </w:p>
    <w:p w14:paraId="57F9C864" w14:textId="77777777" w:rsidR="00607B9A" w:rsidRDefault="00607B9A" w:rsidP="00607B9A">
      <w:pPr>
        <w:pStyle w:val="Prrafodelista"/>
        <w:tabs>
          <w:tab w:val="left" w:pos="426"/>
        </w:tabs>
        <w:spacing w:before="240" w:after="240" w:line="276" w:lineRule="auto"/>
        <w:ind w:left="851" w:right="567"/>
        <w:jc w:val="both"/>
        <w:rPr>
          <w:rFonts w:ascii="Palatino Linotype" w:hAnsi="Palatino Linotype"/>
          <w:i/>
          <w:iCs/>
          <w:sz w:val="22"/>
          <w:szCs w:val="22"/>
        </w:rPr>
      </w:pPr>
      <w:r w:rsidRPr="00607B9A">
        <w:rPr>
          <w:rFonts w:ascii="Palatino Linotype" w:hAnsi="Palatino Linotype"/>
          <w:b/>
          <w:bCs/>
          <w:i/>
          <w:iCs/>
          <w:sz w:val="22"/>
          <w:szCs w:val="22"/>
        </w:rPr>
        <w:lastRenderedPageBreak/>
        <w:t>d)</w:t>
      </w:r>
      <w:r w:rsidRPr="00607B9A">
        <w:rPr>
          <w:rFonts w:ascii="Palatino Linotype" w:hAnsi="Palatino Linotype"/>
          <w:i/>
          <w:iCs/>
          <w:sz w:val="22"/>
          <w:szCs w:val="22"/>
        </w:rPr>
        <w:t xml:space="preserve"> Las condiciones financieras básicas, que en su caso deberán considerar que el costo por metro cúbico, no exceda el que establezca la autoridad del agua federal o estatal según corresponda; </w:t>
      </w:r>
    </w:p>
    <w:p w14:paraId="49BCE92A" w14:textId="77777777" w:rsidR="00607B9A" w:rsidRDefault="00607B9A" w:rsidP="00607B9A">
      <w:pPr>
        <w:pStyle w:val="Prrafodelista"/>
        <w:tabs>
          <w:tab w:val="left" w:pos="426"/>
        </w:tabs>
        <w:spacing w:before="240" w:after="240" w:line="276" w:lineRule="auto"/>
        <w:ind w:left="851" w:right="567"/>
        <w:jc w:val="both"/>
        <w:rPr>
          <w:rFonts w:ascii="Palatino Linotype" w:hAnsi="Palatino Linotype"/>
          <w:i/>
          <w:iCs/>
          <w:sz w:val="22"/>
          <w:szCs w:val="22"/>
        </w:rPr>
      </w:pPr>
      <w:r w:rsidRPr="00607B9A">
        <w:rPr>
          <w:rFonts w:ascii="Palatino Linotype" w:hAnsi="Palatino Linotype"/>
          <w:b/>
          <w:bCs/>
          <w:i/>
          <w:iCs/>
          <w:sz w:val="22"/>
          <w:szCs w:val="22"/>
        </w:rPr>
        <w:t>e)</w:t>
      </w:r>
      <w:r w:rsidRPr="00607B9A">
        <w:rPr>
          <w:rFonts w:ascii="Palatino Linotype" w:hAnsi="Palatino Linotype"/>
          <w:i/>
          <w:iCs/>
          <w:sz w:val="22"/>
          <w:szCs w:val="22"/>
        </w:rPr>
        <w:t xml:space="preserve"> Las contraprestaciones por el otorgamiento de la concesión; </w:t>
      </w:r>
    </w:p>
    <w:p w14:paraId="7C2B9AA4" w14:textId="77777777" w:rsidR="00607B9A" w:rsidRDefault="00607B9A" w:rsidP="00607B9A">
      <w:pPr>
        <w:pStyle w:val="Prrafodelista"/>
        <w:tabs>
          <w:tab w:val="left" w:pos="426"/>
        </w:tabs>
        <w:spacing w:before="240" w:after="240" w:line="276" w:lineRule="auto"/>
        <w:ind w:left="851" w:right="567"/>
        <w:jc w:val="both"/>
        <w:rPr>
          <w:rFonts w:ascii="Palatino Linotype" w:hAnsi="Palatino Linotype"/>
          <w:i/>
          <w:iCs/>
          <w:sz w:val="22"/>
          <w:szCs w:val="22"/>
        </w:rPr>
      </w:pPr>
      <w:r w:rsidRPr="00607B9A">
        <w:rPr>
          <w:rFonts w:ascii="Palatino Linotype" w:hAnsi="Palatino Linotype"/>
          <w:b/>
          <w:bCs/>
          <w:i/>
          <w:iCs/>
          <w:sz w:val="22"/>
          <w:szCs w:val="22"/>
        </w:rPr>
        <w:t>f)</w:t>
      </w:r>
      <w:r w:rsidRPr="00607B9A">
        <w:rPr>
          <w:rFonts w:ascii="Palatino Linotype" w:hAnsi="Palatino Linotype"/>
          <w:i/>
          <w:iCs/>
          <w:sz w:val="22"/>
          <w:szCs w:val="22"/>
        </w:rPr>
        <w:t xml:space="preserve"> Las características de la operación de la infraestructura hidráulica y/o de los servicios y tarifas iniciales, de ser el caso; y </w:t>
      </w:r>
    </w:p>
    <w:p w14:paraId="1DF079AB" w14:textId="77777777" w:rsidR="00607B9A" w:rsidRDefault="00607B9A" w:rsidP="00607B9A">
      <w:pPr>
        <w:pStyle w:val="Prrafodelista"/>
        <w:tabs>
          <w:tab w:val="left" w:pos="426"/>
        </w:tabs>
        <w:spacing w:before="240" w:after="240" w:line="276" w:lineRule="auto"/>
        <w:ind w:left="851" w:right="567"/>
        <w:jc w:val="both"/>
        <w:rPr>
          <w:rFonts w:ascii="Palatino Linotype" w:hAnsi="Palatino Linotype"/>
          <w:i/>
          <w:iCs/>
          <w:sz w:val="22"/>
          <w:szCs w:val="22"/>
        </w:rPr>
      </w:pPr>
      <w:r w:rsidRPr="00607B9A">
        <w:rPr>
          <w:rFonts w:ascii="Palatino Linotype" w:hAnsi="Palatino Linotype"/>
          <w:b/>
          <w:bCs/>
          <w:i/>
          <w:iCs/>
          <w:sz w:val="22"/>
          <w:szCs w:val="22"/>
        </w:rPr>
        <w:t>g)</w:t>
      </w:r>
      <w:r w:rsidRPr="00607B9A">
        <w:rPr>
          <w:rFonts w:ascii="Palatino Linotype" w:hAnsi="Palatino Linotype"/>
          <w:i/>
          <w:iCs/>
          <w:sz w:val="22"/>
          <w:szCs w:val="22"/>
        </w:rPr>
        <w:t xml:space="preserve"> La indicación de que las propuestas deberán incluir medidas o acciones para mejorar el medio ambiente en la zona de influencia de la infraestructura hidráulica o servicios que se licitan, como aportación del proyecto. </w:t>
      </w:r>
    </w:p>
    <w:p w14:paraId="7C4932F2" w14:textId="77777777" w:rsidR="00607B9A" w:rsidRDefault="00607B9A" w:rsidP="00607B9A">
      <w:pPr>
        <w:pStyle w:val="Prrafodelista"/>
        <w:tabs>
          <w:tab w:val="left" w:pos="426"/>
        </w:tabs>
        <w:spacing w:before="240" w:after="240" w:line="276" w:lineRule="auto"/>
        <w:ind w:left="567" w:right="567"/>
        <w:jc w:val="both"/>
        <w:rPr>
          <w:rFonts w:ascii="Palatino Linotype" w:hAnsi="Palatino Linotype"/>
          <w:i/>
          <w:iCs/>
          <w:sz w:val="22"/>
          <w:szCs w:val="22"/>
        </w:rPr>
      </w:pPr>
      <w:r w:rsidRPr="00607B9A">
        <w:rPr>
          <w:rFonts w:ascii="Palatino Linotype" w:hAnsi="Palatino Linotype"/>
          <w:b/>
          <w:bCs/>
          <w:i/>
          <w:iCs/>
          <w:sz w:val="22"/>
          <w:szCs w:val="22"/>
        </w:rPr>
        <w:t>IV.</w:t>
      </w:r>
      <w:r w:rsidRPr="00607B9A">
        <w:rPr>
          <w:rFonts w:ascii="Palatino Linotype" w:hAnsi="Palatino Linotype"/>
          <w:i/>
          <w:iCs/>
          <w:sz w:val="22"/>
          <w:szCs w:val="22"/>
        </w:rPr>
        <w:t xml:space="preserve"> Podrán participar uno o varios interesados que demuestren: </w:t>
      </w:r>
    </w:p>
    <w:p w14:paraId="3A265E93" w14:textId="77777777" w:rsidR="00607B9A" w:rsidRDefault="00607B9A" w:rsidP="00607B9A">
      <w:pPr>
        <w:pStyle w:val="Prrafodelista"/>
        <w:tabs>
          <w:tab w:val="left" w:pos="426"/>
        </w:tabs>
        <w:spacing w:before="240" w:after="240" w:line="276" w:lineRule="auto"/>
        <w:ind w:left="851" w:right="567"/>
        <w:jc w:val="both"/>
        <w:rPr>
          <w:rFonts w:ascii="Palatino Linotype" w:hAnsi="Palatino Linotype"/>
          <w:i/>
          <w:iCs/>
          <w:sz w:val="22"/>
          <w:szCs w:val="22"/>
        </w:rPr>
      </w:pPr>
      <w:r w:rsidRPr="00607B9A">
        <w:rPr>
          <w:rFonts w:ascii="Palatino Linotype" w:hAnsi="Palatino Linotype"/>
          <w:b/>
          <w:bCs/>
          <w:i/>
          <w:iCs/>
          <w:sz w:val="22"/>
          <w:szCs w:val="22"/>
        </w:rPr>
        <w:t>a)</w:t>
      </w:r>
      <w:r w:rsidRPr="00607B9A">
        <w:rPr>
          <w:rFonts w:ascii="Palatino Linotype" w:hAnsi="Palatino Linotype"/>
          <w:i/>
          <w:iCs/>
          <w:sz w:val="22"/>
          <w:szCs w:val="22"/>
        </w:rPr>
        <w:t xml:space="preserve"> Solvencia económica; </w:t>
      </w:r>
    </w:p>
    <w:p w14:paraId="3F4962BE" w14:textId="77777777" w:rsidR="00607B9A" w:rsidRDefault="00607B9A" w:rsidP="00607B9A">
      <w:pPr>
        <w:pStyle w:val="Prrafodelista"/>
        <w:tabs>
          <w:tab w:val="left" w:pos="426"/>
        </w:tabs>
        <w:spacing w:before="240" w:after="240" w:line="276" w:lineRule="auto"/>
        <w:ind w:left="851" w:right="567"/>
        <w:jc w:val="both"/>
        <w:rPr>
          <w:rFonts w:ascii="Palatino Linotype" w:hAnsi="Palatino Linotype"/>
          <w:i/>
          <w:iCs/>
          <w:sz w:val="22"/>
          <w:szCs w:val="22"/>
        </w:rPr>
      </w:pPr>
      <w:r w:rsidRPr="00607B9A">
        <w:rPr>
          <w:rFonts w:ascii="Palatino Linotype" w:hAnsi="Palatino Linotype"/>
          <w:b/>
          <w:bCs/>
          <w:i/>
          <w:iCs/>
          <w:sz w:val="22"/>
          <w:szCs w:val="22"/>
        </w:rPr>
        <w:t>b)</w:t>
      </w:r>
      <w:r w:rsidRPr="00607B9A">
        <w:rPr>
          <w:rFonts w:ascii="Palatino Linotype" w:hAnsi="Palatino Linotype"/>
          <w:i/>
          <w:iCs/>
          <w:sz w:val="22"/>
          <w:szCs w:val="22"/>
        </w:rPr>
        <w:t xml:space="preserve"> Capacidad legal; </w:t>
      </w:r>
    </w:p>
    <w:p w14:paraId="1696F47F" w14:textId="77777777" w:rsidR="00607B9A" w:rsidRDefault="00607B9A" w:rsidP="00607B9A">
      <w:pPr>
        <w:pStyle w:val="Prrafodelista"/>
        <w:tabs>
          <w:tab w:val="left" w:pos="426"/>
        </w:tabs>
        <w:spacing w:before="240" w:after="240" w:line="276" w:lineRule="auto"/>
        <w:ind w:left="851" w:right="567"/>
        <w:jc w:val="both"/>
        <w:rPr>
          <w:rFonts w:ascii="Palatino Linotype" w:hAnsi="Palatino Linotype"/>
          <w:i/>
          <w:iCs/>
          <w:sz w:val="22"/>
          <w:szCs w:val="22"/>
        </w:rPr>
      </w:pPr>
      <w:r w:rsidRPr="00607B9A">
        <w:rPr>
          <w:rFonts w:ascii="Palatino Linotype" w:hAnsi="Palatino Linotype"/>
          <w:b/>
          <w:bCs/>
          <w:i/>
          <w:iCs/>
          <w:sz w:val="22"/>
          <w:szCs w:val="22"/>
        </w:rPr>
        <w:t>c)</w:t>
      </w:r>
      <w:r w:rsidRPr="00607B9A">
        <w:rPr>
          <w:rFonts w:ascii="Palatino Linotype" w:hAnsi="Palatino Linotype"/>
          <w:i/>
          <w:iCs/>
          <w:sz w:val="22"/>
          <w:szCs w:val="22"/>
        </w:rPr>
        <w:t xml:space="preserve"> Capacidad técnica; </w:t>
      </w:r>
    </w:p>
    <w:p w14:paraId="6689D688" w14:textId="77777777" w:rsidR="00607B9A" w:rsidRDefault="00607B9A" w:rsidP="00607B9A">
      <w:pPr>
        <w:pStyle w:val="Prrafodelista"/>
        <w:tabs>
          <w:tab w:val="left" w:pos="426"/>
        </w:tabs>
        <w:spacing w:before="240" w:after="240" w:line="276" w:lineRule="auto"/>
        <w:ind w:left="851" w:right="567"/>
        <w:jc w:val="both"/>
        <w:rPr>
          <w:rFonts w:ascii="Palatino Linotype" w:hAnsi="Palatino Linotype"/>
          <w:i/>
          <w:iCs/>
          <w:sz w:val="22"/>
          <w:szCs w:val="22"/>
        </w:rPr>
      </w:pPr>
      <w:r w:rsidRPr="00607B9A">
        <w:rPr>
          <w:rFonts w:ascii="Palatino Linotype" w:hAnsi="Palatino Linotype"/>
          <w:b/>
          <w:bCs/>
          <w:i/>
          <w:iCs/>
          <w:sz w:val="22"/>
          <w:szCs w:val="22"/>
        </w:rPr>
        <w:t>d)</w:t>
      </w:r>
      <w:r w:rsidRPr="00607B9A">
        <w:rPr>
          <w:rFonts w:ascii="Palatino Linotype" w:hAnsi="Palatino Linotype"/>
          <w:i/>
          <w:iCs/>
          <w:sz w:val="22"/>
          <w:szCs w:val="22"/>
        </w:rPr>
        <w:t xml:space="preserve"> Capacidad administrativa y financiera; y </w:t>
      </w:r>
    </w:p>
    <w:p w14:paraId="581B49C7" w14:textId="77777777" w:rsidR="00607B9A" w:rsidRDefault="00607B9A" w:rsidP="00607B9A">
      <w:pPr>
        <w:pStyle w:val="Prrafodelista"/>
        <w:tabs>
          <w:tab w:val="left" w:pos="426"/>
        </w:tabs>
        <w:spacing w:before="240" w:after="240" w:line="276" w:lineRule="auto"/>
        <w:ind w:left="851" w:right="567"/>
        <w:jc w:val="both"/>
        <w:rPr>
          <w:rFonts w:ascii="Palatino Linotype" w:hAnsi="Palatino Linotype"/>
          <w:i/>
          <w:iCs/>
          <w:sz w:val="22"/>
          <w:szCs w:val="22"/>
        </w:rPr>
      </w:pPr>
      <w:r w:rsidRPr="00607B9A">
        <w:rPr>
          <w:rFonts w:ascii="Palatino Linotype" w:hAnsi="Palatino Linotype"/>
          <w:b/>
          <w:bCs/>
          <w:i/>
          <w:iCs/>
          <w:sz w:val="22"/>
          <w:szCs w:val="22"/>
        </w:rPr>
        <w:t>e)</w:t>
      </w:r>
      <w:r w:rsidRPr="00607B9A">
        <w:rPr>
          <w:rFonts w:ascii="Palatino Linotype" w:hAnsi="Palatino Linotype"/>
          <w:i/>
          <w:iCs/>
          <w:sz w:val="22"/>
          <w:szCs w:val="22"/>
        </w:rPr>
        <w:t xml:space="preserve"> Cumplir con los demás requisitos que establezcan las bases que expida la Secretaría o el Municipio, según sea el caso. </w:t>
      </w:r>
    </w:p>
    <w:p w14:paraId="1832399D" w14:textId="77777777" w:rsidR="00607B9A" w:rsidRDefault="00607B9A" w:rsidP="00607B9A">
      <w:pPr>
        <w:pStyle w:val="Prrafodelista"/>
        <w:tabs>
          <w:tab w:val="left" w:pos="426"/>
        </w:tabs>
        <w:spacing w:before="240" w:after="240" w:line="276" w:lineRule="auto"/>
        <w:ind w:left="567" w:right="567"/>
        <w:jc w:val="both"/>
        <w:rPr>
          <w:rFonts w:ascii="Palatino Linotype" w:hAnsi="Palatino Linotype"/>
          <w:i/>
          <w:iCs/>
          <w:sz w:val="22"/>
          <w:szCs w:val="22"/>
        </w:rPr>
      </w:pPr>
      <w:r w:rsidRPr="00607B9A">
        <w:rPr>
          <w:rFonts w:ascii="Palatino Linotype" w:hAnsi="Palatino Linotype"/>
          <w:b/>
          <w:bCs/>
          <w:i/>
          <w:iCs/>
          <w:sz w:val="22"/>
          <w:szCs w:val="22"/>
        </w:rPr>
        <w:t>V.</w:t>
      </w:r>
      <w:r w:rsidRPr="00607B9A">
        <w:rPr>
          <w:rFonts w:ascii="Palatino Linotype" w:hAnsi="Palatino Linotype"/>
          <w:i/>
          <w:iCs/>
          <w:sz w:val="22"/>
          <w:szCs w:val="22"/>
        </w:rPr>
        <w:t xml:space="preserve"> La Secretaría y/o el Municipio emitirá el fallo, basándose en el dictamen técnico, que contendrá el análisis comparativo de las propuestas admitidas. El fallo, será dado a conocer a todos los participantes y contendrá, además, la información relativa a las propuestas que se desechen y las causas que la motivaren; </w:t>
      </w:r>
    </w:p>
    <w:p w14:paraId="73327D35" w14:textId="77777777" w:rsidR="00607B9A" w:rsidRDefault="00607B9A" w:rsidP="00607B9A">
      <w:pPr>
        <w:pStyle w:val="Prrafodelista"/>
        <w:tabs>
          <w:tab w:val="left" w:pos="426"/>
        </w:tabs>
        <w:spacing w:before="240" w:after="240" w:line="276" w:lineRule="auto"/>
        <w:ind w:left="567" w:right="567"/>
        <w:jc w:val="both"/>
        <w:rPr>
          <w:rFonts w:ascii="Palatino Linotype" w:hAnsi="Palatino Linotype"/>
          <w:i/>
          <w:iCs/>
          <w:sz w:val="22"/>
          <w:szCs w:val="22"/>
        </w:rPr>
      </w:pPr>
      <w:r w:rsidRPr="00607B9A">
        <w:rPr>
          <w:rFonts w:ascii="Palatino Linotype" w:hAnsi="Palatino Linotype"/>
          <w:b/>
          <w:bCs/>
          <w:i/>
          <w:iCs/>
          <w:sz w:val="22"/>
          <w:szCs w:val="22"/>
        </w:rPr>
        <w:t>VI.</w:t>
      </w:r>
      <w:r w:rsidRPr="00607B9A">
        <w:rPr>
          <w:rFonts w:ascii="Palatino Linotype" w:hAnsi="Palatino Linotype"/>
          <w:i/>
          <w:iCs/>
          <w:sz w:val="22"/>
          <w:szCs w:val="22"/>
        </w:rPr>
        <w:t xml:space="preserve"> La propuesta ganadora estará a disposición de los participantes interesados durante tres días hábiles a partir de que se haya dado a conocer el fallo correspondiente, para que, en su caso, manifiesten lo que a su derecho convenga; y </w:t>
      </w:r>
    </w:p>
    <w:p w14:paraId="6EA57494" w14:textId="59D8F4C1" w:rsidR="003E4096" w:rsidRPr="00607B9A" w:rsidRDefault="00607B9A" w:rsidP="00607B9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607B9A">
        <w:rPr>
          <w:rFonts w:ascii="Palatino Linotype" w:hAnsi="Palatino Linotype"/>
          <w:b/>
          <w:bCs/>
          <w:i/>
          <w:iCs/>
          <w:sz w:val="22"/>
          <w:szCs w:val="22"/>
        </w:rPr>
        <w:t>VII.</w:t>
      </w:r>
      <w:r w:rsidRPr="00607B9A">
        <w:rPr>
          <w:rFonts w:ascii="Palatino Linotype" w:hAnsi="Palatino Linotype"/>
          <w:i/>
          <w:iCs/>
          <w:sz w:val="22"/>
          <w:szCs w:val="22"/>
        </w:rPr>
        <w:t xml:space="preserve"> No se otorgará la concesión cuando ninguna de las propuestas presentadas cumpla con las bases del concurso, o por caso fortuito o fuerza mayor. En este caso, se declarará desierto el concurso.</w:t>
      </w:r>
      <w:r>
        <w:rPr>
          <w:rFonts w:ascii="Palatino Linotype" w:hAnsi="Palatino Linotype"/>
          <w:i/>
          <w:iCs/>
          <w:sz w:val="22"/>
          <w:szCs w:val="22"/>
        </w:rPr>
        <w:t>”</w:t>
      </w:r>
    </w:p>
    <w:p w14:paraId="418CB057" w14:textId="77777777" w:rsidR="003E4096" w:rsidRPr="00E50851" w:rsidRDefault="003E4096" w:rsidP="00E50851">
      <w:pPr>
        <w:pStyle w:val="Prrafodelista"/>
        <w:tabs>
          <w:tab w:val="left" w:pos="426"/>
        </w:tabs>
        <w:spacing w:before="240" w:after="240" w:line="360" w:lineRule="auto"/>
        <w:ind w:left="0" w:right="51"/>
        <w:jc w:val="both"/>
        <w:rPr>
          <w:rFonts w:ascii="Palatino Linotype" w:hAnsi="Palatino Linotype"/>
          <w:color w:val="000000" w:themeColor="text1"/>
        </w:rPr>
      </w:pPr>
    </w:p>
    <w:p w14:paraId="6D78D0A6" w14:textId="616A8099" w:rsidR="00E50851" w:rsidRPr="00E50851" w:rsidRDefault="00607B9A" w:rsidP="00E508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De la lectura a los dispositivos normativos antes citados, </w:t>
      </w:r>
      <w:r w:rsidRPr="000160F8">
        <w:rPr>
          <w:rFonts w:ascii="Palatino Linotype" w:hAnsi="Palatino Linotype" w:cs="Arial"/>
          <w:b/>
          <w:bCs/>
          <w:color w:val="000000" w:themeColor="text1"/>
        </w:rPr>
        <w:t>no se advierte que, para la realización de un proyecto de construcción relacionado con pozos de agua potable, se requiera de una Manifestación de Impacto Ambiental</w:t>
      </w:r>
      <w:r w:rsidR="000160F8">
        <w:rPr>
          <w:rFonts w:ascii="Palatino Linotype" w:hAnsi="Palatino Linotype" w:cs="Arial"/>
          <w:color w:val="000000" w:themeColor="text1"/>
        </w:rPr>
        <w:t>, tal como fuera referido por el Director Técnico de Construcción, Operación y Mantenimiento, a través del oficio DTCOM/572/2021.</w:t>
      </w:r>
    </w:p>
    <w:p w14:paraId="602102E4" w14:textId="77777777" w:rsidR="00E50851" w:rsidRPr="00E50851" w:rsidRDefault="00E50851" w:rsidP="00E50851">
      <w:pPr>
        <w:pStyle w:val="Prrafodelista"/>
        <w:tabs>
          <w:tab w:val="left" w:pos="426"/>
        </w:tabs>
        <w:spacing w:before="240" w:after="240" w:line="360" w:lineRule="auto"/>
        <w:ind w:left="0" w:right="51"/>
        <w:jc w:val="both"/>
        <w:rPr>
          <w:rFonts w:ascii="Palatino Linotype" w:hAnsi="Palatino Linotype"/>
          <w:color w:val="000000" w:themeColor="text1"/>
        </w:rPr>
      </w:pPr>
    </w:p>
    <w:p w14:paraId="43A93015" w14:textId="4D0F0249" w:rsidR="00F90771" w:rsidRPr="00FA4709" w:rsidRDefault="00F90771" w:rsidP="00F9077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Al respecto,</w:t>
      </w:r>
      <w:r w:rsidR="000160F8">
        <w:rPr>
          <w:rFonts w:ascii="Palatino Linotype" w:hAnsi="Palatino Linotype"/>
          <w:color w:val="000000" w:themeColor="text1"/>
        </w:rPr>
        <w:t xml:space="preserve"> no es ocioso mencionar que</w:t>
      </w:r>
      <w:r>
        <w:rPr>
          <w:rFonts w:ascii="Palatino Linotype" w:hAnsi="Palatino Linotype"/>
          <w:color w:val="000000" w:themeColor="text1"/>
        </w:rPr>
        <w:t xml:space="preserve"> el Bando Municipal de Ecatepec de Morelos, en su artículo 96, establece que la prestación del </w:t>
      </w:r>
      <w:r w:rsidRPr="007A76B7">
        <w:rPr>
          <w:rFonts w:ascii="Palatino Linotype" w:hAnsi="Palatino Linotype"/>
          <w:color w:val="000000" w:themeColor="text1"/>
        </w:rPr>
        <w:t xml:space="preserve">servicio público de agua potable, alcantarillado y saneamiento se realizará a través </w:t>
      </w:r>
      <w:r>
        <w:rPr>
          <w:rFonts w:ascii="Palatino Linotype" w:hAnsi="Palatino Linotype"/>
          <w:color w:val="000000" w:themeColor="text1"/>
        </w:rPr>
        <w:t>del Organismo Público Descentralizado para la Prestación de los Servicios de Agua Potable, Alcantarillado y Saneamiento</w:t>
      </w:r>
      <w:r w:rsidRPr="007A76B7">
        <w:rPr>
          <w:rFonts w:ascii="Palatino Linotype" w:hAnsi="Palatino Linotype"/>
          <w:color w:val="000000" w:themeColor="text1"/>
        </w:rPr>
        <w:t>, el cual tendrá las siguientes funciones:</w:t>
      </w:r>
    </w:p>
    <w:p w14:paraId="4CA67E27" w14:textId="77777777" w:rsidR="00F90771" w:rsidRDefault="00F90771" w:rsidP="00F15830">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Administrar </w:t>
      </w:r>
      <w:r w:rsidRPr="007A76B7">
        <w:rPr>
          <w:rFonts w:ascii="Palatino Linotype" w:hAnsi="Palatino Linotype"/>
          <w:color w:val="000000" w:themeColor="text1"/>
        </w:rPr>
        <w:t xml:space="preserve">y conservar este servicio; </w:t>
      </w:r>
    </w:p>
    <w:p w14:paraId="2A4286EB" w14:textId="77777777" w:rsidR="00F90771" w:rsidRDefault="00F90771" w:rsidP="00F15830">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7A76B7">
        <w:rPr>
          <w:rFonts w:ascii="Palatino Linotype" w:hAnsi="Palatino Linotype"/>
          <w:color w:val="000000" w:themeColor="text1"/>
        </w:rPr>
        <w:t xml:space="preserve">Construir, operar y mantener la infraestructura hidráulica; y </w:t>
      </w:r>
    </w:p>
    <w:p w14:paraId="6E91F481" w14:textId="009C0F46" w:rsidR="00E50851" w:rsidRPr="00F90771" w:rsidRDefault="00F90771" w:rsidP="00F15830">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7A76B7">
        <w:rPr>
          <w:rFonts w:ascii="Palatino Linotype" w:hAnsi="Palatino Linotype"/>
          <w:color w:val="000000" w:themeColor="text1"/>
        </w:rPr>
        <w:t>Planear y programar los servicios de suministro de agua potable y de aguas residuales</w:t>
      </w:r>
      <w:r>
        <w:rPr>
          <w:rFonts w:ascii="Palatino Linotype" w:hAnsi="Palatino Linotype"/>
          <w:color w:val="000000" w:themeColor="text1"/>
        </w:rPr>
        <w:t>.</w:t>
      </w:r>
    </w:p>
    <w:p w14:paraId="6B71CCA6" w14:textId="77777777" w:rsidR="00E50851" w:rsidRPr="00E50851" w:rsidRDefault="00E50851" w:rsidP="00E50851">
      <w:pPr>
        <w:pStyle w:val="Prrafodelista"/>
        <w:tabs>
          <w:tab w:val="left" w:pos="426"/>
        </w:tabs>
        <w:spacing w:before="240" w:after="240" w:line="360" w:lineRule="auto"/>
        <w:ind w:left="0" w:right="51"/>
        <w:jc w:val="both"/>
        <w:rPr>
          <w:rFonts w:ascii="Palatino Linotype" w:hAnsi="Palatino Linotype"/>
          <w:color w:val="000000" w:themeColor="text1"/>
        </w:rPr>
      </w:pPr>
    </w:p>
    <w:p w14:paraId="17680098" w14:textId="6A6B17DE" w:rsidR="00E50851" w:rsidRPr="000160F8" w:rsidRDefault="0077559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Es imperativo mencionar que este Organismo Garante realizó una búsqueda intensiva dentro del portal de Información Pública de Oficio (IPOMEX)</w:t>
      </w:r>
      <w:r>
        <w:rPr>
          <w:rStyle w:val="Refdenotaalpie"/>
          <w:rFonts w:ascii="Palatino Linotype" w:hAnsi="Palatino Linotype" w:cs="Arial"/>
          <w:color w:val="000000" w:themeColor="text1"/>
        </w:rPr>
        <w:footnoteReference w:id="9"/>
      </w:r>
      <w:r>
        <w:rPr>
          <w:rFonts w:ascii="Palatino Linotype" w:hAnsi="Palatino Linotype" w:cs="Arial"/>
          <w:color w:val="000000" w:themeColor="text1"/>
        </w:rPr>
        <w:t xml:space="preserve">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a efecto de localizar su Reglamento Interno o cualquier instrumento que permitiese identificar las funciones y atribuciones del área administrativa que dio respuesta a la solicitud de información</w:t>
      </w:r>
      <w:r w:rsidR="008C0D98">
        <w:rPr>
          <w:rFonts w:ascii="Palatino Linotype" w:hAnsi="Palatino Linotype" w:cs="Arial"/>
          <w:color w:val="000000" w:themeColor="text1"/>
        </w:rPr>
        <w:t xml:space="preserve"> inicial</w:t>
      </w:r>
      <w:r>
        <w:rPr>
          <w:rFonts w:ascii="Palatino Linotype" w:hAnsi="Palatino Linotype" w:cs="Arial"/>
          <w:color w:val="000000" w:themeColor="text1"/>
        </w:rPr>
        <w:t>; sin embargo, éste no se encontró publicado</w:t>
      </w:r>
      <w:r w:rsidR="008C0D98">
        <w:rPr>
          <w:rFonts w:ascii="Palatino Linotype" w:hAnsi="Palatino Linotype" w:cs="Arial"/>
          <w:color w:val="000000" w:themeColor="text1"/>
        </w:rPr>
        <w:t>. Empero, sí se localizó</w:t>
      </w:r>
      <w:r w:rsidR="00AF50BF">
        <w:rPr>
          <w:rFonts w:ascii="Palatino Linotype" w:hAnsi="Palatino Linotype" w:cs="Arial"/>
          <w:color w:val="000000" w:themeColor="text1"/>
        </w:rPr>
        <w:t xml:space="preserve"> el Manual Integral de Procedimientos del </w:t>
      </w:r>
      <w:r w:rsidR="00AF50BF">
        <w:rPr>
          <w:rFonts w:ascii="Palatino Linotype" w:hAnsi="Palatino Linotype"/>
          <w:color w:val="000000" w:themeColor="text1"/>
        </w:rPr>
        <w:t>Organismo Público Descentralizado para la Prestación de los Servicios de Agua Potable, Alcantarillado y Saneamiento de Ecatepec de Morelos</w:t>
      </w:r>
      <w:r w:rsidR="0081094B">
        <w:rPr>
          <w:rFonts w:ascii="Palatino Linotype" w:hAnsi="Palatino Linotype"/>
          <w:color w:val="000000" w:themeColor="text1"/>
        </w:rPr>
        <w:t xml:space="preserve">, </w:t>
      </w:r>
      <w:r w:rsidR="008C0D98">
        <w:rPr>
          <w:rFonts w:ascii="Palatino Linotype" w:hAnsi="Palatino Linotype"/>
          <w:color w:val="000000" w:themeColor="text1"/>
        </w:rPr>
        <w:t xml:space="preserve">mismo que </w:t>
      </w:r>
      <w:r w:rsidR="0081094B">
        <w:rPr>
          <w:rFonts w:ascii="Palatino Linotype" w:hAnsi="Palatino Linotype"/>
          <w:color w:val="000000" w:themeColor="text1"/>
        </w:rPr>
        <w:t>refiere que la Dirección Técnica de Construcción, Operación y Mantenimiento considerará a las siguientes unidades administrativas:</w:t>
      </w:r>
    </w:p>
    <w:p w14:paraId="5B4C4246" w14:textId="31A4E474" w:rsidR="0081094B" w:rsidRDefault="0081094B" w:rsidP="0081094B">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r w:rsidRPr="0081094B">
        <w:rPr>
          <w:rFonts w:ascii="Palatino Linotype" w:hAnsi="Palatino Linotype"/>
          <w:b/>
          <w:bCs/>
          <w:i/>
          <w:iCs/>
          <w:color w:val="000000" w:themeColor="text1"/>
          <w:sz w:val="22"/>
          <w:szCs w:val="22"/>
        </w:rPr>
        <w:t>Dirección Técnica de Construcción, Operación y Mantenimiento</w:t>
      </w:r>
    </w:p>
    <w:p w14:paraId="1DDD12D4" w14:textId="1E0F6DC8" w:rsidR="0081094B" w:rsidRDefault="0081094B" w:rsidP="0081094B">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Gerencia de Construcción</w:t>
      </w:r>
    </w:p>
    <w:p w14:paraId="50F35564" w14:textId="1BD9C017" w:rsidR="0081094B" w:rsidRDefault="0081094B" w:rsidP="0081094B">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Departamento de Estudios, Proyectos y Precios Unitarios</w:t>
      </w:r>
    </w:p>
    <w:p w14:paraId="0BAB0588" w14:textId="62AAC978" w:rsidR="0081094B" w:rsidRPr="0081094B" w:rsidRDefault="0081094B" w:rsidP="0081094B">
      <w:pPr>
        <w:pStyle w:val="Prrafodelista"/>
        <w:tabs>
          <w:tab w:val="left" w:pos="426"/>
        </w:tabs>
        <w:spacing w:before="240" w:after="240" w:line="276" w:lineRule="auto"/>
        <w:ind w:left="1134" w:right="567"/>
        <w:jc w:val="both"/>
        <w:rPr>
          <w:rFonts w:ascii="Palatino Linotype" w:hAnsi="Palatino Linotype"/>
          <w:b/>
          <w:bCs/>
          <w:i/>
          <w:iCs/>
          <w:color w:val="000000" w:themeColor="text1"/>
          <w:sz w:val="22"/>
          <w:szCs w:val="22"/>
        </w:rPr>
      </w:pPr>
      <w:r w:rsidRPr="0081094B">
        <w:rPr>
          <w:rFonts w:ascii="Palatino Linotype" w:hAnsi="Palatino Linotype"/>
          <w:b/>
          <w:bCs/>
          <w:i/>
          <w:iCs/>
          <w:color w:val="000000" w:themeColor="text1"/>
          <w:sz w:val="22"/>
          <w:szCs w:val="22"/>
        </w:rPr>
        <w:lastRenderedPageBreak/>
        <w:t>Departamento de Construcción, Control y Supervisión de Obra</w:t>
      </w:r>
    </w:p>
    <w:p w14:paraId="4CFFF45C" w14:textId="2781F7C1" w:rsidR="0081094B" w:rsidRPr="0081094B" w:rsidRDefault="0081094B" w:rsidP="0081094B">
      <w:pPr>
        <w:pStyle w:val="Prrafodelista"/>
        <w:tabs>
          <w:tab w:val="left" w:pos="426"/>
        </w:tabs>
        <w:spacing w:before="240" w:after="240" w:line="276" w:lineRule="auto"/>
        <w:ind w:left="1134" w:right="567"/>
        <w:jc w:val="both"/>
        <w:rPr>
          <w:rFonts w:ascii="Palatino Linotype" w:hAnsi="Palatino Linotype"/>
          <w:b/>
          <w:bCs/>
          <w:i/>
          <w:iCs/>
          <w:color w:val="000000" w:themeColor="text1"/>
          <w:sz w:val="22"/>
          <w:szCs w:val="22"/>
        </w:rPr>
      </w:pPr>
      <w:r w:rsidRPr="0081094B">
        <w:rPr>
          <w:rFonts w:ascii="Palatino Linotype" w:hAnsi="Palatino Linotype"/>
          <w:b/>
          <w:bCs/>
          <w:i/>
          <w:iCs/>
          <w:color w:val="000000" w:themeColor="text1"/>
          <w:sz w:val="22"/>
          <w:szCs w:val="22"/>
        </w:rPr>
        <w:t>Departamento de Agua Potable</w:t>
      </w:r>
    </w:p>
    <w:p w14:paraId="400A74E4" w14:textId="136F37AB" w:rsidR="0081094B" w:rsidRDefault="0081094B" w:rsidP="0081094B">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Departamento de Operación de Pozos, Tanques Cisternas y Cárcamos</w:t>
      </w:r>
    </w:p>
    <w:p w14:paraId="2CB76620" w14:textId="6FE0C411" w:rsidR="0081094B" w:rsidRDefault="0081094B" w:rsidP="0081094B">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Departamento de Cloración y Calidad del Agua</w:t>
      </w:r>
    </w:p>
    <w:p w14:paraId="1CCEAD80" w14:textId="10FFCCBD" w:rsidR="0081094B" w:rsidRDefault="0081094B" w:rsidP="0081094B">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Departamento de Drenaje y Alcantarillado</w:t>
      </w:r>
    </w:p>
    <w:p w14:paraId="405E19AB" w14:textId="3FE313F5" w:rsidR="0081094B" w:rsidRDefault="0081094B" w:rsidP="0081094B">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Departamento de Líneas, Tanques y Distribución de Agua en Pipas</w:t>
      </w:r>
    </w:p>
    <w:p w14:paraId="05816411" w14:textId="3E3E5600" w:rsidR="0081094B" w:rsidRDefault="0081094B" w:rsidP="0081094B">
      <w:pPr>
        <w:pStyle w:val="Prrafodelista"/>
        <w:tabs>
          <w:tab w:val="left" w:pos="426"/>
        </w:tabs>
        <w:spacing w:before="240" w:after="240" w:line="276" w:lineRule="auto"/>
        <w:ind w:left="1134" w:right="567"/>
        <w:jc w:val="both"/>
        <w:rPr>
          <w:rFonts w:ascii="Palatino Linotype" w:hAnsi="Palatino Linotype"/>
          <w:i/>
          <w:iCs/>
          <w:color w:val="000000" w:themeColor="text1"/>
          <w:sz w:val="22"/>
          <w:szCs w:val="22"/>
        </w:rPr>
      </w:pPr>
      <w:r w:rsidRPr="0081094B">
        <w:rPr>
          <w:rFonts w:ascii="Palatino Linotype" w:hAnsi="Palatino Linotype"/>
          <w:b/>
          <w:bCs/>
          <w:i/>
          <w:iCs/>
          <w:color w:val="000000" w:themeColor="text1"/>
          <w:sz w:val="22"/>
          <w:szCs w:val="22"/>
        </w:rPr>
        <w:t>Departamento de Electromecánico y Mantenimiento de Pozos, Tanques y Cárcamos</w:t>
      </w:r>
      <w:r>
        <w:rPr>
          <w:rFonts w:ascii="Palatino Linotype" w:hAnsi="Palatino Linotype"/>
          <w:i/>
          <w:iCs/>
          <w:color w:val="000000" w:themeColor="text1"/>
          <w:sz w:val="22"/>
          <w:szCs w:val="22"/>
        </w:rPr>
        <w:t>”</w:t>
      </w:r>
    </w:p>
    <w:p w14:paraId="787600D5" w14:textId="75BA7A84" w:rsidR="0081094B" w:rsidRPr="0081094B" w:rsidRDefault="0081094B" w:rsidP="0081094B">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color w:val="000000" w:themeColor="text1"/>
          <w:sz w:val="22"/>
          <w:szCs w:val="22"/>
        </w:rPr>
        <w:t>(Énfasis añadido)</w:t>
      </w:r>
    </w:p>
    <w:p w14:paraId="253A9D0A" w14:textId="77777777" w:rsidR="0081094B" w:rsidRPr="000160F8" w:rsidRDefault="0081094B" w:rsidP="000160F8">
      <w:pPr>
        <w:pStyle w:val="Prrafodelista"/>
        <w:tabs>
          <w:tab w:val="left" w:pos="426"/>
        </w:tabs>
        <w:spacing w:before="240" w:after="240" w:line="360" w:lineRule="auto"/>
        <w:ind w:left="0" w:right="51"/>
        <w:jc w:val="both"/>
        <w:rPr>
          <w:rFonts w:ascii="Palatino Linotype" w:hAnsi="Palatino Linotype"/>
          <w:color w:val="000000" w:themeColor="text1"/>
        </w:rPr>
      </w:pPr>
    </w:p>
    <w:p w14:paraId="0DD27109" w14:textId="02228E63" w:rsidR="000160F8" w:rsidRDefault="008C0D9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las cosas, de la lectura a la composición orgánica que considera a la Dirección Técnica de Construcción, Operación y Mantenimiento, podemos determinar que ésta es el área administrativa competente para poseer, generar y administrar la información relacionada con la construcción de pozos de agua potable y, de ser el caso, también de conocer si existe o no la obligación de contar con una manifestación de impacto ambiental para la realización de un proyecto relac</w:t>
      </w:r>
      <w:r w:rsidR="003F2CBE">
        <w:rPr>
          <w:rFonts w:ascii="Palatino Linotype" w:hAnsi="Palatino Linotype"/>
          <w:color w:val="000000" w:themeColor="text1"/>
        </w:rPr>
        <w:t>i</w:t>
      </w:r>
      <w:r>
        <w:rPr>
          <w:rFonts w:ascii="Palatino Linotype" w:hAnsi="Palatino Linotype"/>
          <w:color w:val="000000" w:themeColor="text1"/>
        </w:rPr>
        <w:t>onado con pozos de agua potable.</w:t>
      </w:r>
    </w:p>
    <w:p w14:paraId="02BD1E3F" w14:textId="77777777" w:rsidR="003F2CBE" w:rsidRDefault="003F2CBE" w:rsidP="003F2CBE">
      <w:pPr>
        <w:pStyle w:val="Prrafodelista"/>
        <w:tabs>
          <w:tab w:val="left" w:pos="426"/>
        </w:tabs>
        <w:spacing w:before="240" w:after="240" w:line="360" w:lineRule="auto"/>
        <w:ind w:left="0" w:right="51"/>
        <w:jc w:val="both"/>
        <w:rPr>
          <w:rFonts w:ascii="Palatino Linotype" w:hAnsi="Palatino Linotype"/>
          <w:color w:val="000000" w:themeColor="text1"/>
        </w:rPr>
      </w:pPr>
    </w:p>
    <w:p w14:paraId="3361CE25" w14:textId="148C78DD" w:rsidR="00880132" w:rsidRPr="00880132" w:rsidRDefault="00880132" w:rsidP="0088013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80132">
        <w:rPr>
          <w:rFonts w:ascii="Palatino Linotype" w:hAnsi="Palatino Linotype"/>
        </w:rPr>
        <w:t>En ese sentido, al haberse manifestado en relación a que, no</w:t>
      </w:r>
      <w:r w:rsidR="00B22AB4">
        <w:rPr>
          <w:rFonts w:ascii="Palatino Linotype" w:hAnsi="Palatino Linotype"/>
        </w:rPr>
        <w:t xml:space="preserve"> se ha generado la información por no ser requisito para la perforación de pozos, </w:t>
      </w:r>
      <w:r w:rsidRPr="00880132">
        <w:rPr>
          <w:rFonts w:ascii="Palatino Linotype" w:hAnsi="Palatino Linotype"/>
        </w:rPr>
        <w:t>este Instituto no puede dudar de la veracidad de la información que proporcionen los Sujetos Obligados; Sirve de apoyo a lo anterior por analogía el criterio 31-10 emitido por el entonces Instituto Federal de Acceso a la Información y Protección de Datos, que a la letra dice:</w:t>
      </w:r>
    </w:p>
    <w:p w14:paraId="4A2E2CAB" w14:textId="77777777" w:rsidR="00880132" w:rsidRPr="004B7E50" w:rsidRDefault="00880132" w:rsidP="00880132">
      <w:pPr>
        <w:pStyle w:val="Prrafodelista"/>
        <w:rPr>
          <w:rFonts w:ascii="Palatino Linotype" w:hAnsi="Palatino Linotype"/>
        </w:rPr>
      </w:pPr>
    </w:p>
    <w:p w14:paraId="6874840B" w14:textId="77777777" w:rsidR="00880132" w:rsidRPr="004B7E50" w:rsidRDefault="00880132" w:rsidP="00880132">
      <w:pPr>
        <w:autoSpaceDE w:val="0"/>
        <w:autoSpaceDN w:val="0"/>
        <w:adjustRightInd w:val="0"/>
        <w:spacing w:line="360" w:lineRule="auto"/>
        <w:ind w:left="567" w:right="567"/>
        <w:jc w:val="both"/>
        <w:rPr>
          <w:rFonts w:ascii="Palatino Linotype" w:hAnsi="Palatino Linotype"/>
          <w:i/>
          <w:iCs/>
          <w:sz w:val="22"/>
        </w:rPr>
      </w:pPr>
      <w:r w:rsidRPr="004B7E50">
        <w:rPr>
          <w:rFonts w:ascii="Palatino Linotype" w:hAnsi="Palatino Linotype"/>
          <w:b/>
          <w:i/>
          <w:iCs/>
          <w:sz w:val="22"/>
        </w:rPr>
        <w:t>El Instituto Federal de Acceso a la Información y Protección de Datos </w:t>
      </w:r>
      <w:r w:rsidRPr="004B7E50">
        <w:rPr>
          <w:rFonts w:ascii="Palatino Linotype" w:hAnsi="Palatino Linotype"/>
          <w:b/>
          <w:bCs/>
          <w:i/>
          <w:iCs/>
          <w:sz w:val="22"/>
        </w:rPr>
        <w:t>no cuenta con facultades para pronunciarse respecto de la veracidad de los documentos proporcionados por los sujetos obligados.</w:t>
      </w:r>
      <w:r w:rsidRPr="004B7E50">
        <w:rPr>
          <w:rFonts w:ascii="Palatino Linotype" w:hAnsi="Palatino Linotype"/>
          <w:i/>
          <w:iCs/>
          <w:sz w:val="22"/>
        </w:rPr>
        <w:t xml:space="preserve"> El Instituto Federal de Acceso a la </w:t>
      </w:r>
      <w:r w:rsidRPr="004B7E50">
        <w:rPr>
          <w:rFonts w:ascii="Palatino Linotype" w:hAnsi="Palatino Linotype"/>
          <w:i/>
          <w:iCs/>
          <w:sz w:val="22"/>
        </w:rPr>
        <w:lastRenderedPageBreak/>
        <w:t>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8FA97B9" w14:textId="77777777" w:rsidR="00880132" w:rsidRPr="004B7E50" w:rsidRDefault="00880132" w:rsidP="00880132">
      <w:pPr>
        <w:autoSpaceDE w:val="0"/>
        <w:autoSpaceDN w:val="0"/>
        <w:adjustRightInd w:val="0"/>
        <w:spacing w:line="360" w:lineRule="auto"/>
        <w:ind w:left="567" w:right="567"/>
        <w:jc w:val="both"/>
        <w:rPr>
          <w:rFonts w:ascii="Palatino Linotype" w:hAnsi="Palatino Linotype"/>
          <w:i/>
          <w:iCs/>
        </w:rPr>
      </w:pPr>
    </w:p>
    <w:p w14:paraId="209B8C78" w14:textId="2AD3402E" w:rsidR="00880132" w:rsidRPr="00B22AB4" w:rsidRDefault="00880132"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4B7E50">
        <w:rPr>
          <w:rFonts w:ascii="Palatino Linotype" w:hAnsi="Palatino Linotype"/>
          <w:iCs/>
        </w:rPr>
        <w:t xml:space="preserve">Es así que, con la respuesta que emitió el Sujeto Obligado es suficiente para satisfacer los requerimientos del particular, toda vez que, se le hizo de conocimiento que a la fecha de la solicitud y de la búsqueda de la información </w:t>
      </w:r>
      <w:r>
        <w:rPr>
          <w:rFonts w:ascii="Palatino Linotype" w:hAnsi="Palatino Linotype"/>
          <w:iCs/>
        </w:rPr>
        <w:t>se determinó que la información con los datos referidos no ha sido generada.</w:t>
      </w:r>
    </w:p>
    <w:p w14:paraId="254A5A38" w14:textId="77777777" w:rsidR="00B22AB4" w:rsidRPr="00B22AB4" w:rsidRDefault="00B22AB4" w:rsidP="00B22AB4">
      <w:pPr>
        <w:pStyle w:val="Prrafodelista"/>
        <w:autoSpaceDE w:val="0"/>
        <w:autoSpaceDN w:val="0"/>
        <w:adjustRightInd w:val="0"/>
        <w:spacing w:line="360" w:lineRule="auto"/>
        <w:ind w:left="0" w:right="113"/>
        <w:jc w:val="both"/>
        <w:rPr>
          <w:rFonts w:ascii="Palatino Linotype" w:hAnsi="Palatino Linotype"/>
          <w:i/>
          <w:iCs/>
        </w:rPr>
      </w:pPr>
    </w:p>
    <w:p w14:paraId="6ABCBFE7" w14:textId="77777777" w:rsidR="00880132" w:rsidRPr="00B22AB4" w:rsidRDefault="00880132"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B22AB4">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661AF428" w14:textId="77777777" w:rsidR="00880132" w:rsidRPr="007C5B45" w:rsidRDefault="00880132" w:rsidP="00880132">
      <w:pPr>
        <w:pStyle w:val="Prrafodelista"/>
        <w:tabs>
          <w:tab w:val="left" w:pos="426"/>
        </w:tabs>
        <w:spacing w:before="240" w:after="240" w:line="360" w:lineRule="auto"/>
        <w:ind w:left="567" w:right="567"/>
        <w:jc w:val="both"/>
        <w:rPr>
          <w:rFonts w:ascii="Palatino Linotype" w:hAnsi="Palatino Linotype" w:cs="Arial"/>
          <w:i/>
          <w:sz w:val="22"/>
        </w:rPr>
      </w:pPr>
      <w:r w:rsidRPr="007C5B45">
        <w:rPr>
          <w:rFonts w:ascii="Palatino Linotype" w:hAnsi="Palatino Linotype" w:cs="Arial"/>
          <w:i/>
          <w:sz w:val="22"/>
        </w:rPr>
        <w:t>“</w:t>
      </w:r>
      <w:r w:rsidRPr="007C5B45">
        <w:rPr>
          <w:rFonts w:ascii="Palatino Linotype" w:hAnsi="Palatino Linotype" w:cs="Arial"/>
          <w:b/>
          <w:i/>
          <w:sz w:val="22"/>
        </w:rPr>
        <w:t>HECHOS NEGATIVOS, NO SON SUSCEPTIBLES DE DEMOSTRACION.</w:t>
      </w:r>
      <w:r w:rsidRPr="007C5B45">
        <w:rPr>
          <w:rFonts w:ascii="Palatino Linotype" w:hAnsi="Palatino Linotype" w:cs="Arial"/>
          <w:i/>
          <w:sz w:val="22"/>
        </w:rPr>
        <w:t xml:space="preserve"> </w:t>
      </w:r>
      <w:r w:rsidRPr="007C5B45">
        <w:rPr>
          <w:rFonts w:ascii="Palatino Linotype" w:hAnsi="Palatino Linotype" w:cs="Arial"/>
          <w:b/>
          <w:i/>
          <w:sz w:val="22"/>
        </w:rPr>
        <w:t>Tratándose de un hecho negativo, el Juez no tiene por que invocar prueba alguna de la que se desprenda</w:t>
      </w:r>
      <w:r w:rsidRPr="007C5B45">
        <w:rPr>
          <w:rFonts w:ascii="Palatino Linotype" w:hAnsi="Palatino Linotype" w:cs="Arial"/>
          <w:i/>
          <w:sz w:val="22"/>
        </w:rPr>
        <w:t>, ya que es bien sabido que esta clase de hechos no son susceptibles de demostración.”</w:t>
      </w:r>
    </w:p>
    <w:p w14:paraId="33158A4F" w14:textId="77777777" w:rsidR="00880132" w:rsidRPr="007C5B45" w:rsidRDefault="00880132" w:rsidP="00880132">
      <w:pPr>
        <w:pStyle w:val="Prrafodelista"/>
        <w:tabs>
          <w:tab w:val="left" w:pos="426"/>
        </w:tabs>
        <w:spacing w:before="240" w:after="240" w:line="360" w:lineRule="auto"/>
        <w:ind w:left="567" w:right="567"/>
        <w:jc w:val="both"/>
        <w:rPr>
          <w:rFonts w:ascii="Palatino Linotype" w:hAnsi="Palatino Linotype" w:cs="Arial"/>
          <w:i/>
          <w:sz w:val="22"/>
        </w:rPr>
      </w:pPr>
    </w:p>
    <w:p w14:paraId="5C67C221" w14:textId="77777777" w:rsidR="00880132" w:rsidRPr="007C5B45" w:rsidRDefault="00880132" w:rsidP="00880132">
      <w:pPr>
        <w:pStyle w:val="Prrafodelista"/>
        <w:tabs>
          <w:tab w:val="left" w:pos="426"/>
        </w:tabs>
        <w:spacing w:before="240" w:after="240" w:line="360" w:lineRule="auto"/>
        <w:ind w:left="567" w:right="567"/>
        <w:jc w:val="both"/>
        <w:rPr>
          <w:rFonts w:ascii="Palatino Linotype" w:hAnsi="Palatino Linotype" w:cs="Arial"/>
          <w:i/>
          <w:sz w:val="22"/>
        </w:rPr>
      </w:pPr>
      <w:r w:rsidRPr="007C5B45">
        <w:rPr>
          <w:rFonts w:ascii="Palatino Linotype" w:hAnsi="Palatino Linotype" w:cs="Arial"/>
          <w:i/>
          <w:sz w:val="22"/>
        </w:rPr>
        <w:t>“</w:t>
      </w:r>
      <w:r w:rsidRPr="007C5B45">
        <w:rPr>
          <w:rFonts w:ascii="Palatino Linotype" w:hAnsi="Palatino Linotype" w:cs="Arial"/>
          <w:b/>
          <w:i/>
          <w:sz w:val="22"/>
        </w:rPr>
        <w:t xml:space="preserve">INEXISTENCIA DE LA INFORMACIÓN. EL COMITÉ DE ACCESO A LA INFORMACIÓN PUEDE DECLARARLA ANTE SU EVIDENCIA, SIN </w:t>
      </w:r>
      <w:r w:rsidRPr="007C5B45">
        <w:rPr>
          <w:rFonts w:ascii="Palatino Linotype" w:hAnsi="Palatino Linotype" w:cs="Arial"/>
          <w:b/>
          <w:i/>
          <w:sz w:val="22"/>
        </w:rPr>
        <w:lastRenderedPageBreak/>
        <w:t>NECESIDAD DE DICTAR MEDIDAS PARA SU LOCALIZACIÓN.</w:t>
      </w:r>
      <w:r w:rsidRPr="007C5B45">
        <w:rPr>
          <w:rFonts w:ascii="Palatino Linotype" w:hAnsi="Palatino Linotype" w:cs="Arial"/>
          <w:i/>
          <w:sz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7C5B45">
        <w:rPr>
          <w:rFonts w:ascii="Palatino Linotype" w:hAnsi="Palatino Linotype" w:cs="Arial"/>
          <w:b/>
          <w:i/>
          <w:sz w:val="22"/>
        </w:rPr>
        <w:t>ndo la referida Unidad señala, o</w:t>
      </w:r>
      <w:r w:rsidRPr="007C5B45">
        <w:rPr>
          <w:rFonts w:ascii="Palatino Linotype" w:hAnsi="Palatino Linotype" w:cs="Arial"/>
          <w:i/>
          <w:sz w:val="22"/>
        </w:rPr>
        <w:t xml:space="preserve"> el mencionado Comité </w:t>
      </w:r>
      <w:r w:rsidRPr="007C5B45">
        <w:rPr>
          <w:rFonts w:ascii="Palatino Linotype" w:hAnsi="Palatino Linotype" w:cs="Arial"/>
          <w:b/>
          <w:i/>
          <w:sz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7C5B45">
        <w:rPr>
          <w:rFonts w:ascii="Palatino Linotype" w:hAnsi="Palatino Linotype" w:cs="Arial"/>
          <w:i/>
          <w:sz w:val="22"/>
        </w:rPr>
        <w:t>”</w:t>
      </w:r>
    </w:p>
    <w:p w14:paraId="138F4621" w14:textId="77777777" w:rsidR="00880132" w:rsidRPr="007C5B45" w:rsidRDefault="00880132" w:rsidP="00880132">
      <w:pPr>
        <w:pStyle w:val="Prrafodelista"/>
        <w:tabs>
          <w:tab w:val="left" w:pos="426"/>
        </w:tabs>
        <w:spacing w:line="360" w:lineRule="auto"/>
        <w:ind w:left="567" w:right="567"/>
        <w:jc w:val="both"/>
        <w:rPr>
          <w:rFonts w:ascii="Palatino Linotype" w:hAnsi="Palatino Linotype" w:cs="Arial"/>
          <w:iCs/>
          <w:sz w:val="22"/>
        </w:rPr>
      </w:pPr>
      <w:r w:rsidRPr="007C5B45">
        <w:rPr>
          <w:rFonts w:ascii="Palatino Linotype" w:hAnsi="Palatino Linotype" w:cs="Arial"/>
          <w:iCs/>
          <w:sz w:val="22"/>
        </w:rPr>
        <w:t>(Énfasis añadido)</w:t>
      </w:r>
    </w:p>
    <w:p w14:paraId="7A82272B" w14:textId="77777777" w:rsidR="00880132" w:rsidRPr="004B7E50" w:rsidRDefault="00880132" w:rsidP="00880132">
      <w:pPr>
        <w:tabs>
          <w:tab w:val="left" w:pos="426"/>
        </w:tabs>
        <w:spacing w:line="360" w:lineRule="auto"/>
        <w:ind w:right="49"/>
        <w:contextualSpacing/>
        <w:jc w:val="both"/>
        <w:rPr>
          <w:rFonts w:ascii="Palatino Linotype" w:hAnsi="Palatino Linotype" w:cs="Arial"/>
          <w:color w:val="000000" w:themeColor="text1"/>
        </w:rPr>
      </w:pPr>
    </w:p>
    <w:p w14:paraId="6E258BE3" w14:textId="639B65D3" w:rsidR="00880132" w:rsidRPr="00B22AB4" w:rsidRDefault="00880132" w:rsidP="00B22AB4">
      <w:pPr>
        <w:pStyle w:val="Prrafodelista"/>
        <w:numPr>
          <w:ilvl w:val="0"/>
          <w:numId w:val="1"/>
        </w:numPr>
        <w:tabs>
          <w:tab w:val="left" w:pos="426"/>
        </w:tabs>
        <w:autoSpaceDE w:val="0"/>
        <w:autoSpaceDN w:val="0"/>
        <w:adjustRightInd w:val="0"/>
        <w:spacing w:line="360" w:lineRule="auto"/>
        <w:ind w:right="-28"/>
        <w:jc w:val="both"/>
        <w:rPr>
          <w:rFonts w:ascii="Palatino Linotype" w:hAnsi="Palatino Linotype"/>
          <w:i/>
          <w:iCs/>
        </w:rPr>
      </w:pPr>
      <w:r w:rsidRPr="00B22AB4">
        <w:rPr>
          <w:rFonts w:ascii="Palatino Linotype" w:hAnsi="Palatino Linotype" w:cs="Arial"/>
          <w:color w:val="000000" w:themeColor="text1"/>
        </w:rPr>
        <w:t xml:space="preserve">Razones por las que no ha lugar a ordenar un Acuerdo de Inexistencia, ya que como lo señaló el Sujeto Obligado, no se </w:t>
      </w:r>
      <w:r w:rsidR="00B22AB4">
        <w:rPr>
          <w:rFonts w:ascii="Palatino Linotype" w:hAnsi="Palatino Linotype" w:cs="Arial"/>
          <w:color w:val="000000" w:themeColor="text1"/>
        </w:rPr>
        <w:t>generó la información porque no es un requisito para la perforación de pozos.</w:t>
      </w:r>
    </w:p>
    <w:p w14:paraId="7844239B" w14:textId="77777777" w:rsidR="00167813"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326F49F3" w14:textId="2C21A4BD" w:rsidR="003F2CBE" w:rsidRPr="00D007D1" w:rsidRDefault="00332BCD" w:rsidP="003F2C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toda vez que el </w:t>
      </w:r>
      <w:r w:rsidR="00682EF5">
        <w:rPr>
          <w:rFonts w:ascii="Palatino Linotype" w:hAnsi="Palatino Linotype"/>
          <w:b/>
          <w:bCs/>
          <w:color w:val="000000" w:themeColor="text1"/>
        </w:rPr>
        <w:t>SUJETO OBLIGADO</w:t>
      </w:r>
      <w:r w:rsidR="00682EF5">
        <w:rPr>
          <w:rFonts w:ascii="Palatino Linotype" w:hAnsi="Palatino Linotype"/>
          <w:color w:val="000000" w:themeColor="text1"/>
        </w:rPr>
        <w:t xml:space="preserve"> hizo del conocimiento de l</w:t>
      </w:r>
      <w:r w:rsidR="00682EF5" w:rsidRPr="00D007D1">
        <w:rPr>
          <w:rFonts w:ascii="Palatino Linotype" w:hAnsi="Palatino Linotype"/>
          <w:color w:val="000000" w:themeColor="text1"/>
        </w:rPr>
        <w:t xml:space="preserve">a </w:t>
      </w:r>
      <w:r w:rsidR="00682EF5" w:rsidRPr="00D007D1">
        <w:rPr>
          <w:rFonts w:ascii="Palatino Linotype" w:hAnsi="Palatino Linotype"/>
          <w:b/>
          <w:bCs/>
          <w:color w:val="000000" w:themeColor="text1"/>
        </w:rPr>
        <w:t>RECURRENTE</w:t>
      </w:r>
      <w:r w:rsidR="00682EF5" w:rsidRPr="00D007D1">
        <w:rPr>
          <w:rFonts w:ascii="Palatino Linotype" w:hAnsi="Palatino Linotype"/>
          <w:color w:val="000000" w:themeColor="text1"/>
        </w:rPr>
        <w:t xml:space="preserve"> que no existía el documento solicitado, en virtud de que éste no es un requisito para </w:t>
      </w:r>
      <w:r w:rsidR="00B22AB4" w:rsidRPr="00D007D1">
        <w:rPr>
          <w:rFonts w:ascii="Palatino Linotype" w:hAnsi="Palatino Linotype"/>
          <w:color w:val="000000" w:themeColor="text1"/>
        </w:rPr>
        <w:t>la perforación de pozos, este Órgano Garante</w:t>
      </w:r>
      <w:r w:rsidRPr="00D007D1">
        <w:rPr>
          <w:rFonts w:ascii="Palatino Linotype" w:hAnsi="Palatino Linotype"/>
          <w:color w:val="000000" w:themeColor="text1"/>
        </w:rPr>
        <w:t xml:space="preserve"> </w:t>
      </w:r>
      <w:r w:rsidR="00F94AEA" w:rsidRPr="00D007D1">
        <w:rPr>
          <w:rFonts w:ascii="Palatino Linotype" w:hAnsi="Palatino Linotype"/>
          <w:color w:val="000000" w:themeColor="text1"/>
        </w:rPr>
        <w:t>determin</w:t>
      </w:r>
      <w:r w:rsidR="00B22AB4" w:rsidRPr="00D007D1">
        <w:rPr>
          <w:rFonts w:ascii="Palatino Linotype" w:hAnsi="Palatino Linotype"/>
          <w:color w:val="000000" w:themeColor="text1"/>
        </w:rPr>
        <w:t>ó</w:t>
      </w:r>
      <w:r w:rsidR="00F94AEA" w:rsidRPr="00D007D1">
        <w:rPr>
          <w:rFonts w:ascii="Palatino Linotype" w:hAnsi="Palatino Linotype"/>
          <w:color w:val="000000" w:themeColor="text1"/>
        </w:rPr>
        <w:t xml:space="preserve"> conforme a derecho </w:t>
      </w:r>
      <w:r w:rsidR="00F94AEA" w:rsidRPr="00D007D1">
        <w:rPr>
          <w:rFonts w:ascii="Palatino Linotype" w:hAnsi="Palatino Linotype"/>
          <w:b/>
          <w:color w:val="000000" w:themeColor="text1"/>
        </w:rPr>
        <w:t>confirmar</w:t>
      </w:r>
      <w:r w:rsidR="00F94AEA" w:rsidRPr="00D007D1">
        <w:rPr>
          <w:rFonts w:ascii="Palatino Linotype" w:hAnsi="Palatino Linotype"/>
          <w:color w:val="000000" w:themeColor="text1"/>
        </w:rPr>
        <w:t xml:space="preserve"> la respuesta a la solicitud de información </w:t>
      </w:r>
      <w:r w:rsidR="007076C5" w:rsidRPr="00D007D1">
        <w:rPr>
          <w:rFonts w:ascii="Palatino Linotype" w:hAnsi="Palatino Linotype"/>
          <w:b/>
          <w:color w:val="000000" w:themeColor="text1"/>
        </w:rPr>
        <w:t>00053/OASECATEPE/IP/2021</w:t>
      </w:r>
      <w:r w:rsidR="00F94AEA" w:rsidRPr="00D007D1">
        <w:rPr>
          <w:rFonts w:ascii="Palatino Linotype" w:hAnsi="Palatino Linotype"/>
          <w:color w:val="000000" w:themeColor="text1"/>
        </w:rPr>
        <w:t>.</w:t>
      </w:r>
    </w:p>
    <w:p w14:paraId="1E1FC468" w14:textId="77777777" w:rsidR="003F2CBE" w:rsidRPr="00D007D1" w:rsidRDefault="003F2CBE" w:rsidP="003F2CBE">
      <w:pPr>
        <w:pStyle w:val="Prrafodelista"/>
        <w:rPr>
          <w:rFonts w:ascii="Palatino Linotype" w:hAnsi="Palatino Linotype"/>
          <w:color w:val="000000" w:themeColor="text1"/>
        </w:rPr>
      </w:pPr>
    </w:p>
    <w:p w14:paraId="46A76022" w14:textId="53E1C76D" w:rsidR="003F2CBE" w:rsidRPr="00D007D1" w:rsidRDefault="003F2CBE" w:rsidP="003F2CBE">
      <w:pPr>
        <w:pStyle w:val="Ttulo3"/>
        <w:spacing w:line="360" w:lineRule="auto"/>
        <w:rPr>
          <w:rFonts w:ascii="Palatino Linotype" w:hAnsi="Palatino Linotype"/>
          <w:b/>
          <w:bCs/>
          <w:color w:val="000000" w:themeColor="text1"/>
        </w:rPr>
      </w:pPr>
      <w:r w:rsidRPr="00D007D1">
        <w:rPr>
          <w:rFonts w:ascii="Palatino Linotype" w:hAnsi="Palatino Linotype"/>
          <w:b/>
          <w:bCs/>
          <w:color w:val="000000" w:themeColor="text1"/>
        </w:rPr>
        <w:t>III. De la ampliación de la solicitud de información a través del recurso de revisión.</w:t>
      </w:r>
    </w:p>
    <w:p w14:paraId="4403149D" w14:textId="5B4BE8DC" w:rsidR="00B22AB4" w:rsidRPr="00D007D1" w:rsidRDefault="00B22AB4" w:rsidP="00B22AB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007D1">
        <w:rPr>
          <w:rFonts w:ascii="Palatino Linotype" w:eastAsia="Calibri" w:hAnsi="Palatino Linotype" w:cs="Tahoma"/>
          <w:bCs/>
          <w:lang w:eastAsia="en-US"/>
        </w:rPr>
        <w:t xml:space="preserve">Por último y no menos importante, no pasa desapercibido </w:t>
      </w:r>
      <w:r w:rsidR="00D007D1">
        <w:rPr>
          <w:rFonts w:ascii="Palatino Linotype" w:eastAsia="Calibri" w:hAnsi="Palatino Linotype" w:cs="Tahoma"/>
          <w:bCs/>
          <w:lang w:eastAsia="en-US"/>
        </w:rPr>
        <w:t>para</w:t>
      </w:r>
      <w:r w:rsidRPr="00D007D1">
        <w:rPr>
          <w:rFonts w:ascii="Palatino Linotype" w:eastAsia="Calibri" w:hAnsi="Palatino Linotype" w:cs="Tahoma"/>
          <w:bCs/>
          <w:lang w:eastAsia="en-US"/>
        </w:rPr>
        <w:t xml:space="preserve"> este Órgano Garante que el recurrente en el apartado de acto impugnado manifestó:</w:t>
      </w:r>
    </w:p>
    <w:p w14:paraId="415A4972" w14:textId="7BCD0C72" w:rsidR="00B22AB4" w:rsidRPr="007C5B45" w:rsidRDefault="00B22AB4" w:rsidP="00B22AB4">
      <w:pPr>
        <w:pStyle w:val="Prrafodelista"/>
        <w:spacing w:line="360" w:lineRule="auto"/>
        <w:ind w:left="567" w:right="567"/>
        <w:jc w:val="both"/>
        <w:rPr>
          <w:rFonts w:ascii="Palatino Linotype" w:hAnsi="Palatino Linotype"/>
          <w:i/>
          <w:sz w:val="22"/>
        </w:rPr>
      </w:pPr>
      <w:r w:rsidRPr="007C5B45">
        <w:rPr>
          <w:rFonts w:ascii="Palatino Linotype" w:eastAsia="Calibri" w:hAnsi="Palatino Linotype" w:cs="Tahoma"/>
          <w:bCs/>
          <w:i/>
          <w:sz w:val="22"/>
          <w:lang w:eastAsia="en-US"/>
        </w:rPr>
        <w:t>“</w:t>
      </w:r>
      <w:r w:rsidR="00D007D1" w:rsidRPr="007C5B45">
        <w:rPr>
          <w:rFonts w:ascii="Palatino Linotype" w:hAnsi="Palatino Linotype"/>
          <w:i/>
          <w:sz w:val="22"/>
          <w:szCs w:val="14"/>
          <w:lang w:eastAsia="es-MX"/>
        </w:rPr>
        <w:t>No se entregó la información correspondiente, en virtud de lo anterior ¿cuáles son los requisitos para la perforación de un pozo para agua potable y cuál es el marco normativo aplicable?</w:t>
      </w:r>
      <w:r w:rsidRPr="007C5B45">
        <w:rPr>
          <w:rFonts w:ascii="Palatino Linotype" w:hAnsi="Palatino Linotype"/>
          <w:i/>
          <w:sz w:val="22"/>
        </w:rPr>
        <w:t>” (sic)</w:t>
      </w:r>
    </w:p>
    <w:p w14:paraId="3FC0815E" w14:textId="77777777" w:rsidR="00B22AB4" w:rsidRPr="00B9068E" w:rsidRDefault="00B22AB4" w:rsidP="00B22AB4">
      <w:pPr>
        <w:pStyle w:val="Prrafodelista"/>
        <w:spacing w:line="360" w:lineRule="auto"/>
        <w:ind w:left="567" w:right="567"/>
        <w:jc w:val="both"/>
        <w:rPr>
          <w:rFonts w:ascii="Palatino Linotype" w:hAnsi="Palatino Linotype"/>
          <w:i/>
        </w:rPr>
      </w:pPr>
    </w:p>
    <w:p w14:paraId="572FBCA7" w14:textId="356C9AF4" w:rsidR="00B22AB4" w:rsidRDefault="00B22AB4" w:rsidP="00D007D1">
      <w:pPr>
        <w:pStyle w:val="Prrafodelista"/>
        <w:numPr>
          <w:ilvl w:val="0"/>
          <w:numId w:val="1"/>
        </w:numPr>
        <w:spacing w:line="360" w:lineRule="auto"/>
        <w:ind w:right="-93"/>
        <w:jc w:val="both"/>
        <w:rPr>
          <w:rFonts w:ascii="Palatino Linotype" w:eastAsia="Calibri" w:hAnsi="Palatino Linotype" w:cs="Tahoma"/>
          <w:bCs/>
          <w:lang w:eastAsia="en-US"/>
        </w:rPr>
      </w:pPr>
      <w:r w:rsidRPr="00B9068E">
        <w:rPr>
          <w:rFonts w:ascii="Palatino Linotype" w:eastAsia="Calibri" w:hAnsi="Palatino Linotype" w:cs="Tahoma"/>
          <w:bCs/>
          <w:lang w:eastAsia="en-US"/>
        </w:rPr>
        <w:t>De la</w:t>
      </w:r>
      <w:r>
        <w:rPr>
          <w:rFonts w:ascii="Palatino Linotype" w:eastAsia="Calibri" w:hAnsi="Palatino Linotype" w:cs="Tahoma"/>
          <w:bCs/>
          <w:lang w:eastAsia="en-US"/>
        </w:rPr>
        <w:t xml:space="preserve"> simple lectura del</w:t>
      </w:r>
      <w:r w:rsidR="00D007D1">
        <w:rPr>
          <w:rFonts w:ascii="Palatino Linotype" w:eastAsia="Calibri" w:hAnsi="Palatino Linotype" w:cs="Tahoma"/>
          <w:bCs/>
          <w:lang w:eastAsia="en-US"/>
        </w:rPr>
        <w:t xml:space="preserve"> acto impugnado se aprecia que, </w:t>
      </w:r>
      <w:r>
        <w:rPr>
          <w:rFonts w:ascii="Palatino Linotype" w:eastAsia="Calibri" w:hAnsi="Palatino Linotype" w:cs="Tahoma"/>
          <w:bCs/>
          <w:lang w:eastAsia="en-US"/>
        </w:rPr>
        <w:t>corresponde a información adicional a lo requerido en la solic</w:t>
      </w:r>
      <w:r w:rsidR="00D007D1">
        <w:rPr>
          <w:rFonts w:ascii="Palatino Linotype" w:eastAsia="Calibri" w:hAnsi="Palatino Linotype" w:cs="Tahoma"/>
          <w:bCs/>
          <w:lang w:eastAsia="en-US"/>
        </w:rPr>
        <w:t>itud inicial.</w:t>
      </w:r>
    </w:p>
    <w:p w14:paraId="6C09B668" w14:textId="77777777" w:rsidR="00D007D1" w:rsidRDefault="00D007D1" w:rsidP="00D007D1">
      <w:pPr>
        <w:pStyle w:val="Prrafodelista"/>
        <w:spacing w:line="360" w:lineRule="auto"/>
        <w:ind w:left="0" w:right="-93"/>
        <w:jc w:val="both"/>
        <w:rPr>
          <w:rFonts w:ascii="Palatino Linotype" w:eastAsia="Calibri" w:hAnsi="Palatino Linotype" w:cs="Tahoma"/>
          <w:bCs/>
          <w:lang w:eastAsia="en-US"/>
        </w:rPr>
      </w:pPr>
    </w:p>
    <w:p w14:paraId="0E801C5B" w14:textId="77777777" w:rsidR="00B22AB4" w:rsidRPr="00D007D1" w:rsidRDefault="00B22AB4" w:rsidP="00B22AB4">
      <w:pPr>
        <w:pStyle w:val="Prrafodelista"/>
        <w:numPr>
          <w:ilvl w:val="0"/>
          <w:numId w:val="1"/>
        </w:numPr>
        <w:spacing w:line="360" w:lineRule="auto"/>
        <w:ind w:right="-93"/>
        <w:jc w:val="both"/>
        <w:rPr>
          <w:rFonts w:ascii="Palatino Linotype" w:eastAsia="Calibri" w:hAnsi="Palatino Linotype" w:cs="Tahoma"/>
          <w:bCs/>
          <w:lang w:eastAsia="en-US"/>
        </w:rPr>
      </w:pPr>
      <w:r w:rsidRPr="00D007D1">
        <w:rPr>
          <w:rFonts w:ascii="Palatino Linotype" w:hAnsi="Palatino Linotype"/>
          <w:lang w:val="es-ES"/>
        </w:rPr>
        <w:t xml:space="preserve">Ante dicha situación, es necesario señalar que </w:t>
      </w:r>
      <w:r w:rsidRPr="00D007D1">
        <w:rPr>
          <w:rFonts w:ascii="Palatino Linotype" w:hAnsi="Palatino Linotype"/>
          <w:color w:val="222222"/>
          <w:lang w:val="es-ES" w:eastAsia="es-MX"/>
        </w:rPr>
        <w:t>el sistema de medios de impugnación en nuestro país se centra en el análisis de </w:t>
      </w:r>
      <w:r w:rsidRPr="00D007D1">
        <w:rPr>
          <w:rFonts w:ascii="Palatino Linotype" w:hAnsi="Palatino Linotype"/>
          <w:color w:val="222222"/>
          <w:u w:val="single"/>
          <w:lang w:val="es-ES" w:eastAsia="es-MX"/>
        </w:rPr>
        <w:t>los agravios o motivos de inconformidad</w:t>
      </w:r>
      <w:r w:rsidRPr="00D007D1">
        <w:rPr>
          <w:rFonts w:ascii="Palatino Linotype" w:hAnsi="Palatino Linotype"/>
          <w:color w:val="222222"/>
          <w:lang w:val="es-ES" w:eastAsia="es-MX"/>
        </w:rPr>
        <w:t>, los que </w:t>
      </w:r>
      <w:r w:rsidRPr="00D007D1">
        <w:rPr>
          <w:rFonts w:ascii="Palatino Linotype" w:hAnsi="Palatino Linotype"/>
          <w:color w:val="222222"/>
          <w:u w:val="single"/>
          <w:lang w:val="es-ES" w:eastAsia="es-MX"/>
        </w:rPr>
        <w:t>deben tener relación directa con el acto de autoridad que lo motiva</w:t>
      </w:r>
      <w:r w:rsidRPr="00D007D1">
        <w:rPr>
          <w:rFonts w:ascii="Palatino Linotype" w:hAnsi="Palatino Linotype"/>
          <w:color w:val="222222"/>
          <w:lang w:val="es-ES" w:eastAsia="es-MX"/>
        </w:rPr>
        <w:t xml:space="preserve">. En materia de transparencia, los motivos de la inconformidad deben versar sobre la respuesta de información proporcionada por los sujetos obligados o la </w:t>
      </w:r>
      <w:r w:rsidRPr="00D007D1">
        <w:rPr>
          <w:rFonts w:ascii="Palatino Linotype" w:hAnsi="Palatino Linotype"/>
          <w:lang w:val="es-ES" w:eastAsia="es-MX"/>
        </w:rPr>
        <w:t>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796076EE" w14:textId="77777777" w:rsidR="00D007D1" w:rsidRPr="00D007D1" w:rsidRDefault="00D007D1" w:rsidP="00D007D1">
      <w:pPr>
        <w:pStyle w:val="Prrafodelista"/>
        <w:rPr>
          <w:rFonts w:ascii="Palatino Linotype" w:eastAsia="Calibri" w:hAnsi="Palatino Linotype" w:cs="Tahoma"/>
          <w:bCs/>
          <w:lang w:eastAsia="en-US"/>
        </w:rPr>
      </w:pPr>
    </w:p>
    <w:p w14:paraId="3AFD0DCF" w14:textId="77777777" w:rsidR="00B22AB4" w:rsidRPr="00D007D1" w:rsidRDefault="00B22AB4" w:rsidP="00B22AB4">
      <w:pPr>
        <w:pStyle w:val="Prrafodelista"/>
        <w:numPr>
          <w:ilvl w:val="0"/>
          <w:numId w:val="1"/>
        </w:numPr>
        <w:spacing w:line="360" w:lineRule="auto"/>
        <w:ind w:right="-93"/>
        <w:jc w:val="both"/>
        <w:rPr>
          <w:rFonts w:ascii="Palatino Linotype" w:eastAsia="Calibri" w:hAnsi="Palatino Linotype" w:cs="Tahoma"/>
          <w:bCs/>
          <w:lang w:eastAsia="en-US"/>
        </w:rPr>
      </w:pPr>
      <w:r w:rsidRPr="00D007D1">
        <w:rPr>
          <w:rFonts w:ascii="Palatino Linotype" w:hAnsi="Palatino Linotype"/>
          <w:color w:val="222222"/>
          <w:lang w:val="es-ES" w:eastAsia="es-MX"/>
        </w:rPr>
        <w:t xml:space="preserve">Es por ello, que la Ley de la materia contempla que en los casos en que a través del recurso de revisión se pretenda ampliar los requerimientos de información, la </w:t>
      </w:r>
      <w:r w:rsidRPr="00D007D1">
        <w:rPr>
          <w:rFonts w:ascii="Palatino Linotype" w:hAnsi="Palatino Linotype"/>
          <w:color w:val="222222"/>
          <w:lang w:val="es-ES" w:eastAsia="es-MX"/>
        </w:rPr>
        <w:lastRenderedPageBreak/>
        <w:t>inconformidad relativa a estas situaciones novedosas no debe ser tomada en cuenta como parte de la Litis y debe ser desechada, tal y como lo establece el artículo 191 fracción VII:</w:t>
      </w:r>
    </w:p>
    <w:p w14:paraId="19078DA0" w14:textId="77777777" w:rsidR="00B22AB4" w:rsidRPr="00B9068E" w:rsidRDefault="00B22AB4" w:rsidP="00B22AB4">
      <w:pPr>
        <w:pStyle w:val="Prrafodelista"/>
        <w:rPr>
          <w:rFonts w:ascii="Palatino Linotype" w:hAnsi="Palatino Linotype"/>
          <w:lang w:val="es-ES"/>
        </w:rPr>
      </w:pPr>
    </w:p>
    <w:p w14:paraId="51D0FB48" w14:textId="77777777" w:rsidR="00B22AB4" w:rsidRPr="00B9068E" w:rsidRDefault="00B22AB4" w:rsidP="007C5B45">
      <w:pPr>
        <w:pStyle w:val="Prrafodelista"/>
        <w:tabs>
          <w:tab w:val="left" w:pos="851"/>
        </w:tabs>
        <w:ind w:left="567" w:right="567"/>
        <w:jc w:val="both"/>
        <w:rPr>
          <w:rFonts w:ascii="Palatino Linotype" w:hAnsi="Palatino Linotype" w:cs="Bookman Old Style"/>
          <w:i/>
          <w:szCs w:val="20"/>
        </w:rPr>
      </w:pPr>
      <w:r w:rsidRPr="00B9068E">
        <w:rPr>
          <w:rFonts w:ascii="Palatino Linotype" w:hAnsi="Palatino Linotype" w:cs="Bookman Old Style,Bold"/>
          <w:b/>
          <w:bCs/>
          <w:i/>
          <w:szCs w:val="20"/>
        </w:rPr>
        <w:t xml:space="preserve">Artículo 191. </w:t>
      </w:r>
      <w:r w:rsidRPr="00B9068E">
        <w:rPr>
          <w:rFonts w:ascii="Palatino Linotype" w:hAnsi="Palatino Linotype" w:cs="Bookman Old Style"/>
          <w:i/>
          <w:szCs w:val="20"/>
        </w:rPr>
        <w:t>El recurso será desechado por improcedente cuando:</w:t>
      </w:r>
    </w:p>
    <w:p w14:paraId="5944CFEC" w14:textId="77777777" w:rsidR="00B22AB4" w:rsidRPr="00B9068E" w:rsidRDefault="00B22AB4" w:rsidP="007C5B45">
      <w:pPr>
        <w:pStyle w:val="Prrafodelista"/>
        <w:tabs>
          <w:tab w:val="left" w:pos="851"/>
        </w:tabs>
        <w:ind w:left="567" w:right="567"/>
        <w:jc w:val="both"/>
        <w:rPr>
          <w:rFonts w:ascii="Palatino Linotype" w:hAnsi="Palatino Linotype" w:cs="Bookman Old Style"/>
          <w:i/>
          <w:szCs w:val="20"/>
        </w:rPr>
      </w:pPr>
      <w:r w:rsidRPr="00B9068E">
        <w:rPr>
          <w:rFonts w:ascii="Palatino Linotype" w:hAnsi="Palatino Linotype" w:cs="Bookman Old Style"/>
          <w:i/>
          <w:szCs w:val="20"/>
        </w:rPr>
        <w:t>…</w:t>
      </w:r>
    </w:p>
    <w:p w14:paraId="3FE9779C" w14:textId="77777777" w:rsidR="00B22AB4" w:rsidRPr="00B9068E" w:rsidRDefault="00B22AB4" w:rsidP="007C5B45">
      <w:pPr>
        <w:autoSpaceDE w:val="0"/>
        <w:autoSpaceDN w:val="0"/>
        <w:adjustRightInd w:val="0"/>
        <w:ind w:left="567" w:right="567"/>
        <w:rPr>
          <w:rFonts w:ascii="Palatino Linotype" w:hAnsi="Palatino Linotype"/>
          <w:i/>
          <w:sz w:val="28"/>
          <w:lang w:val="es-ES"/>
        </w:rPr>
      </w:pPr>
      <w:r w:rsidRPr="00B9068E">
        <w:rPr>
          <w:rFonts w:ascii="Palatino Linotype" w:hAnsi="Palatino Linotype" w:cs="Bookman Old Style,Bold"/>
          <w:b/>
          <w:bCs/>
          <w:i/>
          <w:sz w:val="22"/>
        </w:rPr>
        <w:t xml:space="preserve">VII. </w:t>
      </w:r>
      <w:r w:rsidRPr="00B9068E">
        <w:rPr>
          <w:rFonts w:ascii="Palatino Linotype" w:hAnsi="Palatino Linotype" w:cs="Bookman Old Style"/>
          <w:i/>
          <w:sz w:val="22"/>
        </w:rPr>
        <w:t>El recurrente amplíe su solicitud en el recurso de revisión, únicamente respecto de los nuevos contenidos.</w:t>
      </w:r>
    </w:p>
    <w:p w14:paraId="7A9E8491" w14:textId="77777777" w:rsidR="00B22AB4" w:rsidRPr="00B9068E" w:rsidRDefault="00B22AB4" w:rsidP="00B22AB4">
      <w:pPr>
        <w:pStyle w:val="Prrafodelista"/>
        <w:tabs>
          <w:tab w:val="left" w:pos="851"/>
        </w:tabs>
        <w:spacing w:line="360" w:lineRule="auto"/>
        <w:ind w:left="0" w:right="49"/>
        <w:jc w:val="both"/>
        <w:rPr>
          <w:rFonts w:ascii="Palatino Linotype" w:hAnsi="Palatino Linotype"/>
          <w:lang w:val="es-ES"/>
        </w:rPr>
      </w:pPr>
    </w:p>
    <w:p w14:paraId="2E50BA45" w14:textId="30636B77" w:rsidR="00B22AB4" w:rsidRPr="00D007D1" w:rsidRDefault="00B22AB4" w:rsidP="00D007D1">
      <w:pPr>
        <w:pStyle w:val="Prrafodelista"/>
        <w:numPr>
          <w:ilvl w:val="0"/>
          <w:numId w:val="1"/>
        </w:numPr>
        <w:tabs>
          <w:tab w:val="left" w:pos="851"/>
        </w:tabs>
        <w:spacing w:line="360" w:lineRule="auto"/>
        <w:ind w:right="49"/>
        <w:jc w:val="both"/>
        <w:rPr>
          <w:rFonts w:ascii="Palatino Linotype" w:hAnsi="Palatino Linotype"/>
          <w:lang w:val="es-ES"/>
        </w:rPr>
      </w:pPr>
      <w:r w:rsidRPr="00B9068E">
        <w:rPr>
          <w:rFonts w:ascii="Palatino Linotype" w:hAnsi="Palatino Linotype"/>
          <w:color w:val="222222"/>
          <w:lang w:val="es-ES" w:eastAsia="es-MX"/>
        </w:rPr>
        <w:t>Por lo anterior, resulta improcedente el referido acto impugnado, toda vez que</w:t>
      </w:r>
      <w:r w:rsidRPr="00B9068E">
        <w:rPr>
          <w:rFonts w:ascii="Palatino Linotype" w:hAnsi="Palatino Linotype"/>
          <w:color w:val="000000"/>
          <w:lang w:eastAsia="es-MX"/>
        </w:rPr>
        <w:t> la ahora recurrente se excede dentro de su inconformidad respecto a lo requerido originalmente en la solicitud de información, siendo el caso que pretende ampliar lo solicitado de origen. Lo que hace que se surta lo que en la teoría jurídica se le denomina como </w:t>
      </w:r>
      <w:r w:rsidRPr="00B9068E">
        <w:rPr>
          <w:rFonts w:ascii="Palatino Linotype" w:hAnsi="Palatino Linotype"/>
          <w:b/>
          <w:bCs/>
          <w:color w:val="000000"/>
          <w:lang w:eastAsia="es-MX"/>
        </w:rPr>
        <w:t>plus petitio</w:t>
      </w:r>
      <w:r w:rsidRPr="00B9068E">
        <w:rPr>
          <w:rFonts w:ascii="Palatino Linotype" w:hAnsi="Palatino Linotype"/>
          <w:color w:val="000000"/>
          <w:lang w:eastAsia="es-MX"/>
        </w:rPr>
        <w:t>.</w:t>
      </w:r>
    </w:p>
    <w:p w14:paraId="43B82BB7" w14:textId="77777777" w:rsidR="00D007D1" w:rsidRPr="00D007D1" w:rsidRDefault="00D007D1" w:rsidP="00D007D1">
      <w:pPr>
        <w:pStyle w:val="Prrafodelista"/>
        <w:tabs>
          <w:tab w:val="left" w:pos="851"/>
        </w:tabs>
        <w:spacing w:line="360" w:lineRule="auto"/>
        <w:ind w:left="0" w:right="49"/>
        <w:jc w:val="both"/>
        <w:rPr>
          <w:rFonts w:ascii="Palatino Linotype" w:hAnsi="Palatino Linotype"/>
          <w:lang w:val="es-ES"/>
        </w:rPr>
      </w:pPr>
    </w:p>
    <w:p w14:paraId="1CFAB7CA" w14:textId="77777777" w:rsidR="00B22AB4" w:rsidRPr="00D007D1" w:rsidRDefault="00B22AB4" w:rsidP="00B22AB4">
      <w:pPr>
        <w:pStyle w:val="Prrafodelista"/>
        <w:numPr>
          <w:ilvl w:val="0"/>
          <w:numId w:val="1"/>
        </w:numPr>
        <w:tabs>
          <w:tab w:val="left" w:pos="851"/>
        </w:tabs>
        <w:spacing w:line="360" w:lineRule="auto"/>
        <w:ind w:right="49"/>
        <w:jc w:val="both"/>
        <w:rPr>
          <w:rFonts w:ascii="Palatino Linotype" w:hAnsi="Palatino Linotype"/>
          <w:lang w:val="es-ES"/>
        </w:rPr>
      </w:pPr>
      <w:r w:rsidRPr="00D007D1">
        <w:rPr>
          <w:rFonts w:ascii="Palatino Linotype" w:hAnsi="Palatino Linotype"/>
          <w:color w:val="222222"/>
          <w:lang w:val="es-ES" w:eastAsia="es-MX"/>
        </w:rPr>
        <w:t>Sirve de sustento el </w:t>
      </w:r>
      <w:r w:rsidRPr="00D007D1">
        <w:rPr>
          <w:rFonts w:ascii="Palatino Linotype" w:hAnsi="Palatino Linotype"/>
          <w:b/>
          <w:bCs/>
          <w:color w:val="222222"/>
          <w:lang w:val="es-ES" w:eastAsia="es-MX"/>
        </w:rPr>
        <w:t>criterio 01/17</w:t>
      </w:r>
      <w:r w:rsidRPr="00D007D1">
        <w:rPr>
          <w:rFonts w:ascii="Palatino Linotype" w:hAnsi="Palatino Linotype"/>
          <w:color w:val="222222"/>
          <w:lang w:val="es-ES" w:eastAsia="es-MX"/>
        </w:rPr>
        <w:t> emitido por el Instituto Nacional de Transparencia, Acceso a la Información y Protección de Datos Personales que establece lo siguiente:</w:t>
      </w:r>
    </w:p>
    <w:p w14:paraId="596976B4" w14:textId="77777777" w:rsidR="00B22AB4" w:rsidRPr="00B9068E" w:rsidRDefault="00B22AB4" w:rsidP="00B22AB4">
      <w:pPr>
        <w:shd w:val="clear" w:color="auto" w:fill="FFFFFF"/>
        <w:spacing w:before="240" w:after="240"/>
        <w:ind w:left="567" w:right="567"/>
        <w:jc w:val="both"/>
        <w:rPr>
          <w:rFonts w:ascii="Cambria" w:hAnsi="Cambria"/>
          <w:color w:val="222222"/>
        </w:rPr>
      </w:pPr>
      <w:r w:rsidRPr="00B9068E">
        <w:rPr>
          <w:rFonts w:ascii="Palatino Linotype" w:hAnsi="Palatino Linotype"/>
          <w:color w:val="222222"/>
          <w:lang w:val="es-ES"/>
        </w:rPr>
        <w:t> </w:t>
      </w:r>
      <w:r w:rsidRPr="00B9068E">
        <w:rPr>
          <w:rFonts w:ascii="Palatino Linotype" w:hAnsi="Palatino Linotype"/>
          <w:b/>
          <w:bCs/>
          <w:i/>
          <w:iCs/>
          <w:color w:val="222222"/>
          <w:sz w:val="22"/>
          <w:szCs w:val="22"/>
        </w:rPr>
        <w:t>Es improcedente ampliar las solicitudes de acceso a información, a través de la interposición del recurso de revisión.</w:t>
      </w:r>
      <w:r w:rsidRPr="00B9068E">
        <w:rPr>
          <w:rFonts w:ascii="Palatino Linotype" w:hAnsi="Palatino Linotype"/>
          <w:i/>
          <w:iCs/>
          <w:color w:val="222222"/>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3DFBCBAE" w14:textId="77777777" w:rsidR="00B22AB4" w:rsidRPr="00B9068E" w:rsidRDefault="00B22AB4" w:rsidP="00B22AB4">
      <w:pPr>
        <w:shd w:val="clear" w:color="auto" w:fill="FFFFFF"/>
        <w:spacing w:before="240" w:after="240"/>
        <w:ind w:left="567" w:right="567"/>
        <w:jc w:val="both"/>
        <w:rPr>
          <w:rFonts w:ascii="Cambria" w:hAnsi="Cambria"/>
          <w:color w:val="222222"/>
        </w:rPr>
      </w:pPr>
      <w:r w:rsidRPr="00B9068E">
        <w:rPr>
          <w:rFonts w:ascii="Palatino Linotype" w:hAnsi="Palatino Linotype"/>
          <w:i/>
          <w:iCs/>
          <w:color w:val="222222"/>
          <w:sz w:val="22"/>
          <w:szCs w:val="22"/>
        </w:rPr>
        <w:t> </w:t>
      </w:r>
      <w:r w:rsidRPr="00B9068E">
        <w:rPr>
          <w:rFonts w:ascii="Palatino Linotype" w:hAnsi="Palatino Linotype"/>
          <w:i/>
          <w:iCs/>
          <w:color w:val="222222"/>
          <w:sz w:val="22"/>
          <w:szCs w:val="22"/>
          <w:lang w:val="es-ES"/>
        </w:rPr>
        <w:t>Resoluciones:</w:t>
      </w:r>
    </w:p>
    <w:p w14:paraId="7FC1A873" w14:textId="77777777" w:rsidR="00B22AB4" w:rsidRPr="00B9068E" w:rsidRDefault="00B22AB4" w:rsidP="007C5B45">
      <w:pPr>
        <w:shd w:val="clear" w:color="auto" w:fill="FFFFFF"/>
        <w:ind w:left="567" w:right="567"/>
        <w:rPr>
          <w:rFonts w:ascii="Cambria" w:hAnsi="Cambria"/>
          <w:color w:val="222222"/>
        </w:rPr>
      </w:pPr>
      <w:r w:rsidRPr="00B9068E">
        <w:rPr>
          <w:rFonts w:ascii="Palatino Linotype" w:hAnsi="Palatino Linotype"/>
          <w:i/>
          <w:iCs/>
          <w:color w:val="222222"/>
          <w:sz w:val="22"/>
          <w:szCs w:val="22"/>
          <w:lang w:val="es-ES"/>
        </w:rPr>
        <w:sym w:font="Symbol" w:char="F0B7"/>
      </w:r>
      <w:r w:rsidRPr="00B9068E">
        <w:rPr>
          <w:rFonts w:ascii="Palatino Linotype" w:hAnsi="Palatino Linotype"/>
          <w:i/>
          <w:iCs/>
          <w:color w:val="222222"/>
          <w:sz w:val="22"/>
          <w:szCs w:val="22"/>
          <w:lang w:val="es-ES"/>
        </w:rPr>
        <w:t xml:space="preserve"> RRA 0196/16. Secretaría de Agricultura, Ganadería, Desarrollo Rural, Pesca y</w:t>
      </w:r>
    </w:p>
    <w:p w14:paraId="4368469A" w14:textId="77777777" w:rsidR="00B22AB4" w:rsidRPr="00B9068E" w:rsidRDefault="00B22AB4" w:rsidP="007C5B45">
      <w:pPr>
        <w:shd w:val="clear" w:color="auto" w:fill="FFFFFF"/>
        <w:ind w:left="567" w:right="567"/>
        <w:rPr>
          <w:rFonts w:ascii="Cambria" w:hAnsi="Cambria"/>
          <w:color w:val="222222"/>
        </w:rPr>
      </w:pPr>
      <w:r w:rsidRPr="00B9068E">
        <w:rPr>
          <w:rFonts w:ascii="Palatino Linotype" w:hAnsi="Palatino Linotype"/>
          <w:i/>
          <w:iCs/>
          <w:color w:val="222222"/>
          <w:sz w:val="22"/>
          <w:szCs w:val="22"/>
          <w:lang w:val="es-ES"/>
        </w:rPr>
        <w:lastRenderedPageBreak/>
        <w:t>Alimentación. 13 de julio de 2016. Por unanimidad. Comisionado Ponente Joel</w:t>
      </w:r>
    </w:p>
    <w:p w14:paraId="1269617B" w14:textId="77777777" w:rsidR="00B22AB4" w:rsidRPr="00B9068E" w:rsidRDefault="00B22AB4" w:rsidP="007C5B45">
      <w:pPr>
        <w:shd w:val="clear" w:color="auto" w:fill="FFFFFF"/>
        <w:ind w:left="567" w:right="567"/>
        <w:rPr>
          <w:rFonts w:ascii="Cambria" w:hAnsi="Cambria"/>
          <w:color w:val="222222"/>
        </w:rPr>
      </w:pPr>
      <w:r w:rsidRPr="00B9068E">
        <w:rPr>
          <w:rFonts w:ascii="Palatino Linotype" w:hAnsi="Palatino Linotype"/>
          <w:i/>
          <w:iCs/>
          <w:color w:val="222222"/>
          <w:sz w:val="22"/>
          <w:szCs w:val="22"/>
          <w:lang w:val="es-ES"/>
        </w:rPr>
        <w:t>Salas Suárez.</w:t>
      </w:r>
    </w:p>
    <w:p w14:paraId="6FCD75DC" w14:textId="77777777" w:rsidR="00B22AB4" w:rsidRPr="00B9068E" w:rsidRDefault="00B22AB4" w:rsidP="007C5B45">
      <w:pPr>
        <w:shd w:val="clear" w:color="auto" w:fill="FFFFFF"/>
        <w:ind w:left="567" w:right="567"/>
        <w:rPr>
          <w:rFonts w:ascii="Cambria" w:hAnsi="Cambria"/>
          <w:color w:val="222222"/>
        </w:rPr>
      </w:pPr>
      <w:r w:rsidRPr="00B9068E">
        <w:rPr>
          <w:rFonts w:ascii="Palatino Linotype" w:hAnsi="Palatino Linotype"/>
          <w:i/>
          <w:iCs/>
          <w:color w:val="222222"/>
          <w:sz w:val="22"/>
          <w:szCs w:val="22"/>
          <w:lang w:val="es-ES"/>
        </w:rPr>
        <w:sym w:font="Symbol" w:char="F0B7"/>
      </w:r>
      <w:r w:rsidRPr="00B9068E">
        <w:rPr>
          <w:rFonts w:ascii="Palatino Linotype" w:hAnsi="Palatino Linotype"/>
          <w:i/>
          <w:iCs/>
          <w:color w:val="222222"/>
          <w:sz w:val="22"/>
          <w:szCs w:val="22"/>
          <w:lang w:val="es-ES"/>
        </w:rPr>
        <w:t xml:space="preserve"> RRA 0130/16. Comisión Nacional del Agua. 09 de agosto de 2016. Por unanimidad. Comisionado Ponente María Patricia Kurczyn Villalobos.</w:t>
      </w:r>
    </w:p>
    <w:p w14:paraId="382F7262" w14:textId="77777777" w:rsidR="00B22AB4" w:rsidRPr="00B9068E" w:rsidRDefault="00B22AB4" w:rsidP="007C5B45">
      <w:pPr>
        <w:shd w:val="clear" w:color="auto" w:fill="FFFFFF"/>
        <w:ind w:left="567" w:right="567"/>
        <w:rPr>
          <w:rFonts w:ascii="Cambria" w:hAnsi="Cambria"/>
          <w:color w:val="222222"/>
        </w:rPr>
      </w:pPr>
      <w:r w:rsidRPr="00B9068E">
        <w:rPr>
          <w:rFonts w:ascii="Palatino Linotype" w:hAnsi="Palatino Linotype"/>
          <w:i/>
          <w:iCs/>
          <w:color w:val="222222"/>
          <w:sz w:val="22"/>
          <w:szCs w:val="22"/>
          <w:lang w:val="es-ES"/>
        </w:rPr>
        <w:sym w:font="Symbol" w:char="F0B7"/>
      </w:r>
      <w:r w:rsidRPr="00B9068E">
        <w:rPr>
          <w:rFonts w:ascii="Palatino Linotype" w:hAnsi="Palatino Linotype"/>
          <w:i/>
          <w:iCs/>
          <w:color w:val="222222"/>
          <w:sz w:val="22"/>
          <w:szCs w:val="22"/>
          <w:lang w:val="es-ES"/>
        </w:rPr>
        <w:t xml:space="preserve"> RRA 0342/16. Colegio de Bachilleres. 24 de agosto de 2016. Por unanimidad.</w:t>
      </w:r>
    </w:p>
    <w:p w14:paraId="0F43DE04" w14:textId="77777777" w:rsidR="00B22AB4" w:rsidRDefault="00B22AB4" w:rsidP="007C5B45">
      <w:pPr>
        <w:shd w:val="clear" w:color="auto" w:fill="FFFFFF"/>
        <w:ind w:left="567" w:right="567"/>
        <w:rPr>
          <w:rFonts w:ascii="Palatino Linotype" w:hAnsi="Palatino Linotype"/>
          <w:i/>
          <w:iCs/>
          <w:color w:val="222222"/>
          <w:sz w:val="22"/>
          <w:szCs w:val="22"/>
          <w:lang w:val="es-ES"/>
        </w:rPr>
      </w:pPr>
      <w:r w:rsidRPr="00B9068E">
        <w:rPr>
          <w:rFonts w:ascii="Palatino Linotype" w:hAnsi="Palatino Linotype"/>
          <w:i/>
          <w:iCs/>
          <w:color w:val="222222"/>
          <w:sz w:val="22"/>
          <w:szCs w:val="22"/>
          <w:lang w:val="es-ES"/>
        </w:rPr>
        <w:t>Comisionada Ponente Ximena Puente de la Mora.</w:t>
      </w:r>
    </w:p>
    <w:p w14:paraId="39A8ECB6" w14:textId="3999989A" w:rsidR="00B22AB4" w:rsidRPr="00B9068E" w:rsidRDefault="00B22AB4" w:rsidP="00D007D1">
      <w:pPr>
        <w:pStyle w:val="Prrafodelista"/>
        <w:numPr>
          <w:ilvl w:val="0"/>
          <w:numId w:val="1"/>
        </w:numPr>
        <w:shd w:val="clear" w:color="auto" w:fill="FFFFFF"/>
        <w:spacing w:before="240" w:after="240" w:line="360" w:lineRule="auto"/>
        <w:jc w:val="both"/>
        <w:rPr>
          <w:rFonts w:ascii="Cambria" w:hAnsi="Cambria"/>
          <w:color w:val="222222"/>
          <w:lang w:eastAsia="es-MX"/>
        </w:rPr>
      </w:pPr>
      <w:r w:rsidRPr="00B9068E">
        <w:rPr>
          <w:rFonts w:ascii="Palatino Linotype" w:hAnsi="Palatino Linotype"/>
          <w:color w:val="222222"/>
          <w:lang w:val="es-ES" w:eastAsia="es-MX"/>
        </w:rPr>
        <w:t xml:space="preserve">Robustece lo anterior, </w:t>
      </w:r>
      <w:r w:rsidRPr="00B9068E">
        <w:rPr>
          <w:rFonts w:ascii="Palatino Linotype" w:hAnsi="Palatino Linotype"/>
          <w:color w:val="000000"/>
          <w:lang w:eastAsia="es-MX"/>
        </w:rPr>
        <w:t>por analogía, la Jurisprudencia No. 29 visible a foja 19 del Apéndice al Semanario Judicial de la Federación 1917-1995, Torno VI, Materia Común, Primera Parte, Tesis de la Suprema Corte de Justicia, que contiene:</w:t>
      </w:r>
    </w:p>
    <w:p w14:paraId="208DD0DE" w14:textId="77777777" w:rsidR="00B22AB4" w:rsidRDefault="00B22AB4" w:rsidP="00B22AB4">
      <w:pPr>
        <w:shd w:val="clear" w:color="auto" w:fill="FFFFFF"/>
        <w:spacing w:before="240" w:after="240" w:line="360" w:lineRule="atLeast"/>
        <w:ind w:left="567" w:right="567"/>
        <w:jc w:val="both"/>
        <w:rPr>
          <w:rFonts w:ascii="Palatino Linotype" w:hAnsi="Palatino Linotype"/>
          <w:i/>
          <w:iCs/>
          <w:color w:val="000000"/>
          <w:sz w:val="22"/>
          <w:szCs w:val="22"/>
        </w:rPr>
      </w:pPr>
      <w:r w:rsidRPr="00B9068E">
        <w:rPr>
          <w:rFonts w:ascii="Palatino Linotype" w:hAnsi="Palatino Linotype"/>
          <w:b/>
          <w:bCs/>
          <w:i/>
          <w:iCs/>
          <w:color w:val="000000"/>
          <w:sz w:val="22"/>
          <w:szCs w:val="22"/>
        </w:rPr>
        <w:t>AGRAVIOS EN LA REVISION. DEBEN ESTAR EN RELACION DIRECTA CON LOS FUNDAMENTOS Y CONSIDERACIONES DE LA SENTENCIA</w:t>
      </w:r>
      <w:r w:rsidRPr="00B9068E">
        <w:rPr>
          <w:rFonts w:ascii="Palatino Linotype" w:hAnsi="Palatino Linotype"/>
          <w:i/>
          <w:iCs/>
          <w:color w:val="000000"/>
          <w:sz w:val="22"/>
          <w:szCs w:val="22"/>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7B92AAD0" w14:textId="548F522C" w:rsidR="00B22AB4" w:rsidRDefault="00B22AB4" w:rsidP="00D007D1">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la información adicional plasmada en el escrito de recurso de revisión.</w:t>
      </w:r>
    </w:p>
    <w:p w14:paraId="6F624764" w14:textId="77777777" w:rsidR="007C5B45" w:rsidRDefault="007C5B45" w:rsidP="007C5B45">
      <w:pPr>
        <w:pStyle w:val="Prrafodelista"/>
        <w:tabs>
          <w:tab w:val="left" w:pos="567"/>
        </w:tabs>
        <w:spacing w:line="360" w:lineRule="auto"/>
        <w:ind w:left="0"/>
        <w:jc w:val="both"/>
        <w:rPr>
          <w:rFonts w:ascii="Palatino Linotype" w:eastAsia="Calibri" w:hAnsi="Palatino Linotype" w:cs="Arial"/>
        </w:rPr>
      </w:pPr>
    </w:p>
    <w:p w14:paraId="2859A909" w14:textId="5A94DEBB" w:rsidR="007C5B45" w:rsidRDefault="00100C6D"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7" w:name="_Toc87456496"/>
      <w:r>
        <w:rPr>
          <w:rFonts w:ascii="Palatino Linotype" w:hAnsi="Palatino Linotype"/>
          <w:b/>
          <w:bCs/>
          <w:color w:val="000000" w:themeColor="text1"/>
        </w:rPr>
        <w:t>QUINTO</w:t>
      </w:r>
      <w:r w:rsidR="00953B03" w:rsidRPr="00953B03">
        <w:rPr>
          <w:rFonts w:ascii="Palatino Linotype" w:hAnsi="Palatino Linotype"/>
          <w:b/>
          <w:bCs/>
          <w:color w:val="000000" w:themeColor="text1"/>
        </w:rPr>
        <w:t>. Decisión</w:t>
      </w:r>
      <w:bookmarkEnd w:id="27"/>
    </w:p>
    <w:p w14:paraId="1C31858D" w14:textId="77777777" w:rsidR="007C5B45" w:rsidRPr="00953B03" w:rsidRDefault="007C5B45"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p>
    <w:p w14:paraId="3CD5E519" w14:textId="167D061F" w:rsidR="007C5B45" w:rsidRDefault="00892AB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C5B45">
        <w:rPr>
          <w:rFonts w:ascii="Palatino Linotype" w:hAnsi="Palatino Linotype"/>
          <w:color w:val="000000" w:themeColor="text1"/>
        </w:rPr>
        <w:t>Luego de</w:t>
      </w:r>
      <w:r w:rsidR="00477710" w:rsidRPr="007C5B45">
        <w:rPr>
          <w:rFonts w:ascii="Palatino Linotype" w:hAnsi="Palatino Linotype"/>
          <w:color w:val="000000" w:themeColor="text1"/>
        </w:rPr>
        <w:t xml:space="preserve"> analizar el marco legal </w:t>
      </w:r>
      <w:r w:rsidR="00F94AEA" w:rsidRPr="007C5B45">
        <w:rPr>
          <w:rFonts w:ascii="Palatino Linotype" w:hAnsi="Palatino Linotype"/>
          <w:color w:val="000000" w:themeColor="text1"/>
        </w:rPr>
        <w:t xml:space="preserve"> que recubre a la información solicitada</w:t>
      </w:r>
      <w:r w:rsidR="00477710" w:rsidRPr="007C5B45">
        <w:rPr>
          <w:rFonts w:ascii="Palatino Linotype" w:hAnsi="Palatino Linotype"/>
          <w:color w:val="000000" w:themeColor="text1"/>
        </w:rPr>
        <w:t xml:space="preserve">, </w:t>
      </w:r>
      <w:r w:rsidR="009A2D33" w:rsidRPr="007C5B45">
        <w:rPr>
          <w:rFonts w:ascii="Palatino Linotype" w:hAnsi="Palatino Linotype"/>
          <w:color w:val="000000" w:themeColor="text1"/>
        </w:rPr>
        <w:t>se determinó que,</w:t>
      </w:r>
      <w:r w:rsidR="007C5B45" w:rsidRPr="007C5B45">
        <w:rPr>
          <w:rFonts w:ascii="Palatino Linotype" w:hAnsi="Palatino Linotype"/>
          <w:color w:val="000000" w:themeColor="text1"/>
        </w:rPr>
        <w:t xml:space="preserve"> el área que dio respuesta a la solicitud cuenta con atribuciones, </w:t>
      </w:r>
      <w:r w:rsidR="007C5B45" w:rsidRPr="007C5B45">
        <w:rPr>
          <w:rFonts w:ascii="Palatino Linotype" w:hAnsi="Palatino Linotype"/>
          <w:color w:val="000000" w:themeColor="text1"/>
        </w:rPr>
        <w:lastRenderedPageBreak/>
        <w:t>facultades y competencias para generar, administrar y poseer, en consecuencia, al haber manifestado que la documentación que solicitó el particular no es requisito para la construcción de pozos, en consecuencia, ninguna autoridad ambiental ha solicitado la manifestación de impacto ambiental.</w:t>
      </w:r>
    </w:p>
    <w:p w14:paraId="6C179252" w14:textId="77777777" w:rsidR="007C5B45" w:rsidRDefault="007C5B45" w:rsidP="007C5B45">
      <w:pPr>
        <w:pStyle w:val="Prrafodelista"/>
        <w:tabs>
          <w:tab w:val="left" w:pos="426"/>
        </w:tabs>
        <w:spacing w:before="240" w:after="240" w:line="360" w:lineRule="auto"/>
        <w:ind w:left="0" w:right="51"/>
        <w:jc w:val="both"/>
        <w:rPr>
          <w:rFonts w:ascii="Palatino Linotype" w:hAnsi="Palatino Linotype"/>
          <w:color w:val="000000" w:themeColor="text1"/>
        </w:rPr>
      </w:pPr>
    </w:p>
    <w:p w14:paraId="0288AFC7" w14:textId="63C11445" w:rsidR="007C5B45" w:rsidRPr="007C5B45" w:rsidRDefault="007C5B4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Asimismo, al momento de interponer el recurso de revisión, manifestó como acto impugnado que requiere los requisitos para la perforación de pozos para agua potable, así como el marco normativo, dicha información corresponde a información adicional que no fue requerida en la solicitud inicial, por lo que, conforme al artículo 191 fracción VII, deben desecharse los nuevos contenidos.</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08DF889D"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007C5B45">
        <w:rPr>
          <w:rFonts w:ascii="Palatino Linotype" w:eastAsia="MS Mincho" w:hAnsi="Palatino Linotype" w:cstheme="majorBidi"/>
        </w:rPr>
        <w:t xml:space="preserve">lo tanto, </w:t>
      </w:r>
      <w:r w:rsidRPr="0028241C">
        <w:rPr>
          <w:rFonts w:ascii="Palatino Linotype" w:eastAsia="MS Mincho" w:hAnsi="Palatino Linotype" w:cstheme="majorBidi"/>
          <w:lang w:val="es-ES"/>
        </w:rPr>
        <w:t>y en mérito de lo expuesto en líneas anteriores, resultan</w:t>
      </w:r>
      <w:r>
        <w:rPr>
          <w:rFonts w:ascii="Palatino Linotype" w:eastAsia="MS Mincho" w:hAnsi="Palatino Linotype" w:cstheme="majorBidi"/>
          <w:lang w:val="es-ES"/>
        </w:rPr>
        <w:t xml:space="preserve"> </w:t>
      </w:r>
      <w:r w:rsidR="00115F2B">
        <w:rPr>
          <w:rFonts w:ascii="Palatino Linotype" w:eastAsia="MS Mincho" w:hAnsi="Palatino Linotype" w:cstheme="majorBidi"/>
          <w:lang w:val="es-ES"/>
        </w:rPr>
        <w:t>in</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7076C5">
        <w:rPr>
          <w:rFonts w:ascii="Palatino Linotype" w:eastAsia="MS Mincho" w:hAnsi="Palatino Linotype" w:cstheme="majorBidi"/>
          <w:b/>
          <w:bCs/>
          <w:lang w:val="es-ES"/>
        </w:rPr>
        <w:t>05468/INFOEM/IP/RR/2021</w:t>
      </w:r>
      <w:r w:rsidRPr="0028241C">
        <w:rPr>
          <w:rFonts w:ascii="Palatino Linotype" w:eastAsia="MS Mincho" w:hAnsi="Palatino Linotype" w:cstheme="majorBidi"/>
          <w:lang w:val="es-ES"/>
        </w:rPr>
        <w:t xml:space="preserve">; por ello, y con fundamento en la fracción II del numeral 186 de la Ley de Transparencia y Acceso a la Información Pública del Estado de México y Municipios, se </w:t>
      </w:r>
      <w:r w:rsidR="00115F2B">
        <w:rPr>
          <w:rFonts w:ascii="Palatino Linotype" w:eastAsia="MS Mincho" w:hAnsi="Palatino Linotype" w:cstheme="majorBidi"/>
          <w:b/>
          <w:lang w:val="es-ES"/>
        </w:rPr>
        <w:t>CONFIRMA</w:t>
      </w:r>
      <w:r w:rsidRPr="0028241C">
        <w:rPr>
          <w:rFonts w:ascii="Palatino Linotype" w:eastAsia="MS Mincho" w:hAnsi="Palatino Linotype" w:cstheme="majorBidi"/>
          <w:lang w:val="es-ES"/>
        </w:rPr>
        <w:t xml:space="preserve"> la respuesta a la solicitud de información número </w:t>
      </w:r>
      <w:r w:rsidR="007076C5">
        <w:rPr>
          <w:rFonts w:ascii="Palatino Linotype" w:eastAsia="MS Mincho" w:hAnsi="Palatino Linotype" w:cstheme="majorBidi"/>
          <w:b/>
          <w:lang w:val="es-ES"/>
        </w:rPr>
        <w:t>00053/OASECATEPE/IP/2021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05A0D138" w:rsidR="00266588" w:rsidRDefault="00273D1A"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05870353" wp14:editId="773C68F0">
                <wp:simplePos x="0" y="0"/>
                <wp:positionH relativeFrom="column">
                  <wp:posOffset>83646</wp:posOffset>
                </wp:positionH>
                <wp:positionV relativeFrom="paragraph">
                  <wp:posOffset>747816</wp:posOffset>
                </wp:positionV>
                <wp:extent cx="5438899" cy="1151906"/>
                <wp:effectExtent l="38100" t="38100" r="66675" b="86360"/>
                <wp:wrapNone/>
                <wp:docPr id="1" name="Conector recto 1"/>
                <wp:cNvGraphicFramePr/>
                <a:graphic xmlns:a="http://schemas.openxmlformats.org/drawingml/2006/main">
                  <a:graphicData uri="http://schemas.microsoft.com/office/word/2010/wordprocessingShape">
                    <wps:wsp>
                      <wps:cNvCnPr/>
                      <wps:spPr>
                        <a:xfrm>
                          <a:off x="0" y="0"/>
                          <a:ext cx="5438899" cy="115190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C216E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pt,58.9pt" to="434.85pt,1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" strokecolor="#4f81bd [3204]" strokeweight="2pt">
                <v:shadow on="t" color="black" opacity="24903f" origin=",.5" offset="0,.55556mm"/>
              </v:line>
            </w:pict>
          </mc:Fallback>
        </mc:AlternateContent>
      </w:r>
      <w:r w:rsidR="00F01801"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p>
    <w:p w14:paraId="19A111DC" w14:textId="77777777" w:rsidR="00266588" w:rsidRDefault="00266588">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Pr="007C5B45" w:rsidRDefault="009959DB" w:rsidP="009959DB">
      <w:pPr>
        <w:pStyle w:val="Ttulo1"/>
        <w:spacing w:line="360" w:lineRule="auto"/>
        <w:jc w:val="center"/>
        <w:rPr>
          <w:b/>
          <w:color w:val="000000" w:themeColor="text1"/>
          <w:szCs w:val="24"/>
        </w:rPr>
      </w:pPr>
      <w:bookmarkStart w:id="28" w:name="_Toc495427547"/>
      <w:bookmarkStart w:id="29" w:name="_Toc497905366"/>
      <w:bookmarkStart w:id="30" w:name="_Toc87456497"/>
      <w:r w:rsidRPr="007C5B45">
        <w:rPr>
          <w:b/>
          <w:color w:val="000000" w:themeColor="text1"/>
          <w:szCs w:val="24"/>
        </w:rPr>
        <w:lastRenderedPageBreak/>
        <w:t>R E S O L U T I V O S</w:t>
      </w:r>
      <w:bookmarkEnd w:id="23"/>
      <w:bookmarkEnd w:id="24"/>
      <w:bookmarkEnd w:id="28"/>
      <w:bookmarkEnd w:id="29"/>
      <w:bookmarkEnd w:id="30"/>
    </w:p>
    <w:p w14:paraId="67A78F7D" w14:textId="3E011E2D" w:rsidR="00CA0640" w:rsidRPr="00D020D3" w:rsidRDefault="00CA0640" w:rsidP="00CA0640">
      <w:pPr>
        <w:spacing w:line="360" w:lineRule="auto"/>
        <w:jc w:val="both"/>
        <w:rPr>
          <w:rFonts w:ascii="Palatino Linotype" w:eastAsia="Times New Roman" w:hAnsi="Palatino Linotype" w:cs="Times New Roman"/>
        </w:rPr>
      </w:pPr>
      <w:r w:rsidRPr="007C5B45">
        <w:rPr>
          <w:rFonts w:ascii="Palatino Linotype" w:eastAsia="Times New Roman" w:hAnsi="Palatino Linotype" w:cs="Arial"/>
          <w:b/>
          <w:sz w:val="28"/>
          <w:szCs w:val="28"/>
        </w:rPr>
        <w:t>PRIMERO</w:t>
      </w:r>
      <w:r w:rsidRPr="007C5B45">
        <w:rPr>
          <w:rFonts w:ascii="Palatino Linotype" w:eastAsia="Times New Roman" w:hAnsi="Palatino Linotype" w:cs="Arial"/>
          <w:b/>
        </w:rPr>
        <w:t xml:space="preserve">. </w:t>
      </w:r>
      <w:r w:rsidRPr="007C5B45">
        <w:rPr>
          <w:rFonts w:ascii="Palatino Linotype" w:eastAsia="Times New Roman" w:hAnsi="Palatino Linotype" w:cs="Arial"/>
        </w:rPr>
        <w:t>Resultan</w:t>
      </w:r>
      <w:r w:rsidR="00892AB9" w:rsidRPr="007C5B45">
        <w:rPr>
          <w:rFonts w:ascii="Palatino Linotype" w:eastAsia="Times New Roman" w:hAnsi="Palatino Linotype" w:cs="Arial"/>
        </w:rPr>
        <w:t xml:space="preserve"> </w:t>
      </w:r>
      <w:r w:rsidR="00115F2B" w:rsidRPr="007C5B45">
        <w:rPr>
          <w:rFonts w:ascii="Palatino Linotype" w:eastAsia="Times New Roman" w:hAnsi="Palatino Linotype" w:cs="Arial"/>
        </w:rPr>
        <w:t>in</w:t>
      </w:r>
      <w:r w:rsidRPr="007C5B45">
        <w:rPr>
          <w:rFonts w:ascii="Palatino Linotype" w:eastAsia="Times New Roman" w:hAnsi="Palatino Linotype" w:cs="Arial"/>
        </w:rPr>
        <w:t>fundadas las</w:t>
      </w:r>
      <w:r w:rsidRPr="007C5B45">
        <w:rPr>
          <w:rFonts w:ascii="Palatino Linotype" w:eastAsia="Times New Roman" w:hAnsi="Palatino Linotype" w:cs="Arial"/>
          <w:b/>
        </w:rPr>
        <w:t xml:space="preserve"> </w:t>
      </w:r>
      <w:r w:rsidRPr="007C5B45">
        <w:rPr>
          <w:rFonts w:ascii="Palatino Linotype" w:eastAsia="Times New Roman" w:hAnsi="Palatino Linotype" w:cs="Arial"/>
          <w:lang w:val="es-ES"/>
        </w:rPr>
        <w:t xml:space="preserve">razones o motivos de inconformidad hechos valer </w:t>
      </w:r>
      <w:r w:rsidRPr="007C5B45">
        <w:rPr>
          <w:rFonts w:ascii="Palatino Linotype" w:eastAsia="Calibri" w:hAnsi="Palatino Linotype" w:cs="Arial"/>
          <w:lang w:val="es-ES"/>
        </w:rPr>
        <w:t xml:space="preserve">en el recurso de revisión </w:t>
      </w:r>
      <w:r w:rsidR="007076C5" w:rsidRPr="007C5B45">
        <w:rPr>
          <w:rFonts w:ascii="Palatino Linotype" w:eastAsia="Times New Roman" w:hAnsi="Palatino Linotype" w:cs="Times New Roman"/>
          <w:b/>
        </w:rPr>
        <w:t>05468/INFOEM/IP/RR/2021</w:t>
      </w:r>
      <w:r w:rsidRPr="007C5B45">
        <w:rPr>
          <w:rFonts w:ascii="Palatino Linotype" w:eastAsia="Times New Roman" w:hAnsi="Palatino Linotype" w:cs="Times New Roman"/>
          <w:b/>
        </w:rPr>
        <w:t xml:space="preserve"> </w:t>
      </w:r>
      <w:r w:rsidRPr="007C5B45">
        <w:rPr>
          <w:rFonts w:ascii="Palatino Linotype" w:eastAsia="Times New Roman" w:hAnsi="Palatino Linotype" w:cs="Times New Roman"/>
        </w:rPr>
        <w:t>en términos del</w:t>
      </w:r>
      <w:r w:rsidRPr="007C5B45">
        <w:rPr>
          <w:rFonts w:ascii="Palatino Linotype" w:eastAsia="Times New Roman" w:hAnsi="Palatino Linotype" w:cs="Times New Roman"/>
          <w:b/>
          <w:bCs/>
        </w:rPr>
        <w:t xml:space="preserve"> Considerando</w:t>
      </w:r>
      <w:r w:rsidRPr="007C5B45">
        <w:rPr>
          <w:rFonts w:ascii="Palatino Linotype" w:eastAsia="Times New Roman" w:hAnsi="Palatino Linotype" w:cs="Times New Roman"/>
        </w:rPr>
        <w:t xml:space="preserve"> </w:t>
      </w:r>
      <w:r w:rsidRPr="007C5B45">
        <w:rPr>
          <w:rFonts w:ascii="Palatino Linotype" w:eastAsia="Times New Roman" w:hAnsi="Palatino Linotype" w:cs="Times New Roman"/>
          <w:b/>
        </w:rPr>
        <w:t>CUARTO</w:t>
      </w:r>
      <w:r w:rsidRPr="007C5B45">
        <w:rPr>
          <w:rFonts w:ascii="Palatino Linotype" w:eastAsia="Times New Roman" w:hAnsi="Palatino Linotype" w:cs="Times New Roman"/>
        </w:rPr>
        <w:t xml:space="preserve"> </w:t>
      </w:r>
      <w:r w:rsidR="00115F2B" w:rsidRPr="007C5B45">
        <w:rPr>
          <w:rFonts w:ascii="Palatino Linotype" w:eastAsia="Times New Roman" w:hAnsi="Palatino Linotype" w:cs="Times New Roman"/>
        </w:rPr>
        <w:t>d</w:t>
      </w:r>
      <w:r w:rsidRPr="007C5B45">
        <w:rPr>
          <w:rFonts w:ascii="Palatino Linotype" w:eastAsia="Times New Roman" w:hAnsi="Palatino Linotype" w:cs="Times New Roman"/>
        </w:rPr>
        <w:t>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19C3E213" w14:textId="66EF402D" w:rsidR="00CA0640" w:rsidRDefault="00CA0640" w:rsidP="00115F2B">
      <w:pPr>
        <w:spacing w:line="360" w:lineRule="auto"/>
        <w:contextualSpacing/>
        <w:jc w:val="both"/>
        <w:rPr>
          <w:rFonts w:ascii="Palatino Linotype" w:eastAsia="Calibri" w:hAnsi="Palatino Linotype" w:cs="Arial"/>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115F2B">
        <w:rPr>
          <w:rFonts w:ascii="Palatino Linotype" w:eastAsia="Calibri" w:hAnsi="Palatino Linotype" w:cs="Arial"/>
          <w:b/>
          <w:lang w:val="es-ES"/>
        </w:rPr>
        <w:t>CONFIRMA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 xml:space="preserve">emitida por </w:t>
      </w:r>
      <w:r w:rsidR="00F94AEA">
        <w:rPr>
          <w:rFonts w:ascii="Palatino Linotype" w:eastAsia="Calibri" w:hAnsi="Palatino Linotype" w:cs="Arial"/>
          <w:lang w:val="es-ES"/>
        </w:rPr>
        <w:t>el</w:t>
      </w:r>
      <w:r w:rsidRPr="00D92794">
        <w:rPr>
          <w:rFonts w:ascii="Palatino Linotype" w:eastAsia="Calibri" w:hAnsi="Palatino Linotype" w:cs="Arial"/>
          <w:lang w:val="es-ES"/>
        </w:rPr>
        <w:t xml:space="preserve"> </w:t>
      </w:r>
      <w:r w:rsidR="007076C5">
        <w:rPr>
          <w:rFonts w:ascii="Palatino Linotype" w:eastAsia="Calibri" w:hAnsi="Palatino Linotype" w:cs="Arial"/>
          <w:b/>
        </w:rPr>
        <w:t>Sistema de Agua Potable, Alcantarillado y Saneamiento de Ecatepec de Morelos</w:t>
      </w:r>
      <w:r>
        <w:rPr>
          <w:rFonts w:ascii="Palatino Linotype" w:eastAsia="Calibri" w:hAnsi="Palatino Linotype" w:cs="Arial"/>
          <w:bCs/>
        </w:rPr>
        <w:t xml:space="preserve"> a la solicitud </w:t>
      </w:r>
      <w:r w:rsidR="007076C5">
        <w:rPr>
          <w:rFonts w:ascii="Palatino Linotype" w:eastAsia="Calibri" w:hAnsi="Palatino Linotype" w:cs="Arial"/>
          <w:b/>
        </w:rPr>
        <w:t>00053/OASECATEPE/IP/2021</w:t>
      </w:r>
      <w:bookmarkStart w:id="31" w:name="_Toc460947013"/>
      <w:r w:rsidR="00115F2B" w:rsidRPr="00115F2B">
        <w:rPr>
          <w:rFonts w:ascii="Palatino Linotype" w:eastAsia="Calibri" w:hAnsi="Palatino Linotype" w:cs="Arial"/>
        </w:rPr>
        <w:t>.</w:t>
      </w:r>
    </w:p>
    <w:p w14:paraId="0AC4C062" w14:textId="77777777" w:rsidR="00CA0640" w:rsidRDefault="00CA0640" w:rsidP="00CA0640">
      <w:pPr>
        <w:tabs>
          <w:tab w:val="left" w:pos="993"/>
        </w:tabs>
        <w:spacing w:line="360" w:lineRule="auto"/>
        <w:ind w:right="567"/>
        <w:jc w:val="both"/>
        <w:rPr>
          <w:rFonts w:ascii="Palatino Linotype" w:eastAsia="Calibri" w:hAnsi="Palatino Linotype" w:cs="Arial"/>
        </w:rPr>
      </w:pPr>
    </w:p>
    <w:p w14:paraId="362E096D" w14:textId="0022E62F" w:rsidR="00115F2B" w:rsidRPr="0091734D"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w:t>
      </w:r>
      <w:bookmarkEnd w:id="31"/>
      <w:r w:rsidR="00F94AEA">
        <w:rPr>
          <w:rFonts w:ascii="Palatino Linotype" w:eastAsia="Palatino Linotype" w:hAnsi="Palatino Linotype" w:cs="Palatino Linotype"/>
          <w:b/>
        </w:rPr>
        <w:t>Notifíquese</w:t>
      </w:r>
      <w:r w:rsidR="00115F2B" w:rsidRPr="0091734D">
        <w:rPr>
          <w:rFonts w:ascii="Palatino Linotype" w:eastAsia="Palatino Linotype" w:hAnsi="Palatino Linotype" w:cs="Palatino Linotype"/>
          <w:b/>
        </w:rPr>
        <w:t xml:space="preserve">, </w:t>
      </w:r>
      <w:r w:rsidR="00115F2B" w:rsidRPr="0091734D">
        <w:rPr>
          <w:rFonts w:ascii="Palatino Linotype" w:eastAsia="Palatino Linotype" w:hAnsi="Palatino Linotype" w:cs="Palatino Linotype"/>
        </w:rPr>
        <w:t>vía Sistema de Acceso a la Información Mexiquense (SAIMEX), la presente resolución a</w:t>
      </w:r>
      <w:r w:rsidR="00115F2B">
        <w:rPr>
          <w:rFonts w:ascii="Palatino Linotype" w:eastAsia="Palatino Linotype" w:hAnsi="Palatino Linotype" w:cs="Palatino Linotype"/>
        </w:rPr>
        <w:t xml:space="preserve"> </w:t>
      </w:r>
      <w:r w:rsidR="00115F2B" w:rsidRPr="0091734D">
        <w:rPr>
          <w:rFonts w:ascii="Palatino Linotype" w:eastAsia="Palatino Linotype" w:hAnsi="Palatino Linotype" w:cs="Palatino Linotype"/>
        </w:rPr>
        <w:t>l</w:t>
      </w:r>
      <w:r w:rsidR="00115F2B">
        <w:rPr>
          <w:rFonts w:ascii="Palatino Linotype" w:eastAsia="Palatino Linotype" w:hAnsi="Palatino Linotype" w:cs="Palatino Linotype"/>
        </w:rPr>
        <w:t>a</w:t>
      </w:r>
      <w:r w:rsidR="00115F2B" w:rsidRPr="0091734D">
        <w:rPr>
          <w:rFonts w:ascii="Palatino Linotype" w:eastAsia="Palatino Linotype" w:hAnsi="Palatino Linotype" w:cs="Palatino Linotype"/>
        </w:rPr>
        <w:t xml:space="preserve"> Titular de la Unidad de Transparencia del </w:t>
      </w:r>
      <w:r w:rsidR="00115F2B" w:rsidRPr="0091734D">
        <w:rPr>
          <w:rFonts w:ascii="Palatino Linotype" w:eastAsia="Palatino Linotype" w:hAnsi="Palatino Linotype" w:cs="Palatino Linotype"/>
          <w:b/>
        </w:rPr>
        <w:t>SUJETO OBLIGADO.</w:t>
      </w:r>
    </w:p>
    <w:p w14:paraId="1F2C60E2" w14:textId="77777777" w:rsidR="00115F2B" w:rsidRPr="0091734D"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0A579CD6" w:rsidR="00115F2B" w:rsidRPr="00B06FF1" w:rsidRDefault="00115F2B" w:rsidP="00115F2B">
      <w:pPr>
        <w:shd w:val="clear" w:color="auto" w:fill="FFFFFF"/>
        <w:spacing w:line="360" w:lineRule="auto"/>
        <w:jc w:val="both"/>
        <w:rPr>
          <w:rFonts w:ascii="Palatino Linotype" w:hAnsi="Palatino Linotype"/>
        </w:rPr>
      </w:pPr>
      <w:r w:rsidRPr="00115F2B">
        <w:rPr>
          <w:rFonts w:ascii="Palatino Linotype" w:eastAsia="Times New Roman" w:hAnsi="Palatino Linotype" w:cs="Arial"/>
          <w:b/>
          <w:sz w:val="28"/>
        </w:rPr>
        <w:t>CUARTO</w:t>
      </w:r>
      <w:r w:rsidRPr="0091734D">
        <w:rPr>
          <w:rFonts w:ascii="Palatino Linotype" w:eastAsia="Times New Roman" w:hAnsi="Palatino Linotype" w:cs="Arial"/>
          <w:b/>
        </w:rPr>
        <w:t xml:space="preserve">. </w:t>
      </w:r>
      <w:r w:rsidRPr="0091734D">
        <w:rPr>
          <w:rFonts w:ascii="Palatino Linotype" w:eastAsia="Times New Roman" w:hAnsi="Palatino Linotype" w:cs="Times New Roman"/>
          <w:b/>
          <w:bCs/>
          <w:color w:val="222222"/>
          <w:lang w:val="es-ES"/>
        </w:rPr>
        <w:t>Notifíquese a</w:t>
      </w:r>
      <w:r>
        <w:rPr>
          <w:rFonts w:ascii="Palatino Linotype" w:eastAsia="Times New Roman" w:hAnsi="Palatino Linotype" w:cs="Times New Roman"/>
          <w:b/>
          <w:bCs/>
          <w:color w:val="222222"/>
          <w:lang w:val="es-ES"/>
        </w:rPr>
        <w:t>l</w:t>
      </w:r>
      <w:r w:rsidRPr="0091734D">
        <w:rPr>
          <w:rFonts w:ascii="Palatino Linotype" w:hAnsi="Palatino Linotype"/>
          <w:b/>
        </w:rPr>
        <w:t xml:space="preserve"> </w:t>
      </w:r>
      <w:r>
        <w:rPr>
          <w:rFonts w:ascii="Palatino Linotype" w:hAnsi="Palatino Linotype"/>
          <w:b/>
        </w:rPr>
        <w:t>RECURRENTE</w:t>
      </w:r>
      <w:r w:rsidR="00F94AEA">
        <w:rPr>
          <w:rFonts w:ascii="Palatino Linotype" w:hAnsi="Palatino Linotype"/>
        </w:rPr>
        <w:t xml:space="preserve"> la presente resolución, </w:t>
      </w:r>
      <w:r w:rsidR="00F94AEA" w:rsidRPr="0091734D">
        <w:rPr>
          <w:rFonts w:ascii="Palatino Linotype" w:eastAsia="Palatino Linotype" w:hAnsi="Palatino Linotype" w:cs="Palatino Linotype"/>
        </w:rPr>
        <w:t>vía Sistema de Acceso a la Información Mexiquense (SAIMEX)</w:t>
      </w:r>
      <w:r w:rsidR="00F94AEA">
        <w:rPr>
          <w:rFonts w:ascii="Palatino Linotype" w:eastAsia="Palatino Linotype" w:hAnsi="Palatino Linotype" w:cs="Palatino Linotype"/>
        </w:rPr>
        <w:t>.</w:t>
      </w:r>
    </w:p>
    <w:p w14:paraId="4378B359" w14:textId="77777777" w:rsidR="00115F2B" w:rsidRPr="00B06FF1" w:rsidRDefault="00115F2B" w:rsidP="00115F2B">
      <w:pPr>
        <w:shd w:val="clear" w:color="auto" w:fill="FFFFFF"/>
        <w:spacing w:line="360" w:lineRule="auto"/>
        <w:jc w:val="both"/>
        <w:rPr>
          <w:rFonts w:ascii="Palatino Linotype" w:hAnsi="Palatino Linotype"/>
        </w:rPr>
      </w:pPr>
    </w:p>
    <w:p w14:paraId="08853CDF" w14:textId="591D5A9E" w:rsidR="00115F2B" w:rsidRDefault="00115F2B" w:rsidP="00115F2B">
      <w:pPr>
        <w:spacing w:line="360" w:lineRule="auto"/>
        <w:jc w:val="both"/>
        <w:rPr>
          <w:rFonts w:ascii="Palatino Linotype" w:eastAsia="MS Mincho" w:hAnsi="Palatino Linotype" w:cs="Times New Roman"/>
          <w:lang w:val="es-ES"/>
        </w:rPr>
      </w:pPr>
      <w:r w:rsidRPr="00115F2B">
        <w:rPr>
          <w:rFonts w:ascii="Palatino Linotype" w:eastAsia="MS Mincho" w:hAnsi="Palatino Linotype" w:cs="Times New Roman"/>
          <w:b/>
          <w:sz w:val="28"/>
        </w:rPr>
        <w:t>QUINTO</w:t>
      </w:r>
      <w:r w:rsidRPr="00B06FF1">
        <w:rPr>
          <w:rFonts w:ascii="Palatino Linotype" w:eastAsia="MS Mincho" w:hAnsi="Palatino Linotype" w:cs="Times New Roman"/>
          <w:b/>
        </w:rPr>
        <w:t>.</w:t>
      </w:r>
      <w:r w:rsidRPr="00B06FF1">
        <w:rPr>
          <w:rFonts w:ascii="Palatino Linotype" w:eastAsia="MS Mincho" w:hAnsi="Palatino Linotype" w:cs="Times New Roman"/>
        </w:rPr>
        <w:t xml:space="preserve"> </w:t>
      </w:r>
      <w:r w:rsidRPr="00B06FF1">
        <w:rPr>
          <w:rFonts w:ascii="Palatino Linotype" w:eastAsia="MS Mincho" w:hAnsi="Palatino Linotype" w:cs="Times New Roman"/>
          <w:lang w:val="es-ES"/>
        </w:rPr>
        <w:t>Se hace del conocimiento de</w:t>
      </w:r>
      <w:r>
        <w:rPr>
          <w:rFonts w:ascii="Palatino Linotype" w:eastAsia="MS Mincho" w:hAnsi="Palatino Linotype" w:cs="Times New Roman"/>
          <w:lang w:val="es-ES"/>
        </w:rPr>
        <w:t xml:space="preserve">l </w:t>
      </w:r>
      <w:r>
        <w:rPr>
          <w:rFonts w:ascii="Palatino Linotype" w:eastAsia="MS Mincho" w:hAnsi="Palatino Linotype" w:cs="Times New Roman"/>
          <w:b/>
          <w:lang w:val="es-ES"/>
        </w:rPr>
        <w:t>RECURRENTE</w:t>
      </w:r>
      <w:r w:rsidRPr="00B06FF1">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w:t>
      </w:r>
      <w:r>
        <w:rPr>
          <w:rFonts w:ascii="Palatino Linotype" w:eastAsia="MS Mincho" w:hAnsi="Palatino Linotype" w:cs="Times New Roman"/>
          <w:lang w:val="es-ES"/>
        </w:rPr>
        <w:t xml:space="preserve">lgún perjuicio podrá impugnarla </w:t>
      </w:r>
      <w:r w:rsidRPr="00B06FF1">
        <w:rPr>
          <w:rFonts w:ascii="Palatino Linotype" w:eastAsia="MS Mincho" w:hAnsi="Palatino Linotype" w:cs="Times New Roman"/>
          <w:bCs/>
          <w:lang w:val="es-ES"/>
        </w:rPr>
        <w:t>vía juicio de amparo</w:t>
      </w:r>
      <w:r>
        <w:rPr>
          <w:rFonts w:ascii="Palatino Linotype" w:eastAsia="MS Mincho" w:hAnsi="Palatino Linotype" w:cs="Times New Roman"/>
          <w:lang w:val="es-ES"/>
        </w:rPr>
        <w:t xml:space="preserve"> </w:t>
      </w:r>
      <w:r w:rsidRPr="00B06FF1">
        <w:rPr>
          <w:rFonts w:ascii="Palatino Linotype" w:eastAsia="MS Mincho" w:hAnsi="Palatino Linotype" w:cs="Times New Roman"/>
          <w:lang w:val="es-ES"/>
        </w:rPr>
        <w:t>en los términos de las leyes aplicables.</w:t>
      </w:r>
    </w:p>
    <w:p w14:paraId="1E2CA3C7" w14:textId="2434ACC3" w:rsidR="00CA0640" w:rsidRDefault="00CA0640" w:rsidP="00115F2B">
      <w:pPr>
        <w:spacing w:line="360" w:lineRule="auto"/>
        <w:jc w:val="both"/>
        <w:rPr>
          <w:rFonts w:ascii="Palatino Linotype" w:eastAsia="MS Mincho" w:hAnsi="Palatino Linotype" w:cs="Times New Roman"/>
          <w:color w:val="000000"/>
          <w:lang w:val="es-ES"/>
        </w:rPr>
      </w:pPr>
    </w:p>
    <w:p w14:paraId="3193C8FC" w14:textId="77777777" w:rsidR="00CA0640" w:rsidRDefault="00CA0640" w:rsidP="00CA0640">
      <w:pPr>
        <w:spacing w:line="360" w:lineRule="auto"/>
        <w:jc w:val="both"/>
        <w:rPr>
          <w:rFonts w:ascii="Palatino Linotype" w:eastAsia="MS Mincho" w:hAnsi="Palatino Linotype" w:cs="Times New Roman"/>
          <w:color w:val="000000"/>
          <w:lang w:val="es-ES"/>
        </w:rPr>
      </w:pPr>
    </w:p>
    <w:p w14:paraId="3FE2E72A" w14:textId="77777777" w:rsidR="006E2564" w:rsidRDefault="006E2564" w:rsidP="006E2564">
      <w:pPr>
        <w:spacing w:before="240" w:after="360" w:line="360" w:lineRule="auto"/>
        <w:jc w:val="both"/>
        <w:rPr>
          <w:rFonts w:ascii="Palatino Linotype" w:hAnsi="Palatino Linotype"/>
          <w:color w:val="222222"/>
          <w:lang w:val="es-ES" w:eastAsia="es-MX"/>
        </w:rPr>
      </w:pPr>
      <w:r>
        <w:rPr>
          <w:rFonts w:ascii="Palatino Linotype" w:hAnsi="Palatino Linotype"/>
          <w:lang w:val="es-ES_tradn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DOCE (12) DE ENERO DE DOS MIL VEINTIDÓS, ANTE EL SECRETARIO TÉCNICO DEL PLENO ALEXIS TAPIA RAMÍREZ.</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8D9D" w14:textId="77777777" w:rsidR="006E21C6" w:rsidRDefault="006E21C6" w:rsidP="00587366">
      <w:r>
        <w:separator/>
      </w:r>
    </w:p>
  </w:endnote>
  <w:endnote w:type="continuationSeparator" w:id="0">
    <w:p w14:paraId="3E91DA40" w14:textId="77777777" w:rsidR="006E21C6" w:rsidRDefault="006E21C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921375" w:rsidRPr="00883450" w:rsidRDefault="0092137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E2564">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E2564">
              <w:rPr>
                <w:rFonts w:ascii="Palatino Linotype" w:hAnsi="Palatino Linotype"/>
                <w:b/>
                <w:bCs/>
                <w:noProof/>
                <w:sz w:val="22"/>
                <w:szCs w:val="20"/>
              </w:rPr>
              <w:t>30</w:t>
            </w:r>
            <w:r w:rsidRPr="00883450">
              <w:rPr>
                <w:rFonts w:ascii="Palatino Linotype" w:hAnsi="Palatino Linotype"/>
                <w:b/>
                <w:bCs/>
                <w:sz w:val="22"/>
                <w:szCs w:val="20"/>
              </w:rPr>
              <w:fldChar w:fldCharType="end"/>
            </w:r>
          </w:p>
        </w:sdtContent>
      </w:sdt>
    </w:sdtContent>
  </w:sdt>
  <w:p w14:paraId="6243EC1B" w14:textId="47B193F0" w:rsidR="00921375" w:rsidRDefault="009213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921375" w:rsidRPr="00883450" w:rsidRDefault="0092137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E2564" w:rsidRPr="006E256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E2564" w:rsidRPr="006E2564">
      <w:rPr>
        <w:rFonts w:ascii="Palatino Linotype" w:hAnsi="Palatino Linotype"/>
        <w:noProof/>
        <w:sz w:val="22"/>
        <w:szCs w:val="22"/>
        <w:lang w:val="es-ES"/>
      </w:rPr>
      <w:t>30</w:t>
    </w:r>
    <w:r w:rsidRPr="00883450">
      <w:rPr>
        <w:rFonts w:ascii="Palatino Linotype" w:hAnsi="Palatino Linotype"/>
        <w:sz w:val="22"/>
        <w:szCs w:val="22"/>
      </w:rPr>
      <w:fldChar w:fldCharType="end"/>
    </w:r>
  </w:p>
  <w:p w14:paraId="5F5C4865" w14:textId="0A9A2B26" w:rsidR="00921375" w:rsidRPr="00883450" w:rsidRDefault="00921375">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26215" w14:textId="77777777" w:rsidR="006E21C6" w:rsidRDefault="006E21C6" w:rsidP="00587366">
      <w:r>
        <w:separator/>
      </w:r>
    </w:p>
  </w:footnote>
  <w:footnote w:type="continuationSeparator" w:id="0">
    <w:p w14:paraId="68FCEC26" w14:textId="77777777" w:rsidR="006E21C6" w:rsidRDefault="006E21C6" w:rsidP="00587366">
      <w:r>
        <w:continuationSeparator/>
      </w:r>
    </w:p>
  </w:footnote>
  <w:footnote w:id="1">
    <w:p w14:paraId="2FCAFCED" w14:textId="77777777" w:rsidR="00E50851" w:rsidRDefault="00E50851" w:rsidP="00E50851">
      <w:pPr>
        <w:pStyle w:val="Textonotapie"/>
      </w:pPr>
      <w:r>
        <w:rPr>
          <w:rStyle w:val="Refdenotaalpie"/>
        </w:rPr>
        <w:footnoteRef/>
      </w:r>
      <w:r>
        <w:t xml:space="preserve"> Artículo 50, Ley de Transparencia y Acceso a la Información Pública del Estado de México y Municipios.</w:t>
      </w:r>
    </w:p>
  </w:footnote>
  <w:footnote w:id="2">
    <w:p w14:paraId="1955EB4A" w14:textId="77777777" w:rsidR="00E50851" w:rsidRDefault="00E50851" w:rsidP="00E50851">
      <w:pPr>
        <w:pStyle w:val="Textonotapie"/>
      </w:pPr>
      <w:r>
        <w:rPr>
          <w:rStyle w:val="Refdenotaalpie"/>
        </w:rPr>
        <w:footnoteRef/>
      </w:r>
      <w:r>
        <w:t xml:space="preserve"> Artículo 51, Ídem.</w:t>
      </w:r>
    </w:p>
  </w:footnote>
  <w:footnote w:id="3">
    <w:p w14:paraId="10302B89" w14:textId="77777777" w:rsidR="00E50851" w:rsidRDefault="00E50851" w:rsidP="00E50851">
      <w:pPr>
        <w:pStyle w:val="Textonotapie"/>
      </w:pPr>
      <w:r>
        <w:rPr>
          <w:rStyle w:val="Refdenotaalpie"/>
        </w:rPr>
        <w:footnoteRef/>
      </w:r>
      <w:r>
        <w:t xml:space="preserve"> Artículo 58, Ley de Transparencia y Acceso a la Información Pública del Estado de México y Municipios.</w:t>
      </w:r>
    </w:p>
  </w:footnote>
  <w:footnote w:id="4">
    <w:p w14:paraId="2302DC58" w14:textId="77777777" w:rsidR="00E50851" w:rsidRDefault="00E50851" w:rsidP="00E50851">
      <w:pPr>
        <w:pStyle w:val="Textonotapie"/>
      </w:pPr>
      <w:r>
        <w:rPr>
          <w:rStyle w:val="Refdenotaalpie"/>
        </w:rPr>
        <w:footnoteRef/>
      </w:r>
      <w:r>
        <w:t xml:space="preserve"> Artículo 59, Ídem.</w:t>
      </w:r>
    </w:p>
  </w:footnote>
  <w:footnote w:id="5">
    <w:p w14:paraId="0E3FAC3F" w14:textId="4485653C" w:rsidR="00A31BF8" w:rsidRDefault="00A31BF8">
      <w:pPr>
        <w:pStyle w:val="Textonotapie"/>
      </w:pPr>
      <w:r>
        <w:rPr>
          <w:rStyle w:val="Refdenotaalpie"/>
        </w:rPr>
        <w:footnoteRef/>
      </w:r>
      <w:r>
        <w:t xml:space="preserve"> Artículo 34, Ley del Agua para el Estado de México.</w:t>
      </w:r>
    </w:p>
  </w:footnote>
  <w:footnote w:id="6">
    <w:p w14:paraId="608EF5AF" w14:textId="42981628" w:rsidR="00A31BF8" w:rsidRDefault="00A31BF8">
      <w:pPr>
        <w:pStyle w:val="Textonotapie"/>
      </w:pPr>
      <w:r>
        <w:rPr>
          <w:rStyle w:val="Refdenotaalpie"/>
        </w:rPr>
        <w:footnoteRef/>
      </w:r>
      <w:r>
        <w:t xml:space="preserve"> Artículo 50, Ídem.</w:t>
      </w:r>
    </w:p>
  </w:footnote>
  <w:footnote w:id="7">
    <w:p w14:paraId="68FDA849" w14:textId="554C5EF5" w:rsidR="003E4096" w:rsidRDefault="003E4096">
      <w:pPr>
        <w:pStyle w:val="Textonotapie"/>
      </w:pPr>
      <w:r>
        <w:rPr>
          <w:rStyle w:val="Refdenotaalpie"/>
        </w:rPr>
        <w:footnoteRef/>
      </w:r>
      <w:r>
        <w:t xml:space="preserve"> Artículo 110, Ley del Agua para el Estado de México y Municipios.</w:t>
      </w:r>
    </w:p>
  </w:footnote>
  <w:footnote w:id="8">
    <w:p w14:paraId="12F1DF4F" w14:textId="47CAEE16" w:rsidR="003E4096" w:rsidRDefault="003E4096">
      <w:pPr>
        <w:pStyle w:val="Textonotapie"/>
      </w:pPr>
      <w:r>
        <w:rPr>
          <w:rStyle w:val="Refdenotaalpie"/>
        </w:rPr>
        <w:footnoteRef/>
      </w:r>
      <w:r>
        <w:t xml:space="preserve"> Artículo 111, Ídem.</w:t>
      </w:r>
    </w:p>
  </w:footnote>
  <w:footnote w:id="9">
    <w:p w14:paraId="391A1C9B" w14:textId="55A3643A" w:rsidR="00775598" w:rsidRDefault="00775598">
      <w:pPr>
        <w:pStyle w:val="Textonotapie"/>
      </w:pPr>
      <w:r>
        <w:rPr>
          <w:rStyle w:val="Refdenotaalpie"/>
        </w:rPr>
        <w:footnoteRef/>
      </w:r>
      <w:r>
        <w:t xml:space="preserve"> Consultable en: </w:t>
      </w:r>
      <w:r w:rsidRPr="00775598">
        <w:t>https://www.ipomex.org.mx/ipo3/lgt/indice/OASECATEPEC/art_92_i.web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921375" w:rsidRPr="00025127" w14:paraId="07F2896E" w14:textId="77777777" w:rsidTr="00FA0F09">
      <w:trPr>
        <w:trHeight w:val="138"/>
        <w:jc w:val="right"/>
      </w:trPr>
      <w:tc>
        <w:tcPr>
          <w:tcW w:w="3260" w:type="dxa"/>
          <w:vAlign w:val="center"/>
        </w:tcPr>
        <w:p w14:paraId="4A5B1974" w14:textId="44CA9AFE" w:rsidR="00921375" w:rsidRPr="00025127" w:rsidRDefault="0092137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5E4C94A" w:rsidR="00921375" w:rsidRPr="00025127" w:rsidRDefault="00921375" w:rsidP="005F1362">
          <w:pPr>
            <w:pStyle w:val="Encabezado"/>
            <w:jc w:val="both"/>
            <w:rPr>
              <w:rFonts w:ascii="Palatino Linotype" w:hAnsi="Palatino Linotype"/>
              <w:b/>
              <w:sz w:val="22"/>
              <w:szCs w:val="22"/>
            </w:rPr>
          </w:pPr>
          <w:r>
            <w:rPr>
              <w:rFonts w:ascii="Palatino Linotype" w:hAnsi="Palatino Linotype"/>
              <w:b/>
              <w:sz w:val="22"/>
              <w:szCs w:val="22"/>
            </w:rPr>
            <w:t>05468</w:t>
          </w:r>
          <w:r w:rsidRPr="00025127">
            <w:rPr>
              <w:rFonts w:ascii="Palatino Linotype" w:hAnsi="Palatino Linotype"/>
              <w:b/>
              <w:sz w:val="22"/>
              <w:szCs w:val="22"/>
            </w:rPr>
            <w:t>/INFOEM/IP/RR/</w:t>
          </w:r>
          <w:r>
            <w:rPr>
              <w:rFonts w:ascii="Palatino Linotype" w:hAnsi="Palatino Linotype"/>
              <w:b/>
              <w:sz w:val="22"/>
              <w:szCs w:val="22"/>
            </w:rPr>
            <w:t>2021</w:t>
          </w:r>
        </w:p>
      </w:tc>
    </w:tr>
    <w:tr w:rsidR="00921375" w:rsidRPr="00025127" w14:paraId="1B5D8690" w14:textId="77777777" w:rsidTr="00FA0F09">
      <w:trPr>
        <w:trHeight w:val="233"/>
        <w:jc w:val="right"/>
      </w:trPr>
      <w:tc>
        <w:tcPr>
          <w:tcW w:w="3260" w:type="dxa"/>
          <w:vAlign w:val="center"/>
        </w:tcPr>
        <w:p w14:paraId="3903F2C6" w14:textId="22D569F8" w:rsidR="00921375" w:rsidRPr="00025127" w:rsidRDefault="00921375"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61E13C0" w:rsidR="00921375" w:rsidRPr="00025127" w:rsidRDefault="00921375" w:rsidP="000F55C1">
          <w:pPr>
            <w:pStyle w:val="Encabezado"/>
            <w:rPr>
              <w:rFonts w:ascii="Palatino Linotype" w:hAnsi="Palatino Linotype"/>
              <w:b/>
              <w:sz w:val="22"/>
              <w:szCs w:val="22"/>
            </w:rPr>
          </w:pPr>
          <w:r>
            <w:rPr>
              <w:rFonts w:ascii="Palatino Linotype" w:hAnsi="Palatino Linotype"/>
              <w:b/>
              <w:bCs/>
              <w:color w:val="000000"/>
              <w:sz w:val="22"/>
              <w:szCs w:val="22"/>
            </w:rPr>
            <w:t>Sistema de Agua Potable, Alcantarillado y Saneamiento de Ecatepec de Morelos</w:t>
          </w:r>
        </w:p>
      </w:tc>
    </w:tr>
    <w:tr w:rsidR="00921375" w:rsidRPr="00025127" w14:paraId="095EB01B" w14:textId="77777777" w:rsidTr="00FA0F09">
      <w:trPr>
        <w:trHeight w:val="321"/>
        <w:jc w:val="right"/>
      </w:trPr>
      <w:tc>
        <w:tcPr>
          <w:tcW w:w="3260" w:type="dxa"/>
          <w:vAlign w:val="center"/>
        </w:tcPr>
        <w:p w14:paraId="6E000A51" w14:textId="05E1861A" w:rsidR="00921375" w:rsidRPr="00025127" w:rsidRDefault="0092137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921375" w:rsidRPr="00025127" w:rsidRDefault="0092137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921375" w:rsidRDefault="00921375"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921375" w:rsidRDefault="00A04BE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92137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21375" w:rsidRPr="00025127" w14:paraId="0A3256F2" w14:textId="77777777" w:rsidTr="006E6B65">
      <w:trPr>
        <w:trHeight w:val="138"/>
        <w:jc w:val="right"/>
      </w:trPr>
      <w:tc>
        <w:tcPr>
          <w:tcW w:w="3261" w:type="dxa"/>
          <w:vAlign w:val="center"/>
        </w:tcPr>
        <w:p w14:paraId="3D80769D" w14:textId="316F11F8" w:rsidR="00921375" w:rsidRPr="00025127" w:rsidRDefault="00921375"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799258F7" w:rsidR="00921375" w:rsidRPr="00025127" w:rsidRDefault="00921375" w:rsidP="005F1362">
          <w:pPr>
            <w:pStyle w:val="Encabezado"/>
            <w:rPr>
              <w:rFonts w:ascii="Palatino Linotype" w:hAnsi="Palatino Linotype"/>
              <w:b/>
              <w:sz w:val="22"/>
              <w:szCs w:val="22"/>
            </w:rPr>
          </w:pPr>
          <w:r>
            <w:rPr>
              <w:rFonts w:ascii="Palatino Linotype" w:hAnsi="Palatino Linotype"/>
              <w:b/>
              <w:sz w:val="22"/>
              <w:szCs w:val="22"/>
            </w:rPr>
            <w:t>05468</w:t>
          </w:r>
          <w:r w:rsidRPr="00025127">
            <w:rPr>
              <w:rFonts w:ascii="Palatino Linotype" w:hAnsi="Palatino Linotype"/>
              <w:b/>
              <w:sz w:val="22"/>
              <w:szCs w:val="22"/>
            </w:rPr>
            <w:t>/INFOEM/IP/RR/</w:t>
          </w:r>
          <w:r>
            <w:rPr>
              <w:rFonts w:ascii="Palatino Linotype" w:hAnsi="Palatino Linotype"/>
              <w:b/>
              <w:sz w:val="22"/>
              <w:szCs w:val="22"/>
            </w:rPr>
            <w:t>2021</w:t>
          </w:r>
        </w:p>
      </w:tc>
    </w:tr>
    <w:tr w:rsidR="00921375" w:rsidRPr="00025127" w14:paraId="128C8B3C" w14:textId="77777777" w:rsidTr="006E6B65">
      <w:trPr>
        <w:trHeight w:val="233"/>
        <w:jc w:val="right"/>
      </w:trPr>
      <w:tc>
        <w:tcPr>
          <w:tcW w:w="3261" w:type="dxa"/>
          <w:vAlign w:val="center"/>
        </w:tcPr>
        <w:p w14:paraId="483E3371" w14:textId="66B1BC74" w:rsidR="00921375" w:rsidRPr="00025127" w:rsidRDefault="0092137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4CE7C4A" w:rsidR="00921375" w:rsidRPr="00025127" w:rsidRDefault="000120D4" w:rsidP="0058757A">
          <w:pPr>
            <w:pStyle w:val="Encabezado"/>
            <w:rPr>
              <w:rFonts w:ascii="Palatino Linotype" w:hAnsi="Palatino Linotype"/>
              <w:b/>
              <w:sz w:val="22"/>
              <w:szCs w:val="22"/>
            </w:rPr>
          </w:pPr>
          <w:r>
            <w:rPr>
              <w:rFonts w:ascii="Palatino Linotype" w:hAnsi="Palatino Linotype"/>
              <w:b/>
              <w:sz w:val="22"/>
              <w:szCs w:val="22"/>
            </w:rPr>
            <w:t>Xxxx</w:t>
          </w:r>
        </w:p>
      </w:tc>
    </w:tr>
    <w:tr w:rsidR="00921375" w:rsidRPr="00025127" w14:paraId="41BE0704" w14:textId="77777777" w:rsidTr="006E6B65">
      <w:trPr>
        <w:trHeight w:val="321"/>
        <w:jc w:val="right"/>
      </w:trPr>
      <w:tc>
        <w:tcPr>
          <w:tcW w:w="3261" w:type="dxa"/>
          <w:vAlign w:val="center"/>
        </w:tcPr>
        <w:p w14:paraId="34C64148" w14:textId="10C6C8A9" w:rsidR="00921375" w:rsidRPr="00025127" w:rsidRDefault="0092137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1BA946E" w:rsidR="00921375" w:rsidRPr="00025127" w:rsidRDefault="00921375" w:rsidP="00AD2718">
          <w:pPr>
            <w:pStyle w:val="Encabezado"/>
            <w:rPr>
              <w:rFonts w:ascii="Palatino Linotype" w:hAnsi="Palatino Linotype"/>
              <w:b/>
              <w:sz w:val="22"/>
              <w:szCs w:val="22"/>
            </w:rPr>
          </w:pPr>
          <w:r>
            <w:rPr>
              <w:rFonts w:ascii="Palatino Linotype" w:hAnsi="Palatino Linotype"/>
              <w:b/>
              <w:bCs/>
              <w:color w:val="000000"/>
              <w:sz w:val="22"/>
              <w:szCs w:val="22"/>
            </w:rPr>
            <w:t>Sistema de Agua Potable, Alcantarillado y Saneamiento de Ecatepec de Morelos</w:t>
          </w:r>
        </w:p>
      </w:tc>
    </w:tr>
    <w:tr w:rsidR="00921375" w:rsidRPr="00025127" w14:paraId="0C8B6193" w14:textId="77777777" w:rsidTr="006E6B65">
      <w:trPr>
        <w:trHeight w:val="321"/>
        <w:jc w:val="right"/>
      </w:trPr>
      <w:tc>
        <w:tcPr>
          <w:tcW w:w="3261" w:type="dxa"/>
          <w:vAlign w:val="center"/>
        </w:tcPr>
        <w:p w14:paraId="321FFAFF" w14:textId="0E8C2CE7" w:rsidR="00921375" w:rsidRPr="00025127" w:rsidRDefault="00921375"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921375" w:rsidRPr="00025127" w:rsidRDefault="00921375"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921375" w:rsidRDefault="0092137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7"/>
  </w:num>
  <w:num w:numId="6">
    <w:abstractNumId w:val="8"/>
  </w:num>
  <w:num w:numId="7">
    <w:abstractNumId w:val="5"/>
  </w:num>
  <w:num w:numId="8">
    <w:abstractNumId w:val="9"/>
  </w:num>
  <w:num w:numId="9">
    <w:abstractNumId w:val="3"/>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0D4"/>
    <w:rsid w:val="00012472"/>
    <w:rsid w:val="0001398B"/>
    <w:rsid w:val="000160F8"/>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7B9A"/>
    <w:rsid w:val="00611DC1"/>
    <w:rsid w:val="00613655"/>
    <w:rsid w:val="006144EE"/>
    <w:rsid w:val="00617125"/>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7096"/>
    <w:rsid w:val="007076C5"/>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07D1"/>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57C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CE267-4502-4B83-9E4D-51B99C0A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6346</Words>
  <Characters>34904</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4</cp:revision>
  <cp:lastPrinted>2019-12-11T01:19:00Z</cp:lastPrinted>
  <dcterms:created xsi:type="dcterms:W3CDTF">2022-02-21T23:18:00Z</dcterms:created>
  <dcterms:modified xsi:type="dcterms:W3CDTF">2022-02-21T23:22:00Z</dcterms:modified>
</cp:coreProperties>
</file>