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de fecha veinticuatro de marzo del dos mil veintidós.</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00639/INFOEM/IP/RR/2022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F77A12">
        <w:rPr>
          <w:rFonts w:ascii="Palatino Linotype" w:eastAsia="Palatino Linotype" w:hAnsi="Palatino Linotype" w:cs="Palatino Linotype"/>
          <w:b/>
        </w:rPr>
        <w:t>XXXXX XXXXX XXXXX XXXX</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00494/CUAUTIT/IP/2021,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Cuautitlán,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w:t>
      </w:r>
      <w:bookmarkStart w:id="0" w:name="_GoBack"/>
      <w:bookmarkEnd w:id="0"/>
      <w:r>
        <w:rPr>
          <w:rFonts w:ascii="Palatino Linotype" w:eastAsia="Palatino Linotype" w:hAnsi="Palatino Linotype" w:cs="Palatino Linotype"/>
        </w:rPr>
        <w:t>ar la presente resolución, con base en los siguientes:</w:t>
      </w:r>
    </w:p>
    <w:p w:rsidR="002840B6" w:rsidRDefault="006F7C23">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diecisiete de diciembre del dos mil veintiuno,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2840B6" w:rsidRDefault="006F7C23">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solicita la información de los informes del 2019, 2020 y 2021 que deben tener las autoridades auxiliares el Delegado y Copaci del Fraccionamiento conocido como Rancho Santa Elena, de su plan de trabajo anual que se logró y que aun no se ha completado, el avance de los manzaneros y las evidencias fotográficas de las asambleas que por ley están obligados a realizar o la negativa de confirmación por omisión de no haberse realizado dichas asambleas informativas de los años 2019, 2020 y 2021, la cantidad de anuencias otorgadas, la cantidad de cartas domiciliarias entregadas, el motivo por el cual y si es que existe algún permiso otorgado por las autoridades auxiliares respecto del puesto que invade la carpeta asfáltica de verduras y la razon por la que no ha sido retirado.” (Sic)</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Prorroga, </w:t>
      </w:r>
      <w:r>
        <w:rPr>
          <w:rFonts w:ascii="Palatino Linotype" w:eastAsia="Palatino Linotype" w:hAnsi="Palatino Linotype" w:cs="Palatino Linotype"/>
        </w:rPr>
        <w:t>de las constancias que obra en el expediente electrónico del SAIMEX, se desprende que el responsable de la Unidad de Transparencia, el veinticinco de enero del año dos mil veintidós notificó una prórroga de siete días más a los quince días que señala el artículo 163 de la Ley de Transparencia y Acceso a la Información Pública vigente en la entidad; para emitir su respuesta correspondiente, argumentando lo siguiente:</w:t>
      </w:r>
    </w:p>
    <w:p w:rsidR="002840B6" w:rsidRDefault="006F7C23">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2840B6" w:rsidRDefault="006F7C23">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Prórroga aprobada a la solicitud 00494/CUAUTIT/IP/2021. Cabe señalar que en la justificación de la prórroga existe un error de dedo ya que se señalo que la solicitud se refiere a la 00495/CUAUTITIP/2021 y la correcta es a la solicitud 00494/CUAUTIT/IP/2021.</w:t>
      </w:r>
    </w:p>
    <w:p w:rsidR="002840B6" w:rsidRDefault="006F7C23">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ANAISSA RAMIREZ ALDANA</w:t>
      </w:r>
    </w:p>
    <w:p w:rsidR="002840B6" w:rsidRDefault="006F7C23">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Responsable de la Unidad de Transparencia</w:t>
      </w:r>
      <w:r>
        <w:rPr>
          <w:rFonts w:ascii="Palatino Linotype" w:eastAsia="Palatino Linotype" w:hAnsi="Palatino Linotype" w:cs="Palatino Linotype"/>
          <w:i/>
          <w:sz w:val="22"/>
          <w:szCs w:val="22"/>
        </w:rPr>
        <w:t>” (Sic)</w:t>
      </w:r>
    </w:p>
    <w:p w:rsidR="002840B6" w:rsidRDefault="002840B6">
      <w:pPr>
        <w:spacing w:line="360" w:lineRule="auto"/>
        <w:jc w:val="both"/>
        <w:rPr>
          <w:rFonts w:ascii="Palatino Linotype" w:eastAsia="Palatino Linotype" w:hAnsi="Palatino Linotype" w:cs="Palatino Linotype"/>
        </w:rPr>
      </w:pPr>
    </w:p>
    <w:p w:rsidR="002840B6" w:rsidRDefault="006F7C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Respuesta. </w:t>
      </w:r>
      <w:r>
        <w:rPr>
          <w:rFonts w:ascii="Palatino Linotype" w:eastAsia="Palatino Linotype" w:hAnsi="Palatino Linotype" w:cs="Palatino Linotype"/>
        </w:rPr>
        <w:t xml:space="preserve">Con fecha tres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2840B6" w:rsidRDefault="006F7C23">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840B6" w:rsidRDefault="006F7C23">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Buenas tardes, enviando un cordial saludo me permito brindar la información solicitada mediante la solicitud con número de folio 00494/CUAUTIT/IP/2021.</w:t>
      </w:r>
    </w:p>
    <w:p w:rsidR="002840B6" w:rsidRDefault="006F7C23">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2840B6" w:rsidRDefault="006F7C23">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 ANAISSA RAMIREZ ALDANA” (Sic)</w:t>
      </w: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Adjuntando su respuesta  los archivos electrónicos siguientes: </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RESPUESTA SOLICITUD 00494 GOBIERNO.pdf</w:t>
        </w:r>
      </w:hyperlink>
      <w:r>
        <w:rPr>
          <w:rFonts w:ascii="Palatino Linotype" w:eastAsia="Palatino Linotype" w:hAnsi="Palatino Linotype" w:cs="Palatino Linotype"/>
        </w:rPr>
        <w:t xml:space="preserve">”, el cual contiene el oficio número GOB/020/2022, por medio del cual el Director de Gobierno, informó al Titular de la Unidad de Transparencia, ambos del Ayuntamiento de Cuautitlán, que derivado de una rigurosa búsqueda en el archivo de concentración entregado por la administración anterior (2018-2021), no se encontró lo solicitado en el oficio UT/020/2022, </w:t>
      </w:r>
      <w:r>
        <w:rPr>
          <w:rFonts w:ascii="Palatino Linotype" w:eastAsia="Palatino Linotype" w:hAnsi="Palatino Linotype" w:cs="Palatino Linotype"/>
          <w:b/>
          <w:u w:val="single"/>
        </w:rPr>
        <w:t>debido a que la administración no dejó la información.</w:t>
      </w:r>
      <w:r>
        <w:rPr>
          <w:rFonts w:ascii="Palatino Linotype" w:eastAsia="Palatino Linotype" w:hAnsi="Palatino Linotype" w:cs="Palatino Linotype"/>
        </w:rPr>
        <w:t xml:space="preserve"> </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r>
          <w:rPr>
            <w:rFonts w:ascii="Palatino Linotype" w:eastAsia="Palatino Linotype" w:hAnsi="Palatino Linotype" w:cs="Palatino Linotype"/>
          </w:rPr>
          <w:t>RESPUESTA SOLICITUD 00494 SINDICATURA.pdf</w:t>
        </w:r>
      </w:hyperlink>
      <w:r>
        <w:rPr>
          <w:rFonts w:ascii="Palatino Linotype" w:eastAsia="Palatino Linotype" w:hAnsi="Palatino Linotype" w:cs="Palatino Linotype"/>
        </w:rPr>
        <w:t xml:space="preserve">”, el cual contiene el oficio número CM/SM/057/2022, por medio del cual el Síndico Municipal, informó al Titular de la Unidad de Transparencia, ambos del Ayuntamiento de Cuautitlán, en primer término que no había lugar de acordar de conformidad lo solicitado en virtud de que no especifica a quienes o que autoridades requiere la información que solicita y en segundo término señaló que después de hacer una búsqueda  exhaustiva no se encontró documento o expediente relacionado con la información descrita en la solicitud de acceso a la información. </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0">
        <w:r>
          <w:rPr>
            <w:rFonts w:ascii="Palatino Linotype" w:eastAsia="Palatino Linotype" w:hAnsi="Palatino Linotype" w:cs="Palatino Linotype"/>
          </w:rPr>
          <w:t>RESPUESTA SOLICITUD 00494 DESARROLLO ECONOMICO.pdf</w:t>
        </w:r>
      </w:hyperlink>
      <w:r>
        <w:rPr>
          <w:rFonts w:ascii="Palatino Linotype" w:eastAsia="Palatino Linotype" w:hAnsi="Palatino Linotype" w:cs="Palatino Linotype"/>
        </w:rPr>
        <w:t xml:space="preserve">”, el cual contiene el oficio número DDE/JMPV/073/2022, por medio del cual el Director de Desarrollo Económico, informó al Titular de la Unidad de Transparencia, ambos del Ayuntamiento de Cuautitlán, que atención a lo requerido en la solicitud de acuerdo a lo señalado por la Ley Orgánica Municipal del Estado de México, establece que las atribuciones de las autoridades auxiliares y de los Consejos de Participación </w:t>
      </w:r>
      <w:r>
        <w:rPr>
          <w:rFonts w:ascii="Palatino Linotype" w:eastAsia="Palatino Linotype" w:hAnsi="Palatino Linotype" w:cs="Palatino Linotype"/>
        </w:rPr>
        <w:lastRenderedPageBreak/>
        <w:t>Ciudadana, por lo que después de una búsqueda en los archivos de esa dependencia no se localizó registro alguno con relación a lo solicitado.</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aclaro que derivado de la entrega-recepción del pasado primero de enero del año 2020, el Director saliente no dejó como asunto pendiente la solicitud </w:t>
      </w:r>
      <w:r>
        <w:rPr>
          <w:rFonts w:ascii="Palatino Linotype" w:eastAsia="Palatino Linotype" w:hAnsi="Palatino Linotype" w:cs="Palatino Linotype"/>
          <w:b/>
        </w:rPr>
        <w:t xml:space="preserve">00494/CUAUTIT/IP/2021 </w:t>
      </w:r>
      <w:r>
        <w:rPr>
          <w:rFonts w:ascii="Palatino Linotype" w:eastAsia="Palatino Linotype" w:hAnsi="Palatino Linotype" w:cs="Palatino Linotype"/>
        </w:rPr>
        <w:t>de fecha 17 de diciembre del 2021,</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así como ninguna otra solicitud de la unidad de transparencia por lo que queda fuera de las responsabilidades del Director en Turno. </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1">
        <w:r>
          <w:rPr>
            <w:rFonts w:ascii="Palatino Linotype" w:eastAsia="Palatino Linotype" w:hAnsi="Palatino Linotype" w:cs="Palatino Linotype"/>
          </w:rPr>
          <w:t>RESPUESTA SOLICITUD 00494 S.H AYUNTAMIENTO.pdf</w:t>
        </w:r>
      </w:hyperlink>
      <w:r>
        <w:rPr>
          <w:rFonts w:ascii="Palatino Linotype" w:eastAsia="Palatino Linotype" w:hAnsi="Palatino Linotype" w:cs="Palatino Linotype"/>
        </w:rPr>
        <w:t xml:space="preserve">”, el cual contiene el oficio número 0160/2022/SA, por medio del cual la Secretaria del Ayuntamiento, informó al Titular de la Unidad de Transparencia, ambos del Ayuntamiento de Cuautitlán, que después de una búsqueda en los archivos bajo resguardo de la Dirección de Gobierno, esto por ser del ámbito de su competencia, no se encontró la información requerida en el oficio de la unidad de transparencia, por lo que esta autoridad está impedida en atender su solicitud. </w:t>
      </w:r>
    </w:p>
    <w:p w:rsidR="002840B6" w:rsidRDefault="002840B6">
      <w:pPr>
        <w:spacing w:line="360" w:lineRule="auto"/>
        <w:jc w:val="both"/>
        <w:rPr>
          <w:rFonts w:ascii="Palatino Linotype" w:eastAsia="Palatino Linotype" w:hAnsi="Palatino Linotype" w:cs="Palatino Linotype"/>
          <w:b/>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nueve de febrero del dos mil veintidós, a través del cual expresó lo siguiente:</w:t>
      </w:r>
    </w:p>
    <w:p w:rsidR="002840B6" w:rsidRDefault="006F7C23">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2840B6" w:rsidRDefault="006F7C23">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RESPUESTAS DE LAS AUTORIDADES COMPETENTES QUE SE ENCUENTRAN EN ARCHIVO DIGITAL EN EL PRESENTE RECURSO.” (Sic)</w:t>
      </w:r>
    </w:p>
    <w:p w:rsidR="002840B6" w:rsidRDefault="006F7C2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2840B6" w:rsidRDefault="006F7C23">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“NO CUBRE LA EXHAUSTIVIDAD SUFICIENTE EL HECHO DE RESPONDER QUE NO EXISTE LA INFORMACION PORQUE LA ADMINISTRACION ANTERIOR NO DEJO NADA, YA QUE PUEDE SOLICITAR NUEVAMENTE LA INFORMACION A LAS AUTORIDADES AUXILIARES POR LO QUE HACE A LA DIRECCION DE DESARROLLO ECONOMICO AL SER HOY LA ENTIDAD COMPETENTE Y EN FUNCIONES SU OBLIGACION ES RESPONDER LO SOLICITADO SIN QUE TODAS LAS AUTORIDADES COMPETENTES DESLINDEN SU OBLIGACION EN LA ADMINISTRAICON ANTERIOR, ADICIONAL QUE PUEDEN Y DEBEN RECURRIR AL ARCHIVO HISTORICO ENTREGADO PARA QUE SE LOGRE ACREDITAR LA EXHAUSTIVIDAD, REPONER ACTUACIONES Y EN SU CASO REALIZAR EL ACUERDO CORRESPONDIENTE DE LA FALTA DE LA INFORMACION SOLICITADA, LO QUE VIOLA LOS DERCHOS HUMANOS DE ACCESO A LA INFORMACION, SEGURIDAD JURIDICA Y DEBIDO PROCESO.” (Sic)</w:t>
      </w:r>
    </w:p>
    <w:p w:rsidR="002840B6" w:rsidRDefault="006F7C2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00639/INFOEM/IP/RR/2022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Admisión del recurso de revisión: </w:t>
      </w:r>
      <w:r>
        <w:rPr>
          <w:rFonts w:ascii="Palatino Linotype" w:eastAsia="Palatino Linotype" w:hAnsi="Palatino Linotype" w:cs="Palatino Linotype"/>
        </w:rPr>
        <w:t xml:space="preserve">En fecha catorce de febrero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2840B6" w:rsidRDefault="006F7C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modo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w:t>
      </w:r>
    </w:p>
    <w:p w:rsidR="002840B6" w:rsidRDefault="006F7C23">
      <w:pPr>
        <w:spacing w:after="240" w:line="360" w:lineRule="auto"/>
        <w:jc w:val="both"/>
        <w:rPr>
          <w:rFonts w:ascii="Palatino Linotype" w:eastAsia="Palatino Linotype" w:hAnsi="Palatino Linotype" w:cs="Palatino Linotype"/>
        </w:rPr>
      </w:pPr>
      <w:r>
        <w:rPr>
          <w:noProof/>
          <w:lang w:val="es-MX" w:eastAsia="es-MX"/>
        </w:rPr>
        <w:drawing>
          <wp:inline distT="0" distB="0" distL="0" distR="0">
            <wp:extent cx="5612130" cy="225742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2257425"/>
                    </a:xfrm>
                    <a:prstGeom prst="rect">
                      <a:avLst/>
                    </a:prstGeom>
                    <a:ln/>
                  </pic:spPr>
                </pic:pic>
              </a:graphicData>
            </a:graphic>
          </wp:inline>
        </w:drawing>
      </w:r>
    </w:p>
    <w:p w:rsidR="002840B6" w:rsidRDefault="006F7C23">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En fecha dieciocho de marzo del dos mil veintidós la Comisionada ponente determinó el cierre de instrucción en términos de la fracción VI del artículo 185 de la Ley de Transparencia y Acceso a la Información Pública del Estado de México y Municipios. </w:t>
      </w:r>
    </w:p>
    <w:p w:rsidR="002840B6" w:rsidRDefault="006F7C23">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2840B6" w:rsidRDefault="006F7C23">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w:t>
      </w:r>
      <w:r>
        <w:rPr>
          <w:rFonts w:ascii="Palatino Linotype" w:eastAsia="Palatino Linotype" w:hAnsi="Palatino Linotype" w:cs="Palatino Linotype"/>
          <w:highlight w:val="white"/>
        </w:rPr>
        <w:lastRenderedPageBreak/>
        <w:t xml:space="preserve">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tres de febrero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nueve del mismo mes y año, esto es al tercer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2840B6" w:rsidRDefault="006F7C2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rsidR="002840B6" w:rsidRDefault="002840B6">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2840B6" w:rsidRDefault="006F7C23">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Ahora bien, resulta procedente la interposición del recurso revisión, según lo aducido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en su acto impugnado como en sus motivos de inconformidad, de acuerdo al artículo 179 fracción I y III de la Ley de Transparencia y Acceso a la Información Pública del Estado de México y Municipios; que a la letra dice:</w:t>
      </w:r>
    </w:p>
    <w:p w:rsidR="002840B6" w:rsidRDefault="002840B6">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2840B6" w:rsidRDefault="006F7C2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 y procederá en contra de las siguientes causas:</w:t>
      </w:r>
    </w:p>
    <w:p w:rsidR="002840B6" w:rsidRDefault="006F7C2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La negativa a la información solicitada</w:t>
      </w:r>
    </w:p>
    <w:p w:rsidR="002840B6" w:rsidRDefault="006F7C2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840B6" w:rsidRDefault="006F7C2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La declaración de inexistencia de la información;” (Sic)</w:t>
      </w:r>
    </w:p>
    <w:p w:rsidR="002840B6" w:rsidRDefault="002840B6">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2840B6" w:rsidRDefault="006F7C2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2840B6" w:rsidRDefault="006F7C23">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advierte que el particular requirió al Ayuntamiento de Cuautitlán, lo siguiente:</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autoridades auxiliares el Delegado y COPACI del Fraccionamiento conocido como Rancho Santa Elena:</w:t>
      </w:r>
    </w:p>
    <w:p w:rsidR="002840B6" w:rsidRDefault="006F7C2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informes del 2019, 2020 y 2021;</w:t>
      </w:r>
    </w:p>
    <w:p w:rsidR="002840B6" w:rsidRDefault="006F7C2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w:t>
      </w:r>
      <w:r>
        <w:rPr>
          <w:rFonts w:ascii="Palatino Linotype" w:eastAsia="Palatino Linotype" w:hAnsi="Palatino Linotype" w:cs="Palatino Linotype"/>
          <w:color w:val="000000"/>
        </w:rPr>
        <w:t>lan de trabajo anual, qué se logró y qué aún no se ha completado;</w:t>
      </w:r>
    </w:p>
    <w:p w:rsidR="002840B6" w:rsidRDefault="006F7C2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lastRenderedPageBreak/>
        <w:t>El avance de los manzaneros y las evidencias fotográficas de las asambleas que por ley están obligados a realizar o la negativa de confirmación por omisión de no haberse realizado dichas asambleas informativas de los años 2019, 2020 y 2021;</w:t>
      </w:r>
    </w:p>
    <w:p w:rsidR="002840B6" w:rsidRDefault="006F7C2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La cantidad de anuencias otorgadas, la cantidad de cartas domiciliarias entregadas: y</w:t>
      </w:r>
    </w:p>
    <w:p w:rsidR="002840B6" w:rsidRDefault="006F7C2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El motivo por el cual y si es que existe algún permiso otorgado por las autoridades auxiliares respecto del puesto que invade la carpeta asfáltica de verduras y la razón por la que no ha sido retirado.</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siguientes archivos electrónicos:</w:t>
      </w:r>
    </w:p>
    <w:p w:rsidR="002840B6" w:rsidRDefault="006F7C2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3">
        <w:r>
          <w:rPr>
            <w:rFonts w:ascii="Palatino Linotype" w:eastAsia="Palatino Linotype" w:hAnsi="Palatino Linotype" w:cs="Palatino Linotype"/>
          </w:rPr>
          <w:t>RESPUESTA SOLICITUD 00494 GOBIERNO.pdf</w:t>
        </w:r>
      </w:hyperlink>
      <w:r>
        <w:rPr>
          <w:rFonts w:ascii="Palatino Linotype" w:eastAsia="Palatino Linotype" w:hAnsi="Palatino Linotype" w:cs="Palatino Linotype"/>
        </w:rPr>
        <w:t xml:space="preserve">”, el cual contiene el oficio número GOB/020/2022, por medio del cual el Director de Gobierno, informó al Titular de la Unidad de Transparencia, ambos del Ayuntamiento de Cuautitlán, que derivado de una rigurosa búsqueda en el archivo de concentración entregado por la administración anterior (2018-2021), no se encontró lo solicitado en el oficio UT/020/2022, </w:t>
      </w:r>
      <w:r>
        <w:rPr>
          <w:rFonts w:ascii="Palatino Linotype" w:eastAsia="Palatino Linotype" w:hAnsi="Palatino Linotype" w:cs="Palatino Linotype"/>
          <w:b/>
          <w:u w:val="single"/>
        </w:rPr>
        <w:t>debido a que la administración no dejó la información</w:t>
      </w:r>
      <w:r>
        <w:rPr>
          <w:rFonts w:ascii="Palatino Linotype" w:eastAsia="Palatino Linotype" w:hAnsi="Palatino Linotype" w:cs="Palatino Linotype"/>
        </w:rPr>
        <w:t xml:space="preserve">. </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4">
        <w:r>
          <w:rPr>
            <w:rFonts w:ascii="Palatino Linotype" w:eastAsia="Palatino Linotype" w:hAnsi="Palatino Linotype" w:cs="Palatino Linotype"/>
          </w:rPr>
          <w:t>RESPUESTA SOLICITUD 00494 SINDICATURA.pdf</w:t>
        </w:r>
      </w:hyperlink>
      <w:r>
        <w:rPr>
          <w:rFonts w:ascii="Palatino Linotype" w:eastAsia="Palatino Linotype" w:hAnsi="Palatino Linotype" w:cs="Palatino Linotype"/>
        </w:rPr>
        <w:t xml:space="preserve">”, el cual contiene el oficio número CM/SM/057/2022, por medio del cual el Síndico Municipal, informó al Titular de la Unidad de Transparencia, ambos del Ayuntamiento de Cuautitlán, en primer término que no había lugar de acordar de conformidad lo solicitado en virtud de que no especifica a quienes o que autoridades requiere la información que solicita </w:t>
      </w:r>
      <w:r>
        <w:rPr>
          <w:rFonts w:ascii="Palatino Linotype" w:eastAsia="Palatino Linotype" w:hAnsi="Palatino Linotype" w:cs="Palatino Linotype"/>
        </w:rPr>
        <w:lastRenderedPageBreak/>
        <w:t xml:space="preserve">y en segundo término señaló que después de hacer una búsqueda  exhaustiva no se encontró documento o expediente relacionado con la información descrita en la solicitud de acceso a la información. </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5">
        <w:r>
          <w:rPr>
            <w:rFonts w:ascii="Palatino Linotype" w:eastAsia="Palatino Linotype" w:hAnsi="Palatino Linotype" w:cs="Palatino Linotype"/>
          </w:rPr>
          <w:t>RESPUESTA SOLICITUD 00494 DESARROLLO ECONOMICO.pdf</w:t>
        </w:r>
      </w:hyperlink>
      <w:r>
        <w:rPr>
          <w:rFonts w:ascii="Palatino Linotype" w:eastAsia="Palatino Linotype" w:hAnsi="Palatino Linotype" w:cs="Palatino Linotype"/>
        </w:rPr>
        <w:t>”, el cual contiene el oficio número DDE/JMPV/073/2022, por medio del cual el Director de Desarrollo Económico, informó al Titular de la Unidad de Transparencia, ambos del Ayuntamiento de Cuautitlán, que atención a lo requerido en la solicitud de acuerdo a lo señalado por la Ley Orgánica Municipal del Estado de México, establece que las atribuciones de las autoridades auxiliares y de los Consejos de Participación Ciudadana, por lo que después de una búsqueda en los archivos de esa dependencia no se localizó registro alguno con relación a lo solicitado.</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aclaro que derivado de la entrega-recepción del pasado primero de enero del año 2020, el Director saliente no dejó como asunto pendiente la solicitud </w:t>
      </w:r>
      <w:r>
        <w:rPr>
          <w:rFonts w:ascii="Palatino Linotype" w:eastAsia="Palatino Linotype" w:hAnsi="Palatino Linotype" w:cs="Palatino Linotype"/>
          <w:b/>
        </w:rPr>
        <w:t xml:space="preserve">00494/CUAUTIT/IP/2021 </w:t>
      </w:r>
      <w:r>
        <w:rPr>
          <w:rFonts w:ascii="Palatino Linotype" w:eastAsia="Palatino Linotype" w:hAnsi="Palatino Linotype" w:cs="Palatino Linotype"/>
        </w:rPr>
        <w:t>de fecha 17 de diciembre del 2021,</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así como ninguna otra solicitud de la unidad de transparencia por lo que queda fuera de las responsabilidades del Director en Turno. </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6">
        <w:r>
          <w:rPr>
            <w:rFonts w:ascii="Palatino Linotype" w:eastAsia="Palatino Linotype" w:hAnsi="Palatino Linotype" w:cs="Palatino Linotype"/>
          </w:rPr>
          <w:t>RESPUESTA SOLICITUD 00494 S.H AYUNTAMIENTO.pdf</w:t>
        </w:r>
      </w:hyperlink>
      <w:r>
        <w:rPr>
          <w:rFonts w:ascii="Palatino Linotype" w:eastAsia="Palatino Linotype" w:hAnsi="Palatino Linotype" w:cs="Palatino Linotype"/>
        </w:rPr>
        <w:t xml:space="preserve">”, el cual contiene el oficio número 0160/2022/SA, por medio del cual la Secretaria del Ayuntamiento, informó al Titular de la Unidad de Transparencia, ambos del Ayuntamiento de Cuautitlán, que después de una búsqueda en los archivos bajo resguardo de la Dirección de Gobierno, esto por ser del ámbito de su competencia, no se encontró la </w:t>
      </w:r>
      <w:r>
        <w:rPr>
          <w:rFonts w:ascii="Palatino Linotype" w:eastAsia="Palatino Linotype" w:hAnsi="Palatino Linotype" w:cs="Palatino Linotype"/>
        </w:rPr>
        <w:lastRenderedPageBreak/>
        <w:t xml:space="preserve">información requerida en el oficio de la unidad de transparencia, por lo que esta autoridad está impedida en atender su solicitud. </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 respuesta, interpuso el Recurso de Revisión en lo medular 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cubre la exhaustividad suficiente, el hecho de responder que no existe la información porque la administración anterior no dejó nada, ya que puede solicitar nuevamente la información a las autoridades auxiliares por lo que hace a la dirección de desarrollo económico al ser hoy la entidad competente y en funciones su obligación es responder lo solicitado sin que todas las autoridades competentes deslinden su obligación en la administración anterior, adicional que pueden y deben recurrir al archivo histórico entregado para que se logre acreditar la exhaustividad, reponer actuaciones y en su caso realizar el acuerdo correspondiente de la falta de la información solicitada.</w:t>
      </w:r>
    </w:p>
    <w:p w:rsidR="002840B6" w:rsidRDefault="002840B6">
      <w:pPr>
        <w:spacing w:line="360" w:lineRule="auto"/>
        <w:jc w:val="both"/>
        <w:rPr>
          <w:rFonts w:ascii="Palatino Linotype" w:eastAsia="Palatino Linotype" w:hAnsi="Palatino Linotype" w:cs="Palatino Linotype"/>
        </w:rPr>
      </w:pPr>
    </w:p>
    <w:p w:rsidR="002840B6" w:rsidRDefault="006F7C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fue omiso en rendir su informe justificado. </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parcialmente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 la entrega de la información en versión pública, en razón de las consideraciones de derecho que a continuación se exponen:</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w:t>
      </w:r>
      <w:r>
        <w:rPr>
          <w:rFonts w:ascii="Palatino Linotype" w:eastAsia="Palatino Linotype" w:hAnsi="Palatino Linotype" w:cs="Palatino Linotype"/>
        </w:rPr>
        <w:lastRenderedPageBreak/>
        <w:t>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2840B6" w:rsidRDefault="006F7C23">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840B6" w:rsidRDefault="006F7C2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840B6" w:rsidRDefault="006F7C2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2840B6" w:rsidRDefault="002840B6">
      <w:pPr>
        <w:ind w:left="709" w:right="760"/>
        <w:jc w:val="both"/>
        <w:rPr>
          <w:rFonts w:ascii="Palatino Linotype" w:eastAsia="Palatino Linotype" w:hAnsi="Palatino Linotype" w:cs="Palatino Linotype"/>
          <w:i/>
          <w:sz w:val="22"/>
          <w:szCs w:val="22"/>
        </w:rPr>
      </w:pPr>
    </w:p>
    <w:p w:rsidR="002840B6" w:rsidRDefault="006F7C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2840B6" w:rsidRDefault="006F7C23">
      <w:pPr>
        <w:spacing w:before="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840B6" w:rsidRDefault="002840B6">
      <w:pPr>
        <w:ind w:left="567" w:right="758"/>
        <w:jc w:val="both"/>
        <w:rPr>
          <w:rFonts w:ascii="Palatino Linotype" w:eastAsia="Palatino Linotype" w:hAnsi="Palatino Linotype" w:cs="Palatino Linotype"/>
          <w:i/>
          <w:sz w:val="22"/>
          <w:szCs w:val="22"/>
        </w:rPr>
      </w:pPr>
    </w:p>
    <w:p w:rsidR="002840B6" w:rsidRDefault="006F7C2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2840B6" w:rsidRDefault="002840B6">
      <w:pPr>
        <w:spacing w:line="360" w:lineRule="auto"/>
        <w:ind w:right="-93"/>
        <w:jc w:val="both"/>
        <w:rPr>
          <w:rFonts w:ascii="Palatino Linotype" w:eastAsia="Palatino Linotype" w:hAnsi="Palatino Linotype" w:cs="Palatino Linotype"/>
          <w:color w:val="000000"/>
        </w:rPr>
      </w:pPr>
    </w:p>
    <w:p w:rsidR="002840B6" w:rsidRDefault="006F7C23">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rsidR="002840B6" w:rsidRDefault="002840B6">
      <w:pPr>
        <w:spacing w:line="360" w:lineRule="auto"/>
        <w:ind w:right="-93"/>
        <w:jc w:val="both"/>
        <w:rPr>
          <w:rFonts w:ascii="Palatino Linotype" w:eastAsia="Palatino Linotype" w:hAnsi="Palatino Linotype" w:cs="Palatino Linotype"/>
          <w:color w:val="000000"/>
        </w:rPr>
      </w:pPr>
    </w:p>
    <w:p w:rsidR="002840B6" w:rsidRDefault="006F7C23">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2840B6" w:rsidRDefault="002840B6">
      <w:pPr>
        <w:ind w:left="851" w:right="850"/>
        <w:jc w:val="both"/>
        <w:rPr>
          <w:rFonts w:ascii="Palatino Linotype" w:eastAsia="Palatino Linotype" w:hAnsi="Palatino Linotype" w:cs="Palatino Linotype"/>
          <w:color w:val="000000"/>
        </w:rPr>
      </w:pPr>
    </w:p>
    <w:p w:rsidR="002840B6" w:rsidRDefault="006F7C2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Pr>
          <w:rFonts w:ascii="Palatino Linotype" w:eastAsia="Palatino Linotype" w:hAnsi="Palatino Linotype" w:cs="Palatino Linotype"/>
          <w:i/>
          <w:color w:val="000000"/>
          <w:sz w:val="22"/>
          <w:szCs w:val="22"/>
        </w:rPr>
        <w:lastRenderedPageBreak/>
        <w:t>archivos; sin necesidad de elaborar documentos ad hoc para atender las solicitudes de información.</w:t>
      </w:r>
    </w:p>
    <w:p w:rsidR="002840B6" w:rsidRDefault="006F7C2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2840B6" w:rsidRDefault="006F7C23">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2840B6" w:rsidRDefault="006F7C23">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2840B6" w:rsidRDefault="006F7C23">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2840B6" w:rsidRDefault="002840B6">
      <w:pPr>
        <w:spacing w:line="360" w:lineRule="auto"/>
        <w:jc w:val="both"/>
        <w:rPr>
          <w:rFonts w:ascii="Palatino Linotype" w:eastAsia="Palatino Linotype" w:hAnsi="Palatino Linotype" w:cs="Palatino Linotype"/>
          <w:color w:val="000000"/>
        </w:rPr>
      </w:pP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840B6" w:rsidRDefault="002840B6">
      <w:pPr>
        <w:spacing w:line="360" w:lineRule="auto"/>
        <w:ind w:right="49"/>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2840B6" w:rsidRDefault="002840B6">
      <w:pPr>
        <w:ind w:left="851" w:right="899"/>
        <w:jc w:val="both"/>
        <w:rPr>
          <w:rFonts w:ascii="Palatino Linotype" w:eastAsia="Palatino Linotype" w:hAnsi="Palatino Linotype" w:cs="Palatino Linotype"/>
          <w:i/>
          <w:sz w:val="22"/>
          <w:szCs w:val="22"/>
        </w:rPr>
      </w:pP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840B6" w:rsidRDefault="006F7C23">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2840B6" w:rsidRDefault="002840B6">
      <w:pPr>
        <w:ind w:left="851" w:right="899"/>
        <w:jc w:val="both"/>
        <w:rPr>
          <w:rFonts w:ascii="Palatino Linotype" w:eastAsia="Palatino Linotype" w:hAnsi="Palatino Linotype" w:cs="Palatino Linotype"/>
          <w:sz w:val="22"/>
          <w:szCs w:val="22"/>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840B6" w:rsidRDefault="002840B6">
      <w:pPr>
        <w:ind w:left="851" w:right="899"/>
        <w:jc w:val="both"/>
        <w:rPr>
          <w:rFonts w:ascii="Palatino Linotype" w:eastAsia="Palatino Linotype" w:hAnsi="Palatino Linotype" w:cs="Palatino Linotype"/>
        </w:rPr>
      </w:pPr>
    </w:p>
    <w:p w:rsidR="002840B6" w:rsidRDefault="006F7C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840B6" w:rsidRDefault="006F7C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2840B6" w:rsidRDefault="006F7C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2840B6" w:rsidRDefault="002840B6">
      <w:pPr>
        <w:spacing w:line="360" w:lineRule="auto"/>
        <w:ind w:right="-93"/>
        <w:jc w:val="both"/>
        <w:rPr>
          <w:rFonts w:ascii="Palatino Linotype" w:eastAsia="Palatino Linotype" w:hAnsi="Palatino Linotype" w:cs="Palatino Linotype"/>
          <w:color w:val="000000"/>
        </w:rPr>
      </w:pPr>
    </w:p>
    <w:p w:rsidR="002840B6" w:rsidRDefault="006F7C2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de la Ley de Transparencia y Acceso a la Información Pública del Estado de México y Municipios.</w:t>
      </w:r>
    </w:p>
    <w:p w:rsidR="002840B6" w:rsidRDefault="002840B6">
      <w:pPr>
        <w:spacing w:line="360" w:lineRule="auto"/>
        <w:ind w:right="-93"/>
        <w:jc w:val="both"/>
        <w:rPr>
          <w:rFonts w:ascii="Palatino Linotype" w:eastAsia="Palatino Linotype" w:hAnsi="Palatino Linotype" w:cs="Palatino Linotype"/>
        </w:rPr>
      </w:pP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debido a la naturaleza de la información debe decirse que el Ayuntamiento de Cuautitlán en los años 2019, 2020 y 2021, contaba con autoridades auxiliares y  , por así determinarlo los artículos 49, 50 y 51 del Bando Municipal del Ayuntamiento de Cuautitlán para el año 2019, 48, 49 y 50 del Bando Municipal del Ayuntamiento de Cuautitlán para el año 2020 y 48, 49 y 50 del Bando Municipal del Ayuntamiento de Cuautitlán para el año 2021, que señalan lo siguiente:</w:t>
      </w:r>
    </w:p>
    <w:p w:rsidR="002840B6" w:rsidRDefault="002840B6">
      <w:pPr>
        <w:spacing w:line="360" w:lineRule="auto"/>
        <w:ind w:right="49"/>
        <w:jc w:val="both"/>
        <w:rPr>
          <w:rFonts w:ascii="Palatino Linotype" w:eastAsia="Palatino Linotype" w:hAnsi="Palatino Linotype" w:cs="Palatino Linotype"/>
        </w:rPr>
      </w:pP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49. </w:t>
      </w:r>
      <w:r>
        <w:rPr>
          <w:rFonts w:ascii="Palatino Linotype" w:eastAsia="Palatino Linotype" w:hAnsi="Palatino Linotype" w:cs="Palatino Linotype"/>
          <w:b/>
          <w:i/>
          <w:sz w:val="22"/>
          <w:szCs w:val="22"/>
        </w:rPr>
        <w:t>Son autoridades auxiliares del Municipio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delegados, subdelegados</w:t>
      </w:r>
      <w:r>
        <w:rPr>
          <w:rFonts w:ascii="Palatino Linotype" w:eastAsia="Palatino Linotype" w:hAnsi="Palatino Linotype" w:cs="Palatino Linotype"/>
          <w:i/>
          <w:sz w:val="22"/>
          <w:szCs w:val="22"/>
        </w:rPr>
        <w:t xml:space="preserve">, que serán electos de acuerdo con el procedimiento establecido en la convocatoria que al efecto expedirá el Ayuntamiento, también serán autoridades auxiliares los </w:t>
      </w:r>
      <w:r>
        <w:rPr>
          <w:rFonts w:ascii="Palatino Linotype" w:eastAsia="Palatino Linotype" w:hAnsi="Palatino Linotype" w:cs="Palatino Linotype"/>
          <w:i/>
          <w:sz w:val="22"/>
          <w:szCs w:val="22"/>
          <w:u w:val="single"/>
        </w:rPr>
        <w:t>jefes de sector o de sección y los jefes de manzana</w:t>
      </w:r>
      <w:r>
        <w:rPr>
          <w:rFonts w:ascii="Palatino Linotype" w:eastAsia="Palatino Linotype" w:hAnsi="Palatino Linotype" w:cs="Palatino Linotype"/>
          <w:i/>
          <w:sz w:val="22"/>
          <w:szCs w:val="22"/>
        </w:rPr>
        <w:t xml:space="preserve">, éstos serán nombrados por el Ayuntamiento, bajo las funciones reglamentarias enunciadas en la Ley Orgánica y los Reglamentos Municipales aplicables.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50. Las autoridades auxiliares municipales ejercerán, en sus respectivas circunscripciones territoriales, las atribuciones que les confiere la Ley Orgánica. Artículo 51. </w:t>
      </w:r>
      <w:r>
        <w:rPr>
          <w:rFonts w:ascii="Palatino Linotype" w:eastAsia="Palatino Linotype" w:hAnsi="Palatino Linotype" w:cs="Palatino Linotype"/>
          <w:b/>
          <w:i/>
          <w:sz w:val="22"/>
          <w:szCs w:val="22"/>
        </w:rPr>
        <w:t>Los Consejos de Participación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Ciudadana</w:t>
      </w:r>
      <w:r>
        <w:rPr>
          <w:rFonts w:ascii="Palatino Linotype" w:eastAsia="Palatino Linotype" w:hAnsi="Palatino Linotype" w:cs="Palatino Linotype"/>
          <w:i/>
          <w:sz w:val="22"/>
          <w:szCs w:val="22"/>
        </w:rPr>
        <w:t xml:space="preserve"> en el marco de la normatividad y con un alto sentido de responsabilidad y honestidad, se constituyen como órganos de representación entre la ciudadanía y el Gobierno Municipal; tienen como finalidad la promoción y gestión social. La integración, estructura y funcionamiento de los </w:t>
      </w:r>
      <w:r>
        <w:rPr>
          <w:rFonts w:ascii="Palatino Linotype" w:eastAsia="Palatino Linotype" w:hAnsi="Palatino Linotype" w:cs="Palatino Linotype"/>
          <w:b/>
          <w:i/>
          <w:sz w:val="22"/>
          <w:szCs w:val="22"/>
        </w:rPr>
        <w:t>Consejos de Participación Ciudadana se regirán por la Ley Orgánica y demás ordenamientos legales aplicables</w:t>
      </w:r>
      <w:r>
        <w:rPr>
          <w:rFonts w:ascii="Palatino Linotype" w:eastAsia="Palatino Linotype" w:hAnsi="Palatino Linotype" w:cs="Palatino Linotype"/>
          <w:i/>
          <w:sz w:val="22"/>
          <w:szCs w:val="22"/>
        </w:rPr>
        <w:t>. Y serán electos en las diversas localidades por los habitantes de la comunidad de acuerdo con el procedimiento establecido en la convocatoria que al efecto expedirá el Ayuntamiento.” (Sic)</w:t>
      </w:r>
    </w:p>
    <w:p w:rsidR="002840B6" w:rsidRDefault="002840B6">
      <w:pPr>
        <w:spacing w:line="360" w:lineRule="auto"/>
        <w:ind w:right="49"/>
        <w:jc w:val="both"/>
        <w:rPr>
          <w:rFonts w:ascii="Palatino Linotype" w:eastAsia="Palatino Linotype" w:hAnsi="Palatino Linotype" w:cs="Palatino Linotype"/>
        </w:rPr>
      </w:pP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cambio, en los artículos 56, 57 y 74 de la Ley Orgánica Municipal para el Estado de México, señala que las atribuciones de las autoridades auxiliares y los Consejos de Participación Ciudadana, son las siguientes:</w:t>
      </w:r>
    </w:p>
    <w:p w:rsidR="002840B6" w:rsidRDefault="002840B6">
      <w:pPr>
        <w:spacing w:line="360" w:lineRule="auto"/>
        <w:ind w:right="49"/>
        <w:jc w:val="both"/>
        <w:rPr>
          <w:rFonts w:ascii="Palatino Linotype" w:eastAsia="Palatino Linotype" w:hAnsi="Palatino Linotype" w:cs="Palatino Linotype"/>
        </w:rPr>
      </w:pPr>
    </w:p>
    <w:p w:rsidR="002840B6" w:rsidRDefault="006F7C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56.- </w:t>
      </w:r>
      <w:r>
        <w:rPr>
          <w:rFonts w:ascii="Palatino Linotype" w:eastAsia="Palatino Linotype" w:hAnsi="Palatino Linotype" w:cs="Palatino Linotype"/>
          <w:b/>
          <w:i/>
          <w:sz w:val="22"/>
          <w:szCs w:val="22"/>
        </w:rPr>
        <w:t xml:space="preserve">Son autoridades auxiliares municipales, los delegados y subdelegados, y los jefes de sector o de sección y jefes de manzana que designe el ayuntamiento.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57.- Las autoridades auxiliares municipales ejercerán, en sus respectivas jurisdicciones, </w:t>
      </w:r>
      <w:r>
        <w:rPr>
          <w:rFonts w:ascii="Palatino Linotype" w:eastAsia="Palatino Linotype" w:hAnsi="Palatino Linotype" w:cs="Palatino Linotype"/>
          <w:b/>
          <w:i/>
          <w:sz w:val="22"/>
          <w:szCs w:val="22"/>
        </w:rPr>
        <w:t>las atribuciones que les delegue el ayuntamiento, para mantener el orden, la tranquilidad, la paz social, la seguridad y la protección de los vecinos, conforme a lo establecido en esta Ley, el Bando Municipal y los reglamentos respectivos.</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Corresponde a los delegados y subdelegados</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Vigilar el cumplimiento del bando municipal, de las disposiciones reglamentarias que expida el ayuntamiento </w:t>
      </w:r>
      <w:r>
        <w:rPr>
          <w:rFonts w:ascii="Palatino Linotype" w:eastAsia="Palatino Linotype" w:hAnsi="Palatino Linotype" w:cs="Palatino Linotype"/>
          <w:i/>
          <w:sz w:val="22"/>
          <w:szCs w:val="22"/>
          <w:u w:val="single"/>
        </w:rPr>
        <w:t>y reportar a la dependencia administrativa correspondiente, las violaciones a las mismas;</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u w:val="single"/>
        </w:rPr>
        <w:t xml:space="preserve">b). Coadyuvar con el ayuntamiento en la elaboración y ejecución del Plan de Desarrollo Municipal y de los programas que de él se deriven;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u w:val="single"/>
        </w:rPr>
        <w:t>c). Auxiliar al secretario del ayuntamiento con la información que requiera para expedir certificaciones</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 Informar anualmente a sus representados y al ayuntamiento, sobre la administración de los recursos que en su caso tenga encomendados, y del estado que guardan los asuntos a su cargo</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 Elaborar los programas de trabajo para las delegaciones y subdelegaciones, con la asesoría del ayuntamiento</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f) vigilar el estado de los canales, vasos colectores, barrancas, canales alcantarillados y demás desagües e informar al ayuntamiento para la realización de acciones correctivas. </w:t>
      </w:r>
    </w:p>
    <w:p w:rsidR="002840B6" w:rsidRDefault="006F7C23">
      <w:pPr>
        <w:ind w:left="851" w:right="899"/>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rPr>
        <w:t xml:space="preserve">g) </w:t>
      </w:r>
      <w:r>
        <w:rPr>
          <w:rFonts w:ascii="Palatino Linotype" w:eastAsia="Palatino Linotype" w:hAnsi="Palatino Linotype" w:cs="Palatino Linotype"/>
          <w:b/>
          <w:i/>
          <w:sz w:val="22"/>
          <w:szCs w:val="22"/>
          <w:u w:val="single"/>
        </w:rPr>
        <w:t>Emitir opinión motivada no vinculante, respecto a la autorización de la instalación de nuevos establecimientos comerciales, licencias de construcción y cambios de uso de suelo en sus comunidades</w:t>
      </w:r>
      <w:r>
        <w:rPr>
          <w:rFonts w:ascii="Palatino Linotype" w:eastAsia="Palatino Linotype" w:hAnsi="Palatino Linotype" w:cs="Palatino Linotype"/>
          <w:i/>
          <w:sz w:val="22"/>
          <w:szCs w:val="22"/>
          <w:u w:val="single"/>
        </w:rPr>
        <w:t xml:space="preserve">. </w:t>
      </w:r>
    </w:p>
    <w:p w:rsidR="002840B6" w:rsidRDefault="006F7C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Corresponde a los jefes de sector o de sección y de manzana: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Colaborar para mantener el orden, la seguridad y la tranquilidad de los vecinos del lugar, reportando ante los cuerpos de seguridad pública, a los oficiales calificadores las conductas que requieran de su intervención;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Elaborar y mantener actualizado el censo de vecinos de la demarcación correspondiente;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 Informar al delegado las deficiencias que presenten los servicios públicos municipales</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Participar en la preservación y restauración del medio ambiente, así como en la protección civil de los vecinos.”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74.- </w:t>
      </w:r>
      <w:r>
        <w:rPr>
          <w:rFonts w:ascii="Palatino Linotype" w:eastAsia="Palatino Linotype" w:hAnsi="Palatino Linotype" w:cs="Palatino Linotype"/>
          <w:b/>
          <w:i/>
          <w:sz w:val="22"/>
          <w:szCs w:val="22"/>
        </w:rPr>
        <w:t>Los consejos de participación ciudadana</w:t>
      </w:r>
      <w:r>
        <w:rPr>
          <w:rFonts w:ascii="Palatino Linotype" w:eastAsia="Palatino Linotype" w:hAnsi="Palatino Linotype" w:cs="Palatino Linotype"/>
          <w:i/>
          <w:sz w:val="22"/>
          <w:szCs w:val="22"/>
        </w:rPr>
        <w:t xml:space="preserve">, como órganos de comunicación y colaboración entre la comunidad y las autoridades, tendrán las siguientes atribuciones: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Promover la participación ciudadana en la realización de los programas municipales</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Coadyuvar para el cumplimiento eficaz de los planes y programas municipales aprobados</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Proponer al ayuntamiento las acciones tendientes a integrar o modificar los planes y programas municipales;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Participar en la supervisión de la prestación de los servicios públicos;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Informar al menos una vez cada tres meses a sus representados y al ayuntamiento sobre sus proyectos, las actividades realizadas y, en su caso, el estado de cuenta de las aportaciones económicas que estén a su cargo.</w:t>
      </w:r>
      <w:r>
        <w:rPr>
          <w:rFonts w:ascii="Palatino Linotype" w:eastAsia="Palatino Linotype" w:hAnsi="Palatino Linotype" w:cs="Palatino Linotype"/>
          <w:i/>
          <w:sz w:val="22"/>
          <w:szCs w:val="22"/>
        </w:rPr>
        <w:t xml:space="preserve"> </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 Emitir opinión motivada no vinculante, respecto a la autorización de nuevos proyectos inmobiliarios, comerciales, habitacionales o industriales y respecto de la autorización de giros mercantiles</w:t>
      </w:r>
      <w:r>
        <w:rPr>
          <w:rFonts w:ascii="Palatino Linotype" w:eastAsia="Palatino Linotype" w:hAnsi="Palatino Linotype" w:cs="Palatino Linotype"/>
          <w:i/>
          <w:sz w:val="22"/>
          <w:szCs w:val="22"/>
        </w:rPr>
        <w:t>.(Sic)</w:t>
      </w:r>
    </w:p>
    <w:p w:rsidR="002840B6" w:rsidRDefault="002840B6">
      <w:pPr>
        <w:spacing w:line="360" w:lineRule="auto"/>
        <w:ind w:right="49"/>
        <w:jc w:val="both"/>
        <w:rPr>
          <w:rFonts w:ascii="Palatino Linotype" w:eastAsia="Palatino Linotype" w:hAnsi="Palatino Linotype" w:cs="Palatino Linotype"/>
        </w:rPr>
      </w:pP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 lo cual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conocer de sus autoridades auxiliares como de sus consejos de participación ciudadana, en los años 2019, 2020 y 2021, sus informes anuales como trimestrales, planes de trabajo y de </w:t>
      </w:r>
      <w:r>
        <w:rPr>
          <w:rFonts w:ascii="Palatino Linotype" w:eastAsia="Palatino Linotype" w:hAnsi="Palatino Linotype" w:cs="Palatino Linotype"/>
        </w:rPr>
        <w:lastRenderedPageBreak/>
        <w:t>emitir la opinión motivada respecto a la autorización de la instalación de nuevos establecimientos comerciales.</w:t>
      </w:r>
    </w:p>
    <w:p w:rsidR="002840B6" w:rsidRDefault="002840B6">
      <w:pPr>
        <w:spacing w:line="360" w:lineRule="auto"/>
        <w:ind w:right="49"/>
        <w:jc w:val="both"/>
        <w:rPr>
          <w:rFonts w:ascii="Palatino Linotype" w:eastAsia="Palatino Linotype" w:hAnsi="Palatino Linotype" w:cs="Palatino Linotype"/>
        </w:rPr>
      </w:pPr>
    </w:p>
    <w:p w:rsidR="002840B6" w:rsidRDefault="006F7C23">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Precisando lo anterior, regresando 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advierte que la Dirección de Gobierno, señaló que no tenía la información después de haber realizado una búsqueda rigurosa, debido a que la administración 2018-2021 no dejo la información; sin embargo, dicho pronunciamiento de que la administración pasada no le dejo la información, no acredita la búsqueda exhaustiva de la información solicitada, además no es un impedimento para atender la solicitud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sin que se advierta de dicha respuesta si la información fue generada y ya no la posee, o bien si no cuenta con ella porque no fue generada durante ese periodo. De ahí que se estime que su respuesta careció de los principios de congruencia y exhaustividad, como refuerzo de lo anterior</w:t>
      </w:r>
      <w:r>
        <w:rPr>
          <w:rFonts w:ascii="Palatino Linotype" w:eastAsia="Palatino Linotype" w:hAnsi="Palatino Linotype" w:cs="Palatino Linotype"/>
          <w:color w:val="000000"/>
          <w:u w:val="single"/>
        </w:rPr>
        <w:t xml:space="preserve">, resulta crucial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2840B6" w:rsidRDefault="006F7C23">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w:t>
      </w:r>
      <w:r>
        <w:rPr>
          <w:rFonts w:ascii="Palatino Linotype" w:eastAsia="Palatino Linotype" w:hAnsi="Palatino Linotype" w:cs="Palatino Linotype"/>
          <w:i/>
          <w:color w:val="000000"/>
        </w:rPr>
        <w:t xml:space="preserve">con los principios de congruencia y exhaustividad. Para el efectivo ejercicio del derecho de acceso a 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xml:space="preserve">. Por lo anterior, los sujetos obligados cumplirán con los principios de congruencia y </w:t>
      </w:r>
      <w:r>
        <w:rPr>
          <w:rFonts w:ascii="Palatino Linotype" w:eastAsia="Palatino Linotype" w:hAnsi="Palatino Linotype" w:cs="Palatino Linotype"/>
          <w:i/>
          <w:color w:val="000000"/>
        </w:rPr>
        <w:lastRenderedPageBreak/>
        <w:t>exhaustividad, cuando las respuestas que emitan guarden una relación lógica con lo solicitado y atiendan de manera puntual y expresa, cada uno de los contenidos de información.”</w:t>
      </w:r>
    </w:p>
    <w:p w:rsidR="002840B6" w:rsidRDefault="006F7C23">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(Énfasis añadido)</w:t>
      </w: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Luego entonces el Ayuntamiento de Cuautitlán deberá hacer de nuevo una búsqueda exhaustiva y razonable en términos del artículo 162 de la Ley de la Materia, que señala:</w:t>
      </w:r>
    </w:p>
    <w:p w:rsidR="002840B6" w:rsidRDefault="002840B6">
      <w:pPr>
        <w:spacing w:line="360" w:lineRule="auto"/>
        <w:ind w:right="49"/>
        <w:jc w:val="both"/>
        <w:rPr>
          <w:rFonts w:ascii="Palatino Linotype" w:eastAsia="Palatino Linotype" w:hAnsi="Palatino Linotype" w:cs="Palatino Linotype"/>
        </w:rPr>
      </w:pP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2840B6" w:rsidRDefault="002840B6">
      <w:pPr>
        <w:ind w:left="851" w:right="899"/>
        <w:jc w:val="both"/>
        <w:rPr>
          <w:rFonts w:ascii="Palatino Linotype" w:eastAsia="Palatino Linotype" w:hAnsi="Palatino Linotype" w:cs="Palatino Linotype"/>
          <w:i/>
          <w:sz w:val="22"/>
          <w:szCs w:val="22"/>
        </w:rPr>
      </w:pP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Bajo ese argumento, se procedió a la búsqueda de los COPACIS, en la localidad señalada por el particular en su solicitud de acceso a la información, localizando que en la Gaceta Municipal número cinco del treinta y uno de marzo del año 2019, que la Comunidad de Santa Elena, sí participó en la elección de los Delegaciones, Subdelegaciones y Consejos de Participación Ciudadana, como se advierte en las siguientes que se insertan a continuación de la referida gaceta:</w:t>
      </w:r>
    </w:p>
    <w:p w:rsidR="002840B6" w:rsidRDefault="002840B6">
      <w:pPr>
        <w:spacing w:line="360" w:lineRule="auto"/>
        <w:ind w:right="49"/>
        <w:jc w:val="both"/>
        <w:rPr>
          <w:rFonts w:ascii="Palatino Linotype" w:eastAsia="Palatino Linotype" w:hAnsi="Palatino Linotype" w:cs="Palatino Linotype"/>
        </w:rPr>
      </w:pPr>
    </w:p>
    <w:p w:rsidR="002840B6" w:rsidRDefault="002840B6">
      <w:pPr>
        <w:spacing w:line="360" w:lineRule="auto"/>
        <w:ind w:right="49"/>
        <w:jc w:val="both"/>
        <w:rPr>
          <w:rFonts w:ascii="Palatino Linotype" w:eastAsia="Palatino Linotype" w:hAnsi="Palatino Linotype" w:cs="Palatino Linotype"/>
        </w:rPr>
      </w:pPr>
    </w:p>
    <w:p w:rsidR="002840B6" w:rsidRDefault="006F7C23">
      <w:pPr>
        <w:spacing w:line="360" w:lineRule="auto"/>
        <w:ind w:right="49"/>
        <w:jc w:val="both"/>
        <w:rPr>
          <w:rFonts w:ascii="Palatino Linotype" w:eastAsia="Palatino Linotype" w:hAnsi="Palatino Linotype" w:cs="Palatino Linotype"/>
        </w:rPr>
      </w:pPr>
      <w:r>
        <w:rPr>
          <w:noProof/>
          <w:lang w:val="es-MX" w:eastAsia="es-MX"/>
        </w:rPr>
        <w:drawing>
          <wp:inline distT="0" distB="0" distL="0" distR="0">
            <wp:extent cx="5620103" cy="964188"/>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41696" t="13862" r="26214" b="78493"/>
                    <a:stretch>
                      <a:fillRect/>
                    </a:stretch>
                  </pic:blipFill>
                  <pic:spPr>
                    <a:xfrm>
                      <a:off x="0" y="0"/>
                      <a:ext cx="5620103" cy="964188"/>
                    </a:xfrm>
                    <a:prstGeom prst="rect">
                      <a:avLst/>
                    </a:prstGeom>
                    <a:ln/>
                  </pic:spPr>
                </pic:pic>
              </a:graphicData>
            </a:graphic>
          </wp:inline>
        </w:drawing>
      </w:r>
    </w:p>
    <w:p w:rsidR="002840B6" w:rsidRDefault="006F7C23">
      <w:pPr>
        <w:spacing w:line="360" w:lineRule="auto"/>
        <w:ind w:right="49"/>
        <w:jc w:val="both"/>
        <w:rPr>
          <w:rFonts w:ascii="Palatino Linotype" w:eastAsia="Palatino Linotype" w:hAnsi="Palatino Linotype" w:cs="Palatino Linotype"/>
        </w:rPr>
      </w:pPr>
      <w:r>
        <w:rPr>
          <w:noProof/>
          <w:lang w:val="es-MX" w:eastAsia="es-MX"/>
        </w:rPr>
        <w:lastRenderedPageBreak/>
        <w:drawing>
          <wp:inline distT="0" distB="0" distL="0" distR="0">
            <wp:extent cx="5567966" cy="34388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42395" t="15995" r="29113" b="22843"/>
                    <a:stretch>
                      <a:fillRect/>
                    </a:stretch>
                  </pic:blipFill>
                  <pic:spPr>
                    <a:xfrm>
                      <a:off x="0" y="0"/>
                      <a:ext cx="5567966" cy="3438825"/>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1346200</wp:posOffset>
                </wp:positionH>
                <wp:positionV relativeFrom="paragraph">
                  <wp:posOffset>2209800</wp:posOffset>
                </wp:positionV>
                <wp:extent cx="590511" cy="287581"/>
                <wp:effectExtent l="0" t="0" r="0" b="0"/>
                <wp:wrapNone/>
                <wp:docPr id="10" name="Flecha izquierda 10"/>
                <wp:cNvGraphicFramePr/>
                <a:graphic xmlns:a="http://schemas.openxmlformats.org/drawingml/2006/main">
                  <a:graphicData uri="http://schemas.microsoft.com/office/word/2010/wordprocessingShape">
                    <wps:wsp>
                      <wps:cNvSpPr/>
                      <wps:spPr>
                        <a:xfrm>
                          <a:off x="5057095" y="3642560"/>
                          <a:ext cx="577811" cy="274881"/>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2840B6" w:rsidRDefault="002840B6">
                            <w:pPr>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0" o:spid="_x0000_s1026" type="#_x0000_t66" style="position:absolute;left:0;text-align:left;margin-left:106pt;margin-top:174pt;width:46.5pt;height:22.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" adj="5138" fillcolor="#5b9bd5 [3204]" strokecolor="#42719b" strokeweight="1pt">
                <v:stroke startarrowwidth="narrow" startarrowlength="short" endarrowwidth="narrow" endarrowlength="short"/>
                <v:textbox inset="2.53958mm,2.53958mm,2.53958mm,2.53958mm">
                  <w:txbxContent>
                    <w:p w:rsidR="002840B6" w:rsidRDefault="002840B6">
                      <w:pPr>
                        <w:textDirection w:val="btLr"/>
                      </w:pPr>
                    </w:p>
                  </w:txbxContent>
                </v:textbox>
              </v:shape>
            </w:pict>
          </mc:Fallback>
        </mc:AlternateContent>
      </w: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También se localizó, que en la red social denominada Facebook sí existe o existió un COPACI, dentro de la comunidad de Santa Elena, como se advierte a continuación:</w:t>
      </w:r>
    </w:p>
    <w:p w:rsidR="002840B6" w:rsidRDefault="002840B6">
      <w:pPr>
        <w:spacing w:line="360" w:lineRule="auto"/>
        <w:ind w:right="49"/>
        <w:jc w:val="both"/>
      </w:pPr>
    </w:p>
    <w:p w:rsidR="002840B6" w:rsidRDefault="006F7C23">
      <w:pPr>
        <w:spacing w:line="360" w:lineRule="auto"/>
        <w:ind w:right="49"/>
        <w:jc w:val="both"/>
        <w:rPr>
          <w:rFonts w:ascii="Palatino Linotype" w:eastAsia="Palatino Linotype" w:hAnsi="Palatino Linotype" w:cs="Palatino Linotype"/>
        </w:rPr>
      </w:pPr>
      <w:r>
        <w:rPr>
          <w:noProof/>
          <w:lang w:val="es-MX" w:eastAsia="es-MX"/>
        </w:rPr>
        <w:drawing>
          <wp:inline distT="0" distB="0" distL="0" distR="0">
            <wp:extent cx="5686796" cy="2935994"/>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t="6399" r="1820" b="4720"/>
                    <a:stretch>
                      <a:fillRect/>
                    </a:stretch>
                  </pic:blipFill>
                  <pic:spPr>
                    <a:xfrm>
                      <a:off x="0" y="0"/>
                      <a:ext cx="5686796" cy="2935994"/>
                    </a:xfrm>
                    <a:prstGeom prst="rect">
                      <a:avLst/>
                    </a:prstGeom>
                    <a:ln/>
                  </pic:spPr>
                </pic:pic>
              </a:graphicData>
            </a:graphic>
          </wp:inline>
        </w:drawing>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la red social denominada “Facebook, manera ilustrativa debe decirse, es considerada como una compañía que ofrece servicios de redes sociales y medios sociales en la cual se pueden compartir diversos contenidos de tipo escrito, fotográfico y de vídeo, para acceder a ella es necesario registrarse de manera personal y crear una cuenta; en ese sentido, dicha plataforma digital es considera por muchos como un medio de contacto o medio de comunicación social, ya que la flexibilidad de la misma, aparte de mantener el contacto entre personas, se ha ido modificando para actividades de uso comercial o de difusión; como en el caso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al ser la red social un medio por el cual las personas, empresas e incluso el ámbito gubernamental han utilizado para efectos de la comunicación social, se estima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utilizó una plataforma digital en el ejercicio de sus funciones de difusión social, sin que ello propiamente lo obligue a celebrar un contrato o convenio con dicha empresa, pues se trata de una plataforma que ofrece sus servicios de manera gratuita y en la cual las personas, como ser individual, se afilian para gozar de sus servicios; que si bien en el ámbito de la administración pública, específicamente en cuanto a estrategias de comunicación social, es una práctica común el allegarse de diversos medios electrónicos de comunicación, esto no implica que dichas actividades sean reguladas por alguna Ley o norma tanto para su uso gubernamental como en materia de transparencia y acceso a la información pública.</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las plataformas digitales en las que se ofertan las redes sociales, son de reciente creación y han ido evolucionando con el paso del tiempo, pero sobre todo porque se han originado en un ámbito privado, con el objetivo de </w:t>
      </w:r>
      <w:r>
        <w:rPr>
          <w:rFonts w:ascii="Palatino Linotype" w:eastAsia="Palatino Linotype" w:hAnsi="Palatino Linotype" w:cs="Palatino Linotype"/>
        </w:rPr>
        <w:lastRenderedPageBreak/>
        <w:t>prestar servicios de comunicación entre particulares, sin que ello implique una transgresión por parte del Estado o que exista una regulación en cuanto al uso que le han dado las instituciones públicas en esta nueva dinámica social digital en la que por necesidad se han tenido que adherir los entes públicos al uso de herramientas tecnológicas que faciliten su labor de la difusión.</w:t>
      </w:r>
    </w:p>
    <w:p w:rsidR="005160ED" w:rsidRPr="00FD0C91" w:rsidRDefault="006F7C23" w:rsidP="005160ED">
      <w:pPr>
        <w:spacing w:line="360" w:lineRule="auto"/>
        <w:contextualSpacing/>
        <w:jc w:val="both"/>
        <w:rPr>
          <w:rFonts w:ascii="Palatino Linotype" w:hAnsi="Palatino Linotype" w:cs="Arial"/>
        </w:rPr>
      </w:pPr>
      <w:r>
        <w:rPr>
          <w:rFonts w:ascii="Palatino Linotype" w:eastAsia="Palatino Linotype" w:hAnsi="Palatino Linotype" w:cs="Palatino Linotype"/>
        </w:rPr>
        <w:t>Con base a lo anterior, podemos concluir que hay un indicio de que si existieron en la administración pública de Cuautitlán 2019-2021, los delegados y consejos de participación ciudadana,</w:t>
      </w:r>
      <w:r w:rsidR="005160ED">
        <w:rPr>
          <w:rFonts w:ascii="Palatino Linotype" w:eastAsia="Palatino Linotype" w:hAnsi="Palatino Linotype" w:cs="Palatino Linotype"/>
        </w:rPr>
        <w:t xml:space="preserve"> en la comunidad de Santa Elena, </w:t>
      </w:r>
      <w:r w:rsidR="005160ED">
        <w:rPr>
          <w:rFonts w:ascii="Palatino Linotype" w:eastAsia="MS Mincho" w:hAnsi="Palatino Linotype" w:cs="Arial"/>
        </w:rPr>
        <w:t xml:space="preserve">sirve de sustento a lo anterior </w:t>
      </w:r>
      <w:r w:rsidR="005160ED" w:rsidRPr="00FD0C91">
        <w:rPr>
          <w:rFonts w:ascii="Palatino Linotype" w:hAnsi="Palatino Linotype"/>
          <w:color w:val="000000"/>
        </w:rPr>
        <w:t>la</w:t>
      </w:r>
      <w:r w:rsidR="005160ED">
        <w:rPr>
          <w:rFonts w:ascii="Palatino Linotype" w:hAnsi="Palatino Linotype"/>
          <w:color w:val="000000"/>
        </w:rPr>
        <w:t>s siguientes</w:t>
      </w:r>
      <w:r w:rsidR="005160ED" w:rsidRPr="00FD0C91">
        <w:rPr>
          <w:rFonts w:ascii="Palatino Linotype" w:hAnsi="Palatino Linotype"/>
          <w:color w:val="000000"/>
        </w:rPr>
        <w:t xml:space="preserve"> tesis jurisprudencial</w:t>
      </w:r>
      <w:r w:rsidR="005160ED">
        <w:rPr>
          <w:rFonts w:ascii="Palatino Linotype" w:hAnsi="Palatino Linotype"/>
          <w:color w:val="000000"/>
        </w:rPr>
        <w:t>es</w:t>
      </w:r>
      <w:r w:rsidR="005160ED" w:rsidRPr="00FD0C91">
        <w:rPr>
          <w:rFonts w:ascii="Palatino Linotype" w:hAnsi="Palatino Linotype" w:cs="Arial"/>
        </w:rPr>
        <w:t>:</w:t>
      </w:r>
    </w:p>
    <w:p w:rsidR="005160ED" w:rsidRPr="00FD0C91" w:rsidRDefault="005160ED" w:rsidP="005160ED">
      <w:pPr>
        <w:pStyle w:val="Prrafodelista"/>
        <w:spacing w:line="360" w:lineRule="auto"/>
        <w:ind w:left="851" w:firstLine="708"/>
        <w:jc w:val="both"/>
        <w:textAlignment w:val="baseline"/>
        <w:rPr>
          <w:rFonts w:ascii="Palatino Linotype" w:hAnsi="Palatino Linotype" w:cs="Arial"/>
        </w:rPr>
      </w:pPr>
    </w:p>
    <w:p w:rsidR="005160ED" w:rsidRPr="00FD0C91" w:rsidRDefault="005160ED" w:rsidP="005160ED">
      <w:pPr>
        <w:spacing w:line="360" w:lineRule="auto"/>
        <w:ind w:left="567" w:right="616"/>
        <w:jc w:val="center"/>
        <w:textAlignment w:val="baseline"/>
        <w:rPr>
          <w:rFonts w:ascii="Palatino Linotype" w:hAnsi="Palatino Linotype" w:cs="Arial"/>
          <w:b/>
          <w:i/>
          <w:sz w:val="22"/>
        </w:rPr>
      </w:pPr>
      <w:r w:rsidRPr="00FD0C91">
        <w:rPr>
          <w:rFonts w:ascii="Palatino Linotype" w:hAnsi="Palatino Linotype" w:cs="Arial"/>
          <w:b/>
          <w:i/>
          <w:sz w:val="22"/>
        </w:rPr>
        <w:t>HECHOS NOTORIOS. CONCEPTOS GENERAL Y JURÍDICO</w:t>
      </w:r>
    </w:p>
    <w:p w:rsidR="005160ED" w:rsidRPr="00FD0C91" w:rsidRDefault="005160ED" w:rsidP="005160ED">
      <w:pPr>
        <w:spacing w:line="360" w:lineRule="auto"/>
        <w:ind w:left="567" w:right="616"/>
        <w:jc w:val="both"/>
        <w:textAlignment w:val="baseline"/>
        <w:rPr>
          <w:rFonts w:ascii="Palatino Linotype" w:hAnsi="Palatino Linotype" w:cs="Arial"/>
          <w:i/>
          <w:sz w:val="22"/>
        </w:rPr>
      </w:pPr>
      <w:r w:rsidRPr="00D71F4B">
        <w:rPr>
          <w:rFonts w:ascii="Palatino Linotype" w:hAnsi="Palatino Linotype" w:cs="Arial"/>
          <w:b/>
          <w:i/>
          <w:sz w:val="22"/>
        </w:rPr>
        <w:t xml:space="preserve">Conforme al artículo </w:t>
      </w:r>
      <w:hyperlink r:id="rId20" w:history="1">
        <w:r w:rsidRPr="00D71F4B">
          <w:rPr>
            <w:rFonts w:ascii="Palatino Linotype" w:hAnsi="Palatino Linotype" w:cs="Arial"/>
            <w:b/>
            <w:i/>
            <w:sz w:val="22"/>
          </w:rPr>
          <w:t>88 del Código Federal de Procedimientos Civiles</w:t>
        </w:r>
      </w:hyperlink>
      <w:r w:rsidRPr="00D71F4B">
        <w:rPr>
          <w:rFonts w:ascii="Palatino Linotype" w:hAnsi="Palatino Linotype" w:cs="Arial"/>
          <w:b/>
          <w:i/>
          <w:sz w:val="22"/>
        </w:rPr>
        <w:t xml:space="preserve"> los tribunales pueden invocar hechos notorios aunque no hayan sido alegados ni probados por las partes.</w:t>
      </w:r>
      <w:r w:rsidRPr="00FD0C91">
        <w:rPr>
          <w:rFonts w:ascii="Palatino Linotype" w:hAnsi="Palatino Linotype" w:cs="Arial"/>
          <w:i/>
          <w:sz w:val="22"/>
        </w:rPr>
        <w:t xml:space="preserve"> Por hechos notorios deben entenderse, en general, aquellos que por el conocimiento humano se consideran ciertos e indiscutibles, ya sea que pertenezcan a la historia, a la ciencia, a la naturaleza</w:t>
      </w:r>
      <w:r w:rsidRPr="00D71F4B">
        <w:rPr>
          <w:rFonts w:ascii="Palatino Linotype" w:hAnsi="Palatino Linotype" w:cs="Arial"/>
          <w:b/>
          <w:i/>
          <w:sz w:val="22"/>
        </w:rPr>
        <w:t>, a las vicisitudes de la vida pública actual o a circunstancias comúnmente conocidas en un determinado lugar</w:t>
      </w:r>
      <w:r w:rsidRPr="00FD0C91">
        <w:rPr>
          <w:rFonts w:ascii="Palatino Linotype" w:hAnsi="Palatino Linotype" w:cs="Arial"/>
          <w:i/>
          <w:sz w:val="22"/>
        </w:rPr>
        <w:t xml:space="preserve">, </w:t>
      </w:r>
      <w:r w:rsidRPr="00D71F4B">
        <w:rPr>
          <w:rFonts w:ascii="Palatino Linotype" w:hAnsi="Palatino Linotype" w:cs="Arial"/>
          <w:b/>
          <w:i/>
          <w:sz w:val="22"/>
        </w:rPr>
        <w:t>de modo que toda persona de ese medio esté en condiciones de saberlo</w:t>
      </w:r>
      <w:r w:rsidRPr="00FD0C91">
        <w:rPr>
          <w:rFonts w:ascii="Palatino Linotype" w:hAnsi="Palatino Linotype" w:cs="Arial"/>
          <w:i/>
          <w:sz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5160ED" w:rsidRPr="00FD0C91" w:rsidRDefault="005160ED" w:rsidP="005160ED">
      <w:pPr>
        <w:spacing w:line="360" w:lineRule="auto"/>
        <w:ind w:left="567" w:right="616"/>
        <w:rPr>
          <w:rFonts w:ascii="Palatino Linotype" w:hAnsi="Palatino Linotype" w:cs="Arial"/>
          <w:i/>
          <w:sz w:val="22"/>
        </w:rPr>
      </w:pPr>
    </w:p>
    <w:p w:rsidR="005160ED" w:rsidRPr="00FD0C91" w:rsidRDefault="005160ED" w:rsidP="005160ED">
      <w:pPr>
        <w:spacing w:line="360" w:lineRule="auto"/>
        <w:ind w:left="567" w:right="616"/>
        <w:jc w:val="both"/>
        <w:textAlignment w:val="baseline"/>
        <w:rPr>
          <w:rFonts w:ascii="Palatino Linotype" w:hAnsi="Palatino Linotype" w:cs="Arial"/>
          <w:i/>
          <w:sz w:val="22"/>
        </w:rPr>
      </w:pPr>
      <w:r w:rsidRPr="00FD0C91">
        <w:rPr>
          <w:rFonts w:ascii="Palatino Linotype" w:hAnsi="Palatino Linotype" w:cs="Arial"/>
          <w:i/>
          <w:sz w:val="22"/>
        </w:rPr>
        <w:lastRenderedPageBreak/>
        <w:t>Controversia constitucional 24/2005. Cámara de Diputados del Congreso de la Unión. 9 de marzo de 2006. Once votos. Ponente: José Ramón Cossío Díaz. Secretarios: Raúl Manuel Mejía Garza y Laura Patricia Rojas Zamudio.</w:t>
      </w:r>
    </w:p>
    <w:p w:rsidR="005160ED" w:rsidRPr="00FD0C91" w:rsidRDefault="005160ED" w:rsidP="005160ED">
      <w:pPr>
        <w:spacing w:line="360" w:lineRule="auto"/>
        <w:ind w:left="567" w:right="616"/>
        <w:jc w:val="both"/>
        <w:textAlignment w:val="baseline"/>
        <w:rPr>
          <w:rFonts w:ascii="Palatino Linotype" w:hAnsi="Palatino Linotype" w:cs="Arial"/>
          <w:i/>
          <w:sz w:val="22"/>
        </w:rPr>
      </w:pPr>
      <w:r w:rsidRPr="00FD0C91">
        <w:rPr>
          <w:rFonts w:ascii="Palatino Linotype" w:hAnsi="Palatino Linotype" w:cs="Arial"/>
          <w:i/>
          <w:sz w:val="22"/>
        </w:rPr>
        <w:t>El Tribunal Pleno, el dieciséis de mayo en curso, aprobó, con el número 74/2006, la tesis jurisprudencial que antecede. México, Distrito Federal, a dieciséis de mayo de dos mil seis.</w:t>
      </w:r>
    </w:p>
    <w:p w:rsidR="005160ED" w:rsidRDefault="005160ED" w:rsidP="005160ED">
      <w:pPr>
        <w:spacing w:line="360" w:lineRule="auto"/>
        <w:ind w:left="567" w:right="616"/>
        <w:jc w:val="both"/>
        <w:textAlignment w:val="baseline"/>
        <w:rPr>
          <w:rFonts w:ascii="Palatino Linotype" w:hAnsi="Palatino Linotype" w:cs="Arial"/>
          <w:i/>
          <w:sz w:val="22"/>
        </w:rPr>
      </w:pPr>
      <w:r w:rsidRPr="00FD0C91">
        <w:rPr>
          <w:rFonts w:ascii="Palatino Linotype" w:hAnsi="Palatino Linotype" w:cs="Arial"/>
          <w:i/>
          <w:sz w:val="22"/>
        </w:rPr>
        <w:t>Nota: Esta tesis fue objeto de la denuncia relativa a la contradicción de tesis 91/2014, desechada por notoriamente improcedente, mediante acuerdo de 24 de marzo de 2014.”</w:t>
      </w:r>
    </w:p>
    <w:p w:rsidR="005160ED" w:rsidRDefault="005160ED" w:rsidP="005160ED">
      <w:pPr>
        <w:spacing w:line="360" w:lineRule="auto"/>
        <w:ind w:left="567" w:right="616"/>
        <w:jc w:val="both"/>
        <w:textAlignment w:val="baseline"/>
        <w:rPr>
          <w:rFonts w:ascii="Palatino Linotype" w:hAnsi="Palatino Linotype" w:cs="Arial"/>
          <w:i/>
          <w:sz w:val="22"/>
        </w:rPr>
      </w:pPr>
    </w:p>
    <w:p w:rsidR="002840B6" w:rsidRPr="005160ED" w:rsidRDefault="005160ED" w:rsidP="005160ED">
      <w:pPr>
        <w:pStyle w:val="Prrafodelista"/>
        <w:widowControl w:val="0"/>
        <w:shd w:val="clear" w:color="auto" w:fill="FFFFFF"/>
        <w:spacing w:after="120" w:line="360" w:lineRule="auto"/>
        <w:ind w:left="567" w:right="567"/>
        <w:jc w:val="both"/>
        <w:rPr>
          <w:rFonts w:ascii="Palatino Linotype" w:hAnsi="Palatino Linotype"/>
          <w:i/>
        </w:rPr>
      </w:pPr>
      <w:r w:rsidRPr="00F438BC">
        <w:rPr>
          <w:rFonts w:ascii="Palatino Linotype" w:hAnsi="Palatino Linotype"/>
          <w:b/>
          <w:i/>
        </w:rPr>
        <w:t>PÁGINAS WEB O ELECTRÓNICAS. SU CONTENIDO ES UN HECHO NOTORIO Y SUSCEPTIBLE DE SER VALORADO EN UNA DECISIÓN JUDICIAL.</w:t>
      </w:r>
      <w:r>
        <w:t xml:space="preserve"> </w:t>
      </w:r>
      <w:r w:rsidRPr="00F438BC">
        <w:rPr>
          <w:rFonts w:ascii="Palatino Linotype" w:hAnsi="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w:t>
      </w:r>
      <w:r w:rsidRPr="00F438BC">
        <w:rPr>
          <w:rFonts w:ascii="Palatino Linotype" w:hAnsi="Palatino Linotype"/>
          <w:i/>
        </w:rPr>
        <w:lastRenderedPageBreak/>
        <w:t xml:space="preserve">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w:t>
      </w:r>
      <w:r w:rsidRPr="00F438BC">
        <w:rPr>
          <w:rFonts w:ascii="Palatino Linotype" w:hAnsi="Palatino Linotype"/>
          <w:i/>
        </w:rPr>
        <w:lastRenderedPageBreak/>
        <w:t>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contexto,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840B6" w:rsidRDefault="002840B6">
      <w:pPr>
        <w:ind w:left="851" w:right="899"/>
        <w:jc w:val="both"/>
        <w:rPr>
          <w:rFonts w:ascii="Palatino Linotype" w:eastAsia="Palatino Linotype" w:hAnsi="Palatino Linotype" w:cs="Palatino Linotype"/>
        </w:rPr>
      </w:pPr>
    </w:p>
    <w:p w:rsidR="002840B6" w:rsidRDefault="006F7C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w:t>
      </w:r>
      <w:r>
        <w:rPr>
          <w:rFonts w:ascii="Palatino Linotype" w:eastAsia="Palatino Linotype" w:hAnsi="Palatino Linotype" w:cs="Palatino Linotype"/>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840B6" w:rsidRDefault="006F7C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840B6" w:rsidRDefault="006F7C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2840B6" w:rsidRDefault="006F7C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es responsabilidad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conservar todos los soportes documentales en el ejercicio de sus atribuciones y de lo que se haya publicado en la red social de referencia, así como en cualquier otra que se administró, ello derivado de que si bien, las redes sociales digitales no se encuentran reguladas por ninguna norma para su procedimiento de creación y eliminación;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ejercicio de sus funciones de comunicación social la utiliza como un medio a través del cual comparte contenido de tipo fotográfico, escrito o de vídeo, que se tuvo que haber respaldado, por el simple hecho de generarlo derivado de su función como autoridad y por el fin que se persiguió con la difusión en dicha plataforma.</w:t>
      </w:r>
    </w:p>
    <w:p w:rsidR="002840B6" w:rsidRDefault="002840B6">
      <w:pPr>
        <w:spacing w:line="360" w:lineRule="auto"/>
        <w:jc w:val="both"/>
        <w:rPr>
          <w:rFonts w:ascii="Palatino Linotype" w:eastAsia="Palatino Linotype" w:hAnsi="Palatino Linotype" w:cs="Palatino Linotype"/>
          <w:color w:val="FF0000"/>
        </w:rPr>
      </w:pPr>
    </w:p>
    <w:p w:rsidR="002840B6" w:rsidRDefault="006F7C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Ello es así, ya que la conservación de los archivos, ya sea físicos o digitales, es una responsabilidad encomendada para cualquier autoridad, entidad, órgano y organismo de los poderes Legislativo, Ejecutivo y Judicial, Ayuntamientos, órganos autónomos, partidos políticos, fideicomisos y fondos públicos, así como de cualquier persona física, moral o sindicato que reciba y ejerza recursos públicos o </w:t>
      </w:r>
      <w:r>
        <w:rPr>
          <w:rFonts w:ascii="Palatino Linotype" w:eastAsia="Palatino Linotype" w:hAnsi="Palatino Linotype" w:cs="Palatino Linotype"/>
        </w:rPr>
        <w:lastRenderedPageBreak/>
        <w:t>realice actos de autoridad de la federación, las entidades federativas y los municipios, según lo dispuesto en la Ley General de Archivos.</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dicha norma, se define al archivo como el conjunto organizado de documentos producidos o recibidos por los sujetos obligados en el ejercicio de sus atribuciones y funciones, con independencia del soporte, espacio o lugar que se resguarden; de igual forma, señala que la conservación es el conjunto de procedimientos y medidas destinados a asegurar la prevención de aliteraciones físicas de los documentos en papel y la preservación de documentos digitales a largo plazo.</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respetar el derecho a la verdad y el acceso a la información contenida en los archivos, por lo cual indica en su artículo 7 que los sujetos obligados deberán producir, registrar, organizar y conservar los documentos de archivo sobre todo acto que derive del ejercicio de sus facultades, competencias o funciones de acuerdo con lo establecido en las disposiciones jurídicas correspondientes.</w:t>
      </w: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una nueva búsqueda exhaustiva y razonable de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 entregarla en versión pública de ser procedente en términos del considerando quinto del presente fallo. </w:t>
      </w:r>
    </w:p>
    <w:p w:rsidR="002840B6" w:rsidRDefault="002840B6">
      <w:pPr>
        <w:spacing w:line="360" w:lineRule="auto"/>
        <w:ind w:right="49"/>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el supuesto, de actualizarse la circunstancia fáctica de que derivado de una búsqueda exhaustiva y razonable, por alguna razón, la información solicitada no obre en sus archivos, tendrá que realizar un Acuerdo de Inexistencia de la Información y notificárselo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rsidR="002840B6" w:rsidRDefault="002840B6">
      <w:pPr>
        <w:spacing w:line="360" w:lineRule="auto"/>
        <w:jc w:val="both"/>
        <w:rPr>
          <w:rFonts w:ascii="Palatino Linotype" w:eastAsia="Palatino Linotype" w:hAnsi="Palatino Linotype" w:cs="Palatino Linotype"/>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Comité de Transparencia adoptará sus resoluciones por mayoría de votos. En caso de empate, la o el Presidente tendrá voto de calidad. A sus sesiones podrán asistir como </w:t>
      </w:r>
      <w:r>
        <w:rPr>
          <w:rFonts w:ascii="Palatino Linotype" w:eastAsia="Palatino Linotype" w:hAnsi="Palatino Linotype" w:cs="Palatino Linotype"/>
          <w:i/>
          <w:sz w:val="22"/>
          <w:szCs w:val="22"/>
        </w:rPr>
        <w:lastRenderedPageBreak/>
        <w:t>invitados aquellos que sus integrantes consideren necesarios, quienes tendrán voz pero no voto.</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840B6" w:rsidRDefault="006F7C23">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2840B6" w:rsidRDefault="002840B6">
      <w:pPr>
        <w:spacing w:line="360" w:lineRule="auto"/>
        <w:jc w:val="both"/>
        <w:rPr>
          <w:rFonts w:ascii="Palatino Linotype" w:eastAsia="Palatino Linotype" w:hAnsi="Palatino Linotype" w:cs="Palatino Linotype"/>
          <w:i/>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2840B6" w:rsidRDefault="002840B6">
      <w:pPr>
        <w:spacing w:line="360" w:lineRule="auto"/>
        <w:jc w:val="both"/>
        <w:rPr>
          <w:rFonts w:ascii="Palatino Linotype" w:eastAsia="Palatino Linotype" w:hAnsi="Palatino Linotype" w:cs="Palatino Linotype"/>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2840B6" w:rsidRDefault="002840B6">
      <w:pPr>
        <w:ind w:left="567" w:right="567"/>
        <w:jc w:val="both"/>
        <w:rPr>
          <w:rFonts w:ascii="Palatino Linotype" w:eastAsia="Palatino Linotype" w:hAnsi="Palatino Linotype" w:cs="Palatino Linotype"/>
          <w:i/>
          <w:sz w:val="22"/>
          <w:szCs w:val="22"/>
        </w:rPr>
      </w:pPr>
    </w:p>
    <w:p w:rsidR="002840B6" w:rsidRDefault="006F7C2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2840B6" w:rsidRDefault="002840B6">
      <w:pPr>
        <w:ind w:left="567" w:right="567"/>
        <w:jc w:val="both"/>
        <w:rPr>
          <w:rFonts w:ascii="Palatino Linotype" w:eastAsia="Palatino Linotype" w:hAnsi="Palatino Linotype" w:cs="Palatino Linotype"/>
        </w:rPr>
      </w:pP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Pr>
          <w:rFonts w:ascii="Palatino Linotype" w:eastAsia="Palatino Linotype" w:hAnsi="Palatino Linotype" w:cs="Palatino Linotype"/>
        </w:rPr>
        <w:lastRenderedPageBreak/>
        <w:t>elementos suficientes del carácter exhaustivo de la indagación realizada, a saber, los siguientes:</w:t>
      </w:r>
    </w:p>
    <w:p w:rsidR="002840B6" w:rsidRDefault="006F7C23">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rsidR="002840B6" w:rsidRDefault="006F7C23">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rsidR="002840B6" w:rsidRDefault="006F7C23">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2840B6" w:rsidRDefault="002840B6">
      <w:pPr>
        <w:pBdr>
          <w:top w:val="nil"/>
          <w:left w:val="nil"/>
          <w:bottom w:val="nil"/>
          <w:right w:val="nil"/>
          <w:between w:val="nil"/>
        </w:pBdr>
        <w:rPr>
          <w:color w:val="000000"/>
        </w:rPr>
      </w:pPr>
    </w:p>
    <w:p w:rsidR="002840B6" w:rsidRDefault="006F7C23">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2840B6" w:rsidRDefault="006F7C23">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rsidR="002840B6" w:rsidRDefault="006F7C23">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rsidR="002840B6" w:rsidRDefault="006F7C23">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rsidR="002840B6" w:rsidRDefault="006F7C23">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2840B6" w:rsidRDefault="006F7C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sobre el requerimiento de la información del particular en donde señala la razón por la cual no ha sido retirado el puesto de verduras que invade la carpeta asfáltica, de las atribuciones tanto de las autoridades auxiliares como de los Consejos de Participación Ciudadana, se advierte que tienen la facultad de emitir opinión motivada no vinculante, respecto a la autorización de nuevos proyectos comerciales y respecto de la autorización de giros mercantiles, no así de ordenar el retiro de puestos; por ello, resulta que no es procedente ordenar su entrega; máxime,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adjunto tanto en respuesta como en informe justificado, </w:t>
      </w:r>
      <w:r>
        <w:rPr>
          <w:rFonts w:ascii="Palatino Linotype" w:eastAsia="Palatino Linotype" w:hAnsi="Palatino Linotype" w:cs="Palatino Linotype"/>
        </w:rPr>
        <w:lastRenderedPageBreak/>
        <w:t>documento fehaciente sobre la existencia de dicho puesto en el fraccionamiento</w:t>
      </w:r>
      <w:r>
        <w:rPr>
          <w:rFonts w:ascii="Verdana" w:eastAsia="Verdana" w:hAnsi="Verdana" w:cs="Verdana"/>
          <w:color w:val="000000"/>
          <w:sz w:val="14"/>
          <w:szCs w:val="14"/>
        </w:rPr>
        <w:t xml:space="preserve"> </w:t>
      </w:r>
      <w:r>
        <w:rPr>
          <w:rFonts w:ascii="Palatino Linotype" w:eastAsia="Palatino Linotype" w:hAnsi="Palatino Linotype" w:cs="Palatino Linotype"/>
        </w:rPr>
        <w:t xml:space="preserve">conocido como Rancho Santa Elena y así determinar lo conducente conforme a Derecho. </w:t>
      </w:r>
    </w:p>
    <w:p w:rsidR="002840B6" w:rsidRDefault="002840B6">
      <w:pPr>
        <w:spacing w:line="360" w:lineRule="auto"/>
        <w:ind w:right="49"/>
        <w:jc w:val="both"/>
        <w:rPr>
          <w:rFonts w:ascii="Palatino Linotype" w:eastAsia="Palatino Linotype" w:hAnsi="Palatino Linotype" w:cs="Palatino Linotype"/>
          <w:highlight w:val="yellow"/>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rsidR="002840B6" w:rsidRDefault="002840B6">
      <w:pPr>
        <w:spacing w:line="360" w:lineRule="auto"/>
        <w:jc w:val="both"/>
        <w:rPr>
          <w:rFonts w:ascii="Palatino Linotype" w:eastAsia="Palatino Linotype" w:hAnsi="Palatino Linotype" w:cs="Palatino Linotype"/>
        </w:rPr>
      </w:pPr>
    </w:p>
    <w:p w:rsidR="002840B6" w:rsidRDefault="006F7C23">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5160ED" w:rsidRDefault="005160ED">
      <w:pPr>
        <w:spacing w:after="240" w:line="360" w:lineRule="auto"/>
        <w:ind w:right="50"/>
        <w:jc w:val="both"/>
        <w:rPr>
          <w:rFonts w:ascii="Palatino Linotype" w:eastAsia="Palatino Linotype" w:hAnsi="Palatino Linotype" w:cs="Palatino Linotype"/>
        </w:rPr>
      </w:pPr>
    </w:p>
    <w:p w:rsidR="002840B6" w:rsidRDefault="006F7C23">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2840B6" w:rsidRDefault="006F7C2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2840B6" w:rsidRDefault="006F7C2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2840B6" w:rsidRDefault="006F7C2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2840B6" w:rsidRDefault="006F7C2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2840B6" w:rsidRDefault="002840B6">
      <w:pPr>
        <w:ind w:left="993" w:right="1041"/>
        <w:jc w:val="both"/>
        <w:rPr>
          <w:rFonts w:ascii="Palatino Linotype" w:eastAsia="Palatino Linotype" w:hAnsi="Palatino Linotype" w:cs="Palatino Linotype"/>
          <w:i/>
          <w:sz w:val="22"/>
          <w:szCs w:val="22"/>
        </w:rPr>
      </w:pPr>
    </w:p>
    <w:p w:rsidR="002840B6" w:rsidRDefault="006F7C2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840B6" w:rsidRDefault="002840B6">
      <w:pPr>
        <w:ind w:left="993" w:right="1041"/>
        <w:jc w:val="both"/>
        <w:rPr>
          <w:rFonts w:ascii="Palatino Linotype" w:eastAsia="Palatino Linotype" w:hAnsi="Palatino Linotype" w:cs="Palatino Linotype"/>
          <w:i/>
          <w:sz w:val="22"/>
          <w:szCs w:val="22"/>
        </w:rPr>
      </w:pPr>
    </w:p>
    <w:p w:rsidR="002840B6" w:rsidRDefault="006F7C23">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840B6" w:rsidRDefault="002840B6">
      <w:pPr>
        <w:ind w:left="993" w:right="1041"/>
        <w:jc w:val="both"/>
        <w:rPr>
          <w:rFonts w:ascii="Palatino Linotype" w:eastAsia="Palatino Linotype" w:hAnsi="Palatino Linotype" w:cs="Palatino Linotype"/>
          <w:b/>
          <w:i/>
          <w:sz w:val="22"/>
          <w:szCs w:val="22"/>
        </w:rPr>
      </w:pPr>
    </w:p>
    <w:p w:rsidR="002840B6" w:rsidRDefault="006F7C2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840B6" w:rsidRDefault="006F7C2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2840B6" w:rsidRDefault="006F7C2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2840B6" w:rsidRDefault="006F7C2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2840B6" w:rsidRDefault="002840B6">
      <w:pPr>
        <w:ind w:left="993" w:right="1041"/>
        <w:jc w:val="both"/>
        <w:rPr>
          <w:rFonts w:ascii="Palatino Linotype" w:eastAsia="Palatino Linotype" w:hAnsi="Palatino Linotype" w:cs="Palatino Linotype"/>
          <w:i/>
          <w:sz w:val="22"/>
          <w:szCs w:val="22"/>
        </w:rPr>
      </w:pPr>
    </w:p>
    <w:p w:rsidR="002840B6" w:rsidRDefault="006F7C2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Pr>
          <w:rFonts w:ascii="Palatino Linotype" w:eastAsia="Palatino Linotype" w:hAnsi="Palatino Linotype" w:cs="Palatino Linotype"/>
          <w:b/>
        </w:rPr>
        <w:t xml:space="preserve"> </w:t>
      </w:r>
      <w:r>
        <w:rPr>
          <w:rFonts w:ascii="Palatino Linotype" w:eastAsia="Palatino Linotype" w:hAnsi="Palatino Linotype" w:cs="Palatino Linotype"/>
          <w:b/>
        </w:rPr>
        <w:lastRenderedPageBreak/>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2840B6" w:rsidRDefault="002840B6">
      <w:pPr>
        <w:spacing w:line="360" w:lineRule="auto"/>
        <w:ind w:right="51"/>
        <w:jc w:val="both"/>
        <w:rPr>
          <w:rFonts w:ascii="Palatino Linotype" w:eastAsia="Palatino Linotype" w:hAnsi="Palatino Linotype" w:cs="Palatino Linotype"/>
        </w:rPr>
      </w:pPr>
    </w:p>
    <w:p w:rsidR="002840B6" w:rsidRDefault="006F7C23">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840B6" w:rsidRDefault="002840B6">
      <w:pPr>
        <w:spacing w:line="360" w:lineRule="auto"/>
        <w:ind w:right="50"/>
        <w:jc w:val="both"/>
        <w:rPr>
          <w:rFonts w:ascii="Palatino Linotype" w:eastAsia="Palatino Linotype" w:hAnsi="Palatino Linotype" w:cs="Palatino Linotype"/>
        </w:rPr>
      </w:pPr>
    </w:p>
    <w:p w:rsidR="002840B6" w:rsidRDefault="006F7C2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2840B6" w:rsidRDefault="002840B6">
      <w:pPr>
        <w:spacing w:line="360" w:lineRule="auto"/>
        <w:ind w:right="51"/>
        <w:jc w:val="both"/>
        <w:rPr>
          <w:rFonts w:ascii="Palatino Linotype" w:eastAsia="Palatino Linotype" w:hAnsi="Palatino Linotype" w:cs="Palatino Linotype"/>
        </w:rPr>
      </w:pPr>
    </w:p>
    <w:p w:rsidR="002840B6" w:rsidRDefault="006F7C2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2840B6" w:rsidRDefault="006F7C2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2840B6" w:rsidRDefault="006F7C2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2840B6" w:rsidRDefault="006F7C2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2840B6" w:rsidRDefault="006F7C2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2840B6" w:rsidRDefault="006F7C2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2840B6" w:rsidRDefault="002840B6">
      <w:pPr>
        <w:ind w:left="992" w:right="1043"/>
        <w:jc w:val="both"/>
        <w:rPr>
          <w:rFonts w:ascii="Palatino Linotype" w:eastAsia="Palatino Linotype" w:hAnsi="Palatino Linotype" w:cs="Palatino Linotype"/>
          <w:i/>
          <w:sz w:val="22"/>
          <w:szCs w:val="22"/>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2840B6" w:rsidRDefault="002840B6">
      <w:pPr>
        <w:spacing w:line="360" w:lineRule="auto"/>
        <w:jc w:val="both"/>
        <w:rPr>
          <w:rFonts w:ascii="Palatino Linotype" w:eastAsia="Palatino Linotype" w:hAnsi="Palatino Linotype" w:cs="Palatino Linotype"/>
        </w:rPr>
      </w:pPr>
    </w:p>
    <w:p w:rsidR="002840B6" w:rsidRDefault="006F7C23">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2840B6" w:rsidRDefault="002840B6">
      <w:pPr>
        <w:spacing w:before="240" w:after="240"/>
        <w:ind w:left="993" w:right="1041"/>
        <w:jc w:val="both"/>
        <w:rPr>
          <w:rFonts w:ascii="Palatino Linotype" w:eastAsia="Palatino Linotype" w:hAnsi="Palatino Linotype" w:cs="Palatino Linotype"/>
          <w:i/>
          <w:sz w:val="22"/>
          <w:szCs w:val="22"/>
        </w:rPr>
      </w:pPr>
    </w:p>
    <w:p w:rsidR="002840B6" w:rsidRDefault="006F7C2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840B6" w:rsidRDefault="006F7C2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2840B6" w:rsidRDefault="002840B6">
      <w:pPr>
        <w:ind w:left="709" w:right="709"/>
        <w:jc w:val="both"/>
        <w:rPr>
          <w:rFonts w:ascii="Palatino Linotype" w:eastAsia="Palatino Linotype" w:hAnsi="Palatino Linotype" w:cs="Palatino Linotype"/>
          <w:b/>
          <w:i/>
          <w:sz w:val="22"/>
          <w:szCs w:val="22"/>
        </w:rPr>
      </w:pPr>
    </w:p>
    <w:p w:rsidR="002840B6" w:rsidRDefault="006F7C23">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840B6" w:rsidRDefault="006F7C23">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2840B6" w:rsidRDefault="006F7C23">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2840B6" w:rsidRDefault="006F7C2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840B6" w:rsidRDefault="006F7C23">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2"/>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2840B6">
        <w:trPr>
          <w:jc w:val="center"/>
        </w:trPr>
        <w:tc>
          <w:tcPr>
            <w:tcW w:w="1159" w:type="dxa"/>
            <w:tcBorders>
              <w:top w:val="nil"/>
              <w:left w:val="nil"/>
              <w:bottom w:val="single" w:sz="4" w:space="0" w:color="000000"/>
              <w:right w:val="single" w:sz="4" w:space="0" w:color="000000"/>
            </w:tcBorders>
          </w:tcPr>
          <w:p w:rsidR="002840B6" w:rsidRDefault="002840B6">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2840B6">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2840B6" w:rsidRDefault="006F7C23">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2840B6" w:rsidRDefault="006F7C23">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2840B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840B6" w:rsidRDefault="002840B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840B6" w:rsidRDefault="006F7C23">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2840B6" w:rsidRDefault="006F7C23">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2840B6" w:rsidRDefault="002840B6">
      <w:pPr>
        <w:spacing w:before="240" w:line="360" w:lineRule="auto"/>
        <w:ind w:right="51"/>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2840B6" w:rsidRDefault="002840B6">
      <w:pPr>
        <w:spacing w:line="360" w:lineRule="auto"/>
        <w:jc w:val="both"/>
        <w:rPr>
          <w:rFonts w:ascii="Palatino Linotype" w:eastAsia="Palatino Linotype" w:hAnsi="Palatino Linotype" w:cs="Palatino Linotype"/>
        </w:rPr>
      </w:pPr>
    </w:p>
    <w:p w:rsidR="002840B6" w:rsidRDefault="006F7C23">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 de los servidores públicos.</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noveno, trigésimo y trigésimo primero de la Constitución Política del Estado Libre y Soberano de México; 2, fracción II; 29, 36 fracciones I y II; 176, 178, 179, fracción VII, 181, 185 de la Ley de Transparencia y Acceso a la Información Pública del Estado de México y Municipios, este Pleno:</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rsidR="002840B6" w:rsidRDefault="002840B6">
      <w:pPr>
        <w:spacing w:line="360" w:lineRule="auto"/>
        <w:jc w:val="center"/>
        <w:rPr>
          <w:rFonts w:ascii="Palatino Linotype" w:eastAsia="Palatino Linotype" w:hAnsi="Palatino Linotype" w:cs="Palatino Linotype"/>
          <w:b/>
        </w:rPr>
      </w:pPr>
    </w:p>
    <w:p w:rsidR="002840B6" w:rsidRDefault="006F7C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sidR="00016208">
        <w:rPr>
          <w:rFonts w:ascii="Palatino Linotype" w:eastAsia="Palatino Linotype" w:hAnsi="Palatino Linotype" w:cs="Palatino Linotype"/>
          <w:b/>
        </w:rPr>
        <w:t>00639/INFOEM/IP/RR/2022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sidR="005160ED">
        <w:rPr>
          <w:rFonts w:ascii="Palatino Linotype" w:eastAsia="Palatino Linotype" w:hAnsi="Palatino Linotype" w:cs="Palatino Linotype"/>
          <w:b/>
        </w:rPr>
        <w:t>REVOCA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2840B6" w:rsidRDefault="006F7C2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en versión pública de ser procedente, del documento o documentos en donde conste lo siguiente:</w:t>
      </w:r>
    </w:p>
    <w:p w:rsidR="002840B6" w:rsidRDefault="006F7C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años 2019, 2020 y del primero de enero al diecisiete de diciembre del año 2021, respecto de las autoridades auxiliares y Consejos de Participación Ciudadana del Fraccionamiento conocido como Santa Elena:</w:t>
      </w:r>
    </w:p>
    <w:p w:rsidR="002840B6" w:rsidRDefault="006F7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Los informes anuales y trimestrales, respectivamente.</w:t>
      </w:r>
    </w:p>
    <w:p w:rsidR="002840B6" w:rsidRDefault="006F7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Plan de Trabajo, en el que se especifique que se logró y que no se completó.</w:t>
      </w:r>
    </w:p>
    <w:p w:rsidR="002840B6" w:rsidRDefault="006F7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avance de los manzaneros y las evidencias fotográficas de las asambleas.</w:t>
      </w:r>
    </w:p>
    <w:p w:rsidR="002840B6" w:rsidRDefault="006F7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Cantidad de anuencias otorgadas.</w:t>
      </w:r>
    </w:p>
    <w:p w:rsidR="002840B6" w:rsidRDefault="006F7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Cantidad de cartas domiciliarias entregadas. </w:t>
      </w:r>
    </w:p>
    <w:p w:rsidR="002840B6" w:rsidRDefault="006F7C23">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Opinión motivada respecto del puesto de verduras que invade la carpeta asfáltica.</w:t>
      </w: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que derivado de la búsqueda exhaustiva y razonable, por alguna razón no se localice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información que se ordena,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emitir el Acuerdo de Inexistencia en términos de los artículos 49, fracciones II y XIII, 169 y 170 de la Ley de Transparencia y Acceso a la Información Pública del Estado de México y Municipios, debiendo notificarlo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momento de dar cumplimiento a la presente resolución.</w:t>
      </w:r>
    </w:p>
    <w:p w:rsidR="00016208" w:rsidRDefault="00016208">
      <w:pPr>
        <w:spacing w:line="360" w:lineRule="auto"/>
        <w:jc w:val="both"/>
        <w:rPr>
          <w:rFonts w:ascii="Palatino Linotype" w:eastAsia="Palatino Linotype" w:hAnsi="Palatino Linotype" w:cs="Palatino Linotype"/>
        </w:rPr>
      </w:pPr>
    </w:p>
    <w:p w:rsidR="002840B6" w:rsidRDefault="006F7C23">
      <w:pPr>
        <w:tabs>
          <w:tab w:val="left" w:pos="5019"/>
        </w:tabs>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Tercero. Notifíquese vía SAIMEX</w:t>
      </w:r>
      <w:r>
        <w:rPr>
          <w:rFonts w:ascii="Palatino Linotype" w:eastAsia="Palatino Linotype" w:hAnsi="Palatino Linotype" w:cs="Palatino Linotype"/>
        </w:rPr>
        <w:t xml:space="preserve">, 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highlight w:val="white"/>
        </w:rPr>
        <w:t xml:space="preserve">, para que conforme a los artículos 186 último párrafo y 189 párrafo segundo de la Ley de Transparencia y Acceso a la Información Pública </w:t>
      </w:r>
      <w:r>
        <w:rPr>
          <w:rFonts w:ascii="Palatino Linotype" w:eastAsia="Palatino Linotype" w:hAnsi="Palatino Linotype" w:cs="Palatino Linotype"/>
          <w:highlight w:val="white"/>
        </w:rPr>
        <w:lastRenderedPageBreak/>
        <w:t>del Estado de México y Municipios, dé cumplimiento a lo ordenado dentro del plazo de diez días hábiles, debiendo informar a este Instituto en un plazo de tres días hábiles siguientes sobre el cumplimiento dado a la presente resolución.</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2840B6" w:rsidRDefault="006F7C23">
      <w:pPr>
        <w:spacing w:after="240" w:line="360" w:lineRule="auto"/>
        <w:jc w:val="both"/>
        <w:rPr>
          <w:rFonts w:ascii="Palatino Linotype" w:eastAsia="Palatino Linotype" w:hAnsi="Palatino Linotype" w:cs="Palatino Linotype"/>
          <w:b/>
        </w:rPr>
      </w:pPr>
      <w:bookmarkStart w:id="1" w:name="_heading=h.30j0zll" w:colFirst="0" w:colLast="0"/>
      <w:bookmarkEnd w:id="1"/>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2840B6" w:rsidRDefault="006F7C23">
      <w:pPr>
        <w:spacing w:before="240" w:after="240" w:line="360" w:lineRule="auto"/>
        <w:jc w:val="both"/>
        <w:rPr>
          <w:rFonts w:ascii="Palatino Linotype" w:eastAsia="Palatino Linotype" w:hAnsi="Palatino Linotype" w:cs="Palatino Linotype"/>
        </w:rPr>
        <w:sectPr w:rsidR="002840B6">
          <w:headerReference w:type="default" r:id="rId21"/>
          <w:footerReference w:type="default" r:id="rId22"/>
          <w:headerReference w:type="first" r:id="rId23"/>
          <w:footerReference w:type="first" r:id="rId24"/>
          <w:pgSz w:w="12240" w:h="15840"/>
          <w:pgMar w:top="1417" w:right="1701" w:bottom="1417" w:left="1701" w:header="709" w:footer="709" w:gutter="0"/>
          <w:pgNumType w:start="1"/>
          <w:cols w:space="720"/>
          <w:titlePg/>
        </w:sectPr>
      </w:pPr>
      <w:bookmarkStart w:id="2" w:name="_heading=h.gjdgxs" w:colFirst="0" w:colLast="0"/>
      <w:bookmarkEnd w:id="2"/>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VEINTICUATRO</w:t>
      </w:r>
      <w:r>
        <w:rPr>
          <w:rFonts w:ascii="Palatino Linotype" w:eastAsia="Palatino Linotype" w:hAnsi="Palatino Linotype" w:cs="Palatino Linotype"/>
        </w:rPr>
        <w:t xml:space="preserve"> DE MARZO DE DOS MIL VEINTIDÓS, ANTE EL SECRETARIO TÉCNICO DEL PLENO ALEXIS TAPIA RAMÍREZ.</w:t>
      </w:r>
    </w:p>
    <w:p w:rsidR="002840B6" w:rsidRDefault="002840B6">
      <w:pPr>
        <w:spacing w:before="240" w:after="240" w:line="360" w:lineRule="auto"/>
        <w:jc w:val="both"/>
        <w:rPr>
          <w:rFonts w:ascii="Palatino Linotype" w:eastAsia="Palatino Linotype" w:hAnsi="Palatino Linotype" w:cs="Palatino Linotype"/>
        </w:rPr>
      </w:pPr>
    </w:p>
    <w:p w:rsidR="002840B6" w:rsidRDefault="002840B6">
      <w:pPr>
        <w:spacing w:before="240" w:after="240" w:line="360" w:lineRule="auto"/>
        <w:jc w:val="both"/>
        <w:rPr>
          <w:rFonts w:ascii="Palatino Linotype" w:eastAsia="Palatino Linotype" w:hAnsi="Palatino Linotype" w:cs="Palatino Linotype"/>
        </w:rPr>
      </w:pPr>
    </w:p>
    <w:p w:rsidR="002840B6" w:rsidRDefault="002840B6">
      <w:pPr>
        <w:spacing w:before="240" w:after="240" w:line="360" w:lineRule="auto"/>
        <w:jc w:val="both"/>
        <w:rPr>
          <w:rFonts w:ascii="Palatino Linotype" w:eastAsia="Palatino Linotype" w:hAnsi="Palatino Linotype" w:cs="Palatino Linotype"/>
        </w:rPr>
      </w:pPr>
    </w:p>
    <w:sectPr w:rsidR="002840B6">
      <w:headerReference w:type="first" r:id="rId25"/>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FA9" w:rsidRDefault="00841FA9">
      <w:r>
        <w:separator/>
      </w:r>
    </w:p>
  </w:endnote>
  <w:endnote w:type="continuationSeparator" w:id="0">
    <w:p w:rsidR="00841FA9" w:rsidRDefault="0084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0B6" w:rsidRDefault="006F7C2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77A12">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77A12">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rsidR="002840B6" w:rsidRDefault="002840B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0B6" w:rsidRDefault="006F7C2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77A1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77A12">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rsidR="002840B6" w:rsidRDefault="002840B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FA9" w:rsidRDefault="00841FA9">
      <w:r>
        <w:separator/>
      </w:r>
    </w:p>
  </w:footnote>
  <w:footnote w:type="continuationSeparator" w:id="0">
    <w:p w:rsidR="00841FA9" w:rsidRDefault="00841F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0B6" w:rsidRDefault="006F7C23">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-665859</wp:posOffset>
          </wp:positionH>
          <wp:positionV relativeFrom="paragraph">
            <wp:posOffset>-453615</wp:posOffset>
          </wp:positionV>
          <wp:extent cx="7635600" cy="9943200"/>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5670" w:type="dxa"/>
      <w:tblInd w:w="3119" w:type="dxa"/>
      <w:tblLayout w:type="fixed"/>
      <w:tblLook w:val="0400" w:firstRow="0" w:lastRow="0" w:firstColumn="0" w:lastColumn="0" w:noHBand="0" w:noVBand="1"/>
    </w:tblPr>
    <w:tblGrid>
      <w:gridCol w:w="2551"/>
      <w:gridCol w:w="3119"/>
    </w:tblGrid>
    <w:tr w:rsidR="002840B6">
      <w:tc>
        <w:tcPr>
          <w:tcW w:w="2551" w:type="dxa"/>
          <w:vAlign w:val="center"/>
        </w:tcPr>
        <w:p w:rsidR="002840B6" w:rsidRDefault="006F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2840B6" w:rsidRDefault="006F7C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00639/INFOEM/IP/RR/2022. </w:t>
          </w:r>
        </w:p>
      </w:tc>
    </w:tr>
    <w:tr w:rsidR="002840B6">
      <w:trPr>
        <w:trHeight w:val="228"/>
      </w:trPr>
      <w:tc>
        <w:tcPr>
          <w:tcW w:w="2551" w:type="dxa"/>
          <w:vAlign w:val="center"/>
        </w:tcPr>
        <w:p w:rsidR="002840B6" w:rsidRDefault="006F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2840B6" w:rsidRDefault="006F7C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br/>
            <w:t>Cuautitlán.</w:t>
          </w:r>
        </w:p>
      </w:tc>
    </w:tr>
    <w:tr w:rsidR="002840B6">
      <w:tc>
        <w:tcPr>
          <w:tcW w:w="2551" w:type="dxa"/>
          <w:vAlign w:val="center"/>
        </w:tcPr>
        <w:p w:rsidR="002840B6" w:rsidRDefault="006F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2840B6" w:rsidRDefault="006F7C2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840B6" w:rsidRDefault="002840B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0B6" w:rsidRDefault="006F7C23">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-680312</wp:posOffset>
          </wp:positionH>
          <wp:positionV relativeFrom="paragraph">
            <wp:posOffset>-168883</wp:posOffset>
          </wp:positionV>
          <wp:extent cx="7635600" cy="994320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5812" w:type="dxa"/>
      <w:tblInd w:w="3119" w:type="dxa"/>
      <w:tblLayout w:type="fixed"/>
      <w:tblLook w:val="0400" w:firstRow="0" w:lastRow="0" w:firstColumn="0" w:lastColumn="0" w:noHBand="0" w:noVBand="1"/>
    </w:tblPr>
    <w:tblGrid>
      <w:gridCol w:w="2551"/>
      <w:gridCol w:w="3261"/>
    </w:tblGrid>
    <w:tr w:rsidR="002840B6">
      <w:tc>
        <w:tcPr>
          <w:tcW w:w="2551" w:type="dxa"/>
          <w:vAlign w:val="center"/>
        </w:tcPr>
        <w:p w:rsidR="002840B6" w:rsidRDefault="006F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2840B6" w:rsidRDefault="006F7C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00639/INFOEM/IP/RR/2022. </w:t>
          </w:r>
        </w:p>
      </w:tc>
    </w:tr>
    <w:tr w:rsidR="002840B6">
      <w:tc>
        <w:tcPr>
          <w:tcW w:w="2551" w:type="dxa"/>
          <w:vAlign w:val="center"/>
        </w:tcPr>
        <w:p w:rsidR="002840B6" w:rsidRDefault="006F7C2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2840B6" w:rsidRDefault="00F77A1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 XXXX</w:t>
          </w:r>
          <w:r w:rsidR="006F7C23">
            <w:rPr>
              <w:rFonts w:ascii="Palatino Linotype" w:eastAsia="Palatino Linotype" w:hAnsi="Palatino Linotype" w:cs="Palatino Linotype"/>
              <w:b/>
              <w:sz w:val="22"/>
              <w:szCs w:val="22"/>
            </w:rPr>
            <w:t>.</w:t>
          </w:r>
        </w:p>
      </w:tc>
    </w:tr>
    <w:tr w:rsidR="002840B6">
      <w:trPr>
        <w:trHeight w:val="228"/>
      </w:trPr>
      <w:tc>
        <w:tcPr>
          <w:tcW w:w="2551" w:type="dxa"/>
          <w:vAlign w:val="center"/>
        </w:tcPr>
        <w:p w:rsidR="002840B6" w:rsidRDefault="006F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2840B6" w:rsidRDefault="006F7C2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w:t>
          </w:r>
        </w:p>
      </w:tc>
    </w:tr>
    <w:tr w:rsidR="002840B6">
      <w:tc>
        <w:tcPr>
          <w:tcW w:w="2551" w:type="dxa"/>
          <w:vAlign w:val="center"/>
        </w:tcPr>
        <w:p w:rsidR="002840B6" w:rsidRDefault="006F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2840B6" w:rsidRDefault="006F7C2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840B6" w:rsidRDefault="002840B6">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0B6" w:rsidRDefault="002840B6">
    <w:pPr>
      <w:pBdr>
        <w:top w:val="nil"/>
        <w:left w:val="nil"/>
        <w:bottom w:val="nil"/>
        <w:right w:val="nil"/>
        <w:between w:val="nil"/>
      </w:pBdr>
      <w:tabs>
        <w:tab w:val="center" w:pos="4419"/>
        <w:tab w:val="right" w:pos="8838"/>
      </w:tabs>
      <w:jc w:val="both"/>
      <w:rPr>
        <w:color w:val="000000"/>
      </w:rPr>
    </w:pPr>
  </w:p>
  <w:p w:rsidR="002840B6" w:rsidRDefault="002840B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F36A5"/>
    <w:multiLevelType w:val="multilevel"/>
    <w:tmpl w:val="31DAE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2C312A"/>
    <w:multiLevelType w:val="multilevel"/>
    <w:tmpl w:val="C8BE9D7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C735F9"/>
    <w:multiLevelType w:val="multilevel"/>
    <w:tmpl w:val="BD0C10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720EC4"/>
    <w:multiLevelType w:val="multilevel"/>
    <w:tmpl w:val="6C50D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EA1D17"/>
    <w:multiLevelType w:val="multilevel"/>
    <w:tmpl w:val="87F43D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0B6"/>
    <w:rsid w:val="00016208"/>
    <w:rsid w:val="002840B6"/>
    <w:rsid w:val="005160ED"/>
    <w:rsid w:val="006F7C23"/>
    <w:rsid w:val="007F0D37"/>
    <w:rsid w:val="00841FA9"/>
    <w:rsid w:val="0085502E"/>
    <w:rsid w:val="00F77A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E74AAA-2DA8-486C-93A5-380F598A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21725.page" TargetMode="External"/><Relationship Id="rId13" Type="http://schemas.openxmlformats.org/officeDocument/2006/relationships/hyperlink" Target="https://www.saimex.org.mx/saimex/solicitud/downloadAttach/1321725.pag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aimex.org.mx/saimex/solicitud/downloadAttach/1321749.page" TargetMode="External"/><Relationship Id="rId20" Type="http://schemas.openxmlformats.org/officeDocument/2006/relationships/hyperlink" Target="javascript:AbrirModa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21749.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321741.page" TargetMode="External"/><Relationship Id="rId23" Type="http://schemas.openxmlformats.org/officeDocument/2006/relationships/header" Target="header2.xml"/><Relationship Id="rId10" Type="http://schemas.openxmlformats.org/officeDocument/2006/relationships/hyperlink" Target="https://www.saimex.org.mx/saimex/solicitud/downloadAttach/1321741.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1321727.page" TargetMode="External"/><Relationship Id="rId14" Type="http://schemas.openxmlformats.org/officeDocument/2006/relationships/hyperlink" Target="https://www.saimex.org.mx/saimex/solicitud/downloadAttach/1321727.page"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G995Hlc8pCxgheukLKKc9Zlf/g==">AMUW2mUrZRmLIQaxNVlPwa4PUqMm6BscAuwl+bchRLPfBDNPzmv8KbE3dIkqnmvy7W8tMWd4rv55NJlBc3N8MF+Pz+xmdK7xmmLVpkZCw7LFud8ai6f31KfB2HE9bKXOEBvktBmjTxUg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11881</Words>
  <Characters>65351</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4</cp:revision>
  <dcterms:created xsi:type="dcterms:W3CDTF">2022-03-18T03:44:00Z</dcterms:created>
  <dcterms:modified xsi:type="dcterms:W3CDTF">2022-04-04T22:39:00Z</dcterms:modified>
</cp:coreProperties>
</file>