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415C490A"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031688">
        <w:rPr>
          <w:rFonts w:ascii="Palatino Linotype" w:eastAsia="Palatino Linotype" w:hAnsi="Palatino Linotype" w:cs="Palatino Linotype"/>
          <w:color w:val="000000"/>
          <w:sz w:val="24"/>
          <w:szCs w:val="24"/>
          <w:lang w:val="es-ES_tradnl"/>
        </w:rPr>
        <w:t xml:space="preserve">veintinueve de junio de dos mil veintidós. </w:t>
      </w:r>
      <w:r w:rsidR="00CB2BD2">
        <w:rPr>
          <w:rFonts w:ascii="Palatino Linotype" w:eastAsia="Palatino Linotype" w:hAnsi="Palatino Linotype" w:cs="Palatino Linotype"/>
          <w:color w:val="000000"/>
          <w:sz w:val="24"/>
          <w:szCs w:val="24"/>
          <w:lang w:val="es-ES_tradnl"/>
        </w:rPr>
        <w:t xml:space="preserve"> </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618A5E" w14:textId="68416663" w:rsidR="00C00092" w:rsidRPr="00C0009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031688">
        <w:rPr>
          <w:rFonts w:ascii="Palatino Linotype" w:eastAsia="Palatino Linotype" w:hAnsi="Palatino Linotype" w:cs="Palatino Linotype"/>
          <w:b/>
          <w:color w:val="000000"/>
          <w:sz w:val="24"/>
          <w:szCs w:val="24"/>
          <w:lang w:val="es-ES_tradnl"/>
        </w:rPr>
        <w:t>6900</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C00092">
        <w:rPr>
          <w:rFonts w:ascii="Palatino Linotype" w:eastAsia="Palatino Linotype" w:hAnsi="Palatino Linotype" w:cs="Palatino Linotype"/>
          <w:color w:val="000000"/>
          <w:sz w:val="24"/>
          <w:szCs w:val="24"/>
          <w:lang w:val="es-ES_tradnl"/>
        </w:rPr>
        <w:t xml:space="preserve">un particular, en lo sucesivo </w:t>
      </w:r>
      <w:r w:rsidR="00C00092">
        <w:rPr>
          <w:rFonts w:ascii="Palatino Linotype" w:eastAsia="Palatino Linotype" w:hAnsi="Palatino Linotype" w:cs="Palatino Linotype"/>
          <w:b/>
          <w:color w:val="000000"/>
          <w:sz w:val="24"/>
          <w:szCs w:val="24"/>
          <w:lang w:val="es-ES_tradnl"/>
        </w:rPr>
        <w:t xml:space="preserve">El Recurrente, </w:t>
      </w:r>
      <w:r w:rsidR="00C00092">
        <w:rPr>
          <w:rFonts w:ascii="Palatino Linotype" w:eastAsia="Palatino Linotype" w:hAnsi="Palatino Linotype" w:cs="Palatino Linotype"/>
          <w:color w:val="000000"/>
          <w:sz w:val="24"/>
          <w:szCs w:val="24"/>
          <w:lang w:val="es-ES_tradnl"/>
        </w:rPr>
        <w:t xml:space="preserve">en contra de la falta de respuesta del </w:t>
      </w:r>
      <w:r w:rsidR="00C00092">
        <w:rPr>
          <w:rFonts w:ascii="Palatino Linotype" w:eastAsia="Palatino Linotype" w:hAnsi="Palatino Linotype" w:cs="Palatino Linotype"/>
          <w:b/>
          <w:color w:val="000000"/>
          <w:sz w:val="24"/>
          <w:szCs w:val="24"/>
          <w:lang w:val="es-ES_tradnl"/>
        </w:rPr>
        <w:t xml:space="preserve">Ayuntamiento de </w:t>
      </w:r>
      <w:r w:rsidR="00031688">
        <w:rPr>
          <w:rFonts w:ascii="Palatino Linotype" w:eastAsia="Palatino Linotype" w:hAnsi="Palatino Linotype" w:cs="Palatino Linotype"/>
          <w:b/>
          <w:color w:val="000000"/>
          <w:sz w:val="24"/>
          <w:szCs w:val="24"/>
          <w:lang w:val="es-ES_tradnl"/>
        </w:rPr>
        <w:t>Metepec</w:t>
      </w:r>
      <w:r w:rsidR="00C00092">
        <w:rPr>
          <w:rFonts w:ascii="Palatino Linotype" w:eastAsia="Palatino Linotype" w:hAnsi="Palatino Linotype" w:cs="Palatino Linotype"/>
          <w:b/>
          <w:color w:val="000000"/>
          <w:sz w:val="24"/>
          <w:szCs w:val="24"/>
          <w:lang w:val="es-ES_tradnl"/>
        </w:rPr>
        <w:t xml:space="preserve">, </w:t>
      </w:r>
      <w:r w:rsidR="00C00092">
        <w:rPr>
          <w:rFonts w:ascii="Palatino Linotype" w:eastAsia="Palatino Linotype" w:hAnsi="Palatino Linotype" w:cs="Palatino Linotype"/>
          <w:color w:val="000000"/>
          <w:sz w:val="24"/>
          <w:szCs w:val="24"/>
          <w:lang w:val="es-ES_tradnl"/>
        </w:rPr>
        <w:t xml:space="preserve">en lo subsecuente </w:t>
      </w:r>
      <w:r w:rsidR="00C00092">
        <w:rPr>
          <w:rFonts w:ascii="Palatino Linotype" w:eastAsia="Palatino Linotype" w:hAnsi="Palatino Linotype" w:cs="Palatino Linotype"/>
          <w:b/>
          <w:color w:val="000000"/>
          <w:sz w:val="24"/>
          <w:szCs w:val="24"/>
          <w:lang w:val="es-ES_tradnl"/>
        </w:rPr>
        <w:t xml:space="preserve">El Sujeto Obligado, </w:t>
      </w:r>
      <w:r w:rsidR="00C00092">
        <w:rPr>
          <w:rFonts w:ascii="Palatino Linotype" w:eastAsia="Palatino Linotype" w:hAnsi="Palatino Linotype" w:cs="Palatino Linotype"/>
          <w:color w:val="000000"/>
          <w:sz w:val="24"/>
          <w:szCs w:val="24"/>
          <w:lang w:val="es-ES_tradnl"/>
        </w:rPr>
        <w:t xml:space="preserve">se procede a dictar la presente resolución. </w:t>
      </w:r>
    </w:p>
    <w:p w14:paraId="140386FA" w14:textId="77777777" w:rsidR="00C00092" w:rsidRDefault="00C0009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3001D508" w14:textId="6074261D" w:rsidR="00031688"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031688">
        <w:rPr>
          <w:rFonts w:ascii="Palatino Linotype" w:eastAsia="Palatino Linotype" w:hAnsi="Palatino Linotype" w:cs="Palatino Linotype"/>
          <w:color w:val="000000"/>
          <w:sz w:val="24"/>
          <w:szCs w:val="24"/>
          <w:lang w:val="es-ES_tradnl"/>
        </w:rPr>
        <w:t xml:space="preserve">siete de marzo de dos mil veintidós, </w:t>
      </w:r>
      <w:r w:rsidR="00031688">
        <w:rPr>
          <w:rFonts w:ascii="Palatino Linotype" w:eastAsia="Palatino Linotype" w:hAnsi="Palatino Linotype" w:cs="Palatino Linotype"/>
          <w:b/>
          <w:color w:val="000000"/>
          <w:sz w:val="24"/>
          <w:szCs w:val="24"/>
          <w:lang w:val="es-ES_tradnl"/>
        </w:rPr>
        <w:t xml:space="preserve">El Recurrente </w:t>
      </w:r>
      <w:r w:rsidR="00031688"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031688">
        <w:rPr>
          <w:rFonts w:ascii="Palatino Linotype" w:eastAsia="Palatino Linotype" w:hAnsi="Palatino Linotype" w:cs="Palatino Linotype"/>
          <w:b/>
          <w:color w:val="000000"/>
          <w:sz w:val="24"/>
          <w:szCs w:val="24"/>
          <w:lang w:val="es-ES_tradnl"/>
        </w:rPr>
        <w:t>E</w:t>
      </w:r>
      <w:r w:rsidR="00031688" w:rsidRPr="00C00092">
        <w:rPr>
          <w:rFonts w:ascii="Palatino Linotype" w:eastAsia="Palatino Linotype" w:hAnsi="Palatino Linotype" w:cs="Palatino Linotype"/>
          <w:b/>
          <w:color w:val="000000"/>
          <w:sz w:val="24"/>
          <w:szCs w:val="24"/>
          <w:lang w:val="es-ES_tradnl"/>
        </w:rPr>
        <w:t>l Sujeto Obligado,</w:t>
      </w:r>
      <w:r w:rsidR="00031688"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031688">
        <w:rPr>
          <w:rFonts w:ascii="Palatino Linotype" w:eastAsia="Palatino Linotype" w:hAnsi="Palatino Linotype" w:cs="Palatino Linotype"/>
          <w:color w:val="000000"/>
          <w:sz w:val="24"/>
          <w:szCs w:val="24"/>
          <w:lang w:val="es-ES_tradnl"/>
        </w:rPr>
        <w:t xml:space="preserve"> </w:t>
      </w:r>
      <w:r w:rsidR="00031688">
        <w:rPr>
          <w:rFonts w:ascii="Palatino Linotype" w:eastAsia="Palatino Linotype" w:hAnsi="Palatino Linotype" w:cs="Palatino Linotype"/>
          <w:b/>
          <w:color w:val="000000"/>
          <w:sz w:val="24"/>
          <w:szCs w:val="24"/>
          <w:lang w:val="es-ES_tradnl"/>
        </w:rPr>
        <w:t xml:space="preserve">01970/METEPEC/IP/2022, </w:t>
      </w:r>
      <w:r w:rsidR="00031688">
        <w:rPr>
          <w:rFonts w:ascii="Palatino Linotype" w:eastAsia="Palatino Linotype" w:hAnsi="Palatino Linotype" w:cs="Palatino Linotype"/>
          <w:color w:val="000000"/>
          <w:sz w:val="24"/>
          <w:szCs w:val="24"/>
          <w:lang w:val="es-ES_tradnl"/>
        </w:rPr>
        <w:t xml:space="preserve">mediante la cual solicitó información en el tenor siguiente: </w:t>
      </w:r>
    </w:p>
    <w:p w14:paraId="62E71A86" w14:textId="7036F4C1" w:rsidR="00031688" w:rsidRPr="00031688" w:rsidRDefault="00031688" w:rsidP="00031688">
      <w:pPr>
        <w:pStyle w:val="INFOEM"/>
        <w:rPr>
          <w:rFonts w:eastAsia="Palatino Linotype" w:cs="Palatino Linotype"/>
          <w:b/>
          <w:sz w:val="24"/>
          <w:szCs w:val="24"/>
          <w:lang w:val="es-ES_tradnl"/>
        </w:rPr>
      </w:pPr>
      <w:r>
        <w:t xml:space="preserve">“Se solicita copia del nombramiento de Luis Estuardo Rodríguez </w:t>
      </w:r>
      <w:proofErr w:type="spellStart"/>
      <w:r>
        <w:t>Levasseur</w:t>
      </w:r>
      <w:proofErr w:type="spellEnd"/>
      <w:r>
        <w:t xml:space="preserve">. Así mismo, se solicita copia de todos los recibos de nómina emitidos durante la presente administración.” </w:t>
      </w:r>
      <w:r>
        <w:rPr>
          <w:b/>
        </w:rPr>
        <w:t>(Sic)</w:t>
      </w: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DDD4B11" w14:textId="77777777" w:rsidR="00031688" w:rsidRDefault="00031688" w:rsidP="00031688">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0D95B1C2" w14:textId="6494EBA8" w:rsidR="00031688" w:rsidRPr="001D3E11" w:rsidRDefault="00031688" w:rsidP="00031688">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veintinueve de marzo de dos mil veintidós, </w:t>
      </w:r>
      <w:r>
        <w:rPr>
          <w:rFonts w:ascii="Palatino Linotype" w:hAnsi="Palatino Linotype" w:cs="Arial"/>
          <w:b/>
          <w:sz w:val="24"/>
          <w:szCs w:val="24"/>
        </w:rPr>
        <w:t xml:space="preserve">El Sujeto Obligado </w:t>
      </w:r>
      <w:r>
        <w:rPr>
          <w:rFonts w:ascii="Palatino Linotype" w:hAnsi="Palatino Linotype" w:cs="Arial"/>
          <w:sz w:val="24"/>
        </w:rPr>
        <w:t xml:space="preserve">solicitó </w:t>
      </w:r>
      <w:r>
        <w:rPr>
          <w:rFonts w:ascii="Palatino Linotype" w:hAnsi="Palatino Linotype" w:cs="Arial"/>
          <w:sz w:val="24"/>
          <w:szCs w:val="24"/>
        </w:rPr>
        <w:t xml:space="preserve">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w:t>
      </w:r>
      <w:r>
        <w:rPr>
          <w:rFonts w:ascii="Palatino Linotype" w:hAnsi="Palatino Linotype"/>
          <w:b/>
          <w:sz w:val="24"/>
          <w:szCs w:val="24"/>
        </w:rPr>
        <w:t xml:space="preserve">no </w:t>
      </w:r>
      <w:r>
        <w:rPr>
          <w:rFonts w:ascii="Palatino Linotype" w:hAnsi="Palatino Linotype"/>
          <w:sz w:val="24"/>
          <w:szCs w:val="24"/>
        </w:rPr>
        <w:t xml:space="preserve">cumple con lo 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79B89907" w14:textId="77777777" w:rsidR="00031688" w:rsidRDefault="00031688"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66E27C01" w14:textId="45B283A0" w:rsidR="00031688" w:rsidRDefault="00FB10A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 xml:space="preserve">De la </w:t>
      </w:r>
      <w:r>
        <w:rPr>
          <w:rFonts w:ascii="Palatino Linotype" w:eastAsia="Palatino Linotype" w:hAnsi="Palatino Linotype" w:cs="Palatino Linotype"/>
          <w:b/>
          <w:color w:val="000000"/>
          <w:sz w:val="26"/>
          <w:szCs w:val="26"/>
          <w:lang w:val="es-ES_tradnl"/>
        </w:rPr>
        <w:t xml:space="preserve">respuesta del Sujeto Obligado. </w:t>
      </w:r>
    </w:p>
    <w:p w14:paraId="19CAAB15" w14:textId="7826FD08"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B55679">
        <w:rPr>
          <w:rFonts w:ascii="Palatino Linotype" w:eastAsia="Palatino Linotype" w:hAnsi="Palatino Linotype" w:cs="Palatino Linotype"/>
          <w:b/>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C00092" w:rsidRPr="00C00092">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6C705ADA" w14:textId="77777777" w:rsidR="00FB10A3" w:rsidRPr="00883102" w:rsidRDefault="00FB10A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070CEB3" w:rsidR="00DE3512" w:rsidRPr="00883102" w:rsidRDefault="00FB10A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Del recurso de revisión.</w:t>
      </w:r>
    </w:p>
    <w:p w14:paraId="1B7B6556" w14:textId="0485F7B8" w:rsidR="00A63D64"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B55679">
        <w:rPr>
          <w:rFonts w:ascii="Palatino Linotype" w:eastAsia="Palatino Linotype" w:hAnsi="Palatino Linotype" w:cs="Palatino Linotype"/>
          <w:color w:val="000000"/>
          <w:sz w:val="24"/>
          <w:szCs w:val="24"/>
          <w:lang w:val="es-ES_tradnl"/>
        </w:rPr>
        <w:t>tres</w:t>
      </w:r>
      <w:r w:rsidR="00A63D64">
        <w:rPr>
          <w:rFonts w:ascii="Palatino Linotype" w:eastAsia="Palatino Linotype" w:hAnsi="Palatino Linotype" w:cs="Palatino Linotype"/>
          <w:color w:val="000000"/>
          <w:sz w:val="24"/>
          <w:szCs w:val="24"/>
          <w:lang w:val="es-ES_tradnl"/>
        </w:rPr>
        <w:t xml:space="preserve"> de mayo de dos mil veintidós, </w:t>
      </w:r>
      <w:r w:rsidR="00A63D64">
        <w:rPr>
          <w:rFonts w:ascii="Palatino Linotype" w:eastAsia="Palatino Linotype" w:hAnsi="Palatino Linotype" w:cs="Palatino Linotype"/>
          <w:b/>
          <w:color w:val="000000"/>
          <w:sz w:val="24"/>
          <w:szCs w:val="24"/>
          <w:lang w:val="es-ES_tradnl"/>
        </w:rPr>
        <w:t xml:space="preserve">El Recurrente </w:t>
      </w:r>
      <w:r w:rsidR="00A63D64">
        <w:rPr>
          <w:rFonts w:ascii="Palatino Linotype" w:eastAsia="Palatino Linotype" w:hAnsi="Palatino Linotype" w:cs="Palatino Linotype"/>
          <w:color w:val="000000"/>
          <w:sz w:val="24"/>
          <w:szCs w:val="24"/>
          <w:lang w:val="es-ES_tradnl"/>
        </w:rPr>
        <w:t xml:space="preserve">interpuso el presente recurso de revisión, el cual fue registrado en el </w:t>
      </w:r>
      <w:r w:rsidR="00A63D64">
        <w:rPr>
          <w:rFonts w:ascii="Palatino Linotype" w:eastAsia="Palatino Linotype" w:hAnsi="Palatino Linotype" w:cs="Palatino Linotype"/>
          <w:b/>
          <w:color w:val="000000"/>
          <w:sz w:val="24"/>
          <w:szCs w:val="24"/>
          <w:lang w:val="es-ES_tradnl"/>
        </w:rPr>
        <w:t xml:space="preserve">SAIMEX </w:t>
      </w:r>
      <w:r w:rsidR="00A63D64">
        <w:rPr>
          <w:rFonts w:ascii="Palatino Linotype" w:eastAsia="Palatino Linotype" w:hAnsi="Palatino Linotype" w:cs="Palatino Linotype"/>
          <w:color w:val="000000"/>
          <w:sz w:val="24"/>
          <w:szCs w:val="24"/>
          <w:lang w:val="es-ES_tradnl"/>
        </w:rPr>
        <w:t xml:space="preserve">con el expediente número </w:t>
      </w:r>
      <w:r w:rsidR="00FB10A3">
        <w:rPr>
          <w:rFonts w:ascii="Palatino Linotype" w:eastAsia="Palatino Linotype" w:hAnsi="Palatino Linotype" w:cs="Palatino Linotype"/>
          <w:b/>
          <w:bCs/>
          <w:color w:val="000000"/>
          <w:sz w:val="24"/>
          <w:szCs w:val="24"/>
          <w:lang w:val="es-ES_tradnl"/>
        </w:rPr>
        <w:t>06900</w:t>
      </w:r>
      <w:r w:rsidR="00A63D64">
        <w:rPr>
          <w:rFonts w:ascii="Palatino Linotype" w:eastAsia="Palatino Linotype" w:hAnsi="Palatino Linotype" w:cs="Palatino Linotype"/>
          <w:b/>
          <w:bCs/>
          <w:color w:val="000000"/>
          <w:sz w:val="24"/>
          <w:szCs w:val="24"/>
          <w:lang w:val="es-ES_tradnl"/>
        </w:rPr>
        <w:t xml:space="preserve">/INFOEM/IP/RR/2022, </w:t>
      </w:r>
      <w:r w:rsidR="00FB10A3">
        <w:rPr>
          <w:rFonts w:ascii="Palatino Linotype" w:eastAsia="Palatino Linotype" w:hAnsi="Palatino Linotype" w:cs="Palatino Linotype"/>
          <w:color w:val="000000"/>
          <w:sz w:val="24"/>
          <w:szCs w:val="24"/>
          <w:lang w:val="es-ES_tradnl"/>
        </w:rPr>
        <w:t>manifestando lo siguiente:</w:t>
      </w:r>
    </w:p>
    <w:p w14:paraId="5DEC19B1" w14:textId="77777777" w:rsidR="00FB10A3" w:rsidRPr="00A63D64" w:rsidRDefault="00FB10A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lastRenderedPageBreak/>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3DE95B2A" w14:textId="55D2671E" w:rsidR="00C00092" w:rsidRPr="00C00092" w:rsidRDefault="00C00092" w:rsidP="00C00092">
      <w:pPr>
        <w:pStyle w:val="INFOEM"/>
        <w:rPr>
          <w:rFonts w:eastAsia="Palatino Linotype" w:cs="Palatino Linotype"/>
          <w:b/>
          <w:sz w:val="24"/>
          <w:szCs w:val="24"/>
          <w:lang w:val="es-ES_tradnl"/>
        </w:rPr>
      </w:pPr>
      <w:r w:rsidRPr="00FB10A3">
        <w:t>“</w:t>
      </w:r>
      <w:r w:rsidR="00FB10A3" w:rsidRPr="00FB10A3">
        <w:t>La negativa de respuesta del sujeto obligado.</w:t>
      </w:r>
      <w:r w:rsidRPr="00FB10A3">
        <w:t xml:space="preserve">” </w:t>
      </w:r>
      <w:r>
        <w:rPr>
          <w:b/>
        </w:rPr>
        <w:t>(Sic)</w:t>
      </w: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3297B594" w14:textId="56CCF3B2" w:rsidR="00BE7F8D" w:rsidRPr="00C00092" w:rsidRDefault="00C00092" w:rsidP="00C00092">
      <w:pPr>
        <w:pStyle w:val="INFOEM"/>
        <w:rPr>
          <w:rFonts w:eastAsia="Palatino Linotype" w:cs="Palatino Linotype"/>
          <w:b/>
          <w:sz w:val="24"/>
          <w:szCs w:val="24"/>
          <w:lang w:val="es-ES_tradnl"/>
        </w:rPr>
      </w:pPr>
      <w:r w:rsidRPr="00FB10A3">
        <w:t>“</w:t>
      </w:r>
      <w:r w:rsidR="00FB10A3" w:rsidRPr="00FB10A3">
        <w:t>El sujeto obligado ha sido constantemente omiso en la atención de solicitudes de información. Aunque supuestamente se autorizó una prórroga de 7 días hábiles adicionales, ésta venció hace 13 días hábiles. Se solicita al pleno del INFOEM pueda ordenar la entrega de información ya que se está vulnerando mi derecho de acceso a la información pública.</w:t>
      </w:r>
      <w:r w:rsidRPr="00FB10A3">
        <w:t>”</w:t>
      </w:r>
      <w:r>
        <w:t xml:space="preserve"> </w:t>
      </w:r>
      <w:r>
        <w:rPr>
          <w:b/>
        </w:rPr>
        <w:t>(Sic)</w:t>
      </w:r>
    </w:p>
    <w:p w14:paraId="2A9343BE" w14:textId="77777777" w:rsidR="00C00092" w:rsidRDefault="00C00092"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1D2C7FB9" w:rsidR="00DE3512" w:rsidRPr="00883102" w:rsidRDefault="00B55679"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660DBDC7"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684491">
        <w:rPr>
          <w:rFonts w:ascii="Palatino Linotype" w:eastAsia="Palatino Linotype" w:hAnsi="Palatino Linotype" w:cs="Palatino Linotype"/>
          <w:color w:val="000000"/>
          <w:sz w:val="24"/>
          <w:szCs w:val="24"/>
          <w:lang w:val="es-ES_tradnl"/>
        </w:rPr>
        <w:t xml:space="preserve">que en fecha </w:t>
      </w:r>
      <w:r w:rsidR="00FB10A3">
        <w:rPr>
          <w:rFonts w:ascii="Palatino Linotype" w:eastAsia="Palatino Linotype" w:hAnsi="Palatino Linotype" w:cs="Palatino Linotype"/>
          <w:color w:val="000000"/>
          <w:sz w:val="24"/>
          <w:szCs w:val="24"/>
          <w:lang w:val="es-ES_tradnl"/>
        </w:rPr>
        <w:t>once de mayo</w:t>
      </w:r>
      <w:r w:rsidR="00C00092">
        <w:rPr>
          <w:rFonts w:ascii="Palatino Linotype" w:eastAsia="Palatino Linotype" w:hAnsi="Palatino Linotype" w:cs="Palatino Linotype"/>
          <w:color w:val="000000"/>
          <w:sz w:val="24"/>
          <w:szCs w:val="24"/>
          <w:lang w:val="es-ES_tradnl"/>
        </w:rPr>
        <w:t xml:space="preserve"> de dos mil veintidós, </w:t>
      </w:r>
      <w:r w:rsidRPr="00883102">
        <w:rPr>
          <w:rFonts w:ascii="Palatino Linotype" w:eastAsia="Palatino Linotype" w:hAnsi="Palatino Linotype" w:cs="Palatino Linotype"/>
          <w:color w:val="000000"/>
          <w:sz w:val="24"/>
          <w:szCs w:val="24"/>
          <w:lang w:val="es-ES_tradnl"/>
        </w:rPr>
        <w:t>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0AB2E0DB" w:rsidR="00DE3512" w:rsidRPr="00883102" w:rsidRDefault="00B55679"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SEXTO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06D4075F" w14:textId="77777777" w:rsidR="00C00092" w:rsidRDefault="00C00092" w:rsidP="00C0009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F2B84BB" w14:textId="20A7DC59" w:rsidR="00C00092" w:rsidRDefault="00C00092" w:rsidP="00C000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B10A3">
        <w:rPr>
          <w:rFonts w:ascii="Palatino Linotype" w:hAnsi="Palatino Linotype" w:cs="Arial"/>
          <w:b/>
          <w:sz w:val="24"/>
          <w:szCs w:val="24"/>
        </w:rPr>
        <w:t>veinticuatro de mayo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8E0A22C" w14:textId="4642F0DA" w:rsidR="00FB10A3" w:rsidRDefault="00FB10A3" w:rsidP="00FB10A3">
      <w:pPr>
        <w:spacing w:before="240" w:line="360" w:lineRule="auto"/>
        <w:jc w:val="both"/>
        <w:rPr>
          <w:rFonts w:ascii="Palatino Linotype" w:hAnsi="Palatino Linotype" w:cs="Arial"/>
          <w:sz w:val="24"/>
          <w:szCs w:val="24"/>
        </w:rPr>
      </w:pPr>
      <w:proofErr w:type="gramStart"/>
      <w:r w:rsidRPr="0036654D">
        <w:rPr>
          <w:rFonts w:ascii="Palatino Linotype" w:hAnsi="Palatino Linotype" w:cs="Arial"/>
          <w:sz w:val="24"/>
          <w:szCs w:val="24"/>
        </w:rPr>
        <w:t>Así,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sidR="00B25A44">
        <w:rPr>
          <w:rFonts w:ascii="Palatino Linotype" w:hAnsi="Palatino Linotype" w:cs="Arial"/>
          <w:b/>
          <w:sz w:val="24"/>
          <w:szCs w:val="24"/>
        </w:rPr>
        <w:t>veintiuno</w:t>
      </w:r>
      <w:r>
        <w:rPr>
          <w:rFonts w:ascii="Palatino Linotype" w:hAnsi="Palatino Linotype" w:cs="Arial"/>
          <w:b/>
          <w:sz w:val="24"/>
          <w:szCs w:val="24"/>
        </w:rPr>
        <w:t xml:space="preserve"> de junio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4FCD4AAA" w14:textId="77777777" w:rsidR="00FB10A3" w:rsidRDefault="00FB10A3" w:rsidP="00C00092">
      <w:pPr>
        <w:spacing w:before="240" w:line="360" w:lineRule="auto"/>
        <w:jc w:val="center"/>
        <w:rPr>
          <w:rFonts w:ascii="Palatino Linotype" w:hAnsi="Palatino Linotype" w:cs="Arial"/>
          <w:b/>
          <w:sz w:val="24"/>
        </w:rPr>
      </w:pPr>
    </w:p>
    <w:p w14:paraId="57C9775C" w14:textId="77777777"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 xml:space="preserve">Constitución Política del Estado Libre y </w:t>
      </w:r>
      <w:r w:rsidRPr="00582D89">
        <w:rPr>
          <w:rFonts w:ascii="Palatino Linotype" w:hAnsi="Palatino Linotype"/>
          <w:b/>
          <w:color w:val="000000" w:themeColor="text1"/>
          <w:sz w:val="24"/>
          <w:szCs w:val="24"/>
        </w:rPr>
        <w:lastRenderedPageBreak/>
        <w:t>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ListParagraph"/>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77777777" w:rsidR="00C00092" w:rsidRDefault="00C00092" w:rsidP="00C00092">
      <w:pPr>
        <w:pStyle w:val="ListParagraph"/>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C87F557" w14:textId="77777777" w:rsidR="00C00092" w:rsidRDefault="00C00092" w:rsidP="00C00092">
      <w:pPr>
        <w:pStyle w:val="ListParagraph"/>
        <w:autoSpaceDE w:val="0"/>
        <w:autoSpaceDN w:val="0"/>
        <w:adjustRightInd w:val="0"/>
        <w:spacing w:before="240" w:after="160" w:line="360" w:lineRule="auto"/>
        <w:ind w:left="0"/>
        <w:jc w:val="both"/>
        <w:rPr>
          <w:rFonts w:ascii="Palatino Linotype" w:hAnsi="Palatino Linotype" w:cs="Arial"/>
        </w:rPr>
      </w:pPr>
    </w:p>
    <w:p w14:paraId="070A2B4D" w14:textId="77777777" w:rsidR="00C00092" w:rsidRDefault="00C00092" w:rsidP="00C0009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2C2BD51B"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89B4620"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lastRenderedPageBreak/>
        <w:t xml:space="preserve">“Artículo 180. </w:t>
      </w:r>
      <w:r w:rsidRPr="00187D70">
        <w:rPr>
          <w:rFonts w:ascii="Palatino Linotype" w:eastAsia="Times New Roman" w:hAnsi="Palatino Linotype" w:cs="Arial"/>
          <w:i/>
          <w:lang w:eastAsia="es-ES"/>
        </w:rPr>
        <w:t>El recurso de revisión contendrá:</w:t>
      </w:r>
    </w:p>
    <w:p w14:paraId="67DE00E1"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AD4ADFA"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C231B6C"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9DFE2A3"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06705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B108D5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50C788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A79FA4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484AC59"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0D4B1B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AB29C16" w14:textId="77777777" w:rsidR="00C00092" w:rsidRPr="009B74C2" w:rsidRDefault="00C00092" w:rsidP="00C0009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1B64EED" w14:textId="77777777" w:rsidR="00FB10A3" w:rsidRDefault="00FB10A3" w:rsidP="00C00092">
      <w:pPr>
        <w:spacing w:after="0" w:line="360" w:lineRule="auto"/>
        <w:jc w:val="both"/>
        <w:rPr>
          <w:rFonts w:ascii="Palatino Linotype" w:hAnsi="Palatino Linotype" w:cs="Segoe UI"/>
          <w:sz w:val="24"/>
          <w:szCs w:val="24"/>
          <w:lang w:val="es-ES" w:eastAsia="es-ES"/>
        </w:rPr>
      </w:pPr>
    </w:p>
    <w:p w14:paraId="111AD355" w14:textId="77777777" w:rsidR="00C00092" w:rsidRPr="00187D70" w:rsidRDefault="00C00092" w:rsidP="00C00092">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D2A2777" w14:textId="77777777" w:rsidR="00C00092" w:rsidRDefault="00C00092" w:rsidP="00C00092">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538D3EC" w14:textId="77777777" w:rsidR="00C00092" w:rsidRPr="009B74C2" w:rsidRDefault="00C00092" w:rsidP="00C00092">
      <w:pPr>
        <w:spacing w:before="240" w:line="360" w:lineRule="auto"/>
        <w:ind w:left="851" w:right="851"/>
        <w:jc w:val="both"/>
        <w:rPr>
          <w:rFonts w:ascii="Palatino Linotype" w:hAnsi="Palatino Linotype" w:cs="Arial"/>
          <w:b/>
          <w:i/>
          <w:lang w:val="es-ES" w:eastAsia="es-ES"/>
        </w:rPr>
      </w:pPr>
    </w:p>
    <w:p w14:paraId="502700D1" w14:textId="77777777" w:rsidR="00C00092" w:rsidRDefault="00C00092" w:rsidP="00C00092">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035723FA" w14:textId="7777777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10BDD53"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w:t>
      </w:r>
      <w:r w:rsidRPr="00187D70">
        <w:rPr>
          <w:rFonts w:ascii="Palatino Linotype" w:eastAsia="Times New Roman" w:hAnsi="Palatino Linotype" w:cs="Times New Roman"/>
          <w:i/>
          <w:lang w:val="es-ES" w:eastAsia="es-ES"/>
        </w:rPr>
        <w:lastRenderedPageBreak/>
        <w:t>los derechos de terceros, provoque algún delito, o perturbe el orden público; el derecho de réplica será ejercido en los términos dispuestos por la ley. El derecho a la información será garantizado por el Estado.</w:t>
      </w:r>
    </w:p>
    <w:p w14:paraId="7F36992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9DA15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6436756"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2E03B4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F4E5E45"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C834A3E" w14:textId="77777777" w:rsidR="00C0009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62B92982" w14:textId="7777777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47A3BDC"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187D70">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10576CBF"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4F39EC0"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DEA8B"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BB923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DE518E8"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8F9365A"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BA6EBC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DAFAC9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677C4C4E"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688426D" w14:textId="77777777" w:rsidR="00C00092" w:rsidRPr="009B74C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4690D43" w14:textId="77777777" w:rsidR="00C00092" w:rsidRDefault="00C00092" w:rsidP="00C00092">
      <w:pPr>
        <w:spacing w:after="0" w:line="360" w:lineRule="auto"/>
        <w:jc w:val="both"/>
        <w:rPr>
          <w:rFonts w:ascii="Palatino Linotype" w:eastAsia="Times New Roman" w:hAnsi="Palatino Linotype" w:cs="Times New Roman"/>
          <w:sz w:val="24"/>
          <w:szCs w:val="24"/>
          <w:lang w:val="es-ES" w:eastAsia="es-ES"/>
        </w:rPr>
      </w:pPr>
    </w:p>
    <w:p w14:paraId="5D2EAFFC"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3223EE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D4BE8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39EE066"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01134CE0"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p>
    <w:p w14:paraId="5C78DA1B" w14:textId="77777777" w:rsidR="00C00092" w:rsidRDefault="00C00092" w:rsidP="00C0009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7FAF9BC6" w14:textId="77777777" w:rsidR="00C00092" w:rsidRDefault="00C0009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0EF7E99A" w14:textId="77777777" w:rsidR="00C00092" w:rsidRDefault="00C0009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794070EC" w14:textId="1BC4A5CA"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6EA2DB5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w:t>
      </w:r>
      <w:r w:rsidRPr="00883102">
        <w:rPr>
          <w:rFonts w:ascii="Palatino Linotype" w:eastAsia="Palatino Linotype" w:hAnsi="Palatino Linotype" w:cs="Palatino Linotype"/>
          <w:color w:val="000000"/>
          <w:sz w:val="24"/>
          <w:szCs w:val="24"/>
          <w:lang w:val="es-ES_tradnl"/>
        </w:rPr>
        <w:lastRenderedPageBreak/>
        <w:t>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w:t>
      </w:r>
      <w:r w:rsidRPr="00883102">
        <w:rPr>
          <w:rFonts w:ascii="Palatino Linotype" w:eastAsia="Palatino Linotype" w:hAnsi="Palatino Linotype" w:cs="Palatino Linotype"/>
          <w:color w:val="000000"/>
          <w:sz w:val="24"/>
          <w:szCs w:val="24"/>
          <w:lang w:val="es-ES_tradnl"/>
        </w:rPr>
        <w:lastRenderedPageBreak/>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8E02DA3" w14:textId="794612C2" w:rsidR="00DE3512" w:rsidRPr="00883102" w:rsidRDefault="00C00092" w:rsidP="00C00092">
      <w:pPr>
        <w:pStyle w:val="INFOEM"/>
        <w:rPr>
          <w:lang w:val="es-ES_tradnl"/>
        </w:rPr>
      </w:pPr>
      <w:r>
        <w:rPr>
          <w:b/>
          <w:lang w:val="es-ES_tradnl"/>
        </w:rPr>
        <w:t>“</w:t>
      </w:r>
      <w:r w:rsidR="00DE3512" w:rsidRPr="00883102">
        <w:rPr>
          <w:b/>
          <w:lang w:val="es-ES_tradnl"/>
        </w:rPr>
        <w:t>Artículo 4.</w:t>
      </w:r>
      <w:r w:rsidR="00DE3512"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D899D0" w14:textId="77777777" w:rsidR="00DE3512" w:rsidRPr="00883102" w:rsidRDefault="00DE3512" w:rsidP="00C00092">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43661" w14:textId="77777777" w:rsidR="00DE3512" w:rsidRPr="00883102" w:rsidRDefault="00DE3512" w:rsidP="00C00092">
      <w:pPr>
        <w:pStyle w:val="INFOEM"/>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79EC60CD" w14:textId="77777777" w:rsidR="00DE3512" w:rsidRPr="00883102" w:rsidRDefault="00DE3512" w:rsidP="00C00092">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51ED37E8" w14:textId="77777777" w:rsidR="00DE3512" w:rsidRPr="00883102" w:rsidRDefault="00DE3512" w:rsidP="00C00092">
      <w:pPr>
        <w:pStyle w:val="INFOEM"/>
        <w:rPr>
          <w:lang w:val="es-ES_tradnl"/>
        </w:rPr>
      </w:pPr>
      <w:r w:rsidRPr="00883102">
        <w:rPr>
          <w:lang w:val="es-ES_tradnl"/>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C00092">
      <w:pPr>
        <w:pStyle w:val="INFOEM"/>
        <w:rPr>
          <w:lang w:val="es-ES_tradnl"/>
        </w:rPr>
      </w:pPr>
      <w:r w:rsidRPr="00883102">
        <w:rPr>
          <w:lang w:val="es-ES_tradnl"/>
        </w:rPr>
        <w:t>(…)</w:t>
      </w:r>
    </w:p>
    <w:p w14:paraId="0E2F6367" w14:textId="77777777" w:rsidR="00DE3512" w:rsidRPr="00883102" w:rsidRDefault="00DE3512" w:rsidP="00C00092">
      <w:pPr>
        <w:pStyle w:val="INFOEM"/>
        <w:rPr>
          <w:b/>
          <w:lang w:val="es-ES_tradnl"/>
        </w:rPr>
      </w:pPr>
      <w:r w:rsidRPr="00883102">
        <w:rPr>
          <w:b/>
          <w:lang w:val="es-ES_tradnl"/>
        </w:rPr>
        <w:t xml:space="preserve">Artículo 24. </w:t>
      </w:r>
    </w:p>
    <w:p w14:paraId="4B052D26" w14:textId="77777777" w:rsidR="00DE3512" w:rsidRPr="00883102" w:rsidRDefault="00DE3512" w:rsidP="00C00092">
      <w:pPr>
        <w:pStyle w:val="INFOEM"/>
        <w:rPr>
          <w:lang w:val="es-ES_tradnl"/>
        </w:rPr>
      </w:pPr>
      <w:r w:rsidRPr="00883102">
        <w:rPr>
          <w:lang w:val="es-ES_tradnl"/>
        </w:rPr>
        <w:t>(…)</w:t>
      </w:r>
    </w:p>
    <w:p w14:paraId="20A1F6A1" w14:textId="77777777" w:rsidR="00DE3512" w:rsidRPr="00883102" w:rsidRDefault="00DE3512" w:rsidP="00C00092">
      <w:pPr>
        <w:pStyle w:val="INFOEM"/>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C00092">
      <w:pPr>
        <w:pStyle w:val="INFOEM"/>
        <w:rPr>
          <w:lang w:val="es-ES_tradnl"/>
        </w:rPr>
      </w:pPr>
      <w:r w:rsidRPr="00883102">
        <w:rPr>
          <w:lang w:val="es-ES_tradnl"/>
        </w:rPr>
        <w:t>(…)</w:t>
      </w:r>
    </w:p>
    <w:p w14:paraId="3B81CB7D" w14:textId="77777777" w:rsidR="00DE3512" w:rsidRPr="00883102" w:rsidRDefault="00DE3512" w:rsidP="00C00092">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5E3C37E" w14:textId="5F2D7C21" w:rsidR="00DE3512" w:rsidRPr="00C00092" w:rsidRDefault="00DE3512" w:rsidP="00C00092">
      <w:pPr>
        <w:pStyle w:val="INFOEM"/>
        <w:rPr>
          <w:b/>
          <w:lang w:val="es-ES_tradnl"/>
        </w:rPr>
      </w:pPr>
      <w:r w:rsidRPr="00883102">
        <w:rPr>
          <w:lang w:val="es-ES_tradnl"/>
        </w:rPr>
        <w:t>En caso que la información solicitada consista en bases de datos se deberá privilegiar la entrega de la misma en formatos abiertos.</w:t>
      </w:r>
      <w:r w:rsidR="00C00092">
        <w:rPr>
          <w:lang w:val="es-ES_tradnl"/>
        </w:rPr>
        <w:t xml:space="preserve">” </w:t>
      </w:r>
      <w:r w:rsidR="00C00092">
        <w:rPr>
          <w:b/>
          <w:lang w:val="es-ES_tradnl"/>
        </w:rPr>
        <w:t>(Sic)</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w:t>
      </w:r>
      <w:r w:rsidRPr="00883102">
        <w:rPr>
          <w:rFonts w:ascii="Palatino Linotype" w:eastAsia="Palatino Linotype" w:hAnsi="Palatino Linotype" w:cs="Palatino Linotype"/>
          <w:color w:val="000000"/>
          <w:sz w:val="24"/>
          <w:szCs w:val="24"/>
          <w:lang w:val="es-ES_tradnl"/>
        </w:rPr>
        <w:lastRenderedPageBreak/>
        <w:t>a su disposición la información requerida, o cuando realice la consulta de la misma en el lugar que ésta se localice, de acuerdo a lo señalado por el artículo 166 de la Ley local en la materia, que se reproduce de la siguiente forma:</w:t>
      </w:r>
    </w:p>
    <w:p w14:paraId="5A0DCD91" w14:textId="213D811F" w:rsidR="00DE3512" w:rsidRPr="003834CC" w:rsidRDefault="003834CC" w:rsidP="003834CC">
      <w:pPr>
        <w:pStyle w:val="INFOEM"/>
        <w:rPr>
          <w:b/>
          <w:lang w:val="es-ES_tradnl"/>
        </w:rPr>
      </w:pPr>
      <w:r>
        <w:rPr>
          <w:b/>
          <w:lang w:val="es-ES_tradnl"/>
        </w:rPr>
        <w:t>“</w:t>
      </w:r>
      <w:r w:rsidR="00DE3512" w:rsidRPr="00883102">
        <w:rPr>
          <w:b/>
          <w:lang w:val="es-ES_tradnl"/>
        </w:rPr>
        <w:t>Artículo 166.</w:t>
      </w:r>
      <w:r w:rsidR="00DE3512"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3A476EBD" w14:textId="41229539" w:rsidR="00DE3512" w:rsidRPr="00883102" w:rsidRDefault="003834CC" w:rsidP="003834CC">
      <w:pPr>
        <w:pStyle w:val="INFOEM"/>
        <w:rPr>
          <w:lang w:val="es-ES_tradnl"/>
        </w:rPr>
      </w:pPr>
      <w:r>
        <w:rPr>
          <w:b/>
          <w:lang w:val="es-ES_tradnl"/>
        </w:rPr>
        <w:t>“</w:t>
      </w:r>
      <w:r w:rsidR="00DE3512" w:rsidRPr="00883102">
        <w:rPr>
          <w:b/>
          <w:lang w:val="es-ES_tradnl"/>
        </w:rPr>
        <w:t>Artículo 24.</w:t>
      </w:r>
      <w:r w:rsidR="00DE3512"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3834CC">
      <w:pPr>
        <w:pStyle w:val="INFOEM"/>
        <w:rPr>
          <w:lang w:val="es-ES_tradnl"/>
        </w:rPr>
      </w:pPr>
      <w:r w:rsidRPr="00883102">
        <w:rPr>
          <w:lang w:val="es-ES_tradnl"/>
        </w:rPr>
        <w:t>(...)</w:t>
      </w:r>
    </w:p>
    <w:p w14:paraId="24F1254C" w14:textId="77777777" w:rsidR="00DE3512" w:rsidRPr="00883102" w:rsidRDefault="00DE3512" w:rsidP="003834CC">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523090C7" w14:textId="72E3A7C0" w:rsidR="00DE3512" w:rsidRPr="003834CC" w:rsidRDefault="00DE3512" w:rsidP="003834CC">
      <w:pPr>
        <w:pStyle w:val="INFOEM"/>
        <w:rPr>
          <w:b/>
          <w:lang w:val="es-ES_tradnl"/>
        </w:rPr>
      </w:pPr>
      <w:r w:rsidRPr="00883102">
        <w:rPr>
          <w:lang w:val="es-ES_tradnl"/>
        </w:rPr>
        <w:t>(...)</w:t>
      </w:r>
      <w:r w:rsidR="003834CC">
        <w:rPr>
          <w:lang w:val="es-ES_tradnl"/>
        </w:rPr>
        <w:t xml:space="preserve">” </w:t>
      </w:r>
      <w:r w:rsidR="003834CC">
        <w:rPr>
          <w:b/>
          <w:lang w:val="es-ES_tradnl"/>
        </w:rPr>
        <w:t>(Sic)</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FA12A" w14:textId="6347725E" w:rsidR="00285EA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En este punto, es toral recordar que </w:t>
      </w:r>
      <w:r w:rsidR="003834CC">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w:t>
      </w:r>
      <w:r w:rsidR="00FB10A3">
        <w:rPr>
          <w:rFonts w:ascii="Palatino Linotype" w:eastAsia="Palatino Linotype" w:hAnsi="Palatino Linotype" w:cs="Palatino Linotype"/>
          <w:color w:val="000000"/>
          <w:sz w:val="24"/>
          <w:szCs w:val="24"/>
          <w:lang w:val="es-ES_tradnl"/>
        </w:rPr>
        <w:t xml:space="preserve">formuló dos requerimientos, respecto de los cuales se desprenden las siguientes consideraciones: </w:t>
      </w:r>
    </w:p>
    <w:p w14:paraId="57975291" w14:textId="655B974B" w:rsidR="00FB10A3" w:rsidRDefault="00FB10A3" w:rsidP="00FB10A3">
      <w:pPr>
        <w:pStyle w:val="ListParagraph"/>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Que con relación al primer requerimiento no fue señalado elemento temporal, debiendo de ser fijado a la fecha en que se ejerció el derecho de acceso a la información pública, es decir, al siete de marzo de dos mil veintidós. </w:t>
      </w:r>
    </w:p>
    <w:p w14:paraId="05C80652" w14:textId="76687F30" w:rsidR="00FB10A3" w:rsidRDefault="00FB10A3" w:rsidP="00FB10A3">
      <w:pPr>
        <w:pStyle w:val="ListParagraph"/>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Que en alusión al segundo requerimiento, fue requerido un soporte documental generado quincenalmente </w:t>
      </w:r>
      <w:r>
        <w:rPr>
          <w:rFonts w:ascii="Palatino Linotype" w:eastAsia="Palatino Linotype" w:hAnsi="Palatino Linotype" w:cs="Palatino Linotype"/>
          <w:b/>
          <w:color w:val="000000"/>
          <w:lang w:val="es-ES_tradnl"/>
        </w:rPr>
        <w:t xml:space="preserve">–del 1 al 15 o del 16 al 30-31-, </w:t>
      </w:r>
      <w:r>
        <w:rPr>
          <w:rFonts w:ascii="Palatino Linotype" w:eastAsia="Palatino Linotype" w:hAnsi="Palatino Linotype" w:cs="Palatino Linotype"/>
          <w:color w:val="000000"/>
          <w:lang w:val="es-ES_tradnl"/>
        </w:rPr>
        <w:t xml:space="preserve">precisando que el particular señaló </w:t>
      </w:r>
      <w:r>
        <w:rPr>
          <w:rFonts w:ascii="Palatino Linotype" w:eastAsia="Palatino Linotype" w:hAnsi="Palatino Linotype" w:cs="Palatino Linotype"/>
          <w:i/>
          <w:color w:val="000000"/>
          <w:lang w:val="es-ES_tradnl"/>
        </w:rPr>
        <w:t xml:space="preserve">“durante la presente administración”. </w:t>
      </w:r>
      <w:r>
        <w:rPr>
          <w:rFonts w:ascii="Palatino Linotype" w:eastAsia="Palatino Linotype" w:hAnsi="Palatino Linotype" w:cs="Palatino Linotype"/>
          <w:color w:val="000000"/>
          <w:lang w:val="es-ES_tradnl"/>
        </w:rPr>
        <w:t xml:space="preserve">En razón de lo anterior, se advierte que los soportes documentales disponibles son los correspondientes del uno de enero al veintiocho de febrero de dos mil veintidós. </w:t>
      </w:r>
    </w:p>
    <w:p w14:paraId="19FE948B" w14:textId="77777777" w:rsidR="00FB10A3" w:rsidRDefault="00FB10A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A93A525" w14:textId="77777777" w:rsidR="003B6990" w:rsidRPr="0051062B" w:rsidRDefault="003B6990" w:rsidP="003B6990">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0D338710" w14:textId="77777777" w:rsidR="003B6990" w:rsidRPr="0051062B" w:rsidRDefault="003B6990" w:rsidP="003B6990">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CD125CA" w14:textId="77777777" w:rsidR="003B6990" w:rsidRPr="0051062B" w:rsidRDefault="003B6990" w:rsidP="003B6990">
      <w:pPr>
        <w:pStyle w:val="Citas"/>
        <w:rPr>
          <w:b/>
        </w:rPr>
      </w:pPr>
      <w:r w:rsidRPr="0051062B">
        <w:rPr>
          <w:b/>
        </w:rPr>
        <w:t xml:space="preserve">Artículo 181. … </w:t>
      </w:r>
    </w:p>
    <w:p w14:paraId="4EA379F8" w14:textId="77777777" w:rsidR="003B6990" w:rsidRDefault="003B6990" w:rsidP="003B6990">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08AF2C9" w14:textId="77777777" w:rsidR="003B6990" w:rsidRPr="0051062B" w:rsidRDefault="003B6990" w:rsidP="003B6990">
      <w:pPr>
        <w:pStyle w:val="Citas"/>
        <w:rPr>
          <w:b/>
        </w:rPr>
      </w:pPr>
    </w:p>
    <w:p w14:paraId="1D91051A" w14:textId="77777777" w:rsidR="003B6990" w:rsidRDefault="003B6990" w:rsidP="003B699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0C2D1DAC" w14:textId="15707D8D" w:rsidR="003B6990" w:rsidRDefault="003B6990" w:rsidP="003B6990">
      <w:pPr>
        <w:pStyle w:val="ListParagraph"/>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Nombramiento y/o equivalente expedido a favor del C. Luis Estuardo Rodríguez </w:t>
      </w:r>
      <w:proofErr w:type="spellStart"/>
      <w:r>
        <w:rPr>
          <w:rFonts w:ascii="Palatino Linotype" w:eastAsia="Palatino Linotype" w:hAnsi="Palatino Linotype" w:cs="Palatino Linotype"/>
          <w:color w:val="000000"/>
          <w:lang w:val="es-ES_tradnl"/>
        </w:rPr>
        <w:t>Levasseur</w:t>
      </w:r>
      <w:proofErr w:type="spellEnd"/>
      <w:r>
        <w:rPr>
          <w:rFonts w:ascii="Palatino Linotype" w:eastAsia="Palatino Linotype" w:hAnsi="Palatino Linotype" w:cs="Palatino Linotype"/>
          <w:color w:val="000000"/>
          <w:lang w:val="es-ES_tradnl"/>
        </w:rPr>
        <w:t xml:space="preserve">, al siete de marzo de dos mil veintidós. </w:t>
      </w:r>
    </w:p>
    <w:p w14:paraId="008C685F" w14:textId="00522882" w:rsidR="003B6990" w:rsidRPr="00231952" w:rsidRDefault="003B6990" w:rsidP="003B6990">
      <w:pPr>
        <w:pStyle w:val="NoSpacing"/>
        <w:numPr>
          <w:ilvl w:val="0"/>
          <w:numId w:val="11"/>
        </w:numPr>
        <w:spacing w:line="360" w:lineRule="auto"/>
        <w:jc w:val="both"/>
        <w:rPr>
          <w:rFonts w:ascii="Palatino Linotype" w:hAnsi="Palatino Linotype"/>
        </w:rPr>
      </w:pPr>
      <w:r w:rsidRPr="00231952">
        <w:rPr>
          <w:rFonts w:ascii="Palatino Linotype" w:hAnsi="Palatino Linotype"/>
        </w:rPr>
        <w:t xml:space="preserve">Recibos de nómina, comprobante de pago o CFDI del personal adscrito al </w:t>
      </w:r>
      <w:r>
        <w:rPr>
          <w:rFonts w:ascii="Palatino Linotype" w:hAnsi="Palatino Linotype"/>
        </w:rPr>
        <w:t xml:space="preserve">Ayuntamiento de Metepec, del periodo comprendido del uno de enero al veintiocho de febrero de dos mil veintidós. </w:t>
      </w:r>
      <w:r w:rsidRPr="00231952">
        <w:rPr>
          <w:rFonts w:ascii="Palatino Linotype" w:hAnsi="Palatino Linotype"/>
        </w:rPr>
        <w:t xml:space="preserve">  </w:t>
      </w:r>
    </w:p>
    <w:p w14:paraId="3C78B420" w14:textId="77777777" w:rsidR="00FB10A3" w:rsidRDefault="00FB10A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44C85F02" w:rsidR="00285EA0" w:rsidRDefault="003834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00FE6B3A"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00FE6B3A" w:rsidRPr="003834CC">
        <w:rPr>
          <w:rFonts w:ascii="Palatino Linotype" w:eastAsia="Palatino Linotype" w:hAnsi="Palatino Linotype" w:cs="Palatino Linotype"/>
          <w:b/>
          <w:color w:val="000000"/>
          <w:sz w:val="24"/>
          <w:szCs w:val="24"/>
        </w:rPr>
        <w:t>l Sujeto Obligado</w:t>
      </w:r>
      <w:r w:rsidR="00FE6B3A" w:rsidRPr="00A27FD0">
        <w:rPr>
          <w:rFonts w:ascii="Palatino Linotype" w:eastAsia="Palatino Linotype" w:hAnsi="Palatino Linotype" w:cs="Palatino Linotype"/>
          <w:color w:val="000000"/>
          <w:sz w:val="24"/>
          <w:szCs w:val="24"/>
        </w:rPr>
        <w:t xml:space="preserve"> no</w:t>
      </w:r>
      <w:r w:rsidR="00FE6B3A">
        <w:rPr>
          <w:rFonts w:ascii="Palatino Linotype" w:eastAsia="Palatino Linotype" w:hAnsi="Palatino Linotype" w:cs="Palatino Linotype"/>
          <w:color w:val="000000"/>
          <w:sz w:val="24"/>
          <w:szCs w:val="24"/>
        </w:rPr>
        <w:t xml:space="preserve"> atendió la solicitud de mérito, </w:t>
      </w:r>
      <w:r>
        <w:rPr>
          <w:rFonts w:ascii="Palatino Linotype" w:eastAsia="Palatino Linotype" w:hAnsi="Palatino Linotype" w:cs="Palatino Linotype"/>
          <w:color w:val="000000"/>
          <w:sz w:val="24"/>
          <w:szCs w:val="24"/>
        </w:rPr>
        <w:t>el</w:t>
      </w:r>
      <w:r w:rsidR="00FE6B3A">
        <w:rPr>
          <w:rFonts w:ascii="Palatino Linotype" w:eastAsia="Palatino Linotype" w:hAnsi="Palatino Linotype" w:cs="Palatino Linotype"/>
          <w:color w:val="000000"/>
          <w:sz w:val="24"/>
          <w:szCs w:val="24"/>
        </w:rPr>
        <w:t xml:space="preserve"> particular interpuso su medio de impugnación señalando como acto impugnado </w:t>
      </w:r>
      <w:r w:rsidR="00684491">
        <w:rPr>
          <w:rFonts w:ascii="Palatino Linotype" w:eastAsia="Palatino Linotype" w:hAnsi="Palatino Linotype" w:cs="Palatino Linotype"/>
          <w:color w:val="000000"/>
          <w:sz w:val="24"/>
          <w:szCs w:val="24"/>
        </w:rPr>
        <w:t xml:space="preserve">la solicitud </w:t>
      </w:r>
      <w:r w:rsidR="00DC0ED9">
        <w:rPr>
          <w:rFonts w:ascii="Palatino Linotype" w:eastAsia="Palatino Linotype" w:hAnsi="Palatino Linotype" w:cs="Palatino Linotype"/>
          <w:color w:val="000000"/>
          <w:sz w:val="24"/>
          <w:szCs w:val="24"/>
        </w:rPr>
        <w:t>que</w:t>
      </w:r>
      <w:r w:rsidR="00684491">
        <w:rPr>
          <w:rFonts w:ascii="Palatino Linotype" w:eastAsia="Palatino Linotype" w:hAnsi="Palatino Linotype" w:cs="Palatino Linotype"/>
          <w:color w:val="000000"/>
          <w:sz w:val="24"/>
          <w:szCs w:val="24"/>
        </w:rPr>
        <w:t xml:space="preserve"> realizó </w:t>
      </w:r>
      <w:r w:rsidR="00E11301">
        <w:rPr>
          <w:rFonts w:ascii="Palatino Linotype" w:eastAsia="Palatino Linotype" w:hAnsi="Palatino Linotype" w:cs="Palatino Linotype"/>
          <w:color w:val="000000"/>
          <w:sz w:val="24"/>
          <w:szCs w:val="24"/>
        </w:rPr>
        <w:t xml:space="preserve">y </w:t>
      </w:r>
      <w:r w:rsidR="00684491">
        <w:rPr>
          <w:rFonts w:ascii="Palatino Linotype" w:eastAsia="Palatino Linotype" w:hAnsi="Palatino Linotype" w:cs="Palatino Linotype"/>
          <w:color w:val="000000"/>
          <w:sz w:val="24"/>
          <w:szCs w:val="24"/>
        </w:rPr>
        <w:t xml:space="preserve">dando como </w:t>
      </w:r>
      <w:r w:rsidR="00E11301">
        <w:rPr>
          <w:rFonts w:ascii="Palatino Linotype" w:eastAsia="Palatino Linotype" w:hAnsi="Palatino Linotype" w:cs="Palatino Linotype"/>
          <w:color w:val="000000"/>
          <w:sz w:val="24"/>
          <w:szCs w:val="24"/>
        </w:rPr>
        <w:t xml:space="preserve">razones o motivos de inconformidad </w:t>
      </w:r>
      <w:r w:rsidR="00684491">
        <w:rPr>
          <w:rFonts w:ascii="Palatino Linotype" w:eastAsia="Palatino Linotype" w:hAnsi="Palatino Linotype" w:cs="Palatino Linotype"/>
          <w:color w:val="000000"/>
          <w:sz w:val="24"/>
          <w:szCs w:val="24"/>
        </w:rPr>
        <w:t>la falta de respuesta.</w:t>
      </w:r>
    </w:p>
    <w:p w14:paraId="55F1AC43" w14:textId="77777777" w:rsidR="00792827" w:rsidRPr="00883102" w:rsidRDefault="0079282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6470891" w14:textId="438DE293"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ese orden de ideas, se tiene que </w:t>
      </w:r>
      <w:r w:rsidR="003834CC">
        <w:rPr>
          <w:rFonts w:ascii="Palatino Linotype" w:eastAsiaTheme="minorHAnsi" w:hAnsi="Palatino Linotype" w:cstheme="minorBidi"/>
          <w:b/>
          <w:sz w:val="24"/>
          <w:szCs w:val="24"/>
          <w:lang w:val="es-ES_tradnl" w:eastAsia="en-US"/>
        </w:rPr>
        <w:t>E</w:t>
      </w:r>
      <w:r w:rsidRPr="003834CC">
        <w:rPr>
          <w:rFonts w:ascii="Palatino Linotype" w:eastAsiaTheme="minorHAnsi" w:hAnsi="Palatino Linotype" w:cstheme="minorBidi"/>
          <w:b/>
          <w:sz w:val="24"/>
          <w:szCs w:val="24"/>
          <w:lang w:val="es-ES_tradnl" w:eastAsia="en-US"/>
        </w:rPr>
        <w:t>l Sujeto Obligado</w:t>
      </w:r>
      <w:r w:rsidRPr="00883102">
        <w:rPr>
          <w:rFonts w:ascii="Palatino Linotype" w:eastAsiaTheme="minorHAnsi" w:hAnsi="Palatino Linotype" w:cstheme="minorBidi"/>
          <w:sz w:val="24"/>
          <w:szCs w:val="24"/>
          <w:lang w:val="es-ES_tradnl" w:eastAsia="en-US"/>
        </w:rPr>
        <w:t xml:space="preserve"> omitió rendir su Informe Justificado. En consecuencia, es necesario precisar que, toda vez que el Sujeto Obligado fue omiso de enviar el Informe Justificado en el término est</w:t>
      </w:r>
      <w:r w:rsidR="00D2287B" w:rsidRPr="00883102">
        <w:rPr>
          <w:rFonts w:ascii="Palatino Linotype" w:eastAsiaTheme="minorHAnsi" w:hAnsi="Palatino Linotype" w:cstheme="minorBidi"/>
          <w:sz w:val="24"/>
          <w:szCs w:val="24"/>
          <w:lang w:val="es-ES_tradnl" w:eastAsia="en-US"/>
        </w:rPr>
        <w:t>ablecido por este Instituto</w:t>
      </w:r>
      <w:r w:rsidRPr="00883102">
        <w:rPr>
          <w:rFonts w:ascii="Palatino Linotype" w:eastAsiaTheme="minorHAnsi" w:hAnsi="Palatino Linotype" w:cstheme="minorBidi"/>
          <w:sz w:val="24"/>
          <w:szCs w:val="24"/>
          <w:lang w:val="es-ES_tradnl" w:eastAsia="en-US"/>
        </w:rPr>
        <w:t xml:space="preserve"> para manifestar lo que a derecho le asistiera y conviniera, dejó de justificar las razones o motivos que lo llevaron a </w:t>
      </w:r>
      <w:r w:rsidR="000A50D0" w:rsidRPr="00883102">
        <w:rPr>
          <w:rFonts w:ascii="Palatino Linotype" w:eastAsiaTheme="minorHAnsi" w:hAnsi="Palatino Linotype" w:cstheme="minorBidi"/>
          <w:sz w:val="24"/>
          <w:szCs w:val="24"/>
          <w:lang w:val="es-ES_tradnl" w:eastAsia="en-US"/>
        </w:rPr>
        <w:t xml:space="preserve">no </w:t>
      </w:r>
      <w:r w:rsidRPr="00883102">
        <w:rPr>
          <w:rFonts w:ascii="Palatino Linotype" w:eastAsiaTheme="minorHAnsi" w:hAnsi="Palatino Linotype" w:cstheme="minorBidi"/>
          <w:sz w:val="24"/>
          <w:szCs w:val="24"/>
          <w:lang w:val="es-ES_tradnl" w:eastAsia="en-US"/>
        </w:rPr>
        <w:t xml:space="preserve">emitir </w:t>
      </w:r>
      <w:r w:rsidR="000A50D0" w:rsidRPr="00883102">
        <w:rPr>
          <w:rFonts w:ascii="Palatino Linotype" w:eastAsiaTheme="minorHAnsi" w:hAnsi="Palatino Linotype" w:cstheme="minorBidi"/>
          <w:sz w:val="24"/>
          <w:szCs w:val="24"/>
          <w:lang w:val="es-ES_tradnl" w:eastAsia="en-US"/>
        </w:rPr>
        <w:t>pronunciamiento alguno. No obstante, l</w:t>
      </w:r>
      <w:r w:rsidRPr="00883102">
        <w:rPr>
          <w:rFonts w:ascii="Palatino Linotype" w:eastAsiaTheme="minorHAnsi" w:hAnsi="Palatino Linotype" w:cstheme="minorBidi"/>
          <w:sz w:val="24"/>
          <w:szCs w:val="24"/>
          <w:lang w:val="es-ES_tradnl" w:eastAsia="en-US"/>
        </w:rPr>
        <w:t xml:space="preserve">a falta de informe justificado no impide que este Órgano Garante conozca y resuelva </w:t>
      </w:r>
      <w:r w:rsidR="00883102">
        <w:rPr>
          <w:rFonts w:ascii="Palatino Linotype" w:eastAsiaTheme="minorHAnsi" w:hAnsi="Palatino Linotype" w:cstheme="minorBidi"/>
          <w:sz w:val="24"/>
          <w:szCs w:val="24"/>
          <w:lang w:val="es-ES_tradnl" w:eastAsia="en-US"/>
        </w:rPr>
        <w:t>el</w:t>
      </w:r>
      <w:r w:rsidR="000A50D0" w:rsidRPr="00883102">
        <w:rPr>
          <w:rFonts w:ascii="Palatino Linotype" w:eastAsiaTheme="minorHAnsi" w:hAnsi="Palatino Linotype" w:cstheme="minorBidi"/>
          <w:sz w:val="24"/>
          <w:szCs w:val="24"/>
          <w:lang w:val="es-ES_tradnl" w:eastAsia="en-US"/>
        </w:rPr>
        <w:t xml:space="preserve"> presente</w:t>
      </w:r>
      <w:r w:rsidR="00883102">
        <w:rPr>
          <w:rFonts w:ascii="Palatino Linotype" w:eastAsiaTheme="minorHAnsi" w:hAnsi="Palatino Linotype" w:cstheme="minorBidi"/>
          <w:sz w:val="24"/>
          <w:szCs w:val="24"/>
          <w:lang w:val="es-ES_tradnl" w:eastAsia="en-US"/>
        </w:rPr>
        <w:t xml:space="preserve"> </w:t>
      </w:r>
      <w:r w:rsidR="000A50D0" w:rsidRPr="00883102">
        <w:rPr>
          <w:rFonts w:ascii="Palatino Linotype" w:eastAsiaTheme="minorHAnsi" w:hAnsi="Palatino Linotype" w:cstheme="minorBidi"/>
          <w:sz w:val="24"/>
          <w:szCs w:val="24"/>
          <w:lang w:val="es-ES_tradnl" w:eastAsia="en-US"/>
        </w:rPr>
        <w:t xml:space="preserve">medio de </w:t>
      </w:r>
      <w:r w:rsidR="00883102" w:rsidRPr="00883102">
        <w:rPr>
          <w:rFonts w:ascii="Palatino Linotype" w:eastAsiaTheme="minorHAnsi" w:hAnsi="Palatino Linotype" w:cstheme="minorBidi"/>
          <w:sz w:val="24"/>
          <w:szCs w:val="24"/>
          <w:lang w:val="es-ES_tradnl" w:eastAsia="en-US"/>
        </w:rPr>
        <w:t>impugnación</w:t>
      </w:r>
      <w:r w:rsidR="000A50D0" w:rsidRPr="00883102">
        <w:rPr>
          <w:rFonts w:ascii="Palatino Linotype" w:eastAsiaTheme="minorHAnsi" w:hAnsi="Palatino Linotype" w:cstheme="minorBidi"/>
          <w:sz w:val="24"/>
          <w:szCs w:val="24"/>
          <w:lang w:val="es-ES_tradnl" w:eastAsia="en-US"/>
        </w:rPr>
        <w:t xml:space="preserve">. </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E5EE3B2"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lastRenderedPageBreak/>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5F55D976" w14:textId="3C093733" w:rsidR="00DE3512" w:rsidRPr="00883102" w:rsidRDefault="003834CC" w:rsidP="003834CC">
      <w:pPr>
        <w:pStyle w:val="INFOEM"/>
        <w:rPr>
          <w:lang w:val="es-ES_tradnl"/>
        </w:rPr>
      </w:pPr>
      <w:r>
        <w:rPr>
          <w:b/>
          <w:lang w:val="es-ES_tradnl"/>
        </w:rPr>
        <w:t>“</w:t>
      </w:r>
      <w:r w:rsidR="00DE3512" w:rsidRPr="00883102">
        <w:rPr>
          <w:b/>
          <w:lang w:val="es-ES_tradnl"/>
        </w:rPr>
        <w:t>Artículo 179.</w:t>
      </w:r>
      <w:r w:rsidR="00DE3512"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3834CC">
      <w:pPr>
        <w:pStyle w:val="INFOEM"/>
        <w:rPr>
          <w:lang w:val="es-ES_tradnl"/>
        </w:rPr>
      </w:pPr>
      <w:r w:rsidRPr="00883102">
        <w:rPr>
          <w:b/>
          <w:lang w:val="es-ES_tradnl"/>
        </w:rPr>
        <w:t>(…)</w:t>
      </w:r>
    </w:p>
    <w:p w14:paraId="21F74450" w14:textId="77777777" w:rsidR="00DE3512" w:rsidRPr="00883102" w:rsidRDefault="00DE3512" w:rsidP="003834CC">
      <w:pPr>
        <w:pStyle w:val="INFOEM"/>
        <w:rPr>
          <w:b/>
          <w:lang w:val="es-ES_tradnl"/>
        </w:rPr>
      </w:pPr>
      <w:r w:rsidRPr="00883102">
        <w:rPr>
          <w:b/>
          <w:lang w:val="es-ES_tradnl"/>
        </w:rPr>
        <w:t>VII. La falta de respuesta a una solicitud de acceso a la información;</w:t>
      </w:r>
    </w:p>
    <w:p w14:paraId="26047C5E" w14:textId="77777777" w:rsidR="00DE3512" w:rsidRPr="00883102" w:rsidRDefault="00DE3512" w:rsidP="003834CC">
      <w:pPr>
        <w:pStyle w:val="INFOEM"/>
        <w:rPr>
          <w:b/>
          <w:lang w:val="es-ES_tradnl"/>
        </w:rPr>
      </w:pPr>
      <w:r w:rsidRPr="00883102">
        <w:rPr>
          <w:b/>
          <w:lang w:val="es-ES_tradnl"/>
        </w:rPr>
        <w:t>(…)</w:t>
      </w:r>
    </w:p>
    <w:p w14:paraId="1523EAAF" w14:textId="77777777" w:rsidR="00DE3512" w:rsidRPr="00883102" w:rsidRDefault="00DE3512" w:rsidP="003834CC">
      <w:pPr>
        <w:pStyle w:val="INFOEM"/>
        <w:rPr>
          <w:b/>
          <w:lang w:val="es-ES_tradnl"/>
        </w:rPr>
      </w:pPr>
      <w:r w:rsidRPr="00883102">
        <w:rPr>
          <w:b/>
          <w:lang w:val="es-ES_tradnl"/>
        </w:rPr>
        <w:t>XI. La falta de trámite a una solicitud;</w:t>
      </w:r>
    </w:p>
    <w:p w14:paraId="1DEEE875" w14:textId="3EF8E789" w:rsidR="00DE3512" w:rsidRPr="003834CC" w:rsidRDefault="00DE3512" w:rsidP="003834CC">
      <w:pPr>
        <w:pStyle w:val="INFOEM"/>
        <w:rPr>
          <w:b/>
          <w:lang w:val="es-ES_tradnl"/>
        </w:rPr>
      </w:pPr>
      <w:r w:rsidRPr="00883102">
        <w:rPr>
          <w:b/>
          <w:lang w:val="es-ES_tradnl"/>
        </w:rPr>
        <w:t>(…</w:t>
      </w:r>
      <w:proofErr w:type="gramStart"/>
      <w:r w:rsidRPr="00883102">
        <w:rPr>
          <w:lang w:val="es-ES_tradnl"/>
        </w:rPr>
        <w:t>)</w:t>
      </w:r>
      <w:r w:rsidR="003834CC">
        <w:rPr>
          <w:lang w:val="es-ES_tradnl"/>
        </w:rPr>
        <w:t>”</w:t>
      </w:r>
      <w:r w:rsidR="003834CC">
        <w:rPr>
          <w:b/>
          <w:lang w:val="es-ES_tradnl"/>
        </w:rPr>
        <w:t>(</w:t>
      </w:r>
      <w:proofErr w:type="gramEnd"/>
      <w:r w:rsidR="003834CC">
        <w:rPr>
          <w:b/>
          <w:lang w:val="es-ES_tradnl"/>
        </w:rPr>
        <w:t>Sic)</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15BC5D6E"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determinada la vía sobre la que versará el presente asunto y previa revisión </w:t>
      </w:r>
      <w:r w:rsidR="00792827">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expediente electrónico formado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 solicitud de información y </w:t>
      </w:r>
      <w:r w:rsidR="00792827">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recurso de revisión a que </w:t>
      </w:r>
      <w:r w:rsidR="00792827">
        <w:rPr>
          <w:rFonts w:ascii="Palatino Linotype" w:eastAsia="Palatino Linotype" w:hAnsi="Palatino Linotype" w:cs="Palatino Linotype"/>
          <w:color w:val="000000"/>
          <w:sz w:val="24"/>
          <w:szCs w:val="24"/>
          <w:lang w:val="es-ES_tradnl"/>
        </w:rPr>
        <w:t>dio</w:t>
      </w:r>
      <w:r w:rsidRPr="00883102">
        <w:rPr>
          <w:rFonts w:ascii="Palatino Linotype" w:eastAsia="Palatino Linotype" w:hAnsi="Palatino Linotype" w:cs="Palatino Linotype"/>
          <w:color w:val="000000"/>
          <w:sz w:val="24"/>
          <w:szCs w:val="24"/>
          <w:lang w:val="es-ES_tradnl"/>
        </w:rPr>
        <w:t xml:space="preserve"> origen, se observa que el Sujeto </w:t>
      </w:r>
      <w:r w:rsidRPr="00883102">
        <w:rPr>
          <w:rFonts w:ascii="Palatino Linotype" w:eastAsia="Palatino Linotype" w:hAnsi="Palatino Linotype" w:cs="Palatino Linotype"/>
          <w:color w:val="000000"/>
          <w:sz w:val="24"/>
          <w:szCs w:val="24"/>
          <w:lang w:val="es-ES_tradnl"/>
        </w:rPr>
        <w:lastRenderedPageBreak/>
        <w:t>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3FBFC4AB"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w:t>
      </w:r>
      <w:r w:rsidRPr="008B7C81">
        <w:rPr>
          <w:rFonts w:ascii="Palatino Linotype" w:eastAsiaTheme="minorHAnsi" w:hAnsi="Palatino Linotype" w:cs="Arial"/>
          <w:b/>
          <w:sz w:val="24"/>
          <w:szCs w:val="24"/>
          <w:lang w:val="es-ES_tradnl" w:eastAsia="en-US"/>
        </w:rPr>
        <w:t>SAIMEX</w:t>
      </w:r>
      <w:r w:rsidRPr="00883102">
        <w:rPr>
          <w:rFonts w:ascii="Palatino Linotype" w:eastAsiaTheme="minorHAnsi" w:hAnsi="Palatino Linotype" w:cs="Arial"/>
          <w:sz w:val="24"/>
          <w:szCs w:val="24"/>
          <w:lang w:val="es-ES_tradnl" w:eastAsia="en-US"/>
        </w:rPr>
        <w:t xml:space="preserve"> y observó que las razones o motivos de inconformidad hechos valer por </w:t>
      </w:r>
      <w:r w:rsidR="003834CC">
        <w:rPr>
          <w:rFonts w:ascii="Palatino Linotype" w:eastAsiaTheme="minorHAnsi" w:hAnsi="Palatino Linotype" w:cs="Arial"/>
          <w:sz w:val="24"/>
          <w:szCs w:val="24"/>
          <w:lang w:val="es-ES_tradnl" w:eastAsia="en-US"/>
        </w:rPr>
        <w:t>el</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674C22F2" w14:textId="4456FFDD" w:rsidR="00E6674B" w:rsidRPr="00883102" w:rsidRDefault="003834CC" w:rsidP="003834CC">
      <w:pPr>
        <w:pStyle w:val="INFOEM"/>
        <w:rPr>
          <w:lang w:val="es-ES_tradnl" w:eastAsia="en-US"/>
        </w:rPr>
      </w:pPr>
      <w:r>
        <w:rPr>
          <w:b/>
          <w:lang w:val="es-ES_tradnl" w:eastAsia="en-US"/>
        </w:rPr>
        <w:t>“</w:t>
      </w:r>
      <w:r w:rsidR="00E6674B" w:rsidRPr="00883102">
        <w:rPr>
          <w:b/>
          <w:lang w:val="es-ES_tradnl" w:eastAsia="en-US"/>
        </w:rPr>
        <w:t>Artículo 6o.</w:t>
      </w:r>
      <w:r w:rsidR="00E6674B"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00E6674B" w:rsidRPr="00883102">
        <w:rPr>
          <w:b/>
          <w:lang w:val="es-ES_tradnl" w:eastAsia="en-US"/>
        </w:rPr>
        <w:t>El derecho a la información será garantizado por el Estado.</w:t>
      </w:r>
      <w:r w:rsidR="00E6674B" w:rsidRPr="00883102">
        <w:rPr>
          <w:lang w:val="es-ES_tradnl" w:eastAsia="en-US"/>
        </w:rPr>
        <w:t xml:space="preserve"> </w:t>
      </w:r>
    </w:p>
    <w:p w14:paraId="759FE83A" w14:textId="77777777" w:rsidR="00E6674B" w:rsidRPr="00883102" w:rsidRDefault="00E6674B" w:rsidP="003834CC">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2C783424" w14:textId="77777777" w:rsidR="00E6674B" w:rsidRPr="00883102" w:rsidRDefault="00E6674B" w:rsidP="003834CC">
      <w:pPr>
        <w:pStyle w:val="INFOEM"/>
        <w:rPr>
          <w:lang w:val="es-ES_tradnl" w:eastAsia="en-US"/>
        </w:rPr>
      </w:pPr>
      <w:r w:rsidRPr="00883102">
        <w:rPr>
          <w:lang w:val="es-ES_tradnl" w:eastAsia="en-US"/>
        </w:rPr>
        <w:t>Para efectos de lo dispuesto en el presente artículo se observará lo siguiente:</w:t>
      </w:r>
    </w:p>
    <w:p w14:paraId="1A751D26" w14:textId="77777777" w:rsidR="00E6674B" w:rsidRPr="00883102" w:rsidRDefault="00E6674B" w:rsidP="003834CC">
      <w:pPr>
        <w:pStyle w:val="INFOEM"/>
        <w:rPr>
          <w:lang w:val="es-ES_tradnl" w:eastAsia="en-US"/>
        </w:rPr>
      </w:pPr>
      <w:r w:rsidRPr="00883102">
        <w:rPr>
          <w:lang w:val="es-ES_tradnl" w:eastAsia="en-US"/>
        </w:rPr>
        <w:lastRenderedPageBreak/>
        <w:t>A. Para el ejercicio del derecho de acceso a la información, la Federación, los Estados y el Distrito Federal, en el ámbito de sus respectivas competencias, se regirán por los siguientes principios y bases:</w:t>
      </w:r>
    </w:p>
    <w:p w14:paraId="0FBB9CCF" w14:textId="77777777" w:rsidR="00E6674B" w:rsidRPr="00883102" w:rsidRDefault="00E6674B" w:rsidP="003834CC">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2B7B6294" w14:textId="77777777" w:rsidR="00E6674B" w:rsidRPr="00883102" w:rsidRDefault="00E6674B" w:rsidP="003834CC">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3834CC">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3834CC">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3834CC">
      <w:pPr>
        <w:pStyle w:val="INFOEM"/>
        <w:rPr>
          <w:lang w:val="es-ES_tradnl" w:eastAsia="en-US"/>
        </w:rPr>
      </w:pPr>
      <w:r w:rsidRPr="00883102">
        <w:rPr>
          <w:b/>
          <w:lang w:val="es-ES_tradnl" w:eastAsia="en-US"/>
        </w:rPr>
        <w:lastRenderedPageBreak/>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301B8C9B" w14:textId="77777777" w:rsidR="00E6674B" w:rsidRPr="00883102" w:rsidRDefault="00E6674B" w:rsidP="003834CC">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3834CC">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3834CC">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3834CC">
      <w:pPr>
        <w:pStyle w:val="INFOEM"/>
        <w:rPr>
          <w:lang w:val="es-ES_tradnl" w:eastAsia="en-US"/>
        </w:rPr>
      </w:pPr>
      <w:r w:rsidRPr="00883102">
        <w:rPr>
          <w:lang w:val="es-ES_tradnl" w:eastAsia="en-US"/>
        </w:rPr>
        <w:t>(…)</w:t>
      </w:r>
    </w:p>
    <w:p w14:paraId="252ED9E9" w14:textId="77777777" w:rsidR="00E6674B" w:rsidRPr="00883102" w:rsidRDefault="00E6674B" w:rsidP="003834CC">
      <w:pPr>
        <w:pStyle w:val="INFOEM"/>
        <w:rPr>
          <w:lang w:val="es-ES_tradnl" w:eastAsia="en-US"/>
        </w:rPr>
      </w:pPr>
      <w:r w:rsidRPr="00883102">
        <w:rPr>
          <w:lang w:val="es-ES_tradnl" w:eastAsia="en-US"/>
        </w:rPr>
        <w:t>La ley establecerá aquella información que se considere reservada o confidencial.</w:t>
      </w:r>
    </w:p>
    <w:p w14:paraId="116A8F4C" w14:textId="2CC4916F" w:rsidR="00E6674B" w:rsidRPr="003834CC" w:rsidRDefault="00E6674B" w:rsidP="003834CC">
      <w:pPr>
        <w:pStyle w:val="INFOEM"/>
        <w:rPr>
          <w:b/>
          <w:lang w:val="es-ES_tradnl" w:eastAsia="en-US"/>
        </w:rPr>
      </w:pPr>
      <w:r w:rsidRPr="00883102">
        <w:rPr>
          <w:lang w:val="es-ES_tradnl" w:eastAsia="en-US"/>
        </w:rPr>
        <w:t xml:space="preserve">(…) </w:t>
      </w:r>
      <w:proofErr w:type="gramStart"/>
      <w:r w:rsidR="003834CC">
        <w:rPr>
          <w:lang w:val="es-ES_tradnl" w:eastAsia="en-US"/>
        </w:rPr>
        <w:t xml:space="preserve">“ </w:t>
      </w:r>
      <w:r w:rsidR="003834CC">
        <w:rPr>
          <w:b/>
          <w:lang w:val="es-ES_tradnl" w:eastAsia="en-US"/>
        </w:rPr>
        <w:t>(</w:t>
      </w:r>
      <w:proofErr w:type="gramEnd"/>
      <w:r w:rsidR="003834CC">
        <w:rPr>
          <w:b/>
          <w:lang w:val="es-ES_tradnl" w:eastAsia="en-US"/>
        </w:rPr>
        <w:t>Sic)</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Por su parte, la Constitución Política del Estado Libre y Soberano de México, en su artículo 5°, dispone en su parte conducente, lo siguiente:</w:t>
      </w:r>
    </w:p>
    <w:p w14:paraId="442A16C0" w14:textId="0B5E2FDC" w:rsidR="00E6674B" w:rsidRPr="00883102" w:rsidRDefault="003834CC" w:rsidP="003834CC">
      <w:pPr>
        <w:pStyle w:val="INFOEM"/>
        <w:rPr>
          <w:lang w:val="es-ES_tradnl" w:eastAsia="en-US"/>
        </w:rPr>
      </w:pPr>
      <w:r>
        <w:rPr>
          <w:lang w:val="es-ES_tradnl" w:eastAsia="en-US"/>
        </w:rPr>
        <w:t>“</w:t>
      </w:r>
      <w:r w:rsidR="00E6674B" w:rsidRPr="00883102">
        <w:rPr>
          <w:lang w:val="es-ES_tradnl" w:eastAsia="en-US"/>
        </w:rPr>
        <w:t>Artículo 5. (…)</w:t>
      </w:r>
    </w:p>
    <w:p w14:paraId="2656B05A" w14:textId="77777777" w:rsidR="00E6674B" w:rsidRPr="00883102" w:rsidRDefault="00E6674B" w:rsidP="003834CC">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4257D6E7" w14:textId="77777777" w:rsidR="00E6674B" w:rsidRPr="00883102" w:rsidRDefault="00E6674B" w:rsidP="003834CC">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65A9DD" w14:textId="77777777" w:rsidR="00E6674B" w:rsidRPr="00883102" w:rsidRDefault="00E6674B" w:rsidP="003834CC">
      <w:pPr>
        <w:pStyle w:val="INFOEM"/>
        <w:rPr>
          <w:lang w:val="es-ES_tradnl" w:eastAsia="en-US"/>
        </w:rPr>
      </w:pPr>
      <w:r w:rsidRPr="00883102">
        <w:rPr>
          <w:lang w:val="es-ES_tradnl" w:eastAsia="en-US"/>
        </w:rPr>
        <w:t>Este derecho se regirá por los principios y bases siguientes:</w:t>
      </w:r>
    </w:p>
    <w:p w14:paraId="3945F32C" w14:textId="77777777" w:rsidR="00E6674B" w:rsidRPr="00883102" w:rsidRDefault="00E6674B" w:rsidP="003834CC">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883102">
        <w:rPr>
          <w:lang w:val="es-ES_tradnl" w:eastAsia="en-US"/>
        </w:rPr>
        <w:lastRenderedPageBreak/>
        <w:t>o funciones, la ley determinará los supuestos específicos bajo los cuales procederá la declaración de inexistencia de la información.</w:t>
      </w:r>
    </w:p>
    <w:p w14:paraId="4B8EC2F0" w14:textId="77777777" w:rsidR="00E6674B" w:rsidRPr="00883102" w:rsidRDefault="00E6674B" w:rsidP="003834CC">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3834CC">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32E648C8" w14:textId="77777777" w:rsidR="00E6674B" w:rsidRPr="00883102" w:rsidRDefault="00E6674B" w:rsidP="003834CC">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3834CC">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3834CC">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4B2CEFD5" w:rsidR="00E6674B" w:rsidRPr="003834CC" w:rsidRDefault="00E6674B" w:rsidP="003834CC">
      <w:pPr>
        <w:pStyle w:val="INFOEM"/>
        <w:rPr>
          <w:rFonts w:asciiTheme="minorHAnsi" w:hAnsiTheme="minorHAnsi"/>
          <w:b/>
          <w:lang w:val="es-ES_tradnl" w:eastAsia="en-US"/>
        </w:rPr>
      </w:pPr>
      <w:r w:rsidRPr="00883102">
        <w:rPr>
          <w:lang w:val="es-ES_tradnl" w:eastAsia="en-US"/>
        </w:rPr>
        <w:lastRenderedPageBreak/>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sidR="003834CC">
        <w:rPr>
          <w:rFonts w:asciiTheme="minorHAnsi" w:hAnsiTheme="minorHAnsi"/>
          <w:lang w:val="es-ES_tradnl" w:eastAsia="en-US"/>
        </w:rPr>
        <w:t xml:space="preserve">” </w:t>
      </w:r>
      <w:r w:rsidR="003834CC" w:rsidRPr="003834CC">
        <w:rPr>
          <w:b/>
          <w:lang w:val="es-ES_tradnl" w:eastAsia="en-US"/>
        </w:rPr>
        <w:t>(Sic)</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Por su parte, el artículo 53, fracciones II, IV y V de la Ley antes citada establece que las Unidades de Transparencia tienen, entre otras, las funciones de recibir, tramitar y dar </w:t>
      </w:r>
      <w:r w:rsidRPr="00883102">
        <w:rPr>
          <w:rFonts w:ascii="Palatino Linotype" w:eastAsia="Arial Unicode MS" w:hAnsi="Palatino Linotype" w:cs="Arial"/>
          <w:sz w:val="24"/>
          <w:szCs w:val="24"/>
          <w:lang w:val="es-ES_tradnl" w:eastAsia="en-US"/>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xml:space="preserv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w:t>
      </w:r>
      <w:r w:rsidR="00E6674B" w:rsidRPr="00883102">
        <w:rPr>
          <w:rFonts w:ascii="Palatino Linotype" w:eastAsiaTheme="minorHAnsi" w:hAnsi="Palatino Linotype" w:cs="Arial"/>
          <w:sz w:val="24"/>
          <w:szCs w:val="24"/>
          <w:lang w:val="es-ES_tradnl" w:eastAsia="en-US"/>
        </w:rPr>
        <w:lastRenderedPageBreak/>
        <w:t>cuales deberán ser aprobadas por el Comité de Transparencia. Situación que en la especie no aconteció. Sirve de sustento a lo anterior el precepto legal en cita:</w:t>
      </w:r>
    </w:p>
    <w:p w14:paraId="0D8A7B13" w14:textId="504D3216" w:rsidR="00E6674B" w:rsidRPr="00883102" w:rsidRDefault="003834CC" w:rsidP="003834CC">
      <w:pPr>
        <w:pStyle w:val="INFOEM"/>
        <w:rPr>
          <w:lang w:val="es-ES_tradnl" w:eastAsia="en-US"/>
        </w:rPr>
      </w:pPr>
      <w:r>
        <w:rPr>
          <w:lang w:val="es-ES_tradnl" w:eastAsia="en-US"/>
        </w:rPr>
        <w:t>“</w:t>
      </w:r>
      <w:r w:rsidR="00E6674B" w:rsidRPr="00883102">
        <w:rPr>
          <w:lang w:val="es-ES_tradnl" w:eastAsia="en-U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6465CF23" w14:textId="1E95F90E" w:rsidR="00E6674B" w:rsidRPr="003834CC" w:rsidRDefault="00E6674B" w:rsidP="003834CC">
      <w:pPr>
        <w:pStyle w:val="INFOEM"/>
        <w:rPr>
          <w:b/>
          <w:lang w:val="es-ES_tradnl" w:eastAsia="en-US"/>
        </w:rPr>
      </w:pPr>
      <w:r w:rsidRPr="00883102">
        <w:rPr>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3834CC">
        <w:rPr>
          <w:lang w:val="es-ES_tradnl" w:eastAsia="en-US"/>
        </w:rPr>
        <w:t xml:space="preserve">” </w:t>
      </w:r>
      <w:r w:rsidR="003834CC">
        <w:rPr>
          <w:b/>
          <w:lang w:val="es-ES_tradnl" w:eastAsia="en-US"/>
        </w:rPr>
        <w:t>(Sic)</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883102">
        <w:rPr>
          <w:rFonts w:ascii="Palatino Linotype" w:eastAsiaTheme="minorHAnsi" w:hAnsi="Palatino Linotype" w:cstheme="minorBidi"/>
          <w:sz w:val="24"/>
          <w:szCs w:val="24"/>
          <w:lang w:val="es-ES_tradnl" w:eastAsia="en-US"/>
        </w:rPr>
        <w:lastRenderedPageBreak/>
        <w:t>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1"/>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lastRenderedPageBreak/>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883102">
        <w:rPr>
          <w:rFonts w:ascii="Palatino Linotype" w:eastAsiaTheme="minorHAnsi" w:hAnsi="Palatino Linotype" w:cs="Arial"/>
          <w:sz w:val="24"/>
          <w:szCs w:val="24"/>
          <w:lang w:val="es-ES_tradnl" w:eastAsia="en-US"/>
        </w:rPr>
        <w:lastRenderedPageBreak/>
        <w:t>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61A5EE02" w14:textId="790E792C" w:rsidR="00574AA5" w:rsidRPr="003834CC" w:rsidRDefault="003834CC" w:rsidP="003834CC">
      <w:pPr>
        <w:pStyle w:val="INFOEM"/>
        <w:rPr>
          <w:b/>
          <w:lang w:val="es-ES_tradnl" w:eastAsia="en-US"/>
        </w:rPr>
      </w:pPr>
      <w:r w:rsidRPr="003834CC">
        <w:rPr>
          <w:b/>
          <w:lang w:val="es-ES_tradnl" w:eastAsia="en-US"/>
        </w:rPr>
        <w:t>“</w:t>
      </w:r>
      <w:r w:rsidR="00E6674B" w:rsidRPr="003834CC">
        <w:rPr>
          <w:b/>
          <w:lang w:val="es-ES_tradnl" w:eastAsia="en-US"/>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6D818206" w:rsidR="00E6674B" w:rsidRPr="003834CC" w:rsidRDefault="00E6674B" w:rsidP="003834CC">
      <w:pPr>
        <w:pStyle w:val="INFOEM"/>
        <w:rPr>
          <w:b/>
          <w:lang w:val="es-ES_tradnl" w:eastAsia="en-US"/>
        </w:rPr>
      </w:pPr>
      <w:r w:rsidRPr="00883102">
        <w:rPr>
          <w:lang w:val="es-ES_tradnl" w:eastAsia="en-US"/>
        </w:rPr>
        <w:lastRenderedPageBreak/>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eastAsia="en-US"/>
        </w:rPr>
        <w:t>officio</w:t>
      </w:r>
      <w:proofErr w:type="spellEnd"/>
      <w:r w:rsidRPr="00883102">
        <w:rPr>
          <w:lang w:val="es-ES_tradnl" w:eastAsia="en-US"/>
        </w:rPr>
        <w:t>, con el propósito de obtener una versión que sea pública para la parte interesada.</w:t>
      </w:r>
      <w:r w:rsidR="003834CC">
        <w:rPr>
          <w:lang w:val="es-ES_tradnl" w:eastAsia="en-US"/>
        </w:rPr>
        <w:t xml:space="preserve">” </w:t>
      </w:r>
      <w:r w:rsidR="003834CC">
        <w:rPr>
          <w:b/>
          <w:lang w:val="es-ES_tradnl" w:eastAsia="en-US"/>
        </w:rPr>
        <w:t>(Sic)</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83102">
        <w:rPr>
          <w:rFonts w:ascii="Palatino Linotype" w:eastAsiaTheme="minorHAnsi" w:hAnsi="Palatino Linotype" w:cstheme="minorBidi"/>
          <w:sz w:val="24"/>
          <w:szCs w:val="24"/>
          <w:lang w:val="es-ES_tradnl" w:eastAsia="en-US"/>
        </w:rPr>
        <w:lastRenderedPageBreak/>
        <w:t>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w:t>
      </w:r>
      <w:r w:rsidRPr="00883102">
        <w:rPr>
          <w:rFonts w:ascii="Palatino Linotype" w:eastAsiaTheme="minorHAnsi" w:hAnsi="Palatino Linotype" w:cstheme="minorBidi"/>
          <w:sz w:val="24"/>
          <w:szCs w:val="24"/>
          <w:lang w:val="es-ES_tradnl" w:eastAsia="en-US"/>
        </w:rPr>
        <w:lastRenderedPageBreak/>
        <w:t xml:space="preserve">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w:t>
      </w:r>
      <w:proofErr w:type="gramStart"/>
      <w:r>
        <w:rPr>
          <w:rFonts w:ascii="Palatino Linotype" w:eastAsia="Palatino Linotype" w:hAnsi="Palatino Linotype" w:cs="Palatino Linotype"/>
          <w:color w:val="000000"/>
          <w:sz w:val="24"/>
          <w:szCs w:val="24"/>
        </w:rPr>
        <w:t>actualizan</w:t>
      </w:r>
      <w:proofErr w:type="gramEnd"/>
      <w:r>
        <w:rPr>
          <w:rFonts w:ascii="Palatino Linotype" w:eastAsia="Palatino Linotype" w:hAnsi="Palatino Linotype" w:cs="Palatino Linotype"/>
          <w:color w:val="000000"/>
          <w:sz w:val="24"/>
          <w:szCs w:val="24"/>
        </w:rPr>
        <w:t xml:space="preserve">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15F1BC3B" w14:textId="3C9CCA9E" w:rsidR="006F759B" w:rsidRPr="009610D3" w:rsidRDefault="003834CC" w:rsidP="003834CC">
      <w:pPr>
        <w:pStyle w:val="INFOEM"/>
      </w:pPr>
      <w:r>
        <w:rPr>
          <w:b/>
        </w:rPr>
        <w:t>“</w:t>
      </w:r>
      <w:r w:rsidR="006F759B" w:rsidRPr="009610D3">
        <w:rPr>
          <w:b/>
        </w:rPr>
        <w:t xml:space="preserve">Artículo 3. </w:t>
      </w:r>
      <w:r w:rsidR="006F759B" w:rsidRPr="009610D3">
        <w:t>Para los efectos de la presente Ley se entenderá por:</w:t>
      </w:r>
    </w:p>
    <w:p w14:paraId="75CEEA03" w14:textId="77777777" w:rsidR="006F759B" w:rsidRPr="009610D3" w:rsidRDefault="006F759B" w:rsidP="003834CC">
      <w:pPr>
        <w:pStyle w:val="INFOEM"/>
      </w:pPr>
      <w:r w:rsidRPr="009610D3">
        <w:t>(…)</w:t>
      </w:r>
    </w:p>
    <w:p w14:paraId="1DF47957" w14:textId="77777777" w:rsidR="006F759B" w:rsidRPr="009610D3" w:rsidRDefault="006F759B" w:rsidP="003834CC">
      <w:pPr>
        <w:pStyle w:val="INFOEM"/>
      </w:pPr>
      <w:r w:rsidRPr="009610D3">
        <w:rPr>
          <w:b/>
          <w:bCs/>
        </w:rPr>
        <w:t>XXXIII.</w:t>
      </w:r>
      <w:r w:rsidRPr="009610D3">
        <w:t xml:space="preserve"> </w:t>
      </w:r>
      <w:r w:rsidRPr="009610D3">
        <w:rPr>
          <w:b/>
          <w:bCs/>
        </w:rPr>
        <w:t>Prueba de Daño:</w:t>
      </w:r>
      <w:r w:rsidRPr="009610D3">
        <w:t xml:space="preserve"> </w:t>
      </w:r>
      <w:r w:rsidRPr="009610D3">
        <w:rPr>
          <w:b/>
          <w:bCs/>
          <w:u w:val="single"/>
        </w:rPr>
        <w:t>Responsabilidad de los sujetos obligados de demostrar de manera fundada y motivada que la divulgación de información lesiona el interés jurídicamente protegido por la Ley</w:t>
      </w:r>
      <w:r w:rsidRPr="009610D3">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3834CC">
      <w:pPr>
        <w:pStyle w:val="INFOEM"/>
      </w:pPr>
      <w:r w:rsidRPr="009610D3">
        <w:rPr>
          <w:b/>
          <w:bCs/>
        </w:rPr>
        <w:t>Artículo 128.</w:t>
      </w:r>
      <w:r w:rsidRPr="009610D3">
        <w:t xml:space="preserve"> En los casos en que se niegue el acceso a la información, por actualizarse alguno de los supuestos de clasificación, el Comité de Transparencia deberá confirmar, modificar o revocar la decisión.</w:t>
      </w:r>
    </w:p>
    <w:p w14:paraId="38C672E8" w14:textId="77777777" w:rsidR="006F759B" w:rsidRPr="009610D3" w:rsidRDefault="006F759B" w:rsidP="003834CC">
      <w:pPr>
        <w:pStyle w:val="INFOEM"/>
      </w:pPr>
      <w:r w:rsidRPr="009610D3">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b/>
          <w:bCs/>
          <w:u w:val="single"/>
        </w:rPr>
        <w:t>el sujeto obligado deberá, en todo momento, aplicar una prueba de daño</w:t>
      </w:r>
      <w:r w:rsidRPr="009610D3">
        <w:t>.</w:t>
      </w:r>
    </w:p>
    <w:p w14:paraId="2EFC93C2" w14:textId="77777777" w:rsidR="006F759B" w:rsidRPr="009610D3" w:rsidRDefault="006F759B" w:rsidP="003834CC">
      <w:pPr>
        <w:pStyle w:val="INFOEM"/>
      </w:pPr>
      <w:r w:rsidRPr="009610D3">
        <w:t>Tratándose de aquélla información que actualice los supuestos de clasificación, deberá señalarse el plazo al que estará sujeto la reserva.</w:t>
      </w:r>
    </w:p>
    <w:p w14:paraId="38132B90" w14:textId="77777777" w:rsidR="006F759B" w:rsidRPr="009610D3" w:rsidRDefault="006F759B" w:rsidP="003834CC">
      <w:pPr>
        <w:pStyle w:val="INFOEM"/>
      </w:pPr>
      <w:r w:rsidRPr="009610D3">
        <w:rPr>
          <w:b/>
          <w:bCs/>
        </w:rPr>
        <w:t>Artículo 129</w:t>
      </w:r>
      <w:r w:rsidRPr="009610D3">
        <w:t xml:space="preserve">. </w:t>
      </w:r>
      <w:r w:rsidRPr="009610D3">
        <w:rPr>
          <w:b/>
          <w:bCs/>
          <w:u w:val="single"/>
        </w:rPr>
        <w:t>En la aplicación de la prueba de daño, el sujeto obligado deberá precisar las razones objetivas por las que la apertura de la información generaría una afectación</w:t>
      </w:r>
      <w:r w:rsidRPr="009610D3">
        <w:t>, justificando que:</w:t>
      </w:r>
    </w:p>
    <w:p w14:paraId="525329C4" w14:textId="77777777" w:rsidR="006F759B" w:rsidRPr="009610D3" w:rsidRDefault="006F759B" w:rsidP="003834CC">
      <w:pPr>
        <w:pStyle w:val="INFOEM"/>
        <w:rPr>
          <w:szCs w:val="22"/>
        </w:rPr>
      </w:pPr>
      <w:r w:rsidRPr="009610D3">
        <w:rPr>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3834CC">
      <w:pPr>
        <w:pStyle w:val="INFOEM"/>
        <w:rPr>
          <w:szCs w:val="22"/>
        </w:rPr>
      </w:pPr>
      <w:r w:rsidRPr="009610D3">
        <w:rPr>
          <w:szCs w:val="22"/>
        </w:rPr>
        <w:t>El riesgo de perjuicio que supondría la divulgación supera el interés público general de que se difunda; y</w:t>
      </w:r>
    </w:p>
    <w:p w14:paraId="5F45A854" w14:textId="500F86B4" w:rsidR="006F759B" w:rsidRPr="003834CC" w:rsidRDefault="006F759B" w:rsidP="003834CC">
      <w:pPr>
        <w:pStyle w:val="INFOEM"/>
        <w:rPr>
          <w:b/>
          <w:szCs w:val="22"/>
        </w:rPr>
      </w:pPr>
      <w:r w:rsidRPr="009610D3">
        <w:rPr>
          <w:szCs w:val="22"/>
        </w:rPr>
        <w:t>La limitación se adecua al principio de proporcionalidad y representa el medio menos restrictivo disponible representa el medio menos restrictivo disponible para evitar el perjuicio.</w:t>
      </w:r>
      <w:r w:rsidR="003834CC">
        <w:rPr>
          <w:szCs w:val="22"/>
        </w:rPr>
        <w:t xml:space="preserve">” </w:t>
      </w:r>
      <w:r w:rsidR="003834CC">
        <w:rPr>
          <w:b/>
          <w:szCs w:val="22"/>
        </w:rPr>
        <w:t>(Sic)</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FootnoteReference"/>
          <w:rFonts w:ascii="Palatino Linotype" w:eastAsia="Palatino Linotype" w:hAnsi="Palatino Linotype" w:cs="Palatino Linotype"/>
          <w:color w:val="000000"/>
          <w:sz w:val="24"/>
          <w:szCs w:val="24"/>
        </w:rPr>
        <w:footnoteReference w:id="2"/>
      </w:r>
      <w:r>
        <w:rPr>
          <w:rFonts w:ascii="Palatino Linotype" w:eastAsia="Palatino Linotype" w:hAnsi="Palatino Linotype" w:cs="Palatino Linotype"/>
          <w:color w:val="000000"/>
          <w:sz w:val="24"/>
          <w:szCs w:val="24"/>
        </w:rPr>
        <w:t xml:space="preserve"> y 2018460</w:t>
      </w:r>
      <w:r>
        <w:rPr>
          <w:rStyle w:val="FootnoteReferenc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en las que, respectivamente, se dispone lo siguiente:</w:t>
      </w:r>
    </w:p>
    <w:p w14:paraId="2828F8C1" w14:textId="1562A263" w:rsidR="006F759B" w:rsidRPr="003834CC" w:rsidRDefault="003834CC" w:rsidP="003834CC">
      <w:pPr>
        <w:pStyle w:val="INFOEM"/>
        <w:rPr>
          <w:b/>
        </w:rPr>
      </w:pPr>
      <w:r>
        <w:rPr>
          <w:b/>
        </w:rPr>
        <w:t>“</w:t>
      </w:r>
      <w:r w:rsidR="006F759B" w:rsidRPr="003834CC">
        <w:rPr>
          <w:b/>
        </w:rPr>
        <w:t>ACCESO A LA INFORMACIÓN. EJERCICIO DEL DERECHO RELATIVO TRATÁNDOSE DE LA CLASIFICADA COMO CONFIDENCIAL, MEDIANTE LA PRUEBA DE DAÑO O DEL INTERÉS PÚBLICO Y ROL DEL JUEZ DE AMPARO PARA FACILITAR LA DEFENSA DE LAS PARTES.</w:t>
      </w:r>
    </w:p>
    <w:p w14:paraId="46DBC0CE" w14:textId="3BE91FF3" w:rsidR="006F759B" w:rsidRPr="003834CC" w:rsidRDefault="006F759B" w:rsidP="003834CC">
      <w:pPr>
        <w:pStyle w:val="INFOEM"/>
        <w:rPr>
          <w:b/>
        </w:rPr>
      </w:pPr>
      <w:r w:rsidRPr="00783B44">
        <w:t>Para el ejercicio del derecho de acceso a la información, previsto en el artículo</w:t>
      </w:r>
      <w:r>
        <w:t xml:space="preserve"> </w:t>
      </w:r>
      <w:r w:rsidRPr="00783B44">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t xml:space="preserve">. </w:t>
      </w:r>
      <w:r w:rsidRPr="00783B44">
        <w:lastRenderedPageBreak/>
        <w:t xml:space="preserve">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u w:val="single"/>
        </w:rPr>
        <w:t>se advierte que corresponde a los sujetos obligados realizar la clasificación de la información que obre en su poder</w:t>
      </w:r>
      <w:r w:rsidRPr="00783B44">
        <w:t xml:space="preserve"> y, contra la decisión que adopten, procede interponer el recurso de revisión ante el organismo garante que corresponda. En consecuencia, </w:t>
      </w:r>
      <w:r w:rsidRPr="00783B44">
        <w:rPr>
          <w:u w:val="single"/>
        </w:rPr>
        <w:t>la obligación de clasificar la información corresponde única y directamente a los sujetos obligado</w:t>
      </w:r>
      <w:r w:rsidRPr="00783B44">
        <w:t xml:space="preserve">s, en tanto que al Juez de amparo sólo compete facilitar, bajo su más estricta responsabilidad, el acceso a la que sea "indispensable para la </w:t>
      </w:r>
      <w:r w:rsidR="003834CC">
        <w:t xml:space="preserve">adecuada defensa de las partes" </w:t>
      </w:r>
      <w:r w:rsidR="003834CC">
        <w:rPr>
          <w:b/>
        </w:rPr>
        <w:t>(Sic)</w:t>
      </w:r>
    </w:p>
    <w:p w14:paraId="77807D9E" w14:textId="77777777" w:rsidR="006F759B" w:rsidRPr="00783B44" w:rsidRDefault="006F759B" w:rsidP="003834CC">
      <w:pPr>
        <w:pStyle w:val="INFOEM"/>
      </w:pPr>
    </w:p>
    <w:p w14:paraId="17600DFD" w14:textId="05EE1B0B" w:rsidR="006F759B" w:rsidRPr="003834CC" w:rsidRDefault="003834CC" w:rsidP="003834CC">
      <w:pPr>
        <w:pStyle w:val="INFOEM"/>
        <w:rPr>
          <w:b/>
        </w:rPr>
      </w:pPr>
      <w:r>
        <w:rPr>
          <w:b/>
        </w:rPr>
        <w:t>“</w:t>
      </w:r>
      <w:r w:rsidR="006F759B" w:rsidRPr="003834CC">
        <w:rPr>
          <w:b/>
        </w:rPr>
        <w:t>PRUEBA DE DAÑO EN LA CLASIFICACIÓN DE LA INFORMACIÓN PÚBLICA. SU VALIDEZ NO DEPENDE DE LOS MEDIOS DE PRUEBA QUE EL SUJETO OBLIGADO APORTE.</w:t>
      </w:r>
    </w:p>
    <w:p w14:paraId="5B05527D" w14:textId="6FD07B39" w:rsidR="006F759B" w:rsidRPr="003834CC" w:rsidRDefault="006F759B" w:rsidP="003834CC">
      <w:pPr>
        <w:pStyle w:val="INFOEM"/>
        <w:rPr>
          <w:b/>
        </w:rPr>
      </w:pPr>
      <w:r w:rsidRPr="00783B44">
        <w:t>De acuerdo con el artículo</w:t>
      </w:r>
      <w:r>
        <w:t xml:space="preserve"> </w:t>
      </w:r>
      <w:r w:rsidRPr="00783B44">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u w:val="single"/>
        </w:rPr>
        <w:t xml:space="preserve">la prueba de daño es la argumentación fundada y motivada que deben realizar los sujetos obligados para acreditar que la divulgación </w:t>
      </w:r>
      <w:r w:rsidRPr="00783B44">
        <w:rPr>
          <w:u w:val="single"/>
        </w:rPr>
        <w:lastRenderedPageBreak/>
        <w:t>de la información lesiona un interés jurídicamente protegido y que el daño que puede producir es mayor que el interés de conocer ésta</w:t>
      </w:r>
      <w:r w:rsidRPr="00783B44">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r w:rsidR="003834CC">
        <w:t xml:space="preserve">” </w:t>
      </w:r>
      <w:r w:rsidR="003834CC">
        <w:rPr>
          <w:b/>
        </w:rPr>
        <w:t>(Sic)</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w:t>
      </w:r>
      <w:r w:rsidRPr="00883102">
        <w:rPr>
          <w:rFonts w:ascii="Palatino Linotype" w:eastAsiaTheme="minorHAnsi" w:hAnsi="Palatino Linotype" w:cs="Arial"/>
          <w:sz w:val="24"/>
          <w:szCs w:val="24"/>
          <w:lang w:val="es-ES_tradnl" w:eastAsia="en-US"/>
        </w:rPr>
        <w:lastRenderedPageBreak/>
        <w:t>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2C1435B7" w14:textId="59E18876" w:rsidR="003834CC" w:rsidRDefault="003834CC" w:rsidP="003834CC">
      <w:pPr>
        <w:pStyle w:val="INFOEM"/>
        <w:rPr>
          <w:b/>
          <w:lang w:val="es-ES_tradnl" w:eastAsia="en-US"/>
        </w:rPr>
      </w:pPr>
      <w:r>
        <w:rPr>
          <w:b/>
          <w:lang w:val="es-ES_tradnl" w:eastAsia="en-US"/>
        </w:rPr>
        <w:t>“</w:t>
      </w:r>
      <w:r w:rsidR="00E6674B" w:rsidRPr="00883102">
        <w:rPr>
          <w:b/>
          <w:lang w:val="es-ES_tradnl" w:eastAsia="en-US"/>
        </w:rPr>
        <w:t xml:space="preserve">INEXISTENCIA DE LA INFORMACIÓN. SUPUESTOS PARA EMITIR LA RESOLUCIÓN DE LA. </w:t>
      </w:r>
    </w:p>
    <w:p w14:paraId="367C1837" w14:textId="054F4958" w:rsidR="00E6674B" w:rsidRPr="003834CC" w:rsidRDefault="00E6674B" w:rsidP="003834CC">
      <w:pPr>
        <w:pStyle w:val="INFOEM"/>
        <w:rPr>
          <w:b/>
          <w:lang w:val="es-ES_tradnl" w:eastAsia="en-US"/>
        </w:rPr>
      </w:pPr>
      <w:r w:rsidRPr="00883102">
        <w:rPr>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883102">
        <w:rPr>
          <w:lang w:val="es-ES_tradnl" w:eastAsia="en-US"/>
        </w:rPr>
        <w:lastRenderedPageBreak/>
        <w:t>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3834CC">
        <w:rPr>
          <w:lang w:val="es-ES_tradnl" w:eastAsia="en-US"/>
        </w:rPr>
        <w:t xml:space="preserve">” </w:t>
      </w:r>
      <w:r w:rsidR="003834CC">
        <w:rPr>
          <w:b/>
          <w:lang w:val="es-ES_tradnl" w:eastAsia="en-US"/>
        </w:rPr>
        <w:t>(Sic)</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8DDB23E"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w:t>
      </w:r>
      <w:r w:rsidR="003834CC">
        <w:rPr>
          <w:rFonts w:ascii="Palatino Linotype" w:eastAsiaTheme="minorHAnsi" w:hAnsi="Palatino Linotype" w:cs="Arial"/>
          <w:b/>
          <w:sz w:val="24"/>
          <w:szCs w:val="24"/>
          <w:lang w:val="es-ES_tradnl" w:eastAsia="en-US"/>
        </w:rPr>
        <w:t>E</w:t>
      </w:r>
      <w:r w:rsidRPr="003834CC">
        <w:rPr>
          <w:rFonts w:ascii="Palatino Linotype" w:eastAsiaTheme="minorHAnsi" w:hAnsi="Palatino Linotype" w:cs="Arial"/>
          <w:b/>
          <w:sz w:val="24"/>
          <w:szCs w:val="24"/>
          <w:lang w:val="es-ES_tradnl" w:eastAsia="en-US"/>
        </w:rPr>
        <w:t>l Recurrente</w:t>
      </w:r>
      <w:r w:rsidRPr="00883102">
        <w:rPr>
          <w:rFonts w:ascii="Palatino Linotype" w:eastAsiaTheme="minorHAnsi" w:hAnsi="Palatino Linotype" w:cs="Arial"/>
          <w:sz w:val="24"/>
          <w:szCs w:val="24"/>
          <w:lang w:val="es-ES_tradnl" w:eastAsia="en-US"/>
        </w:rPr>
        <w:t>,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467AB92" w14:textId="77777777" w:rsidR="003B6990" w:rsidRDefault="003B6990" w:rsidP="00E6674B">
      <w:pPr>
        <w:spacing w:after="0" w:line="360" w:lineRule="auto"/>
        <w:jc w:val="both"/>
        <w:rPr>
          <w:rFonts w:ascii="Palatino Linotype" w:eastAsiaTheme="minorHAnsi" w:hAnsi="Palatino Linotype" w:cs="Arial"/>
          <w:sz w:val="24"/>
          <w:szCs w:val="24"/>
          <w:lang w:val="es-ES_tradnl" w:eastAsia="en-US"/>
        </w:rPr>
      </w:pPr>
    </w:p>
    <w:p w14:paraId="282DDF80" w14:textId="6C5D37AE" w:rsidR="003B6990" w:rsidRPr="003B6990" w:rsidRDefault="003B6990"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 xml:space="preserve">Luego entonces, con base en lo anteriormente expuesto, resulta procedente ordenar al </w:t>
      </w:r>
      <w:r>
        <w:rPr>
          <w:rFonts w:ascii="Palatino Linotype" w:eastAsiaTheme="minorHAnsi" w:hAnsi="Palatino Linotype" w:cs="Arial"/>
          <w:b/>
          <w:sz w:val="24"/>
          <w:szCs w:val="24"/>
          <w:lang w:val="es-ES_tradnl" w:eastAsia="en-US"/>
        </w:rPr>
        <w:t xml:space="preserve">Sujeto Obligado </w:t>
      </w:r>
      <w:r>
        <w:rPr>
          <w:rFonts w:ascii="Palatino Linotype" w:eastAsiaTheme="minorHAnsi" w:hAnsi="Palatino Linotype" w:cs="Arial"/>
          <w:sz w:val="24"/>
          <w:szCs w:val="24"/>
          <w:lang w:val="es-ES_tradnl" w:eastAsia="en-US"/>
        </w:rPr>
        <w:t xml:space="preserve">atienda la solicitud de información </w:t>
      </w:r>
      <w:r>
        <w:rPr>
          <w:rFonts w:ascii="Palatino Linotype" w:eastAsiaTheme="minorHAnsi" w:hAnsi="Palatino Linotype" w:cs="Arial"/>
          <w:b/>
          <w:sz w:val="24"/>
          <w:szCs w:val="24"/>
          <w:lang w:val="es-ES_tradnl" w:eastAsia="en-US"/>
        </w:rPr>
        <w:t xml:space="preserve">01970/INFOEM/IP/RR/2022, </w:t>
      </w:r>
      <w:r>
        <w:rPr>
          <w:rFonts w:ascii="Palatino Linotype" w:eastAsiaTheme="minorHAnsi" w:hAnsi="Palatino Linotype" w:cs="Arial"/>
          <w:sz w:val="24"/>
          <w:szCs w:val="24"/>
          <w:lang w:val="es-ES_tradnl" w:eastAsia="en-US"/>
        </w:rPr>
        <w:t xml:space="preserve">a efecto de hacer entrega, en versión pública de ser procedente, de la siguiente información: </w:t>
      </w:r>
    </w:p>
    <w:p w14:paraId="162BE612" w14:textId="77777777" w:rsidR="003B6990" w:rsidRDefault="003B6990" w:rsidP="003B6990">
      <w:pPr>
        <w:pStyle w:val="ListParagraph"/>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Nombramiento y/o equivalente expedido a favor del C. Luis Estuardo Rodríguez </w:t>
      </w:r>
      <w:proofErr w:type="spellStart"/>
      <w:r>
        <w:rPr>
          <w:rFonts w:ascii="Palatino Linotype" w:eastAsia="Palatino Linotype" w:hAnsi="Palatino Linotype" w:cs="Palatino Linotype"/>
          <w:color w:val="000000"/>
          <w:lang w:val="es-ES_tradnl"/>
        </w:rPr>
        <w:t>Levasseur</w:t>
      </w:r>
      <w:proofErr w:type="spellEnd"/>
      <w:r>
        <w:rPr>
          <w:rFonts w:ascii="Palatino Linotype" w:eastAsia="Palatino Linotype" w:hAnsi="Palatino Linotype" w:cs="Palatino Linotype"/>
          <w:color w:val="000000"/>
          <w:lang w:val="es-ES_tradnl"/>
        </w:rPr>
        <w:t xml:space="preserve">, al siete de marzo de dos mil veintidós. </w:t>
      </w:r>
    </w:p>
    <w:p w14:paraId="2D25F896" w14:textId="77777777" w:rsidR="003B6990" w:rsidRPr="00231952" w:rsidRDefault="003B6990" w:rsidP="003B6990">
      <w:pPr>
        <w:pStyle w:val="NoSpacing"/>
        <w:numPr>
          <w:ilvl w:val="0"/>
          <w:numId w:val="13"/>
        </w:numPr>
        <w:spacing w:line="360" w:lineRule="auto"/>
        <w:jc w:val="both"/>
        <w:rPr>
          <w:rFonts w:ascii="Palatino Linotype" w:hAnsi="Palatino Linotype"/>
        </w:rPr>
      </w:pPr>
      <w:r w:rsidRPr="00231952">
        <w:rPr>
          <w:rFonts w:ascii="Palatino Linotype" w:hAnsi="Palatino Linotype"/>
        </w:rPr>
        <w:t xml:space="preserve">Recibos de nómina, comprobante de pago o CFDI del personal adscrito al </w:t>
      </w:r>
      <w:r>
        <w:rPr>
          <w:rFonts w:ascii="Palatino Linotype" w:hAnsi="Palatino Linotype"/>
        </w:rPr>
        <w:t xml:space="preserve">Ayuntamiento de Metepec, del periodo comprendido del uno de enero al veintiocho de febrero de dos mil veintidós. </w:t>
      </w:r>
      <w:r w:rsidRPr="00231952">
        <w:rPr>
          <w:rFonts w:ascii="Palatino Linotype" w:hAnsi="Palatino Linotype"/>
        </w:rPr>
        <w:t xml:space="preserve">  </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xml:space="preserve">, 36, fracciones I y II, 176, 178, 179, </w:t>
      </w:r>
      <w:r w:rsidRPr="00883102">
        <w:rPr>
          <w:rFonts w:ascii="Palatino Linotype" w:eastAsiaTheme="minorHAnsi" w:hAnsi="Palatino Linotype" w:cstheme="minorBidi"/>
          <w:sz w:val="24"/>
          <w:szCs w:val="24"/>
          <w:lang w:val="es-ES_tradnl" w:eastAsia="en-US"/>
        </w:rPr>
        <w:lastRenderedPageBreak/>
        <w:t>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4B73CC7A"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AF3B5E">
        <w:rPr>
          <w:rFonts w:ascii="Palatino Linotype" w:eastAsiaTheme="minorHAnsi" w:hAnsi="Palatino Linotype" w:cstheme="minorHAnsi"/>
          <w:sz w:val="24"/>
          <w:szCs w:val="24"/>
          <w:lang w:val="es-ES_tradnl" w:eastAsia="en-US"/>
        </w:rPr>
        <w:t>El</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E11301">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045034E6" w:rsidR="00E6674B" w:rsidRDefault="00E6674B" w:rsidP="00E6674B">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3B6990">
        <w:rPr>
          <w:rFonts w:ascii="Palatino Linotype" w:eastAsia="Palatino Linotype" w:hAnsi="Palatino Linotype" w:cs="Palatino Linotype"/>
          <w:b/>
          <w:color w:val="000000"/>
          <w:sz w:val="24"/>
          <w:szCs w:val="24"/>
          <w:lang w:val="es-ES_tradnl"/>
        </w:rPr>
        <w:t xml:space="preserve">01970/METEPEC/IP/2022 </w:t>
      </w:r>
      <w:r w:rsidR="003834CC">
        <w:rPr>
          <w:rFonts w:ascii="Palatino Linotype" w:eastAsia="Palatino Linotype" w:hAnsi="Palatino Linotype" w:cs="Palatino Linotype"/>
          <w:b/>
          <w:color w:val="000000"/>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E11301">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w:t>
      </w:r>
      <w:r w:rsidR="00AF13E8"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4F2DFE27" w14:textId="77777777" w:rsidR="003B6990" w:rsidRPr="00883102" w:rsidRDefault="003B6990"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w:t>
      </w:r>
      <w:r w:rsidR="00AF13E8" w:rsidRPr="003834CC">
        <w:rPr>
          <w:rFonts w:ascii="Palatino Linotype" w:eastAsiaTheme="minorHAnsi" w:hAnsi="Palatino Linotype" w:cstheme="minorBidi"/>
          <w:b/>
          <w:color w:val="222222"/>
          <w:sz w:val="24"/>
          <w:szCs w:val="24"/>
          <w:lang w:val="es-ES_tradnl"/>
        </w:rPr>
        <w:t>(SAIMEX)</w:t>
      </w:r>
      <w:r w:rsidR="00E6674B" w:rsidRPr="003834CC">
        <w:rPr>
          <w:rFonts w:ascii="Palatino Linotype" w:eastAsiaTheme="minorHAnsi" w:hAnsi="Palatino Linotype" w:cstheme="minorHAnsi"/>
          <w:b/>
          <w:sz w:val="24"/>
          <w:szCs w:val="24"/>
          <w:lang w:val="es-ES_tradnl" w:eastAsia="en-US"/>
        </w:rPr>
        <w:t>,</w:t>
      </w:r>
      <w:r w:rsidR="00E6674B"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127CF2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3834CC">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Recurrente</w:t>
      </w:r>
      <w:r w:rsidRPr="00883102">
        <w:rPr>
          <w:rFonts w:ascii="Palatino Linotype" w:eastAsiaTheme="minorHAnsi" w:hAnsi="Palatino Linotype" w:cstheme="minorHAnsi"/>
          <w:sz w:val="24"/>
          <w:szCs w:val="24"/>
          <w:lang w:val="es-ES_tradnl" w:eastAsia="en-US"/>
        </w:rPr>
        <w:t xml:space="preserve"> 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3834CC">
        <w:rPr>
          <w:rFonts w:ascii="Palatino Linotype" w:eastAsiaTheme="minorHAnsi" w:hAnsi="Palatino Linotype" w:cstheme="minorHAnsi"/>
          <w:b/>
          <w:sz w:val="24"/>
          <w:szCs w:val="24"/>
          <w:lang w:val="es-ES_tradnl" w:eastAsia="en-US"/>
        </w:rPr>
        <w:t>(SAIMEX)</w:t>
      </w:r>
      <w:r w:rsidR="003834CC">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w:t>
      </w:r>
      <w:r w:rsidRPr="00883102">
        <w:rPr>
          <w:rFonts w:ascii="Palatino Linotype" w:eastAsiaTheme="minorHAnsi" w:hAnsi="Palatino Linotype" w:cstheme="minorHAnsi"/>
          <w:sz w:val="24"/>
          <w:szCs w:val="24"/>
          <w:lang w:val="es-ES_tradnl" w:eastAsia="en-US"/>
        </w:rPr>
        <w:lastRenderedPageBreak/>
        <w:t xml:space="preserve">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281B3E72"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E11301">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11BC72BC"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AF3B5E">
        <w:rPr>
          <w:rFonts w:ascii="Palatino Linotype" w:eastAsiaTheme="minorHAnsi" w:hAnsi="Palatino Linotype" w:cstheme="minorHAnsi"/>
          <w:color w:val="222222"/>
          <w:sz w:val="24"/>
          <w:szCs w:val="24"/>
          <w:lang w:val="es-ES_tradnl" w:eastAsia="es-ES_tradnl"/>
        </w:rPr>
        <w:t>del</w:t>
      </w:r>
      <w:r w:rsidRPr="00883102">
        <w:rPr>
          <w:rFonts w:ascii="Palatino Linotype" w:eastAsiaTheme="minorHAnsi" w:hAnsi="Palatino Linotype" w:cstheme="minorHAnsi"/>
          <w:color w:val="222222"/>
          <w:sz w:val="24"/>
          <w:szCs w:val="24"/>
          <w:lang w:val="es-ES_tradnl"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C91192A" w14:textId="77777777" w:rsidR="003B6990" w:rsidRPr="00627D99" w:rsidRDefault="003B6990" w:rsidP="003B6990">
      <w:pPr>
        <w:pStyle w:val="ListParagraph"/>
        <w:autoSpaceDE w:val="0"/>
        <w:autoSpaceDN w:val="0"/>
        <w:adjustRightInd w:val="0"/>
        <w:spacing w:before="240" w:after="160" w:line="360" w:lineRule="auto"/>
        <w:ind w:left="0"/>
        <w:jc w:val="both"/>
        <w:rPr>
          <w:rFonts w:ascii="Palatino Linotype" w:hAnsi="Palatino Linotype" w:cs="Arial"/>
          <w:sz w:val="23"/>
          <w:szCs w:val="23"/>
        </w:rPr>
      </w:pPr>
      <w:bookmarkStart w:id="0" w:name="_heading=h.gjdgxs" w:colFirst="0" w:colLast="0"/>
      <w:bookmarkEnd w:id="0"/>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CUARTA SESIÓN ORDINARIA CELEBRADA EL VEINTINUEVE DE JUNIO DE DOS MIL VEINTIDÓS, ANTE EL </w:t>
      </w:r>
      <w:r w:rsidRPr="00627D99">
        <w:rPr>
          <w:rFonts w:ascii="Palatino Linotype" w:hAnsi="Palatino Linotype" w:cs="Arial"/>
          <w:sz w:val="23"/>
          <w:szCs w:val="23"/>
        </w:rPr>
        <w:t xml:space="preserve">  SECRETARIO TÉCNICO DEL PLENO, ALEXIS TAPIA RAMÍREZ. </w:t>
      </w:r>
    </w:p>
    <w:p w14:paraId="757F445C" w14:textId="77777777" w:rsidR="003B6990" w:rsidRDefault="003B6990" w:rsidP="003B6990">
      <w:pPr>
        <w:pStyle w:val="ListParagraph"/>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CCBA7B3" w14:textId="5DF34A99" w:rsidR="003834CC" w:rsidRDefault="003B6990" w:rsidP="003834CC">
      <w:pPr>
        <w:spacing w:after="0" w:line="360" w:lineRule="auto"/>
        <w:jc w:val="both"/>
        <w:rPr>
          <w:rFonts w:ascii="Palatino Linotype" w:hAnsi="Palatino Linotype" w:cs="Times New Roman"/>
          <w:sz w:val="24"/>
          <w:szCs w:val="24"/>
          <w:lang w:eastAsia="es-ES"/>
        </w:rPr>
      </w:pPr>
      <w:r>
        <w:rPr>
          <w:rFonts w:ascii="Palatino Linotype" w:hAnsi="Palatino Linotype" w:cs="Times New Roman"/>
          <w:noProof/>
          <w:sz w:val="24"/>
          <w:szCs w:val="24"/>
        </w:rPr>
        <mc:AlternateContent>
          <mc:Choice Requires="wps">
            <w:drawing>
              <wp:anchor distT="0" distB="0" distL="114300" distR="114300" simplePos="0" relativeHeight="251659264" behindDoc="0" locked="0" layoutInCell="1" allowOverlap="1" wp14:anchorId="5981B1BD" wp14:editId="419775D4">
                <wp:simplePos x="0" y="0"/>
                <wp:positionH relativeFrom="column">
                  <wp:posOffset>-158648</wp:posOffset>
                </wp:positionH>
                <wp:positionV relativeFrom="paragraph">
                  <wp:posOffset>163682</wp:posOffset>
                </wp:positionV>
                <wp:extent cx="5954233" cy="3771014"/>
                <wp:effectExtent l="0" t="0" r="27940" b="20320"/>
                <wp:wrapNone/>
                <wp:docPr id="1" name="Conector recto 1"/>
                <wp:cNvGraphicFramePr/>
                <a:graphic xmlns:a="http://schemas.openxmlformats.org/drawingml/2006/main">
                  <a:graphicData uri="http://schemas.microsoft.com/office/word/2010/wordprocessingShape">
                    <wps:wsp>
                      <wps:cNvCnPr/>
                      <wps:spPr>
                        <a:xfrm>
                          <a:off x="0" y="0"/>
                          <a:ext cx="5954233" cy="37710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E13E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12.9pt" to="456.35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" strokecolor="#5b9bd5 [3204]" strokeweight=".5pt">
                <v:stroke joinstyle="miter"/>
              </v:line>
            </w:pict>
          </mc:Fallback>
        </mc:AlternateContent>
      </w: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Default="00D718B8" w:rsidP="00663A37">
      <w:pPr>
        <w:rPr>
          <w:rFonts w:ascii="Palatino Linotype" w:hAnsi="Palatino Linotype"/>
          <w:sz w:val="20"/>
          <w:szCs w:val="20"/>
          <w:lang w:val="es-ES_tradnl"/>
        </w:rPr>
      </w:pPr>
    </w:p>
    <w:p w14:paraId="42E11C6D" w14:textId="77777777" w:rsidR="003834CC" w:rsidRDefault="003834CC" w:rsidP="00663A37">
      <w:pPr>
        <w:rPr>
          <w:rFonts w:ascii="Palatino Linotype" w:hAnsi="Palatino Linotype"/>
          <w:sz w:val="20"/>
          <w:szCs w:val="20"/>
          <w:lang w:val="es-ES_tradnl"/>
        </w:rPr>
      </w:pPr>
    </w:p>
    <w:p w14:paraId="510C4C3A" w14:textId="77777777" w:rsidR="003834CC" w:rsidRDefault="003834CC" w:rsidP="00663A37">
      <w:pPr>
        <w:rPr>
          <w:rFonts w:ascii="Palatino Linotype" w:hAnsi="Palatino Linotype"/>
          <w:sz w:val="20"/>
          <w:szCs w:val="20"/>
          <w:lang w:val="es-ES_tradnl"/>
        </w:rPr>
      </w:pPr>
    </w:p>
    <w:p w14:paraId="5FD5239C" w14:textId="77777777" w:rsidR="003834CC" w:rsidRDefault="003834CC" w:rsidP="00663A37">
      <w:pPr>
        <w:rPr>
          <w:rFonts w:ascii="Palatino Linotype" w:hAnsi="Palatino Linotype"/>
          <w:sz w:val="20"/>
          <w:szCs w:val="20"/>
          <w:lang w:val="es-ES_tradnl"/>
        </w:rPr>
      </w:pPr>
    </w:p>
    <w:p w14:paraId="0EC41003" w14:textId="77777777" w:rsidR="003834CC" w:rsidRDefault="003834CC" w:rsidP="00663A37">
      <w:pPr>
        <w:rPr>
          <w:rFonts w:ascii="Palatino Linotype" w:hAnsi="Palatino Linotype"/>
          <w:sz w:val="20"/>
          <w:szCs w:val="20"/>
          <w:lang w:val="es-ES_tradnl"/>
        </w:rPr>
      </w:pPr>
    </w:p>
    <w:p w14:paraId="12A6EBA1" w14:textId="77777777" w:rsidR="003834CC" w:rsidRDefault="003834CC" w:rsidP="00663A37">
      <w:pPr>
        <w:rPr>
          <w:rFonts w:ascii="Palatino Linotype" w:hAnsi="Palatino Linotype"/>
          <w:sz w:val="20"/>
          <w:szCs w:val="20"/>
          <w:lang w:val="es-ES_tradnl"/>
        </w:rPr>
      </w:pPr>
    </w:p>
    <w:p w14:paraId="28AA3D3B" w14:textId="77777777" w:rsidR="003834CC" w:rsidRDefault="003834CC" w:rsidP="00663A37">
      <w:pPr>
        <w:rPr>
          <w:rFonts w:ascii="Palatino Linotype" w:hAnsi="Palatino Linotype"/>
          <w:sz w:val="20"/>
          <w:szCs w:val="20"/>
          <w:lang w:val="es-ES_tradnl"/>
        </w:rPr>
      </w:pPr>
    </w:p>
    <w:p w14:paraId="25FBCDB0" w14:textId="77777777" w:rsidR="003834CC" w:rsidRDefault="003834CC" w:rsidP="00663A37">
      <w:pPr>
        <w:rPr>
          <w:rFonts w:ascii="Palatino Linotype" w:hAnsi="Palatino Linotype"/>
          <w:sz w:val="20"/>
          <w:szCs w:val="20"/>
          <w:lang w:val="es-ES_tradnl"/>
        </w:rPr>
      </w:pPr>
    </w:p>
    <w:p w14:paraId="480E96D4" w14:textId="77777777" w:rsidR="003834CC" w:rsidRDefault="003834CC" w:rsidP="00663A37">
      <w:pPr>
        <w:rPr>
          <w:rFonts w:ascii="Palatino Linotype" w:hAnsi="Palatino Linotype"/>
          <w:sz w:val="20"/>
          <w:szCs w:val="20"/>
          <w:lang w:val="es-ES_tradnl"/>
        </w:rPr>
      </w:pPr>
    </w:p>
    <w:p w14:paraId="72BD1E33" w14:textId="77777777" w:rsidR="003834CC" w:rsidRDefault="003834CC" w:rsidP="00663A37">
      <w:pPr>
        <w:rPr>
          <w:rFonts w:ascii="Palatino Linotype" w:hAnsi="Palatino Linotype"/>
          <w:sz w:val="20"/>
          <w:szCs w:val="20"/>
          <w:lang w:val="es-ES_tradnl"/>
        </w:rPr>
      </w:pPr>
    </w:p>
    <w:p w14:paraId="5C3C8CE7" w14:textId="77777777" w:rsidR="003834CC" w:rsidRDefault="003834CC" w:rsidP="00663A37">
      <w:pPr>
        <w:rPr>
          <w:rFonts w:ascii="Palatino Linotype" w:hAnsi="Palatino Linotype"/>
          <w:sz w:val="20"/>
          <w:szCs w:val="20"/>
          <w:lang w:val="es-ES_tradnl"/>
        </w:rPr>
      </w:pPr>
    </w:p>
    <w:p w14:paraId="19F655DC" w14:textId="77777777" w:rsidR="003834CC" w:rsidRPr="00883102" w:rsidRDefault="003834CC" w:rsidP="00663A37">
      <w:pPr>
        <w:rPr>
          <w:rFonts w:ascii="Palatino Linotype" w:hAnsi="Palatino Linotype"/>
          <w:sz w:val="20"/>
          <w:szCs w:val="20"/>
          <w:lang w:val="es-ES_tradnl"/>
        </w:rPr>
      </w:pPr>
    </w:p>
    <w:sectPr w:rsidR="003834CC"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521F" w14:textId="77777777" w:rsidR="00776A60" w:rsidRDefault="00776A60" w:rsidP="00F2498E">
      <w:pPr>
        <w:spacing w:after="0" w:line="240" w:lineRule="auto"/>
      </w:pPr>
      <w:r>
        <w:separator/>
      </w:r>
    </w:p>
  </w:endnote>
  <w:endnote w:type="continuationSeparator" w:id="0">
    <w:p w14:paraId="5B7B2E8E" w14:textId="77777777" w:rsidR="00776A60" w:rsidRDefault="00776A60"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Footer"/>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5567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55679">
      <w:rPr>
        <w:rFonts w:ascii="Palatino Linotype" w:hAnsi="Palatino Linotype"/>
        <w:b/>
        <w:bCs/>
        <w:noProof/>
        <w:sz w:val="20"/>
      </w:rPr>
      <w:t>46</w:t>
    </w:r>
    <w:r w:rsidRPr="00713DD5">
      <w:rPr>
        <w:rFonts w:ascii="Palatino Linotype" w:hAnsi="Palatino Linotype"/>
        <w:b/>
        <w:bCs/>
        <w:sz w:val="20"/>
      </w:rPr>
      <w:fldChar w:fldCharType="end"/>
    </w:r>
  </w:p>
  <w:p w14:paraId="0DA4C4E6" w14:textId="77777777" w:rsidR="00A27FD0" w:rsidRPr="000B69FA" w:rsidRDefault="00A27FD0" w:rsidP="00F56426">
    <w:pPr>
      <w:pStyle w:val="Footer"/>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Footer"/>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699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6990">
      <w:rPr>
        <w:rFonts w:ascii="Palatino Linotype" w:hAnsi="Palatino Linotype"/>
        <w:b/>
        <w:bCs/>
        <w:noProof/>
        <w:sz w:val="20"/>
      </w:rPr>
      <w:t>46</w:t>
    </w:r>
    <w:r w:rsidRPr="00713DD5">
      <w:rPr>
        <w:rFonts w:ascii="Palatino Linotype" w:hAnsi="Palatino Linotype"/>
        <w:b/>
        <w:bCs/>
        <w:sz w:val="20"/>
      </w:rPr>
      <w:fldChar w:fldCharType="end"/>
    </w:r>
  </w:p>
  <w:p w14:paraId="58082FE6" w14:textId="77777777" w:rsidR="00A27FD0" w:rsidRPr="000B69FA" w:rsidRDefault="00A27FD0" w:rsidP="00F56426">
    <w:pPr>
      <w:pStyle w:val="Footer"/>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FFAA" w14:textId="77777777" w:rsidR="00776A60" w:rsidRDefault="00776A60" w:rsidP="00F2498E">
      <w:pPr>
        <w:spacing w:after="0" w:line="240" w:lineRule="auto"/>
      </w:pPr>
      <w:r>
        <w:separator/>
      </w:r>
    </w:p>
  </w:footnote>
  <w:footnote w:type="continuationSeparator" w:id="0">
    <w:p w14:paraId="1495733E" w14:textId="77777777" w:rsidR="00776A60" w:rsidRDefault="00776A60" w:rsidP="00F2498E">
      <w:pPr>
        <w:spacing w:after="0" w:line="240" w:lineRule="auto"/>
      </w:pPr>
      <w:r>
        <w:continuationSeparator/>
      </w:r>
    </w:p>
  </w:footnote>
  <w:footnote w:id="1">
    <w:p w14:paraId="7FA69A48" w14:textId="77777777" w:rsidR="00E6674B" w:rsidRDefault="00E6674B" w:rsidP="00E6674B">
      <w:pPr>
        <w:pStyle w:val="FootnoteText"/>
        <w:jc w:val="both"/>
      </w:pPr>
      <w:r>
        <w:rPr>
          <w:rStyle w:val="FootnoteReference"/>
        </w:rPr>
        <w:footnoteRef/>
      </w:r>
      <w:r>
        <w:t xml:space="preserve"> </w:t>
      </w:r>
      <w:r w:rsidRPr="00F5594F">
        <w:rPr>
          <w:rFonts w:ascii="Palatino Linotype" w:hAnsi="Palatino Linotype"/>
          <w:szCs w:val="22"/>
        </w:rPr>
        <w:t>Al encontrarse en algún supuesto restrictivo, previsto en la normatividad aplicable.</w:t>
      </w:r>
    </w:p>
  </w:footnote>
  <w:footnote w:id="2">
    <w:p w14:paraId="74DDF910" w14:textId="77777777" w:rsidR="006F759B" w:rsidRPr="00891FE0" w:rsidRDefault="006F759B" w:rsidP="006F759B">
      <w:pPr>
        <w:pStyle w:val="FootnoteText"/>
        <w:jc w:val="both"/>
        <w:rPr>
          <w:rFonts w:ascii="Palatino Linotype" w:hAnsi="Palatino Linotype"/>
          <w:sz w:val="18"/>
          <w:szCs w:val="18"/>
        </w:rPr>
      </w:pPr>
      <w:r w:rsidRPr="00891FE0">
        <w:rPr>
          <w:rStyle w:val="FootnoteReferenc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3">
    <w:p w14:paraId="02A8CB36" w14:textId="77777777" w:rsidR="006F759B" w:rsidRPr="00891FE0" w:rsidRDefault="006F759B" w:rsidP="006F759B">
      <w:pPr>
        <w:pStyle w:val="FootnoteText"/>
        <w:jc w:val="both"/>
        <w:rPr>
          <w:rFonts w:ascii="Palatino Linotype" w:hAnsi="Palatino Linotype"/>
          <w:sz w:val="18"/>
          <w:szCs w:val="18"/>
        </w:rPr>
      </w:pPr>
      <w:r w:rsidRPr="00891FE0">
        <w:rPr>
          <w:rStyle w:val="FootnoteReferenc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776A60">
    <w:pPr>
      <w:pStyle w:val="Header"/>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8137FFE"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031688">
            <w:rPr>
              <w:rFonts w:ascii="Palatino Linotype" w:hAnsi="Palatino Linotype" w:cs="Arial"/>
              <w:b/>
              <w:bCs/>
              <w:sz w:val="24"/>
              <w:szCs w:val="24"/>
            </w:rPr>
            <w:t>6900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9B8B747" w:rsidR="00A27FD0" w:rsidRPr="00096248" w:rsidRDefault="00C00092" w:rsidP="00031688">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031688">
            <w:rPr>
              <w:rFonts w:ascii="Palatino Linotype" w:hAnsi="Palatino Linotype" w:cs="Arial"/>
              <w:sz w:val="24"/>
              <w:szCs w:val="24"/>
            </w:rPr>
            <w:t>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776A60">
    <w:pPr>
      <w:pStyle w:val="Heade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65F7ABF"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031688">
            <w:rPr>
              <w:rFonts w:ascii="Palatino Linotype" w:hAnsi="Palatino Linotype" w:cs="Arial"/>
              <w:b/>
              <w:bCs/>
              <w:sz w:val="24"/>
              <w:szCs w:val="24"/>
            </w:rPr>
            <w:t>6900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DFD339C" w:rsidR="00A27FD0" w:rsidRPr="00C50FCD" w:rsidRDefault="00A27FD0" w:rsidP="00C50FCD">
          <w:pPr>
            <w:pStyle w:val="ListParagraph"/>
            <w:spacing w:after="120"/>
            <w:ind w:left="720" w:right="68"/>
            <w:jc w:val="right"/>
            <w:rPr>
              <w:rFonts w:ascii="Palatino Linotype" w:hAnsi="Palatino Linotype" w:cs="Arial"/>
            </w:rPr>
          </w:pP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E5D8CE0" w:rsidR="00A27FD0" w:rsidRPr="00663A37" w:rsidRDefault="00031688" w:rsidP="000316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776A60">
    <w:pPr>
      <w:pStyle w:val="Header"/>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061C"/>
    <w:multiLevelType w:val="hybridMultilevel"/>
    <w:tmpl w:val="FD763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8239986">
    <w:abstractNumId w:val="9"/>
  </w:num>
  <w:num w:numId="2" w16cid:durableId="49428977">
    <w:abstractNumId w:val="5"/>
  </w:num>
  <w:num w:numId="3" w16cid:durableId="275136900">
    <w:abstractNumId w:val="12"/>
  </w:num>
  <w:num w:numId="4" w16cid:durableId="521360607">
    <w:abstractNumId w:val="7"/>
  </w:num>
  <w:num w:numId="5" w16cid:durableId="1192183814">
    <w:abstractNumId w:val="8"/>
  </w:num>
  <w:num w:numId="6" w16cid:durableId="1510099653">
    <w:abstractNumId w:val="4"/>
  </w:num>
  <w:num w:numId="7" w16cid:durableId="705956087">
    <w:abstractNumId w:val="6"/>
  </w:num>
  <w:num w:numId="8" w16cid:durableId="529226134">
    <w:abstractNumId w:val="1"/>
  </w:num>
  <w:num w:numId="9" w16cid:durableId="609508844">
    <w:abstractNumId w:val="10"/>
  </w:num>
  <w:num w:numId="10" w16cid:durableId="201483934">
    <w:abstractNumId w:val="3"/>
  </w:num>
  <w:num w:numId="11" w16cid:durableId="287207220">
    <w:abstractNumId w:val="11"/>
  </w:num>
  <w:num w:numId="12" w16cid:durableId="1250580457">
    <w:abstractNumId w:val="0"/>
  </w:num>
  <w:num w:numId="13" w16cid:durableId="22499616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5331"/>
    <w:rsid w:val="00026582"/>
    <w:rsid w:val="00031688"/>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4530"/>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2650"/>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439C"/>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6990"/>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A60"/>
    <w:rsid w:val="00777372"/>
    <w:rsid w:val="00777527"/>
    <w:rsid w:val="00781849"/>
    <w:rsid w:val="00781B6F"/>
    <w:rsid w:val="00782890"/>
    <w:rsid w:val="007833CB"/>
    <w:rsid w:val="00783B56"/>
    <w:rsid w:val="00786CFF"/>
    <w:rsid w:val="007874B4"/>
    <w:rsid w:val="00791490"/>
    <w:rsid w:val="00791C7A"/>
    <w:rsid w:val="00791D59"/>
    <w:rsid w:val="00792827"/>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15E2"/>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031"/>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50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3D64"/>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5A44"/>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5679"/>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2BD2"/>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35C8A"/>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10A3"/>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Heading1">
    <w:name w:val="heading 1"/>
    <w:basedOn w:val="Normal"/>
    <w:next w:val="Normal"/>
    <w:link w:val="Heading1Ch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HeaderChar">
    <w:name w:val="Header Char"/>
    <w:basedOn w:val="DefaultParagraphFont"/>
    <w:link w:val="Header"/>
    <w:uiPriority w:val="99"/>
    <w:rsid w:val="00F2498E"/>
    <w:rPr>
      <w:rFonts w:ascii="Times New Roman" w:eastAsia="Calibri" w:hAnsi="Times New Roman" w:cs="Times New Roman"/>
      <w:sz w:val="24"/>
      <w:szCs w:val="24"/>
      <w:lang w:val="es-ES" w:eastAsia="es-ES"/>
    </w:rPr>
  </w:style>
  <w:style w:type="paragraph" w:styleId="Footer">
    <w:name w:val="footer"/>
    <w:basedOn w:val="Normal"/>
    <w:link w:val="FooterCh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FooterChar">
    <w:name w:val="Footer Char"/>
    <w:basedOn w:val="DefaultParagraphFont"/>
    <w:link w:val="Footer"/>
    <w:uiPriority w:val="99"/>
    <w:rsid w:val="00F2498E"/>
    <w:rPr>
      <w:rFonts w:ascii="Times New Roman" w:eastAsia="Calibri" w:hAnsi="Times New Roman" w:cs="Times New Roman"/>
      <w:sz w:val="24"/>
      <w:szCs w:val="24"/>
      <w:lang w:val="es-ES" w:eastAsia="es-ES"/>
    </w:rPr>
  </w:style>
  <w:style w:type="paragraph" w:styleId="ListParagraph">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ListParagraphCh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ListParagraphChar">
    <w:name w:val="List Paragraph Char"/>
    <w:aliases w:val="lp1 Char,List Paragraph1 Char,Lista de nivel 1 Char,4 Párrafo de lista Char,Figuras Char,Dot pt Char,No Spacing1 Char,List Paragraph Char Char Char Char,Indicator Text Char,Numbered Para 1 Char,DH1 Char,Listas Char,Bullet 1 Char"/>
    <w:link w:val="ListParagraph"/>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DefaultParagraphFont"/>
    <w:rsid w:val="00F2498E"/>
  </w:style>
  <w:style w:type="paragraph" w:styleId="FootnoteText">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FootnoteTextChar"/>
    <w:uiPriority w:val="99"/>
    <w:unhideWhenUsed/>
    <w:rsid w:val="00F2498E"/>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notentext Char,Ca Char"/>
    <w:basedOn w:val="DefaultParagraphFont"/>
    <w:link w:val="FootnoteText"/>
    <w:uiPriority w:val="99"/>
    <w:rsid w:val="00F2498E"/>
    <w:rPr>
      <w:sz w:val="20"/>
      <w:szCs w:val="20"/>
    </w:rPr>
  </w:style>
  <w:style w:type="character" w:styleId="FootnoteReferenc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DefaultParagraphFont"/>
    <w:unhideWhenUsed/>
    <w:qFormat/>
    <w:rsid w:val="00F2498E"/>
    <w:rPr>
      <w:vertAlign w:val="superscript"/>
    </w:rPr>
  </w:style>
  <w:style w:type="table" w:styleId="TableGrid">
    <w:name w:val="Table Grid"/>
    <w:basedOn w:val="Table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2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8E"/>
    <w:rPr>
      <w:rFonts w:ascii="Segoe UI" w:hAnsi="Segoe UI" w:cs="Segoe UI"/>
      <w:sz w:val="18"/>
      <w:szCs w:val="18"/>
    </w:rPr>
  </w:style>
  <w:style w:type="character" w:styleId="Hyperlink">
    <w:name w:val="Hyperlink"/>
    <w:aliases w:val="Hipervínculo1,Hipervínculo11,Hipervínculo12,Hipervínculo13,Hipervínculo14,Hipervínculo15"/>
    <w:basedOn w:val="DefaultParagraphFont"/>
    <w:uiPriority w:val="99"/>
    <w:unhideWhenUsed/>
    <w:rsid w:val="00F2498E"/>
    <w:rPr>
      <w:color w:val="0563C1" w:themeColor="hyperlink"/>
      <w:u w:val="single"/>
    </w:rPr>
  </w:style>
  <w:style w:type="character" w:styleId="FollowedHyperlink">
    <w:name w:val="FollowedHyperlink"/>
    <w:basedOn w:val="DefaultParagraphFont"/>
    <w:uiPriority w:val="99"/>
    <w:semiHidden/>
    <w:unhideWhenUsed/>
    <w:rsid w:val="00F2498E"/>
    <w:rPr>
      <w:color w:val="954F72" w:themeColor="followedHyperlink"/>
      <w:u w:val="single"/>
    </w:rPr>
  </w:style>
  <w:style w:type="paragraph" w:styleId="NoSpacing">
    <w:name w:val="No Spacing"/>
    <w:aliases w:val="Francesa,INAI"/>
    <w:link w:val="NoSpacingCh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NoSpacingChar">
    <w:name w:val="No Spacing Char"/>
    <w:aliases w:val="Francesa Char,INAI Char"/>
    <w:link w:val="NoSpacing"/>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uiPriority w:val="9"/>
    <w:rsid w:val="00ED28F4"/>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61B3F"/>
    <w:rPr>
      <w:rFonts w:ascii="Times New Roman" w:eastAsia="Times New Roman" w:hAnsi="Times New Roman" w:cs="Times New Roman"/>
      <w:sz w:val="24"/>
      <w:szCs w:val="24"/>
      <w:lang w:eastAsia="es-MX"/>
    </w:rPr>
  </w:style>
  <w:style w:type="character" w:styleId="CommentReference">
    <w:name w:val="annotation reference"/>
    <w:basedOn w:val="DefaultParagraphFont"/>
    <w:uiPriority w:val="99"/>
    <w:semiHidden/>
    <w:unhideWhenUsed/>
    <w:rsid w:val="0065599C"/>
    <w:rPr>
      <w:sz w:val="16"/>
      <w:szCs w:val="16"/>
    </w:rPr>
  </w:style>
  <w:style w:type="paragraph" w:styleId="CommentText">
    <w:name w:val="annotation text"/>
    <w:basedOn w:val="Normal"/>
    <w:link w:val="CommentTextChar"/>
    <w:uiPriority w:val="99"/>
    <w:semiHidden/>
    <w:unhideWhenUsed/>
    <w:rsid w:val="0065599C"/>
    <w:pPr>
      <w:spacing w:line="240" w:lineRule="auto"/>
    </w:pPr>
    <w:rPr>
      <w:sz w:val="20"/>
      <w:szCs w:val="20"/>
    </w:rPr>
  </w:style>
  <w:style w:type="character" w:customStyle="1" w:styleId="CommentTextChar">
    <w:name w:val="Comment Text Char"/>
    <w:basedOn w:val="DefaultParagraphFont"/>
    <w:link w:val="CommentText"/>
    <w:uiPriority w:val="99"/>
    <w:semiHidden/>
    <w:rsid w:val="0065599C"/>
    <w:rPr>
      <w:sz w:val="20"/>
      <w:szCs w:val="20"/>
    </w:rPr>
  </w:style>
  <w:style w:type="paragraph" w:styleId="CommentSubject">
    <w:name w:val="annotation subject"/>
    <w:basedOn w:val="CommentText"/>
    <w:next w:val="CommentText"/>
    <w:link w:val="CommentSubjectChar"/>
    <w:uiPriority w:val="99"/>
    <w:semiHidden/>
    <w:unhideWhenUsed/>
    <w:rsid w:val="0065599C"/>
    <w:rPr>
      <w:b/>
      <w:bCs/>
    </w:rPr>
  </w:style>
  <w:style w:type="character" w:customStyle="1" w:styleId="CommentSubjectChar">
    <w:name w:val="Comment Subject Char"/>
    <w:basedOn w:val="CommentTextChar"/>
    <w:link w:val="CommentSubject"/>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Strong">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3B6990"/>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7CE3-F9B4-46EF-A58C-D7EEFB84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46</Pages>
  <Words>9386</Words>
  <Characters>53506</Characters>
  <Application>Microsoft Office Word</Application>
  <DocSecurity>0</DocSecurity>
  <Lines>445</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 J</cp:lastModifiedBy>
  <cp:revision>10</cp:revision>
  <cp:lastPrinted>2019-06-13T15:30:00Z</cp:lastPrinted>
  <dcterms:created xsi:type="dcterms:W3CDTF">2022-06-14T15:55:00Z</dcterms:created>
  <dcterms:modified xsi:type="dcterms:W3CDTF">2022-06-23T14:35:00Z</dcterms:modified>
</cp:coreProperties>
</file>