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255FC" w14:textId="2333FA2E" w:rsidR="001272D3" w:rsidRPr="004D7D6E" w:rsidRDefault="001272D3" w:rsidP="002C275E">
      <w:pPr>
        <w:shd w:val="clear" w:color="auto" w:fill="FFFFFF"/>
        <w:spacing w:after="0" w:line="360" w:lineRule="auto"/>
        <w:jc w:val="both"/>
        <w:rPr>
          <w:rFonts w:ascii="Palatino Linotype" w:eastAsia="Times New Roman" w:hAnsi="Palatino Linotype" w:cs="Arial"/>
          <w:color w:val="000000"/>
          <w:sz w:val="24"/>
          <w:szCs w:val="24"/>
          <w:lang w:eastAsia="es-MX"/>
        </w:rPr>
      </w:pPr>
      <w:r w:rsidRPr="004D7D6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6692B">
        <w:rPr>
          <w:rFonts w:ascii="Palatino Linotype" w:eastAsia="Times New Roman" w:hAnsi="Palatino Linotype" w:cs="Arial"/>
          <w:color w:val="000000"/>
          <w:sz w:val="24"/>
          <w:szCs w:val="24"/>
          <w:lang w:eastAsia="es-MX"/>
        </w:rPr>
        <w:t>veinti</w:t>
      </w:r>
      <w:r w:rsidR="00E14804">
        <w:rPr>
          <w:rFonts w:ascii="Palatino Linotype" w:eastAsia="Times New Roman" w:hAnsi="Palatino Linotype" w:cs="Arial"/>
          <w:color w:val="000000"/>
          <w:sz w:val="24"/>
          <w:szCs w:val="24"/>
          <w:lang w:eastAsia="es-MX"/>
        </w:rPr>
        <w:t xml:space="preserve">cuatro </w:t>
      </w:r>
      <w:r w:rsidR="007370BD" w:rsidRPr="004D7D6E">
        <w:rPr>
          <w:rFonts w:ascii="Palatino Linotype" w:eastAsia="Times New Roman" w:hAnsi="Palatino Linotype" w:cs="Arial"/>
          <w:color w:val="000000"/>
          <w:sz w:val="24"/>
          <w:szCs w:val="24"/>
          <w:lang w:eastAsia="es-MX"/>
        </w:rPr>
        <w:t>de</w:t>
      </w:r>
      <w:r w:rsidR="005962CE">
        <w:rPr>
          <w:rFonts w:ascii="Palatino Linotype" w:eastAsia="Times New Roman" w:hAnsi="Palatino Linotype" w:cs="Arial"/>
          <w:color w:val="000000"/>
          <w:sz w:val="24"/>
          <w:szCs w:val="24"/>
          <w:lang w:eastAsia="es-MX"/>
        </w:rPr>
        <w:t xml:space="preserve"> marzo</w:t>
      </w:r>
      <w:r w:rsidR="007370BD" w:rsidRPr="004D7D6E">
        <w:rPr>
          <w:rFonts w:ascii="Palatino Linotype" w:eastAsia="Times New Roman" w:hAnsi="Palatino Linotype" w:cs="Arial"/>
          <w:color w:val="000000"/>
          <w:sz w:val="24"/>
          <w:szCs w:val="24"/>
          <w:lang w:eastAsia="es-MX"/>
        </w:rPr>
        <w:t xml:space="preserve"> </w:t>
      </w:r>
      <w:r w:rsidRPr="004D7D6E">
        <w:rPr>
          <w:rFonts w:ascii="Palatino Linotype" w:eastAsia="Times New Roman" w:hAnsi="Palatino Linotype" w:cs="Arial"/>
          <w:color w:val="000000"/>
          <w:sz w:val="24"/>
          <w:szCs w:val="24"/>
          <w:lang w:eastAsia="es-MX"/>
        </w:rPr>
        <w:t>de dos mil veintidós.</w:t>
      </w:r>
    </w:p>
    <w:p w14:paraId="6F795ED7" w14:textId="77777777" w:rsidR="001272D3" w:rsidRPr="004D7D6E" w:rsidRDefault="001272D3" w:rsidP="002C275E">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E384416" w14:textId="0297196F" w:rsidR="001272D3" w:rsidRPr="004D7D6E" w:rsidRDefault="001272D3" w:rsidP="002C275E">
      <w:pPr>
        <w:tabs>
          <w:tab w:val="left" w:pos="1701"/>
        </w:tabs>
        <w:spacing w:after="0" w:line="360" w:lineRule="auto"/>
        <w:jc w:val="both"/>
        <w:rPr>
          <w:rFonts w:ascii="Palatino Linotype" w:hAnsi="Palatino Linotype" w:cs="Arial"/>
          <w:b/>
          <w:sz w:val="24"/>
          <w:szCs w:val="24"/>
        </w:rPr>
      </w:pPr>
      <w:r w:rsidRPr="004D7D6E">
        <w:rPr>
          <w:rFonts w:ascii="Palatino Linotype" w:hAnsi="Palatino Linotype" w:cs="Arial"/>
          <w:b/>
          <w:sz w:val="24"/>
          <w:szCs w:val="24"/>
        </w:rPr>
        <w:t>VISTO</w:t>
      </w:r>
      <w:r w:rsidRPr="004D7D6E">
        <w:rPr>
          <w:rFonts w:ascii="Palatino Linotype" w:hAnsi="Palatino Linotype" w:cs="Arial"/>
          <w:sz w:val="24"/>
          <w:szCs w:val="24"/>
        </w:rPr>
        <w:t xml:space="preserve"> el expediente electrónico formado con motivo del recurso de revisión con número</w:t>
      </w:r>
      <w:r w:rsidR="001A1892">
        <w:rPr>
          <w:rFonts w:ascii="Palatino Linotype" w:hAnsi="Palatino Linotype" w:cs="Arial"/>
          <w:b/>
          <w:bCs/>
          <w:sz w:val="24"/>
          <w:szCs w:val="24"/>
          <w:lang w:eastAsia="es-MX"/>
        </w:rPr>
        <w:t xml:space="preserve"> 00395</w:t>
      </w:r>
      <w:r w:rsidRPr="004D7D6E">
        <w:rPr>
          <w:rFonts w:ascii="Palatino Linotype" w:hAnsi="Palatino Linotype" w:cs="Arial"/>
          <w:b/>
          <w:bCs/>
          <w:sz w:val="24"/>
          <w:szCs w:val="24"/>
          <w:lang w:eastAsia="es-MX"/>
        </w:rPr>
        <w:t>/INFOEM/IP/RR/202</w:t>
      </w:r>
      <w:r w:rsidR="0046692B">
        <w:rPr>
          <w:rFonts w:ascii="Palatino Linotype" w:hAnsi="Palatino Linotype" w:cs="Arial"/>
          <w:b/>
          <w:bCs/>
          <w:sz w:val="24"/>
          <w:szCs w:val="24"/>
          <w:lang w:eastAsia="es-MX"/>
        </w:rPr>
        <w:t>2</w:t>
      </w:r>
      <w:r w:rsidRPr="004D7D6E">
        <w:rPr>
          <w:rFonts w:ascii="Palatino Linotype" w:hAnsi="Palatino Linotype" w:cs="Arial"/>
          <w:sz w:val="24"/>
          <w:szCs w:val="24"/>
        </w:rPr>
        <w:t>, interpuesto por</w:t>
      </w:r>
      <w:r w:rsidR="001A1892">
        <w:rPr>
          <w:rFonts w:ascii="Palatino Linotype" w:hAnsi="Palatino Linotype" w:cs="Arial"/>
          <w:sz w:val="24"/>
          <w:szCs w:val="24"/>
        </w:rPr>
        <w:t xml:space="preserve"> el C.</w:t>
      </w:r>
      <w:r w:rsidRPr="004D7D6E">
        <w:rPr>
          <w:rFonts w:ascii="Palatino Linotype" w:hAnsi="Palatino Linotype" w:cs="Arial"/>
          <w:sz w:val="24"/>
          <w:szCs w:val="24"/>
        </w:rPr>
        <w:t xml:space="preserve"> </w:t>
      </w:r>
      <w:r w:rsidR="007934F2">
        <w:rPr>
          <w:rFonts w:ascii="Palatino Linotype" w:hAnsi="Palatino Linotype" w:cs="Arial"/>
          <w:b/>
          <w:sz w:val="24"/>
          <w:szCs w:val="24"/>
        </w:rPr>
        <w:t>xxxxxxxxxxxxxxxxxxxx</w:t>
      </w:r>
      <w:bookmarkStart w:id="0" w:name="_GoBack"/>
      <w:bookmarkEnd w:id="0"/>
      <w:r w:rsidRPr="004D7D6E">
        <w:rPr>
          <w:rFonts w:ascii="Palatino Linotype" w:hAnsi="Palatino Linotype" w:cs="Arial"/>
          <w:sz w:val="24"/>
          <w:szCs w:val="24"/>
        </w:rPr>
        <w:t xml:space="preserve">, quien en lo que en lo sucesivo y para efectos prácticos se le denominara </w:t>
      </w:r>
      <w:r w:rsidRPr="004D7D6E">
        <w:rPr>
          <w:rFonts w:ascii="Palatino Linotype" w:hAnsi="Palatino Linotype" w:cs="Arial"/>
          <w:b/>
          <w:sz w:val="24"/>
          <w:szCs w:val="24"/>
        </w:rPr>
        <w:t>el Recurrente</w:t>
      </w:r>
      <w:r w:rsidRPr="004D7D6E">
        <w:rPr>
          <w:rFonts w:ascii="Palatino Linotype" w:hAnsi="Palatino Linotype" w:cs="Arial"/>
          <w:sz w:val="24"/>
          <w:szCs w:val="24"/>
        </w:rPr>
        <w:t xml:space="preserve">, en contra de la respuesta del </w:t>
      </w:r>
      <w:r w:rsidR="00403237" w:rsidRPr="00403237">
        <w:rPr>
          <w:rFonts w:ascii="Palatino Linotype" w:hAnsi="Palatino Linotype" w:cs="Arial"/>
          <w:b/>
          <w:sz w:val="24"/>
          <w:szCs w:val="24"/>
        </w:rPr>
        <w:t>Ayuntamiento de Tlalnepantla de Baz</w:t>
      </w:r>
      <w:r w:rsidRPr="004D7D6E">
        <w:rPr>
          <w:rFonts w:ascii="Palatino Linotype" w:hAnsi="Palatino Linotype" w:cs="Arial"/>
          <w:b/>
          <w:sz w:val="24"/>
          <w:szCs w:val="24"/>
        </w:rPr>
        <w:t xml:space="preserve">, </w:t>
      </w:r>
      <w:r w:rsidRPr="004D7D6E">
        <w:rPr>
          <w:rFonts w:ascii="Palatino Linotype" w:hAnsi="Palatino Linotype" w:cs="Arial"/>
          <w:sz w:val="24"/>
          <w:szCs w:val="24"/>
        </w:rPr>
        <w:t>en lo subsecuente</w:t>
      </w:r>
      <w:r w:rsidRPr="004D7D6E">
        <w:rPr>
          <w:rFonts w:ascii="Palatino Linotype" w:hAnsi="Palatino Linotype" w:cs="Arial"/>
          <w:b/>
          <w:sz w:val="24"/>
          <w:szCs w:val="24"/>
        </w:rPr>
        <w:t xml:space="preserve"> el Sujeto Obligado, </w:t>
      </w:r>
      <w:r w:rsidRPr="004D7D6E">
        <w:rPr>
          <w:rFonts w:ascii="Palatino Linotype" w:hAnsi="Palatino Linotype" w:cs="Arial"/>
          <w:sz w:val="24"/>
          <w:szCs w:val="24"/>
        </w:rPr>
        <w:t>se procede a dictar la presente resolución.</w:t>
      </w:r>
    </w:p>
    <w:p w14:paraId="6F98BBB5" w14:textId="77777777" w:rsidR="001272D3" w:rsidRPr="004D7D6E" w:rsidRDefault="001272D3" w:rsidP="002C275E">
      <w:pPr>
        <w:tabs>
          <w:tab w:val="left" w:pos="6960"/>
        </w:tabs>
        <w:spacing w:after="0" w:line="360" w:lineRule="auto"/>
        <w:jc w:val="both"/>
        <w:rPr>
          <w:rFonts w:ascii="Palatino Linotype" w:hAnsi="Palatino Linotype" w:cs="Arial"/>
          <w:sz w:val="24"/>
          <w:szCs w:val="24"/>
        </w:rPr>
      </w:pPr>
    </w:p>
    <w:p w14:paraId="5166060A" w14:textId="77777777" w:rsidR="001272D3" w:rsidRPr="004D7D6E" w:rsidRDefault="001272D3" w:rsidP="002C275E">
      <w:pPr>
        <w:spacing w:after="0" w:line="360" w:lineRule="auto"/>
        <w:jc w:val="center"/>
        <w:rPr>
          <w:rFonts w:ascii="Palatino Linotype" w:hAnsi="Palatino Linotype" w:cs="Arial"/>
          <w:b/>
          <w:sz w:val="28"/>
          <w:szCs w:val="24"/>
        </w:rPr>
      </w:pPr>
      <w:r w:rsidRPr="004D7D6E">
        <w:rPr>
          <w:rFonts w:ascii="Palatino Linotype" w:hAnsi="Palatino Linotype" w:cs="Arial"/>
          <w:b/>
          <w:sz w:val="28"/>
          <w:szCs w:val="24"/>
        </w:rPr>
        <w:t>A N T E C E D E N T E S</w:t>
      </w:r>
    </w:p>
    <w:p w14:paraId="52028E11" w14:textId="77777777" w:rsidR="001272D3" w:rsidRPr="004D7D6E" w:rsidRDefault="001272D3" w:rsidP="002C275E">
      <w:pPr>
        <w:spacing w:after="0" w:line="360" w:lineRule="auto"/>
        <w:rPr>
          <w:rFonts w:ascii="Palatino Linotype" w:hAnsi="Palatino Linotype" w:cs="Arial"/>
          <w:b/>
          <w:sz w:val="24"/>
          <w:szCs w:val="24"/>
        </w:rPr>
      </w:pPr>
    </w:p>
    <w:p w14:paraId="4710F340" w14:textId="244F2DAB"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b/>
          <w:sz w:val="28"/>
          <w:szCs w:val="28"/>
        </w:rPr>
        <w:t xml:space="preserve">PRIMERO. </w:t>
      </w:r>
      <w:r w:rsidRPr="004D7D6E">
        <w:rPr>
          <w:rFonts w:ascii="Palatino Linotype" w:hAnsi="Palatino Linotype" w:cs="Arial"/>
          <w:sz w:val="24"/>
          <w:szCs w:val="24"/>
        </w:rPr>
        <w:t xml:space="preserve">Con fecha </w:t>
      </w:r>
      <w:r w:rsidR="00403237">
        <w:rPr>
          <w:rFonts w:ascii="Palatino Linotype" w:hAnsi="Palatino Linotype" w:cs="Arial"/>
          <w:sz w:val="24"/>
          <w:szCs w:val="24"/>
        </w:rPr>
        <w:t>trece</w:t>
      </w:r>
      <w:r w:rsidR="00527A19">
        <w:rPr>
          <w:rFonts w:ascii="Palatino Linotype" w:hAnsi="Palatino Linotype" w:cs="Arial"/>
          <w:sz w:val="24"/>
          <w:szCs w:val="24"/>
        </w:rPr>
        <w:t xml:space="preserve"> de diciembre </w:t>
      </w:r>
      <w:r w:rsidRPr="004D7D6E">
        <w:rPr>
          <w:rFonts w:ascii="Palatino Linotype" w:hAnsi="Palatino Linotype" w:cs="Arial"/>
          <w:sz w:val="24"/>
          <w:szCs w:val="24"/>
        </w:rPr>
        <w:t>de dos mil veintiuno, el</w:t>
      </w:r>
      <w:r w:rsidRPr="004D7D6E">
        <w:rPr>
          <w:rFonts w:ascii="Palatino Linotype" w:hAnsi="Palatino Linotype" w:cs="Arial"/>
          <w:b/>
          <w:sz w:val="24"/>
          <w:szCs w:val="24"/>
        </w:rPr>
        <w:t xml:space="preserve"> Recurrente</w:t>
      </w:r>
      <w:r w:rsidRPr="004D7D6E">
        <w:rPr>
          <w:rFonts w:ascii="Palatino Linotype" w:hAnsi="Palatino Linotype" w:cs="Arial"/>
          <w:sz w:val="24"/>
          <w:szCs w:val="24"/>
        </w:rPr>
        <w:t xml:space="preserve"> presentó a través del Sistema de Acceso a la Información Mexiquense, en lo posterior el </w:t>
      </w:r>
      <w:r w:rsidRPr="004D7D6E">
        <w:rPr>
          <w:rFonts w:ascii="Palatino Linotype" w:hAnsi="Palatino Linotype" w:cs="Arial"/>
          <w:b/>
          <w:sz w:val="24"/>
          <w:szCs w:val="24"/>
        </w:rPr>
        <w:t>SAIMEX</w:t>
      </w:r>
      <w:r w:rsidRPr="004D7D6E">
        <w:rPr>
          <w:rFonts w:ascii="Palatino Linotype" w:hAnsi="Palatino Linotype" w:cs="Arial"/>
          <w:sz w:val="24"/>
          <w:szCs w:val="24"/>
        </w:rPr>
        <w:t xml:space="preserve">, ante </w:t>
      </w:r>
      <w:r w:rsidRPr="004D7D6E">
        <w:rPr>
          <w:rFonts w:ascii="Palatino Linotype" w:hAnsi="Palatino Linotype" w:cs="Arial"/>
          <w:b/>
          <w:sz w:val="24"/>
          <w:szCs w:val="24"/>
        </w:rPr>
        <w:t>el Sujeto Obligado</w:t>
      </w:r>
      <w:r w:rsidRPr="004D7D6E">
        <w:rPr>
          <w:rFonts w:ascii="Palatino Linotype" w:hAnsi="Palatino Linotype" w:cs="Arial"/>
          <w:sz w:val="24"/>
          <w:szCs w:val="24"/>
        </w:rPr>
        <w:t xml:space="preserve">, solicitud de acceso a la información pública, registrada bajo el número de expediente </w:t>
      </w:r>
      <w:r w:rsidR="00403237" w:rsidRPr="00403237">
        <w:rPr>
          <w:rFonts w:ascii="Palatino Linotype" w:hAnsi="Palatino Linotype" w:cs="Arial"/>
          <w:b/>
          <w:sz w:val="24"/>
          <w:szCs w:val="24"/>
        </w:rPr>
        <w:t>01022/TLALNEPA/IP/2021</w:t>
      </w:r>
      <w:r w:rsidRPr="004D7D6E">
        <w:rPr>
          <w:rFonts w:ascii="Palatino Linotype" w:hAnsi="Palatino Linotype" w:cs="Arial"/>
          <w:sz w:val="24"/>
          <w:szCs w:val="24"/>
          <w:lang w:eastAsia="es-MX"/>
        </w:rPr>
        <w:t>,</w:t>
      </w:r>
      <w:r w:rsidRPr="004D7D6E">
        <w:rPr>
          <w:rFonts w:ascii="Palatino Linotype" w:hAnsi="Palatino Linotype" w:cs="Arial"/>
          <w:b/>
          <w:sz w:val="24"/>
          <w:szCs w:val="24"/>
          <w:lang w:eastAsia="es-MX"/>
        </w:rPr>
        <w:t xml:space="preserve"> </w:t>
      </w:r>
      <w:r w:rsidRPr="004D7D6E">
        <w:rPr>
          <w:rFonts w:ascii="Palatino Linotype" w:hAnsi="Palatino Linotype" w:cs="Arial"/>
          <w:sz w:val="24"/>
          <w:szCs w:val="24"/>
        </w:rPr>
        <w:t>mediante las cuales solicitó información en el tenor siguiente:</w:t>
      </w:r>
    </w:p>
    <w:p w14:paraId="7050A641" w14:textId="77777777" w:rsidR="001272D3" w:rsidRPr="004D7D6E" w:rsidRDefault="001272D3" w:rsidP="002C275E">
      <w:pPr>
        <w:spacing w:after="0" w:line="360" w:lineRule="auto"/>
        <w:jc w:val="both"/>
        <w:rPr>
          <w:rFonts w:ascii="Palatino Linotype" w:hAnsi="Palatino Linotype" w:cs="Arial"/>
          <w:sz w:val="24"/>
          <w:szCs w:val="24"/>
        </w:rPr>
      </w:pPr>
    </w:p>
    <w:p w14:paraId="6106FACE" w14:textId="68600801" w:rsidR="001272D3" w:rsidRPr="004D7D6E" w:rsidRDefault="001272D3" w:rsidP="002C275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D7D6E">
        <w:rPr>
          <w:rFonts w:ascii="Palatino Linotype" w:eastAsia="Times New Roman" w:hAnsi="Palatino Linotype" w:cs="Times New Roman"/>
          <w:i/>
          <w:szCs w:val="24"/>
          <w:lang w:val="es-ES_tradnl" w:eastAsia="es-ES"/>
        </w:rPr>
        <w:t>“</w:t>
      </w:r>
      <w:r w:rsidR="00403237" w:rsidRPr="00403237">
        <w:rPr>
          <w:rFonts w:ascii="Palatino Linotype" w:eastAsia="Times New Roman" w:hAnsi="Palatino Linotype" w:cs="Times New Roman"/>
          <w:i/>
          <w:szCs w:val="24"/>
          <w:lang w:val="es-ES_tradnl" w:eastAsia="es-ES"/>
        </w:rPr>
        <w:t xml:space="preserve">DE CONFORMIDAD CON los artículos 4, cuarto y quinto párrafos, 6 segundo párrafo, apartado A de la Constitución Política de Los Estados Unidos Mexicanos, a los artículos; 11, 12, 13 y 70 fracción XV inciso q) de la Ley General de Transparencia y Acceso a la Información Pública, 4, 5, 7, 8, 11, 12 y 92 fracción XIV inciso p) de la Ley de Transparencia y Acceso a la Información Pública del Estado de México y Municipios, el 344 del Código Financiero del Estado de México y Municipios, a los Lineamientos de Control Financiero y Administrativo para las Entidades Fiscalizables Municipales del Estado de México emitidos por el OSFEM, al punto 4 del orden del día de la Décima Cuarta Sesión Ordinaria del Ayuntamiento de Tlalnepantla de Baz 2019-2021 de fecha 23 de mayo </w:t>
      </w:r>
      <w:r w:rsidR="00403237" w:rsidRPr="00403237">
        <w:rPr>
          <w:rFonts w:ascii="Palatino Linotype" w:eastAsia="Times New Roman" w:hAnsi="Palatino Linotype" w:cs="Times New Roman"/>
          <w:i/>
          <w:szCs w:val="24"/>
          <w:lang w:val="es-ES_tradnl" w:eastAsia="es-ES"/>
        </w:rPr>
        <w:lastRenderedPageBreak/>
        <w:t xml:space="preserve">de 2019, a los numerales 8, 9, 10, 11, 12, 13 y 14 del Programa “Seguridad del Patrimonio Familiar” para la Regularización de la Tenencia de la Tierra del Ejido de San Juan </w:t>
      </w:r>
      <w:proofErr w:type="spellStart"/>
      <w:r w:rsidR="00403237" w:rsidRPr="00403237">
        <w:rPr>
          <w:rFonts w:ascii="Palatino Linotype" w:eastAsia="Times New Roman" w:hAnsi="Palatino Linotype" w:cs="Times New Roman"/>
          <w:i/>
          <w:szCs w:val="24"/>
          <w:lang w:val="es-ES_tradnl" w:eastAsia="es-ES"/>
        </w:rPr>
        <w:t>Ixhuatepec</w:t>
      </w:r>
      <w:proofErr w:type="spellEnd"/>
      <w:r w:rsidR="00403237" w:rsidRPr="00403237">
        <w:rPr>
          <w:rFonts w:ascii="Palatino Linotype" w:eastAsia="Times New Roman" w:hAnsi="Palatino Linotype" w:cs="Times New Roman"/>
          <w:i/>
          <w:szCs w:val="24"/>
          <w:lang w:val="es-ES_tradnl" w:eastAsia="es-ES"/>
        </w:rPr>
        <w:t xml:space="preserve"> del Municipio de Tlalnepantla de Baz, México, a las Clausulas PRIMERA, SEGUNDA, TERCERA, CUARTA y DECIMA del Convenio de Concertación celebrado entre el municipio de Tlalnepantla de Baz, Estado de México y el Núcleo Agrario denominado San Juan </w:t>
      </w:r>
      <w:proofErr w:type="spellStart"/>
      <w:r w:rsidR="00403237" w:rsidRPr="00403237">
        <w:rPr>
          <w:rFonts w:ascii="Palatino Linotype" w:eastAsia="Times New Roman" w:hAnsi="Palatino Linotype" w:cs="Times New Roman"/>
          <w:i/>
          <w:szCs w:val="24"/>
          <w:lang w:val="es-ES_tradnl" w:eastAsia="es-ES"/>
        </w:rPr>
        <w:t>Ixhuatepec</w:t>
      </w:r>
      <w:proofErr w:type="spellEnd"/>
      <w:r w:rsidR="00403237" w:rsidRPr="00403237">
        <w:rPr>
          <w:rFonts w:ascii="Palatino Linotype" w:eastAsia="Times New Roman" w:hAnsi="Palatino Linotype" w:cs="Times New Roman"/>
          <w:i/>
          <w:szCs w:val="24"/>
          <w:lang w:val="es-ES_tradnl" w:eastAsia="es-ES"/>
        </w:rPr>
        <w:t xml:space="preserve">, municipio de Tlalnepantla de Baz, Estado de México el 16 de junio de 2019, al tríptico repartido en las comunidades beneficiadas por el programa “Seguridad del Patrimonio Familiar” el cual se adjunta a la presente solicitud de información pública, por lo </w:t>
      </w:r>
      <w:r w:rsidR="00403237" w:rsidRPr="005962CE">
        <w:rPr>
          <w:rFonts w:ascii="Palatino Linotype" w:eastAsia="Times New Roman" w:hAnsi="Palatino Linotype" w:cs="Times New Roman"/>
          <w:b/>
          <w:i/>
          <w:szCs w:val="24"/>
          <w:lang w:val="es-ES_tradnl" w:eastAsia="es-ES"/>
        </w:rPr>
        <w:t>que solicito se me envié vía SAIMEX la siguiente información pública; 1.- Los 2, 171 expedientes recibidos por la Tesorería Municipal y por los cuales previo cumplimiento del artículo 344 del Código Financiero del Estado de México y Municipios y a los Lineamientos de Control Financiero y Administrativo para las Entidades Fiscalizables Municipales del Estado de México emitidos por el OSFEM, este ente público expidió los respectivos cheques a los beneficiarios del Programa en comento. 2.- La Póliza de Cheque de cada uno de los 2, 171 beneficiarios del programa “Seguridad del Patrimonio Familiar”. 3.- Los medios magnéticas, proporcionados por el “Ejido”, según Clausula DECIMA del Convenio mencionado, que deben contener la identificación de los solares urbanos de cada uno de los 2, 171 beneficiarios del programa “Seguridad del Patrimonio Familiar” para que sean incorporados al registro del Departamento de Catastro (Tesorería Municipal) del municipio de Tlalnepantla de Baz, Estado de México</w:t>
      </w:r>
      <w:r w:rsidR="00403237" w:rsidRPr="00403237">
        <w:rPr>
          <w:rFonts w:ascii="Palatino Linotype" w:eastAsia="Times New Roman" w:hAnsi="Palatino Linotype" w:cs="Times New Roman"/>
          <w:i/>
          <w:szCs w:val="24"/>
          <w:lang w:val="es-ES_tradnl" w:eastAsia="es-ES"/>
        </w:rPr>
        <w:t>.</w:t>
      </w:r>
      <w:r w:rsidRPr="004D7D6E">
        <w:rPr>
          <w:rFonts w:ascii="Palatino Linotype" w:eastAsia="Times New Roman" w:hAnsi="Palatino Linotype" w:cs="Times New Roman"/>
          <w:i/>
          <w:szCs w:val="24"/>
          <w:lang w:val="es-ES_tradnl" w:eastAsia="es-ES"/>
        </w:rPr>
        <w:t>”</w:t>
      </w:r>
    </w:p>
    <w:p w14:paraId="63D09FF4" w14:textId="77777777" w:rsidR="001272D3" w:rsidRPr="004D7D6E" w:rsidRDefault="001272D3" w:rsidP="002C275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5953BCA" w14:textId="77777777" w:rsidR="001272D3" w:rsidRPr="004D7D6E" w:rsidRDefault="001272D3" w:rsidP="002C275E">
      <w:pPr>
        <w:tabs>
          <w:tab w:val="left" w:pos="5647"/>
        </w:tabs>
        <w:spacing w:after="0" w:line="360" w:lineRule="auto"/>
        <w:ind w:right="850"/>
        <w:jc w:val="both"/>
        <w:rPr>
          <w:rFonts w:ascii="Palatino Linotype" w:hAnsi="Palatino Linotype"/>
          <w:b/>
          <w:i/>
          <w:color w:val="000000"/>
          <w:sz w:val="24"/>
          <w:szCs w:val="24"/>
        </w:rPr>
      </w:pPr>
      <w:r w:rsidRPr="004D7D6E">
        <w:rPr>
          <w:rFonts w:ascii="Palatino Linotype" w:eastAsia="Times New Roman" w:hAnsi="Palatino Linotype" w:cs="Times New Roman"/>
          <w:sz w:val="24"/>
          <w:szCs w:val="24"/>
          <w:lang w:val="es-ES_tradnl" w:eastAsia="es-ES"/>
        </w:rPr>
        <w:t xml:space="preserve">Modalidad de entrega: </w:t>
      </w:r>
      <w:r w:rsidRPr="004D7D6E">
        <w:rPr>
          <w:rFonts w:ascii="Palatino Linotype" w:hAnsi="Palatino Linotype"/>
          <w:b/>
          <w:i/>
          <w:color w:val="000000"/>
          <w:sz w:val="24"/>
          <w:szCs w:val="24"/>
        </w:rPr>
        <w:t>A través del SAIMEX</w:t>
      </w:r>
    </w:p>
    <w:p w14:paraId="47200EB7" w14:textId="77777777" w:rsidR="00403237" w:rsidRDefault="00403237" w:rsidP="002C275E">
      <w:pPr>
        <w:spacing w:after="0" w:line="360" w:lineRule="auto"/>
        <w:jc w:val="both"/>
        <w:rPr>
          <w:rFonts w:ascii="Palatino Linotype" w:hAnsi="Palatino Linotype" w:cs="Arial"/>
          <w:b/>
          <w:sz w:val="28"/>
          <w:szCs w:val="24"/>
        </w:rPr>
      </w:pPr>
    </w:p>
    <w:p w14:paraId="5923A0A7" w14:textId="1112272F"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b/>
          <w:sz w:val="28"/>
          <w:szCs w:val="24"/>
        </w:rPr>
        <w:t>SEGUNDO</w:t>
      </w:r>
      <w:r w:rsidRPr="004D7D6E">
        <w:rPr>
          <w:rFonts w:ascii="Palatino Linotype" w:hAnsi="Palatino Linotype" w:cs="Arial"/>
          <w:b/>
          <w:sz w:val="24"/>
          <w:szCs w:val="24"/>
        </w:rPr>
        <w:t xml:space="preserve">. </w:t>
      </w:r>
      <w:r w:rsidR="005679A7">
        <w:rPr>
          <w:rFonts w:ascii="Palatino Linotype" w:hAnsi="Palatino Linotype" w:cs="Arial"/>
          <w:b/>
          <w:sz w:val="24"/>
          <w:szCs w:val="24"/>
        </w:rPr>
        <w:t xml:space="preserve">De </w:t>
      </w:r>
      <w:r w:rsidRPr="004D7D6E">
        <w:rPr>
          <w:rFonts w:ascii="Palatino Linotype" w:hAnsi="Palatino Linotype" w:cs="Arial"/>
          <w:sz w:val="24"/>
          <w:szCs w:val="24"/>
        </w:rPr>
        <w:t>las constancias del expediente</w:t>
      </w:r>
      <w:r w:rsidR="005679A7">
        <w:rPr>
          <w:rFonts w:ascii="Palatino Linotype" w:hAnsi="Palatino Linotype" w:cs="Arial"/>
          <w:sz w:val="24"/>
          <w:szCs w:val="24"/>
        </w:rPr>
        <w:t xml:space="preserve"> </w:t>
      </w:r>
      <w:r w:rsidR="00DA3434">
        <w:rPr>
          <w:rFonts w:ascii="Palatino Linotype" w:hAnsi="Palatino Linotype" w:cs="Arial"/>
          <w:sz w:val="24"/>
          <w:szCs w:val="24"/>
        </w:rPr>
        <w:t xml:space="preserve">electrónico </w:t>
      </w:r>
      <w:r w:rsidR="00DA3434" w:rsidRPr="004D7D6E">
        <w:rPr>
          <w:rFonts w:ascii="Palatino Linotype" w:hAnsi="Palatino Linotype" w:cs="Arial"/>
          <w:sz w:val="24"/>
          <w:szCs w:val="24"/>
        </w:rPr>
        <w:t>aperturado</w:t>
      </w:r>
      <w:r w:rsidRPr="004D7D6E">
        <w:rPr>
          <w:rFonts w:ascii="Palatino Linotype" w:hAnsi="Palatino Linotype" w:cs="Arial"/>
          <w:sz w:val="24"/>
          <w:szCs w:val="24"/>
        </w:rPr>
        <w:t xml:space="preserve"> con motivo del ingreso de la solicitud de información, se advierte que en fecha </w:t>
      </w:r>
      <w:r w:rsidR="0097648F">
        <w:rPr>
          <w:rFonts w:ascii="Palatino Linotype" w:hAnsi="Palatino Linotype" w:cs="Arial"/>
          <w:sz w:val="24"/>
          <w:szCs w:val="24"/>
        </w:rPr>
        <w:t>diecinueve de enero de dos mil veintidós</w:t>
      </w:r>
      <w:r w:rsidRPr="004D7D6E">
        <w:rPr>
          <w:rFonts w:ascii="Palatino Linotype" w:hAnsi="Palatino Linotype" w:cs="Arial"/>
          <w:sz w:val="24"/>
          <w:szCs w:val="24"/>
        </w:rPr>
        <w:t xml:space="preserve">, el </w:t>
      </w:r>
      <w:r w:rsidRPr="004D7D6E">
        <w:rPr>
          <w:rFonts w:ascii="Palatino Linotype" w:hAnsi="Palatino Linotype" w:cs="Arial"/>
          <w:b/>
          <w:sz w:val="24"/>
          <w:szCs w:val="24"/>
        </w:rPr>
        <w:t>Sujeto Obligado</w:t>
      </w:r>
      <w:r w:rsidRPr="004D7D6E">
        <w:rPr>
          <w:rFonts w:ascii="Palatino Linotype" w:hAnsi="Palatino Linotype" w:cs="Arial"/>
          <w:sz w:val="24"/>
          <w:szCs w:val="24"/>
        </w:rPr>
        <w:t xml:space="preserve"> </w:t>
      </w:r>
      <w:r w:rsidR="005679A7">
        <w:rPr>
          <w:rFonts w:ascii="Palatino Linotype" w:hAnsi="Palatino Linotype" w:cs="Arial"/>
          <w:sz w:val="24"/>
          <w:szCs w:val="24"/>
        </w:rPr>
        <w:t xml:space="preserve">dio </w:t>
      </w:r>
      <w:r w:rsidRPr="004D7D6E">
        <w:rPr>
          <w:rFonts w:ascii="Palatino Linotype" w:hAnsi="Palatino Linotype" w:cs="Arial"/>
          <w:sz w:val="24"/>
          <w:szCs w:val="24"/>
        </w:rPr>
        <w:t>respuesta en los términos siguientes:</w:t>
      </w:r>
    </w:p>
    <w:p w14:paraId="46D71291" w14:textId="77777777" w:rsidR="001272D3" w:rsidRPr="004D7D6E" w:rsidRDefault="001272D3" w:rsidP="002C275E">
      <w:pPr>
        <w:spacing w:after="0" w:line="360" w:lineRule="auto"/>
        <w:jc w:val="both"/>
        <w:rPr>
          <w:rFonts w:ascii="Palatino Linotype" w:hAnsi="Palatino Linotype" w:cs="Arial"/>
          <w:sz w:val="24"/>
          <w:szCs w:val="24"/>
        </w:rPr>
      </w:pPr>
    </w:p>
    <w:p w14:paraId="28A32FCD" w14:textId="77777777" w:rsidR="0097648F" w:rsidRPr="0097648F" w:rsidRDefault="001272D3" w:rsidP="0097648F">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rPr>
        <w:t>“</w:t>
      </w:r>
      <w:r w:rsidR="0097648F" w:rsidRPr="0097648F">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6D8459" w14:textId="77777777" w:rsidR="0097648F" w:rsidRPr="0097648F" w:rsidRDefault="0097648F" w:rsidP="0097648F">
      <w:pPr>
        <w:spacing w:after="0" w:line="240" w:lineRule="auto"/>
        <w:ind w:left="567" w:right="567"/>
        <w:jc w:val="both"/>
        <w:rPr>
          <w:rFonts w:ascii="Palatino Linotype" w:hAnsi="Palatino Linotype" w:cs="Arial"/>
          <w:i/>
          <w:szCs w:val="24"/>
        </w:rPr>
      </w:pPr>
      <w:r w:rsidRPr="0097648F">
        <w:rPr>
          <w:rFonts w:ascii="Palatino Linotype" w:hAnsi="Palatino Linotype" w:cs="Arial"/>
          <w:i/>
          <w:szCs w:val="24"/>
        </w:rPr>
        <w:t xml:space="preserve">Se anexa </w:t>
      </w:r>
      <w:proofErr w:type="spellStart"/>
      <w:r w:rsidRPr="0097648F">
        <w:rPr>
          <w:rFonts w:ascii="Palatino Linotype" w:hAnsi="Palatino Linotype" w:cs="Arial"/>
          <w:i/>
          <w:szCs w:val="24"/>
        </w:rPr>
        <w:t>anexa</w:t>
      </w:r>
      <w:proofErr w:type="spellEnd"/>
      <w:r w:rsidRPr="0097648F">
        <w:rPr>
          <w:rFonts w:ascii="Palatino Linotype" w:hAnsi="Palatino Linotype" w:cs="Arial"/>
          <w:i/>
          <w:szCs w:val="24"/>
        </w:rPr>
        <w:t xml:space="preserve"> respuesta respectiva.</w:t>
      </w:r>
    </w:p>
    <w:p w14:paraId="4A3E1CF2" w14:textId="77777777" w:rsidR="0097648F" w:rsidRDefault="0097648F" w:rsidP="0097648F">
      <w:pPr>
        <w:spacing w:after="0" w:line="240" w:lineRule="auto"/>
        <w:ind w:left="567" w:right="567"/>
        <w:jc w:val="both"/>
        <w:rPr>
          <w:rFonts w:ascii="Palatino Linotype" w:hAnsi="Palatino Linotype" w:cs="Arial"/>
          <w:i/>
          <w:szCs w:val="24"/>
        </w:rPr>
      </w:pPr>
    </w:p>
    <w:p w14:paraId="4BE94AA7" w14:textId="77777777" w:rsidR="0097648F" w:rsidRDefault="0097648F" w:rsidP="0097648F">
      <w:pPr>
        <w:spacing w:after="0" w:line="240" w:lineRule="auto"/>
        <w:ind w:left="567" w:right="567"/>
        <w:jc w:val="both"/>
        <w:rPr>
          <w:rFonts w:ascii="Palatino Linotype" w:hAnsi="Palatino Linotype" w:cs="Arial"/>
          <w:i/>
          <w:szCs w:val="24"/>
        </w:rPr>
      </w:pPr>
    </w:p>
    <w:p w14:paraId="5F7AF8A3" w14:textId="77777777" w:rsidR="0097648F" w:rsidRPr="0097648F" w:rsidRDefault="0097648F" w:rsidP="0097648F">
      <w:pPr>
        <w:spacing w:after="0" w:line="240" w:lineRule="auto"/>
        <w:ind w:left="567" w:right="567"/>
        <w:jc w:val="both"/>
        <w:rPr>
          <w:rFonts w:ascii="Palatino Linotype" w:hAnsi="Palatino Linotype" w:cs="Arial"/>
          <w:i/>
          <w:szCs w:val="24"/>
        </w:rPr>
      </w:pPr>
      <w:r w:rsidRPr="0097648F">
        <w:rPr>
          <w:rFonts w:ascii="Palatino Linotype" w:hAnsi="Palatino Linotype" w:cs="Arial"/>
          <w:i/>
          <w:szCs w:val="24"/>
        </w:rPr>
        <w:t>ATENTAMENTE</w:t>
      </w:r>
    </w:p>
    <w:p w14:paraId="596AC1AE" w14:textId="0BA168CC" w:rsidR="001272D3" w:rsidRPr="004D7D6E" w:rsidRDefault="0097648F" w:rsidP="0097648F">
      <w:pPr>
        <w:spacing w:after="0" w:line="240" w:lineRule="auto"/>
        <w:ind w:left="567" w:right="567"/>
        <w:jc w:val="both"/>
        <w:rPr>
          <w:rFonts w:ascii="Palatino Linotype" w:hAnsi="Palatino Linotype" w:cs="Arial"/>
          <w:i/>
          <w:szCs w:val="24"/>
        </w:rPr>
      </w:pPr>
      <w:r w:rsidRPr="0097648F">
        <w:rPr>
          <w:rFonts w:ascii="Palatino Linotype" w:hAnsi="Palatino Linotype" w:cs="Arial"/>
          <w:i/>
          <w:szCs w:val="24"/>
        </w:rPr>
        <w:lastRenderedPageBreak/>
        <w:t>MTRA. CLARA CAMACHO MÉNDEZ</w:t>
      </w:r>
      <w:r w:rsidR="001272D3" w:rsidRPr="004D7D6E">
        <w:rPr>
          <w:rFonts w:ascii="Palatino Linotype" w:hAnsi="Palatino Linotype" w:cs="Arial"/>
          <w:i/>
          <w:szCs w:val="24"/>
        </w:rPr>
        <w:t>”</w:t>
      </w:r>
    </w:p>
    <w:p w14:paraId="6F95040E" w14:textId="77777777" w:rsidR="001272D3" w:rsidRPr="004D7D6E" w:rsidRDefault="001272D3" w:rsidP="002C275E">
      <w:pPr>
        <w:spacing w:after="0" w:line="360" w:lineRule="auto"/>
        <w:jc w:val="both"/>
        <w:rPr>
          <w:rFonts w:ascii="Palatino Linotype" w:hAnsi="Palatino Linotype" w:cs="Arial"/>
          <w:sz w:val="24"/>
          <w:szCs w:val="24"/>
        </w:rPr>
      </w:pPr>
    </w:p>
    <w:p w14:paraId="42C970BE" w14:textId="55014508" w:rsidR="001272D3" w:rsidRPr="00272DC3"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 xml:space="preserve">Se hace constar que el </w:t>
      </w:r>
      <w:r w:rsidRPr="004D7D6E">
        <w:rPr>
          <w:rFonts w:ascii="Palatino Linotype" w:hAnsi="Palatino Linotype" w:cs="Arial"/>
          <w:b/>
          <w:sz w:val="24"/>
          <w:szCs w:val="24"/>
        </w:rPr>
        <w:t>Sujeto Obligado</w:t>
      </w:r>
      <w:r w:rsidRPr="004D7D6E">
        <w:rPr>
          <w:rFonts w:ascii="Palatino Linotype" w:hAnsi="Palatino Linotype" w:cs="Arial"/>
          <w:sz w:val="24"/>
          <w:szCs w:val="24"/>
        </w:rPr>
        <w:t xml:space="preserve"> adjuntó </w:t>
      </w:r>
      <w:r w:rsidR="005679A7">
        <w:rPr>
          <w:rFonts w:ascii="Palatino Linotype" w:hAnsi="Palatino Linotype" w:cs="Arial"/>
          <w:sz w:val="24"/>
          <w:szCs w:val="24"/>
        </w:rPr>
        <w:t xml:space="preserve">a su respuesta </w:t>
      </w:r>
      <w:r w:rsidR="00235527" w:rsidRPr="004D7D6E">
        <w:rPr>
          <w:rFonts w:ascii="Palatino Linotype" w:hAnsi="Palatino Linotype" w:cs="Arial"/>
          <w:sz w:val="24"/>
          <w:szCs w:val="24"/>
        </w:rPr>
        <w:t>e</w:t>
      </w:r>
      <w:r w:rsidRPr="004D7D6E">
        <w:rPr>
          <w:rFonts w:ascii="Palatino Linotype" w:hAnsi="Palatino Linotype" w:cs="Arial"/>
          <w:sz w:val="24"/>
          <w:szCs w:val="24"/>
        </w:rPr>
        <w:t>l archivo “</w:t>
      </w:r>
      <w:r w:rsidR="0097648F" w:rsidRPr="0097648F">
        <w:rPr>
          <w:rFonts w:ascii="Palatino Linotype" w:hAnsi="Palatino Linotype" w:cs="Arial"/>
          <w:sz w:val="24"/>
          <w:szCs w:val="24"/>
        </w:rPr>
        <w:t>ACUERDO NOTIFICACIÓN SAIMEX 01022, 01023 y 01025.pdf</w:t>
      </w:r>
      <w:r w:rsidRPr="004D7D6E">
        <w:rPr>
          <w:rFonts w:ascii="Palatino Linotype" w:hAnsi="Palatino Linotype" w:cs="Arial"/>
          <w:sz w:val="24"/>
          <w:szCs w:val="24"/>
        </w:rPr>
        <w:t>”, que en obvio de repeticiones innecesarias, se omite su inserción en</w:t>
      </w:r>
      <w:r w:rsidR="00235527" w:rsidRPr="004D7D6E">
        <w:rPr>
          <w:rFonts w:ascii="Palatino Linotype" w:hAnsi="Palatino Linotype" w:cs="Arial"/>
          <w:sz w:val="24"/>
          <w:szCs w:val="24"/>
        </w:rPr>
        <w:t xml:space="preserve"> este apartado, máxime que será</w:t>
      </w:r>
      <w:r w:rsidRPr="004D7D6E">
        <w:rPr>
          <w:rFonts w:ascii="Palatino Linotype" w:hAnsi="Palatino Linotype" w:cs="Arial"/>
          <w:sz w:val="24"/>
          <w:szCs w:val="24"/>
        </w:rPr>
        <w:t xml:space="preserve"> objeto de estudio en párrafos posteriores.</w:t>
      </w:r>
    </w:p>
    <w:p w14:paraId="44F6F2FA" w14:textId="77777777" w:rsidR="004D7D6E" w:rsidRPr="004D7D6E" w:rsidRDefault="004D7D6E" w:rsidP="002C275E">
      <w:pPr>
        <w:spacing w:after="0" w:line="360" w:lineRule="auto"/>
        <w:jc w:val="both"/>
        <w:rPr>
          <w:rFonts w:ascii="Palatino Linotype" w:eastAsia="Calibri" w:hAnsi="Palatino Linotype" w:cs="Arial"/>
          <w:sz w:val="24"/>
          <w:szCs w:val="24"/>
          <w:lang w:eastAsia="es-ES"/>
        </w:rPr>
      </w:pPr>
    </w:p>
    <w:p w14:paraId="50D44560" w14:textId="56F9D0A3" w:rsidR="001272D3"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b/>
          <w:sz w:val="28"/>
          <w:szCs w:val="28"/>
        </w:rPr>
        <w:t xml:space="preserve">TERCERO. </w:t>
      </w:r>
      <w:r w:rsidRPr="004D7D6E">
        <w:rPr>
          <w:rFonts w:ascii="Palatino Linotype" w:hAnsi="Palatino Linotype" w:cs="Arial"/>
          <w:sz w:val="24"/>
          <w:szCs w:val="24"/>
        </w:rPr>
        <w:t xml:space="preserve">Inconforme ante la respuesta por parte del </w:t>
      </w:r>
      <w:r w:rsidRPr="004D7D6E">
        <w:rPr>
          <w:rFonts w:ascii="Palatino Linotype" w:hAnsi="Palatino Linotype" w:cs="Arial"/>
          <w:b/>
          <w:sz w:val="24"/>
          <w:szCs w:val="24"/>
        </w:rPr>
        <w:t>Sujeto Obligado</w:t>
      </w:r>
      <w:r w:rsidRPr="004D7D6E">
        <w:rPr>
          <w:rFonts w:ascii="Palatino Linotype" w:hAnsi="Palatino Linotype" w:cs="Arial"/>
          <w:sz w:val="24"/>
          <w:szCs w:val="24"/>
        </w:rPr>
        <w:t xml:space="preserve">, el ahora </w:t>
      </w:r>
      <w:r w:rsidRPr="004D7D6E">
        <w:rPr>
          <w:rFonts w:ascii="Palatino Linotype" w:hAnsi="Palatino Linotype" w:cs="Arial"/>
          <w:b/>
          <w:sz w:val="24"/>
          <w:szCs w:val="24"/>
        </w:rPr>
        <w:t>Recurrente</w:t>
      </w:r>
      <w:r w:rsidRPr="004D7D6E">
        <w:rPr>
          <w:rFonts w:ascii="Palatino Linotype" w:hAnsi="Palatino Linotype" w:cs="Arial"/>
          <w:sz w:val="24"/>
          <w:szCs w:val="24"/>
        </w:rPr>
        <w:t xml:space="preserve"> en fecha </w:t>
      </w:r>
      <w:r w:rsidR="0074531B">
        <w:rPr>
          <w:rFonts w:ascii="Palatino Linotype" w:hAnsi="Palatino Linotype" w:cs="Arial"/>
          <w:sz w:val="24"/>
          <w:szCs w:val="24"/>
        </w:rPr>
        <w:t>treinta y uno</w:t>
      </w:r>
      <w:r w:rsidR="00272DC3">
        <w:rPr>
          <w:rFonts w:ascii="Palatino Linotype" w:hAnsi="Palatino Linotype" w:cs="Arial"/>
          <w:sz w:val="24"/>
          <w:szCs w:val="24"/>
        </w:rPr>
        <w:t xml:space="preserve"> de enero de dos mil veintidós</w:t>
      </w:r>
      <w:r w:rsidRPr="004D7D6E">
        <w:rPr>
          <w:rFonts w:ascii="Palatino Linotype" w:hAnsi="Palatino Linotype" w:cs="Arial"/>
          <w:sz w:val="24"/>
          <w:szCs w:val="24"/>
        </w:rPr>
        <w:t>, interpuso recurso de revisión, que fue registrado</w:t>
      </w:r>
      <w:r w:rsidRPr="004D7D6E">
        <w:rPr>
          <w:rFonts w:ascii="Palatino Linotype" w:hAnsi="Palatino Linotype" w:cs="Arial"/>
          <w:b/>
          <w:sz w:val="24"/>
          <w:szCs w:val="24"/>
        </w:rPr>
        <w:t xml:space="preserve"> </w:t>
      </w:r>
      <w:r w:rsidRPr="004D7D6E">
        <w:rPr>
          <w:rFonts w:ascii="Palatino Linotype" w:hAnsi="Palatino Linotype" w:cs="Arial"/>
          <w:sz w:val="24"/>
          <w:szCs w:val="24"/>
        </w:rPr>
        <w:t>en el sistema electrónico con número de expediente</w:t>
      </w:r>
      <w:r w:rsidRPr="004D7D6E">
        <w:rPr>
          <w:rFonts w:ascii="Palatino Linotype" w:hAnsi="Palatino Linotype" w:cs="Arial"/>
          <w:b/>
          <w:bCs/>
          <w:sz w:val="24"/>
          <w:szCs w:val="24"/>
          <w:lang w:eastAsia="es-MX"/>
        </w:rPr>
        <w:t xml:space="preserve"> 0</w:t>
      </w:r>
      <w:r w:rsidR="0074531B">
        <w:rPr>
          <w:rFonts w:ascii="Palatino Linotype" w:hAnsi="Palatino Linotype" w:cs="Arial"/>
          <w:b/>
          <w:bCs/>
          <w:sz w:val="24"/>
          <w:szCs w:val="24"/>
          <w:lang w:eastAsia="es-MX"/>
        </w:rPr>
        <w:t>0300</w:t>
      </w:r>
      <w:r w:rsidRPr="004D7D6E">
        <w:rPr>
          <w:rFonts w:ascii="Palatino Linotype" w:hAnsi="Palatino Linotype" w:cs="Arial"/>
          <w:b/>
          <w:bCs/>
          <w:sz w:val="24"/>
          <w:szCs w:val="24"/>
          <w:lang w:eastAsia="es-MX"/>
        </w:rPr>
        <w:t>/INFOEM/IP/RR/202</w:t>
      </w:r>
      <w:r w:rsidR="00272DC3">
        <w:rPr>
          <w:rFonts w:ascii="Palatino Linotype" w:hAnsi="Palatino Linotype" w:cs="Arial"/>
          <w:b/>
          <w:bCs/>
          <w:sz w:val="24"/>
          <w:szCs w:val="24"/>
          <w:lang w:eastAsia="es-MX"/>
        </w:rPr>
        <w:t>2</w:t>
      </w:r>
      <w:r w:rsidRPr="004D7D6E">
        <w:rPr>
          <w:rFonts w:ascii="Palatino Linotype" w:hAnsi="Palatino Linotype" w:cs="Arial"/>
          <w:sz w:val="24"/>
          <w:szCs w:val="24"/>
        </w:rPr>
        <w:t>, aduciendo como acto impugnado y razones o motivos de inconformidad, los siguientes:</w:t>
      </w:r>
    </w:p>
    <w:p w14:paraId="2CC231AD" w14:textId="77777777" w:rsidR="005679A7" w:rsidRDefault="005679A7" w:rsidP="002C275E">
      <w:pPr>
        <w:spacing w:after="0" w:line="360" w:lineRule="auto"/>
        <w:jc w:val="both"/>
        <w:rPr>
          <w:rFonts w:ascii="Palatino Linotype" w:hAnsi="Palatino Linotype" w:cs="Arial"/>
          <w:sz w:val="24"/>
          <w:szCs w:val="24"/>
        </w:rPr>
      </w:pPr>
    </w:p>
    <w:p w14:paraId="263186EF" w14:textId="77777777" w:rsidR="001272D3" w:rsidRPr="004D7D6E" w:rsidRDefault="001272D3" w:rsidP="002C275E">
      <w:pPr>
        <w:pStyle w:val="Prrafodelista"/>
        <w:spacing w:line="360" w:lineRule="auto"/>
        <w:ind w:left="0"/>
        <w:jc w:val="both"/>
        <w:rPr>
          <w:rFonts w:ascii="Palatino Linotype" w:hAnsi="Palatino Linotype" w:cs="Arial"/>
          <w:b/>
        </w:rPr>
      </w:pPr>
      <w:r w:rsidRPr="004D7D6E">
        <w:rPr>
          <w:rFonts w:ascii="Palatino Linotype" w:hAnsi="Palatino Linotype" w:cs="Arial"/>
          <w:b/>
        </w:rPr>
        <w:t>Acto Impugnado:</w:t>
      </w:r>
    </w:p>
    <w:p w14:paraId="551235E5" w14:textId="378422EE" w:rsidR="001272D3" w:rsidRPr="004D7D6E" w:rsidRDefault="001272D3" w:rsidP="002C275E">
      <w:pPr>
        <w:pStyle w:val="Prrafodelista"/>
        <w:ind w:left="567" w:right="567"/>
        <w:jc w:val="both"/>
        <w:rPr>
          <w:rFonts w:ascii="Palatino Linotype" w:hAnsi="Palatino Linotype" w:cs="Arial"/>
          <w:i/>
          <w:sz w:val="22"/>
        </w:rPr>
      </w:pPr>
      <w:r w:rsidRPr="004D7D6E">
        <w:rPr>
          <w:rFonts w:ascii="Palatino Linotype" w:hAnsi="Palatino Linotype" w:cs="Arial"/>
          <w:i/>
          <w:sz w:val="22"/>
        </w:rPr>
        <w:t>“</w:t>
      </w:r>
      <w:r w:rsidR="00BD3B9E" w:rsidRPr="00BD3B9E">
        <w:rPr>
          <w:rFonts w:ascii="Palatino Linotype" w:hAnsi="Palatino Linotype" w:cs="Arial"/>
          <w:i/>
          <w:sz w:val="22"/>
        </w:rPr>
        <w:t xml:space="preserve">El sujeto obligado adolece de </w:t>
      </w:r>
      <w:proofErr w:type="spellStart"/>
      <w:r w:rsidR="00BD3B9E" w:rsidRPr="00BD3B9E">
        <w:rPr>
          <w:rFonts w:ascii="Palatino Linotype" w:hAnsi="Palatino Linotype" w:cs="Arial"/>
          <w:i/>
          <w:sz w:val="22"/>
        </w:rPr>
        <w:t>fundamentacion</w:t>
      </w:r>
      <w:proofErr w:type="spellEnd"/>
      <w:r w:rsidR="00BD3B9E" w:rsidRPr="00BD3B9E">
        <w:rPr>
          <w:rFonts w:ascii="Palatino Linotype" w:hAnsi="Palatino Linotype" w:cs="Arial"/>
          <w:i/>
          <w:sz w:val="22"/>
        </w:rPr>
        <w:t xml:space="preserve"> y motivación en la respuesta dada.</w:t>
      </w:r>
      <w:r w:rsidRPr="004D7D6E">
        <w:rPr>
          <w:rFonts w:ascii="Palatino Linotype" w:hAnsi="Palatino Linotype" w:cs="Arial"/>
          <w:i/>
          <w:sz w:val="22"/>
        </w:rPr>
        <w:t>”</w:t>
      </w:r>
    </w:p>
    <w:p w14:paraId="36AA7F70" w14:textId="77777777" w:rsidR="00235527" w:rsidRPr="004D7D6E" w:rsidRDefault="00235527" w:rsidP="002C275E">
      <w:pPr>
        <w:pStyle w:val="Prrafodelista"/>
        <w:spacing w:line="360" w:lineRule="auto"/>
        <w:ind w:left="0"/>
        <w:jc w:val="both"/>
        <w:rPr>
          <w:rFonts w:ascii="Palatino Linotype" w:hAnsi="Palatino Linotype" w:cs="Arial"/>
        </w:rPr>
      </w:pPr>
    </w:p>
    <w:p w14:paraId="45E7BF15" w14:textId="77777777" w:rsidR="001272D3" w:rsidRPr="004D7D6E" w:rsidRDefault="001272D3" w:rsidP="002C275E">
      <w:pPr>
        <w:pStyle w:val="Prrafodelista"/>
        <w:spacing w:line="360" w:lineRule="auto"/>
        <w:ind w:left="0"/>
        <w:jc w:val="both"/>
        <w:rPr>
          <w:rFonts w:ascii="Palatino Linotype" w:hAnsi="Palatino Linotype" w:cs="Arial"/>
          <w:b/>
        </w:rPr>
      </w:pPr>
      <w:r w:rsidRPr="004D7D6E">
        <w:rPr>
          <w:rFonts w:ascii="Palatino Linotype" w:hAnsi="Palatino Linotype" w:cs="Arial"/>
          <w:b/>
        </w:rPr>
        <w:t>Razones o motivos de inconformidad:</w:t>
      </w:r>
    </w:p>
    <w:p w14:paraId="669A68D6" w14:textId="2EC3F103" w:rsidR="001272D3" w:rsidRPr="002A1673" w:rsidRDefault="001272D3" w:rsidP="002A1673">
      <w:pPr>
        <w:spacing w:after="0" w:line="240" w:lineRule="auto"/>
        <w:ind w:left="567" w:right="567"/>
        <w:jc w:val="both"/>
        <w:rPr>
          <w:rFonts w:ascii="Palatino Linotype" w:hAnsi="Palatino Linotype"/>
          <w:i/>
          <w:color w:val="000000"/>
        </w:rPr>
      </w:pPr>
      <w:r w:rsidRPr="004D7D6E">
        <w:rPr>
          <w:rFonts w:ascii="Palatino Linotype" w:hAnsi="Palatino Linotype" w:cs="Arial"/>
          <w:i/>
        </w:rPr>
        <w:t>“</w:t>
      </w:r>
      <w:r w:rsidR="00BD3B9E" w:rsidRPr="00BD3B9E">
        <w:rPr>
          <w:rFonts w:ascii="Palatino Linotype" w:hAnsi="Palatino Linotype"/>
          <w:i/>
          <w:color w:val="000000"/>
        </w:rPr>
        <w:t xml:space="preserve">El sujeto obligado carece de sustento, </w:t>
      </w:r>
      <w:proofErr w:type="spellStart"/>
      <w:r w:rsidR="00BD3B9E" w:rsidRPr="00BD3B9E">
        <w:rPr>
          <w:rFonts w:ascii="Palatino Linotype" w:hAnsi="Palatino Linotype"/>
          <w:i/>
          <w:color w:val="000000"/>
        </w:rPr>
        <w:t>fundamentacion</w:t>
      </w:r>
      <w:proofErr w:type="spellEnd"/>
      <w:r w:rsidR="00BD3B9E" w:rsidRPr="00BD3B9E">
        <w:rPr>
          <w:rFonts w:ascii="Palatino Linotype" w:hAnsi="Palatino Linotype"/>
          <w:i/>
          <w:color w:val="000000"/>
        </w:rPr>
        <w:t xml:space="preserve"> y motivación en la respuesta enviada mediante el oficio UTAIM/00225/2022. La información </w:t>
      </w:r>
      <w:proofErr w:type="spellStart"/>
      <w:r w:rsidR="00BD3B9E" w:rsidRPr="00BD3B9E">
        <w:rPr>
          <w:rFonts w:ascii="Palatino Linotype" w:hAnsi="Palatino Linotype"/>
          <w:i/>
          <w:color w:val="000000"/>
        </w:rPr>
        <w:t>publica</w:t>
      </w:r>
      <w:proofErr w:type="spellEnd"/>
      <w:r w:rsidR="00BD3B9E" w:rsidRPr="00BD3B9E">
        <w:rPr>
          <w:rFonts w:ascii="Palatino Linotype" w:hAnsi="Palatino Linotype"/>
          <w:i/>
          <w:color w:val="000000"/>
        </w:rPr>
        <w:t xml:space="preserve"> solicitada ya </w:t>
      </w:r>
      <w:proofErr w:type="spellStart"/>
      <w:r w:rsidR="00BD3B9E" w:rsidRPr="00BD3B9E">
        <w:rPr>
          <w:rFonts w:ascii="Palatino Linotype" w:hAnsi="Palatino Linotype"/>
          <w:i/>
          <w:color w:val="000000"/>
        </w:rPr>
        <w:t>esta</w:t>
      </w:r>
      <w:proofErr w:type="spellEnd"/>
      <w:r w:rsidR="00BD3B9E" w:rsidRPr="00BD3B9E">
        <w:rPr>
          <w:rFonts w:ascii="Palatino Linotype" w:hAnsi="Palatino Linotype"/>
          <w:i/>
          <w:color w:val="000000"/>
        </w:rPr>
        <w:t xml:space="preserve"> digitalizada y escaneada, dado que es la que se envía mensualmente al Órgano Superior de Fiscalización (OSFEM).Omite entre otras consideraciones legales lo siguiente; 1.- El punto </w:t>
      </w:r>
      <w:proofErr w:type="spellStart"/>
      <w:r w:rsidR="00BD3B9E" w:rsidRPr="00BD3B9E">
        <w:rPr>
          <w:rFonts w:ascii="Palatino Linotype" w:hAnsi="Palatino Linotype"/>
          <w:i/>
          <w:color w:val="000000"/>
        </w:rPr>
        <w:t>numero</w:t>
      </w:r>
      <w:proofErr w:type="spellEnd"/>
      <w:r w:rsidR="00BD3B9E" w:rsidRPr="00BD3B9E">
        <w:rPr>
          <w:rFonts w:ascii="Palatino Linotype" w:hAnsi="Palatino Linotype"/>
          <w:i/>
          <w:color w:val="000000"/>
        </w:rPr>
        <w:t xml:space="preserve"> 4 y sus acuerdos de la orden del día de la Décima Cuarta sesión ordinaria del Ayuntamiento de Tlalnepantla de Baz, México, celebrada el 23 de mayo del año 2019, donde se aprueba destinar cinco mil quinientos pesos a cada uno de los beneficiarios de las colonias </w:t>
      </w:r>
      <w:proofErr w:type="spellStart"/>
      <w:r w:rsidR="00BD3B9E" w:rsidRPr="00BD3B9E">
        <w:rPr>
          <w:rFonts w:ascii="Palatino Linotype" w:hAnsi="Palatino Linotype"/>
          <w:i/>
          <w:color w:val="000000"/>
        </w:rPr>
        <w:t>Tepeolulco</w:t>
      </w:r>
      <w:proofErr w:type="spellEnd"/>
      <w:r w:rsidR="00BD3B9E" w:rsidRPr="00BD3B9E">
        <w:rPr>
          <w:rFonts w:ascii="Palatino Linotype" w:hAnsi="Palatino Linotype"/>
          <w:i/>
          <w:color w:val="000000"/>
        </w:rPr>
        <w:t xml:space="preserve">, San Isidro </w:t>
      </w:r>
      <w:proofErr w:type="spellStart"/>
      <w:r w:rsidR="00BD3B9E" w:rsidRPr="00BD3B9E">
        <w:rPr>
          <w:rFonts w:ascii="Palatino Linotype" w:hAnsi="Palatino Linotype"/>
          <w:i/>
          <w:color w:val="000000"/>
        </w:rPr>
        <w:t>Ixhuatepec</w:t>
      </w:r>
      <w:proofErr w:type="spellEnd"/>
      <w:r w:rsidR="00BD3B9E" w:rsidRPr="00BD3B9E">
        <w:rPr>
          <w:rFonts w:ascii="Palatino Linotype" w:hAnsi="Palatino Linotype"/>
          <w:i/>
          <w:color w:val="000000"/>
        </w:rPr>
        <w:t xml:space="preserve">, Rinconada San Isidro y partes altas de la colonia </w:t>
      </w:r>
      <w:proofErr w:type="spellStart"/>
      <w:r w:rsidR="00BD3B9E" w:rsidRPr="00BD3B9E">
        <w:rPr>
          <w:rFonts w:ascii="Palatino Linotype" w:hAnsi="Palatino Linotype"/>
          <w:i/>
          <w:color w:val="000000"/>
        </w:rPr>
        <w:t>Dr</w:t>
      </w:r>
      <w:proofErr w:type="spellEnd"/>
      <w:r w:rsidR="00BD3B9E" w:rsidRPr="00BD3B9E">
        <w:rPr>
          <w:rFonts w:ascii="Palatino Linotype" w:hAnsi="Palatino Linotype"/>
          <w:i/>
          <w:color w:val="000000"/>
        </w:rPr>
        <w:t xml:space="preserve">, Jorge </w:t>
      </w:r>
      <w:proofErr w:type="spellStart"/>
      <w:r w:rsidR="00BD3B9E" w:rsidRPr="00BD3B9E">
        <w:rPr>
          <w:rFonts w:ascii="Palatino Linotype" w:hAnsi="Palatino Linotype"/>
          <w:i/>
          <w:color w:val="000000"/>
        </w:rPr>
        <w:t>Jimenez</w:t>
      </w:r>
      <w:proofErr w:type="spellEnd"/>
      <w:r w:rsidR="00BD3B9E" w:rsidRPr="00BD3B9E">
        <w:rPr>
          <w:rFonts w:ascii="Palatino Linotype" w:hAnsi="Palatino Linotype"/>
          <w:i/>
          <w:color w:val="000000"/>
        </w:rPr>
        <w:t xml:space="preserve"> </w:t>
      </w:r>
      <w:proofErr w:type="spellStart"/>
      <w:r w:rsidR="00BD3B9E" w:rsidRPr="00BD3B9E">
        <w:rPr>
          <w:rFonts w:ascii="Palatino Linotype" w:hAnsi="Palatino Linotype"/>
          <w:i/>
          <w:color w:val="000000"/>
        </w:rPr>
        <w:t>Cantu</w:t>
      </w:r>
      <w:proofErr w:type="spellEnd"/>
      <w:r w:rsidR="00BD3B9E" w:rsidRPr="00BD3B9E">
        <w:rPr>
          <w:rFonts w:ascii="Palatino Linotype" w:hAnsi="Palatino Linotype"/>
          <w:i/>
          <w:color w:val="000000"/>
        </w:rPr>
        <w:t xml:space="preserve"> del municipio de Tlalnepantla, México, (Véase COBERTURA y Criterios de elegibilidad del Programa Seguridad del Patrimonio Familiar y el Convenio de </w:t>
      </w:r>
      <w:proofErr w:type="spellStart"/>
      <w:r w:rsidR="00BD3B9E" w:rsidRPr="00BD3B9E">
        <w:rPr>
          <w:rFonts w:ascii="Palatino Linotype" w:hAnsi="Palatino Linotype"/>
          <w:i/>
          <w:color w:val="000000"/>
        </w:rPr>
        <w:t>concertacion</w:t>
      </w:r>
      <w:proofErr w:type="spellEnd"/>
      <w:r w:rsidR="00BD3B9E" w:rsidRPr="00BD3B9E">
        <w:rPr>
          <w:rFonts w:ascii="Palatino Linotype" w:hAnsi="Palatino Linotype"/>
          <w:i/>
          <w:color w:val="000000"/>
        </w:rPr>
        <w:t xml:space="preserve"> celebrado entre el municipio de Tlalnepantla y el núcleo agrario del ejido de San Juan </w:t>
      </w:r>
      <w:proofErr w:type="spellStart"/>
      <w:r w:rsidR="00BD3B9E" w:rsidRPr="00BD3B9E">
        <w:rPr>
          <w:rFonts w:ascii="Palatino Linotype" w:hAnsi="Palatino Linotype"/>
          <w:i/>
          <w:color w:val="000000"/>
        </w:rPr>
        <w:t>Ixhuatepec</w:t>
      </w:r>
      <w:proofErr w:type="spellEnd"/>
      <w:r w:rsidR="00BD3B9E" w:rsidRPr="00BD3B9E">
        <w:rPr>
          <w:rFonts w:ascii="Palatino Linotype" w:hAnsi="Palatino Linotype"/>
          <w:i/>
          <w:color w:val="000000"/>
        </w:rPr>
        <w:t xml:space="preserve"> de fecha 16 de junio de 2019), 2.-Como es de observarse el Ayuntamiento de Tlalnepantla de Baz, Estado de México al aprobar y suscribir los señalado en el punto 1 de esta disertación tuvo como finalidad que, de conformidad con el </w:t>
      </w:r>
      <w:proofErr w:type="spellStart"/>
      <w:r w:rsidR="00BD3B9E" w:rsidRPr="00BD3B9E">
        <w:rPr>
          <w:rFonts w:ascii="Palatino Linotype" w:hAnsi="Palatino Linotype"/>
          <w:i/>
          <w:color w:val="000000"/>
        </w:rPr>
        <w:t>articulo</w:t>
      </w:r>
      <w:proofErr w:type="spellEnd"/>
      <w:r w:rsidR="00BD3B9E" w:rsidRPr="00BD3B9E">
        <w:rPr>
          <w:rFonts w:ascii="Palatino Linotype" w:hAnsi="Palatino Linotype"/>
          <w:i/>
          <w:color w:val="000000"/>
        </w:rPr>
        <w:t xml:space="preserve"> </w:t>
      </w:r>
      <w:r w:rsidR="00BD3B9E" w:rsidRPr="00BD3B9E">
        <w:rPr>
          <w:rFonts w:ascii="Palatino Linotype" w:hAnsi="Palatino Linotype"/>
          <w:i/>
          <w:color w:val="000000"/>
        </w:rPr>
        <w:lastRenderedPageBreak/>
        <w:t xml:space="preserve">115 fracción V inciso e) de la Constitución Política de los Estados Unidos Mexicanos, transfiriera al Comisariado Ejidal de San Juan </w:t>
      </w:r>
      <w:proofErr w:type="spellStart"/>
      <w:r w:rsidR="00BD3B9E" w:rsidRPr="00BD3B9E">
        <w:rPr>
          <w:rFonts w:ascii="Palatino Linotype" w:hAnsi="Palatino Linotype"/>
          <w:i/>
          <w:color w:val="000000"/>
        </w:rPr>
        <w:t>Ixhuatepec</w:t>
      </w:r>
      <w:proofErr w:type="spellEnd"/>
      <w:r w:rsidR="00BD3B9E" w:rsidRPr="00BD3B9E">
        <w:rPr>
          <w:rFonts w:ascii="Palatino Linotype" w:hAnsi="Palatino Linotype"/>
          <w:i/>
          <w:color w:val="000000"/>
        </w:rPr>
        <w:t>, su facultad de “intervenir en la regularización de la tenencia de la tierra urbana”, para lo cual este ente ejidal, recibiría $ 5, 500.00 (Cinco mil quinientos pesos 00/100 M.N.) por cada solar urbano y beneficiario participante, tomado de la Partida Presupuestal Numero 4411, denominada “Cooperaciones y Ayudas” del municipio de Tlalnepantla de Baz, México. 3.-El sujeto obligado ayuntamiento de Tlalnepantla de Baz, México ha venido testando el nombre de los beneficiarios , el lote, manzana, calle y la comunidad (</w:t>
      </w:r>
      <w:proofErr w:type="spellStart"/>
      <w:r w:rsidR="00BD3B9E" w:rsidRPr="00BD3B9E">
        <w:rPr>
          <w:rFonts w:ascii="Palatino Linotype" w:hAnsi="Palatino Linotype"/>
          <w:i/>
          <w:color w:val="000000"/>
        </w:rPr>
        <w:t>Tepeolulco</w:t>
      </w:r>
      <w:proofErr w:type="spellEnd"/>
      <w:r w:rsidR="00BD3B9E" w:rsidRPr="00BD3B9E">
        <w:rPr>
          <w:rFonts w:ascii="Palatino Linotype" w:hAnsi="Palatino Linotype"/>
          <w:i/>
          <w:color w:val="000000"/>
        </w:rPr>
        <w:t xml:space="preserve">, San Isidro </w:t>
      </w:r>
      <w:proofErr w:type="spellStart"/>
      <w:r w:rsidR="00BD3B9E" w:rsidRPr="00BD3B9E">
        <w:rPr>
          <w:rFonts w:ascii="Palatino Linotype" w:hAnsi="Palatino Linotype"/>
          <w:i/>
          <w:color w:val="000000"/>
        </w:rPr>
        <w:t>Ixhuatepec</w:t>
      </w:r>
      <w:proofErr w:type="spellEnd"/>
      <w:r w:rsidR="00BD3B9E" w:rsidRPr="00BD3B9E">
        <w:rPr>
          <w:rFonts w:ascii="Palatino Linotype" w:hAnsi="Palatino Linotype"/>
          <w:i/>
          <w:color w:val="000000"/>
        </w:rPr>
        <w:t xml:space="preserve">, </w:t>
      </w:r>
      <w:proofErr w:type="spellStart"/>
      <w:r w:rsidR="00BD3B9E" w:rsidRPr="00BD3B9E">
        <w:rPr>
          <w:rFonts w:ascii="Palatino Linotype" w:hAnsi="Palatino Linotype"/>
          <w:i/>
          <w:color w:val="000000"/>
        </w:rPr>
        <w:t>etc</w:t>
      </w:r>
      <w:proofErr w:type="spellEnd"/>
      <w:r w:rsidR="00BD3B9E" w:rsidRPr="00BD3B9E">
        <w:rPr>
          <w:rFonts w:ascii="Palatino Linotype" w:hAnsi="Palatino Linotype"/>
          <w:i/>
          <w:color w:val="000000"/>
        </w:rPr>
        <w:t xml:space="preserve">) por lo que existen evidencias (Plano 2 ) de que este subsidio autorizado también fue otorgado indebidamente a personas que se ubican en el municipio de </w:t>
      </w:r>
      <w:proofErr w:type="spellStart"/>
      <w:r w:rsidR="00BD3B9E" w:rsidRPr="00BD3B9E">
        <w:rPr>
          <w:rFonts w:ascii="Palatino Linotype" w:hAnsi="Palatino Linotype"/>
          <w:i/>
          <w:color w:val="000000"/>
        </w:rPr>
        <w:t>Ecatepecc</w:t>
      </w:r>
      <w:proofErr w:type="spellEnd"/>
      <w:r w:rsidR="00BD3B9E" w:rsidRPr="00BD3B9E">
        <w:rPr>
          <w:rFonts w:ascii="Palatino Linotype" w:hAnsi="Palatino Linotype"/>
          <w:i/>
          <w:color w:val="000000"/>
        </w:rPr>
        <w:t xml:space="preserve"> de Morelos. 4.- Existen indicios de corrupción en este programa de Seguridad del Patrimonio Familiar, el convenio en comento fue firmado entre el presidente municipal el secretario del ayuntamiento y el director de transformación urbana con el presidente del comisariado ejidal del </w:t>
      </w:r>
      <w:proofErr w:type="spellStart"/>
      <w:r w:rsidR="00BD3B9E" w:rsidRPr="00BD3B9E">
        <w:rPr>
          <w:rFonts w:ascii="Palatino Linotype" w:hAnsi="Palatino Linotype"/>
          <w:i/>
          <w:color w:val="000000"/>
        </w:rPr>
        <w:t>nucleo</w:t>
      </w:r>
      <w:proofErr w:type="spellEnd"/>
      <w:r w:rsidR="00BD3B9E" w:rsidRPr="00BD3B9E">
        <w:rPr>
          <w:rFonts w:ascii="Palatino Linotype" w:hAnsi="Palatino Linotype"/>
          <w:i/>
          <w:color w:val="000000"/>
        </w:rPr>
        <w:t xml:space="preserve"> agrario de San Juan </w:t>
      </w:r>
      <w:proofErr w:type="spellStart"/>
      <w:r w:rsidR="00BD3B9E" w:rsidRPr="00BD3B9E">
        <w:rPr>
          <w:rFonts w:ascii="Palatino Linotype" w:hAnsi="Palatino Linotype"/>
          <w:i/>
          <w:color w:val="000000"/>
        </w:rPr>
        <w:t>Ixhuatepéc</w:t>
      </w:r>
      <w:proofErr w:type="spellEnd"/>
      <w:r w:rsidR="00BD3B9E" w:rsidRPr="00BD3B9E">
        <w:rPr>
          <w:rFonts w:ascii="Palatino Linotype" w:hAnsi="Palatino Linotype"/>
          <w:i/>
          <w:color w:val="000000"/>
        </w:rPr>
        <w:t xml:space="preserve"> que a su vez es (era) jefe de departamento A (DEPARTAMENTO DE PARTICIPACIÓN CIUDADANA Y ONGS) adscrito a la secretario del ayuntamiento, no se cumplió con la entrega de los títulos de propiedad, tampoco de su inscripción en el Instituto de la Función Registral, etc. En el Órgano Superior de Fiscalización del Estado de México existe, por este asunto, denuncia con el expediente EAI/AEI/DEN/009/2020 Folio 4987/2020. El Pleno del Instituto de Transparencia, Acceso a la Información Pública y Protección de Datos Personales del Estado de México y Municipios tiene ante </w:t>
      </w:r>
      <w:proofErr w:type="spellStart"/>
      <w:r w:rsidR="00BD3B9E" w:rsidRPr="00BD3B9E">
        <w:rPr>
          <w:rFonts w:ascii="Palatino Linotype" w:hAnsi="Palatino Linotype"/>
          <w:i/>
          <w:color w:val="000000"/>
        </w:rPr>
        <w:t>si</w:t>
      </w:r>
      <w:proofErr w:type="spellEnd"/>
      <w:r w:rsidR="00BD3B9E" w:rsidRPr="00BD3B9E">
        <w:rPr>
          <w:rFonts w:ascii="Palatino Linotype" w:hAnsi="Palatino Linotype"/>
          <w:i/>
          <w:color w:val="000000"/>
        </w:rPr>
        <w:t xml:space="preserve"> la oportunidad de resolver la entrega de la </w:t>
      </w:r>
      <w:proofErr w:type="spellStart"/>
      <w:r w:rsidR="00BD3B9E" w:rsidRPr="00BD3B9E">
        <w:rPr>
          <w:rFonts w:ascii="Palatino Linotype" w:hAnsi="Palatino Linotype"/>
          <w:i/>
          <w:color w:val="000000"/>
        </w:rPr>
        <w:t>informacion</w:t>
      </w:r>
      <w:proofErr w:type="spellEnd"/>
      <w:r w:rsidR="00BD3B9E" w:rsidRPr="00BD3B9E">
        <w:rPr>
          <w:rFonts w:ascii="Palatino Linotype" w:hAnsi="Palatino Linotype"/>
          <w:i/>
          <w:color w:val="000000"/>
        </w:rPr>
        <w:t xml:space="preserve"> publica solicitada tal y como el Instituto Nacional de Transparencia, Acceso a la Información y Protección de Datos Personales (INAI) instruyó al sujeto obligado Fiscalía General de la República (FGR) de entregar, en formato electrónico, versión pública de todos los interrogatorios y declaraciones recabadas, entre enero de 2017 y septiembre de 2021, como parte de las indagatorias contenidas en la carpeta de investigación, relacionada con el caso </w:t>
      </w:r>
      <w:proofErr w:type="spellStart"/>
      <w:r w:rsidR="00BD3B9E" w:rsidRPr="00BD3B9E">
        <w:rPr>
          <w:rFonts w:ascii="Palatino Linotype" w:hAnsi="Palatino Linotype"/>
          <w:i/>
          <w:color w:val="000000"/>
        </w:rPr>
        <w:t>Odebrecht</w:t>
      </w:r>
      <w:proofErr w:type="spellEnd"/>
      <w:r w:rsidR="00BD3B9E" w:rsidRPr="00BD3B9E">
        <w:rPr>
          <w:rFonts w:ascii="Palatino Linotype" w:hAnsi="Palatino Linotype"/>
          <w:i/>
          <w:color w:val="000000"/>
        </w:rPr>
        <w:t xml:space="preserve"> (FED/SEIDF/CGI-0000117/2017)</w:t>
      </w:r>
      <w:r w:rsidRPr="004D7D6E">
        <w:rPr>
          <w:rFonts w:ascii="Palatino Linotype" w:hAnsi="Palatino Linotype"/>
          <w:i/>
          <w:color w:val="000000"/>
        </w:rPr>
        <w:t>” (sic)</w:t>
      </w:r>
    </w:p>
    <w:p w14:paraId="1F101046" w14:textId="77777777" w:rsidR="00F37B8E" w:rsidRDefault="00F37B8E" w:rsidP="00F37B8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90F1CA1" w14:textId="08EC9AB5" w:rsidR="00F37B8E" w:rsidRDefault="00F37B8E" w:rsidP="00F37B8E">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Aunado a lo anterior, el ahora Recurrente </w:t>
      </w:r>
      <w:r w:rsidR="005679A7">
        <w:rPr>
          <w:rFonts w:ascii="Palatino Linotype" w:eastAsia="Times New Roman" w:hAnsi="Palatino Linotype" w:cs="Times New Roman"/>
          <w:sz w:val="24"/>
          <w:szCs w:val="24"/>
          <w:lang w:val="es-ES_tradnl" w:eastAsia="es-ES"/>
        </w:rPr>
        <w:t xml:space="preserve">adjuntó </w:t>
      </w:r>
      <w:r>
        <w:rPr>
          <w:rFonts w:ascii="Palatino Linotype" w:eastAsia="Times New Roman" w:hAnsi="Palatino Linotype" w:cs="Times New Roman"/>
          <w:sz w:val="24"/>
          <w:szCs w:val="24"/>
          <w:lang w:val="es-ES_tradnl" w:eastAsia="es-ES"/>
        </w:rPr>
        <w:t>diversos documentos, tal como se muestra a continuación:</w:t>
      </w:r>
    </w:p>
    <w:p w14:paraId="1EE41AF1" w14:textId="77777777" w:rsidR="009C412C" w:rsidRPr="005962CE" w:rsidRDefault="00F37B8E" w:rsidP="009C412C">
      <w:pPr>
        <w:pStyle w:val="Prrafodelista"/>
        <w:numPr>
          <w:ilvl w:val="0"/>
          <w:numId w:val="1"/>
        </w:numPr>
        <w:jc w:val="both"/>
        <w:rPr>
          <w:rFonts w:ascii="Palatino Linotype" w:hAnsi="Palatino Linotype"/>
          <w:b/>
          <w:lang w:val="es-ES_tradnl"/>
        </w:rPr>
      </w:pPr>
      <w:proofErr w:type="gramStart"/>
      <w:r w:rsidRPr="009C412C">
        <w:rPr>
          <w:rFonts w:ascii="Palatino Linotype" w:hAnsi="Palatino Linotype"/>
          <w:b/>
          <w:lang w:val="es-ES_tradnl"/>
        </w:rPr>
        <w:t>2.pdf</w:t>
      </w:r>
      <w:proofErr w:type="gramEnd"/>
      <w:r w:rsidRPr="009C412C">
        <w:rPr>
          <w:rFonts w:ascii="Palatino Linotype" w:hAnsi="Palatino Linotype"/>
          <w:b/>
          <w:lang w:val="es-ES_tradnl"/>
        </w:rPr>
        <w:t>:</w:t>
      </w:r>
      <w:r w:rsidRPr="009C412C">
        <w:rPr>
          <w:rFonts w:ascii="Palatino Linotype" w:hAnsi="Palatino Linotype"/>
          <w:lang w:val="es-ES_tradnl"/>
        </w:rPr>
        <w:t xml:space="preserve"> </w:t>
      </w:r>
      <w:r w:rsidR="00FC0CFB" w:rsidRPr="009C412C">
        <w:rPr>
          <w:rFonts w:ascii="Palatino Linotype" w:hAnsi="Palatino Linotype"/>
          <w:lang w:val="es-ES_tradnl"/>
        </w:rPr>
        <w:t>C</w:t>
      </w:r>
      <w:r w:rsidR="00E12FA2" w:rsidRPr="009C412C">
        <w:rPr>
          <w:rFonts w:ascii="Palatino Linotype" w:hAnsi="Palatino Linotype"/>
          <w:lang w:val="es-ES_tradnl"/>
        </w:rPr>
        <w:t xml:space="preserve">onsta del plano del tipo asentamientos humanos, del Municipio de Tlalnepantla de Baz , Ejido San Juan </w:t>
      </w:r>
      <w:proofErr w:type="spellStart"/>
      <w:r w:rsidR="00E12FA2" w:rsidRPr="009C412C">
        <w:rPr>
          <w:rFonts w:ascii="Palatino Linotype" w:hAnsi="Palatino Linotype"/>
          <w:lang w:val="es-ES_tradnl"/>
        </w:rPr>
        <w:t>Ixhuatepec</w:t>
      </w:r>
      <w:proofErr w:type="spellEnd"/>
      <w:r w:rsidR="00A4412B" w:rsidRPr="009C412C">
        <w:rPr>
          <w:rFonts w:ascii="Palatino Linotype" w:hAnsi="Palatino Linotype"/>
          <w:lang w:val="es-ES_tradnl"/>
        </w:rPr>
        <w:t xml:space="preserve">, localidad colonia Loma Linda. </w:t>
      </w:r>
    </w:p>
    <w:p w14:paraId="4BFD47F1" w14:textId="77777777" w:rsidR="005679A7" w:rsidRPr="009C412C" w:rsidRDefault="005679A7" w:rsidP="005962CE">
      <w:pPr>
        <w:pStyle w:val="Prrafodelista"/>
        <w:ind w:left="720"/>
        <w:jc w:val="both"/>
        <w:rPr>
          <w:rFonts w:ascii="Palatino Linotype" w:hAnsi="Palatino Linotype"/>
          <w:b/>
          <w:lang w:val="es-ES_tradnl"/>
        </w:rPr>
      </w:pPr>
    </w:p>
    <w:p w14:paraId="099F67A5" w14:textId="77F7CA06" w:rsidR="00F37B8E" w:rsidRPr="00E50905" w:rsidRDefault="00F37B8E" w:rsidP="009C412C">
      <w:pPr>
        <w:pStyle w:val="Prrafodelista"/>
        <w:numPr>
          <w:ilvl w:val="0"/>
          <w:numId w:val="1"/>
        </w:numPr>
        <w:jc w:val="both"/>
        <w:rPr>
          <w:rFonts w:ascii="Palatino Linotype" w:hAnsi="Palatino Linotype"/>
          <w:b/>
          <w:lang w:val="es-ES_tradnl"/>
        </w:rPr>
      </w:pPr>
      <w:r w:rsidRPr="009C412C">
        <w:rPr>
          <w:rFonts w:ascii="Palatino Linotype" w:hAnsi="Palatino Linotype"/>
          <w:b/>
          <w:lang w:val="es-ES_tradnl"/>
        </w:rPr>
        <w:t xml:space="preserve">OFICIO DE TRANSFORMACION URBANA.PDF: </w:t>
      </w:r>
      <w:r w:rsidRPr="009C412C">
        <w:rPr>
          <w:rFonts w:ascii="Palatino Linotype" w:hAnsi="Palatino Linotype"/>
          <w:lang w:val="es-ES_tradnl"/>
        </w:rPr>
        <w:t xml:space="preserve">Consta del oficio </w:t>
      </w:r>
      <w:r w:rsidR="00241E8D" w:rsidRPr="009C412C">
        <w:rPr>
          <w:rFonts w:ascii="Palatino Linotype" w:hAnsi="Palatino Linotype"/>
          <w:lang w:val="es-ES_tradnl"/>
        </w:rPr>
        <w:t>DTU/EIMYC/1785/2019</w:t>
      </w:r>
      <w:r w:rsidRPr="009C412C">
        <w:rPr>
          <w:rFonts w:ascii="Palatino Linotype" w:hAnsi="Palatino Linotype"/>
          <w:lang w:val="es-ES_tradnl"/>
        </w:rPr>
        <w:t xml:space="preserve">, signado por el Director </w:t>
      </w:r>
      <w:r w:rsidR="00241E8D" w:rsidRPr="009C412C">
        <w:rPr>
          <w:rFonts w:ascii="Palatino Linotype" w:hAnsi="Palatino Linotype"/>
          <w:lang w:val="es-ES_tradnl"/>
        </w:rPr>
        <w:t>de Transformación Urbana</w:t>
      </w:r>
      <w:r w:rsidR="006020E3">
        <w:rPr>
          <w:rFonts w:ascii="Palatino Linotype" w:hAnsi="Palatino Linotype"/>
          <w:lang w:val="es-ES_tradnl"/>
        </w:rPr>
        <w:t>, en el cual hace referencia que remite los documentos requeridos en la solicitud 00648/TLALNEPA/IP</w:t>
      </w:r>
      <w:r w:rsidR="00CA67C5">
        <w:rPr>
          <w:rFonts w:ascii="Palatino Linotype" w:hAnsi="Palatino Linotype"/>
          <w:lang w:val="es-ES_tradnl"/>
        </w:rPr>
        <w:t xml:space="preserve">/2019, asimismo, contiene el convenio de concentración celebrado por el municipio de Tlalnepantla de Baz, Estado de México y el </w:t>
      </w:r>
      <w:r w:rsidR="00CA67C5">
        <w:rPr>
          <w:rFonts w:ascii="Palatino Linotype" w:hAnsi="Palatino Linotype"/>
          <w:lang w:val="es-ES_tradnl"/>
        </w:rPr>
        <w:lastRenderedPageBreak/>
        <w:t xml:space="preserve">Núcleo Agrario denominado San </w:t>
      </w:r>
      <w:r w:rsidR="001E5B20">
        <w:rPr>
          <w:rFonts w:ascii="Palatino Linotype" w:hAnsi="Palatino Linotype"/>
          <w:lang w:val="es-ES_tradnl"/>
        </w:rPr>
        <w:t>Juan</w:t>
      </w:r>
      <w:r w:rsidR="00CA67C5">
        <w:rPr>
          <w:rFonts w:ascii="Palatino Linotype" w:hAnsi="Palatino Linotype"/>
          <w:lang w:val="es-ES_tradnl"/>
        </w:rPr>
        <w:t xml:space="preserve"> </w:t>
      </w:r>
      <w:proofErr w:type="spellStart"/>
      <w:r w:rsidR="00CA67C5">
        <w:rPr>
          <w:rFonts w:ascii="Palatino Linotype" w:hAnsi="Palatino Linotype"/>
          <w:lang w:val="es-ES_tradnl"/>
        </w:rPr>
        <w:t>Ixhuatepec</w:t>
      </w:r>
      <w:proofErr w:type="spellEnd"/>
      <w:r w:rsidR="00A64B53">
        <w:rPr>
          <w:rFonts w:ascii="Palatino Linotype" w:hAnsi="Palatino Linotype"/>
          <w:lang w:val="es-ES_tradnl"/>
        </w:rPr>
        <w:t xml:space="preserve">, y la Gaceta Municipal </w:t>
      </w:r>
      <w:r w:rsidR="001E5B20">
        <w:rPr>
          <w:rFonts w:ascii="Palatino Linotype" w:hAnsi="Palatino Linotype"/>
          <w:lang w:val="es-ES_tradnl"/>
        </w:rPr>
        <w:t>del viernes 31 de mayo de 2019.</w:t>
      </w:r>
    </w:p>
    <w:p w14:paraId="61D43C9E" w14:textId="3F33560B" w:rsidR="005679A7" w:rsidRPr="005962CE" w:rsidRDefault="00E50905" w:rsidP="00E50905">
      <w:pPr>
        <w:tabs>
          <w:tab w:val="left" w:pos="3123"/>
        </w:tabs>
        <w:jc w:val="both"/>
        <w:rPr>
          <w:rFonts w:ascii="Palatino Linotype" w:hAnsi="Palatino Linotype"/>
          <w:b/>
          <w:lang w:val="es-ES_tradnl"/>
        </w:rPr>
      </w:pPr>
      <w:r>
        <w:rPr>
          <w:rFonts w:ascii="Palatino Linotype" w:hAnsi="Palatino Linotype"/>
          <w:b/>
          <w:lang w:val="es-ES_tradnl"/>
        </w:rPr>
        <w:tab/>
      </w:r>
    </w:p>
    <w:p w14:paraId="4357EC46" w14:textId="098E1B1A" w:rsidR="00F37B8E" w:rsidRDefault="00F37B8E" w:rsidP="009C412C">
      <w:pPr>
        <w:pStyle w:val="Prrafodelista"/>
        <w:numPr>
          <w:ilvl w:val="0"/>
          <w:numId w:val="1"/>
        </w:numPr>
        <w:jc w:val="both"/>
        <w:rPr>
          <w:rFonts w:ascii="Palatino Linotype" w:hAnsi="Palatino Linotype"/>
          <w:b/>
          <w:lang w:val="es-ES_tradnl"/>
        </w:rPr>
      </w:pPr>
      <w:r w:rsidRPr="00F37B8E">
        <w:rPr>
          <w:rFonts w:ascii="Palatino Linotype" w:hAnsi="Palatino Linotype"/>
          <w:b/>
          <w:lang w:val="es-ES_tradnl"/>
        </w:rPr>
        <w:t>Anexo 13_redacted.pdf</w:t>
      </w:r>
      <w:r w:rsidRPr="00BD7B0D">
        <w:rPr>
          <w:rFonts w:ascii="Palatino Linotype" w:hAnsi="Palatino Linotype"/>
          <w:b/>
          <w:lang w:val="es-ES_tradnl"/>
        </w:rPr>
        <w:t xml:space="preserve">: </w:t>
      </w:r>
      <w:r w:rsidR="001E5B20">
        <w:rPr>
          <w:rFonts w:ascii="Palatino Linotype" w:hAnsi="Palatino Linotype"/>
          <w:lang w:val="es-ES_tradnl"/>
        </w:rPr>
        <w:t>Contiene el documento de fecha cinco de octubr</w:t>
      </w:r>
      <w:r w:rsidR="00584507">
        <w:rPr>
          <w:rFonts w:ascii="Palatino Linotype" w:hAnsi="Palatino Linotype"/>
          <w:lang w:val="es-ES_tradnl"/>
        </w:rPr>
        <w:t xml:space="preserve">e de dos mil veinte, signado por los integrantes del comisariado ejidal, en el cual </w:t>
      </w:r>
      <w:r w:rsidR="00625300">
        <w:rPr>
          <w:rFonts w:ascii="Palatino Linotype" w:hAnsi="Palatino Linotype"/>
          <w:lang w:val="es-ES_tradnl"/>
        </w:rPr>
        <w:t>remiten</w:t>
      </w:r>
      <w:r w:rsidR="00845596">
        <w:rPr>
          <w:rFonts w:ascii="Palatino Linotype" w:hAnsi="Palatino Linotype"/>
          <w:lang w:val="es-ES_tradnl"/>
        </w:rPr>
        <w:t xml:space="preserve"> al Director Genera</w:t>
      </w:r>
      <w:r w:rsidR="00625300">
        <w:rPr>
          <w:rFonts w:ascii="Palatino Linotype" w:hAnsi="Palatino Linotype"/>
          <w:lang w:val="es-ES_tradnl"/>
        </w:rPr>
        <w:t>l de Trans</w:t>
      </w:r>
      <w:r w:rsidR="00CC0FAA">
        <w:rPr>
          <w:rFonts w:ascii="Palatino Linotype" w:hAnsi="Palatino Linotype"/>
          <w:lang w:val="es-ES_tradnl"/>
        </w:rPr>
        <w:t>formación Urbana, el informe correspondiente al mes de septiembre de 2020, respecto de los expedientes para realizar tr</w:t>
      </w:r>
      <w:r w:rsidR="00FB14CE">
        <w:rPr>
          <w:rFonts w:ascii="Palatino Linotype" w:hAnsi="Palatino Linotype"/>
          <w:lang w:val="es-ES_tradnl"/>
        </w:rPr>
        <w:t>ámite y firmar convenios</w:t>
      </w:r>
      <w:r w:rsidR="005679A7">
        <w:rPr>
          <w:rFonts w:ascii="Palatino Linotype" w:hAnsi="Palatino Linotype"/>
          <w:lang w:val="es-ES_tradnl"/>
        </w:rPr>
        <w:t>.</w:t>
      </w:r>
    </w:p>
    <w:p w14:paraId="2BB2715D" w14:textId="77777777" w:rsidR="005679A7" w:rsidRPr="005962CE" w:rsidRDefault="005679A7" w:rsidP="00E50905">
      <w:pPr>
        <w:jc w:val="both"/>
        <w:rPr>
          <w:rFonts w:ascii="Palatino Linotype" w:hAnsi="Palatino Linotype"/>
          <w:b/>
          <w:lang w:val="es-ES_tradnl"/>
        </w:rPr>
      </w:pPr>
    </w:p>
    <w:p w14:paraId="1691910B" w14:textId="3FB2F8F6" w:rsidR="00BD7B0D" w:rsidRPr="001C7266" w:rsidRDefault="00BD7B0D" w:rsidP="009C412C">
      <w:pPr>
        <w:pStyle w:val="Prrafodelista"/>
        <w:numPr>
          <w:ilvl w:val="0"/>
          <w:numId w:val="1"/>
        </w:numPr>
        <w:jc w:val="both"/>
        <w:rPr>
          <w:rFonts w:ascii="Palatino Linotype" w:hAnsi="Palatino Linotype"/>
          <w:b/>
          <w:lang w:val="es-ES_tradnl"/>
        </w:rPr>
      </w:pPr>
      <w:r w:rsidRPr="001C7266">
        <w:rPr>
          <w:rFonts w:ascii="Palatino Linotype" w:hAnsi="Palatino Linotype"/>
          <w:b/>
          <w:lang w:val="es-ES_tradnl"/>
        </w:rPr>
        <w:t xml:space="preserve">ACTA DECIMA CUARTA SESION ORDINARIA.pdf: </w:t>
      </w:r>
      <w:r w:rsidRPr="001C7266">
        <w:rPr>
          <w:rFonts w:ascii="Palatino Linotype" w:hAnsi="Palatino Linotype"/>
          <w:lang w:val="es-ES_tradnl"/>
        </w:rPr>
        <w:t>C</w:t>
      </w:r>
      <w:r w:rsidR="00D1068C" w:rsidRPr="001C7266">
        <w:rPr>
          <w:rFonts w:ascii="Palatino Linotype" w:hAnsi="Palatino Linotype"/>
          <w:lang w:val="es-ES_tradnl"/>
        </w:rPr>
        <w:t>o</w:t>
      </w:r>
      <w:r w:rsidR="005679A7" w:rsidRPr="001C7266">
        <w:rPr>
          <w:rFonts w:ascii="Palatino Linotype" w:hAnsi="Palatino Linotype"/>
          <w:lang w:val="es-ES_tradnl"/>
        </w:rPr>
        <w:t xml:space="preserve">ntiene el </w:t>
      </w:r>
      <w:r w:rsidR="00D1068C" w:rsidRPr="001C7266">
        <w:rPr>
          <w:rFonts w:ascii="Palatino Linotype" w:hAnsi="Palatino Linotype"/>
          <w:lang w:val="es-ES_tradnl"/>
        </w:rPr>
        <w:t>acta de la décimo cuarta sesión ordinaria</w:t>
      </w:r>
      <w:r w:rsidR="005679A7" w:rsidRPr="001C7266">
        <w:rPr>
          <w:rFonts w:ascii="Palatino Linotype" w:hAnsi="Palatino Linotype"/>
          <w:lang w:val="es-ES_tradnl"/>
        </w:rPr>
        <w:t xml:space="preserve"> del Comité de Transparencia  de fech</w:t>
      </w:r>
      <w:r w:rsidR="00E55F4E" w:rsidRPr="001C7266">
        <w:rPr>
          <w:rFonts w:ascii="Palatino Linotype" w:hAnsi="Palatino Linotype"/>
          <w:lang w:val="es-ES_tradnl"/>
        </w:rPr>
        <w:t>a veintitré</w:t>
      </w:r>
      <w:r w:rsidR="00BE4750" w:rsidRPr="001C7266">
        <w:rPr>
          <w:rFonts w:ascii="Palatino Linotype" w:hAnsi="Palatino Linotype"/>
          <w:lang w:val="es-ES_tradnl"/>
        </w:rPr>
        <w:t xml:space="preserve">s de mayo de dos mil diecinueve, en </w:t>
      </w:r>
      <w:r w:rsidR="00AA4403" w:rsidRPr="001C7266">
        <w:rPr>
          <w:rFonts w:ascii="Palatino Linotype" w:hAnsi="Palatino Linotype"/>
          <w:lang w:val="es-ES_tradnl"/>
        </w:rPr>
        <w:t>la cual</w:t>
      </w:r>
      <w:r w:rsidR="001C7266" w:rsidRPr="001C7266">
        <w:rPr>
          <w:rFonts w:ascii="Palatino Linotype" w:hAnsi="Palatino Linotype"/>
          <w:lang w:val="es-ES_tradnl"/>
        </w:rPr>
        <w:t xml:space="preserve"> se presenta la propuesta, análisis, discusión y en su caso aprobación , del acuerdo por el cual el Ayuntamiento de Tlalnepantla de Baz, México, autoriza el }”Programa de Seguridad del Patrimonio Familiar” para la Regularización de la Tenencia de la Tierra del Ejido de San Juan </w:t>
      </w:r>
      <w:proofErr w:type="spellStart"/>
      <w:r w:rsidR="001C7266" w:rsidRPr="001C7266">
        <w:rPr>
          <w:rFonts w:ascii="Palatino Linotype" w:hAnsi="Palatino Linotype"/>
          <w:lang w:val="es-ES_tradnl"/>
        </w:rPr>
        <w:t>Ixhuatepec</w:t>
      </w:r>
      <w:proofErr w:type="spellEnd"/>
      <w:r w:rsidR="001C7266" w:rsidRPr="001C7266">
        <w:rPr>
          <w:rFonts w:ascii="Palatino Linotype" w:hAnsi="Palatino Linotype"/>
          <w:lang w:val="es-ES_tradnl"/>
        </w:rPr>
        <w:t xml:space="preserve"> del Municipio de Tlalnepantla de Baz, México. </w:t>
      </w:r>
    </w:p>
    <w:p w14:paraId="4CB4BC46" w14:textId="77777777" w:rsidR="004D7D6E" w:rsidRPr="004D7D6E" w:rsidRDefault="004D7D6E" w:rsidP="002C275E">
      <w:pPr>
        <w:spacing w:after="0" w:line="360" w:lineRule="auto"/>
        <w:jc w:val="both"/>
        <w:rPr>
          <w:rFonts w:ascii="Palatino Linotype" w:hAnsi="Palatino Linotype" w:cs="Arial"/>
          <w:b/>
          <w:sz w:val="24"/>
          <w:szCs w:val="24"/>
        </w:rPr>
      </w:pPr>
    </w:p>
    <w:p w14:paraId="4CA79DCC" w14:textId="7663E5D1" w:rsidR="001272D3" w:rsidRPr="004D7D6E" w:rsidRDefault="001272D3" w:rsidP="002C275E">
      <w:pPr>
        <w:spacing w:after="0" w:line="360" w:lineRule="auto"/>
        <w:ind w:right="49"/>
        <w:jc w:val="both"/>
        <w:rPr>
          <w:rFonts w:ascii="Palatino Linotype" w:eastAsia="Times New Roman" w:hAnsi="Palatino Linotype" w:cs="Arial"/>
          <w:sz w:val="24"/>
          <w:szCs w:val="24"/>
          <w:lang w:val="es-ES_tradnl" w:eastAsia="es-ES"/>
        </w:rPr>
      </w:pPr>
      <w:r w:rsidRPr="004D7D6E">
        <w:rPr>
          <w:rFonts w:ascii="Palatino Linotype" w:eastAsia="Times New Roman" w:hAnsi="Palatino Linotype" w:cs="Arial"/>
          <w:b/>
          <w:sz w:val="28"/>
          <w:lang w:eastAsia="es-ES"/>
        </w:rPr>
        <w:t xml:space="preserve">CUARTO. </w:t>
      </w:r>
      <w:r w:rsidRPr="004D7D6E">
        <w:rPr>
          <w:rFonts w:ascii="Palatino Linotype" w:eastAsia="Times New Roman" w:hAnsi="Palatino Linotype" w:cs="Arial"/>
          <w:sz w:val="24"/>
          <w:szCs w:val="24"/>
          <w:lang w:val="es-ES" w:eastAsia="es-ES"/>
        </w:rPr>
        <w:t xml:space="preserve">En fecha </w:t>
      </w:r>
      <w:r w:rsidR="003679FF">
        <w:rPr>
          <w:rFonts w:ascii="Palatino Linotype" w:eastAsia="Times New Roman" w:hAnsi="Palatino Linotype" w:cs="Arial"/>
          <w:sz w:val="24"/>
          <w:szCs w:val="24"/>
          <w:lang w:val="es-ES" w:eastAsia="es-ES"/>
        </w:rPr>
        <w:t xml:space="preserve">treinta y uno </w:t>
      </w:r>
      <w:r w:rsidR="002A1673">
        <w:rPr>
          <w:rFonts w:ascii="Palatino Linotype" w:eastAsia="Times New Roman" w:hAnsi="Palatino Linotype" w:cs="Arial"/>
          <w:sz w:val="24"/>
          <w:szCs w:val="24"/>
          <w:lang w:val="es-ES" w:eastAsia="es-ES"/>
        </w:rPr>
        <w:t>de enero de dos mil veintidós</w:t>
      </w:r>
      <w:r w:rsidRPr="004D7D6E">
        <w:rPr>
          <w:rFonts w:ascii="Palatino Linotype" w:eastAsia="Times New Roman" w:hAnsi="Palatino Linotype" w:cs="Arial"/>
          <w:sz w:val="24"/>
          <w:szCs w:val="24"/>
          <w:lang w:val="es-ES" w:eastAsia="es-ES"/>
        </w:rPr>
        <w:t xml:space="preserve">, el </w:t>
      </w:r>
      <w:r w:rsidRPr="004D7D6E">
        <w:rPr>
          <w:rFonts w:ascii="Palatino Linotype" w:eastAsia="Times New Roman" w:hAnsi="Palatino Linotype" w:cs="Arial"/>
          <w:sz w:val="24"/>
          <w:szCs w:val="24"/>
          <w:lang w:val="es-ES_tradnl" w:eastAsia="es-ES"/>
        </w:rPr>
        <w:t>recurso de que</w:t>
      </w:r>
      <w:r w:rsidRPr="004D7D6E">
        <w:rPr>
          <w:rFonts w:ascii="Palatino Linotype" w:eastAsia="Times New Roman" w:hAnsi="Palatino Linotype" w:cs="Arial"/>
          <w:sz w:val="24"/>
          <w:szCs w:val="24"/>
          <w:lang w:val="es-ES" w:eastAsia="es-ES"/>
        </w:rPr>
        <w:t xml:space="preserve"> se trata</w:t>
      </w:r>
      <w:r w:rsidRPr="004D7D6E">
        <w:rPr>
          <w:rFonts w:ascii="Palatino Linotype" w:eastAsia="Times New Roman" w:hAnsi="Palatino Linotype" w:cs="Arial"/>
          <w:sz w:val="24"/>
          <w:szCs w:val="24"/>
          <w:lang w:val="es-ES_tradnl" w:eastAsia="es-ES"/>
        </w:rPr>
        <w:t xml:space="preserve"> se envió electrónicamente al Instituto de </w:t>
      </w:r>
      <w:r w:rsidRPr="004D7D6E">
        <w:rPr>
          <w:rFonts w:ascii="Palatino Linotype" w:eastAsia="Arial Unicode MS" w:hAnsi="Palatino Linotype" w:cs="Arial"/>
          <w:sz w:val="24"/>
          <w:szCs w:val="24"/>
          <w:lang w:val="es-ES" w:eastAsia="es-ES"/>
        </w:rPr>
        <w:t>Transparencia</w:t>
      </w:r>
      <w:r w:rsidRPr="004D7D6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4D7D6E">
        <w:rPr>
          <w:rFonts w:ascii="Palatino Linotype" w:eastAsia="Times New Roman" w:hAnsi="Palatino Linotype" w:cs="Times New Roman"/>
          <w:sz w:val="24"/>
          <w:szCs w:val="24"/>
          <w:lang w:val="es-ES" w:eastAsia="es-ES"/>
        </w:rPr>
        <w:t>Ley de Transparencia y Acceso a la Información Pública del Estado de México y Municipios</w:t>
      </w:r>
      <w:r w:rsidRPr="004D7D6E">
        <w:rPr>
          <w:rFonts w:ascii="Palatino Linotype" w:eastAsia="Times New Roman" w:hAnsi="Palatino Linotype" w:cs="Arial"/>
          <w:sz w:val="24"/>
          <w:szCs w:val="24"/>
          <w:lang w:val="es-ES_tradnl" w:eastAsia="es-ES"/>
        </w:rPr>
        <w:t>, se turnó a través del</w:t>
      </w:r>
      <w:r w:rsidRPr="004D7D6E">
        <w:rPr>
          <w:rFonts w:ascii="Palatino Linotype" w:eastAsia="Arial Unicode MS" w:hAnsi="Palatino Linotype" w:cs="Arial"/>
          <w:sz w:val="24"/>
          <w:szCs w:val="24"/>
          <w:lang w:val="es-ES_tradnl" w:eastAsia="es-ES"/>
        </w:rPr>
        <w:t xml:space="preserve"> </w:t>
      </w:r>
      <w:r w:rsidRPr="004D7D6E">
        <w:rPr>
          <w:rFonts w:ascii="Palatino Linotype" w:eastAsia="Arial Unicode MS" w:hAnsi="Palatino Linotype" w:cs="Arial"/>
          <w:b/>
          <w:sz w:val="24"/>
          <w:szCs w:val="24"/>
          <w:lang w:val="es-ES_tradnl" w:eastAsia="es-ES"/>
        </w:rPr>
        <w:t>SAIMEX</w:t>
      </w:r>
      <w:r w:rsidRPr="004D7D6E">
        <w:rPr>
          <w:rFonts w:ascii="Palatino Linotype" w:eastAsia="Times New Roman" w:hAnsi="Palatino Linotype" w:cs="Times New Roman"/>
          <w:sz w:val="24"/>
          <w:szCs w:val="24"/>
          <w:lang w:val="es-ES" w:eastAsia="es-ES"/>
        </w:rPr>
        <w:t xml:space="preserve"> al </w:t>
      </w:r>
      <w:r w:rsidRPr="004D7D6E">
        <w:rPr>
          <w:rFonts w:ascii="Palatino Linotype" w:eastAsia="Times New Roman" w:hAnsi="Palatino Linotype" w:cs="Arial"/>
          <w:sz w:val="24"/>
          <w:szCs w:val="24"/>
          <w:lang w:val="es-ES_tradnl" w:eastAsia="es-ES"/>
        </w:rPr>
        <w:t>Comisionado</w:t>
      </w:r>
      <w:r w:rsidR="00D1338C">
        <w:rPr>
          <w:rFonts w:ascii="Palatino Linotype" w:eastAsia="Times New Roman" w:hAnsi="Palatino Linotype" w:cs="Arial"/>
          <w:sz w:val="24"/>
          <w:szCs w:val="24"/>
          <w:lang w:val="es-ES_tradnl" w:eastAsia="es-ES"/>
        </w:rPr>
        <w:t xml:space="preserve"> Presidente</w:t>
      </w:r>
      <w:r w:rsidRPr="004D7D6E">
        <w:rPr>
          <w:rFonts w:ascii="Palatino Linotype" w:eastAsia="Times New Roman" w:hAnsi="Palatino Linotype" w:cs="Arial"/>
          <w:sz w:val="24"/>
          <w:szCs w:val="24"/>
          <w:lang w:val="es-ES_tradnl" w:eastAsia="es-ES"/>
        </w:rPr>
        <w:t xml:space="preserve"> </w:t>
      </w:r>
      <w:r w:rsidR="00235527" w:rsidRPr="004D7D6E">
        <w:rPr>
          <w:rFonts w:ascii="Palatino Linotype" w:eastAsia="Times New Roman" w:hAnsi="Palatino Linotype" w:cs="Arial"/>
          <w:b/>
          <w:sz w:val="24"/>
          <w:szCs w:val="24"/>
          <w:lang w:val="es-ES_tradnl" w:eastAsia="es-ES"/>
        </w:rPr>
        <w:t>José Martínez Vilchis</w:t>
      </w:r>
      <w:r w:rsidRPr="004D7D6E">
        <w:rPr>
          <w:rFonts w:ascii="Palatino Linotype" w:eastAsia="Times New Roman" w:hAnsi="Palatino Linotype" w:cs="Arial"/>
          <w:b/>
          <w:sz w:val="24"/>
          <w:szCs w:val="24"/>
          <w:lang w:val="es-ES_tradnl" w:eastAsia="es-ES"/>
        </w:rPr>
        <w:t xml:space="preserve">, </w:t>
      </w:r>
      <w:r w:rsidRPr="004D7D6E">
        <w:rPr>
          <w:rFonts w:ascii="Palatino Linotype" w:eastAsia="Times New Roman" w:hAnsi="Palatino Linotype" w:cs="Arial"/>
          <w:sz w:val="24"/>
          <w:szCs w:val="24"/>
          <w:lang w:val="es-ES_tradnl" w:eastAsia="es-ES"/>
        </w:rPr>
        <w:t>a efecto de que decretara su admisión o desechamiento.</w:t>
      </w:r>
    </w:p>
    <w:p w14:paraId="555D892E" w14:textId="77777777" w:rsidR="004D7D6E" w:rsidRPr="004D7D6E" w:rsidRDefault="004D7D6E" w:rsidP="002C275E">
      <w:pPr>
        <w:spacing w:after="0" w:line="360" w:lineRule="auto"/>
        <w:ind w:right="49"/>
        <w:jc w:val="both"/>
        <w:rPr>
          <w:rFonts w:ascii="Palatino Linotype" w:eastAsia="Times New Roman" w:hAnsi="Palatino Linotype" w:cs="Arial"/>
          <w:sz w:val="24"/>
          <w:szCs w:val="24"/>
          <w:lang w:val="es-ES_tradnl" w:eastAsia="es-ES"/>
        </w:rPr>
      </w:pPr>
    </w:p>
    <w:p w14:paraId="00647D09" w14:textId="2F78B30C" w:rsidR="001272D3" w:rsidRPr="004D7D6E" w:rsidRDefault="001272D3" w:rsidP="002C275E">
      <w:pPr>
        <w:spacing w:after="0" w:line="360" w:lineRule="auto"/>
        <w:ind w:right="49"/>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b/>
          <w:sz w:val="28"/>
          <w:szCs w:val="28"/>
          <w:lang w:val="es-ES_tradnl" w:eastAsia="es-ES"/>
        </w:rPr>
        <w:t xml:space="preserve">QUINTO. </w:t>
      </w:r>
      <w:r w:rsidRPr="004D7D6E">
        <w:rPr>
          <w:rFonts w:ascii="Palatino Linotype" w:eastAsia="Times New Roman" w:hAnsi="Palatino Linotype" w:cs="Arial"/>
          <w:sz w:val="24"/>
          <w:szCs w:val="24"/>
          <w:lang w:val="es-ES_tradnl" w:eastAsia="es-ES"/>
        </w:rPr>
        <w:t>E</w:t>
      </w:r>
      <w:r w:rsidRPr="004D7D6E">
        <w:rPr>
          <w:rFonts w:ascii="Palatino Linotype" w:eastAsia="Times New Roman" w:hAnsi="Palatino Linotype" w:cs="Arial"/>
          <w:sz w:val="24"/>
          <w:szCs w:val="24"/>
          <w:lang w:val="es-ES" w:eastAsia="es-ES"/>
        </w:rPr>
        <w:t xml:space="preserve">n fecha </w:t>
      </w:r>
      <w:r w:rsidR="008C3644">
        <w:rPr>
          <w:rFonts w:ascii="Palatino Linotype" w:eastAsia="Times New Roman" w:hAnsi="Palatino Linotype" w:cs="Arial"/>
          <w:sz w:val="24"/>
          <w:szCs w:val="24"/>
          <w:lang w:val="es-ES" w:eastAsia="es-ES"/>
        </w:rPr>
        <w:t xml:space="preserve">ocho de febrero </w:t>
      </w:r>
      <w:r w:rsidR="00C26D2F">
        <w:rPr>
          <w:rFonts w:ascii="Palatino Linotype" w:eastAsia="Times New Roman" w:hAnsi="Palatino Linotype" w:cs="Arial"/>
          <w:sz w:val="24"/>
          <w:szCs w:val="24"/>
          <w:lang w:val="es-ES" w:eastAsia="es-ES"/>
        </w:rPr>
        <w:t>de dos mil veintidós</w:t>
      </w:r>
      <w:r w:rsidRPr="004D7D6E">
        <w:rPr>
          <w:rFonts w:ascii="Palatino Linotype" w:eastAsia="Times New Roman" w:hAnsi="Palatino Linotype" w:cs="Arial"/>
          <w:sz w:val="24"/>
          <w:szCs w:val="24"/>
          <w:lang w:val="es-ES" w:eastAsia="es-ES"/>
        </w:rPr>
        <w:t xml:space="preserve">, atento a lo dispuesto en el </w:t>
      </w:r>
      <w:r w:rsidRPr="004D7D6E">
        <w:rPr>
          <w:rFonts w:ascii="Palatino Linotype" w:eastAsia="Times New Roman" w:hAnsi="Palatino Linotype" w:cs="Arial"/>
          <w:sz w:val="24"/>
          <w:szCs w:val="24"/>
          <w:lang w:val="es-ES_tradnl" w:eastAsia="es-ES"/>
        </w:rPr>
        <w:t>artículo</w:t>
      </w:r>
      <w:r w:rsidRPr="004D7D6E">
        <w:rPr>
          <w:rFonts w:ascii="Palatino Linotype" w:eastAsia="Times New Roman" w:hAnsi="Palatino Linotype" w:cs="Arial"/>
          <w:sz w:val="24"/>
          <w:szCs w:val="24"/>
          <w:lang w:val="es-ES" w:eastAsia="es-ES"/>
        </w:rPr>
        <w:t xml:space="preserve"> 185 fracciones I, II y IV </w:t>
      </w:r>
      <w:r w:rsidRPr="004D7D6E">
        <w:rPr>
          <w:rFonts w:ascii="Palatino Linotype" w:eastAsia="Times New Roman" w:hAnsi="Palatino Linotype" w:cs="Arial"/>
          <w:sz w:val="24"/>
          <w:szCs w:val="24"/>
          <w:lang w:val="es-ES_tradnl" w:eastAsia="es-ES"/>
        </w:rPr>
        <w:t xml:space="preserve">de la </w:t>
      </w:r>
      <w:r w:rsidRPr="004D7D6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4D7D6E">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w:t>
      </w:r>
      <w:r w:rsidR="005679A7">
        <w:rPr>
          <w:rFonts w:ascii="Palatino Linotype" w:eastAsia="Times New Roman" w:hAnsi="Palatino Linotype" w:cs="Arial"/>
          <w:sz w:val="24"/>
          <w:szCs w:val="24"/>
          <w:lang w:val="es-ES" w:eastAsia="es-ES"/>
        </w:rPr>
        <w:t xml:space="preserve">el cual </w:t>
      </w:r>
      <w:r w:rsidRPr="004D7D6E">
        <w:rPr>
          <w:rFonts w:ascii="Palatino Linotype" w:eastAsia="Times New Roman" w:hAnsi="Palatino Linotype" w:cs="Arial"/>
          <w:sz w:val="24"/>
          <w:szCs w:val="24"/>
          <w:lang w:val="es-ES" w:eastAsia="es-ES"/>
        </w:rPr>
        <w:lastRenderedPageBreak/>
        <w:t>se puso a disposición de las partes, para que en un plazo máximo de siete días hábiles, realizarán manifestaciones y ofrecieran las pruebas y alegatos que a su derecho conviniera o exhibieran el informe justificado, según fuera el caso.</w:t>
      </w:r>
    </w:p>
    <w:p w14:paraId="4723F318" w14:textId="77777777" w:rsidR="004D7D6E" w:rsidRPr="004D7D6E" w:rsidRDefault="004D7D6E" w:rsidP="002C275E">
      <w:pPr>
        <w:spacing w:after="0" w:line="360" w:lineRule="auto"/>
        <w:ind w:right="49"/>
        <w:jc w:val="both"/>
        <w:rPr>
          <w:rFonts w:ascii="Palatino Linotype" w:eastAsia="Times New Roman" w:hAnsi="Palatino Linotype" w:cs="Arial"/>
          <w:sz w:val="24"/>
          <w:szCs w:val="24"/>
          <w:lang w:val="es-ES" w:eastAsia="es-ES"/>
        </w:rPr>
      </w:pPr>
    </w:p>
    <w:p w14:paraId="7786D150" w14:textId="67A6D836" w:rsidR="00955CAF" w:rsidRPr="00386392" w:rsidRDefault="001272D3" w:rsidP="00955CAF">
      <w:pPr>
        <w:spacing w:line="360" w:lineRule="auto"/>
        <w:jc w:val="both"/>
        <w:rPr>
          <w:rFonts w:ascii="Palatino Linotype" w:hAnsi="Palatino Linotype" w:cs="Arial"/>
        </w:rPr>
      </w:pPr>
      <w:r w:rsidRPr="004D7D6E">
        <w:rPr>
          <w:rFonts w:ascii="Palatino Linotype" w:hAnsi="Palatino Linotype" w:cs="Arial"/>
          <w:b/>
          <w:sz w:val="28"/>
          <w:szCs w:val="28"/>
        </w:rPr>
        <w:t xml:space="preserve">SEXTO. </w:t>
      </w:r>
      <w:r w:rsidR="00955CAF" w:rsidRPr="00386392">
        <w:rPr>
          <w:rFonts w:ascii="Palatino Linotype" w:hAnsi="Palatino Linotype" w:cs="Arial"/>
        </w:rPr>
        <w:t>Así, una vez transcurrido el término legal referido</w:t>
      </w:r>
      <w:r w:rsidR="005679A7">
        <w:rPr>
          <w:rFonts w:ascii="Palatino Linotype" w:hAnsi="Palatino Linotype" w:cs="Arial"/>
        </w:rPr>
        <w:t>,</w:t>
      </w:r>
      <w:r w:rsidR="00955CAF" w:rsidRPr="00386392">
        <w:rPr>
          <w:rFonts w:ascii="Palatino Linotype" w:hAnsi="Palatino Linotype" w:cs="Arial"/>
        </w:rPr>
        <w:t xml:space="preserve"> en fecha </w:t>
      </w:r>
      <w:r w:rsidR="000A754B">
        <w:rPr>
          <w:rFonts w:ascii="Palatino Linotype" w:hAnsi="Palatino Linotype" w:cs="Arial"/>
        </w:rPr>
        <w:t xml:space="preserve">diecisiete de febrero </w:t>
      </w:r>
      <w:r w:rsidR="00955CAF" w:rsidRPr="00386392">
        <w:rPr>
          <w:rFonts w:ascii="Palatino Linotype" w:hAnsi="Palatino Linotype" w:cs="Arial"/>
        </w:rPr>
        <w:t xml:space="preserve">del año en curso, </w:t>
      </w:r>
      <w:r w:rsidR="00955CAF" w:rsidRPr="00386392">
        <w:rPr>
          <w:rFonts w:ascii="Palatino Linotype" w:hAnsi="Palatino Linotype" w:cs="Arial"/>
          <w:b/>
        </w:rPr>
        <w:t>El Sujeto Obligado</w:t>
      </w:r>
      <w:r w:rsidR="00955CAF" w:rsidRPr="00386392">
        <w:rPr>
          <w:rFonts w:ascii="Palatino Linotype" w:hAnsi="Palatino Linotype" w:cs="Arial"/>
        </w:rPr>
        <w:t xml:space="preserve"> remitió su Informe Justificado mediante </w:t>
      </w:r>
      <w:r w:rsidR="005679A7">
        <w:rPr>
          <w:rFonts w:ascii="Palatino Linotype" w:hAnsi="Palatino Linotype" w:cs="Arial"/>
        </w:rPr>
        <w:t xml:space="preserve">el </w:t>
      </w:r>
      <w:r w:rsidR="00955CAF" w:rsidRPr="00386392">
        <w:rPr>
          <w:rFonts w:ascii="Palatino Linotype" w:hAnsi="Palatino Linotype" w:cs="Arial"/>
        </w:rPr>
        <w:t xml:space="preserve">archivo electrónico denominado </w:t>
      </w:r>
      <w:r w:rsidR="00955CAF" w:rsidRPr="00386392">
        <w:rPr>
          <w:rFonts w:ascii="Palatino Linotype" w:hAnsi="Palatino Linotype" w:cs="Arial"/>
          <w:i/>
        </w:rPr>
        <w:t>“</w:t>
      </w:r>
      <w:r w:rsidR="00955CAF" w:rsidRPr="00955CAF">
        <w:rPr>
          <w:rFonts w:ascii="Palatino Linotype" w:hAnsi="Palatino Linotype" w:cs="Arial"/>
          <w:i/>
        </w:rPr>
        <w:t>MANIFESTACIONES_RR_00395_SAIMEX_01022.zi</w:t>
      </w:r>
      <w:r w:rsidR="00955CAF">
        <w:rPr>
          <w:rFonts w:ascii="Palatino Linotype" w:hAnsi="Palatino Linotype" w:cs="Arial"/>
          <w:i/>
        </w:rPr>
        <w:t xml:space="preserve">p”; </w:t>
      </w:r>
      <w:r w:rsidR="00955CAF" w:rsidRPr="00386392">
        <w:rPr>
          <w:rFonts w:ascii="Palatino Linotype" w:hAnsi="Palatino Linotype" w:cs="Arial"/>
        </w:rPr>
        <w:t xml:space="preserve">asimismo, la parte </w:t>
      </w:r>
      <w:r w:rsidR="00955CAF" w:rsidRPr="00386392">
        <w:rPr>
          <w:rFonts w:ascii="Palatino Linotype" w:hAnsi="Palatino Linotype" w:cs="Arial"/>
          <w:b/>
        </w:rPr>
        <w:t>Recurrente</w:t>
      </w:r>
      <w:r w:rsidR="00955CAF" w:rsidRPr="00386392">
        <w:rPr>
          <w:rFonts w:ascii="Palatino Linotype" w:hAnsi="Palatino Linotype" w:cs="Arial"/>
        </w:rPr>
        <w:t xml:space="preserve"> no realizó alegatos, pruebas o manifestaciones, </w:t>
      </w:r>
      <w:r w:rsidR="005679A7">
        <w:rPr>
          <w:rFonts w:ascii="Palatino Linotype" w:hAnsi="Palatino Linotype" w:cs="Arial"/>
        </w:rPr>
        <w:t xml:space="preserve">como se muestra </w:t>
      </w:r>
      <w:r w:rsidR="00955CAF" w:rsidRPr="00386392">
        <w:rPr>
          <w:rFonts w:ascii="Palatino Linotype" w:hAnsi="Palatino Linotype" w:cs="Arial"/>
        </w:rPr>
        <w:t>con la siguiente imagen:</w:t>
      </w:r>
    </w:p>
    <w:p w14:paraId="5BE9F8AF" w14:textId="4910A30E" w:rsidR="004D7D6E" w:rsidRPr="004D7D6E" w:rsidRDefault="00955CAF" w:rsidP="00955CAF">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079B4A51" wp14:editId="42E79374">
            <wp:extent cx="5753100" cy="2133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133600"/>
                    </a:xfrm>
                    <a:prstGeom prst="rect">
                      <a:avLst/>
                    </a:prstGeom>
                    <a:noFill/>
                    <a:ln>
                      <a:noFill/>
                    </a:ln>
                  </pic:spPr>
                </pic:pic>
              </a:graphicData>
            </a:graphic>
          </wp:inline>
        </w:drawing>
      </w:r>
    </w:p>
    <w:p w14:paraId="39F64A82" w14:textId="4A164434" w:rsid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b/>
          <w:sz w:val="28"/>
          <w:szCs w:val="28"/>
        </w:rPr>
        <w:t xml:space="preserve">SÉPTIMO. </w:t>
      </w:r>
      <w:r w:rsidR="005679A7">
        <w:rPr>
          <w:rFonts w:ascii="Palatino Linotype" w:hAnsi="Palatino Linotype" w:cs="Arial"/>
          <w:sz w:val="24"/>
          <w:szCs w:val="24"/>
        </w:rPr>
        <w:t>U</w:t>
      </w:r>
      <w:r w:rsidRPr="004D7D6E">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 los expedientes electrónicos, se decretó el cierre de instrucción en fecha </w:t>
      </w:r>
      <w:r w:rsidR="002D392B">
        <w:rPr>
          <w:rFonts w:ascii="Palatino Linotype" w:hAnsi="Palatino Linotype" w:cs="Arial"/>
          <w:sz w:val="24"/>
          <w:szCs w:val="24"/>
        </w:rPr>
        <w:t>cuatro de marzo</w:t>
      </w:r>
      <w:r w:rsidR="002F0C9E">
        <w:rPr>
          <w:rFonts w:ascii="Palatino Linotype" w:hAnsi="Palatino Linotype" w:cs="Arial"/>
          <w:sz w:val="24"/>
          <w:szCs w:val="24"/>
        </w:rPr>
        <w:t xml:space="preserve"> de dos mil veintidós</w:t>
      </w:r>
      <w:r w:rsidRPr="004D7D6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3B6A3656" w14:textId="28BEA081" w:rsidR="00734D77" w:rsidRPr="004D7D6E" w:rsidRDefault="00734D77" w:rsidP="00734D7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w:t>
      </w:r>
      <w:r>
        <w:rPr>
          <w:rFonts w:ascii="Palatino Linotype" w:hAnsi="Palatino Linotype" w:cs="Arial"/>
          <w:sz w:val="24"/>
          <w:szCs w:val="24"/>
        </w:rPr>
        <w:t xml:space="preserve"> veintitrés de marzo</w:t>
      </w:r>
      <w:r w:rsidRPr="0066799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130B8140" w14:textId="77777777" w:rsidR="00734D77" w:rsidRPr="004D7D6E" w:rsidRDefault="00734D77" w:rsidP="002C275E">
      <w:pPr>
        <w:spacing w:after="0" w:line="360" w:lineRule="auto"/>
        <w:jc w:val="both"/>
        <w:rPr>
          <w:rFonts w:ascii="Palatino Linotype" w:hAnsi="Palatino Linotype" w:cs="Arial"/>
          <w:sz w:val="24"/>
          <w:szCs w:val="24"/>
        </w:rPr>
      </w:pPr>
    </w:p>
    <w:p w14:paraId="38953D83" w14:textId="77777777" w:rsidR="004D7D6E" w:rsidRDefault="004D7D6E" w:rsidP="002C275E">
      <w:pPr>
        <w:spacing w:after="0" w:line="360" w:lineRule="auto"/>
        <w:jc w:val="both"/>
        <w:rPr>
          <w:rFonts w:ascii="Palatino Linotype" w:hAnsi="Palatino Linotype" w:cs="Arial"/>
          <w:sz w:val="24"/>
          <w:szCs w:val="24"/>
        </w:rPr>
      </w:pPr>
    </w:p>
    <w:p w14:paraId="50658DBA" w14:textId="77777777" w:rsidR="001272D3" w:rsidRPr="004D7D6E" w:rsidRDefault="001272D3" w:rsidP="002C275E">
      <w:pPr>
        <w:spacing w:after="0" w:line="360" w:lineRule="auto"/>
        <w:jc w:val="center"/>
        <w:rPr>
          <w:rFonts w:ascii="Palatino Linotype" w:hAnsi="Palatino Linotype" w:cs="Arial"/>
          <w:sz w:val="24"/>
          <w:szCs w:val="24"/>
        </w:rPr>
      </w:pPr>
      <w:r w:rsidRPr="004D7D6E">
        <w:rPr>
          <w:rFonts w:ascii="Palatino Linotype" w:hAnsi="Palatino Linotype" w:cs="Arial"/>
          <w:b/>
          <w:sz w:val="28"/>
          <w:szCs w:val="24"/>
        </w:rPr>
        <w:t xml:space="preserve">C O N S I D E R A N D O </w:t>
      </w:r>
    </w:p>
    <w:p w14:paraId="62FAE8D1" w14:textId="77777777" w:rsidR="001272D3" w:rsidRPr="004D7D6E" w:rsidRDefault="001272D3" w:rsidP="002C275E">
      <w:pPr>
        <w:spacing w:after="0" w:line="360" w:lineRule="auto"/>
        <w:jc w:val="center"/>
        <w:rPr>
          <w:rFonts w:ascii="Palatino Linotype" w:hAnsi="Palatino Linotype" w:cs="Arial"/>
          <w:sz w:val="24"/>
          <w:szCs w:val="24"/>
        </w:rPr>
      </w:pPr>
    </w:p>
    <w:p w14:paraId="56336B06" w14:textId="77777777" w:rsidR="00870B9E" w:rsidRPr="00A94409" w:rsidRDefault="00870B9E" w:rsidP="00870B9E">
      <w:pPr>
        <w:spacing w:before="240" w:line="360" w:lineRule="auto"/>
        <w:jc w:val="both"/>
        <w:rPr>
          <w:rFonts w:ascii="Palatino Linotype" w:hAnsi="Palatino Linotype" w:cs="Arial"/>
          <w:sz w:val="24"/>
          <w:lang w:val="es-ES_tradnl"/>
        </w:rPr>
      </w:pPr>
      <w:r w:rsidRPr="00A94409">
        <w:rPr>
          <w:rFonts w:ascii="Palatino Linotype" w:hAnsi="Palatino Linotype" w:cs="Arial"/>
          <w:b/>
          <w:sz w:val="28"/>
          <w:lang w:val="es-ES_tradnl"/>
        </w:rPr>
        <w:t>PRIMERO.</w:t>
      </w:r>
      <w:r w:rsidRPr="00A94409">
        <w:rPr>
          <w:rFonts w:ascii="Palatino Linotype" w:hAnsi="Palatino Linotype" w:cs="Arial"/>
          <w:b/>
          <w:lang w:val="es-ES_tradnl"/>
        </w:rPr>
        <w:t xml:space="preserve"> </w:t>
      </w:r>
      <w:r w:rsidRPr="00A94409">
        <w:rPr>
          <w:rFonts w:ascii="Palatino Linotype" w:hAnsi="Palatino Linotype" w:cs="Arial"/>
          <w:b/>
          <w:sz w:val="28"/>
          <w:szCs w:val="28"/>
          <w:lang w:val="es-ES_tradnl"/>
        </w:rPr>
        <w:t>De la competencia</w:t>
      </w:r>
      <w:r w:rsidRPr="00A94409">
        <w:rPr>
          <w:rFonts w:ascii="Palatino Linotype" w:hAnsi="Palatino Linotype" w:cs="Arial"/>
          <w:sz w:val="28"/>
          <w:szCs w:val="28"/>
          <w:lang w:val="es-ES_tradnl"/>
        </w:rPr>
        <w:t>.</w:t>
      </w:r>
    </w:p>
    <w:p w14:paraId="0D9DAB76" w14:textId="77777777" w:rsidR="00870B9E" w:rsidRPr="00A94409" w:rsidRDefault="00870B9E" w:rsidP="00870B9E">
      <w:pPr>
        <w:spacing w:before="240" w:line="360" w:lineRule="auto"/>
        <w:jc w:val="both"/>
        <w:rPr>
          <w:rFonts w:ascii="Palatino Linotype" w:hAnsi="Palatino Linotype" w:cs="Arial"/>
          <w:sz w:val="24"/>
          <w:lang w:val="es-ES_tradnl"/>
        </w:rPr>
      </w:pPr>
      <w:r w:rsidRPr="00A94409">
        <w:rPr>
          <w:rFonts w:ascii="Palatino Linotype" w:hAnsi="Palatino Linotype" w:cs="Arial"/>
          <w:sz w:val="24"/>
          <w:lang w:val="es-ES_tradnl"/>
        </w:rPr>
        <w:t>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4C77F04" w14:textId="77777777" w:rsidR="00870B9E" w:rsidRPr="00A94409" w:rsidRDefault="00870B9E" w:rsidP="00870B9E">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A94409">
        <w:rPr>
          <w:rFonts w:ascii="Palatino Linotype" w:hAnsi="Palatino Linotype" w:cs="Arial"/>
          <w:b/>
          <w:sz w:val="28"/>
          <w:lang w:val="es-ES_tradnl"/>
        </w:rPr>
        <w:t>SEGUNDO</w:t>
      </w:r>
      <w:r w:rsidRPr="00A94409">
        <w:rPr>
          <w:rFonts w:ascii="Palatino Linotype" w:hAnsi="Palatino Linotype" w:cs="Arial"/>
          <w:b/>
          <w:lang w:val="es-ES_tradnl"/>
        </w:rPr>
        <w:t xml:space="preserve">. </w:t>
      </w:r>
      <w:r w:rsidRPr="00A94409">
        <w:rPr>
          <w:rFonts w:ascii="Palatino Linotype" w:hAnsi="Palatino Linotype" w:cs="Arial"/>
          <w:b/>
          <w:sz w:val="28"/>
          <w:szCs w:val="28"/>
          <w:lang w:val="es-ES_tradnl"/>
        </w:rPr>
        <w:t>Sobre los alcances del recurso de revisión.</w:t>
      </w:r>
      <w:r w:rsidRPr="00A94409">
        <w:rPr>
          <w:rFonts w:ascii="Palatino Linotype" w:hAnsi="Palatino Linotype" w:cs="Arial"/>
          <w:b/>
          <w:lang w:val="es-ES_tradnl"/>
        </w:rPr>
        <w:t xml:space="preserve"> </w:t>
      </w:r>
    </w:p>
    <w:p w14:paraId="2460C2A7" w14:textId="77777777" w:rsidR="00870B9E" w:rsidRPr="00A94409" w:rsidRDefault="00870B9E" w:rsidP="00870B9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A94409">
        <w:rPr>
          <w:rFonts w:ascii="Palatino Linotype" w:hAnsi="Palatino Linotype" w:cs="Arial"/>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A94409">
        <w:rPr>
          <w:rFonts w:ascii="Palatino Linotype" w:hAnsi="Palatino Linotype" w:cs="Arial"/>
          <w:lang w:val="es-ES_tradnl"/>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F18406F" w14:textId="77777777" w:rsidR="00870B9E" w:rsidRPr="00A94409" w:rsidRDefault="00870B9E" w:rsidP="00870B9E">
      <w:pPr>
        <w:pStyle w:val="Sinespaciado"/>
        <w:spacing w:line="360" w:lineRule="auto"/>
        <w:jc w:val="both"/>
        <w:rPr>
          <w:rFonts w:ascii="Palatino Linotype" w:hAnsi="Palatino Linotype"/>
          <w:b/>
          <w:sz w:val="28"/>
          <w:szCs w:val="28"/>
          <w:lang w:val="es-ES_tradnl"/>
        </w:rPr>
      </w:pPr>
      <w:r w:rsidRPr="00A94409">
        <w:rPr>
          <w:rFonts w:ascii="Palatino Linotype" w:hAnsi="Palatino Linotype"/>
          <w:b/>
          <w:sz w:val="28"/>
          <w:szCs w:val="28"/>
          <w:lang w:val="es-ES_tradnl"/>
        </w:rPr>
        <w:t>TERCERO. De las causas de improcedencia.</w:t>
      </w:r>
    </w:p>
    <w:p w14:paraId="506CABE7" w14:textId="77777777" w:rsidR="00870B9E" w:rsidRPr="00A94409" w:rsidRDefault="00870B9E" w:rsidP="00870B9E">
      <w:pPr>
        <w:pStyle w:val="Sinespaciado"/>
        <w:spacing w:before="240" w:after="240" w:line="360" w:lineRule="auto"/>
        <w:jc w:val="both"/>
        <w:rPr>
          <w:rFonts w:ascii="Palatino Linotype" w:hAnsi="Palatino Linotype"/>
          <w:lang w:val="es-ES_tradnl"/>
        </w:rPr>
      </w:pPr>
      <w:r w:rsidRPr="00A94409">
        <w:rPr>
          <w:rFonts w:ascii="Palatino Linotype" w:hAnsi="Palatino Linotype"/>
          <w:lang w:val="es-ES_tradnl"/>
        </w:rPr>
        <w:t xml:space="preserve">En el procedimiento de acceso a la información y de los medios de impugnación de la materia, se advierten diversos supuestos de </w:t>
      </w:r>
      <w:proofErr w:type="spellStart"/>
      <w:r w:rsidRPr="00A94409">
        <w:rPr>
          <w:rFonts w:ascii="Palatino Linotype" w:hAnsi="Palatino Linotype"/>
          <w:lang w:val="es-ES_tradnl"/>
        </w:rPr>
        <w:t>procedibilidad</w:t>
      </w:r>
      <w:proofErr w:type="spellEnd"/>
      <w:r w:rsidRPr="00A94409">
        <w:rPr>
          <w:rFonts w:ascii="Palatino Linotype" w:hAnsi="Palatino Linotype"/>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40BA4FE" w14:textId="77777777" w:rsidR="00870B9E" w:rsidRPr="00A94409" w:rsidRDefault="00870B9E" w:rsidP="00870B9E">
      <w:pPr>
        <w:pStyle w:val="Sinespaciado"/>
        <w:spacing w:before="240" w:after="240" w:line="360" w:lineRule="auto"/>
        <w:jc w:val="both"/>
        <w:rPr>
          <w:rFonts w:ascii="Palatino Linotype" w:hAnsi="Palatino Linotype"/>
          <w:lang w:val="es-ES_tradnl"/>
        </w:rPr>
      </w:pPr>
      <w:r w:rsidRPr="00A94409">
        <w:rPr>
          <w:rFonts w:ascii="Palatino Linotype" w:hAnsi="Palatino Linotype"/>
          <w:lang w:val="es-ES_tradnl"/>
        </w:rPr>
        <w:t xml:space="preserve">Por lo anterior, es una facultad legal entrar al estudio de las causas de improcedencia que hagan valer las partes o que se adviertan de oficio por este </w:t>
      </w:r>
      <w:proofErr w:type="spellStart"/>
      <w:r w:rsidRPr="00A94409">
        <w:rPr>
          <w:rFonts w:ascii="Palatino Linotype" w:hAnsi="Palatino Linotype"/>
          <w:lang w:val="es-ES_tradnl"/>
        </w:rPr>
        <w:t>Resolutor</w:t>
      </w:r>
      <w:proofErr w:type="spellEnd"/>
      <w:r w:rsidRPr="00A94409">
        <w:rPr>
          <w:rFonts w:ascii="Palatino Linotype" w:hAnsi="Palatino Linotype"/>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A94409">
        <w:rPr>
          <w:rStyle w:val="Refdenotaalpie"/>
          <w:rFonts w:ascii="Palatino Linotype" w:hAnsi="Palatino Linotype" w:cs="Arial"/>
          <w:lang w:val="es-ES_tradnl"/>
        </w:rPr>
        <w:footnoteReference w:id="1"/>
      </w:r>
      <w:r w:rsidRPr="00A94409">
        <w:rPr>
          <w:rFonts w:ascii="Palatino Linotype" w:hAnsi="Palatino Linotype"/>
          <w:lang w:val="es-ES_tradnl"/>
        </w:rPr>
        <w:t xml:space="preserve">, la cual permite dilucidar alguna causal que impida </w:t>
      </w:r>
      <w:r w:rsidRPr="00A94409">
        <w:rPr>
          <w:rFonts w:ascii="Palatino Linotype" w:hAnsi="Palatino Linotype"/>
          <w:lang w:val="es-ES_tradnl"/>
        </w:rPr>
        <w:lastRenderedPageBreak/>
        <w:t>el estudio y resolución, cuando una vez admitido el recurso de revisión se advierta una causa de improcedencia que permita sobreseerlo, sin estudiar el fondo del asunto.</w:t>
      </w:r>
    </w:p>
    <w:p w14:paraId="7DC58993" w14:textId="77777777" w:rsidR="00870B9E" w:rsidRPr="00A94409" w:rsidRDefault="00870B9E" w:rsidP="00870B9E">
      <w:pPr>
        <w:pStyle w:val="Sinespaciado"/>
        <w:spacing w:before="240" w:after="240" w:line="360" w:lineRule="auto"/>
        <w:jc w:val="both"/>
        <w:rPr>
          <w:rFonts w:ascii="Palatino Linotype" w:hAnsi="Palatino Linotype"/>
          <w:lang w:val="es-ES_tradnl"/>
        </w:rPr>
      </w:pPr>
      <w:r w:rsidRPr="00A94409">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3BBC6C" w14:textId="77777777" w:rsidR="00870B9E" w:rsidRPr="00A94409" w:rsidRDefault="00870B9E" w:rsidP="00870B9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A94409">
        <w:rPr>
          <w:rFonts w:ascii="Palatino Linotype" w:hAnsi="Palatino Linotype" w:cs="Arial"/>
          <w:b/>
          <w:sz w:val="28"/>
          <w:lang w:val="es-ES_tradnl"/>
        </w:rPr>
        <w:t>CUART</w:t>
      </w:r>
      <w:r w:rsidRPr="00A94409">
        <w:rPr>
          <w:rFonts w:ascii="Palatino Linotype" w:hAnsi="Palatino Linotype" w:cs="Arial"/>
          <w:b/>
          <w:sz w:val="28"/>
          <w:szCs w:val="28"/>
          <w:lang w:val="es-ES_tradnl"/>
        </w:rPr>
        <w:t>O.</w:t>
      </w:r>
      <w:r w:rsidRPr="00A94409">
        <w:rPr>
          <w:rFonts w:ascii="Palatino Linotype" w:hAnsi="Palatino Linotype" w:cs="Arial"/>
          <w:sz w:val="28"/>
          <w:szCs w:val="28"/>
          <w:lang w:val="es-ES_tradnl"/>
        </w:rPr>
        <w:t xml:space="preserve"> </w:t>
      </w:r>
      <w:r w:rsidRPr="00A94409">
        <w:rPr>
          <w:rFonts w:ascii="Palatino Linotype" w:hAnsi="Palatino Linotype" w:cs="Arial"/>
          <w:b/>
          <w:sz w:val="28"/>
          <w:szCs w:val="28"/>
          <w:lang w:val="es-ES_tradnl"/>
        </w:rPr>
        <w:t>Estudio y resolución del asunto.</w:t>
      </w:r>
    </w:p>
    <w:p w14:paraId="74B843FD" w14:textId="77777777" w:rsidR="00870B9E" w:rsidRPr="00A94409" w:rsidRDefault="00870B9E" w:rsidP="00870B9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A94409">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2F50E7C" w14:textId="124C37F6" w:rsidR="00870B9E" w:rsidRPr="00A94409" w:rsidRDefault="00870B9E" w:rsidP="006F0CB5">
      <w:pPr>
        <w:spacing w:before="240" w:line="360" w:lineRule="auto"/>
        <w:jc w:val="both"/>
        <w:rPr>
          <w:rFonts w:ascii="Palatino Linotype" w:hAnsi="Palatino Linotype" w:cs="Arial"/>
          <w:i/>
          <w:lang w:val="es-ES_tradnl"/>
        </w:rPr>
      </w:pPr>
      <w:r w:rsidRPr="00A94409">
        <w:rPr>
          <w:rFonts w:ascii="Palatino Linotype" w:hAnsi="Palatino Linotype" w:cs="Arial"/>
          <w:sz w:val="24"/>
          <w:lang w:val="es-ES_tradnl"/>
        </w:rPr>
        <w:t xml:space="preserve">Bajo esa premisa, en primer lugar, el artículo 12, de la Ley de la materia establece que los Sujetos Obligados sólo proporcionarán la información que generen, recopilen, </w:t>
      </w:r>
      <w:r w:rsidRPr="00A94409">
        <w:rPr>
          <w:rFonts w:ascii="Palatino Linotype" w:hAnsi="Palatino Linotype" w:cs="Arial"/>
          <w:sz w:val="24"/>
          <w:lang w:val="es-ES_tradnl"/>
        </w:rPr>
        <w:lastRenderedPageBreak/>
        <w:t>administren, manejen, procesen, archiven o conserven, y sólo facilitarán las que se les requiera y obre en sus archivos, en el estado en el que se encuentre, sin la obligación de generarla, resumirla, efectuar cálculos o practicar investigaciones</w:t>
      </w:r>
      <w:r w:rsidR="005679A7">
        <w:rPr>
          <w:rFonts w:ascii="Palatino Linotype" w:hAnsi="Palatino Linotype" w:cs="Arial"/>
          <w:sz w:val="24"/>
          <w:lang w:val="es-ES_tradnl"/>
        </w:rPr>
        <w:t>.</w:t>
      </w:r>
    </w:p>
    <w:p w14:paraId="7E396BDB" w14:textId="77777777" w:rsidR="00870B9E" w:rsidRPr="00A94409" w:rsidRDefault="00870B9E" w:rsidP="00870B9E">
      <w:pPr>
        <w:spacing w:line="360" w:lineRule="auto"/>
        <w:jc w:val="both"/>
        <w:rPr>
          <w:rFonts w:ascii="Palatino Linotype" w:hAnsi="Palatino Linotype" w:cs="Arial"/>
          <w:color w:val="000000"/>
          <w:sz w:val="24"/>
          <w:lang w:val="es-ES_tradnl"/>
        </w:rPr>
      </w:pPr>
      <w:r w:rsidRPr="00A94409">
        <w:rPr>
          <w:rFonts w:ascii="Palatino Linotype" w:hAnsi="Palatino Linotype" w:cs="Arial"/>
          <w:color w:val="000000"/>
          <w:sz w:val="24"/>
          <w:lang w:val="es-ES_tradnl"/>
        </w:rPr>
        <w:t>En síntesis, el derecho de acceso a la información pública se satisface en aquellos casos en que se entregue el soporte documental en que conste la información pública, toda vez que, los Sujetos Obligados</w:t>
      </w:r>
      <w:r w:rsidRPr="00A94409">
        <w:rPr>
          <w:rFonts w:ascii="Palatino Linotype" w:hAnsi="Palatino Linotype" w:cs="Arial"/>
          <w:b/>
          <w:color w:val="000000"/>
          <w:sz w:val="24"/>
          <w:lang w:val="es-ES_tradnl"/>
        </w:rPr>
        <w:t xml:space="preserve"> </w:t>
      </w:r>
      <w:r w:rsidRPr="00A94409">
        <w:rPr>
          <w:rFonts w:ascii="Palatino Linotype" w:hAnsi="Palatino Linotype" w:cs="Arial"/>
          <w:color w:val="000000"/>
          <w:sz w:val="24"/>
          <w:lang w:val="es-ES_tradnl"/>
        </w:rPr>
        <w:t xml:space="preserve">no tienen el deber de generar, poseer o administrar la información pública con el grado de detalle solicitado; esto es, que no tienen el deber de generar un documento </w:t>
      </w:r>
      <w:r w:rsidRPr="00A94409">
        <w:rPr>
          <w:rFonts w:ascii="Palatino Linotype" w:hAnsi="Palatino Linotype" w:cs="Arial"/>
          <w:i/>
          <w:color w:val="000000"/>
          <w:sz w:val="24"/>
          <w:lang w:val="es-ES_tradnl"/>
        </w:rPr>
        <w:t>ad hoc</w:t>
      </w:r>
      <w:r w:rsidRPr="00A94409">
        <w:rPr>
          <w:rFonts w:ascii="Palatino Linotype" w:hAnsi="Palatino Linotype" w:cs="Arial"/>
          <w:color w:val="000000"/>
          <w:sz w:val="24"/>
          <w:lang w:val="es-ES_tradnl"/>
        </w:rPr>
        <w:t>, para satisfacer el derecho de acceso a la información pública.</w:t>
      </w:r>
    </w:p>
    <w:p w14:paraId="7BEBB554" w14:textId="77777777" w:rsidR="00870B9E" w:rsidRPr="00A94409" w:rsidRDefault="00870B9E" w:rsidP="00870B9E">
      <w:pPr>
        <w:spacing w:line="360" w:lineRule="auto"/>
        <w:jc w:val="both"/>
        <w:rPr>
          <w:rFonts w:ascii="Palatino Linotype" w:hAnsi="Palatino Linotype"/>
          <w:b/>
          <w:bCs/>
          <w:color w:val="000000"/>
          <w:sz w:val="24"/>
          <w:lang w:val="es-ES_tradnl"/>
        </w:rPr>
      </w:pPr>
      <w:r w:rsidRPr="00A94409">
        <w:rPr>
          <w:rFonts w:ascii="Palatino Linotype" w:hAnsi="Palatino Linotype" w:cs="Arial"/>
          <w:color w:val="000000"/>
          <w:sz w:val="24"/>
          <w:lang w:val="es-ES_tradnl"/>
        </w:rPr>
        <w:t xml:space="preserve">Como apoyo a lo anterior, es aplicable el Criterio 03-17, emitido por </w:t>
      </w:r>
      <w:r w:rsidRPr="00A94409">
        <w:rPr>
          <w:rFonts w:ascii="Palatino Linotype" w:eastAsia="Arial Unicode MS" w:hAnsi="Palatino Linotype" w:cs="Arial"/>
          <w:color w:val="000000"/>
          <w:sz w:val="24"/>
          <w:lang w:val="es-ES_tradnl"/>
        </w:rPr>
        <w:t>el Instituto Nacional de Transparencia, Acceso a la Información y Protección de Datos Personales,</w:t>
      </w:r>
      <w:r w:rsidRPr="00A94409">
        <w:rPr>
          <w:rFonts w:ascii="Palatino Linotype" w:hAnsi="Palatino Linotype"/>
          <w:bCs/>
          <w:color w:val="000000"/>
          <w:sz w:val="24"/>
          <w:lang w:val="es-ES_tradnl"/>
        </w:rPr>
        <w:t xml:space="preserve"> que dice:</w:t>
      </w:r>
      <w:r w:rsidRPr="00A94409">
        <w:rPr>
          <w:rFonts w:ascii="Palatino Linotype" w:hAnsi="Palatino Linotype"/>
          <w:b/>
          <w:bCs/>
          <w:color w:val="000000"/>
          <w:sz w:val="24"/>
          <w:lang w:val="es-ES_tradnl"/>
        </w:rPr>
        <w:t xml:space="preserve"> </w:t>
      </w:r>
    </w:p>
    <w:p w14:paraId="1C9852A0" w14:textId="77777777" w:rsidR="00870B9E" w:rsidRPr="00A94409" w:rsidRDefault="00870B9E" w:rsidP="00870B9E">
      <w:pPr>
        <w:spacing w:line="360" w:lineRule="auto"/>
        <w:ind w:left="851" w:right="850"/>
        <w:jc w:val="both"/>
        <w:rPr>
          <w:rFonts w:ascii="Palatino Linotype" w:hAnsi="Palatino Linotype" w:cs="Arial"/>
          <w:color w:val="000000"/>
          <w:sz w:val="2"/>
          <w:lang w:val="es-ES_tradnl"/>
        </w:rPr>
      </w:pPr>
    </w:p>
    <w:p w14:paraId="1AA68863" w14:textId="77777777" w:rsidR="00870B9E" w:rsidRPr="00A94409" w:rsidRDefault="00870B9E" w:rsidP="00870B9E">
      <w:pPr>
        <w:spacing w:line="276" w:lineRule="auto"/>
        <w:ind w:left="567" w:right="567"/>
        <w:jc w:val="both"/>
        <w:rPr>
          <w:rFonts w:ascii="Palatino Linotype" w:hAnsi="Palatino Linotype" w:cs="Arial"/>
          <w:i/>
          <w:color w:val="000000"/>
          <w:lang w:val="es-ES_tradnl"/>
        </w:rPr>
      </w:pPr>
      <w:r w:rsidRPr="00A94409">
        <w:rPr>
          <w:rFonts w:ascii="Palatino Linotype" w:hAnsi="Palatino Linotype" w:cs="Arial"/>
          <w:i/>
          <w:color w:val="000000"/>
          <w:lang w:val="es-ES_tradnl"/>
        </w:rPr>
        <w:t>“</w:t>
      </w:r>
      <w:r w:rsidRPr="00A94409">
        <w:rPr>
          <w:rFonts w:ascii="Palatino Linotype" w:hAnsi="Palatino Linotype" w:cs="Arial"/>
          <w:b/>
          <w:i/>
          <w:color w:val="000000"/>
          <w:lang w:val="es-ES_tradnl"/>
        </w:rPr>
        <w:t>No existe obligación de elaborar documentos ad hoc para atender las solicitudes de acceso a la información.</w:t>
      </w:r>
      <w:r w:rsidRPr="00A94409">
        <w:rPr>
          <w:rFonts w:ascii="Palatino Linotype" w:hAnsi="Palatino Linotype" w:cs="Arial"/>
          <w:i/>
          <w:color w:val="000000"/>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1CB03A7" w14:textId="77777777" w:rsidR="00870B9E" w:rsidRPr="00A94409" w:rsidRDefault="00870B9E" w:rsidP="00870B9E">
      <w:pPr>
        <w:spacing w:line="276" w:lineRule="auto"/>
        <w:ind w:left="567" w:right="567"/>
        <w:jc w:val="both"/>
        <w:rPr>
          <w:rFonts w:ascii="Palatino Linotype" w:hAnsi="Palatino Linotype" w:cs="Arial"/>
          <w:i/>
          <w:color w:val="000000"/>
          <w:sz w:val="2"/>
          <w:lang w:val="es-ES_tradnl"/>
        </w:rPr>
      </w:pPr>
    </w:p>
    <w:p w14:paraId="6457CE4B" w14:textId="77777777" w:rsidR="00870B9E" w:rsidRPr="00A94409" w:rsidRDefault="00870B9E" w:rsidP="00870B9E">
      <w:pPr>
        <w:spacing w:after="0" w:line="276" w:lineRule="auto"/>
        <w:ind w:left="567" w:right="567"/>
        <w:jc w:val="both"/>
        <w:rPr>
          <w:rFonts w:ascii="Palatino Linotype" w:hAnsi="Palatino Linotype" w:cs="Arial"/>
          <w:i/>
          <w:color w:val="000000"/>
          <w:sz w:val="20"/>
          <w:lang w:val="es-ES_tradnl"/>
        </w:rPr>
      </w:pPr>
      <w:r w:rsidRPr="00A94409">
        <w:rPr>
          <w:rFonts w:ascii="Palatino Linotype" w:hAnsi="Palatino Linotype" w:cs="Arial"/>
          <w:i/>
          <w:color w:val="000000"/>
          <w:sz w:val="20"/>
          <w:lang w:val="es-ES_tradnl"/>
        </w:rPr>
        <w:t xml:space="preserve">Resoluciones: </w:t>
      </w:r>
    </w:p>
    <w:p w14:paraId="17920F08" w14:textId="77777777" w:rsidR="00870B9E" w:rsidRPr="00A94409" w:rsidRDefault="00870B9E" w:rsidP="00870B9E">
      <w:pPr>
        <w:spacing w:after="0" w:line="276" w:lineRule="auto"/>
        <w:ind w:left="567" w:right="567"/>
        <w:jc w:val="both"/>
        <w:rPr>
          <w:rFonts w:ascii="Palatino Linotype" w:hAnsi="Palatino Linotype" w:cs="Arial"/>
          <w:i/>
          <w:color w:val="000000"/>
          <w:sz w:val="20"/>
          <w:lang w:val="es-ES_tradnl"/>
        </w:rPr>
      </w:pPr>
      <w:r w:rsidRPr="00A94409">
        <w:rPr>
          <w:rFonts w:ascii="Palatino Linotype" w:hAnsi="Palatino Linotype" w:cs="Arial"/>
          <w:i/>
          <w:color w:val="000000"/>
          <w:sz w:val="20"/>
          <w:lang w:val="es-ES_tradnl"/>
        </w:rPr>
        <w:sym w:font="Symbol" w:char="F0B7"/>
      </w:r>
      <w:r w:rsidRPr="00A94409">
        <w:rPr>
          <w:rFonts w:ascii="Palatino Linotype" w:hAnsi="Palatino Linotype" w:cs="Arial"/>
          <w:i/>
          <w:color w:val="000000"/>
          <w:sz w:val="20"/>
          <w:lang w:val="es-ES_tradnl"/>
        </w:rPr>
        <w:t xml:space="preserve"> RRA 0050/16. Instituto Nacional para la Evaluación de la Educación. 13 julio de 2016. Por unanimidad. Comisionado Ponente: Francisco Javier Acuña Llamas.</w:t>
      </w:r>
    </w:p>
    <w:p w14:paraId="59577315" w14:textId="77777777" w:rsidR="00870B9E" w:rsidRPr="00A94409" w:rsidRDefault="00870B9E" w:rsidP="00870B9E">
      <w:pPr>
        <w:spacing w:after="0" w:line="276" w:lineRule="auto"/>
        <w:ind w:left="567" w:right="567"/>
        <w:jc w:val="both"/>
        <w:rPr>
          <w:rFonts w:ascii="Palatino Linotype" w:hAnsi="Palatino Linotype" w:cs="Arial"/>
          <w:i/>
          <w:color w:val="000000"/>
          <w:sz w:val="20"/>
          <w:lang w:val="es-ES_tradnl"/>
        </w:rPr>
      </w:pPr>
      <w:r w:rsidRPr="00A94409">
        <w:rPr>
          <w:rFonts w:ascii="Palatino Linotype" w:hAnsi="Palatino Linotype" w:cs="Arial"/>
          <w:i/>
          <w:color w:val="000000"/>
          <w:sz w:val="20"/>
          <w:lang w:val="es-ES_tradnl"/>
        </w:rPr>
        <w:sym w:font="Symbol" w:char="F0B7"/>
      </w:r>
      <w:r w:rsidRPr="00A94409">
        <w:rPr>
          <w:rFonts w:ascii="Palatino Linotype" w:hAnsi="Palatino Linotype" w:cs="Arial"/>
          <w:i/>
          <w:color w:val="000000"/>
          <w:sz w:val="20"/>
          <w:lang w:val="es-ES_tradnl"/>
        </w:rPr>
        <w:t xml:space="preserve"> RRA 0310/16. Instituto Nacional de Transparencia, Acceso a la Información y Protección de Datos Personales. 10 de agosto de 2016. Por unanimidad. Comisionada Ponente. Areli Cano Guadiana. </w:t>
      </w:r>
    </w:p>
    <w:p w14:paraId="0AE6C9EB" w14:textId="77777777" w:rsidR="00870B9E" w:rsidRPr="00A94409" w:rsidRDefault="00870B9E" w:rsidP="00870B9E">
      <w:pPr>
        <w:spacing w:before="240" w:after="240" w:line="276" w:lineRule="auto"/>
        <w:ind w:left="567" w:right="567"/>
        <w:jc w:val="both"/>
        <w:rPr>
          <w:rFonts w:ascii="Palatino Linotype" w:hAnsi="Palatino Linotype" w:cs="Arial"/>
          <w:i/>
          <w:color w:val="000000"/>
          <w:sz w:val="20"/>
          <w:lang w:val="es-ES_tradnl"/>
        </w:rPr>
      </w:pPr>
      <w:r w:rsidRPr="00A94409">
        <w:rPr>
          <w:rFonts w:ascii="Palatino Linotype" w:hAnsi="Palatino Linotype" w:cs="Arial"/>
          <w:i/>
          <w:color w:val="000000"/>
          <w:sz w:val="20"/>
          <w:lang w:val="es-ES_tradnl"/>
        </w:rPr>
        <w:lastRenderedPageBreak/>
        <w:sym w:font="Symbol" w:char="F0B7"/>
      </w:r>
      <w:r w:rsidRPr="00A94409">
        <w:rPr>
          <w:rFonts w:ascii="Palatino Linotype" w:hAnsi="Palatino Linotype" w:cs="Arial"/>
          <w:i/>
          <w:color w:val="000000"/>
          <w:sz w:val="20"/>
          <w:lang w:val="es-ES_tradnl"/>
        </w:rPr>
        <w:t xml:space="preserve"> RRA 1889/16. Secretaría de Hacienda y Crédito Público. 05 de octubre de 2016. Por unanimidad. Comisionada Ponente. Ximena Puente de la Mora.”</w:t>
      </w:r>
    </w:p>
    <w:p w14:paraId="52DCF551" w14:textId="77777777" w:rsidR="00870B9E" w:rsidRPr="00A94409" w:rsidRDefault="00870B9E" w:rsidP="00870B9E">
      <w:pPr>
        <w:spacing w:line="360" w:lineRule="auto"/>
        <w:jc w:val="both"/>
        <w:rPr>
          <w:rFonts w:ascii="Palatino Linotype" w:hAnsi="Palatino Linotype" w:cs="Arial"/>
          <w:color w:val="000000" w:themeColor="text1"/>
          <w:sz w:val="24"/>
          <w:lang w:val="es-ES_tradnl"/>
        </w:rPr>
      </w:pPr>
      <w:r w:rsidRPr="00A94409">
        <w:rPr>
          <w:rFonts w:ascii="Palatino Linotype" w:hAnsi="Palatino Linotype" w:cs="Arial"/>
          <w:color w:val="000000" w:themeColor="text1"/>
          <w:sz w:val="24"/>
          <w:lang w:val="es-ES_tradnl"/>
        </w:rPr>
        <w:t xml:space="preserve">Asimismo, el artículo 24, de la Ley de la materia, dispone que los Sujetos Obligados sólo proporcionarán la información pública que </w:t>
      </w:r>
      <w:r w:rsidRPr="00A94409">
        <w:rPr>
          <w:rFonts w:ascii="Palatino Linotype" w:hAnsi="Palatino Linotype" w:cs="Arial"/>
          <w:sz w:val="24"/>
          <w:lang w:val="es-ES_tradnl"/>
        </w:rPr>
        <w:t>generen</w:t>
      </w:r>
      <w:r w:rsidRPr="00A94409">
        <w:rPr>
          <w:rFonts w:ascii="Palatino Linotype" w:hAnsi="Palatino Linotype" w:cs="Arial"/>
          <w:color w:val="000000" w:themeColor="text1"/>
          <w:sz w:val="24"/>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1BC0011" w14:textId="77777777" w:rsidR="00870B9E" w:rsidRPr="00A94409" w:rsidRDefault="00870B9E" w:rsidP="00870B9E">
      <w:pPr>
        <w:spacing w:line="360" w:lineRule="auto"/>
        <w:jc w:val="both"/>
        <w:rPr>
          <w:rFonts w:ascii="Palatino Linotype" w:hAnsi="Palatino Linotype" w:cs="Arial"/>
          <w:color w:val="000000" w:themeColor="text1"/>
          <w:sz w:val="24"/>
          <w:lang w:val="es-ES_tradnl"/>
        </w:rPr>
      </w:pPr>
      <w:r w:rsidRPr="00A94409">
        <w:rPr>
          <w:rFonts w:ascii="Palatino Linotype" w:hAnsi="Palatino Linotype" w:cs="Arial"/>
          <w:color w:val="000000" w:themeColor="text1"/>
          <w:sz w:val="24"/>
          <w:lang w:val="es-ES_tradnl"/>
        </w:rPr>
        <w:t xml:space="preserve">En esta misma tesitura, es de subrayar que el derecho de acceso a la información pública, consiste en que la información solicitada conste en un soporte documental en cualquiera de sus formas, a saber: </w:t>
      </w:r>
      <w:r w:rsidRPr="00A94409">
        <w:rPr>
          <w:rFonts w:ascii="Palatino Linotype" w:hAnsi="Palatino Linotype" w:cs="Arial"/>
          <w:sz w:val="24"/>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94409">
        <w:rPr>
          <w:rFonts w:ascii="Palatino Linotype" w:hAnsi="Palatino Linotype" w:cs="Arial"/>
          <w:color w:val="000000" w:themeColor="text1"/>
          <w:sz w:val="24"/>
          <w:lang w:val="es-ES_tradnl"/>
        </w:rPr>
        <w:t xml:space="preserve">; los que, </w:t>
      </w:r>
      <w:r w:rsidRPr="00A94409">
        <w:rPr>
          <w:rFonts w:ascii="Palatino Linotype" w:hAnsi="Palatino Linotype" w:cs="Arial"/>
          <w:sz w:val="24"/>
          <w:lang w:val="es-ES_tradnl"/>
        </w:rPr>
        <w:t>podrán estar en cualquier medio, sea escrito, impreso, sonoro, visual, electrónico, informático u holográfico</w:t>
      </w:r>
      <w:r w:rsidRPr="00A94409">
        <w:rPr>
          <w:rFonts w:ascii="Palatino Linotype" w:hAnsi="Palatino Linotype" w:cs="Arial"/>
          <w:color w:val="000000" w:themeColor="text1"/>
          <w:sz w:val="24"/>
          <w:lang w:val="es-ES_tradnl"/>
        </w:rPr>
        <w:t xml:space="preserve">, de conformidad con el artículo 3, fracción XI de la Ley de la materia, el cual dispone lo siguiente: </w:t>
      </w:r>
    </w:p>
    <w:p w14:paraId="245B4546" w14:textId="77777777" w:rsidR="00870B9E" w:rsidRPr="00A94409" w:rsidRDefault="00870B9E" w:rsidP="00870B9E">
      <w:pPr>
        <w:spacing w:line="276" w:lineRule="auto"/>
        <w:ind w:left="567" w:right="567"/>
        <w:jc w:val="both"/>
        <w:rPr>
          <w:rFonts w:ascii="Palatino Linotype" w:hAnsi="Palatino Linotype" w:cs="Arial"/>
          <w:i/>
          <w:color w:val="000000"/>
          <w:lang w:val="es-ES_tradnl"/>
        </w:rPr>
      </w:pPr>
      <w:r w:rsidRPr="00A94409">
        <w:rPr>
          <w:rFonts w:ascii="Palatino Linotype" w:hAnsi="Palatino Linotype" w:cs="Arial"/>
          <w:i/>
          <w:color w:val="000000"/>
          <w:lang w:val="es-ES_tradnl"/>
        </w:rPr>
        <w:t>“</w:t>
      </w:r>
      <w:r w:rsidRPr="00A94409">
        <w:rPr>
          <w:rFonts w:ascii="Palatino Linotype" w:hAnsi="Palatino Linotype" w:cs="Arial"/>
          <w:b/>
          <w:i/>
          <w:color w:val="000000"/>
          <w:lang w:val="es-ES_tradnl"/>
        </w:rPr>
        <w:t xml:space="preserve">Artículo 3. </w:t>
      </w:r>
      <w:r w:rsidRPr="00A94409">
        <w:rPr>
          <w:rFonts w:ascii="Palatino Linotype" w:hAnsi="Palatino Linotype" w:cs="Arial"/>
          <w:i/>
          <w:color w:val="000000"/>
          <w:lang w:val="es-ES_tradnl"/>
        </w:rPr>
        <w:t>Para los efectos de la presente Ley se entenderá por:</w:t>
      </w:r>
    </w:p>
    <w:p w14:paraId="5C7D51A4" w14:textId="77777777" w:rsidR="00870B9E" w:rsidRPr="00A94409" w:rsidRDefault="00870B9E" w:rsidP="00870B9E">
      <w:pPr>
        <w:spacing w:line="276" w:lineRule="auto"/>
        <w:ind w:left="567" w:right="567"/>
        <w:jc w:val="both"/>
        <w:rPr>
          <w:rFonts w:ascii="Palatino Linotype" w:hAnsi="Palatino Linotype" w:cs="Arial"/>
          <w:i/>
          <w:color w:val="000000"/>
          <w:lang w:val="es-ES_tradnl"/>
        </w:rPr>
      </w:pPr>
      <w:r w:rsidRPr="00A94409">
        <w:rPr>
          <w:rFonts w:ascii="Palatino Linotype" w:hAnsi="Palatino Linotype" w:cs="Arial"/>
          <w:i/>
          <w:color w:val="000000"/>
          <w:lang w:val="es-ES_tradnl"/>
        </w:rPr>
        <w:t>(…)</w:t>
      </w:r>
    </w:p>
    <w:p w14:paraId="4EB1EECC" w14:textId="77777777" w:rsidR="00870B9E" w:rsidRPr="00A94409" w:rsidRDefault="00870B9E" w:rsidP="00870B9E">
      <w:pPr>
        <w:spacing w:line="276" w:lineRule="auto"/>
        <w:ind w:left="567" w:right="567"/>
        <w:jc w:val="both"/>
        <w:rPr>
          <w:rFonts w:ascii="Palatino Linotype" w:hAnsi="Palatino Linotype" w:cs="Arial"/>
          <w:i/>
          <w:color w:val="000000"/>
          <w:lang w:val="es-ES_tradnl"/>
        </w:rPr>
      </w:pPr>
      <w:r w:rsidRPr="00A94409">
        <w:rPr>
          <w:rFonts w:ascii="Palatino Linotype" w:hAnsi="Palatino Linotype" w:cs="Arial"/>
          <w:b/>
          <w:i/>
          <w:color w:val="000000"/>
          <w:lang w:val="es-ES_tradnl"/>
        </w:rPr>
        <w:t>XI. Documento:</w:t>
      </w:r>
      <w:r w:rsidRPr="00A94409">
        <w:rPr>
          <w:rFonts w:ascii="Palatino Linotype" w:hAnsi="Palatino Linotype" w:cs="Arial"/>
          <w:i/>
          <w:color w:val="000000"/>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2E95E" w14:textId="77777777" w:rsidR="00870B9E" w:rsidRPr="00A94409" w:rsidRDefault="00870B9E" w:rsidP="00870B9E">
      <w:pPr>
        <w:spacing w:before="240" w:line="276" w:lineRule="auto"/>
        <w:ind w:left="567" w:right="567"/>
        <w:jc w:val="both"/>
        <w:rPr>
          <w:rFonts w:ascii="Palatino Linotype" w:hAnsi="Palatino Linotype" w:cs="Arial"/>
          <w:i/>
          <w:color w:val="000000"/>
          <w:lang w:val="es-ES_tradnl"/>
        </w:rPr>
      </w:pPr>
      <w:r w:rsidRPr="00A94409">
        <w:rPr>
          <w:rFonts w:ascii="Palatino Linotype" w:hAnsi="Palatino Linotype" w:cs="Arial"/>
          <w:i/>
          <w:color w:val="000000"/>
          <w:lang w:val="es-ES_tradnl"/>
        </w:rPr>
        <w:t>(…)”</w:t>
      </w:r>
    </w:p>
    <w:p w14:paraId="255F8C26" w14:textId="77777777" w:rsidR="00870B9E" w:rsidRPr="00A94409" w:rsidRDefault="00870B9E" w:rsidP="00870B9E">
      <w:pPr>
        <w:autoSpaceDE w:val="0"/>
        <w:autoSpaceDN w:val="0"/>
        <w:adjustRightInd w:val="0"/>
        <w:spacing w:before="240" w:line="360" w:lineRule="auto"/>
        <w:jc w:val="both"/>
        <w:rPr>
          <w:rFonts w:ascii="Palatino Linotype" w:hAnsi="Palatino Linotype" w:cs="Arial"/>
          <w:sz w:val="24"/>
          <w:lang w:val="es-ES_tradnl"/>
        </w:rPr>
      </w:pPr>
      <w:r w:rsidRPr="00A94409">
        <w:rPr>
          <w:rFonts w:ascii="Palatino Linotype" w:hAnsi="Palatino Linotype" w:cs="Arial"/>
          <w:sz w:val="24"/>
          <w:lang w:val="es-ES_tradnl"/>
        </w:rPr>
        <w:lastRenderedPageBreak/>
        <w:t xml:space="preserve">Siendo aplicable el Criterio </w:t>
      </w:r>
      <w:r w:rsidRPr="00A94409">
        <w:rPr>
          <w:rFonts w:ascii="Palatino Linotype" w:hAnsi="Palatino Linotype" w:cs="Arial"/>
          <w:bCs/>
          <w:sz w:val="24"/>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94409">
        <w:rPr>
          <w:rFonts w:ascii="Palatino Linotype" w:hAnsi="Palatino Linotype" w:cs="Arial"/>
          <w:sz w:val="24"/>
          <w:lang w:val="es-ES_tradnl"/>
        </w:rPr>
        <w:t>cuyo rubro y texto dispone:</w:t>
      </w:r>
    </w:p>
    <w:p w14:paraId="5D904ED7" w14:textId="77777777" w:rsidR="00870B9E" w:rsidRPr="00A94409" w:rsidRDefault="00870B9E" w:rsidP="00870B9E">
      <w:pPr>
        <w:spacing w:line="276" w:lineRule="auto"/>
        <w:ind w:left="567" w:right="567"/>
        <w:jc w:val="both"/>
        <w:rPr>
          <w:rFonts w:ascii="Palatino Linotype" w:hAnsi="Palatino Linotype" w:cs="Arial"/>
          <w:b/>
          <w:i/>
          <w:lang w:val="es-ES_tradnl" w:eastAsia="es-MX"/>
        </w:rPr>
      </w:pPr>
      <w:r w:rsidRPr="00A94409">
        <w:rPr>
          <w:rFonts w:ascii="Palatino Linotype" w:hAnsi="Palatino Linotype" w:cs="Arial"/>
          <w:b/>
          <w:lang w:val="es-ES_tradnl" w:eastAsia="es-MX"/>
        </w:rPr>
        <w:t>“</w:t>
      </w:r>
      <w:r w:rsidRPr="00A94409">
        <w:rPr>
          <w:rFonts w:ascii="Palatino Linotype" w:hAnsi="Palatino Linotype" w:cs="Arial"/>
          <w:b/>
          <w:i/>
          <w:lang w:val="es-ES_tradnl" w:eastAsia="es-MX"/>
        </w:rPr>
        <w:t>CRITERIO 0002-11</w:t>
      </w:r>
    </w:p>
    <w:p w14:paraId="042D816D" w14:textId="77777777" w:rsidR="00870B9E" w:rsidRPr="00A94409" w:rsidRDefault="00870B9E" w:rsidP="00870B9E">
      <w:pPr>
        <w:spacing w:before="240" w:line="276" w:lineRule="auto"/>
        <w:ind w:left="567" w:right="567"/>
        <w:jc w:val="both"/>
        <w:rPr>
          <w:rFonts w:ascii="Palatino Linotype" w:hAnsi="Palatino Linotype" w:cs="Arial"/>
          <w:i/>
          <w:lang w:val="es-ES_tradnl" w:eastAsia="es-MX"/>
        </w:rPr>
      </w:pPr>
      <w:r w:rsidRPr="00A94409">
        <w:rPr>
          <w:rFonts w:ascii="Palatino Linotype" w:hAnsi="Palatino Linotype" w:cs="Arial"/>
          <w:b/>
          <w:i/>
          <w:lang w:val="es-ES_tradnl" w:eastAsia="es-MX"/>
        </w:rPr>
        <w:t xml:space="preserve">INFORMACIÓN PÚBLICA, CONCEPTO DE, EN MATERIA DE TRANSPARENCIA. INTERPRETACIÓN SISTEMÁTICA DE LOS ARTÍCULOS 2°, FRACCIÓN </w:t>
      </w:r>
      <w:r w:rsidRPr="00A94409">
        <w:rPr>
          <w:rFonts w:ascii="Palatino Linotype" w:hAnsi="Palatino Linotype" w:cs="Arial"/>
          <w:b/>
          <w:bCs/>
          <w:i/>
          <w:lang w:val="es-ES_tradnl" w:eastAsia="es-MX"/>
        </w:rPr>
        <w:t xml:space="preserve">V, XV, Y XVI, </w:t>
      </w:r>
      <w:r w:rsidRPr="00A94409">
        <w:rPr>
          <w:rFonts w:ascii="Palatino Linotype" w:hAnsi="Palatino Linotype" w:cs="Arial"/>
          <w:b/>
          <w:i/>
          <w:lang w:val="es-ES_tradnl" w:eastAsia="es-MX"/>
        </w:rPr>
        <w:t>3°, 4°, 11 Y 41.</w:t>
      </w:r>
      <w:r w:rsidRPr="00A94409">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CAD49D" w14:textId="77777777" w:rsidR="00870B9E" w:rsidRPr="00A94409" w:rsidRDefault="00870B9E" w:rsidP="00870B9E">
      <w:pPr>
        <w:spacing w:line="276" w:lineRule="auto"/>
        <w:ind w:left="567" w:right="567"/>
        <w:jc w:val="both"/>
        <w:rPr>
          <w:rFonts w:ascii="Palatino Linotype" w:hAnsi="Palatino Linotype" w:cs="Arial"/>
          <w:i/>
          <w:lang w:val="es-ES_tradnl" w:eastAsia="es-MX"/>
        </w:rPr>
      </w:pPr>
      <w:r w:rsidRPr="00A94409">
        <w:rPr>
          <w:rFonts w:ascii="Palatino Linotype" w:hAnsi="Palatino Linotype" w:cs="Arial"/>
          <w:i/>
          <w:lang w:val="es-ES_tradnl" w:eastAsia="es-MX"/>
        </w:rPr>
        <w:t>En consecuencia el acceso a la información se refiere a que se cumplan cualquiera de los siguientes tres supuestos:</w:t>
      </w:r>
    </w:p>
    <w:p w14:paraId="604B76B5" w14:textId="77777777" w:rsidR="00870B9E" w:rsidRPr="00A94409" w:rsidRDefault="00870B9E" w:rsidP="00870B9E">
      <w:pPr>
        <w:spacing w:line="276" w:lineRule="auto"/>
        <w:ind w:left="567" w:right="567"/>
        <w:jc w:val="both"/>
        <w:rPr>
          <w:rFonts w:ascii="Palatino Linotype" w:hAnsi="Palatino Linotype" w:cs="Arial"/>
          <w:b/>
          <w:i/>
          <w:lang w:val="es-ES_tradnl" w:eastAsia="es-MX"/>
        </w:rPr>
      </w:pPr>
      <w:r w:rsidRPr="00A94409">
        <w:rPr>
          <w:rFonts w:ascii="Palatino Linotype" w:hAnsi="Palatino Linotype" w:cs="Arial"/>
          <w:b/>
          <w:i/>
          <w:lang w:val="es-ES_tradnl" w:eastAsia="es-MX"/>
        </w:rPr>
        <w:t>1) Que se trate de información registrada en cualquier soporte documental, que en ejercicio de las atribuciones conferidas, sea generada por los Sujetos Obligados;</w:t>
      </w:r>
    </w:p>
    <w:p w14:paraId="4A15D844" w14:textId="77777777" w:rsidR="00870B9E" w:rsidRPr="00A94409" w:rsidRDefault="00870B9E" w:rsidP="00870B9E">
      <w:pPr>
        <w:spacing w:line="276" w:lineRule="auto"/>
        <w:ind w:left="567" w:right="567"/>
        <w:jc w:val="both"/>
        <w:rPr>
          <w:rFonts w:ascii="Palatino Linotype" w:hAnsi="Palatino Linotype" w:cs="Arial"/>
          <w:i/>
          <w:lang w:val="es-ES_tradnl" w:eastAsia="es-MX"/>
        </w:rPr>
      </w:pPr>
      <w:r w:rsidRPr="00A94409">
        <w:rPr>
          <w:rFonts w:ascii="Palatino Linotype" w:hAnsi="Palatino Linotype" w:cs="Arial"/>
          <w:i/>
          <w:lang w:val="es-ES_tradnl" w:eastAsia="es-MX"/>
        </w:rPr>
        <w:t>2) Que se trate de información registrada en cualquier soporte documental, que en ejercicio de las atribuciones conferidas, sea administrada por los Sujetos Obligados, y</w:t>
      </w:r>
    </w:p>
    <w:p w14:paraId="431692BA" w14:textId="77777777" w:rsidR="00870B9E" w:rsidRPr="00A94409" w:rsidRDefault="00870B9E" w:rsidP="00870B9E">
      <w:pPr>
        <w:spacing w:line="276" w:lineRule="auto"/>
        <w:ind w:left="567" w:right="567"/>
        <w:jc w:val="both"/>
        <w:rPr>
          <w:rFonts w:ascii="Palatino Linotype" w:hAnsi="Palatino Linotype" w:cs="Arial"/>
          <w:i/>
          <w:lang w:val="es-ES_tradnl" w:eastAsia="es-MX"/>
        </w:rPr>
      </w:pPr>
      <w:r w:rsidRPr="00A94409">
        <w:rPr>
          <w:rFonts w:ascii="Palatino Linotype" w:hAnsi="Palatino Linotype" w:cs="Arial"/>
          <w:i/>
          <w:lang w:val="es-ES_tradnl" w:eastAsia="es-MX"/>
        </w:rPr>
        <w:t>3) Que se trate de información registrada en cualquier soporte documental, que en ejercicio de las atribuciones conferidas, se encuentre en posesión de los Sujetos Obligados.” (SIC)</w:t>
      </w:r>
    </w:p>
    <w:p w14:paraId="5407C43C" w14:textId="77777777" w:rsidR="00870B9E" w:rsidRPr="00A94409" w:rsidRDefault="00870B9E" w:rsidP="00870B9E">
      <w:pPr>
        <w:tabs>
          <w:tab w:val="left" w:pos="851"/>
        </w:tabs>
        <w:spacing w:before="240" w:line="360" w:lineRule="auto"/>
        <w:ind w:left="567" w:right="567"/>
        <w:jc w:val="right"/>
        <w:rPr>
          <w:rFonts w:ascii="Palatino Linotype" w:hAnsi="Palatino Linotype" w:cs="Arial"/>
          <w:i/>
          <w:sz w:val="20"/>
          <w:lang w:val="es-ES_tradnl" w:eastAsia="es-MX"/>
        </w:rPr>
      </w:pPr>
      <w:r w:rsidRPr="00A94409">
        <w:rPr>
          <w:rFonts w:ascii="Palatino Linotype" w:hAnsi="Palatino Linotype" w:cs="Arial"/>
          <w:lang w:val="es-ES_tradnl" w:eastAsia="es-MX"/>
        </w:rPr>
        <w:tab/>
      </w:r>
      <w:r w:rsidRPr="00A94409">
        <w:rPr>
          <w:rFonts w:ascii="Palatino Linotype" w:hAnsi="Palatino Linotype" w:cs="Arial"/>
          <w:i/>
          <w:sz w:val="20"/>
          <w:lang w:val="es-ES_tradnl" w:eastAsia="es-MX"/>
        </w:rPr>
        <w:t>(Énfasis Añadido)</w:t>
      </w:r>
    </w:p>
    <w:p w14:paraId="49000365" w14:textId="77777777" w:rsidR="00870B9E" w:rsidRPr="00A94409" w:rsidRDefault="00870B9E" w:rsidP="00870B9E">
      <w:pPr>
        <w:autoSpaceDE w:val="0"/>
        <w:autoSpaceDN w:val="0"/>
        <w:adjustRightInd w:val="0"/>
        <w:spacing w:before="240" w:line="360" w:lineRule="auto"/>
        <w:jc w:val="both"/>
        <w:rPr>
          <w:rFonts w:ascii="Palatino Linotype" w:eastAsia="Times New Roman" w:hAnsi="Palatino Linotype" w:cs="Arial"/>
          <w:sz w:val="24"/>
          <w:szCs w:val="24"/>
          <w:lang w:val="es-ES_tradnl" w:eastAsia="es-ES"/>
        </w:rPr>
      </w:pPr>
      <w:r w:rsidRPr="00A94409">
        <w:rPr>
          <w:rFonts w:ascii="Palatino Linotype" w:eastAsia="Times New Roman" w:hAnsi="Palatino Linotype" w:cs="Arial"/>
          <w:sz w:val="24"/>
          <w:szCs w:val="24"/>
          <w:lang w:val="es-ES_tradnl" w:eastAsia="es-ES"/>
        </w:rPr>
        <w:t>Bajo tales consideraciones, cobra aplicación lo establecido por el artículo 6 apartado A fracciones I, II y III de la Constitución Política de los Estados Unidos Mexicanos que a la letra señalan:</w:t>
      </w:r>
    </w:p>
    <w:p w14:paraId="208F0C1D" w14:textId="77777777" w:rsidR="00870B9E" w:rsidRPr="00A94409" w:rsidRDefault="00870B9E" w:rsidP="00870B9E">
      <w:pPr>
        <w:spacing w:before="240" w:line="276" w:lineRule="auto"/>
        <w:ind w:left="708" w:right="567"/>
        <w:jc w:val="both"/>
        <w:rPr>
          <w:rFonts w:ascii="Palatino Linotype" w:hAnsi="Palatino Linotype" w:cs="Arial"/>
          <w:bCs/>
          <w:i/>
          <w:lang w:val="es-ES_tradnl"/>
        </w:rPr>
      </w:pPr>
      <w:r w:rsidRPr="00A94409">
        <w:rPr>
          <w:rFonts w:ascii="Palatino Linotype" w:hAnsi="Palatino Linotype" w:cs="Arial"/>
          <w:bCs/>
          <w:i/>
          <w:lang w:val="es-ES_tradnl"/>
        </w:rPr>
        <w:t>“</w:t>
      </w:r>
      <w:r w:rsidRPr="00A94409">
        <w:rPr>
          <w:rFonts w:ascii="Palatino Linotype" w:hAnsi="Palatino Linotype" w:cs="Arial"/>
          <w:b/>
          <w:bCs/>
          <w:i/>
          <w:lang w:val="es-ES_tradnl"/>
        </w:rPr>
        <w:t>Artículo 6o</w:t>
      </w:r>
      <w:r w:rsidRPr="00A94409">
        <w:rPr>
          <w:rFonts w:ascii="Palatino Linotype" w:hAnsi="Palatino Linotype" w:cs="Arial"/>
          <w:bCs/>
          <w:i/>
          <w:lang w:val="es-ES_tradnl"/>
        </w:rPr>
        <w:t>.</w:t>
      </w:r>
    </w:p>
    <w:p w14:paraId="2AD086E2" w14:textId="77777777" w:rsidR="00870B9E" w:rsidRPr="00A94409" w:rsidRDefault="00870B9E" w:rsidP="00870B9E">
      <w:pPr>
        <w:spacing w:before="240" w:line="276" w:lineRule="auto"/>
        <w:ind w:left="708" w:right="567"/>
        <w:jc w:val="both"/>
        <w:rPr>
          <w:rFonts w:ascii="Palatino Linotype" w:hAnsi="Palatino Linotype" w:cs="Arial"/>
          <w:bCs/>
          <w:i/>
          <w:lang w:val="es-ES_tradnl"/>
        </w:rPr>
      </w:pPr>
      <w:r w:rsidRPr="00A94409">
        <w:rPr>
          <w:rFonts w:ascii="Palatino Linotype" w:hAnsi="Palatino Linotype" w:cs="Arial"/>
          <w:bCs/>
          <w:i/>
          <w:lang w:val="es-ES_tradnl"/>
        </w:rPr>
        <w:lastRenderedPageBreak/>
        <w:t>[...]</w:t>
      </w:r>
    </w:p>
    <w:p w14:paraId="1CD3577B" w14:textId="77777777" w:rsidR="00870B9E" w:rsidRPr="00A94409" w:rsidRDefault="00870B9E" w:rsidP="00870B9E">
      <w:pPr>
        <w:spacing w:before="240" w:line="276" w:lineRule="auto"/>
        <w:ind w:left="708" w:right="567"/>
        <w:jc w:val="both"/>
        <w:rPr>
          <w:rFonts w:ascii="Palatino Linotype" w:eastAsia="Times New Roman" w:hAnsi="Palatino Linotype" w:cs="Arial"/>
          <w:bCs/>
          <w:i/>
          <w:color w:val="000000"/>
          <w:lang w:val="es-ES_tradnl" w:eastAsia="es-MX"/>
        </w:rPr>
      </w:pPr>
      <w:r w:rsidRPr="00A94409">
        <w:rPr>
          <w:rFonts w:ascii="Palatino Linotype" w:eastAsia="Times New Roman" w:hAnsi="Palatino Linotype" w:cs="Arial"/>
          <w:bCs/>
          <w:i/>
          <w:color w:val="000000"/>
          <w:lang w:val="es-ES_tradnl" w:eastAsia="es-MX"/>
        </w:rPr>
        <w:t xml:space="preserve">A. </w:t>
      </w:r>
      <w:r w:rsidRPr="00A94409">
        <w:rPr>
          <w:rFonts w:ascii="Palatino Linotype" w:hAnsi="Palatino Linotype"/>
          <w:bCs/>
          <w:i/>
          <w:lang w:val="es-ES_tradnl"/>
        </w:rPr>
        <w:t>Para el ejercicio del derecho de acceso a la información, la Federación y las entidades federativas, en el ámbito de sus respectivas competencias, se regirán por los siguientes principios y bases:</w:t>
      </w:r>
      <w:r w:rsidRPr="00A94409">
        <w:rPr>
          <w:rFonts w:ascii="Palatino Linotype" w:eastAsia="Times New Roman" w:hAnsi="Palatino Linotype" w:cs="Arial"/>
          <w:bCs/>
          <w:i/>
          <w:color w:val="000000"/>
          <w:lang w:val="es-ES_tradnl" w:eastAsia="es-MX"/>
        </w:rPr>
        <w:t> </w:t>
      </w:r>
    </w:p>
    <w:p w14:paraId="72CFD92E" w14:textId="77777777" w:rsidR="00870B9E" w:rsidRPr="00A94409" w:rsidRDefault="00870B9E" w:rsidP="00870B9E">
      <w:pPr>
        <w:spacing w:before="240" w:line="276" w:lineRule="auto"/>
        <w:ind w:left="708" w:right="567"/>
        <w:jc w:val="both"/>
        <w:rPr>
          <w:rFonts w:ascii="Palatino Linotype" w:eastAsia="Times New Roman" w:hAnsi="Palatino Linotype" w:cs="Arial"/>
          <w:bCs/>
          <w:i/>
          <w:color w:val="000000"/>
          <w:lang w:val="es-ES_tradnl" w:eastAsia="es-MX"/>
        </w:rPr>
      </w:pPr>
      <w:r w:rsidRPr="00A94409">
        <w:rPr>
          <w:rFonts w:ascii="Palatino Linotype" w:eastAsia="Times New Roman" w:hAnsi="Palatino Linotype" w:cs="Arial"/>
          <w:bCs/>
          <w:i/>
          <w:color w:val="000000"/>
          <w:lang w:val="es-ES_tradnl"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A94409">
        <w:rPr>
          <w:rFonts w:ascii="Palatino Linotype" w:eastAsia="Times New Roman" w:hAnsi="Palatino Linotype" w:cs="Arial"/>
          <w:bCs/>
          <w:i/>
          <w:color w:val="000000"/>
          <w:lang w:val="es-ES_tradnl" w:eastAsia="es-MX"/>
        </w:rPr>
        <w:t>sic</w:t>
      </w:r>
      <w:proofErr w:type="gramEnd"/>
      <w:r w:rsidRPr="00A94409">
        <w:rPr>
          <w:rFonts w:ascii="Palatino Linotype" w:eastAsia="Times New Roman" w:hAnsi="Palatino Linotype" w:cs="Arial"/>
          <w:bCs/>
          <w:i/>
          <w:color w:val="000000"/>
          <w:lang w:val="es-ES_tradnl" w:eastAsia="es-MX"/>
        </w:rPr>
        <w:t>)</w:t>
      </w:r>
    </w:p>
    <w:p w14:paraId="2ACBAF33" w14:textId="77777777" w:rsidR="00870B9E" w:rsidRPr="00A94409" w:rsidRDefault="00870B9E" w:rsidP="00870B9E">
      <w:pPr>
        <w:autoSpaceDE w:val="0"/>
        <w:autoSpaceDN w:val="0"/>
        <w:adjustRightInd w:val="0"/>
        <w:spacing w:before="240" w:line="360" w:lineRule="auto"/>
        <w:jc w:val="both"/>
        <w:rPr>
          <w:rFonts w:ascii="Palatino Linotype" w:hAnsi="Palatino Linotype" w:cs="Arial"/>
          <w:sz w:val="24"/>
          <w:szCs w:val="24"/>
          <w:lang w:val="es-ES_tradnl"/>
        </w:rPr>
      </w:pPr>
      <w:r w:rsidRPr="00A94409">
        <w:rPr>
          <w:rFonts w:ascii="Palatino Linotype" w:hAnsi="Palatino Linotype" w:cs="Arial"/>
          <w:sz w:val="24"/>
          <w:szCs w:val="24"/>
          <w:lang w:val="es-ES_tradn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630D0A2C" w14:textId="77777777" w:rsidR="00870B9E" w:rsidRPr="00A94409" w:rsidRDefault="00870B9E" w:rsidP="00870B9E">
      <w:pPr>
        <w:autoSpaceDE w:val="0"/>
        <w:autoSpaceDN w:val="0"/>
        <w:adjustRightInd w:val="0"/>
        <w:spacing w:before="240" w:line="360" w:lineRule="auto"/>
        <w:jc w:val="both"/>
        <w:rPr>
          <w:rFonts w:ascii="Palatino Linotype" w:hAnsi="Palatino Linotype" w:cs="Arial"/>
          <w:sz w:val="24"/>
          <w:szCs w:val="24"/>
          <w:lang w:val="es-ES_tradnl"/>
        </w:rPr>
      </w:pPr>
      <w:r w:rsidRPr="00A94409">
        <w:rPr>
          <w:rFonts w:ascii="Palatino Linotype" w:hAnsi="Palatino Linotype" w:cs="Arial"/>
          <w:sz w:val="24"/>
          <w:szCs w:val="24"/>
          <w:lang w:val="es-ES_tradnl"/>
        </w:rPr>
        <w:t xml:space="preserve">Lo anterior se concatena con lo establecido en los artículos 4 y 12 de la Ley de Transparencia y Acceso a la Información Pública del Estado de México y Municipios, los cuales esgrimen: </w:t>
      </w:r>
    </w:p>
    <w:p w14:paraId="064C213D" w14:textId="77777777" w:rsidR="00870B9E" w:rsidRPr="00A94409" w:rsidRDefault="00870B9E" w:rsidP="00870B9E">
      <w:pPr>
        <w:autoSpaceDE w:val="0"/>
        <w:autoSpaceDN w:val="0"/>
        <w:adjustRightInd w:val="0"/>
        <w:spacing w:before="240" w:line="276" w:lineRule="auto"/>
        <w:ind w:left="567" w:right="567"/>
        <w:jc w:val="both"/>
        <w:rPr>
          <w:rFonts w:ascii="Palatino Linotype" w:hAnsi="Palatino Linotype"/>
          <w:i/>
          <w:lang w:val="es-ES_tradnl"/>
        </w:rPr>
      </w:pPr>
      <w:r w:rsidRPr="00A94409">
        <w:rPr>
          <w:rFonts w:ascii="Palatino Linotype" w:hAnsi="Palatino Linotype"/>
          <w:b/>
          <w:i/>
          <w:lang w:val="es-ES_tradnl"/>
        </w:rPr>
        <w:t>“Artículo 4.</w:t>
      </w:r>
      <w:r w:rsidRPr="00A94409">
        <w:rPr>
          <w:rFonts w:ascii="Palatino Linotype" w:hAnsi="Palatino Linotype"/>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1A3E02D" w14:textId="77777777" w:rsidR="00870B9E" w:rsidRPr="00A94409" w:rsidRDefault="00870B9E" w:rsidP="00870B9E">
      <w:pPr>
        <w:autoSpaceDE w:val="0"/>
        <w:autoSpaceDN w:val="0"/>
        <w:adjustRightInd w:val="0"/>
        <w:spacing w:before="240" w:line="276" w:lineRule="auto"/>
        <w:ind w:left="567" w:right="567"/>
        <w:jc w:val="both"/>
        <w:rPr>
          <w:rFonts w:ascii="Palatino Linotype" w:hAnsi="Palatino Linotype" w:cs="Arial"/>
          <w:i/>
          <w:lang w:val="es-ES_tradnl"/>
        </w:rPr>
      </w:pPr>
      <w:r w:rsidRPr="00A94409">
        <w:rPr>
          <w:rFonts w:ascii="Palatino Linotype" w:hAnsi="Palatino Linotype"/>
          <w:b/>
          <w:i/>
          <w:u w:val="single"/>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w:t>
      </w:r>
      <w:r w:rsidRPr="00A94409">
        <w:rPr>
          <w:rFonts w:ascii="Palatino Linotype" w:hAnsi="Palatino Linotype"/>
          <w:b/>
          <w:i/>
          <w:u w:val="single"/>
          <w:lang w:val="es-ES_tradnl"/>
        </w:rPr>
        <w:lastRenderedPageBreak/>
        <w:t>tratados internacionales de los que el Estado mexicano sea parte, en la Ley General, la presente Ley y demás disposiciones de la materia, privilegiando el principio de máxima publicidad de la información</w:t>
      </w:r>
      <w:r w:rsidRPr="00A94409">
        <w:rPr>
          <w:rFonts w:ascii="Palatino Linotype" w:hAnsi="Palatino Linotype"/>
          <w:i/>
          <w:u w:val="single"/>
          <w:lang w:val="es-ES_tradnl"/>
        </w:rPr>
        <w:t>.</w:t>
      </w:r>
      <w:r w:rsidRPr="00A94409">
        <w:rPr>
          <w:rFonts w:ascii="Palatino Linotype" w:hAnsi="Palatino Linotype"/>
          <w:i/>
          <w:lang w:val="es-ES_tradnl"/>
        </w:rPr>
        <w:t xml:space="preserve"> Solo podrá ser clasificada excepcionalmente como reservada temporalmente por razones de interés público, en los términos de las causas legítimas y estrictamente necesarias previstas por esta Ley.</w:t>
      </w:r>
    </w:p>
    <w:p w14:paraId="76DBEEF8" w14:textId="77777777" w:rsidR="00870B9E" w:rsidRPr="00A94409" w:rsidRDefault="00870B9E" w:rsidP="00870B9E">
      <w:pPr>
        <w:autoSpaceDE w:val="0"/>
        <w:autoSpaceDN w:val="0"/>
        <w:adjustRightInd w:val="0"/>
        <w:spacing w:before="240" w:line="276" w:lineRule="auto"/>
        <w:ind w:left="567" w:right="567"/>
        <w:jc w:val="both"/>
        <w:rPr>
          <w:rFonts w:ascii="Palatino Linotype" w:hAnsi="Palatino Linotype" w:cs="Arial"/>
          <w:i/>
          <w:lang w:val="es-ES_tradnl"/>
        </w:rPr>
      </w:pPr>
      <w:r w:rsidRPr="00A94409">
        <w:rPr>
          <w:rFonts w:ascii="Palatino Linotype" w:hAnsi="Palatino Linotype" w:cs="Arial"/>
          <w:i/>
          <w:lang w:val="es-ES_tradnl"/>
        </w:rPr>
        <w:t>[…]</w:t>
      </w:r>
    </w:p>
    <w:p w14:paraId="6E6B8B04" w14:textId="77777777" w:rsidR="00870B9E" w:rsidRPr="00A94409" w:rsidRDefault="00870B9E" w:rsidP="00870B9E">
      <w:pPr>
        <w:autoSpaceDE w:val="0"/>
        <w:autoSpaceDN w:val="0"/>
        <w:adjustRightInd w:val="0"/>
        <w:spacing w:before="240" w:line="276" w:lineRule="auto"/>
        <w:ind w:left="567" w:right="567"/>
        <w:jc w:val="both"/>
        <w:rPr>
          <w:rFonts w:ascii="Palatino Linotype" w:hAnsi="Palatino Linotype"/>
          <w:i/>
          <w:lang w:val="es-ES_tradnl"/>
        </w:rPr>
      </w:pPr>
      <w:r w:rsidRPr="00A94409">
        <w:rPr>
          <w:rFonts w:ascii="Palatino Linotype" w:hAnsi="Palatino Linotype"/>
          <w:b/>
          <w:i/>
          <w:lang w:val="es-ES_tradnl"/>
        </w:rPr>
        <w:t>Artículo 12.</w:t>
      </w:r>
      <w:r w:rsidRPr="00A94409">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2EC0FA16" w14:textId="77777777" w:rsidR="00870B9E" w:rsidRPr="00A94409" w:rsidRDefault="00870B9E" w:rsidP="00870B9E">
      <w:pPr>
        <w:autoSpaceDE w:val="0"/>
        <w:autoSpaceDN w:val="0"/>
        <w:adjustRightInd w:val="0"/>
        <w:spacing w:before="240" w:line="276" w:lineRule="auto"/>
        <w:ind w:left="567" w:right="567"/>
        <w:jc w:val="both"/>
        <w:rPr>
          <w:rFonts w:ascii="Palatino Linotype" w:hAnsi="Palatino Linotype"/>
          <w:b/>
          <w:i/>
          <w:u w:val="single"/>
          <w:lang w:val="es-ES_tradnl"/>
        </w:rPr>
      </w:pPr>
      <w:r w:rsidRPr="00A94409">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46EB8B" w14:textId="77777777" w:rsidR="00870B9E" w:rsidRPr="00A94409" w:rsidRDefault="00870B9E" w:rsidP="00870B9E">
      <w:pPr>
        <w:autoSpaceDE w:val="0"/>
        <w:autoSpaceDN w:val="0"/>
        <w:adjustRightInd w:val="0"/>
        <w:spacing w:before="240" w:line="360" w:lineRule="auto"/>
        <w:jc w:val="both"/>
        <w:rPr>
          <w:rFonts w:ascii="Palatino Linotype" w:hAnsi="Palatino Linotype" w:cs="Arial"/>
          <w:sz w:val="24"/>
          <w:szCs w:val="24"/>
          <w:lang w:val="es-ES_tradnl"/>
        </w:rPr>
      </w:pPr>
      <w:r w:rsidRPr="00A94409">
        <w:rPr>
          <w:rFonts w:ascii="Palatino Linotype" w:hAnsi="Palatino Linotype" w:cs="Arial"/>
          <w:sz w:val="24"/>
          <w:szCs w:val="24"/>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07C70D44" w14:textId="110B9A02" w:rsidR="00870B9E" w:rsidRPr="00E92575" w:rsidRDefault="00870B9E" w:rsidP="001C7266">
      <w:pPr>
        <w:spacing w:before="240" w:after="240" w:line="360" w:lineRule="auto"/>
        <w:ind w:right="51"/>
        <w:jc w:val="both"/>
        <w:rPr>
          <w:rFonts w:ascii="Palatino Linotype" w:hAnsi="Palatino Linotype" w:cs="Arial"/>
          <w:iCs/>
          <w:sz w:val="24"/>
          <w:szCs w:val="24"/>
          <w:lang w:val="es-ES_tradnl"/>
        </w:rPr>
      </w:pPr>
      <w:r w:rsidRPr="001C7266">
        <w:rPr>
          <w:rFonts w:ascii="Palatino Linotype" w:hAnsi="Palatino Linotype" w:cs="Arial"/>
          <w:iCs/>
          <w:sz w:val="24"/>
          <w:szCs w:val="24"/>
          <w:lang w:val="es-ES_tradnl"/>
        </w:rPr>
        <w:t xml:space="preserve">Luego entonces, es menester recordar que el particular </w:t>
      </w:r>
      <w:r w:rsidR="005679A7" w:rsidRPr="001C7266">
        <w:rPr>
          <w:rFonts w:ascii="Palatino Linotype" w:hAnsi="Palatino Linotype" w:cs="Arial"/>
          <w:iCs/>
          <w:sz w:val="24"/>
          <w:szCs w:val="24"/>
          <w:lang w:val="es-ES_tradnl"/>
        </w:rPr>
        <w:t xml:space="preserve">solicitó del programa “Seguridad del Patrimonio Familiar”, </w:t>
      </w:r>
      <w:r w:rsidRPr="009B75F4">
        <w:rPr>
          <w:rFonts w:ascii="Palatino Linotype" w:hAnsi="Palatino Linotype" w:cs="Arial"/>
          <w:iCs/>
          <w:sz w:val="24"/>
          <w:szCs w:val="24"/>
          <w:lang w:val="es-ES_tradnl"/>
        </w:rPr>
        <w:t>lo siguiente:</w:t>
      </w:r>
    </w:p>
    <w:p w14:paraId="7A548E0A" w14:textId="2ACC8075" w:rsidR="00870B9E" w:rsidRDefault="00D319D3" w:rsidP="00D319D3">
      <w:pPr>
        <w:pStyle w:val="Prrafodelista"/>
        <w:numPr>
          <w:ilvl w:val="0"/>
          <w:numId w:val="11"/>
        </w:numPr>
        <w:spacing w:before="240" w:after="240" w:line="360" w:lineRule="auto"/>
        <w:ind w:right="51"/>
        <w:jc w:val="both"/>
        <w:rPr>
          <w:rFonts w:ascii="Palatino Linotype" w:hAnsi="Palatino Linotype" w:cs="Arial"/>
          <w:iCs/>
          <w:lang w:val="es-ES_tradnl"/>
        </w:rPr>
      </w:pPr>
      <w:r w:rsidRPr="00D319D3">
        <w:rPr>
          <w:rFonts w:ascii="Palatino Linotype" w:hAnsi="Palatino Linotype" w:cs="Arial"/>
          <w:iCs/>
          <w:lang w:val="es-ES_tradnl"/>
        </w:rPr>
        <w:t xml:space="preserve">Los 2, 171 expedientes recibidos por la Tesorería Municipal y por los cuales previo cumplimiento del artículo 344 del Código Financiero del Estado de </w:t>
      </w:r>
      <w:r w:rsidRPr="00D319D3">
        <w:rPr>
          <w:rFonts w:ascii="Palatino Linotype" w:hAnsi="Palatino Linotype" w:cs="Arial"/>
          <w:iCs/>
          <w:lang w:val="es-ES_tradnl"/>
        </w:rPr>
        <w:lastRenderedPageBreak/>
        <w:t>México y Municipios y a los Lineamientos de Control Financiero y Administrativo para las Entidades Fiscalizables Municipales del Estado de México emitidos por el OSFEM, este ente público expidió los respectivos cheques a los beneficiarios del Programa en comento.</w:t>
      </w:r>
    </w:p>
    <w:p w14:paraId="09AF5EF3" w14:textId="46A7A55A" w:rsidR="00D319D3" w:rsidRDefault="00D319D3" w:rsidP="00D319D3">
      <w:pPr>
        <w:pStyle w:val="Prrafodelista"/>
        <w:numPr>
          <w:ilvl w:val="0"/>
          <w:numId w:val="11"/>
        </w:numPr>
        <w:spacing w:before="240" w:after="240" w:line="360" w:lineRule="auto"/>
        <w:ind w:right="51"/>
        <w:jc w:val="both"/>
        <w:rPr>
          <w:rFonts w:ascii="Palatino Linotype" w:hAnsi="Palatino Linotype" w:cs="Arial"/>
          <w:iCs/>
          <w:lang w:val="es-ES_tradnl"/>
        </w:rPr>
      </w:pPr>
      <w:r w:rsidRPr="00D319D3">
        <w:rPr>
          <w:rFonts w:ascii="Palatino Linotype" w:hAnsi="Palatino Linotype" w:cs="Arial"/>
          <w:iCs/>
          <w:lang w:val="es-ES_tradnl"/>
        </w:rPr>
        <w:t>La Póliza de Cheque de cada uno de los 2, 171 beneficiarios del programa “Seguridad del Patrimonio Familiar”.</w:t>
      </w:r>
    </w:p>
    <w:p w14:paraId="287F583F" w14:textId="3BC462C8" w:rsidR="00D319D3" w:rsidRDefault="00D319D3" w:rsidP="00D319D3">
      <w:pPr>
        <w:pStyle w:val="Prrafodelista"/>
        <w:numPr>
          <w:ilvl w:val="0"/>
          <w:numId w:val="11"/>
        </w:numPr>
        <w:spacing w:before="240" w:after="240" w:line="360" w:lineRule="auto"/>
        <w:ind w:right="51"/>
        <w:jc w:val="both"/>
        <w:rPr>
          <w:rFonts w:ascii="Palatino Linotype" w:hAnsi="Palatino Linotype" w:cs="Arial"/>
          <w:iCs/>
          <w:lang w:val="es-ES_tradnl"/>
        </w:rPr>
      </w:pPr>
      <w:r w:rsidRPr="00D319D3">
        <w:rPr>
          <w:rFonts w:ascii="Palatino Linotype" w:hAnsi="Palatino Linotype" w:cs="Arial"/>
          <w:iCs/>
          <w:lang w:val="es-ES_tradnl"/>
        </w:rPr>
        <w:t>Los medios magnétic</w:t>
      </w:r>
      <w:r w:rsidR="005679A7">
        <w:rPr>
          <w:rFonts w:ascii="Palatino Linotype" w:hAnsi="Palatino Linotype" w:cs="Arial"/>
          <w:iCs/>
          <w:lang w:val="es-ES_tradnl"/>
        </w:rPr>
        <w:t>o</w:t>
      </w:r>
      <w:r w:rsidRPr="00D319D3">
        <w:rPr>
          <w:rFonts w:ascii="Palatino Linotype" w:hAnsi="Palatino Linotype" w:cs="Arial"/>
          <w:iCs/>
          <w:lang w:val="es-ES_tradnl"/>
        </w:rPr>
        <w:t>s, proporcionados por el “Ejido”, según Cl</w:t>
      </w:r>
      <w:r w:rsidR="005679A7">
        <w:rPr>
          <w:rFonts w:ascii="Palatino Linotype" w:hAnsi="Palatino Linotype" w:cs="Arial"/>
          <w:iCs/>
          <w:lang w:val="es-ES_tradnl"/>
        </w:rPr>
        <w:t>á</w:t>
      </w:r>
      <w:r w:rsidRPr="00D319D3">
        <w:rPr>
          <w:rFonts w:ascii="Palatino Linotype" w:hAnsi="Palatino Linotype" w:cs="Arial"/>
          <w:iCs/>
          <w:lang w:val="es-ES_tradnl"/>
        </w:rPr>
        <w:t>usula D</w:t>
      </w:r>
      <w:r w:rsidR="005679A7">
        <w:rPr>
          <w:rFonts w:ascii="Palatino Linotype" w:hAnsi="Palatino Linotype" w:cs="Arial"/>
          <w:iCs/>
          <w:lang w:val="es-ES_tradnl"/>
        </w:rPr>
        <w:t>É</w:t>
      </w:r>
      <w:r w:rsidRPr="00D319D3">
        <w:rPr>
          <w:rFonts w:ascii="Palatino Linotype" w:hAnsi="Palatino Linotype" w:cs="Arial"/>
          <w:iCs/>
          <w:lang w:val="es-ES_tradnl"/>
        </w:rPr>
        <w:t xml:space="preserve">CIMA del Convenio mencionado, que deben contener la identificación de los solares urbanos de cada uno de los 2, 171 beneficiarios del programa “Seguridad del Patrimonio Familiar” para que sean incorporados al registro del Departamento de Catastro (Tesorería Municipal) del </w:t>
      </w:r>
      <w:r w:rsidR="005679A7">
        <w:rPr>
          <w:rFonts w:ascii="Palatino Linotype" w:hAnsi="Palatino Linotype" w:cs="Arial"/>
          <w:iCs/>
          <w:lang w:val="es-ES_tradnl"/>
        </w:rPr>
        <w:t>M</w:t>
      </w:r>
      <w:r w:rsidRPr="00D319D3">
        <w:rPr>
          <w:rFonts w:ascii="Palatino Linotype" w:hAnsi="Palatino Linotype" w:cs="Arial"/>
          <w:iCs/>
          <w:lang w:val="es-ES_tradnl"/>
        </w:rPr>
        <w:t>unicipio de Tlalnepantla de Baz, Estado de México.</w:t>
      </w:r>
    </w:p>
    <w:p w14:paraId="18DA1982" w14:textId="780E714A" w:rsidR="00870B9E" w:rsidRPr="00A94409" w:rsidRDefault="00870B9E" w:rsidP="00870B9E">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Por su parte, el sujeto obligado emitió respuesta mediante archivo electrónico denominado “</w:t>
      </w:r>
      <w:r w:rsidR="00B97083" w:rsidRPr="00B97083">
        <w:rPr>
          <w:rFonts w:ascii="Palatino Linotype" w:hAnsi="Palatino Linotype" w:cs="Arial"/>
          <w:iCs/>
          <w:sz w:val="24"/>
          <w:szCs w:val="24"/>
          <w:lang w:val="es-ES_tradnl"/>
        </w:rPr>
        <w:t>ACUERDO NOTIFICACIÓN SAIMEX 01022, 01023 y 01025.pdf</w:t>
      </w:r>
      <w:r w:rsidRPr="00A94409">
        <w:rPr>
          <w:rFonts w:ascii="Palatino Linotype" w:hAnsi="Palatino Linotype" w:cs="Arial"/>
          <w:iCs/>
          <w:sz w:val="24"/>
          <w:szCs w:val="24"/>
          <w:lang w:val="es-ES_tradnl"/>
        </w:rPr>
        <w:t xml:space="preserve">”, </w:t>
      </w:r>
      <w:r w:rsidR="005679A7">
        <w:rPr>
          <w:rFonts w:ascii="Palatino Linotype" w:hAnsi="Palatino Linotype" w:cs="Arial"/>
          <w:iCs/>
          <w:sz w:val="24"/>
          <w:szCs w:val="24"/>
          <w:lang w:val="es-ES_tradnl"/>
        </w:rPr>
        <w:t xml:space="preserve">el cual contiene </w:t>
      </w:r>
      <w:r w:rsidRPr="00A94409">
        <w:rPr>
          <w:rFonts w:ascii="Palatino Linotype" w:hAnsi="Palatino Linotype" w:cs="Arial"/>
          <w:iCs/>
          <w:sz w:val="24"/>
          <w:szCs w:val="24"/>
          <w:lang w:val="es-ES_tradnl"/>
        </w:rPr>
        <w:t>el siguiente documento:</w:t>
      </w:r>
    </w:p>
    <w:p w14:paraId="5EE34AB0" w14:textId="029FCA13" w:rsidR="004620FD" w:rsidRPr="004620FD" w:rsidRDefault="00B97083" w:rsidP="00B97083">
      <w:pPr>
        <w:pStyle w:val="Prrafodelista"/>
        <w:numPr>
          <w:ilvl w:val="0"/>
          <w:numId w:val="13"/>
        </w:numPr>
        <w:spacing w:before="240" w:after="240" w:line="360" w:lineRule="auto"/>
        <w:ind w:right="51"/>
        <w:jc w:val="both"/>
        <w:rPr>
          <w:rFonts w:ascii="Palatino Linotype" w:hAnsi="Palatino Linotype" w:cs="Arial"/>
          <w:b/>
          <w:bCs/>
          <w:iCs/>
          <w:lang w:val="es-ES_tradnl"/>
        </w:rPr>
      </w:pPr>
      <w:r w:rsidRPr="00B97083">
        <w:rPr>
          <w:rFonts w:ascii="Palatino Linotype" w:hAnsi="Palatino Linotype" w:cs="Arial"/>
          <w:b/>
          <w:bCs/>
          <w:iCs/>
          <w:lang w:val="es-ES_tradnl"/>
        </w:rPr>
        <w:t>ACUERDO NOTIFICACIÓN SAIMEX 01022, 01023 y 01025.pdf</w:t>
      </w:r>
      <w:r w:rsidR="00870B9E" w:rsidRPr="00A94409">
        <w:rPr>
          <w:rFonts w:ascii="Palatino Linotype" w:hAnsi="Palatino Linotype" w:cs="Arial"/>
          <w:b/>
          <w:bCs/>
          <w:iCs/>
          <w:lang w:val="es-ES_tradnl"/>
        </w:rPr>
        <w:t xml:space="preserve">: </w:t>
      </w:r>
      <w:r w:rsidR="00190500">
        <w:rPr>
          <w:rFonts w:ascii="Palatino Linotype" w:hAnsi="Palatino Linotype" w:cs="Arial"/>
          <w:bCs/>
          <w:iCs/>
          <w:lang w:val="es-ES_tradnl"/>
        </w:rPr>
        <w:t>Contiene el o</w:t>
      </w:r>
      <w:r w:rsidR="00870B9E" w:rsidRPr="00A94409">
        <w:rPr>
          <w:rFonts w:ascii="Palatino Linotype" w:hAnsi="Palatino Linotype" w:cs="Arial"/>
          <w:iCs/>
          <w:lang w:val="es-ES_tradnl"/>
        </w:rPr>
        <w:t>ficio</w:t>
      </w:r>
      <w:r w:rsidR="00190500">
        <w:rPr>
          <w:rFonts w:ascii="Palatino Linotype" w:hAnsi="Palatino Linotype" w:cs="Arial"/>
          <w:iCs/>
          <w:lang w:val="es-ES_tradnl"/>
        </w:rPr>
        <w:t xml:space="preserve"> número UTAIM/00225/2022, signado por </w:t>
      </w:r>
      <w:r w:rsidR="00870B9E" w:rsidRPr="00A94409">
        <w:rPr>
          <w:rFonts w:ascii="Palatino Linotype" w:hAnsi="Palatino Linotype" w:cs="Arial"/>
          <w:iCs/>
          <w:lang w:val="es-ES_tradnl"/>
        </w:rPr>
        <w:t>l</w:t>
      </w:r>
      <w:r w:rsidR="00190500">
        <w:rPr>
          <w:rFonts w:ascii="Palatino Linotype" w:hAnsi="Palatino Linotype" w:cs="Arial"/>
          <w:iCs/>
          <w:lang w:val="es-ES_tradnl"/>
        </w:rPr>
        <w:t>a</w:t>
      </w:r>
      <w:r w:rsidR="00870B9E" w:rsidRPr="00A94409">
        <w:rPr>
          <w:rFonts w:ascii="Palatino Linotype" w:hAnsi="Palatino Linotype" w:cs="Arial"/>
          <w:iCs/>
          <w:lang w:val="es-ES_tradnl"/>
        </w:rPr>
        <w:t xml:space="preserve"> Titular de la Unidad de Transparencia, mediante el cual señala que</w:t>
      </w:r>
      <w:r w:rsidR="008B2D85">
        <w:rPr>
          <w:rFonts w:ascii="Palatino Linotype" w:hAnsi="Palatino Linotype" w:cs="Arial"/>
          <w:iCs/>
          <w:lang w:val="es-ES_tradnl"/>
        </w:rPr>
        <w:t xml:space="preserve"> derivado de la búsqueda realizada por las Dependencias del Ayuntamiento de Tlalnepantla de Baz, la Tesorería manifestó en respuesta que, por lo que respecta a los puntos 1 y 2, después de la </w:t>
      </w:r>
      <w:r w:rsidR="000959CF">
        <w:rPr>
          <w:rFonts w:ascii="Palatino Linotype" w:hAnsi="Palatino Linotype" w:cs="Arial"/>
          <w:iCs/>
          <w:lang w:val="es-ES_tradnl"/>
        </w:rPr>
        <w:t xml:space="preserve">búsqueda realizada, se observó que, los expedientes contenidos en sus archivos suman un aproximado de 97,020 fojas de todos los expedientes, por lo que se deberá solicitar el cobro de la información al solicitante, con la finalidad </w:t>
      </w:r>
      <w:r w:rsidR="000959CF">
        <w:rPr>
          <w:rFonts w:ascii="Palatino Linotype" w:hAnsi="Palatino Linotype" w:cs="Arial"/>
          <w:iCs/>
          <w:lang w:val="es-ES_tradnl"/>
        </w:rPr>
        <w:lastRenderedPageBreak/>
        <w:t>de realizar el procesamiento de la información mediante escaneo y digitalizaci</w:t>
      </w:r>
      <w:r w:rsidR="00083D53">
        <w:rPr>
          <w:rFonts w:ascii="Palatino Linotype" w:hAnsi="Palatino Linotype" w:cs="Arial"/>
          <w:iCs/>
          <w:lang w:val="es-ES_tradnl"/>
        </w:rPr>
        <w:t>ón, de conformidad con el artículo 148 fracción V, del Código Financiero del Estado de México</w:t>
      </w:r>
      <w:r w:rsidR="00B0679E">
        <w:rPr>
          <w:rFonts w:ascii="Palatino Linotype" w:hAnsi="Palatino Linotype" w:cs="Arial"/>
          <w:iCs/>
          <w:lang w:val="es-ES_tradnl"/>
        </w:rPr>
        <w:t xml:space="preserve"> </w:t>
      </w:r>
      <w:r w:rsidR="00083D53">
        <w:rPr>
          <w:rFonts w:ascii="Palatino Linotype" w:hAnsi="Palatino Linotype" w:cs="Arial"/>
          <w:iCs/>
          <w:lang w:val="es-ES_tradnl"/>
        </w:rPr>
        <w:t>y M</w:t>
      </w:r>
      <w:r w:rsidR="00B0679E">
        <w:rPr>
          <w:rFonts w:ascii="Palatino Linotype" w:hAnsi="Palatino Linotype" w:cs="Arial"/>
          <w:iCs/>
          <w:lang w:val="es-ES_tradnl"/>
        </w:rPr>
        <w:t>unicipios</w:t>
      </w:r>
      <w:r w:rsidR="005679A7">
        <w:rPr>
          <w:rFonts w:ascii="Palatino Linotype" w:hAnsi="Palatino Linotype" w:cs="Arial"/>
          <w:iCs/>
          <w:lang w:val="es-ES_tradnl"/>
        </w:rPr>
        <w:t>. A</w:t>
      </w:r>
      <w:r w:rsidR="00B0679E">
        <w:rPr>
          <w:rFonts w:ascii="Palatino Linotype" w:hAnsi="Palatino Linotype" w:cs="Arial"/>
          <w:iCs/>
          <w:lang w:val="es-ES_tradnl"/>
        </w:rPr>
        <w:t>simismo, se precis</w:t>
      </w:r>
      <w:r w:rsidR="005679A7">
        <w:rPr>
          <w:rFonts w:ascii="Palatino Linotype" w:hAnsi="Palatino Linotype" w:cs="Arial"/>
          <w:iCs/>
          <w:lang w:val="es-ES_tradnl"/>
        </w:rPr>
        <w:t>ó</w:t>
      </w:r>
      <w:r w:rsidR="00B0679E">
        <w:rPr>
          <w:rFonts w:ascii="Palatino Linotype" w:hAnsi="Palatino Linotype" w:cs="Arial"/>
          <w:iCs/>
          <w:lang w:val="es-ES_tradnl"/>
        </w:rPr>
        <w:t xml:space="preserve"> que no es humanamente posible realizar la revisión de las 97,020 fojas en los términos concebidos</w:t>
      </w:r>
      <w:r w:rsidR="0097161F">
        <w:rPr>
          <w:rFonts w:ascii="Palatino Linotype" w:hAnsi="Palatino Linotype" w:cs="Arial"/>
          <w:iCs/>
          <w:lang w:val="es-ES_tradnl"/>
        </w:rPr>
        <w:t xml:space="preserve">, toda vez que deberán ser revisados foja por foja, ya que pudieran </w:t>
      </w:r>
      <w:r w:rsidR="004902B2">
        <w:rPr>
          <w:rFonts w:ascii="Palatino Linotype" w:hAnsi="Palatino Linotype" w:cs="Arial"/>
          <w:iCs/>
          <w:lang w:val="es-ES_tradnl"/>
        </w:rPr>
        <w:t xml:space="preserve">contener datos personales de personas físicas identificables, misma que tendría que resguardarse, a través del </w:t>
      </w:r>
      <w:proofErr w:type="spellStart"/>
      <w:r w:rsidR="004902B2">
        <w:rPr>
          <w:rFonts w:ascii="Palatino Linotype" w:hAnsi="Palatino Linotype" w:cs="Arial"/>
          <w:iCs/>
          <w:lang w:val="es-ES_tradnl"/>
        </w:rPr>
        <w:t>testado</w:t>
      </w:r>
      <w:proofErr w:type="spellEnd"/>
      <w:r w:rsidR="004902B2">
        <w:rPr>
          <w:rFonts w:ascii="Palatino Linotype" w:hAnsi="Palatino Linotype" w:cs="Arial"/>
          <w:iCs/>
          <w:lang w:val="es-ES_tradnl"/>
        </w:rPr>
        <w:t xml:space="preserve"> y a su vez someter a la aprobación del Comité de Transparencia</w:t>
      </w:r>
      <w:r w:rsidR="005679A7">
        <w:rPr>
          <w:rFonts w:ascii="Palatino Linotype" w:hAnsi="Palatino Linotype" w:cs="Arial"/>
          <w:iCs/>
          <w:lang w:val="es-ES_tradnl"/>
        </w:rPr>
        <w:t>. D</w:t>
      </w:r>
      <w:r w:rsidR="004902B2">
        <w:rPr>
          <w:rFonts w:ascii="Palatino Linotype" w:hAnsi="Palatino Linotype" w:cs="Arial"/>
          <w:iCs/>
          <w:lang w:val="es-ES_tradnl"/>
        </w:rPr>
        <w:t>el mismo modo, manifest</w:t>
      </w:r>
      <w:r w:rsidR="005679A7">
        <w:rPr>
          <w:rFonts w:ascii="Palatino Linotype" w:hAnsi="Palatino Linotype" w:cs="Arial"/>
          <w:iCs/>
          <w:lang w:val="es-ES_tradnl"/>
        </w:rPr>
        <w:t>ó</w:t>
      </w:r>
      <w:r w:rsidR="004902B2">
        <w:rPr>
          <w:rFonts w:ascii="Palatino Linotype" w:hAnsi="Palatino Linotype" w:cs="Arial"/>
          <w:iCs/>
          <w:lang w:val="es-ES_tradnl"/>
        </w:rPr>
        <w:t xml:space="preserve"> encontrarse en temporada de cobro del impuesto predial, lo que </w:t>
      </w:r>
      <w:r w:rsidR="004620FD">
        <w:rPr>
          <w:rFonts w:ascii="Palatino Linotype" w:hAnsi="Palatino Linotype" w:cs="Arial"/>
          <w:iCs/>
          <w:lang w:val="es-ES_tradnl"/>
        </w:rPr>
        <w:t>impide contar con el personal para su revisión, ante la magnitud de volumen de la información.</w:t>
      </w:r>
    </w:p>
    <w:p w14:paraId="02115E15" w14:textId="04D15B87" w:rsidR="00870B9E" w:rsidRPr="00393F3D" w:rsidRDefault="00870B9E" w:rsidP="00393F3D">
      <w:pPr>
        <w:spacing w:before="240" w:after="240" w:line="360" w:lineRule="auto"/>
        <w:ind w:left="360" w:right="51"/>
        <w:jc w:val="both"/>
        <w:rPr>
          <w:rFonts w:ascii="Palatino Linotype" w:hAnsi="Palatino Linotype" w:cs="Arial"/>
          <w:b/>
          <w:bCs/>
          <w:iCs/>
          <w:lang w:val="es-ES_tradnl"/>
        </w:rPr>
      </w:pPr>
    </w:p>
    <w:p w14:paraId="5C7C32B7" w14:textId="2E41CD5E" w:rsidR="00870B9E" w:rsidRPr="00A94409" w:rsidRDefault="00870B9E" w:rsidP="00870B9E">
      <w:pPr>
        <w:spacing w:before="240" w:after="240" w:line="360" w:lineRule="auto"/>
        <w:ind w:right="51"/>
        <w:jc w:val="both"/>
        <w:rPr>
          <w:rFonts w:ascii="Palatino Linotype" w:hAnsi="Palatino Linotype" w:cs="Arial"/>
          <w:iCs/>
          <w:sz w:val="24"/>
          <w:szCs w:val="24"/>
          <w:lang w:val="es-ES_tradnl"/>
        </w:rPr>
      </w:pPr>
      <w:r w:rsidRPr="00A94409">
        <w:rPr>
          <w:rFonts w:ascii="Palatino Linotype" w:hAnsi="Palatino Linotype" w:cs="Arial"/>
          <w:iCs/>
          <w:sz w:val="24"/>
          <w:szCs w:val="24"/>
          <w:lang w:val="es-ES_tradnl"/>
        </w:rPr>
        <w:t>Ante tal circunstancia, la parte recurrente aludió como razones o motivos de inconformidad:</w:t>
      </w:r>
      <w:r w:rsidRPr="00A94409">
        <w:rPr>
          <w:rFonts w:ascii="Palatino Linotype" w:hAnsi="Palatino Linotype" w:cs="Arial"/>
          <w:i/>
          <w:sz w:val="24"/>
          <w:szCs w:val="24"/>
          <w:lang w:val="es-ES_tradnl"/>
        </w:rPr>
        <w:t xml:space="preserve"> “</w:t>
      </w:r>
      <w:r w:rsidR="00393F3D" w:rsidRPr="00393F3D">
        <w:rPr>
          <w:rFonts w:ascii="Palatino Linotype" w:hAnsi="Palatino Linotype" w:cs="Arial"/>
          <w:i/>
          <w:sz w:val="24"/>
          <w:szCs w:val="24"/>
          <w:lang w:val="es-ES_tradnl"/>
        </w:rPr>
        <w:t xml:space="preserve">El sujeto obligado carece de sustento, </w:t>
      </w:r>
      <w:proofErr w:type="spellStart"/>
      <w:r w:rsidR="00393F3D" w:rsidRPr="00393F3D">
        <w:rPr>
          <w:rFonts w:ascii="Palatino Linotype" w:hAnsi="Palatino Linotype" w:cs="Arial"/>
          <w:i/>
          <w:sz w:val="24"/>
          <w:szCs w:val="24"/>
          <w:lang w:val="es-ES_tradnl"/>
        </w:rPr>
        <w:t>fundamentacion</w:t>
      </w:r>
      <w:proofErr w:type="spellEnd"/>
      <w:r w:rsidR="00393F3D" w:rsidRPr="00393F3D">
        <w:rPr>
          <w:rFonts w:ascii="Palatino Linotype" w:hAnsi="Palatino Linotype" w:cs="Arial"/>
          <w:i/>
          <w:sz w:val="24"/>
          <w:szCs w:val="24"/>
          <w:lang w:val="es-ES_tradnl"/>
        </w:rPr>
        <w:t xml:space="preserve"> y motivación en la respuesta enviada mediante el oficio UTAIM/00225/2022. La información </w:t>
      </w:r>
      <w:proofErr w:type="spellStart"/>
      <w:r w:rsidR="00393F3D" w:rsidRPr="00393F3D">
        <w:rPr>
          <w:rFonts w:ascii="Palatino Linotype" w:hAnsi="Palatino Linotype" w:cs="Arial"/>
          <w:i/>
          <w:sz w:val="24"/>
          <w:szCs w:val="24"/>
          <w:lang w:val="es-ES_tradnl"/>
        </w:rPr>
        <w:t>publica</w:t>
      </w:r>
      <w:proofErr w:type="spellEnd"/>
      <w:r w:rsidR="00393F3D" w:rsidRPr="00393F3D">
        <w:rPr>
          <w:rFonts w:ascii="Palatino Linotype" w:hAnsi="Palatino Linotype" w:cs="Arial"/>
          <w:i/>
          <w:sz w:val="24"/>
          <w:szCs w:val="24"/>
          <w:lang w:val="es-ES_tradnl"/>
        </w:rPr>
        <w:t xml:space="preserve"> solicitada ya </w:t>
      </w:r>
      <w:proofErr w:type="spellStart"/>
      <w:r w:rsidR="00393F3D" w:rsidRPr="00393F3D">
        <w:rPr>
          <w:rFonts w:ascii="Palatino Linotype" w:hAnsi="Palatino Linotype" w:cs="Arial"/>
          <w:i/>
          <w:sz w:val="24"/>
          <w:szCs w:val="24"/>
          <w:lang w:val="es-ES_tradnl"/>
        </w:rPr>
        <w:t>esta</w:t>
      </w:r>
      <w:proofErr w:type="spellEnd"/>
      <w:r w:rsidR="00393F3D" w:rsidRPr="00393F3D">
        <w:rPr>
          <w:rFonts w:ascii="Palatino Linotype" w:hAnsi="Palatino Linotype" w:cs="Arial"/>
          <w:i/>
          <w:sz w:val="24"/>
          <w:szCs w:val="24"/>
          <w:lang w:val="es-ES_tradnl"/>
        </w:rPr>
        <w:t xml:space="preserve"> digitalizada y escaneada, dado que es la que se envía mensualmente al Órgano Superior de Fiscalización (OSFEM).Omite entre otras consideraciones legales lo siguiente; 1.- El punto </w:t>
      </w:r>
      <w:proofErr w:type="spellStart"/>
      <w:r w:rsidR="00393F3D" w:rsidRPr="00393F3D">
        <w:rPr>
          <w:rFonts w:ascii="Palatino Linotype" w:hAnsi="Palatino Linotype" w:cs="Arial"/>
          <w:i/>
          <w:sz w:val="24"/>
          <w:szCs w:val="24"/>
          <w:lang w:val="es-ES_tradnl"/>
        </w:rPr>
        <w:t>numero</w:t>
      </w:r>
      <w:proofErr w:type="spellEnd"/>
      <w:r w:rsidR="00393F3D" w:rsidRPr="00393F3D">
        <w:rPr>
          <w:rFonts w:ascii="Palatino Linotype" w:hAnsi="Palatino Linotype" w:cs="Arial"/>
          <w:i/>
          <w:sz w:val="24"/>
          <w:szCs w:val="24"/>
          <w:lang w:val="es-ES_tradnl"/>
        </w:rPr>
        <w:t xml:space="preserve"> 4 y sus acuerdos de la orden del día de la Décima Cuarta sesión ordinaria del Ayuntamiento de Tlalnepantla de Baz, México, celebrada el 23 de mayo del año 2019, donde se aprueba destinar cinco mil quinientos pesos a cada uno de los beneficiarios de las colonias </w:t>
      </w:r>
      <w:proofErr w:type="spellStart"/>
      <w:r w:rsidR="00393F3D" w:rsidRPr="00393F3D">
        <w:rPr>
          <w:rFonts w:ascii="Palatino Linotype" w:hAnsi="Palatino Linotype" w:cs="Arial"/>
          <w:i/>
          <w:sz w:val="24"/>
          <w:szCs w:val="24"/>
          <w:lang w:val="es-ES_tradnl"/>
        </w:rPr>
        <w:t>Tepeolulco</w:t>
      </w:r>
      <w:proofErr w:type="spellEnd"/>
      <w:r w:rsidR="00393F3D" w:rsidRPr="00393F3D">
        <w:rPr>
          <w:rFonts w:ascii="Palatino Linotype" w:hAnsi="Palatino Linotype" w:cs="Arial"/>
          <w:i/>
          <w:sz w:val="24"/>
          <w:szCs w:val="24"/>
          <w:lang w:val="es-ES_tradnl"/>
        </w:rPr>
        <w:t xml:space="preserve">, San Isidro </w:t>
      </w:r>
      <w:proofErr w:type="spellStart"/>
      <w:r w:rsidR="00393F3D" w:rsidRPr="00393F3D">
        <w:rPr>
          <w:rFonts w:ascii="Palatino Linotype" w:hAnsi="Palatino Linotype" w:cs="Arial"/>
          <w:i/>
          <w:sz w:val="24"/>
          <w:szCs w:val="24"/>
          <w:lang w:val="es-ES_tradnl"/>
        </w:rPr>
        <w:t>Ixhuatepec</w:t>
      </w:r>
      <w:proofErr w:type="spellEnd"/>
      <w:r w:rsidR="00393F3D" w:rsidRPr="00393F3D">
        <w:rPr>
          <w:rFonts w:ascii="Palatino Linotype" w:hAnsi="Palatino Linotype" w:cs="Arial"/>
          <w:i/>
          <w:sz w:val="24"/>
          <w:szCs w:val="24"/>
          <w:lang w:val="es-ES_tradnl"/>
        </w:rPr>
        <w:t xml:space="preserve">, Rinconada San Isidro y partes altas de la colonia </w:t>
      </w:r>
      <w:proofErr w:type="spellStart"/>
      <w:r w:rsidR="00393F3D" w:rsidRPr="00393F3D">
        <w:rPr>
          <w:rFonts w:ascii="Palatino Linotype" w:hAnsi="Palatino Linotype" w:cs="Arial"/>
          <w:i/>
          <w:sz w:val="24"/>
          <w:szCs w:val="24"/>
          <w:lang w:val="es-ES_tradnl"/>
        </w:rPr>
        <w:t>Dr</w:t>
      </w:r>
      <w:proofErr w:type="spellEnd"/>
      <w:r w:rsidR="00393F3D" w:rsidRPr="00393F3D">
        <w:rPr>
          <w:rFonts w:ascii="Palatino Linotype" w:hAnsi="Palatino Linotype" w:cs="Arial"/>
          <w:i/>
          <w:sz w:val="24"/>
          <w:szCs w:val="24"/>
          <w:lang w:val="es-ES_tradnl"/>
        </w:rPr>
        <w:t xml:space="preserve">, Jorge </w:t>
      </w:r>
      <w:proofErr w:type="spellStart"/>
      <w:r w:rsidR="00393F3D" w:rsidRPr="00393F3D">
        <w:rPr>
          <w:rFonts w:ascii="Palatino Linotype" w:hAnsi="Palatino Linotype" w:cs="Arial"/>
          <w:i/>
          <w:sz w:val="24"/>
          <w:szCs w:val="24"/>
          <w:lang w:val="es-ES_tradnl"/>
        </w:rPr>
        <w:t>Jimenez</w:t>
      </w:r>
      <w:proofErr w:type="spellEnd"/>
      <w:r w:rsidR="00393F3D" w:rsidRPr="00393F3D">
        <w:rPr>
          <w:rFonts w:ascii="Palatino Linotype" w:hAnsi="Palatino Linotype" w:cs="Arial"/>
          <w:i/>
          <w:sz w:val="24"/>
          <w:szCs w:val="24"/>
          <w:lang w:val="es-ES_tradnl"/>
        </w:rPr>
        <w:t xml:space="preserve"> </w:t>
      </w:r>
      <w:proofErr w:type="spellStart"/>
      <w:r w:rsidR="00393F3D" w:rsidRPr="00393F3D">
        <w:rPr>
          <w:rFonts w:ascii="Palatino Linotype" w:hAnsi="Palatino Linotype" w:cs="Arial"/>
          <w:i/>
          <w:sz w:val="24"/>
          <w:szCs w:val="24"/>
          <w:lang w:val="es-ES_tradnl"/>
        </w:rPr>
        <w:t>Cantu</w:t>
      </w:r>
      <w:proofErr w:type="spellEnd"/>
      <w:r w:rsidR="00393F3D" w:rsidRPr="00393F3D">
        <w:rPr>
          <w:rFonts w:ascii="Palatino Linotype" w:hAnsi="Palatino Linotype" w:cs="Arial"/>
          <w:i/>
          <w:sz w:val="24"/>
          <w:szCs w:val="24"/>
          <w:lang w:val="es-ES_tradnl"/>
        </w:rPr>
        <w:t xml:space="preserve"> del municipio de Tlalnepantla, México, (Véase COBERTURA y Criterios de elegibilidad del Programa Seguridad del Patrimonio Familiar y el Convenio de </w:t>
      </w:r>
      <w:proofErr w:type="spellStart"/>
      <w:r w:rsidR="00393F3D" w:rsidRPr="00393F3D">
        <w:rPr>
          <w:rFonts w:ascii="Palatino Linotype" w:hAnsi="Palatino Linotype" w:cs="Arial"/>
          <w:i/>
          <w:sz w:val="24"/>
          <w:szCs w:val="24"/>
          <w:lang w:val="es-ES_tradnl"/>
        </w:rPr>
        <w:t>concertacion</w:t>
      </w:r>
      <w:proofErr w:type="spellEnd"/>
      <w:r w:rsidR="00393F3D" w:rsidRPr="00393F3D">
        <w:rPr>
          <w:rFonts w:ascii="Palatino Linotype" w:hAnsi="Palatino Linotype" w:cs="Arial"/>
          <w:i/>
          <w:sz w:val="24"/>
          <w:szCs w:val="24"/>
          <w:lang w:val="es-ES_tradnl"/>
        </w:rPr>
        <w:t xml:space="preserve"> celebrado entre el municipio de Tlalnepantla y el núcleo agrario del ejido de San Juan </w:t>
      </w:r>
      <w:proofErr w:type="spellStart"/>
      <w:r w:rsidR="00393F3D" w:rsidRPr="00393F3D">
        <w:rPr>
          <w:rFonts w:ascii="Palatino Linotype" w:hAnsi="Palatino Linotype" w:cs="Arial"/>
          <w:i/>
          <w:sz w:val="24"/>
          <w:szCs w:val="24"/>
          <w:lang w:val="es-ES_tradnl"/>
        </w:rPr>
        <w:t>Ixhuatepec</w:t>
      </w:r>
      <w:proofErr w:type="spellEnd"/>
      <w:r w:rsidR="00393F3D" w:rsidRPr="00393F3D">
        <w:rPr>
          <w:rFonts w:ascii="Palatino Linotype" w:hAnsi="Palatino Linotype" w:cs="Arial"/>
          <w:i/>
          <w:sz w:val="24"/>
          <w:szCs w:val="24"/>
          <w:lang w:val="es-ES_tradnl"/>
        </w:rPr>
        <w:t xml:space="preserve"> de fecha 16 de junio de 2019), 2.-Como es de observarse el Ayuntamiento de </w:t>
      </w:r>
      <w:r w:rsidR="00393F3D" w:rsidRPr="00393F3D">
        <w:rPr>
          <w:rFonts w:ascii="Palatino Linotype" w:hAnsi="Palatino Linotype" w:cs="Arial"/>
          <w:i/>
          <w:sz w:val="24"/>
          <w:szCs w:val="24"/>
          <w:lang w:val="es-ES_tradnl"/>
        </w:rPr>
        <w:lastRenderedPageBreak/>
        <w:t xml:space="preserve">Tlalnepantla de Baz, Estado de México al aprobar y suscribir los señalado en el punto 1 de esta disertación tuvo como finalidad que, de conformidad con el </w:t>
      </w:r>
      <w:proofErr w:type="spellStart"/>
      <w:r w:rsidR="00393F3D" w:rsidRPr="00393F3D">
        <w:rPr>
          <w:rFonts w:ascii="Palatino Linotype" w:hAnsi="Palatino Linotype" w:cs="Arial"/>
          <w:i/>
          <w:sz w:val="24"/>
          <w:szCs w:val="24"/>
          <w:lang w:val="es-ES_tradnl"/>
        </w:rPr>
        <w:t>articulo</w:t>
      </w:r>
      <w:proofErr w:type="spellEnd"/>
      <w:r w:rsidR="00393F3D" w:rsidRPr="00393F3D">
        <w:rPr>
          <w:rFonts w:ascii="Palatino Linotype" w:hAnsi="Palatino Linotype" w:cs="Arial"/>
          <w:i/>
          <w:sz w:val="24"/>
          <w:szCs w:val="24"/>
          <w:lang w:val="es-ES_tradnl"/>
        </w:rPr>
        <w:t xml:space="preserve"> 115 fracción V inciso e) de la Constitución Política de los Estados Unidos Mexicanos, transfiriera al Comisariado Ejidal de San Juan </w:t>
      </w:r>
      <w:proofErr w:type="spellStart"/>
      <w:r w:rsidR="00393F3D" w:rsidRPr="00393F3D">
        <w:rPr>
          <w:rFonts w:ascii="Palatino Linotype" w:hAnsi="Palatino Linotype" w:cs="Arial"/>
          <w:i/>
          <w:sz w:val="24"/>
          <w:szCs w:val="24"/>
          <w:lang w:val="es-ES_tradnl"/>
        </w:rPr>
        <w:t>Ixhuatepec</w:t>
      </w:r>
      <w:proofErr w:type="spellEnd"/>
      <w:r w:rsidR="00393F3D" w:rsidRPr="00393F3D">
        <w:rPr>
          <w:rFonts w:ascii="Palatino Linotype" w:hAnsi="Palatino Linotype" w:cs="Arial"/>
          <w:i/>
          <w:sz w:val="24"/>
          <w:szCs w:val="24"/>
          <w:lang w:val="es-ES_tradnl"/>
        </w:rPr>
        <w:t>, su facultad de “intervenir en la regularización de la tenencia de la tierra urbana”, para lo cual este ente ejidal, recibiría $ 5, 500.00 (Cinco mil quinientos pesos 00/100 M.N.) por cada solar urbano y beneficiario participante, tomado de la Partida Presupuestal Numero 4411, denominada “Cooperaciones y Ayudas” del municipio de Tlalnepantla de Baz, México. 3.-El sujeto obligado ayuntamiento de Tlalnepantla de Baz, México ha venido testando el nombre de los beneficiarios , el lote, manzana, calle y la comunidad (</w:t>
      </w:r>
      <w:proofErr w:type="spellStart"/>
      <w:r w:rsidR="00393F3D" w:rsidRPr="00393F3D">
        <w:rPr>
          <w:rFonts w:ascii="Palatino Linotype" w:hAnsi="Palatino Linotype" w:cs="Arial"/>
          <w:i/>
          <w:sz w:val="24"/>
          <w:szCs w:val="24"/>
          <w:lang w:val="es-ES_tradnl"/>
        </w:rPr>
        <w:t>Tepeolulco</w:t>
      </w:r>
      <w:proofErr w:type="spellEnd"/>
      <w:r w:rsidR="00393F3D" w:rsidRPr="00393F3D">
        <w:rPr>
          <w:rFonts w:ascii="Palatino Linotype" w:hAnsi="Palatino Linotype" w:cs="Arial"/>
          <w:i/>
          <w:sz w:val="24"/>
          <w:szCs w:val="24"/>
          <w:lang w:val="es-ES_tradnl"/>
        </w:rPr>
        <w:t xml:space="preserve">, San Isidro </w:t>
      </w:r>
      <w:proofErr w:type="spellStart"/>
      <w:r w:rsidR="00393F3D" w:rsidRPr="00393F3D">
        <w:rPr>
          <w:rFonts w:ascii="Palatino Linotype" w:hAnsi="Palatino Linotype" w:cs="Arial"/>
          <w:i/>
          <w:sz w:val="24"/>
          <w:szCs w:val="24"/>
          <w:lang w:val="es-ES_tradnl"/>
        </w:rPr>
        <w:t>Ixhuatepec</w:t>
      </w:r>
      <w:proofErr w:type="spellEnd"/>
      <w:r w:rsidR="00393F3D" w:rsidRPr="00393F3D">
        <w:rPr>
          <w:rFonts w:ascii="Palatino Linotype" w:hAnsi="Palatino Linotype" w:cs="Arial"/>
          <w:i/>
          <w:sz w:val="24"/>
          <w:szCs w:val="24"/>
          <w:lang w:val="es-ES_tradnl"/>
        </w:rPr>
        <w:t xml:space="preserve">, </w:t>
      </w:r>
      <w:proofErr w:type="spellStart"/>
      <w:r w:rsidR="00393F3D" w:rsidRPr="00393F3D">
        <w:rPr>
          <w:rFonts w:ascii="Palatino Linotype" w:hAnsi="Palatino Linotype" w:cs="Arial"/>
          <w:i/>
          <w:sz w:val="24"/>
          <w:szCs w:val="24"/>
          <w:lang w:val="es-ES_tradnl"/>
        </w:rPr>
        <w:t>etc</w:t>
      </w:r>
      <w:proofErr w:type="spellEnd"/>
      <w:r w:rsidR="00393F3D" w:rsidRPr="00393F3D">
        <w:rPr>
          <w:rFonts w:ascii="Palatino Linotype" w:hAnsi="Palatino Linotype" w:cs="Arial"/>
          <w:i/>
          <w:sz w:val="24"/>
          <w:szCs w:val="24"/>
          <w:lang w:val="es-ES_tradnl"/>
        </w:rPr>
        <w:t xml:space="preserve">) por lo que existen evidencias (Plano 2 ) de que este subsidio autorizado también fue otorgado indebidamente a personas que se ubican en el municipio de </w:t>
      </w:r>
      <w:proofErr w:type="spellStart"/>
      <w:r w:rsidR="00393F3D" w:rsidRPr="00393F3D">
        <w:rPr>
          <w:rFonts w:ascii="Palatino Linotype" w:hAnsi="Palatino Linotype" w:cs="Arial"/>
          <w:i/>
          <w:sz w:val="24"/>
          <w:szCs w:val="24"/>
          <w:lang w:val="es-ES_tradnl"/>
        </w:rPr>
        <w:t>Ecatepecc</w:t>
      </w:r>
      <w:proofErr w:type="spellEnd"/>
      <w:r w:rsidR="00393F3D" w:rsidRPr="00393F3D">
        <w:rPr>
          <w:rFonts w:ascii="Palatino Linotype" w:hAnsi="Palatino Linotype" w:cs="Arial"/>
          <w:i/>
          <w:sz w:val="24"/>
          <w:szCs w:val="24"/>
          <w:lang w:val="es-ES_tradnl"/>
        </w:rPr>
        <w:t xml:space="preserve"> de Morelos. 4.- Existen indicios de corrupción en este programa de Seguridad del Patrimonio Familiar, el convenio en comento fue firmado entre el presidente municipal el secretario del ayuntamiento y el director de transformación urbana con el presidente del comisariado ejidal del </w:t>
      </w:r>
      <w:proofErr w:type="spellStart"/>
      <w:r w:rsidR="00393F3D" w:rsidRPr="00393F3D">
        <w:rPr>
          <w:rFonts w:ascii="Palatino Linotype" w:hAnsi="Palatino Linotype" w:cs="Arial"/>
          <w:i/>
          <w:sz w:val="24"/>
          <w:szCs w:val="24"/>
          <w:lang w:val="es-ES_tradnl"/>
        </w:rPr>
        <w:t>nucleo</w:t>
      </w:r>
      <w:proofErr w:type="spellEnd"/>
      <w:r w:rsidR="00393F3D" w:rsidRPr="00393F3D">
        <w:rPr>
          <w:rFonts w:ascii="Palatino Linotype" w:hAnsi="Palatino Linotype" w:cs="Arial"/>
          <w:i/>
          <w:sz w:val="24"/>
          <w:szCs w:val="24"/>
          <w:lang w:val="es-ES_tradnl"/>
        </w:rPr>
        <w:t xml:space="preserve"> agrario de San Juan </w:t>
      </w:r>
      <w:proofErr w:type="spellStart"/>
      <w:r w:rsidR="00393F3D" w:rsidRPr="00393F3D">
        <w:rPr>
          <w:rFonts w:ascii="Palatino Linotype" w:hAnsi="Palatino Linotype" w:cs="Arial"/>
          <w:i/>
          <w:sz w:val="24"/>
          <w:szCs w:val="24"/>
          <w:lang w:val="es-ES_tradnl"/>
        </w:rPr>
        <w:t>Ixhuatepéc</w:t>
      </w:r>
      <w:proofErr w:type="spellEnd"/>
      <w:r w:rsidR="00393F3D" w:rsidRPr="00393F3D">
        <w:rPr>
          <w:rFonts w:ascii="Palatino Linotype" w:hAnsi="Palatino Linotype" w:cs="Arial"/>
          <w:i/>
          <w:sz w:val="24"/>
          <w:szCs w:val="24"/>
          <w:lang w:val="es-ES_tradnl"/>
        </w:rPr>
        <w:t xml:space="preserve"> que a su vez es (era) jefe de departamento A (DEPARTAMENTO DE PARTICIPACIÓN CIUDADANA Y ONGS) adscrito a la secretario del ayuntamiento, no se cumplió con la entrega de los títulos de propiedad, tampoco de su inscripción en el Instituto de la Función Registral, etc. En el Órgano Superior de Fiscalización del Estado de México existe, por este asunto, denuncia con el expediente EAI/AEI/DEN/009/2020 Folio 4987/2020. El Pleno del Instituto de Transparencia, Acceso a la Información Pública y Protección de Datos Personales del Estado de México y Municipios tiene ante </w:t>
      </w:r>
      <w:proofErr w:type="spellStart"/>
      <w:r w:rsidR="00393F3D" w:rsidRPr="00393F3D">
        <w:rPr>
          <w:rFonts w:ascii="Palatino Linotype" w:hAnsi="Palatino Linotype" w:cs="Arial"/>
          <w:i/>
          <w:sz w:val="24"/>
          <w:szCs w:val="24"/>
          <w:lang w:val="es-ES_tradnl"/>
        </w:rPr>
        <w:t>si</w:t>
      </w:r>
      <w:proofErr w:type="spellEnd"/>
      <w:r w:rsidR="00393F3D" w:rsidRPr="00393F3D">
        <w:rPr>
          <w:rFonts w:ascii="Palatino Linotype" w:hAnsi="Palatino Linotype" w:cs="Arial"/>
          <w:i/>
          <w:sz w:val="24"/>
          <w:szCs w:val="24"/>
          <w:lang w:val="es-ES_tradnl"/>
        </w:rPr>
        <w:t xml:space="preserve"> la oportunidad de resolver la entrega de la </w:t>
      </w:r>
      <w:proofErr w:type="spellStart"/>
      <w:r w:rsidR="00393F3D" w:rsidRPr="00393F3D">
        <w:rPr>
          <w:rFonts w:ascii="Palatino Linotype" w:hAnsi="Palatino Linotype" w:cs="Arial"/>
          <w:i/>
          <w:sz w:val="24"/>
          <w:szCs w:val="24"/>
          <w:lang w:val="es-ES_tradnl"/>
        </w:rPr>
        <w:t>informacion</w:t>
      </w:r>
      <w:proofErr w:type="spellEnd"/>
      <w:r w:rsidR="00393F3D" w:rsidRPr="00393F3D">
        <w:rPr>
          <w:rFonts w:ascii="Palatino Linotype" w:hAnsi="Palatino Linotype" w:cs="Arial"/>
          <w:i/>
          <w:sz w:val="24"/>
          <w:szCs w:val="24"/>
          <w:lang w:val="es-ES_tradnl"/>
        </w:rPr>
        <w:t xml:space="preserve"> publica solicitada tal y como el Instituto Nacional de Transparencia, Acceso a la Información y Protección de Datos Personales (INAI) instruyó al sujeto obligado Fiscalía General de la República (FGR) de entregar, en formato electrónico, versión pública de todos los </w:t>
      </w:r>
      <w:r w:rsidR="00393F3D" w:rsidRPr="00393F3D">
        <w:rPr>
          <w:rFonts w:ascii="Palatino Linotype" w:hAnsi="Palatino Linotype" w:cs="Arial"/>
          <w:i/>
          <w:sz w:val="24"/>
          <w:szCs w:val="24"/>
          <w:lang w:val="es-ES_tradnl"/>
        </w:rPr>
        <w:lastRenderedPageBreak/>
        <w:t xml:space="preserve">interrogatorios y declaraciones recabadas, entre enero de 2017 y septiembre de 2021, como parte de las indagatorias contenidas en la carpeta de investigación, relacionada con el caso </w:t>
      </w:r>
      <w:proofErr w:type="spellStart"/>
      <w:r w:rsidR="00393F3D" w:rsidRPr="00393F3D">
        <w:rPr>
          <w:rFonts w:ascii="Palatino Linotype" w:hAnsi="Palatino Linotype" w:cs="Arial"/>
          <w:i/>
          <w:sz w:val="24"/>
          <w:szCs w:val="24"/>
          <w:lang w:val="es-ES_tradnl"/>
        </w:rPr>
        <w:t>Odebrecht</w:t>
      </w:r>
      <w:proofErr w:type="spellEnd"/>
      <w:r w:rsidR="00393F3D" w:rsidRPr="00393F3D">
        <w:rPr>
          <w:rFonts w:ascii="Palatino Linotype" w:hAnsi="Palatino Linotype" w:cs="Arial"/>
          <w:i/>
          <w:sz w:val="24"/>
          <w:szCs w:val="24"/>
          <w:lang w:val="es-ES_tradnl"/>
        </w:rPr>
        <w:t xml:space="preserve"> (FED/SEIDF/CGI-0000117/2017)</w:t>
      </w:r>
      <w:r w:rsidRPr="00A94409">
        <w:rPr>
          <w:rFonts w:ascii="Palatino Linotype" w:hAnsi="Palatino Linotype" w:cs="Arial"/>
          <w:iCs/>
          <w:sz w:val="24"/>
          <w:szCs w:val="24"/>
          <w:lang w:val="es-ES_tradnl"/>
        </w:rPr>
        <w:t>”</w:t>
      </w:r>
    </w:p>
    <w:p w14:paraId="5E1D51C4" w14:textId="26B415F9" w:rsidR="009B75F4" w:rsidRDefault="0097787E" w:rsidP="0097787E">
      <w:pPr>
        <w:spacing w:after="0" w:line="360" w:lineRule="auto"/>
        <w:jc w:val="both"/>
        <w:rPr>
          <w:rFonts w:ascii="Palatino Linotype" w:hAnsi="Palatino Linotype" w:cs="Arial"/>
          <w:sz w:val="24"/>
          <w:lang w:val="es-ES"/>
        </w:rPr>
      </w:pPr>
      <w:r>
        <w:rPr>
          <w:rFonts w:ascii="Palatino Linotype" w:eastAsia="Palatino Linotype" w:hAnsi="Palatino Linotype" w:cs="Palatino Linotype"/>
          <w:color w:val="000000"/>
          <w:sz w:val="24"/>
          <w:szCs w:val="24"/>
        </w:rPr>
        <w:t xml:space="preserve">El Recurrente consideró que la respuesta </w:t>
      </w:r>
      <w:r w:rsidR="005679A7">
        <w:rPr>
          <w:rFonts w:ascii="Palatino Linotype" w:eastAsia="Palatino Linotype" w:hAnsi="Palatino Linotype" w:cs="Palatino Linotype"/>
          <w:color w:val="000000"/>
          <w:sz w:val="24"/>
          <w:szCs w:val="24"/>
        </w:rPr>
        <w:t xml:space="preserve">no colma </w:t>
      </w:r>
      <w:r>
        <w:rPr>
          <w:rFonts w:ascii="Palatino Linotype" w:eastAsia="Palatino Linotype" w:hAnsi="Palatino Linotype" w:cs="Palatino Linotype"/>
          <w:color w:val="000000"/>
          <w:sz w:val="24"/>
          <w:szCs w:val="24"/>
        </w:rPr>
        <w:t>sus requerimientos</w:t>
      </w:r>
      <w:r>
        <w:rPr>
          <w:rFonts w:ascii="Palatino Linotype" w:hAnsi="Palatino Linotype" w:cs="Arial"/>
          <w:sz w:val="24"/>
          <w:lang w:val="es-ES"/>
        </w:rPr>
        <w:t xml:space="preserve">, por lo que interpuso el recurso de revisión,  </w:t>
      </w:r>
      <w:r w:rsidR="009B75F4">
        <w:rPr>
          <w:rFonts w:ascii="Palatino Linotype" w:hAnsi="Palatino Linotype" w:cs="Arial"/>
          <w:sz w:val="24"/>
          <w:lang w:val="es-ES"/>
        </w:rPr>
        <w:t>así,</w:t>
      </w:r>
      <w:r>
        <w:rPr>
          <w:rFonts w:ascii="Palatino Linotype" w:hAnsi="Palatino Linotype" w:cs="Arial"/>
          <w:sz w:val="24"/>
          <w:lang w:val="es-ES"/>
        </w:rPr>
        <w:t xml:space="preserve"> durante la etapa de instrucción, se resalta que el Recurrente no realizó manifestaciones, vertió alegatos ni presentó pruebas que a su derecho convinieran</w:t>
      </w:r>
      <w:r w:rsidR="005679A7">
        <w:rPr>
          <w:rFonts w:ascii="Palatino Linotype" w:hAnsi="Palatino Linotype" w:cs="Arial"/>
          <w:sz w:val="24"/>
          <w:lang w:val="es-ES"/>
        </w:rPr>
        <w:t>.</w:t>
      </w:r>
      <w:r>
        <w:rPr>
          <w:rFonts w:ascii="Palatino Linotype" w:hAnsi="Palatino Linotype" w:cs="Arial"/>
          <w:sz w:val="24"/>
          <w:lang w:val="es-ES"/>
        </w:rPr>
        <w:t xml:space="preserve"> </w:t>
      </w:r>
    </w:p>
    <w:p w14:paraId="3BB48BBB" w14:textId="77777777" w:rsidR="009B75F4" w:rsidRDefault="009B75F4" w:rsidP="0097787E">
      <w:pPr>
        <w:spacing w:after="0" w:line="360" w:lineRule="auto"/>
        <w:jc w:val="both"/>
        <w:rPr>
          <w:rFonts w:ascii="Palatino Linotype" w:hAnsi="Palatino Linotype" w:cs="Arial"/>
          <w:sz w:val="24"/>
          <w:lang w:val="es-ES"/>
        </w:rPr>
      </w:pPr>
    </w:p>
    <w:p w14:paraId="6FBC0431" w14:textId="65BBB411" w:rsidR="0097787E" w:rsidRDefault="0097787E" w:rsidP="0097787E">
      <w:pPr>
        <w:spacing w:after="0" w:line="360" w:lineRule="auto"/>
        <w:jc w:val="both"/>
        <w:rPr>
          <w:rFonts w:ascii="Palatino Linotype" w:hAnsi="Palatino Linotype" w:cs="Arial"/>
          <w:sz w:val="24"/>
          <w:szCs w:val="24"/>
        </w:rPr>
      </w:pPr>
      <w:r>
        <w:rPr>
          <w:rFonts w:ascii="Palatino Linotype" w:hAnsi="Palatino Linotype" w:cs="Arial"/>
          <w:sz w:val="24"/>
          <w:lang w:val="es-ES"/>
        </w:rPr>
        <w:t xml:space="preserve">Por su parte, el Sujeto Obligado rindió sus Informes Justificados, por medio de los archivos </w:t>
      </w:r>
      <w:r>
        <w:rPr>
          <w:rFonts w:ascii="Palatino Linotype" w:hAnsi="Palatino Linotype" w:cs="Arial"/>
          <w:sz w:val="24"/>
          <w:szCs w:val="24"/>
        </w:rPr>
        <w:t>“</w:t>
      </w:r>
      <w:r w:rsidR="002F7F01" w:rsidRPr="002F7F01">
        <w:rPr>
          <w:rFonts w:ascii="Palatino Linotype" w:hAnsi="Palatino Linotype" w:cs="Arial"/>
          <w:sz w:val="24"/>
          <w:szCs w:val="24"/>
        </w:rPr>
        <w:t>MANIFESTACIONES_RR_00395_SAIMEX_01022.zip</w:t>
      </w:r>
      <w:r w:rsidR="002F7F01">
        <w:rPr>
          <w:rFonts w:ascii="Palatino Linotype" w:hAnsi="Palatino Linotype" w:cs="Arial"/>
          <w:sz w:val="24"/>
          <w:szCs w:val="24"/>
        </w:rPr>
        <w:t>” el cual a su vez contiene dos documentos electrónicos denominados</w:t>
      </w:r>
      <w:r>
        <w:rPr>
          <w:rFonts w:ascii="Palatino Linotype" w:hAnsi="Palatino Linotype" w:cs="Arial"/>
          <w:sz w:val="24"/>
          <w:szCs w:val="24"/>
        </w:rPr>
        <w:t xml:space="preserve">, </w:t>
      </w:r>
      <w:r w:rsidR="003F2A80">
        <w:rPr>
          <w:rFonts w:ascii="Palatino Linotype" w:hAnsi="Palatino Linotype" w:cs="Arial"/>
          <w:sz w:val="24"/>
          <w:szCs w:val="24"/>
        </w:rPr>
        <w:t>“</w:t>
      </w:r>
      <w:r w:rsidR="003F2A80" w:rsidRPr="003F2A80">
        <w:rPr>
          <w:rFonts w:ascii="Palatino Linotype" w:hAnsi="Palatino Linotype" w:cs="Arial"/>
          <w:sz w:val="24"/>
          <w:szCs w:val="24"/>
        </w:rPr>
        <w:t>RESP_SAIMEX_01022_RR_00395_TESORERIA_MUNICIPAL</w:t>
      </w:r>
      <w:r w:rsidR="003F2A80">
        <w:rPr>
          <w:rFonts w:ascii="Palatino Linotype" w:hAnsi="Palatino Linotype" w:cs="Arial"/>
          <w:sz w:val="24"/>
          <w:szCs w:val="24"/>
        </w:rPr>
        <w:t xml:space="preserve"> y </w:t>
      </w:r>
      <w:r w:rsidR="003F2A80" w:rsidRPr="003F2A80">
        <w:rPr>
          <w:rFonts w:ascii="Palatino Linotype" w:hAnsi="Palatino Linotype" w:cs="Arial"/>
          <w:sz w:val="24"/>
          <w:szCs w:val="24"/>
        </w:rPr>
        <w:t>RESP_SAIMEX_01022_RR_05390_D_URBANO</w:t>
      </w:r>
      <w:r>
        <w:rPr>
          <w:rFonts w:ascii="Palatino Linotype" w:hAnsi="Palatino Linotype" w:cs="Arial"/>
          <w:sz w:val="24"/>
          <w:szCs w:val="24"/>
        </w:rPr>
        <w:t>”, de los que se procede a la descripción de su contenido</w:t>
      </w:r>
      <w:r w:rsidR="009B75F4">
        <w:rPr>
          <w:rFonts w:ascii="Palatino Linotype" w:hAnsi="Palatino Linotype" w:cs="Arial"/>
          <w:sz w:val="24"/>
          <w:szCs w:val="24"/>
        </w:rPr>
        <w:t xml:space="preserve">, como sigue: </w:t>
      </w:r>
      <w:r>
        <w:rPr>
          <w:rFonts w:ascii="Palatino Linotype" w:hAnsi="Palatino Linotype" w:cs="Arial"/>
          <w:sz w:val="24"/>
          <w:szCs w:val="24"/>
        </w:rPr>
        <w:t xml:space="preserve"> </w:t>
      </w:r>
    </w:p>
    <w:p w14:paraId="1AF9AC3C" w14:textId="77777777" w:rsidR="0097787E" w:rsidRDefault="0097787E" w:rsidP="0097787E">
      <w:pPr>
        <w:spacing w:after="0" w:line="360" w:lineRule="auto"/>
        <w:jc w:val="both"/>
        <w:rPr>
          <w:rFonts w:ascii="Palatino Linotype" w:hAnsi="Palatino Linotype" w:cs="Arial"/>
          <w:sz w:val="24"/>
          <w:szCs w:val="24"/>
        </w:rPr>
      </w:pPr>
    </w:p>
    <w:p w14:paraId="5246DC4D" w14:textId="77777777" w:rsidR="009B75F4" w:rsidRDefault="00536BD3" w:rsidP="00536BD3">
      <w:pPr>
        <w:pStyle w:val="Prrafodelista"/>
        <w:numPr>
          <w:ilvl w:val="0"/>
          <w:numId w:val="1"/>
        </w:numPr>
        <w:spacing w:line="360" w:lineRule="auto"/>
        <w:jc w:val="both"/>
        <w:rPr>
          <w:rFonts w:ascii="Palatino Linotype" w:hAnsi="Palatino Linotype" w:cs="Arial"/>
        </w:rPr>
      </w:pPr>
      <w:r w:rsidRPr="00536BD3">
        <w:rPr>
          <w:rFonts w:ascii="Palatino Linotype" w:hAnsi="Palatino Linotype" w:cs="Arial"/>
          <w:b/>
        </w:rPr>
        <w:t>RESP_SAIMEX_01022_RR_00395_TESORERIA_MUNICIPAL</w:t>
      </w:r>
      <w:r w:rsidR="0097787E" w:rsidRPr="00840F1C">
        <w:rPr>
          <w:rFonts w:ascii="Palatino Linotype" w:hAnsi="Palatino Linotype" w:cs="Arial"/>
          <w:b/>
        </w:rPr>
        <w:t>:</w:t>
      </w:r>
      <w:r w:rsidR="00AD553B">
        <w:rPr>
          <w:rFonts w:ascii="Palatino Linotype" w:hAnsi="Palatino Linotype" w:cs="Arial"/>
          <w:b/>
        </w:rPr>
        <w:t xml:space="preserve"> </w:t>
      </w:r>
      <w:r w:rsidR="0097787E" w:rsidRPr="00840F1C">
        <w:rPr>
          <w:rFonts w:ascii="Palatino Linotype" w:hAnsi="Palatino Linotype" w:cs="Arial"/>
        </w:rPr>
        <w:t xml:space="preserve">el cual contiene el oficio </w:t>
      </w:r>
      <w:r w:rsidR="0097787E">
        <w:rPr>
          <w:rFonts w:ascii="Palatino Linotype" w:hAnsi="Palatino Linotype" w:cs="Arial"/>
        </w:rPr>
        <w:t xml:space="preserve">número </w:t>
      </w:r>
      <w:r w:rsidR="00161DA7">
        <w:rPr>
          <w:rFonts w:ascii="Palatino Linotype" w:hAnsi="Palatino Linotype" w:cs="Arial"/>
        </w:rPr>
        <w:t>TM</w:t>
      </w:r>
      <w:r w:rsidR="00AA05FC">
        <w:rPr>
          <w:rFonts w:ascii="Palatino Linotype" w:hAnsi="Palatino Linotype" w:cs="Arial"/>
        </w:rPr>
        <w:t>/</w:t>
      </w:r>
      <w:r w:rsidR="00161DA7">
        <w:rPr>
          <w:rFonts w:ascii="Palatino Linotype" w:hAnsi="Palatino Linotype" w:cs="Arial"/>
        </w:rPr>
        <w:t>517/2022</w:t>
      </w:r>
      <w:r w:rsidR="0097787E">
        <w:rPr>
          <w:rFonts w:ascii="Palatino Linotype" w:hAnsi="Palatino Linotype" w:cs="Arial"/>
        </w:rPr>
        <w:t>,</w:t>
      </w:r>
      <w:r w:rsidR="00AA05FC">
        <w:rPr>
          <w:rFonts w:ascii="Palatino Linotype" w:hAnsi="Palatino Linotype" w:cs="Arial"/>
        </w:rPr>
        <w:t xml:space="preserve"> signado por el Tesorero Municipal, en el cual </w:t>
      </w:r>
      <w:r w:rsidR="009B75F4">
        <w:rPr>
          <w:rFonts w:ascii="Palatino Linotype" w:hAnsi="Palatino Linotype" w:cs="Arial"/>
        </w:rPr>
        <w:t>señaló lo siguiente:</w:t>
      </w:r>
    </w:p>
    <w:p w14:paraId="67A45E5C" w14:textId="483E2291" w:rsidR="009B75F4" w:rsidRDefault="009B75F4" w:rsidP="001F7320">
      <w:pPr>
        <w:pStyle w:val="Prrafodelista"/>
        <w:numPr>
          <w:ilvl w:val="0"/>
          <w:numId w:val="23"/>
        </w:numPr>
        <w:spacing w:line="360" w:lineRule="auto"/>
        <w:jc w:val="both"/>
        <w:rPr>
          <w:rFonts w:ascii="Palatino Linotype" w:hAnsi="Palatino Linotype" w:cs="Arial"/>
        </w:rPr>
      </w:pPr>
      <w:r>
        <w:rPr>
          <w:rFonts w:ascii="Palatino Linotype" w:hAnsi="Palatino Linotype" w:cs="Arial"/>
          <w:b/>
        </w:rPr>
        <w:t xml:space="preserve">Respecto del </w:t>
      </w:r>
      <w:r w:rsidR="009505F5">
        <w:rPr>
          <w:rFonts w:ascii="Palatino Linotype" w:hAnsi="Palatino Linotype" w:cs="Arial"/>
        </w:rPr>
        <w:t xml:space="preserve">primer motivo de </w:t>
      </w:r>
      <w:r w:rsidR="00355F97">
        <w:rPr>
          <w:rFonts w:ascii="Palatino Linotype" w:hAnsi="Palatino Linotype" w:cs="Arial"/>
        </w:rPr>
        <w:t xml:space="preserve">inconformidad, </w:t>
      </w:r>
      <w:r>
        <w:rPr>
          <w:rFonts w:ascii="Palatino Linotype" w:hAnsi="Palatino Linotype" w:cs="Arial"/>
        </w:rPr>
        <w:t xml:space="preserve">hace del conocimiento al recurrente </w:t>
      </w:r>
      <w:r w:rsidR="00355F97">
        <w:rPr>
          <w:rFonts w:ascii="Palatino Linotype" w:hAnsi="Palatino Linotype" w:cs="Arial"/>
        </w:rPr>
        <w:t xml:space="preserve">que se aprobó un apoyo económico para que se regularizaran </w:t>
      </w:r>
      <w:r w:rsidR="004E5852">
        <w:rPr>
          <w:rFonts w:ascii="Palatino Linotype" w:hAnsi="Palatino Linotype" w:cs="Arial"/>
        </w:rPr>
        <w:t>predios de las colonias indicadas, esto en atenci</w:t>
      </w:r>
      <w:r w:rsidR="00D44564">
        <w:rPr>
          <w:rFonts w:ascii="Palatino Linotype" w:hAnsi="Palatino Linotype" w:cs="Arial"/>
        </w:rPr>
        <w:t>ón a que se tratan de</w:t>
      </w:r>
      <w:r w:rsidR="004E5852">
        <w:rPr>
          <w:rFonts w:ascii="Palatino Linotype" w:hAnsi="Palatino Linotype" w:cs="Arial"/>
        </w:rPr>
        <w:t xml:space="preserve"> personas de escasos recursos y con el interés de que las familias contasen con un documento que respalde su patrimonio, por lo que </w:t>
      </w:r>
      <w:r w:rsidR="00D44564">
        <w:rPr>
          <w:rFonts w:ascii="Palatino Linotype" w:hAnsi="Palatino Linotype" w:cs="Arial"/>
        </w:rPr>
        <w:t xml:space="preserve">no se aprecia ningún agravio en contra del recurrente, ya que como se observa, es un </w:t>
      </w:r>
      <w:r w:rsidR="00D35E00">
        <w:rPr>
          <w:rFonts w:ascii="Palatino Linotype" w:hAnsi="Palatino Linotype" w:cs="Arial"/>
        </w:rPr>
        <w:t xml:space="preserve">mero </w:t>
      </w:r>
      <w:r w:rsidR="00D35E00">
        <w:rPr>
          <w:rFonts w:ascii="Palatino Linotype" w:hAnsi="Palatino Linotype" w:cs="Arial"/>
        </w:rPr>
        <w:lastRenderedPageBreak/>
        <w:t>antecedente de lo que se realizaría en el programa “Seguridad del Patrimonio Familiar”</w:t>
      </w:r>
      <w:r w:rsidR="0097787E">
        <w:rPr>
          <w:rFonts w:ascii="Palatino Linotype" w:hAnsi="Palatino Linotype" w:cs="Arial"/>
        </w:rPr>
        <w:t xml:space="preserve"> remitido en respuesta.</w:t>
      </w:r>
      <w:r w:rsidR="000566DC">
        <w:rPr>
          <w:rFonts w:ascii="Palatino Linotype" w:hAnsi="Palatino Linotype" w:cs="Arial"/>
        </w:rPr>
        <w:t xml:space="preserve"> </w:t>
      </w:r>
    </w:p>
    <w:p w14:paraId="597EB738" w14:textId="18D1DAD6" w:rsidR="009B75F4" w:rsidRDefault="000566DC" w:rsidP="001F7320">
      <w:pPr>
        <w:pStyle w:val="Prrafodelista"/>
        <w:numPr>
          <w:ilvl w:val="0"/>
          <w:numId w:val="23"/>
        </w:numPr>
        <w:spacing w:line="360" w:lineRule="auto"/>
        <w:jc w:val="both"/>
        <w:rPr>
          <w:rFonts w:ascii="Palatino Linotype" w:hAnsi="Palatino Linotype" w:cs="Arial"/>
        </w:rPr>
      </w:pPr>
      <w:r>
        <w:rPr>
          <w:rFonts w:ascii="Palatino Linotype" w:hAnsi="Palatino Linotype" w:cs="Arial"/>
        </w:rPr>
        <w:t xml:space="preserve">Por lo que </w:t>
      </w:r>
      <w:r w:rsidR="009B75F4">
        <w:rPr>
          <w:rFonts w:ascii="Palatino Linotype" w:hAnsi="Palatino Linotype" w:cs="Arial"/>
        </w:rPr>
        <w:t xml:space="preserve">hace </w:t>
      </w:r>
      <w:r>
        <w:rPr>
          <w:rFonts w:ascii="Palatino Linotype" w:hAnsi="Palatino Linotype" w:cs="Arial"/>
        </w:rPr>
        <w:t xml:space="preserve">al segundo motivo de inconformidad, se </w:t>
      </w:r>
      <w:r w:rsidR="00943C52">
        <w:rPr>
          <w:rFonts w:ascii="Palatino Linotype" w:hAnsi="Palatino Linotype" w:cs="Arial"/>
        </w:rPr>
        <w:t xml:space="preserve">limita a indicar que se daría un apoyo económico, </w:t>
      </w:r>
      <w:r w:rsidR="009B75F4">
        <w:rPr>
          <w:rFonts w:ascii="Palatino Linotype" w:hAnsi="Palatino Linotype" w:cs="Arial"/>
        </w:rPr>
        <w:t>indicando</w:t>
      </w:r>
      <w:r w:rsidR="00943C52">
        <w:rPr>
          <w:rFonts w:ascii="Palatino Linotype" w:hAnsi="Palatino Linotype" w:cs="Arial"/>
        </w:rPr>
        <w:t xml:space="preserve"> la partida</w:t>
      </w:r>
      <w:r w:rsidR="009B75F4">
        <w:rPr>
          <w:rFonts w:ascii="Palatino Linotype" w:hAnsi="Palatino Linotype" w:cs="Arial"/>
        </w:rPr>
        <w:t xml:space="preserve"> presupuestal </w:t>
      </w:r>
      <w:r w:rsidR="00943C52">
        <w:rPr>
          <w:rFonts w:ascii="Palatino Linotype" w:hAnsi="Palatino Linotype" w:cs="Arial"/>
        </w:rPr>
        <w:t xml:space="preserve"> de la que saldrían dichos recursos, lo cual nuevamente se aprecia que no le causa ning</w:t>
      </w:r>
      <w:r w:rsidR="00332587">
        <w:rPr>
          <w:rFonts w:ascii="Palatino Linotype" w:hAnsi="Palatino Linotype" w:cs="Arial"/>
        </w:rPr>
        <w:t xml:space="preserve">ún perjuicio, ya que es información que ya conoce plenamente, por lo que evidentemente no se trata de ningún acto. </w:t>
      </w:r>
    </w:p>
    <w:p w14:paraId="49F06648" w14:textId="0527F0B7" w:rsidR="009B75F4" w:rsidRDefault="009B75F4" w:rsidP="001F7320">
      <w:pPr>
        <w:pStyle w:val="Prrafodelista"/>
        <w:numPr>
          <w:ilvl w:val="0"/>
          <w:numId w:val="23"/>
        </w:numPr>
        <w:spacing w:line="360" w:lineRule="auto"/>
        <w:jc w:val="both"/>
        <w:rPr>
          <w:rFonts w:ascii="Palatino Linotype" w:hAnsi="Palatino Linotype" w:cs="Arial"/>
        </w:rPr>
      </w:pPr>
      <w:r>
        <w:rPr>
          <w:rFonts w:ascii="Palatino Linotype" w:hAnsi="Palatino Linotype" w:cs="Arial"/>
        </w:rPr>
        <w:t xml:space="preserve">En el caso del </w:t>
      </w:r>
      <w:r w:rsidR="001B4381">
        <w:rPr>
          <w:rFonts w:ascii="Palatino Linotype" w:hAnsi="Palatino Linotype" w:cs="Arial"/>
        </w:rPr>
        <w:t xml:space="preserve">tercer motivo de inconformidad, </w:t>
      </w:r>
      <w:r>
        <w:rPr>
          <w:rFonts w:ascii="Palatino Linotype" w:hAnsi="Palatino Linotype" w:cs="Arial"/>
        </w:rPr>
        <w:t xml:space="preserve">el sujeto obligado señaló </w:t>
      </w:r>
      <w:r w:rsidR="001B4381">
        <w:rPr>
          <w:rFonts w:ascii="Palatino Linotype" w:hAnsi="Palatino Linotype" w:cs="Arial"/>
        </w:rPr>
        <w:t xml:space="preserve">que </w:t>
      </w:r>
      <w:r w:rsidR="00CE652B">
        <w:rPr>
          <w:rFonts w:ascii="Palatino Linotype" w:hAnsi="Palatino Linotype" w:cs="Arial"/>
        </w:rPr>
        <w:t>se encuentra testando datos como son el nombre de beneficiarios, lote, manzana, calle y comunidad, por l</w:t>
      </w:r>
      <w:r w:rsidR="00412EB1">
        <w:rPr>
          <w:rFonts w:ascii="Palatino Linotype" w:hAnsi="Palatino Linotype" w:cs="Arial"/>
        </w:rPr>
        <w:t xml:space="preserve">o que existen evidencias de que el subsidio autorizado también fue otorgado a personas que se encuentran en el </w:t>
      </w:r>
      <w:r>
        <w:rPr>
          <w:rFonts w:ascii="Palatino Linotype" w:hAnsi="Palatino Linotype" w:cs="Arial"/>
        </w:rPr>
        <w:t>M</w:t>
      </w:r>
      <w:r w:rsidR="00412EB1">
        <w:rPr>
          <w:rFonts w:ascii="Palatino Linotype" w:hAnsi="Palatino Linotype" w:cs="Arial"/>
        </w:rPr>
        <w:t xml:space="preserve">unicipio de Ecatepec de Morelos, es decir, se aprecia que el recurrente se encuentra modificando la solicitud </w:t>
      </w:r>
      <w:r w:rsidR="00334A15">
        <w:rPr>
          <w:rFonts w:ascii="Palatino Linotype" w:hAnsi="Palatino Linotype" w:cs="Arial"/>
        </w:rPr>
        <w:t>inicial.</w:t>
      </w:r>
      <w:r w:rsidR="00C03C09">
        <w:rPr>
          <w:rFonts w:ascii="Palatino Linotype" w:hAnsi="Palatino Linotype" w:cs="Arial"/>
        </w:rPr>
        <w:t xml:space="preserve"> </w:t>
      </w:r>
    </w:p>
    <w:p w14:paraId="77514AF1" w14:textId="684A53B3" w:rsidR="0097787E" w:rsidRDefault="00C03C09" w:rsidP="001F7320">
      <w:pPr>
        <w:pStyle w:val="Prrafodelista"/>
        <w:numPr>
          <w:ilvl w:val="0"/>
          <w:numId w:val="23"/>
        </w:numPr>
        <w:spacing w:line="360" w:lineRule="auto"/>
        <w:jc w:val="both"/>
        <w:rPr>
          <w:rFonts w:ascii="Palatino Linotype" w:hAnsi="Palatino Linotype" w:cs="Arial"/>
        </w:rPr>
      </w:pPr>
      <w:r>
        <w:rPr>
          <w:rFonts w:ascii="Palatino Linotype" w:hAnsi="Palatino Linotype" w:cs="Arial"/>
        </w:rPr>
        <w:t>En lo que respecta al punto cuatro</w:t>
      </w:r>
      <w:r w:rsidR="009B75F4">
        <w:rPr>
          <w:rFonts w:ascii="Palatino Linotype" w:hAnsi="Palatino Linotype" w:cs="Arial"/>
        </w:rPr>
        <w:t xml:space="preserve"> de sus motivos de inconformidad</w:t>
      </w:r>
      <w:r>
        <w:rPr>
          <w:rFonts w:ascii="Palatino Linotype" w:hAnsi="Palatino Linotype" w:cs="Arial"/>
        </w:rPr>
        <w:t>, inform</w:t>
      </w:r>
      <w:r w:rsidR="009B75F4">
        <w:rPr>
          <w:rFonts w:ascii="Palatino Linotype" w:hAnsi="Palatino Linotype" w:cs="Arial"/>
        </w:rPr>
        <w:t>ó</w:t>
      </w:r>
      <w:r>
        <w:rPr>
          <w:rFonts w:ascii="Palatino Linotype" w:hAnsi="Palatino Linotype" w:cs="Arial"/>
        </w:rPr>
        <w:t xml:space="preserve"> que </w:t>
      </w:r>
      <w:r w:rsidR="006214F7">
        <w:rPr>
          <w:rFonts w:ascii="Palatino Linotype" w:hAnsi="Palatino Linotype" w:cs="Arial"/>
        </w:rPr>
        <w:t xml:space="preserve">el INFOEM no es </w:t>
      </w:r>
      <w:r w:rsidR="00407103">
        <w:rPr>
          <w:rFonts w:ascii="Palatino Linotype" w:hAnsi="Palatino Linotype" w:cs="Arial"/>
        </w:rPr>
        <w:t>la instancia para poder determinar la existencia o inexistencia de actos de corrupción.</w:t>
      </w:r>
      <w:r w:rsidR="006C7881">
        <w:rPr>
          <w:rFonts w:ascii="Palatino Linotype" w:hAnsi="Palatino Linotype" w:cs="Arial"/>
        </w:rPr>
        <w:t xml:space="preserve"> Asimismo, refiere que los documentos enviados al Órgano Superior de Fiscalización del Estado de M</w:t>
      </w:r>
      <w:r w:rsidR="0046021B">
        <w:rPr>
          <w:rFonts w:ascii="Palatino Linotype" w:hAnsi="Palatino Linotype" w:cs="Arial"/>
        </w:rPr>
        <w:t xml:space="preserve">éxico, son requeridos por la autoridad en formato “TIFF”, formato que no permite visualizar todo el contenido del archivo, como sucede con el formato </w:t>
      </w:r>
      <w:r w:rsidR="00EA396D">
        <w:rPr>
          <w:rFonts w:ascii="Palatino Linotype" w:hAnsi="Palatino Linotype" w:cs="Arial"/>
        </w:rPr>
        <w:t>“PDF”, motivo por el cual requiere ha</w:t>
      </w:r>
      <w:r w:rsidR="00E578E7">
        <w:rPr>
          <w:rFonts w:ascii="Palatino Linotype" w:hAnsi="Palatino Linotype" w:cs="Arial"/>
        </w:rPr>
        <w:t>c</w:t>
      </w:r>
      <w:r w:rsidR="00EA396D">
        <w:rPr>
          <w:rFonts w:ascii="Palatino Linotype" w:hAnsi="Palatino Linotype" w:cs="Arial"/>
        </w:rPr>
        <w:t>er un nuevo escaneo pero ahora en dicho formato, por lo que resulta procedente solicitar el cobro de la informaci</w:t>
      </w:r>
      <w:r w:rsidR="00E578E7">
        <w:rPr>
          <w:rFonts w:ascii="Palatino Linotype" w:hAnsi="Palatino Linotype" w:cs="Arial"/>
        </w:rPr>
        <w:t>ón requerida.</w:t>
      </w:r>
    </w:p>
    <w:p w14:paraId="418335A3" w14:textId="77777777" w:rsidR="009B75F4" w:rsidRDefault="009B75F4" w:rsidP="001F7320">
      <w:pPr>
        <w:pStyle w:val="Prrafodelista"/>
        <w:spacing w:line="360" w:lineRule="auto"/>
        <w:ind w:left="1080"/>
        <w:jc w:val="both"/>
        <w:rPr>
          <w:rFonts w:ascii="Palatino Linotype" w:hAnsi="Palatino Linotype" w:cs="Arial"/>
        </w:rPr>
      </w:pPr>
    </w:p>
    <w:p w14:paraId="3993A209" w14:textId="67B5392A" w:rsidR="0097787E" w:rsidRPr="00B41C37" w:rsidRDefault="007D246D" w:rsidP="00B41C37">
      <w:pPr>
        <w:pStyle w:val="Prrafodelista"/>
        <w:numPr>
          <w:ilvl w:val="0"/>
          <w:numId w:val="1"/>
        </w:numPr>
        <w:spacing w:line="360" w:lineRule="auto"/>
        <w:jc w:val="both"/>
        <w:rPr>
          <w:rFonts w:ascii="Palatino Linotype" w:hAnsi="Palatino Linotype" w:cs="Arial"/>
        </w:rPr>
      </w:pPr>
      <w:r w:rsidRPr="007D246D">
        <w:rPr>
          <w:rFonts w:ascii="Palatino Linotype" w:hAnsi="Palatino Linotype" w:cs="Arial"/>
          <w:b/>
        </w:rPr>
        <w:t>RESP_SAIMEX_01022_RR_05390_D_URBANO</w:t>
      </w:r>
      <w:r w:rsidR="0097787E">
        <w:rPr>
          <w:rFonts w:ascii="Palatino Linotype" w:hAnsi="Palatino Linotype" w:cs="Arial"/>
          <w:b/>
        </w:rPr>
        <w:t>:</w:t>
      </w:r>
      <w:r w:rsidR="0097787E">
        <w:rPr>
          <w:rFonts w:ascii="Palatino Linotype" w:hAnsi="Palatino Linotype" w:cs="Arial"/>
        </w:rPr>
        <w:t xml:space="preserve"> </w:t>
      </w:r>
      <w:r w:rsidR="009B75F4">
        <w:rPr>
          <w:rFonts w:ascii="Palatino Linotype" w:hAnsi="Palatino Linotype" w:cs="Arial"/>
        </w:rPr>
        <w:t>Contiene el</w:t>
      </w:r>
      <w:r w:rsidR="0097787E">
        <w:rPr>
          <w:rFonts w:ascii="Palatino Linotype" w:hAnsi="Palatino Linotype" w:cs="Arial"/>
        </w:rPr>
        <w:t xml:space="preserve"> oficio número </w:t>
      </w:r>
      <w:r w:rsidR="00811F34">
        <w:rPr>
          <w:rFonts w:ascii="Palatino Linotype" w:hAnsi="Palatino Linotype" w:cs="Arial"/>
        </w:rPr>
        <w:t>DDU/284/2022</w:t>
      </w:r>
      <w:r w:rsidR="0097787E">
        <w:rPr>
          <w:rFonts w:ascii="Palatino Linotype" w:hAnsi="Palatino Linotype" w:cs="Arial"/>
        </w:rPr>
        <w:t xml:space="preserve">, signado por </w:t>
      </w:r>
      <w:r w:rsidR="008B719F">
        <w:rPr>
          <w:rFonts w:ascii="Palatino Linotype" w:hAnsi="Palatino Linotype" w:cs="Arial"/>
        </w:rPr>
        <w:t>la Directora de Desarrollo Urbano</w:t>
      </w:r>
      <w:r w:rsidR="0097787E">
        <w:rPr>
          <w:rFonts w:ascii="Palatino Linotype" w:hAnsi="Palatino Linotype" w:cs="Arial"/>
        </w:rPr>
        <w:t xml:space="preserve">, en el cual </w:t>
      </w:r>
      <w:r w:rsidR="0097787E">
        <w:rPr>
          <w:rFonts w:ascii="Palatino Linotype" w:hAnsi="Palatino Linotype" w:cs="Arial"/>
        </w:rPr>
        <w:lastRenderedPageBreak/>
        <w:t>medularmente</w:t>
      </w:r>
      <w:r w:rsidR="006F1B35">
        <w:rPr>
          <w:rFonts w:ascii="Palatino Linotype" w:hAnsi="Palatino Linotype" w:cs="Arial"/>
        </w:rPr>
        <w:t xml:space="preserve"> refiere el oficio número STTYAM/DTTCCU/0011/2022, emitido por el Departamento de Tenencia de la Tierra y Control de Crecimiento Urbano, el cual </w:t>
      </w:r>
      <w:r w:rsidR="009B75F4">
        <w:rPr>
          <w:rFonts w:ascii="Palatino Linotype" w:hAnsi="Palatino Linotype" w:cs="Arial"/>
        </w:rPr>
        <w:t>señaló que</w:t>
      </w:r>
      <w:r w:rsidR="006F1B35">
        <w:rPr>
          <w:rFonts w:ascii="Palatino Linotype" w:hAnsi="Palatino Linotype" w:cs="Arial"/>
        </w:rPr>
        <w:t xml:space="preserve"> </w:t>
      </w:r>
      <w:r w:rsidR="00145E01">
        <w:rPr>
          <w:rFonts w:ascii="Palatino Linotype" w:hAnsi="Palatino Linotype" w:cs="Arial"/>
        </w:rPr>
        <w:t xml:space="preserve">respecto a los </w:t>
      </w:r>
      <w:r w:rsidR="006F1B35">
        <w:rPr>
          <w:rFonts w:ascii="Palatino Linotype" w:hAnsi="Palatino Linotype" w:cs="Arial"/>
        </w:rPr>
        <w:t>punto</w:t>
      </w:r>
      <w:r w:rsidR="00145E01">
        <w:rPr>
          <w:rFonts w:ascii="Palatino Linotype" w:hAnsi="Palatino Linotype" w:cs="Arial"/>
        </w:rPr>
        <w:t>s</w:t>
      </w:r>
      <w:r w:rsidR="006F1B35">
        <w:rPr>
          <w:rFonts w:ascii="Palatino Linotype" w:hAnsi="Palatino Linotype" w:cs="Arial"/>
        </w:rPr>
        <w:t xml:space="preserve"> 1</w:t>
      </w:r>
      <w:r w:rsidR="00145E01">
        <w:rPr>
          <w:rFonts w:ascii="Palatino Linotype" w:hAnsi="Palatino Linotype" w:cs="Arial"/>
        </w:rPr>
        <w:t xml:space="preserve"> y 2</w:t>
      </w:r>
      <w:r w:rsidR="006F1B35">
        <w:rPr>
          <w:rFonts w:ascii="Palatino Linotype" w:hAnsi="Palatino Linotype" w:cs="Arial"/>
        </w:rPr>
        <w:t xml:space="preserve">, que la información </w:t>
      </w:r>
      <w:r w:rsidR="00144CCF">
        <w:rPr>
          <w:rFonts w:ascii="Palatino Linotype" w:hAnsi="Palatino Linotype" w:cs="Arial"/>
        </w:rPr>
        <w:t>requerida en la solicitud inicial, podrá ser localizada en los archivos correspondientes a la Tesorería Municipal</w:t>
      </w:r>
      <w:r w:rsidR="009B75F4">
        <w:rPr>
          <w:rFonts w:ascii="Palatino Linotype" w:hAnsi="Palatino Linotype" w:cs="Arial"/>
        </w:rPr>
        <w:t xml:space="preserve">. Asimismo, </w:t>
      </w:r>
      <w:r w:rsidR="00737207">
        <w:rPr>
          <w:rFonts w:ascii="Palatino Linotype" w:hAnsi="Palatino Linotype" w:cs="Arial"/>
        </w:rPr>
        <w:t xml:space="preserve"> en lo que respecta al punto 3 se informó que </w:t>
      </w:r>
      <w:r w:rsidR="00211E52">
        <w:rPr>
          <w:rFonts w:ascii="Palatino Linotype" w:hAnsi="Palatino Linotype" w:cs="Arial"/>
        </w:rPr>
        <w:t xml:space="preserve">el Departamento de Tenencia de la Tierra y Control de Crecimiento Urbano, envió la información a la Tesorería Municipal mediante el oficio número </w:t>
      </w:r>
      <w:r w:rsidR="00325F34">
        <w:rPr>
          <w:rFonts w:ascii="Palatino Linotype" w:hAnsi="Palatino Linotype" w:cs="Arial"/>
        </w:rPr>
        <w:t>DTU/01341/2021, de fecha 24 de agosto de 2021, con la finalidad de incorporarla al registro correspondiente en el Departamento de C</w:t>
      </w:r>
      <w:r w:rsidR="002A46FA">
        <w:rPr>
          <w:rFonts w:ascii="Palatino Linotype" w:hAnsi="Palatino Linotype" w:cs="Arial"/>
        </w:rPr>
        <w:t>atastro</w:t>
      </w:r>
      <w:r w:rsidR="00461D51">
        <w:rPr>
          <w:rFonts w:ascii="Palatino Linotype" w:hAnsi="Palatino Linotype" w:cs="Arial"/>
        </w:rPr>
        <w:t>.</w:t>
      </w:r>
    </w:p>
    <w:p w14:paraId="7EC700FA" w14:textId="77777777" w:rsidR="00D05256" w:rsidRDefault="00D05256" w:rsidP="00C242D9">
      <w:pPr>
        <w:spacing w:after="0" w:line="360" w:lineRule="auto"/>
        <w:ind w:right="141"/>
        <w:jc w:val="both"/>
        <w:rPr>
          <w:rFonts w:ascii="Palatino Linotype" w:hAnsi="Palatino Linotype"/>
          <w:sz w:val="24"/>
          <w:szCs w:val="24"/>
          <w:lang w:eastAsia="es-MX"/>
        </w:rPr>
      </w:pPr>
    </w:p>
    <w:p w14:paraId="50DC94D7" w14:textId="64535021" w:rsidR="00C242D9" w:rsidRPr="004929A2" w:rsidRDefault="00C242D9" w:rsidP="004929A2">
      <w:pPr>
        <w:spacing w:after="0" w:line="360" w:lineRule="auto"/>
        <w:ind w:right="141"/>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 xml:space="preserve">inconformidad hechos valer por </w:t>
      </w:r>
      <w:r>
        <w:rPr>
          <w:rFonts w:ascii="Palatino Linotype" w:hAnsi="Palatino Linotype"/>
          <w:b/>
          <w:sz w:val="24"/>
          <w:szCs w:val="24"/>
          <w:lang w:eastAsia="es-MX"/>
        </w:rPr>
        <w:t>El</w:t>
      </w:r>
      <w:r w:rsidRPr="001B0708">
        <w:rPr>
          <w:rFonts w:ascii="Palatino Linotype" w:hAnsi="Palatino Linotype"/>
          <w:b/>
          <w:sz w:val="24"/>
          <w:szCs w:val="24"/>
          <w:lang w:eastAsia="es-MX"/>
        </w:rPr>
        <w:t xml:space="preserve"> Recurrente</w:t>
      </w:r>
      <w:r w:rsidRPr="001B0708">
        <w:rPr>
          <w:rFonts w:ascii="Palatino Linotype" w:hAnsi="Palatino Linotype"/>
          <w:sz w:val="24"/>
          <w:szCs w:val="24"/>
          <w:lang w:eastAsia="es-MX"/>
        </w:rPr>
        <w:t xml:space="preserve"> son fundados, tomando en cuenta las siguientes consideraciones de hecho y de derecho:</w:t>
      </w:r>
    </w:p>
    <w:p w14:paraId="6D201B5E" w14:textId="77777777" w:rsidR="00C242D9" w:rsidRDefault="00C242D9" w:rsidP="00C242D9">
      <w:pPr>
        <w:spacing w:after="0" w:line="360" w:lineRule="auto"/>
        <w:jc w:val="both"/>
        <w:rPr>
          <w:rFonts w:ascii="Palatino Linotype" w:eastAsia="Times New Roman" w:hAnsi="Palatino Linotype" w:cs="Arial"/>
          <w:sz w:val="24"/>
          <w:szCs w:val="24"/>
          <w:lang w:eastAsia="es-ES"/>
        </w:rPr>
      </w:pPr>
    </w:p>
    <w:p w14:paraId="03C6E3EE" w14:textId="058CC9DC" w:rsidR="00C242D9" w:rsidRPr="00271622" w:rsidRDefault="00E17734" w:rsidP="00C242D9">
      <w:pPr>
        <w:spacing w:after="0" w:line="360" w:lineRule="auto"/>
        <w:jc w:val="both"/>
        <w:rPr>
          <w:rFonts w:ascii="Palatino Linotype" w:eastAsia="Calibri" w:hAnsi="Palatino Linotype" w:cs="Times New Roman"/>
          <w:sz w:val="24"/>
          <w:szCs w:val="24"/>
        </w:rPr>
      </w:pPr>
      <w:r>
        <w:rPr>
          <w:rFonts w:ascii="Palatino Linotype" w:eastAsia="Times New Roman" w:hAnsi="Palatino Linotype" w:cs="Times New Roman"/>
          <w:sz w:val="24"/>
          <w:szCs w:val="24"/>
          <w:lang w:eastAsia="es-ES"/>
        </w:rPr>
        <w:t xml:space="preserve">Es </w:t>
      </w:r>
      <w:r w:rsidR="00C242D9" w:rsidRPr="00271622">
        <w:rPr>
          <w:rFonts w:ascii="Palatino Linotype" w:eastAsia="Times New Roman" w:hAnsi="Palatino Linotype" w:cs="Times New Roman"/>
          <w:sz w:val="24"/>
          <w:szCs w:val="24"/>
          <w:lang w:eastAsia="es-ES"/>
        </w:rPr>
        <w:t xml:space="preserve">de precisar que </w:t>
      </w:r>
      <w:r w:rsidR="00C242D9" w:rsidRPr="00271622">
        <w:rPr>
          <w:rFonts w:ascii="Palatino Linotype" w:eastAsia="Calibri" w:hAnsi="Palatino Linotype" w:cs="Times New Roman"/>
          <w:sz w:val="24"/>
          <w:szCs w:val="24"/>
        </w:rPr>
        <w:t xml:space="preserve">se obvia el análisis de la competencia por parte del </w:t>
      </w:r>
      <w:r w:rsidR="00C242D9" w:rsidRPr="00271622">
        <w:rPr>
          <w:rFonts w:ascii="Palatino Linotype" w:eastAsia="Calibri" w:hAnsi="Palatino Linotype" w:cs="Times New Roman"/>
          <w:b/>
          <w:sz w:val="24"/>
          <w:szCs w:val="24"/>
        </w:rPr>
        <w:t>Sujeto Obligado</w:t>
      </w:r>
      <w:r w:rsidR="00C242D9" w:rsidRPr="00271622">
        <w:rPr>
          <w:rFonts w:ascii="Palatino Linotype" w:eastAsia="Calibri" w:hAnsi="Palatino Linotype" w:cs="Times New Roman"/>
          <w:sz w:val="24"/>
          <w:szCs w:val="24"/>
        </w:rPr>
        <w:t>, para generar, administrar o poseer la información solicitada, dado que éste ha asumido la misma, mediante su respuesta a la solicitud de información.</w:t>
      </w:r>
    </w:p>
    <w:p w14:paraId="0022E1D4" w14:textId="77777777" w:rsidR="00C242D9" w:rsidRPr="00271622" w:rsidRDefault="00C242D9" w:rsidP="00C242D9">
      <w:pPr>
        <w:spacing w:after="0" w:line="360" w:lineRule="auto"/>
        <w:jc w:val="both"/>
        <w:rPr>
          <w:rFonts w:ascii="Palatino Linotype" w:eastAsia="Calibri" w:hAnsi="Palatino Linotype" w:cs="Times New Roman"/>
          <w:sz w:val="24"/>
          <w:szCs w:val="24"/>
        </w:rPr>
      </w:pPr>
    </w:p>
    <w:p w14:paraId="553E369D" w14:textId="77777777" w:rsidR="00C242D9" w:rsidRPr="00271622" w:rsidRDefault="00C242D9" w:rsidP="00C242D9">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Calibri" w:hAnsi="Palatino Linotype" w:cs="Times New Roman"/>
          <w:sz w:val="24"/>
          <w:szCs w:val="24"/>
        </w:rPr>
        <w:t xml:space="preserve">En efecto, el hecho de que el </w:t>
      </w:r>
      <w:r w:rsidRPr="00271622">
        <w:rPr>
          <w:rFonts w:ascii="Palatino Linotype" w:eastAsia="Calibri" w:hAnsi="Palatino Linotype" w:cs="Times New Roman"/>
          <w:b/>
          <w:sz w:val="24"/>
          <w:szCs w:val="24"/>
        </w:rPr>
        <w:t xml:space="preserve">Sujeto Obligado </w:t>
      </w:r>
      <w:r w:rsidRPr="00271622">
        <w:rPr>
          <w:rFonts w:ascii="Palatino Linotype" w:eastAsia="Calibri" w:hAnsi="Palatino Linotype" w:cs="Times New Roman"/>
          <w:sz w:val="24"/>
          <w:szCs w:val="24"/>
        </w:rPr>
        <w:t>haya asumido la información implica que la genera, posee o administra, en ejercicio de sus funciones de derecho público</w:t>
      </w:r>
      <w:r w:rsidRPr="00271622">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4EC21282" w14:textId="77777777" w:rsidR="00C242D9" w:rsidRPr="00271622" w:rsidRDefault="00C242D9" w:rsidP="00C242D9">
      <w:pPr>
        <w:spacing w:after="0" w:line="360" w:lineRule="auto"/>
        <w:jc w:val="both"/>
        <w:rPr>
          <w:rFonts w:ascii="Palatino Linotype" w:eastAsia="Calibri" w:hAnsi="Palatino Linotype" w:cs="Times New Roman"/>
          <w:sz w:val="24"/>
          <w:szCs w:val="24"/>
        </w:rPr>
      </w:pPr>
    </w:p>
    <w:p w14:paraId="064CD58E" w14:textId="77777777" w:rsidR="00C242D9" w:rsidRDefault="00C242D9" w:rsidP="00C242D9">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lastRenderedPageBreak/>
        <w:t xml:space="preserve">De hecho, el estudio de la naturaleza jurídica de la información pública solicitada, tiene por objeto determinar si ésta la genera, posee o administra el </w:t>
      </w:r>
      <w:r w:rsidRPr="00271622">
        <w:rPr>
          <w:rFonts w:ascii="Palatino Linotype" w:eastAsia="Times New Roman" w:hAnsi="Palatino Linotype" w:cs="Times New Roman"/>
          <w:b/>
          <w:sz w:val="24"/>
          <w:szCs w:val="24"/>
          <w:lang w:eastAsia="es-ES"/>
        </w:rPr>
        <w:t>Sujeto Obligado</w:t>
      </w:r>
      <w:r w:rsidRPr="00271622">
        <w:rPr>
          <w:rFonts w:ascii="Palatino Linotype" w:eastAsia="Times New Roman" w:hAnsi="Palatino Linotype" w:cs="Times New Roman"/>
          <w:sz w:val="24"/>
          <w:szCs w:val="24"/>
          <w:lang w:eastAsia="es-ES"/>
        </w:rPr>
        <w:t xml:space="preserve">; sin embargo, en aquellos casos en que éste la asume, implica en automático que la genera, posee o administra; por consiguiente, a nada práctico nos conduciría su estudio, ya que se insiste la información pública solicitada, ya fue asumida por el </w:t>
      </w:r>
      <w:r w:rsidRPr="00271622">
        <w:rPr>
          <w:rFonts w:ascii="Palatino Linotype" w:eastAsia="Times New Roman" w:hAnsi="Palatino Linotype" w:cs="Times New Roman"/>
          <w:b/>
          <w:sz w:val="24"/>
          <w:szCs w:val="24"/>
          <w:lang w:eastAsia="es-ES"/>
        </w:rPr>
        <w:t>Sujeto Obligado</w:t>
      </w:r>
      <w:r w:rsidRPr="00271622">
        <w:rPr>
          <w:rFonts w:ascii="Palatino Linotype" w:eastAsia="Times New Roman" w:hAnsi="Palatino Linotype" w:cs="Times New Roman"/>
          <w:sz w:val="24"/>
          <w:szCs w:val="24"/>
          <w:lang w:eastAsia="es-ES"/>
        </w:rPr>
        <w:t>.</w:t>
      </w:r>
    </w:p>
    <w:p w14:paraId="4CA95146" w14:textId="77777777" w:rsidR="00C242D9" w:rsidRDefault="00C242D9" w:rsidP="00C242D9">
      <w:pPr>
        <w:spacing w:after="0" w:line="360" w:lineRule="auto"/>
        <w:jc w:val="both"/>
        <w:rPr>
          <w:rFonts w:ascii="Palatino Linotype" w:eastAsia="Times New Roman" w:hAnsi="Palatino Linotype" w:cs="Times New Roman"/>
          <w:sz w:val="24"/>
          <w:szCs w:val="24"/>
          <w:lang w:eastAsia="es-ES"/>
        </w:rPr>
      </w:pPr>
    </w:p>
    <w:p w14:paraId="169FB61C" w14:textId="4CEC8400" w:rsidR="00C242D9" w:rsidRPr="00D14D87" w:rsidRDefault="00C242D9" w:rsidP="00C242D9">
      <w:pPr>
        <w:pStyle w:val="Sinespaciado"/>
        <w:spacing w:line="360" w:lineRule="auto"/>
        <w:jc w:val="both"/>
        <w:rPr>
          <w:rFonts w:ascii="Palatino Linotype" w:eastAsia="Calibri" w:hAnsi="Palatino Linotype"/>
          <w:sz w:val="24"/>
        </w:rPr>
      </w:pPr>
      <w:r w:rsidRPr="004A3733">
        <w:rPr>
          <w:rFonts w:ascii="Palatino Linotype" w:hAnsi="Palatino Linotype"/>
          <w:sz w:val="24"/>
        </w:rPr>
        <w:t>Ahora bien, en atención a los r</w:t>
      </w:r>
      <w:r w:rsidR="004A3733" w:rsidRPr="004A3733">
        <w:rPr>
          <w:rFonts w:ascii="Palatino Linotype" w:hAnsi="Palatino Linotype"/>
          <w:sz w:val="24"/>
        </w:rPr>
        <w:t xml:space="preserve">equerimientos formulados por el </w:t>
      </w:r>
      <w:r w:rsidRPr="004A3733">
        <w:rPr>
          <w:rFonts w:ascii="Palatino Linotype" w:hAnsi="Palatino Linotype"/>
          <w:sz w:val="24"/>
        </w:rPr>
        <w:t>particular</w:t>
      </w:r>
      <w:r w:rsidR="004A3733" w:rsidRPr="004A3733">
        <w:rPr>
          <w:rFonts w:ascii="Palatino Linotype" w:hAnsi="Palatino Linotype"/>
          <w:sz w:val="24"/>
        </w:rPr>
        <w:t>,</w:t>
      </w:r>
      <w:r w:rsidRPr="00D14D87">
        <w:rPr>
          <w:rFonts w:ascii="Palatino Linotype" w:hAnsi="Palatino Linotype"/>
          <w:sz w:val="24"/>
        </w:rPr>
        <w:t xml:space="preserve"> el Sujeto Obligado remitió mediante respuesta primigenia, </w:t>
      </w:r>
      <w:r w:rsidR="00A8722C">
        <w:rPr>
          <w:rFonts w:ascii="Palatino Linotype" w:hAnsi="Palatino Linotype"/>
          <w:sz w:val="24"/>
        </w:rPr>
        <w:t xml:space="preserve">un documento dónde manifiesta que </w:t>
      </w:r>
      <w:r w:rsidR="00A8722C" w:rsidRPr="00A8722C">
        <w:rPr>
          <w:rFonts w:ascii="Palatino Linotype" w:hAnsi="Palatino Linotype" w:cs="Arial"/>
          <w:iCs/>
          <w:sz w:val="24"/>
          <w:lang w:val="es-ES_tradnl"/>
        </w:rPr>
        <w:t>por lo que respecta a los puntos 1 y 2, después de la búsqueda realizada, se observó que, los expedientes contenidos en sus archivos suman un aproximado de 97,020 fojas de todos los expedientes</w:t>
      </w:r>
      <w:r w:rsidR="00A8722C">
        <w:rPr>
          <w:rFonts w:ascii="Palatino Linotype" w:hAnsi="Palatino Linotype" w:cs="Arial"/>
          <w:iCs/>
          <w:lang w:val="es-ES_tradnl"/>
        </w:rPr>
        <w:t xml:space="preserve">, </w:t>
      </w:r>
      <w:r w:rsidR="00A8722C" w:rsidRPr="00A8722C">
        <w:rPr>
          <w:rFonts w:ascii="Palatino Linotype" w:hAnsi="Palatino Linotype" w:cs="Arial"/>
          <w:iCs/>
          <w:sz w:val="24"/>
          <w:lang w:val="es-ES_tradnl"/>
        </w:rPr>
        <w:t>por lo que se deberá solicitar el cobro de la información al solicitante, con la finalidad de realizar el procesamiento de la información mediante escaneo y digitalización</w:t>
      </w:r>
      <w:r w:rsidR="00E92575">
        <w:rPr>
          <w:rFonts w:ascii="Palatino Linotype" w:hAnsi="Palatino Linotype"/>
          <w:sz w:val="24"/>
        </w:rPr>
        <w:t>;</w:t>
      </w:r>
      <w:r w:rsidRPr="00D14D87">
        <w:rPr>
          <w:rFonts w:ascii="Palatino Linotype" w:hAnsi="Palatino Linotype"/>
          <w:sz w:val="24"/>
        </w:rPr>
        <w:t xml:space="preserve"> sin embargo, </w:t>
      </w:r>
      <w:r w:rsidRPr="00D14D87">
        <w:rPr>
          <w:rFonts w:ascii="Palatino Linotype" w:hAnsi="Palatino Linotype" w:cs="Arial"/>
          <w:sz w:val="24"/>
        </w:rPr>
        <w:t xml:space="preserve">se destaca que dichos señalamientos no colman la pretensión del particular, ello en virtud de que </w:t>
      </w:r>
      <w:r w:rsidRPr="00D14D87">
        <w:rPr>
          <w:rFonts w:ascii="Palatino Linotype" w:eastAsia="Calibri" w:hAnsi="Palatino Linotype"/>
          <w:sz w:val="24"/>
        </w:rPr>
        <w:t>la naturaleza del derecho de acceso a la información es de índole documental, y por tanto se delimita a los documentos que los sujetos obligados generen, administren o posean, conforme al precepto 24, de la Ley de la materia que al efecto establece:</w:t>
      </w:r>
    </w:p>
    <w:p w14:paraId="081A152F" w14:textId="77777777" w:rsidR="00C242D9" w:rsidRPr="0072373B" w:rsidRDefault="00C242D9" w:rsidP="00C242D9">
      <w:pPr>
        <w:spacing w:after="0" w:line="240" w:lineRule="auto"/>
        <w:rPr>
          <w:rFonts w:ascii="Times New Roman" w:eastAsia="Times New Roman" w:hAnsi="Times New Roman" w:cs="Times New Roman"/>
          <w:sz w:val="24"/>
          <w:szCs w:val="24"/>
          <w:lang w:val="es-ES" w:eastAsia="es-ES"/>
        </w:rPr>
      </w:pPr>
    </w:p>
    <w:p w14:paraId="6BAB6AB6" w14:textId="77777777" w:rsidR="00C242D9" w:rsidRPr="0072373B" w:rsidRDefault="00C242D9" w:rsidP="00C242D9">
      <w:pPr>
        <w:autoSpaceDE w:val="0"/>
        <w:autoSpaceDN w:val="0"/>
        <w:adjustRightInd w:val="0"/>
        <w:spacing w:after="0" w:line="240" w:lineRule="auto"/>
        <w:ind w:left="851" w:right="851"/>
        <w:jc w:val="both"/>
        <w:rPr>
          <w:rFonts w:ascii="Palatino Linotype" w:eastAsia="Calibri" w:hAnsi="Palatino Linotype" w:cs="Arial"/>
          <w:i/>
          <w:sz w:val="24"/>
          <w:szCs w:val="24"/>
          <w:lang w:val="es-ES" w:eastAsia="es-ES"/>
        </w:rPr>
      </w:pPr>
      <w:r w:rsidRPr="0072373B">
        <w:rPr>
          <w:rFonts w:ascii="Palatino Linotype" w:eastAsia="Calibri" w:hAnsi="Palatino Linotype" w:cs="Arial"/>
          <w:i/>
          <w:sz w:val="24"/>
          <w:szCs w:val="24"/>
          <w:lang w:val="es-ES" w:eastAsia="es-ES"/>
        </w:rPr>
        <w:t>“</w:t>
      </w:r>
      <w:r w:rsidRPr="0072373B">
        <w:rPr>
          <w:rFonts w:ascii="Palatino Linotype" w:eastAsia="Calibri" w:hAnsi="Palatino Linotype" w:cs="Arial"/>
          <w:b/>
          <w:i/>
          <w:sz w:val="24"/>
          <w:szCs w:val="24"/>
          <w:lang w:val="es-ES" w:eastAsia="es-ES"/>
        </w:rPr>
        <w:t>Artículo 24.</w:t>
      </w:r>
      <w:r w:rsidRPr="0072373B">
        <w:rPr>
          <w:rFonts w:ascii="Palatino Linotype" w:eastAsia="Calibri" w:hAnsi="Palatino Linotype" w:cs="Arial"/>
          <w:i/>
          <w:sz w:val="24"/>
          <w:szCs w:val="24"/>
          <w:lang w:val="es-ES" w:eastAsia="es-ES"/>
        </w:rPr>
        <w:t xml:space="preserve"> Para el cumplimiento de los objetivos de esta Ley, los sujetos obligados deberán cumplir con las siguientes obligaciones, según corresponda, de acuerdo a su naturaleza:</w:t>
      </w:r>
    </w:p>
    <w:p w14:paraId="2A29C2A0" w14:textId="77777777" w:rsidR="00C242D9" w:rsidRPr="0072373B" w:rsidRDefault="00C242D9" w:rsidP="00C242D9">
      <w:pPr>
        <w:autoSpaceDE w:val="0"/>
        <w:autoSpaceDN w:val="0"/>
        <w:adjustRightInd w:val="0"/>
        <w:spacing w:after="0" w:line="240" w:lineRule="auto"/>
        <w:ind w:left="851" w:right="851"/>
        <w:jc w:val="both"/>
        <w:rPr>
          <w:rFonts w:ascii="Palatino Linotype" w:eastAsia="Calibri" w:hAnsi="Palatino Linotype" w:cs="Arial"/>
          <w:i/>
          <w:sz w:val="24"/>
          <w:szCs w:val="24"/>
          <w:lang w:val="es-ES" w:eastAsia="es-ES"/>
        </w:rPr>
      </w:pPr>
    </w:p>
    <w:p w14:paraId="1F1C4D5E" w14:textId="77777777" w:rsidR="00C242D9" w:rsidRPr="0072373B" w:rsidRDefault="00C242D9" w:rsidP="00C242D9">
      <w:pPr>
        <w:tabs>
          <w:tab w:val="left" w:pos="709"/>
        </w:tabs>
        <w:spacing w:after="0" w:line="240" w:lineRule="auto"/>
        <w:ind w:left="851" w:right="851"/>
        <w:jc w:val="both"/>
        <w:rPr>
          <w:rFonts w:ascii="Palatino Linotype" w:eastAsia="Calibri" w:hAnsi="Palatino Linotype" w:cs="Arial"/>
          <w:i/>
          <w:sz w:val="24"/>
          <w:szCs w:val="24"/>
          <w:lang w:val="es-ES" w:eastAsia="es-ES"/>
        </w:rPr>
      </w:pPr>
      <w:r w:rsidRPr="0072373B">
        <w:rPr>
          <w:rFonts w:ascii="Palatino Linotype" w:eastAsia="Calibri" w:hAnsi="Palatino Linotype" w:cs="Arial"/>
          <w:i/>
          <w:sz w:val="24"/>
          <w:szCs w:val="24"/>
          <w:lang w:val="es-ES" w:eastAsia="es-ES"/>
        </w:rPr>
        <w:t>[…]</w:t>
      </w:r>
    </w:p>
    <w:p w14:paraId="1BD0CF70" w14:textId="77777777" w:rsidR="00C242D9" w:rsidRPr="0072373B" w:rsidRDefault="00C242D9" w:rsidP="00C242D9">
      <w:pPr>
        <w:tabs>
          <w:tab w:val="left" w:pos="709"/>
        </w:tabs>
        <w:spacing w:after="0" w:line="240" w:lineRule="auto"/>
        <w:ind w:left="851" w:right="851"/>
        <w:jc w:val="both"/>
        <w:rPr>
          <w:rFonts w:ascii="Palatino Linotype" w:eastAsia="Calibri" w:hAnsi="Palatino Linotype" w:cs="Arial"/>
          <w:i/>
          <w:sz w:val="24"/>
          <w:szCs w:val="24"/>
          <w:lang w:val="es-ES" w:eastAsia="es-ES"/>
        </w:rPr>
      </w:pPr>
      <w:r w:rsidRPr="0072373B">
        <w:rPr>
          <w:rFonts w:ascii="Palatino Linotype" w:eastAsia="Calibri" w:hAnsi="Palatino Linotype" w:cs="Arial"/>
          <w:b/>
          <w:i/>
          <w:sz w:val="24"/>
          <w:szCs w:val="24"/>
          <w:lang w:val="es-ES" w:eastAsia="es-ES"/>
        </w:rPr>
        <w:t>Los sujetos obligados solo proporcionarán la información pública que generen, administren o posean en el ejercicio de sus atribuciones</w:t>
      </w:r>
      <w:r w:rsidRPr="0072373B">
        <w:rPr>
          <w:rFonts w:ascii="Palatino Linotype" w:eastAsia="Calibri" w:hAnsi="Palatino Linotype" w:cs="Times New Roman"/>
          <w:sz w:val="24"/>
          <w:szCs w:val="24"/>
          <w:lang w:val="es-ES" w:eastAsia="es-ES"/>
        </w:rPr>
        <w:t>.”</w:t>
      </w:r>
    </w:p>
    <w:p w14:paraId="34B2CFAF" w14:textId="77777777" w:rsidR="00C242D9" w:rsidRPr="0072373B" w:rsidRDefault="00C242D9" w:rsidP="00C242D9">
      <w:pPr>
        <w:spacing w:after="0" w:line="240" w:lineRule="auto"/>
        <w:rPr>
          <w:rFonts w:ascii="Times New Roman" w:eastAsia="Times New Roman" w:hAnsi="Times New Roman" w:cs="Times New Roman"/>
          <w:sz w:val="24"/>
          <w:szCs w:val="24"/>
          <w:lang w:val="es-ES" w:eastAsia="es-ES"/>
        </w:rPr>
      </w:pPr>
    </w:p>
    <w:p w14:paraId="4AD637CD" w14:textId="77777777" w:rsidR="00C242D9" w:rsidRPr="0072373B" w:rsidRDefault="00C242D9" w:rsidP="00C242D9">
      <w:pPr>
        <w:spacing w:after="0" w:line="360" w:lineRule="auto"/>
        <w:jc w:val="both"/>
        <w:rPr>
          <w:rFonts w:ascii="Palatino Linotype" w:eastAsia="Times New Roman" w:hAnsi="Palatino Linotype" w:cs="Arial"/>
          <w:sz w:val="24"/>
          <w:szCs w:val="24"/>
          <w:lang w:val="es-ES" w:eastAsia="es-ES"/>
        </w:rPr>
      </w:pPr>
    </w:p>
    <w:p w14:paraId="17279B67" w14:textId="77777777" w:rsidR="00C242D9" w:rsidRPr="00C52156" w:rsidRDefault="00C242D9" w:rsidP="00C242D9">
      <w:pPr>
        <w:tabs>
          <w:tab w:val="left" w:pos="709"/>
        </w:tabs>
        <w:spacing w:line="360" w:lineRule="auto"/>
        <w:jc w:val="both"/>
        <w:rPr>
          <w:rFonts w:ascii="Palatino Linotype" w:eastAsia="Calibri" w:hAnsi="Palatino Linotype" w:cs="Arial"/>
          <w:sz w:val="24"/>
        </w:rPr>
      </w:pPr>
      <w:r w:rsidRPr="00C52156">
        <w:rPr>
          <w:rFonts w:ascii="Palatino Linotype" w:eastAsia="Calibri" w:hAnsi="Palatino Linotype" w:cs="Arial"/>
          <w:sz w:val="24"/>
        </w:rPr>
        <w:lastRenderedPageBreak/>
        <w:t xml:space="preserve">En esta misma tesitura, el derecho de acceso a la información pública, consiste en que la información solicitada conste en un soporte documental en cualquiera de sus formas, a saber: </w:t>
      </w:r>
      <w:r w:rsidRPr="00C52156">
        <w:rPr>
          <w:rFonts w:ascii="Palatino Linotype" w:eastAsia="Calibri" w:hAnsi="Palatino Linotype" w:cs="Arial"/>
          <w:bCs/>
          <w:sz w:val="24"/>
          <w:u w:val="single"/>
        </w:rPr>
        <w:t xml:space="preserve">expedientes, reportes, estudios, actas, resoluciones, </w:t>
      </w:r>
      <w:r w:rsidRPr="00C52156">
        <w:rPr>
          <w:rFonts w:ascii="Palatino Linotype" w:eastAsia="Calibri" w:hAnsi="Palatino Linotype" w:cs="Arial"/>
          <w:b/>
          <w:sz w:val="24"/>
          <w:u w:val="single"/>
        </w:rPr>
        <w:t>oficios</w:t>
      </w:r>
      <w:r w:rsidRPr="00C52156">
        <w:rPr>
          <w:rFonts w:ascii="Palatino Linotype" w:eastAsia="Calibri" w:hAnsi="Palatino Linotype" w:cs="Arial"/>
          <w:bCs/>
          <w:sz w:val="24"/>
          <w:u w:val="single"/>
        </w:rPr>
        <w:t>, correspondencia, acuerdos, directivas, directrices, circulares, contratos, convenios, instructivos, notas, memorandos, estadísticas o bien, cualquier otro registro que documente el ejercicio de las facultades, funciones y competencias</w:t>
      </w:r>
      <w:r w:rsidRPr="00C52156">
        <w:rPr>
          <w:rFonts w:ascii="Palatino Linotype" w:eastAsia="Calibri"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816F6B" w14:textId="77777777" w:rsidR="00C242D9" w:rsidRPr="00C52156" w:rsidRDefault="00C242D9" w:rsidP="00C242D9">
      <w:pPr>
        <w:spacing w:after="0" w:line="240" w:lineRule="auto"/>
        <w:rPr>
          <w:rFonts w:ascii="Calibri" w:hAnsi="Calibri" w:cs="Times New Roman"/>
        </w:rPr>
      </w:pPr>
    </w:p>
    <w:p w14:paraId="319C5422" w14:textId="77777777" w:rsidR="00C242D9" w:rsidRPr="00C52156" w:rsidRDefault="00C242D9" w:rsidP="00C242D9">
      <w:pPr>
        <w:spacing w:line="256" w:lineRule="auto"/>
        <w:ind w:left="851" w:right="901"/>
        <w:jc w:val="both"/>
        <w:rPr>
          <w:rFonts w:ascii="Palatino Linotype" w:eastAsia="Calibri" w:hAnsi="Palatino Linotype" w:cs="Arial"/>
          <w:i/>
        </w:rPr>
      </w:pPr>
      <w:r w:rsidRPr="00C52156">
        <w:rPr>
          <w:rFonts w:ascii="Palatino Linotype" w:eastAsia="Calibri" w:hAnsi="Palatino Linotype" w:cs="Arial"/>
          <w:i/>
        </w:rPr>
        <w:t>“</w:t>
      </w:r>
      <w:r w:rsidRPr="00C52156">
        <w:rPr>
          <w:rFonts w:ascii="Palatino Linotype" w:eastAsia="Calibri" w:hAnsi="Palatino Linotype" w:cs="Arial"/>
          <w:b/>
          <w:i/>
        </w:rPr>
        <w:t xml:space="preserve">Artículo 3. </w:t>
      </w:r>
      <w:r w:rsidRPr="00C52156">
        <w:rPr>
          <w:rFonts w:ascii="Palatino Linotype" w:eastAsia="Calibri" w:hAnsi="Palatino Linotype" w:cs="Arial"/>
          <w:i/>
        </w:rPr>
        <w:t>Para los efectos de la presente Ley se entenderá por:</w:t>
      </w:r>
    </w:p>
    <w:p w14:paraId="55546448" w14:textId="77777777" w:rsidR="00C242D9" w:rsidRPr="00C52156" w:rsidRDefault="00C242D9" w:rsidP="00C242D9">
      <w:pPr>
        <w:spacing w:line="256" w:lineRule="auto"/>
        <w:ind w:left="851" w:right="850"/>
        <w:jc w:val="both"/>
        <w:rPr>
          <w:rFonts w:ascii="Palatino Linotype" w:eastAsia="Calibri" w:hAnsi="Palatino Linotype" w:cs="Arial"/>
          <w:i/>
        </w:rPr>
      </w:pPr>
      <w:r w:rsidRPr="00C52156">
        <w:rPr>
          <w:rFonts w:ascii="Palatino Linotype" w:eastAsia="Calibri" w:hAnsi="Palatino Linotype" w:cs="Arial"/>
          <w:i/>
        </w:rPr>
        <w:t>(…)</w:t>
      </w:r>
    </w:p>
    <w:p w14:paraId="21980662" w14:textId="77777777" w:rsidR="00C242D9" w:rsidRPr="00C52156" w:rsidRDefault="00C242D9" w:rsidP="00C242D9">
      <w:pPr>
        <w:spacing w:line="256" w:lineRule="auto"/>
        <w:ind w:left="851" w:right="901"/>
        <w:jc w:val="both"/>
        <w:rPr>
          <w:rFonts w:ascii="Palatino Linotype" w:eastAsia="Calibri" w:hAnsi="Palatino Linotype" w:cs="Arial"/>
          <w:i/>
        </w:rPr>
      </w:pPr>
      <w:r w:rsidRPr="00C52156">
        <w:rPr>
          <w:rFonts w:ascii="Palatino Linotype" w:eastAsia="Calibri" w:hAnsi="Palatino Linotype" w:cs="Arial"/>
          <w:b/>
          <w:i/>
        </w:rPr>
        <w:t>XI. Documento:</w:t>
      </w:r>
      <w:r w:rsidRPr="00C52156">
        <w:rPr>
          <w:rFonts w:ascii="Palatino Linotype" w:eastAsia="Calibri"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C52156">
        <w:rPr>
          <w:rFonts w:ascii="Palatino Linotype" w:eastAsia="Calibri" w:hAnsi="Palatino Linotype" w:cs="Arial"/>
          <w:b/>
          <w:i/>
          <w:u w:val="single"/>
        </w:rPr>
        <w:t>registro que documente el ejercicio de las facultades, funciones y competencias de los sujetos obligados</w:t>
      </w:r>
      <w:r w:rsidRPr="00C52156">
        <w:rPr>
          <w:rFonts w:ascii="Palatino Linotype" w:eastAsia="Calibri" w:hAnsi="Palatino Linotype" w:cs="Arial"/>
          <w:i/>
          <w:u w:val="single"/>
        </w:rPr>
        <w:t>,</w:t>
      </w:r>
      <w:r w:rsidRPr="00C52156">
        <w:rPr>
          <w:rFonts w:ascii="Palatino Linotype" w:eastAsia="Calibri" w:hAnsi="Palatino Linotype" w:cs="Arial"/>
          <w:i/>
        </w:rPr>
        <w:t xml:space="preserve"> sus servidores públicos e integrantes, </w:t>
      </w:r>
      <w:r w:rsidRPr="00C52156">
        <w:rPr>
          <w:rFonts w:ascii="Palatino Linotype" w:eastAsia="Calibri" w:hAnsi="Palatino Linotype" w:cs="Arial"/>
          <w:b/>
          <w:i/>
          <w:u w:val="single"/>
        </w:rPr>
        <w:t>sin importar su fuente o fecha de elaboración.</w:t>
      </w:r>
      <w:r w:rsidRPr="00C52156">
        <w:rPr>
          <w:rFonts w:ascii="Palatino Linotype" w:eastAsia="Calibri" w:hAnsi="Palatino Linotype" w:cs="Arial"/>
          <w:i/>
        </w:rPr>
        <w:t xml:space="preserve"> Los documentos podrán estar en cualquier medio, sea escrito, impreso, sonoro, visual, electrónico, informático u holográfico;</w:t>
      </w:r>
    </w:p>
    <w:p w14:paraId="6039AA7A" w14:textId="77777777" w:rsidR="00C242D9" w:rsidRPr="00C52156" w:rsidRDefault="00C242D9" w:rsidP="00C242D9">
      <w:pPr>
        <w:spacing w:line="256" w:lineRule="auto"/>
        <w:ind w:left="851" w:right="901"/>
        <w:jc w:val="both"/>
        <w:rPr>
          <w:rFonts w:ascii="Palatino Linotype" w:eastAsia="Calibri" w:hAnsi="Palatino Linotype" w:cs="Arial"/>
          <w:i/>
        </w:rPr>
      </w:pPr>
      <w:r w:rsidRPr="00C52156">
        <w:rPr>
          <w:rFonts w:ascii="Palatino Linotype" w:eastAsia="Calibri" w:hAnsi="Palatino Linotype" w:cs="Arial"/>
          <w:i/>
        </w:rPr>
        <w:t>(…)”</w:t>
      </w:r>
    </w:p>
    <w:p w14:paraId="1F4DF219" w14:textId="77777777" w:rsidR="00C242D9" w:rsidRPr="00C52156" w:rsidRDefault="00C242D9" w:rsidP="00C242D9">
      <w:pPr>
        <w:spacing w:line="256" w:lineRule="auto"/>
        <w:rPr>
          <w:rFonts w:ascii="Calibri" w:eastAsia="Calibri" w:hAnsi="Calibri" w:cs="Times New Roman"/>
          <w:sz w:val="14"/>
        </w:rPr>
      </w:pPr>
    </w:p>
    <w:p w14:paraId="0C4D7284" w14:textId="77777777" w:rsidR="00C242D9" w:rsidRPr="00C52156" w:rsidRDefault="00C242D9" w:rsidP="00C242D9">
      <w:pPr>
        <w:spacing w:after="0" w:line="360" w:lineRule="auto"/>
        <w:ind w:right="49"/>
        <w:contextualSpacing/>
        <w:jc w:val="both"/>
        <w:rPr>
          <w:rFonts w:ascii="Palatino Linotype" w:eastAsia="Times New Roman" w:hAnsi="Palatino Linotype" w:cs="Arial"/>
          <w:sz w:val="24"/>
          <w:lang w:eastAsia="es-MX"/>
        </w:rPr>
      </w:pPr>
      <w:r w:rsidRPr="00C52156">
        <w:rPr>
          <w:rFonts w:ascii="Palatino Linotype" w:eastAsia="Calibri" w:hAnsi="Palatino Linotype" w:cs="Arial"/>
          <w:sz w:val="24"/>
        </w:rPr>
        <w:t xml:space="preserve">Además, </w:t>
      </w:r>
      <w:r w:rsidRPr="00C52156">
        <w:rPr>
          <w:rFonts w:ascii="Palatino Linotype" w:eastAsia="MS Mincho" w:hAnsi="Palatino Linotype" w:cs="Times New Roman"/>
          <w:sz w:val="24"/>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w:t>
      </w:r>
      <w:r w:rsidRPr="00C52156">
        <w:rPr>
          <w:rFonts w:ascii="Palatino Linotype" w:eastAsia="MS Mincho" w:hAnsi="Palatino Linotype" w:cs="Times New Roman"/>
          <w:sz w:val="24"/>
        </w:rPr>
        <w:lastRenderedPageBreak/>
        <w:t>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22EE5BB" w14:textId="77777777" w:rsidR="00C242D9" w:rsidRPr="00C52156" w:rsidRDefault="00C242D9" w:rsidP="00C242D9">
      <w:pPr>
        <w:spacing w:after="0" w:line="360" w:lineRule="auto"/>
        <w:ind w:right="49"/>
        <w:contextualSpacing/>
        <w:jc w:val="both"/>
        <w:rPr>
          <w:rFonts w:ascii="Palatino Linotype" w:eastAsia="Times New Roman" w:hAnsi="Palatino Linotype" w:cs="Arial"/>
          <w:sz w:val="24"/>
          <w:szCs w:val="24"/>
          <w:lang w:val="es-ES" w:eastAsia="es-MX"/>
        </w:rPr>
      </w:pPr>
    </w:p>
    <w:p w14:paraId="2C2FFE1E" w14:textId="77777777" w:rsidR="00C242D9" w:rsidRPr="00C52156" w:rsidRDefault="00C242D9" w:rsidP="00C242D9">
      <w:pPr>
        <w:spacing w:after="0" w:line="360" w:lineRule="auto"/>
        <w:ind w:right="49"/>
        <w:contextualSpacing/>
        <w:jc w:val="both"/>
        <w:rPr>
          <w:rFonts w:ascii="Palatino Linotype" w:eastAsia="MS Mincho" w:hAnsi="Palatino Linotype" w:cs="Tahoma"/>
          <w:sz w:val="24"/>
        </w:rPr>
      </w:pPr>
      <w:r w:rsidRPr="00C52156">
        <w:rPr>
          <w:rFonts w:ascii="Palatino Linotype" w:eastAsia="Times New Roman" w:hAnsi="Palatino Linotype" w:cs="Arial"/>
          <w:sz w:val="24"/>
          <w:lang w:eastAsia="es-MX"/>
        </w:rPr>
        <w:t xml:space="preserve">De la misma forma, </w:t>
      </w:r>
      <w:r w:rsidRPr="00C52156">
        <w:rPr>
          <w:rFonts w:ascii="Palatino Linotype" w:eastAsia="MS Mincho" w:hAnsi="Palatino Linotype" w:cs="Times New Roman"/>
          <w:sz w:val="24"/>
        </w:rPr>
        <w:t>de acuerdo al contenido del artículo 160,</w:t>
      </w:r>
      <w:r w:rsidRPr="00C52156">
        <w:rPr>
          <w:rFonts w:ascii="Palatino Linotype" w:eastAsia="Times New Roman" w:hAnsi="Palatino Linotype" w:cs="Arial"/>
          <w:sz w:val="24"/>
        </w:rPr>
        <w:t xml:space="preserve"> de la Ley </w:t>
      </w:r>
      <w:r w:rsidRPr="00C52156">
        <w:rPr>
          <w:rFonts w:ascii="Palatino Linotype" w:eastAsia="MS Mincho" w:hAnsi="Palatino Linotype" w:cs="Tahoma"/>
          <w:sz w:val="24"/>
        </w:rPr>
        <w:t>General de Transparencia y Acceso a la Información Pública que a la letra dispone:</w:t>
      </w:r>
    </w:p>
    <w:p w14:paraId="48348DCE" w14:textId="77777777" w:rsidR="00C242D9" w:rsidRPr="00C52156" w:rsidRDefault="00C242D9" w:rsidP="00C242D9">
      <w:pPr>
        <w:spacing w:line="256" w:lineRule="auto"/>
        <w:rPr>
          <w:rFonts w:ascii="Calibri" w:eastAsia="Calibri" w:hAnsi="Calibri" w:cs="Times New Roman"/>
        </w:rPr>
      </w:pPr>
    </w:p>
    <w:p w14:paraId="2330E790" w14:textId="77777777" w:rsidR="00C242D9" w:rsidRPr="00C52156" w:rsidRDefault="00C242D9" w:rsidP="00C242D9">
      <w:pPr>
        <w:spacing w:after="0" w:line="240" w:lineRule="auto"/>
        <w:ind w:left="851" w:right="616"/>
        <w:contextualSpacing/>
        <w:jc w:val="both"/>
        <w:rPr>
          <w:rFonts w:ascii="Palatino Linotype" w:eastAsia="Times New Roman" w:hAnsi="Palatino Linotype" w:cs="Arial"/>
          <w:i/>
          <w:lang w:eastAsia="gl-ES"/>
        </w:rPr>
      </w:pPr>
      <w:r w:rsidRPr="00C52156">
        <w:rPr>
          <w:rFonts w:ascii="Palatino Linotype" w:eastAsia="Times New Roman" w:hAnsi="Palatino Linotype" w:cs="Arial"/>
          <w:b/>
          <w:i/>
          <w:lang w:eastAsia="gl-ES"/>
        </w:rPr>
        <w:t>Artículo 160</w:t>
      </w:r>
      <w:r w:rsidRPr="00C52156">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6303CFB" w14:textId="77777777" w:rsidR="00C242D9" w:rsidRPr="00C52156" w:rsidRDefault="00C242D9" w:rsidP="00C242D9">
      <w:pPr>
        <w:spacing w:after="0" w:line="240" w:lineRule="auto"/>
        <w:rPr>
          <w:rFonts w:ascii="Calibri" w:eastAsia="Calibri" w:hAnsi="Calibri" w:cs="Times New Roman"/>
        </w:rPr>
      </w:pPr>
    </w:p>
    <w:p w14:paraId="23A02F78" w14:textId="77777777" w:rsidR="00C242D9" w:rsidRPr="00C52156" w:rsidRDefault="00C242D9" w:rsidP="00C242D9">
      <w:pPr>
        <w:spacing w:after="0" w:line="360" w:lineRule="auto"/>
        <w:jc w:val="both"/>
        <w:rPr>
          <w:rFonts w:ascii="Palatino Linotype" w:eastAsia="Calibri" w:hAnsi="Palatino Linotype" w:cs="Arial"/>
          <w:color w:val="222222"/>
          <w:sz w:val="24"/>
          <w:szCs w:val="19"/>
          <w:lang w:eastAsia="es-MX"/>
        </w:rPr>
      </w:pPr>
      <w:r w:rsidRPr="00C52156">
        <w:rPr>
          <w:rFonts w:ascii="Palatino Linotype" w:eastAsia="Calibri" w:hAnsi="Palatino Linotype" w:cs="Times New Roman"/>
          <w:color w:val="000000"/>
          <w:sz w:val="24"/>
        </w:rPr>
        <w:t xml:space="preserve">Sirve como apoyo </w:t>
      </w:r>
      <w:r w:rsidRPr="00C52156">
        <w:rPr>
          <w:rFonts w:ascii="Palatino Linotype" w:eastAsia="Calibri" w:hAnsi="Palatino Linotype" w:cs="Arial"/>
          <w:color w:val="222222"/>
          <w:sz w:val="24"/>
          <w:szCs w:val="19"/>
          <w:lang w:eastAsia="es-MX"/>
        </w:rPr>
        <w:t>a lo anterior, el criterio 09-10, emitido por el Pleno del entonces Instituto Federal de Acceso a la Información y Protección de Datos, que a la letra dice:</w:t>
      </w:r>
    </w:p>
    <w:p w14:paraId="5349D09B" w14:textId="77777777" w:rsidR="00C242D9" w:rsidRPr="00C52156" w:rsidRDefault="00C242D9" w:rsidP="00C242D9">
      <w:pPr>
        <w:spacing w:after="0" w:line="240" w:lineRule="auto"/>
        <w:rPr>
          <w:rFonts w:ascii="Calibri" w:hAnsi="Calibri" w:cs="Times New Roman"/>
          <w:lang w:eastAsia="es-MX"/>
        </w:rPr>
      </w:pPr>
    </w:p>
    <w:p w14:paraId="51D4A51F" w14:textId="77777777" w:rsidR="00C242D9" w:rsidRPr="00C52156" w:rsidRDefault="00C242D9" w:rsidP="00C242D9">
      <w:pPr>
        <w:shd w:val="clear" w:color="auto" w:fill="FFFFFF"/>
        <w:tabs>
          <w:tab w:val="left" w:pos="8647"/>
        </w:tabs>
        <w:spacing w:after="0" w:line="256" w:lineRule="auto"/>
        <w:ind w:left="851" w:right="900"/>
        <w:jc w:val="both"/>
        <w:rPr>
          <w:rFonts w:ascii="Palatino Linotype" w:eastAsia="Calibri" w:hAnsi="Palatino Linotype" w:cs="Arial"/>
          <w:i/>
          <w:iCs/>
          <w:color w:val="222222"/>
          <w:lang w:eastAsia="es-MX"/>
        </w:rPr>
      </w:pPr>
      <w:r w:rsidRPr="00C52156">
        <w:rPr>
          <w:rFonts w:ascii="Palatino Linotype" w:eastAsia="Calibri" w:hAnsi="Palatino Linotype" w:cs="Arial"/>
          <w:b/>
          <w:bCs/>
          <w:i/>
          <w:iCs/>
          <w:color w:val="222222"/>
          <w:lang w:eastAsia="es-MX"/>
        </w:rPr>
        <w:t>“Las dependencias y entidades no están obligadas a generar documentos ad hoc para responder una solicitud de acceso a la información. </w:t>
      </w:r>
      <w:r w:rsidRPr="00C52156">
        <w:rPr>
          <w:rFonts w:ascii="Palatino Linotype" w:eastAsia="Calibri" w:hAnsi="Palatino Linotype" w:cs="Arial"/>
          <w:i/>
          <w:iCs/>
          <w:color w:val="2222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62E6DD49" w14:textId="77777777" w:rsidR="00C242D9" w:rsidRDefault="00C242D9" w:rsidP="00C242D9">
      <w:pPr>
        <w:spacing w:after="0" w:line="360" w:lineRule="auto"/>
        <w:jc w:val="both"/>
        <w:rPr>
          <w:rFonts w:ascii="Palatino Linotype" w:eastAsia="Times New Roman" w:hAnsi="Palatino Linotype" w:cs="Arial"/>
          <w:sz w:val="24"/>
          <w:szCs w:val="24"/>
          <w:lang w:val="es-ES" w:eastAsia="es-ES"/>
        </w:rPr>
      </w:pPr>
    </w:p>
    <w:p w14:paraId="5557BB68" w14:textId="77777777" w:rsidR="00375A79" w:rsidRDefault="00375A79" w:rsidP="00C242D9">
      <w:pPr>
        <w:spacing w:after="0" w:line="360" w:lineRule="auto"/>
        <w:jc w:val="both"/>
        <w:rPr>
          <w:rFonts w:ascii="Palatino Linotype" w:eastAsia="Times New Roman" w:hAnsi="Palatino Linotype" w:cs="Arial"/>
          <w:sz w:val="24"/>
          <w:szCs w:val="24"/>
          <w:lang w:val="es-ES" w:eastAsia="es-ES"/>
        </w:rPr>
      </w:pPr>
    </w:p>
    <w:p w14:paraId="1B416638" w14:textId="4AF5DE23" w:rsidR="00375A79" w:rsidRDefault="00375A79" w:rsidP="00375A7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rPr>
        <w:t xml:space="preserve">En este sentido, resulta oportuno hacer alusión a los artículos </w:t>
      </w:r>
      <w:r w:rsidRPr="007070C6">
        <w:rPr>
          <w:rFonts w:ascii="Palatino Linotype" w:eastAsiaTheme="minorHAnsi" w:hAnsi="Palatino Linotype" w:cs="Arial"/>
          <w:color w:val="000000"/>
          <w:lang w:val="es-MX" w:eastAsia="en-US"/>
        </w:rPr>
        <w:t>87 y 95</w:t>
      </w:r>
      <w:r>
        <w:rPr>
          <w:rFonts w:ascii="Palatino Linotype" w:eastAsiaTheme="minorHAnsi" w:hAnsi="Palatino Linotype" w:cs="Arial"/>
          <w:color w:val="000000"/>
          <w:lang w:val="es-MX" w:eastAsia="en-US"/>
        </w:rPr>
        <w:t>, fracciones I, IV y XVI</w:t>
      </w:r>
      <w:r w:rsidRPr="007070C6">
        <w:rPr>
          <w:rFonts w:ascii="Palatino Linotype" w:eastAsiaTheme="minorHAnsi" w:hAnsi="Palatino Linotype" w:cs="Arial"/>
          <w:color w:val="000000"/>
          <w:lang w:val="es-MX" w:eastAsia="en-US"/>
        </w:rPr>
        <w:t xml:space="preserve"> de la Ley Orgánica Municipal del Estado de México</w:t>
      </w:r>
      <w:r>
        <w:rPr>
          <w:rFonts w:ascii="Palatino Linotype" w:eastAsiaTheme="minorHAnsi" w:hAnsi="Palatino Linotype" w:cs="Arial"/>
          <w:color w:val="000000"/>
          <w:lang w:val="es-MX" w:eastAsia="en-US"/>
        </w:rPr>
        <w:t xml:space="preserve">; los numerales </w:t>
      </w:r>
      <w:r w:rsidRPr="002C07E7">
        <w:rPr>
          <w:rFonts w:ascii="Palatino Linotype" w:hAnsi="Palatino Linotype" w:cs="Arial"/>
        </w:rPr>
        <w:t xml:space="preserve">26 y 27 de la </w:t>
      </w:r>
      <w:r w:rsidRPr="002C07E7">
        <w:rPr>
          <w:rFonts w:ascii="Palatino Linotype" w:hAnsi="Palatino Linotype" w:cs="Arial"/>
        </w:rPr>
        <w:lastRenderedPageBreak/>
        <w:t>Ley de Contratació</w:t>
      </w:r>
      <w:r>
        <w:rPr>
          <w:rFonts w:ascii="Palatino Linotype" w:hAnsi="Palatino Linotype" w:cs="Arial"/>
        </w:rPr>
        <w:t xml:space="preserve">n Pública del Estado de México, porciones normativas que disponen a la literalidad lo siguiente: </w:t>
      </w:r>
    </w:p>
    <w:p w14:paraId="36FB2F43" w14:textId="77777777" w:rsidR="00375A79" w:rsidRPr="00C96AB8" w:rsidRDefault="00375A79" w:rsidP="00375A79">
      <w:pPr>
        <w:pStyle w:val="Citas"/>
        <w:jc w:val="center"/>
        <w:rPr>
          <w:b/>
          <w:bCs/>
        </w:rPr>
      </w:pPr>
      <w:r>
        <w:t>L</w:t>
      </w:r>
      <w:r>
        <w:rPr>
          <w:b/>
          <w:bCs/>
        </w:rPr>
        <w:t>ey Orgánica Municipal del Estado de México</w:t>
      </w:r>
    </w:p>
    <w:p w14:paraId="5D50EAAA" w14:textId="77777777" w:rsidR="00375A79" w:rsidRPr="00105F91" w:rsidRDefault="00375A79" w:rsidP="00375A79">
      <w:pPr>
        <w:pStyle w:val="Citas"/>
      </w:pPr>
      <w:r w:rsidRPr="00105F91">
        <w:t>“Artículo 87.- Para el despacho, estudio y planeación de los diversos asuntos de la administración municipal, el ayuntamiento contará por lo menos con las siguientes Dependencias:</w:t>
      </w:r>
    </w:p>
    <w:p w14:paraId="044766FC" w14:textId="77777777" w:rsidR="00375A79" w:rsidRPr="007070C6" w:rsidRDefault="00375A79" w:rsidP="00375A79">
      <w:pPr>
        <w:pStyle w:val="Prrafodelista"/>
        <w:numPr>
          <w:ilvl w:val="0"/>
          <w:numId w:val="19"/>
        </w:numPr>
        <w:autoSpaceDE w:val="0"/>
        <w:autoSpaceDN w:val="0"/>
        <w:adjustRightInd w:val="0"/>
        <w:spacing w:before="240" w:afterLines="160" w:after="384" w:line="360" w:lineRule="auto"/>
        <w:ind w:leftChars="385" w:left="847" w:right="851" w:firstLine="0"/>
        <w:jc w:val="both"/>
        <w:rPr>
          <w:rFonts w:ascii="Palatino Linotype" w:hAnsi="Palatino Linotype"/>
          <w:i/>
          <w:sz w:val="22"/>
          <w:szCs w:val="22"/>
        </w:rPr>
      </w:pPr>
      <w:r w:rsidRPr="007070C6">
        <w:rPr>
          <w:rFonts w:ascii="Palatino Linotype" w:hAnsi="Palatino Linotype"/>
          <w:i/>
          <w:sz w:val="22"/>
          <w:szCs w:val="22"/>
        </w:rPr>
        <w:t>La secretaría del ayuntamiento;</w:t>
      </w:r>
    </w:p>
    <w:p w14:paraId="42468240" w14:textId="77777777" w:rsidR="00375A79" w:rsidRPr="006842B8" w:rsidRDefault="00375A79" w:rsidP="00375A79">
      <w:pPr>
        <w:pStyle w:val="Prrafodelista"/>
        <w:numPr>
          <w:ilvl w:val="0"/>
          <w:numId w:val="19"/>
        </w:numPr>
        <w:autoSpaceDE w:val="0"/>
        <w:autoSpaceDN w:val="0"/>
        <w:adjustRightInd w:val="0"/>
        <w:spacing w:before="240" w:afterLines="160" w:after="384" w:line="360" w:lineRule="auto"/>
        <w:ind w:leftChars="385" w:left="847" w:right="851" w:firstLine="0"/>
        <w:jc w:val="both"/>
        <w:rPr>
          <w:rFonts w:ascii="Palatino Linotype" w:hAnsi="Palatino Linotype"/>
          <w:b/>
          <w:i/>
          <w:sz w:val="22"/>
          <w:szCs w:val="22"/>
          <w:u w:val="single"/>
        </w:rPr>
      </w:pPr>
      <w:r w:rsidRPr="006842B8">
        <w:rPr>
          <w:rFonts w:ascii="Palatino Linotype" w:hAnsi="Palatino Linotype"/>
          <w:b/>
          <w:i/>
          <w:sz w:val="22"/>
          <w:szCs w:val="22"/>
        </w:rPr>
        <w:t xml:space="preserve"> </w:t>
      </w:r>
      <w:r w:rsidRPr="006842B8">
        <w:rPr>
          <w:rFonts w:ascii="Palatino Linotype" w:hAnsi="Palatino Linotype"/>
          <w:b/>
          <w:i/>
          <w:sz w:val="22"/>
          <w:szCs w:val="22"/>
          <w:u w:val="single"/>
        </w:rPr>
        <w:t>La tesorería municipal.</w:t>
      </w:r>
    </w:p>
    <w:p w14:paraId="25FFADA3" w14:textId="77777777" w:rsidR="00375A79" w:rsidRPr="007070C6" w:rsidRDefault="00375A79" w:rsidP="00375A79">
      <w:pPr>
        <w:pStyle w:val="Prrafodelista"/>
        <w:numPr>
          <w:ilvl w:val="0"/>
          <w:numId w:val="19"/>
        </w:numPr>
        <w:autoSpaceDE w:val="0"/>
        <w:autoSpaceDN w:val="0"/>
        <w:adjustRightInd w:val="0"/>
        <w:spacing w:before="240" w:afterLines="160" w:after="384" w:line="360" w:lineRule="auto"/>
        <w:ind w:leftChars="385" w:left="847" w:right="851" w:firstLine="0"/>
        <w:jc w:val="both"/>
        <w:rPr>
          <w:rFonts w:ascii="Palatino Linotype" w:hAnsi="Palatino Linotype"/>
          <w:i/>
          <w:sz w:val="22"/>
          <w:szCs w:val="22"/>
        </w:rPr>
      </w:pPr>
      <w:r w:rsidRPr="007070C6">
        <w:rPr>
          <w:rFonts w:ascii="Palatino Linotype" w:hAnsi="Palatino Linotype"/>
          <w:i/>
          <w:sz w:val="22"/>
          <w:szCs w:val="22"/>
        </w:rPr>
        <w:t xml:space="preserve"> La Dirección de Obras Públicas o equivalente</w:t>
      </w:r>
    </w:p>
    <w:p w14:paraId="5CB51EA1" w14:textId="77777777" w:rsidR="00375A79" w:rsidRPr="007070C6" w:rsidRDefault="00375A79" w:rsidP="00375A79">
      <w:pPr>
        <w:pStyle w:val="Prrafodelista"/>
        <w:numPr>
          <w:ilvl w:val="0"/>
          <w:numId w:val="19"/>
        </w:numPr>
        <w:autoSpaceDE w:val="0"/>
        <w:autoSpaceDN w:val="0"/>
        <w:adjustRightInd w:val="0"/>
        <w:spacing w:before="240" w:afterLines="160" w:after="384" w:line="360" w:lineRule="auto"/>
        <w:ind w:leftChars="385" w:left="847" w:right="851" w:firstLine="0"/>
        <w:jc w:val="both"/>
        <w:rPr>
          <w:rFonts w:ascii="Palatino Linotype" w:hAnsi="Palatino Linotype"/>
          <w:i/>
          <w:sz w:val="22"/>
          <w:szCs w:val="22"/>
        </w:rPr>
      </w:pPr>
      <w:r w:rsidRPr="007070C6">
        <w:rPr>
          <w:rFonts w:ascii="Palatino Linotype" w:hAnsi="Palatino Linotype"/>
          <w:i/>
          <w:sz w:val="22"/>
          <w:szCs w:val="22"/>
        </w:rPr>
        <w:t xml:space="preserve"> La Dirección de Desarrollo Económico o equivalente. </w:t>
      </w:r>
    </w:p>
    <w:p w14:paraId="2B64ED37" w14:textId="77777777" w:rsidR="00375A79" w:rsidRPr="007070C6" w:rsidRDefault="00375A79" w:rsidP="00375A79">
      <w:pPr>
        <w:pStyle w:val="Prrafodelista"/>
        <w:autoSpaceDE w:val="0"/>
        <w:autoSpaceDN w:val="0"/>
        <w:adjustRightInd w:val="0"/>
        <w:spacing w:before="240" w:afterLines="160" w:after="384" w:line="360" w:lineRule="auto"/>
        <w:ind w:leftChars="385" w:left="847" w:right="851"/>
        <w:jc w:val="both"/>
        <w:rPr>
          <w:rFonts w:ascii="Palatino Linotype" w:hAnsi="Palatino Linotype"/>
          <w:i/>
          <w:sz w:val="22"/>
          <w:szCs w:val="22"/>
        </w:rPr>
      </w:pPr>
      <w:r w:rsidRPr="007070C6">
        <w:rPr>
          <w:rFonts w:ascii="Palatino Linotype" w:hAnsi="Palatino Linotype"/>
          <w:b/>
          <w:i/>
          <w:sz w:val="22"/>
          <w:szCs w:val="22"/>
        </w:rPr>
        <w:t>Artículo 95.-</w:t>
      </w:r>
      <w:r w:rsidRPr="007070C6">
        <w:rPr>
          <w:rFonts w:ascii="Palatino Linotype" w:hAnsi="Palatino Linotype"/>
          <w:i/>
          <w:sz w:val="22"/>
          <w:szCs w:val="22"/>
        </w:rPr>
        <w:t xml:space="preserve"> Son atribuciones del tesorero municipal:</w:t>
      </w:r>
    </w:p>
    <w:p w14:paraId="59ED31F1" w14:textId="77777777" w:rsidR="00375A79" w:rsidRPr="007070C6" w:rsidRDefault="00375A79" w:rsidP="00375A79">
      <w:pPr>
        <w:pStyle w:val="Prrafodelista"/>
        <w:numPr>
          <w:ilvl w:val="0"/>
          <w:numId w:val="18"/>
        </w:numPr>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Administrar la hacienda pública municipal, de conformidad con las disposiciones legales aplicables;</w:t>
      </w:r>
    </w:p>
    <w:p w14:paraId="7BA1D805" w14:textId="77777777" w:rsidR="00375A79" w:rsidRPr="007070C6" w:rsidRDefault="00375A79" w:rsidP="00375A79">
      <w:pPr>
        <w:pStyle w:val="Prrafodelista"/>
        <w:spacing w:before="240" w:afterLines="160" w:after="384" w:line="360" w:lineRule="auto"/>
        <w:ind w:leftChars="385" w:left="848" w:right="851" w:hanging="1"/>
        <w:jc w:val="both"/>
        <w:rPr>
          <w:rFonts w:ascii="Palatino Linotype" w:hAnsi="Palatino Linotype"/>
          <w:b/>
          <w:i/>
          <w:sz w:val="22"/>
          <w:szCs w:val="22"/>
        </w:rPr>
      </w:pPr>
      <w:r w:rsidRPr="007070C6">
        <w:rPr>
          <w:rFonts w:ascii="Palatino Linotype" w:hAnsi="Palatino Linotype"/>
          <w:b/>
          <w:i/>
          <w:sz w:val="22"/>
          <w:szCs w:val="22"/>
        </w:rPr>
        <w:t>(…)</w:t>
      </w:r>
    </w:p>
    <w:p w14:paraId="0AE9201F" w14:textId="77777777" w:rsidR="00375A79" w:rsidRPr="00105F91" w:rsidRDefault="00375A79" w:rsidP="00375A79">
      <w:pPr>
        <w:pStyle w:val="Prrafodelista"/>
        <w:spacing w:before="240" w:afterLines="160" w:after="384" w:line="360" w:lineRule="auto"/>
        <w:ind w:leftChars="385" w:left="848" w:right="851" w:hanging="1"/>
        <w:jc w:val="both"/>
        <w:rPr>
          <w:rFonts w:ascii="Palatino Linotype" w:hAnsi="Palatino Linotype"/>
          <w:b/>
          <w:i/>
          <w:sz w:val="22"/>
          <w:szCs w:val="22"/>
          <w:u w:val="single"/>
        </w:rPr>
      </w:pPr>
      <w:r w:rsidRPr="00105F91">
        <w:rPr>
          <w:rFonts w:ascii="Palatino Linotype" w:hAnsi="Palatino Linotype"/>
          <w:b/>
          <w:i/>
          <w:sz w:val="22"/>
          <w:szCs w:val="22"/>
          <w:u w:val="single"/>
        </w:rPr>
        <w:t>IV. Llevar los registros contables, financieros y administrativos de los ingresos, egresos, e inventarios;</w:t>
      </w:r>
    </w:p>
    <w:p w14:paraId="2C81F2BF" w14:textId="77777777" w:rsidR="00375A79" w:rsidRDefault="00375A79" w:rsidP="00375A79">
      <w:pPr>
        <w:pStyle w:val="Prrafodelista"/>
        <w:spacing w:before="240" w:afterLines="160" w:after="384" w:line="360" w:lineRule="auto"/>
        <w:ind w:leftChars="385" w:left="848" w:right="851" w:hanging="1"/>
        <w:jc w:val="both"/>
        <w:rPr>
          <w:rFonts w:ascii="Palatino Linotype" w:hAnsi="Palatino Linotype"/>
          <w:i/>
          <w:sz w:val="22"/>
          <w:szCs w:val="22"/>
        </w:rPr>
      </w:pPr>
      <w:r>
        <w:rPr>
          <w:rFonts w:ascii="Palatino Linotype" w:hAnsi="Palatino Linotype"/>
          <w:i/>
          <w:sz w:val="22"/>
          <w:szCs w:val="22"/>
        </w:rPr>
        <w:t>(…)</w:t>
      </w:r>
    </w:p>
    <w:p w14:paraId="104A46AE" w14:textId="77777777" w:rsidR="00375A79" w:rsidRDefault="00375A79" w:rsidP="00375A79">
      <w:pPr>
        <w:pStyle w:val="Citas"/>
      </w:pPr>
      <w:r>
        <w:t>XVI. Glosar oportunamente las cuentas del ayuntamiento;</w:t>
      </w:r>
    </w:p>
    <w:p w14:paraId="15BFB8DB" w14:textId="21BD64B1" w:rsidR="00375A79" w:rsidRPr="00375A79" w:rsidRDefault="00375A79" w:rsidP="00375A79">
      <w:pPr>
        <w:pStyle w:val="Citas"/>
        <w:rPr>
          <w:b/>
          <w:bCs/>
        </w:rPr>
      </w:pPr>
      <w:r>
        <w:lastRenderedPageBreak/>
        <w:t xml:space="preserve">(…)” </w:t>
      </w:r>
      <w:r>
        <w:rPr>
          <w:b/>
          <w:bCs/>
        </w:rPr>
        <w:t>[Sic]</w:t>
      </w:r>
    </w:p>
    <w:p w14:paraId="25165887" w14:textId="7D47F32B" w:rsidR="00375A79" w:rsidRPr="00AA7EDD" w:rsidRDefault="00375A79" w:rsidP="00375A79">
      <w:pPr>
        <w:pStyle w:val="Sinespaciado"/>
        <w:spacing w:line="360" w:lineRule="auto"/>
        <w:jc w:val="both"/>
        <w:rPr>
          <w:rFonts w:ascii="Palatino Linotype" w:hAnsi="Palatino Linotype"/>
        </w:rPr>
      </w:pPr>
      <w:r>
        <w:rPr>
          <w:rFonts w:ascii="Palatino Linotype" w:hAnsi="Palatino Linotype"/>
        </w:rPr>
        <w:t>Así las cosas, es óbice mencionar que la información requerida estriba parcialmente dentro de las fronteras conceptuales del interés general y el alcance público, robustece lo anterior los artículos 24, fracción</w:t>
      </w:r>
      <w:r w:rsidR="00C94D61">
        <w:rPr>
          <w:rFonts w:ascii="Palatino Linotype" w:hAnsi="Palatino Linotype"/>
        </w:rPr>
        <w:t xml:space="preserve"> XII y 92, fracciones VII, XIV, </w:t>
      </w:r>
      <w:r>
        <w:rPr>
          <w:rFonts w:ascii="Palatino Linotype" w:hAnsi="Palatino Linotype"/>
        </w:rPr>
        <w:t xml:space="preserve">de la Ley de Transparencia y Acceso a la Información Pública del Estado de México y Municipios, normatividad invocada cuyo contenido literal es el siguiente: </w:t>
      </w:r>
    </w:p>
    <w:p w14:paraId="654EEEE9" w14:textId="77777777" w:rsidR="00375A79" w:rsidRDefault="00375A79" w:rsidP="00375A79">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20303F82" w14:textId="77777777" w:rsidR="00375A79" w:rsidRDefault="00375A79" w:rsidP="00375A79">
      <w:pPr>
        <w:spacing w:before="240" w:line="360" w:lineRule="auto"/>
        <w:ind w:left="851" w:right="851"/>
        <w:jc w:val="both"/>
        <w:rPr>
          <w:rFonts w:ascii="Palatino Linotype" w:hAnsi="Palatino Linotype"/>
          <w:i/>
        </w:rPr>
      </w:pPr>
      <w:r>
        <w:rPr>
          <w:rFonts w:ascii="Palatino Linotype" w:hAnsi="Palatino Linotype"/>
          <w:i/>
        </w:rPr>
        <w:t>(…)</w:t>
      </w:r>
    </w:p>
    <w:p w14:paraId="7601100D" w14:textId="77777777" w:rsidR="00375A79" w:rsidRDefault="00375A79" w:rsidP="00375A7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21D1BAE9" w14:textId="77777777" w:rsidR="00375A79" w:rsidRPr="00E66BD3" w:rsidRDefault="00375A79" w:rsidP="00375A79">
      <w:pPr>
        <w:spacing w:before="240" w:line="360" w:lineRule="auto"/>
        <w:ind w:left="851" w:right="851"/>
        <w:jc w:val="both"/>
        <w:rPr>
          <w:rFonts w:ascii="Palatino Linotype" w:hAnsi="Palatino Linotype"/>
          <w:b/>
          <w:i/>
          <w:u w:val="single"/>
        </w:rPr>
      </w:pPr>
      <w:r>
        <w:rPr>
          <w:rFonts w:ascii="Palatino Linotype" w:hAnsi="Palatino Linotype"/>
          <w:b/>
          <w:i/>
          <w:u w:val="single"/>
        </w:rPr>
        <w:t>(…)</w:t>
      </w:r>
    </w:p>
    <w:p w14:paraId="05FC3D9C" w14:textId="77777777" w:rsidR="00375A79" w:rsidRDefault="00375A79" w:rsidP="00375A79">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8D44FA8" w14:textId="77777777" w:rsidR="00375A79" w:rsidRDefault="00375A79" w:rsidP="00375A79">
      <w:pPr>
        <w:spacing w:before="240" w:line="360" w:lineRule="auto"/>
        <w:ind w:left="851" w:right="851"/>
        <w:jc w:val="both"/>
        <w:rPr>
          <w:rFonts w:ascii="Palatino Linotype" w:hAnsi="Palatino Linotype"/>
          <w:i/>
        </w:rPr>
      </w:pPr>
      <w:r>
        <w:rPr>
          <w:rFonts w:ascii="Palatino Linotype" w:hAnsi="Palatino Linotype"/>
          <w:i/>
        </w:rPr>
        <w:t>(…)</w:t>
      </w:r>
    </w:p>
    <w:p w14:paraId="4400AC88" w14:textId="77777777" w:rsidR="00375A79" w:rsidRDefault="00375A79" w:rsidP="00375A79">
      <w:pPr>
        <w:pStyle w:val="Citas"/>
      </w:pPr>
      <w:r>
        <w:t xml:space="preserve">VII. El directorio de todos los servidores públicos, a partir del nivel de jefe de departamento o su equivalente o de menor nivel, cuando se brinde atención al </w:t>
      </w:r>
      <w:r>
        <w:lastRenderedPageBreak/>
        <w:t xml:space="preserve">público, manejen o apliquen recursos públicos, realicen actos de autoridad o presten servicios profesionales bajo el régimen de confianza u honorarios y personal de base. </w:t>
      </w:r>
    </w:p>
    <w:p w14:paraId="68E7C8B4" w14:textId="77777777" w:rsidR="00375A79" w:rsidRDefault="00375A79" w:rsidP="00375A79">
      <w:pPr>
        <w:pStyle w:val="Citas"/>
      </w:pPr>
      <w: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1F0B7F6E" w14:textId="77777777" w:rsidR="00375A79" w:rsidRDefault="00375A79" w:rsidP="00375A79">
      <w:pPr>
        <w:spacing w:before="240" w:line="360" w:lineRule="auto"/>
        <w:ind w:left="851" w:right="851"/>
        <w:jc w:val="both"/>
        <w:rPr>
          <w:rFonts w:ascii="Palatino Linotype" w:hAnsi="Palatino Linotype"/>
          <w:i/>
        </w:rPr>
      </w:pPr>
      <w:r>
        <w:rPr>
          <w:rFonts w:ascii="Palatino Linotype" w:hAnsi="Palatino Linotype"/>
          <w:i/>
        </w:rPr>
        <w:t>(…)</w:t>
      </w:r>
    </w:p>
    <w:p w14:paraId="172450DE" w14:textId="77777777" w:rsidR="00375A79" w:rsidRDefault="00375A79" w:rsidP="00375A79">
      <w:pPr>
        <w:pStyle w:val="Citas"/>
      </w:pPr>
      <w:r>
        <w:t>XIV. La información de los programas de subsidios, estímulos y apoyos, en el que se deberá informar respecto de los programas de transferencia, de servicios, de infraestructura social y de subsidio, en los que se deberá contener lo siguiente:</w:t>
      </w:r>
    </w:p>
    <w:p w14:paraId="673F0713" w14:textId="77777777" w:rsidR="00375A79" w:rsidRDefault="00375A79" w:rsidP="00375A79">
      <w:pPr>
        <w:pStyle w:val="Citas"/>
      </w:pPr>
      <w:r>
        <w:t xml:space="preserve"> a) Área; </w:t>
      </w:r>
    </w:p>
    <w:p w14:paraId="77FF471B" w14:textId="77777777" w:rsidR="00375A79" w:rsidRPr="00B52EAB" w:rsidRDefault="00375A79" w:rsidP="00375A79">
      <w:pPr>
        <w:pStyle w:val="Citas"/>
        <w:rPr>
          <w:b/>
          <w:u w:val="single"/>
        </w:rPr>
      </w:pPr>
      <w:r w:rsidRPr="00B52EAB">
        <w:rPr>
          <w:b/>
          <w:u w:val="single"/>
        </w:rPr>
        <w:t xml:space="preserve">b) Denominación del programa; </w:t>
      </w:r>
    </w:p>
    <w:p w14:paraId="1757C388" w14:textId="77777777" w:rsidR="00375A79" w:rsidRDefault="00375A79" w:rsidP="00375A79">
      <w:pPr>
        <w:pStyle w:val="Citas"/>
      </w:pPr>
      <w:r>
        <w:t xml:space="preserve">c) Periodo de vigencia; </w:t>
      </w:r>
    </w:p>
    <w:p w14:paraId="1CF50177" w14:textId="77777777" w:rsidR="00375A79" w:rsidRDefault="00375A79" w:rsidP="00375A79">
      <w:pPr>
        <w:pStyle w:val="Citas"/>
      </w:pPr>
      <w:r>
        <w:t xml:space="preserve">d) Diseño, objetivos y alcances; </w:t>
      </w:r>
    </w:p>
    <w:p w14:paraId="7E45E986" w14:textId="77777777" w:rsidR="00375A79" w:rsidRDefault="00375A79" w:rsidP="00375A79">
      <w:pPr>
        <w:pStyle w:val="Citas"/>
      </w:pPr>
      <w:r>
        <w:t xml:space="preserve">e) Metas físicas; </w:t>
      </w:r>
    </w:p>
    <w:p w14:paraId="5B1CBBD4" w14:textId="77777777" w:rsidR="00375A79" w:rsidRPr="00B52EAB" w:rsidRDefault="00375A79" w:rsidP="00375A79">
      <w:pPr>
        <w:pStyle w:val="Citas"/>
        <w:rPr>
          <w:b/>
          <w:u w:val="single"/>
        </w:rPr>
      </w:pPr>
      <w:r w:rsidRPr="00B52EAB">
        <w:rPr>
          <w:b/>
          <w:u w:val="single"/>
        </w:rPr>
        <w:t xml:space="preserve">f) Población beneficiada estimada; </w:t>
      </w:r>
    </w:p>
    <w:p w14:paraId="785EA17C" w14:textId="77777777" w:rsidR="00375A79" w:rsidRPr="00B52EAB" w:rsidRDefault="00375A79" w:rsidP="00375A79">
      <w:pPr>
        <w:pStyle w:val="Citas"/>
        <w:rPr>
          <w:b/>
          <w:u w:val="single"/>
        </w:rPr>
      </w:pPr>
      <w:r w:rsidRPr="00B52EAB">
        <w:rPr>
          <w:b/>
          <w:u w:val="single"/>
        </w:rPr>
        <w:t xml:space="preserve">g) Monto aprobado, modificado y ejercido, así como los calendarios de su programación presupuestal; </w:t>
      </w:r>
    </w:p>
    <w:p w14:paraId="6165FA58" w14:textId="77777777" w:rsidR="00375A79" w:rsidRPr="00B52EAB" w:rsidRDefault="00375A79" w:rsidP="00375A79">
      <w:pPr>
        <w:pStyle w:val="Citas"/>
        <w:rPr>
          <w:b/>
          <w:u w:val="single"/>
        </w:rPr>
      </w:pPr>
      <w:r w:rsidRPr="00B52EAB">
        <w:rPr>
          <w:b/>
          <w:u w:val="single"/>
        </w:rPr>
        <w:t xml:space="preserve">h) Requisitos y procedimientos de acceso; </w:t>
      </w:r>
    </w:p>
    <w:p w14:paraId="2041FC2E" w14:textId="77777777" w:rsidR="00375A79" w:rsidRDefault="00375A79" w:rsidP="00375A79">
      <w:pPr>
        <w:pStyle w:val="Citas"/>
      </w:pPr>
      <w:r>
        <w:t xml:space="preserve">i) Procedimiento de queja o inconformidad ciudadana; </w:t>
      </w:r>
    </w:p>
    <w:p w14:paraId="1E742E01" w14:textId="77777777" w:rsidR="00375A79" w:rsidRDefault="00375A79" w:rsidP="00375A79">
      <w:pPr>
        <w:pStyle w:val="Citas"/>
      </w:pPr>
      <w:r>
        <w:lastRenderedPageBreak/>
        <w:t xml:space="preserve">j) Mecanismos de exigibilidad; </w:t>
      </w:r>
    </w:p>
    <w:p w14:paraId="6A15A62A" w14:textId="77777777" w:rsidR="00375A79" w:rsidRDefault="00375A79" w:rsidP="00375A79">
      <w:pPr>
        <w:pStyle w:val="Citas"/>
      </w:pPr>
      <w:r>
        <w:t>k) Mecanismos e informes de evaluación y seguimiento de recomendaciones;</w:t>
      </w:r>
    </w:p>
    <w:p w14:paraId="5B94963D" w14:textId="77777777" w:rsidR="00375A79" w:rsidRDefault="00375A79" w:rsidP="00375A79">
      <w:pPr>
        <w:pStyle w:val="Citas"/>
      </w:pPr>
      <w:r>
        <w:t xml:space="preserve"> l) Indicadores con nombre, definición, método de cálculo, unidad de medida; dimensión, frecuencia de medición, nombre de las bases de datos utilizadas para su cálculo; </w:t>
      </w:r>
    </w:p>
    <w:p w14:paraId="6E547B19" w14:textId="77777777" w:rsidR="00375A79" w:rsidRDefault="00375A79" w:rsidP="00375A79">
      <w:pPr>
        <w:pStyle w:val="Citas"/>
      </w:pPr>
      <w:r>
        <w:t xml:space="preserve">m) Formas de participación social; </w:t>
      </w:r>
    </w:p>
    <w:p w14:paraId="3A035F39" w14:textId="77777777" w:rsidR="00375A79" w:rsidRDefault="00375A79" w:rsidP="00375A79">
      <w:pPr>
        <w:pStyle w:val="Citas"/>
      </w:pPr>
      <w:r>
        <w:t xml:space="preserve">n) Articulación con otros programas sociales; </w:t>
      </w:r>
    </w:p>
    <w:p w14:paraId="2E68F256" w14:textId="77777777" w:rsidR="00375A79" w:rsidRDefault="00375A79" w:rsidP="00375A79">
      <w:pPr>
        <w:pStyle w:val="Citas"/>
      </w:pPr>
      <w:r>
        <w:t xml:space="preserve">ñ) Vínculo a las reglas de operación o documento equivalente; </w:t>
      </w:r>
    </w:p>
    <w:p w14:paraId="0B25A4E9" w14:textId="77777777" w:rsidR="00375A79" w:rsidRDefault="00375A79" w:rsidP="00375A79">
      <w:pPr>
        <w:pStyle w:val="Citas"/>
      </w:pPr>
      <w:r>
        <w:t xml:space="preserve">o) Informes periódicos sobre la ejecución y los resultados de las evaluaciones realizadas; y </w:t>
      </w:r>
    </w:p>
    <w:p w14:paraId="1B1A5FDE" w14:textId="3A9EC784" w:rsidR="00375A79" w:rsidRPr="00C94D61" w:rsidRDefault="00375A79" w:rsidP="00C94D61">
      <w:pPr>
        <w:pStyle w:val="Citas"/>
        <w:rPr>
          <w:b/>
          <w:u w:val="single"/>
        </w:rPr>
      </w:pPr>
      <w:r w:rsidRPr="00B52EAB">
        <w:rPr>
          <w:b/>
          <w:u w:val="single"/>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r w:rsidRPr="00E66BD3">
        <w:rPr>
          <w:b/>
          <w:u w:val="single"/>
        </w:rPr>
        <w:t xml:space="preserve"> </w:t>
      </w:r>
    </w:p>
    <w:p w14:paraId="5DDC7B0C" w14:textId="77777777" w:rsidR="00375A79" w:rsidRPr="00C86878" w:rsidRDefault="00375A79" w:rsidP="00375A79">
      <w:pPr>
        <w:pStyle w:val="Citas"/>
        <w:rPr>
          <w:b/>
          <w:bCs/>
          <w:sz w:val="24"/>
        </w:rPr>
      </w:pPr>
      <w:r>
        <w:t>(…)”</w:t>
      </w:r>
    </w:p>
    <w:p w14:paraId="0F135C0A" w14:textId="77777777" w:rsidR="00B561B1" w:rsidRPr="009A5659" w:rsidRDefault="00B561B1" w:rsidP="00B561B1">
      <w:pPr>
        <w:pStyle w:val="Prrafodelista"/>
        <w:spacing w:line="360" w:lineRule="auto"/>
        <w:ind w:left="0"/>
        <w:contextualSpacing/>
        <w:jc w:val="both"/>
        <w:rPr>
          <w:rFonts w:ascii="Palatino Linotype" w:hAnsi="Palatino Linotype"/>
        </w:rPr>
      </w:pPr>
      <w:r>
        <w:rPr>
          <w:rFonts w:ascii="Palatino Linotype" w:hAnsi="Palatino Linotype" w:cs="Arial"/>
        </w:rPr>
        <w:t xml:space="preserve">Finalmente, si bien es cierto que la información requerida es susceptible de ser entregada, lo cierto también es que es susceptible de involucrar parcialmente a grupos vulnerables, por ello, resulta su entrega en versión pública, destacando la aplicabilidad del criterio reiterado </w:t>
      </w:r>
      <w:r>
        <w:rPr>
          <w:rFonts w:ascii="Palatino Linotype" w:hAnsi="Palatino Linotype" w:cs="Arial"/>
          <w:b/>
        </w:rPr>
        <w:t xml:space="preserve">03/19 </w:t>
      </w:r>
      <w:r>
        <w:rPr>
          <w:rFonts w:ascii="Palatino Linotype" w:hAnsi="Palatino Linotype" w:cs="Arial"/>
        </w:rPr>
        <w:t>del Órgano Garante Local, cuyo contenido literal es el siguiente:</w:t>
      </w:r>
    </w:p>
    <w:p w14:paraId="74BE97FD" w14:textId="77777777" w:rsidR="00B561B1" w:rsidRPr="009A5659" w:rsidRDefault="00B561B1" w:rsidP="00B561B1">
      <w:pPr>
        <w:spacing w:line="360" w:lineRule="auto"/>
        <w:contextualSpacing/>
        <w:jc w:val="both"/>
        <w:rPr>
          <w:rFonts w:ascii="Palatino Linotype" w:hAnsi="Palatino Linotype"/>
        </w:rPr>
      </w:pPr>
    </w:p>
    <w:p w14:paraId="4ED9B321" w14:textId="77777777" w:rsidR="00B561B1" w:rsidRPr="00F2436E" w:rsidRDefault="00B561B1" w:rsidP="00B561B1">
      <w:pPr>
        <w:pStyle w:val="Prrafodelista"/>
        <w:spacing w:line="360" w:lineRule="auto"/>
        <w:ind w:left="720"/>
        <w:contextualSpacing/>
        <w:jc w:val="both"/>
        <w:rPr>
          <w:rFonts w:ascii="Palatino Linotype" w:hAnsi="Palatino Linotype"/>
          <w:b/>
          <w:i/>
          <w:sz w:val="22"/>
          <w:szCs w:val="22"/>
        </w:rPr>
      </w:pPr>
      <w:r>
        <w:rPr>
          <w:rFonts w:ascii="Palatino Linotype" w:hAnsi="Palatino Linotype"/>
          <w:b/>
          <w:i/>
          <w:sz w:val="22"/>
          <w:szCs w:val="22"/>
        </w:rPr>
        <w:lastRenderedPageBreak/>
        <w:t>“</w:t>
      </w:r>
      <w:r w:rsidRPr="00F2436E">
        <w:rPr>
          <w:rFonts w:ascii="Palatino Linotype" w:hAnsi="Palatino Linotype"/>
          <w:b/>
          <w:i/>
          <w:sz w:val="22"/>
          <w:szCs w:val="22"/>
        </w:rPr>
        <w:t xml:space="preserve">PADRÓN DE BENEFICIARIOS EN POSESIÓN DE SUJETOS OBLIGADOS. EXCEPCIONES PARA LA PUBLICACIÓN DE DATOS PERSONALES CONTENIDOS EN AQUÉL. </w:t>
      </w:r>
    </w:p>
    <w:p w14:paraId="10B9DA53" w14:textId="77777777" w:rsidR="00B561B1" w:rsidRDefault="00B561B1" w:rsidP="00B561B1">
      <w:pPr>
        <w:pStyle w:val="Prrafodelista"/>
        <w:spacing w:line="360" w:lineRule="auto"/>
        <w:ind w:left="720" w:right="283"/>
        <w:contextualSpacing/>
        <w:jc w:val="both"/>
        <w:rPr>
          <w:rFonts w:ascii="Palatino Linotype" w:hAnsi="Palatino Linotype"/>
          <w:i/>
          <w:sz w:val="22"/>
          <w:szCs w:val="22"/>
        </w:rPr>
      </w:pPr>
      <w:r w:rsidRPr="00F2436E">
        <w:rPr>
          <w:rFonts w:ascii="Palatino Linotype" w:hAnsi="Palatino Linotype"/>
          <w:i/>
          <w:sz w:val="22"/>
          <w:szCs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w:t>
      </w:r>
      <w:r w:rsidRPr="00F2436E">
        <w:rPr>
          <w:rFonts w:ascii="Palatino Linotype" w:hAnsi="Palatino Linotype"/>
          <w:b/>
          <w:i/>
          <w:sz w:val="22"/>
          <w:szCs w:val="22"/>
          <w:u w:val="single"/>
        </w:rPr>
        <w:t xml:space="preserve">a fin de excluir los nombres de las personas menores de edad y las de capacidades diferentes, contenidos en los padrones de beneficiarios en posesión de los Sujetos Obligados, toda vez que la publicidad de </w:t>
      </w:r>
      <w:r w:rsidRPr="00F2436E">
        <w:rPr>
          <w:rFonts w:ascii="Palatino Linotype" w:hAnsi="Palatino Linotype"/>
          <w:b/>
          <w:i/>
          <w:sz w:val="22"/>
          <w:szCs w:val="22"/>
          <w:u w:val="single"/>
        </w:rPr>
        <w:lastRenderedPageBreak/>
        <w:t>estos datos personales puede revelar condiciones sociales, culturales y su plena identidad,</w:t>
      </w:r>
      <w:r w:rsidRPr="00F2436E">
        <w:rPr>
          <w:rFonts w:ascii="Palatino Linotype" w:hAnsi="Palatino Linotype"/>
          <w:i/>
          <w:sz w:val="22"/>
          <w:szCs w:val="22"/>
        </w:rPr>
        <w:t xml:space="preserve"> </w:t>
      </w:r>
      <w:r w:rsidRPr="00F2436E">
        <w:rPr>
          <w:rFonts w:ascii="Palatino Linotype" w:hAnsi="Palatino Linotype"/>
          <w:b/>
          <w:i/>
          <w:sz w:val="22"/>
          <w:szCs w:val="22"/>
          <w:u w:val="single"/>
        </w:rPr>
        <w:t>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w:t>
      </w:r>
      <w:r w:rsidRPr="00F2436E">
        <w:rPr>
          <w:rFonts w:ascii="Palatino Linotype" w:hAnsi="Palatino Linotype"/>
          <w:i/>
          <w:sz w:val="22"/>
          <w:szCs w:val="22"/>
        </w:rPr>
        <w:t xml:space="preserve">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44F953C1" w14:textId="77777777" w:rsidR="00B561B1" w:rsidRDefault="00B561B1" w:rsidP="00B561B1">
      <w:pPr>
        <w:pStyle w:val="Prrafodelista"/>
        <w:spacing w:line="360" w:lineRule="auto"/>
        <w:ind w:left="720"/>
        <w:contextualSpacing/>
        <w:jc w:val="both"/>
        <w:rPr>
          <w:rFonts w:ascii="Palatino Linotype" w:hAnsi="Palatino Linotype"/>
          <w:i/>
          <w:sz w:val="22"/>
          <w:szCs w:val="22"/>
        </w:rPr>
      </w:pPr>
      <w:r w:rsidRPr="00F2436E">
        <w:rPr>
          <w:rFonts w:ascii="Palatino Linotype" w:hAnsi="Palatino Linotype"/>
          <w:i/>
          <w:sz w:val="22"/>
          <w:szCs w:val="22"/>
        </w:rPr>
        <w:t xml:space="preserve"> Precedentes: </w:t>
      </w:r>
    </w:p>
    <w:p w14:paraId="2C0EF665" w14:textId="77777777" w:rsidR="00B561B1" w:rsidRDefault="00B561B1" w:rsidP="00B561B1">
      <w:pPr>
        <w:pStyle w:val="Prrafodelista"/>
        <w:numPr>
          <w:ilvl w:val="0"/>
          <w:numId w:val="22"/>
        </w:numPr>
        <w:spacing w:line="360" w:lineRule="auto"/>
        <w:contextualSpacing/>
        <w:jc w:val="both"/>
        <w:rPr>
          <w:rFonts w:ascii="Palatino Linotype" w:hAnsi="Palatino Linotype"/>
          <w:i/>
          <w:sz w:val="22"/>
          <w:szCs w:val="22"/>
        </w:rPr>
      </w:pPr>
      <w:r w:rsidRPr="00F2436E">
        <w:rPr>
          <w:rFonts w:ascii="Palatino Linotype" w:hAnsi="Palatino Linotype"/>
          <w:i/>
          <w:sz w:val="22"/>
          <w:szCs w:val="22"/>
        </w:rPr>
        <w:t xml:space="preserve">En materia de acceso a la información pública. 03182/INFOEM/IP/RR/2019. Aprobado por unanimidad de votos. Ayuntamiento de Toluca. Comisionada Ponente Eva </w:t>
      </w:r>
      <w:proofErr w:type="spellStart"/>
      <w:r w:rsidRPr="00F2436E">
        <w:rPr>
          <w:rFonts w:ascii="Palatino Linotype" w:hAnsi="Palatino Linotype"/>
          <w:i/>
          <w:sz w:val="22"/>
          <w:szCs w:val="22"/>
        </w:rPr>
        <w:t>Abaid</w:t>
      </w:r>
      <w:proofErr w:type="spellEnd"/>
      <w:r w:rsidRPr="00F2436E">
        <w:rPr>
          <w:rFonts w:ascii="Palatino Linotype" w:hAnsi="Palatino Linotype"/>
          <w:i/>
          <w:sz w:val="22"/>
          <w:szCs w:val="22"/>
        </w:rPr>
        <w:t xml:space="preserve"> </w:t>
      </w:r>
      <w:proofErr w:type="spellStart"/>
      <w:r w:rsidRPr="00F2436E">
        <w:rPr>
          <w:rFonts w:ascii="Palatino Linotype" w:hAnsi="Palatino Linotype"/>
          <w:i/>
          <w:sz w:val="22"/>
          <w:szCs w:val="22"/>
        </w:rPr>
        <w:t>Yapur</w:t>
      </w:r>
      <w:proofErr w:type="spellEnd"/>
      <w:r w:rsidRPr="00F2436E">
        <w:rPr>
          <w:rFonts w:ascii="Palatino Linotype" w:hAnsi="Palatino Linotype"/>
          <w:i/>
          <w:sz w:val="22"/>
          <w:szCs w:val="22"/>
        </w:rPr>
        <w:t xml:space="preserve">. </w:t>
      </w:r>
    </w:p>
    <w:p w14:paraId="550F4E04" w14:textId="77777777" w:rsidR="00B561B1" w:rsidRDefault="00B561B1" w:rsidP="00B561B1">
      <w:pPr>
        <w:pStyle w:val="Prrafodelista"/>
        <w:numPr>
          <w:ilvl w:val="0"/>
          <w:numId w:val="22"/>
        </w:numPr>
        <w:spacing w:line="360" w:lineRule="auto"/>
        <w:contextualSpacing/>
        <w:jc w:val="both"/>
        <w:rPr>
          <w:rFonts w:ascii="Palatino Linotype" w:hAnsi="Palatino Linotype"/>
          <w:i/>
          <w:sz w:val="22"/>
          <w:szCs w:val="22"/>
        </w:rPr>
      </w:pPr>
      <w:r w:rsidRPr="00F2436E">
        <w:rPr>
          <w:rFonts w:ascii="Palatino Linotype" w:hAnsi="Palatino Linotype"/>
          <w:i/>
          <w:sz w:val="22"/>
          <w:szCs w:val="22"/>
        </w:rPr>
        <w:t xml:space="preserve">En materia de acceso a la información pública. 02878/INFOEM/IP/RR/2019. Aprobado por unanimidad de votos. Ayuntamiento de Valle de Chalco Solidaridad. Comisionado Ponente José Guadalupe Luna Hernández. </w:t>
      </w:r>
    </w:p>
    <w:p w14:paraId="4730DAAD" w14:textId="77777777" w:rsidR="00B561B1" w:rsidRPr="00F2436E" w:rsidRDefault="00B561B1" w:rsidP="00B561B1">
      <w:pPr>
        <w:pStyle w:val="Prrafodelista"/>
        <w:numPr>
          <w:ilvl w:val="0"/>
          <w:numId w:val="22"/>
        </w:numPr>
        <w:spacing w:line="360" w:lineRule="auto"/>
        <w:contextualSpacing/>
        <w:jc w:val="both"/>
        <w:rPr>
          <w:rFonts w:ascii="Palatino Linotype" w:hAnsi="Palatino Linotype"/>
          <w:i/>
          <w:sz w:val="22"/>
          <w:szCs w:val="22"/>
        </w:rPr>
      </w:pPr>
      <w:r w:rsidRPr="00F2436E">
        <w:rPr>
          <w:rFonts w:ascii="Palatino Linotype" w:hAnsi="Palatino Linotype"/>
          <w:i/>
          <w:sz w:val="22"/>
          <w:szCs w:val="22"/>
        </w:rPr>
        <w:t>En materia de acceso a la información pública. 01869/INFOEM/IP/RR/2019. Aprobado por unanimidad de votos, emitiendo voto particular José Guadalupe Luna Hernández. Ayuntamiento de Tecámac. Comisionado Ponente Javier Martínez Cruz</w:t>
      </w:r>
      <w:r>
        <w:rPr>
          <w:rFonts w:ascii="Palatino Linotype" w:hAnsi="Palatino Linotype"/>
          <w:i/>
          <w:sz w:val="22"/>
          <w:szCs w:val="22"/>
        </w:rPr>
        <w:t xml:space="preserve">” </w:t>
      </w:r>
      <w:r>
        <w:rPr>
          <w:rFonts w:ascii="Palatino Linotype" w:hAnsi="Palatino Linotype"/>
          <w:b/>
          <w:i/>
          <w:sz w:val="22"/>
          <w:szCs w:val="22"/>
        </w:rPr>
        <w:t>[Sic]</w:t>
      </w:r>
    </w:p>
    <w:p w14:paraId="42EB4BAB" w14:textId="77777777" w:rsidR="00B561B1" w:rsidRDefault="00B561B1" w:rsidP="00B561B1">
      <w:pPr>
        <w:spacing w:after="0" w:line="360" w:lineRule="auto"/>
        <w:jc w:val="both"/>
        <w:rPr>
          <w:rFonts w:ascii="Palatino Linotype" w:eastAsia="Times New Roman" w:hAnsi="Palatino Linotype" w:cs="Times New Roman"/>
          <w:sz w:val="24"/>
          <w:szCs w:val="24"/>
          <w:lang w:eastAsia="es-ES"/>
        </w:rPr>
      </w:pPr>
    </w:p>
    <w:p w14:paraId="28DA9844" w14:textId="6A77B338" w:rsidR="00D26474" w:rsidRDefault="00D26474" w:rsidP="00D26474">
      <w:pPr>
        <w:spacing w:after="0" w:line="360" w:lineRule="auto"/>
        <w:jc w:val="both"/>
        <w:rPr>
          <w:rFonts w:ascii="Palatino Linotype" w:eastAsia="Times New Roman" w:hAnsi="Palatino Linotype" w:cs="Arial"/>
          <w:sz w:val="24"/>
          <w:szCs w:val="24"/>
          <w:lang w:eastAsia="es-ES"/>
        </w:rPr>
      </w:pPr>
      <w:r w:rsidRPr="00D26474">
        <w:rPr>
          <w:rFonts w:ascii="Palatino Linotype" w:eastAsia="Times New Roman" w:hAnsi="Palatino Linotype" w:cs="Arial"/>
          <w:sz w:val="24"/>
          <w:szCs w:val="24"/>
          <w:lang w:eastAsia="es-ES"/>
        </w:rPr>
        <w:t xml:space="preserve">De la interpretación a los preceptos citados, se desprende que es información pública la contenida en los documentos que los Sujetos Obligados generen, administren o se </w:t>
      </w:r>
      <w:r w:rsidRPr="00D26474">
        <w:rPr>
          <w:rFonts w:ascii="Palatino Linotype" w:eastAsia="Times New Roman" w:hAnsi="Palatino Linotype" w:cs="Arial"/>
          <w:sz w:val="24"/>
          <w:szCs w:val="24"/>
          <w:lang w:eastAsia="es-ES"/>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10AF1C3A" w14:textId="77777777" w:rsidR="00D26474" w:rsidRDefault="00D26474" w:rsidP="00B561B1">
      <w:pPr>
        <w:spacing w:after="0" w:line="360" w:lineRule="auto"/>
        <w:jc w:val="both"/>
        <w:rPr>
          <w:rFonts w:ascii="Palatino Linotype" w:eastAsia="Times New Roman" w:hAnsi="Palatino Linotype" w:cs="Times New Roman"/>
          <w:sz w:val="24"/>
          <w:szCs w:val="24"/>
          <w:lang w:eastAsia="es-ES"/>
        </w:rPr>
      </w:pPr>
    </w:p>
    <w:p w14:paraId="30FF4563" w14:textId="77777777" w:rsidR="00B561B1" w:rsidRDefault="00B561B1" w:rsidP="00B561B1">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 xml:space="preserve">De tal forma que este Instituto estima que el Sujeto Obligado incumplió lo establecido en la Ley de la Materia, por lo cual es procedente </w:t>
      </w:r>
      <w:r>
        <w:rPr>
          <w:rFonts w:ascii="Palatino Linotype" w:eastAsia="Times New Roman" w:hAnsi="Palatino Linotype" w:cs="Times New Roman"/>
          <w:sz w:val="24"/>
          <w:szCs w:val="24"/>
          <w:lang w:eastAsia="es-ES"/>
        </w:rPr>
        <w:t>modificar</w:t>
      </w:r>
      <w:r w:rsidRPr="00271622">
        <w:rPr>
          <w:rFonts w:ascii="Palatino Linotype" w:eastAsia="Times New Roman" w:hAnsi="Palatino Linotype" w:cs="Times New Roman"/>
          <w:sz w:val="24"/>
          <w:szCs w:val="24"/>
          <w:lang w:eastAsia="es-ES"/>
        </w:rPr>
        <w:t xml:space="preserve"> la respuesta a la solicitud del particular y ordenar la entrega de la información requerida.</w:t>
      </w:r>
    </w:p>
    <w:p w14:paraId="108448C5" w14:textId="77777777" w:rsidR="00200685" w:rsidRDefault="00200685" w:rsidP="00B561B1">
      <w:pPr>
        <w:spacing w:after="0" w:line="360" w:lineRule="auto"/>
        <w:jc w:val="both"/>
        <w:rPr>
          <w:rFonts w:ascii="Palatino Linotype" w:eastAsia="Times New Roman" w:hAnsi="Palatino Linotype" w:cs="Times New Roman"/>
          <w:sz w:val="24"/>
          <w:szCs w:val="24"/>
          <w:lang w:eastAsia="es-ES"/>
        </w:rPr>
      </w:pPr>
    </w:p>
    <w:p w14:paraId="56DA3836" w14:textId="562AA970" w:rsidR="00200685" w:rsidRPr="003051C7" w:rsidRDefault="00200685" w:rsidP="00200685">
      <w:pPr>
        <w:spacing w:after="0" w:line="360" w:lineRule="auto"/>
        <w:contextualSpacing/>
        <w:jc w:val="both"/>
        <w:rPr>
          <w:rFonts w:ascii="Palatino Linotype" w:eastAsia="Calibri" w:hAnsi="Palatino Linotype" w:cs="Times New Roman"/>
          <w:sz w:val="24"/>
          <w:szCs w:val="24"/>
          <w:lang w:val="es-ES_tradnl"/>
        </w:rPr>
      </w:pPr>
      <w:r>
        <w:rPr>
          <w:rFonts w:ascii="Palatino Linotype" w:eastAsia="Calibri" w:hAnsi="Palatino Linotype" w:cs="Times New Roman"/>
          <w:sz w:val="24"/>
          <w:szCs w:val="24"/>
          <w:lang w:val="es-ES_tradnl"/>
        </w:rPr>
        <w:t>Ahora bien, e</w:t>
      </w:r>
      <w:r w:rsidRPr="003051C7">
        <w:rPr>
          <w:rFonts w:ascii="Palatino Linotype" w:eastAsia="Calibri" w:hAnsi="Palatino Linotype" w:cs="Times New Roman"/>
          <w:sz w:val="24"/>
          <w:szCs w:val="24"/>
          <w:lang w:val="es-ES_tradnl"/>
        </w:rPr>
        <w:t xml:space="preserve">n el caso concreto que nos ocupa analizar, es de destacar que la información fue requerida a través del </w:t>
      </w:r>
      <w:r w:rsidRPr="003051C7">
        <w:rPr>
          <w:rFonts w:ascii="Palatino Linotype" w:eastAsia="Calibri" w:hAnsi="Palatino Linotype" w:cs="Times New Roman"/>
          <w:b/>
          <w:sz w:val="24"/>
          <w:szCs w:val="24"/>
          <w:lang w:val="es-ES_tradnl"/>
        </w:rPr>
        <w:t>SAIMEX</w:t>
      </w:r>
      <w:r w:rsidRPr="003051C7">
        <w:rPr>
          <w:rFonts w:ascii="Palatino Linotype" w:eastAsia="Calibri" w:hAnsi="Palatino Linotype" w:cs="Times New Roman"/>
          <w:sz w:val="24"/>
          <w:szCs w:val="24"/>
          <w:lang w:val="es-ES_tradnl"/>
        </w:rPr>
        <w:t xml:space="preserve">; sin embargo, el </w:t>
      </w:r>
      <w:r w:rsidRPr="003051C7">
        <w:rPr>
          <w:rFonts w:ascii="Palatino Linotype" w:eastAsia="Calibri" w:hAnsi="Palatino Linotype" w:cs="Times New Roman"/>
          <w:b/>
          <w:sz w:val="24"/>
          <w:szCs w:val="24"/>
          <w:lang w:val="es-ES_tradnl"/>
        </w:rPr>
        <w:t xml:space="preserve">Sujeto Obligado </w:t>
      </w:r>
      <w:r>
        <w:rPr>
          <w:rFonts w:ascii="Palatino Linotype" w:eastAsia="Calibri" w:hAnsi="Palatino Linotype" w:cs="Times New Roman"/>
          <w:sz w:val="24"/>
          <w:szCs w:val="24"/>
          <w:lang w:val="es-ES_tradnl"/>
        </w:rPr>
        <w:t>mediante informe justificado precisó</w:t>
      </w:r>
      <w:r w:rsidRPr="003051C7">
        <w:rPr>
          <w:rFonts w:ascii="Palatino Linotype" w:eastAsia="Calibri" w:hAnsi="Palatino Linotype" w:cs="Times New Roman"/>
          <w:sz w:val="24"/>
          <w:szCs w:val="24"/>
          <w:lang w:val="es-ES_tradnl"/>
        </w:rPr>
        <w:t xml:space="preserve"> que</w:t>
      </w:r>
      <w:r>
        <w:rPr>
          <w:rFonts w:ascii="Palatino Linotype" w:eastAsia="Calibri" w:hAnsi="Palatino Linotype" w:cs="Times New Roman"/>
          <w:sz w:val="24"/>
          <w:szCs w:val="24"/>
          <w:lang w:val="es-ES_tradnl"/>
        </w:rPr>
        <w:t>,</w:t>
      </w:r>
      <w:r w:rsidRPr="003051C7">
        <w:rPr>
          <w:rFonts w:ascii="Palatino Linotype" w:eastAsia="Calibri" w:hAnsi="Palatino Linotype" w:cs="Times New Roman"/>
          <w:sz w:val="24"/>
          <w:szCs w:val="24"/>
          <w:lang w:val="es-ES_tradnl"/>
        </w:rPr>
        <w:t xml:space="preserve"> </w:t>
      </w:r>
      <w:r w:rsidRPr="00C63137">
        <w:rPr>
          <w:rFonts w:ascii="Palatino Linotype" w:eastAsia="Calibri" w:hAnsi="Palatino Linotype" w:cs="Times New Roman"/>
          <w:sz w:val="24"/>
          <w:szCs w:val="24"/>
          <w:lang w:val="es-ES_tradnl"/>
        </w:rPr>
        <w:t xml:space="preserve">se encuentra en posibilidad de entregar la información solicitada; sin embargo, debido a que dicha información rebasa las </w:t>
      </w:r>
      <w:r w:rsidR="0032073A">
        <w:rPr>
          <w:rFonts w:ascii="Palatino Linotype" w:eastAsia="Calibri" w:hAnsi="Palatino Linotype" w:cs="Times New Roman"/>
          <w:sz w:val="24"/>
          <w:szCs w:val="24"/>
          <w:lang w:val="es-ES_tradnl"/>
        </w:rPr>
        <w:t>97,020</w:t>
      </w:r>
      <w:r w:rsidRPr="00C63137">
        <w:rPr>
          <w:rFonts w:ascii="Palatino Linotype" w:eastAsia="Calibri" w:hAnsi="Palatino Linotype" w:cs="Times New Roman"/>
          <w:sz w:val="24"/>
          <w:szCs w:val="24"/>
          <w:lang w:val="es-ES_tradnl"/>
        </w:rPr>
        <w:t xml:space="preserve"> fojas el procesamiento de la misma sobrepasa las capacidades administrativas y humanas del Sujeto Obligado en la modalidad elegida por el solicitante</w:t>
      </w:r>
      <w:r>
        <w:rPr>
          <w:rFonts w:ascii="Palatino Linotype" w:eastAsia="Calibri" w:hAnsi="Palatino Linotype" w:cs="Times New Roman"/>
          <w:sz w:val="24"/>
          <w:szCs w:val="24"/>
          <w:lang w:val="es-ES_tradnl"/>
        </w:rPr>
        <w:t>, por lo tanto, se pone</w:t>
      </w:r>
      <w:r w:rsidRPr="003051C7">
        <w:rPr>
          <w:rFonts w:ascii="Palatino Linotype" w:eastAsia="Calibri" w:hAnsi="Palatino Linotype" w:cs="Times New Roman"/>
          <w:sz w:val="24"/>
          <w:szCs w:val="24"/>
          <w:lang w:val="es-ES_tradnl"/>
        </w:rPr>
        <w:t xml:space="preserve"> a disposición del particular</w:t>
      </w:r>
      <w:r w:rsidR="0032073A">
        <w:rPr>
          <w:rFonts w:ascii="Palatino Linotype" w:eastAsia="Calibri" w:hAnsi="Palatino Linotype" w:cs="Times New Roman"/>
          <w:sz w:val="24"/>
          <w:szCs w:val="24"/>
          <w:lang w:val="es-ES_tradnl"/>
        </w:rPr>
        <w:t xml:space="preserve"> una vez realizado el pago por concepto de escaneo y digitalización de documentos</w:t>
      </w:r>
      <w:r>
        <w:rPr>
          <w:rFonts w:ascii="Palatino Linotype" w:eastAsia="Calibri" w:hAnsi="Palatino Linotype" w:cs="Times New Roman"/>
          <w:sz w:val="24"/>
          <w:szCs w:val="24"/>
          <w:lang w:val="es-ES_tradnl"/>
        </w:rPr>
        <w:t>.</w:t>
      </w:r>
    </w:p>
    <w:p w14:paraId="0CAB6688" w14:textId="77777777" w:rsidR="00200685" w:rsidRPr="003051C7" w:rsidRDefault="00200685" w:rsidP="00200685">
      <w:pPr>
        <w:spacing w:after="0" w:line="360" w:lineRule="auto"/>
        <w:jc w:val="both"/>
        <w:rPr>
          <w:rFonts w:ascii="Palatino Linotype" w:eastAsia="Calibri" w:hAnsi="Palatino Linotype" w:cs="Times New Roman"/>
          <w:sz w:val="24"/>
          <w:szCs w:val="24"/>
          <w:lang w:val="es-ES_tradnl"/>
        </w:rPr>
      </w:pPr>
    </w:p>
    <w:p w14:paraId="26892D00" w14:textId="77777777" w:rsidR="00200685" w:rsidRPr="003051C7" w:rsidRDefault="00200685" w:rsidP="00200685">
      <w:pPr>
        <w:spacing w:after="0" w:line="360" w:lineRule="auto"/>
        <w:contextualSpacing/>
        <w:jc w:val="both"/>
        <w:rPr>
          <w:rFonts w:ascii="Palatino Linotype" w:eastAsia="MS Mincho" w:hAnsi="Palatino Linotype" w:cs="Arial"/>
          <w:sz w:val="24"/>
          <w:szCs w:val="24"/>
          <w:lang w:val="es-ES_tradnl"/>
        </w:rPr>
      </w:pPr>
      <w:r>
        <w:rPr>
          <w:rFonts w:ascii="Palatino Linotype" w:eastAsia="Calibri" w:hAnsi="Palatino Linotype" w:cs="Times New Roman"/>
          <w:sz w:val="24"/>
          <w:szCs w:val="24"/>
          <w:lang w:val="es-ES_tradnl"/>
        </w:rPr>
        <w:t>Por lo anterior, es preciso señalar que</w:t>
      </w:r>
      <w:r w:rsidRPr="003051C7">
        <w:rPr>
          <w:rFonts w:ascii="Palatino Linotype" w:eastAsia="Calibri" w:hAnsi="Palatino Linotype" w:cs="Times New Roman"/>
          <w:sz w:val="24"/>
          <w:szCs w:val="24"/>
          <w:lang w:val="es-ES_tradnl"/>
        </w:rPr>
        <w:t xml:space="preserve"> la actuación del </w:t>
      </w:r>
      <w:r w:rsidRPr="003051C7">
        <w:rPr>
          <w:rFonts w:ascii="Palatino Linotype" w:eastAsia="Calibri" w:hAnsi="Palatino Linotype" w:cs="Times New Roman"/>
          <w:b/>
          <w:sz w:val="24"/>
          <w:szCs w:val="24"/>
          <w:lang w:val="es-ES_tradnl"/>
        </w:rPr>
        <w:t xml:space="preserve">Sujeto Obligado </w:t>
      </w:r>
      <w:r w:rsidRPr="003051C7">
        <w:rPr>
          <w:rFonts w:ascii="Palatino Linotype" w:eastAsia="MS Mincho" w:hAnsi="Palatino Linotype" w:cs="Arial"/>
          <w:sz w:val="24"/>
          <w:szCs w:val="24"/>
          <w:lang w:val="es-ES_tradnl"/>
        </w:rPr>
        <w:t xml:space="preserve">constituye una afectación al derecho humano de acceso a la información pública del particular, toda vez que pretendió cambiar la modalidad de entrega de la información; </w:t>
      </w:r>
      <w:r w:rsidRPr="003051C7">
        <w:rPr>
          <w:rFonts w:ascii="Palatino Linotype" w:hAnsi="Palatino Linotype" w:cs="Arial"/>
          <w:sz w:val="24"/>
          <w:szCs w:val="24"/>
        </w:rPr>
        <w:t xml:space="preserve">de esta forma, solamente intenta realizar el cambio de modalidad ya que como se ha dicho, el particular mencionó que la manera de entrega de la información sería a través del </w:t>
      </w:r>
      <w:r w:rsidRPr="003051C7">
        <w:rPr>
          <w:rFonts w:ascii="Palatino Linotype" w:hAnsi="Palatino Linotype" w:cs="Arial"/>
          <w:b/>
          <w:sz w:val="24"/>
          <w:szCs w:val="24"/>
        </w:rPr>
        <w:t>SAIMEX</w:t>
      </w:r>
      <w:r w:rsidRPr="003051C7">
        <w:rPr>
          <w:rFonts w:ascii="Palatino Linotype" w:hAnsi="Palatino Linotype" w:cs="Arial"/>
          <w:sz w:val="24"/>
          <w:szCs w:val="24"/>
        </w:rPr>
        <w:t xml:space="preserve">, adicionalmente, en la actualidad existen medios electrónicos que facilita la entrega de información, que a decir de éste Órgano Garante, el cambio de modalidad no es procedente, en virtud de lo establecido por el artículo 164, de la Ley de </w:t>
      </w:r>
      <w:r w:rsidRPr="003051C7">
        <w:rPr>
          <w:rFonts w:ascii="Palatino Linotype" w:hAnsi="Palatino Linotype" w:cs="Arial"/>
          <w:sz w:val="24"/>
          <w:szCs w:val="24"/>
        </w:rPr>
        <w:lastRenderedPageBreak/>
        <w:t>Transparencia y Acceso a la Información Pública del Estado de México y Municipios que contempla los siguiente:</w:t>
      </w:r>
    </w:p>
    <w:p w14:paraId="77901850" w14:textId="77777777" w:rsidR="00200685" w:rsidRPr="003051C7" w:rsidRDefault="00200685" w:rsidP="00200685">
      <w:pPr>
        <w:spacing w:after="0" w:line="256" w:lineRule="auto"/>
        <w:rPr>
          <w:rFonts w:ascii="Calibri" w:eastAsia="Calibri" w:hAnsi="Calibri" w:cs="Times New Roman"/>
          <w:sz w:val="14"/>
        </w:rPr>
      </w:pPr>
    </w:p>
    <w:p w14:paraId="6E01A18E" w14:textId="77777777" w:rsidR="00200685" w:rsidRPr="003051C7" w:rsidRDefault="00200685" w:rsidP="00200685">
      <w:pPr>
        <w:tabs>
          <w:tab w:val="left" w:pos="709"/>
        </w:tabs>
        <w:spacing w:after="0" w:line="276" w:lineRule="auto"/>
        <w:ind w:left="567" w:right="567"/>
        <w:jc w:val="both"/>
        <w:rPr>
          <w:rFonts w:ascii="Palatino Linotype" w:hAnsi="Palatino Linotype" w:cs="Arial"/>
          <w:i/>
        </w:rPr>
      </w:pPr>
      <w:r w:rsidRPr="003051C7">
        <w:rPr>
          <w:rFonts w:ascii="Palatino Linotype" w:hAnsi="Palatino Linotype" w:cs="Arial"/>
          <w:b/>
          <w:i/>
        </w:rPr>
        <w:t>“Artículo 164.</w:t>
      </w:r>
      <w:r w:rsidRPr="003051C7">
        <w:rPr>
          <w:rFonts w:ascii="Palatino Linotype" w:hAnsi="Palatino Linotype" w:cs="Arial"/>
          <w:i/>
        </w:rPr>
        <w:t xml:space="preserve"> </w:t>
      </w:r>
      <w:r w:rsidRPr="003051C7">
        <w:rPr>
          <w:rFonts w:ascii="Palatino Linotype" w:hAnsi="Palatino Linotype" w:cs="Arial"/>
          <w:b/>
          <w:i/>
          <w:u w:val="single"/>
        </w:rPr>
        <w:t>El acceso se dará en la modalidad de entrega y, en su caso, de envío elegidos por el solicitante.</w:t>
      </w:r>
      <w:r w:rsidRPr="003051C7">
        <w:rPr>
          <w:rFonts w:ascii="Palatino Linotype" w:hAnsi="Palatino Linotype" w:cs="Arial"/>
          <w:i/>
        </w:rPr>
        <w:t xml:space="preserve"> Cuando la información no pueda entregarse o enviarse en la modalidad solicitada, el sujeto obligado deberá ofrecer otra u otras modalidades de entrega. </w:t>
      </w:r>
    </w:p>
    <w:p w14:paraId="4F9FC563" w14:textId="77777777" w:rsidR="00200685" w:rsidRPr="003051C7" w:rsidRDefault="00200685" w:rsidP="00200685">
      <w:pPr>
        <w:tabs>
          <w:tab w:val="left" w:pos="709"/>
        </w:tabs>
        <w:spacing w:after="0" w:line="276" w:lineRule="auto"/>
        <w:ind w:left="567" w:right="567"/>
        <w:jc w:val="both"/>
        <w:rPr>
          <w:rFonts w:ascii="Palatino Linotype" w:hAnsi="Palatino Linotype" w:cs="Arial"/>
          <w:i/>
        </w:rPr>
      </w:pPr>
      <w:r w:rsidRPr="003051C7">
        <w:rPr>
          <w:rFonts w:ascii="Palatino Linotype" w:hAnsi="Palatino Linotype" w:cs="Arial"/>
          <w:b/>
          <w:i/>
          <w:u w:val="single"/>
        </w:rPr>
        <w:t>En cualquier caso, se deberá fundar y motivar la necesidad de ofrecer otras modalidades.</w:t>
      </w:r>
      <w:r w:rsidRPr="003051C7">
        <w:rPr>
          <w:rFonts w:ascii="Palatino Linotype" w:hAnsi="Palatino Linotype" w:cs="Arial"/>
          <w:i/>
        </w:rPr>
        <w:t>”</w:t>
      </w:r>
    </w:p>
    <w:p w14:paraId="3F644A18" w14:textId="77777777" w:rsidR="00200685" w:rsidRPr="003051C7" w:rsidRDefault="00200685" w:rsidP="00200685">
      <w:pPr>
        <w:tabs>
          <w:tab w:val="left" w:pos="709"/>
        </w:tabs>
        <w:spacing w:after="0" w:line="360" w:lineRule="auto"/>
        <w:jc w:val="right"/>
        <w:rPr>
          <w:rFonts w:ascii="Palatino Linotype" w:hAnsi="Palatino Linotype" w:cs="Arial"/>
          <w:b/>
          <w:i/>
          <w:sz w:val="18"/>
        </w:rPr>
      </w:pPr>
      <w:r w:rsidRPr="003051C7">
        <w:rPr>
          <w:rFonts w:ascii="Palatino Linotype" w:hAnsi="Palatino Linotype" w:cs="Arial"/>
          <w:b/>
          <w:i/>
          <w:sz w:val="18"/>
        </w:rPr>
        <w:t xml:space="preserve">[Énfasis añadido] </w:t>
      </w:r>
    </w:p>
    <w:p w14:paraId="057B607A" w14:textId="77777777" w:rsidR="00200685" w:rsidRPr="003051C7" w:rsidRDefault="00200685" w:rsidP="00200685">
      <w:pPr>
        <w:tabs>
          <w:tab w:val="left" w:pos="709"/>
        </w:tabs>
        <w:spacing w:after="0" w:line="360" w:lineRule="auto"/>
        <w:jc w:val="right"/>
        <w:rPr>
          <w:rFonts w:ascii="Palatino Linotype" w:hAnsi="Palatino Linotype" w:cs="Arial"/>
          <w:b/>
          <w:i/>
          <w:sz w:val="18"/>
        </w:rPr>
      </w:pPr>
    </w:p>
    <w:p w14:paraId="08EF13E0" w14:textId="6930CF0E" w:rsidR="00200685" w:rsidRDefault="00200685" w:rsidP="00200685">
      <w:pPr>
        <w:spacing w:after="0" w:line="360" w:lineRule="auto"/>
        <w:jc w:val="both"/>
        <w:rPr>
          <w:rFonts w:ascii="Palatino Linotype" w:hAnsi="Palatino Linotype"/>
          <w:sz w:val="24"/>
          <w:szCs w:val="24"/>
        </w:rPr>
      </w:pPr>
      <w:r w:rsidRPr="003051C7">
        <w:rPr>
          <w:rFonts w:ascii="Palatino Linotype" w:hAnsi="Palatino Linotype"/>
          <w:sz w:val="24"/>
          <w:szCs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3051C7">
        <w:rPr>
          <w:rFonts w:ascii="Palatino Linotype" w:hAnsi="Palatino Linotype"/>
          <w:b/>
          <w:sz w:val="24"/>
          <w:szCs w:val="24"/>
        </w:rPr>
        <w:t xml:space="preserve">Sujeto Obligado </w:t>
      </w:r>
      <w:r w:rsidRPr="003051C7">
        <w:rPr>
          <w:rFonts w:ascii="Palatino Linotype" w:hAnsi="Palatino Linotype"/>
          <w:sz w:val="24"/>
          <w:szCs w:val="24"/>
        </w:rPr>
        <w:t>podrá garantizar la entrega a través de cualquier otro medio, siempre y cuando funde y motive la razón para hacerlo.</w:t>
      </w:r>
    </w:p>
    <w:p w14:paraId="5C89562C" w14:textId="77777777" w:rsidR="00426765" w:rsidRDefault="00426765" w:rsidP="00426765">
      <w:pPr>
        <w:spacing w:after="0" w:line="360" w:lineRule="auto"/>
        <w:contextualSpacing/>
        <w:jc w:val="both"/>
        <w:rPr>
          <w:rFonts w:ascii="Palatino Linotype" w:hAnsi="Palatino Linotype"/>
          <w:sz w:val="24"/>
          <w:szCs w:val="24"/>
          <w:lang w:val="es-ES"/>
        </w:rPr>
      </w:pPr>
    </w:p>
    <w:p w14:paraId="5D4571C3" w14:textId="547038B4" w:rsidR="00426765" w:rsidRPr="00A42326" w:rsidRDefault="00426765" w:rsidP="00426765">
      <w:pPr>
        <w:spacing w:after="0" w:line="360" w:lineRule="auto"/>
        <w:contextualSpacing/>
        <w:jc w:val="both"/>
        <w:rPr>
          <w:rFonts w:ascii="Palatino Linotype" w:hAnsi="Palatino Linotype"/>
          <w:sz w:val="24"/>
          <w:szCs w:val="24"/>
          <w:lang w:val="es-ES"/>
        </w:rPr>
      </w:pPr>
      <w:r w:rsidRPr="00A42326">
        <w:rPr>
          <w:rFonts w:ascii="Palatino Linotype" w:hAnsi="Palatino Linotype" w:cs="Arial"/>
          <w:color w:val="000000"/>
          <w:sz w:val="24"/>
          <w:szCs w:val="24"/>
          <w:lang w:val="es-ES_tradnl"/>
        </w:rPr>
        <w:t xml:space="preserve">Finalmente, con relación a las modalidad de entrega de la información </w:t>
      </w:r>
      <w:r w:rsidRPr="00A42326">
        <w:rPr>
          <w:rFonts w:ascii="Palatino Linotype" w:hAnsi="Palatino Linotype" w:cs="Arial"/>
          <w:i/>
          <w:color w:val="000000"/>
          <w:sz w:val="24"/>
          <w:szCs w:val="24"/>
          <w:lang w:val="es-ES_tradnl"/>
        </w:rPr>
        <w:t>“…</w:t>
      </w:r>
      <w:proofErr w:type="spellStart"/>
      <w:r w:rsidRPr="00A42326">
        <w:rPr>
          <w:rFonts w:ascii="Palatino Linotype" w:eastAsia="Times New Roman" w:hAnsi="Palatino Linotype" w:cs="Times New Roman"/>
          <w:i/>
          <w:sz w:val="24"/>
          <w:szCs w:val="24"/>
          <w:lang w:val="es-ES_tradnl" w:eastAsia="es-ES"/>
        </w:rPr>
        <w:t>usb</w:t>
      </w:r>
      <w:proofErr w:type="spellEnd"/>
      <w:r w:rsidRPr="00A42326">
        <w:rPr>
          <w:rFonts w:ascii="Palatino Linotype" w:eastAsia="Times New Roman" w:hAnsi="Palatino Linotype" w:cs="Times New Roman"/>
          <w:i/>
          <w:sz w:val="24"/>
          <w:szCs w:val="24"/>
          <w:lang w:val="es-ES_tradnl" w:eastAsia="es-ES"/>
        </w:rPr>
        <w:t xml:space="preserve">, </w:t>
      </w:r>
      <w:proofErr w:type="spellStart"/>
      <w:r w:rsidRPr="00A42326">
        <w:rPr>
          <w:rFonts w:ascii="Palatino Linotype" w:eastAsia="Times New Roman" w:hAnsi="Palatino Linotype" w:cs="Times New Roman"/>
          <w:i/>
          <w:sz w:val="24"/>
          <w:szCs w:val="24"/>
          <w:lang w:val="es-ES_tradnl" w:eastAsia="es-ES"/>
        </w:rPr>
        <w:t>sd</w:t>
      </w:r>
      <w:proofErr w:type="spellEnd"/>
      <w:r w:rsidRPr="00A42326">
        <w:rPr>
          <w:rFonts w:ascii="Palatino Linotype" w:eastAsia="Times New Roman" w:hAnsi="Palatino Linotype" w:cs="Times New Roman"/>
          <w:i/>
          <w:sz w:val="24"/>
          <w:szCs w:val="24"/>
          <w:lang w:val="es-ES_tradnl" w:eastAsia="es-ES"/>
        </w:rPr>
        <w:t xml:space="preserve"> y </w:t>
      </w:r>
      <w:proofErr w:type="spellStart"/>
      <w:r w:rsidRPr="00A42326">
        <w:rPr>
          <w:rFonts w:ascii="Palatino Linotype" w:eastAsia="Times New Roman" w:hAnsi="Palatino Linotype" w:cs="Times New Roman"/>
          <w:i/>
          <w:sz w:val="24"/>
          <w:szCs w:val="24"/>
          <w:lang w:val="es-ES_tradnl" w:eastAsia="es-ES"/>
        </w:rPr>
        <w:t>cd-rom</w:t>
      </w:r>
      <w:proofErr w:type="spellEnd"/>
      <w:r w:rsidRPr="00A42326">
        <w:rPr>
          <w:rFonts w:ascii="Palatino Linotype" w:eastAsia="Times New Roman" w:hAnsi="Palatino Linotype" w:cs="Times New Roman"/>
          <w:i/>
          <w:sz w:val="24"/>
          <w:szCs w:val="24"/>
          <w:lang w:val="es-ES_tradnl" w:eastAsia="es-ES"/>
        </w:rPr>
        <w:t xml:space="preserve">.” </w:t>
      </w:r>
      <w:r w:rsidRPr="00A42326">
        <w:rPr>
          <w:rFonts w:ascii="Palatino Linotype" w:eastAsia="Times New Roman" w:hAnsi="Palatino Linotype" w:cs="Times New Roman"/>
          <w:sz w:val="24"/>
          <w:szCs w:val="24"/>
          <w:lang w:val="es-ES_tradnl" w:eastAsia="es-ES"/>
        </w:rPr>
        <w:t xml:space="preserve">es menester señalar que se encuentran reguladas por el </w:t>
      </w:r>
      <w:r w:rsidRPr="00A42326">
        <w:rPr>
          <w:rFonts w:ascii="Palatino Linotype" w:hAnsi="Palatino Linotype"/>
          <w:sz w:val="24"/>
          <w:szCs w:val="24"/>
          <w:lang w:val="es-ES"/>
        </w:rPr>
        <w:t>Código Financiero del Estado de México y Municipios en su a</w:t>
      </w:r>
      <w:r>
        <w:rPr>
          <w:rFonts w:ascii="Palatino Linotype" w:hAnsi="Palatino Linotype"/>
          <w:sz w:val="24"/>
          <w:szCs w:val="24"/>
          <w:lang w:val="es-ES"/>
        </w:rPr>
        <w:t>rtículo 148, fracción V</w:t>
      </w:r>
      <w:r w:rsidRPr="00A42326">
        <w:rPr>
          <w:rFonts w:ascii="Palatino Linotype" w:hAnsi="Palatino Linotype"/>
          <w:sz w:val="24"/>
          <w:szCs w:val="24"/>
          <w:lang w:val="es-ES"/>
        </w:rPr>
        <w:t xml:space="preserve">, aplicable al </w:t>
      </w:r>
      <w:r w:rsidRPr="00A42326">
        <w:rPr>
          <w:rFonts w:ascii="Palatino Linotype" w:hAnsi="Palatino Linotype"/>
          <w:b/>
          <w:sz w:val="24"/>
          <w:szCs w:val="24"/>
          <w:lang w:val="es-ES"/>
        </w:rPr>
        <w:t xml:space="preserve">Sujeto Obligado </w:t>
      </w:r>
      <w:r w:rsidRPr="00A42326">
        <w:rPr>
          <w:rFonts w:ascii="Palatino Linotype" w:hAnsi="Palatino Linotype"/>
          <w:sz w:val="24"/>
          <w:szCs w:val="24"/>
          <w:lang w:val="es-ES"/>
        </w:rPr>
        <w:t xml:space="preserve">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4C2A4092" w14:textId="77777777" w:rsidR="00426765" w:rsidRPr="00F86EDD" w:rsidRDefault="00426765" w:rsidP="00426765">
      <w:pPr>
        <w:pStyle w:val="Citas"/>
        <w:spacing w:line="240" w:lineRule="auto"/>
      </w:pPr>
      <w:r w:rsidRPr="00F86EDD">
        <w:rPr>
          <w:b/>
        </w:rPr>
        <w:t xml:space="preserve"> </w:t>
      </w:r>
      <w:r>
        <w:rPr>
          <w:b/>
        </w:rPr>
        <w:t>“Artículo 148</w:t>
      </w:r>
      <w:r w:rsidRPr="00F86EDD">
        <w:rPr>
          <w:b/>
        </w:rPr>
        <w:t xml:space="preserve">.- </w:t>
      </w:r>
      <w:r w:rsidRPr="00F86EDD">
        <w:t xml:space="preserve">Por la expedición </w:t>
      </w:r>
      <w:r>
        <w:t xml:space="preserve">de documentos solicitados en el ejercicio del derecho de acceso a la información pública, se pagarán los derechos conforme a lo siguiente: </w:t>
      </w:r>
    </w:p>
    <w:p w14:paraId="0BFC0F1D" w14:textId="77777777" w:rsidR="00426765" w:rsidRPr="00CF4DE8" w:rsidRDefault="00426765" w:rsidP="00426765">
      <w:pPr>
        <w:pStyle w:val="Citas"/>
        <w:spacing w:line="240" w:lineRule="auto"/>
        <w:jc w:val="center"/>
        <w:rPr>
          <w:b/>
        </w:rPr>
      </w:pPr>
      <w:r w:rsidRPr="00CF4DE8">
        <w:rPr>
          <w:b/>
        </w:rPr>
        <w:t>TARIFA</w:t>
      </w:r>
    </w:p>
    <w:p w14:paraId="5FDC787E" w14:textId="77777777" w:rsidR="00426765" w:rsidRDefault="00426765" w:rsidP="00426765">
      <w:pPr>
        <w:pStyle w:val="Citas"/>
        <w:spacing w:line="240" w:lineRule="auto"/>
        <w:rPr>
          <w:b/>
        </w:rPr>
      </w:pPr>
      <w:r>
        <w:rPr>
          <w:b/>
          <w:noProof/>
          <w:lang w:eastAsia="es-MX"/>
        </w:rPr>
        <w:lastRenderedPageBreak/>
        <mc:AlternateContent>
          <mc:Choice Requires="wps">
            <w:drawing>
              <wp:anchor distT="0" distB="0" distL="114300" distR="114300" simplePos="0" relativeHeight="251659264" behindDoc="0" locked="0" layoutInCell="1" allowOverlap="1" wp14:anchorId="36F7FC89" wp14:editId="6F2D77E7">
                <wp:simplePos x="0" y="0"/>
                <wp:positionH relativeFrom="column">
                  <wp:posOffset>3414395</wp:posOffset>
                </wp:positionH>
                <wp:positionV relativeFrom="paragraph">
                  <wp:posOffset>281305</wp:posOffset>
                </wp:positionV>
                <wp:extent cx="2457450" cy="92710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69AFA3" w14:textId="77777777" w:rsidR="00426765" w:rsidRPr="00CF4DE8" w:rsidRDefault="00426765" w:rsidP="00426765">
                            <w:pPr>
                              <w:jc w:val="both"/>
                              <w:rPr>
                                <w:rFonts w:ascii="Palatino Linotype" w:hAnsi="Palatino Linotype"/>
                                <w:b/>
                                <w:i/>
                              </w:rPr>
                            </w:pPr>
                            <w:r w:rsidRPr="00CF4DE8">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7FC89" id="_x0000_t202" coordsize="21600,21600" o:spt="202" path="m,l,21600r21600,l21600,xe">
                <v:stroke joinstyle="miter"/>
                <v:path gradientshapeok="t" o:connecttype="rect"/>
              </v:shapetype>
              <v:shape id="Cuadro de texto 8" o:spid="_x0000_s1026" type="#_x0000_t202" style="position:absolute;left:0;text-align:left;margin-left:268.85pt;margin-top:22.15pt;width:193.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" filled="f" stroked="f" strokeweight=".5pt">
                <v:textbox>
                  <w:txbxContent>
                    <w:p w14:paraId="6269AFA3" w14:textId="77777777" w:rsidR="00426765" w:rsidRPr="00CF4DE8" w:rsidRDefault="00426765" w:rsidP="00426765">
                      <w:pPr>
                        <w:jc w:val="both"/>
                        <w:rPr>
                          <w:rFonts w:ascii="Palatino Linotype" w:hAnsi="Palatino Linotype"/>
                          <w:b/>
                          <w:i/>
                        </w:rPr>
                      </w:pPr>
                      <w:r w:rsidRPr="00CF4DE8">
                        <w:rPr>
                          <w:rFonts w:ascii="Palatino Linotype" w:hAnsi="Palatino Linotype"/>
                          <w:b/>
                          <w:i/>
                        </w:rPr>
                        <w:t>NÚMERO DE VECES EL VALOR DIARIO DE LA UNIDAD DE MEDIDA Y ACTUALIZACIÓN VIGENTE</w:t>
                      </w:r>
                    </w:p>
                  </w:txbxContent>
                </v:textbox>
              </v:shape>
            </w:pict>
          </mc:Fallback>
        </mc:AlternateContent>
      </w:r>
    </w:p>
    <w:p w14:paraId="28075304" w14:textId="77777777" w:rsidR="00426765" w:rsidRDefault="00426765" w:rsidP="00426765">
      <w:pPr>
        <w:pStyle w:val="Citas"/>
        <w:spacing w:line="240" w:lineRule="auto"/>
        <w:rPr>
          <w:b/>
        </w:rPr>
      </w:pPr>
    </w:p>
    <w:p w14:paraId="3C0880BE" w14:textId="77777777" w:rsidR="00426765" w:rsidRDefault="00426765" w:rsidP="00426765">
      <w:pPr>
        <w:pStyle w:val="Citas"/>
        <w:spacing w:line="240" w:lineRule="auto"/>
        <w:rPr>
          <w:b/>
        </w:rPr>
      </w:pPr>
      <w:r w:rsidRPr="00F86EDD">
        <w:rPr>
          <w:b/>
        </w:rPr>
        <w:t xml:space="preserve">Concepto           </w:t>
      </w:r>
      <w:r>
        <w:rPr>
          <w:b/>
        </w:rPr>
        <w:tab/>
      </w:r>
      <w:r>
        <w:rPr>
          <w:b/>
        </w:rPr>
        <w:tab/>
      </w:r>
      <w:r>
        <w:rPr>
          <w:b/>
        </w:rPr>
        <w:tab/>
      </w:r>
      <w:r>
        <w:rPr>
          <w:b/>
        </w:rPr>
        <w:tab/>
      </w:r>
      <w:r>
        <w:rPr>
          <w:b/>
        </w:rPr>
        <w:tab/>
        <w:t xml:space="preserve"> </w:t>
      </w:r>
    </w:p>
    <w:p w14:paraId="2D3FCD05" w14:textId="77777777" w:rsidR="00426765" w:rsidRPr="00F86EDD" w:rsidRDefault="00426765" w:rsidP="00426765">
      <w:pPr>
        <w:pStyle w:val="Citas"/>
        <w:spacing w:line="240" w:lineRule="auto"/>
      </w:pPr>
      <w:r>
        <w:t>(…)</w:t>
      </w:r>
      <w:r w:rsidRPr="00F86EDD">
        <w:rPr>
          <w:b/>
        </w:rPr>
        <w:t xml:space="preserve">                                          </w:t>
      </w:r>
    </w:p>
    <w:p w14:paraId="33FD4C54" w14:textId="77777777" w:rsidR="00426765" w:rsidRDefault="00426765" w:rsidP="00426765">
      <w:pPr>
        <w:pStyle w:val="Citas"/>
        <w:spacing w:line="240" w:lineRule="auto"/>
      </w:pPr>
      <w:r>
        <w:t xml:space="preserve">V. </w:t>
      </w:r>
      <w:r w:rsidRPr="00426765">
        <w:t xml:space="preserve">Por el escaneo </w:t>
      </w:r>
      <w:r>
        <w:t>y digitalización de documentos.</w:t>
      </w:r>
      <w:r>
        <w:tab/>
      </w:r>
      <w:r>
        <w:tab/>
      </w:r>
      <w:r>
        <w:tab/>
      </w:r>
      <w:r w:rsidRPr="00426765">
        <w:t>0.008</w:t>
      </w:r>
      <w:r w:rsidRPr="00F86EDD">
        <w:t xml:space="preserve"> </w:t>
      </w:r>
    </w:p>
    <w:p w14:paraId="3C64C158" w14:textId="17660204" w:rsidR="00426765" w:rsidRDefault="00426765" w:rsidP="00426765">
      <w:pPr>
        <w:pStyle w:val="Citas"/>
        <w:spacing w:line="240" w:lineRule="auto"/>
      </w:pPr>
      <w:r w:rsidRPr="00F86EDD">
        <w:t>(…)</w:t>
      </w:r>
    </w:p>
    <w:p w14:paraId="005A14E7" w14:textId="77777777" w:rsidR="00426765" w:rsidRPr="00CF4DE8" w:rsidRDefault="00426765" w:rsidP="00426765">
      <w:pPr>
        <w:pStyle w:val="Citas"/>
        <w:spacing w:line="240" w:lineRule="auto"/>
        <w:rPr>
          <w:b/>
        </w:rPr>
      </w:pPr>
      <w:r>
        <w:t>Para los supuestos establecidos en las fracciones III y IV, el solicitante podrá proporcionar a la autoridad municipal, el medio en el que requiera le sea entregada la información pública, en cuyo caso no habrá costo que cubrir.</w:t>
      </w:r>
      <w:r w:rsidRPr="00F86EDD">
        <w:t xml:space="preserve">” </w:t>
      </w:r>
      <w:r>
        <w:rPr>
          <w:b/>
        </w:rPr>
        <w:t xml:space="preserve">[Sic] </w:t>
      </w:r>
    </w:p>
    <w:p w14:paraId="1AE0A3C8" w14:textId="77777777" w:rsidR="00426765" w:rsidRPr="00EC7410" w:rsidRDefault="00426765" w:rsidP="00426765">
      <w:pPr>
        <w:spacing w:line="360" w:lineRule="auto"/>
        <w:jc w:val="both"/>
        <w:rPr>
          <w:rFonts w:ascii="Palatino Linotype" w:hAnsi="Palatino Linotype" w:cs="Arial"/>
          <w:color w:val="000000"/>
          <w:lang w:val="es-ES_tradnl"/>
        </w:rPr>
      </w:pPr>
    </w:p>
    <w:p w14:paraId="4A65B226" w14:textId="77777777" w:rsidR="00426765" w:rsidRPr="00F86EDD" w:rsidRDefault="00426765" w:rsidP="00426765">
      <w:pPr>
        <w:pStyle w:val="Prrafodelista"/>
        <w:spacing w:line="360" w:lineRule="auto"/>
        <w:ind w:left="1418" w:right="564"/>
        <w:rPr>
          <w:rFonts w:ascii="Palatino Linotype" w:hAnsi="Palatino Linotype"/>
          <w:b/>
          <w:i/>
          <w:sz w:val="22"/>
          <w:szCs w:val="22"/>
        </w:rPr>
      </w:pPr>
    </w:p>
    <w:p w14:paraId="3A703977" w14:textId="78C1B2ED" w:rsidR="00426765" w:rsidRDefault="00426765" w:rsidP="00426765">
      <w:pPr>
        <w:pStyle w:val="Sinespaciado"/>
        <w:spacing w:line="360" w:lineRule="auto"/>
        <w:ind w:firstLine="1"/>
        <w:jc w:val="both"/>
        <w:rPr>
          <w:rFonts w:ascii="Palatino Linotype" w:hAnsi="Palatino Linotype"/>
          <w:lang w:val="es-ES"/>
        </w:rPr>
      </w:pPr>
      <w:r w:rsidRPr="00F86EDD">
        <w:rPr>
          <w:rFonts w:ascii="Palatino Linotype" w:hAnsi="Palatino Linotype"/>
          <w:lang w:val="es-ES"/>
        </w:rPr>
        <w:t xml:space="preserve">Así, se tiene que el cobro por </w:t>
      </w:r>
      <w:r>
        <w:rPr>
          <w:rFonts w:ascii="Palatino Linotype" w:hAnsi="Palatino Linotype"/>
          <w:lang w:val="es-ES"/>
        </w:rPr>
        <w:t xml:space="preserve">digitalización de la información es un derecho que cobra el Estado </w:t>
      </w:r>
      <w:r w:rsidRPr="00F86EDD">
        <w:rPr>
          <w:rFonts w:ascii="Palatino Linotype" w:hAnsi="Palatino Linotype"/>
          <w:lang w:val="es-ES"/>
        </w:rPr>
        <w:t>y sus organismos y su destino es cubrir el gasto público y</w:t>
      </w:r>
      <w:r w:rsidR="003E1925">
        <w:rPr>
          <w:rFonts w:ascii="Palatino Linotype" w:hAnsi="Palatino Linotype"/>
          <w:lang w:val="es-ES"/>
        </w:rPr>
        <w:t xml:space="preserve"> demás obligaciones a su cargo.</w:t>
      </w:r>
    </w:p>
    <w:p w14:paraId="56A0DDE8" w14:textId="77777777" w:rsidR="003E1925" w:rsidRDefault="003E1925" w:rsidP="003E1925">
      <w:pPr>
        <w:pStyle w:val="Prrafodelista"/>
        <w:autoSpaceDE w:val="0"/>
        <w:autoSpaceDN w:val="0"/>
        <w:adjustRightInd w:val="0"/>
        <w:spacing w:line="360" w:lineRule="auto"/>
        <w:ind w:left="0"/>
        <w:jc w:val="both"/>
        <w:rPr>
          <w:rFonts w:ascii="Palatino Linotype" w:hAnsi="Palatino Linotype" w:cs="Arial"/>
        </w:rPr>
      </w:pPr>
    </w:p>
    <w:p w14:paraId="561FAB53"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rPr>
      </w:pPr>
      <w:r w:rsidRPr="00725359">
        <w:rPr>
          <w:rFonts w:ascii="Palatino Linotype" w:hAnsi="Palatino Linotype" w:cs="Arial"/>
        </w:rPr>
        <w:t xml:space="preserve">El artículo 17, de la Ley en la materia, establece que la búsqueda y acceso de la información es </w:t>
      </w:r>
      <w:r w:rsidRPr="00725359">
        <w:rPr>
          <w:rFonts w:ascii="Palatino Linotype" w:hAnsi="Palatino Linotype" w:cs="Arial"/>
          <w:b/>
          <w:u w:val="single"/>
        </w:rPr>
        <w:t>gratuita y sólo se cubrirán los gastos de reproducción, o por la modalidad de entrega solicitada, así como por el envío, que en su caso se genere</w:t>
      </w:r>
      <w:r w:rsidRPr="00725359">
        <w:rPr>
          <w:rFonts w:ascii="Palatino Linotype" w:hAnsi="Palatino Linotype" w:cs="Arial"/>
        </w:rPr>
        <w:t>, de conformidad con los derechos, productos y aprovechamientos establecidos en la legislación aplicable, sin que exceda de los límites establecidos en la presente Ley.</w:t>
      </w:r>
    </w:p>
    <w:p w14:paraId="17FC6BD7"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rPr>
      </w:pPr>
    </w:p>
    <w:p w14:paraId="49C1E508"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rPr>
      </w:pPr>
      <w:r w:rsidRPr="00725359">
        <w:rPr>
          <w:rFonts w:ascii="Palatino Linotype" w:hAnsi="Palatino Linotype" w:cs="Arial"/>
        </w:rPr>
        <w:t xml:space="preserve">Del dispositivo legal en cita, se desprende una norma permisiva que impera en la generación, publicación y entrega de la información y sobre el cobro por la reproducción o en su caso el envío, estableciendo que la presente ley establecerá los límites para cubrir los gastos de reproducción o por la modalidad de entrega requerida, que la búsqueda y </w:t>
      </w:r>
      <w:r w:rsidRPr="00725359">
        <w:rPr>
          <w:rFonts w:ascii="Palatino Linotype" w:hAnsi="Palatino Linotype" w:cs="Arial"/>
          <w:b/>
          <w:u w:val="single"/>
        </w:rPr>
        <w:t>acceso de la información es gratuita</w:t>
      </w:r>
      <w:r w:rsidRPr="00725359">
        <w:rPr>
          <w:rFonts w:ascii="Palatino Linotype" w:hAnsi="Palatino Linotype" w:cs="Arial"/>
        </w:rPr>
        <w:t>.</w:t>
      </w:r>
    </w:p>
    <w:p w14:paraId="2E7C3A26"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rPr>
      </w:pPr>
    </w:p>
    <w:p w14:paraId="6ECFA043"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rPr>
      </w:pPr>
      <w:r w:rsidRPr="00725359">
        <w:rPr>
          <w:rFonts w:ascii="Palatino Linotype" w:hAnsi="Palatino Linotype" w:cs="Arial"/>
        </w:rPr>
        <w:t xml:space="preserve">En la especie, nos ocupa únicamente lo referente a los gastos de reproducción de la información, pues de constancias obra acuse de la solicitud de información, en el cual se desprende que como modalidad de entrega de información se requirió a través del </w:t>
      </w:r>
      <w:r w:rsidRPr="00725359">
        <w:rPr>
          <w:rFonts w:ascii="Palatino Linotype" w:hAnsi="Palatino Linotype" w:cs="Arial"/>
          <w:b/>
        </w:rPr>
        <w:t>SAIMEX</w:t>
      </w:r>
      <w:r w:rsidRPr="00725359">
        <w:rPr>
          <w:rFonts w:ascii="Palatino Linotype" w:hAnsi="Palatino Linotype" w:cs="Arial"/>
        </w:rPr>
        <w:t xml:space="preserve"> y el </w:t>
      </w:r>
      <w:r w:rsidRPr="00725359">
        <w:rPr>
          <w:rFonts w:ascii="Palatino Linotype" w:hAnsi="Palatino Linotype" w:cs="Arial"/>
          <w:b/>
        </w:rPr>
        <w:t>Sujeto Obligado</w:t>
      </w:r>
      <w:r w:rsidRPr="00725359">
        <w:rPr>
          <w:rFonts w:ascii="Palatino Linotype" w:hAnsi="Palatino Linotype" w:cs="Arial"/>
        </w:rPr>
        <w:t xml:space="preserve"> aduce que deberá cubrirse el pago por el costo de digitalización.</w:t>
      </w:r>
    </w:p>
    <w:p w14:paraId="2E443017"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rPr>
      </w:pPr>
    </w:p>
    <w:p w14:paraId="08F59EAD"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rPr>
      </w:pPr>
      <w:r w:rsidRPr="00725359">
        <w:rPr>
          <w:rFonts w:ascii="Palatino Linotype" w:hAnsi="Palatino Linotype" w:cs="Arial"/>
        </w:rPr>
        <w:t>Lo anterior permite remitirnos al Capítulo II, del Título Séptimo de la Ley de Transparencia y Acceso a la Información Pública del Estado de México y Municipio, el cual regula que en casos de existir costos para obtener la información deberá cubrirse de manera previa a la entrega, como se desprende del numeral 174, de dicho ordenamiento legal:</w:t>
      </w:r>
    </w:p>
    <w:p w14:paraId="51D50ECA" w14:textId="77777777" w:rsidR="003E1925" w:rsidRPr="00725359" w:rsidRDefault="003E1925" w:rsidP="003E1925">
      <w:pPr>
        <w:pStyle w:val="Sinespaciado"/>
      </w:pPr>
    </w:p>
    <w:p w14:paraId="75A54135" w14:textId="77777777" w:rsidR="003E1925" w:rsidRPr="00725359" w:rsidRDefault="003E1925" w:rsidP="003E1925">
      <w:pPr>
        <w:pStyle w:val="Prrafodelista"/>
        <w:autoSpaceDE w:val="0"/>
        <w:autoSpaceDN w:val="0"/>
        <w:adjustRightInd w:val="0"/>
        <w:spacing w:line="276" w:lineRule="auto"/>
        <w:ind w:left="851" w:right="851"/>
        <w:jc w:val="both"/>
        <w:rPr>
          <w:rFonts w:ascii="Palatino Linotype" w:hAnsi="Palatino Linotype"/>
          <w:i/>
          <w:sz w:val="22"/>
        </w:rPr>
      </w:pPr>
      <w:r w:rsidRPr="00725359">
        <w:rPr>
          <w:rFonts w:ascii="Palatino Linotype" w:hAnsi="Palatino Linotype"/>
          <w:b/>
          <w:i/>
          <w:sz w:val="22"/>
        </w:rPr>
        <w:t>Artículo 174.</w:t>
      </w:r>
      <w:r w:rsidRPr="00725359">
        <w:rPr>
          <w:rFonts w:ascii="Palatino Linotype" w:hAnsi="Palatino Linotype"/>
          <w:i/>
          <w:sz w:val="22"/>
        </w:rPr>
        <w:t xml:space="preserve"> En caso de existir costos para obtener la información deberán cubrirse de manera previa a la entrega y no podrán ser superiores a la suma de:</w:t>
      </w:r>
    </w:p>
    <w:p w14:paraId="5FC388AF" w14:textId="77777777" w:rsidR="003E1925" w:rsidRPr="00725359" w:rsidRDefault="003E1925" w:rsidP="003E1925">
      <w:pPr>
        <w:pStyle w:val="Prrafodelista"/>
        <w:autoSpaceDE w:val="0"/>
        <w:autoSpaceDN w:val="0"/>
        <w:adjustRightInd w:val="0"/>
        <w:spacing w:line="276" w:lineRule="auto"/>
        <w:ind w:left="851" w:right="851"/>
        <w:jc w:val="both"/>
        <w:rPr>
          <w:rFonts w:ascii="Palatino Linotype" w:hAnsi="Palatino Linotype"/>
          <w:i/>
          <w:sz w:val="22"/>
        </w:rPr>
      </w:pPr>
    </w:p>
    <w:p w14:paraId="6B5F9A48" w14:textId="77777777" w:rsidR="003E1925" w:rsidRPr="00725359" w:rsidRDefault="003E1925" w:rsidP="003E1925">
      <w:pPr>
        <w:pStyle w:val="Prrafodelista"/>
        <w:autoSpaceDE w:val="0"/>
        <w:autoSpaceDN w:val="0"/>
        <w:adjustRightInd w:val="0"/>
        <w:spacing w:line="276" w:lineRule="auto"/>
        <w:ind w:left="851" w:right="851"/>
        <w:jc w:val="both"/>
        <w:rPr>
          <w:rFonts w:ascii="Palatino Linotype" w:hAnsi="Palatino Linotype"/>
          <w:i/>
          <w:sz w:val="22"/>
        </w:rPr>
      </w:pPr>
      <w:r w:rsidRPr="00725359">
        <w:rPr>
          <w:rFonts w:ascii="Palatino Linotype" w:hAnsi="Palatino Linotype"/>
          <w:i/>
          <w:sz w:val="22"/>
        </w:rPr>
        <w:t>I. El costo de los materiales utilizados en la reproducción de la información</w:t>
      </w:r>
    </w:p>
    <w:p w14:paraId="4DAEADE6" w14:textId="77777777" w:rsidR="003E1925" w:rsidRPr="00725359" w:rsidRDefault="003E1925" w:rsidP="003E1925">
      <w:pPr>
        <w:pStyle w:val="Prrafodelista"/>
        <w:autoSpaceDE w:val="0"/>
        <w:autoSpaceDN w:val="0"/>
        <w:adjustRightInd w:val="0"/>
        <w:spacing w:line="276" w:lineRule="auto"/>
        <w:ind w:left="851" w:right="851"/>
        <w:jc w:val="both"/>
        <w:rPr>
          <w:rFonts w:ascii="Palatino Linotype" w:hAnsi="Palatino Linotype"/>
          <w:i/>
          <w:sz w:val="22"/>
        </w:rPr>
      </w:pPr>
      <w:r w:rsidRPr="00725359">
        <w:rPr>
          <w:rFonts w:ascii="Palatino Linotype" w:hAnsi="Palatino Linotype"/>
          <w:i/>
          <w:sz w:val="22"/>
        </w:rPr>
        <w:t>II. El costo de envío, en su caso; y</w:t>
      </w:r>
    </w:p>
    <w:p w14:paraId="41522034" w14:textId="77777777" w:rsidR="003E1925" w:rsidRPr="00725359" w:rsidRDefault="003E1925" w:rsidP="003E1925">
      <w:pPr>
        <w:pStyle w:val="Prrafodelista"/>
        <w:autoSpaceDE w:val="0"/>
        <w:autoSpaceDN w:val="0"/>
        <w:adjustRightInd w:val="0"/>
        <w:spacing w:line="276" w:lineRule="auto"/>
        <w:ind w:left="851" w:right="851"/>
        <w:jc w:val="both"/>
        <w:rPr>
          <w:rFonts w:ascii="Palatino Linotype" w:hAnsi="Palatino Linotype"/>
          <w:i/>
          <w:sz w:val="22"/>
        </w:rPr>
      </w:pPr>
      <w:r w:rsidRPr="00725359">
        <w:rPr>
          <w:rFonts w:ascii="Palatino Linotype" w:hAnsi="Palatino Linotype"/>
          <w:i/>
          <w:sz w:val="22"/>
        </w:rPr>
        <w:t>III. El pago de la certificación de los documentos, cuando proceda.</w:t>
      </w:r>
    </w:p>
    <w:p w14:paraId="06AA47F5" w14:textId="77777777" w:rsidR="003E1925" w:rsidRPr="00725359" w:rsidRDefault="003E1925" w:rsidP="003E1925">
      <w:pPr>
        <w:pStyle w:val="Prrafodelista"/>
        <w:autoSpaceDE w:val="0"/>
        <w:autoSpaceDN w:val="0"/>
        <w:adjustRightInd w:val="0"/>
        <w:spacing w:line="276" w:lineRule="auto"/>
        <w:ind w:left="851" w:right="851"/>
        <w:jc w:val="both"/>
        <w:rPr>
          <w:rFonts w:ascii="Palatino Linotype" w:hAnsi="Palatino Linotype"/>
          <w:i/>
          <w:sz w:val="22"/>
        </w:rPr>
      </w:pPr>
    </w:p>
    <w:p w14:paraId="4D97260B" w14:textId="77777777" w:rsidR="003E1925" w:rsidRPr="00725359" w:rsidRDefault="003E1925" w:rsidP="003E1925">
      <w:pPr>
        <w:pStyle w:val="Prrafodelista"/>
        <w:autoSpaceDE w:val="0"/>
        <w:autoSpaceDN w:val="0"/>
        <w:adjustRightInd w:val="0"/>
        <w:spacing w:line="276" w:lineRule="auto"/>
        <w:ind w:left="851" w:right="851"/>
        <w:jc w:val="both"/>
        <w:rPr>
          <w:rFonts w:ascii="Palatino Linotype" w:hAnsi="Palatino Linotype"/>
          <w:i/>
          <w:sz w:val="22"/>
        </w:rPr>
      </w:pPr>
      <w:r w:rsidRPr="00725359">
        <w:rPr>
          <w:rFonts w:ascii="Palatino Linotype" w:hAnsi="Palatino Linotype"/>
          <w:i/>
          <w:sz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w:t>
      </w:r>
    </w:p>
    <w:p w14:paraId="3A9B5BFF" w14:textId="77777777" w:rsidR="003E1925" w:rsidRPr="00725359" w:rsidRDefault="003E1925" w:rsidP="003E1925">
      <w:pPr>
        <w:pStyle w:val="Prrafodelista"/>
        <w:autoSpaceDE w:val="0"/>
        <w:autoSpaceDN w:val="0"/>
        <w:adjustRightInd w:val="0"/>
        <w:spacing w:line="276" w:lineRule="auto"/>
        <w:ind w:left="851" w:right="851"/>
        <w:jc w:val="both"/>
        <w:rPr>
          <w:rFonts w:ascii="Palatino Linotype" w:hAnsi="Palatino Linotype"/>
          <w:i/>
          <w:sz w:val="22"/>
        </w:rPr>
      </w:pPr>
    </w:p>
    <w:p w14:paraId="752523F8" w14:textId="77777777" w:rsidR="003E1925" w:rsidRPr="00725359" w:rsidRDefault="003E1925" w:rsidP="003E1925">
      <w:pPr>
        <w:pStyle w:val="Prrafodelista"/>
        <w:autoSpaceDE w:val="0"/>
        <w:autoSpaceDN w:val="0"/>
        <w:adjustRightInd w:val="0"/>
        <w:spacing w:line="276" w:lineRule="auto"/>
        <w:ind w:left="851" w:right="851"/>
        <w:jc w:val="both"/>
        <w:rPr>
          <w:rFonts w:ascii="Palatino Linotype" w:hAnsi="Palatino Linotype"/>
          <w:i/>
          <w:sz w:val="22"/>
        </w:rPr>
      </w:pPr>
      <w:r w:rsidRPr="00725359">
        <w:rPr>
          <w:rFonts w:ascii="Palatino Linotype" w:hAnsi="Palatino Linotype"/>
          <w:i/>
          <w:sz w:val="22"/>
        </w:rPr>
        <w:t>En su determinación se deberá considerar que los montos permitan o faciliten el ejercicio del derecho de acceso a la información.</w:t>
      </w:r>
    </w:p>
    <w:p w14:paraId="2CE1D53C" w14:textId="77777777" w:rsidR="003E1925" w:rsidRPr="00725359" w:rsidRDefault="003E1925" w:rsidP="003E1925">
      <w:pPr>
        <w:pStyle w:val="Prrafodelista"/>
        <w:autoSpaceDE w:val="0"/>
        <w:autoSpaceDN w:val="0"/>
        <w:adjustRightInd w:val="0"/>
        <w:spacing w:line="276" w:lineRule="auto"/>
        <w:ind w:left="851" w:right="851"/>
        <w:jc w:val="both"/>
        <w:rPr>
          <w:rFonts w:ascii="Palatino Linotype" w:hAnsi="Palatino Linotype"/>
          <w:i/>
          <w:sz w:val="22"/>
        </w:rPr>
      </w:pPr>
      <w:r w:rsidRPr="00725359">
        <w:rPr>
          <w:rFonts w:ascii="Palatino Linotype" w:hAnsi="Palatino Linotype"/>
          <w:i/>
          <w:sz w:val="22"/>
        </w:rPr>
        <w:t>Los sujetos obligados a los que no les sea aplicable el Código Financiero del Estado de México y Municipios deberán establecer cuotas que no sean mayores a las dispuestas en dicho ordenamiento.</w:t>
      </w:r>
    </w:p>
    <w:p w14:paraId="6EBE2740" w14:textId="77777777" w:rsidR="003E1925" w:rsidRPr="00725359" w:rsidRDefault="003E1925" w:rsidP="003E1925">
      <w:pPr>
        <w:pStyle w:val="Prrafodelista"/>
        <w:autoSpaceDE w:val="0"/>
        <w:autoSpaceDN w:val="0"/>
        <w:adjustRightInd w:val="0"/>
        <w:spacing w:line="276" w:lineRule="auto"/>
        <w:ind w:left="851" w:right="851"/>
        <w:jc w:val="both"/>
        <w:rPr>
          <w:rFonts w:ascii="Palatino Linotype" w:hAnsi="Palatino Linotype"/>
          <w:i/>
          <w:sz w:val="22"/>
        </w:rPr>
      </w:pPr>
    </w:p>
    <w:p w14:paraId="0FF4B4E5" w14:textId="77777777" w:rsidR="003E1925" w:rsidRPr="00725359" w:rsidRDefault="003E1925" w:rsidP="003E1925">
      <w:pPr>
        <w:pStyle w:val="Prrafodelista"/>
        <w:autoSpaceDE w:val="0"/>
        <w:autoSpaceDN w:val="0"/>
        <w:adjustRightInd w:val="0"/>
        <w:spacing w:line="276" w:lineRule="auto"/>
        <w:ind w:left="851" w:right="851"/>
        <w:jc w:val="both"/>
        <w:rPr>
          <w:rFonts w:ascii="Palatino Linotype" w:hAnsi="Palatino Linotype"/>
          <w:i/>
          <w:sz w:val="22"/>
        </w:rPr>
      </w:pPr>
      <w:r w:rsidRPr="00725359">
        <w:rPr>
          <w:rFonts w:ascii="Palatino Linotype" w:hAnsi="Palatino Linotype"/>
          <w:i/>
          <w:sz w:val="22"/>
        </w:rPr>
        <w:lastRenderedPageBreak/>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39CC655F" w14:textId="77777777" w:rsidR="003E1925" w:rsidRPr="00725359" w:rsidRDefault="003E1925" w:rsidP="003E1925">
      <w:pPr>
        <w:pStyle w:val="Sinespaciado"/>
      </w:pPr>
    </w:p>
    <w:p w14:paraId="7159BF7B"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rPr>
      </w:pPr>
      <w:r w:rsidRPr="00725359">
        <w:rPr>
          <w:rFonts w:ascii="Palatino Linotype" w:hAnsi="Palatino Linotype" w:cs="Arial"/>
        </w:rPr>
        <w:t xml:space="preserve">Del referido numeral se desprenden los costos para obtener la información que deberá cubrirse de manera previa a la entrega y </w:t>
      </w:r>
      <w:r w:rsidRPr="00725359">
        <w:rPr>
          <w:rFonts w:ascii="Palatino Linotype" w:hAnsi="Palatino Linotype" w:cs="Arial"/>
          <w:b/>
          <w:u w:val="single"/>
        </w:rPr>
        <w:t>ésta corresponderá al costo de los materiales utilizados en la reproducción de la información, el costo de envío, en su caso; y el pago de la certificación de los documentos, cuando proceda</w:t>
      </w:r>
      <w:r w:rsidRPr="00725359">
        <w:rPr>
          <w:rFonts w:ascii="Palatino Linotype" w:hAnsi="Palatino Linotype" w:cs="Arial"/>
        </w:rPr>
        <w:t>, disposiciones que revisten las características de orden público e interés social y de aplicación general, las cuales son de observancia para esta autoridad administrativa.</w:t>
      </w:r>
    </w:p>
    <w:p w14:paraId="1B13C6F3"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lang w:eastAsia="es-MX"/>
        </w:rPr>
      </w:pPr>
      <w:r w:rsidRPr="00725359">
        <w:rPr>
          <w:rFonts w:ascii="Palatino Linotype" w:hAnsi="Palatino Linotype" w:cs="Arial"/>
        </w:rPr>
        <w:t xml:space="preserve">Así las cosas, resulta inconcuso que el pago por reproducción está contemplado dentro la Ley de Transparencia y Acceso a la Información Pública del Estado de México y Municipios, exceptuándose únicamente sobre aquella información que en términos de ley deban publicar de manera obligatoria los sujetos obligados o </w:t>
      </w:r>
      <w:r w:rsidRPr="00725359">
        <w:rPr>
          <w:rFonts w:ascii="Palatino Linotype" w:hAnsi="Palatino Linotype" w:cs="Arial"/>
          <w:b/>
          <w:u w:val="single"/>
        </w:rPr>
        <w:t>deba ser generada de manera electrónica según lo dispongan los ordenamientos legales o administrativos</w:t>
      </w:r>
      <w:r w:rsidRPr="00725359">
        <w:rPr>
          <w:rFonts w:ascii="Palatino Linotype" w:hAnsi="Palatino Linotype" w:cs="Arial"/>
        </w:rPr>
        <w:t>.</w:t>
      </w:r>
    </w:p>
    <w:p w14:paraId="60C41617"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lang w:eastAsia="es-MX"/>
        </w:rPr>
      </w:pPr>
    </w:p>
    <w:p w14:paraId="5D906AF0"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lang w:eastAsia="es-MX"/>
        </w:rPr>
      </w:pPr>
      <w:r w:rsidRPr="00725359">
        <w:rPr>
          <w:rFonts w:ascii="Palatino Linotype" w:hAnsi="Palatino Linotype" w:cs="Arial"/>
          <w:lang w:eastAsia="es-MX"/>
        </w:rPr>
        <w:t>Asimismo, el artículo 175</w:t>
      </w:r>
      <w:r w:rsidRPr="00725359">
        <w:rPr>
          <w:rStyle w:val="Refdenotaalpie"/>
          <w:rFonts w:ascii="Palatino Linotype" w:hAnsi="Palatino Linotype" w:cs="Arial"/>
          <w:lang w:eastAsia="es-MX"/>
        </w:rPr>
        <w:footnoteReference w:id="2"/>
      </w:r>
      <w:r w:rsidRPr="00725359">
        <w:rPr>
          <w:rFonts w:ascii="Palatino Linotype" w:hAnsi="Palatino Linotype" w:cs="Arial"/>
          <w:lang w:eastAsia="es-MX"/>
        </w:rPr>
        <w:t xml:space="preserve">, de la Ley de Transparencia y Acceso a la Información Pública del Estado de México y Municipios, indica que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w:t>
      </w:r>
      <w:r w:rsidRPr="00725359">
        <w:rPr>
          <w:rFonts w:ascii="Palatino Linotype" w:hAnsi="Palatino Linotype" w:cs="Arial"/>
          <w:lang w:eastAsia="es-MX"/>
        </w:rPr>
        <w:lastRenderedPageBreak/>
        <w:t>previamente por cualquier motivo, en aquellos casos en que la modalidad de entrega sea por medio de la plataforma o vía electrónica.</w:t>
      </w:r>
    </w:p>
    <w:p w14:paraId="08635953"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lang w:eastAsia="es-MX"/>
        </w:rPr>
      </w:pPr>
    </w:p>
    <w:p w14:paraId="66667A59"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lang w:eastAsia="es-MX"/>
        </w:rPr>
      </w:pPr>
      <w:r w:rsidRPr="00725359">
        <w:rPr>
          <w:rFonts w:ascii="Palatino Linotype" w:hAnsi="Palatino Linotype" w:cs="Arial"/>
          <w:lang w:eastAsia="es-MX"/>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0470A731"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lang w:eastAsia="es-MX"/>
        </w:rPr>
      </w:pPr>
    </w:p>
    <w:p w14:paraId="70CAA3C4"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lang w:eastAsia="es-MX"/>
        </w:rPr>
      </w:pPr>
      <w:r w:rsidRPr="00725359">
        <w:rPr>
          <w:rFonts w:ascii="Palatino Linotype" w:hAnsi="Palatino Linotype" w:cs="Arial"/>
        </w:rPr>
        <w:t>Es por eso, que en el presente asunto se desprende que el</w:t>
      </w:r>
      <w:r w:rsidRPr="00725359">
        <w:rPr>
          <w:rFonts w:ascii="Palatino Linotype" w:hAnsi="Palatino Linotype" w:cs="Arial"/>
          <w:b/>
        </w:rPr>
        <w:t xml:space="preserve"> Sujeto Obligado</w:t>
      </w:r>
      <w:r w:rsidRPr="00725359">
        <w:rPr>
          <w:rFonts w:ascii="Palatino Linotype" w:hAnsi="Palatino Linotype" w:cs="Arial"/>
        </w:rPr>
        <w:t xml:space="preserve"> no se ajusta a lo establecido en el presente dispositivo legal, pues de la redacción tanto de su respuesta como del informe justificado y de los totales que menciona en los mismos, se desprende que se requiere el cobro primeramente del fotocopiado para la realización de la versión pública y posteriormente el pago por la digitalización para su entrega a través del </w:t>
      </w:r>
      <w:r w:rsidRPr="00725359">
        <w:rPr>
          <w:rFonts w:ascii="Palatino Linotype" w:hAnsi="Palatino Linotype" w:cs="Arial"/>
          <w:b/>
        </w:rPr>
        <w:t>SAIMEX</w:t>
      </w:r>
      <w:r w:rsidRPr="00725359">
        <w:rPr>
          <w:rFonts w:ascii="Palatino Linotype" w:hAnsi="Palatino Linotype" w:cs="Arial"/>
        </w:rPr>
        <w:t>.</w:t>
      </w:r>
    </w:p>
    <w:p w14:paraId="28F99369"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lang w:eastAsia="es-MX"/>
        </w:rPr>
      </w:pPr>
    </w:p>
    <w:p w14:paraId="0998EAB4" w14:textId="77777777" w:rsidR="003E1925" w:rsidRPr="00725359" w:rsidRDefault="003E1925" w:rsidP="003E1925">
      <w:pPr>
        <w:pStyle w:val="Prrafodelista"/>
        <w:autoSpaceDE w:val="0"/>
        <w:autoSpaceDN w:val="0"/>
        <w:adjustRightInd w:val="0"/>
        <w:spacing w:line="360" w:lineRule="auto"/>
        <w:ind w:left="0"/>
        <w:jc w:val="both"/>
        <w:rPr>
          <w:rFonts w:ascii="Palatino Linotype" w:hAnsi="Palatino Linotype" w:cs="Arial"/>
        </w:rPr>
      </w:pPr>
      <w:r w:rsidRPr="00725359">
        <w:rPr>
          <w:rFonts w:ascii="Palatino Linotype" w:hAnsi="Palatino Linotype" w:cs="Arial"/>
        </w:rPr>
        <w:t xml:space="preserve">Referencias del </w:t>
      </w:r>
      <w:r w:rsidRPr="00725359">
        <w:rPr>
          <w:rFonts w:ascii="Palatino Linotype" w:hAnsi="Palatino Linotype" w:cs="Arial"/>
          <w:b/>
        </w:rPr>
        <w:t>Sujeto Obligado</w:t>
      </w:r>
      <w:r w:rsidRPr="00725359">
        <w:rPr>
          <w:rFonts w:ascii="Palatino Linotype" w:hAnsi="Palatino Linotype" w:cs="Arial"/>
        </w:rPr>
        <w:t xml:space="preserve"> contrarias a lo dispuesto en el procedimiento de acceso a la información pública, por lo que en términos de lo ya expuesto, no se actualiza el pago por la reproducción de la información, únicamente debe atenderse por lo que hace a la digitalización,</w:t>
      </w:r>
      <w:r w:rsidRPr="00725359">
        <w:rPr>
          <w:rFonts w:ascii="Palatino Linotype" w:hAnsi="Palatino Linotype" w:cs="Arial"/>
          <w:b/>
        </w:rPr>
        <w:t xml:space="preserve"> </w:t>
      </w:r>
      <w:r w:rsidRPr="00725359">
        <w:rPr>
          <w:rFonts w:ascii="Palatino Linotype" w:hAnsi="Palatino Linotype" w:cs="Arial"/>
          <w:b/>
          <w:u w:val="single"/>
        </w:rPr>
        <w:t>pues el medio por el cual se solicitó la información es a través del SAIMEX</w:t>
      </w:r>
      <w:r w:rsidRPr="00725359">
        <w:rPr>
          <w:rFonts w:ascii="Palatino Linotype" w:hAnsi="Palatino Linotype" w:cs="Arial"/>
        </w:rPr>
        <w:t>, y por lo que hace al cobro del fotocopiado éste resulta innecesario y transgresor de los principios que regulan el procedimiento.</w:t>
      </w:r>
    </w:p>
    <w:p w14:paraId="4C454383" w14:textId="77777777" w:rsidR="003E1925" w:rsidRDefault="003E1925" w:rsidP="00B561B1">
      <w:pPr>
        <w:pStyle w:val="Sinespaciado"/>
        <w:spacing w:line="360" w:lineRule="auto"/>
        <w:jc w:val="both"/>
        <w:rPr>
          <w:rStyle w:val="Refdecomentario"/>
        </w:rPr>
      </w:pPr>
    </w:p>
    <w:p w14:paraId="7761E9B9" w14:textId="77777777" w:rsidR="00B561B1" w:rsidRPr="00D26474" w:rsidRDefault="00B561B1" w:rsidP="00B561B1">
      <w:pPr>
        <w:pStyle w:val="Sinespaciado"/>
        <w:spacing w:line="360" w:lineRule="auto"/>
        <w:jc w:val="both"/>
        <w:rPr>
          <w:rFonts w:ascii="Palatino Linotype" w:hAnsi="Palatino Linotype" w:cs="Arial"/>
          <w:sz w:val="24"/>
        </w:rPr>
      </w:pPr>
      <w:r w:rsidRPr="00D26474">
        <w:rPr>
          <w:rFonts w:ascii="Palatino Linotype" w:hAnsi="Palatino Linotype" w:cs="Arial"/>
          <w:sz w:val="24"/>
        </w:rPr>
        <w:t xml:space="preserve">Con base en lo anteriormente expuesto, se acredita de manera fehaciente que </w:t>
      </w:r>
      <w:r w:rsidRPr="00D26474">
        <w:rPr>
          <w:rFonts w:ascii="Palatino Linotype" w:hAnsi="Palatino Linotype" w:cs="Arial"/>
          <w:b/>
          <w:sz w:val="24"/>
        </w:rPr>
        <w:t xml:space="preserve">el Sujeto Obligado </w:t>
      </w:r>
      <w:r w:rsidRPr="00D26474">
        <w:rPr>
          <w:rFonts w:ascii="Palatino Linotype" w:hAnsi="Palatino Linotype" w:cs="Arial"/>
          <w:sz w:val="24"/>
        </w:rPr>
        <w:t xml:space="preserve">no colmó el derecho de acceso a la información pública. Consecuentemente </w:t>
      </w:r>
      <w:r w:rsidRPr="00D26474">
        <w:rPr>
          <w:rFonts w:ascii="Palatino Linotype" w:hAnsi="Palatino Linotype" w:cs="Arial"/>
          <w:sz w:val="24"/>
        </w:rPr>
        <w:lastRenderedPageBreak/>
        <w:t>resulta dable ordenar la entrega, en versión pública de ser procedente, del o los documentos en donde conste la siguiente información:</w:t>
      </w:r>
    </w:p>
    <w:p w14:paraId="02505BF1" w14:textId="77777777" w:rsidR="00B561B1" w:rsidRPr="00D26474" w:rsidRDefault="00B561B1" w:rsidP="00B561B1">
      <w:pPr>
        <w:pStyle w:val="Sinespaciado"/>
        <w:spacing w:line="360" w:lineRule="auto"/>
        <w:jc w:val="both"/>
        <w:rPr>
          <w:rFonts w:ascii="Palatino Linotype" w:hAnsi="Palatino Linotype" w:cs="Arial"/>
          <w:sz w:val="24"/>
        </w:rPr>
      </w:pPr>
      <w:bookmarkStart w:id="1" w:name="_Hlk75443793"/>
    </w:p>
    <w:p w14:paraId="249046E0" w14:textId="32FDA09F" w:rsidR="00CD1F85" w:rsidRPr="00D26474" w:rsidRDefault="00B561B1" w:rsidP="00CD1F85">
      <w:pPr>
        <w:numPr>
          <w:ilvl w:val="0"/>
          <w:numId w:val="15"/>
        </w:numPr>
        <w:spacing w:after="240" w:line="360" w:lineRule="auto"/>
        <w:jc w:val="both"/>
        <w:rPr>
          <w:rFonts w:ascii="Palatino Linotype" w:hAnsi="Palatino Linotype"/>
          <w:i/>
          <w:sz w:val="24"/>
          <w:szCs w:val="24"/>
        </w:rPr>
      </w:pPr>
      <w:r>
        <w:rPr>
          <w:rFonts w:ascii="Palatino Linotype" w:hAnsi="Palatino Linotype"/>
          <w:i/>
          <w:sz w:val="24"/>
          <w:szCs w:val="24"/>
        </w:rPr>
        <w:t>L</w:t>
      </w:r>
      <w:r w:rsidRPr="00E92FD4">
        <w:rPr>
          <w:rFonts w:ascii="Palatino Linotype" w:hAnsi="Palatino Linotype"/>
          <w:i/>
          <w:sz w:val="24"/>
          <w:szCs w:val="24"/>
        </w:rPr>
        <w:t xml:space="preserve">os </w:t>
      </w:r>
      <w:r>
        <w:rPr>
          <w:rFonts w:ascii="Palatino Linotype" w:hAnsi="Palatino Linotype"/>
          <w:i/>
          <w:sz w:val="24"/>
          <w:szCs w:val="24"/>
        </w:rPr>
        <w:t xml:space="preserve">expedientes recibidos por la Tesorería Municipal de los beneficiarios del programa “Seguridad del Patrimonio Familiar” </w:t>
      </w:r>
      <w:bookmarkEnd w:id="1"/>
    </w:p>
    <w:p w14:paraId="120005BC" w14:textId="77777777" w:rsidR="00B561B1" w:rsidRPr="0094145F" w:rsidRDefault="00B561B1" w:rsidP="00B561B1">
      <w:p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Pr>
          <w:rFonts w:ascii="Palatino Linotype" w:eastAsia="Times New Roman" w:hAnsi="Palatino Linotype" w:cs="Arial"/>
          <w:b/>
          <w:iCs/>
          <w:sz w:val="28"/>
          <w:szCs w:val="24"/>
          <w:lang w:val="es-ES" w:eastAsia="es-ES"/>
        </w:rPr>
        <w:t xml:space="preserve">De la versión pública </w:t>
      </w:r>
    </w:p>
    <w:p w14:paraId="25E8C468" w14:textId="77777777" w:rsidR="00B561B1" w:rsidRDefault="00B561B1" w:rsidP="00B561B1">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Cada sujeto obligado establecerá un Comité de Transparencia, instancia concebida como la autoridad máxima al interior del sujeto obligado en materia de acceso a la información, mismo que se integra por: </w:t>
      </w:r>
    </w:p>
    <w:p w14:paraId="6DC38BB7" w14:textId="77777777" w:rsidR="00B561B1" w:rsidRDefault="00B561B1" w:rsidP="00B561B1">
      <w:pPr>
        <w:pStyle w:val="Prrafodelista"/>
        <w:numPr>
          <w:ilvl w:val="0"/>
          <w:numId w:val="20"/>
        </w:numPr>
        <w:tabs>
          <w:tab w:val="left" w:pos="8647"/>
        </w:tabs>
        <w:spacing w:line="360" w:lineRule="auto"/>
        <w:ind w:right="51"/>
        <w:jc w:val="both"/>
        <w:rPr>
          <w:rFonts w:ascii="Palatino Linotype" w:hAnsi="Palatino Linotype" w:cs="Arial"/>
        </w:rPr>
      </w:pPr>
      <w:r>
        <w:rPr>
          <w:rFonts w:ascii="Palatino Linotype" w:hAnsi="Palatino Linotype" w:cs="Arial"/>
        </w:rPr>
        <w:t>El titular de la unidad de Transparencia;</w:t>
      </w:r>
    </w:p>
    <w:p w14:paraId="01D3E5B1" w14:textId="77777777" w:rsidR="00B561B1" w:rsidRDefault="00B561B1" w:rsidP="00B561B1">
      <w:pPr>
        <w:pStyle w:val="Prrafodelista"/>
        <w:numPr>
          <w:ilvl w:val="0"/>
          <w:numId w:val="20"/>
        </w:numPr>
        <w:tabs>
          <w:tab w:val="left" w:pos="8647"/>
        </w:tabs>
        <w:spacing w:line="360" w:lineRule="auto"/>
        <w:ind w:right="51"/>
        <w:jc w:val="both"/>
        <w:rPr>
          <w:rFonts w:ascii="Palatino Linotype" w:hAnsi="Palatino Linotype" w:cs="Arial"/>
        </w:rPr>
      </w:pPr>
      <w:r>
        <w:rPr>
          <w:rFonts w:ascii="Palatino Linotype" w:hAnsi="Palatino Linotype" w:cs="Arial"/>
        </w:rPr>
        <w:t xml:space="preserve">El responsable del área coordinadora de archivos o equivalente; y </w:t>
      </w:r>
    </w:p>
    <w:p w14:paraId="391F74AB" w14:textId="77777777" w:rsidR="00B561B1" w:rsidRDefault="00B561B1" w:rsidP="00B561B1">
      <w:pPr>
        <w:pStyle w:val="Prrafodelista"/>
        <w:numPr>
          <w:ilvl w:val="0"/>
          <w:numId w:val="20"/>
        </w:numPr>
        <w:tabs>
          <w:tab w:val="left" w:pos="8647"/>
        </w:tabs>
        <w:spacing w:line="360" w:lineRule="auto"/>
        <w:ind w:right="51"/>
        <w:jc w:val="both"/>
        <w:rPr>
          <w:rFonts w:ascii="Palatino Linotype" w:hAnsi="Palatino Linotype" w:cs="Arial"/>
        </w:rPr>
      </w:pPr>
      <w:r>
        <w:rPr>
          <w:rFonts w:ascii="Palatino Linotype" w:hAnsi="Palatino Linotype" w:cs="Arial"/>
        </w:rPr>
        <w:t>El titular del órgano de control o equivalente</w:t>
      </w:r>
    </w:p>
    <w:p w14:paraId="06CB94E6" w14:textId="77777777" w:rsidR="00B561B1" w:rsidRPr="0094145F" w:rsidRDefault="00B561B1" w:rsidP="00B561B1">
      <w:pPr>
        <w:pStyle w:val="Prrafodelista"/>
        <w:numPr>
          <w:ilvl w:val="0"/>
          <w:numId w:val="20"/>
        </w:numPr>
        <w:tabs>
          <w:tab w:val="left" w:pos="8647"/>
        </w:tabs>
        <w:spacing w:line="360" w:lineRule="auto"/>
        <w:ind w:right="51"/>
        <w:jc w:val="both"/>
        <w:rPr>
          <w:rFonts w:ascii="Palatino Linotype" w:hAnsi="Palatino Linotype" w:cs="Arial"/>
        </w:rPr>
      </w:pPr>
      <w:r w:rsidRPr="0094145F">
        <w:rPr>
          <w:rFonts w:ascii="Palatino Linotype" w:hAnsi="Palatino Linotype" w:cs="Arial"/>
        </w:rPr>
        <w:t xml:space="preserve">El servidor público encargado de la protección de los datos personales cuando sesione para cuestiones relacionadas con esta materia. </w:t>
      </w:r>
    </w:p>
    <w:p w14:paraId="4B1BFEB1" w14:textId="77777777" w:rsidR="00B561B1" w:rsidRDefault="00B561B1" w:rsidP="00B561B1">
      <w:pPr>
        <w:tabs>
          <w:tab w:val="left" w:pos="8647"/>
        </w:tabs>
        <w:spacing w:line="360" w:lineRule="auto"/>
        <w:ind w:right="51"/>
        <w:jc w:val="both"/>
        <w:rPr>
          <w:rFonts w:ascii="Palatino Linotype" w:hAnsi="Palatino Linotype" w:cs="Arial"/>
          <w:sz w:val="24"/>
          <w:szCs w:val="24"/>
        </w:rPr>
      </w:pPr>
    </w:p>
    <w:p w14:paraId="0C069C8D" w14:textId="77777777" w:rsidR="00B561B1" w:rsidRPr="00393376" w:rsidRDefault="00B561B1" w:rsidP="00B561B1">
      <w:pPr>
        <w:tabs>
          <w:tab w:val="left" w:pos="8647"/>
        </w:tabs>
        <w:spacing w:line="360" w:lineRule="auto"/>
        <w:ind w:right="51"/>
        <w:jc w:val="both"/>
        <w:rPr>
          <w:rFonts w:ascii="Palatino Linotype" w:hAnsi="Palatino Linotype" w:cs="Arial"/>
          <w:sz w:val="24"/>
          <w:szCs w:val="24"/>
        </w:rPr>
      </w:pPr>
      <w:r w:rsidRPr="00393376">
        <w:rPr>
          <w:rFonts w:ascii="Palatino Linotype" w:hAnsi="Palatino Linotype" w:cs="Arial"/>
          <w:sz w:val="24"/>
          <w:szCs w:val="24"/>
        </w:rPr>
        <w:t xml:space="preserve">De esta manera para sustentar la elaboración de versiones públicas, los Comités de Transparencia tendrán la atribución de confirmar, modificar o revocar la clasificación de información que realicen los titulares de las áreas de los sujetos obligados, lo anterior con fundamento en el artículo 49, fracción II de la Ley de Transparencia y Acceso a la Información Pública del Estado de México y Municipios. </w:t>
      </w:r>
    </w:p>
    <w:p w14:paraId="74B0954D" w14:textId="77777777" w:rsidR="00B561B1" w:rsidRPr="001571EB" w:rsidRDefault="00B561B1" w:rsidP="00B561B1">
      <w:pPr>
        <w:tabs>
          <w:tab w:val="left" w:pos="7938"/>
        </w:tabs>
        <w:spacing w:before="240" w:after="240" w:line="360" w:lineRule="auto"/>
        <w:jc w:val="both"/>
        <w:rPr>
          <w:rFonts w:ascii="Palatino Linotype" w:eastAsia="Arial Unicode MS" w:hAnsi="Palatino Linotype" w:cs="Arial"/>
          <w:sz w:val="24"/>
          <w:szCs w:val="24"/>
        </w:rPr>
      </w:pPr>
      <w:r w:rsidRPr="001571EB">
        <w:rPr>
          <w:rFonts w:ascii="Palatino Linotype" w:eastAsia="Arial Unicode MS" w:hAnsi="Palatino Linotype" w:cs="Arial"/>
          <w:sz w:val="24"/>
          <w:szCs w:val="24"/>
        </w:rPr>
        <w:t xml:space="preserve">Aunado a que de ser en caso de contar con otra información consistente en datos personales, deberá generarse una versión pública, tal excepción a la publicidad, atiende a la coexistencia de datos públicos e información que tenga el carácter de </w:t>
      </w:r>
      <w:r w:rsidRPr="001571EB">
        <w:rPr>
          <w:rFonts w:ascii="Palatino Linotype" w:eastAsia="Arial Unicode MS" w:hAnsi="Palatino Linotype" w:cs="Arial"/>
          <w:sz w:val="24"/>
          <w:szCs w:val="24"/>
        </w:rPr>
        <w:lastRenderedPageBreak/>
        <w:t>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55CA123" w14:textId="77777777" w:rsidR="00B561B1" w:rsidRPr="00E60DEF" w:rsidRDefault="00B561B1" w:rsidP="00B561B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D9E806D" w14:textId="77777777" w:rsidR="00B561B1" w:rsidRPr="00E60DEF" w:rsidRDefault="00B561B1" w:rsidP="00B561B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4B19EBB" w14:textId="77777777" w:rsidR="00B561B1" w:rsidRPr="001571EB" w:rsidRDefault="00B561B1" w:rsidP="00B561B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D232A33" w14:textId="77777777" w:rsidR="00B561B1" w:rsidRPr="001571EB" w:rsidRDefault="00B561B1" w:rsidP="00B561B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916BE32" w14:textId="77777777" w:rsidR="00B561B1" w:rsidRPr="001571EB" w:rsidRDefault="00B561B1" w:rsidP="00B561B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88B4B92" w14:textId="77777777" w:rsidR="00B561B1" w:rsidRPr="001571EB" w:rsidRDefault="00B561B1" w:rsidP="00B561B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2DEFDD9" w14:textId="77777777" w:rsidR="00B561B1" w:rsidRPr="001571EB" w:rsidRDefault="00B561B1" w:rsidP="00B561B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FBD578E" w14:textId="77777777" w:rsidR="00B561B1" w:rsidRPr="001571EB" w:rsidRDefault="00B561B1" w:rsidP="00B561B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DD4C7BE" w14:textId="77777777" w:rsidR="00B561B1" w:rsidRPr="001571EB" w:rsidRDefault="00B561B1" w:rsidP="00B561B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6FF7FBD" w14:textId="77777777" w:rsidR="00B561B1" w:rsidRPr="00E60DEF" w:rsidRDefault="00B561B1" w:rsidP="00B561B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2D46CF3" w14:textId="77777777" w:rsidR="00B561B1" w:rsidRPr="001571EB" w:rsidRDefault="00B561B1" w:rsidP="00B561B1">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4A646059" w14:textId="77777777" w:rsidR="00B561B1" w:rsidRPr="00E60DEF" w:rsidRDefault="00B561B1" w:rsidP="00B561B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7D10768" w14:textId="77777777" w:rsidR="00B561B1" w:rsidRPr="001571EB" w:rsidRDefault="00B561B1" w:rsidP="00B561B1">
      <w:pPr>
        <w:spacing w:line="240" w:lineRule="auto"/>
        <w:ind w:left="851" w:right="851"/>
        <w:jc w:val="both"/>
        <w:rPr>
          <w:rFonts w:ascii="Palatino Linotype" w:hAnsi="Palatino Linotype" w:cs="Arial"/>
          <w:b/>
          <w:i/>
          <w:u w:val="single"/>
        </w:rPr>
      </w:pPr>
    </w:p>
    <w:p w14:paraId="7915E8C9" w14:textId="77777777" w:rsidR="00B561B1" w:rsidRPr="001571EB" w:rsidRDefault="00B561B1" w:rsidP="00B561B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8905636" w14:textId="77777777" w:rsidR="00B561B1" w:rsidRPr="001571EB" w:rsidRDefault="00B561B1" w:rsidP="00B561B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44844BD" w14:textId="77777777" w:rsidR="00B561B1" w:rsidRPr="001571EB" w:rsidRDefault="00B561B1" w:rsidP="00B561B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381C872" w14:textId="77777777" w:rsidR="00B561B1" w:rsidRDefault="00B561B1" w:rsidP="00B561B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4F3A9B0" w14:textId="77777777" w:rsidR="00B561B1" w:rsidRDefault="00B561B1" w:rsidP="00B561B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2C18A7A" w14:textId="77777777" w:rsidR="00B561B1" w:rsidRPr="001571EB" w:rsidRDefault="00B561B1" w:rsidP="00B561B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55EA0D03" w14:textId="77777777" w:rsidR="00B561B1" w:rsidRPr="001571EB" w:rsidRDefault="00B561B1" w:rsidP="00B561B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F0209C2" w14:textId="77777777" w:rsidR="00B561B1" w:rsidRPr="001571EB" w:rsidRDefault="00B561B1" w:rsidP="00B561B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C3CFD8A" w14:textId="77777777" w:rsidR="00B561B1" w:rsidRPr="001571EB" w:rsidRDefault="00B561B1" w:rsidP="00B561B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AD77B77" w14:textId="77777777" w:rsidR="00B561B1" w:rsidRPr="00EE0180" w:rsidRDefault="00B561B1" w:rsidP="00B561B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7A84006" w14:textId="77777777" w:rsidR="00B561B1" w:rsidRPr="001571EB" w:rsidRDefault="00B561B1" w:rsidP="00B561B1">
      <w:pPr>
        <w:autoSpaceDE w:val="0"/>
        <w:autoSpaceDN w:val="0"/>
        <w:adjustRightInd w:val="0"/>
        <w:spacing w:before="120" w:after="120"/>
        <w:ind w:left="567" w:right="850"/>
        <w:jc w:val="both"/>
        <w:rPr>
          <w:rFonts w:ascii="Palatino Linotype" w:eastAsia="Times New Roman" w:hAnsi="Palatino Linotype" w:cs="Arial"/>
          <w:i/>
        </w:rPr>
      </w:pPr>
    </w:p>
    <w:p w14:paraId="7CACFE11" w14:textId="77777777" w:rsidR="00B561B1" w:rsidRPr="001571EB" w:rsidRDefault="00B561B1" w:rsidP="00B561B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39BD4DB" w14:textId="77777777" w:rsidR="00B561B1" w:rsidRPr="001571EB" w:rsidRDefault="00B561B1" w:rsidP="00B561B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C4180A4" w14:textId="77777777" w:rsidR="00B561B1" w:rsidRDefault="00B561B1" w:rsidP="00B561B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7F0FE6D" w14:textId="77777777" w:rsidR="00B561B1" w:rsidRDefault="00B561B1" w:rsidP="00B561B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35D762F" w14:textId="77777777" w:rsidR="00B561B1" w:rsidRPr="001571EB" w:rsidRDefault="00B561B1" w:rsidP="00B561B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38BDA11" w14:textId="77777777" w:rsidR="00B561B1" w:rsidRPr="001571EB" w:rsidRDefault="00B561B1" w:rsidP="00B561B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73994B7" w14:textId="77777777" w:rsidR="00B561B1" w:rsidRPr="001571EB" w:rsidRDefault="00B561B1" w:rsidP="00B561B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70B28D1" w14:textId="77777777" w:rsidR="00B561B1" w:rsidRPr="001571EB" w:rsidRDefault="00B561B1" w:rsidP="00B561B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229A8D3" w14:textId="77777777" w:rsidR="00B561B1" w:rsidRDefault="00B561B1" w:rsidP="00B561B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33E8AC2" w14:textId="77777777" w:rsidR="00B561B1" w:rsidRDefault="00B561B1" w:rsidP="00B561B1">
      <w:pPr>
        <w:spacing w:after="0" w:line="360" w:lineRule="auto"/>
        <w:ind w:right="51"/>
        <w:jc w:val="both"/>
        <w:rPr>
          <w:rFonts w:ascii="Palatino Linotype" w:hAnsi="Palatino Linotype" w:cs="Arial"/>
        </w:rPr>
      </w:pPr>
      <w:r>
        <w:rPr>
          <w:rFonts w:ascii="Palatino Linotype" w:hAnsi="Palatino Linotype" w:cs="Arial"/>
          <w:sz w:val="24"/>
          <w:szCs w:val="24"/>
        </w:rPr>
        <w:lastRenderedPageBreak/>
        <w:t xml:space="preserve">Ahora bien, con relación a </w:t>
      </w:r>
      <w:r w:rsidRPr="00A802CB">
        <w:rPr>
          <w:rFonts w:ascii="Palatino Linotype" w:hAnsi="Palatino Linotype" w:cs="Arial"/>
          <w:b/>
          <w:u w:val="single"/>
        </w:rPr>
        <w:t>Código QR</w:t>
      </w:r>
      <w:r>
        <w:rPr>
          <w:rFonts w:ascii="Palatino Linotype" w:hAnsi="Palatino Linotype" w:cs="Arial"/>
        </w:rPr>
        <w:t xml:space="preserve"> se precisa que su lectura mediante diferentes </w:t>
      </w:r>
      <w:proofErr w:type="spellStart"/>
      <w:r>
        <w:rPr>
          <w:rFonts w:ascii="Palatino Linotype" w:hAnsi="Palatino Linotype" w:cs="Arial"/>
        </w:rPr>
        <w:t>hardwares</w:t>
      </w:r>
      <w:proofErr w:type="spellEnd"/>
      <w:r>
        <w:rPr>
          <w:rFonts w:ascii="Palatino Linotype" w:hAnsi="Palatino Linotype" w:cs="Arial"/>
        </w:rPr>
        <w:t xml:space="preserve"> (teléfonos inteligentes, tabletas, escáneres, etc.), su lectura </w:t>
      </w:r>
      <w:proofErr w:type="spellStart"/>
      <w:r>
        <w:rPr>
          <w:rFonts w:ascii="Palatino Linotype" w:hAnsi="Palatino Linotype" w:cs="Arial"/>
        </w:rPr>
        <w:t>desencripta</w:t>
      </w:r>
      <w:proofErr w:type="spellEnd"/>
      <w:r>
        <w:rPr>
          <w:rFonts w:ascii="Palatino Linotype" w:hAnsi="Palatino Linotype" w:cs="Arial"/>
        </w:rPr>
        <w:t xml:space="preserve"> diversa información como el folio fiscal y RFC, en este sentido, al obrar en soportes documentales tales como facturas, no debe de interpretarse como un dato confidencial, al reflejar datos de proveedores que son públicos. </w:t>
      </w:r>
    </w:p>
    <w:p w14:paraId="515E01BA" w14:textId="77777777" w:rsidR="00B561B1" w:rsidRPr="00AA1F1C" w:rsidRDefault="00B561B1" w:rsidP="00B561B1">
      <w:pPr>
        <w:spacing w:before="240" w:after="240" w:line="360" w:lineRule="auto"/>
        <w:jc w:val="both"/>
        <w:rPr>
          <w:rFonts w:ascii="Palatino Linotype" w:hAnsi="Palatino Linotype" w:cs="Arial"/>
        </w:rPr>
      </w:pPr>
      <w:r w:rsidRPr="00AA1F1C">
        <w:rPr>
          <w:rFonts w:ascii="Palatino Linotype" w:hAnsi="Palatino Linotype" w:cs="Arial"/>
        </w:rPr>
        <w:t xml:space="preserve">En relación a los </w:t>
      </w:r>
      <w:r w:rsidRPr="00AA1F1C">
        <w:rPr>
          <w:rFonts w:ascii="Palatino Linotype" w:hAnsi="Palatino Linotype" w:cs="Arial"/>
          <w:b/>
          <w:u w:val="single"/>
        </w:rPr>
        <w:t>sellos digitales</w:t>
      </w:r>
      <w:r w:rsidRPr="00AA1F1C">
        <w:rPr>
          <w:rFonts w:ascii="Palatino Linotype" w:hAnsi="Palatino Linotype" w:cs="Arial"/>
        </w:rPr>
        <w:t xml:space="preserve"> resulta oportuno mencionar que es un elemento básico de las facturas electrónicas, encauzado a verificar que no han sido falsificados los datos del comprobante, compuesta por una cadena de indescifrables caracteres cada vez que hay una transacción</w:t>
      </w:r>
      <w:r w:rsidRPr="00A802CB">
        <w:rPr>
          <w:rFonts w:ascii="Palatino Linotype" w:hAnsi="Palatino Linotype" w:cs="Arial"/>
        </w:rPr>
        <w:t>. En este orden de ideas, resulta inconcuso que no existe razón para testar dicha información.</w:t>
      </w:r>
      <w:r w:rsidRPr="00AA1F1C">
        <w:rPr>
          <w:rFonts w:ascii="Palatino Linotype" w:hAnsi="Palatino Linotype" w:cs="Arial"/>
          <w:u w:val="single"/>
        </w:rPr>
        <w:t xml:space="preserve"> </w:t>
      </w:r>
    </w:p>
    <w:p w14:paraId="1E7520D4" w14:textId="77777777" w:rsidR="00B561B1" w:rsidRPr="00AA1F1C" w:rsidRDefault="00B561B1" w:rsidP="00B561B1">
      <w:pPr>
        <w:spacing w:line="360" w:lineRule="auto"/>
        <w:jc w:val="both"/>
        <w:rPr>
          <w:rFonts w:ascii="Palatino Linotype" w:hAnsi="Palatino Linotype" w:cs="Arial"/>
          <w:color w:val="222222"/>
          <w:shd w:val="clear" w:color="auto" w:fill="FFFFFF"/>
        </w:rPr>
      </w:pPr>
      <w:r w:rsidRPr="00AA1F1C">
        <w:rPr>
          <w:rFonts w:ascii="Palatino Linotype" w:hAnsi="Palatino Linotype" w:cs="Arial"/>
        </w:rPr>
        <w:t xml:space="preserve">Asimismo, es oportuno señalar que el </w:t>
      </w:r>
      <w:r w:rsidRPr="00AA1F1C">
        <w:rPr>
          <w:rFonts w:ascii="Palatino Linotype" w:hAnsi="Palatino Linotype" w:cs="Arial"/>
          <w:b/>
          <w:u w:val="single"/>
        </w:rPr>
        <w:t>número de certificado del SAT</w:t>
      </w:r>
      <w:r w:rsidRPr="00AA1F1C">
        <w:rPr>
          <w:rFonts w:ascii="Palatino Linotype" w:hAnsi="Palatino Linotype" w:cs="Arial"/>
        </w:rPr>
        <w:t xml:space="preserve"> es un documento electrónico mediante el cual la autoridad en cita, garantiza la vinculación entre la identidad de un sujeto o entidad y su clave pública, </w:t>
      </w:r>
      <w:r w:rsidRPr="00A802CB">
        <w:rPr>
          <w:rFonts w:ascii="Palatino Linotype" w:hAnsi="Palatino Linotype" w:cs="Arial"/>
          <w:color w:val="222222"/>
        </w:rPr>
        <w:t>para tal efecto</w:t>
      </w:r>
      <w:r w:rsidRPr="00AA1F1C">
        <w:rPr>
          <w:rFonts w:ascii="Palatino Linotype" w:hAnsi="Palatino Linotype" w:cs="Arial"/>
          <w:color w:val="222222"/>
          <w:shd w:val="clear" w:color="auto" w:fill="FFFFFF"/>
        </w:rPr>
        <w:t xml:space="preserve"> el artículo 17-G del Código Fiscal de la Federación </w:t>
      </w:r>
      <w:r w:rsidRPr="00A802CB">
        <w:rPr>
          <w:rFonts w:ascii="Palatino Linotype" w:hAnsi="Palatino Linotype" w:cs="Arial"/>
          <w:color w:val="222222"/>
        </w:rPr>
        <w:t>describe a los </w:t>
      </w:r>
      <w:r w:rsidRPr="00A802CB">
        <w:rPr>
          <w:rFonts w:ascii="Palatino Linotype" w:hAnsi="Palatino Linotype" w:cs="Arial"/>
          <w:b/>
          <w:bCs/>
          <w:color w:val="222222"/>
        </w:rPr>
        <w:t>certificados</w:t>
      </w:r>
      <w:r w:rsidRPr="00A802CB">
        <w:rPr>
          <w:rFonts w:ascii="Palatino Linotype" w:hAnsi="Palatino Linotype" w:cs="Arial"/>
          <w:color w:val="222222"/>
        </w:rPr>
        <w:t> digitales</w:t>
      </w:r>
      <w:r w:rsidRPr="00AA1F1C">
        <w:rPr>
          <w:rFonts w:ascii="Palatino Linotype" w:hAnsi="Palatino Linotype" w:cs="Arial"/>
          <w:color w:val="222222"/>
          <w:shd w:val="clear" w:color="auto" w:fill="FFFFFF"/>
        </w:rPr>
        <w:t xml:space="preserve"> como:</w:t>
      </w:r>
    </w:p>
    <w:p w14:paraId="0E7919D8" w14:textId="77777777" w:rsidR="00B561B1" w:rsidRPr="006E0D05" w:rsidRDefault="00B561B1" w:rsidP="00B561B1">
      <w:pPr>
        <w:spacing w:line="240" w:lineRule="auto"/>
        <w:ind w:left="851" w:right="850"/>
        <w:jc w:val="both"/>
        <w:rPr>
          <w:rFonts w:ascii="Palatino Linotype" w:hAnsi="Palatino Linotype"/>
          <w:i/>
        </w:rPr>
      </w:pPr>
      <w:r>
        <w:rPr>
          <w:rFonts w:ascii="Palatino Linotype" w:hAnsi="Palatino Linotype"/>
          <w:i/>
        </w:rPr>
        <w:t>“</w:t>
      </w:r>
      <w:r w:rsidRPr="006E0D05">
        <w:rPr>
          <w:rFonts w:ascii="Palatino Linotype" w:hAnsi="Palatino Linotype"/>
          <w:i/>
        </w:rPr>
        <w:t xml:space="preserve">Artículo 17-G.- Los certificados que emita el Servicio de Administración Tributaria para ser considerados válidos deberán contener los datos siguientes: </w:t>
      </w:r>
    </w:p>
    <w:p w14:paraId="56E1291E" w14:textId="77777777" w:rsidR="00B561B1" w:rsidRPr="006E0D05" w:rsidRDefault="00B561B1" w:rsidP="00B561B1">
      <w:pPr>
        <w:spacing w:line="240" w:lineRule="auto"/>
        <w:ind w:left="851" w:right="850"/>
        <w:jc w:val="both"/>
        <w:rPr>
          <w:rFonts w:ascii="Palatino Linotype" w:hAnsi="Palatino Linotype"/>
          <w:i/>
        </w:rPr>
      </w:pPr>
      <w:r w:rsidRPr="006E0D05">
        <w:rPr>
          <w:rFonts w:ascii="Palatino Linotype" w:hAnsi="Palatino Linotype"/>
          <w:i/>
        </w:rPr>
        <w:t xml:space="preserve">I. La mención de que se expiden como tales. Tratándose de certificados de sellos digitales, se deberán especificar las limitantes que tengan para su uso. </w:t>
      </w:r>
    </w:p>
    <w:p w14:paraId="16F33FD7" w14:textId="77777777" w:rsidR="00B561B1" w:rsidRPr="006E0D05" w:rsidRDefault="00B561B1" w:rsidP="00B561B1">
      <w:pPr>
        <w:spacing w:line="240" w:lineRule="auto"/>
        <w:ind w:left="851" w:right="850"/>
        <w:jc w:val="both"/>
        <w:rPr>
          <w:rFonts w:ascii="Palatino Linotype" w:hAnsi="Palatino Linotype"/>
          <w:i/>
        </w:rPr>
      </w:pPr>
      <w:r w:rsidRPr="006E0D05">
        <w:rPr>
          <w:rFonts w:ascii="Palatino Linotype" w:hAnsi="Palatino Linotype"/>
          <w:i/>
        </w:rPr>
        <w:t xml:space="preserve">II. El código de identificación único del certificado. </w:t>
      </w:r>
    </w:p>
    <w:p w14:paraId="0CE4C9B7" w14:textId="77777777" w:rsidR="00B561B1" w:rsidRPr="006E0D05" w:rsidRDefault="00B561B1" w:rsidP="00B561B1">
      <w:pPr>
        <w:spacing w:line="240" w:lineRule="auto"/>
        <w:ind w:left="851" w:right="850"/>
        <w:jc w:val="both"/>
        <w:rPr>
          <w:rFonts w:ascii="Palatino Linotype" w:hAnsi="Palatino Linotype"/>
          <w:i/>
        </w:rPr>
      </w:pPr>
      <w:r w:rsidRPr="006E0D05">
        <w:rPr>
          <w:rFonts w:ascii="Palatino Linotype" w:hAnsi="Palatino Linotype"/>
          <w:i/>
        </w:rPr>
        <w:t xml:space="preserve">III. La mención de que fue emitido por el Servicio de Administración Tributaria y una dirección electrónica. </w:t>
      </w:r>
    </w:p>
    <w:p w14:paraId="401B2435" w14:textId="77777777" w:rsidR="00B561B1" w:rsidRPr="006E0D05" w:rsidRDefault="00B561B1" w:rsidP="00B561B1">
      <w:pPr>
        <w:spacing w:line="240" w:lineRule="auto"/>
        <w:ind w:left="851" w:right="850"/>
        <w:jc w:val="both"/>
        <w:rPr>
          <w:rFonts w:ascii="Palatino Linotype" w:hAnsi="Palatino Linotype"/>
          <w:i/>
        </w:rPr>
      </w:pPr>
      <w:r w:rsidRPr="006E0D05">
        <w:rPr>
          <w:rFonts w:ascii="Palatino Linotype" w:hAnsi="Palatino Linotype"/>
          <w:i/>
        </w:rPr>
        <w:t xml:space="preserve">IV. Nombre del titular del certificado y su clave del registro federal de contribuyentes. </w:t>
      </w:r>
    </w:p>
    <w:p w14:paraId="6C48DDF7" w14:textId="77777777" w:rsidR="00B561B1" w:rsidRPr="006E0D05" w:rsidRDefault="00B561B1" w:rsidP="00B561B1">
      <w:pPr>
        <w:spacing w:line="240" w:lineRule="auto"/>
        <w:ind w:left="851" w:right="850"/>
        <w:jc w:val="both"/>
        <w:rPr>
          <w:rFonts w:ascii="Palatino Linotype" w:hAnsi="Palatino Linotype"/>
          <w:i/>
        </w:rPr>
      </w:pPr>
      <w:r w:rsidRPr="006E0D05">
        <w:rPr>
          <w:rFonts w:ascii="Palatino Linotype" w:hAnsi="Palatino Linotype"/>
          <w:i/>
        </w:rPr>
        <w:t xml:space="preserve">V. Período de vigencia del certificado, especificando el día de inicio de su vigencia y la fecha de su terminación. </w:t>
      </w:r>
    </w:p>
    <w:p w14:paraId="42784F55" w14:textId="77777777" w:rsidR="00B561B1" w:rsidRPr="006E0D05" w:rsidRDefault="00B561B1" w:rsidP="00B561B1">
      <w:pPr>
        <w:spacing w:line="240" w:lineRule="auto"/>
        <w:ind w:left="851" w:right="850"/>
        <w:jc w:val="both"/>
        <w:rPr>
          <w:rFonts w:ascii="Palatino Linotype" w:hAnsi="Palatino Linotype"/>
          <w:i/>
        </w:rPr>
      </w:pPr>
      <w:r w:rsidRPr="006E0D05">
        <w:rPr>
          <w:rFonts w:ascii="Palatino Linotype" w:hAnsi="Palatino Linotype"/>
          <w:i/>
        </w:rPr>
        <w:t xml:space="preserve">VI. La mención de la tecnología empleada en la creación de la firma electrónica avanzada contenida en el certificado. </w:t>
      </w:r>
    </w:p>
    <w:p w14:paraId="1C883A6F" w14:textId="77777777" w:rsidR="00B561B1" w:rsidRPr="00423397" w:rsidRDefault="00B561B1" w:rsidP="00B561B1">
      <w:pPr>
        <w:spacing w:line="240" w:lineRule="auto"/>
        <w:ind w:left="851" w:right="850"/>
        <w:jc w:val="both"/>
        <w:rPr>
          <w:rFonts w:ascii="Palatino Linotype" w:hAnsi="Palatino Linotype" w:cs="Arial"/>
          <w:b/>
          <w:i/>
        </w:rPr>
      </w:pPr>
      <w:r w:rsidRPr="006E0D05">
        <w:rPr>
          <w:rFonts w:ascii="Palatino Linotype" w:hAnsi="Palatino Linotype"/>
          <w:i/>
        </w:rPr>
        <w:t>VII. La clave pública del titular del certificado</w:t>
      </w:r>
      <w:r>
        <w:rPr>
          <w:rFonts w:ascii="Palatino Linotype" w:hAnsi="Palatino Linotype"/>
          <w:i/>
        </w:rPr>
        <w:t xml:space="preserve">” </w:t>
      </w:r>
      <w:r>
        <w:rPr>
          <w:rFonts w:ascii="Palatino Linotype" w:hAnsi="Palatino Linotype"/>
          <w:b/>
          <w:i/>
        </w:rPr>
        <w:t>[Sic]</w:t>
      </w:r>
    </w:p>
    <w:p w14:paraId="313683E6" w14:textId="77777777" w:rsidR="00B561B1" w:rsidRDefault="00B561B1" w:rsidP="00B561B1">
      <w:pPr>
        <w:spacing w:line="360" w:lineRule="auto"/>
        <w:jc w:val="both"/>
        <w:rPr>
          <w:rFonts w:ascii="Palatino Linotype" w:hAnsi="Palatino Linotype" w:cs="Helvetica"/>
          <w:sz w:val="24"/>
          <w:szCs w:val="24"/>
        </w:rPr>
      </w:pPr>
    </w:p>
    <w:p w14:paraId="136EE4A6" w14:textId="77777777" w:rsidR="00B561B1" w:rsidRDefault="00B561B1" w:rsidP="00B561B1">
      <w:pPr>
        <w:spacing w:after="0" w:line="360" w:lineRule="auto"/>
        <w:jc w:val="both"/>
        <w:rPr>
          <w:rFonts w:ascii="Palatino Linotype" w:hAnsi="Palatino Linotype" w:cs="Helvetica"/>
          <w:sz w:val="24"/>
          <w:szCs w:val="24"/>
        </w:rPr>
      </w:pPr>
      <w:r>
        <w:rPr>
          <w:rFonts w:ascii="Palatino Linotype" w:hAnsi="Palatino Linotype" w:cs="Helvetica"/>
          <w:sz w:val="24"/>
          <w:szCs w:val="24"/>
        </w:rPr>
        <w:t xml:space="preserve">En ese sentido podemos observar que tal número de certificado del SAT no contiene datos susceptibles de ser testados, resultando procedente su entrega. </w:t>
      </w:r>
    </w:p>
    <w:p w14:paraId="204682D5" w14:textId="77777777" w:rsidR="00B561B1" w:rsidRDefault="00B561B1" w:rsidP="00B561B1">
      <w:pPr>
        <w:spacing w:after="0" w:line="360" w:lineRule="auto"/>
        <w:ind w:right="51"/>
        <w:jc w:val="both"/>
        <w:rPr>
          <w:rFonts w:ascii="Palatino Linotype" w:hAnsi="Palatino Linotype" w:cs="Arial"/>
          <w:sz w:val="24"/>
          <w:szCs w:val="24"/>
        </w:rPr>
      </w:pPr>
    </w:p>
    <w:p w14:paraId="4C15E6A4" w14:textId="77777777" w:rsidR="00B561B1" w:rsidRDefault="00B561B1" w:rsidP="00B561B1">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Luego entonces, l</w:t>
      </w:r>
      <w:r w:rsidRPr="001571EB">
        <w:rPr>
          <w:rFonts w:ascii="Palatino Linotype" w:hAnsi="Palatino Linotype" w:cs="Arial"/>
          <w:sz w:val="24"/>
          <w:szCs w:val="24"/>
        </w:rPr>
        <w:t>o anterior</w:t>
      </w:r>
      <w:r>
        <w:rPr>
          <w:rFonts w:ascii="Palatino Linotype" w:hAnsi="Palatino Linotype" w:cs="Arial"/>
          <w:sz w:val="24"/>
          <w:szCs w:val="24"/>
        </w:rPr>
        <w:t>mente expuesto</w:t>
      </w:r>
      <w:r w:rsidRPr="001571EB">
        <w:rPr>
          <w:rFonts w:ascii="Palatino Linotype" w:hAnsi="Palatino Linotype" w:cs="Arial"/>
          <w:sz w:val="24"/>
          <w:szCs w:val="24"/>
        </w:rPr>
        <w:t>, sólo</w:t>
      </w:r>
      <w:r>
        <w:rPr>
          <w:rFonts w:ascii="Palatino Linotype" w:hAnsi="Palatino Linotype" w:cs="Arial"/>
          <w:sz w:val="24"/>
          <w:szCs w:val="24"/>
        </w:rPr>
        <w:t xml:space="preserve"> será aplicable</w:t>
      </w:r>
      <w:r w:rsidRPr="001571EB">
        <w:rPr>
          <w:rFonts w:ascii="Palatino Linotype" w:hAnsi="Palatino Linotype" w:cs="Arial"/>
          <w:sz w:val="24"/>
          <w:szCs w:val="24"/>
        </w:rPr>
        <w:t xml:space="preserve">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9006177" w14:textId="5A03F222" w:rsidR="00C242D9" w:rsidRPr="009A7912" w:rsidRDefault="00C242D9" w:rsidP="00C242D9">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sidR="00CD1F85">
        <w:rPr>
          <w:rFonts w:ascii="Palatino Linotype" w:hAnsi="Palatino Linotype"/>
          <w:b/>
          <w:bCs/>
        </w:rPr>
        <w:t>El</w:t>
      </w:r>
      <w:r w:rsidR="00CD1F85" w:rsidRPr="000F5B7E">
        <w:rPr>
          <w:rFonts w:ascii="Palatino Linotype" w:hAnsi="Palatino Linotype"/>
          <w:b/>
        </w:rPr>
        <w:t xml:space="preserve"> Recurrente</w:t>
      </w:r>
      <w:r w:rsidR="00CD1F85" w:rsidRPr="000F5B7E">
        <w:rPr>
          <w:rFonts w:ascii="Palatino Linotype" w:hAnsi="Palatino Linotype"/>
        </w:rPr>
        <w:t xml:space="preserve"> en su medio de impugnación que fue materia de estudio, por ello </w:t>
      </w:r>
      <w:r w:rsidR="00CD1F85" w:rsidRPr="000F5B7E">
        <w:rPr>
          <w:rFonts w:ascii="Palatino Linotype" w:hAnsi="Palatino Linotype" w:cs="Arial"/>
        </w:rPr>
        <w:t>con fundamento en la</w:t>
      </w:r>
      <w:r w:rsidR="00CD1F85" w:rsidRPr="000F5B7E">
        <w:rPr>
          <w:rFonts w:ascii="Palatino Linotype" w:hAnsi="Palatino Linotype" w:cs="Arial"/>
          <w:b/>
        </w:rPr>
        <w:t xml:space="preserve"> </w:t>
      </w:r>
      <w:r w:rsidR="00CD1F85" w:rsidRPr="003B3A02">
        <w:rPr>
          <w:rFonts w:ascii="Palatino Linotype" w:hAnsi="Palatino Linotype" w:cs="Arial"/>
          <w:b/>
          <w:bCs/>
          <w:i/>
        </w:rPr>
        <w:t>primera hipótesis</w:t>
      </w:r>
      <w:r w:rsidR="00CD1F85" w:rsidRPr="000F5B7E">
        <w:rPr>
          <w:rFonts w:ascii="Palatino Linotype" w:hAnsi="Palatino Linotype" w:cs="Arial"/>
          <w:b/>
        </w:rPr>
        <w:t xml:space="preserve"> </w:t>
      </w:r>
      <w:r w:rsidR="00CD1F85" w:rsidRPr="000F5B7E">
        <w:rPr>
          <w:rFonts w:ascii="Palatino Linotype" w:hAnsi="Palatino Linotype" w:cs="Arial"/>
        </w:rPr>
        <w:t>de la fracción</w:t>
      </w:r>
      <w:r w:rsidR="00CD1F85" w:rsidRPr="000F5B7E">
        <w:rPr>
          <w:rFonts w:ascii="Palatino Linotype" w:hAnsi="Palatino Linotype" w:cs="Arial"/>
          <w:b/>
        </w:rPr>
        <w:t xml:space="preserve"> </w:t>
      </w:r>
      <w:r w:rsidR="00CD1F85" w:rsidRPr="000F5B7E">
        <w:rPr>
          <w:rFonts w:ascii="Palatino Linotype" w:hAnsi="Palatino Linotype" w:cs="Arial"/>
        </w:rPr>
        <w:t>III, del artículo 186,</w:t>
      </w:r>
      <w:r w:rsidR="00CD1F85" w:rsidRPr="000F5B7E">
        <w:rPr>
          <w:rFonts w:ascii="Palatino Linotype" w:hAnsi="Palatino Linotype" w:cs="Arial"/>
          <w:b/>
        </w:rPr>
        <w:t xml:space="preserve"> </w:t>
      </w:r>
      <w:r w:rsidR="00CD1F85" w:rsidRPr="000F5B7E">
        <w:rPr>
          <w:rFonts w:ascii="Palatino Linotype" w:hAnsi="Palatino Linotype" w:cs="Arial"/>
        </w:rPr>
        <w:t xml:space="preserve">de la Ley de Transparencia y Acceso a la Información Pública del Estado de México y Municipios, se </w:t>
      </w:r>
      <w:r w:rsidR="00CD1F85" w:rsidRPr="000F5B7E">
        <w:rPr>
          <w:rFonts w:ascii="Palatino Linotype" w:hAnsi="Palatino Linotype" w:cs="Arial"/>
          <w:b/>
        </w:rPr>
        <w:t xml:space="preserve">REVOCA </w:t>
      </w:r>
      <w:r w:rsidR="00CD1F85" w:rsidRPr="000F5B7E">
        <w:rPr>
          <w:rFonts w:ascii="Palatino Linotype" w:hAnsi="Palatino Linotype" w:cs="Arial"/>
        </w:rPr>
        <w:t>la respuesta a la solicitud de información número</w:t>
      </w:r>
      <w:r w:rsidR="00CD1F85" w:rsidRPr="000F5B7E">
        <w:rPr>
          <w:rFonts w:ascii="Palatino Linotype" w:hAnsi="Palatino Linotype"/>
          <w:b/>
        </w:rPr>
        <w:t xml:space="preserve"> </w:t>
      </w:r>
      <w:r w:rsidR="00CD1F85" w:rsidRPr="00CD1F85">
        <w:rPr>
          <w:rFonts w:ascii="Palatino Linotype" w:hAnsi="Palatino Linotype" w:cs="Arial"/>
          <w:b/>
        </w:rPr>
        <w:t>01022/TLALNEPA/IP/2021</w:t>
      </w:r>
      <w:r w:rsidR="00CD1F85">
        <w:rPr>
          <w:rFonts w:ascii="Palatino Linotype" w:hAnsi="Palatino Linotype" w:cs="Arial"/>
          <w:b/>
        </w:rPr>
        <w:t xml:space="preserve"> </w:t>
      </w:r>
      <w:r w:rsidR="00CD1F85" w:rsidRPr="000F5B7E">
        <w:rPr>
          <w:rFonts w:ascii="Palatino Linotype" w:hAnsi="Palatino Linotype"/>
        </w:rPr>
        <w:t>que ha sido materia del presente fallo.</w:t>
      </w:r>
      <w:r>
        <w:rPr>
          <w:rFonts w:ascii="Palatino Linotype" w:hAnsi="Palatino Linotype"/>
        </w:rPr>
        <w:t xml:space="preserve"> </w:t>
      </w:r>
    </w:p>
    <w:p w14:paraId="5EA7D5BD" w14:textId="77777777" w:rsidR="00C242D9" w:rsidRDefault="00C242D9" w:rsidP="00C242D9">
      <w:pPr>
        <w:pStyle w:val="Prrafodelista"/>
        <w:spacing w:before="240" w:after="240" w:line="360" w:lineRule="auto"/>
        <w:ind w:left="0"/>
        <w:jc w:val="both"/>
        <w:rPr>
          <w:rFonts w:ascii="Palatino Linotype" w:hAnsi="Palatino Linotype"/>
        </w:rPr>
      </w:pPr>
      <w:r w:rsidRPr="00FD725A">
        <w:rPr>
          <w:rFonts w:ascii="Palatino Linotype" w:hAnsi="Palatino Linotype"/>
        </w:rPr>
        <w:lastRenderedPageBreak/>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 la</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67BFA6BF" w14:textId="77777777" w:rsidR="00C242D9" w:rsidRDefault="00C242D9" w:rsidP="00C242D9">
      <w:pPr>
        <w:pStyle w:val="Prrafodelista"/>
        <w:spacing w:before="240" w:after="240" w:line="360" w:lineRule="auto"/>
        <w:ind w:left="0"/>
        <w:jc w:val="both"/>
        <w:rPr>
          <w:rFonts w:ascii="Palatino Linotype" w:hAnsi="Palatino Linotype"/>
        </w:rPr>
      </w:pPr>
    </w:p>
    <w:p w14:paraId="3E6CED97" w14:textId="77777777" w:rsidR="00C242D9" w:rsidRPr="00945605" w:rsidRDefault="00C242D9" w:rsidP="00C242D9">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73E38B86" w14:textId="77777777" w:rsidR="00C242D9" w:rsidRDefault="00C242D9" w:rsidP="00C242D9">
      <w:pPr>
        <w:spacing w:before="240" w:after="240" w:line="360" w:lineRule="auto"/>
        <w:jc w:val="center"/>
        <w:rPr>
          <w:rFonts w:ascii="Palatino Linotype" w:hAnsi="Palatino Linotype"/>
          <w:b/>
          <w:spacing w:val="60"/>
          <w:sz w:val="24"/>
          <w:szCs w:val="24"/>
        </w:rPr>
      </w:pPr>
    </w:p>
    <w:p w14:paraId="7B6C936E" w14:textId="77777777" w:rsidR="00C242D9" w:rsidRPr="000D7FFB" w:rsidRDefault="00C242D9" w:rsidP="00C242D9">
      <w:pPr>
        <w:spacing w:before="240" w:after="240" w:line="360" w:lineRule="auto"/>
        <w:jc w:val="center"/>
        <w:rPr>
          <w:rFonts w:ascii="Palatino Linotype" w:hAnsi="Palatino Linotype"/>
          <w:b/>
          <w:spacing w:val="60"/>
          <w:sz w:val="28"/>
          <w:szCs w:val="24"/>
        </w:rPr>
      </w:pPr>
      <w:r w:rsidRPr="000D7FFB">
        <w:rPr>
          <w:rFonts w:ascii="Palatino Linotype" w:hAnsi="Palatino Linotype"/>
          <w:b/>
          <w:spacing w:val="60"/>
          <w:sz w:val="28"/>
          <w:szCs w:val="24"/>
        </w:rPr>
        <w:t>S E RESUELVE</w:t>
      </w:r>
    </w:p>
    <w:p w14:paraId="113CE7ED" w14:textId="2508E201" w:rsidR="00C242D9" w:rsidRPr="00467337" w:rsidRDefault="00C242D9" w:rsidP="00C242D9">
      <w:pPr>
        <w:spacing w:before="240" w:line="360" w:lineRule="auto"/>
        <w:jc w:val="both"/>
        <w:rPr>
          <w:rFonts w:ascii="Palatino Linotype" w:hAnsi="Palatino Linotype" w:cs="Arial"/>
          <w:sz w:val="24"/>
          <w:szCs w:val="24"/>
        </w:rPr>
      </w:pPr>
      <w:r w:rsidRPr="00CD1F85">
        <w:rPr>
          <w:rFonts w:ascii="Palatino Linotype" w:hAnsi="Palatino Linotype" w:cs="Arial"/>
          <w:b/>
          <w:sz w:val="28"/>
          <w:szCs w:val="24"/>
          <w:lang w:val="es-ES_tradnl"/>
        </w:rPr>
        <w:t>PRIMERO.</w:t>
      </w:r>
      <w:r w:rsidRPr="00CD1F85">
        <w:rPr>
          <w:rFonts w:ascii="Palatino Linotype" w:hAnsi="Palatino Linotype" w:cs="Arial"/>
          <w:sz w:val="28"/>
          <w:szCs w:val="24"/>
          <w:lang w:val="es-ES_tradnl"/>
        </w:rPr>
        <w:t xml:space="preserve"> </w:t>
      </w:r>
      <w:r w:rsidR="00CD1F85" w:rsidRPr="00413327">
        <w:rPr>
          <w:rFonts w:ascii="Palatino Linotype" w:hAnsi="Palatino Linotype" w:cs="Arial"/>
          <w:sz w:val="24"/>
          <w:szCs w:val="24"/>
        </w:rPr>
        <w:t xml:space="preserve">Se </w:t>
      </w:r>
      <w:r w:rsidR="00CD1F85" w:rsidRPr="00413327">
        <w:rPr>
          <w:rFonts w:ascii="Palatino Linotype" w:hAnsi="Palatino Linotype" w:cs="Arial"/>
          <w:b/>
          <w:sz w:val="24"/>
          <w:szCs w:val="24"/>
        </w:rPr>
        <w:t xml:space="preserve">REVOCA </w:t>
      </w:r>
      <w:r w:rsidR="00CD1F85" w:rsidRPr="00413327">
        <w:rPr>
          <w:rFonts w:ascii="Palatino Linotype" w:hAnsi="Palatino Linotype" w:cs="Arial"/>
          <w:sz w:val="24"/>
          <w:szCs w:val="24"/>
        </w:rPr>
        <w:t>la</w:t>
      </w:r>
      <w:r w:rsidR="00CD1F85">
        <w:rPr>
          <w:rFonts w:ascii="Palatino Linotype" w:hAnsi="Palatino Linotype" w:cs="Arial"/>
          <w:sz w:val="24"/>
          <w:szCs w:val="24"/>
        </w:rPr>
        <w:t xml:space="preserve"> respuesta </w:t>
      </w:r>
      <w:r w:rsidR="00CD1F85" w:rsidRPr="00413327">
        <w:rPr>
          <w:rFonts w:ascii="Palatino Linotype" w:hAnsi="Palatino Linotype" w:cs="Arial"/>
          <w:sz w:val="24"/>
          <w:szCs w:val="24"/>
        </w:rPr>
        <w:t xml:space="preserve">entregada por </w:t>
      </w:r>
      <w:r w:rsidR="00CD1F85" w:rsidRPr="00413327">
        <w:rPr>
          <w:rFonts w:ascii="Palatino Linotype" w:hAnsi="Palatino Linotype" w:cs="Arial"/>
          <w:b/>
          <w:sz w:val="24"/>
          <w:szCs w:val="24"/>
        </w:rPr>
        <w:t xml:space="preserve">EL SUJETO OBLIGADO, </w:t>
      </w:r>
      <w:r w:rsidR="00CD1F85">
        <w:rPr>
          <w:rFonts w:ascii="Palatino Linotype" w:hAnsi="Palatino Linotype" w:cs="Arial"/>
          <w:sz w:val="24"/>
          <w:szCs w:val="24"/>
        </w:rPr>
        <w:t xml:space="preserve">a la solicitud de información número </w:t>
      </w:r>
      <w:r w:rsidR="00CD1F85" w:rsidRPr="00CD1F85">
        <w:rPr>
          <w:rFonts w:ascii="Palatino Linotype" w:hAnsi="Palatino Linotype" w:cs="Arial"/>
          <w:b/>
        </w:rPr>
        <w:t>01022/TLALNEPA/IP/2021</w:t>
      </w:r>
      <w:r w:rsidR="00CD1F85">
        <w:rPr>
          <w:rFonts w:ascii="Palatino Linotype" w:hAnsi="Palatino Linotype" w:cs="Arial"/>
          <w:b/>
          <w:sz w:val="24"/>
        </w:rPr>
        <w:t xml:space="preserve"> </w:t>
      </w:r>
      <w:r w:rsidR="00CD1F85">
        <w:rPr>
          <w:rFonts w:ascii="Palatino Linotype" w:hAnsi="Palatino Linotype" w:cs="Arial"/>
          <w:sz w:val="24"/>
          <w:szCs w:val="24"/>
        </w:rPr>
        <w:t xml:space="preserve">por resultar fundados los motivos de inconformidad que arguye </w:t>
      </w:r>
      <w:r w:rsidR="00CD1F85">
        <w:rPr>
          <w:rFonts w:ascii="Palatino Linotype" w:hAnsi="Palatino Linotype" w:cs="Arial"/>
          <w:b/>
          <w:sz w:val="24"/>
          <w:szCs w:val="24"/>
        </w:rPr>
        <w:t xml:space="preserve">El RECURRENTE, </w:t>
      </w:r>
      <w:r w:rsidR="00CD1F85">
        <w:rPr>
          <w:rFonts w:ascii="Palatino Linotype" w:hAnsi="Palatino Linotype" w:cs="Arial"/>
          <w:sz w:val="24"/>
          <w:szCs w:val="24"/>
        </w:rPr>
        <w:t xml:space="preserve">en términos del considerando </w:t>
      </w:r>
      <w:r w:rsidR="00CD1F85">
        <w:rPr>
          <w:rFonts w:ascii="Palatino Linotype" w:hAnsi="Palatino Linotype" w:cs="Arial"/>
          <w:b/>
          <w:sz w:val="24"/>
          <w:szCs w:val="24"/>
        </w:rPr>
        <w:t xml:space="preserve">CUARTO </w:t>
      </w:r>
      <w:r w:rsidR="00CD1F85">
        <w:rPr>
          <w:rFonts w:ascii="Palatino Linotype" w:hAnsi="Palatino Linotype" w:cs="Arial"/>
          <w:sz w:val="24"/>
          <w:szCs w:val="24"/>
        </w:rPr>
        <w:t>de la presente resolución.</w:t>
      </w:r>
      <w:r>
        <w:rPr>
          <w:rFonts w:ascii="Palatino Linotype" w:hAnsi="Palatino Linotype" w:cs="Arial"/>
          <w:sz w:val="24"/>
          <w:szCs w:val="24"/>
        </w:rPr>
        <w:t xml:space="preserve"> </w:t>
      </w:r>
    </w:p>
    <w:p w14:paraId="25F3F1A1" w14:textId="71D0AD21" w:rsidR="00CD1F85" w:rsidRPr="002A274C" w:rsidRDefault="00CD1F85" w:rsidP="00CD1F85">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SEGUNDO</w:t>
      </w:r>
      <w:r w:rsidRPr="009417EF">
        <w:rPr>
          <w:rFonts w:ascii="Palatino Linotype" w:hAnsi="Palatino Linotype" w:cs="Arial"/>
          <w:b/>
          <w:sz w:val="28"/>
          <w:szCs w:val="28"/>
          <w:lang w:val="es-ES_tradnl"/>
        </w:rPr>
        <w:t>.</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w:t>
      </w:r>
      <w:r>
        <w:rPr>
          <w:rFonts w:ascii="Palatino Linotype" w:hAnsi="Palatino Linotype" w:cs="Arial"/>
          <w:sz w:val="24"/>
          <w:szCs w:val="24"/>
        </w:rPr>
        <w:t>y razonable a fin de entregar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 xml:space="preserve">en versión pública de ser procedente, </w:t>
      </w:r>
      <w:r w:rsidRPr="002A274C">
        <w:rPr>
          <w:rFonts w:ascii="Palatino Linotype" w:hAnsi="Palatino Linotype" w:cs="Arial"/>
          <w:sz w:val="24"/>
          <w:szCs w:val="24"/>
        </w:rPr>
        <w:t>de lo siguiente:</w:t>
      </w:r>
    </w:p>
    <w:p w14:paraId="7A86A615" w14:textId="1839BD87" w:rsidR="00C242D9" w:rsidRPr="00D7158C" w:rsidRDefault="00CD1F85" w:rsidP="00CD1F85">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b/>
        </w:rPr>
        <w:t>Con relación al Programa de “Seguridad del Patrimonio Familiar” y/o equivalente,</w:t>
      </w:r>
      <w:r w:rsidR="000D7FFB">
        <w:rPr>
          <w:rFonts w:ascii="Palatino Linotype" w:hAnsi="Palatino Linotype"/>
          <w:b/>
        </w:rPr>
        <w:t xml:space="preserve"> celebrado el dieciséis de junio de dos mil diecinueve</w:t>
      </w:r>
      <w:r>
        <w:rPr>
          <w:rFonts w:ascii="Palatino Linotype" w:hAnsi="Palatino Linotype"/>
          <w:b/>
        </w:rPr>
        <w:t>:</w:t>
      </w:r>
    </w:p>
    <w:p w14:paraId="1A9E6B5E" w14:textId="32B94E12" w:rsidR="00C242D9" w:rsidRPr="000D7FFB" w:rsidRDefault="000D7FFB" w:rsidP="000D7FFB">
      <w:pPr>
        <w:numPr>
          <w:ilvl w:val="0"/>
          <w:numId w:val="16"/>
        </w:numPr>
        <w:spacing w:after="240" w:line="360" w:lineRule="auto"/>
        <w:jc w:val="both"/>
        <w:rPr>
          <w:rFonts w:ascii="Palatino Linotype" w:hAnsi="Palatino Linotype"/>
          <w:i/>
          <w:sz w:val="24"/>
          <w:szCs w:val="24"/>
        </w:rPr>
      </w:pPr>
      <w:r>
        <w:rPr>
          <w:rFonts w:ascii="Palatino Linotype" w:hAnsi="Palatino Linotype"/>
          <w:i/>
          <w:sz w:val="24"/>
          <w:szCs w:val="24"/>
        </w:rPr>
        <w:t>L</w:t>
      </w:r>
      <w:r w:rsidRPr="00E92FD4">
        <w:rPr>
          <w:rFonts w:ascii="Palatino Linotype" w:hAnsi="Palatino Linotype"/>
          <w:i/>
          <w:sz w:val="24"/>
          <w:szCs w:val="24"/>
        </w:rPr>
        <w:t xml:space="preserve">os </w:t>
      </w:r>
      <w:r>
        <w:rPr>
          <w:rFonts w:ascii="Palatino Linotype" w:hAnsi="Palatino Linotype"/>
          <w:i/>
          <w:sz w:val="24"/>
          <w:szCs w:val="24"/>
        </w:rPr>
        <w:t xml:space="preserve">expedientes recibidos por la Tesorería Municipal de los beneficiarios del programa “Seguridad del Patrimonio Familiar” </w:t>
      </w:r>
    </w:p>
    <w:p w14:paraId="7CBD7989" w14:textId="64ED06BC" w:rsidR="00E92575" w:rsidRDefault="00C242D9" w:rsidP="003E1925">
      <w:pPr>
        <w:pStyle w:val="Prrafodelista"/>
        <w:spacing w:before="240" w:line="360" w:lineRule="auto"/>
        <w:ind w:left="709"/>
        <w:jc w:val="both"/>
        <w:rPr>
          <w:rStyle w:val="Refdecomentario"/>
          <w:rFonts w:asciiTheme="minorHAnsi" w:eastAsiaTheme="minorHAnsi" w:hAnsiTheme="minorHAnsi" w:cstheme="minorBidi"/>
          <w:lang w:val="es-MX" w:eastAsia="en-US"/>
        </w:rPr>
      </w:pPr>
      <w:r w:rsidRPr="0067693F">
        <w:rPr>
          <w:rFonts w:ascii="Palatino Linotype" w:hAnsi="Palatino Linotype" w:cs="Arial"/>
          <w:i/>
        </w:rPr>
        <w:lastRenderedPageBreak/>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r>
        <w:rPr>
          <w:rFonts w:ascii="Palatino Linotype" w:hAnsi="Palatino Linotype" w:cs="Arial"/>
          <w:i/>
        </w:rPr>
        <w:t xml:space="preserve">. </w:t>
      </w:r>
    </w:p>
    <w:p w14:paraId="7428569A" w14:textId="168260A9" w:rsidR="003E1925" w:rsidRPr="003E1925" w:rsidRDefault="003E1925" w:rsidP="00677F18">
      <w:pPr>
        <w:pStyle w:val="Prrafodelista"/>
        <w:spacing w:before="240" w:line="360" w:lineRule="auto"/>
        <w:ind w:left="709"/>
        <w:jc w:val="both"/>
        <w:rPr>
          <w:rFonts w:ascii="Palatino Linotype" w:hAnsi="Palatino Linotype" w:cs="Arial"/>
          <w:i/>
        </w:rPr>
      </w:pPr>
      <w:r w:rsidRPr="003E1925">
        <w:rPr>
          <w:rFonts w:ascii="Palatino Linotype" w:hAnsi="Palatino Linotype" w:cs="Arial"/>
          <w:i/>
        </w:rPr>
        <w:t>Para el caso de que exista impedimento justificado de entregar la información</w:t>
      </w:r>
      <w:r>
        <w:rPr>
          <w:rFonts w:ascii="Palatino Linotype" w:hAnsi="Palatino Linotype" w:cs="Arial"/>
          <w:i/>
        </w:rPr>
        <w:t xml:space="preserve"> </w:t>
      </w:r>
      <w:r w:rsidRPr="003E1925">
        <w:rPr>
          <w:rFonts w:ascii="Palatino Linotype" w:hAnsi="Palatino Linotype" w:cs="Arial"/>
          <w:i/>
        </w:rPr>
        <w:t>vía SAIMEX, el Sujeto Obligado deberá proponer diversos medios</w:t>
      </w:r>
      <w:r>
        <w:rPr>
          <w:rFonts w:ascii="Palatino Linotype" w:hAnsi="Palatino Linotype" w:cs="Arial"/>
          <w:i/>
        </w:rPr>
        <w:t xml:space="preserve"> </w:t>
      </w:r>
      <w:r w:rsidRPr="003E1925">
        <w:rPr>
          <w:rFonts w:ascii="Palatino Linotype" w:hAnsi="Palatino Linotype" w:cs="Arial"/>
          <w:i/>
        </w:rPr>
        <w:t>electrónicos como habilitar una liga electrónica que deberá proporcionarle</w:t>
      </w:r>
      <w:r>
        <w:rPr>
          <w:rFonts w:ascii="Palatino Linotype" w:hAnsi="Palatino Linotype" w:cs="Arial"/>
          <w:i/>
        </w:rPr>
        <w:t xml:space="preserve"> </w:t>
      </w:r>
      <w:r w:rsidRPr="003E1925">
        <w:rPr>
          <w:rFonts w:ascii="Palatino Linotype" w:hAnsi="Palatino Linotype" w:cs="Arial"/>
          <w:i/>
        </w:rPr>
        <w:t>para que descargue los archivos –en caso de estar en posibilidad-; enviar la</w:t>
      </w:r>
      <w:r>
        <w:rPr>
          <w:rFonts w:ascii="Palatino Linotype" w:hAnsi="Palatino Linotype" w:cs="Arial"/>
          <w:i/>
        </w:rPr>
        <w:t xml:space="preserve"> </w:t>
      </w:r>
      <w:r w:rsidRPr="003E1925">
        <w:rPr>
          <w:rFonts w:ascii="Palatino Linotype" w:hAnsi="Palatino Linotype" w:cs="Arial"/>
          <w:i/>
        </w:rPr>
        <w:t xml:space="preserve">información a su cuenta de correo electrónico; </w:t>
      </w:r>
      <w:r w:rsidR="00677F18">
        <w:rPr>
          <w:rFonts w:ascii="Palatino Linotype" w:hAnsi="Palatino Linotype" w:cs="Arial"/>
          <w:i/>
        </w:rPr>
        <w:t xml:space="preserve">concederle el acceso en disco </w:t>
      </w:r>
      <w:r w:rsidR="00677F18" w:rsidRPr="00677F18">
        <w:rPr>
          <w:rFonts w:ascii="Palatino Linotype" w:hAnsi="Palatino Linotype" w:cs="Arial"/>
          <w:i/>
        </w:rPr>
        <w:t>compacto, copia simple, certificada</w:t>
      </w:r>
      <w:r w:rsidRPr="003E1925">
        <w:rPr>
          <w:rFonts w:ascii="Palatino Linotype" w:hAnsi="Palatino Linotype" w:cs="Arial"/>
          <w:i/>
        </w:rPr>
        <w:t>, con la posibilidad de envío mediante</w:t>
      </w:r>
      <w:r>
        <w:rPr>
          <w:rFonts w:ascii="Palatino Linotype" w:hAnsi="Palatino Linotype" w:cs="Arial"/>
          <w:i/>
        </w:rPr>
        <w:t xml:space="preserve"> </w:t>
      </w:r>
      <w:r w:rsidRPr="003E1925">
        <w:rPr>
          <w:rFonts w:ascii="Palatino Linotype" w:hAnsi="Palatino Linotype" w:cs="Arial"/>
          <w:i/>
        </w:rPr>
        <w:t>correo certificado, previo pago del costo del disco compacto y del envío, y</w:t>
      </w:r>
      <w:r>
        <w:rPr>
          <w:rFonts w:ascii="Palatino Linotype" w:hAnsi="Palatino Linotype" w:cs="Arial"/>
          <w:i/>
        </w:rPr>
        <w:t xml:space="preserve"> </w:t>
      </w:r>
      <w:r w:rsidRPr="003E1925">
        <w:rPr>
          <w:rFonts w:ascii="Palatino Linotype" w:hAnsi="Palatino Linotype" w:cs="Arial"/>
          <w:i/>
        </w:rPr>
        <w:t>darle la posibilidad de obtenerla de manera gratuita si la parte solicitante</w:t>
      </w:r>
      <w:r>
        <w:rPr>
          <w:rFonts w:ascii="Palatino Linotype" w:hAnsi="Palatino Linotype" w:cs="Arial"/>
          <w:i/>
        </w:rPr>
        <w:t xml:space="preserve"> </w:t>
      </w:r>
      <w:r w:rsidRPr="003E1925">
        <w:rPr>
          <w:rFonts w:ascii="Palatino Linotype" w:hAnsi="Palatino Linotype" w:cs="Arial"/>
          <w:i/>
        </w:rPr>
        <w:t>aporta el disco compacto, me</w:t>
      </w:r>
      <w:r>
        <w:rPr>
          <w:rFonts w:ascii="Palatino Linotype" w:hAnsi="Palatino Linotype" w:cs="Arial"/>
          <w:i/>
        </w:rPr>
        <w:t xml:space="preserve">moria USB o algún otro medio de </w:t>
      </w:r>
      <w:r w:rsidRPr="003E1925">
        <w:rPr>
          <w:rFonts w:ascii="Palatino Linotype" w:hAnsi="Palatino Linotype" w:cs="Arial"/>
          <w:i/>
        </w:rPr>
        <w:t>almacenamiento magnético, en el que se le proporcionen los archivos electrónicos, debiendo indicar el procedimiento para acceder a la información.</w:t>
      </w:r>
    </w:p>
    <w:p w14:paraId="023053A2" w14:textId="77777777" w:rsidR="00C242D9" w:rsidRDefault="00C242D9" w:rsidP="00C242D9">
      <w:pPr>
        <w:autoSpaceDE w:val="0"/>
        <w:autoSpaceDN w:val="0"/>
        <w:adjustRightInd w:val="0"/>
        <w:spacing w:before="240" w:line="360" w:lineRule="auto"/>
        <w:jc w:val="both"/>
        <w:rPr>
          <w:rFonts w:ascii="Palatino Linotype" w:hAnsi="Palatino Linotype" w:cs="Arial"/>
          <w:sz w:val="24"/>
          <w:szCs w:val="24"/>
        </w:rPr>
      </w:pPr>
      <w:r w:rsidRPr="000D7FFB">
        <w:rPr>
          <w:rFonts w:ascii="Palatino Linotype" w:hAnsi="Palatino Linotype" w:cs="Arial"/>
          <w:b/>
          <w:sz w:val="28"/>
          <w:szCs w:val="24"/>
        </w:rPr>
        <w:t>TERCERO.</w:t>
      </w:r>
      <w:r w:rsidRPr="00D05C83">
        <w:rPr>
          <w:rFonts w:ascii="Palatino Linotype" w:hAnsi="Palatino Linotype" w:cs="Arial"/>
          <w:b/>
          <w:sz w:val="24"/>
          <w:szCs w:val="24"/>
        </w:rPr>
        <w:t xml:space="preserve"> </w:t>
      </w:r>
      <w:r w:rsidRPr="00345E32">
        <w:rPr>
          <w:rFonts w:ascii="Palatino Linotype" w:eastAsia="Times New Roman" w:hAnsi="Palatino Linotype" w:cs="Arial"/>
          <w:b/>
          <w:sz w:val="24"/>
          <w:szCs w:val="24"/>
          <w:lang w:eastAsia="es-ES"/>
        </w:rPr>
        <w:t>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305224E" w14:textId="77777777" w:rsidR="00C242D9" w:rsidRDefault="00C242D9" w:rsidP="00C242D9">
      <w:pPr>
        <w:autoSpaceDE w:val="0"/>
        <w:autoSpaceDN w:val="0"/>
        <w:adjustRightInd w:val="0"/>
        <w:spacing w:before="240" w:line="360" w:lineRule="auto"/>
        <w:jc w:val="both"/>
        <w:rPr>
          <w:rFonts w:ascii="Palatino Linotype" w:hAnsi="Palatino Linotype" w:cs="Arial"/>
          <w:sz w:val="24"/>
          <w:szCs w:val="24"/>
        </w:rPr>
      </w:pPr>
    </w:p>
    <w:p w14:paraId="4701C382" w14:textId="77777777" w:rsidR="00C242D9" w:rsidRPr="00CB64E1" w:rsidRDefault="00C242D9" w:rsidP="00C242D9">
      <w:pPr>
        <w:autoSpaceDE w:val="0"/>
        <w:autoSpaceDN w:val="0"/>
        <w:adjustRightInd w:val="0"/>
        <w:spacing w:before="240" w:line="360" w:lineRule="auto"/>
        <w:jc w:val="both"/>
        <w:rPr>
          <w:rFonts w:ascii="Palatino Linotype" w:hAnsi="Palatino Linotype" w:cs="Arial"/>
          <w:sz w:val="24"/>
          <w:szCs w:val="24"/>
        </w:rPr>
      </w:pPr>
      <w:r w:rsidRPr="000D7FFB">
        <w:rPr>
          <w:rFonts w:ascii="Palatino Linotype" w:eastAsia="Calibri" w:hAnsi="Palatino Linotype" w:cs="Arial"/>
          <w:b/>
          <w:sz w:val="28"/>
          <w:szCs w:val="28"/>
        </w:rPr>
        <w:lastRenderedPageBreak/>
        <w:t>CUARTO.</w:t>
      </w:r>
      <w:r w:rsidRPr="00CB64E1">
        <w:rPr>
          <w:rFonts w:ascii="Palatino Linotype" w:eastAsia="Calibri" w:hAnsi="Palatino Linotype" w:cs="Arial"/>
          <w:b/>
          <w:sz w:val="24"/>
        </w:rPr>
        <w:t xml:space="preserve"> </w:t>
      </w:r>
      <w:r w:rsidRPr="00CB64E1">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CB64E1">
        <w:rPr>
          <w:rFonts w:ascii="Palatino Linotype" w:eastAsia="Calibri" w:hAnsi="Palatino Linotype" w:cs="Arial"/>
          <w:b/>
          <w:sz w:val="24"/>
          <w:szCs w:val="24"/>
        </w:rPr>
        <w:t>Sujeto Obligado</w:t>
      </w:r>
      <w:r w:rsidRPr="00CB64E1">
        <w:rPr>
          <w:rFonts w:ascii="Palatino Linotype" w:eastAsia="Calibri" w:hAnsi="Palatino Linotype" w:cs="Arial"/>
          <w:sz w:val="24"/>
          <w:szCs w:val="24"/>
        </w:rPr>
        <w:t xml:space="preserve"> de manera fundada y motivada, podrá solicitar una ampliación de plazo para el cumplimiento de la presente resolución.</w:t>
      </w:r>
    </w:p>
    <w:p w14:paraId="29B63369" w14:textId="77777777" w:rsidR="00C242D9" w:rsidRPr="003604C6" w:rsidRDefault="00C242D9" w:rsidP="00C242D9">
      <w:pPr>
        <w:spacing w:before="240" w:line="360" w:lineRule="auto"/>
        <w:jc w:val="both"/>
        <w:rPr>
          <w:rFonts w:ascii="Palatino Linotype" w:hAnsi="Palatino Linotype" w:cs="Arial"/>
          <w:b/>
          <w:sz w:val="24"/>
          <w:szCs w:val="28"/>
        </w:rPr>
      </w:pPr>
    </w:p>
    <w:p w14:paraId="20A87F0E" w14:textId="187CA72C" w:rsidR="000D7FFB" w:rsidRDefault="00C242D9" w:rsidP="003E1925">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345E32">
        <w:rPr>
          <w:rFonts w:ascii="Palatino Linotype" w:eastAsia="Times New Roman" w:hAnsi="Palatino Linotype" w:cs="Arial"/>
          <w:b/>
          <w:sz w:val="28"/>
          <w:szCs w:val="28"/>
          <w:lang w:eastAsia="es-ES"/>
        </w:rPr>
        <w:t>QUINTO</w:t>
      </w:r>
      <w:r w:rsidRPr="00345E32">
        <w:rPr>
          <w:rFonts w:ascii="Palatino Linotype" w:eastAsia="Times New Roman" w:hAnsi="Palatino Linotype" w:cs="Arial"/>
          <w:b/>
          <w:sz w:val="26"/>
          <w:szCs w:val="26"/>
          <w:lang w:eastAsia="es-ES"/>
        </w:rPr>
        <w:t>.</w:t>
      </w:r>
      <w:r w:rsidRPr="00345E32">
        <w:rPr>
          <w:rFonts w:ascii="Palatino Linotype" w:eastAsia="Times New Roman" w:hAnsi="Palatino Linotype" w:cs="Arial"/>
          <w:b/>
          <w:sz w:val="24"/>
          <w:szCs w:val="24"/>
          <w:lang w:eastAsia="es-ES"/>
        </w:rPr>
        <w:t xml:space="preserve"> NOTIFÍQUESE </w:t>
      </w:r>
      <w:r w:rsidRPr="00345E32">
        <w:rPr>
          <w:rFonts w:ascii="Palatino Linotype" w:eastAsia="Times New Roman" w:hAnsi="Palatino Linotype" w:cs="Arial"/>
          <w:sz w:val="24"/>
          <w:szCs w:val="24"/>
          <w:lang w:eastAsia="es-ES"/>
        </w:rPr>
        <w:t xml:space="preserve">la presente resolución al </w:t>
      </w:r>
      <w:r w:rsidRPr="00345E32">
        <w:rPr>
          <w:rFonts w:ascii="Palatino Linotype" w:eastAsia="Times New Roman" w:hAnsi="Palatino Linotype" w:cs="Arial"/>
          <w:b/>
          <w:sz w:val="24"/>
          <w:szCs w:val="24"/>
          <w:lang w:eastAsia="es-ES"/>
        </w:rPr>
        <w:t>Recurrente</w:t>
      </w:r>
      <w:r w:rsidRPr="00345E32">
        <w:rPr>
          <w:rFonts w:ascii="Palatino Linotype" w:eastAsia="Times New Roman" w:hAnsi="Palatino Linotype" w:cs="Arial"/>
          <w:sz w:val="24"/>
          <w:szCs w:val="24"/>
          <w:lang w:eastAsia="es-ES"/>
        </w:rPr>
        <w:t xml:space="preserve"> </w:t>
      </w:r>
      <w:r w:rsidRPr="00345E32">
        <w:rPr>
          <w:rFonts w:ascii="Palatino Linotype" w:eastAsia="Times New Roman" w:hAnsi="Palatino Linotype" w:cs="Arial"/>
          <w:b/>
          <w:sz w:val="24"/>
          <w:szCs w:val="24"/>
          <w:lang w:eastAsia="es-ES"/>
        </w:rPr>
        <w:t xml:space="preserve">vía </w:t>
      </w:r>
      <w:r w:rsidRPr="00345E32">
        <w:rPr>
          <w:rFonts w:ascii="Palatino Linotype" w:eastAsia="Calibri" w:hAnsi="Palatino Linotype" w:cs="Arial"/>
          <w:sz w:val="24"/>
          <w:szCs w:val="24"/>
        </w:rPr>
        <w:t xml:space="preserve">Sistema de Acceso a la Información Mexiquense </w:t>
      </w:r>
      <w:r w:rsidRPr="00345E32">
        <w:rPr>
          <w:rFonts w:ascii="Palatino Linotype" w:eastAsia="Calibri" w:hAnsi="Palatino Linotype" w:cs="Arial"/>
          <w:b/>
          <w:sz w:val="24"/>
          <w:szCs w:val="24"/>
        </w:rPr>
        <w:t>(SAIMEX)</w:t>
      </w:r>
      <w:r w:rsidRPr="00345E32">
        <w:rPr>
          <w:rFonts w:ascii="Palatino Linotype" w:eastAsia="Times New Roman" w:hAnsi="Palatino Linotype" w:cs="Arial"/>
          <w:b/>
          <w:sz w:val="24"/>
          <w:szCs w:val="24"/>
          <w:lang w:eastAsia="es-ES"/>
        </w:rPr>
        <w:t>,</w:t>
      </w:r>
      <w:r w:rsidRPr="00345E32">
        <w:rPr>
          <w:rFonts w:ascii="Palatino Linotype" w:eastAsia="Times New Roman" w:hAnsi="Palatino Linotype" w:cs="Arial"/>
          <w:sz w:val="24"/>
          <w:szCs w:val="24"/>
          <w:lang w:eastAsia="es-ES"/>
        </w:rPr>
        <w:t xml:space="preserve"> y hágase de su conocimiento que, </w:t>
      </w:r>
      <w:r w:rsidRPr="00345E32">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70C8CBD1" w14:textId="77777777" w:rsidR="00DA3434" w:rsidRPr="003E1925" w:rsidRDefault="00DA3434" w:rsidP="003E1925">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97118C1" w14:textId="78B129B1" w:rsidR="00CC0028" w:rsidRPr="000D7FFB" w:rsidRDefault="00CC0028" w:rsidP="00CC0028">
      <w:pPr>
        <w:spacing w:line="360" w:lineRule="auto"/>
        <w:jc w:val="both"/>
        <w:rPr>
          <w:rFonts w:ascii="Palatino Linotype" w:hAnsi="Palatino Linotype" w:cs="Arial"/>
          <w:sz w:val="20"/>
        </w:rPr>
      </w:pPr>
      <w:r w:rsidRPr="000D7FFB">
        <w:rPr>
          <w:rFonts w:ascii="Palatino Linotype" w:hAnsi="Palatino Linotype" w:cs="Arial"/>
          <w:sz w:val="24"/>
        </w:rPr>
        <w:t>ASÍ LO RESUELVE, POR UNANIMIDAD DE VOTOS, EL PLENO DEL</w:t>
      </w:r>
      <w:r w:rsidRPr="000D7FFB">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0D7FFB">
        <w:rPr>
          <w:rFonts w:ascii="Palatino Linotype" w:hAnsi="Palatino Linotype" w:cs="Arial"/>
          <w:sz w:val="24"/>
        </w:rPr>
        <w:t>, CONFORMADO POR LOS COMISIONADOS JOSÉ MARTÍNEZ VILCHIS; MARÍA DEL ROSARIO MEJÍA AYALA; SH</w:t>
      </w:r>
      <w:r w:rsidR="00B32499">
        <w:rPr>
          <w:rFonts w:ascii="Palatino Linotype" w:hAnsi="Palatino Linotype" w:cs="Arial"/>
          <w:sz w:val="24"/>
        </w:rPr>
        <w:t>ARON CRISTINA MORALES MARTÍNEZ;</w:t>
      </w:r>
      <w:r w:rsidRPr="000D7FFB">
        <w:rPr>
          <w:rFonts w:ascii="Palatino Linotype" w:hAnsi="Palatino Linotype" w:cs="Arial"/>
          <w:sz w:val="24"/>
        </w:rPr>
        <w:t xml:space="preserve"> LUIS GUSTAVO PARRA NORIEGA</w:t>
      </w:r>
      <w:r w:rsidR="00FC25F4">
        <w:rPr>
          <w:rFonts w:ascii="Palatino Linotype" w:hAnsi="Palatino Linotype" w:cs="Arial"/>
          <w:sz w:val="24"/>
        </w:rPr>
        <w:t xml:space="preserve"> </w:t>
      </w:r>
      <w:r w:rsidR="00FC25F4" w:rsidRPr="009E48D1">
        <w:rPr>
          <w:rFonts w:ascii="Palatino Linotype" w:eastAsiaTheme="minorEastAsia" w:hAnsi="Palatino Linotype"/>
          <w:color w:val="000000" w:themeColor="text1"/>
          <w:sz w:val="24"/>
          <w:szCs w:val="24"/>
          <w:lang w:val="es-ES_tradnl" w:eastAsia="es-ES"/>
        </w:rPr>
        <w:t>(AUSENCIA JUSTIFICADA)</w:t>
      </w:r>
      <w:r w:rsidRPr="000D7FFB">
        <w:rPr>
          <w:rFonts w:ascii="Palatino Linotype" w:hAnsi="Palatino Linotype" w:cs="Arial"/>
          <w:sz w:val="24"/>
        </w:rPr>
        <w:t xml:space="preserve"> Y GUADALUPE RAMÍREZ PEÑA; EN LA </w:t>
      </w:r>
      <w:r w:rsidR="000D7FFB">
        <w:rPr>
          <w:rFonts w:ascii="Palatino Linotype" w:hAnsi="Palatino Linotype" w:cs="Arial"/>
          <w:sz w:val="24"/>
        </w:rPr>
        <w:t>DÉCIMO PRIMERA</w:t>
      </w:r>
      <w:r w:rsidRPr="000D7FFB">
        <w:rPr>
          <w:rFonts w:ascii="Palatino Linotype" w:hAnsi="Palatino Linotype" w:cs="Arial"/>
          <w:sz w:val="24"/>
        </w:rPr>
        <w:t xml:space="preserve"> SESIÓN ORDINARIA CELEBRADA EL </w:t>
      </w:r>
      <w:r w:rsidR="00A04634">
        <w:rPr>
          <w:rFonts w:ascii="Palatino Linotype" w:hAnsi="Palatino Linotype" w:cs="Arial"/>
          <w:color w:val="000000"/>
          <w:sz w:val="24"/>
          <w:lang w:eastAsia="es-MX"/>
        </w:rPr>
        <w:t xml:space="preserve">VEINTICUATRO </w:t>
      </w:r>
      <w:r w:rsidRPr="000D7FFB">
        <w:rPr>
          <w:rFonts w:ascii="Palatino Linotype" w:hAnsi="Palatino Linotype" w:cs="Arial"/>
          <w:color w:val="000000"/>
          <w:sz w:val="24"/>
          <w:lang w:eastAsia="es-MX"/>
        </w:rPr>
        <w:t>DE MARZO DE</w:t>
      </w:r>
      <w:r w:rsidRPr="000D7FFB">
        <w:rPr>
          <w:rFonts w:ascii="Palatino Linotype" w:hAnsi="Palatino Linotype" w:cs="Arial"/>
          <w:sz w:val="24"/>
        </w:rPr>
        <w:t xml:space="preserve"> DOS MIL VEINTIDÓS, ANTE EL SECRETARIO TÉCNICO, ALEXIS TAPIA RAMÍREZ.--------------------------------------------------------------------------------------------------</w:t>
      </w:r>
      <w:r w:rsidR="00DA3434" w:rsidRPr="000D7FFB">
        <w:rPr>
          <w:rFonts w:ascii="Palatino Linotype" w:hAnsi="Palatino Linotype" w:cs="Arial"/>
          <w:sz w:val="24"/>
        </w:rPr>
        <w:t>---------------------------------------------------------------------------------------------------------------------------------------------------------------------------------------------------------------------------------------------------------------------------------------------------------------</w:t>
      </w:r>
    </w:p>
    <w:p w14:paraId="1FA30757" w14:textId="103BDDB6" w:rsidR="001272D3" w:rsidRPr="005323D1" w:rsidRDefault="00CC0028" w:rsidP="00CC0028">
      <w:pPr>
        <w:spacing w:line="360" w:lineRule="auto"/>
        <w:jc w:val="both"/>
        <w:rPr>
          <w:rFonts w:ascii="Palatino Linotype" w:hAnsi="Palatino Linotype" w:cs="Arial"/>
          <w:sz w:val="20"/>
        </w:rPr>
      </w:pPr>
      <w:r w:rsidRPr="00386392">
        <w:rPr>
          <w:rFonts w:ascii="Palatino Linotype" w:hAnsi="Palatino Linotype" w:cs="Arial"/>
          <w:sz w:val="18"/>
        </w:rPr>
        <w:t>JMV</w:t>
      </w:r>
      <w:r>
        <w:rPr>
          <w:rFonts w:ascii="Palatino Linotype" w:hAnsi="Palatino Linotype" w:cs="Arial"/>
          <w:sz w:val="18"/>
        </w:rPr>
        <w:t>/</w:t>
      </w:r>
      <w:r w:rsidR="008D2F4E">
        <w:rPr>
          <w:rFonts w:ascii="Palatino Linotype" w:hAnsi="Palatino Linotype" w:cs="Arial"/>
          <w:sz w:val="20"/>
        </w:rPr>
        <w:t>CCR/FJJC</w:t>
      </w:r>
    </w:p>
    <w:p w14:paraId="4C5D60F5" w14:textId="77777777" w:rsidR="001272D3" w:rsidRDefault="001272D3" w:rsidP="002C275E">
      <w:pPr>
        <w:spacing w:after="0" w:line="360" w:lineRule="auto"/>
        <w:jc w:val="both"/>
        <w:rPr>
          <w:rFonts w:ascii="Palatino Linotype" w:hAnsi="Palatino Linotype" w:cs="Arial"/>
          <w:sz w:val="24"/>
          <w:szCs w:val="24"/>
        </w:rPr>
      </w:pPr>
    </w:p>
    <w:p w14:paraId="355D745E" w14:textId="77777777" w:rsidR="001272D3" w:rsidRDefault="001272D3" w:rsidP="002C275E">
      <w:pPr>
        <w:spacing w:after="0" w:line="360" w:lineRule="auto"/>
        <w:jc w:val="both"/>
        <w:rPr>
          <w:rFonts w:ascii="Palatino Linotype" w:hAnsi="Palatino Linotype" w:cs="Arial"/>
          <w:sz w:val="24"/>
          <w:szCs w:val="24"/>
        </w:rPr>
      </w:pPr>
    </w:p>
    <w:p w14:paraId="5D45FA10" w14:textId="77777777" w:rsidR="001272D3" w:rsidRDefault="001272D3" w:rsidP="002C275E">
      <w:pPr>
        <w:spacing w:after="0" w:line="360" w:lineRule="auto"/>
        <w:jc w:val="both"/>
        <w:rPr>
          <w:rFonts w:ascii="Palatino Linotype" w:hAnsi="Palatino Linotype" w:cs="Arial"/>
          <w:sz w:val="24"/>
          <w:szCs w:val="24"/>
        </w:rPr>
      </w:pPr>
    </w:p>
    <w:p w14:paraId="60970F54" w14:textId="77777777" w:rsidR="001272D3" w:rsidRDefault="001272D3" w:rsidP="002C275E">
      <w:pPr>
        <w:spacing w:after="0"/>
      </w:pPr>
    </w:p>
    <w:p w14:paraId="1E33E95A" w14:textId="77777777" w:rsidR="001272D3" w:rsidRDefault="001272D3" w:rsidP="002C275E">
      <w:pPr>
        <w:spacing w:after="0"/>
      </w:pPr>
    </w:p>
    <w:p w14:paraId="488BE162" w14:textId="77777777" w:rsidR="001272D3" w:rsidRDefault="001272D3" w:rsidP="002C275E">
      <w:pPr>
        <w:spacing w:after="0"/>
      </w:pPr>
    </w:p>
    <w:p w14:paraId="39525594" w14:textId="77777777" w:rsidR="001272D3" w:rsidRDefault="001272D3" w:rsidP="002C275E">
      <w:pPr>
        <w:spacing w:after="0"/>
      </w:pPr>
    </w:p>
    <w:p w14:paraId="26A9D49A" w14:textId="77777777" w:rsidR="001272D3" w:rsidRDefault="001272D3" w:rsidP="002C275E">
      <w:pPr>
        <w:spacing w:after="0"/>
      </w:pPr>
    </w:p>
    <w:p w14:paraId="5C4DD682" w14:textId="77777777" w:rsidR="00786E18" w:rsidRDefault="00786E18" w:rsidP="002C275E">
      <w:pPr>
        <w:spacing w:after="0"/>
      </w:pPr>
    </w:p>
    <w:sectPr w:rsidR="00786E18" w:rsidSect="005D718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86680" w14:textId="77777777" w:rsidR="00120A18" w:rsidRDefault="00120A18" w:rsidP="001272D3">
      <w:pPr>
        <w:spacing w:after="0" w:line="240" w:lineRule="auto"/>
      </w:pPr>
      <w:r>
        <w:separator/>
      </w:r>
    </w:p>
  </w:endnote>
  <w:endnote w:type="continuationSeparator" w:id="0">
    <w:p w14:paraId="496C26EE" w14:textId="77777777" w:rsidR="00120A18" w:rsidRDefault="00120A18" w:rsidP="0012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DA3870A" w14:textId="77777777" w:rsidR="009B75F4" w:rsidRPr="002D6DD8" w:rsidRDefault="009B75F4" w:rsidP="005D71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15C2">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115C2">
              <w:rPr>
                <w:rFonts w:ascii="Palatino Linotype" w:hAnsi="Palatino Linotype"/>
                <w:bCs/>
                <w:noProof/>
                <w:sz w:val="20"/>
              </w:rPr>
              <w:t>46</w:t>
            </w:r>
            <w:r>
              <w:rPr>
                <w:rFonts w:ascii="Palatino Linotype" w:hAnsi="Palatino Linotype"/>
                <w:bCs/>
                <w:noProof/>
                <w:sz w:val="20"/>
              </w:rPr>
              <w:fldChar w:fldCharType="end"/>
            </w:r>
          </w:p>
        </w:sdtContent>
      </w:sdt>
    </w:sdtContent>
  </w:sdt>
  <w:p w14:paraId="15806021" w14:textId="77777777" w:rsidR="009B75F4" w:rsidRDefault="009B75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E7784" w14:textId="77777777" w:rsidR="009B75F4" w:rsidRPr="000B69FA" w:rsidRDefault="009B75F4" w:rsidP="005D71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34F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934F2">
      <w:rPr>
        <w:rFonts w:ascii="Palatino Linotype" w:hAnsi="Palatino Linotype"/>
        <w:bCs/>
        <w:noProof/>
        <w:sz w:val="20"/>
      </w:rPr>
      <w:t>46</w:t>
    </w:r>
    <w:r>
      <w:rPr>
        <w:rFonts w:ascii="Palatino Linotype" w:hAnsi="Palatino Linotype"/>
        <w:bCs/>
        <w:noProof/>
        <w:sz w:val="20"/>
      </w:rPr>
      <w:fldChar w:fldCharType="end"/>
    </w:r>
  </w:p>
  <w:p w14:paraId="09DBF440" w14:textId="77777777" w:rsidR="009B75F4" w:rsidRDefault="009B75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863A9" w14:textId="77777777" w:rsidR="00120A18" w:rsidRDefault="00120A18" w:rsidP="001272D3">
      <w:pPr>
        <w:spacing w:after="0" w:line="240" w:lineRule="auto"/>
      </w:pPr>
      <w:r>
        <w:separator/>
      </w:r>
    </w:p>
  </w:footnote>
  <w:footnote w:type="continuationSeparator" w:id="0">
    <w:p w14:paraId="29F1F32D" w14:textId="77777777" w:rsidR="00120A18" w:rsidRDefault="00120A18" w:rsidP="001272D3">
      <w:pPr>
        <w:spacing w:after="0" w:line="240" w:lineRule="auto"/>
      </w:pPr>
      <w:r>
        <w:continuationSeparator/>
      </w:r>
    </w:p>
  </w:footnote>
  <w:footnote w:id="1">
    <w:p w14:paraId="726B6F55" w14:textId="77777777" w:rsidR="009B75F4" w:rsidRPr="00615B4B" w:rsidRDefault="009B75F4" w:rsidP="00870B9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9B1268" w14:textId="77777777" w:rsidR="009B75F4" w:rsidRPr="00615B4B" w:rsidRDefault="009B75F4" w:rsidP="00870B9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A70C0C6" w14:textId="77777777" w:rsidR="003E1925" w:rsidRPr="00585F64" w:rsidRDefault="003E1925" w:rsidP="003E1925">
      <w:pPr>
        <w:pStyle w:val="Textonotapie"/>
        <w:jc w:val="both"/>
        <w:rPr>
          <w:rFonts w:ascii="Palatino Linotype" w:hAnsi="Palatino Linotype"/>
          <w:i/>
          <w:sz w:val="18"/>
        </w:rPr>
      </w:pPr>
      <w:r w:rsidRPr="00585F64">
        <w:rPr>
          <w:rStyle w:val="Refdenotaalpie"/>
          <w:rFonts w:ascii="Palatino Linotype" w:hAnsi="Palatino Linotype"/>
          <w:i/>
          <w:sz w:val="18"/>
        </w:rPr>
        <w:footnoteRef/>
      </w:r>
      <w:r w:rsidRPr="00585F64">
        <w:rPr>
          <w:rFonts w:ascii="Palatino Linotype" w:hAnsi="Palatino Linotype"/>
          <w:i/>
          <w:sz w:val="18"/>
        </w:rPr>
        <w:t xml:space="preserve"> </w:t>
      </w:r>
      <w:r w:rsidRPr="00585F64">
        <w:rPr>
          <w:rFonts w:ascii="Palatino Linotype" w:hAnsi="Palatino Linotype"/>
          <w:b/>
          <w:i/>
          <w:sz w:val="18"/>
        </w:rPr>
        <w:t>Artículo 175.</w:t>
      </w:r>
      <w:r w:rsidRPr="00585F64">
        <w:rPr>
          <w:rFonts w:ascii="Palatino Linotype" w:hAnsi="Palatino Linotype"/>
          <w:i/>
          <w:sz w:val="18"/>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p>
    <w:p w14:paraId="62A04D69" w14:textId="77777777" w:rsidR="003E1925" w:rsidRPr="00585F64" w:rsidRDefault="003E1925" w:rsidP="003E1925">
      <w:pPr>
        <w:pStyle w:val="Textonotapie"/>
        <w:jc w:val="both"/>
        <w:rPr>
          <w:rFonts w:ascii="Palatino Linotype" w:hAnsi="Palatino Linotype"/>
          <w:i/>
          <w:sz w:val="18"/>
        </w:rPr>
      </w:pPr>
    </w:p>
    <w:p w14:paraId="3AC69B0C" w14:textId="77777777" w:rsidR="003E1925" w:rsidRPr="00585F64" w:rsidRDefault="003E1925" w:rsidP="003E1925">
      <w:pPr>
        <w:pStyle w:val="Textonotapie"/>
        <w:jc w:val="both"/>
        <w:rPr>
          <w:rFonts w:ascii="Palatino Linotype" w:hAnsi="Palatino Linotype"/>
          <w:i/>
          <w:sz w:val="18"/>
        </w:rPr>
      </w:pPr>
      <w:r w:rsidRPr="00585F64">
        <w:rPr>
          <w:rFonts w:ascii="Palatino Linotype" w:hAnsi="Palatino Linotype"/>
          <w:i/>
          <w:sz w:val="18"/>
        </w:rPr>
        <w:t>En ningún caso, el pago de derechos deberá exceder el costo de reproducción de la información en el material solicitado. Los ajustes razonables que se realicen para el acceso de la información de solicitantes con discapacidad serán sin costo para los mismos.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B75F4" w14:paraId="0E92EA4F" w14:textId="77777777" w:rsidTr="005D718F">
      <w:trPr>
        <w:trHeight w:val="227"/>
      </w:trPr>
      <w:tc>
        <w:tcPr>
          <w:tcW w:w="5246" w:type="dxa"/>
          <w:hideMark/>
        </w:tcPr>
        <w:p w14:paraId="32553722" w14:textId="77777777" w:rsidR="009B75F4" w:rsidRPr="00641471" w:rsidRDefault="009B75F4" w:rsidP="005D71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30D61E" w14:textId="1BC1EAAE" w:rsidR="009B75F4" w:rsidRPr="00641471" w:rsidRDefault="009B75F4" w:rsidP="00EC50E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0395/INFOEM/IP/RR/2022</w:t>
          </w:r>
        </w:p>
      </w:tc>
    </w:tr>
    <w:tr w:rsidR="009B75F4" w14:paraId="7ED18D0C" w14:textId="77777777" w:rsidTr="005D718F">
      <w:trPr>
        <w:trHeight w:val="242"/>
      </w:trPr>
      <w:tc>
        <w:tcPr>
          <w:tcW w:w="5246" w:type="dxa"/>
          <w:hideMark/>
        </w:tcPr>
        <w:p w14:paraId="35338F06" w14:textId="77777777" w:rsidR="009B75F4" w:rsidRPr="00641471" w:rsidRDefault="009B75F4" w:rsidP="005D71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602A71C" w14:textId="33D0B8D8" w:rsidR="009B75F4" w:rsidRPr="00641471" w:rsidRDefault="009B75F4" w:rsidP="005D718F">
          <w:pPr>
            <w:spacing w:after="120" w:line="256" w:lineRule="auto"/>
            <w:ind w:left="-486" w:right="214" w:firstLine="284"/>
            <w:jc w:val="right"/>
            <w:rPr>
              <w:rFonts w:ascii="Palatino Linotype" w:hAnsi="Palatino Linotype" w:cs="Arial"/>
              <w:b/>
              <w:szCs w:val="20"/>
            </w:rPr>
          </w:pPr>
          <w:r w:rsidRPr="001A1892">
            <w:rPr>
              <w:rFonts w:ascii="Palatino Linotype" w:hAnsi="Palatino Linotype" w:cs="Arial"/>
              <w:b/>
              <w:szCs w:val="20"/>
            </w:rPr>
            <w:t>Ayuntamiento de Tlalnepantla de Baz</w:t>
          </w:r>
        </w:p>
      </w:tc>
    </w:tr>
    <w:tr w:rsidR="009B75F4" w14:paraId="6BCF74D9" w14:textId="77777777" w:rsidTr="005D718F">
      <w:trPr>
        <w:trHeight w:val="342"/>
      </w:trPr>
      <w:tc>
        <w:tcPr>
          <w:tcW w:w="5246" w:type="dxa"/>
          <w:hideMark/>
        </w:tcPr>
        <w:p w14:paraId="481D082F" w14:textId="77777777" w:rsidR="009B75F4" w:rsidRPr="00641471" w:rsidRDefault="009B75F4" w:rsidP="005D718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1CCFD29C" w14:textId="77777777" w:rsidR="009B75F4" w:rsidRPr="00641471" w:rsidRDefault="009B75F4" w:rsidP="005D718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B6F8FA7" w14:textId="77777777" w:rsidR="009B75F4" w:rsidRPr="00AE046A" w:rsidRDefault="009B75F4" w:rsidP="005D718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659E0B" wp14:editId="3D6CB6EE">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B75F4" w14:paraId="79C518F3" w14:textId="77777777" w:rsidTr="005D718F">
      <w:trPr>
        <w:trHeight w:val="227"/>
      </w:trPr>
      <w:tc>
        <w:tcPr>
          <w:tcW w:w="5104" w:type="dxa"/>
          <w:hideMark/>
        </w:tcPr>
        <w:p w14:paraId="5923C738" w14:textId="77777777" w:rsidR="009B75F4" w:rsidRPr="00641471" w:rsidRDefault="009B75F4" w:rsidP="005D71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C9E8E47" w14:textId="3F2B6673" w:rsidR="009B75F4" w:rsidRPr="00641471" w:rsidRDefault="009B75F4" w:rsidP="00CA2B0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0395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9B75F4" w14:paraId="5F104C08" w14:textId="77777777" w:rsidTr="005D718F">
      <w:trPr>
        <w:trHeight w:val="242"/>
      </w:trPr>
      <w:tc>
        <w:tcPr>
          <w:tcW w:w="5104" w:type="dxa"/>
          <w:hideMark/>
        </w:tcPr>
        <w:p w14:paraId="195B1658" w14:textId="77777777" w:rsidR="009B75F4" w:rsidRPr="00641471" w:rsidRDefault="009B75F4" w:rsidP="005D71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674EF61" w14:textId="5EA8A7F5" w:rsidR="009B75F4" w:rsidRPr="00641471" w:rsidRDefault="009B75F4" w:rsidP="005D718F">
          <w:pPr>
            <w:spacing w:after="120" w:line="256" w:lineRule="auto"/>
            <w:ind w:left="-486" w:right="214" w:firstLine="284"/>
            <w:jc w:val="right"/>
            <w:rPr>
              <w:rFonts w:ascii="Palatino Linotype" w:hAnsi="Palatino Linotype" w:cs="Arial"/>
              <w:b/>
              <w:szCs w:val="20"/>
            </w:rPr>
          </w:pPr>
          <w:r w:rsidRPr="001A1892">
            <w:rPr>
              <w:rFonts w:ascii="Palatino Linotype" w:hAnsi="Palatino Linotype" w:cs="Arial"/>
              <w:b/>
              <w:szCs w:val="20"/>
            </w:rPr>
            <w:t>Ayuntamiento de Tlalnepantla de Baz</w:t>
          </w:r>
        </w:p>
      </w:tc>
    </w:tr>
    <w:tr w:rsidR="009B75F4" w14:paraId="2491B567" w14:textId="77777777" w:rsidTr="005D718F">
      <w:trPr>
        <w:trHeight w:val="342"/>
      </w:trPr>
      <w:tc>
        <w:tcPr>
          <w:tcW w:w="5104" w:type="dxa"/>
        </w:tcPr>
        <w:p w14:paraId="0F41A90C" w14:textId="77777777" w:rsidR="009B75F4" w:rsidRPr="00641471" w:rsidRDefault="009B75F4" w:rsidP="005D71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64FEF88A" w14:textId="700EA364" w:rsidR="009B75F4" w:rsidRPr="00641471" w:rsidRDefault="007934F2" w:rsidP="005D718F">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w:t>
          </w:r>
          <w:proofErr w:type="spellEnd"/>
        </w:p>
      </w:tc>
    </w:tr>
    <w:tr w:rsidR="009B75F4" w14:paraId="077C7D75" w14:textId="77777777" w:rsidTr="005D718F">
      <w:trPr>
        <w:trHeight w:val="342"/>
      </w:trPr>
      <w:tc>
        <w:tcPr>
          <w:tcW w:w="5104" w:type="dxa"/>
        </w:tcPr>
        <w:p w14:paraId="04E90025" w14:textId="77777777" w:rsidR="009B75F4" w:rsidRPr="00641471" w:rsidRDefault="009B75F4" w:rsidP="005D71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9B7491B" w14:textId="77777777" w:rsidR="009B75F4" w:rsidRPr="00641471" w:rsidRDefault="009B75F4" w:rsidP="005D718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DE5B3AA" w14:textId="77777777" w:rsidR="009B75F4" w:rsidRPr="00C222C0" w:rsidRDefault="009B75F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EB2A560" wp14:editId="767F1057">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F05CB8"/>
    <w:multiLevelType w:val="hybridMultilevel"/>
    <w:tmpl w:val="11427B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4971ED"/>
    <w:multiLevelType w:val="hybridMultilevel"/>
    <w:tmpl w:val="A738B5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nsid w:val="1F2A3A0A"/>
    <w:multiLevelType w:val="hybridMultilevel"/>
    <w:tmpl w:val="271CCB14"/>
    <w:lvl w:ilvl="0" w:tplc="08B095C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EC08A1"/>
    <w:multiLevelType w:val="hybridMultilevel"/>
    <w:tmpl w:val="4B6C03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F587F21"/>
    <w:multiLevelType w:val="hybridMultilevel"/>
    <w:tmpl w:val="1958A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CF2C4D"/>
    <w:multiLevelType w:val="hybridMultilevel"/>
    <w:tmpl w:val="8834BD4E"/>
    <w:lvl w:ilvl="0" w:tplc="080A000F">
      <w:start w:val="1"/>
      <w:numFmt w:val="decimal"/>
      <w:lvlText w:val="%1."/>
      <w:lvlJc w:val="left"/>
      <w:pPr>
        <w:ind w:left="1374" w:hanging="360"/>
      </w:pPr>
      <w:rPr>
        <w:rFonts w:hint="default"/>
      </w:rPr>
    </w:lvl>
    <w:lvl w:ilvl="1" w:tplc="080A0019" w:tentative="1">
      <w:start w:val="1"/>
      <w:numFmt w:val="lowerLetter"/>
      <w:lvlText w:val="%2."/>
      <w:lvlJc w:val="left"/>
      <w:pPr>
        <w:ind w:left="2094" w:hanging="360"/>
      </w:pPr>
    </w:lvl>
    <w:lvl w:ilvl="2" w:tplc="080A001B" w:tentative="1">
      <w:start w:val="1"/>
      <w:numFmt w:val="lowerRoman"/>
      <w:lvlText w:val="%3."/>
      <w:lvlJc w:val="right"/>
      <w:pPr>
        <w:ind w:left="2814" w:hanging="180"/>
      </w:pPr>
    </w:lvl>
    <w:lvl w:ilvl="3" w:tplc="080A000F" w:tentative="1">
      <w:start w:val="1"/>
      <w:numFmt w:val="decimal"/>
      <w:lvlText w:val="%4."/>
      <w:lvlJc w:val="left"/>
      <w:pPr>
        <w:ind w:left="3534" w:hanging="360"/>
      </w:pPr>
    </w:lvl>
    <w:lvl w:ilvl="4" w:tplc="080A0019" w:tentative="1">
      <w:start w:val="1"/>
      <w:numFmt w:val="lowerLetter"/>
      <w:lvlText w:val="%5."/>
      <w:lvlJc w:val="left"/>
      <w:pPr>
        <w:ind w:left="4254" w:hanging="360"/>
      </w:pPr>
    </w:lvl>
    <w:lvl w:ilvl="5" w:tplc="080A001B" w:tentative="1">
      <w:start w:val="1"/>
      <w:numFmt w:val="lowerRoman"/>
      <w:lvlText w:val="%6."/>
      <w:lvlJc w:val="right"/>
      <w:pPr>
        <w:ind w:left="4974" w:hanging="180"/>
      </w:pPr>
    </w:lvl>
    <w:lvl w:ilvl="6" w:tplc="080A000F" w:tentative="1">
      <w:start w:val="1"/>
      <w:numFmt w:val="decimal"/>
      <w:lvlText w:val="%7."/>
      <w:lvlJc w:val="left"/>
      <w:pPr>
        <w:ind w:left="5694" w:hanging="360"/>
      </w:pPr>
    </w:lvl>
    <w:lvl w:ilvl="7" w:tplc="080A0019" w:tentative="1">
      <w:start w:val="1"/>
      <w:numFmt w:val="lowerLetter"/>
      <w:lvlText w:val="%8."/>
      <w:lvlJc w:val="left"/>
      <w:pPr>
        <w:ind w:left="6414" w:hanging="360"/>
      </w:pPr>
    </w:lvl>
    <w:lvl w:ilvl="8" w:tplc="080A001B" w:tentative="1">
      <w:start w:val="1"/>
      <w:numFmt w:val="lowerRoman"/>
      <w:lvlText w:val="%9."/>
      <w:lvlJc w:val="right"/>
      <w:pPr>
        <w:ind w:left="7134" w:hanging="180"/>
      </w:pPr>
    </w:lvl>
  </w:abstractNum>
  <w:abstractNum w:abstractNumId="1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B434337"/>
    <w:multiLevelType w:val="hybridMultilevel"/>
    <w:tmpl w:val="A738B5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602626"/>
    <w:multiLevelType w:val="hybridMultilevel"/>
    <w:tmpl w:val="8F2C1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D81196"/>
    <w:multiLevelType w:val="hybridMultilevel"/>
    <w:tmpl w:val="5FC699D2"/>
    <w:lvl w:ilvl="0" w:tplc="B5C25F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145B1B"/>
    <w:multiLevelType w:val="hybridMultilevel"/>
    <w:tmpl w:val="A4B8D9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1100ADC"/>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8B670B"/>
    <w:multiLevelType w:val="hybridMultilevel"/>
    <w:tmpl w:val="CD525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8FD7097"/>
    <w:multiLevelType w:val="hybridMultilevel"/>
    <w:tmpl w:val="70B44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5EA55A2"/>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CF22D79"/>
    <w:multiLevelType w:val="hybridMultilevel"/>
    <w:tmpl w:val="4B6C0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24"/>
  </w:num>
  <w:num w:numId="3">
    <w:abstractNumId w:val="15"/>
  </w:num>
  <w:num w:numId="4">
    <w:abstractNumId w:val="20"/>
  </w:num>
  <w:num w:numId="5">
    <w:abstractNumId w:val="3"/>
  </w:num>
  <w:num w:numId="6">
    <w:abstractNumId w:val="13"/>
  </w:num>
  <w:num w:numId="7">
    <w:abstractNumId w:val="8"/>
  </w:num>
  <w:num w:numId="8">
    <w:abstractNumId w:val="12"/>
  </w:num>
  <w:num w:numId="9">
    <w:abstractNumId w:val="11"/>
  </w:num>
  <w:num w:numId="10">
    <w:abstractNumId w:val="16"/>
  </w:num>
  <w:num w:numId="11">
    <w:abstractNumId w:val="7"/>
  </w:num>
  <w:num w:numId="12">
    <w:abstractNumId w:val="25"/>
  </w:num>
  <w:num w:numId="13">
    <w:abstractNumId w:val="21"/>
  </w:num>
  <w:num w:numId="14">
    <w:abstractNumId w:val="10"/>
  </w:num>
  <w:num w:numId="15">
    <w:abstractNumId w:val="18"/>
  </w:num>
  <w:num w:numId="16">
    <w:abstractNumId w:val="23"/>
  </w:num>
  <w:num w:numId="17">
    <w:abstractNumId w:val="2"/>
  </w:num>
  <w:num w:numId="18">
    <w:abstractNumId w:val="6"/>
  </w:num>
  <w:num w:numId="19">
    <w:abstractNumId w:val="4"/>
  </w:num>
  <w:num w:numId="20">
    <w:abstractNumId w:val="0"/>
  </w:num>
  <w:num w:numId="21">
    <w:abstractNumId w:val="17"/>
  </w:num>
  <w:num w:numId="22">
    <w:abstractNumId w:val="14"/>
  </w:num>
  <w:num w:numId="23">
    <w:abstractNumId w:val="5"/>
  </w:num>
  <w:num w:numId="24">
    <w:abstractNumId w:val="22"/>
  </w:num>
  <w:num w:numId="25">
    <w:abstractNumId w:val="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D3"/>
    <w:rsid w:val="000230E7"/>
    <w:rsid w:val="000527B5"/>
    <w:rsid w:val="000566DC"/>
    <w:rsid w:val="00060C72"/>
    <w:rsid w:val="00081DA2"/>
    <w:rsid w:val="00083D53"/>
    <w:rsid w:val="000959CF"/>
    <w:rsid w:val="000A6C5E"/>
    <w:rsid w:val="000A754B"/>
    <w:rsid w:val="000D7FFB"/>
    <w:rsid w:val="000F6907"/>
    <w:rsid w:val="001015CB"/>
    <w:rsid w:val="00120A18"/>
    <w:rsid w:val="00121856"/>
    <w:rsid w:val="00121FE8"/>
    <w:rsid w:val="001272D3"/>
    <w:rsid w:val="00144CCF"/>
    <w:rsid w:val="00145E01"/>
    <w:rsid w:val="00161DA7"/>
    <w:rsid w:val="00166C78"/>
    <w:rsid w:val="0017363B"/>
    <w:rsid w:val="00190500"/>
    <w:rsid w:val="00196677"/>
    <w:rsid w:val="001A1892"/>
    <w:rsid w:val="001B1DAB"/>
    <w:rsid w:val="001B4381"/>
    <w:rsid w:val="001C7266"/>
    <w:rsid w:val="001E5B20"/>
    <w:rsid w:val="001E5FD2"/>
    <w:rsid w:val="001F7320"/>
    <w:rsid w:val="00200685"/>
    <w:rsid w:val="00211E52"/>
    <w:rsid w:val="002157E3"/>
    <w:rsid w:val="00235527"/>
    <w:rsid w:val="00241E8D"/>
    <w:rsid w:val="00244429"/>
    <w:rsid w:val="002467C0"/>
    <w:rsid w:val="00263AED"/>
    <w:rsid w:val="00272DC3"/>
    <w:rsid w:val="00273320"/>
    <w:rsid w:val="00293FC0"/>
    <w:rsid w:val="002A1673"/>
    <w:rsid w:val="002A2C27"/>
    <w:rsid w:val="002A46FA"/>
    <w:rsid w:val="002C275E"/>
    <w:rsid w:val="002C4A51"/>
    <w:rsid w:val="002D392B"/>
    <w:rsid w:val="002F0C9E"/>
    <w:rsid w:val="002F7F01"/>
    <w:rsid w:val="0032073A"/>
    <w:rsid w:val="00324256"/>
    <w:rsid w:val="0032584F"/>
    <w:rsid w:val="00325F34"/>
    <w:rsid w:val="00332587"/>
    <w:rsid w:val="00334A15"/>
    <w:rsid w:val="00351817"/>
    <w:rsid w:val="00355F97"/>
    <w:rsid w:val="00357AAD"/>
    <w:rsid w:val="0036684A"/>
    <w:rsid w:val="003679FF"/>
    <w:rsid w:val="00375A79"/>
    <w:rsid w:val="00375C3E"/>
    <w:rsid w:val="00393F3D"/>
    <w:rsid w:val="003A45B1"/>
    <w:rsid w:val="003E1925"/>
    <w:rsid w:val="003E2476"/>
    <w:rsid w:val="003F2A80"/>
    <w:rsid w:val="00403237"/>
    <w:rsid w:val="00407103"/>
    <w:rsid w:val="00412EB1"/>
    <w:rsid w:val="004173C7"/>
    <w:rsid w:val="00426765"/>
    <w:rsid w:val="00441A4E"/>
    <w:rsid w:val="0046021B"/>
    <w:rsid w:val="00461D51"/>
    <w:rsid w:val="004620FD"/>
    <w:rsid w:val="0046692B"/>
    <w:rsid w:val="00482FB5"/>
    <w:rsid w:val="004902B2"/>
    <w:rsid w:val="004929A2"/>
    <w:rsid w:val="004A1873"/>
    <w:rsid w:val="004A3733"/>
    <w:rsid w:val="004B280E"/>
    <w:rsid w:val="004D7D6E"/>
    <w:rsid w:val="004E5852"/>
    <w:rsid w:val="00507BC5"/>
    <w:rsid w:val="00527A19"/>
    <w:rsid w:val="00536BD3"/>
    <w:rsid w:val="00544923"/>
    <w:rsid w:val="00564938"/>
    <w:rsid w:val="005679A7"/>
    <w:rsid w:val="00584507"/>
    <w:rsid w:val="005962CE"/>
    <w:rsid w:val="005A33F0"/>
    <w:rsid w:val="005D248A"/>
    <w:rsid w:val="005D718F"/>
    <w:rsid w:val="005E1EAB"/>
    <w:rsid w:val="005E48FD"/>
    <w:rsid w:val="005E4B09"/>
    <w:rsid w:val="005F379F"/>
    <w:rsid w:val="006020E3"/>
    <w:rsid w:val="006214F7"/>
    <w:rsid w:val="00625300"/>
    <w:rsid w:val="00632F39"/>
    <w:rsid w:val="00651838"/>
    <w:rsid w:val="00677F18"/>
    <w:rsid w:val="00686B85"/>
    <w:rsid w:val="006B29AB"/>
    <w:rsid w:val="006C0AB5"/>
    <w:rsid w:val="006C7881"/>
    <w:rsid w:val="006E5224"/>
    <w:rsid w:val="006E61D1"/>
    <w:rsid w:val="006F0CB5"/>
    <w:rsid w:val="006F1B35"/>
    <w:rsid w:val="0071601B"/>
    <w:rsid w:val="00734D77"/>
    <w:rsid w:val="007370BD"/>
    <w:rsid w:val="00737207"/>
    <w:rsid w:val="0074531B"/>
    <w:rsid w:val="00783198"/>
    <w:rsid w:val="007856FA"/>
    <w:rsid w:val="00786E18"/>
    <w:rsid w:val="007934F2"/>
    <w:rsid w:val="007A0DDA"/>
    <w:rsid w:val="007D246D"/>
    <w:rsid w:val="007E2B53"/>
    <w:rsid w:val="00805ED0"/>
    <w:rsid w:val="008108F9"/>
    <w:rsid w:val="008115C2"/>
    <w:rsid w:val="00811F34"/>
    <w:rsid w:val="008307AE"/>
    <w:rsid w:val="008332DD"/>
    <w:rsid w:val="00845596"/>
    <w:rsid w:val="00870B9E"/>
    <w:rsid w:val="008B2D85"/>
    <w:rsid w:val="008B719F"/>
    <w:rsid w:val="008B77EB"/>
    <w:rsid w:val="008C3644"/>
    <w:rsid w:val="008D2F4E"/>
    <w:rsid w:val="008F18EA"/>
    <w:rsid w:val="00941248"/>
    <w:rsid w:val="00943C52"/>
    <w:rsid w:val="009505F5"/>
    <w:rsid w:val="00955CAF"/>
    <w:rsid w:val="0097161F"/>
    <w:rsid w:val="0097648F"/>
    <w:rsid w:val="0097787E"/>
    <w:rsid w:val="00977EC7"/>
    <w:rsid w:val="00993C80"/>
    <w:rsid w:val="00996DBF"/>
    <w:rsid w:val="009B683E"/>
    <w:rsid w:val="009B75F4"/>
    <w:rsid w:val="009C40CF"/>
    <w:rsid w:val="009C412C"/>
    <w:rsid w:val="00A02AC0"/>
    <w:rsid w:val="00A04634"/>
    <w:rsid w:val="00A36AF9"/>
    <w:rsid w:val="00A4412B"/>
    <w:rsid w:val="00A64B53"/>
    <w:rsid w:val="00A8722C"/>
    <w:rsid w:val="00A94468"/>
    <w:rsid w:val="00AA05FC"/>
    <w:rsid w:val="00AA4403"/>
    <w:rsid w:val="00AD553B"/>
    <w:rsid w:val="00B0679E"/>
    <w:rsid w:val="00B32499"/>
    <w:rsid w:val="00B33562"/>
    <w:rsid w:val="00B41C37"/>
    <w:rsid w:val="00B44A3D"/>
    <w:rsid w:val="00B44C6B"/>
    <w:rsid w:val="00B561B1"/>
    <w:rsid w:val="00B561DA"/>
    <w:rsid w:val="00B70840"/>
    <w:rsid w:val="00B7310E"/>
    <w:rsid w:val="00B97083"/>
    <w:rsid w:val="00BC7F97"/>
    <w:rsid w:val="00BD3B9E"/>
    <w:rsid w:val="00BD7B0D"/>
    <w:rsid w:val="00BE4750"/>
    <w:rsid w:val="00BF77BF"/>
    <w:rsid w:val="00C03C09"/>
    <w:rsid w:val="00C065F6"/>
    <w:rsid w:val="00C22841"/>
    <w:rsid w:val="00C242D9"/>
    <w:rsid w:val="00C26D2F"/>
    <w:rsid w:val="00C93A4B"/>
    <w:rsid w:val="00C94D61"/>
    <w:rsid w:val="00CA0D1F"/>
    <w:rsid w:val="00CA2B06"/>
    <w:rsid w:val="00CA67C5"/>
    <w:rsid w:val="00CC0028"/>
    <w:rsid w:val="00CC0FAA"/>
    <w:rsid w:val="00CD1F85"/>
    <w:rsid w:val="00CE1B24"/>
    <w:rsid w:val="00CE652B"/>
    <w:rsid w:val="00D05256"/>
    <w:rsid w:val="00D1068C"/>
    <w:rsid w:val="00D1338C"/>
    <w:rsid w:val="00D14D87"/>
    <w:rsid w:val="00D26474"/>
    <w:rsid w:val="00D319D3"/>
    <w:rsid w:val="00D35E00"/>
    <w:rsid w:val="00D44564"/>
    <w:rsid w:val="00D50BEF"/>
    <w:rsid w:val="00D702F0"/>
    <w:rsid w:val="00D86DD6"/>
    <w:rsid w:val="00DA3434"/>
    <w:rsid w:val="00DC52AC"/>
    <w:rsid w:val="00DF27AA"/>
    <w:rsid w:val="00E10EB4"/>
    <w:rsid w:val="00E12FA2"/>
    <w:rsid w:val="00E14804"/>
    <w:rsid w:val="00E17734"/>
    <w:rsid w:val="00E50905"/>
    <w:rsid w:val="00E55F4E"/>
    <w:rsid w:val="00E578E7"/>
    <w:rsid w:val="00E92575"/>
    <w:rsid w:val="00E93432"/>
    <w:rsid w:val="00EA396D"/>
    <w:rsid w:val="00EA3B15"/>
    <w:rsid w:val="00EC50E7"/>
    <w:rsid w:val="00EE37CF"/>
    <w:rsid w:val="00F1745E"/>
    <w:rsid w:val="00F37125"/>
    <w:rsid w:val="00F37B8E"/>
    <w:rsid w:val="00F40025"/>
    <w:rsid w:val="00F8787B"/>
    <w:rsid w:val="00F95BBB"/>
    <w:rsid w:val="00FB14CE"/>
    <w:rsid w:val="00FC0CFB"/>
    <w:rsid w:val="00FC25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218C12"/>
  <w15:chartTrackingRefBased/>
  <w15:docId w15:val="{6102FF74-0DED-423F-AB6C-F63ACCB6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2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72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272D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272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272D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272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272D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272D3"/>
  </w:style>
  <w:style w:type="character" w:styleId="Hipervnculo">
    <w:name w:val="Hyperlink"/>
    <w:aliases w:val="Hipervínculo1,Hipervínculo11,Hipervínculo12,Hipervínculo13,Hipervínculo14,Hipervínculo15"/>
    <w:basedOn w:val="Fuentedeprrafopredeter"/>
    <w:uiPriority w:val="99"/>
    <w:unhideWhenUsed/>
    <w:rsid w:val="001272D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272D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272D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272D3"/>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686B85"/>
    <w:pPr>
      <w:spacing w:after="0" w:line="240" w:lineRule="auto"/>
    </w:pPr>
  </w:style>
  <w:style w:type="character" w:customStyle="1" w:styleId="SinespaciadoCar">
    <w:name w:val="Sin espaciado Car"/>
    <w:aliases w:val="Francesa Car,INAI Car"/>
    <w:link w:val="Sinespaciado"/>
    <w:uiPriority w:val="1"/>
    <w:locked/>
    <w:rsid w:val="00686B85"/>
  </w:style>
  <w:style w:type="paragraph" w:styleId="Textodeglobo">
    <w:name w:val="Balloon Text"/>
    <w:basedOn w:val="Normal"/>
    <w:link w:val="TextodegloboCar"/>
    <w:uiPriority w:val="99"/>
    <w:semiHidden/>
    <w:unhideWhenUsed/>
    <w:rsid w:val="00D133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38C"/>
    <w:rPr>
      <w:rFonts w:ascii="Segoe UI" w:hAnsi="Segoe UI" w:cs="Segoe UI"/>
      <w:sz w:val="18"/>
      <w:szCs w:val="18"/>
    </w:rPr>
  </w:style>
  <w:style w:type="character" w:styleId="Refdecomentario">
    <w:name w:val="annotation reference"/>
    <w:basedOn w:val="Fuentedeprrafopredeter"/>
    <w:uiPriority w:val="99"/>
    <w:semiHidden/>
    <w:unhideWhenUsed/>
    <w:rsid w:val="00196677"/>
    <w:rPr>
      <w:sz w:val="16"/>
      <w:szCs w:val="16"/>
    </w:rPr>
  </w:style>
  <w:style w:type="paragraph" w:styleId="Textocomentario">
    <w:name w:val="annotation text"/>
    <w:basedOn w:val="Normal"/>
    <w:link w:val="TextocomentarioCar"/>
    <w:uiPriority w:val="99"/>
    <w:semiHidden/>
    <w:unhideWhenUsed/>
    <w:rsid w:val="001966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677"/>
    <w:rPr>
      <w:sz w:val="20"/>
      <w:szCs w:val="20"/>
    </w:rPr>
  </w:style>
  <w:style w:type="paragraph" w:styleId="Asuntodelcomentario">
    <w:name w:val="annotation subject"/>
    <w:basedOn w:val="Textocomentario"/>
    <w:next w:val="Textocomentario"/>
    <w:link w:val="AsuntodelcomentarioCar"/>
    <w:uiPriority w:val="99"/>
    <w:semiHidden/>
    <w:unhideWhenUsed/>
    <w:rsid w:val="00196677"/>
    <w:rPr>
      <w:b/>
      <w:bCs/>
    </w:rPr>
  </w:style>
  <w:style w:type="character" w:customStyle="1" w:styleId="AsuntodelcomentarioCar">
    <w:name w:val="Asunto del comentario Car"/>
    <w:basedOn w:val="TextocomentarioCar"/>
    <w:link w:val="Asuntodelcomentario"/>
    <w:uiPriority w:val="99"/>
    <w:semiHidden/>
    <w:rsid w:val="00196677"/>
    <w:rPr>
      <w:b/>
      <w:bCs/>
      <w:sz w:val="20"/>
      <w:szCs w:val="20"/>
    </w:rPr>
  </w:style>
  <w:style w:type="paragraph" w:customStyle="1" w:styleId="Citas">
    <w:name w:val="Citas"/>
    <w:basedOn w:val="Normal"/>
    <w:qFormat/>
    <w:rsid w:val="00941248"/>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CC0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870B9E"/>
    <w:rPr>
      <w:b/>
      <w:bCs/>
    </w:rPr>
  </w:style>
  <w:style w:type="character" w:styleId="Hipervnculovisitado">
    <w:name w:val="FollowedHyperlink"/>
    <w:basedOn w:val="Fuentedeprrafopredeter"/>
    <w:uiPriority w:val="99"/>
    <w:semiHidden/>
    <w:unhideWhenUsed/>
    <w:rsid w:val="003E24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23427">
      <w:bodyDiv w:val="1"/>
      <w:marLeft w:val="0"/>
      <w:marRight w:val="0"/>
      <w:marTop w:val="0"/>
      <w:marBottom w:val="0"/>
      <w:divBdr>
        <w:top w:val="none" w:sz="0" w:space="0" w:color="auto"/>
        <w:left w:val="none" w:sz="0" w:space="0" w:color="auto"/>
        <w:bottom w:val="none" w:sz="0" w:space="0" w:color="auto"/>
        <w:right w:val="none" w:sz="0" w:space="0" w:color="auto"/>
      </w:divBdr>
    </w:div>
    <w:div w:id="181667945">
      <w:bodyDiv w:val="1"/>
      <w:marLeft w:val="0"/>
      <w:marRight w:val="0"/>
      <w:marTop w:val="0"/>
      <w:marBottom w:val="0"/>
      <w:divBdr>
        <w:top w:val="none" w:sz="0" w:space="0" w:color="auto"/>
        <w:left w:val="none" w:sz="0" w:space="0" w:color="auto"/>
        <w:bottom w:val="none" w:sz="0" w:space="0" w:color="auto"/>
        <w:right w:val="none" w:sz="0" w:space="0" w:color="auto"/>
      </w:divBdr>
    </w:div>
    <w:div w:id="493108450">
      <w:bodyDiv w:val="1"/>
      <w:marLeft w:val="0"/>
      <w:marRight w:val="0"/>
      <w:marTop w:val="0"/>
      <w:marBottom w:val="0"/>
      <w:divBdr>
        <w:top w:val="none" w:sz="0" w:space="0" w:color="auto"/>
        <w:left w:val="none" w:sz="0" w:space="0" w:color="auto"/>
        <w:bottom w:val="none" w:sz="0" w:space="0" w:color="auto"/>
        <w:right w:val="none" w:sz="0" w:space="0" w:color="auto"/>
      </w:divBdr>
    </w:div>
    <w:div w:id="531457490">
      <w:bodyDiv w:val="1"/>
      <w:marLeft w:val="0"/>
      <w:marRight w:val="0"/>
      <w:marTop w:val="0"/>
      <w:marBottom w:val="0"/>
      <w:divBdr>
        <w:top w:val="none" w:sz="0" w:space="0" w:color="auto"/>
        <w:left w:val="none" w:sz="0" w:space="0" w:color="auto"/>
        <w:bottom w:val="none" w:sz="0" w:space="0" w:color="auto"/>
        <w:right w:val="none" w:sz="0" w:space="0" w:color="auto"/>
      </w:divBdr>
    </w:div>
    <w:div w:id="753431125">
      <w:bodyDiv w:val="1"/>
      <w:marLeft w:val="0"/>
      <w:marRight w:val="0"/>
      <w:marTop w:val="0"/>
      <w:marBottom w:val="0"/>
      <w:divBdr>
        <w:top w:val="none" w:sz="0" w:space="0" w:color="auto"/>
        <w:left w:val="none" w:sz="0" w:space="0" w:color="auto"/>
        <w:bottom w:val="none" w:sz="0" w:space="0" w:color="auto"/>
        <w:right w:val="none" w:sz="0" w:space="0" w:color="auto"/>
      </w:divBdr>
    </w:div>
    <w:div w:id="832449373">
      <w:bodyDiv w:val="1"/>
      <w:marLeft w:val="0"/>
      <w:marRight w:val="0"/>
      <w:marTop w:val="0"/>
      <w:marBottom w:val="0"/>
      <w:divBdr>
        <w:top w:val="none" w:sz="0" w:space="0" w:color="auto"/>
        <w:left w:val="none" w:sz="0" w:space="0" w:color="auto"/>
        <w:bottom w:val="none" w:sz="0" w:space="0" w:color="auto"/>
        <w:right w:val="none" w:sz="0" w:space="0" w:color="auto"/>
      </w:divBdr>
    </w:div>
    <w:div w:id="994526628">
      <w:bodyDiv w:val="1"/>
      <w:marLeft w:val="0"/>
      <w:marRight w:val="0"/>
      <w:marTop w:val="0"/>
      <w:marBottom w:val="0"/>
      <w:divBdr>
        <w:top w:val="none" w:sz="0" w:space="0" w:color="auto"/>
        <w:left w:val="none" w:sz="0" w:space="0" w:color="auto"/>
        <w:bottom w:val="none" w:sz="0" w:space="0" w:color="auto"/>
        <w:right w:val="none" w:sz="0" w:space="0" w:color="auto"/>
      </w:divBdr>
    </w:div>
    <w:div w:id="1162042273">
      <w:bodyDiv w:val="1"/>
      <w:marLeft w:val="0"/>
      <w:marRight w:val="0"/>
      <w:marTop w:val="0"/>
      <w:marBottom w:val="0"/>
      <w:divBdr>
        <w:top w:val="none" w:sz="0" w:space="0" w:color="auto"/>
        <w:left w:val="none" w:sz="0" w:space="0" w:color="auto"/>
        <w:bottom w:val="none" w:sz="0" w:space="0" w:color="auto"/>
        <w:right w:val="none" w:sz="0" w:space="0" w:color="auto"/>
      </w:divBdr>
    </w:div>
    <w:div w:id="18741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46</Pages>
  <Words>11511</Words>
  <Characters>63314</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2022-03-17T05:09:00Z</dcterms:created>
  <dcterms:modified xsi:type="dcterms:W3CDTF">2022-04-04T19:38:00Z</dcterms:modified>
</cp:coreProperties>
</file>