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B664" w14:textId="40E3F9A1" w:rsidR="007D5504" w:rsidRDefault="0023391B">
      <w:pPr>
        <w:spacing w:before="240" w:after="240" w:line="360" w:lineRule="auto"/>
        <w:jc w:val="both"/>
        <w:rPr>
          <w:rFonts w:ascii="Palatino Linotype" w:eastAsia="Palatino Linotype" w:hAnsi="Palatino Linotype" w:cs="Palatino Linotype"/>
          <w:b/>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Pr>
          <w:rFonts w:ascii="Palatino Linotype" w:eastAsia="Palatino Linotype" w:hAnsi="Palatino Linotype" w:cs="Palatino Linotype"/>
          <w:b/>
        </w:rPr>
        <w:t>seis de ju</w:t>
      </w:r>
      <w:r w:rsidR="005A1882">
        <w:rPr>
          <w:rFonts w:ascii="Palatino Linotype" w:eastAsia="Palatino Linotype" w:hAnsi="Palatino Linotype" w:cs="Palatino Linotype"/>
          <w:b/>
        </w:rPr>
        <w:t>l</w:t>
      </w:r>
      <w:r>
        <w:rPr>
          <w:rFonts w:ascii="Palatino Linotype" w:eastAsia="Palatino Linotype" w:hAnsi="Palatino Linotype" w:cs="Palatino Linotype"/>
          <w:b/>
        </w:rPr>
        <w:t>io del dos mil veintidós</w:t>
      </w:r>
      <w:r>
        <w:rPr>
          <w:rFonts w:ascii="Palatino Linotype" w:eastAsia="Palatino Linotype" w:hAnsi="Palatino Linotype" w:cs="Palatino Linotype"/>
        </w:rPr>
        <w:t>.</w:t>
      </w:r>
    </w:p>
    <w:p w14:paraId="09440FAB" w14:textId="676563E0" w:rsidR="007D5504" w:rsidRDefault="0023391B">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03914/INFOEM/IP/RR/2022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 xml:space="preserve">el C. </w:t>
      </w:r>
      <w:proofErr w:type="spellStart"/>
      <w:r w:rsidR="00CA4080" w:rsidRPr="00CA4080">
        <w:rPr>
          <w:rFonts w:ascii="Palatino Linotype" w:eastAsia="Palatino Linotype" w:hAnsi="Palatino Linotype" w:cs="Palatino Linotype"/>
          <w:b/>
        </w:rPr>
        <w:t>Xxxxxx</w:t>
      </w:r>
      <w:proofErr w:type="spellEnd"/>
      <w:r w:rsidR="00CA4080" w:rsidRPr="00CA4080">
        <w:rPr>
          <w:rFonts w:ascii="Palatino Linotype" w:eastAsia="Palatino Linotype" w:hAnsi="Palatino Linotype" w:cs="Palatino Linotype"/>
          <w:b/>
        </w:rPr>
        <w:t xml:space="preserve"> </w:t>
      </w:r>
      <w:proofErr w:type="spellStart"/>
      <w:r w:rsidR="00CA4080" w:rsidRPr="00CA4080">
        <w:rPr>
          <w:rFonts w:ascii="Palatino Linotype" w:eastAsia="Palatino Linotype" w:hAnsi="Palatino Linotype" w:cs="Palatino Linotype"/>
          <w:b/>
        </w:rPr>
        <w:t>Xxxxxxxxx</w:t>
      </w:r>
      <w:proofErr w:type="spellEnd"/>
      <w:r w:rsidR="00CA4080" w:rsidRPr="00CA4080">
        <w:rPr>
          <w:rFonts w:ascii="Palatino Linotype" w:eastAsia="Palatino Linotype" w:hAnsi="Palatino Linotype" w:cs="Palatino Linotype"/>
          <w:b/>
        </w:rPr>
        <w:t xml:space="preserve"> </w:t>
      </w:r>
      <w:proofErr w:type="spellStart"/>
      <w:r w:rsidR="00CA4080" w:rsidRPr="00CA4080">
        <w:rPr>
          <w:rFonts w:ascii="Palatino Linotype" w:eastAsia="Palatino Linotype" w:hAnsi="Palatino Linotype" w:cs="Palatino Linotype"/>
          <w:b/>
        </w:rPr>
        <w:t>Xxxxxxx</w:t>
      </w:r>
      <w:proofErr w:type="spellEnd"/>
      <w:r w:rsidRPr="00CA4080">
        <w:rPr>
          <w:rFonts w:ascii="Palatino Linotype" w:eastAsia="Palatino Linotype" w:hAnsi="Palatino Linotype" w:cs="Palatino Linotype"/>
          <w:b/>
        </w:rPr>
        <w:t>,</w:t>
      </w:r>
      <w:r w:rsidRPr="00CA4080">
        <w:rPr>
          <w:rFonts w:ascii="Palatino Linotype" w:eastAsia="Palatino Linotype" w:hAnsi="Palatino Linotype" w:cs="Palatino Linotype"/>
        </w:rPr>
        <w:t xml:space="preserve"> a quien en lo</w:t>
      </w:r>
      <w:r>
        <w:rPr>
          <w:rFonts w:ascii="Palatino Linotype" w:eastAsia="Palatino Linotype" w:hAnsi="Palatino Linotype" w:cs="Palatino Linotype"/>
        </w:rPr>
        <w:t xml:space="preserve"> sucesivo se le denominará </w:t>
      </w:r>
      <w:r>
        <w:rPr>
          <w:rFonts w:ascii="Palatino Linotype" w:eastAsia="Palatino Linotype" w:hAnsi="Palatino Linotype" w:cs="Palatino Linotype"/>
          <w:b/>
        </w:rPr>
        <w:t>la parte</w:t>
      </w:r>
      <w:r>
        <w:rPr>
          <w:rFonts w:ascii="Palatino Linotype" w:eastAsia="Palatino Linotype" w:hAnsi="Palatino Linotype" w:cs="Palatino Linotype"/>
          <w:b/>
          <w:i/>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en contra de la respuesta a su solicitud de información con número de folio</w:t>
      </w:r>
      <w:r>
        <w:rPr>
          <w:rFonts w:ascii="Verdana" w:eastAsia="Verdana" w:hAnsi="Verdana" w:cs="Verdana"/>
          <w:b/>
          <w:color w:val="FF0000"/>
        </w:rPr>
        <w:t> </w:t>
      </w:r>
      <w:r>
        <w:rPr>
          <w:rFonts w:ascii="Palatino Linotype" w:eastAsia="Palatino Linotype" w:hAnsi="Palatino Linotype" w:cs="Palatino Linotype"/>
          <w:b/>
          <w:sz w:val="22"/>
          <w:szCs w:val="22"/>
        </w:rPr>
        <w:t>00025/TECAMAC/IP/2022</w:t>
      </w:r>
      <w:r>
        <w:rPr>
          <w:rFonts w:ascii="Palatino Linotype" w:eastAsia="Palatino Linotype" w:hAnsi="Palatino Linotype" w:cs="Palatino Linotype"/>
          <w:b/>
        </w:rPr>
        <w:t>,</w:t>
      </w:r>
      <w:r>
        <w:rPr>
          <w:rFonts w:ascii="Palatino Linotype" w:eastAsia="Palatino Linotype" w:hAnsi="Palatino Linotype" w:cs="Palatino Linotype"/>
        </w:rPr>
        <w:t xml:space="preserve"> otorgada por el </w:t>
      </w:r>
      <w:r>
        <w:rPr>
          <w:rFonts w:ascii="Palatino Linotype" w:eastAsia="Palatino Linotype" w:hAnsi="Palatino Linotype" w:cs="Palatino Linotype"/>
          <w:b/>
        </w:rPr>
        <w:t>Ayuntamiento de Tecámac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14:paraId="1319D7FC" w14:textId="77777777" w:rsidR="007D5504" w:rsidRDefault="0023391B">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14:paraId="617F8F40" w14:textId="77777777" w:rsidR="007D5504" w:rsidRDefault="0023391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Con fecha veintinueve</w:t>
      </w:r>
      <w:r>
        <w:rPr>
          <w:rFonts w:ascii="Palatino Linotype" w:eastAsia="Palatino Linotype" w:hAnsi="Palatino Linotype" w:cs="Palatino Linotype"/>
          <w:b/>
        </w:rPr>
        <w:t xml:space="preserve"> de enero del dos mil veintiuno,</w:t>
      </w:r>
      <w:r>
        <w:rPr>
          <w:rFonts w:ascii="Palatino Linotype" w:eastAsia="Palatino Linotype" w:hAnsi="Palatino Linotype" w:cs="Palatino Linotype"/>
        </w:rPr>
        <w:t xml:space="preserve"> la ahora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14:paraId="75A766A2" w14:textId="77777777" w:rsidR="007D5504" w:rsidRDefault="0023391B">
      <w:pPr>
        <w:spacing w:before="240"/>
        <w:ind w:left="851" w:right="902"/>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“Solicito se me informe si existe Licencia, permiso, autorización y/o cualquier otro documento mediante el cual se haya autorizado modificación y/o ampliación a la construcción o edificación del inmueble ubicado en Sector 20, </w:t>
      </w:r>
      <w:proofErr w:type="spellStart"/>
      <w:r>
        <w:rPr>
          <w:rFonts w:ascii="Palatino Linotype" w:eastAsia="Palatino Linotype" w:hAnsi="Palatino Linotype" w:cs="Palatino Linotype"/>
          <w:i/>
          <w:sz w:val="22"/>
          <w:szCs w:val="22"/>
        </w:rPr>
        <w:t>Mz</w:t>
      </w:r>
      <w:proofErr w:type="spellEnd"/>
      <w:r>
        <w:rPr>
          <w:rFonts w:ascii="Palatino Linotype" w:eastAsia="Palatino Linotype" w:hAnsi="Palatino Linotype" w:cs="Palatino Linotype"/>
          <w:i/>
          <w:sz w:val="22"/>
          <w:szCs w:val="22"/>
        </w:rPr>
        <w:t xml:space="preserve"> 55, </w:t>
      </w:r>
      <w:proofErr w:type="spellStart"/>
      <w:r>
        <w:rPr>
          <w:rFonts w:ascii="Palatino Linotype" w:eastAsia="Palatino Linotype" w:hAnsi="Palatino Linotype" w:cs="Palatino Linotype"/>
          <w:i/>
          <w:sz w:val="22"/>
          <w:szCs w:val="22"/>
        </w:rPr>
        <w:t>Lt</w:t>
      </w:r>
      <w:proofErr w:type="spellEnd"/>
      <w:r>
        <w:rPr>
          <w:rFonts w:ascii="Palatino Linotype" w:eastAsia="Palatino Linotype" w:hAnsi="Palatino Linotype" w:cs="Palatino Linotype"/>
          <w:i/>
          <w:sz w:val="22"/>
          <w:szCs w:val="22"/>
        </w:rPr>
        <w:t xml:space="preserve"> 24, casa 2, Fraccionamiento Héroes </w:t>
      </w:r>
      <w:proofErr w:type="spellStart"/>
      <w:r>
        <w:rPr>
          <w:rFonts w:ascii="Palatino Linotype" w:eastAsia="Palatino Linotype" w:hAnsi="Palatino Linotype" w:cs="Palatino Linotype"/>
          <w:i/>
          <w:sz w:val="22"/>
          <w:szCs w:val="22"/>
        </w:rPr>
        <w:t>Tecamac</w:t>
      </w:r>
      <w:proofErr w:type="spellEnd"/>
      <w:r>
        <w:rPr>
          <w:rFonts w:ascii="Palatino Linotype" w:eastAsia="Palatino Linotype" w:hAnsi="Palatino Linotype" w:cs="Palatino Linotype"/>
          <w:i/>
          <w:sz w:val="22"/>
          <w:szCs w:val="22"/>
        </w:rPr>
        <w:t xml:space="preserve">. (La construcción o edificación a que me refiero es distinta a la original del desarrollador del inmueble). Solicito en versión digital la licencia, permiso, autorización y/o cualquier otro documento mediante el cual se haya autorizado la construcción o edificación del inmueble ubicado en Sector 20, </w:t>
      </w:r>
      <w:proofErr w:type="spellStart"/>
      <w:r>
        <w:rPr>
          <w:rFonts w:ascii="Palatino Linotype" w:eastAsia="Palatino Linotype" w:hAnsi="Palatino Linotype" w:cs="Palatino Linotype"/>
          <w:i/>
          <w:sz w:val="22"/>
          <w:szCs w:val="22"/>
        </w:rPr>
        <w:t>Mz</w:t>
      </w:r>
      <w:proofErr w:type="spellEnd"/>
      <w:r>
        <w:rPr>
          <w:rFonts w:ascii="Palatino Linotype" w:eastAsia="Palatino Linotype" w:hAnsi="Palatino Linotype" w:cs="Palatino Linotype"/>
          <w:i/>
          <w:sz w:val="22"/>
          <w:szCs w:val="22"/>
        </w:rPr>
        <w:t xml:space="preserve"> 55, </w:t>
      </w:r>
      <w:proofErr w:type="spellStart"/>
      <w:r>
        <w:rPr>
          <w:rFonts w:ascii="Palatino Linotype" w:eastAsia="Palatino Linotype" w:hAnsi="Palatino Linotype" w:cs="Palatino Linotype"/>
          <w:i/>
          <w:sz w:val="22"/>
          <w:szCs w:val="22"/>
        </w:rPr>
        <w:t>Lt</w:t>
      </w:r>
      <w:proofErr w:type="spellEnd"/>
      <w:r>
        <w:rPr>
          <w:rFonts w:ascii="Palatino Linotype" w:eastAsia="Palatino Linotype" w:hAnsi="Palatino Linotype" w:cs="Palatino Linotype"/>
          <w:i/>
          <w:sz w:val="22"/>
          <w:szCs w:val="22"/>
        </w:rPr>
        <w:t xml:space="preserve"> 24, casa 2, Fraccionamiento Héroes </w:t>
      </w:r>
      <w:proofErr w:type="spellStart"/>
      <w:r>
        <w:rPr>
          <w:rFonts w:ascii="Palatino Linotype" w:eastAsia="Palatino Linotype" w:hAnsi="Palatino Linotype" w:cs="Palatino Linotype"/>
          <w:i/>
          <w:sz w:val="22"/>
          <w:szCs w:val="22"/>
        </w:rPr>
        <w:t>Tecamac</w:t>
      </w:r>
      <w:proofErr w:type="spellEnd"/>
      <w:r>
        <w:rPr>
          <w:rFonts w:ascii="Palatino Linotype" w:eastAsia="Palatino Linotype" w:hAnsi="Palatino Linotype" w:cs="Palatino Linotype"/>
          <w:i/>
          <w:sz w:val="22"/>
          <w:szCs w:val="22"/>
        </w:rPr>
        <w:t xml:space="preserve">, tanto la original del desarrollador, así como todas aquellas que impliquen una modificación o ampliación en el inmueble, así como la documentación que integra el expediente abierto para tal efecto, tales como solicitud y documentos adjuntos a ésta, documentos que </w:t>
      </w:r>
      <w:proofErr w:type="spellStart"/>
      <w:r>
        <w:rPr>
          <w:rFonts w:ascii="Palatino Linotype" w:eastAsia="Palatino Linotype" w:hAnsi="Palatino Linotype" w:cs="Palatino Linotype"/>
          <w:i/>
          <w:sz w:val="22"/>
          <w:szCs w:val="22"/>
        </w:rPr>
        <w:t>sirivieron</w:t>
      </w:r>
      <w:proofErr w:type="spellEnd"/>
      <w:r>
        <w:rPr>
          <w:rFonts w:ascii="Palatino Linotype" w:eastAsia="Palatino Linotype" w:hAnsi="Palatino Linotype" w:cs="Palatino Linotype"/>
          <w:i/>
          <w:sz w:val="22"/>
          <w:szCs w:val="22"/>
        </w:rPr>
        <w:t xml:space="preserve"> de base para la emisión de la licencia, permiso, autorización y/o documento en comento. Solicito los datos de identificación en versión digital del Director Responsable de Obra, para la emisión de la licencia, </w:t>
      </w:r>
      <w:r>
        <w:rPr>
          <w:rFonts w:ascii="Palatino Linotype" w:eastAsia="Palatino Linotype" w:hAnsi="Palatino Linotype" w:cs="Palatino Linotype"/>
          <w:i/>
          <w:sz w:val="22"/>
          <w:szCs w:val="22"/>
        </w:rPr>
        <w:lastRenderedPageBreak/>
        <w:t xml:space="preserve">permiso, autorización y/o cualquier otro documento mediante el cual se haya autorizado la construcción o edificación del inmueble ubicado en Sector 20, </w:t>
      </w:r>
      <w:proofErr w:type="spellStart"/>
      <w:r>
        <w:rPr>
          <w:rFonts w:ascii="Palatino Linotype" w:eastAsia="Palatino Linotype" w:hAnsi="Palatino Linotype" w:cs="Palatino Linotype"/>
          <w:i/>
          <w:sz w:val="22"/>
          <w:szCs w:val="22"/>
        </w:rPr>
        <w:t>Mz</w:t>
      </w:r>
      <w:proofErr w:type="spellEnd"/>
      <w:r>
        <w:rPr>
          <w:rFonts w:ascii="Palatino Linotype" w:eastAsia="Palatino Linotype" w:hAnsi="Palatino Linotype" w:cs="Palatino Linotype"/>
          <w:i/>
          <w:sz w:val="22"/>
          <w:szCs w:val="22"/>
        </w:rPr>
        <w:t xml:space="preserve"> 55, </w:t>
      </w:r>
      <w:proofErr w:type="spellStart"/>
      <w:r>
        <w:rPr>
          <w:rFonts w:ascii="Palatino Linotype" w:eastAsia="Palatino Linotype" w:hAnsi="Palatino Linotype" w:cs="Palatino Linotype"/>
          <w:i/>
          <w:sz w:val="22"/>
          <w:szCs w:val="22"/>
        </w:rPr>
        <w:t>Lt</w:t>
      </w:r>
      <w:proofErr w:type="spellEnd"/>
      <w:r>
        <w:rPr>
          <w:rFonts w:ascii="Palatino Linotype" w:eastAsia="Palatino Linotype" w:hAnsi="Palatino Linotype" w:cs="Palatino Linotype"/>
          <w:i/>
          <w:sz w:val="22"/>
          <w:szCs w:val="22"/>
        </w:rPr>
        <w:t xml:space="preserve"> 24, casa 2, Fraccionamiento Héroes </w:t>
      </w:r>
      <w:proofErr w:type="spellStart"/>
      <w:r>
        <w:rPr>
          <w:rFonts w:ascii="Palatino Linotype" w:eastAsia="Palatino Linotype" w:hAnsi="Palatino Linotype" w:cs="Palatino Linotype"/>
          <w:i/>
          <w:sz w:val="22"/>
          <w:szCs w:val="22"/>
        </w:rPr>
        <w:t>Tecamac</w:t>
      </w:r>
      <w:proofErr w:type="spellEnd"/>
      <w:r>
        <w:rPr>
          <w:rFonts w:ascii="Palatino Linotype" w:eastAsia="Palatino Linotype" w:hAnsi="Palatino Linotype" w:cs="Palatino Linotype"/>
          <w:i/>
          <w:sz w:val="22"/>
          <w:szCs w:val="22"/>
        </w:rPr>
        <w:t>, tanto la original del desarrollador, así como todas aquellas que impliquen una modificación o ampliación en el inmueble, “(Sic)</w:t>
      </w:r>
    </w:p>
    <w:p w14:paraId="321953A2" w14:textId="77777777" w:rsidR="007D5504" w:rsidRDefault="0023391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 xml:space="preserve">SAIMEX. </w:t>
      </w:r>
    </w:p>
    <w:p w14:paraId="10AA2E38" w14:textId="77777777" w:rsidR="007D5504" w:rsidRDefault="0023391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veintidós de febrero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w:t>
      </w:r>
      <w:r>
        <w:rPr>
          <w:rFonts w:ascii="Palatino Linotype" w:eastAsia="Palatino Linotype" w:hAnsi="Palatino Linotype" w:cs="Palatino Linotype"/>
          <w:b/>
        </w:rPr>
        <w:t>SAIMEX</w:t>
      </w:r>
      <w:r>
        <w:rPr>
          <w:rFonts w:ascii="Palatino Linotype" w:eastAsia="Palatino Linotype" w:hAnsi="Palatino Linotype" w:cs="Palatino Linotype"/>
        </w:rPr>
        <w:t>, respuesta a la solicitud de acceso a la información de la siguiente manera:</w:t>
      </w:r>
    </w:p>
    <w:p w14:paraId="6BBBCEF1" w14:textId="77777777" w:rsidR="007D5504" w:rsidRDefault="0023391B">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atención a lo mencionado con anterioridad, me permito dar contestación a la misma, informando que en términos de lo dispuesto por los artículos 1 fracción VII, 118 fracción I y 231 del Código de Procedimientos Administrativos del Estado de México; 19, 20 fracciones IV y V y 21 de Ley de Transparencia y Acceso a la Información Pública del Estado de México y Municipios, hago de su conocimiento que para tener acceso a dicha información, deberá acreditar su interés jurídico o legítimo bien inmueble en mención, así como acreditar la personalidad, ya que dicha información tiene el carácter de clasificada, lo anterior de conformidad con el cuerpo de leyes mencionadas, esto con la intención de no trastocar derechos de terceros, por lo tanto esta Dirección General está imposibilitada para otorgar lo peticionado por el particular.” (Sic)</w:t>
      </w:r>
    </w:p>
    <w:p w14:paraId="1EFEE106" w14:textId="77777777" w:rsidR="007D5504" w:rsidRDefault="007D5504">
      <w:pPr>
        <w:ind w:left="851" w:right="902"/>
        <w:jc w:val="both"/>
        <w:rPr>
          <w:rFonts w:ascii="Palatino Linotype" w:eastAsia="Palatino Linotype" w:hAnsi="Palatino Linotype" w:cs="Palatino Linotype"/>
          <w:i/>
          <w:sz w:val="22"/>
          <w:szCs w:val="22"/>
        </w:rPr>
      </w:pPr>
    </w:p>
    <w:p w14:paraId="330B6531" w14:textId="77777777" w:rsidR="007D5504" w:rsidRDefault="002339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735E39D" w14:textId="77777777" w:rsidR="007D5504" w:rsidRDefault="007D5504">
      <w:pPr>
        <w:ind w:left="851" w:right="902"/>
        <w:jc w:val="both"/>
        <w:rPr>
          <w:rFonts w:ascii="Palatino Linotype" w:eastAsia="Palatino Linotype" w:hAnsi="Palatino Linotype" w:cs="Palatino Linotype"/>
          <w:sz w:val="22"/>
          <w:szCs w:val="22"/>
        </w:rPr>
      </w:pPr>
    </w:p>
    <w:p w14:paraId="4969DD92" w14:textId="77777777" w:rsidR="007D5504" w:rsidRDefault="007D5504">
      <w:pPr>
        <w:ind w:right="902"/>
        <w:jc w:val="both"/>
        <w:rPr>
          <w:rFonts w:ascii="Palatino Linotype" w:eastAsia="Palatino Linotype" w:hAnsi="Palatino Linotype" w:cs="Palatino Linotype"/>
          <w:sz w:val="22"/>
          <w:szCs w:val="22"/>
        </w:rPr>
      </w:pPr>
    </w:p>
    <w:p w14:paraId="7D65F437" w14:textId="77777777" w:rsidR="007D5504" w:rsidRDefault="0023391B">
      <w:pPr>
        <w:spacing w:after="24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Adjunto a su respuesta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proporcionó los archivos digitales siguientes: </w:t>
      </w:r>
    </w:p>
    <w:p w14:paraId="4B56DB70" w14:textId="77777777" w:rsidR="007D5504" w:rsidRDefault="0023391B">
      <w:pPr>
        <w:numPr>
          <w:ilvl w:val="0"/>
          <w:numId w:val="4"/>
        </w:numPr>
        <w:pBdr>
          <w:top w:val="nil"/>
          <w:left w:val="nil"/>
          <w:bottom w:val="nil"/>
          <w:right w:val="nil"/>
          <w:between w:val="nil"/>
        </w:pBdr>
        <w:spacing w:before="240" w:after="240"/>
        <w:ind w:right="902"/>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25.pdf </w:t>
      </w:r>
      <w:r>
        <w:rPr>
          <w:rFonts w:ascii="Palatino Linotype" w:eastAsia="Palatino Linotype" w:hAnsi="Palatino Linotype" w:cs="Palatino Linotype"/>
          <w:color w:val="000000"/>
        </w:rPr>
        <w:t xml:space="preserve">en su contenido se advierte el oficio TEC/DGPART/62/2022 de fecha veintidós de febrero de la presente anualidad, suscrito por el Director General de Planeación, Administración y Regulación del Territorio, por medio de éste refiere que después de realizar  una búsqueda exhaustiva en los archivos físicos y Digitales de la Dirección </w:t>
      </w:r>
      <w:r>
        <w:rPr>
          <w:rFonts w:ascii="Palatino Linotype" w:eastAsia="Palatino Linotype" w:hAnsi="Palatino Linotype" w:cs="Palatino Linotype"/>
          <w:color w:val="000000"/>
        </w:rPr>
        <w:lastRenderedPageBreak/>
        <w:t xml:space="preserve">de Desarrollo Urbano , área dependiente de la Dirección General, no se encontró Licencia de construcción relacionada con el inmueble ubicado en el sector veinte (20), manzana (55), lote veinticuatro (24), casa (02) del Conjunto Urbano los Héroes de Tecámac.  Sin embargo, en términos de los dispuesto en la Ley en la materia para tener acceso a la información sobre los licenciamientos emitidas por la Dirección sobre algún predio en particular deberá acreditar tener inter jurídico  o legítimo, así como de acreditar su personalidad, ya que dicha información tiene el carácter de clasificada, esto con la </w:t>
      </w:r>
      <w:r>
        <w:rPr>
          <w:rFonts w:ascii="Palatino Linotype" w:eastAsia="Palatino Linotype" w:hAnsi="Palatino Linotype" w:cs="Palatino Linotype"/>
        </w:rPr>
        <w:t>intención</w:t>
      </w:r>
      <w:r>
        <w:rPr>
          <w:rFonts w:ascii="Palatino Linotype" w:eastAsia="Palatino Linotype" w:hAnsi="Palatino Linotype" w:cs="Palatino Linotype"/>
          <w:color w:val="000000"/>
        </w:rPr>
        <w:t xml:space="preserve"> de trastocar derechos de terceros.</w:t>
      </w:r>
    </w:p>
    <w:p w14:paraId="5E2D4275" w14:textId="77777777" w:rsidR="007D5504" w:rsidRDefault="007D5504">
      <w:pPr>
        <w:spacing w:before="240"/>
        <w:ind w:right="902"/>
        <w:jc w:val="both"/>
        <w:rPr>
          <w:rFonts w:ascii="Palatino Linotype" w:eastAsia="Palatino Linotype" w:hAnsi="Palatino Linotype" w:cs="Palatino Linotype"/>
        </w:rPr>
      </w:pPr>
    </w:p>
    <w:p w14:paraId="095B7C7E"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 respuesta recibida,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en fecha catorce de marzo de dos mil veintidós, el presente medio de impugnación expresando las siguientes manifestaciones:</w:t>
      </w:r>
    </w:p>
    <w:p w14:paraId="15C3962A" w14:textId="77777777" w:rsidR="007D5504" w:rsidRDefault="007D5504">
      <w:pPr>
        <w:spacing w:line="360" w:lineRule="auto"/>
        <w:jc w:val="both"/>
        <w:rPr>
          <w:rFonts w:ascii="Palatino Linotype" w:eastAsia="Palatino Linotype" w:hAnsi="Palatino Linotype" w:cs="Palatino Linotype"/>
        </w:rPr>
      </w:pPr>
    </w:p>
    <w:p w14:paraId="0B647911" w14:textId="77777777" w:rsidR="007D5504" w:rsidRDefault="0023391B">
      <w:pPr>
        <w:spacing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2885304F" w14:textId="77777777" w:rsidR="007D5504" w:rsidRDefault="002339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“Respuesta Tecámac, al Folio de la solicitud: 00025/TECAMAC/IP/2022, de fecha 22 de Febrero de 2022.”(Sic)</w:t>
      </w:r>
    </w:p>
    <w:p w14:paraId="189B03D8" w14:textId="77777777" w:rsidR="007D5504" w:rsidRDefault="007D5504">
      <w:pPr>
        <w:ind w:left="851" w:right="902"/>
        <w:jc w:val="both"/>
        <w:rPr>
          <w:rFonts w:ascii="Palatino Linotype" w:eastAsia="Palatino Linotype" w:hAnsi="Palatino Linotype" w:cs="Palatino Linotype"/>
          <w:i/>
          <w:sz w:val="22"/>
          <w:szCs w:val="22"/>
        </w:rPr>
      </w:pPr>
    </w:p>
    <w:p w14:paraId="0DEF3157" w14:textId="77777777" w:rsidR="007D5504" w:rsidRDefault="0023391B">
      <w:pPr>
        <w:spacing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Razones o motivos de inconformidad.</w:t>
      </w:r>
    </w:p>
    <w:p w14:paraId="2C448F1A" w14:textId="77777777" w:rsidR="007D5504" w:rsidRDefault="0023391B" w:rsidP="008E7993">
      <w:pPr>
        <w:spacing w:before="240" w:after="240"/>
        <w:ind w:left="1440" w:hanging="589"/>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t xml:space="preserve">“El acto reclamado viola en perjuicio del suscrito el derecho de acceso a la información, de </w:t>
      </w:r>
      <w:proofErr w:type="spellStart"/>
      <w:r>
        <w:rPr>
          <w:rFonts w:ascii="Palatino Linotype" w:eastAsia="Palatino Linotype" w:hAnsi="Palatino Linotype" w:cs="Palatino Linotype"/>
          <w:i/>
          <w:sz w:val="22"/>
          <w:szCs w:val="22"/>
        </w:rPr>
        <w:t>de</w:t>
      </w:r>
      <w:proofErr w:type="spellEnd"/>
      <w:r>
        <w:rPr>
          <w:rFonts w:ascii="Palatino Linotype" w:eastAsia="Palatino Linotype" w:hAnsi="Palatino Linotype" w:cs="Palatino Linotype"/>
          <w:i/>
          <w:sz w:val="22"/>
          <w:szCs w:val="22"/>
        </w:rPr>
        <w:t xml:space="preserve"> conformidad con lo dispuesto en los artículos 6o., apartado A, fracción III de la Constitución Política de los Estados Unidos Mexicanos; 4, 7, 8, 15, 16 de la LEY DE TRANSPARENCIA Y ACCESO A LA INFORMACIÓN PÚBLICA DEL ESTADO DE MÉXICO Y MUNICIPIOS, toda vez que la autoridad niega la información haciendo alusión a: "... que para tener acceso a dicha información, deberá acreditar su interés jurídico o legítimo del bien inmueble en mención, así como acreditar la personalidad, ya que dicha información tiene el carácter de clasificada...". </w:t>
      </w:r>
      <w:proofErr w:type="spellStart"/>
      <w:r>
        <w:rPr>
          <w:rFonts w:ascii="Palatino Linotype" w:eastAsia="Palatino Linotype" w:hAnsi="Palatino Linotype" w:cs="Palatino Linotype"/>
          <w:i/>
          <w:sz w:val="22"/>
          <w:szCs w:val="22"/>
        </w:rPr>
        <w:t>Siutación</w:t>
      </w:r>
      <w:proofErr w:type="spellEnd"/>
      <w:r>
        <w:rPr>
          <w:rFonts w:ascii="Palatino Linotype" w:eastAsia="Palatino Linotype" w:hAnsi="Palatino Linotype" w:cs="Palatino Linotype"/>
          <w:i/>
          <w:sz w:val="22"/>
          <w:szCs w:val="22"/>
        </w:rPr>
        <w:t xml:space="preserve"> que a todas luces resulta contraria a derecho, en virtud de que acorde a los preceptos legales enunciados, El derecho humano de acceso a la información pública </w:t>
      </w:r>
      <w:r>
        <w:rPr>
          <w:rFonts w:ascii="Palatino Linotype" w:eastAsia="Palatino Linotype" w:hAnsi="Palatino Linotype" w:cs="Palatino Linotype"/>
          <w:i/>
          <w:sz w:val="22"/>
          <w:szCs w:val="22"/>
        </w:rPr>
        <w:lastRenderedPageBreak/>
        <w:t xml:space="preserve">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El ejercicio del derecho de acceso a la información no estará condicionado a que el solicitante acredite interés alguno o justifique su utilización. Bajo las premisas que anteceden, es claro que el acto impugnado es violatorio de los derechos humanos del suscrito, en virtud de que los sujetos obligados no deben requerir al solicitante mayores requisitos que los establecidos en la Ley, lo cual ocurre en el caso que nos ocupa al pretender el sujeto obligado acredite el </w:t>
      </w:r>
      <w:proofErr w:type="spellStart"/>
      <w:r>
        <w:rPr>
          <w:rFonts w:ascii="Palatino Linotype" w:eastAsia="Palatino Linotype" w:hAnsi="Palatino Linotype" w:cs="Palatino Linotype"/>
          <w:i/>
          <w:sz w:val="22"/>
          <w:szCs w:val="22"/>
        </w:rPr>
        <w:t>interes</w:t>
      </w:r>
      <w:proofErr w:type="spellEnd"/>
      <w:r>
        <w:rPr>
          <w:rFonts w:ascii="Palatino Linotype" w:eastAsia="Palatino Linotype" w:hAnsi="Palatino Linotype" w:cs="Palatino Linotype"/>
          <w:i/>
          <w:sz w:val="22"/>
          <w:szCs w:val="22"/>
        </w:rPr>
        <w:t xml:space="preserve"> jurídico, más aún cuando no funda, no motiva, ni acredita que la información tenga el carácter a que hace alusión tiene la información solicitada acorde a las </w:t>
      </w:r>
      <w:proofErr w:type="spellStart"/>
      <w:r>
        <w:rPr>
          <w:rFonts w:ascii="Palatino Linotype" w:eastAsia="Palatino Linotype" w:hAnsi="Palatino Linotype" w:cs="Palatino Linotype"/>
          <w:i/>
          <w:sz w:val="22"/>
          <w:szCs w:val="22"/>
        </w:rPr>
        <w:t>resglas</w:t>
      </w:r>
      <w:proofErr w:type="spellEnd"/>
      <w:r>
        <w:rPr>
          <w:rFonts w:ascii="Palatino Linotype" w:eastAsia="Palatino Linotype" w:hAnsi="Palatino Linotype" w:cs="Palatino Linotype"/>
          <w:i/>
          <w:sz w:val="22"/>
          <w:szCs w:val="22"/>
        </w:rPr>
        <w:t xml:space="preserve"> establecidas para tal efecto en la ley de la materia, más aún cuando existe la posibilidad en su caso de emitir la versión pública. Así las cosas debe ese Instituto ordenar al sujeto obligado otorgar al suscrito la información y documentación solicitada y en su caso suplir la deficiencia de la queja del </w:t>
      </w:r>
      <w:proofErr w:type="gramStart"/>
      <w:r>
        <w:rPr>
          <w:rFonts w:ascii="Palatino Linotype" w:eastAsia="Palatino Linotype" w:hAnsi="Palatino Linotype" w:cs="Palatino Linotype"/>
          <w:i/>
          <w:sz w:val="22"/>
          <w:szCs w:val="22"/>
        </w:rPr>
        <w:t>suscrito..</w:t>
      </w:r>
      <w:proofErr w:type="gramEnd"/>
      <w:r>
        <w:rPr>
          <w:rFonts w:ascii="Palatino Linotype" w:eastAsia="Palatino Linotype" w:hAnsi="Palatino Linotype" w:cs="Palatino Linotype"/>
          <w:i/>
          <w:sz w:val="22"/>
          <w:szCs w:val="22"/>
        </w:rPr>
        <w:t>” (Sic)</w:t>
      </w:r>
    </w:p>
    <w:p w14:paraId="5D32B0A2" w14:textId="77777777" w:rsidR="007D5504" w:rsidRDefault="0023391B">
      <w:pPr>
        <w:spacing w:before="75"/>
        <w:ind w:left="102" w:right="78"/>
        <w:jc w:val="both"/>
        <w:rPr>
          <w:rFonts w:ascii="Palatino Linotype" w:eastAsia="Palatino Linotype" w:hAnsi="Palatino Linotype" w:cs="Palatino Linotype"/>
          <w:b/>
        </w:rPr>
      </w:pPr>
      <w:r>
        <w:rPr>
          <w:rFonts w:ascii="Palatino Linotype" w:eastAsia="Palatino Linotype" w:hAnsi="Palatino Linotype" w:cs="Palatino Linotype"/>
        </w:rPr>
        <w:t xml:space="preserve">Adjunto a su medio de impugnación, el </w:t>
      </w:r>
      <w:r>
        <w:rPr>
          <w:rFonts w:ascii="Palatino Linotype" w:eastAsia="Palatino Linotype" w:hAnsi="Palatino Linotype" w:cs="Palatino Linotype"/>
          <w:b/>
        </w:rPr>
        <w:t>recurrente incorporó el archivo denominado “</w:t>
      </w:r>
      <w:r>
        <w:rPr>
          <w:rFonts w:ascii="Palatino Linotype" w:eastAsia="Palatino Linotype" w:hAnsi="Palatino Linotype" w:cs="Palatino Linotype"/>
          <w:b/>
          <w:i/>
        </w:rPr>
        <w:t>CRITERIO INAI 06-14 Acceso a información gubernamental. No debe condicionarse.docx</w:t>
      </w:r>
      <w:r>
        <w:rPr>
          <w:rFonts w:ascii="Palatino Linotype" w:eastAsia="Palatino Linotype" w:hAnsi="Palatino Linotype" w:cs="Palatino Linotype"/>
          <w:b/>
        </w:rPr>
        <w:t xml:space="preserve">”  de cuyo contenido se advierte lo siguiente: </w:t>
      </w:r>
    </w:p>
    <w:p w14:paraId="7CAF2F08" w14:textId="77777777" w:rsidR="007D5504" w:rsidRDefault="007D5504">
      <w:pPr>
        <w:spacing w:before="75"/>
        <w:ind w:left="102" w:right="78"/>
        <w:jc w:val="both"/>
        <w:rPr>
          <w:rFonts w:ascii="Palatino Linotype" w:eastAsia="Palatino Linotype" w:hAnsi="Palatino Linotype" w:cs="Palatino Linotype"/>
          <w:b/>
        </w:rPr>
      </w:pPr>
    </w:p>
    <w:p w14:paraId="67AC5398" w14:textId="77777777" w:rsidR="007D5504" w:rsidRDefault="0023391B">
      <w:pPr>
        <w:spacing w:before="75"/>
        <w:ind w:left="566" w:right="629"/>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 xml:space="preserve"> “</w:t>
      </w:r>
      <w:r>
        <w:rPr>
          <w:rFonts w:ascii="Palatino Linotype" w:eastAsia="Palatino Linotype" w:hAnsi="Palatino Linotype" w:cs="Palatino Linotype"/>
          <w:i/>
          <w:sz w:val="22"/>
          <w:szCs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90FDAA4" w14:textId="77777777" w:rsidR="007D5504" w:rsidRDefault="007D5504">
      <w:pPr>
        <w:spacing w:before="240" w:after="240" w:line="360" w:lineRule="auto"/>
        <w:jc w:val="both"/>
        <w:rPr>
          <w:rFonts w:ascii="Palatino Linotype" w:eastAsia="Palatino Linotype" w:hAnsi="Palatino Linotype" w:cs="Palatino Linotype"/>
          <w:b/>
        </w:rPr>
      </w:pPr>
    </w:p>
    <w:p w14:paraId="5043990C"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a su análisis, estudio, elaboración del proyecto y presentación ante el Pleno de este Instituto.</w:t>
      </w:r>
    </w:p>
    <w:p w14:paraId="4C534889"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Mediante auto de fecha diecisiete</w:t>
      </w:r>
      <w:r>
        <w:rPr>
          <w:rFonts w:ascii="Palatino Linotype" w:eastAsia="Palatino Linotype" w:hAnsi="Palatino Linotype" w:cs="Palatino Linotype"/>
          <w:b/>
        </w:rPr>
        <w:t xml:space="preserve"> de marzo de este año</w:t>
      </w:r>
      <w:r>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manifestara lo que a su derecho corresponda, a efecto de ofrecer pruebas, informe justificado y alegatos, lo anterior con fundamento en el artículo 185 fracciones I, II y IV de la Ley de Transparencia y Acceso a la Información Pública del Estado de México y Municipios. </w:t>
      </w:r>
    </w:p>
    <w:p w14:paraId="32128E2E" w14:textId="77777777" w:rsidR="007D5504" w:rsidRDefault="0023391B">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color w:val="000000"/>
        </w:rPr>
        <w:t xml:space="preserve">De las constancias que integran el expediente en que se </w:t>
      </w:r>
      <w:r>
        <w:rPr>
          <w:rFonts w:ascii="Palatino Linotype" w:eastAsia="Palatino Linotype" w:hAnsi="Palatino Linotype" w:cs="Palatino Linotype"/>
        </w:rPr>
        <w:t>actúa</w:t>
      </w:r>
      <w:r>
        <w:rPr>
          <w:rFonts w:ascii="Palatino Linotype" w:eastAsia="Palatino Linotype" w:hAnsi="Palatino Linotype" w:cs="Palatino Linotype"/>
          <w:color w:val="000000"/>
        </w:rPr>
        <w:t xml:space="preserve"> se advierte que ambas partes fueron omisas en manifestarse al respecto, en tal sentido esta Autoridad tiene por precluido su derecho. </w:t>
      </w:r>
    </w:p>
    <w:p w14:paraId="0CE54F75" w14:textId="77777777" w:rsidR="007D5504" w:rsidRDefault="0023391B">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Ampliación de plazo.</w:t>
      </w:r>
      <w:r>
        <w:rPr>
          <w:rFonts w:ascii="Palatino Linotype" w:eastAsia="Palatino Linotype" w:hAnsi="Palatino Linotype" w:cs="Palatino Linotype"/>
          <w:color w:val="000000"/>
        </w:rPr>
        <w:t xml:space="preserve"> En fecha trece de mayo de dos mil veintidós con fundamento en el artículo 181, párrafo tercero de la Ley de Transparencia y Acceso a la Información Pública del Estado de México y Municipios, se acordó la aplicación del plazo para su resolución.</w:t>
      </w:r>
    </w:p>
    <w:p w14:paraId="5425FFB0"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CEE804" w14:textId="77777777" w:rsidR="007D5504" w:rsidRDefault="007D5504">
      <w:pPr>
        <w:spacing w:line="360" w:lineRule="auto"/>
        <w:jc w:val="both"/>
        <w:rPr>
          <w:rFonts w:ascii="Palatino Linotype" w:eastAsia="Palatino Linotype" w:hAnsi="Palatino Linotype" w:cs="Palatino Linotype"/>
        </w:rPr>
      </w:pPr>
    </w:p>
    <w:p w14:paraId="2CA7BC91"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9F9DBB8" w14:textId="77777777" w:rsidR="007D5504" w:rsidRDefault="007D5504">
      <w:pPr>
        <w:spacing w:line="360" w:lineRule="auto"/>
        <w:jc w:val="both"/>
        <w:rPr>
          <w:rFonts w:ascii="Palatino Linotype" w:eastAsia="Palatino Linotype" w:hAnsi="Palatino Linotype" w:cs="Palatino Linotype"/>
        </w:rPr>
      </w:pPr>
    </w:p>
    <w:p w14:paraId="416F01E7"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A8CF83" w14:textId="77777777" w:rsidR="007D5504" w:rsidRDefault="007D5504">
      <w:pPr>
        <w:spacing w:line="360" w:lineRule="auto"/>
        <w:jc w:val="both"/>
        <w:rPr>
          <w:rFonts w:ascii="Palatino Linotype" w:eastAsia="Palatino Linotype" w:hAnsi="Palatino Linotype" w:cs="Palatino Linotype"/>
        </w:rPr>
      </w:pPr>
    </w:p>
    <w:p w14:paraId="192DB134"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8F3DEDA" w14:textId="77777777" w:rsidR="007D5504" w:rsidRDefault="007D5504">
      <w:pPr>
        <w:spacing w:line="360" w:lineRule="auto"/>
        <w:jc w:val="both"/>
        <w:rPr>
          <w:rFonts w:ascii="Palatino Linotype" w:eastAsia="Palatino Linotype" w:hAnsi="Palatino Linotype" w:cs="Palatino Linotype"/>
        </w:rPr>
      </w:pPr>
    </w:p>
    <w:p w14:paraId="0EB90533" w14:textId="77777777" w:rsidR="007D5504" w:rsidRDefault="0023391B">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B092B40" w14:textId="77777777" w:rsidR="007D5504" w:rsidRDefault="007D5504">
      <w:pPr>
        <w:spacing w:line="360" w:lineRule="auto"/>
        <w:jc w:val="both"/>
        <w:rPr>
          <w:rFonts w:ascii="Palatino Linotype" w:eastAsia="Palatino Linotype" w:hAnsi="Palatino Linotype" w:cs="Palatino Linotype"/>
        </w:rPr>
      </w:pPr>
    </w:p>
    <w:p w14:paraId="59CD1927" w14:textId="77777777" w:rsidR="007D5504" w:rsidRDefault="0023391B">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C4AE461" w14:textId="77777777" w:rsidR="007D5504" w:rsidRDefault="007D5504">
      <w:pPr>
        <w:spacing w:line="360" w:lineRule="auto"/>
        <w:ind w:left="927"/>
        <w:jc w:val="both"/>
        <w:rPr>
          <w:rFonts w:ascii="Palatino Linotype" w:eastAsia="Palatino Linotype" w:hAnsi="Palatino Linotype" w:cs="Palatino Linotype"/>
        </w:rPr>
      </w:pPr>
    </w:p>
    <w:p w14:paraId="502836B4" w14:textId="77777777" w:rsidR="007D5504" w:rsidRDefault="0023391B">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31C76C96" w14:textId="77777777" w:rsidR="007D5504" w:rsidRDefault="007D5504">
      <w:pPr>
        <w:spacing w:line="360" w:lineRule="auto"/>
        <w:jc w:val="both"/>
        <w:rPr>
          <w:rFonts w:ascii="Palatino Linotype" w:eastAsia="Palatino Linotype" w:hAnsi="Palatino Linotype" w:cs="Palatino Linotype"/>
        </w:rPr>
      </w:pPr>
    </w:p>
    <w:p w14:paraId="4A9D7E20" w14:textId="77777777" w:rsidR="007D5504" w:rsidRDefault="0023391B">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16FC5DFB" w14:textId="77777777" w:rsidR="007D5504" w:rsidRDefault="007D5504">
      <w:pPr>
        <w:spacing w:line="360" w:lineRule="auto"/>
        <w:ind w:left="708"/>
        <w:rPr>
          <w:rFonts w:ascii="Palatino Linotype" w:eastAsia="Palatino Linotype" w:hAnsi="Palatino Linotype" w:cs="Palatino Linotype"/>
        </w:rPr>
      </w:pPr>
    </w:p>
    <w:p w14:paraId="6AAE1D2E" w14:textId="77777777" w:rsidR="007D5504" w:rsidRDefault="0023391B">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34A253FD" w14:textId="77777777" w:rsidR="007D5504" w:rsidRDefault="007D5504">
      <w:pPr>
        <w:spacing w:line="360" w:lineRule="auto"/>
        <w:jc w:val="both"/>
        <w:rPr>
          <w:rFonts w:ascii="Palatino Linotype" w:eastAsia="Palatino Linotype" w:hAnsi="Palatino Linotype" w:cs="Palatino Linotype"/>
        </w:rPr>
      </w:pPr>
    </w:p>
    <w:p w14:paraId="527CE86D"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ED7D6F" w14:textId="77777777" w:rsidR="007D5504" w:rsidRDefault="007D5504">
      <w:pPr>
        <w:spacing w:line="360" w:lineRule="auto"/>
        <w:jc w:val="both"/>
        <w:rPr>
          <w:rFonts w:ascii="Palatino Linotype" w:eastAsia="Palatino Linotype" w:hAnsi="Palatino Linotype" w:cs="Palatino Linotype"/>
        </w:rPr>
      </w:pPr>
    </w:p>
    <w:p w14:paraId="5DF1CB03" w14:textId="77777777" w:rsidR="007D5504" w:rsidRDefault="0023391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20061B11" w14:textId="77777777" w:rsidR="007D5504" w:rsidRDefault="007D5504">
      <w:pPr>
        <w:spacing w:line="360" w:lineRule="auto"/>
        <w:jc w:val="both"/>
        <w:rPr>
          <w:rFonts w:ascii="Palatino Linotype" w:eastAsia="Palatino Linotype" w:hAnsi="Palatino Linotype" w:cs="Palatino Linotype"/>
        </w:rPr>
      </w:pPr>
    </w:p>
    <w:p w14:paraId="25492103"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842EA9" w14:textId="77777777" w:rsidR="007D5504" w:rsidRDefault="007D5504">
      <w:pPr>
        <w:spacing w:line="360" w:lineRule="auto"/>
        <w:jc w:val="both"/>
        <w:rPr>
          <w:rFonts w:ascii="Palatino Linotype" w:eastAsia="Palatino Linotype" w:hAnsi="Palatino Linotype" w:cs="Palatino Linotype"/>
        </w:rPr>
      </w:pPr>
    </w:p>
    <w:p w14:paraId="46FEB035"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3BABE8B" w14:textId="77777777" w:rsidR="007D5504" w:rsidRDefault="007D5504">
      <w:pPr>
        <w:spacing w:line="360" w:lineRule="auto"/>
        <w:jc w:val="both"/>
        <w:rPr>
          <w:rFonts w:ascii="Palatino Linotype" w:eastAsia="Palatino Linotype" w:hAnsi="Palatino Linotype" w:cs="Palatino Linotype"/>
        </w:rPr>
      </w:pPr>
    </w:p>
    <w:p w14:paraId="1E2C9EE8"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30D8FDE7" w14:textId="77777777" w:rsidR="007D5504" w:rsidRDefault="007D5504">
      <w:pPr>
        <w:spacing w:line="360" w:lineRule="auto"/>
        <w:jc w:val="both"/>
        <w:rPr>
          <w:rFonts w:ascii="Palatino Linotype" w:eastAsia="Palatino Linotype" w:hAnsi="Palatino Linotype" w:cs="Palatino Linotype"/>
          <w:b/>
        </w:rPr>
      </w:pPr>
    </w:p>
    <w:p w14:paraId="0F9155AC"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5590574A" w14:textId="77777777" w:rsidR="007D5504" w:rsidRDefault="007D5504">
      <w:pPr>
        <w:spacing w:line="360" w:lineRule="auto"/>
        <w:jc w:val="both"/>
        <w:rPr>
          <w:rFonts w:ascii="Palatino Linotype" w:eastAsia="Palatino Linotype" w:hAnsi="Palatino Linotype" w:cs="Palatino Linotype"/>
        </w:rPr>
      </w:pPr>
    </w:p>
    <w:p w14:paraId="1D718761"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7635162" w14:textId="77777777" w:rsidR="007D5504" w:rsidRDefault="007D5504">
      <w:pPr>
        <w:widowControl w:val="0"/>
        <w:spacing w:line="360" w:lineRule="auto"/>
        <w:jc w:val="both"/>
        <w:rPr>
          <w:rFonts w:ascii="Palatino Linotype" w:eastAsia="Palatino Linotype" w:hAnsi="Palatino Linotype" w:cs="Palatino Linotype"/>
        </w:rPr>
      </w:pPr>
    </w:p>
    <w:p w14:paraId="2835D879" w14:textId="77777777" w:rsidR="007D5504" w:rsidRDefault="0023391B">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trece de mayo del año dos mil veintidós,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Pr>
          <w:rFonts w:ascii="Palatino Linotype" w:eastAsia="Palatino Linotype" w:hAnsi="Palatino Linotype" w:cs="Palatino Linotype"/>
          <w:b/>
          <w:sz w:val="28"/>
          <w:szCs w:val="28"/>
        </w:rPr>
        <w:t xml:space="preserve"> </w:t>
      </w:r>
    </w:p>
    <w:p w14:paraId="34BE5274" w14:textId="77777777" w:rsidR="007D5504" w:rsidRDefault="0023391B">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14:paraId="046E0456" w14:textId="77777777" w:rsidR="007D5504" w:rsidRDefault="0023391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w:t>
      </w:r>
      <w:r>
        <w:rPr>
          <w:rFonts w:ascii="Palatino Linotype" w:eastAsia="Palatino Linotype" w:hAnsi="Palatino Linotype" w:cs="Palatino Linotype"/>
          <w:highlight w:val="white"/>
        </w:rPr>
        <w:lastRenderedPageBreak/>
        <w:t xml:space="preserve">competente para conocer y resolver el presente recurso de revisión interpuesto por la parte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0BA902B4" w14:textId="77777777" w:rsidR="007D5504" w:rsidRDefault="0023391B">
      <w:pPr>
        <w:spacing w:before="240" w:after="24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veintidós de febrero del año dos mil veintidós</w:t>
      </w:r>
      <w:r>
        <w:rPr>
          <w:rFonts w:ascii="Palatino Linotype" w:eastAsia="Palatino Linotype" w:hAnsi="Palatino Linotype" w:cs="Palatino Linotype"/>
        </w:rPr>
        <w:t xml:space="preserve"> y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presentó su recurso de revisión el día </w:t>
      </w:r>
      <w:r>
        <w:rPr>
          <w:rFonts w:ascii="Palatino Linotype" w:eastAsia="Palatino Linotype" w:hAnsi="Palatino Linotype" w:cs="Palatino Linotype"/>
          <w:b/>
        </w:rPr>
        <w:t>catorce de marzo del mismo año</w:t>
      </w:r>
      <w:r>
        <w:rPr>
          <w:rFonts w:ascii="Palatino Linotype" w:eastAsia="Palatino Linotype" w:hAnsi="Palatino Linotype" w:cs="Palatino Linotype"/>
        </w:rPr>
        <w:t xml:space="preserve">, esto es, al </w:t>
      </w:r>
      <w:r>
        <w:rPr>
          <w:rFonts w:ascii="Palatino Linotype" w:eastAsia="Palatino Linotype" w:hAnsi="Palatino Linotype" w:cs="Palatino Linotype"/>
          <w:b/>
        </w:rPr>
        <w:t>décimo primer día hábil</w:t>
      </w:r>
      <w:r>
        <w:rPr>
          <w:rFonts w:ascii="Palatino Linotype" w:eastAsia="Palatino Linotype" w:hAnsi="Palatino Linotype" w:cs="Palatino Linotype"/>
        </w:rPr>
        <w:t xml:space="preserve"> en el que tuvo conocimiento de la respuesta; evidenciándose que la interposición del recurso se encuentra dentro de los márgenes temporales previstos en el citado precepto legal.</w:t>
      </w:r>
    </w:p>
    <w:p w14:paraId="6DD9745A" w14:textId="77777777" w:rsidR="007D5504" w:rsidRDefault="0023391B">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resulta procedente la interposición del recurso, según lo aducido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razones o </w:t>
      </w:r>
      <w:r>
        <w:rPr>
          <w:rFonts w:ascii="Palatino Linotype" w:eastAsia="Palatino Linotype" w:hAnsi="Palatino Linotype" w:cs="Palatino Linotype"/>
          <w:color w:val="000000"/>
        </w:rPr>
        <w:t xml:space="preserve">motivos de inconformidad, de acuerdo a los artículos 176 </w:t>
      </w:r>
      <w:r>
        <w:rPr>
          <w:rFonts w:ascii="Palatino Linotype" w:eastAsia="Palatino Linotype" w:hAnsi="Palatino Linotype" w:cs="Palatino Linotype"/>
          <w:color w:val="000000"/>
        </w:rPr>
        <w:lastRenderedPageBreak/>
        <w:t>y  179, fracción I de la Ley de Transparencia y Acceso a la Información Pública del Estado de México y Municipios; que a la letra dice:</w:t>
      </w:r>
    </w:p>
    <w:p w14:paraId="4A518D0B" w14:textId="77777777" w:rsidR="007D5504" w:rsidRDefault="007D5504">
      <w:pPr>
        <w:spacing w:after="120"/>
        <w:ind w:left="851" w:right="902"/>
        <w:jc w:val="both"/>
        <w:rPr>
          <w:rFonts w:ascii="Palatino Linotype" w:eastAsia="Palatino Linotype" w:hAnsi="Palatino Linotype" w:cs="Palatino Linotype"/>
          <w:b/>
          <w:i/>
          <w:sz w:val="20"/>
          <w:szCs w:val="20"/>
        </w:rPr>
      </w:pPr>
    </w:p>
    <w:p w14:paraId="359CABA6" w14:textId="77777777" w:rsidR="007D5504" w:rsidRDefault="0023391B">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176. </w:t>
      </w:r>
      <w:r>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14:paraId="5671D22D" w14:textId="77777777" w:rsidR="007D5504" w:rsidRDefault="0023391B">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798DE23" w14:textId="77777777" w:rsidR="007D5504" w:rsidRDefault="0023391B">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p>
    <w:p w14:paraId="6E8EE417" w14:textId="77777777" w:rsidR="007D5504" w:rsidRDefault="0023391B">
      <w:pPr>
        <w:pBdr>
          <w:top w:val="nil"/>
          <w:left w:val="nil"/>
          <w:bottom w:val="nil"/>
          <w:right w:val="nil"/>
          <w:between w:val="nil"/>
        </w:pBdr>
        <w:spacing w:after="120"/>
        <w:ind w:left="993"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I. La negativa a la información solicitada;</w:t>
      </w:r>
      <w:r>
        <w:rPr>
          <w:rFonts w:ascii="Palatino Linotype" w:eastAsia="Palatino Linotype" w:hAnsi="Palatino Linotype" w:cs="Palatino Linotype"/>
          <w:b/>
          <w:i/>
          <w:color w:val="000000"/>
          <w:sz w:val="22"/>
          <w:szCs w:val="22"/>
        </w:rPr>
        <w:br/>
      </w:r>
    </w:p>
    <w:p w14:paraId="7AD13E76" w14:textId="77777777" w:rsidR="007D5504" w:rsidRDefault="0023391B">
      <w:pPr>
        <w:spacing w:after="120"/>
        <w:ind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 (Sic)</w:t>
      </w:r>
      <w:r>
        <w:rPr>
          <w:rFonts w:ascii="Palatino Linotype" w:eastAsia="Palatino Linotype" w:hAnsi="Palatino Linotype" w:cs="Palatino Linotype"/>
          <w:b/>
          <w:i/>
          <w:sz w:val="22"/>
          <w:szCs w:val="22"/>
        </w:rPr>
        <w:t xml:space="preserve">              </w:t>
      </w:r>
    </w:p>
    <w:p w14:paraId="48563BAA"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2F3BB9E8" w14:textId="77777777" w:rsidR="007D5504" w:rsidRDefault="002339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2157C842"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Del análisis de la solicitud de información motivo del recurso de revisión que ahora se resuelve se advierte que el particular solicitó:</w:t>
      </w:r>
    </w:p>
    <w:p w14:paraId="3FAA50B0" w14:textId="77777777" w:rsidR="007D5504" w:rsidRDefault="0023391B">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Respecto del bien inmueble </w:t>
      </w:r>
      <w:r>
        <w:rPr>
          <w:rFonts w:ascii="Palatino Linotype" w:eastAsia="Palatino Linotype" w:hAnsi="Palatino Linotype" w:cs="Palatino Linotype"/>
          <w:sz w:val="22"/>
          <w:szCs w:val="22"/>
        </w:rPr>
        <w:t xml:space="preserve">ubicado en Sector 20, </w:t>
      </w:r>
      <w:proofErr w:type="spellStart"/>
      <w:r>
        <w:rPr>
          <w:rFonts w:ascii="Palatino Linotype" w:eastAsia="Palatino Linotype" w:hAnsi="Palatino Linotype" w:cs="Palatino Linotype"/>
          <w:sz w:val="22"/>
          <w:szCs w:val="22"/>
        </w:rPr>
        <w:t>Mz</w:t>
      </w:r>
      <w:proofErr w:type="spellEnd"/>
      <w:r>
        <w:rPr>
          <w:rFonts w:ascii="Palatino Linotype" w:eastAsia="Palatino Linotype" w:hAnsi="Palatino Linotype" w:cs="Palatino Linotype"/>
          <w:sz w:val="22"/>
          <w:szCs w:val="22"/>
        </w:rPr>
        <w:t xml:space="preserve"> 55, </w:t>
      </w:r>
      <w:proofErr w:type="spellStart"/>
      <w:r>
        <w:rPr>
          <w:rFonts w:ascii="Palatino Linotype" w:eastAsia="Palatino Linotype" w:hAnsi="Palatino Linotype" w:cs="Palatino Linotype"/>
          <w:sz w:val="22"/>
          <w:szCs w:val="22"/>
        </w:rPr>
        <w:t>Lt</w:t>
      </w:r>
      <w:proofErr w:type="spellEnd"/>
      <w:r>
        <w:rPr>
          <w:rFonts w:ascii="Palatino Linotype" w:eastAsia="Palatino Linotype" w:hAnsi="Palatino Linotype" w:cs="Palatino Linotype"/>
          <w:sz w:val="22"/>
          <w:szCs w:val="22"/>
        </w:rPr>
        <w:t xml:space="preserve"> 24, casa 2, Fraccionamiento Héroes </w:t>
      </w:r>
      <w:proofErr w:type="spellStart"/>
      <w:r>
        <w:rPr>
          <w:rFonts w:ascii="Palatino Linotype" w:eastAsia="Palatino Linotype" w:hAnsi="Palatino Linotype" w:cs="Palatino Linotype"/>
          <w:sz w:val="22"/>
          <w:szCs w:val="22"/>
        </w:rPr>
        <w:t>Tecamac</w:t>
      </w:r>
      <w:proofErr w:type="spellEnd"/>
      <w:r>
        <w:rPr>
          <w:rFonts w:ascii="Palatino Linotype" w:eastAsia="Palatino Linotype" w:hAnsi="Palatino Linotype" w:cs="Palatino Linotype"/>
          <w:sz w:val="22"/>
          <w:szCs w:val="22"/>
        </w:rPr>
        <w:t>:</w:t>
      </w:r>
    </w:p>
    <w:p w14:paraId="03E63912" w14:textId="77777777" w:rsidR="007D5504" w:rsidRDefault="0023391B">
      <w:pPr>
        <w:numPr>
          <w:ilvl w:val="0"/>
          <w:numId w:val="4"/>
        </w:numPr>
        <w:pBdr>
          <w:top w:val="nil"/>
          <w:left w:val="nil"/>
          <w:bottom w:val="nil"/>
          <w:right w:val="nil"/>
          <w:between w:val="nil"/>
        </w:pBdr>
        <w:spacing w:before="240" w:after="24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Licencia, permiso, autorización y/o cualquier otro documento mediante el cual se haya autorizado modificación y/o ampliación;</w:t>
      </w:r>
    </w:p>
    <w:p w14:paraId="322825CE" w14:textId="77777777" w:rsidR="007D5504" w:rsidRDefault="0023391B">
      <w:pPr>
        <w:numPr>
          <w:ilvl w:val="0"/>
          <w:numId w:val="4"/>
        </w:numPr>
        <w:pBdr>
          <w:top w:val="nil"/>
          <w:left w:val="nil"/>
          <w:bottom w:val="nil"/>
          <w:right w:val="nil"/>
          <w:between w:val="nil"/>
        </w:pBdr>
        <w:spacing w:before="240" w:after="24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licencia, permiso, autorización y/o cualquier otro documento mediante el cual se haya autorizado la construcción o edificación, así como la documentación que integra el expediente para tal efecto, documentos que sirvieron de base para la emisión de la licencia, permiso, autorización y/o documento en comento;</w:t>
      </w:r>
    </w:p>
    <w:p w14:paraId="493F2780" w14:textId="77777777" w:rsidR="007D5504" w:rsidRDefault="0023391B">
      <w:pPr>
        <w:numPr>
          <w:ilvl w:val="0"/>
          <w:numId w:val="4"/>
        </w:numPr>
        <w:pBdr>
          <w:top w:val="nil"/>
          <w:left w:val="nil"/>
          <w:bottom w:val="nil"/>
          <w:right w:val="nil"/>
          <w:between w:val="nil"/>
        </w:pBdr>
        <w:spacing w:before="240" w:after="24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Datos de identificación del Director Responsable de Obra, para la emisión de la licencia, permiso, autorización y/o cualquier otro documento mediante el cual se haya autorizado la construcción o edificación del inmueble.</w:t>
      </w:r>
    </w:p>
    <w:p w14:paraId="16DB4746"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electrónico “</w:t>
      </w:r>
      <w:r>
        <w:rPr>
          <w:rFonts w:ascii="Palatino Linotype" w:eastAsia="Palatino Linotype" w:hAnsi="Palatino Linotype" w:cs="Palatino Linotype"/>
          <w:b/>
        </w:rPr>
        <w:t xml:space="preserve">25.pdf” </w:t>
      </w:r>
      <w:r>
        <w:rPr>
          <w:rFonts w:ascii="Palatino Linotype" w:eastAsia="Palatino Linotype" w:hAnsi="Palatino Linotype" w:cs="Palatino Linotype"/>
        </w:rPr>
        <w:t xml:space="preserve">en su contenido se advierte el oficio TEC/DGPART/62/2022 de fecha veintidós de febrero de la presente anualidad, suscrito por el Director General de Planeación, Administración y Regulación del Territorio, por medio de este refiere que </w:t>
      </w:r>
      <w:r>
        <w:rPr>
          <w:rFonts w:ascii="Palatino Linotype" w:eastAsia="Palatino Linotype" w:hAnsi="Palatino Linotype" w:cs="Palatino Linotype"/>
          <w:b/>
          <w:u w:val="single"/>
        </w:rPr>
        <w:t xml:space="preserve">después de realizar una búsqueda exhaustiva en los archivos físicos y Digitales de la Dirección de Desarrollo Urbano , área dependiente de la Dirección General, no se encontró Licencia de construcción relacionada con el inmueble </w:t>
      </w:r>
      <w:r>
        <w:rPr>
          <w:rFonts w:ascii="Palatino Linotype" w:eastAsia="Palatino Linotype" w:hAnsi="Palatino Linotype" w:cs="Palatino Linotype"/>
        </w:rPr>
        <w:t xml:space="preserve">ubicado en el sector veinte (20), manzana (55), lote veinticuatro (24), casa (02) del Conjunto Urbano los Héroes de Tecámac. </w:t>
      </w:r>
    </w:p>
    <w:p w14:paraId="7549FFE0"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Sin embargo,  señala que en términos de los dispuesto en la Ley en la materia para tener acceso a la información sobre los licenciamientos emitidas por la Dirección sobre algún predio en particular deberá acreditar tener inter jurídico  o legítimo, así como de acreditar su personalidad, ya que dicha información tiene el carácter de clasificada, esto con la intención de trastocar derechos de terceros.</w:t>
      </w:r>
    </w:p>
    <w:p w14:paraId="32EA1E1A" w14:textId="77777777" w:rsidR="007D5504" w:rsidRDefault="0023391B">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dicha respuesta,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inconformó, interponiendo el medio de impugnación que es materia de esta resolución,  exponiendo los motivos o razones de inconformidad siguientes: </w:t>
      </w:r>
    </w:p>
    <w:p w14:paraId="5A918A4F" w14:textId="77777777" w:rsidR="007D5504" w:rsidRDefault="0023391B">
      <w:pPr>
        <w:spacing w:after="240"/>
        <w:ind w:left="566" w:right="629"/>
        <w:jc w:val="both"/>
        <w:rPr>
          <w:rFonts w:ascii="Palatino Linotype" w:eastAsia="Palatino Linotype" w:hAnsi="Palatino Linotype" w:cs="Palatino Linotype"/>
        </w:rPr>
      </w:pPr>
      <w:r>
        <w:rPr>
          <w:rFonts w:ascii="Palatino Linotype" w:eastAsia="Palatino Linotype" w:hAnsi="Palatino Linotype" w:cs="Palatino Linotype"/>
          <w:i/>
        </w:rPr>
        <w:t xml:space="preserve">“El acto reclamado viola en perjuicio del suscrito el derecho de acceso a la información, de </w:t>
      </w:r>
      <w:proofErr w:type="spellStart"/>
      <w:r>
        <w:rPr>
          <w:rFonts w:ascii="Palatino Linotype" w:eastAsia="Palatino Linotype" w:hAnsi="Palatino Linotype" w:cs="Palatino Linotype"/>
          <w:i/>
        </w:rPr>
        <w:t>de</w:t>
      </w:r>
      <w:proofErr w:type="spellEnd"/>
      <w:r>
        <w:rPr>
          <w:rFonts w:ascii="Palatino Linotype" w:eastAsia="Palatino Linotype" w:hAnsi="Palatino Linotype" w:cs="Palatino Linotype"/>
          <w:i/>
        </w:rPr>
        <w:t xml:space="preserve"> conformidad con lo dispuesto en los artículos 6o., apartado A, fracción III de la Constitución Política de los Estados Unidos Mexicanos; 4, 7, 8, 15, 16 de la LEY DE TRANSPARENCIA Y ACCESO A LA INFORMACIÓN PÚBLICA DEL ESTADO DE MÉXICO Y MUNICIPIOS, toda vez que la autoridad niega la información haciendo alusión a: "... que para tener acceso a dicha información, deberá acreditar su interés jurídico o legítimo del bien inmueble en mención, así como acreditar la personalidad, ya que dicha información tiene el carácter de clasificada...". </w:t>
      </w:r>
      <w:proofErr w:type="spellStart"/>
      <w:r>
        <w:rPr>
          <w:rFonts w:ascii="Palatino Linotype" w:eastAsia="Palatino Linotype" w:hAnsi="Palatino Linotype" w:cs="Palatino Linotype"/>
          <w:i/>
        </w:rPr>
        <w:t>Siutación</w:t>
      </w:r>
      <w:proofErr w:type="spellEnd"/>
      <w:r>
        <w:rPr>
          <w:rFonts w:ascii="Palatino Linotype" w:eastAsia="Palatino Linotype" w:hAnsi="Palatino Linotype" w:cs="Palatino Linotype"/>
          <w:i/>
        </w:rPr>
        <w:t xml:space="preserve"> que a todas luces resulta contraria a derecho, en virtud de que acorde a los preceptos legales enunciados,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El ejercicio del derecho de acceso a la información no estará condicionado a que el solicitante acredite interés alguno o justifique su utilización. Bajo las premisas que anteceden, es claro que el acto impugnado es violatorio de los derechos humanos </w:t>
      </w:r>
      <w:r>
        <w:rPr>
          <w:rFonts w:ascii="Palatino Linotype" w:eastAsia="Palatino Linotype" w:hAnsi="Palatino Linotype" w:cs="Palatino Linotype"/>
          <w:i/>
        </w:rPr>
        <w:lastRenderedPageBreak/>
        <w:t xml:space="preserve">del suscrito, en virtud de que los sujetos obligados no deben requerir al solicitante mayores requisitos que los establecidos en la Ley, lo cual ocurre en el caso que nos ocupa al pretender el sujeto obligado acredite el </w:t>
      </w:r>
      <w:proofErr w:type="spellStart"/>
      <w:r>
        <w:rPr>
          <w:rFonts w:ascii="Palatino Linotype" w:eastAsia="Palatino Linotype" w:hAnsi="Palatino Linotype" w:cs="Palatino Linotype"/>
          <w:i/>
        </w:rPr>
        <w:t>interes</w:t>
      </w:r>
      <w:proofErr w:type="spellEnd"/>
      <w:r>
        <w:rPr>
          <w:rFonts w:ascii="Palatino Linotype" w:eastAsia="Palatino Linotype" w:hAnsi="Palatino Linotype" w:cs="Palatino Linotype"/>
          <w:i/>
        </w:rPr>
        <w:t xml:space="preserve"> jurídico, más aún cuando no funda, no motiva, ni acredita que la información tenga el carácter a que hace alusión tiene la información solicitada acorde a las </w:t>
      </w:r>
      <w:proofErr w:type="spellStart"/>
      <w:r>
        <w:rPr>
          <w:rFonts w:ascii="Palatino Linotype" w:eastAsia="Palatino Linotype" w:hAnsi="Palatino Linotype" w:cs="Palatino Linotype"/>
          <w:i/>
        </w:rPr>
        <w:t>resglas</w:t>
      </w:r>
      <w:proofErr w:type="spellEnd"/>
      <w:r>
        <w:rPr>
          <w:rFonts w:ascii="Palatino Linotype" w:eastAsia="Palatino Linotype" w:hAnsi="Palatino Linotype" w:cs="Palatino Linotype"/>
          <w:i/>
        </w:rPr>
        <w:t xml:space="preserve"> establecidas para tal efecto en la ley de la materia, más aún cuando existe la posibilidad en su caso de emitir la versión pública. Así las cosas debe ese Instituto ordenar al sujeto obligado otorgar al suscrito la información y documentación solicitada y en su caso suplir la deficiencia de la queja del suscrito.” (Sic)</w:t>
      </w:r>
      <w:r>
        <w:rPr>
          <w:rFonts w:ascii="Palatino Linotype" w:eastAsia="Palatino Linotype" w:hAnsi="Palatino Linotype" w:cs="Palatino Linotype"/>
        </w:rPr>
        <w:t xml:space="preserve"> </w:t>
      </w:r>
    </w:p>
    <w:p w14:paraId="1C73E1C0" w14:textId="77777777" w:rsidR="007D5504" w:rsidRDefault="0023391B">
      <w:pPr>
        <w:spacing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b/>
        </w:rPr>
        <w:t>Agotado lo anterior, tenemos</w:t>
      </w:r>
      <w:r>
        <w:rPr>
          <w:rFonts w:ascii="Palatino Linotype" w:eastAsia="Palatino Linotype" w:hAnsi="Palatino Linotype" w:cs="Palatino Linotype"/>
        </w:rPr>
        <w:t xml:space="preserve"> que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24A84F8E" w14:textId="77777777" w:rsidR="007D5504" w:rsidRDefault="007D5504">
      <w:pPr>
        <w:spacing w:line="360" w:lineRule="auto"/>
        <w:jc w:val="both"/>
        <w:rPr>
          <w:rFonts w:ascii="Palatino Linotype" w:eastAsia="Palatino Linotype" w:hAnsi="Palatino Linotype" w:cs="Palatino Linotype"/>
          <w:color w:val="FF0000"/>
        </w:rPr>
      </w:pPr>
    </w:p>
    <w:p w14:paraId="6800B507"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E2DC174" w14:textId="77777777" w:rsidR="007D5504" w:rsidRDefault="007D5504">
      <w:pPr>
        <w:spacing w:line="360" w:lineRule="auto"/>
        <w:jc w:val="both"/>
        <w:rPr>
          <w:rFonts w:ascii="Palatino Linotype" w:eastAsia="Palatino Linotype" w:hAnsi="Palatino Linotype" w:cs="Palatino Linotype"/>
        </w:rPr>
      </w:pPr>
    </w:p>
    <w:p w14:paraId="3C637F45"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14:paraId="501644EB" w14:textId="77777777" w:rsidR="007D5504" w:rsidRDefault="007D5504">
      <w:pPr>
        <w:spacing w:line="360" w:lineRule="auto"/>
        <w:jc w:val="both"/>
        <w:rPr>
          <w:rFonts w:ascii="Palatino Linotype" w:eastAsia="Palatino Linotype" w:hAnsi="Palatino Linotype" w:cs="Palatino Linotype"/>
        </w:rPr>
      </w:pPr>
    </w:p>
    <w:p w14:paraId="015ED6D3" w14:textId="77777777" w:rsidR="007D5504" w:rsidRDefault="0023391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El artículo </w:t>
      </w:r>
      <w:r>
        <w:rPr>
          <w:rFonts w:ascii="Palatino Linotype" w:eastAsia="Palatino Linotype" w:hAnsi="Palatino Linotype" w:cs="Palatino Linotype"/>
        </w:rPr>
        <w:t>12 dice que</w:t>
      </w:r>
      <w:r>
        <w:rPr>
          <w:rFonts w:ascii="Palatino Linotype" w:eastAsia="Palatino Linotype" w:hAnsi="Palatino Linotype" w:cs="Palatino Linotype"/>
          <w:color w:val="000000"/>
        </w:rPr>
        <w:t>, quienes generen, recopilen, administren, manejen, procesen, archiven o conserven información pública serán responsables de la misma.</w:t>
      </w:r>
    </w:p>
    <w:p w14:paraId="2E63FBE6" w14:textId="77777777" w:rsidR="007D5504" w:rsidRDefault="007D5504">
      <w:pPr>
        <w:spacing w:line="360" w:lineRule="auto"/>
        <w:jc w:val="both"/>
        <w:rPr>
          <w:rFonts w:ascii="Palatino Linotype" w:eastAsia="Palatino Linotype" w:hAnsi="Palatino Linotype" w:cs="Palatino Linotype"/>
        </w:rPr>
      </w:pPr>
    </w:p>
    <w:p w14:paraId="4CC37694" w14:textId="77777777" w:rsidR="007D5504" w:rsidRDefault="0023391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1A8F0D0" w14:textId="77777777" w:rsidR="007D5504" w:rsidRDefault="007D5504">
      <w:pPr>
        <w:spacing w:line="360" w:lineRule="auto"/>
        <w:jc w:val="both"/>
        <w:rPr>
          <w:rFonts w:ascii="Palatino Linotype" w:eastAsia="Palatino Linotype" w:hAnsi="Palatino Linotype" w:cs="Palatino Linotype"/>
        </w:rPr>
      </w:pPr>
    </w:p>
    <w:p w14:paraId="492AF9AF" w14:textId="77777777" w:rsidR="007D5504" w:rsidRDefault="0023391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B9892B" w14:textId="77777777" w:rsidR="007D5504" w:rsidRDefault="007D5504">
      <w:pPr>
        <w:spacing w:line="360" w:lineRule="auto"/>
        <w:ind w:right="-93"/>
        <w:jc w:val="both"/>
        <w:rPr>
          <w:rFonts w:ascii="Palatino Linotype" w:eastAsia="Palatino Linotype" w:hAnsi="Palatino Linotype" w:cs="Palatino Linotype"/>
          <w:color w:val="FF0000"/>
        </w:rPr>
      </w:pPr>
    </w:p>
    <w:p w14:paraId="38CFE65A"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AC4D939" w14:textId="77777777" w:rsidR="007D5504" w:rsidRDefault="007D5504">
      <w:pPr>
        <w:ind w:left="851" w:right="899"/>
        <w:jc w:val="both"/>
        <w:rPr>
          <w:rFonts w:ascii="Palatino Linotype" w:eastAsia="Palatino Linotype" w:hAnsi="Palatino Linotype" w:cs="Palatino Linotype"/>
          <w:i/>
          <w:sz w:val="22"/>
          <w:szCs w:val="22"/>
        </w:rPr>
      </w:pPr>
    </w:p>
    <w:p w14:paraId="0CCE20F9" w14:textId="77777777" w:rsidR="007D5504" w:rsidRDefault="0023391B">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5AD3ABF3" w14:textId="77777777" w:rsidR="007D5504" w:rsidRDefault="0023391B">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5786BA9" w14:textId="77777777" w:rsidR="007D5504" w:rsidRDefault="0023391B">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7C6F8D3" w14:textId="77777777" w:rsidR="007D5504" w:rsidRDefault="007D5504">
      <w:pPr>
        <w:ind w:left="851" w:right="899"/>
        <w:jc w:val="both"/>
        <w:rPr>
          <w:rFonts w:ascii="Palatino Linotype" w:eastAsia="Palatino Linotype" w:hAnsi="Palatino Linotype" w:cs="Palatino Linotype"/>
          <w:sz w:val="22"/>
          <w:szCs w:val="22"/>
        </w:rPr>
      </w:pPr>
    </w:p>
    <w:p w14:paraId="2744ACF7"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0AC5261" w14:textId="77777777" w:rsidR="007D5504" w:rsidRDefault="007D5504">
      <w:pPr>
        <w:ind w:right="899"/>
        <w:jc w:val="both"/>
        <w:rPr>
          <w:rFonts w:ascii="Palatino Linotype" w:eastAsia="Palatino Linotype" w:hAnsi="Palatino Linotype" w:cs="Palatino Linotype"/>
        </w:rPr>
      </w:pPr>
    </w:p>
    <w:p w14:paraId="3DE11420" w14:textId="77777777" w:rsidR="007D5504" w:rsidRDefault="0023391B">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7ECDF500" w14:textId="77777777" w:rsidR="007D5504" w:rsidRDefault="0023391B">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3CF7FD" w14:textId="77777777" w:rsidR="007D5504" w:rsidRDefault="0023391B">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4026978" w14:textId="77777777" w:rsidR="007D5504" w:rsidRDefault="0023391B">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w:t>
      </w:r>
      <w:r>
        <w:rPr>
          <w:rFonts w:ascii="Palatino Linotype" w:eastAsia="Palatino Linotype" w:hAnsi="Palatino Linotype" w:cs="Palatino Linotype"/>
          <w:b/>
          <w:i/>
          <w:sz w:val="22"/>
          <w:szCs w:val="22"/>
        </w:rPr>
        <w:t>Que se trate de información registrada en cualquier soporte documental, que en ejercicio de las atribuciones conferidas, sea generada por los Sujetos Obligados;</w:t>
      </w:r>
    </w:p>
    <w:p w14:paraId="2B950227" w14:textId="77777777" w:rsidR="007D5504" w:rsidRDefault="0023391B">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E8058AE" w14:textId="77777777" w:rsidR="007D5504" w:rsidRDefault="0023391B">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3) Que se trate de información registrada en cualquier soporte documental, que en ejercicio de las atribuciones conferidas, se encuentre en posesión de los Sujetos Obligados.” </w:t>
      </w:r>
    </w:p>
    <w:p w14:paraId="6CD6BBC3"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en el caso concreto que nos ocupa analizar,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respondió que de acuerdo con lo informado por el Director General de Planeación, Administración y Regulación del Territorio, que después de realizar  una búsqueda exhaustiva en los archivos físicos y Digitales de la Dirección de Desarrollo Urbano , área dependiente de la Dirección General, no se encontró Licencia de construcción relacionada con el inmueble ubicado en el sector veinte (20), manzana (55), lote veinticuatro (24), casa (02) del Conjunto Urbano los Héroes de Tecámac. </w:t>
      </w:r>
    </w:p>
    <w:p w14:paraId="04EE1CA8"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iniciar, es oportuno referir que de acuerdo con lo señalado en el artículo 39 del Bando Municipal de </w:t>
      </w:r>
      <w:proofErr w:type="spellStart"/>
      <w:r>
        <w:rPr>
          <w:rFonts w:ascii="Palatino Linotype" w:eastAsia="Palatino Linotype" w:hAnsi="Palatino Linotype" w:cs="Palatino Linotype"/>
        </w:rPr>
        <w:t>Tecamac</w:t>
      </w:r>
      <w:proofErr w:type="spellEnd"/>
      <w:r>
        <w:rPr>
          <w:rFonts w:ascii="Palatino Linotype" w:eastAsia="Palatino Linotype" w:hAnsi="Palatino Linotype" w:cs="Palatino Linotype"/>
        </w:rPr>
        <w:t>, para el adecuado desarrollo de la administración municipal, se consideran entre otras las siguientes áreas administrativas.</w:t>
      </w:r>
    </w:p>
    <w:p w14:paraId="3DCE1367" w14:textId="77777777" w:rsidR="007D5504" w:rsidRDefault="0023391B">
      <w:pPr>
        <w:spacing w:before="240" w:after="240"/>
        <w:ind w:left="708" w:right="62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39. Para el cumplimiento de sus funciones la Presidencia Municipal se auxiliará de los demás integrantes del Ayuntamiento, las Comisiones Edilicias y tendrá bajo su mando las siguientes dependencias de la administración pública municipal centralizada:</w:t>
      </w:r>
    </w:p>
    <w:p w14:paraId="25CB1D01" w14:textId="77777777" w:rsidR="007D5504" w:rsidRDefault="0023391B">
      <w:pPr>
        <w:spacing w:before="240" w:after="240"/>
        <w:ind w:left="708" w:right="62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C2466E2" w14:textId="77777777" w:rsidR="007D5504" w:rsidRDefault="0023391B">
      <w:pPr>
        <w:spacing w:before="240" w:after="240"/>
        <w:ind w:left="708" w:right="62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Dirección General de Planeación, Administración y Regulación del Territorio;</w:t>
      </w:r>
    </w:p>
    <w:p w14:paraId="1B8BDCCC" w14:textId="77777777" w:rsidR="007D5504" w:rsidRDefault="0023391B">
      <w:pPr>
        <w:spacing w:before="240" w:after="240"/>
        <w:ind w:left="708" w:right="62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(Sic)</w:t>
      </w:r>
    </w:p>
    <w:p w14:paraId="5FA238C7"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lógica, en el diverso 51 de la normatividad en cita,  se  precisa que la Dirección General de Planeación, Administración y Regulación del Territorio, tiene bajo su responsabilidad las funciones y atribuciones municipales en materia de </w:t>
      </w:r>
      <w:r>
        <w:rPr>
          <w:rFonts w:ascii="Palatino Linotype" w:eastAsia="Palatino Linotype" w:hAnsi="Palatino Linotype" w:cs="Palatino Linotype"/>
        </w:rPr>
        <w:lastRenderedPageBreak/>
        <w:t xml:space="preserve">desarrollo urbano, planeación, regulación y regularización de la tenencia de la tierra urbana. La cual tendrá a su cargo las siguientes áreas administrativas: </w:t>
      </w:r>
    </w:p>
    <w:p w14:paraId="6D690CBF" w14:textId="77777777" w:rsidR="007D5504" w:rsidRDefault="0023391B">
      <w:pPr>
        <w:spacing w:before="240" w:after="24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rPr>
        <w:t>Dirección de Desarrollo Urbano</w:t>
      </w:r>
      <w:r>
        <w:rPr>
          <w:rFonts w:ascii="Palatino Linotype" w:eastAsia="Palatino Linotype" w:hAnsi="Palatino Linotype" w:cs="Palatino Linotype"/>
          <w:i/>
          <w:sz w:val="22"/>
          <w:szCs w:val="22"/>
        </w:rPr>
        <w:t xml:space="preserve"> </w:t>
      </w:r>
    </w:p>
    <w:p w14:paraId="721AEF26" w14:textId="77777777" w:rsidR="007D5504" w:rsidRDefault="0023391B">
      <w:pPr>
        <w:ind w:left="14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Subdirección de Anuncios Publicitarios </w:t>
      </w:r>
    </w:p>
    <w:p w14:paraId="0E557713" w14:textId="77777777" w:rsidR="007D5504" w:rsidRDefault="0023391B">
      <w:pPr>
        <w:ind w:left="14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Departamento de Normatividad </w:t>
      </w:r>
    </w:p>
    <w:p w14:paraId="7FC5C786" w14:textId="77777777" w:rsidR="007D5504" w:rsidRDefault="0023391B">
      <w:pPr>
        <w:spacing w:before="240" w:after="24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Dirección de catastro </w:t>
      </w:r>
    </w:p>
    <w:p w14:paraId="618465A6" w14:textId="77777777" w:rsidR="007D5504" w:rsidRDefault="0023391B">
      <w:pPr>
        <w:spacing w:before="240" w:after="24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Dirección de Vivienda </w:t>
      </w:r>
    </w:p>
    <w:p w14:paraId="2F3C88D1" w14:textId="77777777" w:rsidR="007D5504" w:rsidRDefault="0023391B">
      <w:pPr>
        <w:spacing w:before="240" w:after="240"/>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Departamento de Gestión Administrativa e Informática</w:t>
      </w:r>
    </w:p>
    <w:p w14:paraId="405988E7"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en el mismo cuerpo normativo  en el artículo 52 refiere que  las facultades, atribuciones y obligaciones a que hacen referencia los artículos 96 </w:t>
      </w:r>
      <w:proofErr w:type="spellStart"/>
      <w:r>
        <w:rPr>
          <w:rFonts w:ascii="Palatino Linotype" w:eastAsia="Palatino Linotype" w:hAnsi="Palatino Linotype" w:cs="Palatino Linotype"/>
        </w:rPr>
        <w:t>Sexies</w:t>
      </w:r>
      <w:proofErr w:type="spellEnd"/>
      <w:r>
        <w:rPr>
          <w:rFonts w:ascii="Palatino Linotype" w:eastAsia="Palatino Linotype" w:hAnsi="Palatino Linotype" w:cs="Palatino Linotype"/>
        </w:rPr>
        <w:t xml:space="preserve"> y 96 </w:t>
      </w:r>
      <w:proofErr w:type="spellStart"/>
      <w:r>
        <w:rPr>
          <w:rFonts w:ascii="Palatino Linotype" w:eastAsia="Palatino Linotype" w:hAnsi="Palatino Linotype" w:cs="Palatino Linotype"/>
        </w:rPr>
        <w:t>Septies</w:t>
      </w:r>
      <w:proofErr w:type="spellEnd"/>
      <w:r>
        <w:rPr>
          <w:rFonts w:ascii="Palatino Linotype" w:eastAsia="Palatino Linotype" w:hAnsi="Palatino Linotype" w:cs="Palatino Linotype"/>
        </w:rPr>
        <w:t xml:space="preserve"> de la Ley Orgánica Municipal del Estado de México, así como los numerales 5.1, 5.7 y 5.10 del Código Administrativo del Estado de México, se entenderán conferidas al Director de Desarrollo Urbano.</w:t>
      </w:r>
    </w:p>
    <w:p w14:paraId="45E5CAA1" w14:textId="77777777" w:rsidR="007D5504" w:rsidRDefault="0023391B">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la Ley Orgánica Municipal del Estado de México, en sus artículos 31 fracción XXIV </w:t>
      </w:r>
      <w:proofErr w:type="spellStart"/>
      <w:r>
        <w:rPr>
          <w:rFonts w:ascii="Palatino Linotype" w:eastAsia="Palatino Linotype" w:hAnsi="Palatino Linotype" w:cs="Palatino Linotype"/>
        </w:rPr>
        <w:t>Quáter</w:t>
      </w:r>
      <w:proofErr w:type="spellEnd"/>
      <w:r>
        <w:rPr>
          <w:rFonts w:ascii="Palatino Linotype" w:eastAsia="Palatino Linotype" w:hAnsi="Palatino Linotype" w:cs="Palatino Linotype"/>
        </w:rPr>
        <w:t xml:space="preserve"> y 96 </w:t>
      </w:r>
      <w:proofErr w:type="spellStart"/>
      <w:r>
        <w:rPr>
          <w:rFonts w:ascii="Palatino Linotype" w:eastAsia="Palatino Linotype" w:hAnsi="Palatino Linotype" w:cs="Palatino Linotype"/>
        </w:rPr>
        <w:t>Sexies</w:t>
      </w:r>
      <w:proofErr w:type="spellEnd"/>
      <w:r>
        <w:rPr>
          <w:rFonts w:ascii="Palatino Linotype" w:eastAsia="Palatino Linotype" w:hAnsi="Palatino Linotype" w:cs="Palatino Linotype"/>
        </w:rPr>
        <w:t xml:space="preserve"> fracción VI, prevé lo siguiente:</w:t>
      </w:r>
    </w:p>
    <w:p w14:paraId="1B9B4B9F" w14:textId="77777777" w:rsidR="007D5504" w:rsidRDefault="002339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31</w:t>
      </w:r>
      <w:r>
        <w:rPr>
          <w:rFonts w:ascii="Palatino Linotype" w:eastAsia="Palatino Linotype" w:hAnsi="Palatino Linotype" w:cs="Palatino Linotype"/>
          <w:i/>
          <w:sz w:val="22"/>
          <w:szCs w:val="22"/>
        </w:rPr>
        <w:t>.- Son atribuciones de los ayuntamientos:</w:t>
      </w:r>
    </w:p>
    <w:p w14:paraId="2FB0D107" w14:textId="77777777" w:rsidR="007D5504" w:rsidRDefault="0023391B">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D4FD136" w14:textId="77777777" w:rsidR="007D5504" w:rsidRDefault="0023391B">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XXIV </w:t>
      </w:r>
      <w:proofErr w:type="spellStart"/>
      <w:r>
        <w:rPr>
          <w:rFonts w:ascii="Palatino Linotype" w:eastAsia="Palatino Linotype" w:hAnsi="Palatino Linotype" w:cs="Palatino Linotype"/>
          <w:b/>
          <w:i/>
          <w:sz w:val="22"/>
          <w:szCs w:val="22"/>
        </w:rPr>
        <w:t>Quáter</w:t>
      </w:r>
      <w:proofErr w:type="spellEnd"/>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Otorgar licencias y permisos para construcciones privadas</w:t>
      </w:r>
      <w:r>
        <w:rPr>
          <w:rFonts w:ascii="Palatino Linotype" w:eastAsia="Palatino Linotype" w:hAnsi="Palatino Linotype" w:cs="Palatino Linotype"/>
          <w:i/>
          <w:sz w:val="22"/>
          <w:szCs w:val="22"/>
        </w:rPr>
        <w:t>, para el funcionamiento de unidades económicas o establecimientos destinados a la enajenación, reparación o mantenimiento de vehículos automotores usados y autopartes nuevas y usadas, parques y desarrollos industriales, urbanos y de servicios.</w:t>
      </w:r>
    </w:p>
    <w:p w14:paraId="6A19CC06" w14:textId="77777777" w:rsidR="007D5504" w:rsidRDefault="0023391B">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7AB4DFFD" w14:textId="77777777" w:rsidR="007D5504" w:rsidRDefault="0023391B">
      <w:pPr>
        <w:spacing w:after="1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96. </w:t>
      </w:r>
      <w:proofErr w:type="spellStart"/>
      <w:r>
        <w:rPr>
          <w:rFonts w:ascii="Palatino Linotype" w:eastAsia="Palatino Linotype" w:hAnsi="Palatino Linotype" w:cs="Palatino Linotype"/>
          <w:b/>
          <w:i/>
          <w:sz w:val="22"/>
          <w:szCs w:val="22"/>
        </w:rPr>
        <w:t>Sexies</w:t>
      </w:r>
      <w:proofErr w:type="spellEnd"/>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Director de Desarrollo Urbano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o el Titular de la Unidad Administrativa equivalente,</w:t>
      </w:r>
      <w:r>
        <w:rPr>
          <w:rFonts w:ascii="Palatino Linotype" w:eastAsia="Palatino Linotype" w:hAnsi="Palatino Linotype" w:cs="Palatino Linotype"/>
          <w:i/>
          <w:sz w:val="22"/>
          <w:szCs w:val="22"/>
        </w:rPr>
        <w:t xml:space="preserve"> tiene las atribuciones siguientes:</w:t>
      </w:r>
    </w:p>
    <w:p w14:paraId="0801D6A3" w14:textId="77777777" w:rsidR="007D5504" w:rsidRDefault="0023391B">
      <w:pPr>
        <w:spacing w:after="160"/>
        <w:ind w:left="993"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VI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Analizar </w:t>
      </w:r>
      <w:r>
        <w:rPr>
          <w:rFonts w:ascii="Palatino Linotype" w:eastAsia="Palatino Linotype" w:hAnsi="Palatino Linotype" w:cs="Palatino Linotype"/>
          <w:i/>
          <w:sz w:val="22"/>
          <w:szCs w:val="22"/>
        </w:rPr>
        <w:t xml:space="preserve">las cédulas informativas de zonificación, licencias de uso de suelo y </w:t>
      </w:r>
      <w:r>
        <w:rPr>
          <w:rFonts w:ascii="Palatino Linotype" w:eastAsia="Palatino Linotype" w:hAnsi="Palatino Linotype" w:cs="Palatino Linotype"/>
          <w:b/>
          <w:i/>
          <w:sz w:val="22"/>
          <w:szCs w:val="22"/>
        </w:rPr>
        <w:t>licencias de construcción; “</w:t>
      </w:r>
    </w:p>
    <w:p w14:paraId="4993EA14" w14:textId="77777777" w:rsidR="007D5504" w:rsidRDefault="007D5504">
      <w:pPr>
        <w:ind w:left="708"/>
        <w:jc w:val="both"/>
        <w:rPr>
          <w:rFonts w:ascii="Palatino Linotype" w:eastAsia="Palatino Linotype" w:hAnsi="Palatino Linotype" w:cs="Palatino Linotype"/>
          <w:i/>
        </w:rPr>
      </w:pPr>
    </w:p>
    <w:p w14:paraId="4A87EA51" w14:textId="77777777" w:rsidR="007D5504" w:rsidRDefault="0023391B">
      <w:pPr>
        <w:spacing w:after="16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cuanto hace a la licencia de construcción, es oportuno referir que el Libro Décimo Octavo del Código Administrativo del Estado de México, en su artículo 18.3 fracción II, dispone que toda construcción requerirá para su ejecución, de la licencia de construcción correspondiente, siendo atribución del municipio expedir licencias, permisos y constancias en materia de construcción, de conformidad con el artículo 18.6 fracción II, a saber:</w:t>
      </w:r>
    </w:p>
    <w:p w14:paraId="5B34F23A" w14:textId="77777777" w:rsidR="007D5504" w:rsidRDefault="002339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5.10.</w:t>
      </w:r>
      <w:r>
        <w:rPr>
          <w:rFonts w:ascii="Palatino Linotype" w:eastAsia="Palatino Linotype" w:hAnsi="Palatino Linotype" w:cs="Palatino Linotype"/>
          <w:i/>
          <w:sz w:val="22"/>
          <w:szCs w:val="22"/>
        </w:rPr>
        <w:t xml:space="preserve"> Los municipios tendrán las atribuciones siguientes:</w:t>
      </w:r>
    </w:p>
    <w:p w14:paraId="193D7BE1" w14:textId="77777777" w:rsidR="007D5504" w:rsidRDefault="002339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66C63449" w14:textId="77777777" w:rsidR="007D5504" w:rsidRDefault="002339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Expedir cédulas informativas de zonificación, licencias de uso de suelo y licencias de construcción;</w:t>
      </w:r>
    </w:p>
    <w:p w14:paraId="5CD0D4A5" w14:textId="77777777" w:rsidR="007D5504" w:rsidRDefault="002339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27AAF02" w14:textId="77777777" w:rsidR="007D5504" w:rsidRDefault="002339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798BD3D" w14:textId="77777777" w:rsidR="007D5504" w:rsidRDefault="002339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18.6</w:t>
      </w:r>
      <w:r>
        <w:rPr>
          <w:rFonts w:ascii="Palatino Linotype" w:eastAsia="Palatino Linotype" w:hAnsi="Palatino Linotype" w:cs="Palatino Linotype"/>
          <w:i/>
          <w:sz w:val="22"/>
          <w:szCs w:val="22"/>
        </w:rPr>
        <w:t xml:space="preserve">.- Son atribuciones de los </w:t>
      </w:r>
      <w:r>
        <w:rPr>
          <w:rFonts w:ascii="Palatino Linotype" w:eastAsia="Palatino Linotype" w:hAnsi="Palatino Linotype" w:cs="Palatino Linotype"/>
          <w:b/>
          <w:i/>
          <w:sz w:val="22"/>
          <w:szCs w:val="22"/>
        </w:rPr>
        <w:t>Municipios</w:t>
      </w:r>
      <w:r>
        <w:rPr>
          <w:rFonts w:ascii="Palatino Linotype" w:eastAsia="Palatino Linotype" w:hAnsi="Palatino Linotype" w:cs="Palatino Linotype"/>
          <w:i/>
          <w:sz w:val="22"/>
          <w:szCs w:val="22"/>
        </w:rPr>
        <w:t>:</w:t>
      </w:r>
    </w:p>
    <w:p w14:paraId="49A09B03" w14:textId="77777777" w:rsidR="007D5504" w:rsidRDefault="002339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167915D" w14:textId="77777777" w:rsidR="007D5504" w:rsidRDefault="0023391B">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Expedir licencias, permisos y constancias en materia de construcción, de conformidad con lo dispuesto por este Libro, las Normas Técnicas, los planes municipales de desarrollo urbano y demás normatividad aplicable;”</w:t>
      </w:r>
    </w:p>
    <w:p w14:paraId="6D407D5E" w14:textId="77777777" w:rsidR="007D5504" w:rsidRDefault="007D5504">
      <w:pPr>
        <w:spacing w:before="240" w:after="240" w:line="360" w:lineRule="auto"/>
        <w:ind w:right="51"/>
        <w:jc w:val="both"/>
        <w:rPr>
          <w:rFonts w:ascii="Palatino Linotype" w:eastAsia="Palatino Linotype" w:hAnsi="Palatino Linotype" w:cs="Palatino Linotype"/>
        </w:rPr>
      </w:pPr>
    </w:p>
    <w:p w14:paraId="5E165E28" w14:textId="77777777" w:rsidR="007D5504" w:rsidRDefault="0023391B">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Como se advierte, la Ley Orgánica Municipal, al igual que el Código Administrativo, contempla como facultad de los ayuntamientos otorgar las licencias de construcción para construcciones privadas, atribución que realiza a través del Director de Desarrollo Urbano o el Titular de la unidad administrativa equivalente.</w:t>
      </w:r>
    </w:p>
    <w:p w14:paraId="1B270AA9"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atención a lo anterior,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la Dirección de Desarrollo Urbano es competente para conocer de las licencias de construcción que se encuentran dentro del territorio del Municipio de </w:t>
      </w:r>
      <w:proofErr w:type="spellStart"/>
      <w:r>
        <w:rPr>
          <w:rFonts w:ascii="Palatino Linotype" w:eastAsia="Palatino Linotype" w:hAnsi="Palatino Linotype" w:cs="Palatino Linotype"/>
        </w:rPr>
        <w:t>Tecamac</w:t>
      </w:r>
      <w:proofErr w:type="spellEnd"/>
      <w:r>
        <w:rPr>
          <w:rFonts w:ascii="Palatino Linotype" w:eastAsia="Palatino Linotype" w:hAnsi="Palatino Linotype" w:cs="Palatino Linotype"/>
        </w:rPr>
        <w:t xml:space="preserve">. </w:t>
      </w:r>
    </w:p>
    <w:p w14:paraId="43D0BEF9" w14:textId="77777777" w:rsidR="007D5504" w:rsidRDefault="007D5504">
      <w:pPr>
        <w:spacing w:line="360" w:lineRule="auto"/>
        <w:jc w:val="both"/>
        <w:rPr>
          <w:rFonts w:ascii="Palatino Linotype" w:eastAsia="Palatino Linotype" w:hAnsi="Palatino Linotype" w:cs="Palatino Linotype"/>
          <w:sz w:val="22"/>
          <w:szCs w:val="22"/>
        </w:rPr>
      </w:pPr>
    </w:p>
    <w:p w14:paraId="3A3B3E88" w14:textId="77777777" w:rsidR="007D5504" w:rsidRDefault="0023391B">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Así pues, es procedente analizar la respuesta que dio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cada uno de los requerimientos y en atención a que se pronunció de</w:t>
      </w:r>
      <w:r>
        <w:rPr>
          <w:rFonts w:ascii="Palatino Linotype" w:eastAsia="Palatino Linotype" w:hAnsi="Palatino Linotype" w:cs="Palatino Linotype"/>
          <w:color w:val="000000"/>
        </w:rPr>
        <w:t xml:space="preserve"> forma específica.</w:t>
      </w:r>
    </w:p>
    <w:p w14:paraId="0DDACCB6" w14:textId="77777777" w:rsidR="007D5504" w:rsidRDefault="007D5504">
      <w:pPr>
        <w:spacing w:line="360" w:lineRule="auto"/>
        <w:jc w:val="both"/>
        <w:rPr>
          <w:rFonts w:ascii="Palatino Linotype" w:eastAsia="Palatino Linotype" w:hAnsi="Palatino Linotype" w:cs="Palatino Linotype"/>
          <w:color w:val="000000"/>
        </w:rPr>
      </w:pPr>
    </w:p>
    <w:p w14:paraId="1DEC2BC6"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caso, el Particular solicitó información relacionada con licencia de construcción de una casa, cuya dirección fue identificada en la solicitud pero que se encuentra dentro del Fraccionamiento Héroes </w:t>
      </w:r>
      <w:proofErr w:type="spellStart"/>
      <w:r>
        <w:rPr>
          <w:rFonts w:ascii="Palatino Linotype" w:eastAsia="Palatino Linotype" w:hAnsi="Palatino Linotype" w:cs="Palatino Linotype"/>
        </w:rPr>
        <w:t>Tecamac</w:t>
      </w:r>
      <w:proofErr w:type="spellEnd"/>
      <w:r>
        <w:rPr>
          <w:rFonts w:ascii="Palatino Linotype" w:eastAsia="Palatino Linotype" w:hAnsi="Palatino Linotype" w:cs="Palatino Linotype"/>
        </w:rPr>
        <w:t xml:space="preserve">; 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través del Director de Desarrollo Urbano; señaló que luego de una búsqueda exhaustiva y razonable de la información solicitada, no se localizó la información solicitada.</w:t>
      </w:r>
    </w:p>
    <w:p w14:paraId="0858139D"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generó la inconformidad del Particular; quien señaló como motivo de inconformidad,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le entregó la información solicitada</w:t>
      </w:r>
    </w:p>
    <w:p w14:paraId="35F528DB" w14:textId="77777777" w:rsidR="007D5504" w:rsidRDefault="0023391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cabe señalar que para generar una construcción o una modificación a un bien inmueble previamente construido, se debe solicitar a los ayuntamientos, ello de conformidad con lo dispuesto en el artículo 18.6  del Código Administrativo del Estado de México.</w:t>
      </w:r>
    </w:p>
    <w:p w14:paraId="192D2397" w14:textId="77777777" w:rsidR="007D5504" w:rsidRDefault="007D5504">
      <w:pPr>
        <w:spacing w:line="360" w:lineRule="auto"/>
        <w:jc w:val="both"/>
        <w:rPr>
          <w:rFonts w:ascii="Palatino Linotype" w:eastAsia="Palatino Linotype" w:hAnsi="Palatino Linotype" w:cs="Palatino Linotype"/>
          <w:sz w:val="22"/>
          <w:szCs w:val="22"/>
        </w:rPr>
      </w:pPr>
    </w:p>
    <w:p w14:paraId="73BB1D03" w14:textId="77777777" w:rsidR="007D5504" w:rsidRDefault="0023391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Así pues,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realizó una búsqueda en sus archivos de la información solicitada por el Particular, y se pronunció el área competente, la cual </w:t>
      </w:r>
      <w:r>
        <w:rPr>
          <w:rFonts w:ascii="Palatino Linotype" w:eastAsia="Palatino Linotype" w:hAnsi="Palatino Linotype" w:cs="Palatino Linotype"/>
        </w:rPr>
        <w:lastRenderedPageBreak/>
        <w:t xml:space="preserve">precisó no contar con la información solicitada, cabe precisar que este Órgano Garante no está facultado para dudar de la veracidad de lo manifestado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6C54EF07" w14:textId="77777777" w:rsidR="007D5504" w:rsidRDefault="007D5504">
      <w:pPr>
        <w:spacing w:line="360" w:lineRule="auto"/>
        <w:ind w:right="49"/>
        <w:jc w:val="both"/>
        <w:rPr>
          <w:rFonts w:ascii="Palatino Linotype" w:eastAsia="Palatino Linotype" w:hAnsi="Palatino Linotype" w:cs="Palatino Linotype"/>
          <w:sz w:val="22"/>
          <w:szCs w:val="22"/>
        </w:rPr>
      </w:pPr>
    </w:p>
    <w:p w14:paraId="1162D1F6" w14:textId="77777777" w:rsidR="007D5504" w:rsidRDefault="0023391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71D8BEF" w14:textId="77777777" w:rsidR="007D5504" w:rsidRDefault="007D5504">
      <w:pPr>
        <w:spacing w:line="360" w:lineRule="auto"/>
        <w:ind w:right="49"/>
        <w:jc w:val="both"/>
        <w:rPr>
          <w:rFonts w:ascii="Palatino Linotype" w:eastAsia="Palatino Linotype" w:hAnsi="Palatino Linotype" w:cs="Palatino Linotype"/>
          <w:sz w:val="22"/>
          <w:szCs w:val="22"/>
        </w:rPr>
      </w:pPr>
    </w:p>
    <w:p w14:paraId="638E00D3" w14:textId="77777777" w:rsidR="007D5504" w:rsidRDefault="0023391B">
      <w:pPr>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9C296E9" w14:textId="77777777" w:rsidR="007D5504" w:rsidRDefault="007D5504">
      <w:pPr>
        <w:spacing w:line="360" w:lineRule="auto"/>
        <w:ind w:right="49"/>
        <w:jc w:val="both"/>
        <w:rPr>
          <w:rFonts w:ascii="Palatino Linotype" w:eastAsia="Palatino Linotype" w:hAnsi="Palatino Linotype" w:cs="Palatino Linotype"/>
          <w:sz w:val="22"/>
          <w:szCs w:val="22"/>
        </w:rPr>
      </w:pPr>
    </w:p>
    <w:p w14:paraId="192456F1"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toda vez que no posee, administra ni genera la información requerida por el particular, constituye un hecho negativo; entonces, si se considera el hecho negativo, es obvio que éste no puede fácticamente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ya que no puede probarse por ser lógica y materialmente imposible.</w:t>
      </w:r>
    </w:p>
    <w:p w14:paraId="22281D6A"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no se trata de un caso por el cual la negación del hecho implique la afirmación del mismo, simplemente se está ante una notoria y evidente inexistencia fáctica de la información solicitada.</w:t>
      </w:r>
    </w:p>
    <w:p w14:paraId="77FD3862"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4868EF61" w14:textId="77777777" w:rsidR="007D5504" w:rsidRDefault="0023391B">
      <w:pPr>
        <w:spacing w:line="360" w:lineRule="auto"/>
        <w:ind w:left="860"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HECHOS NEGATIVOS, NO SON SUSCEPTIBLES DE DEMOSTRACIÓN.</w:t>
      </w:r>
    </w:p>
    <w:p w14:paraId="7CB425BD" w14:textId="77777777" w:rsidR="007D5504" w:rsidRDefault="0023391B">
      <w:pPr>
        <w:spacing w:line="360" w:lineRule="auto"/>
        <w:ind w:left="860"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Tratándose de un hecho negativo, el Juez no tiene </w:t>
      </w:r>
      <w:proofErr w:type="spellStart"/>
      <w:r>
        <w:rPr>
          <w:rFonts w:ascii="Palatino Linotype" w:eastAsia="Palatino Linotype" w:hAnsi="Palatino Linotype" w:cs="Palatino Linotype"/>
          <w:i/>
          <w:sz w:val="22"/>
          <w:szCs w:val="22"/>
        </w:rPr>
        <w:t>por que</w:t>
      </w:r>
      <w:proofErr w:type="spellEnd"/>
      <w:r>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2618CB22" w14:textId="77777777" w:rsidR="007D5504" w:rsidRDefault="0023391B">
      <w:pPr>
        <w:spacing w:line="360" w:lineRule="auto"/>
        <w:ind w:left="860"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20359A6A"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y de conformidad con lo establecido en el artículo 12 de la Ley de Transparencia y Acceso a la Información Pública del Estado de México y Municipios, anteriormente invocado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sólo proporcionará la información que obra en sus archivos, lo que a</w:t>
      </w:r>
      <w:r>
        <w:rPr>
          <w:rFonts w:ascii="Palatino Linotype" w:eastAsia="Palatino Linotype" w:hAnsi="Palatino Linotype" w:cs="Palatino Linotype"/>
          <w:i/>
        </w:rPr>
        <w:t xml:space="preserve"> contrario sensu</w:t>
      </w:r>
      <w:r>
        <w:rPr>
          <w:rFonts w:ascii="Palatino Linotype" w:eastAsia="Palatino Linotype" w:hAnsi="Palatino Linotype" w:cs="Palatino Linotype"/>
        </w:rPr>
        <w:t xml:space="preserve"> significa que no se está obligado a proporcionar lo que no obre en sus archivos; por ende, las razones o motivos de inconformidad al respecto devienen infundados.</w:t>
      </w:r>
    </w:p>
    <w:p w14:paraId="43719DCA" w14:textId="77777777" w:rsidR="007D5504" w:rsidRDefault="0023391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78BF1A95" w14:textId="77777777" w:rsidR="007D5504" w:rsidRDefault="007D5504">
      <w:pPr>
        <w:tabs>
          <w:tab w:val="left" w:pos="4962"/>
        </w:tabs>
        <w:spacing w:line="360" w:lineRule="auto"/>
        <w:ind w:right="49"/>
        <w:jc w:val="both"/>
        <w:rPr>
          <w:rFonts w:ascii="Palatino Linotype" w:eastAsia="Palatino Linotype" w:hAnsi="Palatino Linotype" w:cs="Palatino Linotype"/>
          <w:sz w:val="22"/>
          <w:szCs w:val="22"/>
        </w:rPr>
      </w:pPr>
    </w:p>
    <w:p w14:paraId="566BBBEA" w14:textId="77777777" w:rsidR="007D5504" w:rsidRDefault="0023391B">
      <w:pPr>
        <w:tabs>
          <w:tab w:val="left" w:pos="4962"/>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relación con lo anterior, se entiende que el SUJETO OBLIGADO se encuentra imposibilitado de hacer entrega de la información específica que solicita el Particular, en razón de que esta no obra en sus archivos al no haberse generado,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7E14EE86" w14:textId="77777777" w:rsidR="007D5504" w:rsidRDefault="007D5504">
      <w:pPr>
        <w:tabs>
          <w:tab w:val="left" w:pos="4962"/>
        </w:tabs>
        <w:spacing w:line="360" w:lineRule="auto"/>
        <w:ind w:right="49"/>
        <w:jc w:val="both"/>
        <w:rPr>
          <w:rFonts w:ascii="Palatino Linotype" w:eastAsia="Palatino Linotype" w:hAnsi="Palatino Linotype" w:cs="Palatino Linotype"/>
        </w:rPr>
      </w:pPr>
    </w:p>
    <w:p w14:paraId="040F87D0" w14:textId="77777777" w:rsidR="007D5504" w:rsidRDefault="0023391B">
      <w:pPr>
        <w:tabs>
          <w:tab w:val="left" w:pos="4962"/>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de la revisión a los motivos de inconformidad señalados por el recurrente el formato previsto para tales efectos, se precisa que éste siente agravio por: </w:t>
      </w:r>
      <w:r>
        <w:rPr>
          <w:rFonts w:ascii="Palatino Linotype" w:eastAsia="Palatino Linotype" w:hAnsi="Palatino Linotype" w:cs="Palatino Linotype"/>
          <w:i/>
        </w:rPr>
        <w:t xml:space="preserve">"... toda vez que la autoridad niega la información haciendo alusión a: "... que para tener acceso a dicha información, deberá acreditar su interés jurídico o legítimo del bien inmueble en mención, así como acreditar la personalidad, ya que dicha información tiene el carácter de clasificada...". </w:t>
      </w:r>
      <w:proofErr w:type="spellStart"/>
      <w:r>
        <w:rPr>
          <w:rFonts w:ascii="Palatino Linotype" w:eastAsia="Palatino Linotype" w:hAnsi="Palatino Linotype" w:cs="Palatino Linotype"/>
          <w:i/>
        </w:rPr>
        <w:t>Siutación</w:t>
      </w:r>
      <w:proofErr w:type="spellEnd"/>
      <w:r>
        <w:rPr>
          <w:rFonts w:ascii="Palatino Linotype" w:eastAsia="Palatino Linotype" w:hAnsi="Palatino Linotype" w:cs="Palatino Linotype"/>
          <w:i/>
        </w:rPr>
        <w:t xml:space="preserve"> que a todas luces resulta contraria a derecho…” (Sic)</w:t>
      </w:r>
    </w:p>
    <w:p w14:paraId="62D9F739" w14:textId="77777777" w:rsidR="007D5504" w:rsidRDefault="002339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de recordar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no refiere la existencia de la información  peticionada por el particular, por el contrario </w:t>
      </w:r>
      <w:r>
        <w:rPr>
          <w:rFonts w:ascii="Palatino Linotype" w:eastAsia="Palatino Linotype" w:hAnsi="Palatino Linotype" w:cs="Palatino Linotype"/>
        </w:rPr>
        <w:lastRenderedPageBreak/>
        <w:t xml:space="preserve">a través de la Dirección de Desarrollo Urbano refiere que,  después de realizar una búsqueda en sus archivos no se encontró con documental que diera cuenta de la petición del particular. </w:t>
      </w:r>
    </w:p>
    <w:p w14:paraId="5EEE3C8B"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cuanto al pronunciamiento hecho por el  Titular de la Unidad de Transparencia, en el que señala que no resultaba posible conceder el acceso a las licencias de construcción de inmuebles en específico en consideración a que las mismas son de carácter clasificado. </w:t>
      </w:r>
    </w:p>
    <w:p w14:paraId="74957D7B" w14:textId="77777777" w:rsidR="007D5504" w:rsidRDefault="007D5504">
      <w:pPr>
        <w:shd w:val="clear" w:color="auto" w:fill="FFFFFF"/>
        <w:spacing w:line="360" w:lineRule="auto"/>
        <w:jc w:val="both"/>
        <w:rPr>
          <w:rFonts w:ascii="Palatino Linotype" w:eastAsia="Palatino Linotype" w:hAnsi="Palatino Linotype" w:cs="Palatino Linotype"/>
        </w:rPr>
      </w:pPr>
    </w:p>
    <w:p w14:paraId="25FBC17C" w14:textId="77777777" w:rsidR="007D5504" w:rsidRDefault="0023391B">
      <w:pPr>
        <w:spacing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Resulta necesario hacer referencia que las licencias de construcción corresponde a las obligaciones de Transparencia Común contenidas en el catálogo que refiere el artículo 92 fracción XXXII de la Ley en la materia, que a la letra dice:</w:t>
      </w:r>
    </w:p>
    <w:p w14:paraId="463A77CE" w14:textId="77777777" w:rsidR="007D5504" w:rsidRDefault="007D5504">
      <w:pPr>
        <w:pBdr>
          <w:top w:val="nil"/>
          <w:left w:val="nil"/>
          <w:bottom w:val="nil"/>
          <w:right w:val="nil"/>
          <w:between w:val="nil"/>
        </w:pBdr>
        <w:ind w:left="708"/>
        <w:rPr>
          <w:rFonts w:ascii="Palatino Linotype" w:eastAsia="Palatino Linotype" w:hAnsi="Palatino Linotype" w:cs="Palatino Linotype"/>
          <w:i/>
          <w:color w:val="000000"/>
        </w:rPr>
      </w:pPr>
    </w:p>
    <w:p w14:paraId="4C12F7CC" w14:textId="77777777" w:rsidR="007D5504" w:rsidRDefault="0023391B">
      <w:pPr>
        <w:pBdr>
          <w:top w:val="nil"/>
          <w:left w:val="nil"/>
          <w:bottom w:val="nil"/>
          <w:right w:val="nil"/>
          <w:between w:val="nil"/>
        </w:pBdr>
        <w:ind w:left="708"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92.</w:t>
      </w:r>
      <w:r>
        <w:rPr>
          <w:rFonts w:ascii="Palatino Linotype" w:eastAsia="Palatino Linotype" w:hAnsi="Palatino Linotype" w:cs="Palatino Linotype"/>
          <w:i/>
          <w:color w:val="00000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B91E69" w14:textId="77777777" w:rsidR="007D5504" w:rsidRDefault="0023391B">
      <w:pPr>
        <w:pBdr>
          <w:top w:val="nil"/>
          <w:left w:val="nil"/>
          <w:bottom w:val="nil"/>
          <w:right w:val="nil"/>
          <w:between w:val="nil"/>
        </w:pBdr>
        <w:ind w:left="708"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6ED058B1" w14:textId="77777777" w:rsidR="007D5504" w:rsidRDefault="007D5504">
      <w:pPr>
        <w:pBdr>
          <w:top w:val="nil"/>
          <w:left w:val="nil"/>
          <w:bottom w:val="nil"/>
          <w:right w:val="nil"/>
          <w:between w:val="nil"/>
        </w:pBdr>
        <w:ind w:left="708" w:right="567"/>
        <w:jc w:val="both"/>
        <w:rPr>
          <w:rFonts w:ascii="Palatino Linotype" w:eastAsia="Palatino Linotype" w:hAnsi="Palatino Linotype" w:cs="Palatino Linotype"/>
          <w:i/>
          <w:color w:val="000000"/>
        </w:rPr>
      </w:pPr>
    </w:p>
    <w:p w14:paraId="49E76122" w14:textId="77777777" w:rsidR="007D5504" w:rsidRDefault="0023391B">
      <w:pPr>
        <w:pBdr>
          <w:top w:val="nil"/>
          <w:left w:val="nil"/>
          <w:bottom w:val="nil"/>
          <w:right w:val="nil"/>
          <w:between w:val="nil"/>
        </w:pBdr>
        <w:ind w:left="708"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XXXII. Las </w:t>
      </w:r>
      <w:r>
        <w:rPr>
          <w:rFonts w:ascii="Palatino Linotype" w:eastAsia="Palatino Linotype" w:hAnsi="Palatino Linotype" w:cs="Palatino Linotype"/>
          <w:i/>
          <w:color w:val="000000"/>
        </w:rPr>
        <w:t xml:space="preserve">concesiones, contratos, convenios, permisos, </w:t>
      </w:r>
      <w:r>
        <w:rPr>
          <w:rFonts w:ascii="Palatino Linotype" w:eastAsia="Palatino Linotype" w:hAnsi="Palatino Linotype" w:cs="Palatino Linotype"/>
          <w:b/>
          <w:i/>
          <w:color w:val="000000"/>
        </w:rPr>
        <w:t>licencias</w:t>
      </w:r>
      <w:r>
        <w:rPr>
          <w:rFonts w:ascii="Palatino Linotype" w:eastAsia="Palatino Linotype" w:hAnsi="Palatino Linotype" w:cs="Palatino Linotype"/>
          <w:i/>
          <w:color w:val="000000"/>
        </w:rPr>
        <w:t xml:space="preserve"> o autorizaciones otorgados, </w:t>
      </w:r>
      <w:r>
        <w:rPr>
          <w:rFonts w:ascii="Palatino Linotype" w:eastAsia="Palatino Linotype" w:hAnsi="Palatino Linotype" w:cs="Palatino Linotype"/>
          <w:b/>
          <w:i/>
          <w:color w:val="000000"/>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C861F4E" w14:textId="77777777" w:rsidR="007D5504" w:rsidRDefault="0023391B">
      <w:pPr>
        <w:pBdr>
          <w:top w:val="nil"/>
          <w:left w:val="nil"/>
          <w:bottom w:val="nil"/>
          <w:right w:val="nil"/>
          <w:between w:val="nil"/>
        </w:pBdr>
        <w:ind w:left="708"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(Sic)</w:t>
      </w:r>
    </w:p>
    <w:p w14:paraId="506BD7E4" w14:textId="77777777" w:rsidR="007D5504" w:rsidRDefault="007D5504">
      <w:pPr>
        <w:shd w:val="clear" w:color="auto" w:fill="FFFFFF"/>
        <w:spacing w:line="360" w:lineRule="auto"/>
        <w:jc w:val="both"/>
        <w:rPr>
          <w:rFonts w:ascii="Palatino Linotype" w:eastAsia="Palatino Linotype" w:hAnsi="Palatino Linotype" w:cs="Palatino Linotype"/>
        </w:rPr>
      </w:pPr>
    </w:p>
    <w:p w14:paraId="54461686"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Al respecto, cabe precisar de manera genérica que  las Licencias de Construcción, pueden contar con diversos datos, entre los que se encuentran el número de licencia, el nombre del solicitante en los casos de persona jurídico colectiva, ubicación del predio o inmueble, uso de suelo, información relacionada con el proyecto (densidad de la vivienda, altura máxima, cajones de estacionamiento, normatividad y obligaciones), vigencia de la licencia, lugar y fecha en que se expide y el nombre, cargo y firma del servidor público que autoriza la misma, los cuales son de carácter público al no ser datos susceptibles a clasificarse como confidenciales, en términos del artículo 143 de la Ley de la materia, toda vez que los mismos están directamente relacionados con la emisión del permiso y el ejercicio de atribuciones legales.</w:t>
      </w:r>
    </w:p>
    <w:p w14:paraId="1FDB0493" w14:textId="77777777" w:rsidR="007D5504" w:rsidRDefault="007D5504">
      <w:pPr>
        <w:shd w:val="clear" w:color="auto" w:fill="FFFFFF"/>
        <w:spacing w:line="360" w:lineRule="auto"/>
        <w:jc w:val="both"/>
        <w:rPr>
          <w:rFonts w:ascii="Palatino Linotype" w:eastAsia="Palatino Linotype" w:hAnsi="Palatino Linotype" w:cs="Palatino Linotype"/>
        </w:rPr>
      </w:pPr>
    </w:p>
    <w:p w14:paraId="304B327A"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dichos documentos contienen otros, tales como el nombre de personas físicas, domicilio del solicitante; así como, la clave catastral del predio correspondiente a la multicitadas licencias, los cuales pudieran ser considerados como datos confidenciales, lo cual no resulta un impedimento para efectos de permitir a los ciudadanos acceder a estas licencias en un versión pública. </w:t>
      </w:r>
    </w:p>
    <w:p w14:paraId="4FDC3934" w14:textId="77777777" w:rsidR="007D5504" w:rsidRDefault="007D5504">
      <w:pPr>
        <w:shd w:val="clear" w:color="auto" w:fill="FFFFFF"/>
        <w:spacing w:line="360" w:lineRule="auto"/>
        <w:jc w:val="both"/>
        <w:rPr>
          <w:rFonts w:ascii="Palatino Linotype" w:eastAsia="Palatino Linotype" w:hAnsi="Palatino Linotype" w:cs="Palatino Linotype"/>
        </w:rPr>
      </w:pPr>
    </w:p>
    <w:p w14:paraId="4E8B5349"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orden de ideas,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w:t>
      </w:r>
      <w:r>
        <w:rPr>
          <w:rFonts w:ascii="Palatino Linotype" w:eastAsia="Palatino Linotype" w:hAnsi="Palatino Linotype" w:cs="Palatino Linotype"/>
        </w:rPr>
        <w:lastRenderedPageBreak/>
        <w:t>supuestos de excepción a los principios que rijan el tratamiento de datos, por razones de seguridad nacional, disposiciones de orden público, seguridad y salud públicas o para proteger los derechos de terceros.</w:t>
      </w:r>
    </w:p>
    <w:p w14:paraId="5206F7BA" w14:textId="77777777" w:rsidR="007D5504" w:rsidRDefault="007D5504">
      <w:pPr>
        <w:shd w:val="clear" w:color="auto" w:fill="FFFFFF"/>
        <w:spacing w:line="360" w:lineRule="auto"/>
        <w:jc w:val="both"/>
        <w:rPr>
          <w:rFonts w:ascii="Palatino Linotype" w:eastAsia="Palatino Linotype" w:hAnsi="Palatino Linotype" w:cs="Palatino Linotype"/>
          <w:sz w:val="22"/>
          <w:szCs w:val="22"/>
        </w:rPr>
      </w:pPr>
    </w:p>
    <w:p w14:paraId="705A7D19"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A7E22D0" w14:textId="77777777" w:rsidR="007D5504" w:rsidRDefault="007D5504">
      <w:pPr>
        <w:shd w:val="clear" w:color="auto" w:fill="FFFFFF"/>
        <w:spacing w:line="360" w:lineRule="auto"/>
        <w:jc w:val="both"/>
        <w:rPr>
          <w:rFonts w:ascii="Palatino Linotype" w:eastAsia="Palatino Linotype" w:hAnsi="Palatino Linotype" w:cs="Palatino Linotype"/>
          <w:sz w:val="22"/>
          <w:szCs w:val="22"/>
        </w:rPr>
      </w:pPr>
    </w:p>
    <w:p w14:paraId="340A73C8"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008A0EB" w14:textId="77777777" w:rsidR="007D5504" w:rsidRDefault="007D5504">
      <w:pPr>
        <w:shd w:val="clear" w:color="auto" w:fill="FFFFFF"/>
        <w:spacing w:line="360" w:lineRule="auto"/>
        <w:jc w:val="both"/>
        <w:rPr>
          <w:rFonts w:ascii="Palatino Linotype" w:eastAsia="Palatino Linotype" w:hAnsi="Palatino Linotype" w:cs="Palatino Linotype"/>
          <w:sz w:val="22"/>
          <w:szCs w:val="22"/>
        </w:rPr>
      </w:pPr>
    </w:p>
    <w:p w14:paraId="36120202"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BE3C7C3" w14:textId="77777777" w:rsidR="007D5504" w:rsidRDefault="007D5504">
      <w:pPr>
        <w:shd w:val="clear" w:color="auto" w:fill="FFFFFF"/>
        <w:spacing w:line="360" w:lineRule="auto"/>
        <w:jc w:val="both"/>
        <w:rPr>
          <w:rFonts w:ascii="Palatino Linotype" w:eastAsia="Palatino Linotype" w:hAnsi="Palatino Linotype" w:cs="Palatino Linotype"/>
          <w:sz w:val="22"/>
          <w:szCs w:val="22"/>
        </w:rPr>
      </w:pPr>
    </w:p>
    <w:p w14:paraId="1C737728"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4AF01FD" w14:textId="77777777" w:rsidR="007D5504" w:rsidRDefault="007D5504">
      <w:pPr>
        <w:shd w:val="clear" w:color="auto" w:fill="FFFFFF"/>
        <w:spacing w:line="360" w:lineRule="auto"/>
        <w:jc w:val="both"/>
        <w:rPr>
          <w:rFonts w:ascii="Palatino Linotype" w:eastAsia="Palatino Linotype" w:hAnsi="Palatino Linotype" w:cs="Palatino Linotype"/>
        </w:rPr>
      </w:pPr>
    </w:p>
    <w:p w14:paraId="18EC1331"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transmitan entre sujetos obligados en términos de los tratados y los acuerdos interinstitucionales.</w:t>
      </w:r>
    </w:p>
    <w:p w14:paraId="33A8EED5" w14:textId="77777777" w:rsidR="007D5504" w:rsidRDefault="007D5504">
      <w:pPr>
        <w:shd w:val="clear" w:color="auto" w:fill="FFFFFF"/>
        <w:spacing w:line="360" w:lineRule="auto"/>
        <w:jc w:val="both"/>
        <w:rPr>
          <w:rFonts w:ascii="Palatino Linotype" w:eastAsia="Palatino Linotype" w:hAnsi="Palatino Linotype" w:cs="Palatino Linotype"/>
          <w:sz w:val="22"/>
          <w:szCs w:val="22"/>
        </w:rPr>
      </w:pPr>
    </w:p>
    <w:p w14:paraId="72DF2569"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14:paraId="75AB2AA5" w14:textId="77777777" w:rsidR="007D5504" w:rsidRDefault="007D5504">
      <w:pPr>
        <w:shd w:val="clear" w:color="auto" w:fill="FFFFFF"/>
        <w:spacing w:line="360" w:lineRule="auto"/>
        <w:jc w:val="both"/>
        <w:rPr>
          <w:rFonts w:ascii="Palatino Linotype" w:eastAsia="Palatino Linotype" w:hAnsi="Palatino Linotype" w:cs="Palatino Linotype"/>
        </w:rPr>
      </w:pPr>
    </w:p>
    <w:p w14:paraId="429005BC" w14:textId="77777777" w:rsidR="007D5504" w:rsidRDefault="0023391B">
      <w:pPr>
        <w:numPr>
          <w:ilvl w:val="0"/>
          <w:numId w:val="1"/>
        </w:num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 trate de datos personales o información privada; esto es, información concerniente a una persona física o jurídico colectiva y que esta sea identificada o identificable. </w:t>
      </w:r>
    </w:p>
    <w:p w14:paraId="2A38D8A3" w14:textId="77777777" w:rsidR="007D5504" w:rsidRDefault="007D5504">
      <w:pPr>
        <w:shd w:val="clear" w:color="auto" w:fill="FFFFFF"/>
        <w:spacing w:line="360" w:lineRule="auto"/>
        <w:jc w:val="both"/>
        <w:rPr>
          <w:rFonts w:ascii="Palatino Linotype" w:eastAsia="Palatino Linotype" w:hAnsi="Palatino Linotype" w:cs="Palatino Linotype"/>
        </w:rPr>
      </w:pPr>
    </w:p>
    <w:p w14:paraId="61DBA8CC" w14:textId="77777777" w:rsidR="007D5504" w:rsidRDefault="0023391B">
      <w:pPr>
        <w:numPr>
          <w:ilvl w:val="0"/>
          <w:numId w:val="1"/>
        </w:num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Para la difusión de los datos, se requiera el consentimiento del titular. </w:t>
      </w:r>
    </w:p>
    <w:p w14:paraId="42E7942B" w14:textId="77777777" w:rsidR="007D5504" w:rsidRDefault="007D5504">
      <w:pPr>
        <w:shd w:val="clear" w:color="auto" w:fill="FFFFFF"/>
        <w:spacing w:line="360" w:lineRule="auto"/>
        <w:jc w:val="both"/>
        <w:rPr>
          <w:rFonts w:ascii="Palatino Linotype" w:eastAsia="Palatino Linotype" w:hAnsi="Palatino Linotype" w:cs="Palatino Linotype"/>
          <w:sz w:val="22"/>
          <w:szCs w:val="22"/>
        </w:rPr>
      </w:pPr>
    </w:p>
    <w:p w14:paraId="492C0B57"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w:t>
      </w:r>
      <w:r>
        <w:rPr>
          <w:rFonts w:ascii="Palatino Linotype" w:eastAsia="Palatino Linotype" w:hAnsi="Palatino Linotype" w:cs="Palatino Linotype"/>
        </w:rPr>
        <w:lastRenderedPageBreak/>
        <w:t xml:space="preserve">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9BBDAA7" w14:textId="77777777" w:rsidR="007D5504" w:rsidRDefault="007D5504">
      <w:pPr>
        <w:shd w:val="clear" w:color="auto" w:fill="FFFFFF"/>
        <w:spacing w:line="360" w:lineRule="auto"/>
        <w:jc w:val="both"/>
        <w:rPr>
          <w:rFonts w:ascii="Palatino Linotype" w:eastAsia="Palatino Linotype" w:hAnsi="Palatino Linotype" w:cs="Palatino Linotype"/>
        </w:rPr>
      </w:pPr>
    </w:p>
    <w:p w14:paraId="76C00E88"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0FA7DC1" w14:textId="77777777" w:rsidR="007D5504" w:rsidRDefault="007D5504">
      <w:pPr>
        <w:shd w:val="clear" w:color="auto" w:fill="FFFFFF"/>
        <w:spacing w:line="360" w:lineRule="auto"/>
        <w:jc w:val="both"/>
        <w:rPr>
          <w:rFonts w:ascii="Palatino Linotype" w:eastAsia="Palatino Linotype" w:hAnsi="Palatino Linotype" w:cs="Palatino Linotype"/>
          <w:sz w:val="22"/>
          <w:szCs w:val="22"/>
        </w:rPr>
      </w:pPr>
    </w:p>
    <w:p w14:paraId="64B722D0"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0BF6D43" w14:textId="77777777" w:rsidR="007D5504" w:rsidRDefault="007D5504">
      <w:pPr>
        <w:shd w:val="clear" w:color="auto" w:fill="FFFFFF"/>
        <w:spacing w:line="360" w:lineRule="auto"/>
        <w:jc w:val="both"/>
        <w:rPr>
          <w:rFonts w:ascii="Palatino Linotype" w:eastAsia="Palatino Linotype" w:hAnsi="Palatino Linotype" w:cs="Palatino Linotype"/>
          <w:sz w:val="22"/>
          <w:szCs w:val="22"/>
        </w:rPr>
      </w:pPr>
    </w:p>
    <w:p w14:paraId="2ACF8C2B" w14:textId="77777777" w:rsidR="007D5504" w:rsidRDefault="0023391B">
      <w:pPr>
        <w:shd w:val="clear" w:color="auto" w:fill="FFFFFF"/>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En este contexto, la confidencialidad de los datos personales, tiene por objetivo establecer el límite del derecho de acceso a la información a partir del derecho a la intimidad y la vida privada de los individuos. Sobre el particular, el legislador </w:t>
      </w:r>
      <w:r>
        <w:rPr>
          <w:rFonts w:ascii="Palatino Linotype" w:eastAsia="Palatino Linotype" w:hAnsi="Palatino Linotype" w:cs="Palatino Linotype"/>
        </w:rPr>
        <w:lastRenderedPageBreak/>
        <w:t>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r>
        <w:rPr>
          <w:rFonts w:ascii="Palatino Linotype" w:eastAsia="Palatino Linotype" w:hAnsi="Palatino Linotype" w:cs="Palatino Linotype"/>
          <w:sz w:val="22"/>
          <w:szCs w:val="22"/>
        </w:rPr>
        <w:t>.</w:t>
      </w:r>
    </w:p>
    <w:p w14:paraId="77410584" w14:textId="77777777" w:rsidR="007D5504" w:rsidRDefault="007D5504">
      <w:pPr>
        <w:shd w:val="clear" w:color="auto" w:fill="FFFFFF"/>
        <w:spacing w:line="360" w:lineRule="auto"/>
        <w:jc w:val="both"/>
        <w:rPr>
          <w:rFonts w:ascii="Palatino Linotype" w:eastAsia="Palatino Linotype" w:hAnsi="Palatino Linotype" w:cs="Palatino Linotype"/>
        </w:rPr>
      </w:pPr>
    </w:p>
    <w:p w14:paraId="147D8620"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suerte, las instituciones públicas tienen la doble responsabilidad, por un lado de proteger los datos personales y por otro, darles publicidad cuando la relevancia de esos datos sea de interés público.</w:t>
      </w:r>
    </w:p>
    <w:p w14:paraId="2E8F4621" w14:textId="77777777" w:rsidR="007D5504" w:rsidRDefault="007D5504">
      <w:pPr>
        <w:shd w:val="clear" w:color="auto" w:fill="FFFFFF"/>
        <w:spacing w:line="360" w:lineRule="auto"/>
        <w:jc w:val="both"/>
        <w:rPr>
          <w:rFonts w:ascii="Palatino Linotype" w:eastAsia="Palatino Linotype" w:hAnsi="Palatino Linotype" w:cs="Palatino Linotype"/>
          <w:sz w:val="22"/>
          <w:szCs w:val="22"/>
        </w:rPr>
      </w:pPr>
    </w:p>
    <w:p w14:paraId="498224EC"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20CF4FC6" w14:textId="77777777" w:rsidR="007D5504" w:rsidRDefault="007D5504">
      <w:pPr>
        <w:shd w:val="clear" w:color="auto" w:fill="FFFFFF"/>
        <w:spacing w:line="360" w:lineRule="auto"/>
        <w:jc w:val="both"/>
        <w:rPr>
          <w:rFonts w:ascii="Palatino Linotype" w:eastAsia="Palatino Linotype" w:hAnsi="Palatino Linotype" w:cs="Palatino Linotype"/>
          <w:sz w:val="22"/>
          <w:szCs w:val="22"/>
        </w:rPr>
      </w:pPr>
    </w:p>
    <w:p w14:paraId="4C3410D5"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w:t>
      </w:r>
      <w:r>
        <w:rPr>
          <w:rFonts w:ascii="Palatino Linotype" w:eastAsia="Palatino Linotype" w:hAnsi="Palatino Linotype" w:cs="Palatino Linotype"/>
        </w:rPr>
        <w:lastRenderedPageBreak/>
        <w:t xml:space="preserve">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w:t>
      </w:r>
      <w:proofErr w:type="spellStart"/>
      <w:r>
        <w:rPr>
          <w:rFonts w:ascii="Palatino Linotype" w:eastAsia="Palatino Linotype" w:hAnsi="Palatino Linotype" w:cs="Palatino Linotype"/>
        </w:rPr>
        <w:t>aún</w:t>
      </w:r>
      <w:proofErr w:type="spellEnd"/>
      <w:r>
        <w:rPr>
          <w:rFonts w:ascii="Palatino Linotype" w:eastAsia="Palatino Linotype" w:hAnsi="Palatino Linotype" w:cs="Palatino Linotype"/>
        </w:rPr>
        <w:t xml:space="preserve"> tratándose de información personal.</w:t>
      </w:r>
    </w:p>
    <w:p w14:paraId="0476942C" w14:textId="77777777" w:rsidR="007D5504" w:rsidRDefault="007D5504">
      <w:pPr>
        <w:shd w:val="clear" w:color="auto" w:fill="FFFFFF"/>
        <w:spacing w:line="360" w:lineRule="auto"/>
        <w:jc w:val="both"/>
        <w:rPr>
          <w:rFonts w:ascii="Palatino Linotype" w:eastAsia="Palatino Linotype" w:hAnsi="Palatino Linotype" w:cs="Palatino Linotype"/>
          <w:sz w:val="22"/>
          <w:szCs w:val="22"/>
        </w:rPr>
      </w:pPr>
    </w:p>
    <w:p w14:paraId="541F18D3"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8084360" w14:textId="77777777" w:rsidR="007D5504" w:rsidRDefault="007D550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00D82DC" w14:textId="77777777" w:rsidR="007D5504" w:rsidRDefault="0023391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entre los datos que se destacan se encuentra dentro de los expedientes formados con motivo de la emisión de las licencias de construcción se encuentra, clave catastral,   edad, sexo, folio de nacionalidad, clave de elector, CURP y huella dactilar datos que son meramente personales y su divulgación trae consigo demás información que pudiera vulnerar la esfera más íntima de su titular si fuera difundida. Además, como se ha señalado, su uso es principalmente como documento oficial de identificación, documento con el cual se acredita la propiedad o posesión del bien inmueble. En consecuencia, al igual que los documentos anteriores, deberá ser clasificado en su totalidad como confidencial, por lo que el </w:t>
      </w:r>
      <w:r>
        <w:rPr>
          <w:rFonts w:ascii="Palatino Linotype" w:eastAsia="Palatino Linotype" w:hAnsi="Palatino Linotype" w:cs="Palatino Linotype"/>
          <w:color w:val="000000"/>
        </w:rPr>
        <w:lastRenderedPageBreak/>
        <w:t>Sujeto Obligado deberá elaborar el acuerdo de clasificación correspondiente, de acuerdo al siguiente apartado.</w:t>
      </w:r>
    </w:p>
    <w:p w14:paraId="2161E241" w14:textId="77777777" w:rsidR="007D5504" w:rsidRDefault="007D5504">
      <w:pPr>
        <w:shd w:val="clear" w:color="auto" w:fill="FFFFFF"/>
        <w:spacing w:line="360" w:lineRule="auto"/>
        <w:jc w:val="both"/>
        <w:rPr>
          <w:rFonts w:ascii="Palatino Linotype" w:eastAsia="Palatino Linotype" w:hAnsi="Palatino Linotype" w:cs="Palatino Linotype"/>
          <w:sz w:val="8"/>
          <w:szCs w:val="8"/>
        </w:rPr>
      </w:pPr>
    </w:p>
    <w:p w14:paraId="43319129" w14:textId="77777777" w:rsidR="007D5504" w:rsidRDefault="0023391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Para dar cumplimiento a lo anterior, cuando deba clasificarse parte de la información que contiene un documento (esto es, que se genere una versión pública) o el documento en su totalidad, se deberá acompañar del Acuerdo del Comité de Transparencia en el que se funden y motiven las razones de la limitación al derecho de acceso a la información en razón de la clasificación</w:t>
      </w:r>
      <w:r>
        <w:rPr>
          <w:rFonts w:ascii="Palatino Linotype" w:eastAsia="Palatino Linotype" w:hAnsi="Palatino Linotype" w:cs="Palatino Linotype"/>
        </w:rPr>
        <w:t xml:space="preserve">. </w:t>
      </w:r>
    </w:p>
    <w:p w14:paraId="5F9AA630" w14:textId="77777777" w:rsidR="007D5504" w:rsidRDefault="0023391B">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rPr>
        <w:t>Así, con fundamento en lo prescrito en los artículos 5 párrafos trigésimo, trigésimo primero y trigésimo segundo</w:t>
      </w:r>
      <w:r>
        <w:rPr>
          <w:rFonts w:ascii="Palatino Linotype" w:eastAsia="Palatino Linotype" w:hAnsi="Palatino Linotype" w:cs="Palatino Linotype"/>
          <w:highlight w:val="white"/>
        </w:rPr>
        <w:t xml:space="preserve"> fracciones IV y V de la </w:t>
      </w:r>
      <w:r>
        <w:rPr>
          <w:rFonts w:ascii="Palatino Linotype" w:eastAsia="Palatino Linotype" w:hAnsi="Palatino Linotype" w:cs="Palatino Linotype"/>
        </w:rPr>
        <w:t>Constitución Política del Estado Libre y Soberano de México; 2, fracción II; 29, 36 fracciones I y II; 176, 178, 181, 185, fracción I, 186 y 188 de la Ley de Transparencia y Acceso a la Información Pública del Estado de México y Municipios, este Pleno:</w:t>
      </w:r>
    </w:p>
    <w:p w14:paraId="4AE6668A" w14:textId="77777777" w:rsidR="007D5504" w:rsidRDefault="007D5504">
      <w:pPr>
        <w:spacing w:before="240" w:after="240" w:line="360" w:lineRule="auto"/>
        <w:ind w:right="51"/>
        <w:jc w:val="both"/>
        <w:rPr>
          <w:rFonts w:ascii="Palatino Linotype" w:eastAsia="Palatino Linotype" w:hAnsi="Palatino Linotype" w:cs="Palatino Linotype"/>
          <w:b/>
          <w:color w:val="FF0000"/>
        </w:rPr>
      </w:pPr>
    </w:p>
    <w:p w14:paraId="03F89394" w14:textId="77777777" w:rsidR="007D5504" w:rsidRDefault="0023391B">
      <w:pPr>
        <w:numPr>
          <w:ilvl w:val="0"/>
          <w:numId w:val="3"/>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72424744" w14:textId="77777777" w:rsidR="007D5504" w:rsidRDefault="0023391B">
      <w:pPr>
        <w:widowControl w:val="0"/>
        <w:pBdr>
          <w:top w:val="nil"/>
          <w:left w:val="nil"/>
          <w:bottom w:val="nil"/>
          <w:right w:val="nil"/>
          <w:between w:val="nil"/>
        </w:pBdr>
        <w:spacing w:line="405"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Primero.</w:t>
      </w:r>
      <w:r>
        <w:rPr>
          <w:rFonts w:ascii="Palatino Linotype" w:eastAsia="Palatino Linotype" w:hAnsi="Palatino Linotype" w:cs="Palatino Linotype"/>
          <w:color w:val="000000"/>
        </w:rPr>
        <w:t xml:space="preserve"> Resultan infundados los motivos de inconformidad aducidos por la parte recurrente en el recurso de revisión </w:t>
      </w:r>
      <w:r>
        <w:rPr>
          <w:rFonts w:ascii="Palatino Linotype" w:eastAsia="Palatino Linotype" w:hAnsi="Palatino Linotype" w:cs="Palatino Linotype"/>
          <w:b/>
          <w:color w:val="000000"/>
        </w:rPr>
        <w:t>03914/INFOEM/IP/RR/2022</w:t>
      </w:r>
      <w:r>
        <w:rPr>
          <w:rFonts w:ascii="Palatino Linotype" w:eastAsia="Palatino Linotype" w:hAnsi="Palatino Linotype" w:cs="Palatino Linotype"/>
          <w:color w:val="000000"/>
        </w:rPr>
        <w:t xml:space="preserve">; por lo que, en términos de los argumentos señalados en el Considerando Cuarto se </w:t>
      </w:r>
      <w:r>
        <w:rPr>
          <w:rFonts w:ascii="Palatino Linotype" w:eastAsia="Palatino Linotype" w:hAnsi="Palatino Linotype" w:cs="Palatino Linotype"/>
          <w:b/>
          <w:color w:val="000000"/>
        </w:rPr>
        <w:t>CONFIRMA</w:t>
      </w:r>
      <w:r>
        <w:rPr>
          <w:rFonts w:ascii="Palatino Linotype" w:eastAsia="Palatino Linotype" w:hAnsi="Palatino Linotype" w:cs="Palatino Linotype"/>
          <w:color w:val="000000"/>
        </w:rPr>
        <w:t xml:space="preserve"> la respuesta emitida por el </w:t>
      </w:r>
      <w:r>
        <w:rPr>
          <w:rFonts w:ascii="Palatino Linotype" w:eastAsia="Palatino Linotype" w:hAnsi="Palatino Linotype" w:cs="Palatino Linotype"/>
          <w:b/>
          <w:color w:val="000000"/>
        </w:rPr>
        <w:t>SUJETO OBLIGADO.</w:t>
      </w:r>
    </w:p>
    <w:p w14:paraId="73B4E5E0" w14:textId="77777777" w:rsidR="007D5504" w:rsidRDefault="007D5504">
      <w:pPr>
        <w:widowControl w:val="0"/>
        <w:pBdr>
          <w:top w:val="nil"/>
          <w:left w:val="nil"/>
          <w:bottom w:val="nil"/>
          <w:right w:val="nil"/>
          <w:between w:val="nil"/>
        </w:pBdr>
        <w:spacing w:line="405" w:lineRule="auto"/>
        <w:jc w:val="both"/>
        <w:rPr>
          <w:rFonts w:ascii="Palatino Linotype" w:eastAsia="Palatino Linotype" w:hAnsi="Palatino Linotype" w:cs="Palatino Linotype"/>
          <w:color w:val="FF0000"/>
        </w:rPr>
      </w:pPr>
    </w:p>
    <w:p w14:paraId="7DE3AB0C" w14:textId="77777777" w:rsidR="007D5504" w:rsidRDefault="0023391B">
      <w:pPr>
        <w:widowControl w:val="0"/>
        <w:pBdr>
          <w:top w:val="nil"/>
          <w:left w:val="nil"/>
          <w:bottom w:val="nil"/>
          <w:right w:val="nil"/>
          <w:between w:val="nil"/>
        </w:pBdr>
        <w:spacing w:line="405"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Segundo</w:t>
      </w:r>
      <w:r>
        <w:rPr>
          <w:rFonts w:ascii="Palatino Linotype" w:eastAsia="Palatino Linotype" w:hAnsi="Palatino Linotype" w:cs="Palatino Linotype"/>
          <w:color w:val="000000"/>
        </w:rPr>
        <w:t>. Notifíquese, vía SAIMEX, al Responsable de la Unidad de Transparencia del SUJETO OBLIGADO, la presente resolución para su conocimiento.</w:t>
      </w:r>
    </w:p>
    <w:p w14:paraId="2225E21F" w14:textId="77777777" w:rsidR="007D5504" w:rsidRDefault="007D5504">
      <w:pPr>
        <w:widowControl w:val="0"/>
        <w:pBdr>
          <w:top w:val="nil"/>
          <w:left w:val="nil"/>
          <w:bottom w:val="nil"/>
          <w:right w:val="nil"/>
          <w:between w:val="nil"/>
        </w:pBdr>
        <w:spacing w:line="405" w:lineRule="auto"/>
        <w:jc w:val="both"/>
        <w:rPr>
          <w:rFonts w:ascii="Palatino Linotype" w:eastAsia="Palatino Linotype" w:hAnsi="Palatino Linotype" w:cs="Palatino Linotype"/>
          <w:color w:val="FF0000"/>
        </w:rPr>
      </w:pPr>
    </w:p>
    <w:p w14:paraId="2260955B" w14:textId="77777777" w:rsidR="007D5504" w:rsidRDefault="0023391B">
      <w:pPr>
        <w:widowControl w:val="0"/>
        <w:pBdr>
          <w:top w:val="nil"/>
          <w:left w:val="nil"/>
          <w:bottom w:val="nil"/>
          <w:right w:val="nil"/>
          <w:between w:val="nil"/>
        </w:pBdr>
        <w:spacing w:line="405" w:lineRule="auto"/>
        <w:jc w:val="both"/>
        <w:rPr>
          <w:rFonts w:ascii="Palatino Linotype" w:eastAsia="Palatino Linotype" w:hAnsi="Palatino Linotype" w:cs="Palatino Linotype"/>
          <w:color w:val="FF0000"/>
        </w:rPr>
      </w:pPr>
      <w:r>
        <w:rPr>
          <w:rFonts w:ascii="Palatino Linotype" w:eastAsia="Palatino Linotype" w:hAnsi="Palatino Linotype" w:cs="Palatino Linotype"/>
          <w:b/>
          <w:color w:val="000000"/>
        </w:rPr>
        <w:t xml:space="preserve">Tercero.  Notifíquese, </w:t>
      </w:r>
      <w:r>
        <w:rPr>
          <w:rFonts w:ascii="Palatino Linotype" w:eastAsia="Palatino Linotype" w:hAnsi="Palatino Linotype" w:cs="Palatino Linotype"/>
          <w:color w:val="000000"/>
        </w:rPr>
        <w:t xml:space="preserve">a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 vía SAIMEX, así como que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color w:val="000000"/>
        </w:rPr>
        <w:t>de conformidad con lo establecido en el artículo 196 de la Ley de Transparencia y Acceso a la Información Pública del Estado de México y Municipios podrá impugnarla vía Juicio de Amparo en los términos de las leyes aplicables</w:t>
      </w:r>
      <w:r>
        <w:rPr>
          <w:rFonts w:ascii="Palatino Linotype" w:eastAsia="Palatino Linotype" w:hAnsi="Palatino Linotype" w:cs="Palatino Linotype"/>
          <w:color w:val="222222"/>
        </w:rPr>
        <w:t>.</w:t>
      </w:r>
    </w:p>
    <w:p w14:paraId="6E4E9295" w14:textId="77777777" w:rsidR="008E7993" w:rsidRDefault="008E7993">
      <w:pPr>
        <w:spacing w:line="360" w:lineRule="auto"/>
        <w:ind w:right="49"/>
        <w:jc w:val="both"/>
        <w:rPr>
          <w:rFonts w:ascii="Palatino Linotype" w:eastAsia="Palatino Linotype" w:hAnsi="Palatino Linotype" w:cs="Palatino Linotype"/>
        </w:rPr>
      </w:pPr>
    </w:p>
    <w:p w14:paraId="575A45C1" w14:textId="77777777" w:rsidR="007D5504" w:rsidRDefault="0023391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w:t>
      </w:r>
      <w:r w:rsidR="008E7993">
        <w:rPr>
          <w:rFonts w:ascii="Palatino Linotype" w:eastAsia="Palatino Linotype" w:hAnsi="Palatino Linotype" w:cs="Palatino Linotype"/>
        </w:rPr>
        <w:t>UNANIMIDAD</w:t>
      </w:r>
      <w:r>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E7993">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LUIS GUSTAVO PARRA NORIEGA Y GUADALUPE RAMÍREZ PEÑA; EN LA VIGÉSIMA QUINTA SESIÓN ORDINARIA CELEBRADA EL SEIS DE JULIO DE DOS MIL VEINTIDÓS, ANTE EL SECRETARIO TÉCNICO DEL PLENO ALEXIS TAPIA RAMÍREZ.</w:t>
      </w:r>
    </w:p>
    <w:p w14:paraId="3D32DF0C" w14:textId="77777777" w:rsidR="007D5504" w:rsidRDefault="007D5504">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000000"/>
        </w:rPr>
      </w:pPr>
    </w:p>
    <w:p w14:paraId="63A39258" w14:textId="77777777" w:rsidR="007D5504" w:rsidRDefault="007D5504">
      <w:p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222222"/>
        </w:rPr>
      </w:pPr>
    </w:p>
    <w:p w14:paraId="153222A6" w14:textId="2BAC4E94" w:rsidR="007D5504" w:rsidRDefault="007D5504">
      <w:pPr>
        <w:spacing w:before="240" w:after="240" w:line="360" w:lineRule="auto"/>
        <w:jc w:val="both"/>
        <w:rPr>
          <w:rFonts w:ascii="Palatino Linotype" w:eastAsia="Palatino Linotype" w:hAnsi="Palatino Linotype" w:cs="Palatino Linotype"/>
        </w:rPr>
      </w:pPr>
    </w:p>
    <w:p w14:paraId="0C4F567D" w14:textId="5AB5C144" w:rsidR="00295DC9" w:rsidRDefault="00295DC9">
      <w:pPr>
        <w:spacing w:before="240" w:after="240" w:line="360" w:lineRule="auto"/>
        <w:jc w:val="both"/>
        <w:rPr>
          <w:rFonts w:ascii="Palatino Linotype" w:eastAsia="Palatino Linotype" w:hAnsi="Palatino Linotype" w:cs="Palatino Linotype"/>
        </w:rPr>
      </w:pPr>
    </w:p>
    <w:p w14:paraId="09C42EF7" w14:textId="464A645D" w:rsidR="00295DC9" w:rsidRDefault="00295DC9">
      <w:pPr>
        <w:spacing w:before="240" w:after="240" w:line="360" w:lineRule="auto"/>
        <w:jc w:val="both"/>
        <w:rPr>
          <w:rFonts w:ascii="Palatino Linotype" w:eastAsia="Palatino Linotype" w:hAnsi="Palatino Linotype" w:cs="Palatino Linotype"/>
        </w:rPr>
      </w:pPr>
    </w:p>
    <w:p w14:paraId="2EF92B30" w14:textId="27FA9D64" w:rsidR="00295DC9" w:rsidRDefault="00295DC9">
      <w:pPr>
        <w:spacing w:before="240" w:after="240" w:line="360" w:lineRule="auto"/>
        <w:jc w:val="both"/>
        <w:rPr>
          <w:rFonts w:ascii="Palatino Linotype" w:eastAsia="Palatino Linotype" w:hAnsi="Palatino Linotype" w:cs="Palatino Linotype"/>
        </w:rPr>
      </w:pPr>
    </w:p>
    <w:p w14:paraId="5474CDB5" w14:textId="2004846E" w:rsidR="00295DC9" w:rsidRDefault="00295DC9">
      <w:pPr>
        <w:spacing w:before="240" w:after="240" w:line="360" w:lineRule="auto"/>
        <w:jc w:val="both"/>
        <w:rPr>
          <w:rFonts w:ascii="Palatino Linotype" w:eastAsia="Palatino Linotype" w:hAnsi="Palatino Linotype" w:cs="Palatino Linotype"/>
        </w:rPr>
      </w:pPr>
    </w:p>
    <w:p w14:paraId="6859241C" w14:textId="77777777" w:rsidR="00295DC9" w:rsidRDefault="00295DC9">
      <w:pPr>
        <w:spacing w:before="240" w:after="240" w:line="360" w:lineRule="auto"/>
        <w:jc w:val="both"/>
        <w:rPr>
          <w:rFonts w:ascii="Palatino Linotype" w:eastAsia="Palatino Linotype" w:hAnsi="Palatino Linotype" w:cs="Palatino Linotype"/>
        </w:rPr>
      </w:pPr>
    </w:p>
    <w:p w14:paraId="3F67E444" w14:textId="77777777" w:rsidR="007D5504" w:rsidRDefault="007D5504">
      <w:pPr>
        <w:spacing w:before="240" w:after="240" w:line="360" w:lineRule="auto"/>
        <w:jc w:val="both"/>
        <w:rPr>
          <w:rFonts w:ascii="Palatino Linotype" w:eastAsia="Palatino Linotype" w:hAnsi="Palatino Linotype" w:cs="Palatino Linotype"/>
        </w:rPr>
      </w:pPr>
    </w:p>
    <w:p w14:paraId="0FACD3C1" w14:textId="77777777" w:rsidR="007D5504" w:rsidRDefault="007D5504">
      <w:pPr>
        <w:spacing w:before="240" w:after="240" w:line="360" w:lineRule="auto"/>
        <w:jc w:val="both"/>
        <w:rPr>
          <w:rFonts w:ascii="Palatino Linotype" w:eastAsia="Palatino Linotype" w:hAnsi="Palatino Linotype" w:cs="Palatino Linotype"/>
        </w:rPr>
      </w:pPr>
    </w:p>
    <w:sectPr w:rsidR="007D5504">
      <w:headerReference w:type="default" r:id="rId8"/>
      <w:footerReference w:type="default" r:id="rId9"/>
      <w:headerReference w:type="first" r:id="rId10"/>
      <w:footerReference w:type="first" r:id="rId11"/>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77E1" w14:textId="77777777" w:rsidR="00475904" w:rsidRDefault="00475904">
      <w:r>
        <w:separator/>
      </w:r>
    </w:p>
  </w:endnote>
  <w:endnote w:type="continuationSeparator" w:id="0">
    <w:p w14:paraId="1F801B8E" w14:textId="77777777" w:rsidR="00475904" w:rsidRDefault="0047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7190" w14:textId="77777777" w:rsidR="007D5504" w:rsidRDefault="0023391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E7993">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E7993">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5DAE4B32" w14:textId="77777777" w:rsidR="007D5504" w:rsidRDefault="007D5504">
    <w:pPr>
      <w:pBdr>
        <w:top w:val="nil"/>
        <w:left w:val="nil"/>
        <w:bottom w:val="nil"/>
        <w:right w:val="nil"/>
        <w:between w:val="nil"/>
      </w:pBdr>
      <w:tabs>
        <w:tab w:val="center" w:pos="4252"/>
        <w:tab w:val="right" w:pos="8504"/>
      </w:tabs>
      <w:rPr>
        <w:color w:val="000000"/>
      </w:rPr>
    </w:pPr>
  </w:p>
  <w:p w14:paraId="0287AB9D" w14:textId="77777777" w:rsidR="007D5504" w:rsidRDefault="007D550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04DA" w14:textId="77777777" w:rsidR="007D5504" w:rsidRDefault="0023391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E799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E7993">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1E2DDF56" w14:textId="77777777" w:rsidR="007D5504" w:rsidRDefault="007D550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C884" w14:textId="77777777" w:rsidR="00475904" w:rsidRDefault="00475904">
      <w:r>
        <w:separator/>
      </w:r>
    </w:p>
  </w:footnote>
  <w:footnote w:type="continuationSeparator" w:id="0">
    <w:p w14:paraId="688AA038" w14:textId="77777777" w:rsidR="00475904" w:rsidRDefault="0047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8525" w14:textId="77777777" w:rsidR="007D5504" w:rsidRDefault="007D5504">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7D5504" w14:paraId="40F4B7CC" w14:textId="77777777">
      <w:tc>
        <w:tcPr>
          <w:tcW w:w="2553" w:type="dxa"/>
          <w:vAlign w:val="center"/>
        </w:tcPr>
        <w:p w14:paraId="1A92DF0B" w14:textId="77777777" w:rsidR="007D5504" w:rsidRDefault="00233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F83738E" w14:textId="77777777" w:rsidR="007D5504" w:rsidRDefault="0023391B">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03914/INFOEM/IP/RR/2022</w:t>
          </w:r>
        </w:p>
      </w:tc>
    </w:tr>
    <w:tr w:rsidR="007D5504" w14:paraId="6027EC35" w14:textId="77777777">
      <w:trPr>
        <w:trHeight w:val="228"/>
      </w:trPr>
      <w:tc>
        <w:tcPr>
          <w:tcW w:w="2553" w:type="dxa"/>
          <w:vAlign w:val="center"/>
        </w:tcPr>
        <w:p w14:paraId="073BE335" w14:textId="77777777" w:rsidR="007D5504" w:rsidRDefault="00233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F88106B" w14:textId="77777777" w:rsidR="007D5504" w:rsidRDefault="007D5504">
          <w:pPr>
            <w:ind w:right="954"/>
            <w:jc w:val="both"/>
            <w:rPr>
              <w:rFonts w:ascii="Palatino Linotype" w:eastAsia="Palatino Linotype" w:hAnsi="Palatino Linotype" w:cs="Palatino Linotype"/>
              <w:b/>
              <w:sz w:val="22"/>
              <w:szCs w:val="22"/>
            </w:rPr>
          </w:pPr>
        </w:p>
        <w:p w14:paraId="41EA9A22" w14:textId="77777777" w:rsidR="007D5504" w:rsidRDefault="0023391B">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Tecámac</w:t>
          </w:r>
        </w:p>
      </w:tc>
    </w:tr>
    <w:tr w:rsidR="007D5504" w14:paraId="22837E41" w14:textId="77777777">
      <w:tc>
        <w:tcPr>
          <w:tcW w:w="2553" w:type="dxa"/>
          <w:vAlign w:val="center"/>
        </w:tcPr>
        <w:p w14:paraId="769D8FA2" w14:textId="77777777" w:rsidR="007D5504" w:rsidRDefault="00233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159C26A6" w14:textId="77777777" w:rsidR="007D5504" w:rsidRDefault="0023391B">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8F5630" w14:textId="77777777" w:rsidR="007D5504" w:rsidRDefault="0023391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14:anchorId="1ACDAB3B" wp14:editId="5F2EAE7A">
          <wp:simplePos x="0" y="0"/>
          <wp:positionH relativeFrom="column">
            <wp:posOffset>-982344</wp:posOffset>
          </wp:positionH>
          <wp:positionV relativeFrom="paragraph">
            <wp:posOffset>-1108074</wp:posOffset>
          </wp:positionV>
          <wp:extent cx="7635600" cy="9943200"/>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999" w14:textId="77777777" w:rsidR="007D5504" w:rsidRDefault="0023391B">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1CE8796E" wp14:editId="1D873526">
          <wp:simplePos x="0" y="0"/>
          <wp:positionH relativeFrom="column">
            <wp:posOffset>-916304</wp:posOffset>
          </wp:positionH>
          <wp:positionV relativeFrom="paragraph">
            <wp:posOffset>-354865</wp:posOffset>
          </wp:positionV>
          <wp:extent cx="7635600" cy="994320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7D5504" w14:paraId="2FC058A3" w14:textId="77777777">
      <w:tc>
        <w:tcPr>
          <w:tcW w:w="2553" w:type="dxa"/>
          <w:vAlign w:val="center"/>
        </w:tcPr>
        <w:p w14:paraId="5D993562" w14:textId="77777777" w:rsidR="007D5504" w:rsidRDefault="00233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9A1D049" w14:textId="77777777" w:rsidR="007D5504" w:rsidRDefault="00233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03914/INFOEM/IP/RR/2022</w:t>
          </w:r>
        </w:p>
      </w:tc>
    </w:tr>
    <w:tr w:rsidR="007D5504" w14:paraId="097FAABD" w14:textId="77777777">
      <w:tc>
        <w:tcPr>
          <w:tcW w:w="2553" w:type="dxa"/>
          <w:vAlign w:val="center"/>
        </w:tcPr>
        <w:p w14:paraId="01153013" w14:textId="77777777" w:rsidR="007D5504" w:rsidRDefault="00233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24E1E7A0" w14:textId="738D7C4A" w:rsidR="007D5504" w:rsidRDefault="00CA4080">
          <w:pPr>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w:t>
          </w:r>
          <w:proofErr w:type="spellEnd"/>
          <w:r w:rsidR="0023391B">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w:t>
          </w:r>
          <w:proofErr w:type="spellEnd"/>
          <w:r w:rsidR="0023391B">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p>
      </w:tc>
    </w:tr>
    <w:tr w:rsidR="007D5504" w14:paraId="712DD5E5" w14:textId="77777777">
      <w:trPr>
        <w:trHeight w:val="228"/>
      </w:trPr>
      <w:tc>
        <w:tcPr>
          <w:tcW w:w="2553" w:type="dxa"/>
          <w:vAlign w:val="center"/>
        </w:tcPr>
        <w:p w14:paraId="01C5C9D3" w14:textId="77777777" w:rsidR="007D5504" w:rsidRDefault="00233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BDC657B" w14:textId="77777777" w:rsidR="007D5504" w:rsidRDefault="0023391B">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Tecámac</w:t>
          </w:r>
        </w:p>
      </w:tc>
    </w:tr>
    <w:tr w:rsidR="007D5504" w14:paraId="46A93F2C" w14:textId="77777777">
      <w:tc>
        <w:tcPr>
          <w:tcW w:w="2553" w:type="dxa"/>
          <w:vAlign w:val="center"/>
        </w:tcPr>
        <w:p w14:paraId="06739FDA" w14:textId="77777777" w:rsidR="007D5504" w:rsidRDefault="00233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1CC82E69" w14:textId="77777777" w:rsidR="007D5504" w:rsidRDefault="0023391B">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E94A55" w14:textId="77777777" w:rsidR="007D5504" w:rsidRDefault="007D550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9222E"/>
    <w:multiLevelType w:val="multilevel"/>
    <w:tmpl w:val="F3188AF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F36D4A"/>
    <w:multiLevelType w:val="multilevel"/>
    <w:tmpl w:val="EF2A9D3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15:restartNumberingAfterBreak="0">
    <w:nsid w:val="65885699"/>
    <w:multiLevelType w:val="multilevel"/>
    <w:tmpl w:val="EC88E63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23C29E6"/>
    <w:multiLevelType w:val="multilevel"/>
    <w:tmpl w:val="0DA857D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D75CAF"/>
    <w:multiLevelType w:val="multilevel"/>
    <w:tmpl w:val="D6DC6B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8435154">
    <w:abstractNumId w:val="4"/>
  </w:num>
  <w:num w:numId="2" w16cid:durableId="1201555417">
    <w:abstractNumId w:val="2"/>
  </w:num>
  <w:num w:numId="3" w16cid:durableId="1027562268">
    <w:abstractNumId w:val="0"/>
  </w:num>
  <w:num w:numId="4" w16cid:durableId="1685857831">
    <w:abstractNumId w:val="1"/>
  </w:num>
  <w:num w:numId="5" w16cid:durableId="1642349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504"/>
    <w:rsid w:val="0023391B"/>
    <w:rsid w:val="00295DC9"/>
    <w:rsid w:val="004260AA"/>
    <w:rsid w:val="00475904"/>
    <w:rsid w:val="005A1882"/>
    <w:rsid w:val="00665CC5"/>
    <w:rsid w:val="007D5504"/>
    <w:rsid w:val="008D1F76"/>
    <w:rsid w:val="008E7993"/>
    <w:rsid w:val="00CA4080"/>
    <w:rsid w:val="00CC2E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166E"/>
  <w15:docId w15:val="{DDE12A63-2676-4A97-8442-76423537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concuadrcula4-nfasis5">
    <w:name w:val="Grid Table 4 Accent 5"/>
    <w:basedOn w:val="Tablanormal"/>
    <w:uiPriority w:val="49"/>
    <w:rsid w:val="006E38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rPr>
  </w:style>
  <w:style w:type="paragraph" w:customStyle="1" w:styleId="m-698976158124685028gmail-msonormal">
    <w:name w:val="m_-698976158124685028gmail-msonormal"/>
    <w:basedOn w:val="Normal"/>
    <w:rsid w:val="00D41810"/>
    <w:pPr>
      <w:spacing w:before="100" w:beforeAutospacing="1" w:after="100" w:afterAutospacing="1"/>
    </w:pPr>
    <w:rPr>
      <w:lang w:val="es-MX"/>
    </w:rPr>
  </w:style>
  <w:style w:type="character" w:customStyle="1" w:styleId="m-698976158124685028gmail-apple-converted-space">
    <w:name w:val="m_-698976158124685028gmail-apple-converted-space"/>
    <w:basedOn w:val="Fuentedeprrafopredeter"/>
    <w:rsid w:val="00D4181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hi+vXIprdDl0X5HdMd0USUPsfg==">AMUW2mUe+EjXZsFkdNA/c8DD+kG05VflX3ZAAlT2KQP8/14jxnVkibAEHHPoTSIAXfwx5N6Ai9WzxL0HsnLhfAISkgptIsMKeL3KWxwOzo9EIbINSWwnWScXC7x9x168fpp4wp3pj5O+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7997</Words>
  <Characters>43984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7</cp:revision>
  <cp:lastPrinted>2022-07-08T16:49:00Z</cp:lastPrinted>
  <dcterms:created xsi:type="dcterms:W3CDTF">2022-07-07T22:59:00Z</dcterms:created>
  <dcterms:modified xsi:type="dcterms:W3CDTF">2022-08-04T03:31:00Z</dcterms:modified>
</cp:coreProperties>
</file>