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BE6" w:rsidRDefault="00F60B4F">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w:t>
      </w:r>
      <w:bookmarkStart w:id="0" w:name="_GoBack"/>
      <w:bookmarkEnd w:id="0"/>
      <w:r>
        <w:rPr>
          <w:rFonts w:ascii="Palatino Linotype" w:eastAsia="Palatino Linotype" w:hAnsi="Palatino Linotype" w:cs="Palatino Linotype"/>
          <w:sz w:val="24"/>
          <w:szCs w:val="24"/>
        </w:rPr>
        <w:t>nformación Pública y Protección de Datos Personales del Estado de México y Municipios, con domicilio en Metepec, Estado de México, a treinta y uno de agosto de dos mil veintidós.</w:t>
      </w:r>
    </w:p>
    <w:p w:rsidR="00006BE6" w:rsidRDefault="00006BE6"/>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05819/INFOEM/IP/RR/2022</w:t>
      </w:r>
      <w:r>
        <w:rPr>
          <w:rFonts w:ascii="Palatino Linotype" w:eastAsia="Palatino Linotype" w:hAnsi="Palatino Linotype" w:cs="Palatino Linotype"/>
          <w:sz w:val="24"/>
          <w:szCs w:val="24"/>
        </w:rPr>
        <w:t xml:space="preserve">, interpuesto por </w:t>
      </w:r>
      <w:r w:rsidR="009531B8">
        <w:rPr>
          <w:rFonts w:ascii="Palatino Linotype" w:eastAsia="Palatino Linotype" w:hAnsi="Palatino Linotype" w:cs="Palatino Linotype"/>
          <w:sz w:val="24"/>
          <w:szCs w:val="24"/>
        </w:rPr>
        <w:t>Xxxxxxx</w:t>
      </w:r>
      <w:r>
        <w:rPr>
          <w:rFonts w:ascii="Palatino Linotype" w:eastAsia="Palatino Linotype" w:hAnsi="Palatino Linotype" w:cs="Palatino Linotype"/>
          <w:sz w:val="24"/>
          <w:szCs w:val="24"/>
        </w:rPr>
        <w:t xml:space="preserve"> </w:t>
      </w:r>
      <w:r w:rsidR="009531B8">
        <w:rPr>
          <w:rFonts w:ascii="Palatino Linotype" w:eastAsia="Palatino Linotype" w:hAnsi="Palatino Linotype" w:cs="Palatino Linotype"/>
          <w:sz w:val="24"/>
          <w:szCs w:val="24"/>
        </w:rPr>
        <w:t>Xxxxxxxx</w:t>
      </w:r>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00321/NAUCALPA/IP/2022,</w:t>
      </w:r>
      <w:r>
        <w:rPr>
          <w:rFonts w:ascii="Palatino Linotype" w:eastAsia="Palatino Linotype" w:hAnsi="Palatino Linotype" w:cs="Palatino Linotype"/>
          <w:sz w:val="24"/>
          <w:szCs w:val="24"/>
        </w:rPr>
        <w:t xml:space="preserve"> por parte del Ayuntamiento de Naucalpan de Juárez,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veintiocho de marzo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00321/NAUCALPA/IP/2022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rsidR="00006BE6" w:rsidRDefault="00006BE6">
      <w:pPr>
        <w:spacing w:after="0" w:line="360" w:lineRule="auto"/>
        <w:ind w:right="49"/>
        <w:jc w:val="both"/>
        <w:rPr>
          <w:rFonts w:ascii="Palatino Linotype" w:eastAsia="Palatino Linotype" w:hAnsi="Palatino Linotype" w:cs="Palatino Linotype"/>
          <w:sz w:val="24"/>
          <w:szCs w:val="24"/>
        </w:rPr>
      </w:pPr>
    </w:p>
    <w:p w:rsidR="00006BE6" w:rsidRDefault="00F60B4F">
      <w:pPr>
        <w:spacing w:after="0" w:line="360"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“La versión pública de las invitaciones de la Secretaría del Medio Ambiented del Edomex y/o la Dirección General de Ordenamiento e Impacto Ambiental así como el oficio para dar seguimiento a la firma del convenio de coordinación para la formulación, expedición, ejecución, evaluación, modificación, seguimiento y actualización del Programa de ordenamiento Ecológico Local del Municipio de Naucalpan de Juárez.” (Sic).</w:t>
      </w:r>
    </w:p>
    <w:p w:rsidR="00006BE6" w:rsidRDefault="00006BE6">
      <w:pPr>
        <w:spacing w:after="0" w:line="360" w:lineRule="auto"/>
        <w:ind w:left="709" w:right="758"/>
        <w:jc w:val="both"/>
        <w:rPr>
          <w:rFonts w:ascii="Palatino Linotype" w:eastAsia="Palatino Linotype" w:hAnsi="Palatino Linotype" w:cs="Palatino Linotype"/>
          <w:i/>
          <w:color w:val="000000"/>
        </w:rPr>
      </w:pPr>
    </w:p>
    <w:p w:rsidR="00006BE6" w:rsidRDefault="00F60B4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siete de abril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rsidR="00006BE6" w:rsidRDefault="00006BE6">
      <w:pPr>
        <w:spacing w:after="0" w:line="360" w:lineRule="auto"/>
        <w:jc w:val="both"/>
      </w:pPr>
    </w:p>
    <w:p w:rsidR="00006BE6" w:rsidRDefault="00F60B4F">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06BE6" w:rsidRDefault="00F60B4F">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le informo que el oficio para dar seguimiento a la firma del convenio de coordinacion para formulacion, se encuentrta en tramite con la secretaria de Medio Ambiente del Estado de México, para tal efecto.</w:t>
      </w:r>
    </w:p>
    <w:p w:rsidR="00006BE6" w:rsidRDefault="00F60B4F">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006BE6" w:rsidRDefault="00F60B4F">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MARIO MANUEL SÁNCHEZ VILLAFUERTE</w:t>
      </w:r>
    </w:p>
    <w:p w:rsidR="00006BE6" w:rsidRDefault="00006BE6">
      <w:pPr>
        <w:spacing w:after="80" w:line="360" w:lineRule="auto"/>
        <w:ind w:left="851" w:right="900"/>
        <w:jc w:val="both"/>
        <w:rPr>
          <w:rFonts w:ascii="Palatino Linotype" w:eastAsia="Palatino Linotype" w:hAnsi="Palatino Linotype" w:cs="Palatino Linotype"/>
          <w:i/>
        </w:rPr>
      </w:pPr>
    </w:p>
    <w:p w:rsidR="00006BE6" w:rsidRDefault="00F60B4F">
      <w:pPr>
        <w:spacing w:before="80" w:after="24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sz w:val="24"/>
          <w:szCs w:val="24"/>
        </w:rPr>
        <w:lastRenderedPageBreak/>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dieciocho de abril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05819/INFOEM/IP/RR/2022</w:t>
      </w:r>
      <w:r>
        <w:rPr>
          <w:rFonts w:ascii="Palatino Linotype" w:eastAsia="Palatino Linotype" w:hAnsi="Palatino Linotype" w:cs="Palatino Linotype"/>
          <w:sz w:val="24"/>
          <w:szCs w:val="24"/>
        </w:rPr>
        <w:t>, en el cual manifiesta, lo siguiente:</w:t>
      </w:r>
    </w:p>
    <w:p w:rsidR="00006BE6" w:rsidRDefault="00F60B4F">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006BE6" w:rsidRDefault="00F60B4F">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El Sujeto Obligado no contestó lo que le solicité.</w:t>
      </w:r>
      <w:r>
        <w:rPr>
          <w:rFonts w:ascii="Palatino Linotype" w:eastAsia="Palatino Linotype" w:hAnsi="Palatino Linotype" w:cs="Palatino Linotype"/>
          <w:i/>
        </w:rPr>
        <w:t>” [sic]</w:t>
      </w:r>
    </w:p>
    <w:p w:rsidR="00006BE6" w:rsidRDefault="00F60B4F">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006BE6" w:rsidRDefault="00F60B4F">
      <w:pPr>
        <w:spacing w:before="240" w:after="0" w:line="360"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Le pregunté al Sujeto Obligado: La versión pública de las invitaciones de la Secretaría del Medio Ambiented del Edomex y/o la Dirección General de Ordenamiento e Impacto Ambiental así como el oficio para dar seguimiento a la firma del convenio de coordinación para la formulación, expedición, ejecución, evaluación, modificación, seguimiento y actualización del Programa de ordenamiento Ecológico Local del Municipio de Naucalpan de Juárez. A lo que este respondió con las mismas frases que emplearon para otra solicitud. Su respuesta fue "le informo que el oficio para dar seguimiento a la firma del convenio de coordinacion para formulacion, se encuentrta en tramite con la secretaria de Medio Ambiente del Estado de México, para tal efecto". Sin embargo, mi solicitud de información pregunta por las invitaciones realizadas entre autoridades para hacer este trámite (mismas que en otro documento, que adjunto como pruebla, este Sujeto Obligado informó haber realizado). Asímismo, solicito que se me entregue el oficio que "se encuentra en trámite" o que se entregue la información relacionada con este oficio, pues es la naturaleza de la solicitud que he realizado, mismo que el SO admite que existe, pero no ha entregado.” </w:t>
      </w:r>
      <w:r>
        <w:rPr>
          <w:rFonts w:ascii="Palatino Linotype" w:eastAsia="Palatino Linotype" w:hAnsi="Palatino Linotype" w:cs="Palatino Linotype"/>
          <w:i/>
        </w:rPr>
        <w:t>[sic]</w:t>
      </w:r>
    </w:p>
    <w:p w:rsidR="00006BE6" w:rsidRDefault="00006BE6">
      <w:pPr>
        <w:spacing w:after="0" w:line="360" w:lineRule="auto"/>
        <w:ind w:left="851"/>
        <w:jc w:val="both"/>
        <w:rPr>
          <w:rFonts w:ascii="Palatino Linotype" w:eastAsia="Palatino Linotype" w:hAnsi="Palatino Linotype" w:cs="Palatino Linotype"/>
          <w:i/>
        </w:rPr>
      </w:pPr>
    </w:p>
    <w:p w:rsidR="00006BE6" w:rsidRDefault="00F60B4F">
      <w:pPr>
        <w:spacing w:before="280" w:after="280" w:line="360" w:lineRule="auto"/>
        <w:jc w:val="both"/>
        <w:rPr>
          <w:rFonts w:ascii="Arial" w:eastAsia="Arial" w:hAnsi="Arial" w:cs="Arial"/>
          <w:color w:val="333333"/>
          <w:sz w:val="27"/>
          <w:szCs w:val="27"/>
        </w:rPr>
      </w:pPr>
      <w:r>
        <w:rPr>
          <w:rFonts w:ascii="Palatino Linotype" w:eastAsia="Palatino Linotype" w:hAnsi="Palatino Linotype" w:cs="Palatino Linotype"/>
          <w:sz w:val="24"/>
          <w:szCs w:val="24"/>
        </w:rPr>
        <w:lastRenderedPageBreak/>
        <w:t>Adjuntando para tal efecto el archivo electrónico “</w:t>
      </w:r>
      <w:hyperlink r:id="rId8">
        <w:r>
          <w:rPr>
            <w:rFonts w:ascii="Palatino Linotype" w:eastAsia="Palatino Linotype" w:hAnsi="Palatino Linotype" w:cs="Palatino Linotype"/>
            <w:b/>
            <w:color w:val="000000"/>
            <w:sz w:val="24"/>
            <w:szCs w:val="24"/>
            <w:u w:val="single"/>
          </w:rPr>
          <w:t>Informe cumplimiento 1613100129020_065.pdf</w:t>
        </w:r>
      </w:hyperlink>
      <w:r>
        <w:rPr>
          <w:rFonts w:ascii="Palatino Linotype" w:eastAsia="Palatino Linotype" w:hAnsi="Palatino Linotype" w:cs="Palatino Linotype"/>
          <w:color w:val="000000"/>
          <w:sz w:val="24"/>
          <w:szCs w:val="24"/>
        </w:rPr>
        <w:t>” del cual se observa lo siguiente:</w:t>
      </w:r>
    </w:p>
    <w:p w:rsidR="00006BE6" w:rsidRDefault="00006BE6">
      <w:pPr>
        <w:spacing w:before="280" w:after="280" w:line="360" w:lineRule="auto"/>
        <w:ind w:left="360"/>
        <w:jc w:val="both"/>
      </w:pPr>
    </w:p>
    <w:p w:rsidR="00006BE6" w:rsidRDefault="00F60B4F">
      <w:pPr>
        <w:spacing w:before="280" w:after="280" w:line="360" w:lineRule="auto"/>
        <w:ind w:left="360"/>
        <w:jc w:val="both"/>
        <w:rPr>
          <w:rFonts w:ascii="Arial" w:eastAsia="Arial" w:hAnsi="Arial" w:cs="Arial"/>
          <w:color w:val="333333"/>
          <w:sz w:val="27"/>
          <w:szCs w:val="27"/>
        </w:rPr>
      </w:pPr>
      <w:r>
        <w:rPr>
          <w:noProof/>
        </w:rPr>
        <w:lastRenderedPageBreak/>
        <w:drawing>
          <wp:inline distT="0" distB="0" distL="0" distR="0">
            <wp:extent cx="5065119" cy="6607943"/>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4453" t="21432" r="36015" b="10042"/>
                    <a:stretch>
                      <a:fillRect/>
                    </a:stretch>
                  </pic:blipFill>
                  <pic:spPr>
                    <a:xfrm>
                      <a:off x="0" y="0"/>
                      <a:ext cx="5065119" cy="6607943"/>
                    </a:xfrm>
                    <a:prstGeom prst="rect">
                      <a:avLst/>
                    </a:prstGeom>
                    <a:ln/>
                  </pic:spPr>
                </pic:pic>
              </a:graphicData>
            </a:graphic>
          </wp:inline>
        </w:drawing>
      </w:r>
    </w:p>
    <w:p w:rsidR="00006BE6" w:rsidRDefault="00F60B4F">
      <w:pPr>
        <w:spacing w:before="280" w:after="280" w:line="360" w:lineRule="auto"/>
        <w:ind w:left="360"/>
        <w:jc w:val="both"/>
        <w:rPr>
          <w:rFonts w:ascii="Arial" w:eastAsia="Arial" w:hAnsi="Arial" w:cs="Arial"/>
          <w:color w:val="333333"/>
          <w:sz w:val="27"/>
          <w:szCs w:val="27"/>
        </w:rPr>
      </w:pPr>
      <w:r>
        <w:rPr>
          <w:noProof/>
        </w:rPr>
        <w:lastRenderedPageBreak/>
        <w:drawing>
          <wp:inline distT="0" distB="0" distL="0" distR="0">
            <wp:extent cx="4834488" cy="6227476"/>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39036" t="26565" r="40936" b="27551"/>
                    <a:stretch>
                      <a:fillRect/>
                    </a:stretch>
                  </pic:blipFill>
                  <pic:spPr>
                    <a:xfrm>
                      <a:off x="0" y="0"/>
                      <a:ext cx="4834488" cy="6227476"/>
                    </a:xfrm>
                    <a:prstGeom prst="rect">
                      <a:avLst/>
                    </a:prstGeom>
                    <a:ln/>
                  </pic:spPr>
                </pic:pic>
              </a:graphicData>
            </a:graphic>
          </wp:inline>
        </w:drawing>
      </w:r>
    </w:p>
    <w:p w:rsidR="00006BE6" w:rsidRDefault="00F60B4F">
      <w:pPr>
        <w:spacing w:before="280" w:after="280" w:line="360" w:lineRule="auto"/>
        <w:ind w:left="360"/>
        <w:jc w:val="both"/>
        <w:rPr>
          <w:rFonts w:ascii="Arial" w:eastAsia="Arial" w:hAnsi="Arial" w:cs="Arial"/>
          <w:color w:val="333333"/>
          <w:sz w:val="27"/>
          <w:szCs w:val="27"/>
        </w:rPr>
      </w:pPr>
      <w:r>
        <w:rPr>
          <w:noProof/>
        </w:rPr>
        <w:lastRenderedPageBreak/>
        <w:drawing>
          <wp:inline distT="0" distB="0" distL="0" distR="0">
            <wp:extent cx="4651140" cy="614896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9206" t="43771" r="40767" b="9136"/>
                    <a:stretch>
                      <a:fillRect/>
                    </a:stretch>
                  </pic:blipFill>
                  <pic:spPr>
                    <a:xfrm>
                      <a:off x="0" y="0"/>
                      <a:ext cx="4651140" cy="6148965"/>
                    </a:xfrm>
                    <a:prstGeom prst="rect">
                      <a:avLst/>
                    </a:prstGeom>
                    <a:ln/>
                  </pic:spPr>
                </pic:pic>
              </a:graphicData>
            </a:graphic>
          </wp:inline>
        </w:drawing>
      </w:r>
    </w:p>
    <w:p w:rsidR="00006BE6" w:rsidRDefault="00F60B4F">
      <w:pPr>
        <w:spacing w:before="280" w:after="280" w:line="360" w:lineRule="auto"/>
        <w:ind w:left="360"/>
        <w:jc w:val="both"/>
        <w:rPr>
          <w:rFonts w:ascii="Arial" w:eastAsia="Arial" w:hAnsi="Arial" w:cs="Arial"/>
          <w:color w:val="333333"/>
          <w:sz w:val="27"/>
          <w:szCs w:val="27"/>
        </w:rPr>
      </w:pPr>
      <w:r>
        <w:rPr>
          <w:noProof/>
        </w:rPr>
        <w:lastRenderedPageBreak/>
        <w:drawing>
          <wp:inline distT="0" distB="0" distL="0" distR="0">
            <wp:extent cx="4967869" cy="6436629"/>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9885" t="47998" r="40596" b="7022"/>
                    <a:stretch>
                      <a:fillRect/>
                    </a:stretch>
                  </pic:blipFill>
                  <pic:spPr>
                    <a:xfrm>
                      <a:off x="0" y="0"/>
                      <a:ext cx="4967869" cy="6436629"/>
                    </a:xfrm>
                    <a:prstGeom prst="rect">
                      <a:avLst/>
                    </a:prstGeom>
                    <a:ln/>
                  </pic:spPr>
                </pic:pic>
              </a:graphicData>
            </a:graphic>
          </wp:inline>
        </w:drawing>
      </w:r>
    </w:p>
    <w:p w:rsidR="00006BE6" w:rsidRDefault="00006BE6">
      <w:pPr>
        <w:spacing w:after="0" w:line="360" w:lineRule="auto"/>
        <w:rPr>
          <w:rFonts w:ascii="Palatino Linotype" w:eastAsia="Palatino Linotype" w:hAnsi="Palatino Linotype" w:cs="Palatino Linotype"/>
          <w:sz w:val="24"/>
          <w:szCs w:val="24"/>
        </w:rPr>
      </w:pPr>
    </w:p>
    <w:p w:rsidR="00006BE6" w:rsidRDefault="00006BE6"/>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006BE6" w:rsidRDefault="00006BE6"/>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veintiuno de abril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006BE6" w:rsidRDefault="00006BE6"/>
    <w:p w:rsidR="00006BE6" w:rsidRDefault="00F60B4F">
      <w:pPr>
        <w:spacing w:before="160"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El cuatro de mayo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006BE6" w:rsidRDefault="00006BE6"/>
    <w:p w:rsidR="00006BE6" w:rsidRDefault="00836F47">
      <w:pPr>
        <w:spacing w:line="360" w:lineRule="auto"/>
        <w:jc w:val="both"/>
        <w:rPr>
          <w:rFonts w:ascii="Palatino Linotype" w:eastAsia="Palatino Linotype" w:hAnsi="Palatino Linotype" w:cs="Palatino Linotype"/>
          <w:color w:val="000000"/>
          <w:sz w:val="24"/>
          <w:szCs w:val="24"/>
        </w:rPr>
      </w:pPr>
      <w:hyperlink r:id="rId13">
        <w:r w:rsidR="00F60B4F">
          <w:rPr>
            <w:rFonts w:ascii="Palatino Linotype" w:eastAsia="Palatino Linotype" w:hAnsi="Palatino Linotype" w:cs="Palatino Linotype"/>
            <w:b/>
            <w:i/>
            <w:color w:val="000000"/>
            <w:sz w:val="24"/>
            <w:szCs w:val="24"/>
            <w:u w:val="single"/>
          </w:rPr>
          <w:t>DGMA-333-2022.pdf</w:t>
        </w:r>
      </w:hyperlink>
      <w:r w:rsidR="00F60B4F">
        <w:rPr>
          <w:rFonts w:ascii="Palatino Linotype" w:eastAsia="Palatino Linotype" w:hAnsi="Palatino Linotype" w:cs="Palatino Linotype"/>
          <w:b/>
          <w:i/>
          <w:color w:val="000000"/>
          <w:sz w:val="24"/>
          <w:szCs w:val="24"/>
        </w:rPr>
        <w:t>: -</w:t>
      </w:r>
      <w:r w:rsidR="00F60B4F">
        <w:rPr>
          <w:rFonts w:ascii="Palatino Linotype" w:eastAsia="Palatino Linotype" w:hAnsi="Palatino Linotype" w:cs="Palatino Linotype"/>
          <w:color w:val="000000"/>
          <w:sz w:val="24"/>
          <w:szCs w:val="24"/>
        </w:rPr>
        <w:t xml:space="preserve">Oficio DGMA/333/2022 de fecha veintisiete de abril de dos mil veintidós signado por el Director General de Medio Ambiente, mediante el cual menciona que anexa copia simple de las invitaciones de la Dirección General de </w:t>
      </w:r>
      <w:r w:rsidR="00F60B4F">
        <w:rPr>
          <w:rFonts w:ascii="Palatino Linotype" w:eastAsia="Palatino Linotype" w:hAnsi="Palatino Linotype" w:cs="Palatino Linotype"/>
          <w:color w:val="000000"/>
          <w:sz w:val="24"/>
          <w:szCs w:val="24"/>
        </w:rPr>
        <w:lastRenderedPageBreak/>
        <w:t>Ordenamiento e Impacto Ambiental y  la Secretaria de Medio Ambiente de Naucalpan de Juárez, así como la copia simple del oficio para dar seguimiento a la firma del convenio de coordinación para la formulación, expedición, ejecución y evolución del Programa de Ordenamiento Ecológico Local del Municipio de Naucalpan de Juárez 2022-2024.</w:t>
      </w:r>
    </w:p>
    <w:p w:rsidR="00006BE6" w:rsidRDefault="00F60B4F">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Oficio DGMA/199/2022 de fecha diez de marzo de dos mil veintidós, dirigido al Titular de la Dirección General Jurídica y Colectiva con el propósito para hacerle  llegar la propuesta del convenio antes mencionado, cabe aclarar se observa que no se encuentra completo. </w:t>
      </w:r>
    </w:p>
    <w:p w:rsidR="00006BE6" w:rsidRDefault="00F60B4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Trece oficios signados por el Director General de Ordenamiento e Impacto Ambiental de la Secretaria de Medio Ambiente y el Secretario de Medio Ambiente de Naucalpan, mediante los cuales mencionan que a efecto de dar seguimiento a los procesos de ordenamiento ecológico para la fase de formulación del programa de ordenamiento ecológico de Naucalpan de Juárez, razón por la que se instalara el Comité de Ordenamiento Ecológico Local de Naucalpan de Juárez.</w:t>
      </w:r>
    </w:p>
    <w:p w:rsidR="00006BE6" w:rsidRDefault="00006BE6">
      <w:pPr>
        <w:spacing w:after="0" w:line="360" w:lineRule="auto"/>
        <w:jc w:val="both"/>
        <w:rPr>
          <w:rFonts w:ascii="Palatino Linotype" w:eastAsia="Palatino Linotype" w:hAnsi="Palatino Linotype" w:cs="Palatino Linotype"/>
          <w:color w:val="000000"/>
          <w:sz w:val="24"/>
          <w:szCs w:val="24"/>
        </w:rPr>
      </w:pPr>
    </w:p>
    <w:p w:rsidR="00006BE6" w:rsidRDefault="00F60B4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 anexa el primer oficio a manera de ejemplo:</w:t>
      </w:r>
    </w:p>
    <w:p w:rsidR="00006BE6" w:rsidRDefault="00F60B4F">
      <w:pP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extent cx="3778357" cy="4829744"/>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36346" t="18085" r="35654" b="18284"/>
                    <a:stretch>
                      <a:fillRect/>
                    </a:stretch>
                  </pic:blipFill>
                  <pic:spPr>
                    <a:xfrm>
                      <a:off x="0" y="0"/>
                      <a:ext cx="3778357" cy="4829744"/>
                    </a:xfrm>
                    <a:prstGeom prst="rect">
                      <a:avLst/>
                    </a:prstGeom>
                    <a:ln/>
                  </pic:spPr>
                </pic:pic>
              </a:graphicData>
            </a:graphic>
          </wp:inline>
        </w:drawing>
      </w:r>
    </w:p>
    <w:p w:rsidR="00006BE6" w:rsidRDefault="00836F47">
      <w:pPr>
        <w:spacing w:after="0" w:line="360" w:lineRule="auto"/>
        <w:jc w:val="both"/>
        <w:rPr>
          <w:rFonts w:ascii="Palatino Linotype" w:eastAsia="Palatino Linotype" w:hAnsi="Palatino Linotype" w:cs="Palatino Linotype"/>
          <w:color w:val="000000"/>
          <w:sz w:val="24"/>
          <w:szCs w:val="24"/>
        </w:rPr>
      </w:pPr>
      <w:hyperlink r:id="rId15">
        <w:r w:rsidR="00F60B4F">
          <w:rPr>
            <w:rFonts w:ascii="Palatino Linotype" w:eastAsia="Palatino Linotype" w:hAnsi="Palatino Linotype" w:cs="Palatino Linotype"/>
            <w:b/>
            <w:i/>
            <w:color w:val="000000"/>
            <w:sz w:val="24"/>
            <w:szCs w:val="24"/>
            <w:u w:val="single"/>
          </w:rPr>
          <w:t>DGMA-333-2022 anexos.pdf</w:t>
        </w:r>
      </w:hyperlink>
      <w:r w:rsidR="00F60B4F">
        <w:rPr>
          <w:rFonts w:ascii="Palatino Linotype" w:eastAsia="Palatino Linotype" w:hAnsi="Palatino Linotype" w:cs="Palatino Linotype"/>
          <w:b/>
          <w:i/>
          <w:color w:val="000000"/>
          <w:sz w:val="24"/>
          <w:szCs w:val="24"/>
        </w:rPr>
        <w:t xml:space="preserve">: </w:t>
      </w:r>
      <w:r w:rsidR="00F60B4F">
        <w:rPr>
          <w:rFonts w:ascii="Palatino Linotype" w:eastAsia="Palatino Linotype" w:hAnsi="Palatino Linotype" w:cs="Palatino Linotype"/>
          <w:color w:val="000000"/>
          <w:sz w:val="24"/>
          <w:szCs w:val="24"/>
        </w:rPr>
        <w:t>Cuatro oficios signados por el Secretario de Medio Ambiente, mismo que versan en el tenor antes precisados, se anexa el primero de ellos a manera de ejemplo:</w:t>
      </w:r>
    </w:p>
    <w:p w:rsidR="00006BE6" w:rsidRDefault="00006BE6">
      <w:pPr>
        <w:spacing w:after="0" w:line="360" w:lineRule="auto"/>
        <w:jc w:val="both"/>
      </w:pPr>
    </w:p>
    <w:p w:rsidR="00006BE6" w:rsidRDefault="00F60B4F">
      <w:pP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extent cx="3787468" cy="5847249"/>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37043" t="19811" r="37054" b="9089"/>
                    <a:stretch>
                      <a:fillRect/>
                    </a:stretch>
                  </pic:blipFill>
                  <pic:spPr>
                    <a:xfrm>
                      <a:off x="0" y="0"/>
                      <a:ext cx="3787468" cy="5847249"/>
                    </a:xfrm>
                    <a:prstGeom prst="rect">
                      <a:avLst/>
                    </a:prstGeom>
                    <a:ln/>
                  </pic:spPr>
                </pic:pic>
              </a:graphicData>
            </a:graphic>
          </wp:inline>
        </w:drawing>
      </w:r>
    </w:p>
    <w:p w:rsidR="00006BE6" w:rsidRDefault="00006BE6">
      <w:pPr>
        <w:spacing w:line="360" w:lineRule="auto"/>
        <w:jc w:val="both"/>
        <w:rPr>
          <w:rFonts w:ascii="Palatino Linotype" w:eastAsia="Palatino Linotype" w:hAnsi="Palatino Linotype" w:cs="Palatino Linotype"/>
          <w:color w:val="000000"/>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fecha</w:t>
      </w:r>
      <w:r>
        <w:rPr>
          <w:rFonts w:ascii="Palatino Linotype" w:eastAsia="Palatino Linotype" w:hAnsi="Palatino Linotype" w:cs="Palatino Linotype"/>
          <w:sz w:val="24"/>
          <w:szCs w:val="24"/>
        </w:rPr>
        <w:t xml:space="preserve"> tres de agosto</w:t>
      </w:r>
      <w:r>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sz w:val="24"/>
          <w:szCs w:val="24"/>
        </w:rPr>
        <w:t xml:space="preserve">, se amplió el término para resolver el recurso de revisión en </w:t>
      </w:r>
      <w:r>
        <w:rPr>
          <w:rFonts w:ascii="Palatino Linotype" w:eastAsia="Palatino Linotype" w:hAnsi="Palatino Linotype" w:cs="Palatino Linotype"/>
          <w:sz w:val="24"/>
          <w:szCs w:val="24"/>
        </w:rPr>
        <w:lastRenderedPageBreak/>
        <w:t xml:space="preserve">términos del artículo 181 párrafo tercero de la Ley de Transparencia y Acceso a la Información Pública del Estado de México y Municipios. </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006BE6" w:rsidRDefault="00006BE6">
      <w:pPr>
        <w:spacing w:after="0" w:line="360" w:lineRule="auto"/>
        <w:ind w:left="927"/>
        <w:jc w:val="both"/>
        <w:rPr>
          <w:rFonts w:ascii="Palatino Linotype" w:eastAsia="Palatino Linotype" w:hAnsi="Palatino Linotype" w:cs="Palatino Linotype"/>
          <w:sz w:val="24"/>
          <w:szCs w:val="24"/>
        </w:rPr>
      </w:pPr>
    </w:p>
    <w:p w:rsidR="00006BE6" w:rsidRDefault="00F60B4F">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006BE6" w:rsidRDefault="00006BE6">
      <w:pPr>
        <w:spacing w:after="0" w:line="360" w:lineRule="auto"/>
        <w:ind w:left="708"/>
        <w:rPr>
          <w:rFonts w:ascii="Palatino Linotype" w:eastAsia="Palatino Linotype" w:hAnsi="Palatino Linotype" w:cs="Palatino Linotype"/>
          <w:sz w:val="24"/>
          <w:szCs w:val="24"/>
        </w:rPr>
      </w:pPr>
    </w:p>
    <w:p w:rsidR="00006BE6" w:rsidRDefault="00F60B4F">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006BE6" w:rsidRDefault="00F60B4F">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w:t>
      </w:r>
      <w:r>
        <w:rPr>
          <w:rFonts w:ascii="Palatino Linotype" w:eastAsia="Palatino Linotype" w:hAnsi="Palatino Linotype" w:cs="Palatino Linotype"/>
          <w:sz w:val="24"/>
          <w:szCs w:val="24"/>
        </w:rPr>
        <w:lastRenderedPageBreak/>
        <w:t>podría considerarse normal, debe concluirse que es una excluyente de responsabilidad en relación con la actuación del funcionario, como ha acontecido en el caso que nos ocupa.</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006BE6" w:rsidRDefault="00006BE6">
      <w:pPr>
        <w:spacing w:after="0" w:line="360" w:lineRule="auto"/>
        <w:jc w:val="both"/>
        <w:rPr>
          <w:rFonts w:ascii="Palatino Linotype" w:eastAsia="Palatino Linotype" w:hAnsi="Palatino Linotype" w:cs="Palatino Linotype"/>
          <w:b/>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Pr>
          <w:rFonts w:ascii="Palatino Linotype" w:eastAsia="Palatino Linotype" w:hAnsi="Palatino Linotype" w:cs="Palatino Linotype"/>
          <w:b/>
          <w:sz w:val="24"/>
          <w:szCs w:val="24"/>
        </w:rPr>
        <w:br/>
      </w: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sz w:val="24"/>
          <w:szCs w:val="24"/>
        </w:rPr>
        <w:t>veinticuatro de agosto</w:t>
      </w:r>
      <w:r>
        <w:rPr>
          <w:rFonts w:ascii="Palatino Linotype" w:eastAsia="Palatino Linotype" w:hAnsi="Palatino Linotype" w:cs="Palatino Linotype"/>
          <w:color w:val="000000"/>
          <w:sz w:val="24"/>
          <w:szCs w:val="24"/>
        </w:rPr>
        <w:t xml:space="preserv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rsidR="00006BE6" w:rsidRDefault="00006BE6">
      <w:pPr>
        <w:spacing w:line="360" w:lineRule="auto"/>
        <w:jc w:val="both"/>
        <w:rPr>
          <w:rFonts w:ascii="Palatino Linotype" w:eastAsia="Palatino Linotype" w:hAnsi="Palatino Linotype" w:cs="Palatino Linotype"/>
          <w:color w:val="000000"/>
          <w:sz w:val="24"/>
          <w:szCs w:val="24"/>
        </w:rPr>
      </w:pPr>
    </w:p>
    <w:p w:rsidR="00006BE6" w:rsidRDefault="00F60B4F">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006BE6" w:rsidRDefault="00006BE6">
      <w:pPr>
        <w:spacing w:after="0" w:line="360" w:lineRule="auto"/>
        <w:jc w:val="both"/>
        <w:rPr>
          <w:rFonts w:ascii="Palatino Linotype" w:eastAsia="Palatino Linotype" w:hAnsi="Palatino Linotype" w:cs="Palatino Linotype"/>
          <w:b/>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6BE6" w:rsidRDefault="00006BE6">
      <w:pPr>
        <w:spacing w:line="360" w:lineRule="auto"/>
        <w:jc w:val="both"/>
        <w:rPr>
          <w:rFonts w:ascii="Palatino Linotype" w:eastAsia="Palatino Linotype" w:hAnsi="Palatino Linotype" w:cs="Palatino Linotype"/>
          <w:color w:val="000000"/>
          <w:sz w:val="24"/>
          <w:szCs w:val="24"/>
        </w:rPr>
      </w:pPr>
    </w:p>
    <w:p w:rsidR="00006BE6" w:rsidRDefault="00F60B4F">
      <w:pPr>
        <w:spacing w:before="160"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rsidR="00006BE6" w:rsidRDefault="00006BE6">
      <w:pPr>
        <w:spacing w:after="0" w:line="360" w:lineRule="auto"/>
        <w:ind w:right="-234"/>
        <w:jc w:val="both"/>
        <w:rPr>
          <w:rFonts w:ascii="Palatino Linotype" w:eastAsia="Palatino Linotype" w:hAnsi="Palatino Linotype" w:cs="Palatino Linotype"/>
          <w:sz w:val="24"/>
          <w:szCs w:val="24"/>
        </w:rPr>
      </w:pPr>
    </w:p>
    <w:p w:rsidR="00006BE6" w:rsidRDefault="00F60B4F">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ésta fue pronunciada el día siete de abril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dieciocho de abril de dos mil veintidós, esto es al segundo día hábil de haber recibido la respuesta. </w:t>
      </w:r>
    </w:p>
    <w:p w:rsidR="00006BE6" w:rsidRDefault="00006BE6">
      <w:pPr>
        <w:spacing w:after="0" w:line="360" w:lineRule="auto"/>
        <w:ind w:right="-234"/>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VI de la Ley de Transparencia y Acceso a la Información Pública del Estado de México y Municipios; que a la letra dice:</w:t>
      </w:r>
    </w:p>
    <w:p w:rsidR="00006BE6" w:rsidRDefault="00006BE6">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006BE6" w:rsidRDefault="00F60B4F">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006BE6" w:rsidRDefault="00F60B4F">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006BE6" w:rsidRDefault="00F60B4F">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VI. La entrega de información que no corresponda con lo solicitado;” (Sic)</w:t>
      </w:r>
    </w:p>
    <w:p w:rsidR="00006BE6" w:rsidRDefault="00006BE6">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w:t>
      </w:r>
      <w:r>
        <w:rPr>
          <w:rFonts w:ascii="Palatino Linotype" w:eastAsia="Palatino Linotype" w:hAnsi="Palatino Linotype" w:cs="Palatino Linotype"/>
          <w:sz w:val="24"/>
          <w:szCs w:val="24"/>
        </w:rPr>
        <w:lastRenderedPageBreak/>
        <w:t>a cualquier persona, ello en privilegio del principio de máxima publicidad, en razón de que tiene el carácter de ser pública, tal y como se lee a continuación:</w:t>
      </w:r>
    </w:p>
    <w:p w:rsidR="00006BE6" w:rsidRDefault="00006BE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6BE6" w:rsidRDefault="00F60B4F">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6BE6" w:rsidRDefault="00006BE6">
      <w:pPr>
        <w:spacing w:after="0" w:line="360" w:lineRule="auto"/>
        <w:ind w:left="851" w:right="900"/>
        <w:jc w:val="both"/>
        <w:rPr>
          <w:rFonts w:ascii="Palatino Linotype" w:eastAsia="Palatino Linotype" w:hAnsi="Palatino Linotype" w:cs="Palatino Linotype"/>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006BE6" w:rsidRDefault="00F60B4F">
      <w:pPr>
        <w:spacing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6BE6" w:rsidRDefault="00006BE6">
      <w:pPr>
        <w:spacing w:after="0" w:line="360" w:lineRule="auto"/>
        <w:ind w:left="851" w:right="902"/>
        <w:jc w:val="both"/>
        <w:rPr>
          <w:rFonts w:ascii="Palatino Linotype" w:eastAsia="Palatino Linotype" w:hAnsi="Palatino Linotype" w:cs="Palatino Linotype"/>
          <w:i/>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dispone que los Sujetos Obligados sólo proporcionarán la información pública que generen, administren o posean en el ejercicio de sus atribuciones; por consiguiente, la información pública </w:t>
      </w:r>
      <w:r>
        <w:rPr>
          <w:rFonts w:ascii="Palatino Linotype" w:eastAsia="Palatino Linotype" w:hAnsi="Palatino Linotype" w:cs="Palatino Linotype"/>
          <w:sz w:val="24"/>
          <w:szCs w:val="24"/>
        </w:rPr>
        <w:lastRenderedPageBreak/>
        <w:t>se encuentra a disposición de cualquier persona, lo que implica que es deber de los Sujetos Obligados, garantizar el derecho de acceso a la información pública.</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006BE6" w:rsidRDefault="00006BE6">
      <w:pPr>
        <w:spacing w:after="0" w:line="360" w:lineRule="auto"/>
        <w:jc w:val="both"/>
        <w:rPr>
          <w:rFonts w:ascii="Palatino Linotype" w:eastAsia="Palatino Linotype" w:hAnsi="Palatino Linotype" w:cs="Palatino Linotype"/>
        </w:rPr>
      </w:pPr>
    </w:p>
    <w:p w:rsidR="00006BE6" w:rsidRDefault="00F60B4F">
      <w:pPr>
        <w:spacing w:after="0"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006BE6" w:rsidRDefault="00F60B4F">
      <w:pPr>
        <w:spacing w:after="0" w:line="360"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006BE6" w:rsidRDefault="00F60B4F">
      <w:pPr>
        <w:spacing w:after="0" w:line="360"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006BE6" w:rsidRDefault="00F60B4F">
      <w:pPr>
        <w:spacing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6BE6" w:rsidRDefault="00F60B4F">
      <w:pPr>
        <w:spacing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006BE6" w:rsidRDefault="00F60B4F">
      <w:pPr>
        <w:spacing w:after="0" w:line="360" w:lineRule="auto"/>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006BE6" w:rsidRDefault="00F60B4F">
      <w:pPr>
        <w:spacing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006BE6" w:rsidRDefault="00F60B4F">
      <w:pPr>
        <w:spacing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rsidR="00006BE6" w:rsidRDefault="00006BE6">
      <w:pPr>
        <w:pBdr>
          <w:top w:val="nil"/>
          <w:left w:val="nil"/>
          <w:bottom w:val="nil"/>
          <w:right w:val="nil"/>
          <w:between w:val="nil"/>
        </w:pBdr>
        <w:spacing w:after="0" w:line="360" w:lineRule="auto"/>
        <w:jc w:val="both"/>
        <w:rPr>
          <w:rFonts w:ascii="Palatino Linotype" w:eastAsia="Palatino Linotype" w:hAnsi="Palatino Linotype" w:cs="Palatino Linotype"/>
          <w:color w:val="FF0000"/>
          <w:sz w:val="24"/>
          <w:szCs w:val="24"/>
        </w:rPr>
      </w:pPr>
    </w:p>
    <w:p w:rsidR="00006BE6" w:rsidRDefault="00F60B4F">
      <w:p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rsidR="00006BE6" w:rsidRDefault="00F60B4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versión pública de las invitaciones de la Secretaría del Medio Ambiente del Edomex y/o la Dirección General de Ordenamiento e Impacto Ambiental.</w:t>
      </w:r>
    </w:p>
    <w:p w:rsidR="00006BE6" w:rsidRDefault="00006BE6">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006BE6" w:rsidRDefault="00F60B4F">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Oficio para dar seguimiento a la firma del convenio de coordinación para la formulación, expedición, ejecución, evaluación, modificación, seguimiento y actualización del Programa de ordenamiento Ecológico Local del Municipio de Naucalpan de Juárez.</w:t>
      </w:r>
    </w:p>
    <w:p w:rsidR="00006BE6" w:rsidRDefault="00F60B4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menciona el oficio para dar seguimiento a la firma del convenio de coordinación para formulación, se encuentra en trámite con la </w:t>
      </w:r>
      <w:r>
        <w:rPr>
          <w:rFonts w:ascii="Palatino Linotype" w:eastAsia="Palatino Linotype" w:hAnsi="Palatino Linotype" w:cs="Palatino Linotype"/>
          <w:sz w:val="24"/>
          <w:szCs w:val="24"/>
        </w:rPr>
        <w:t>secretaría</w:t>
      </w:r>
      <w:r>
        <w:rPr>
          <w:rFonts w:ascii="Palatino Linotype" w:eastAsia="Palatino Linotype" w:hAnsi="Palatino Linotype" w:cs="Palatino Linotype"/>
          <w:color w:val="000000"/>
          <w:sz w:val="24"/>
          <w:szCs w:val="24"/>
        </w:rPr>
        <w:t xml:space="preserve"> de Medio Ambiente del Estado de México.</w:t>
      </w:r>
    </w:p>
    <w:p w:rsidR="00006BE6" w:rsidRDefault="00006BE6">
      <w:pPr>
        <w:spacing w:after="0" w:line="360" w:lineRule="auto"/>
        <w:jc w:val="both"/>
        <w:rPr>
          <w:rFonts w:ascii="Palatino Linotype" w:eastAsia="Palatino Linotype" w:hAnsi="Palatino Linotype" w:cs="Palatino Linotype"/>
          <w:color w:val="000000"/>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porque no le entregan la información solicitada, adjuntando para tal efecto un oficio con fecha del trece de enero de dos </w:t>
      </w:r>
      <w:r>
        <w:rPr>
          <w:rFonts w:ascii="Palatino Linotype" w:eastAsia="Palatino Linotype" w:hAnsi="Palatino Linotype" w:cs="Palatino Linotype"/>
          <w:sz w:val="24"/>
          <w:szCs w:val="24"/>
        </w:rPr>
        <w:lastRenderedPageBreak/>
        <w:t>mil veintiuno, signado por la Titular de la Unidad de Transparencia de la Procuraduría Federal de Protección al Ambiente, en la que indica las acciones que se llevaron a cabo para prevenir y controlar los asentamientos humanos irregulares en el Parque Nacional “Los Remedios” y sus alrededores en Naucalpan de Juárez, Estado de México.</w:t>
      </w:r>
    </w:p>
    <w:p w:rsidR="00006BE6" w:rsidRDefault="00006BE6">
      <w:pPr>
        <w:spacing w:after="0" w:line="360" w:lineRule="auto"/>
        <w:jc w:val="both"/>
        <w:rPr>
          <w:rFonts w:ascii="Palatino Linotype" w:eastAsia="Palatino Linotype" w:hAnsi="Palatino Linotype" w:cs="Palatino Linotype"/>
          <w:color w:val="000000"/>
          <w:sz w:val="24"/>
          <w:szCs w:val="24"/>
        </w:rPr>
      </w:pPr>
    </w:p>
    <w:p w:rsidR="00006BE6" w:rsidRDefault="00F60B4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precisar que una vez notificado el recurso de revisión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remitió su informe justificado en donde hace entrega de cuatro oficios con fecha del veintidós de octubre de dos mil diecinueve, signados por el Secretario del Medio Ambiente y de catorce oficios con fecha del siete de octubre de dos mil diecinueve, signados por el Secretario antes mencionado y por el Titular de la Dirección General de Ordenamiento e Impacto Ambiental de la Secretaria de Medio Ambiente, en los cuales refiere que a efecto de dar seguimiento a los procesos de ordenamiento ecológico, hace una invitación a la Instalación del Comité de Ordenamiento Ecológico Local de Naucalpan de Juárez, y la primera página del oficio para dar seguimiento a la firma del convenio, </w:t>
      </w:r>
      <w:r>
        <w:rPr>
          <w:rFonts w:ascii="Palatino Linotype" w:eastAsia="Palatino Linotype" w:hAnsi="Palatino Linotype" w:cs="Palatino Linotype"/>
          <w:sz w:val="24"/>
          <w:szCs w:val="24"/>
        </w:rPr>
        <w:t>por su parte</w:t>
      </w:r>
      <w:r>
        <w:rPr>
          <w:rFonts w:ascii="Palatino Linotype" w:eastAsia="Palatino Linotype" w:hAnsi="Palatino Linotype" w:cs="Palatino Linotype"/>
          <w:color w:val="000000"/>
          <w:sz w:val="24"/>
          <w:szCs w:val="24"/>
        </w:rPr>
        <w:t xml:space="preserve"> 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en emitir sus manifestaciones.  </w:t>
      </w:r>
    </w:p>
    <w:p w:rsidR="00006BE6" w:rsidRDefault="00006BE6">
      <w:pPr>
        <w:spacing w:after="0" w:line="360" w:lineRule="auto"/>
        <w:jc w:val="both"/>
        <w:rPr>
          <w:rFonts w:ascii="Palatino Linotype" w:eastAsia="Palatino Linotype" w:hAnsi="Palatino Linotype" w:cs="Palatino Linotype"/>
          <w:color w:val="000000"/>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Una vez mencionado lo anterior, resulta oportuno mencionar que el archivo que adjunto 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al inconformarse de la respuesta a su solicitud, </w:t>
      </w:r>
      <w:r>
        <w:rPr>
          <w:rFonts w:ascii="Palatino Linotype" w:eastAsia="Palatino Linotype" w:hAnsi="Palatino Linotype" w:cs="Palatino Linotype"/>
          <w:sz w:val="24"/>
          <w:szCs w:val="24"/>
        </w:rPr>
        <w:t>es de nuestro especial interés lo siguiente:</w:t>
      </w:r>
    </w:p>
    <w:p w:rsidR="00006BE6" w:rsidRDefault="00F60B4F">
      <w:pPr>
        <w:spacing w:after="0" w:line="360" w:lineRule="auto"/>
        <w:jc w:val="both"/>
        <w:rPr>
          <w:rFonts w:ascii="Palatino Linotype" w:eastAsia="Palatino Linotype" w:hAnsi="Palatino Linotype" w:cs="Palatino Linotype"/>
          <w:sz w:val="24"/>
          <w:szCs w:val="24"/>
        </w:rPr>
      </w:pPr>
      <w:r>
        <w:rPr>
          <w:noProof/>
        </w:rPr>
        <w:drawing>
          <wp:inline distT="0" distB="0" distL="0" distR="0">
            <wp:extent cx="6074519" cy="212727"/>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6789" t="25659" r="5973" b="68907"/>
                    <a:stretch>
                      <a:fillRect/>
                    </a:stretch>
                  </pic:blipFill>
                  <pic:spPr>
                    <a:xfrm>
                      <a:off x="0" y="0"/>
                      <a:ext cx="6074519" cy="212727"/>
                    </a:xfrm>
                    <a:prstGeom prst="rect">
                      <a:avLst/>
                    </a:prstGeom>
                    <a:ln/>
                  </pic:spPr>
                </pic:pic>
              </a:graphicData>
            </a:graphic>
          </wp:inline>
        </w:drawing>
      </w:r>
    </w:p>
    <w:p w:rsidR="00006BE6" w:rsidRDefault="00F60B4F">
      <w:pPr>
        <w:spacing w:after="0" w:line="240" w:lineRule="auto"/>
        <w:jc w:val="both"/>
        <w:rPr>
          <w:rFonts w:ascii="Palatino Linotype" w:eastAsia="Palatino Linotype" w:hAnsi="Palatino Linotype" w:cs="Palatino Linotype"/>
          <w:sz w:val="24"/>
          <w:szCs w:val="24"/>
        </w:rPr>
      </w:pPr>
      <w:r>
        <w:rPr>
          <w:noProof/>
        </w:rPr>
        <w:lastRenderedPageBreak/>
        <w:drawing>
          <wp:inline distT="0" distB="0" distL="0" distR="0">
            <wp:extent cx="6021789" cy="984106"/>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6789" t="56751" r="5973" b="17891"/>
                    <a:stretch>
                      <a:fillRect/>
                    </a:stretch>
                  </pic:blipFill>
                  <pic:spPr>
                    <a:xfrm>
                      <a:off x="0" y="0"/>
                      <a:ext cx="6021789" cy="984106"/>
                    </a:xfrm>
                    <a:prstGeom prst="rect">
                      <a:avLst/>
                    </a:prstGeom>
                    <a:ln/>
                  </pic:spPr>
                </pic:pic>
              </a:graphicData>
            </a:graphic>
          </wp:inline>
        </w:drawing>
      </w:r>
    </w:p>
    <w:p w:rsidR="00006BE6" w:rsidRDefault="00006BE6">
      <w:pPr>
        <w:spacing w:after="0" w:line="240" w:lineRule="auto"/>
        <w:jc w:val="both"/>
      </w:pPr>
    </w:p>
    <w:p w:rsidR="00006BE6" w:rsidRDefault="00F60B4F">
      <w:pPr>
        <w:spacing w:after="0" w:line="240" w:lineRule="auto"/>
        <w:jc w:val="both"/>
        <w:rPr>
          <w:rFonts w:ascii="Palatino Linotype" w:eastAsia="Palatino Linotype" w:hAnsi="Palatino Linotype" w:cs="Palatino Linotype"/>
          <w:sz w:val="24"/>
          <w:szCs w:val="24"/>
        </w:rPr>
      </w:pPr>
      <w:r>
        <w:rPr>
          <w:noProof/>
        </w:rPr>
        <w:drawing>
          <wp:inline distT="0" distB="0" distL="0" distR="0">
            <wp:extent cx="6036377" cy="2272519"/>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7807" t="30489" r="5634" b="11550"/>
                    <a:stretch>
                      <a:fillRect/>
                    </a:stretch>
                  </pic:blipFill>
                  <pic:spPr>
                    <a:xfrm>
                      <a:off x="0" y="0"/>
                      <a:ext cx="6036377" cy="227251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2794000</wp:posOffset>
                </wp:positionH>
                <wp:positionV relativeFrom="paragraph">
                  <wp:posOffset>228600</wp:posOffset>
                </wp:positionV>
                <wp:extent cx="3228975" cy="1562100"/>
                <wp:effectExtent l="0" t="0" r="0" b="0"/>
                <wp:wrapNone/>
                <wp:docPr id="17" name="Rectángulo 17"/>
                <wp:cNvGraphicFramePr/>
                <a:graphic xmlns:a="http://schemas.openxmlformats.org/drawingml/2006/main">
                  <a:graphicData uri="http://schemas.microsoft.com/office/word/2010/wordprocessingShape">
                    <wps:wsp>
                      <wps:cNvSpPr/>
                      <wps:spPr>
                        <a:xfrm>
                          <a:off x="3750563" y="3018000"/>
                          <a:ext cx="3190875" cy="1524000"/>
                        </a:xfrm>
                        <a:prstGeom prst="rect">
                          <a:avLst/>
                        </a:prstGeom>
                        <a:noFill/>
                        <a:ln w="38100" cap="flat" cmpd="sng">
                          <a:solidFill>
                            <a:srgbClr val="FF0000"/>
                          </a:solidFill>
                          <a:prstDash val="solid"/>
                          <a:miter lim="800000"/>
                          <a:headEnd type="none" w="sm" len="sm"/>
                          <a:tailEnd type="none" w="sm" len="sm"/>
                        </a:ln>
                      </wps:spPr>
                      <wps:txbx>
                        <w:txbxContent>
                          <w:p w:rsidR="00006BE6" w:rsidRDefault="00006BE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220pt;margin-top:18pt;width:254.25pt;height:1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" filled="f" strokecolor="red" strokeweight="3pt">
                <v:stroke startarrowwidth="narrow" startarrowlength="short" endarrowwidth="narrow" endarrowlength="short"/>
                <v:textbox inset="2.53958mm,2.53958mm,2.53958mm,2.53958mm">
                  <w:txbxContent>
                    <w:p w:rsidR="00006BE6" w:rsidRDefault="00006BE6">
                      <w:pPr>
                        <w:spacing w:after="0" w:line="240" w:lineRule="auto"/>
                        <w:textDirection w:val="btLr"/>
                      </w:pPr>
                    </w:p>
                  </w:txbxContent>
                </v:textbox>
              </v:rect>
            </w:pict>
          </mc:Fallback>
        </mc:AlternateConten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se observa que la Dirección General de Ordenamiento e Impacto Ambiental ha realizado invitaciones al Ayuntamiento de Naucalpan de Juárez para que auxilie a la realización del Programa de Ordenamiento Ecológico, por lo que bajo estas circunstancias el particular requiere las invitaciones giradas por la Dirección General de Ordenamiento e Impacto Ambiental al Ayuntamiento de Naucalpan de Juárez, con el propósito de realizar el Programa de Ordenamiento Ecológico.</w:t>
      </w:r>
    </w:p>
    <w:p w:rsidR="00006BE6" w:rsidRDefault="00006BE6">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b/>
          <w:color w:val="000000"/>
          <w:sz w:val="24"/>
          <w:szCs w:val="24"/>
        </w:rPr>
      </w:pPr>
    </w:p>
    <w:p w:rsidR="00006BE6" w:rsidRDefault="00F60B4F">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1. Respecto a las invitaciones.</w:t>
      </w:r>
    </w:p>
    <w:p w:rsidR="00006BE6" w:rsidRDefault="00006BE6">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b/>
          <w:color w:val="000000"/>
          <w:sz w:val="24"/>
          <w:szCs w:val="24"/>
        </w:rPr>
      </w:pPr>
    </w:p>
    <w:p w:rsidR="00006BE6" w:rsidRDefault="00F60B4F">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Cabe mencionar que en este apartado de la solicitud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en su respuesta inicial no remitió la información solicitada ni emitió pronunciamiento alguno.</w:t>
      </w:r>
    </w:p>
    <w:p w:rsidR="00006BE6" w:rsidRDefault="00006BE6">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sz w:val="24"/>
          <w:szCs w:val="24"/>
        </w:rPr>
      </w:pPr>
    </w:p>
    <w:p w:rsidR="00006BE6" w:rsidRDefault="00F60B4F">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Sin embargo, mediante informe justificado, envía las invitaciones solicitadas cuatro de ellas signadas por el Secretario del Medio Ambiente y de catorce signados por el Secretario antes mencionado y por el Titular de la Dirección General de Ordenamiento e Impacto Ambiental de la Secretaria de Medio Ambiente, tal como se observa a continuación:</w:t>
      </w:r>
    </w:p>
    <w:p w:rsidR="00006BE6" w:rsidRDefault="00006BE6">
      <w:pPr>
        <w:pBdr>
          <w:top w:val="nil"/>
          <w:left w:val="nil"/>
          <w:bottom w:val="nil"/>
          <w:right w:val="nil"/>
          <w:between w:val="nil"/>
        </w:pBdr>
        <w:tabs>
          <w:tab w:val="left" w:pos="426"/>
        </w:tabs>
        <w:spacing w:after="0" w:line="360" w:lineRule="auto"/>
        <w:jc w:val="both"/>
      </w:pPr>
    </w:p>
    <w:p w:rsidR="00006BE6" w:rsidRDefault="00F60B4F">
      <w:pPr>
        <w:pBdr>
          <w:top w:val="nil"/>
          <w:left w:val="nil"/>
          <w:bottom w:val="nil"/>
          <w:right w:val="nil"/>
          <w:between w:val="nil"/>
        </w:pBdr>
        <w:tabs>
          <w:tab w:val="left" w:pos="426"/>
        </w:tabs>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extent cx="4887533" cy="6584561"/>
            <wp:effectExtent l="0" t="0" r="0" b="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34257" t="16597" r="35658" b="11343"/>
                    <a:stretch>
                      <a:fillRect/>
                    </a:stretch>
                  </pic:blipFill>
                  <pic:spPr>
                    <a:xfrm>
                      <a:off x="0" y="0"/>
                      <a:ext cx="4887533" cy="6584561"/>
                    </a:xfrm>
                    <a:prstGeom prst="rect">
                      <a:avLst/>
                    </a:prstGeom>
                    <a:ln/>
                  </pic:spPr>
                </pic:pic>
              </a:graphicData>
            </a:graphic>
          </wp:inline>
        </w:drawing>
      </w:r>
      <w:r>
        <w:rPr>
          <w:noProof/>
        </w:rPr>
        <w:lastRenderedPageBreak/>
        <w:drawing>
          <wp:inline distT="0" distB="0" distL="0" distR="0">
            <wp:extent cx="4115155" cy="6421851"/>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l="35511" t="16841" r="36635" b="5876"/>
                    <a:stretch>
                      <a:fillRect/>
                    </a:stretch>
                  </pic:blipFill>
                  <pic:spPr>
                    <a:xfrm>
                      <a:off x="0" y="0"/>
                      <a:ext cx="4115155" cy="6421851"/>
                    </a:xfrm>
                    <a:prstGeom prst="rect">
                      <a:avLst/>
                    </a:prstGeom>
                    <a:ln/>
                  </pic:spPr>
                </pic:pic>
              </a:graphicData>
            </a:graphic>
          </wp:inline>
        </w:drawing>
      </w:r>
    </w:p>
    <w:p w:rsidR="00006BE6" w:rsidRDefault="00006BE6">
      <w:pPr>
        <w:pBdr>
          <w:top w:val="nil"/>
          <w:left w:val="nil"/>
          <w:bottom w:val="nil"/>
          <w:right w:val="nil"/>
          <w:between w:val="nil"/>
        </w:pBdr>
        <w:tabs>
          <w:tab w:val="left" w:pos="426"/>
        </w:tabs>
        <w:spacing w:after="0" w:line="360" w:lineRule="auto"/>
        <w:jc w:val="center"/>
        <w:rPr>
          <w:rFonts w:ascii="Palatino Linotype" w:eastAsia="Palatino Linotype" w:hAnsi="Palatino Linotype" w:cs="Palatino Linotype"/>
          <w:color w:val="000000"/>
          <w:sz w:val="24"/>
          <w:szCs w:val="24"/>
        </w:rPr>
      </w:pPr>
    </w:p>
    <w:p w:rsidR="00006BE6" w:rsidRDefault="00006BE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006BE6" w:rsidRDefault="00F60B4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Aunado a lo anterior, este Pleno considera necesario dejar claro que, al haber existido un pronunciamiento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a fin de dar respuesta a la solicitud planteada, este Organismo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006BE6" w:rsidRDefault="00006BE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006BE6" w:rsidRDefault="00F60B4F">
      <w:pPr>
        <w:pBdr>
          <w:top w:val="nil"/>
          <w:left w:val="nil"/>
          <w:bottom w:val="nil"/>
          <w:right w:val="nil"/>
          <w:between w:val="nil"/>
        </w:pBdr>
        <w:spacing w:after="0" w:line="240" w:lineRule="auto"/>
        <w:ind w:left="860" w:right="56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6BE6" w:rsidRDefault="00006BE6">
      <w:pPr>
        <w:spacing w:after="0" w:line="360" w:lineRule="auto"/>
        <w:jc w:val="both"/>
        <w:rPr>
          <w:rFonts w:ascii="Palatino Linotype" w:eastAsia="Palatino Linotype" w:hAnsi="Palatino Linotype" w:cs="Palatino Linotype"/>
          <w:color w:val="000000"/>
          <w:sz w:val="24"/>
          <w:szCs w:val="24"/>
        </w:rPr>
      </w:pPr>
    </w:p>
    <w:p w:rsidR="00006BE6" w:rsidRDefault="00F60B4F">
      <w:pPr>
        <w:spacing w:after="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anterior antes mencionado, se tiene por colmado este punto de la solicitud de acceso a la información pública. </w:t>
      </w:r>
    </w:p>
    <w:p w:rsidR="00006BE6" w:rsidRDefault="00006BE6">
      <w:pPr>
        <w:spacing w:after="0" w:line="360" w:lineRule="auto"/>
        <w:jc w:val="both"/>
        <w:rPr>
          <w:rFonts w:ascii="Palatino Linotype" w:eastAsia="Palatino Linotype" w:hAnsi="Palatino Linotype" w:cs="Palatino Linotype"/>
          <w:b/>
          <w:sz w:val="24"/>
          <w:szCs w:val="24"/>
        </w:rPr>
      </w:pPr>
    </w:p>
    <w:p w:rsidR="00006BE6" w:rsidRDefault="00F60B4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2. </w:t>
      </w:r>
      <w:r>
        <w:rPr>
          <w:rFonts w:ascii="Palatino Linotype" w:eastAsia="Palatino Linotype" w:hAnsi="Palatino Linotype" w:cs="Palatino Linotype"/>
          <w:b/>
          <w:color w:val="000000"/>
          <w:sz w:val="24"/>
          <w:szCs w:val="24"/>
        </w:rPr>
        <w:t>Respecto al oficio para dar seguimiento a la firma del convenio de coordinación para la formulación, expedición, ejecución, evaluación, modificación, seguimiento y actualización del Programa de ordenamiento Ecológico Local del Municipio de Naucalpan de Juárez.</w:t>
      </w:r>
    </w:p>
    <w:p w:rsidR="00006BE6" w:rsidRDefault="00006BE6">
      <w:pPr>
        <w:spacing w:line="360" w:lineRule="auto"/>
        <w:jc w:val="both"/>
        <w:rPr>
          <w:rFonts w:ascii="Palatino Linotype" w:eastAsia="Palatino Linotype" w:hAnsi="Palatino Linotype" w:cs="Palatino Linotype"/>
          <w:color w:val="000000"/>
          <w:sz w:val="24"/>
          <w:szCs w:val="24"/>
        </w:rPr>
      </w:pPr>
    </w:p>
    <w:p w:rsidR="00006BE6" w:rsidRDefault="00F60B4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Conviene reiterar que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menciona en su respuesta inicial que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el oficio para dar seguimiento a la firma del convenio de coordinación para formulación, se encuentra en trámite con la Secretaria de Medio Ambiente del Estado de México, sin embargo mediante informe justificado, por conducto de la Directora General de Medio Ambiente menciona que adjunta el oficio para dar seguimiento a la firma del convenio del Programa de Ordenamiento Ecológico, sin embargo dicho oficio con fecha del diez de marzo del dos mil veintidós, dirigido al Titular de la Dirección General Jurídica y Consultiva, se encuentra incompleto, ya que únicamente se observa la primera página de dicho oficio:</w:t>
      </w:r>
    </w:p>
    <w:p w:rsidR="00006BE6" w:rsidRDefault="00F60B4F">
      <w:pPr>
        <w:spacing w:after="0"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extent cx="5622155" cy="669641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l="35372" t="24765" r="36910" b="16542"/>
                    <a:stretch>
                      <a:fillRect/>
                    </a:stretch>
                  </pic:blipFill>
                  <pic:spPr>
                    <a:xfrm>
                      <a:off x="0" y="0"/>
                      <a:ext cx="5622155" cy="6696410"/>
                    </a:xfrm>
                    <a:prstGeom prst="rect">
                      <a:avLst/>
                    </a:prstGeom>
                    <a:ln/>
                  </pic:spPr>
                </pic:pic>
              </a:graphicData>
            </a:graphic>
          </wp:inline>
        </w:drawing>
      </w:r>
    </w:p>
    <w:p w:rsidR="00006BE6" w:rsidRDefault="00006BE6">
      <w:pPr>
        <w:spacing w:line="360" w:lineRule="auto"/>
        <w:jc w:val="both"/>
        <w:rPr>
          <w:rFonts w:ascii="Palatino Linotype" w:eastAsia="Palatino Linotype" w:hAnsi="Palatino Linotype" w:cs="Palatino Linotype"/>
          <w:b/>
          <w:color w:val="000000"/>
          <w:sz w:val="24"/>
          <w:szCs w:val="24"/>
        </w:rPr>
      </w:pPr>
    </w:p>
    <w:p w:rsidR="00006BE6" w:rsidRDefault="00F60B4F">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lo anterior, se advierte que la respuesta otorgada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colma el derecho de acceso a la información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toda vez que, no entregó de manera completa el oficio con el que se da seguimiento al convenio en mención, además que con el pronunciamiento efectuado acepta que cuenta con dicho documento además que de acuerdo a la fecha en la que se creó y en la fecha en que se plasma el acuse de recibido es anterior a la fecha en la que se presentó la solicitud de acceso a la información pública, lo anterior en términos del principio de máxima publicidad, señalado en el artículo 9 fracción VII  y artículo 11, ambos de la</w:t>
      </w:r>
      <w:r>
        <w:rPr>
          <w:rFonts w:ascii="Palatino Linotype" w:eastAsia="Palatino Linotype" w:hAnsi="Palatino Linotype" w:cs="Palatino Linotype"/>
          <w:color w:val="222222"/>
          <w:sz w:val="24"/>
          <w:szCs w:val="24"/>
        </w:rPr>
        <w:t xml:space="preserve"> Ley </w:t>
      </w:r>
      <w:r>
        <w:rPr>
          <w:rFonts w:ascii="Palatino Linotype" w:eastAsia="Palatino Linotype" w:hAnsi="Palatino Linotype" w:cs="Palatino Linotype"/>
          <w:color w:val="000000"/>
          <w:sz w:val="24"/>
          <w:szCs w:val="24"/>
        </w:rPr>
        <w:t>de Transparencia y Acceso a la Información Pública del Estado de México y Municipios, que señalan:</w:t>
      </w:r>
    </w:p>
    <w:p w:rsidR="00006BE6" w:rsidRDefault="00006BE6">
      <w:pPr>
        <w:spacing w:line="360" w:lineRule="auto"/>
        <w:jc w:val="both"/>
        <w:rPr>
          <w:rFonts w:ascii="Palatino Linotype" w:eastAsia="Palatino Linotype" w:hAnsi="Palatino Linotype" w:cs="Palatino Linotype"/>
        </w:rPr>
      </w:pPr>
    </w:p>
    <w:p w:rsidR="00006BE6" w:rsidRDefault="00F60B4F">
      <w:pPr>
        <w:spacing w:before="120"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9. El Instituto deberá regir su funcionamiento de acuerdo a los siguientes principios:</w:t>
      </w:r>
    </w:p>
    <w:p w:rsidR="00006BE6" w:rsidRDefault="00F60B4F">
      <w:pPr>
        <w:spacing w:before="120"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06BE6" w:rsidRDefault="00F60B4F">
      <w:pPr>
        <w:spacing w:before="120" w:after="120"/>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rsidR="00006BE6" w:rsidRDefault="00F60B4F">
      <w:pPr>
        <w:spacing w:before="120"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06BE6" w:rsidRDefault="00F60B4F">
      <w:pPr>
        <w:spacing w:before="120"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11</w:t>
      </w:r>
      <w:r>
        <w:rPr>
          <w:rFonts w:ascii="Palatino Linotype" w:eastAsia="Palatino Linotype" w:hAnsi="Palatino Linotype" w:cs="Palatino Linotype"/>
          <w:i/>
        </w:rPr>
        <w:t xml:space="preserve">. </w:t>
      </w:r>
      <w:r>
        <w:rPr>
          <w:rFonts w:ascii="Palatino Linotype" w:eastAsia="Palatino Linotype" w:hAnsi="Palatino Linotype" w:cs="Palatino Linotype"/>
          <w:b/>
          <w:i/>
        </w:rPr>
        <w:t>En la generación, publicación y entrega de información se deberá garantizar que ésta sea accesible</w:t>
      </w:r>
      <w:r>
        <w:rPr>
          <w:rFonts w:ascii="Palatino Linotype" w:eastAsia="Palatino Linotype" w:hAnsi="Palatino Linotype" w:cs="Palatino Linotype"/>
          <w:i/>
        </w:rPr>
        <w:t xml:space="preserv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006BE6" w:rsidRDefault="00F60B4F">
      <w:pPr>
        <w:spacing w:before="120"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rsidR="00006BE6" w:rsidRDefault="00006BE6">
      <w:pPr>
        <w:spacing w:after="0" w:line="360" w:lineRule="auto"/>
        <w:ind w:right="-28"/>
        <w:jc w:val="both"/>
        <w:rPr>
          <w:rFonts w:ascii="Palatino Linotype" w:eastAsia="Palatino Linotype" w:hAnsi="Palatino Linotype" w:cs="Palatino Linotype"/>
          <w:sz w:val="24"/>
          <w:szCs w:val="24"/>
        </w:rPr>
      </w:pPr>
    </w:p>
    <w:p w:rsidR="00006BE6" w:rsidRDefault="00F60B4F">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lo procedente es ordenar la entrega del oficio DGMA/199/2022, con fecha del diez de marzo de dos mil veintidós, dirigido al Titular de la Dirección Jurídico y Consultiva con el que se da seguimiento al convenio de coordinación para la formulación, expedición, ejecución, evaluación, modificación, seguimiento y actualización del Programa de ordenamiento Ecológico Local del Municipio de Naucalpan de Juárez entregado en informe justificado, </w:t>
      </w:r>
    </w:p>
    <w:p w:rsidR="00F60B4F" w:rsidRDefault="00F60B4F">
      <w:pPr>
        <w:spacing w:after="0" w:line="360" w:lineRule="auto"/>
        <w:ind w:right="-28"/>
        <w:jc w:val="both"/>
        <w:rPr>
          <w:rFonts w:ascii="Palatino Linotype" w:eastAsia="Palatino Linotype" w:hAnsi="Palatino Linotype" w:cs="Palatino Linotype"/>
          <w:sz w:val="24"/>
          <w:szCs w:val="24"/>
        </w:rPr>
      </w:pPr>
    </w:p>
    <w:p w:rsidR="00F60B4F" w:rsidRPr="00DF7D2B" w:rsidRDefault="00F60B4F" w:rsidP="00F60B4F">
      <w:pPr>
        <w:spacing w:before="240" w:after="240" w:line="360" w:lineRule="auto"/>
        <w:ind w:right="49"/>
        <w:jc w:val="both"/>
        <w:rPr>
          <w:rFonts w:ascii="Palatino Linotype" w:hAnsi="Palatino Linotype"/>
        </w:rPr>
      </w:pPr>
      <w:r w:rsidRPr="00DF7D2B">
        <w:rPr>
          <w:rFonts w:ascii="Palatino Linotype" w:eastAsia="Palatino Linotype" w:hAnsi="Palatino Linotype" w:cs="Palatino Linotype"/>
          <w:b/>
        </w:rPr>
        <w:t xml:space="preserve">QUINTO. Versión Pública. </w:t>
      </w:r>
      <w:r w:rsidRPr="00DF7D2B">
        <w:rPr>
          <w:rFonts w:ascii="Palatino Linotype" w:hAnsi="Palatino Linotype"/>
        </w:rPr>
        <w:t>Como fue debidamente apuntado, el </w:t>
      </w:r>
      <w:r w:rsidRPr="00DF7D2B">
        <w:rPr>
          <w:rFonts w:ascii="Palatino Linotype" w:hAnsi="Palatino Linotype"/>
          <w:b/>
        </w:rPr>
        <w:t>SUJETO OBLIGADO</w:t>
      </w:r>
      <w:r w:rsidRPr="00DF7D2B">
        <w:rPr>
          <w:rFonts w:ascii="Palatino Linotype" w:hAnsi="Palatino Linotype"/>
        </w:rPr>
        <w:t xml:space="preserve"> debe satisfacer la solicitud de acceso a la información; sin embargo, dada la naturaleza </w:t>
      </w:r>
      <w:r w:rsidRPr="00DF7D2B">
        <w:rPr>
          <w:rFonts w:ascii="Palatino Linotype" w:hAnsi="Palatino Linotype" w:cs="Arial"/>
        </w:rPr>
        <w:t xml:space="preserve">de la información de la cual se ordena su entrega, </w:t>
      </w:r>
      <w:r w:rsidRPr="00DF7D2B">
        <w:rPr>
          <w:rFonts w:ascii="Palatino Linotype" w:hAnsi="Palatino Linotype"/>
        </w:rPr>
        <w:t>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rsidR="00F60B4F" w:rsidRPr="00DF7D2B" w:rsidRDefault="00F60B4F" w:rsidP="00F60B4F">
      <w:pPr>
        <w:spacing w:before="240" w:after="240" w:line="360" w:lineRule="auto"/>
        <w:ind w:right="49"/>
        <w:jc w:val="both"/>
        <w:rPr>
          <w:rFonts w:ascii="Palatino Linotype" w:hAnsi="Palatino Linotype"/>
        </w:rPr>
      </w:pPr>
      <w:r w:rsidRPr="00DF7D2B">
        <w:rPr>
          <w:rFonts w:ascii="Palatino Linotype" w:hAnsi="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F60B4F" w:rsidRPr="00DF7D2B" w:rsidRDefault="00F60B4F" w:rsidP="00F60B4F">
      <w:pPr>
        <w:spacing w:before="240" w:after="240" w:line="360" w:lineRule="auto"/>
        <w:ind w:right="49"/>
        <w:jc w:val="both"/>
        <w:rPr>
          <w:rFonts w:ascii="Palatino Linotype" w:hAnsi="Palatino Linotype"/>
        </w:rPr>
      </w:pPr>
      <w:r w:rsidRPr="00DF7D2B">
        <w:rPr>
          <w:rFonts w:ascii="Palatino Linotype" w:hAnsi="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F60B4F" w:rsidRPr="00DF7D2B" w:rsidRDefault="00F60B4F" w:rsidP="00F60B4F">
      <w:pPr>
        <w:spacing w:before="240" w:after="240" w:line="360" w:lineRule="auto"/>
        <w:ind w:right="49"/>
        <w:jc w:val="both"/>
        <w:rPr>
          <w:rFonts w:ascii="Palatino Linotype" w:hAnsi="Palatino Linotype" w:cs="Arial"/>
        </w:rPr>
      </w:pPr>
      <w:r w:rsidRPr="00DF7D2B">
        <w:rPr>
          <w:rFonts w:ascii="Palatino Linotype" w:hAnsi="Palatino Linotype"/>
        </w:rPr>
        <w:t>A</w:t>
      </w:r>
      <w:r w:rsidRPr="00DF7D2B">
        <w:rPr>
          <w:rFonts w:ascii="Palatino Linotype" w:hAnsi="Palatino Linotype" w:cs="Arial"/>
        </w:rPr>
        <w:t>l respecto, los artículos 3, fracciones IX, XX, XXI, XXXII, XLV; 6, 91, 137, 143 fracción I, de la Ley de Transparencia y Acceso a la Información Pública del Estado de México y Municipios vigente establecen:</w:t>
      </w:r>
    </w:p>
    <w:p w:rsidR="00F60B4F" w:rsidRPr="00DF7D2B" w:rsidRDefault="00F60B4F" w:rsidP="00F60B4F">
      <w:pPr>
        <w:autoSpaceDE w:val="0"/>
        <w:autoSpaceDN w:val="0"/>
        <w:adjustRightInd w:val="0"/>
        <w:spacing w:before="120" w:after="120"/>
        <w:ind w:left="851" w:right="709"/>
        <w:jc w:val="both"/>
        <w:rPr>
          <w:rFonts w:ascii="Palatino Linotype" w:hAnsi="Palatino Linotype" w:cs="Bookman Old Style,Bold"/>
          <w:i/>
        </w:rPr>
      </w:pPr>
      <w:r w:rsidRPr="00DF7D2B">
        <w:rPr>
          <w:rFonts w:ascii="Palatino Linotype" w:hAnsi="Palatino Linotype" w:cs="Arial"/>
        </w:rPr>
        <w:t> </w:t>
      </w:r>
      <w:r w:rsidRPr="00DF7D2B">
        <w:rPr>
          <w:rFonts w:ascii="Palatino Linotype" w:hAnsi="Palatino Linotype" w:cs="Bookman Old Style,Bold"/>
          <w:i/>
        </w:rPr>
        <w:t>“</w:t>
      </w:r>
      <w:r w:rsidRPr="00DF7D2B">
        <w:rPr>
          <w:rFonts w:ascii="Palatino Linotype" w:hAnsi="Palatino Linotype" w:cs="Bookman Old Style,Bold"/>
          <w:b/>
          <w:bCs/>
          <w:i/>
        </w:rPr>
        <w:t>Artículo 3.</w:t>
      </w:r>
      <w:r w:rsidRPr="00DF7D2B">
        <w:rPr>
          <w:rFonts w:ascii="Palatino Linotype" w:hAnsi="Palatino Linotype" w:cs="Bookman Old Style,Bold"/>
          <w:i/>
        </w:rPr>
        <w:t xml:space="preserve"> Para los efectos de la presente Ley se entenderá por:</w:t>
      </w:r>
    </w:p>
    <w:p w:rsidR="00F60B4F" w:rsidRPr="00DF7D2B" w:rsidRDefault="00F60B4F" w:rsidP="00F60B4F">
      <w:pPr>
        <w:tabs>
          <w:tab w:val="left" w:pos="1276"/>
        </w:tabs>
        <w:autoSpaceDE w:val="0"/>
        <w:autoSpaceDN w:val="0"/>
        <w:adjustRightInd w:val="0"/>
        <w:spacing w:before="120" w:after="120"/>
        <w:ind w:left="1134" w:right="709"/>
        <w:jc w:val="both"/>
        <w:rPr>
          <w:rFonts w:ascii="Palatino Linotype" w:hAnsi="Palatino Linotype" w:cs="Bookman Old Style,Bold"/>
          <w:i/>
        </w:rPr>
      </w:pPr>
      <w:r w:rsidRPr="00DF7D2B">
        <w:rPr>
          <w:rFonts w:ascii="Palatino Linotype" w:hAnsi="Palatino Linotype" w:cs="Bookman Old Style,Bold"/>
          <w:i/>
        </w:rPr>
        <w:t>(…)</w:t>
      </w:r>
    </w:p>
    <w:p w:rsidR="00F60B4F" w:rsidRPr="00DF7D2B" w:rsidRDefault="00F60B4F" w:rsidP="00F60B4F">
      <w:pPr>
        <w:tabs>
          <w:tab w:val="left" w:pos="1276"/>
        </w:tabs>
        <w:autoSpaceDE w:val="0"/>
        <w:autoSpaceDN w:val="0"/>
        <w:adjustRightInd w:val="0"/>
        <w:spacing w:before="120" w:after="120"/>
        <w:ind w:left="1134" w:right="709"/>
        <w:jc w:val="both"/>
        <w:rPr>
          <w:rFonts w:ascii="Palatino Linotype" w:hAnsi="Palatino Linotype" w:cs="Bookman Old Style,Bold"/>
          <w:i/>
        </w:rPr>
      </w:pPr>
      <w:r w:rsidRPr="00DF7D2B">
        <w:rPr>
          <w:rFonts w:ascii="Palatino Linotype" w:hAnsi="Palatino Linotype" w:cs="Bookman Old Style,Bold"/>
          <w:b/>
          <w:bCs/>
          <w:i/>
        </w:rPr>
        <w:t>IX. Datos personales</w:t>
      </w:r>
      <w:r w:rsidRPr="00DF7D2B">
        <w:rPr>
          <w:rFonts w:ascii="Palatino Linotype" w:hAnsi="Palatino Linotype" w:cs="Bookman Old Style,Bold"/>
          <w:i/>
        </w:rPr>
        <w:t>: La información concerniente a una persona, identificada o identificable según lo dispuesto por la Ley de Protección de Datos Personales del Estado de México;</w:t>
      </w:r>
    </w:p>
    <w:p w:rsidR="00F60B4F" w:rsidRPr="00DF7D2B" w:rsidRDefault="00F60B4F" w:rsidP="00F60B4F">
      <w:pPr>
        <w:tabs>
          <w:tab w:val="left" w:pos="1276"/>
        </w:tabs>
        <w:autoSpaceDE w:val="0"/>
        <w:autoSpaceDN w:val="0"/>
        <w:adjustRightInd w:val="0"/>
        <w:spacing w:before="120" w:after="120"/>
        <w:ind w:left="1134" w:right="709"/>
        <w:jc w:val="both"/>
        <w:rPr>
          <w:rFonts w:ascii="Palatino Linotype" w:hAnsi="Palatino Linotype" w:cs="Bookman Old Style,Bold"/>
          <w:i/>
        </w:rPr>
      </w:pPr>
      <w:r w:rsidRPr="00DF7D2B">
        <w:rPr>
          <w:rFonts w:ascii="Palatino Linotype" w:hAnsi="Palatino Linotype" w:cs="Bookman Old Style,Bold"/>
          <w:i/>
        </w:rPr>
        <w:t>(…)</w:t>
      </w:r>
    </w:p>
    <w:p w:rsidR="00F60B4F" w:rsidRPr="00DF7D2B" w:rsidRDefault="00F60B4F" w:rsidP="00F60B4F">
      <w:pPr>
        <w:tabs>
          <w:tab w:val="left" w:pos="1276"/>
        </w:tabs>
        <w:autoSpaceDE w:val="0"/>
        <w:autoSpaceDN w:val="0"/>
        <w:adjustRightInd w:val="0"/>
        <w:spacing w:before="120" w:after="120"/>
        <w:ind w:left="1134" w:right="709"/>
        <w:jc w:val="both"/>
        <w:rPr>
          <w:rFonts w:ascii="Palatino Linotype" w:hAnsi="Palatino Linotype" w:cs="Bookman Old Style,Bold"/>
          <w:i/>
        </w:rPr>
      </w:pPr>
      <w:r w:rsidRPr="00DF7D2B">
        <w:rPr>
          <w:rFonts w:ascii="Palatino Linotype" w:hAnsi="Palatino Linotype" w:cs="Bookman Old Style,Bold"/>
          <w:b/>
          <w:bCs/>
          <w:i/>
        </w:rPr>
        <w:t>XX. Información clasificada</w:t>
      </w:r>
      <w:r w:rsidRPr="00DF7D2B">
        <w:rPr>
          <w:rFonts w:ascii="Palatino Linotype" w:hAnsi="Palatino Linotype" w:cs="Bookman Old Style,Bold"/>
          <w:i/>
        </w:rPr>
        <w:t>: Aquella considerada por la presente Ley como reservada o confidencial;</w:t>
      </w:r>
    </w:p>
    <w:p w:rsidR="00F60B4F" w:rsidRPr="00DF7D2B" w:rsidRDefault="00F60B4F" w:rsidP="00F60B4F">
      <w:pPr>
        <w:tabs>
          <w:tab w:val="left" w:pos="1276"/>
        </w:tabs>
        <w:autoSpaceDE w:val="0"/>
        <w:autoSpaceDN w:val="0"/>
        <w:adjustRightInd w:val="0"/>
        <w:spacing w:before="120" w:after="120"/>
        <w:ind w:left="1134" w:right="709"/>
        <w:jc w:val="both"/>
        <w:rPr>
          <w:rFonts w:ascii="Palatino Linotype" w:hAnsi="Palatino Linotype" w:cs="Bookman Old Style,Bold"/>
          <w:i/>
        </w:rPr>
      </w:pPr>
      <w:r w:rsidRPr="00DF7D2B">
        <w:rPr>
          <w:rFonts w:ascii="Palatino Linotype" w:hAnsi="Palatino Linotype" w:cs="Bookman Old Style,Bold"/>
          <w:b/>
          <w:bCs/>
          <w:i/>
        </w:rPr>
        <w:t>XXI. Información confidencial</w:t>
      </w:r>
      <w:r w:rsidRPr="00DF7D2B">
        <w:rPr>
          <w:rFonts w:ascii="Palatino Linotype" w:hAnsi="Palatino Linotype" w:cs="Bookman Old Style,Bold"/>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60B4F" w:rsidRPr="00DF7D2B" w:rsidRDefault="00F60B4F" w:rsidP="00F60B4F">
      <w:pPr>
        <w:tabs>
          <w:tab w:val="left" w:pos="1276"/>
        </w:tabs>
        <w:autoSpaceDE w:val="0"/>
        <w:autoSpaceDN w:val="0"/>
        <w:adjustRightInd w:val="0"/>
        <w:spacing w:before="120" w:after="120"/>
        <w:ind w:left="1134" w:right="709"/>
        <w:jc w:val="both"/>
        <w:rPr>
          <w:rFonts w:ascii="Palatino Linotype" w:hAnsi="Palatino Linotype" w:cs="Bookman Old Style,Bold"/>
          <w:i/>
        </w:rPr>
      </w:pPr>
      <w:r w:rsidRPr="00DF7D2B">
        <w:rPr>
          <w:rFonts w:ascii="Palatino Linotype" w:hAnsi="Palatino Linotype" w:cs="Bookman Old Style,Bold"/>
          <w:i/>
        </w:rPr>
        <w:t>(…)</w:t>
      </w:r>
    </w:p>
    <w:p w:rsidR="00F60B4F" w:rsidRPr="00DF7D2B" w:rsidRDefault="00F60B4F" w:rsidP="00F60B4F">
      <w:pPr>
        <w:tabs>
          <w:tab w:val="left" w:pos="1276"/>
        </w:tabs>
        <w:autoSpaceDE w:val="0"/>
        <w:autoSpaceDN w:val="0"/>
        <w:adjustRightInd w:val="0"/>
        <w:spacing w:before="120" w:after="120"/>
        <w:ind w:left="1134" w:right="902"/>
        <w:jc w:val="both"/>
        <w:rPr>
          <w:rFonts w:ascii="Palatino Linotype" w:hAnsi="Palatino Linotype" w:cs="Bookman Old Style,Bold"/>
          <w:i/>
        </w:rPr>
      </w:pPr>
      <w:r w:rsidRPr="00DF7D2B">
        <w:rPr>
          <w:rFonts w:ascii="Palatino Linotype" w:hAnsi="Palatino Linotype" w:cs="Bookman Old Style,Bold"/>
          <w:b/>
          <w:bCs/>
          <w:i/>
        </w:rPr>
        <w:t>XXXII. Protección de Datos Personales</w:t>
      </w:r>
      <w:r w:rsidRPr="00DF7D2B">
        <w:rPr>
          <w:rFonts w:ascii="Palatino Linotype" w:hAnsi="Palatino Linotype" w:cs="Bookman Old Style,Bold"/>
          <w:i/>
        </w:rPr>
        <w:t>: Derecho humano que tutela la privacidad de datos personales en poder de los sujetos obligados y sujetos particulares;</w:t>
      </w:r>
    </w:p>
    <w:p w:rsidR="00F60B4F" w:rsidRPr="00DF7D2B" w:rsidRDefault="00F60B4F" w:rsidP="00F60B4F">
      <w:pPr>
        <w:tabs>
          <w:tab w:val="left" w:pos="1276"/>
        </w:tabs>
        <w:autoSpaceDE w:val="0"/>
        <w:autoSpaceDN w:val="0"/>
        <w:adjustRightInd w:val="0"/>
        <w:spacing w:before="120" w:after="120"/>
        <w:ind w:left="1134" w:right="902"/>
        <w:jc w:val="both"/>
        <w:rPr>
          <w:rFonts w:ascii="Palatino Linotype" w:hAnsi="Palatino Linotype" w:cs="Bookman Old Style,Bold"/>
          <w:i/>
        </w:rPr>
      </w:pPr>
      <w:r w:rsidRPr="00DF7D2B">
        <w:rPr>
          <w:rFonts w:ascii="Palatino Linotype" w:hAnsi="Palatino Linotype" w:cs="Bookman Old Style,Bold"/>
          <w:i/>
        </w:rPr>
        <w:t>(…)</w:t>
      </w:r>
    </w:p>
    <w:p w:rsidR="00F60B4F" w:rsidRPr="00DF7D2B" w:rsidRDefault="00F60B4F" w:rsidP="00F60B4F">
      <w:pPr>
        <w:tabs>
          <w:tab w:val="left" w:pos="1276"/>
        </w:tabs>
        <w:autoSpaceDE w:val="0"/>
        <w:autoSpaceDN w:val="0"/>
        <w:adjustRightInd w:val="0"/>
        <w:spacing w:before="120" w:after="120"/>
        <w:ind w:left="1134" w:right="902"/>
        <w:jc w:val="both"/>
        <w:rPr>
          <w:rFonts w:ascii="Palatino Linotype" w:hAnsi="Palatino Linotype" w:cs="Bookman Old Style,Bold"/>
          <w:i/>
        </w:rPr>
      </w:pPr>
      <w:r w:rsidRPr="00DF7D2B">
        <w:rPr>
          <w:rFonts w:ascii="Palatino Linotype" w:hAnsi="Palatino Linotype" w:cs="Bookman Old Style,Bold"/>
          <w:b/>
          <w:bCs/>
          <w:i/>
        </w:rPr>
        <w:t>XLV. Versión pública</w:t>
      </w:r>
      <w:r w:rsidRPr="00DF7D2B">
        <w:rPr>
          <w:rFonts w:ascii="Palatino Linotype" w:hAnsi="Palatino Linotype" w:cs="Bookman Old Style,Bold"/>
          <w:i/>
        </w:rPr>
        <w:t>: Documento en el que se elimine, suprime o borra la información clasificada como reservada o confidencial para permitir su acceso.</w:t>
      </w:r>
    </w:p>
    <w:p w:rsidR="00F60B4F" w:rsidRPr="00DF7D2B" w:rsidRDefault="00F60B4F" w:rsidP="00F60B4F">
      <w:pPr>
        <w:autoSpaceDE w:val="0"/>
        <w:autoSpaceDN w:val="0"/>
        <w:adjustRightInd w:val="0"/>
        <w:spacing w:before="120" w:after="120"/>
        <w:ind w:left="851" w:right="902"/>
        <w:jc w:val="both"/>
        <w:rPr>
          <w:rFonts w:ascii="Palatino Linotype" w:hAnsi="Palatino Linotype" w:cs="Bookman Old Style,Bold"/>
          <w:i/>
        </w:rPr>
      </w:pPr>
      <w:r w:rsidRPr="00DF7D2B">
        <w:rPr>
          <w:rFonts w:ascii="Palatino Linotype" w:hAnsi="Palatino Linotype" w:cs="Bookman Old Style,Bold"/>
          <w:b/>
          <w:bCs/>
          <w:i/>
        </w:rPr>
        <w:lastRenderedPageBreak/>
        <w:t> Artículo 6</w:t>
      </w:r>
      <w:r w:rsidRPr="00DF7D2B">
        <w:rPr>
          <w:rFonts w:ascii="Palatino Linotype" w:hAnsi="Palatino Linotype" w:cs="Bookman Old Style,Bold"/>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60B4F" w:rsidRPr="00DF7D2B" w:rsidRDefault="00F60B4F" w:rsidP="00F60B4F">
      <w:pPr>
        <w:autoSpaceDE w:val="0"/>
        <w:autoSpaceDN w:val="0"/>
        <w:adjustRightInd w:val="0"/>
        <w:spacing w:before="120" w:after="120"/>
        <w:ind w:left="851" w:right="902"/>
        <w:jc w:val="both"/>
        <w:rPr>
          <w:rFonts w:ascii="Palatino Linotype" w:hAnsi="Palatino Linotype" w:cs="Bookman Old Style,Bold"/>
          <w:i/>
        </w:rPr>
      </w:pPr>
      <w:r w:rsidRPr="00DF7D2B">
        <w:rPr>
          <w:rFonts w:ascii="Palatino Linotype" w:hAnsi="Palatino Linotype" w:cs="Bookman Old Style,Bold"/>
          <w:i/>
        </w:rPr>
        <w:t> (…)</w:t>
      </w:r>
    </w:p>
    <w:p w:rsidR="00F60B4F" w:rsidRPr="00DF7D2B" w:rsidRDefault="00F60B4F" w:rsidP="00F60B4F">
      <w:pPr>
        <w:autoSpaceDE w:val="0"/>
        <w:autoSpaceDN w:val="0"/>
        <w:adjustRightInd w:val="0"/>
        <w:spacing w:before="120" w:after="120"/>
        <w:ind w:left="851" w:right="902"/>
        <w:jc w:val="both"/>
        <w:rPr>
          <w:rFonts w:ascii="Palatino Linotype" w:hAnsi="Palatino Linotype" w:cs="Bookman Old Style,Bold"/>
          <w:i/>
        </w:rPr>
      </w:pPr>
      <w:r w:rsidRPr="00DF7D2B">
        <w:rPr>
          <w:rFonts w:ascii="Palatino Linotype" w:hAnsi="Palatino Linotype" w:cs="Bookman Old Style,Bold"/>
          <w:b/>
          <w:bCs/>
          <w:i/>
        </w:rPr>
        <w:t>Artículo 91.</w:t>
      </w:r>
      <w:r w:rsidRPr="00DF7D2B">
        <w:rPr>
          <w:rFonts w:ascii="Palatino Linotype" w:hAnsi="Palatino Linotype" w:cs="Bookman Old Style,Bold"/>
          <w:i/>
        </w:rPr>
        <w:t xml:space="preserve"> El acceso a la información pública será restringido excepcionalmente, cuando ésta sea clasificada como reservada o confidencial.</w:t>
      </w:r>
      <w:r w:rsidRPr="00DF7D2B">
        <w:rPr>
          <w:rFonts w:ascii="Palatino Linotype" w:hAnsi="Palatino Linotype" w:cs="Bookman Old Style,Bold"/>
          <w:i/>
        </w:rPr>
        <w:cr/>
        <w:t>(…)</w:t>
      </w:r>
    </w:p>
    <w:p w:rsidR="00F60B4F" w:rsidRPr="00DF7D2B" w:rsidRDefault="00F60B4F" w:rsidP="00F60B4F">
      <w:pPr>
        <w:autoSpaceDE w:val="0"/>
        <w:autoSpaceDN w:val="0"/>
        <w:adjustRightInd w:val="0"/>
        <w:spacing w:before="120" w:after="120"/>
        <w:ind w:left="851" w:right="902"/>
        <w:jc w:val="both"/>
        <w:rPr>
          <w:rFonts w:ascii="Palatino Linotype" w:hAnsi="Palatino Linotype" w:cs="Bookman Old Style,Bold"/>
          <w:i/>
        </w:rPr>
      </w:pPr>
      <w:r w:rsidRPr="00DF7D2B">
        <w:rPr>
          <w:rFonts w:ascii="Palatino Linotype" w:hAnsi="Palatino Linotype" w:cs="Bookman Old Style,Bold"/>
          <w:b/>
          <w:bCs/>
          <w:i/>
        </w:rPr>
        <w:t>Artículo 137.</w:t>
      </w:r>
      <w:r w:rsidRPr="00DF7D2B">
        <w:rPr>
          <w:rFonts w:ascii="Palatino Linotype" w:hAnsi="Palatino Linotype" w:cs="Bookman Old Style,Bold"/>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60B4F" w:rsidRPr="00DF7D2B" w:rsidRDefault="00F60B4F" w:rsidP="00F60B4F">
      <w:pPr>
        <w:autoSpaceDE w:val="0"/>
        <w:autoSpaceDN w:val="0"/>
        <w:adjustRightInd w:val="0"/>
        <w:spacing w:before="120" w:after="120"/>
        <w:ind w:left="851" w:right="902"/>
        <w:jc w:val="both"/>
        <w:rPr>
          <w:rFonts w:ascii="Palatino Linotype" w:hAnsi="Palatino Linotype" w:cs="Bookman Old Style,Bold"/>
          <w:i/>
        </w:rPr>
      </w:pPr>
      <w:r w:rsidRPr="00DF7D2B">
        <w:rPr>
          <w:rFonts w:ascii="Palatino Linotype" w:hAnsi="Palatino Linotype" w:cs="Bookman Old Style,Bold"/>
          <w:b/>
          <w:bCs/>
          <w:i/>
        </w:rPr>
        <w:t> Artículo 143.</w:t>
      </w:r>
      <w:r w:rsidRPr="00DF7D2B">
        <w:rPr>
          <w:rFonts w:ascii="Palatino Linotype" w:hAnsi="Palatino Linotype" w:cs="Bookman Old Style,Bold"/>
          <w:i/>
        </w:rPr>
        <w:t xml:space="preserve"> Para los efectos de esta Ley se considera información confidencial, la clasificada como tal, de manera permanente, por su naturaleza, cuando:</w:t>
      </w:r>
    </w:p>
    <w:p w:rsidR="00F60B4F" w:rsidRPr="00DF7D2B" w:rsidRDefault="00F60B4F" w:rsidP="00F60B4F">
      <w:pPr>
        <w:autoSpaceDE w:val="0"/>
        <w:autoSpaceDN w:val="0"/>
        <w:adjustRightInd w:val="0"/>
        <w:spacing w:before="120" w:after="120"/>
        <w:ind w:left="1134" w:right="902"/>
        <w:jc w:val="both"/>
        <w:rPr>
          <w:rFonts w:ascii="Palatino Linotype" w:hAnsi="Palatino Linotype" w:cs="Bookman Old Style,Bold"/>
          <w:i/>
        </w:rPr>
      </w:pPr>
      <w:r w:rsidRPr="00DF7D2B">
        <w:rPr>
          <w:rFonts w:ascii="Palatino Linotype" w:hAnsi="Palatino Linotype" w:cs="Bookman Old Style,Bold"/>
          <w:b/>
          <w:bCs/>
          <w:i/>
        </w:rPr>
        <w:t>I.</w:t>
      </w:r>
      <w:r w:rsidRPr="00DF7D2B">
        <w:rPr>
          <w:rFonts w:ascii="Palatino Linotype" w:hAnsi="Palatino Linotype" w:cs="Bookman Old Style,Bold"/>
          <w:i/>
        </w:rPr>
        <w:t xml:space="preserve"> Se refiera a la información privada y los datos personales concernientes a una persona física o jurídico colectiva identificada o identificable...”</w:t>
      </w:r>
    </w:p>
    <w:p w:rsidR="00F60B4F" w:rsidRPr="00DF7D2B" w:rsidRDefault="00F60B4F" w:rsidP="00F60B4F">
      <w:pPr>
        <w:autoSpaceDE w:val="0"/>
        <w:autoSpaceDN w:val="0"/>
        <w:adjustRightInd w:val="0"/>
        <w:spacing w:before="240" w:after="240" w:line="360" w:lineRule="auto"/>
        <w:ind w:right="50"/>
        <w:jc w:val="both"/>
        <w:rPr>
          <w:rFonts w:ascii="Palatino Linotype" w:hAnsi="Palatino Linotype" w:cs="Arial"/>
        </w:rPr>
      </w:pPr>
      <w:r w:rsidRPr="00DF7D2B">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F7D2B">
        <w:rPr>
          <w:rFonts w:ascii="Palatino Linotype" w:hAnsi="Palatino Linotype" w:cs="Arial"/>
          <w:b/>
          <w:bCs/>
        </w:rPr>
        <w:t>Sujeto Obligado</w:t>
      </w:r>
      <w:r w:rsidRPr="00DF7D2B">
        <w:rPr>
          <w:rFonts w:ascii="Palatino Linotype" w:hAnsi="Palatino Linotype" w:cs="Arial"/>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w:t>
      </w:r>
      <w:r w:rsidRPr="00DF7D2B">
        <w:rPr>
          <w:rFonts w:ascii="Palatino Linotype" w:hAnsi="Palatino Linotype" w:cs="Arial"/>
        </w:rPr>
        <w:lastRenderedPageBreak/>
        <w:t>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F60B4F" w:rsidRPr="00DF7D2B" w:rsidRDefault="00F60B4F" w:rsidP="00F60B4F">
      <w:pPr>
        <w:autoSpaceDE w:val="0"/>
        <w:autoSpaceDN w:val="0"/>
        <w:adjustRightInd w:val="0"/>
        <w:spacing w:before="240" w:after="240" w:line="360" w:lineRule="auto"/>
        <w:ind w:right="50"/>
        <w:jc w:val="both"/>
        <w:rPr>
          <w:rFonts w:ascii="Palatino Linotype" w:hAnsi="Palatino Linotype" w:cs="Arial"/>
        </w:rPr>
      </w:pPr>
      <w:r w:rsidRPr="00DF7D2B">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60B4F" w:rsidRPr="00DF7D2B" w:rsidRDefault="00F60B4F" w:rsidP="00F60B4F">
      <w:pPr>
        <w:autoSpaceDE w:val="0"/>
        <w:autoSpaceDN w:val="0"/>
        <w:adjustRightInd w:val="0"/>
        <w:spacing w:before="240" w:after="240" w:line="360" w:lineRule="auto"/>
        <w:jc w:val="both"/>
        <w:rPr>
          <w:rFonts w:ascii="Palatino Linotype" w:hAnsi="Palatino Linotype" w:cs="Arial"/>
        </w:rPr>
      </w:pPr>
      <w:r w:rsidRPr="00DF7D2B">
        <w:rPr>
          <w:rFonts w:ascii="Palatino Linotype" w:hAnsi="Palatino Linotype" w:cs="Arial"/>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F60B4F" w:rsidRPr="00DF7D2B" w:rsidRDefault="00F60B4F" w:rsidP="00F60B4F">
      <w:pPr>
        <w:autoSpaceDE w:val="0"/>
        <w:autoSpaceDN w:val="0"/>
        <w:adjustRightInd w:val="0"/>
        <w:spacing w:before="240" w:after="240" w:line="360" w:lineRule="auto"/>
        <w:ind w:right="50"/>
        <w:jc w:val="both"/>
        <w:rPr>
          <w:rFonts w:ascii="Palatino Linotype" w:hAnsi="Palatino Linotype" w:cs="Arial"/>
        </w:rPr>
      </w:pPr>
      <w:r w:rsidRPr="00DF7D2B">
        <w:rPr>
          <w:rFonts w:ascii="Palatino Linotype" w:hAnsi="Palatino Linotype" w:cs="Arial"/>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60B4F" w:rsidRPr="00DF7D2B" w:rsidRDefault="00F60B4F" w:rsidP="00F60B4F">
      <w:pPr>
        <w:spacing w:before="120" w:after="120"/>
        <w:ind w:left="851" w:right="900"/>
        <w:jc w:val="both"/>
        <w:rPr>
          <w:rFonts w:ascii="Palatino Linotype" w:hAnsi="Palatino Linotype"/>
          <w:i/>
        </w:rPr>
      </w:pPr>
      <w:r w:rsidRPr="00DF7D2B">
        <w:rPr>
          <w:rFonts w:ascii="Palatino Linotype" w:hAnsi="Palatino Linotype"/>
          <w:b/>
          <w:i/>
        </w:rPr>
        <w:t>“Artículo 49.</w:t>
      </w:r>
      <w:r w:rsidRPr="00DF7D2B">
        <w:rPr>
          <w:rFonts w:ascii="Palatino Linotype" w:hAnsi="Palatino Linotype"/>
          <w:i/>
        </w:rPr>
        <w:t xml:space="preserve"> </w:t>
      </w:r>
      <w:r w:rsidRPr="00DF7D2B">
        <w:rPr>
          <w:rFonts w:ascii="Palatino Linotype" w:hAnsi="Palatino Linotype"/>
          <w:b/>
          <w:i/>
        </w:rPr>
        <w:t>Los Comités de Transparencia</w:t>
      </w:r>
      <w:r w:rsidRPr="00DF7D2B">
        <w:rPr>
          <w:rFonts w:ascii="Palatino Linotype" w:hAnsi="Palatino Linotype"/>
          <w:i/>
        </w:rPr>
        <w:t xml:space="preserve"> tendrán las siguientes atribuciones:</w:t>
      </w:r>
    </w:p>
    <w:p w:rsidR="00F60B4F" w:rsidRPr="00DF7D2B" w:rsidRDefault="00F60B4F" w:rsidP="00F60B4F">
      <w:pPr>
        <w:spacing w:before="120" w:after="120"/>
        <w:ind w:left="993" w:right="900"/>
        <w:jc w:val="both"/>
        <w:rPr>
          <w:rFonts w:ascii="Palatino Linotype" w:hAnsi="Palatino Linotype"/>
          <w:i/>
        </w:rPr>
      </w:pPr>
      <w:r w:rsidRPr="00DF7D2B">
        <w:rPr>
          <w:rFonts w:ascii="Palatino Linotype" w:hAnsi="Palatino Linotype"/>
          <w:b/>
          <w:i/>
        </w:rPr>
        <w:t>VIII. Aprobar, modificar o revocar la clasificación de la información</w:t>
      </w:r>
      <w:r w:rsidRPr="00DF7D2B">
        <w:rPr>
          <w:rFonts w:ascii="Palatino Linotype" w:hAnsi="Palatino Linotype"/>
          <w:i/>
        </w:rPr>
        <w:t>…”</w:t>
      </w:r>
    </w:p>
    <w:p w:rsidR="00F60B4F" w:rsidRPr="00DF7D2B" w:rsidRDefault="00F60B4F" w:rsidP="00F60B4F">
      <w:pPr>
        <w:spacing w:before="120" w:after="120"/>
        <w:ind w:left="851" w:right="900"/>
        <w:jc w:val="both"/>
        <w:rPr>
          <w:rFonts w:ascii="Palatino Linotype" w:hAnsi="Palatino Linotype"/>
          <w:i/>
        </w:rPr>
      </w:pPr>
      <w:r w:rsidRPr="00DF7D2B">
        <w:rPr>
          <w:rFonts w:ascii="Palatino Linotype" w:hAnsi="Palatino Linotype"/>
          <w:i/>
        </w:rPr>
        <w:lastRenderedPageBreak/>
        <w:t>“</w:t>
      </w:r>
      <w:r w:rsidRPr="00DF7D2B">
        <w:rPr>
          <w:rFonts w:ascii="Palatino Linotype" w:hAnsi="Palatino Linotype"/>
          <w:b/>
          <w:i/>
        </w:rPr>
        <w:t>Artículo 53.</w:t>
      </w:r>
      <w:r w:rsidRPr="00DF7D2B">
        <w:rPr>
          <w:rFonts w:ascii="Palatino Linotype" w:hAnsi="Palatino Linotype"/>
          <w:i/>
        </w:rPr>
        <w:t xml:space="preserve"> Las </w:t>
      </w:r>
      <w:r w:rsidRPr="00DF7D2B">
        <w:rPr>
          <w:rFonts w:ascii="Palatino Linotype" w:hAnsi="Palatino Linotype"/>
          <w:b/>
          <w:i/>
        </w:rPr>
        <w:t>Unidades de Transparencia</w:t>
      </w:r>
      <w:r w:rsidRPr="00DF7D2B">
        <w:rPr>
          <w:rFonts w:ascii="Palatino Linotype" w:hAnsi="Palatino Linotype"/>
          <w:i/>
        </w:rPr>
        <w:t xml:space="preserve"> tendrán las siguientes </w:t>
      </w:r>
      <w:r w:rsidRPr="00DF7D2B">
        <w:rPr>
          <w:rFonts w:ascii="Palatino Linotype" w:hAnsi="Palatino Linotype"/>
          <w:b/>
          <w:i/>
        </w:rPr>
        <w:t>funciones</w:t>
      </w:r>
      <w:r w:rsidRPr="00DF7D2B">
        <w:rPr>
          <w:rFonts w:ascii="Palatino Linotype" w:hAnsi="Palatino Linotype"/>
          <w:i/>
        </w:rPr>
        <w:t>:</w:t>
      </w:r>
    </w:p>
    <w:p w:rsidR="00F60B4F" w:rsidRPr="00DF7D2B" w:rsidRDefault="00F60B4F" w:rsidP="00F60B4F">
      <w:pPr>
        <w:spacing w:before="120" w:after="120"/>
        <w:ind w:left="993" w:right="900"/>
        <w:jc w:val="both"/>
        <w:rPr>
          <w:rFonts w:ascii="Palatino Linotype" w:hAnsi="Palatino Linotype"/>
          <w:i/>
        </w:rPr>
      </w:pPr>
      <w:r w:rsidRPr="00DF7D2B">
        <w:rPr>
          <w:rFonts w:ascii="Palatino Linotype" w:hAnsi="Palatino Linotype"/>
          <w:b/>
          <w:i/>
        </w:rPr>
        <w:t>X. Presentar ante el Comité, el proyecto de clasificación de información</w:t>
      </w:r>
      <w:r w:rsidRPr="00DF7D2B">
        <w:rPr>
          <w:rFonts w:ascii="Palatino Linotype" w:hAnsi="Palatino Linotype"/>
          <w:i/>
        </w:rPr>
        <w:t xml:space="preserve">…” </w:t>
      </w:r>
    </w:p>
    <w:p w:rsidR="00F60B4F" w:rsidRPr="00DF7D2B" w:rsidRDefault="00F60B4F" w:rsidP="00F60B4F">
      <w:pPr>
        <w:spacing w:before="120" w:after="120"/>
        <w:ind w:left="851" w:right="900"/>
        <w:jc w:val="both"/>
        <w:rPr>
          <w:rFonts w:ascii="Palatino Linotype" w:hAnsi="Palatino Linotype"/>
          <w:i/>
        </w:rPr>
      </w:pPr>
      <w:r w:rsidRPr="00DF7D2B">
        <w:rPr>
          <w:rFonts w:ascii="Palatino Linotype" w:hAnsi="Palatino Linotype"/>
          <w:b/>
          <w:i/>
        </w:rPr>
        <w:t>“Artículo 59.</w:t>
      </w:r>
      <w:r w:rsidRPr="00DF7D2B">
        <w:rPr>
          <w:rFonts w:ascii="Palatino Linotype" w:hAnsi="Palatino Linotype"/>
          <w:i/>
        </w:rPr>
        <w:t xml:space="preserve"> Los </w:t>
      </w:r>
      <w:r w:rsidRPr="00DF7D2B">
        <w:rPr>
          <w:rFonts w:ascii="Palatino Linotype" w:hAnsi="Palatino Linotype"/>
          <w:b/>
          <w:i/>
        </w:rPr>
        <w:t>servidores públicos habilitados</w:t>
      </w:r>
      <w:r w:rsidRPr="00DF7D2B">
        <w:rPr>
          <w:rFonts w:ascii="Palatino Linotype" w:hAnsi="Palatino Linotype"/>
          <w:i/>
        </w:rPr>
        <w:t xml:space="preserve"> tendrán las </w:t>
      </w:r>
      <w:r w:rsidRPr="00DF7D2B">
        <w:rPr>
          <w:rFonts w:ascii="Palatino Linotype" w:hAnsi="Palatino Linotype"/>
          <w:b/>
          <w:i/>
        </w:rPr>
        <w:t>funciones</w:t>
      </w:r>
      <w:r w:rsidRPr="00DF7D2B">
        <w:rPr>
          <w:rFonts w:ascii="Palatino Linotype" w:hAnsi="Palatino Linotype"/>
          <w:i/>
        </w:rPr>
        <w:t xml:space="preserve"> siguientes:</w:t>
      </w:r>
    </w:p>
    <w:p w:rsidR="00F60B4F" w:rsidRPr="00DF7D2B" w:rsidRDefault="00F60B4F" w:rsidP="00F60B4F">
      <w:pPr>
        <w:spacing w:before="120" w:after="120"/>
        <w:ind w:left="851" w:right="900"/>
        <w:jc w:val="both"/>
        <w:rPr>
          <w:rFonts w:ascii="Palatino Linotype" w:hAnsi="Palatino Linotype"/>
          <w:i/>
        </w:rPr>
      </w:pPr>
      <w:r w:rsidRPr="00DF7D2B">
        <w:rPr>
          <w:rFonts w:ascii="Palatino Linotype" w:hAnsi="Palatino Linotype"/>
          <w:b/>
          <w:i/>
        </w:rPr>
        <w:t>V. Integrar y presentar al responsable de la Unidad de Transparencia la propuesta de clasificación de información</w:t>
      </w:r>
      <w:r w:rsidRPr="00DF7D2B">
        <w:rPr>
          <w:rFonts w:ascii="Palatino Linotype" w:hAnsi="Palatino Linotype"/>
          <w:i/>
        </w:rPr>
        <w:t>, la cual tendrá los fundamentos y argumentos en que se basa dicha propuesta…”</w:t>
      </w:r>
    </w:p>
    <w:p w:rsidR="00F60B4F" w:rsidRPr="00DF7D2B" w:rsidRDefault="00F60B4F" w:rsidP="00F60B4F">
      <w:pPr>
        <w:spacing w:before="240" w:after="240"/>
        <w:ind w:left="992" w:right="1043"/>
        <w:contextualSpacing/>
        <w:jc w:val="both"/>
        <w:rPr>
          <w:rFonts w:ascii="Palatino Linotype" w:hAnsi="Palatino Linotype"/>
          <w:i/>
        </w:rPr>
      </w:pPr>
    </w:p>
    <w:p w:rsidR="00F60B4F" w:rsidRPr="00DF7D2B" w:rsidRDefault="00F60B4F" w:rsidP="00F60B4F">
      <w:pPr>
        <w:spacing w:before="240" w:after="240" w:line="360" w:lineRule="auto"/>
        <w:jc w:val="both"/>
        <w:rPr>
          <w:rFonts w:ascii="Palatino Linotype" w:hAnsi="Palatino Linotype" w:cs="Arial"/>
        </w:rPr>
      </w:pPr>
      <w:r w:rsidRPr="00DF7D2B">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60B4F" w:rsidRPr="00DF7D2B" w:rsidRDefault="00F60B4F" w:rsidP="00F60B4F">
      <w:pPr>
        <w:spacing w:before="240" w:after="240" w:line="360" w:lineRule="auto"/>
        <w:ind w:right="49"/>
        <w:jc w:val="both"/>
        <w:rPr>
          <w:rFonts w:ascii="Palatino Linotype" w:eastAsiaTheme="minorEastAsia" w:hAnsi="Palatino Linotype" w:cs="Arial"/>
          <w:lang w:val="es-ES_tradnl"/>
        </w:rPr>
      </w:pPr>
      <w:r w:rsidRPr="00DF7D2B">
        <w:rPr>
          <w:rFonts w:ascii="Palatino Linotype" w:eastAsiaTheme="minorEastAsia" w:hAnsi="Palatino Linotype" w:cs="Bookman Old Style"/>
        </w:rPr>
        <w:t xml:space="preserve">Por último, respecto a la versión pública de los documentos que contenga la información solicitada, cabe señalar que el Comité de Transparencia del </w:t>
      </w:r>
      <w:r w:rsidRPr="00DF7D2B">
        <w:rPr>
          <w:rFonts w:ascii="Palatino Linotype" w:eastAsiaTheme="minorEastAsia" w:hAnsi="Palatino Linotype" w:cs="Bookman Old Style"/>
          <w:b/>
          <w:bCs/>
        </w:rPr>
        <w:t>SUJETO OBLIGADO</w:t>
      </w:r>
      <w:r w:rsidRPr="00DF7D2B">
        <w:rPr>
          <w:rFonts w:ascii="Palatino Linotype" w:eastAsiaTheme="minorEastAsia" w:hAnsi="Palatino Linotype" w:cs="Bookman Old Style"/>
        </w:rPr>
        <w:t xml:space="preserve">, deberá emitir el acuerdo de clasificación de información </w:t>
      </w:r>
      <w:r w:rsidRPr="00DF7D2B">
        <w:rPr>
          <w:rFonts w:ascii="Palatino Linotype" w:eastAsiaTheme="minorEastAsia" w:hAnsi="Palatino Linotype" w:cs="Arial"/>
          <w:lang w:val="es-ES_tradnl"/>
        </w:rPr>
        <w:t xml:space="preserve">debidamente fundado y motivado, en </w:t>
      </w:r>
      <w:r w:rsidRPr="00DF7D2B">
        <w:rPr>
          <w:rFonts w:ascii="Palatino Linotype" w:eastAsiaTheme="minorEastAsia" w:hAnsi="Palatino Linotype" w:cs="Arial"/>
          <w:noProof/>
          <w:lang w:val="es-ES_tradnl"/>
        </w:rPr>
        <w:t>términos</w:t>
      </w:r>
      <w:r w:rsidRPr="00DF7D2B">
        <w:rPr>
          <w:rFonts w:ascii="Palatino Linotype" w:eastAsiaTheme="minorEastAsia" w:hAnsi="Palatino Linotype" w:cs="Arial"/>
          <w:lang w:val="es-ES_tradnl"/>
        </w:rPr>
        <w:t xml:space="preserve">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b/>
          <w:i/>
          <w:lang w:val="es-ES_tradnl"/>
        </w:rPr>
      </w:pPr>
      <w:r w:rsidRPr="00DF7D2B">
        <w:rPr>
          <w:rFonts w:ascii="Palatino Linotype" w:eastAsiaTheme="minorEastAsia" w:hAnsi="Palatino Linotype" w:cs="Arial"/>
          <w:i/>
          <w:lang w:val="es-ES_tradnl"/>
        </w:rPr>
        <w:lastRenderedPageBreak/>
        <w:t>“</w:t>
      </w:r>
      <w:r w:rsidRPr="00DF7D2B">
        <w:rPr>
          <w:rFonts w:ascii="Palatino Linotype" w:eastAsiaTheme="minorEastAsia" w:hAnsi="Palatino Linotype" w:cs="Arial"/>
          <w:b/>
          <w:i/>
          <w:lang w:val="es-ES_tradnl"/>
        </w:rPr>
        <w:t>Artículo 132.</w:t>
      </w:r>
      <w:r w:rsidRPr="00DF7D2B">
        <w:rPr>
          <w:rFonts w:ascii="Palatino Linotype" w:eastAsiaTheme="minorEastAsia" w:hAnsi="Palatino Linotype" w:cs="Arial"/>
          <w:i/>
          <w:lang w:val="es-ES_tradnl"/>
        </w:rPr>
        <w:t xml:space="preserve"> </w:t>
      </w:r>
      <w:r w:rsidRPr="00DF7D2B">
        <w:rPr>
          <w:rFonts w:ascii="Palatino Linotype" w:eastAsiaTheme="minorEastAsia" w:hAnsi="Palatino Linotype" w:cs="Arial"/>
          <w:b/>
          <w:i/>
          <w:lang w:val="es-ES_tradnl"/>
        </w:rPr>
        <w:t>La clasificación de la información se llevará a cabo en el momento en que:</w:t>
      </w:r>
    </w:p>
    <w:p w:rsidR="00F60B4F" w:rsidRPr="00DF7D2B" w:rsidRDefault="00F60B4F" w:rsidP="00F60B4F">
      <w:pPr>
        <w:tabs>
          <w:tab w:val="left" w:pos="8222"/>
        </w:tabs>
        <w:autoSpaceDE w:val="0"/>
        <w:autoSpaceDN w:val="0"/>
        <w:adjustRightInd w:val="0"/>
        <w:spacing w:before="120" w:after="120"/>
        <w:ind w:left="1134" w:right="709"/>
        <w:jc w:val="both"/>
        <w:rPr>
          <w:rFonts w:ascii="Palatino Linotype" w:eastAsiaTheme="minorEastAsia" w:hAnsi="Palatino Linotype" w:cs="Arial"/>
          <w:i/>
          <w:lang w:val="es-ES_tradnl"/>
        </w:rPr>
      </w:pPr>
      <w:r w:rsidRPr="00DF7D2B">
        <w:rPr>
          <w:rFonts w:ascii="Palatino Linotype" w:eastAsiaTheme="minorEastAsia" w:hAnsi="Palatino Linotype" w:cs="Arial"/>
          <w:i/>
          <w:lang w:val="es-ES_tradnl"/>
        </w:rPr>
        <w:t>…</w:t>
      </w:r>
    </w:p>
    <w:p w:rsidR="00F60B4F" w:rsidRPr="00DF7D2B" w:rsidRDefault="00F60B4F" w:rsidP="00F60B4F">
      <w:pPr>
        <w:tabs>
          <w:tab w:val="left" w:pos="8222"/>
        </w:tabs>
        <w:autoSpaceDE w:val="0"/>
        <w:autoSpaceDN w:val="0"/>
        <w:adjustRightInd w:val="0"/>
        <w:spacing w:before="120" w:after="120"/>
        <w:ind w:left="1134"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II.</w:t>
      </w:r>
      <w:r w:rsidRPr="00DF7D2B">
        <w:rPr>
          <w:rFonts w:ascii="Palatino Linotype" w:eastAsiaTheme="minorEastAsia" w:hAnsi="Palatino Linotype" w:cs="Arial"/>
          <w:i/>
          <w:lang w:val="es-ES_tradnl"/>
        </w:rPr>
        <w:t xml:space="preserve"> Se determine mediante resolución de autoridad competente; o</w:t>
      </w:r>
    </w:p>
    <w:p w:rsidR="00F60B4F" w:rsidRPr="00DF7D2B" w:rsidRDefault="00F60B4F" w:rsidP="00F60B4F">
      <w:pPr>
        <w:tabs>
          <w:tab w:val="left" w:pos="8222"/>
        </w:tabs>
        <w:autoSpaceDE w:val="0"/>
        <w:autoSpaceDN w:val="0"/>
        <w:adjustRightInd w:val="0"/>
        <w:spacing w:before="120" w:after="120"/>
        <w:ind w:left="1134"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III</w:t>
      </w:r>
      <w:r w:rsidRPr="00DF7D2B">
        <w:rPr>
          <w:rFonts w:ascii="Palatino Linotype" w:eastAsiaTheme="minorEastAsia" w:hAnsi="Palatino Linotype" w:cs="Arial"/>
          <w:i/>
          <w:lang w:val="es-ES_tradnl"/>
        </w:rPr>
        <w:t xml:space="preserve">. </w:t>
      </w:r>
      <w:r w:rsidRPr="00DF7D2B">
        <w:rPr>
          <w:rFonts w:ascii="Palatino Linotype" w:eastAsiaTheme="minorEastAsia" w:hAnsi="Palatino Linotype" w:cs="Arial"/>
          <w:b/>
          <w:i/>
          <w:lang w:val="es-ES_tradnl"/>
        </w:rPr>
        <w:t>Se generen versiones públicas para dar cumplimiento a las obligaciones de transparencia previstas en esta Ley</w:t>
      </w:r>
      <w:r w:rsidRPr="00DF7D2B">
        <w:rPr>
          <w:rFonts w:ascii="Palatino Linotype" w:eastAsiaTheme="minorEastAsia" w:hAnsi="Palatino Linotype" w:cs="Arial"/>
          <w:i/>
          <w:lang w:val="es-ES_tradnl"/>
        </w:rPr>
        <w:t>.”</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i/>
          <w:lang w:val="es-ES_tradnl"/>
        </w:rPr>
        <w:t>“</w:t>
      </w:r>
      <w:r w:rsidRPr="00DF7D2B">
        <w:rPr>
          <w:rFonts w:ascii="Palatino Linotype" w:eastAsiaTheme="minorEastAsia" w:hAnsi="Palatino Linotype" w:cs="Arial"/>
          <w:b/>
          <w:i/>
          <w:lang w:val="es-ES_tradnl"/>
        </w:rPr>
        <w:t>Segundo.-</w:t>
      </w:r>
      <w:r w:rsidRPr="00DF7D2B">
        <w:rPr>
          <w:rFonts w:ascii="Palatino Linotype" w:eastAsiaTheme="minorEastAsia" w:hAnsi="Palatino Linotype" w:cs="Arial"/>
          <w:i/>
          <w:lang w:val="es-ES_tradnl"/>
        </w:rPr>
        <w:t xml:space="preserve"> Para efectos de los presentes Lineamientos Generales, se entenderá por:</w:t>
      </w:r>
    </w:p>
    <w:p w:rsidR="00F60B4F" w:rsidRPr="00DF7D2B" w:rsidRDefault="00F60B4F" w:rsidP="00F60B4F">
      <w:pPr>
        <w:tabs>
          <w:tab w:val="left" w:pos="8222"/>
        </w:tabs>
        <w:autoSpaceDE w:val="0"/>
        <w:autoSpaceDN w:val="0"/>
        <w:adjustRightInd w:val="0"/>
        <w:spacing w:before="120" w:after="120"/>
        <w:ind w:left="1134"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XVIII.</w:t>
      </w:r>
      <w:r w:rsidRPr="00DF7D2B">
        <w:rPr>
          <w:rFonts w:ascii="Palatino Linotype" w:eastAsiaTheme="minorEastAsia" w:hAnsi="Palatino Linotype" w:cs="Arial"/>
          <w:i/>
          <w:lang w:val="es-ES_tradnl"/>
        </w:rPr>
        <w:t xml:space="preserve"> </w:t>
      </w:r>
      <w:r w:rsidRPr="00DF7D2B">
        <w:rPr>
          <w:rFonts w:ascii="Palatino Linotype" w:eastAsiaTheme="minorEastAsia" w:hAnsi="Palatino Linotype" w:cs="Arial"/>
          <w:b/>
          <w:i/>
          <w:lang w:val="es-ES_tradnl"/>
        </w:rPr>
        <w:t>Versión pública:</w:t>
      </w:r>
      <w:r w:rsidRPr="00DF7D2B">
        <w:rPr>
          <w:rFonts w:ascii="Palatino Linotype" w:eastAsiaTheme="minorEastAsia" w:hAnsi="Palatino Linotype" w:cs="Arial"/>
          <w:i/>
          <w:lang w:val="es-ES_tradnl"/>
        </w:rPr>
        <w:t xml:space="preserve"> El </w:t>
      </w:r>
      <w:r w:rsidRPr="00DF7D2B">
        <w:rPr>
          <w:rFonts w:ascii="Palatino Linotype" w:eastAsiaTheme="minorEastAsia" w:hAnsi="Palatino Linotype" w:cs="Arial"/>
          <w:bCs/>
          <w:i/>
          <w:noProof/>
          <w:lang w:val="es-ES_tradnl"/>
        </w:rPr>
        <w:t>documento</w:t>
      </w:r>
      <w:r w:rsidRPr="00DF7D2B">
        <w:rPr>
          <w:rFonts w:ascii="Palatino Linotype" w:eastAsiaTheme="minorEastAsia" w:hAnsi="Palatino Linotype" w:cs="Arial"/>
          <w:i/>
          <w:lang w:val="es-ES_tradnl"/>
        </w:rPr>
        <w:t xml:space="preserve"> a partir del que se otorga acceso a la información, en el que se testan partes o secciones clasificadas, indicando el contenido de éstas de manera genérica, </w:t>
      </w:r>
      <w:r w:rsidRPr="00DF7D2B">
        <w:rPr>
          <w:rFonts w:ascii="Palatino Linotype" w:eastAsiaTheme="minorEastAsia" w:hAnsi="Palatino Linotype" w:cs="Arial"/>
          <w:b/>
          <w:i/>
          <w:lang w:val="es-ES_tradnl"/>
        </w:rPr>
        <w:t>fundando y motivando la</w:t>
      </w:r>
      <w:r w:rsidRPr="00DF7D2B">
        <w:rPr>
          <w:rFonts w:ascii="Palatino Linotype" w:eastAsiaTheme="minorEastAsia" w:hAnsi="Palatino Linotype" w:cs="Arial"/>
          <w:i/>
          <w:lang w:val="es-ES_tradnl"/>
        </w:rPr>
        <w:t xml:space="preserve"> reserva o </w:t>
      </w:r>
      <w:r w:rsidRPr="00DF7D2B">
        <w:rPr>
          <w:rFonts w:ascii="Palatino Linotype" w:eastAsiaTheme="minorEastAsia" w:hAnsi="Palatino Linotype" w:cs="Arial"/>
          <w:b/>
          <w:i/>
          <w:lang w:val="es-ES_tradnl"/>
        </w:rPr>
        <w:t>confidencialidad</w:t>
      </w:r>
      <w:r w:rsidRPr="00DF7D2B">
        <w:rPr>
          <w:rFonts w:ascii="Palatino Linotype" w:eastAsiaTheme="minorEastAsia" w:hAnsi="Palatino Linotype" w:cs="Arial"/>
          <w:i/>
          <w:lang w:val="es-ES_tradnl"/>
        </w:rPr>
        <w:t xml:space="preserve">, a través de la resolución que para tal efecto emita el </w:t>
      </w:r>
      <w:r w:rsidRPr="00DF7D2B">
        <w:rPr>
          <w:rFonts w:ascii="Palatino Linotype" w:eastAsiaTheme="minorEastAsia" w:hAnsi="Palatino Linotype" w:cs="Arial"/>
          <w:bCs/>
          <w:i/>
          <w:noProof/>
          <w:lang w:val="es-ES_tradnl"/>
        </w:rPr>
        <w:t>Comité</w:t>
      </w:r>
      <w:r w:rsidRPr="00DF7D2B">
        <w:rPr>
          <w:rFonts w:ascii="Palatino Linotype" w:eastAsiaTheme="minorEastAsia" w:hAnsi="Palatino Linotype" w:cs="Arial"/>
          <w:i/>
          <w:lang w:val="es-ES_tradnl"/>
        </w:rPr>
        <w:t xml:space="preserve"> de Transparencia.</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Cuarto.</w:t>
      </w:r>
      <w:r w:rsidRPr="00DF7D2B">
        <w:rPr>
          <w:rFonts w:ascii="Palatino Linotype" w:eastAsiaTheme="minorEastAsia" w:hAnsi="Palatino Linotype" w:cs="Arial"/>
          <w:i/>
          <w:lang w:val="es-ES_tradnl"/>
        </w:rPr>
        <w:t xml:space="preserve"> </w:t>
      </w:r>
      <w:r w:rsidRPr="00DF7D2B">
        <w:rPr>
          <w:rFonts w:ascii="Palatino Linotype" w:eastAsiaTheme="minorEastAsia" w:hAnsi="Palatino Linotype" w:cs="Arial"/>
          <w:b/>
          <w:i/>
          <w:lang w:val="es-ES_tradnl"/>
        </w:rPr>
        <w:t>Para clasificar la información como</w:t>
      </w:r>
      <w:r w:rsidRPr="00DF7D2B">
        <w:rPr>
          <w:rFonts w:ascii="Palatino Linotype" w:eastAsiaTheme="minorEastAsia" w:hAnsi="Palatino Linotype" w:cs="Arial"/>
          <w:i/>
          <w:lang w:val="es-ES_tradnl"/>
        </w:rPr>
        <w:t xml:space="preserve"> reservada o </w:t>
      </w:r>
      <w:r w:rsidRPr="00DF7D2B">
        <w:rPr>
          <w:rFonts w:ascii="Palatino Linotype" w:eastAsiaTheme="minorEastAsia" w:hAnsi="Palatino Linotype" w:cs="Arial"/>
          <w:b/>
          <w:i/>
          <w:lang w:val="es-ES_tradnl"/>
        </w:rPr>
        <w:t xml:space="preserve">confidencial, de manera total o parcial, el titular del </w:t>
      </w:r>
      <w:r w:rsidRPr="00DF7D2B">
        <w:rPr>
          <w:rFonts w:ascii="Palatino Linotype" w:eastAsiaTheme="minorEastAsia" w:hAnsi="Palatino Linotype" w:cs="Arial"/>
          <w:b/>
          <w:bCs/>
          <w:i/>
          <w:noProof/>
          <w:lang w:val="es-ES_tradnl"/>
        </w:rPr>
        <w:t>área</w:t>
      </w:r>
      <w:r w:rsidRPr="00DF7D2B">
        <w:rPr>
          <w:rFonts w:ascii="Palatino Linotype" w:eastAsiaTheme="minorEastAsia" w:hAnsi="Palatino Linotype" w:cs="Arial"/>
          <w:b/>
          <w:i/>
          <w:lang w:val="es-ES_tradnl"/>
        </w:rPr>
        <w:t xml:space="preserve"> del sujeto obligado deberá atender lo dispuesto por el Título Sexto de la Ley General</w:t>
      </w:r>
      <w:r w:rsidRPr="00DF7D2B">
        <w:rPr>
          <w:rFonts w:ascii="Palatino Linotype" w:eastAsiaTheme="minorEastAsia" w:hAnsi="Palatino Linotype" w:cs="Arial"/>
          <w:i/>
          <w:lang w:val="es-ES_tradnl"/>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i/>
          <w:lang w:val="es-ES_tradnl"/>
        </w:rPr>
        <w:t xml:space="preserve">Los sujetos obligados deberán aplicar, de manera estricta, las excepciones al derecho de acceso a la </w:t>
      </w:r>
      <w:r w:rsidRPr="00DF7D2B">
        <w:rPr>
          <w:rFonts w:ascii="Palatino Linotype" w:eastAsiaTheme="minorEastAsia" w:hAnsi="Palatino Linotype" w:cs="Arial"/>
          <w:bCs/>
          <w:i/>
          <w:noProof/>
          <w:lang w:val="es-ES_tradnl"/>
        </w:rPr>
        <w:t>información</w:t>
      </w:r>
      <w:r w:rsidRPr="00DF7D2B">
        <w:rPr>
          <w:rFonts w:ascii="Palatino Linotype" w:eastAsiaTheme="minorEastAsia" w:hAnsi="Palatino Linotype" w:cs="Arial"/>
          <w:i/>
          <w:lang w:val="es-ES_tradnl"/>
        </w:rPr>
        <w:t xml:space="preserve"> y sólo podrán invocarlas cuando acrediten su procedencia.</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Quinto.</w:t>
      </w:r>
      <w:r w:rsidRPr="00DF7D2B">
        <w:rPr>
          <w:rFonts w:ascii="Palatino Linotype" w:eastAsiaTheme="minorEastAsia" w:hAnsi="Palatino Linotype" w:cs="Arial"/>
          <w:i/>
          <w:lang w:val="es-ES_tradnl"/>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Sexto.</w:t>
      </w:r>
      <w:r w:rsidRPr="00DF7D2B">
        <w:rPr>
          <w:rFonts w:ascii="Palatino Linotype" w:eastAsiaTheme="minorEastAsia" w:hAnsi="Palatino Linotype" w:cs="Arial"/>
          <w:i/>
          <w:lang w:val="es-ES_tradnl"/>
        </w:rPr>
        <w:t xml:space="preserve"> Los sujetos obligados no podrán emitir acuerdos de carácter general ni particular que clasifiquen </w:t>
      </w:r>
      <w:r w:rsidRPr="00DF7D2B">
        <w:rPr>
          <w:rFonts w:ascii="Palatino Linotype" w:eastAsiaTheme="minorEastAsia" w:hAnsi="Palatino Linotype" w:cs="Arial"/>
          <w:bCs/>
          <w:i/>
          <w:noProof/>
          <w:lang w:val="es-ES_tradnl"/>
        </w:rPr>
        <w:t>documentos</w:t>
      </w:r>
      <w:r w:rsidRPr="00DF7D2B">
        <w:rPr>
          <w:rFonts w:ascii="Palatino Linotype" w:eastAsiaTheme="minorEastAsia" w:hAnsi="Palatino Linotype" w:cs="Arial"/>
          <w:i/>
          <w:lang w:val="es-ES_tradnl"/>
        </w:rPr>
        <w:t xml:space="preserve"> o expedientes como reservados, ni clasificar </w:t>
      </w:r>
      <w:r w:rsidRPr="00DF7D2B">
        <w:rPr>
          <w:rFonts w:ascii="Palatino Linotype" w:eastAsiaTheme="minorEastAsia" w:hAnsi="Palatino Linotype" w:cs="Arial"/>
          <w:i/>
          <w:lang w:val="es-ES_tradnl"/>
        </w:rPr>
        <w:lastRenderedPageBreak/>
        <w:t>documentos antes de que se genere la información o cuando éstos no obren en sus archivos.</w:t>
      </w:r>
    </w:p>
    <w:p w:rsidR="00F60B4F" w:rsidRPr="00DF7D2B" w:rsidRDefault="00F60B4F" w:rsidP="00F60B4F">
      <w:pPr>
        <w:tabs>
          <w:tab w:val="left" w:pos="8222"/>
        </w:tabs>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i/>
          <w:lang w:val="es-ES_tradnl"/>
        </w:rPr>
        <w:t xml:space="preserve">La clasificación de información se realizará conforme a un análisis caso por caso, mediante la aplicación </w:t>
      </w:r>
      <w:r w:rsidRPr="00DF7D2B">
        <w:rPr>
          <w:rFonts w:ascii="Palatino Linotype" w:eastAsiaTheme="minorEastAsia" w:hAnsi="Palatino Linotype" w:cs="Arial"/>
          <w:bCs/>
          <w:i/>
          <w:noProof/>
          <w:lang w:val="es-ES_tradnl"/>
        </w:rPr>
        <w:t>de</w:t>
      </w:r>
      <w:r w:rsidRPr="00DF7D2B">
        <w:rPr>
          <w:rFonts w:ascii="Palatino Linotype" w:eastAsiaTheme="minorEastAsia" w:hAnsi="Palatino Linotype" w:cs="Arial"/>
          <w:i/>
          <w:lang w:val="es-ES_tradnl"/>
        </w:rPr>
        <w:t xml:space="preserve"> la prueba de daño y de interés público.</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Séptimo.</w:t>
      </w:r>
      <w:r w:rsidRPr="00DF7D2B">
        <w:rPr>
          <w:rFonts w:ascii="Palatino Linotype" w:eastAsiaTheme="minorEastAsia" w:hAnsi="Palatino Linotype" w:cs="Arial"/>
          <w:i/>
          <w:lang w:val="es-ES_tradnl"/>
        </w:rPr>
        <w:t xml:space="preserve"> La clasificación </w:t>
      </w:r>
      <w:r w:rsidRPr="00DF7D2B">
        <w:rPr>
          <w:rFonts w:ascii="Palatino Linotype" w:eastAsiaTheme="minorEastAsia" w:hAnsi="Palatino Linotype" w:cs="Arial"/>
          <w:bCs/>
          <w:i/>
          <w:noProof/>
          <w:lang w:val="es-ES_tradnl"/>
        </w:rPr>
        <w:t>de</w:t>
      </w:r>
      <w:r w:rsidRPr="00DF7D2B">
        <w:rPr>
          <w:rFonts w:ascii="Palatino Linotype" w:eastAsiaTheme="minorEastAsia" w:hAnsi="Palatino Linotype" w:cs="Arial"/>
          <w:i/>
          <w:lang w:val="es-ES_tradnl"/>
        </w:rPr>
        <w:t xml:space="preserve"> la información se llevará a cabo en el momento en que:</w:t>
      </w:r>
    </w:p>
    <w:p w:rsidR="00F60B4F" w:rsidRPr="00DF7D2B" w:rsidRDefault="00F60B4F" w:rsidP="00F60B4F">
      <w:pPr>
        <w:tabs>
          <w:tab w:val="left" w:pos="8222"/>
        </w:tabs>
        <w:autoSpaceDE w:val="0"/>
        <w:autoSpaceDN w:val="0"/>
        <w:adjustRightInd w:val="0"/>
        <w:spacing w:before="120" w:after="120"/>
        <w:ind w:left="1134"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I.</w:t>
      </w:r>
      <w:r w:rsidRPr="00DF7D2B">
        <w:rPr>
          <w:rFonts w:ascii="Palatino Linotype" w:eastAsiaTheme="minorEastAsia" w:hAnsi="Palatino Linotype" w:cs="Arial"/>
          <w:i/>
          <w:lang w:val="es-ES_tradnl"/>
        </w:rPr>
        <w:t xml:space="preserve"> Se reciba una solicitud de acceso a la información;</w:t>
      </w:r>
    </w:p>
    <w:p w:rsidR="00F60B4F" w:rsidRPr="00DF7D2B" w:rsidRDefault="00F60B4F" w:rsidP="00F60B4F">
      <w:pPr>
        <w:tabs>
          <w:tab w:val="left" w:pos="8222"/>
        </w:tabs>
        <w:autoSpaceDE w:val="0"/>
        <w:autoSpaceDN w:val="0"/>
        <w:adjustRightInd w:val="0"/>
        <w:spacing w:before="120" w:after="120"/>
        <w:ind w:left="1134"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II.</w:t>
      </w:r>
      <w:r w:rsidRPr="00DF7D2B">
        <w:rPr>
          <w:rFonts w:ascii="Palatino Linotype" w:eastAsiaTheme="minorEastAsia" w:hAnsi="Palatino Linotype" w:cs="Arial"/>
          <w:i/>
          <w:lang w:val="es-ES_tradnl"/>
        </w:rPr>
        <w:t xml:space="preserve"> Se determine </w:t>
      </w:r>
      <w:r w:rsidRPr="00DF7D2B">
        <w:rPr>
          <w:rFonts w:ascii="Palatino Linotype" w:eastAsiaTheme="minorEastAsia" w:hAnsi="Palatino Linotype" w:cs="Arial"/>
          <w:bCs/>
          <w:i/>
          <w:noProof/>
          <w:lang w:val="es-ES_tradnl"/>
        </w:rPr>
        <w:t>mediante</w:t>
      </w:r>
      <w:r w:rsidRPr="00DF7D2B">
        <w:rPr>
          <w:rFonts w:ascii="Palatino Linotype" w:eastAsiaTheme="minorEastAsia" w:hAnsi="Palatino Linotype" w:cs="Arial"/>
          <w:i/>
          <w:lang w:val="es-ES_tradnl"/>
        </w:rPr>
        <w:t xml:space="preserve"> resolución de autoridad competente, o</w:t>
      </w:r>
    </w:p>
    <w:p w:rsidR="00F60B4F" w:rsidRPr="00DF7D2B" w:rsidRDefault="00F60B4F" w:rsidP="00F60B4F">
      <w:pPr>
        <w:tabs>
          <w:tab w:val="left" w:pos="8222"/>
        </w:tabs>
        <w:autoSpaceDE w:val="0"/>
        <w:autoSpaceDN w:val="0"/>
        <w:adjustRightInd w:val="0"/>
        <w:spacing w:before="120" w:after="120"/>
        <w:ind w:left="1134"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III.</w:t>
      </w:r>
      <w:r w:rsidRPr="00DF7D2B">
        <w:rPr>
          <w:rFonts w:ascii="Palatino Linotype" w:eastAsiaTheme="minorEastAsia" w:hAnsi="Palatino Linotype" w:cs="Arial"/>
          <w:i/>
          <w:lang w:val="es-ES_tradnl"/>
        </w:rPr>
        <w:t xml:space="preserve"> Se generen </w:t>
      </w:r>
      <w:r w:rsidRPr="00DF7D2B">
        <w:rPr>
          <w:rFonts w:ascii="Palatino Linotype" w:eastAsiaTheme="minorEastAsia" w:hAnsi="Palatino Linotype" w:cs="Arial"/>
          <w:bCs/>
          <w:i/>
          <w:noProof/>
          <w:lang w:val="es-ES_tradnl"/>
        </w:rPr>
        <w:t>versiones</w:t>
      </w:r>
      <w:r w:rsidRPr="00DF7D2B">
        <w:rPr>
          <w:rFonts w:ascii="Palatino Linotype" w:eastAsiaTheme="minorEastAsia" w:hAnsi="Palatino Linotype" w:cs="Arial"/>
          <w:i/>
          <w:lang w:val="es-ES_tradnl"/>
        </w:rPr>
        <w:t xml:space="preserve"> públicas para dar cumplimiento a las obligaciones de transparencia previstas en la Ley General, la Ley Federal y las correspondientes de las entidades federativas.</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i/>
          <w:lang w:val="es-ES_tradnl"/>
        </w:rPr>
        <w:t xml:space="preserve">Los titulares de las áreas deberán revisar la clasificación al momento de la recepción de una solicitud de </w:t>
      </w:r>
      <w:r w:rsidRPr="00DF7D2B">
        <w:rPr>
          <w:rFonts w:ascii="Palatino Linotype" w:eastAsiaTheme="minorEastAsia" w:hAnsi="Palatino Linotype" w:cs="Arial"/>
          <w:bCs/>
          <w:i/>
          <w:noProof/>
          <w:lang w:val="es-ES_tradnl"/>
        </w:rPr>
        <w:t>acceso</w:t>
      </w:r>
      <w:r w:rsidRPr="00DF7D2B">
        <w:rPr>
          <w:rFonts w:ascii="Palatino Linotype" w:eastAsiaTheme="minorEastAsia" w:hAnsi="Palatino Linotype" w:cs="Arial"/>
          <w:i/>
          <w:lang w:val="es-ES_tradnl"/>
        </w:rPr>
        <w:t xml:space="preserve"> a la información, para verificar si encuadra en una causal de reserva o de confidencialidad.</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Octavo.</w:t>
      </w:r>
      <w:r w:rsidRPr="00DF7D2B">
        <w:rPr>
          <w:rFonts w:ascii="Palatino Linotype" w:eastAsiaTheme="minorEastAsia" w:hAnsi="Palatino Linotype" w:cs="Arial"/>
          <w:i/>
          <w:lang w:val="es-ES_tradnl"/>
        </w:rPr>
        <w:t xml:space="preserve"> Para fundar la clasificación de la información se debe señalar el artículo, fracción, inciso, párrafo o numeral de la ley o tratado internacional suscrito por el Estado mexicano que </w:t>
      </w:r>
      <w:r w:rsidRPr="00DF7D2B">
        <w:rPr>
          <w:rFonts w:ascii="Palatino Linotype" w:eastAsiaTheme="minorEastAsia" w:hAnsi="Palatino Linotype" w:cs="Arial"/>
          <w:bCs/>
          <w:i/>
          <w:noProof/>
          <w:lang w:val="es-ES_tradnl"/>
        </w:rPr>
        <w:t>expresamente</w:t>
      </w:r>
      <w:r w:rsidRPr="00DF7D2B">
        <w:rPr>
          <w:rFonts w:ascii="Palatino Linotype" w:eastAsiaTheme="minorEastAsia" w:hAnsi="Palatino Linotype" w:cs="Arial"/>
          <w:i/>
          <w:lang w:val="es-ES_tradnl"/>
        </w:rPr>
        <w:t xml:space="preserve"> le otorga el carácter de reservada o confidencial.</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bCs/>
          <w:i/>
          <w:noProof/>
          <w:lang w:val="es-ES_tradnl"/>
        </w:rPr>
      </w:pPr>
      <w:r w:rsidRPr="00DF7D2B">
        <w:rPr>
          <w:rFonts w:ascii="Palatino Linotype" w:eastAsiaTheme="minorEastAsia" w:hAnsi="Palatino Linotype" w:cs="Arial"/>
          <w:i/>
          <w:lang w:val="es-ES_tradnl"/>
        </w:rPr>
        <w:t xml:space="preserve">Para </w:t>
      </w:r>
      <w:r w:rsidRPr="00DF7D2B">
        <w:rPr>
          <w:rFonts w:ascii="Palatino Linotype" w:eastAsiaTheme="minorEastAsia" w:hAnsi="Palatino Linotype" w:cs="Arial"/>
          <w:bCs/>
          <w:i/>
          <w:noProof/>
          <w:lang w:val="es-ES_tradnl"/>
        </w:rPr>
        <w:t xml:space="preserve">motivar la clasificación se deberán señalar las razones o circunstancias especiales que lo </w:t>
      </w:r>
      <w:r w:rsidRPr="00DF7D2B">
        <w:rPr>
          <w:rFonts w:ascii="Palatino Linotype" w:eastAsiaTheme="minorEastAsia" w:hAnsi="Palatino Linotype" w:cs="Arial"/>
          <w:i/>
          <w:lang w:val="es-ES_tradnl"/>
        </w:rPr>
        <w:t>llevaron</w:t>
      </w:r>
      <w:r w:rsidRPr="00DF7D2B">
        <w:rPr>
          <w:rFonts w:ascii="Palatino Linotype" w:eastAsiaTheme="minorEastAsia" w:hAnsi="Palatino Linotype" w:cs="Arial"/>
          <w:bCs/>
          <w:i/>
          <w:noProof/>
          <w:lang w:val="es-ES_tradnl"/>
        </w:rPr>
        <w:t xml:space="preserve"> a concluir que el caso particular se ajusta al supuesto previsto por la norma legal invocada como fundamento.</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bCs/>
          <w:i/>
          <w:noProof/>
          <w:lang w:val="es-ES_tradnl"/>
        </w:rPr>
      </w:pPr>
      <w:r w:rsidRPr="00DF7D2B">
        <w:rPr>
          <w:rFonts w:ascii="Palatino Linotype" w:eastAsiaTheme="minorEastAsia" w:hAnsi="Palatino Linotype" w:cs="Arial"/>
          <w:bCs/>
          <w:i/>
          <w:noProof/>
          <w:lang w:val="es-ES_tradnl"/>
        </w:rPr>
        <w:t xml:space="preserve">En caso de referirse a información reservada, la motivación de la clasificación también deberá comprender las circunstancias que justifican el establecimiento de determinado plazo </w:t>
      </w:r>
      <w:r w:rsidRPr="00DF7D2B">
        <w:rPr>
          <w:rFonts w:ascii="Palatino Linotype" w:eastAsiaTheme="minorEastAsia" w:hAnsi="Palatino Linotype" w:cs="Arial"/>
          <w:i/>
          <w:lang w:val="es-ES_tradnl"/>
        </w:rPr>
        <w:t>de</w:t>
      </w:r>
      <w:r w:rsidRPr="00DF7D2B">
        <w:rPr>
          <w:rFonts w:ascii="Palatino Linotype" w:eastAsiaTheme="minorEastAsia" w:hAnsi="Palatino Linotype" w:cs="Arial"/>
          <w:bCs/>
          <w:i/>
          <w:noProof/>
          <w:lang w:val="es-ES_tradnl"/>
        </w:rPr>
        <w:t xml:space="preserve"> </w:t>
      </w:r>
      <w:r w:rsidRPr="00DF7D2B">
        <w:rPr>
          <w:rFonts w:ascii="Palatino Linotype" w:eastAsiaTheme="minorEastAsia" w:hAnsi="Palatino Linotype" w:cs="Arial"/>
          <w:i/>
          <w:lang w:val="es-ES_tradnl"/>
        </w:rPr>
        <w:t>reserva</w:t>
      </w:r>
      <w:r w:rsidRPr="00DF7D2B">
        <w:rPr>
          <w:rFonts w:ascii="Palatino Linotype" w:eastAsiaTheme="minorEastAsia" w:hAnsi="Palatino Linotype" w:cs="Arial"/>
          <w:bCs/>
          <w:i/>
          <w:noProof/>
          <w:lang w:val="es-ES_tradnl"/>
        </w:rPr>
        <w:t>.</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bCs/>
          <w:i/>
          <w:noProof/>
          <w:lang w:val="es-ES_tradnl"/>
        </w:rPr>
      </w:pPr>
      <w:r w:rsidRPr="00DF7D2B">
        <w:rPr>
          <w:rFonts w:ascii="Palatino Linotype" w:eastAsiaTheme="minorEastAsia" w:hAnsi="Palatino Linotype" w:cs="Arial"/>
          <w:i/>
          <w:lang w:val="es-ES_tradnl"/>
        </w:rPr>
        <w:t>Tratándose</w:t>
      </w:r>
      <w:r w:rsidRPr="00DF7D2B">
        <w:rPr>
          <w:rFonts w:ascii="Palatino Linotype" w:eastAsiaTheme="minorEastAsia" w:hAnsi="Palatino Linotype" w:cs="Arial"/>
          <w:bCs/>
          <w:i/>
          <w:noProof/>
          <w:lang w:val="es-ES_tradnl"/>
        </w:rPr>
        <w:t xml:space="preserve"> de información clasificada como confidencial respecto de la cual se haya </w:t>
      </w:r>
      <w:r w:rsidRPr="00DF7D2B">
        <w:rPr>
          <w:rFonts w:ascii="Palatino Linotype" w:eastAsiaTheme="minorEastAsia" w:hAnsi="Palatino Linotype" w:cs="Arial"/>
          <w:i/>
          <w:lang w:val="es-ES_tradnl"/>
        </w:rPr>
        <w:t>determinado</w:t>
      </w:r>
      <w:r w:rsidRPr="00DF7D2B">
        <w:rPr>
          <w:rFonts w:ascii="Palatino Linotype" w:eastAsiaTheme="minorEastAsia" w:hAnsi="Palatino Linotype" w:cs="Arial"/>
          <w:bCs/>
          <w:i/>
          <w:noProof/>
          <w:lang w:val="es-ES_tradnl"/>
        </w:rPr>
        <w:t xml:space="preserve"> </w:t>
      </w:r>
      <w:r w:rsidRPr="00DF7D2B">
        <w:rPr>
          <w:rFonts w:ascii="Palatino Linotype" w:eastAsiaTheme="minorEastAsia" w:hAnsi="Palatino Linotype" w:cs="Arial"/>
          <w:i/>
          <w:lang w:val="es-ES_tradnl"/>
        </w:rPr>
        <w:t>su</w:t>
      </w:r>
      <w:r w:rsidRPr="00DF7D2B">
        <w:rPr>
          <w:rFonts w:ascii="Palatino Linotype" w:eastAsiaTheme="minorEastAsia" w:hAnsi="Palatino Linotype" w:cs="Arial"/>
          <w:bCs/>
          <w:i/>
          <w:noProof/>
          <w:lang w:val="es-ES_tradnl"/>
        </w:rPr>
        <w:t xml:space="preserve"> conservación permanente por tener valor histórico, ésta conservará tal carácter de conformidad con la normativa aplicable en materia de archivos.</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Cs/>
          <w:i/>
          <w:noProof/>
          <w:lang w:val="es-ES_tradnl"/>
        </w:rPr>
        <w:t>Los documentos contenidos</w:t>
      </w:r>
      <w:r w:rsidRPr="00DF7D2B">
        <w:rPr>
          <w:rFonts w:ascii="Palatino Linotype" w:eastAsiaTheme="minorEastAsia" w:hAnsi="Palatino Linotype" w:cs="Arial"/>
          <w:i/>
          <w:lang w:val="es-ES_tradnl"/>
        </w:rPr>
        <w:t xml:space="preserve"> en los archivos históricos y los identificados como históricos confidenciales no serán susceptibles de clasificación como reservados.</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Noveno.</w:t>
      </w:r>
      <w:r w:rsidRPr="00DF7D2B">
        <w:rPr>
          <w:rFonts w:ascii="Palatino Linotype" w:eastAsiaTheme="minorEastAsia" w:hAnsi="Palatino Linotype" w:cs="Arial"/>
          <w:i/>
          <w:lang w:val="es-ES_tradnl"/>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DF7D2B">
        <w:rPr>
          <w:rFonts w:ascii="Palatino Linotype" w:eastAsiaTheme="minorEastAsia" w:hAnsi="Palatino Linotype" w:cs="Arial"/>
          <w:i/>
          <w:lang w:val="es-ES_tradnl"/>
        </w:rPr>
        <w:lastRenderedPageBreak/>
        <w:t>siguiendo los procedimientos establecidos en el Capítulo IX de los presentes lineamientos.</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Décimo.</w:t>
      </w:r>
      <w:r w:rsidRPr="00DF7D2B">
        <w:rPr>
          <w:rFonts w:ascii="Palatino Linotype" w:eastAsiaTheme="minorEastAsia" w:hAnsi="Palatino Linotype" w:cs="Arial"/>
          <w:i/>
          <w:lang w:val="es-ES_tradnl"/>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i/>
          <w:lang w:val="es-ES_tradnl"/>
        </w:rPr>
        <w:t>En ausencia de los titulares de las áreas, la información será clasificada o desclasificada por la persona que lo supla, en términos de la normativa que rija la actuación del sujeto obligado.</w:t>
      </w:r>
    </w:p>
    <w:p w:rsidR="00F60B4F" w:rsidRPr="00DF7D2B" w:rsidRDefault="00F60B4F" w:rsidP="00F60B4F">
      <w:pPr>
        <w:tabs>
          <w:tab w:val="left" w:pos="8222"/>
        </w:tabs>
        <w:autoSpaceDE w:val="0"/>
        <w:autoSpaceDN w:val="0"/>
        <w:adjustRightInd w:val="0"/>
        <w:spacing w:before="120" w:after="120"/>
        <w:ind w:left="851" w:right="709"/>
        <w:jc w:val="both"/>
        <w:rPr>
          <w:rFonts w:ascii="Palatino Linotype" w:eastAsiaTheme="minorEastAsia" w:hAnsi="Palatino Linotype" w:cs="Arial"/>
          <w:i/>
          <w:lang w:val="es-ES_tradnl"/>
        </w:rPr>
      </w:pPr>
      <w:r w:rsidRPr="00DF7D2B">
        <w:rPr>
          <w:rFonts w:ascii="Palatino Linotype" w:eastAsiaTheme="minorEastAsia" w:hAnsi="Palatino Linotype" w:cs="Arial"/>
          <w:b/>
          <w:i/>
          <w:lang w:val="es-ES_tradnl"/>
        </w:rPr>
        <w:t>Décimo primero.</w:t>
      </w:r>
      <w:r w:rsidRPr="00DF7D2B">
        <w:rPr>
          <w:rFonts w:ascii="Palatino Linotype" w:eastAsiaTheme="minorEastAsia" w:hAnsi="Palatino Linotype" w:cs="Arial"/>
          <w:i/>
          <w:lang w:val="es-ES_tradnl"/>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F60B4F" w:rsidRPr="00DF7D2B" w:rsidRDefault="00F60B4F" w:rsidP="00F60B4F">
      <w:pPr>
        <w:spacing w:before="240" w:after="240" w:line="360" w:lineRule="auto"/>
        <w:jc w:val="both"/>
        <w:rPr>
          <w:rFonts w:ascii="Palatino Linotype" w:hAnsi="Palatino Linotype"/>
        </w:rPr>
      </w:pPr>
      <w:r w:rsidRPr="00DF7D2B">
        <w:rPr>
          <w:rFonts w:ascii="Palatino Linotype" w:hAnsi="Palatino Linotype" w:cs="Arial"/>
        </w:rPr>
        <w:t xml:space="preserve">Asimismo, deberá observar los numerales </w:t>
      </w:r>
      <w:r w:rsidRPr="00DF7D2B">
        <w:rPr>
          <w:rFonts w:ascii="Palatino Linotype" w:hAnsi="Palatino Linotype"/>
        </w:rPr>
        <w:t xml:space="preserve">Quincuagésimo tercero y Quincuagésimo quinto de </w:t>
      </w:r>
      <w:r w:rsidRPr="00DF7D2B">
        <w:rPr>
          <w:rFonts w:ascii="Palatino Linotype" w:hAnsi="Palatino Linotype" w:cs="Arial"/>
        </w:rPr>
        <w:t xml:space="preserve">los Lineamientos Generales en Materia de Clasificación y Desclasificación de la Información supraindicados, que establecen </w:t>
      </w:r>
      <w:r w:rsidRPr="00DF7D2B">
        <w:rPr>
          <w:rFonts w:ascii="Palatino Linotype" w:hAnsi="Palatino Linotype"/>
        </w:rPr>
        <w:t xml:space="preserve">los formatos para la clasificación parcial y total de los documentos, conforme a lo siguiente: </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F60B4F" w:rsidRPr="00DF7D2B" w:rsidTr="008C5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F60B4F" w:rsidRPr="00DF7D2B" w:rsidRDefault="00F60B4F" w:rsidP="008C504A">
            <w:pPr>
              <w:jc w:val="center"/>
              <w:rPr>
                <w:rFonts w:ascii="Palatino Linotype" w:hAnsi="Palatino Linotype"/>
                <w:sz w:val="12"/>
                <w:szCs w:val="12"/>
              </w:rPr>
            </w:pPr>
            <w:r w:rsidRPr="00DF7D2B">
              <w:rPr>
                <w:rFonts w:ascii="Palatino Linotype" w:hAnsi="Palatino Linotype"/>
                <w:sz w:val="12"/>
                <w:szCs w:val="12"/>
              </w:rPr>
              <w:t>Parcial</w:t>
            </w:r>
          </w:p>
        </w:tc>
        <w:tc>
          <w:tcPr>
            <w:tcW w:w="4414" w:type="dxa"/>
            <w:gridSpan w:val="2"/>
          </w:tcPr>
          <w:p w:rsidR="00F60B4F" w:rsidRPr="00DF7D2B" w:rsidRDefault="00F60B4F" w:rsidP="008C504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Total</w:t>
            </w:r>
          </w:p>
        </w:tc>
      </w:tr>
      <w:tr w:rsidR="00F60B4F" w:rsidRPr="00DF7D2B" w:rsidTr="008C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center"/>
              <w:rPr>
                <w:rFonts w:ascii="Palatino Linotype" w:hAnsi="Palatino Linotype"/>
                <w:sz w:val="12"/>
                <w:szCs w:val="12"/>
              </w:rPr>
            </w:pPr>
            <w:r w:rsidRPr="00DF7D2B">
              <w:rPr>
                <w:rFonts w:ascii="Palatino Linotype" w:hAnsi="Palatino Linotype"/>
                <w:sz w:val="12"/>
                <w:szCs w:val="12"/>
              </w:rPr>
              <w:t>Concepto</w:t>
            </w:r>
          </w:p>
        </w:tc>
        <w:tc>
          <w:tcPr>
            <w:tcW w:w="3421" w:type="dxa"/>
          </w:tcPr>
          <w:p w:rsidR="00F60B4F" w:rsidRPr="00DF7D2B" w:rsidRDefault="00F60B4F" w:rsidP="008C504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Dónde</w:t>
            </w:r>
          </w:p>
        </w:tc>
        <w:tc>
          <w:tcPr>
            <w:tcW w:w="968" w:type="dxa"/>
          </w:tcPr>
          <w:p w:rsidR="00F60B4F" w:rsidRPr="00DF7D2B" w:rsidRDefault="00F60B4F" w:rsidP="008C504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Concepto</w:t>
            </w:r>
          </w:p>
        </w:tc>
        <w:tc>
          <w:tcPr>
            <w:tcW w:w="3446" w:type="dxa"/>
          </w:tcPr>
          <w:p w:rsidR="00F60B4F" w:rsidRPr="00DF7D2B" w:rsidRDefault="00F60B4F" w:rsidP="008C504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Dónde</w:t>
            </w:r>
          </w:p>
        </w:tc>
      </w:tr>
      <w:tr w:rsidR="00F60B4F" w:rsidRPr="00DF7D2B" w:rsidTr="008C504A">
        <w:tc>
          <w:tcPr>
            <w:cnfStyle w:val="001000000000" w:firstRow="0" w:lastRow="0" w:firstColumn="1" w:lastColumn="0" w:oddVBand="0" w:evenVBand="0" w:oddHBand="0" w:evenHBand="0" w:firstRowFirstColumn="0" w:firstRowLastColumn="0" w:lastRowFirstColumn="0" w:lastRowLastColumn="0"/>
            <w:tcW w:w="8828" w:type="dxa"/>
            <w:gridSpan w:val="4"/>
          </w:tcPr>
          <w:p w:rsidR="00F60B4F" w:rsidRPr="00DF7D2B" w:rsidRDefault="00F60B4F" w:rsidP="008C504A">
            <w:pPr>
              <w:jc w:val="center"/>
              <w:rPr>
                <w:rFonts w:ascii="Palatino Linotype" w:hAnsi="Palatino Linotype"/>
                <w:sz w:val="12"/>
                <w:szCs w:val="12"/>
              </w:rPr>
            </w:pPr>
            <w:r w:rsidRPr="00DF7D2B">
              <w:rPr>
                <w:rFonts w:ascii="Palatino Linotype" w:hAnsi="Palatino Linotype"/>
                <w:sz w:val="12"/>
                <w:szCs w:val="12"/>
              </w:rPr>
              <w:t>Sello oficial o logotipo del sujeto obligado</w:t>
            </w:r>
          </w:p>
        </w:tc>
      </w:tr>
      <w:tr w:rsidR="00F60B4F" w:rsidRPr="00DF7D2B" w:rsidTr="008C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Fecha de clasificación</w:t>
            </w:r>
          </w:p>
        </w:tc>
        <w:tc>
          <w:tcPr>
            <w:tcW w:w="3421"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anotará la fecha en la que el Comité de Transparencia confirmó la clasificación del documento, en su caso.</w:t>
            </w:r>
          </w:p>
        </w:tc>
        <w:tc>
          <w:tcPr>
            <w:tcW w:w="968"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Fecha de clasificación</w:t>
            </w:r>
          </w:p>
        </w:tc>
        <w:tc>
          <w:tcPr>
            <w:tcW w:w="3446"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anotará la fecha en la que el Comité de Transparencia confirmó la clasificación del documento, en su caso.</w:t>
            </w:r>
          </w:p>
        </w:tc>
      </w:tr>
      <w:tr w:rsidR="00F60B4F" w:rsidRPr="00DF7D2B" w:rsidTr="008C504A">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Área</w:t>
            </w:r>
          </w:p>
        </w:tc>
        <w:tc>
          <w:tcPr>
            <w:tcW w:w="3421"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señalará el nombre del área del cual es titular quien clasifica.</w:t>
            </w:r>
          </w:p>
        </w:tc>
        <w:tc>
          <w:tcPr>
            <w:tcW w:w="968"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Área</w:t>
            </w:r>
          </w:p>
        </w:tc>
        <w:tc>
          <w:tcPr>
            <w:tcW w:w="3446"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señalará el nombre del área de la cual es el titular quien clasifica.</w:t>
            </w:r>
          </w:p>
        </w:tc>
      </w:tr>
      <w:tr w:rsidR="00F60B4F" w:rsidRPr="00DF7D2B" w:rsidTr="008C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Información reservada</w:t>
            </w:r>
          </w:p>
        </w:tc>
        <w:tc>
          <w:tcPr>
            <w:tcW w:w="3421"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Reservado</w:t>
            </w:r>
          </w:p>
        </w:tc>
        <w:tc>
          <w:tcPr>
            <w:tcW w:w="3446"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Leyenda de información RESERVADA.</w:t>
            </w:r>
          </w:p>
        </w:tc>
      </w:tr>
      <w:tr w:rsidR="00F60B4F" w:rsidRPr="00DF7D2B" w:rsidTr="008C504A">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Fundamento legal</w:t>
            </w:r>
          </w:p>
        </w:tc>
        <w:tc>
          <w:tcPr>
            <w:tcW w:w="3421"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Periodo de reserva</w:t>
            </w:r>
          </w:p>
        </w:tc>
        <w:tc>
          <w:tcPr>
            <w:tcW w:w="3446"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F60B4F" w:rsidRPr="00DF7D2B" w:rsidTr="008C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Ampliación del periodo de reserva</w:t>
            </w:r>
          </w:p>
        </w:tc>
        <w:tc>
          <w:tcPr>
            <w:tcW w:w="3421"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Fundamento legal</w:t>
            </w:r>
          </w:p>
        </w:tc>
        <w:tc>
          <w:tcPr>
            <w:tcW w:w="3446"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señalará el nombre del o de los ordenamientos jurídicos, el o los artículos, fracción(es), párrafo(s) con base en los cuales se sustenta la reserva.</w:t>
            </w:r>
          </w:p>
        </w:tc>
      </w:tr>
      <w:tr w:rsidR="00F60B4F" w:rsidRPr="00DF7D2B" w:rsidTr="008C504A">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Confidencial</w:t>
            </w:r>
          </w:p>
        </w:tc>
        <w:tc>
          <w:tcPr>
            <w:tcW w:w="3421"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 xml:space="preserve">Se indicarán, en su caso, las partes o páginas del documento que se clasifica como confidencial. Si el documento fuera confidencial en su totalidad, se anotarán todas las páginas </w:t>
            </w:r>
            <w:r w:rsidRPr="00DF7D2B">
              <w:rPr>
                <w:rFonts w:ascii="Palatino Linotype" w:hAnsi="Palatino Linotype"/>
                <w:sz w:val="12"/>
                <w:szCs w:val="12"/>
              </w:rPr>
              <w:lastRenderedPageBreak/>
              <w:t>que lo conforman. Si el documento no contiene información confidencial, se tachará este apartado.</w:t>
            </w:r>
          </w:p>
        </w:tc>
        <w:tc>
          <w:tcPr>
            <w:tcW w:w="968"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lastRenderedPageBreak/>
              <w:t>Ampliación del periodo de reserva</w:t>
            </w:r>
          </w:p>
        </w:tc>
        <w:tc>
          <w:tcPr>
            <w:tcW w:w="3446"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F60B4F" w:rsidRPr="00DF7D2B" w:rsidTr="008C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Fundamento legal</w:t>
            </w:r>
          </w:p>
        </w:tc>
        <w:tc>
          <w:tcPr>
            <w:tcW w:w="3421"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Confidencial</w:t>
            </w:r>
          </w:p>
        </w:tc>
        <w:tc>
          <w:tcPr>
            <w:tcW w:w="3446"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Leyenda de información CONFIDENCIAL.</w:t>
            </w:r>
          </w:p>
        </w:tc>
      </w:tr>
      <w:tr w:rsidR="00F60B4F" w:rsidRPr="00DF7D2B" w:rsidTr="008C504A">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Rúbrica del titular del área</w:t>
            </w:r>
          </w:p>
        </w:tc>
        <w:tc>
          <w:tcPr>
            <w:tcW w:w="3421"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Rúbrica autógrafa de quien clasifica.</w:t>
            </w:r>
          </w:p>
        </w:tc>
        <w:tc>
          <w:tcPr>
            <w:tcW w:w="968"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Fundamento legal</w:t>
            </w:r>
          </w:p>
        </w:tc>
        <w:tc>
          <w:tcPr>
            <w:tcW w:w="3446"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F60B4F" w:rsidRPr="00DF7D2B" w:rsidTr="008C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Fecha de desclasificación</w:t>
            </w:r>
          </w:p>
        </w:tc>
        <w:tc>
          <w:tcPr>
            <w:tcW w:w="3421"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anotará la fecha en que se desclasifica el documento.</w:t>
            </w:r>
          </w:p>
        </w:tc>
        <w:tc>
          <w:tcPr>
            <w:tcW w:w="968"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Rúbrica del titular del área</w:t>
            </w:r>
          </w:p>
        </w:tc>
        <w:tc>
          <w:tcPr>
            <w:tcW w:w="3446"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Rúbrica autógrafa de quien clasifica.</w:t>
            </w:r>
          </w:p>
        </w:tc>
      </w:tr>
      <w:tr w:rsidR="00F60B4F" w:rsidRPr="00DF7D2B" w:rsidTr="008C504A">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r w:rsidRPr="00DF7D2B">
              <w:rPr>
                <w:rFonts w:ascii="Palatino Linotype" w:hAnsi="Palatino Linotype"/>
                <w:sz w:val="12"/>
                <w:szCs w:val="12"/>
              </w:rPr>
              <w:t>Rúbrica y cargo del servidor público</w:t>
            </w:r>
          </w:p>
        </w:tc>
        <w:tc>
          <w:tcPr>
            <w:tcW w:w="3421"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Rúbrica autógrafa de quien desclasifica.</w:t>
            </w:r>
          </w:p>
        </w:tc>
        <w:tc>
          <w:tcPr>
            <w:tcW w:w="968"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Fecha de desclasificación</w:t>
            </w:r>
          </w:p>
        </w:tc>
        <w:tc>
          <w:tcPr>
            <w:tcW w:w="3446"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Se anotará la fecha en que se desclasifica.</w:t>
            </w:r>
          </w:p>
        </w:tc>
      </w:tr>
      <w:tr w:rsidR="00F60B4F" w:rsidRPr="00DF7D2B" w:rsidTr="008C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p>
        </w:tc>
        <w:tc>
          <w:tcPr>
            <w:tcW w:w="3421"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Partes o secciones reservadas o confidenciales</w:t>
            </w:r>
          </w:p>
        </w:tc>
        <w:tc>
          <w:tcPr>
            <w:tcW w:w="3446" w:type="dxa"/>
          </w:tcPr>
          <w:p w:rsidR="00F60B4F" w:rsidRPr="00DF7D2B" w:rsidRDefault="00F60B4F" w:rsidP="008C50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En caso que una vez desclasificado el expediente, subsistanpartes o secciones del mismo reservadas o confidenciales, se señalará este hecho.</w:t>
            </w:r>
          </w:p>
        </w:tc>
      </w:tr>
      <w:tr w:rsidR="00F60B4F" w:rsidRPr="00DF7D2B" w:rsidTr="008C504A">
        <w:tc>
          <w:tcPr>
            <w:cnfStyle w:val="001000000000" w:firstRow="0" w:lastRow="0" w:firstColumn="1" w:lastColumn="0" w:oddVBand="0" w:evenVBand="0" w:oddHBand="0" w:evenHBand="0" w:firstRowFirstColumn="0" w:firstRowLastColumn="0" w:lastRowFirstColumn="0" w:lastRowLastColumn="0"/>
            <w:tcW w:w="993" w:type="dxa"/>
          </w:tcPr>
          <w:p w:rsidR="00F60B4F" w:rsidRPr="00DF7D2B" w:rsidRDefault="00F60B4F" w:rsidP="008C504A">
            <w:pPr>
              <w:jc w:val="both"/>
              <w:rPr>
                <w:rFonts w:ascii="Palatino Linotype" w:hAnsi="Palatino Linotype"/>
                <w:sz w:val="12"/>
                <w:szCs w:val="12"/>
              </w:rPr>
            </w:pPr>
          </w:p>
        </w:tc>
        <w:tc>
          <w:tcPr>
            <w:tcW w:w="3421"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F7D2B">
              <w:rPr>
                <w:rFonts w:ascii="Palatino Linotype" w:hAnsi="Palatino Linotype"/>
                <w:b/>
                <w:sz w:val="12"/>
                <w:szCs w:val="12"/>
              </w:rPr>
              <w:t>Rúbrica y cargo del servidor público</w:t>
            </w:r>
          </w:p>
        </w:tc>
        <w:tc>
          <w:tcPr>
            <w:tcW w:w="3446" w:type="dxa"/>
          </w:tcPr>
          <w:p w:rsidR="00F60B4F" w:rsidRPr="00DF7D2B" w:rsidRDefault="00F60B4F" w:rsidP="008C50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F7D2B">
              <w:rPr>
                <w:rFonts w:ascii="Palatino Linotype" w:hAnsi="Palatino Linotype"/>
                <w:sz w:val="12"/>
                <w:szCs w:val="12"/>
              </w:rPr>
              <w:t>Rúbrica autógrafa de quien desclasifica.</w:t>
            </w:r>
          </w:p>
        </w:tc>
      </w:tr>
    </w:tbl>
    <w:p w:rsidR="00F60B4F" w:rsidRPr="00DF7D2B" w:rsidRDefault="00F60B4F" w:rsidP="00F60B4F">
      <w:pPr>
        <w:tabs>
          <w:tab w:val="left" w:pos="7938"/>
        </w:tabs>
        <w:spacing w:line="360" w:lineRule="auto"/>
        <w:jc w:val="both"/>
        <w:rPr>
          <w:rFonts w:ascii="Palatino Linotype" w:hAnsi="Palatino Linotype" w:cs="Arial"/>
        </w:rPr>
      </w:pPr>
    </w:p>
    <w:p w:rsidR="00F60B4F" w:rsidRPr="00DF7D2B" w:rsidRDefault="00F60B4F" w:rsidP="00F60B4F">
      <w:pPr>
        <w:spacing w:line="360" w:lineRule="auto"/>
        <w:jc w:val="both"/>
        <w:rPr>
          <w:rFonts w:ascii="Palatino Linotype" w:eastAsia="Palatino Linotype" w:hAnsi="Palatino Linotype" w:cs="Palatino Linotype"/>
        </w:rPr>
      </w:pPr>
      <w:r w:rsidRPr="00DF7D2B">
        <w:rPr>
          <w:rFonts w:ascii="Palatino Linotype" w:eastAsia="Palatino Linotype" w:hAnsi="Palatino Linotype" w:cs="Palatino Linotype"/>
        </w:rPr>
        <w:t xml:space="preserve">Por lo tanto, en el supuesto de que en la información que le sea remitida a la </w:t>
      </w:r>
      <w:r w:rsidRPr="00DF7D2B">
        <w:rPr>
          <w:rFonts w:ascii="Palatino Linotype" w:eastAsia="Palatino Linotype" w:hAnsi="Palatino Linotype" w:cs="Palatino Linotype"/>
          <w:b/>
        </w:rPr>
        <w:t>RECURRENTE</w:t>
      </w:r>
      <w:r w:rsidRPr="00DF7D2B">
        <w:rPr>
          <w:rFonts w:ascii="Palatino Linotype" w:eastAsia="Palatino Linotype" w:hAnsi="Palatino Linotype" w:cs="Palatino Linotype"/>
        </w:rPr>
        <w:t xml:space="preserve"> contenga datos que puedan ser susceptibles de clasificarse, el </w:t>
      </w:r>
      <w:r w:rsidRPr="00DF7D2B">
        <w:rPr>
          <w:rFonts w:ascii="Palatino Linotype" w:eastAsia="Palatino Linotype" w:hAnsi="Palatino Linotype" w:cs="Palatino Linotype"/>
          <w:b/>
        </w:rPr>
        <w:t>SUJETO OBLIGADO</w:t>
      </w:r>
      <w:r w:rsidRPr="00DF7D2B">
        <w:rPr>
          <w:rFonts w:ascii="Palatino Linotype" w:eastAsia="Palatino Linotype" w:hAnsi="Palatino Linotype" w:cs="Palatino Linotype"/>
        </w:rPr>
        <w:t xml:space="preserve"> deberá de remitir su acuerdo de clasificación debidamente fundado y motivado, emitido por el comité de transparencia, en términos del marco normativo aplicable.</w:t>
      </w:r>
    </w:p>
    <w:p w:rsidR="00006BE6" w:rsidRDefault="00F60B4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6BE6" w:rsidRDefault="00F60B4F">
      <w:pPr>
        <w:spacing w:after="0"/>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006BE6" w:rsidRDefault="00006BE6">
      <w:pPr>
        <w:spacing w:after="0"/>
        <w:ind w:left="-142" w:right="49"/>
        <w:jc w:val="center"/>
        <w:rPr>
          <w:rFonts w:ascii="Palatino Linotype" w:eastAsia="Palatino Linotype" w:hAnsi="Palatino Linotype" w:cs="Palatino Linotype"/>
          <w:b/>
          <w:sz w:val="28"/>
          <w:szCs w:val="28"/>
        </w:rPr>
      </w:pPr>
    </w:p>
    <w:p w:rsidR="00006BE6" w:rsidRDefault="00F60B4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Resultan</w:t>
      </w:r>
      <w:r>
        <w:rPr>
          <w:rFonts w:ascii="Palatino Linotype" w:eastAsia="Palatino Linotype" w:hAnsi="Palatino Linotype" w:cs="Palatino Linotype"/>
          <w:b/>
          <w:sz w:val="24"/>
          <w:szCs w:val="24"/>
        </w:rPr>
        <w:t xml:space="preserve"> fundados</w:t>
      </w:r>
      <w:r>
        <w:rPr>
          <w:rFonts w:ascii="Palatino Linotype" w:eastAsia="Palatino Linotype" w:hAnsi="Palatino Linotype" w:cs="Palatino Linotype"/>
          <w:sz w:val="24"/>
          <w:szCs w:val="24"/>
        </w:rPr>
        <w:t xml:space="preserve"> los motivos de inconformidad hechos valer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en el recurso de revisión </w:t>
      </w:r>
      <w:r>
        <w:rPr>
          <w:rFonts w:ascii="Palatino Linotype" w:eastAsia="Palatino Linotype" w:hAnsi="Palatino Linotype" w:cs="Palatino Linotype"/>
          <w:b/>
          <w:sz w:val="24"/>
          <w:szCs w:val="24"/>
        </w:rPr>
        <w:t xml:space="preserve">05819/INFOEM/IP/RR/2022, </w:t>
      </w:r>
      <w:r>
        <w:rPr>
          <w:rFonts w:ascii="Palatino Linotype" w:eastAsia="Palatino Linotype" w:hAnsi="Palatino Linotype" w:cs="Palatino Linotype"/>
          <w:sz w:val="24"/>
          <w:szCs w:val="24"/>
        </w:rPr>
        <w:t xml:space="preserve">por lo </w:t>
      </w:r>
      <w:r>
        <w:rPr>
          <w:rFonts w:ascii="Palatino Linotype" w:eastAsia="Palatino Linotype" w:hAnsi="Palatino Linotype" w:cs="Palatino Linotype"/>
          <w:sz w:val="24"/>
          <w:szCs w:val="24"/>
        </w:rPr>
        <w:lastRenderedPageBreak/>
        <w:t xml:space="preserve">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de la presente resolución, se</w:t>
      </w:r>
      <w:r>
        <w:rPr>
          <w:rFonts w:ascii="Palatino Linotype" w:eastAsia="Palatino Linotype" w:hAnsi="Palatino Linotype" w:cs="Palatino Linotype"/>
          <w:b/>
          <w:sz w:val="24"/>
          <w:szCs w:val="24"/>
        </w:rPr>
        <w:t xml:space="preserve"> REVOCA </w:t>
      </w:r>
      <w:r>
        <w:rPr>
          <w:rFonts w:ascii="Palatino Linotype" w:eastAsia="Palatino Linotype" w:hAnsi="Palatino Linotype" w:cs="Palatino Linotype"/>
          <w:sz w:val="24"/>
          <w:szCs w:val="24"/>
        </w:rPr>
        <w:t>la respuesta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SUJETO OBLIGADO.</w:t>
      </w:r>
    </w:p>
    <w:p w:rsidR="00006BE6" w:rsidRDefault="00006BE6">
      <w:pPr>
        <w:spacing w:after="0" w:line="360" w:lineRule="auto"/>
        <w:jc w:val="both"/>
        <w:rPr>
          <w:rFonts w:ascii="Palatino Linotype" w:eastAsia="Palatino Linotype" w:hAnsi="Palatino Linotype" w:cs="Palatino Linotype"/>
          <w:b/>
          <w:sz w:val="24"/>
          <w:szCs w:val="24"/>
        </w:rPr>
      </w:pPr>
    </w:p>
    <w:p w:rsidR="00006BE6" w:rsidRDefault="00F60B4F">
      <w:pPr>
        <w:spacing w:line="360" w:lineRule="auto"/>
        <w:ind w:right="49"/>
        <w:jc w:val="both"/>
        <w:rPr>
          <w:rFonts w:ascii="Palatino Linotype" w:eastAsia="Palatino Linotype" w:hAnsi="Palatino Linotype" w:cs="Palatino Linotype"/>
          <w:sz w:val="24"/>
          <w:szCs w:val="24"/>
        </w:rPr>
      </w:pPr>
      <w:bookmarkStart w:id="2" w:name="_heading=h.30j0zll" w:colFirst="0" w:colLast="0"/>
      <w:bookmarkEnd w:id="2"/>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 los Considerandos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esta resolución, haga entrega, vía SAIMEX, de ser procedente en versión pública, lo siguiente:</w:t>
      </w:r>
    </w:p>
    <w:p w:rsidR="00006BE6" w:rsidRDefault="00F60B4F">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Oficio completo entregado en informe justificado con el que se da seguimiento al convenio</w:t>
      </w:r>
      <w:r>
        <w:rPr>
          <w:color w:val="000000"/>
        </w:rPr>
        <w:t xml:space="preserve"> </w:t>
      </w:r>
      <w:r>
        <w:rPr>
          <w:rFonts w:ascii="Palatino Linotype" w:eastAsia="Palatino Linotype" w:hAnsi="Palatino Linotype" w:cs="Palatino Linotype"/>
          <w:color w:val="000000"/>
          <w:sz w:val="24"/>
          <w:szCs w:val="24"/>
        </w:rPr>
        <w:t xml:space="preserve">de coordinación para la formulación, expedición, ejecución, evaluación, modificación, seguimiento y actualización del Programa de Ordenamiento Ecológico Local del Municipio de Naucalpan de Juárez. </w:t>
      </w:r>
    </w:p>
    <w:p w:rsidR="00F60B4F" w:rsidRPr="00F60B4F" w:rsidRDefault="00F60B4F" w:rsidP="00F60B4F">
      <w:pPr>
        <w:pStyle w:val="Prrafodelista"/>
        <w:pBdr>
          <w:top w:val="nil"/>
          <w:left w:val="nil"/>
          <w:bottom w:val="nil"/>
          <w:right w:val="nil"/>
          <w:between w:val="nil"/>
        </w:pBdr>
        <w:spacing w:before="120" w:after="120"/>
        <w:ind w:right="49"/>
        <w:jc w:val="both"/>
        <w:rPr>
          <w:rFonts w:ascii="Palatino Linotype" w:eastAsia="Palatino Linotype" w:hAnsi="Palatino Linotype" w:cs="Palatino Linotype"/>
          <w:i/>
          <w:color w:val="000000"/>
        </w:rPr>
      </w:pPr>
      <w:r w:rsidRPr="00F60B4F">
        <w:rPr>
          <w:rFonts w:ascii="Palatino Linotype" w:eastAsia="Palatino Linotype" w:hAnsi="Palatino Linotype" w:cs="Palatino Linotype"/>
          <w:i/>
          <w:color w:val="000000"/>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F60B4F" w:rsidRDefault="00F60B4F">
      <w:pPr>
        <w:spacing w:before="240" w:after="0" w:line="360" w:lineRule="auto"/>
        <w:jc w:val="both"/>
        <w:rPr>
          <w:rFonts w:ascii="Palatino Linotype" w:eastAsia="Palatino Linotype" w:hAnsi="Palatino Linotype" w:cs="Palatino Linotype"/>
          <w:b/>
          <w:sz w:val="24"/>
          <w:szCs w:val="24"/>
        </w:rPr>
      </w:pPr>
    </w:p>
    <w:p w:rsidR="00006BE6" w:rsidRDefault="00F60B4F">
      <w:pPr>
        <w:spacing w:before="240"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vía</w:t>
      </w:r>
      <w:r>
        <w:rPr>
          <w:rFonts w:ascii="Palatino Linotype" w:eastAsia="Palatino Linotype" w:hAnsi="Palatino Linotype" w:cs="Palatino Linotype"/>
          <w:b/>
          <w:sz w:val="24"/>
          <w:szCs w:val="24"/>
        </w:rPr>
        <w:t xml:space="preserve"> SAIMEX, </w:t>
      </w:r>
      <w:r>
        <w:rPr>
          <w:rFonts w:ascii="Palatino Linotype" w:eastAsia="Palatino Linotype" w:hAnsi="Palatino Linotype" w:cs="Palatino Linotype"/>
          <w:sz w:val="24"/>
          <w:szCs w:val="24"/>
        </w:rPr>
        <w:t xml:space="preserve">al Responsable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w:t>
      </w:r>
      <w:r>
        <w:rPr>
          <w:rFonts w:ascii="Palatino Linotype" w:eastAsia="Palatino Linotype" w:hAnsi="Palatino Linotype" w:cs="Palatino Linotype"/>
          <w:sz w:val="24"/>
          <w:szCs w:val="24"/>
        </w:rPr>
        <w:lastRenderedPageBreak/>
        <w:t>informar a este Instituto en un plazo de tres días hábiles siguientes sobre el cumplimiento dado a la misma</w:t>
      </w:r>
      <w:r>
        <w:rPr>
          <w:rFonts w:ascii="Palatino Linotype" w:eastAsia="Palatino Linotype" w:hAnsi="Palatino Linotype" w:cs="Palatino Linotype"/>
          <w:b/>
          <w:sz w:val="24"/>
          <w:szCs w:val="24"/>
        </w:rPr>
        <w:t>.</w:t>
      </w:r>
    </w:p>
    <w:p w:rsidR="00006BE6" w:rsidRDefault="00006BE6">
      <w:pPr>
        <w:spacing w:after="0" w:line="360" w:lineRule="auto"/>
        <w:jc w:val="both"/>
        <w:rPr>
          <w:rFonts w:ascii="Palatino Linotype" w:eastAsia="Palatino Linotype" w:hAnsi="Palatino Linotype" w:cs="Palatino Linotype"/>
          <w:b/>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bookmarkStart w:id="3" w:name="_heading=h.4d34og8" w:colFirst="0" w:colLast="0"/>
      <w:bookmarkEnd w:id="3"/>
      <w:r>
        <w:rPr>
          <w:rFonts w:ascii="Palatino Linotype" w:eastAsia="Palatino Linotype" w:hAnsi="Palatino Linotype" w:cs="Palatino Linotype"/>
          <w:b/>
          <w:sz w:val="24"/>
          <w:szCs w:val="24"/>
        </w:rPr>
        <w:t xml:space="preserve">CUARTO.  Notifíquese,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6BE6" w:rsidRDefault="00006BE6">
      <w:pPr>
        <w:spacing w:after="0" w:line="360" w:lineRule="auto"/>
        <w:jc w:val="both"/>
        <w:rPr>
          <w:rFonts w:ascii="Palatino Linotype" w:eastAsia="Palatino Linotype" w:hAnsi="Palatino Linotype" w:cs="Palatino Linotype"/>
          <w:sz w:val="24"/>
          <w:szCs w:val="24"/>
        </w:rPr>
      </w:pPr>
    </w:p>
    <w:p w:rsidR="00006BE6" w:rsidRDefault="00F60B4F">
      <w:pPr>
        <w:spacing w:after="0" w:line="360" w:lineRule="auto"/>
        <w:jc w:val="both"/>
        <w:rPr>
          <w:rFonts w:ascii="Palatino Linotype" w:eastAsia="Palatino Linotype" w:hAnsi="Palatino Linotype" w:cs="Palatino Linotype"/>
          <w:sz w:val="24"/>
          <w:szCs w:val="24"/>
        </w:rPr>
      </w:pPr>
      <w:bookmarkStart w:id="4" w:name="_heading=h.1fob9te" w:colFirst="0" w:colLast="0"/>
      <w:bookmarkEnd w:id="4"/>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DE AGOSTO DE DOS MIL VEINTIDÓS, ANTE EL SECRETARIO TÉCNICO DEL PLENO ALEXIS TAPIA RAMÍREZ.</w:t>
      </w:r>
    </w:p>
    <w:p w:rsidR="00006BE6" w:rsidRDefault="00006BE6">
      <w:pPr>
        <w:rPr>
          <w:rFonts w:ascii="Palatino Linotype" w:eastAsia="Palatino Linotype" w:hAnsi="Palatino Linotype" w:cs="Palatino Linotype"/>
          <w:b/>
          <w:i/>
          <w:color w:val="000000"/>
          <w:sz w:val="24"/>
          <w:szCs w:val="24"/>
        </w:rPr>
      </w:pPr>
    </w:p>
    <w:sectPr w:rsidR="00006BE6">
      <w:headerReference w:type="default" r:id="rId22"/>
      <w:footerReference w:type="default" r:id="rId23"/>
      <w:headerReference w:type="first" r:id="rId24"/>
      <w:footerReference w:type="first" r:id="rId2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F47" w:rsidRDefault="00836F47">
      <w:pPr>
        <w:spacing w:after="0" w:line="240" w:lineRule="auto"/>
      </w:pPr>
      <w:r>
        <w:separator/>
      </w:r>
    </w:p>
  </w:endnote>
  <w:endnote w:type="continuationSeparator" w:id="0">
    <w:p w:rsidR="00836F47" w:rsidRDefault="0083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BE6" w:rsidRDefault="00F60B4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531B8">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531B8">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006BE6" w:rsidRDefault="00006BE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BE6" w:rsidRDefault="00F60B4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531B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531B8">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006BE6" w:rsidRDefault="00006BE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F47" w:rsidRDefault="00836F47">
      <w:pPr>
        <w:spacing w:after="0" w:line="240" w:lineRule="auto"/>
      </w:pPr>
      <w:r>
        <w:separator/>
      </w:r>
    </w:p>
  </w:footnote>
  <w:footnote w:type="continuationSeparator" w:id="0">
    <w:p w:rsidR="00836F47" w:rsidRDefault="00836F47">
      <w:pPr>
        <w:spacing w:after="0" w:line="240" w:lineRule="auto"/>
      </w:pPr>
      <w:r>
        <w:continuationSeparator/>
      </w:r>
    </w:p>
  </w:footnote>
  <w:footnote w:id="1">
    <w:p w:rsidR="00006BE6" w:rsidRDefault="00F60B4F">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006BE6" w:rsidRDefault="00F60B4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006BE6" w:rsidRDefault="00F60B4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BE6" w:rsidRDefault="00006BE6">
    <w:pPr>
      <w:widowControl w:val="0"/>
      <w:pBdr>
        <w:top w:val="nil"/>
        <w:left w:val="nil"/>
        <w:bottom w:val="nil"/>
        <w:right w:val="nil"/>
        <w:between w:val="nil"/>
      </w:pBdr>
      <w:spacing w:after="0" w:line="276" w:lineRule="auto"/>
      <w:rPr>
        <w:color w:val="000000"/>
      </w:rPr>
    </w:pPr>
  </w:p>
  <w:tbl>
    <w:tblPr>
      <w:tblStyle w:val="a0"/>
      <w:tblW w:w="10346" w:type="dxa"/>
      <w:tblInd w:w="-1303" w:type="dxa"/>
      <w:tblLayout w:type="fixed"/>
      <w:tblLook w:val="0400" w:firstRow="0" w:lastRow="0" w:firstColumn="0" w:lastColumn="0" w:noHBand="0" w:noVBand="1"/>
    </w:tblPr>
    <w:tblGrid>
      <w:gridCol w:w="5684"/>
      <w:gridCol w:w="4662"/>
    </w:tblGrid>
    <w:tr w:rsidR="00006BE6">
      <w:trPr>
        <w:trHeight w:val="244"/>
      </w:trPr>
      <w:tc>
        <w:tcPr>
          <w:tcW w:w="5684" w:type="dxa"/>
        </w:tcPr>
        <w:p w:rsidR="00006BE6" w:rsidRDefault="00F60B4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006BE6" w:rsidRDefault="00F60B4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05819/INFOEM/IP/RR/2022</w:t>
          </w:r>
        </w:p>
      </w:tc>
    </w:tr>
    <w:tr w:rsidR="00006BE6">
      <w:trPr>
        <w:trHeight w:val="210"/>
      </w:trPr>
      <w:tc>
        <w:tcPr>
          <w:tcW w:w="5684" w:type="dxa"/>
        </w:tcPr>
        <w:p w:rsidR="00006BE6" w:rsidRDefault="00F60B4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006BE6" w:rsidRDefault="00006BE6">
          <w:pPr>
            <w:spacing w:after="120"/>
            <w:ind w:left="-486" w:right="214" w:firstLine="567"/>
            <w:jc w:val="right"/>
            <w:rPr>
              <w:rFonts w:ascii="Palatino Linotype" w:eastAsia="Palatino Linotype" w:hAnsi="Palatino Linotype" w:cs="Palatino Linotype"/>
              <w:sz w:val="24"/>
              <w:szCs w:val="24"/>
            </w:rPr>
          </w:pPr>
        </w:p>
      </w:tc>
    </w:tr>
    <w:tr w:rsidR="00006BE6">
      <w:trPr>
        <w:trHeight w:val="261"/>
      </w:trPr>
      <w:tc>
        <w:tcPr>
          <w:tcW w:w="5684" w:type="dxa"/>
        </w:tcPr>
        <w:p w:rsidR="00006BE6" w:rsidRDefault="00F60B4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006BE6" w:rsidRDefault="00F60B4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Naucalpan de Juárez</w:t>
          </w:r>
        </w:p>
      </w:tc>
    </w:tr>
    <w:tr w:rsidR="00006BE6">
      <w:trPr>
        <w:trHeight w:val="368"/>
      </w:trPr>
      <w:tc>
        <w:tcPr>
          <w:tcW w:w="5684" w:type="dxa"/>
        </w:tcPr>
        <w:p w:rsidR="00006BE6" w:rsidRDefault="00F60B4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006BE6" w:rsidRDefault="00F60B4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006BE6" w:rsidRDefault="00F60B4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-798194</wp:posOffset>
          </wp:positionH>
          <wp:positionV relativeFrom="paragraph">
            <wp:posOffset>-1507489</wp:posOffset>
          </wp:positionV>
          <wp:extent cx="7753350" cy="9942731"/>
          <wp:effectExtent l="0" t="0" r="0" b="0"/>
          <wp:wrapNone/>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BE6" w:rsidRDefault="00006BE6">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
      <w:tblW w:w="10346" w:type="dxa"/>
      <w:tblInd w:w="-1303" w:type="dxa"/>
      <w:tblLayout w:type="fixed"/>
      <w:tblLook w:val="0400" w:firstRow="0" w:lastRow="0" w:firstColumn="0" w:lastColumn="0" w:noHBand="0" w:noVBand="1"/>
    </w:tblPr>
    <w:tblGrid>
      <w:gridCol w:w="5684"/>
      <w:gridCol w:w="4662"/>
    </w:tblGrid>
    <w:tr w:rsidR="00006BE6">
      <w:trPr>
        <w:trHeight w:val="244"/>
      </w:trPr>
      <w:tc>
        <w:tcPr>
          <w:tcW w:w="5684" w:type="dxa"/>
        </w:tcPr>
        <w:p w:rsidR="00006BE6" w:rsidRDefault="00F60B4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006BE6" w:rsidRDefault="00F60B4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05819/INFOEM/IP/RR/2022</w:t>
          </w:r>
        </w:p>
      </w:tc>
    </w:tr>
    <w:tr w:rsidR="00006BE6">
      <w:trPr>
        <w:trHeight w:val="210"/>
      </w:trPr>
      <w:tc>
        <w:tcPr>
          <w:tcW w:w="5684" w:type="dxa"/>
        </w:tcPr>
        <w:p w:rsidR="00006BE6" w:rsidRDefault="00F60B4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006BE6" w:rsidRDefault="009531B8">
          <w:pPr>
            <w:spacing w:after="120"/>
            <w:ind w:left="-486" w:right="214" w:firstLine="567"/>
            <w:jc w:val="right"/>
            <w:rPr>
              <w:rFonts w:ascii="Palatino Linotype" w:eastAsia="Palatino Linotype" w:hAnsi="Palatino Linotype" w:cs="Palatino Linotype"/>
              <w:sz w:val="24"/>
              <w:szCs w:val="24"/>
            </w:rPr>
          </w:pPr>
          <w:r w:rsidRPr="009531B8">
            <w:rPr>
              <w:rFonts w:ascii="Palatino Linotype" w:eastAsia="Palatino Linotype" w:hAnsi="Palatino Linotype" w:cs="Palatino Linotype"/>
              <w:sz w:val="24"/>
              <w:szCs w:val="24"/>
            </w:rPr>
            <w:t>Xxxxxxx Xxxxxxxx</w:t>
          </w:r>
        </w:p>
      </w:tc>
    </w:tr>
    <w:tr w:rsidR="00006BE6">
      <w:trPr>
        <w:trHeight w:val="261"/>
      </w:trPr>
      <w:tc>
        <w:tcPr>
          <w:tcW w:w="5684" w:type="dxa"/>
        </w:tcPr>
        <w:p w:rsidR="00006BE6" w:rsidRDefault="00F60B4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006BE6" w:rsidRDefault="00F60B4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Naucalpan de Juárez</w:t>
          </w:r>
        </w:p>
      </w:tc>
    </w:tr>
    <w:tr w:rsidR="00006BE6">
      <w:trPr>
        <w:trHeight w:val="368"/>
      </w:trPr>
      <w:tc>
        <w:tcPr>
          <w:tcW w:w="5684" w:type="dxa"/>
        </w:tcPr>
        <w:p w:rsidR="00006BE6" w:rsidRDefault="00F60B4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006BE6" w:rsidRDefault="00F60B4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006BE6" w:rsidRDefault="00F60B4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-759459</wp:posOffset>
          </wp:positionH>
          <wp:positionV relativeFrom="paragraph">
            <wp:posOffset>-1612264</wp:posOffset>
          </wp:positionV>
          <wp:extent cx="7753350" cy="9942731"/>
          <wp:effectExtent l="0" t="0" r="0" b="0"/>
          <wp:wrapNone/>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675"/>
    <w:multiLevelType w:val="multilevel"/>
    <w:tmpl w:val="3040959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3550CB4"/>
    <w:multiLevelType w:val="multilevel"/>
    <w:tmpl w:val="1248A062"/>
    <w:lvl w:ilvl="0">
      <w:start w:val="4"/>
      <w:numFmt w:val="bullet"/>
      <w:lvlText w:val="-"/>
      <w:lvlJc w:val="left"/>
      <w:pPr>
        <w:ind w:left="720" w:hanging="360"/>
      </w:pPr>
      <w:rPr>
        <w:rFonts w:ascii="Palatino Linotype" w:eastAsia="Palatino Linotype" w:hAnsi="Palatino Linotype" w:cs="Palatino Linotyp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A16EA1"/>
    <w:multiLevelType w:val="multilevel"/>
    <w:tmpl w:val="D632CF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CA78D8"/>
    <w:multiLevelType w:val="multilevel"/>
    <w:tmpl w:val="AAFC173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BE6"/>
    <w:rsid w:val="00006BE6"/>
    <w:rsid w:val="00836F47"/>
    <w:rsid w:val="009531B8"/>
    <w:rsid w:val="00AE6147"/>
    <w:rsid w:val="00F60B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850BD9-C200-4015-B5F7-5AEC02927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5E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B15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15E7"/>
  </w:style>
  <w:style w:type="paragraph" w:styleId="Piedepgina">
    <w:name w:val="footer"/>
    <w:basedOn w:val="Normal"/>
    <w:link w:val="PiedepginaCar"/>
    <w:uiPriority w:val="99"/>
    <w:unhideWhenUsed/>
    <w:rsid w:val="00BB15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15E7"/>
  </w:style>
  <w:style w:type="character" w:styleId="Hipervnculo">
    <w:name w:val="Hyperlink"/>
    <w:basedOn w:val="Fuentedeprrafopredeter"/>
    <w:uiPriority w:val="99"/>
    <w:semiHidden/>
    <w:unhideWhenUsed/>
    <w:rsid w:val="008C49E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43B6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660A"/>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F60B4F"/>
    <w:pPr>
      <w:spacing w:after="0" w:line="240" w:lineRule="auto"/>
    </w:pPr>
    <w:rPr>
      <w:rFonts w:asciiTheme="minorHAnsi" w:eastAsia="MS Mincho" w:hAnsiTheme="minorHAnsi" w:cstheme="minorBidi"/>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2468.page" TargetMode="External"/><Relationship Id="rId13" Type="http://schemas.openxmlformats.org/officeDocument/2006/relationships/hyperlink" Target="https://saimex.org.mx/saimex/solicitud/downloadAttach/1424700.page"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1424701.page"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9mZIKYxOmjnvwKiyzHMmMyyIA==">AMUW2mU1OKp5acam6pCHlHFteCXoYUT1pB9iEi2g3HfI0k1SQ3e65THvQeQTFxwdfplWFuk4FqHg/X0eszQ0yqS+Ms4/Sf8M3PYvret4XRsPsO01sILdmRLQBROClRs9t1LyAtDfxONeb8y75zdjGJKFondsNgDz0WYk29IkAaqj+u6pVvrjTzE=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7854</Words>
  <Characters>43199</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USUARIO</cp:lastModifiedBy>
  <cp:revision>3</cp:revision>
  <dcterms:created xsi:type="dcterms:W3CDTF">2022-08-25T19:11:00Z</dcterms:created>
  <dcterms:modified xsi:type="dcterms:W3CDTF">2022-09-06T15:30:00Z</dcterms:modified>
</cp:coreProperties>
</file>