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2FB60"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Pr="00B53730">
        <w:rPr>
          <w:rFonts w:ascii="Palatino Linotype" w:eastAsia="Palatino Linotype" w:hAnsi="Palatino Linotype" w:cs="Palatino Linotype"/>
          <w:b/>
        </w:rPr>
        <w:t xml:space="preserve"> treinta de noviembre  de dos mil veintidós</w:t>
      </w:r>
      <w:r w:rsidRPr="00B53730">
        <w:rPr>
          <w:rFonts w:ascii="Palatino Linotype" w:eastAsia="Palatino Linotype" w:hAnsi="Palatino Linotype" w:cs="Palatino Linotype"/>
        </w:rPr>
        <w:t xml:space="preserve">. </w:t>
      </w:r>
    </w:p>
    <w:p w14:paraId="7BC269EA" w14:textId="77777777" w:rsidR="00E138B8" w:rsidRPr="00B53730" w:rsidRDefault="00E138B8">
      <w:pPr>
        <w:spacing w:line="360" w:lineRule="auto"/>
        <w:jc w:val="both"/>
        <w:rPr>
          <w:rFonts w:ascii="Palatino Linotype" w:eastAsia="Palatino Linotype" w:hAnsi="Palatino Linotype" w:cs="Palatino Linotype"/>
        </w:rPr>
      </w:pPr>
    </w:p>
    <w:p w14:paraId="6C662041" w14:textId="656C757C"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VISTO</w:t>
      </w:r>
      <w:r w:rsidRPr="00B53730">
        <w:rPr>
          <w:rFonts w:ascii="Palatino Linotype" w:eastAsia="Palatino Linotype" w:hAnsi="Palatino Linotype" w:cs="Palatino Linotype"/>
        </w:rPr>
        <w:t xml:space="preserve"> el expediente formado con motivo del recurso de revisión </w:t>
      </w:r>
      <w:r w:rsidRPr="00B53730">
        <w:rPr>
          <w:rFonts w:ascii="Palatino Linotype" w:eastAsia="Palatino Linotype" w:hAnsi="Palatino Linotype" w:cs="Palatino Linotype"/>
          <w:b/>
        </w:rPr>
        <w:t>08694/INFOEM/IP/RR/2022</w:t>
      </w:r>
      <w:r w:rsidRPr="00B53730">
        <w:rPr>
          <w:rFonts w:ascii="Palatino Linotype" w:eastAsia="Palatino Linotype" w:hAnsi="Palatino Linotype" w:cs="Palatino Linotype"/>
        </w:rPr>
        <w:t xml:space="preserve">, interpuesto por </w:t>
      </w:r>
      <w:r w:rsidR="00E00FBB">
        <w:rPr>
          <w:rFonts w:ascii="Palatino Linotype" w:eastAsia="Palatino Linotype" w:hAnsi="Palatino Linotype" w:cs="Palatino Linotype"/>
          <w:b/>
        </w:rPr>
        <w:t>XXXXX XXXXXXXXXX XXXXX XXXX</w:t>
      </w:r>
      <w:bookmarkStart w:id="0" w:name="_GoBack"/>
      <w:bookmarkEnd w:id="0"/>
      <w:r w:rsidRPr="00B53730">
        <w:rPr>
          <w:rFonts w:ascii="Palatino Linotype" w:eastAsia="Palatino Linotype" w:hAnsi="Palatino Linotype" w:cs="Palatino Linotype"/>
        </w:rPr>
        <w:t>, en lo sucesivo</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 xml:space="preserve">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en contra de la respuesta a su solicitud por parte del </w:t>
      </w:r>
      <w:r w:rsidRPr="00B53730">
        <w:rPr>
          <w:rFonts w:ascii="Palatino Linotype" w:eastAsia="Palatino Linotype" w:hAnsi="Palatino Linotype" w:cs="Palatino Linotype"/>
          <w:b/>
        </w:rPr>
        <w:t xml:space="preserve">Tribunal Estatal de Conciliación y Arbitraje, </w:t>
      </w:r>
      <w:r w:rsidRPr="00B53730">
        <w:rPr>
          <w:rFonts w:ascii="Palatino Linotype" w:eastAsia="Palatino Linotype" w:hAnsi="Palatino Linotype" w:cs="Palatino Linotype"/>
        </w:rPr>
        <w:t xml:space="preserve">en lo sucesivo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 xml:space="preserve">se procede a dictar la presente resolución con base en los siguientes: </w:t>
      </w:r>
    </w:p>
    <w:p w14:paraId="24F04D55" w14:textId="77777777" w:rsidR="00E138B8" w:rsidRPr="00B53730" w:rsidRDefault="00E138B8">
      <w:pPr>
        <w:spacing w:line="360" w:lineRule="auto"/>
        <w:jc w:val="both"/>
        <w:rPr>
          <w:rFonts w:ascii="Palatino Linotype" w:eastAsia="Palatino Linotype" w:hAnsi="Palatino Linotype" w:cs="Palatino Linotype"/>
          <w:b/>
        </w:rPr>
      </w:pPr>
    </w:p>
    <w:p w14:paraId="31D38920" w14:textId="77777777" w:rsidR="00E138B8" w:rsidRPr="00B53730" w:rsidRDefault="00161B76">
      <w:pPr>
        <w:spacing w:line="360" w:lineRule="auto"/>
        <w:jc w:val="center"/>
        <w:rPr>
          <w:rFonts w:ascii="Palatino Linotype" w:eastAsia="Palatino Linotype" w:hAnsi="Palatino Linotype" w:cs="Palatino Linotype"/>
          <w:b/>
        </w:rPr>
      </w:pPr>
      <w:r w:rsidRPr="00B53730">
        <w:rPr>
          <w:rFonts w:ascii="Palatino Linotype" w:eastAsia="Palatino Linotype" w:hAnsi="Palatino Linotype" w:cs="Palatino Linotype"/>
          <w:b/>
        </w:rPr>
        <w:t>I. A N T E C E D E N T E S</w:t>
      </w:r>
    </w:p>
    <w:p w14:paraId="1B4062E6" w14:textId="77777777" w:rsidR="00E138B8" w:rsidRPr="00B53730" w:rsidRDefault="00E138B8">
      <w:pPr>
        <w:spacing w:line="360" w:lineRule="auto"/>
        <w:jc w:val="center"/>
        <w:rPr>
          <w:rFonts w:ascii="Palatino Linotype" w:eastAsia="Palatino Linotype" w:hAnsi="Palatino Linotype" w:cs="Palatino Linotype"/>
          <w:b/>
        </w:rPr>
      </w:pPr>
    </w:p>
    <w:p w14:paraId="101ED5F8"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1. Solicitud de acceso a la información.</w:t>
      </w:r>
      <w:r w:rsidRPr="00B53730">
        <w:rPr>
          <w:rFonts w:ascii="Palatino Linotype" w:eastAsia="Palatino Linotype" w:hAnsi="Palatino Linotype" w:cs="Palatino Linotype"/>
        </w:rPr>
        <w:t xml:space="preserve"> Con fecha </w:t>
      </w:r>
      <w:r w:rsidRPr="00B53730">
        <w:rPr>
          <w:rFonts w:ascii="Palatino Linotype" w:eastAsia="Palatino Linotype" w:hAnsi="Palatino Linotype" w:cs="Palatino Linotype"/>
          <w:b/>
        </w:rPr>
        <w:t>nueve de mayo de dos mil veintidós</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la parte</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presentó, a través del Sistema de Acceso a la Información Mexiquense, en lo subsecuente el </w:t>
      </w:r>
      <w:r w:rsidRPr="00B53730">
        <w:rPr>
          <w:rFonts w:ascii="Palatino Linotype" w:eastAsia="Palatino Linotype" w:hAnsi="Palatino Linotype" w:cs="Palatino Linotype"/>
          <w:b/>
        </w:rPr>
        <w:t>SAIMEX</w:t>
      </w:r>
      <w:r w:rsidRPr="00B53730">
        <w:rPr>
          <w:rFonts w:ascii="Palatino Linotype" w:eastAsia="Palatino Linotype" w:hAnsi="Palatino Linotype" w:cs="Palatino Linotype"/>
        </w:rPr>
        <w:t xml:space="preserve">, ante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la solicitud de acceso a la información pública, a la que se le asignó el número</w:t>
      </w:r>
      <w:r w:rsidRPr="00B53730">
        <w:rPr>
          <w:rFonts w:ascii="Palatino Linotype" w:eastAsia="Palatino Linotype" w:hAnsi="Palatino Linotype" w:cs="Palatino Linotype"/>
          <w:b/>
        </w:rPr>
        <w:t xml:space="preserve"> 00052/TRIECA/IP/2022 </w:t>
      </w:r>
      <w:r w:rsidRPr="00B53730">
        <w:rPr>
          <w:rFonts w:ascii="Palatino Linotype" w:eastAsia="Palatino Linotype" w:hAnsi="Palatino Linotype" w:cs="Palatino Linotype"/>
        </w:rPr>
        <w:t xml:space="preserve">mediante la cual requirió la información siguiente: </w:t>
      </w:r>
    </w:p>
    <w:p w14:paraId="0A03385B" w14:textId="77777777" w:rsidR="00E138B8" w:rsidRPr="00B53730" w:rsidRDefault="00E138B8">
      <w:pPr>
        <w:spacing w:line="360" w:lineRule="auto"/>
        <w:jc w:val="both"/>
        <w:rPr>
          <w:rFonts w:ascii="Palatino Linotype" w:eastAsia="Palatino Linotype" w:hAnsi="Palatino Linotype" w:cs="Palatino Linotype"/>
          <w:b/>
        </w:rPr>
      </w:pPr>
    </w:p>
    <w:p w14:paraId="3895A372"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B53730">
        <w:rPr>
          <w:rFonts w:ascii="Palatino Linotype" w:eastAsia="Palatino Linotype" w:hAnsi="Palatino Linotype" w:cs="Palatino Linotype"/>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tenemos a bien solicitar: a). </w:t>
      </w:r>
      <w:r w:rsidRPr="00B53730">
        <w:rPr>
          <w:rFonts w:ascii="Palatino Linotype" w:eastAsia="Palatino Linotype" w:hAnsi="Palatino Linotype" w:cs="Palatino Linotype"/>
          <w:b/>
          <w:i/>
          <w:sz w:val="22"/>
          <w:szCs w:val="22"/>
        </w:rPr>
        <w:t xml:space="preserve">Convenios celebrados en la Sala Auxiliar Ecatepec del Tribunal Estatal de Conciliación y Arbitraje entre el H. Ayuntamiento de Valle de Chalco Solidaridad y los ex servidores públicos para finiquitar la relación </w:t>
      </w:r>
      <w:r w:rsidRPr="00B53730">
        <w:rPr>
          <w:rFonts w:ascii="Palatino Linotype" w:eastAsia="Palatino Linotype" w:hAnsi="Palatino Linotype" w:cs="Palatino Linotype"/>
          <w:b/>
          <w:i/>
          <w:sz w:val="22"/>
          <w:szCs w:val="22"/>
        </w:rPr>
        <w:lastRenderedPageBreak/>
        <w:t>laboral con el H. Ayuntamiento de ENERO a MAYO DEL AÑO 20</w:t>
      </w:r>
      <w:r w:rsidRPr="00B53730">
        <w:rPr>
          <w:rFonts w:ascii="Palatino Linotype" w:eastAsia="Palatino Linotype" w:hAnsi="Palatino Linotype" w:cs="Palatino Linotype"/>
          <w:i/>
          <w:sz w:val="22"/>
          <w:szCs w:val="22"/>
        </w:rPr>
        <w:t>22. Agradecemos su pronta respuesta.” (</w:t>
      </w:r>
      <w:proofErr w:type="gramStart"/>
      <w:r w:rsidRPr="00B53730">
        <w:rPr>
          <w:rFonts w:ascii="Palatino Linotype" w:eastAsia="Palatino Linotype" w:hAnsi="Palatino Linotype" w:cs="Palatino Linotype"/>
          <w:i/>
          <w:sz w:val="22"/>
          <w:szCs w:val="22"/>
        </w:rPr>
        <w:t>sic</w:t>
      </w:r>
      <w:proofErr w:type="gramEnd"/>
      <w:r w:rsidRPr="00B53730">
        <w:rPr>
          <w:rFonts w:ascii="Palatino Linotype" w:eastAsia="Palatino Linotype" w:hAnsi="Palatino Linotype" w:cs="Palatino Linotype"/>
          <w:i/>
          <w:sz w:val="22"/>
          <w:szCs w:val="22"/>
        </w:rPr>
        <w:t>)</w:t>
      </w:r>
    </w:p>
    <w:p w14:paraId="5FAC2294" w14:textId="77777777" w:rsidR="00E138B8" w:rsidRPr="00B53730" w:rsidRDefault="00E138B8">
      <w:pPr>
        <w:spacing w:line="360" w:lineRule="auto"/>
        <w:ind w:left="567" w:right="616"/>
        <w:jc w:val="both"/>
        <w:rPr>
          <w:rFonts w:ascii="Palatino Linotype" w:eastAsia="Palatino Linotype" w:hAnsi="Palatino Linotype" w:cs="Palatino Linotype"/>
          <w:i/>
          <w:sz w:val="22"/>
          <w:szCs w:val="22"/>
        </w:rPr>
      </w:pPr>
    </w:p>
    <w:p w14:paraId="69B7839F" w14:textId="77777777" w:rsidR="00E138B8" w:rsidRPr="00B53730" w:rsidRDefault="00161B76">
      <w:pPr>
        <w:spacing w:line="360" w:lineRule="auto"/>
        <w:ind w:right="900"/>
        <w:jc w:val="both"/>
        <w:rPr>
          <w:rFonts w:ascii="Palatino Linotype" w:eastAsia="Palatino Linotype" w:hAnsi="Palatino Linotype" w:cs="Palatino Linotype"/>
        </w:rPr>
      </w:pPr>
      <w:r w:rsidRPr="00B53730">
        <w:rPr>
          <w:rFonts w:ascii="Palatino Linotype" w:eastAsia="Palatino Linotype" w:hAnsi="Palatino Linotype" w:cs="Palatino Linotype"/>
          <w:b/>
        </w:rPr>
        <w:t>La parte</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no adjuntó archivos.</w:t>
      </w:r>
    </w:p>
    <w:p w14:paraId="40414E44" w14:textId="77777777" w:rsidR="00E138B8" w:rsidRPr="00B53730" w:rsidRDefault="00E138B8">
      <w:pPr>
        <w:spacing w:line="360" w:lineRule="auto"/>
        <w:jc w:val="both"/>
        <w:rPr>
          <w:rFonts w:ascii="Palatino Linotype" w:eastAsia="Palatino Linotype" w:hAnsi="Palatino Linotype" w:cs="Palatino Linotype"/>
          <w:b/>
        </w:rPr>
      </w:pPr>
    </w:p>
    <w:p w14:paraId="246468F0"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Modalidad elegida para la entrega de la información: </w:t>
      </w:r>
      <w:r w:rsidRPr="00B53730">
        <w:rPr>
          <w:rFonts w:ascii="Palatino Linotype" w:eastAsia="Palatino Linotype" w:hAnsi="Palatino Linotype" w:cs="Palatino Linotype"/>
        </w:rPr>
        <w:t>a través del SAIMEX.</w:t>
      </w:r>
    </w:p>
    <w:p w14:paraId="3B1A77AF" w14:textId="77777777" w:rsidR="00E138B8" w:rsidRPr="00B53730" w:rsidRDefault="00E138B8">
      <w:pPr>
        <w:spacing w:line="360" w:lineRule="auto"/>
        <w:jc w:val="both"/>
        <w:rPr>
          <w:rFonts w:ascii="Palatino Linotype" w:eastAsia="Palatino Linotype" w:hAnsi="Palatino Linotype" w:cs="Palatino Linotype"/>
        </w:rPr>
      </w:pPr>
    </w:p>
    <w:p w14:paraId="016E4CC5"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2. Respuesta. </w:t>
      </w:r>
      <w:r w:rsidRPr="00B53730">
        <w:rPr>
          <w:rFonts w:ascii="Palatino Linotype" w:eastAsia="Palatino Linotype" w:hAnsi="Palatino Linotype" w:cs="Palatino Linotype"/>
        </w:rPr>
        <w:t xml:space="preserve">Con fecha </w:t>
      </w:r>
      <w:r w:rsidRPr="00B53730">
        <w:rPr>
          <w:rFonts w:ascii="Palatino Linotype" w:eastAsia="Palatino Linotype" w:hAnsi="Palatino Linotype" w:cs="Palatino Linotype"/>
          <w:b/>
        </w:rPr>
        <w:t>diecisiete de mayo de dos mil veintidós</w:t>
      </w:r>
      <w:r w:rsidRPr="00B53730">
        <w:rPr>
          <w:rFonts w:ascii="Palatino Linotype" w:eastAsia="Palatino Linotype" w:hAnsi="Palatino Linotype" w:cs="Palatino Linotype"/>
        </w:rPr>
        <w:t xml:space="preserve">,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envió su respuesta a la solicitud de acceso a la información a través de SAIMEX, sustancialmente en los términos siguientes:   </w:t>
      </w:r>
    </w:p>
    <w:p w14:paraId="7F83CD05" w14:textId="77777777" w:rsidR="00E138B8" w:rsidRPr="00B53730" w:rsidRDefault="00E138B8">
      <w:pPr>
        <w:spacing w:line="360" w:lineRule="auto"/>
        <w:jc w:val="both"/>
        <w:rPr>
          <w:rFonts w:ascii="Palatino Linotype" w:eastAsia="Palatino Linotype" w:hAnsi="Palatino Linotype" w:cs="Palatino Linotype"/>
          <w:i/>
          <w:sz w:val="22"/>
          <w:szCs w:val="22"/>
        </w:rPr>
      </w:pPr>
    </w:p>
    <w:p w14:paraId="7E5D4681"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“…Adjunto encontrara información de la solicitud no 00052/TRIECA/IP/2022 donde "</w:t>
      </w:r>
      <w:proofErr w:type="spellStart"/>
      <w:r w:rsidRPr="00B53730">
        <w:rPr>
          <w:rFonts w:ascii="Palatino Linotype" w:eastAsia="Palatino Linotype" w:hAnsi="Palatino Linotype" w:cs="Palatino Linotype"/>
          <w:i/>
          <w:sz w:val="22"/>
          <w:szCs w:val="22"/>
        </w:rPr>
        <w:t>on</w:t>
      </w:r>
      <w:proofErr w:type="spellEnd"/>
      <w:r w:rsidRPr="00B53730">
        <w:rPr>
          <w:rFonts w:ascii="Palatino Linotype" w:eastAsia="Palatino Linotype" w:hAnsi="Palatino Linotype" w:cs="Palatino Linotype"/>
          <w:i/>
          <w:sz w:val="22"/>
          <w:szCs w:val="22"/>
        </w:rPr>
        <w:t xml:space="preserve"> fundamento jurídico en el artículo 6 de la Constitución Política de los Estados Unidos Mexicanos y del artículo 5 de la Constitución Política del Estado 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de ENERO a MAYO DEL AÑO 2022. Agradecemos su pronta respuesta."</w:t>
      </w:r>
    </w:p>
    <w:p w14:paraId="5B66BAD2" w14:textId="77777777" w:rsidR="00E138B8" w:rsidRPr="00B53730" w:rsidRDefault="00161B76">
      <w:pPr>
        <w:spacing w:line="360"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ATENTAMENTE</w:t>
      </w:r>
    </w:p>
    <w:p w14:paraId="0F1A0327" w14:textId="77777777" w:rsidR="00E138B8" w:rsidRPr="00B53730" w:rsidRDefault="00161B76">
      <w:pPr>
        <w:spacing w:line="360"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I.S.C. ANGÉLICA GARCÍA HERRERA” (sic)</w:t>
      </w:r>
    </w:p>
    <w:p w14:paraId="73F7A21E" w14:textId="77777777" w:rsidR="00E138B8" w:rsidRPr="00B53730" w:rsidRDefault="00E138B8">
      <w:pPr>
        <w:spacing w:line="360" w:lineRule="auto"/>
        <w:ind w:left="567" w:right="616"/>
        <w:jc w:val="both"/>
        <w:rPr>
          <w:rFonts w:ascii="Palatino Linotype" w:eastAsia="Palatino Linotype" w:hAnsi="Palatino Linotype" w:cs="Palatino Linotype"/>
          <w:i/>
          <w:sz w:val="22"/>
          <w:szCs w:val="22"/>
        </w:rPr>
      </w:pPr>
    </w:p>
    <w:p w14:paraId="7E134684"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El </w:t>
      </w:r>
      <w:r w:rsidRPr="00B53730">
        <w:rPr>
          <w:rFonts w:ascii="Palatino Linotype" w:eastAsia="Palatino Linotype" w:hAnsi="Palatino Linotype" w:cs="Palatino Linotype"/>
          <w:b/>
        </w:rPr>
        <w:t xml:space="preserve">SUJETO OBLIGADO </w:t>
      </w:r>
      <w:r w:rsidRPr="00B53730">
        <w:rPr>
          <w:rFonts w:ascii="Palatino Linotype" w:eastAsia="Palatino Linotype" w:hAnsi="Palatino Linotype" w:cs="Palatino Linotype"/>
        </w:rPr>
        <w:t xml:space="preserve">adjuntó un archivo electrónico que contiene los documentos que se describen a continuación: </w:t>
      </w:r>
    </w:p>
    <w:p w14:paraId="44852C44" w14:textId="77777777" w:rsidR="00E138B8" w:rsidRPr="00B53730" w:rsidRDefault="00E138B8">
      <w:pPr>
        <w:spacing w:line="360" w:lineRule="auto"/>
        <w:ind w:right="49"/>
        <w:jc w:val="both"/>
        <w:rPr>
          <w:rFonts w:ascii="Palatino Linotype" w:eastAsia="Palatino Linotype" w:hAnsi="Palatino Linotype" w:cs="Palatino Linotype"/>
        </w:rPr>
      </w:pPr>
    </w:p>
    <w:p w14:paraId="43FFFF59" w14:textId="77777777" w:rsidR="00E138B8" w:rsidRPr="00B53730" w:rsidRDefault="00161B76">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Expediente Número SAE 1241/2013, en versión pública. </w:t>
      </w:r>
    </w:p>
    <w:p w14:paraId="4EF3E095" w14:textId="77777777" w:rsidR="00E138B8" w:rsidRPr="00B53730" w:rsidRDefault="00161B76">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lastRenderedPageBreak/>
        <w:t xml:space="preserve">Expediente con número no identificado, en versión pública. </w:t>
      </w:r>
    </w:p>
    <w:p w14:paraId="7CFB9981" w14:textId="77777777" w:rsidR="00E138B8" w:rsidRPr="00B53730" w:rsidRDefault="00E138B8">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5B3CE0D9"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3. Interposición del recurso de revisión. </w:t>
      </w:r>
      <w:r w:rsidRPr="00B53730">
        <w:rPr>
          <w:rFonts w:ascii="Palatino Linotype" w:eastAsia="Palatino Linotype" w:hAnsi="Palatino Linotype" w:cs="Palatino Linotype"/>
        </w:rPr>
        <w:t xml:space="preserve">Inconforme con los términos de la respuesta emitida por parte del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el </w:t>
      </w:r>
      <w:r w:rsidRPr="00B53730">
        <w:rPr>
          <w:rFonts w:ascii="Palatino Linotype" w:eastAsia="Palatino Linotype" w:hAnsi="Palatino Linotype" w:cs="Palatino Linotype"/>
          <w:b/>
        </w:rPr>
        <w:t>diecinueve de mayo de dos mil veintidós</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la parte</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interpuso el recurso de revisión a través de </w:t>
      </w:r>
      <w:r w:rsidRPr="00B53730">
        <w:rPr>
          <w:rFonts w:ascii="Palatino Linotype" w:eastAsia="Palatino Linotype" w:hAnsi="Palatino Linotype" w:cs="Palatino Linotype"/>
          <w:b/>
        </w:rPr>
        <w:t>SAIMEX</w:t>
      </w:r>
      <w:r w:rsidRPr="00B53730">
        <w:rPr>
          <w:rFonts w:ascii="Palatino Linotype" w:eastAsia="Palatino Linotype" w:hAnsi="Palatino Linotype" w:cs="Palatino Linotype"/>
        </w:rPr>
        <w:t>,</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en donde se manifestó de la siguiente manera:</w:t>
      </w:r>
    </w:p>
    <w:p w14:paraId="498ACFC1" w14:textId="77777777" w:rsidR="00E138B8" w:rsidRPr="00B53730" w:rsidRDefault="00E138B8">
      <w:pPr>
        <w:spacing w:line="360" w:lineRule="auto"/>
        <w:ind w:right="49"/>
        <w:jc w:val="both"/>
        <w:rPr>
          <w:rFonts w:ascii="Palatino Linotype" w:eastAsia="Palatino Linotype" w:hAnsi="Palatino Linotype" w:cs="Palatino Linotype"/>
        </w:rPr>
      </w:pPr>
    </w:p>
    <w:p w14:paraId="6D5100AB" w14:textId="77777777" w:rsidR="00E138B8" w:rsidRPr="00B53730" w:rsidRDefault="00161B76">
      <w:pPr>
        <w:tabs>
          <w:tab w:val="left" w:pos="2745"/>
        </w:tabs>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rPr>
        <w:t xml:space="preserve">Acto impugnado: </w:t>
      </w:r>
      <w:r w:rsidRPr="00B53730">
        <w:rPr>
          <w:rFonts w:ascii="Palatino Linotype" w:eastAsia="Palatino Linotype" w:hAnsi="Palatino Linotype" w:cs="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r w:rsidRPr="00B53730">
        <w:rPr>
          <w:rFonts w:ascii="Palatino Linotype" w:eastAsia="Palatino Linotype" w:hAnsi="Palatino Linotype" w:cs="Palatino Linotype"/>
          <w:i/>
          <w:sz w:val="22"/>
          <w:szCs w:val="22"/>
          <w:u w:val="single"/>
        </w:rPr>
        <w:t>IX. La entrega o puesta a disposición de información en un formato incomprensible y/o no accesible para el solicitante.</w:t>
      </w:r>
      <w:r w:rsidRPr="00B53730">
        <w:rPr>
          <w:rFonts w:ascii="Palatino Linotype" w:eastAsia="Palatino Linotype" w:hAnsi="Palatino Linotype" w:cs="Palatino Linotype"/>
          <w:i/>
          <w:sz w:val="22"/>
          <w:szCs w:val="22"/>
        </w:rPr>
        <w:t>” (</w:t>
      </w:r>
      <w:proofErr w:type="gramStart"/>
      <w:r w:rsidRPr="00B53730">
        <w:rPr>
          <w:rFonts w:ascii="Palatino Linotype" w:eastAsia="Palatino Linotype" w:hAnsi="Palatino Linotype" w:cs="Palatino Linotype"/>
          <w:i/>
          <w:sz w:val="22"/>
          <w:szCs w:val="22"/>
        </w:rPr>
        <w:t>sic</w:t>
      </w:r>
      <w:proofErr w:type="gramEnd"/>
      <w:r w:rsidRPr="00B53730">
        <w:rPr>
          <w:rFonts w:ascii="Palatino Linotype" w:eastAsia="Palatino Linotype" w:hAnsi="Palatino Linotype" w:cs="Palatino Linotype"/>
          <w:i/>
          <w:sz w:val="22"/>
          <w:szCs w:val="22"/>
        </w:rPr>
        <w:t>)</w:t>
      </w:r>
    </w:p>
    <w:p w14:paraId="57938CFE" w14:textId="77777777" w:rsidR="00E138B8" w:rsidRPr="00B53730" w:rsidRDefault="00E138B8">
      <w:pPr>
        <w:tabs>
          <w:tab w:val="left" w:pos="2745"/>
        </w:tabs>
        <w:spacing w:line="276" w:lineRule="auto"/>
        <w:ind w:left="567" w:right="616"/>
        <w:jc w:val="both"/>
        <w:rPr>
          <w:rFonts w:ascii="Palatino Linotype" w:eastAsia="Palatino Linotype" w:hAnsi="Palatino Linotype" w:cs="Palatino Linotype"/>
          <w:b/>
        </w:rPr>
      </w:pPr>
    </w:p>
    <w:p w14:paraId="5294C344" w14:textId="77777777" w:rsidR="00E138B8" w:rsidRPr="00B53730" w:rsidRDefault="00161B76">
      <w:pPr>
        <w:tabs>
          <w:tab w:val="left" w:pos="2745"/>
        </w:tabs>
        <w:spacing w:line="276" w:lineRule="auto"/>
        <w:ind w:left="567" w:right="616"/>
        <w:jc w:val="both"/>
        <w:rPr>
          <w:rFonts w:ascii="Palatino Linotype" w:eastAsia="Palatino Linotype" w:hAnsi="Palatino Linotype" w:cs="Palatino Linotype"/>
          <w:i/>
          <w:sz w:val="22"/>
          <w:szCs w:val="22"/>
        </w:rPr>
      </w:pPr>
      <w:bookmarkStart w:id="2" w:name="_heading=h.30j0zll" w:colFirst="0" w:colLast="0"/>
      <w:bookmarkEnd w:id="2"/>
      <w:r w:rsidRPr="00B53730">
        <w:rPr>
          <w:rFonts w:ascii="Palatino Linotype" w:eastAsia="Palatino Linotype" w:hAnsi="Palatino Linotype" w:cs="Palatino Linotype"/>
          <w:b/>
        </w:rPr>
        <w:t xml:space="preserve"> Razones o motivos de inconformidad</w:t>
      </w:r>
      <w:proofErr w:type="gramStart"/>
      <w:r w:rsidRPr="00B53730">
        <w:rPr>
          <w:rFonts w:ascii="Palatino Linotype" w:eastAsia="Palatino Linotype" w:hAnsi="Palatino Linotype" w:cs="Palatino Linotype"/>
        </w:rPr>
        <w:t>:</w:t>
      </w:r>
      <w:r w:rsidRPr="00B53730">
        <w:rPr>
          <w:rFonts w:ascii="Palatino Linotype" w:eastAsia="Palatino Linotype" w:hAnsi="Palatino Linotype" w:cs="Palatino Linotype"/>
          <w:i/>
          <w:sz w:val="22"/>
          <w:szCs w:val="22"/>
        </w:rPr>
        <w:t xml:space="preserve">  “</w:t>
      </w:r>
      <w:proofErr w:type="gramEnd"/>
      <w:r w:rsidRPr="00B53730">
        <w:rPr>
          <w:rFonts w:ascii="Palatino Linotype" w:eastAsia="Palatino Linotype" w:hAnsi="Palatino Linotype" w:cs="Palatino Linotype"/>
          <w:i/>
          <w:sz w:val="22"/>
          <w:szCs w:val="22"/>
          <w:u w:val="single"/>
        </w:rPr>
        <w:t xml:space="preserve">La información fue testada sin haber una explicación para lo cual era necesario anexar el acuerdo por parte del Comité de Transparencia. </w:t>
      </w:r>
      <w:r w:rsidRPr="00B53730">
        <w:rPr>
          <w:rFonts w:ascii="Palatino Linotype" w:eastAsia="Palatino Linotype" w:hAnsi="Palatino Linotype" w:cs="Palatino Linotype"/>
          <w:i/>
          <w:sz w:val="22"/>
          <w:szCs w:val="22"/>
        </w:rPr>
        <w:t xml:space="preserve">Bajo esta óptica es información incomprensible. Lo cual no ha lugar pues es dinero público que percibieron particulares que por ese simple hecho, </w:t>
      </w:r>
      <w:r w:rsidRPr="00B53730">
        <w:rPr>
          <w:rFonts w:ascii="Palatino Linotype" w:eastAsia="Palatino Linotype" w:hAnsi="Palatino Linotype" w:cs="Palatino Linotype"/>
          <w:b/>
          <w:i/>
          <w:sz w:val="22"/>
          <w:szCs w:val="22"/>
        </w:rPr>
        <w:t>sus nombres no pueden ser testados</w:t>
      </w:r>
      <w:r w:rsidRPr="00B53730">
        <w:rPr>
          <w:rFonts w:ascii="Palatino Linotype" w:eastAsia="Palatino Linotype" w:hAnsi="Palatino Linotype" w:cs="Palatino Linotype"/>
          <w:i/>
          <w:sz w:val="22"/>
          <w:szCs w:val="22"/>
        </w:rPr>
        <w:t>.” (</w:t>
      </w:r>
      <w:proofErr w:type="gramStart"/>
      <w:r w:rsidRPr="00B53730">
        <w:rPr>
          <w:rFonts w:ascii="Palatino Linotype" w:eastAsia="Palatino Linotype" w:hAnsi="Palatino Linotype" w:cs="Palatino Linotype"/>
          <w:i/>
          <w:sz w:val="22"/>
          <w:szCs w:val="22"/>
        </w:rPr>
        <w:t>sic</w:t>
      </w:r>
      <w:proofErr w:type="gramEnd"/>
      <w:r w:rsidRPr="00B53730">
        <w:rPr>
          <w:rFonts w:ascii="Palatino Linotype" w:eastAsia="Palatino Linotype" w:hAnsi="Palatino Linotype" w:cs="Palatino Linotype"/>
          <w:i/>
          <w:sz w:val="22"/>
          <w:szCs w:val="22"/>
        </w:rPr>
        <w:t>)</w:t>
      </w:r>
    </w:p>
    <w:p w14:paraId="3013DD1F" w14:textId="77777777" w:rsidR="00E138B8" w:rsidRPr="00B53730" w:rsidRDefault="00E138B8">
      <w:pPr>
        <w:tabs>
          <w:tab w:val="left" w:pos="2745"/>
        </w:tabs>
        <w:spacing w:line="360" w:lineRule="auto"/>
        <w:ind w:left="567" w:right="616"/>
        <w:jc w:val="both"/>
        <w:rPr>
          <w:rFonts w:ascii="Palatino Linotype" w:eastAsia="Palatino Linotype" w:hAnsi="Palatino Linotype" w:cs="Palatino Linotype"/>
          <w:i/>
          <w:sz w:val="22"/>
          <w:szCs w:val="22"/>
        </w:rPr>
      </w:pPr>
    </w:p>
    <w:p w14:paraId="0516CACD"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no adjuntó archivos.</w:t>
      </w:r>
    </w:p>
    <w:p w14:paraId="566EDA76" w14:textId="77777777" w:rsidR="00E138B8" w:rsidRPr="00B53730" w:rsidRDefault="00E138B8">
      <w:pPr>
        <w:spacing w:line="360" w:lineRule="auto"/>
        <w:jc w:val="both"/>
        <w:rPr>
          <w:rFonts w:ascii="Palatino Linotype" w:eastAsia="Palatino Linotype" w:hAnsi="Palatino Linotype" w:cs="Palatino Linotype"/>
        </w:rPr>
      </w:pPr>
    </w:p>
    <w:p w14:paraId="75BFBF59" w14:textId="77777777" w:rsidR="00E138B8" w:rsidRPr="00B53730" w:rsidRDefault="00161B76">
      <w:pPr>
        <w:spacing w:line="360" w:lineRule="auto"/>
        <w:ind w:right="51"/>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4. Turno. </w:t>
      </w:r>
      <w:r w:rsidRPr="00B5373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B53730">
        <w:rPr>
          <w:rFonts w:ascii="Palatino Linotype" w:eastAsia="Palatino Linotype" w:hAnsi="Palatino Linotype" w:cs="Palatino Linotype"/>
        </w:rPr>
        <w:lastRenderedPageBreak/>
        <w:t xml:space="preserve">del Estado de México y Municipios, a la Comisionada </w:t>
      </w:r>
      <w:r w:rsidRPr="00B53730">
        <w:rPr>
          <w:rFonts w:ascii="Palatino Linotype" w:eastAsia="Palatino Linotype" w:hAnsi="Palatino Linotype" w:cs="Palatino Linotype"/>
          <w:b/>
        </w:rPr>
        <w:t xml:space="preserve">Guadalupe Ramírez Peña, </w:t>
      </w:r>
      <w:r w:rsidRPr="00B53730">
        <w:rPr>
          <w:rFonts w:ascii="Palatino Linotype" w:eastAsia="Palatino Linotype" w:hAnsi="Palatino Linotype" w:cs="Palatino Linotype"/>
        </w:rPr>
        <w:t xml:space="preserve">a efecto de que analizara sobre su admisión o su </w:t>
      </w:r>
      <w:proofErr w:type="spellStart"/>
      <w:r w:rsidRPr="00B53730">
        <w:rPr>
          <w:rFonts w:ascii="Palatino Linotype" w:eastAsia="Palatino Linotype" w:hAnsi="Palatino Linotype" w:cs="Palatino Linotype"/>
        </w:rPr>
        <w:t>desechamiento</w:t>
      </w:r>
      <w:proofErr w:type="spellEnd"/>
      <w:r w:rsidRPr="00B53730">
        <w:rPr>
          <w:rFonts w:ascii="Palatino Linotype" w:eastAsia="Palatino Linotype" w:hAnsi="Palatino Linotype" w:cs="Palatino Linotype"/>
        </w:rPr>
        <w:t>.</w:t>
      </w:r>
    </w:p>
    <w:p w14:paraId="581CBB68" w14:textId="77777777" w:rsidR="00E138B8" w:rsidRPr="00B53730" w:rsidRDefault="00E138B8">
      <w:pPr>
        <w:spacing w:line="360" w:lineRule="auto"/>
        <w:ind w:right="51"/>
        <w:jc w:val="both"/>
        <w:rPr>
          <w:rFonts w:ascii="Palatino Linotype" w:eastAsia="Palatino Linotype" w:hAnsi="Palatino Linotype" w:cs="Palatino Linotype"/>
        </w:rPr>
      </w:pPr>
    </w:p>
    <w:p w14:paraId="614E6B35"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5. Admisión del Recurso de revisión.</w:t>
      </w:r>
      <w:r w:rsidRPr="00B53730">
        <w:rPr>
          <w:rFonts w:ascii="Palatino Linotype" w:eastAsia="Palatino Linotype" w:hAnsi="Palatino Linotype" w:cs="Palatino Linotype"/>
        </w:rPr>
        <w:t xml:space="preserve"> Con fecha</w:t>
      </w:r>
      <w:r w:rsidRPr="00B53730">
        <w:rPr>
          <w:rFonts w:ascii="Palatino Linotype" w:eastAsia="Palatino Linotype" w:hAnsi="Palatino Linotype" w:cs="Palatino Linotype"/>
          <w:b/>
        </w:rPr>
        <w:t xml:space="preserve"> veinticuatro de mayo de dos mil veintidós</w:t>
      </w:r>
      <w:r w:rsidRPr="00B53730">
        <w:rPr>
          <w:rFonts w:ascii="Palatino Linotype" w:eastAsia="Palatino Linotype" w:hAnsi="Palatino Linotype" w:cs="Palatino Linotype"/>
        </w:rPr>
        <w:t>,</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presentara su informe justificado.</w:t>
      </w:r>
    </w:p>
    <w:p w14:paraId="1873B5B6" w14:textId="77777777" w:rsidR="00E138B8" w:rsidRPr="00B53730" w:rsidRDefault="00E138B8">
      <w:pPr>
        <w:spacing w:line="360" w:lineRule="auto"/>
        <w:jc w:val="both"/>
        <w:rPr>
          <w:rFonts w:ascii="Palatino Linotype" w:eastAsia="Palatino Linotype" w:hAnsi="Palatino Linotype" w:cs="Palatino Linotype"/>
        </w:rPr>
      </w:pPr>
    </w:p>
    <w:p w14:paraId="2A0EB859"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6. Manifestaciones</w:t>
      </w:r>
      <w:r w:rsidRPr="00B53730">
        <w:rPr>
          <w:rFonts w:ascii="Palatino Linotype" w:eastAsia="Palatino Linotype" w:hAnsi="Palatino Linotype" w:cs="Palatino Linotype"/>
        </w:rPr>
        <w:t xml:space="preserve">. De las constancias que obran en el expediente electrónico del SAIMEX se desprende que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en fecha </w:t>
      </w:r>
      <w:r w:rsidRPr="00B53730">
        <w:rPr>
          <w:rFonts w:ascii="Palatino Linotype" w:eastAsia="Palatino Linotype" w:hAnsi="Palatino Linotype" w:cs="Palatino Linotype"/>
          <w:b/>
        </w:rPr>
        <w:t>siete de junio de dos mil veintidós</w:t>
      </w:r>
      <w:r w:rsidRPr="00B53730">
        <w:rPr>
          <w:rFonts w:ascii="Palatino Linotype" w:eastAsia="Palatino Linotype" w:hAnsi="Palatino Linotype" w:cs="Palatino Linotype"/>
        </w:rPr>
        <w:t xml:space="preserve">, rindió su informe justificado, en el que adjuntó lo siguiente:  </w:t>
      </w:r>
    </w:p>
    <w:p w14:paraId="11C2EEC6" w14:textId="77777777" w:rsidR="00E138B8" w:rsidRPr="00B53730" w:rsidRDefault="00E138B8">
      <w:pPr>
        <w:spacing w:line="360" w:lineRule="auto"/>
        <w:jc w:val="both"/>
        <w:rPr>
          <w:rFonts w:ascii="Palatino Linotype" w:eastAsia="Palatino Linotype" w:hAnsi="Palatino Linotype" w:cs="Palatino Linotype"/>
        </w:rPr>
      </w:pPr>
    </w:p>
    <w:p w14:paraId="7E4EDD7F" w14:textId="77777777" w:rsidR="00E138B8" w:rsidRPr="00B53730" w:rsidRDefault="00161B76">
      <w:pPr>
        <w:numPr>
          <w:ilvl w:val="0"/>
          <w:numId w:val="2"/>
        </w:numPr>
        <w:pBdr>
          <w:top w:val="nil"/>
          <w:left w:val="nil"/>
          <w:bottom w:val="nil"/>
          <w:right w:val="nil"/>
          <w:between w:val="nil"/>
        </w:pBdr>
        <w:tabs>
          <w:tab w:val="left" w:pos="993"/>
        </w:tabs>
        <w:spacing w:line="360" w:lineRule="auto"/>
        <w:ind w:left="567" w:firstLine="0"/>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Acta de Sesión del Comité de Transparencia de fecha diecisiete de mayo de dos mil veintidós, mediante la cual se aprueba la clasificación de información contenida en la demanda laboral que aún se encuentra en trámite, como reservada, de conformidad con las fracciones VI, VIII y X del artículo 140 de la Ley de Transparencia y Acceso a la Información Pública del Estado de México y Municipios. </w:t>
      </w:r>
    </w:p>
    <w:p w14:paraId="32943A7D" w14:textId="77777777" w:rsidR="00E138B8" w:rsidRPr="00B53730" w:rsidRDefault="00E138B8">
      <w:pPr>
        <w:pBdr>
          <w:top w:val="nil"/>
          <w:left w:val="nil"/>
          <w:bottom w:val="nil"/>
          <w:right w:val="nil"/>
          <w:between w:val="nil"/>
        </w:pBdr>
        <w:tabs>
          <w:tab w:val="left" w:pos="993"/>
        </w:tabs>
        <w:spacing w:line="360" w:lineRule="auto"/>
        <w:ind w:left="567"/>
        <w:jc w:val="both"/>
        <w:rPr>
          <w:rFonts w:ascii="Palatino Linotype" w:eastAsia="Palatino Linotype" w:hAnsi="Palatino Linotype" w:cs="Palatino Linotype"/>
          <w:sz w:val="22"/>
          <w:szCs w:val="22"/>
        </w:rPr>
      </w:pPr>
    </w:p>
    <w:p w14:paraId="7B948FDE" w14:textId="77777777" w:rsidR="00E138B8" w:rsidRPr="00B53730" w:rsidRDefault="00161B76">
      <w:pPr>
        <w:pBdr>
          <w:top w:val="nil"/>
          <w:left w:val="nil"/>
          <w:bottom w:val="nil"/>
          <w:right w:val="nil"/>
          <w:between w:val="nil"/>
        </w:pBd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Documento que fue puesto a la vista de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en fecha veinticuatro de agosto de dos mil veintidós, por su parte el ahora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omitió realizar manifestaciones.</w:t>
      </w:r>
    </w:p>
    <w:p w14:paraId="0D603C46" w14:textId="77777777" w:rsidR="00E138B8" w:rsidRPr="00B53730" w:rsidRDefault="00161B76">
      <w:pPr>
        <w:widowControl w:val="0"/>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7. Ampliación del término para resolver</w:t>
      </w:r>
      <w:r w:rsidRPr="00B53730">
        <w:rPr>
          <w:rFonts w:ascii="Palatino Linotype" w:eastAsia="Palatino Linotype" w:hAnsi="Palatino Linotype" w:cs="Palatino Linotype"/>
        </w:rPr>
        <w:t xml:space="preserve">. En fecha </w:t>
      </w:r>
      <w:r w:rsidRPr="00B53730">
        <w:rPr>
          <w:rFonts w:ascii="Palatino Linotype" w:eastAsia="Palatino Linotype" w:hAnsi="Palatino Linotype" w:cs="Palatino Linotype"/>
          <w:b/>
        </w:rPr>
        <w:t>once de agosto del año dos mil veintidós</w:t>
      </w:r>
      <w:r w:rsidRPr="00B53730">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FF51063" w14:textId="77777777" w:rsidR="00E138B8" w:rsidRPr="00B53730" w:rsidRDefault="00E138B8">
      <w:pPr>
        <w:widowControl w:val="0"/>
        <w:spacing w:line="360" w:lineRule="auto"/>
        <w:jc w:val="both"/>
        <w:rPr>
          <w:rFonts w:ascii="Palatino Linotype" w:eastAsia="Palatino Linotype" w:hAnsi="Palatino Linotype" w:cs="Palatino Linotype"/>
        </w:rPr>
      </w:pPr>
    </w:p>
    <w:p w14:paraId="37828054"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481F29B" w14:textId="77777777" w:rsidR="00E138B8" w:rsidRPr="00B53730" w:rsidRDefault="00E138B8">
      <w:pPr>
        <w:spacing w:line="360" w:lineRule="auto"/>
        <w:jc w:val="both"/>
        <w:rPr>
          <w:rFonts w:ascii="Palatino Linotype" w:eastAsia="Palatino Linotype" w:hAnsi="Palatino Linotype" w:cs="Palatino Linotype"/>
        </w:rPr>
      </w:pPr>
    </w:p>
    <w:p w14:paraId="2844E0DA"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572DC0A" w14:textId="77777777" w:rsidR="00E138B8" w:rsidRPr="00B53730" w:rsidRDefault="00E138B8">
      <w:pPr>
        <w:spacing w:line="360" w:lineRule="auto"/>
        <w:jc w:val="both"/>
        <w:rPr>
          <w:rFonts w:ascii="Palatino Linotype" w:eastAsia="Palatino Linotype" w:hAnsi="Palatino Linotype" w:cs="Palatino Linotype"/>
        </w:rPr>
      </w:pPr>
    </w:p>
    <w:p w14:paraId="52706B76"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D76336" w14:textId="77777777" w:rsidR="00E138B8" w:rsidRPr="00B53730" w:rsidRDefault="00E138B8">
      <w:pPr>
        <w:spacing w:line="360" w:lineRule="auto"/>
        <w:jc w:val="both"/>
        <w:rPr>
          <w:rFonts w:ascii="Palatino Linotype" w:eastAsia="Palatino Linotype" w:hAnsi="Palatino Linotype" w:cs="Palatino Linotype"/>
        </w:rPr>
      </w:pPr>
    </w:p>
    <w:p w14:paraId="0B05E430"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0FC98B" w14:textId="77777777" w:rsidR="00E138B8" w:rsidRPr="00B53730" w:rsidRDefault="00E138B8">
      <w:pPr>
        <w:spacing w:line="360" w:lineRule="auto"/>
        <w:jc w:val="both"/>
        <w:rPr>
          <w:rFonts w:ascii="Palatino Linotype" w:eastAsia="Palatino Linotype" w:hAnsi="Palatino Linotype" w:cs="Palatino Linotype"/>
        </w:rPr>
      </w:pPr>
    </w:p>
    <w:p w14:paraId="04B3DDF9" w14:textId="77777777" w:rsidR="00E138B8" w:rsidRPr="00B53730" w:rsidRDefault="00161B76">
      <w:pPr>
        <w:spacing w:line="360" w:lineRule="auto"/>
        <w:jc w:val="both"/>
        <w:rPr>
          <w:rFonts w:ascii="Palatino Linotype" w:eastAsia="Palatino Linotype" w:hAnsi="Palatino Linotype" w:cs="Palatino Linotype"/>
          <w:strike/>
        </w:rPr>
      </w:pPr>
      <w:r w:rsidRPr="00B5373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575255" w14:textId="77777777" w:rsidR="00E138B8" w:rsidRPr="00B53730" w:rsidRDefault="00E138B8">
      <w:pPr>
        <w:spacing w:line="360" w:lineRule="auto"/>
        <w:jc w:val="both"/>
        <w:rPr>
          <w:rFonts w:ascii="Palatino Linotype" w:eastAsia="Palatino Linotype" w:hAnsi="Palatino Linotype" w:cs="Palatino Linotype"/>
        </w:rPr>
      </w:pPr>
    </w:p>
    <w:p w14:paraId="47FE352F" w14:textId="77777777" w:rsidR="00E138B8" w:rsidRPr="00B53730" w:rsidRDefault="00161B76">
      <w:pPr>
        <w:numPr>
          <w:ilvl w:val="0"/>
          <w:numId w:val="3"/>
        </w:num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E4B2FA7" w14:textId="77777777" w:rsidR="00E138B8" w:rsidRPr="00B53730" w:rsidRDefault="00161B76">
      <w:pPr>
        <w:numPr>
          <w:ilvl w:val="0"/>
          <w:numId w:val="3"/>
        </w:num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Actividad Procesal del interesado. Acciones u omisiones del interesado.</w:t>
      </w:r>
    </w:p>
    <w:p w14:paraId="257002DF" w14:textId="77777777" w:rsidR="00E138B8" w:rsidRPr="00B53730" w:rsidRDefault="00161B76">
      <w:pPr>
        <w:numPr>
          <w:ilvl w:val="0"/>
          <w:numId w:val="3"/>
        </w:num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Conducta de la Autoridad: Las Acciones u omisiones realizadas en el procedimiento. Así como si la autoridad actuó con la debida diligencia.</w:t>
      </w:r>
    </w:p>
    <w:p w14:paraId="552AD963" w14:textId="77777777" w:rsidR="00E138B8" w:rsidRPr="00B53730" w:rsidRDefault="00161B76">
      <w:pPr>
        <w:numPr>
          <w:ilvl w:val="0"/>
          <w:numId w:val="3"/>
        </w:num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La afectación generada en la situación jurídica de la persona involucrada en el proceso: Violación a sus derechos humanos.</w:t>
      </w:r>
    </w:p>
    <w:p w14:paraId="67E28387" w14:textId="77777777" w:rsidR="00E138B8" w:rsidRPr="00B53730" w:rsidRDefault="00E138B8">
      <w:pPr>
        <w:spacing w:line="360" w:lineRule="auto"/>
        <w:jc w:val="both"/>
        <w:rPr>
          <w:rFonts w:ascii="Palatino Linotype" w:eastAsia="Palatino Linotype" w:hAnsi="Palatino Linotype" w:cs="Palatino Linotype"/>
        </w:rPr>
      </w:pPr>
    </w:p>
    <w:p w14:paraId="77DCC6B4"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FE079" w14:textId="77777777" w:rsidR="00E138B8" w:rsidRPr="00B53730" w:rsidRDefault="00E138B8">
      <w:pPr>
        <w:spacing w:line="360" w:lineRule="auto"/>
        <w:jc w:val="both"/>
        <w:rPr>
          <w:rFonts w:ascii="Palatino Linotype" w:eastAsia="Palatino Linotype" w:hAnsi="Palatino Linotype" w:cs="Palatino Linotype"/>
        </w:rPr>
      </w:pPr>
    </w:p>
    <w:p w14:paraId="3B13702D" w14:textId="77777777" w:rsidR="00E138B8" w:rsidRPr="00B53730" w:rsidRDefault="00161B76">
      <w:pPr>
        <w:spacing w:line="360" w:lineRule="auto"/>
        <w:jc w:val="both"/>
        <w:rPr>
          <w:rFonts w:ascii="Palatino Linotype" w:eastAsia="Palatino Linotype" w:hAnsi="Palatino Linotype" w:cs="Palatino Linotype"/>
          <w:b/>
        </w:rPr>
      </w:pPr>
      <w:r w:rsidRPr="00B53730">
        <w:rPr>
          <w:rFonts w:ascii="Palatino Linotype" w:eastAsia="Palatino Linotype" w:hAnsi="Palatino Linotype" w:cs="Palatino Linotype"/>
        </w:rPr>
        <w:t>Argumento que encuentra sustento en la jurisprudencia P</w:t>
      </w:r>
      <w:proofErr w:type="gramStart"/>
      <w:r w:rsidRPr="00B53730">
        <w:rPr>
          <w:rFonts w:ascii="Palatino Linotype" w:eastAsia="Palatino Linotype" w:hAnsi="Palatino Linotype" w:cs="Palatino Linotype"/>
        </w:rPr>
        <w:t>./</w:t>
      </w:r>
      <w:proofErr w:type="gramEnd"/>
      <w:r w:rsidRPr="00B53730">
        <w:rPr>
          <w:rFonts w:ascii="Palatino Linotype" w:eastAsia="Palatino Linotype" w:hAnsi="Palatino Linotype" w:cs="Palatino Linotype"/>
        </w:rPr>
        <w:t xml:space="preserve">J. 32/92 emitida por el Pleno de la Suprema Corte de Justicia de la Nación de rubro </w:t>
      </w:r>
      <w:r w:rsidRPr="00B5373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53730">
        <w:rPr>
          <w:rFonts w:ascii="Palatino Linotype" w:eastAsia="Palatino Linotype" w:hAnsi="Palatino Linotype" w:cs="Palatino Linotype"/>
        </w:rPr>
        <w:t>, visible en la Gaceta del Seminario Judicial de la Federación con el registro digital 205635.</w:t>
      </w:r>
    </w:p>
    <w:p w14:paraId="73C34FAD" w14:textId="77777777" w:rsidR="00E138B8" w:rsidRPr="00B53730" w:rsidRDefault="00E138B8">
      <w:pPr>
        <w:spacing w:line="360" w:lineRule="auto"/>
        <w:jc w:val="both"/>
        <w:rPr>
          <w:rFonts w:ascii="Palatino Linotype" w:eastAsia="Palatino Linotype" w:hAnsi="Palatino Linotype" w:cs="Palatino Linotype"/>
        </w:rPr>
      </w:pPr>
    </w:p>
    <w:p w14:paraId="26D49E2E"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C507C7"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2C8388F" w14:textId="77777777" w:rsidR="00E138B8" w:rsidRPr="00B53730" w:rsidRDefault="00E138B8">
      <w:pPr>
        <w:spacing w:line="360" w:lineRule="auto"/>
        <w:ind w:left="567" w:right="616"/>
        <w:jc w:val="both"/>
        <w:rPr>
          <w:rFonts w:ascii="Palatino Linotype" w:eastAsia="Palatino Linotype" w:hAnsi="Palatino Linotype" w:cs="Palatino Linotype"/>
          <w:b/>
          <w:sz w:val="22"/>
          <w:szCs w:val="22"/>
        </w:rPr>
      </w:pPr>
    </w:p>
    <w:p w14:paraId="462E8291" w14:textId="77777777" w:rsidR="00E138B8" w:rsidRPr="00B53730" w:rsidRDefault="00161B76">
      <w:pP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b/>
          <w:sz w:val="22"/>
          <w:szCs w:val="22"/>
        </w:rPr>
        <w:t xml:space="preserve"> </w:t>
      </w:r>
      <w:r w:rsidRPr="00B53730">
        <w:rPr>
          <w:rFonts w:ascii="Palatino Linotype" w:eastAsia="Palatino Linotype" w:hAnsi="Palatino Linotype" w:cs="Palatino Linotype"/>
          <w:b/>
          <w:i/>
          <w:sz w:val="22"/>
          <w:szCs w:val="22"/>
        </w:rPr>
        <w:t>“PLAZO RAZONABLE PARA RESOLVER. DIMENSIÓN Y EFECTOS DE ESTE CONCEPTO CUANDO SE ADUCE EXCESIVA CARGA DE TRABAJO.”</w:t>
      </w:r>
      <w:r w:rsidRPr="00B53730">
        <w:rPr>
          <w:rFonts w:ascii="Palatino Linotype" w:eastAsia="Palatino Linotype" w:hAnsi="Palatino Linotype" w:cs="Palatino Linotype"/>
          <w:sz w:val="22"/>
          <w:szCs w:val="22"/>
        </w:rPr>
        <w:t xml:space="preserve"> consultable en el Seminario Judicial de la Federación y su gaceta, con el registro digital 2002351.</w:t>
      </w:r>
    </w:p>
    <w:p w14:paraId="0153CC7F" w14:textId="77777777" w:rsidR="00E138B8" w:rsidRPr="00B53730" w:rsidRDefault="00E138B8">
      <w:pPr>
        <w:spacing w:line="360" w:lineRule="auto"/>
        <w:ind w:left="567" w:right="616"/>
        <w:jc w:val="both"/>
        <w:rPr>
          <w:rFonts w:ascii="Palatino Linotype" w:eastAsia="Palatino Linotype" w:hAnsi="Palatino Linotype" w:cs="Palatino Linotype"/>
          <w:b/>
          <w:sz w:val="22"/>
          <w:szCs w:val="22"/>
        </w:rPr>
      </w:pPr>
    </w:p>
    <w:p w14:paraId="06D8D31F" w14:textId="77777777" w:rsidR="00E138B8" w:rsidRPr="00B53730" w:rsidRDefault="00161B76">
      <w:pP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53730">
        <w:rPr>
          <w:rFonts w:ascii="Palatino Linotype" w:eastAsia="Palatino Linotype" w:hAnsi="Palatino Linotype" w:cs="Palatino Linotype"/>
          <w:sz w:val="22"/>
          <w:szCs w:val="22"/>
        </w:rPr>
        <w:t>, visible en el Seminario Judicial de la Federación y su gaceta, con el registro digital 2002350.</w:t>
      </w:r>
    </w:p>
    <w:p w14:paraId="4727FB78" w14:textId="77777777" w:rsidR="00E138B8" w:rsidRPr="00B53730" w:rsidRDefault="00E138B8">
      <w:pPr>
        <w:spacing w:line="360" w:lineRule="auto"/>
        <w:ind w:left="567" w:right="616"/>
        <w:jc w:val="both"/>
        <w:rPr>
          <w:rFonts w:ascii="Palatino Linotype" w:eastAsia="Palatino Linotype" w:hAnsi="Palatino Linotype" w:cs="Palatino Linotype"/>
          <w:sz w:val="22"/>
          <w:szCs w:val="22"/>
        </w:rPr>
      </w:pPr>
    </w:p>
    <w:p w14:paraId="63E6FA34"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F1989B0" w14:textId="77777777" w:rsidR="00E138B8" w:rsidRPr="00B53730" w:rsidRDefault="00E138B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1C3F4E4"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8. Cierre de instrucción. </w:t>
      </w:r>
      <w:r w:rsidRPr="00B5373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B53730">
        <w:rPr>
          <w:rFonts w:ascii="Palatino Linotype" w:eastAsia="Palatino Linotype" w:hAnsi="Palatino Linotype" w:cs="Palatino Linotype"/>
          <w:b/>
        </w:rPr>
        <w:t>seis de octubre de dos mil veintidós</w:t>
      </w:r>
      <w:r w:rsidRPr="00B5373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5967B09" w14:textId="77777777" w:rsidR="00E138B8" w:rsidRPr="00B53730" w:rsidRDefault="00E138B8">
      <w:pPr>
        <w:spacing w:line="360" w:lineRule="auto"/>
        <w:jc w:val="both"/>
        <w:rPr>
          <w:rFonts w:ascii="Palatino Linotype" w:eastAsia="Palatino Linotype" w:hAnsi="Palatino Linotype" w:cs="Palatino Linotype"/>
        </w:rPr>
      </w:pPr>
    </w:p>
    <w:p w14:paraId="08FAE88F"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CB869BA" w14:textId="77777777" w:rsidR="00E138B8" w:rsidRPr="00B53730" w:rsidRDefault="00E138B8">
      <w:pPr>
        <w:spacing w:line="360" w:lineRule="auto"/>
        <w:jc w:val="both"/>
        <w:rPr>
          <w:rFonts w:ascii="Palatino Linotype" w:eastAsia="Palatino Linotype" w:hAnsi="Palatino Linotype" w:cs="Palatino Linotype"/>
        </w:rPr>
      </w:pPr>
    </w:p>
    <w:p w14:paraId="69BCCBC0" w14:textId="77777777" w:rsidR="00E138B8" w:rsidRPr="00B53730" w:rsidRDefault="00161B76">
      <w:pPr>
        <w:widowControl w:val="0"/>
        <w:spacing w:line="360" w:lineRule="auto"/>
        <w:jc w:val="center"/>
        <w:rPr>
          <w:rFonts w:ascii="Palatino Linotype" w:eastAsia="Palatino Linotype" w:hAnsi="Palatino Linotype" w:cs="Palatino Linotype"/>
          <w:b/>
        </w:rPr>
      </w:pPr>
      <w:r w:rsidRPr="00B53730">
        <w:rPr>
          <w:rFonts w:ascii="Palatino Linotype" w:eastAsia="Palatino Linotype" w:hAnsi="Palatino Linotype" w:cs="Palatino Linotype"/>
          <w:b/>
        </w:rPr>
        <w:t>II. C O N S I D E R A N D O S</w:t>
      </w:r>
    </w:p>
    <w:p w14:paraId="0AE17406" w14:textId="77777777" w:rsidR="00E138B8" w:rsidRPr="00B53730" w:rsidRDefault="00E138B8">
      <w:pPr>
        <w:widowControl w:val="0"/>
        <w:spacing w:line="360" w:lineRule="auto"/>
        <w:jc w:val="center"/>
        <w:rPr>
          <w:rFonts w:ascii="Palatino Linotype" w:eastAsia="Palatino Linotype" w:hAnsi="Palatino Linotype" w:cs="Palatino Linotype"/>
          <w:b/>
        </w:rPr>
      </w:pPr>
    </w:p>
    <w:p w14:paraId="062CB38B" w14:textId="77777777" w:rsidR="00E138B8" w:rsidRPr="00B53730" w:rsidRDefault="00161B76">
      <w:pPr>
        <w:spacing w:line="360" w:lineRule="auto"/>
        <w:jc w:val="both"/>
        <w:rPr>
          <w:rFonts w:ascii="Palatino Linotype" w:eastAsia="Palatino Linotype" w:hAnsi="Palatino Linotype" w:cs="Palatino Linotype"/>
        </w:rPr>
      </w:pPr>
      <w:bookmarkStart w:id="3" w:name="_heading=h.tyjcwt" w:colFirst="0" w:colLast="0"/>
      <w:bookmarkEnd w:id="3"/>
      <w:r w:rsidRPr="00B53730">
        <w:rPr>
          <w:rFonts w:ascii="Palatino Linotype" w:eastAsia="Palatino Linotype" w:hAnsi="Palatino Linotype" w:cs="Palatino Linotype"/>
          <w:b/>
        </w:rPr>
        <w:t>Primero. Competencia.</w:t>
      </w:r>
      <w:r w:rsidRPr="00B5373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B53730">
        <w:rPr>
          <w:rFonts w:ascii="Palatino Linotype" w:eastAsia="Palatino Linotype" w:hAnsi="Palatino Linotype" w:cs="Palatino Linotype"/>
          <w:b/>
        </w:rPr>
        <w:t>la parte</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BF09929" w14:textId="77777777" w:rsidR="00E138B8" w:rsidRPr="00B53730" w:rsidRDefault="00E138B8">
      <w:pPr>
        <w:spacing w:line="360" w:lineRule="auto"/>
        <w:jc w:val="both"/>
        <w:rPr>
          <w:rFonts w:ascii="Palatino Linotype" w:eastAsia="Palatino Linotype" w:hAnsi="Palatino Linotype" w:cs="Palatino Linotype"/>
        </w:rPr>
      </w:pPr>
    </w:p>
    <w:p w14:paraId="5830A68A"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Segundo. Oportunidad y </w:t>
      </w:r>
      <w:proofErr w:type="spellStart"/>
      <w:r w:rsidRPr="00B53730">
        <w:rPr>
          <w:rFonts w:ascii="Palatino Linotype" w:eastAsia="Palatino Linotype" w:hAnsi="Palatino Linotype" w:cs="Palatino Linotype"/>
          <w:b/>
        </w:rPr>
        <w:t>Procedibilidad</w:t>
      </w:r>
      <w:proofErr w:type="spellEnd"/>
      <w:r w:rsidRPr="00B53730">
        <w:rPr>
          <w:rFonts w:ascii="Palatino Linotype" w:eastAsia="Palatino Linotype" w:hAnsi="Palatino Linotype" w:cs="Palatino Linotype"/>
          <w:b/>
        </w:rPr>
        <w:t xml:space="preserve"> del Recurso de Revisión</w:t>
      </w:r>
      <w:r w:rsidRPr="00B53730">
        <w:rPr>
          <w:rFonts w:ascii="Palatino Linotype" w:eastAsia="Palatino Linotype" w:hAnsi="Palatino Linotype" w:cs="Palatino Linotype"/>
        </w:rPr>
        <w:t xml:space="preserve">. Previo al estudio del fondo del asunto, se procede a analizar los requisitos de oportunidad y </w:t>
      </w:r>
      <w:proofErr w:type="spellStart"/>
      <w:r w:rsidRPr="00B53730">
        <w:rPr>
          <w:rFonts w:ascii="Palatino Linotype" w:eastAsia="Palatino Linotype" w:hAnsi="Palatino Linotype" w:cs="Palatino Linotype"/>
        </w:rPr>
        <w:t>procedibilidad</w:t>
      </w:r>
      <w:proofErr w:type="spellEnd"/>
      <w:r w:rsidRPr="00B5373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D71E4A8"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remitió la respuesta a la solicitud de información el día </w:t>
      </w:r>
      <w:r w:rsidRPr="00B53730">
        <w:rPr>
          <w:rFonts w:ascii="Palatino Linotype" w:eastAsia="Palatino Linotype" w:hAnsi="Palatino Linotype" w:cs="Palatino Linotype"/>
          <w:b/>
        </w:rPr>
        <w:t xml:space="preserve">diecisiete de mayo de dos mil veintidós, </w:t>
      </w:r>
      <w:r w:rsidRPr="00B53730">
        <w:rPr>
          <w:rFonts w:ascii="Palatino Linotype" w:eastAsia="Palatino Linotype" w:hAnsi="Palatino Linotype" w:cs="Palatino Linotype"/>
        </w:rPr>
        <w:t xml:space="preserve">mientras que el recurso de revisión interpuesto por </w:t>
      </w:r>
      <w:r w:rsidRPr="00B53730">
        <w:rPr>
          <w:rFonts w:ascii="Palatino Linotype" w:eastAsia="Palatino Linotype" w:hAnsi="Palatino Linotype" w:cs="Palatino Linotype"/>
          <w:b/>
        </w:rPr>
        <w:t>la parte</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se tuvo por presentado el día </w:t>
      </w:r>
      <w:r w:rsidRPr="00B53730">
        <w:rPr>
          <w:rFonts w:ascii="Palatino Linotype" w:eastAsia="Palatino Linotype" w:hAnsi="Palatino Linotype" w:cs="Palatino Linotype"/>
          <w:b/>
        </w:rPr>
        <w:t>diecinueve de mayo de dos mil veintidós</w:t>
      </w:r>
      <w:r w:rsidRPr="00B53730">
        <w:rPr>
          <w:rFonts w:ascii="Palatino Linotype" w:eastAsia="Palatino Linotype" w:hAnsi="Palatino Linotype" w:cs="Palatino Linotype"/>
        </w:rPr>
        <w:t>, esto es, al segundo día hábil en que tuvo conocimiento de la respuesta impugnada.</w:t>
      </w:r>
    </w:p>
    <w:p w14:paraId="755DE9C7" w14:textId="77777777" w:rsidR="00E138B8" w:rsidRPr="00B53730" w:rsidRDefault="00E138B8">
      <w:pPr>
        <w:spacing w:line="360" w:lineRule="auto"/>
        <w:jc w:val="both"/>
        <w:rPr>
          <w:rFonts w:ascii="Palatino Linotype" w:eastAsia="Palatino Linotype" w:hAnsi="Palatino Linotype" w:cs="Palatino Linotype"/>
        </w:rPr>
      </w:pPr>
    </w:p>
    <w:p w14:paraId="2EDE74F3" w14:textId="77777777" w:rsidR="00E138B8" w:rsidRPr="00B53730" w:rsidRDefault="00161B76">
      <w:pPr>
        <w:spacing w:line="360" w:lineRule="auto"/>
        <w:jc w:val="both"/>
        <w:rPr>
          <w:rFonts w:ascii="Palatino Linotype" w:eastAsia="Palatino Linotype" w:hAnsi="Palatino Linotype" w:cs="Palatino Linotype"/>
        </w:rPr>
      </w:pPr>
      <w:bookmarkStart w:id="4" w:name="_heading=h.3znysh7" w:colFirst="0" w:colLast="0"/>
      <w:bookmarkEnd w:id="4"/>
      <w:r w:rsidRPr="00B53730">
        <w:rPr>
          <w:rFonts w:ascii="Palatino Linotype" w:eastAsia="Palatino Linotype" w:hAnsi="Palatino Linotype" w:cs="Palatino Linotype"/>
        </w:rPr>
        <w:t>Es de suma importancia mencionar que el Particular proporcionó un seudónimo, como se advierte en el detalle de seguimiento del SAIMEX, sin embargo, el proporcionar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7395948" w14:textId="77777777" w:rsidR="00E138B8" w:rsidRPr="00B53730" w:rsidRDefault="00E138B8">
      <w:pPr>
        <w:spacing w:line="360" w:lineRule="auto"/>
        <w:jc w:val="both"/>
        <w:rPr>
          <w:rFonts w:ascii="Palatino Linotype" w:eastAsia="Palatino Linotype" w:hAnsi="Palatino Linotype" w:cs="Palatino Linotype"/>
        </w:rPr>
      </w:pPr>
    </w:p>
    <w:p w14:paraId="5E22F22D" w14:textId="77777777" w:rsidR="00E138B8" w:rsidRPr="00B53730" w:rsidRDefault="00161B76">
      <w:pPr>
        <w:spacing w:line="276" w:lineRule="auto"/>
        <w:ind w:left="567" w:right="90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DB18C13" w14:textId="77777777" w:rsidR="00E138B8" w:rsidRPr="00B53730" w:rsidRDefault="00E138B8">
      <w:pPr>
        <w:spacing w:line="360" w:lineRule="auto"/>
        <w:jc w:val="both"/>
        <w:rPr>
          <w:rFonts w:ascii="Palatino Linotype" w:eastAsia="Palatino Linotype" w:hAnsi="Palatino Linotype" w:cs="Palatino Linotype"/>
        </w:rPr>
      </w:pPr>
    </w:p>
    <w:p w14:paraId="1F57AC0A"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016FCE48" w14:textId="77777777" w:rsidR="00E138B8" w:rsidRPr="00B53730" w:rsidRDefault="00E138B8">
      <w:pPr>
        <w:spacing w:line="360" w:lineRule="auto"/>
        <w:jc w:val="both"/>
        <w:rPr>
          <w:rFonts w:ascii="Palatino Linotype" w:eastAsia="Palatino Linotype" w:hAnsi="Palatino Linotype" w:cs="Palatino Linotype"/>
        </w:rPr>
      </w:pPr>
    </w:p>
    <w:p w14:paraId="3949610B" w14:textId="77777777" w:rsidR="00E138B8" w:rsidRPr="00B53730" w:rsidRDefault="00161B76">
      <w:pPr>
        <w:spacing w:line="360" w:lineRule="auto"/>
        <w:jc w:val="both"/>
        <w:rPr>
          <w:rFonts w:ascii="Palatino Linotype" w:eastAsia="Palatino Linotype" w:hAnsi="Palatino Linotype" w:cs="Palatino Linotype"/>
          <w:b/>
        </w:rPr>
      </w:pPr>
      <w:r w:rsidRPr="00B53730">
        <w:rPr>
          <w:rFonts w:ascii="Palatino Linotype" w:eastAsia="Palatino Linotype" w:hAnsi="Palatino Linotype" w:cs="Palatino Linotype"/>
        </w:rPr>
        <w:t xml:space="preserve">Así también, por cuanto hace a la </w:t>
      </w:r>
      <w:proofErr w:type="spellStart"/>
      <w:r w:rsidRPr="00B53730">
        <w:rPr>
          <w:rFonts w:ascii="Palatino Linotype" w:eastAsia="Palatino Linotype" w:hAnsi="Palatino Linotype" w:cs="Palatino Linotype"/>
        </w:rPr>
        <w:t>procedibilidad</w:t>
      </w:r>
      <w:proofErr w:type="spellEnd"/>
      <w:r w:rsidRPr="00B5373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B53730">
        <w:rPr>
          <w:rFonts w:ascii="Palatino Linotype" w:eastAsia="Palatino Linotype" w:hAnsi="Palatino Linotype" w:cs="Palatino Linotype"/>
          <w:b/>
        </w:rPr>
        <w:t>SAIMEX.</w:t>
      </w:r>
    </w:p>
    <w:p w14:paraId="4F1CC860" w14:textId="77777777" w:rsidR="00E138B8" w:rsidRPr="00B53730" w:rsidRDefault="00E138B8">
      <w:pPr>
        <w:spacing w:line="360" w:lineRule="auto"/>
        <w:jc w:val="both"/>
        <w:rPr>
          <w:rFonts w:ascii="Palatino Linotype" w:eastAsia="Palatino Linotype" w:hAnsi="Palatino Linotype" w:cs="Palatino Linotype"/>
        </w:rPr>
      </w:pPr>
    </w:p>
    <w:p w14:paraId="1E3FE6F7"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fracciones I, II y IX del ordenamiento legal citado, que a la letra dice: </w:t>
      </w:r>
    </w:p>
    <w:p w14:paraId="148C4E47" w14:textId="77777777" w:rsidR="00E138B8" w:rsidRPr="00B53730" w:rsidRDefault="00E138B8">
      <w:pPr>
        <w:spacing w:line="360" w:lineRule="auto"/>
        <w:jc w:val="both"/>
        <w:rPr>
          <w:rFonts w:ascii="Palatino Linotype" w:eastAsia="Palatino Linotype" w:hAnsi="Palatino Linotype" w:cs="Palatino Linotype"/>
        </w:rPr>
      </w:pPr>
    </w:p>
    <w:p w14:paraId="65A3A446"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Artículo 179.</w:t>
      </w:r>
      <w:r w:rsidRPr="00B5373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E21142" w14:textId="77777777" w:rsidR="00E138B8" w:rsidRPr="00B53730" w:rsidRDefault="00161B76">
      <w:pPr>
        <w:numPr>
          <w:ilvl w:val="0"/>
          <w:numId w:val="6"/>
        </w:numPr>
        <w:pBdr>
          <w:top w:val="nil"/>
          <w:left w:val="nil"/>
          <w:bottom w:val="nil"/>
          <w:right w:val="nil"/>
          <w:between w:val="nil"/>
        </w:pBdr>
        <w:spacing w:line="276" w:lineRule="auto"/>
        <w:ind w:left="567" w:right="616" w:firstLine="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 xml:space="preserve">La negativa a la información solicitada; </w:t>
      </w:r>
    </w:p>
    <w:p w14:paraId="68BCE62B" w14:textId="77777777" w:rsidR="00E138B8" w:rsidRPr="00B53730" w:rsidRDefault="00161B76">
      <w:pPr>
        <w:numPr>
          <w:ilvl w:val="0"/>
          <w:numId w:val="6"/>
        </w:numPr>
        <w:pBdr>
          <w:top w:val="nil"/>
          <w:left w:val="nil"/>
          <w:bottom w:val="nil"/>
          <w:right w:val="nil"/>
          <w:between w:val="nil"/>
        </w:pBdr>
        <w:tabs>
          <w:tab w:val="left" w:pos="851"/>
        </w:tabs>
        <w:spacing w:line="276" w:lineRule="auto"/>
        <w:ind w:left="567" w:right="616" w:firstLine="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La clasificación de la información;</w:t>
      </w:r>
    </w:p>
    <w:p w14:paraId="31D6ED9E" w14:textId="77777777" w:rsidR="00E138B8" w:rsidRPr="00B53730" w:rsidRDefault="00161B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p>
    <w:p w14:paraId="1D6692C1" w14:textId="77777777" w:rsidR="00E138B8" w:rsidRPr="00B53730" w:rsidRDefault="00161B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0318AD1D" w14:textId="77777777" w:rsidR="00E138B8" w:rsidRPr="00B53730" w:rsidRDefault="00E138B8">
      <w:pPr>
        <w:spacing w:line="360" w:lineRule="auto"/>
        <w:jc w:val="both"/>
        <w:rPr>
          <w:rFonts w:ascii="Palatino Linotype" w:eastAsia="Palatino Linotype" w:hAnsi="Palatino Linotype" w:cs="Palatino Linotype"/>
          <w:b/>
        </w:rPr>
      </w:pPr>
    </w:p>
    <w:p w14:paraId="64B5F172"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Tercero. Materia de la revisión. </w:t>
      </w:r>
      <w:r w:rsidRPr="00B53730">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será en determinar si se actualiza las hipótesis contenidas en las fracciones I, II y IX de la Ley de Transparencia y Acceso a la Información Pública del Estado de México y Municipios. </w:t>
      </w:r>
    </w:p>
    <w:p w14:paraId="32FCA04C" w14:textId="77777777" w:rsidR="00E138B8" w:rsidRPr="00B53730" w:rsidRDefault="00E138B8">
      <w:pPr>
        <w:spacing w:line="360" w:lineRule="auto"/>
        <w:jc w:val="both"/>
        <w:rPr>
          <w:rFonts w:ascii="Palatino Linotype" w:eastAsia="Palatino Linotype" w:hAnsi="Palatino Linotype" w:cs="Palatino Linotype"/>
        </w:rPr>
      </w:pPr>
    </w:p>
    <w:p w14:paraId="209E5416"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Cuarto. Estudio del asunto. </w:t>
      </w:r>
      <w:r w:rsidRPr="00B53730">
        <w:rPr>
          <w:rFonts w:ascii="Palatino Linotype" w:eastAsia="Palatino Linotype" w:hAnsi="Palatino Linotype" w:cs="Palatino Linotype"/>
        </w:rPr>
        <w:t xml:space="preserve">Es conveniente analizar si la respuesta del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50C869D" w14:textId="77777777" w:rsidR="00E138B8" w:rsidRPr="00B53730" w:rsidRDefault="00E138B8">
      <w:pPr>
        <w:spacing w:line="360" w:lineRule="auto"/>
        <w:jc w:val="both"/>
        <w:rPr>
          <w:rFonts w:ascii="Palatino Linotype" w:eastAsia="Palatino Linotype" w:hAnsi="Palatino Linotype" w:cs="Palatino Linotype"/>
        </w:rPr>
      </w:pPr>
    </w:p>
    <w:p w14:paraId="7C951ED5" w14:textId="77777777" w:rsidR="00E138B8" w:rsidRPr="00B53730" w:rsidRDefault="00161B76">
      <w:pPr>
        <w:spacing w:line="276" w:lineRule="auto"/>
        <w:ind w:left="1134" w:right="90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Artículo 4</w:t>
      </w:r>
      <w:r w:rsidRPr="00B5373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CCBD7F" w14:textId="77777777" w:rsidR="00E138B8" w:rsidRPr="00B53730" w:rsidRDefault="00161B76">
      <w:pPr>
        <w:spacing w:line="276" w:lineRule="auto"/>
        <w:ind w:left="1134" w:right="90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373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8EB588" w14:textId="77777777" w:rsidR="00E138B8" w:rsidRPr="00B53730" w:rsidRDefault="00161B76">
      <w:pPr>
        <w:spacing w:line="276" w:lineRule="auto"/>
        <w:ind w:left="1134" w:right="90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3730">
        <w:rPr>
          <w:rFonts w:ascii="Palatino Linotype" w:eastAsia="Palatino Linotype" w:hAnsi="Palatino Linotype" w:cs="Palatino Linotype"/>
          <w:i/>
          <w:sz w:val="22"/>
          <w:szCs w:val="22"/>
        </w:rPr>
        <w:t>.”(Sic)</w:t>
      </w:r>
    </w:p>
    <w:p w14:paraId="39D7211C" w14:textId="77777777" w:rsidR="00E138B8" w:rsidRPr="00B53730" w:rsidRDefault="00E138B8">
      <w:pPr>
        <w:spacing w:line="360" w:lineRule="auto"/>
        <w:jc w:val="both"/>
        <w:rPr>
          <w:rFonts w:ascii="Palatino Linotype" w:eastAsia="Palatino Linotype" w:hAnsi="Palatino Linotype" w:cs="Palatino Linotype"/>
        </w:rPr>
      </w:pPr>
    </w:p>
    <w:p w14:paraId="0D1E0F02"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5327F6A" w14:textId="77777777" w:rsidR="00E138B8" w:rsidRPr="00B53730" w:rsidRDefault="00E138B8">
      <w:pPr>
        <w:spacing w:line="360" w:lineRule="auto"/>
        <w:jc w:val="both"/>
        <w:rPr>
          <w:rFonts w:ascii="Palatino Linotype" w:eastAsia="Palatino Linotype" w:hAnsi="Palatino Linotype" w:cs="Palatino Linotype"/>
        </w:rPr>
      </w:pPr>
    </w:p>
    <w:p w14:paraId="0D4EEE7C" w14:textId="77777777" w:rsidR="00E138B8" w:rsidRPr="00B53730" w:rsidRDefault="00161B76">
      <w:pPr>
        <w:spacing w:line="276" w:lineRule="auto"/>
        <w:ind w:left="1134" w:right="90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“Artículo 12.-</w:t>
      </w:r>
      <w:r w:rsidRPr="00B5373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1FD0E2" w14:textId="77777777" w:rsidR="00E138B8" w:rsidRPr="00B53730" w:rsidRDefault="00E138B8">
      <w:pPr>
        <w:spacing w:line="276" w:lineRule="auto"/>
        <w:ind w:left="1134" w:right="900"/>
        <w:jc w:val="both"/>
        <w:rPr>
          <w:rFonts w:ascii="Palatino Linotype" w:eastAsia="Palatino Linotype" w:hAnsi="Palatino Linotype" w:cs="Palatino Linotype"/>
          <w:i/>
          <w:sz w:val="22"/>
          <w:szCs w:val="22"/>
        </w:rPr>
      </w:pPr>
    </w:p>
    <w:p w14:paraId="679D2CAA" w14:textId="77777777" w:rsidR="00E138B8" w:rsidRPr="00B53730" w:rsidRDefault="00161B76">
      <w:pPr>
        <w:spacing w:line="276" w:lineRule="auto"/>
        <w:ind w:left="1134" w:right="900"/>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3730">
        <w:rPr>
          <w:rFonts w:ascii="Palatino Linotype" w:eastAsia="Palatino Linotype" w:hAnsi="Palatino Linotype" w:cs="Palatino Linotype"/>
          <w:i/>
          <w:sz w:val="22"/>
          <w:szCs w:val="22"/>
        </w:rPr>
        <w:t xml:space="preserve">. </w:t>
      </w:r>
      <w:r w:rsidRPr="00B5373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3C7694D" w14:textId="77777777" w:rsidR="00E138B8" w:rsidRPr="00B53730" w:rsidRDefault="00E138B8">
      <w:pPr>
        <w:spacing w:line="360" w:lineRule="auto"/>
        <w:ind w:right="-93"/>
        <w:jc w:val="both"/>
        <w:rPr>
          <w:rFonts w:ascii="Palatino Linotype" w:eastAsia="Palatino Linotype" w:hAnsi="Palatino Linotype" w:cs="Palatino Linotype"/>
        </w:rPr>
      </w:pPr>
    </w:p>
    <w:p w14:paraId="641F65E5" w14:textId="77777777" w:rsidR="00E138B8" w:rsidRPr="00B53730" w:rsidRDefault="00161B76">
      <w:pPr>
        <w:spacing w:line="360" w:lineRule="auto"/>
        <w:ind w:right="-93"/>
        <w:jc w:val="both"/>
        <w:rPr>
          <w:rFonts w:ascii="Palatino Linotype" w:eastAsia="Palatino Linotype" w:hAnsi="Palatino Linotype" w:cs="Palatino Linotype"/>
        </w:rPr>
      </w:pPr>
      <w:r w:rsidRPr="00B5373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394E181" w14:textId="77777777" w:rsidR="00E138B8" w:rsidRPr="00B53730" w:rsidRDefault="00E138B8">
      <w:pPr>
        <w:spacing w:line="360" w:lineRule="auto"/>
        <w:ind w:right="-93"/>
        <w:jc w:val="both"/>
        <w:rPr>
          <w:rFonts w:ascii="Palatino Linotype" w:eastAsia="Palatino Linotype" w:hAnsi="Palatino Linotype" w:cs="Palatino Linotype"/>
        </w:rPr>
      </w:pPr>
    </w:p>
    <w:p w14:paraId="219BC724" w14:textId="77777777" w:rsidR="00E138B8" w:rsidRPr="00B53730" w:rsidRDefault="00161B76">
      <w:pPr>
        <w:spacing w:line="360" w:lineRule="auto"/>
        <w:jc w:val="both"/>
        <w:rPr>
          <w:rFonts w:ascii="Palatino Linotype" w:eastAsia="Palatino Linotype" w:hAnsi="Palatino Linotype" w:cs="Palatino Linotype"/>
          <w:b/>
        </w:rPr>
      </w:pPr>
      <w:r w:rsidRPr="00B53730">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53730">
        <w:rPr>
          <w:rFonts w:ascii="Palatino Linotype" w:eastAsia="Palatino Linotype" w:hAnsi="Palatino Linotype" w:cs="Palatino Linotype"/>
          <w:b/>
        </w:rPr>
        <w:t xml:space="preserve"> </w:t>
      </w:r>
    </w:p>
    <w:p w14:paraId="7033692C" w14:textId="77777777" w:rsidR="00E138B8" w:rsidRPr="00B53730" w:rsidRDefault="00E138B8">
      <w:pPr>
        <w:spacing w:line="360" w:lineRule="auto"/>
        <w:ind w:left="851" w:right="850"/>
        <w:jc w:val="both"/>
        <w:rPr>
          <w:rFonts w:ascii="Palatino Linotype" w:eastAsia="Palatino Linotype" w:hAnsi="Palatino Linotype" w:cs="Palatino Linotype"/>
        </w:rPr>
      </w:pPr>
    </w:p>
    <w:p w14:paraId="7F56A68E"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No existe obligación de elaborar documentos ad hoc para atender las solicitudes de acceso a la información.</w:t>
      </w:r>
      <w:r w:rsidRPr="00B5373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40933E" w14:textId="77777777" w:rsidR="00E138B8" w:rsidRPr="00B53730" w:rsidRDefault="00E138B8">
      <w:pPr>
        <w:spacing w:line="360" w:lineRule="auto"/>
        <w:ind w:right="-93"/>
        <w:jc w:val="both"/>
        <w:rPr>
          <w:rFonts w:ascii="Palatino Linotype" w:eastAsia="Palatino Linotype" w:hAnsi="Palatino Linotype" w:cs="Palatino Linotype"/>
        </w:rPr>
      </w:pPr>
    </w:p>
    <w:p w14:paraId="5A5D7C86"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F7F1A10" w14:textId="77777777" w:rsidR="00E138B8" w:rsidRPr="00B53730" w:rsidRDefault="00E138B8">
      <w:pPr>
        <w:spacing w:line="360" w:lineRule="auto"/>
        <w:jc w:val="both"/>
        <w:rPr>
          <w:rFonts w:ascii="Palatino Linotype" w:eastAsia="Palatino Linotype" w:hAnsi="Palatino Linotype" w:cs="Palatino Linotype"/>
        </w:rPr>
      </w:pPr>
    </w:p>
    <w:p w14:paraId="5A17BB8A"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B829444" w14:textId="77777777" w:rsidR="00E138B8" w:rsidRPr="00B53730" w:rsidRDefault="00E138B8">
      <w:pPr>
        <w:spacing w:line="360" w:lineRule="auto"/>
        <w:ind w:right="49"/>
        <w:jc w:val="both"/>
        <w:rPr>
          <w:rFonts w:ascii="Palatino Linotype" w:eastAsia="Palatino Linotype" w:hAnsi="Palatino Linotype" w:cs="Palatino Linotype"/>
        </w:rPr>
      </w:pPr>
    </w:p>
    <w:p w14:paraId="3B7EED90"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6C86A1" w14:textId="77777777" w:rsidR="00E138B8" w:rsidRPr="00B53730" w:rsidRDefault="00E138B8">
      <w:pPr>
        <w:spacing w:line="360" w:lineRule="auto"/>
        <w:ind w:left="851" w:right="899"/>
        <w:jc w:val="both"/>
        <w:rPr>
          <w:rFonts w:ascii="Palatino Linotype" w:eastAsia="Palatino Linotype" w:hAnsi="Palatino Linotype" w:cs="Palatino Linotype"/>
          <w:i/>
          <w:sz w:val="22"/>
          <w:szCs w:val="22"/>
        </w:rPr>
      </w:pPr>
    </w:p>
    <w:p w14:paraId="517595BF" w14:textId="77777777" w:rsidR="00E138B8" w:rsidRPr="00B53730" w:rsidRDefault="00161B76">
      <w:pPr>
        <w:spacing w:line="276" w:lineRule="auto"/>
        <w:ind w:left="851" w:right="899"/>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 xml:space="preserve">Artículo 3. </w:t>
      </w:r>
      <w:r w:rsidRPr="00B53730">
        <w:rPr>
          <w:rFonts w:ascii="Palatino Linotype" w:eastAsia="Palatino Linotype" w:hAnsi="Palatino Linotype" w:cs="Palatino Linotype"/>
          <w:i/>
          <w:sz w:val="22"/>
          <w:szCs w:val="22"/>
        </w:rPr>
        <w:t>Para los efectos de la presente Ley se entenderá por:</w:t>
      </w:r>
    </w:p>
    <w:p w14:paraId="26FE9043" w14:textId="77777777" w:rsidR="00E138B8" w:rsidRPr="00B53730" w:rsidRDefault="00161B76">
      <w:pPr>
        <w:spacing w:line="276" w:lineRule="auto"/>
        <w:ind w:left="851" w:right="899"/>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p>
    <w:p w14:paraId="0EF125F2" w14:textId="77777777" w:rsidR="00E138B8" w:rsidRPr="00B53730" w:rsidRDefault="00161B76">
      <w:pPr>
        <w:spacing w:line="276" w:lineRule="auto"/>
        <w:ind w:left="851" w:right="899"/>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XI. Documento:</w:t>
      </w:r>
      <w:r w:rsidRPr="00B53730">
        <w:rPr>
          <w:rFonts w:ascii="Palatino Linotype" w:eastAsia="Palatino Linotype" w:hAnsi="Palatino Linotype" w:cs="Palatino Linotype"/>
          <w:i/>
          <w:sz w:val="22"/>
          <w:szCs w:val="22"/>
        </w:rPr>
        <w:t xml:space="preserve"> Los expedientes, reportes, estudios, actas</w:t>
      </w:r>
      <w:r w:rsidRPr="00B53730">
        <w:rPr>
          <w:rFonts w:ascii="Palatino Linotype" w:eastAsia="Palatino Linotype" w:hAnsi="Palatino Linotype" w:cs="Palatino Linotype"/>
          <w:b/>
          <w:i/>
          <w:sz w:val="22"/>
          <w:szCs w:val="22"/>
        </w:rPr>
        <w:t>,</w:t>
      </w:r>
      <w:r w:rsidRPr="00B5373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44972F4" w14:textId="77777777" w:rsidR="00E138B8" w:rsidRPr="00B53730" w:rsidRDefault="00E138B8">
      <w:pPr>
        <w:spacing w:line="360" w:lineRule="auto"/>
        <w:ind w:left="851" w:right="899"/>
        <w:jc w:val="both"/>
        <w:rPr>
          <w:rFonts w:ascii="Palatino Linotype" w:eastAsia="Palatino Linotype" w:hAnsi="Palatino Linotype" w:cs="Palatino Linotype"/>
          <w:sz w:val="22"/>
          <w:szCs w:val="22"/>
        </w:rPr>
      </w:pPr>
    </w:p>
    <w:p w14:paraId="20CBE3C4"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8EDA9F9" w14:textId="77777777" w:rsidR="00E138B8" w:rsidRPr="00B53730" w:rsidRDefault="00E138B8">
      <w:pPr>
        <w:spacing w:line="360" w:lineRule="auto"/>
        <w:ind w:left="851" w:right="899"/>
        <w:jc w:val="both"/>
        <w:rPr>
          <w:rFonts w:ascii="Palatino Linotype" w:eastAsia="Palatino Linotype" w:hAnsi="Palatino Linotype" w:cs="Palatino Linotype"/>
        </w:rPr>
      </w:pPr>
    </w:p>
    <w:p w14:paraId="609E9224" w14:textId="77777777" w:rsidR="00E138B8" w:rsidRPr="00B53730" w:rsidRDefault="00161B76">
      <w:pPr>
        <w:spacing w:line="276" w:lineRule="auto"/>
        <w:ind w:left="567" w:right="616"/>
        <w:jc w:val="both"/>
        <w:rPr>
          <w:rFonts w:ascii="Palatino Linotype" w:eastAsia="Palatino Linotype" w:hAnsi="Palatino Linotype" w:cs="Palatino Linotype"/>
          <w:b/>
          <w:i/>
          <w:sz w:val="22"/>
          <w:szCs w:val="22"/>
        </w:rPr>
      </w:pPr>
      <w:r w:rsidRPr="00B53730">
        <w:rPr>
          <w:rFonts w:ascii="Palatino Linotype" w:eastAsia="Palatino Linotype" w:hAnsi="Palatino Linotype" w:cs="Palatino Linotype"/>
          <w:b/>
          <w:sz w:val="22"/>
          <w:szCs w:val="22"/>
        </w:rPr>
        <w:t>“</w:t>
      </w:r>
      <w:r w:rsidRPr="00B53730">
        <w:rPr>
          <w:rFonts w:ascii="Palatino Linotype" w:eastAsia="Palatino Linotype" w:hAnsi="Palatino Linotype" w:cs="Palatino Linotype"/>
          <w:b/>
          <w:i/>
          <w:sz w:val="22"/>
          <w:szCs w:val="22"/>
        </w:rPr>
        <w:t>CRITERIO 0002-11</w:t>
      </w:r>
    </w:p>
    <w:p w14:paraId="3E59635E"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373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45E365"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2314FCA"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CED7C3" w14:textId="77777777" w:rsidR="00E138B8" w:rsidRPr="00B53730" w:rsidRDefault="00161B76">
      <w:pPr>
        <w:spacing w:line="276" w:lineRule="auto"/>
        <w:ind w:left="567" w:right="616"/>
        <w:jc w:val="both"/>
        <w:rPr>
          <w:rFonts w:ascii="Palatino Linotype" w:eastAsia="Palatino Linotype" w:hAnsi="Palatino Linotype" w:cs="Palatino Linotype"/>
          <w:b/>
          <w:i/>
          <w:sz w:val="22"/>
          <w:szCs w:val="22"/>
        </w:rPr>
      </w:pPr>
      <w:r w:rsidRPr="00B5373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2385CCF" w14:textId="77777777" w:rsidR="00E138B8" w:rsidRPr="00B53730" w:rsidRDefault="00161B76">
      <w:pPr>
        <w:spacing w:line="276" w:lineRule="auto"/>
        <w:ind w:left="567" w:right="616"/>
        <w:jc w:val="both"/>
        <w:rPr>
          <w:rFonts w:ascii="Palatino Linotype" w:eastAsia="Palatino Linotype" w:hAnsi="Palatino Linotype" w:cs="Palatino Linotype"/>
          <w:b/>
          <w:i/>
          <w:sz w:val="22"/>
          <w:szCs w:val="22"/>
        </w:rPr>
      </w:pPr>
      <w:r w:rsidRPr="00B5373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74D4C8A" w14:textId="77777777" w:rsidR="00E138B8" w:rsidRPr="00B53730" w:rsidRDefault="00E138B8">
      <w:pPr>
        <w:spacing w:line="360" w:lineRule="auto"/>
        <w:ind w:right="-93"/>
        <w:jc w:val="both"/>
        <w:rPr>
          <w:rFonts w:ascii="Palatino Linotype" w:eastAsia="Palatino Linotype" w:hAnsi="Palatino Linotype" w:cs="Palatino Linotype"/>
        </w:rPr>
      </w:pPr>
    </w:p>
    <w:p w14:paraId="2B7E0DB8" w14:textId="77777777" w:rsidR="00E138B8" w:rsidRPr="00B53730" w:rsidRDefault="00161B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sustancialmente al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los </w:t>
      </w:r>
      <w:r w:rsidRPr="00B53730">
        <w:rPr>
          <w:rFonts w:ascii="Palatino Linotype" w:eastAsia="Palatino Linotype" w:hAnsi="Palatino Linotype" w:cs="Palatino Linotype"/>
          <w:b/>
          <w:i/>
        </w:rPr>
        <w:t>Convenios celebrados en la Sala Auxiliar Ecatepec del Tribunal Estatal de Conciliación y Arbitraje entre el H. Ayuntamiento de Valle de Chalco Solidaridad y los ex servidores públicos para finiquitar la relación laboral con el H. Ayuntamiento de ENERO a MAYO DEL AÑO 2022</w:t>
      </w:r>
      <w:r w:rsidRPr="00B53730">
        <w:rPr>
          <w:rFonts w:ascii="Palatino Linotype" w:eastAsia="Palatino Linotype" w:hAnsi="Palatino Linotype" w:cs="Palatino Linotype"/>
        </w:rPr>
        <w:t xml:space="preserve">. </w:t>
      </w:r>
    </w:p>
    <w:p w14:paraId="1DE11F8B" w14:textId="77777777" w:rsidR="00E138B8" w:rsidRPr="00B53730" w:rsidRDefault="00E138B8">
      <w:pPr>
        <w:pBdr>
          <w:top w:val="nil"/>
          <w:left w:val="nil"/>
          <w:bottom w:val="nil"/>
          <w:right w:val="nil"/>
          <w:between w:val="nil"/>
        </w:pBdr>
        <w:spacing w:line="360" w:lineRule="auto"/>
        <w:ind w:right="-150"/>
        <w:jc w:val="both"/>
      </w:pPr>
    </w:p>
    <w:p w14:paraId="6083C6D9"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Por su parte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remitió en su respuesta dos convenios de fecha cuatro y veintiocho de abril de dos mil veintidós, testando información, sin presentar acuerdo de clasificación correspondiente.</w:t>
      </w:r>
    </w:p>
    <w:p w14:paraId="3A706B3E" w14:textId="77777777" w:rsidR="00E138B8" w:rsidRPr="00B53730" w:rsidRDefault="00E138B8">
      <w:pPr>
        <w:spacing w:line="360" w:lineRule="auto"/>
        <w:jc w:val="both"/>
        <w:rPr>
          <w:rFonts w:ascii="Palatino Linotype" w:eastAsia="Palatino Linotype" w:hAnsi="Palatino Linotype" w:cs="Palatino Linotype"/>
        </w:rPr>
      </w:pPr>
    </w:p>
    <w:p w14:paraId="05CEFF65" w14:textId="77777777" w:rsidR="00E138B8" w:rsidRPr="00B53730" w:rsidRDefault="00161B76">
      <w:pPr>
        <w:spacing w:line="360" w:lineRule="auto"/>
        <w:ind w:right="49"/>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rPr>
        <w:t xml:space="preserve">Conocida la respuesta por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al no estar conforme con los términos de la misma, presentó el recurso de revisión que nos ocupa, mediante el cual refirió como motivos de inconformidad que: </w:t>
      </w: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u w:val="single"/>
        </w:rPr>
        <w:t>La información fue testada sin haber una explicación para lo cual era necesario anexar el acuerdo por parte del Comité de Transparencia. Bajo esta óptica es información incomprensible.</w:t>
      </w:r>
      <w:r w:rsidRPr="00B53730">
        <w:rPr>
          <w:rFonts w:ascii="Palatino Linotype" w:eastAsia="Palatino Linotype" w:hAnsi="Palatino Linotype" w:cs="Palatino Linotype"/>
          <w:b/>
          <w:i/>
          <w:sz w:val="22"/>
          <w:szCs w:val="22"/>
        </w:rPr>
        <w:t xml:space="preserve"> </w:t>
      </w:r>
      <w:r w:rsidRPr="00B53730">
        <w:rPr>
          <w:rFonts w:ascii="Palatino Linotype" w:eastAsia="Palatino Linotype" w:hAnsi="Palatino Linotype" w:cs="Palatino Linotype"/>
          <w:i/>
          <w:sz w:val="22"/>
          <w:szCs w:val="22"/>
        </w:rPr>
        <w:t xml:space="preserve">Lo cual no ha lugar pues es dinero público que percibieron particulares que por ese simple hecho, </w:t>
      </w:r>
      <w:r w:rsidRPr="00B53730">
        <w:rPr>
          <w:rFonts w:ascii="Palatino Linotype" w:eastAsia="Palatino Linotype" w:hAnsi="Palatino Linotype" w:cs="Palatino Linotype"/>
          <w:b/>
          <w:i/>
          <w:sz w:val="22"/>
          <w:szCs w:val="22"/>
        </w:rPr>
        <w:t>sus nombres no pueden ser testado</w:t>
      </w:r>
      <w:r w:rsidRPr="00B53730">
        <w:rPr>
          <w:rFonts w:ascii="Palatino Linotype" w:eastAsia="Palatino Linotype" w:hAnsi="Palatino Linotype" w:cs="Palatino Linotype"/>
          <w:i/>
          <w:sz w:val="22"/>
          <w:szCs w:val="22"/>
        </w:rPr>
        <w:t>s.” (</w:t>
      </w:r>
      <w:proofErr w:type="gramStart"/>
      <w:r w:rsidRPr="00B53730">
        <w:rPr>
          <w:rFonts w:ascii="Palatino Linotype" w:eastAsia="Palatino Linotype" w:hAnsi="Palatino Linotype" w:cs="Palatino Linotype"/>
          <w:i/>
          <w:sz w:val="22"/>
          <w:szCs w:val="22"/>
        </w:rPr>
        <w:t>sic</w:t>
      </w:r>
      <w:proofErr w:type="gramEnd"/>
      <w:r w:rsidRPr="00B53730">
        <w:rPr>
          <w:rFonts w:ascii="Palatino Linotype" w:eastAsia="Palatino Linotype" w:hAnsi="Palatino Linotype" w:cs="Palatino Linotype"/>
          <w:i/>
          <w:sz w:val="22"/>
          <w:szCs w:val="22"/>
        </w:rPr>
        <w:t>)</w:t>
      </w:r>
    </w:p>
    <w:p w14:paraId="71287F4F" w14:textId="77777777" w:rsidR="00E138B8" w:rsidRPr="00B53730" w:rsidRDefault="00E138B8">
      <w:pPr>
        <w:spacing w:line="360" w:lineRule="auto"/>
        <w:jc w:val="both"/>
        <w:rPr>
          <w:rFonts w:ascii="Palatino Linotype" w:eastAsia="Palatino Linotype" w:hAnsi="Palatino Linotype" w:cs="Palatino Linotype"/>
        </w:rPr>
      </w:pPr>
    </w:p>
    <w:p w14:paraId="39A8EDB0"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Posteriormente, el Sujeto Obligado a través de informe justificado, remitió el Acta de Sesión del Comité de Transparencia de fecha diecisiete de mayo de dos mil veintidós, mediante la cual aprueba la clasificación de la información contenida en las demandas proporcionadas, como reservada. </w:t>
      </w:r>
    </w:p>
    <w:p w14:paraId="20B359AC" w14:textId="77777777" w:rsidR="00E138B8" w:rsidRPr="00B53730" w:rsidRDefault="00E138B8">
      <w:pPr>
        <w:spacing w:line="360" w:lineRule="auto"/>
        <w:jc w:val="both"/>
        <w:rPr>
          <w:rFonts w:ascii="Palatino Linotype" w:eastAsia="Palatino Linotype" w:hAnsi="Palatino Linotype" w:cs="Palatino Linotype"/>
        </w:rPr>
      </w:pPr>
    </w:p>
    <w:p w14:paraId="1B83E212"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Por lo anterior, se procede a analizar los agravios hechos valer por el Recurrente, al tenor de las siguientes consideraciones: </w:t>
      </w:r>
    </w:p>
    <w:p w14:paraId="2D848410" w14:textId="77777777" w:rsidR="00E138B8" w:rsidRPr="00B53730" w:rsidRDefault="00E138B8">
      <w:pPr>
        <w:spacing w:line="360" w:lineRule="auto"/>
        <w:jc w:val="both"/>
        <w:rPr>
          <w:rFonts w:ascii="Palatino Linotype" w:eastAsia="Palatino Linotype" w:hAnsi="Palatino Linotype" w:cs="Palatino Linotype"/>
        </w:rPr>
      </w:pPr>
    </w:p>
    <w:p w14:paraId="4FCB2424"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Primeramente,</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no pasa inadvertido para este Organismo Garante que los motivos de inconformidad aducidos, no versan sobre la totalidad de la información enviada en respuesta,</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 xml:space="preserve">pues el Recurrente manifestó, de manera expresa, su inconformidad respecto de la información que fue clasificada por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no así respecto de la información proporcionada para entender el requerimiento de información.</w:t>
      </w:r>
    </w:p>
    <w:p w14:paraId="3F365A1C" w14:textId="77777777" w:rsidR="00E138B8" w:rsidRPr="00B53730" w:rsidRDefault="00E138B8">
      <w:pPr>
        <w:spacing w:line="360" w:lineRule="auto"/>
        <w:ind w:right="49"/>
        <w:jc w:val="both"/>
        <w:rPr>
          <w:rFonts w:ascii="Palatino Linotype" w:eastAsia="Palatino Linotype" w:hAnsi="Palatino Linotype" w:cs="Palatino Linotype"/>
        </w:rPr>
      </w:pPr>
    </w:p>
    <w:p w14:paraId="232BC6A1" w14:textId="77777777" w:rsidR="00E138B8" w:rsidRPr="00B53730" w:rsidRDefault="00161B76">
      <w:pPr>
        <w:pBdr>
          <w:top w:val="nil"/>
          <w:left w:val="nil"/>
          <w:bottom w:val="nil"/>
          <w:right w:val="nil"/>
          <w:between w:val="nil"/>
        </w:pBd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satisface la solicitud presentada.</w:t>
      </w:r>
    </w:p>
    <w:p w14:paraId="616FDBE3" w14:textId="77777777" w:rsidR="00E138B8" w:rsidRPr="00B53730" w:rsidRDefault="00E138B8">
      <w:pPr>
        <w:pBdr>
          <w:top w:val="nil"/>
          <w:left w:val="nil"/>
          <w:bottom w:val="nil"/>
          <w:right w:val="nil"/>
          <w:between w:val="nil"/>
        </w:pBdr>
        <w:spacing w:line="360" w:lineRule="auto"/>
        <w:jc w:val="both"/>
      </w:pPr>
    </w:p>
    <w:p w14:paraId="1B5385A8" w14:textId="77777777" w:rsidR="00E138B8" w:rsidRPr="00B53730" w:rsidRDefault="00161B76">
      <w:pPr>
        <w:pBdr>
          <w:top w:val="nil"/>
          <w:left w:val="nil"/>
          <w:bottom w:val="nil"/>
          <w:right w:val="nil"/>
          <w:between w:val="nil"/>
        </w:pBd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Lo anterior es así, debido a que cuando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impugna la respuesta del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E3B50F9" w14:textId="77777777" w:rsidR="00E138B8" w:rsidRPr="00B53730" w:rsidRDefault="00E138B8">
      <w:pPr>
        <w:pBdr>
          <w:top w:val="nil"/>
          <w:left w:val="nil"/>
          <w:bottom w:val="nil"/>
          <w:right w:val="nil"/>
          <w:between w:val="nil"/>
        </w:pBdr>
        <w:spacing w:line="360" w:lineRule="auto"/>
        <w:jc w:val="both"/>
      </w:pPr>
    </w:p>
    <w:p w14:paraId="749E6394" w14:textId="77777777" w:rsidR="00E138B8" w:rsidRPr="00B53730" w:rsidRDefault="00161B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 xml:space="preserve">“REVISIÓN EN AMPARO. LOS RESOLUTIVOS NO COMBATIDOS DEBEN DECLARARSE FIRMES. </w:t>
      </w:r>
      <w:r w:rsidRPr="00B53730">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5F202B" w14:textId="77777777" w:rsidR="00E138B8" w:rsidRPr="00B53730" w:rsidRDefault="00E138B8">
      <w:pPr>
        <w:pBdr>
          <w:top w:val="nil"/>
          <w:left w:val="nil"/>
          <w:bottom w:val="nil"/>
          <w:right w:val="nil"/>
          <w:between w:val="nil"/>
        </w:pBdr>
        <w:spacing w:line="360" w:lineRule="auto"/>
        <w:ind w:left="720" w:right="900"/>
        <w:jc w:val="both"/>
      </w:pPr>
    </w:p>
    <w:p w14:paraId="0B62181F" w14:textId="77777777" w:rsidR="00E138B8" w:rsidRPr="00B53730" w:rsidRDefault="00161B76">
      <w:pPr>
        <w:pBdr>
          <w:top w:val="nil"/>
          <w:left w:val="nil"/>
          <w:bottom w:val="nil"/>
          <w:right w:val="nil"/>
          <w:between w:val="nil"/>
        </w:pBd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Consecuentemente, se insiste, ante la falta de impugnación eficaz, la respuesta entregada debe declararse consentida por el particular.</w:t>
      </w:r>
    </w:p>
    <w:p w14:paraId="4D441289" w14:textId="77777777" w:rsidR="00E138B8" w:rsidRPr="00B53730" w:rsidRDefault="00E138B8">
      <w:pPr>
        <w:pBdr>
          <w:top w:val="nil"/>
          <w:left w:val="nil"/>
          <w:bottom w:val="nil"/>
          <w:right w:val="nil"/>
          <w:between w:val="nil"/>
        </w:pBdr>
        <w:spacing w:line="360" w:lineRule="auto"/>
        <w:jc w:val="both"/>
      </w:pPr>
    </w:p>
    <w:p w14:paraId="4787F13A" w14:textId="77777777" w:rsidR="00E138B8" w:rsidRPr="00B53730" w:rsidRDefault="00161B76">
      <w:pPr>
        <w:pBdr>
          <w:top w:val="nil"/>
          <w:left w:val="nil"/>
          <w:bottom w:val="nil"/>
          <w:right w:val="nil"/>
          <w:between w:val="nil"/>
        </w:pBd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Lo anterior se sustenta con lo plasmado en el criterio 01/20 emitido por el Instituto Nacional de Transparencia, Acceso a la Información, y Protección de Datos Personales (INAI), que lleva por rubro y texto los siguientes: </w:t>
      </w:r>
    </w:p>
    <w:p w14:paraId="453E27A5" w14:textId="77777777" w:rsidR="00E138B8" w:rsidRPr="00B53730" w:rsidRDefault="00E138B8">
      <w:pPr>
        <w:pBdr>
          <w:top w:val="nil"/>
          <w:left w:val="nil"/>
          <w:bottom w:val="nil"/>
          <w:right w:val="nil"/>
          <w:between w:val="nil"/>
        </w:pBdr>
        <w:spacing w:line="360" w:lineRule="auto"/>
        <w:jc w:val="both"/>
      </w:pPr>
    </w:p>
    <w:p w14:paraId="7C83BC28" w14:textId="77777777" w:rsidR="00E138B8" w:rsidRPr="00B53730" w:rsidRDefault="00161B7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 xml:space="preserve">Actos consentidos tácitamente. Improcedencia de su análisis. </w:t>
      </w:r>
      <w:r w:rsidRPr="00B5373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B53730">
        <w:rPr>
          <w:rFonts w:ascii="Palatino Linotype" w:eastAsia="Palatino Linotype" w:hAnsi="Palatino Linotype" w:cs="Palatino Linotype"/>
          <w:i/>
        </w:rPr>
        <w:t>.”</w:t>
      </w:r>
    </w:p>
    <w:p w14:paraId="64D634DA" w14:textId="77777777" w:rsidR="00E138B8" w:rsidRPr="00B53730" w:rsidRDefault="00E138B8">
      <w:pPr>
        <w:pBdr>
          <w:top w:val="nil"/>
          <w:left w:val="nil"/>
          <w:bottom w:val="nil"/>
          <w:right w:val="nil"/>
          <w:between w:val="nil"/>
        </w:pBdr>
        <w:spacing w:line="276" w:lineRule="auto"/>
        <w:ind w:left="567" w:right="616"/>
        <w:jc w:val="both"/>
      </w:pPr>
    </w:p>
    <w:p w14:paraId="08B685CF" w14:textId="77777777" w:rsidR="00E138B8" w:rsidRPr="00B53730" w:rsidRDefault="00161B76">
      <w:pPr>
        <w:numPr>
          <w:ilvl w:val="0"/>
          <w:numId w:val="5"/>
        </w:numPr>
        <w:pBdr>
          <w:top w:val="nil"/>
          <w:left w:val="nil"/>
          <w:bottom w:val="nil"/>
          <w:right w:val="nil"/>
          <w:between w:val="nil"/>
        </w:pBdr>
        <w:spacing w:line="360" w:lineRule="auto"/>
        <w:ind w:left="567"/>
        <w:jc w:val="both"/>
        <w:rPr>
          <w:rFonts w:ascii="Palatino Linotype" w:eastAsia="Palatino Linotype" w:hAnsi="Palatino Linotype" w:cs="Palatino Linotype"/>
          <w:b/>
        </w:rPr>
      </w:pPr>
      <w:r w:rsidRPr="00B53730">
        <w:rPr>
          <w:rFonts w:ascii="Palatino Linotype" w:eastAsia="Palatino Linotype" w:hAnsi="Palatino Linotype" w:cs="Palatino Linotype"/>
          <w:b/>
        </w:rPr>
        <w:t xml:space="preserve">Del análisis del informe justificado. </w:t>
      </w:r>
    </w:p>
    <w:p w14:paraId="5D381E47" w14:textId="77777777" w:rsidR="00E138B8" w:rsidRPr="00B53730" w:rsidRDefault="00E138B8">
      <w:pPr>
        <w:pBdr>
          <w:top w:val="nil"/>
          <w:left w:val="nil"/>
          <w:bottom w:val="nil"/>
          <w:right w:val="nil"/>
          <w:between w:val="nil"/>
        </w:pBdr>
        <w:spacing w:line="360" w:lineRule="auto"/>
        <w:ind w:left="567"/>
        <w:jc w:val="both"/>
        <w:rPr>
          <w:rFonts w:ascii="Palatino Linotype" w:eastAsia="Palatino Linotype" w:hAnsi="Palatino Linotype" w:cs="Palatino Linotype"/>
          <w:b/>
        </w:rPr>
      </w:pPr>
    </w:p>
    <w:p w14:paraId="4CEE7FF4"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Dicho lo anterior, el Sujeto Obligado en atención a los agravios vertidos por el Particular, remitió un acta mediante la cual se aprobó la clasificación de la información contenida en las demandas, como reservada, bajo el argumento de que los convenios de las demandas que el Solicitante requiere, son demandas que aún se encuentran en trámite y sólo se realizaron pagos parciales, procediendo en su caso a realizar los pagos siguientes correspondientes, por lo que su difusión puede afectar a las partes. </w:t>
      </w:r>
    </w:p>
    <w:p w14:paraId="74AF9EA3" w14:textId="77777777" w:rsidR="00E138B8" w:rsidRPr="00B53730" w:rsidRDefault="00E138B8">
      <w:pPr>
        <w:spacing w:line="360" w:lineRule="auto"/>
        <w:ind w:right="49"/>
        <w:jc w:val="both"/>
        <w:rPr>
          <w:rFonts w:ascii="Palatino Linotype" w:eastAsia="Palatino Linotype" w:hAnsi="Palatino Linotype" w:cs="Palatino Linotype"/>
        </w:rPr>
      </w:pPr>
    </w:p>
    <w:p w14:paraId="1065BBBE"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Por lo anterior, en principio cabe mencionar que de conformidad con el artículo 7.30 del Código Civil del Estado de México, se entiende por convenio al acuerdo de dos o más personas para crear, transferir, modificar o extinguir obligaciones. </w:t>
      </w:r>
    </w:p>
    <w:p w14:paraId="29E02A7D" w14:textId="77777777" w:rsidR="00E138B8" w:rsidRPr="00B53730" w:rsidRDefault="00E138B8">
      <w:pPr>
        <w:spacing w:line="360" w:lineRule="auto"/>
        <w:ind w:right="49"/>
        <w:jc w:val="both"/>
        <w:rPr>
          <w:rFonts w:ascii="Palatino Linotype" w:eastAsia="Palatino Linotype" w:hAnsi="Palatino Linotype" w:cs="Palatino Linotype"/>
        </w:rPr>
      </w:pPr>
    </w:p>
    <w:p w14:paraId="17CAB54F"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Por otro lado, es de precisar que de la lectura a los convenios enviados, se colige que esta información se encuentra contenida en laudos definitivos en los que recayeron los procedimientos laborales, como se advierte a continuación:</w:t>
      </w:r>
    </w:p>
    <w:p w14:paraId="569A5E81" w14:textId="77777777" w:rsidR="00E138B8" w:rsidRPr="00B53730" w:rsidRDefault="00E138B8">
      <w:pPr>
        <w:spacing w:line="360" w:lineRule="auto"/>
        <w:ind w:right="49"/>
        <w:jc w:val="both"/>
        <w:rPr>
          <w:rFonts w:ascii="Palatino Linotype" w:eastAsia="Palatino Linotype" w:hAnsi="Palatino Linotype" w:cs="Palatino Linotype"/>
        </w:rPr>
      </w:pPr>
    </w:p>
    <w:p w14:paraId="7B286DA6" w14:textId="77777777" w:rsidR="00E138B8" w:rsidRPr="00B53730" w:rsidRDefault="00161B76">
      <w:pPr>
        <w:spacing w:line="360" w:lineRule="auto"/>
        <w:ind w:right="49"/>
        <w:jc w:val="center"/>
        <w:rPr>
          <w:rFonts w:ascii="Palatino Linotype" w:eastAsia="Palatino Linotype" w:hAnsi="Palatino Linotype" w:cs="Palatino Linotype"/>
        </w:rPr>
      </w:pPr>
      <w:r w:rsidRPr="00B53730">
        <w:rPr>
          <w:rFonts w:ascii="Palatino Linotype" w:eastAsia="Palatino Linotype" w:hAnsi="Palatino Linotype" w:cs="Palatino Linotype"/>
          <w:noProof/>
          <w:lang w:val="es-MX"/>
        </w:rPr>
        <w:drawing>
          <wp:inline distT="0" distB="0" distL="0" distR="0" wp14:anchorId="2814C389" wp14:editId="3F9E262D">
            <wp:extent cx="4734586" cy="1276528"/>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34586" cy="1276528"/>
                    </a:xfrm>
                    <a:prstGeom prst="rect">
                      <a:avLst/>
                    </a:prstGeom>
                    <a:ln/>
                  </pic:spPr>
                </pic:pic>
              </a:graphicData>
            </a:graphic>
          </wp:inline>
        </w:drawing>
      </w:r>
    </w:p>
    <w:p w14:paraId="590383FF" w14:textId="77777777" w:rsidR="00E138B8" w:rsidRPr="00B53730" w:rsidRDefault="00161B76">
      <w:pPr>
        <w:spacing w:line="360" w:lineRule="auto"/>
        <w:ind w:right="49"/>
        <w:jc w:val="center"/>
        <w:rPr>
          <w:rFonts w:ascii="Palatino Linotype" w:eastAsia="Palatino Linotype" w:hAnsi="Palatino Linotype" w:cs="Palatino Linotype"/>
        </w:rPr>
      </w:pPr>
      <w:r w:rsidRPr="00B53730">
        <w:rPr>
          <w:rFonts w:ascii="Palatino Linotype" w:eastAsia="Palatino Linotype" w:hAnsi="Palatino Linotype" w:cs="Palatino Linotype"/>
          <w:noProof/>
          <w:lang w:val="es-MX"/>
        </w:rPr>
        <w:drawing>
          <wp:inline distT="0" distB="0" distL="0" distR="0" wp14:anchorId="312B6A29" wp14:editId="69946A41">
            <wp:extent cx="4915586" cy="1247949"/>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915586" cy="1247949"/>
                    </a:xfrm>
                    <a:prstGeom prst="rect">
                      <a:avLst/>
                    </a:prstGeom>
                    <a:ln/>
                  </pic:spPr>
                </pic:pic>
              </a:graphicData>
            </a:graphic>
          </wp:inline>
        </w:drawing>
      </w:r>
    </w:p>
    <w:p w14:paraId="76EBAFDD"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Por lo que, contrario a lo que manifiesta el Sujeto Obligado, se colige que la información remitida derivó de laudos definitivos, es decir, que los procedimientos concluyeron y se emitieron laudos, de los que derivaron los convenios que ahora nos ocupan. </w:t>
      </w:r>
    </w:p>
    <w:p w14:paraId="4AC6B682" w14:textId="77777777" w:rsidR="00E138B8" w:rsidRPr="00B53730" w:rsidRDefault="00E138B8">
      <w:pPr>
        <w:spacing w:line="360" w:lineRule="auto"/>
        <w:ind w:right="49"/>
        <w:jc w:val="both"/>
        <w:rPr>
          <w:rFonts w:ascii="Palatino Linotype" w:eastAsia="Palatino Linotype" w:hAnsi="Palatino Linotype" w:cs="Palatino Linotype"/>
        </w:rPr>
      </w:pPr>
    </w:p>
    <w:p w14:paraId="44547191"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Por ello, resulta prudente tomar en consideración lo plasmado en el criterio 09/2004 emitido por la Suprema Corte de Justicia de la Nación, que por analogía se aplica al caso concreto, y que a la letra establece que:</w:t>
      </w:r>
    </w:p>
    <w:p w14:paraId="7695A76E" w14:textId="77777777" w:rsidR="00E138B8" w:rsidRPr="00B53730" w:rsidRDefault="00E138B8">
      <w:pPr>
        <w:spacing w:line="360" w:lineRule="auto"/>
        <w:ind w:right="49"/>
        <w:jc w:val="both"/>
        <w:rPr>
          <w:rFonts w:ascii="Palatino Linotype" w:eastAsia="Palatino Linotype" w:hAnsi="Palatino Linotype" w:cs="Palatino Linotype"/>
        </w:rPr>
      </w:pPr>
    </w:p>
    <w:p w14:paraId="66452C68"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INFORMACIÓN SUJETA A REVISIÓN. SI YA CONSTA EN UN DOCUMENTO DEFINITIVO, DEBE PERMITIRSE EL ACCESO A ÉSTE.</w:t>
      </w:r>
      <w:r w:rsidRPr="00B53730">
        <w:rPr>
          <w:rFonts w:ascii="Palatino Linotype" w:eastAsia="Palatino Linotype" w:hAnsi="Palatino Linotype" w:cs="Palatino Linotype"/>
          <w:i/>
          <w:sz w:val="22"/>
          <w:szCs w:val="22"/>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 Unanimidad de votos"</w:t>
      </w:r>
    </w:p>
    <w:p w14:paraId="06C57EF5" w14:textId="77777777" w:rsidR="00E138B8" w:rsidRPr="00B53730" w:rsidRDefault="00E138B8">
      <w:pPr>
        <w:spacing w:line="276" w:lineRule="auto"/>
        <w:ind w:left="567" w:right="616"/>
        <w:jc w:val="both"/>
        <w:rPr>
          <w:rFonts w:ascii="Palatino Linotype" w:eastAsia="Palatino Linotype" w:hAnsi="Palatino Linotype" w:cs="Palatino Linotype"/>
          <w:i/>
          <w:sz w:val="22"/>
          <w:szCs w:val="22"/>
        </w:rPr>
      </w:pPr>
    </w:p>
    <w:p w14:paraId="61A42311"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Del anterior criterio se puede deducir que para el caso de acceso sobre documentos que se encuentren en un proceso de revisión no debe implicar la falta de estos, siempre que sean definitivos, por lo que deberá permitirse el acceso a los mismos, aun cuando no se encuentren cumplimentadas las obligaciones contraídas, incluso tratándose de Convenios firmados y en práctica no puede afirmarse que están en revisión, sino que estos están siendo ejecutados.</w:t>
      </w:r>
    </w:p>
    <w:p w14:paraId="70E22781" w14:textId="77777777" w:rsidR="00E138B8" w:rsidRPr="00B53730" w:rsidRDefault="00E138B8">
      <w:pPr>
        <w:spacing w:line="360" w:lineRule="auto"/>
        <w:ind w:right="49"/>
        <w:jc w:val="both"/>
        <w:rPr>
          <w:rFonts w:ascii="Palatino Linotype" w:eastAsia="Palatino Linotype" w:hAnsi="Palatino Linotype" w:cs="Palatino Linotype"/>
        </w:rPr>
      </w:pPr>
    </w:p>
    <w:p w14:paraId="2F126205"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En concordancia con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por lo que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6F4731DB" w14:textId="77777777" w:rsidR="00E138B8" w:rsidRPr="00B53730" w:rsidRDefault="00E138B8">
      <w:pPr>
        <w:spacing w:line="360" w:lineRule="auto"/>
        <w:ind w:right="49"/>
        <w:jc w:val="both"/>
        <w:rPr>
          <w:rFonts w:ascii="Palatino Linotype" w:eastAsia="Palatino Linotype" w:hAnsi="Palatino Linotype" w:cs="Palatino Linotype"/>
        </w:rPr>
      </w:pPr>
    </w:p>
    <w:p w14:paraId="195088CF"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Por otro lado, no hay que perder de vista que los motivos de inconformidad del Particular versaron específicamente en que la información contenida en los convenios fue testada, sin fundar ni motivar las razones de tal acto, por lo que, del análisis efectuado a los documentos enviados en respuesta, en efecto, se obtuvo que el Sujeto Obligado testó los siguientes datos: </w:t>
      </w:r>
    </w:p>
    <w:p w14:paraId="419D368E" w14:textId="77777777" w:rsidR="00E138B8" w:rsidRPr="00B53730" w:rsidRDefault="00E138B8">
      <w:pPr>
        <w:spacing w:line="360" w:lineRule="auto"/>
        <w:ind w:left="567" w:right="49"/>
        <w:jc w:val="both"/>
        <w:rPr>
          <w:rFonts w:ascii="Palatino Linotype" w:eastAsia="Palatino Linotype" w:hAnsi="Palatino Linotype" w:cs="Palatino Linotype"/>
          <w:sz w:val="22"/>
          <w:szCs w:val="22"/>
        </w:rPr>
      </w:pPr>
    </w:p>
    <w:p w14:paraId="4742B8C2" w14:textId="77777777" w:rsidR="00E138B8" w:rsidRPr="00B53730" w:rsidRDefault="00161B76">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Firmas de servidores públicos. </w:t>
      </w:r>
    </w:p>
    <w:p w14:paraId="65B6B5C7" w14:textId="77777777" w:rsidR="00E138B8" w:rsidRPr="00B53730" w:rsidRDefault="00161B76">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Clave de Elector. </w:t>
      </w:r>
    </w:p>
    <w:p w14:paraId="2D688230" w14:textId="77777777" w:rsidR="00E138B8" w:rsidRPr="00B53730" w:rsidRDefault="00161B76">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Número de Expediente. </w:t>
      </w:r>
    </w:p>
    <w:p w14:paraId="1D573EAF" w14:textId="77777777" w:rsidR="00E138B8" w:rsidRPr="00B53730" w:rsidRDefault="00161B76">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Nombre del Particular. </w:t>
      </w:r>
    </w:p>
    <w:p w14:paraId="370C91D9" w14:textId="77777777" w:rsidR="00E138B8" w:rsidRPr="00B53730" w:rsidRDefault="00161B76">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rPr>
      </w:pPr>
      <w:r w:rsidRPr="00B53730">
        <w:rPr>
          <w:rFonts w:ascii="Palatino Linotype" w:eastAsia="Palatino Linotype" w:hAnsi="Palatino Linotype" w:cs="Palatino Linotype"/>
          <w:sz w:val="22"/>
          <w:szCs w:val="22"/>
        </w:rPr>
        <w:t>Nombre de apoderado legal</w:t>
      </w:r>
      <w:r w:rsidRPr="00B53730">
        <w:rPr>
          <w:rFonts w:ascii="Palatino Linotype" w:eastAsia="Palatino Linotype" w:hAnsi="Palatino Linotype" w:cs="Palatino Linotype"/>
        </w:rPr>
        <w:t xml:space="preserve">. </w:t>
      </w:r>
    </w:p>
    <w:p w14:paraId="7843F63D" w14:textId="77777777" w:rsidR="00E138B8" w:rsidRPr="00B53730" w:rsidRDefault="00E138B8">
      <w:pPr>
        <w:spacing w:line="360" w:lineRule="auto"/>
        <w:ind w:right="49"/>
        <w:jc w:val="both"/>
        <w:rPr>
          <w:rFonts w:ascii="Palatino Linotype" w:eastAsia="Palatino Linotype" w:hAnsi="Palatino Linotype" w:cs="Palatino Linotype"/>
        </w:rPr>
      </w:pPr>
    </w:p>
    <w:p w14:paraId="624A7C24"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Conforme a lo anterior, se procede a analizar si dichos datos son clasificados como confidenciales o públicos, conforme a la Ley de Transparencia y Acceso a la Información Pública del Estado de México y Municipios.</w:t>
      </w:r>
    </w:p>
    <w:p w14:paraId="5E896631" w14:textId="77777777" w:rsidR="00E138B8" w:rsidRPr="00B53730" w:rsidRDefault="00E138B8">
      <w:pPr>
        <w:spacing w:line="360" w:lineRule="auto"/>
        <w:jc w:val="both"/>
        <w:rPr>
          <w:rFonts w:ascii="Palatino Linotype" w:eastAsia="Palatino Linotype" w:hAnsi="Palatino Linotype" w:cs="Palatino Linotype"/>
        </w:rPr>
      </w:pPr>
    </w:p>
    <w:p w14:paraId="58223BF8" w14:textId="77777777" w:rsidR="00E138B8" w:rsidRPr="00B53730" w:rsidRDefault="00161B76">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53730">
        <w:rPr>
          <w:rFonts w:ascii="Palatino Linotype" w:eastAsia="Palatino Linotype" w:hAnsi="Palatino Linotype" w:cs="Palatino Linotype"/>
          <w:b/>
          <w:sz w:val="22"/>
          <w:szCs w:val="22"/>
        </w:rPr>
        <w:t xml:space="preserve">Clave de registro o elector. </w:t>
      </w:r>
      <w:r w:rsidRPr="00B53730">
        <w:rPr>
          <w:rFonts w:ascii="Palatino Linotype" w:eastAsia="Palatino Linotype" w:hAnsi="Palatino Linotype" w:cs="Palatino Linotype"/>
          <w:sz w:val="22"/>
          <w:szCs w:val="22"/>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B53730">
        <w:rPr>
          <w:rFonts w:ascii="Palatino Linotype" w:eastAsia="Palatino Linotype" w:hAnsi="Palatino Linotype" w:cs="Palatino Linotype"/>
          <w:sz w:val="22"/>
          <w:szCs w:val="22"/>
        </w:rPr>
        <w:t>homoclave</w:t>
      </w:r>
      <w:proofErr w:type="spellEnd"/>
      <w:r w:rsidRPr="00B53730">
        <w:rPr>
          <w:rFonts w:ascii="Palatino Linotype" w:eastAsia="Palatino Linotype" w:hAnsi="Palatino Linotype" w:cs="Palatino Linotype"/>
          <w:sz w:val="22"/>
          <w:szCs w:val="22"/>
        </w:rPr>
        <w:t xml:space="preserve"> compuesta de tres dígitos, dando un total de 18 caracteres. 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 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34636E97" w14:textId="77777777" w:rsidR="00E138B8" w:rsidRPr="00B53730" w:rsidRDefault="00E138B8">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659653FF" w14:textId="77777777" w:rsidR="00E138B8" w:rsidRPr="00B53730" w:rsidRDefault="00161B76">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0"/>
          <w:szCs w:val="20"/>
        </w:rPr>
      </w:pPr>
      <w:r w:rsidRPr="00B53730">
        <w:rPr>
          <w:rFonts w:ascii="Palatino Linotype" w:eastAsia="Palatino Linotype" w:hAnsi="Palatino Linotype" w:cs="Palatino Linotype"/>
          <w:b/>
          <w:sz w:val="22"/>
          <w:szCs w:val="22"/>
        </w:rPr>
        <w:t xml:space="preserve">Firmas de los miembros de Servidores Públicos: </w:t>
      </w:r>
      <w:r w:rsidRPr="00B53730">
        <w:rPr>
          <w:rFonts w:ascii="Palatino Linotype" w:eastAsia="Palatino Linotype" w:hAnsi="Palatino Linotype" w:cs="Palatino Linotype"/>
          <w:sz w:val="22"/>
          <w:szCs w:val="22"/>
        </w:rPr>
        <w:t>Ahora bien, el Sujeto Obligado clasificó la firma del representante del Sindicato Único de Trabajadores de los Poderes, Municipios e Instituciones Descentralizadas del Estado de México, de la Secretaria Auxiliar y del representante de los Ayuntamientos, tal como se logra observar a continuación:</w:t>
      </w:r>
    </w:p>
    <w:p w14:paraId="53213FDE" w14:textId="77777777" w:rsidR="00E138B8" w:rsidRPr="00B53730" w:rsidRDefault="00E138B8">
      <w:pPr>
        <w:pBdr>
          <w:top w:val="nil"/>
          <w:left w:val="nil"/>
          <w:bottom w:val="nil"/>
          <w:right w:val="nil"/>
          <w:between w:val="nil"/>
        </w:pBdr>
        <w:spacing w:line="360" w:lineRule="auto"/>
        <w:ind w:left="720"/>
        <w:jc w:val="both"/>
        <w:rPr>
          <w:rFonts w:ascii="Palatino Linotype" w:eastAsia="Palatino Linotype" w:hAnsi="Palatino Linotype" w:cs="Palatino Linotype"/>
          <w:b/>
          <w:sz w:val="20"/>
          <w:szCs w:val="20"/>
        </w:rPr>
      </w:pPr>
    </w:p>
    <w:p w14:paraId="3D9C0682" w14:textId="77777777" w:rsidR="00E138B8" w:rsidRPr="00B53730" w:rsidRDefault="00161B76">
      <w:p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B53730">
        <w:rPr>
          <w:rFonts w:ascii="Palatino Linotype" w:eastAsia="Palatino Linotype" w:hAnsi="Palatino Linotype" w:cs="Palatino Linotype"/>
          <w:b/>
          <w:noProof/>
          <w:sz w:val="22"/>
          <w:szCs w:val="22"/>
          <w:lang w:val="es-MX"/>
        </w:rPr>
        <w:drawing>
          <wp:inline distT="0" distB="0" distL="0" distR="0" wp14:anchorId="7DBD24C3" wp14:editId="5C385548">
            <wp:extent cx="3385248" cy="2383215"/>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385248" cy="2383215"/>
                    </a:xfrm>
                    <a:prstGeom prst="rect">
                      <a:avLst/>
                    </a:prstGeom>
                    <a:ln/>
                  </pic:spPr>
                </pic:pic>
              </a:graphicData>
            </a:graphic>
          </wp:inline>
        </w:drawing>
      </w:r>
    </w:p>
    <w:p w14:paraId="25B2816B" w14:textId="77777777" w:rsidR="00E138B8" w:rsidRPr="00B53730" w:rsidRDefault="00E138B8">
      <w:p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p>
    <w:p w14:paraId="4C1BB7B1" w14:textId="77777777" w:rsidR="00E138B8" w:rsidRPr="00B53730" w:rsidRDefault="00161B76">
      <w:pP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Al respecto, conforme a los artículos 186 y 186 BIS de la Ley del Trabajo de los Servidores Públicos del Estado de Municipios, las Salas Auxiliares del Tribunal Estatal de Conciliación y Arbitraje, se conformaran por un representante del sindicato mayoritario, de los ayuntamientos y un árbitro que fungirá como presidente, los cuales como grupo colegiado, son competentes para conocer y resolver, en conciliación y arbitraje, de los conflictos individuales con motivo de la relación laboral; por lo cual, se puede advertir que las firmas de la Secretaria Auxiliar y el representante del gremio previamente referido, le dan validez al documento en análisis.</w:t>
      </w:r>
    </w:p>
    <w:p w14:paraId="5E62E8A0" w14:textId="77777777" w:rsidR="00E138B8" w:rsidRPr="00B53730" w:rsidRDefault="00E138B8">
      <w:pPr>
        <w:spacing w:line="360" w:lineRule="auto"/>
        <w:ind w:left="567" w:right="616"/>
        <w:jc w:val="both"/>
        <w:rPr>
          <w:rFonts w:ascii="Palatino Linotype" w:eastAsia="Palatino Linotype" w:hAnsi="Palatino Linotype" w:cs="Palatino Linotype"/>
          <w:sz w:val="22"/>
          <w:szCs w:val="22"/>
        </w:rPr>
      </w:pPr>
    </w:p>
    <w:p w14:paraId="13832E79" w14:textId="77777777" w:rsidR="00E138B8" w:rsidRPr="00B53730" w:rsidRDefault="00161B76">
      <w:pP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En ese orden de ideas, es de señalar que la firma es considerada un dato personal, al tratarse de información gráfica a través de la cual su titular exterioriza su voluntad en actos públicos y privados, por lo que, podría ser considerado confidencial; sin embargo, cuando un trabajador gubernamental, o bien, representante de un sector laboral, emite un acto, en ejercicio de sus funciones, dicho dato mediante el cual valida el acto jurídico, es de naturaleza pública; lo anterior, pues se plasmó en cumplimiento de las obligaciones que le corresponden, conforme a las disposiciones jurídicas aplicables, en el presenta caso, en materia laboral, de conformidad con el Criterio 10/10, del entonces Instituto Federal de Acceso a la Información y Protección de Datos, mismo que se trae por analogía. </w:t>
      </w:r>
    </w:p>
    <w:p w14:paraId="2A9AA476" w14:textId="77777777" w:rsidR="00E138B8" w:rsidRPr="00B53730" w:rsidRDefault="00E138B8">
      <w:pPr>
        <w:spacing w:line="360" w:lineRule="auto"/>
        <w:ind w:left="567" w:right="616"/>
        <w:jc w:val="both"/>
        <w:rPr>
          <w:rFonts w:ascii="Palatino Linotype" w:eastAsia="Palatino Linotype" w:hAnsi="Palatino Linotype" w:cs="Palatino Linotype"/>
          <w:sz w:val="22"/>
          <w:szCs w:val="22"/>
        </w:rPr>
      </w:pPr>
    </w:p>
    <w:p w14:paraId="09A407CE" w14:textId="77777777" w:rsidR="00E138B8" w:rsidRPr="00B53730" w:rsidRDefault="00161B76">
      <w:pP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Conforme a lo anterior, la firma de alguno de los miembros de la Sala Auxiliar de Ecatepec, vinculada al ejercicio de la función pública es información de </w:t>
      </w:r>
      <w:r w:rsidRPr="00B53730">
        <w:rPr>
          <w:rFonts w:ascii="Palatino Linotype" w:eastAsia="Palatino Linotype" w:hAnsi="Palatino Linotype" w:cs="Palatino Linotype"/>
          <w:b/>
          <w:sz w:val="22"/>
          <w:szCs w:val="22"/>
        </w:rPr>
        <w:t>naturaleza pública</w:t>
      </w:r>
      <w:r w:rsidRPr="00B53730">
        <w:rPr>
          <w:rFonts w:ascii="Palatino Linotype" w:eastAsia="Palatino Linotype" w:hAnsi="Palatino Linotype" w:cs="Palatino Linotype"/>
          <w:sz w:val="22"/>
          <w:szCs w:val="22"/>
        </w:rPr>
        <w:t>, pues documenta y rinde cuentas sobre el debido ejercicio de sus atribuciones, lo cual acontece en el presente caso, pues fueron plasmadas para darle validez al convenio que llevaron a cabo el Ayuntamiento de Valle de Chalco Solidaridad y su es trabajador.</w:t>
      </w:r>
    </w:p>
    <w:p w14:paraId="74CC2181" w14:textId="77777777" w:rsidR="00E138B8" w:rsidRPr="00B53730" w:rsidRDefault="00E138B8">
      <w:pPr>
        <w:spacing w:line="360" w:lineRule="auto"/>
        <w:ind w:left="567" w:right="616"/>
        <w:jc w:val="both"/>
        <w:rPr>
          <w:rFonts w:ascii="Palatino Linotype" w:eastAsia="Palatino Linotype" w:hAnsi="Palatino Linotype" w:cs="Palatino Linotype"/>
          <w:sz w:val="22"/>
          <w:szCs w:val="22"/>
        </w:rPr>
      </w:pPr>
    </w:p>
    <w:p w14:paraId="562E507E" w14:textId="77777777" w:rsidR="00E138B8" w:rsidRPr="00B53730" w:rsidRDefault="00161B76">
      <w:pPr>
        <w:numPr>
          <w:ilvl w:val="0"/>
          <w:numId w:val="9"/>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b/>
          <w:sz w:val="22"/>
          <w:szCs w:val="22"/>
        </w:rPr>
        <w:t xml:space="preserve">Número de expediente. </w:t>
      </w:r>
      <w:r w:rsidRPr="00B53730">
        <w:rPr>
          <w:rFonts w:ascii="Palatino Linotype" w:eastAsia="Palatino Linotype" w:hAnsi="Palatino Linotype" w:cs="Palatino Linotype"/>
          <w:sz w:val="22"/>
          <w:szCs w:val="22"/>
        </w:rPr>
        <w:t xml:space="preserve">El código de un expediente está conformado por el número asignado, el año, en el cual se inició este trámite, número de cuaderno, lugar en que radica, entre otros datos, que por su revelación no dan cuenta de información que actualice alguna causal de clasificación contenida en el artículo 143 de la Ley de Transparencia, ya que, revelarlo no da cuenta de su contenido, sino, únicamente de un número de identificación. </w:t>
      </w:r>
    </w:p>
    <w:p w14:paraId="49D2CAB7" w14:textId="77777777" w:rsidR="00E138B8" w:rsidRPr="00B53730" w:rsidRDefault="00E138B8">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p>
    <w:p w14:paraId="36B79943" w14:textId="77777777" w:rsidR="00E138B8" w:rsidRPr="00B53730" w:rsidRDefault="00161B76">
      <w:pPr>
        <w:numPr>
          <w:ilvl w:val="0"/>
          <w:numId w:val="9"/>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b/>
          <w:sz w:val="22"/>
          <w:szCs w:val="22"/>
        </w:rPr>
        <w:t>Nombre de particulares que reciben recursos públicos.</w:t>
      </w:r>
      <w:r w:rsidRPr="00B53730">
        <w:rPr>
          <w:rFonts w:ascii="Palatino Linotype" w:eastAsia="Palatino Linotype" w:hAnsi="Palatino Linotype" w:cs="Palatino Linotype"/>
          <w:sz w:val="22"/>
          <w:szCs w:val="22"/>
        </w:rPr>
        <w:t xml:space="preserve"> El nombre es uno de los atributos de la personalidad y la manifestación principal del derecho subjetivo a la identidad, en virtud de que hace a una persona física identificada e identificable, y que dar publicidad al mismo vulneraría su ámbito de privacidad, por lo que es un dato personal que encuadra dentro de la fracción I del artículo 143 de la Ley de la materia de la entidad, no obstante, cuando este recibe y ejerce recursos públicos, es información de naturaleza pública, toda vez que daría cuenta de la administración de la hacienda y el interés público por conocer dicha información es mayor al dato que se desea proteger, en este caso, el nombre de particulares que reciben y ejercen recursos públicos, no actualiza alguna causal prevista en el artículo 143 de la Ley de la Entidad. </w:t>
      </w:r>
    </w:p>
    <w:p w14:paraId="3C7F5D75" w14:textId="77777777" w:rsidR="00E138B8" w:rsidRPr="00B53730" w:rsidRDefault="00161B76">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B53730">
        <w:rPr>
          <w:rFonts w:ascii="Palatino Linotype" w:eastAsia="Palatino Linotype" w:hAnsi="Palatino Linotype" w:cs="Palatino Linotype"/>
          <w:sz w:val="22"/>
          <w:szCs w:val="22"/>
        </w:rPr>
        <w:t xml:space="preserve">Aunado a lo anterior, resulta importante traer a colación el Criterio 19/13 reiterado emitido por el Instituto Nacional de Transparencia, Acceso a la Información y Protección de Datos Personales, el cual precisa que, si bien en principio el nombre en principio es información confidencial, no obstante, para el caso de que, se haya condenado a una dependencia o entidad al pago de prestaciones económicas, este dato personal puede ser de conocimiento público, tal como se advierte a continuación; </w:t>
      </w:r>
    </w:p>
    <w:p w14:paraId="7D311B3B"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 xml:space="preserve">Nombre de actores en juicios laborales constituye, en principio, información confidencial. </w:t>
      </w:r>
      <w:r w:rsidRPr="00B53730">
        <w:rPr>
          <w:rFonts w:ascii="Palatino Linotype" w:eastAsia="Palatino Linotype" w:hAnsi="Palatino Linotype" w:cs="Palatino Linotype"/>
          <w:i/>
          <w:sz w:val="22"/>
          <w:szCs w:val="22"/>
        </w:rPr>
        <w:t>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5FEE9C72" w14:textId="77777777" w:rsidR="00E138B8" w:rsidRPr="00B53730" w:rsidRDefault="00E138B8">
      <w:pPr>
        <w:spacing w:line="276" w:lineRule="auto"/>
        <w:ind w:left="567" w:right="616"/>
        <w:jc w:val="both"/>
        <w:rPr>
          <w:rFonts w:ascii="Palatino Linotype" w:eastAsia="Palatino Linotype" w:hAnsi="Palatino Linotype" w:cs="Palatino Linotype"/>
          <w:b/>
          <w:i/>
          <w:sz w:val="18"/>
          <w:szCs w:val="18"/>
        </w:rPr>
      </w:pPr>
    </w:p>
    <w:p w14:paraId="5FF49E8C" w14:textId="77777777" w:rsidR="00E138B8" w:rsidRPr="00B53730" w:rsidRDefault="00161B76">
      <w:pPr>
        <w:spacing w:line="360" w:lineRule="auto"/>
        <w:ind w:right="49"/>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Por todo lo anterior y toda vez que, el Sujeto Obligado clasificó información de carácter público, los agravios del Particular devienen </w:t>
      </w:r>
      <w:r w:rsidRPr="00B53730">
        <w:rPr>
          <w:rFonts w:ascii="Palatino Linotype" w:eastAsia="Palatino Linotype" w:hAnsi="Palatino Linotype" w:cs="Palatino Linotype"/>
          <w:b/>
        </w:rPr>
        <w:t>FUNDADOS</w:t>
      </w:r>
      <w:r w:rsidRPr="00B53730">
        <w:rPr>
          <w:rFonts w:ascii="Palatino Linotype" w:eastAsia="Palatino Linotype" w:hAnsi="Palatino Linotype" w:cs="Palatino Linotype"/>
        </w:rPr>
        <w:t xml:space="preserve">, por lo que, resulta procedente ordenar los convenios enviados en respuesta, en una adecuada versión pública. </w:t>
      </w:r>
    </w:p>
    <w:p w14:paraId="46735898" w14:textId="77777777" w:rsidR="00E138B8" w:rsidRPr="00B53730" w:rsidRDefault="00E138B8">
      <w:pPr>
        <w:spacing w:line="360" w:lineRule="auto"/>
        <w:ind w:right="49"/>
        <w:jc w:val="both"/>
        <w:rPr>
          <w:rFonts w:ascii="Palatino Linotype" w:eastAsia="Palatino Linotype" w:hAnsi="Palatino Linotype" w:cs="Palatino Linotype"/>
        </w:rPr>
      </w:pPr>
    </w:p>
    <w:p w14:paraId="521AA319"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Quinto. Versión Pública.</w:t>
      </w:r>
      <w:r w:rsidRPr="00B53730">
        <w:rPr>
          <w:rFonts w:ascii="Palatino Linotype" w:eastAsia="Palatino Linotype" w:hAnsi="Palatino Linotype" w:cs="Palatino Linotype"/>
          <w:sz w:val="28"/>
          <w:szCs w:val="28"/>
        </w:rPr>
        <w:t xml:space="preserve"> </w:t>
      </w:r>
      <w:r w:rsidRPr="00B53730">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sin menoscabo al derecho a la protección de los datos personales de terceros.</w:t>
      </w:r>
    </w:p>
    <w:p w14:paraId="62EFD4CA" w14:textId="77777777" w:rsidR="00E138B8" w:rsidRPr="00B53730" w:rsidRDefault="00E138B8">
      <w:pPr>
        <w:spacing w:line="360" w:lineRule="auto"/>
        <w:jc w:val="both"/>
        <w:rPr>
          <w:rFonts w:ascii="Palatino Linotype" w:eastAsia="Palatino Linotype" w:hAnsi="Palatino Linotype" w:cs="Palatino Linotype"/>
        </w:rPr>
      </w:pPr>
    </w:p>
    <w:p w14:paraId="25C33A01"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B53730">
        <w:rPr>
          <w:rFonts w:ascii="Palatino Linotype" w:eastAsia="Palatino Linotype" w:hAnsi="Palatino Linotype" w:cs="Palatino Linotype"/>
        </w:rPr>
        <w:t>fracción</w:t>
      </w:r>
      <w:proofErr w:type="gramEnd"/>
      <w:r w:rsidRPr="00B53730">
        <w:rPr>
          <w:rFonts w:ascii="Palatino Linotype" w:eastAsia="Palatino Linotype" w:hAnsi="Palatino Linotype" w:cs="Palatino Linotype"/>
        </w:rPr>
        <w:t xml:space="preserve"> I de la Ley de Transparencia y Acceso a la Información Pública del Estado de México y Municipios que establecen:</w:t>
      </w:r>
    </w:p>
    <w:p w14:paraId="4D94EC10" w14:textId="77777777" w:rsidR="00E138B8" w:rsidRPr="00B53730" w:rsidRDefault="00E138B8">
      <w:pPr>
        <w:spacing w:line="360" w:lineRule="auto"/>
        <w:jc w:val="both"/>
        <w:rPr>
          <w:rFonts w:ascii="Palatino Linotype" w:eastAsia="Palatino Linotype" w:hAnsi="Palatino Linotype" w:cs="Palatino Linotype"/>
        </w:rPr>
      </w:pPr>
    </w:p>
    <w:p w14:paraId="65310863"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i/>
          <w:sz w:val="21"/>
          <w:szCs w:val="21"/>
        </w:rPr>
        <w:t>“</w:t>
      </w:r>
      <w:r w:rsidRPr="00B53730">
        <w:rPr>
          <w:rFonts w:ascii="Palatino Linotype" w:eastAsia="Palatino Linotype" w:hAnsi="Palatino Linotype" w:cs="Palatino Linotype"/>
          <w:b/>
          <w:i/>
          <w:sz w:val="21"/>
          <w:szCs w:val="21"/>
        </w:rPr>
        <w:t>Artículo 3</w:t>
      </w:r>
      <w:r w:rsidRPr="00B53730">
        <w:rPr>
          <w:rFonts w:ascii="Palatino Linotype" w:eastAsia="Palatino Linotype" w:hAnsi="Palatino Linotype" w:cs="Palatino Linotype"/>
          <w:i/>
          <w:sz w:val="21"/>
          <w:szCs w:val="21"/>
        </w:rPr>
        <w:t>. Para los efectos de la presente Ley se entenderá por:</w:t>
      </w:r>
    </w:p>
    <w:p w14:paraId="251BB15B"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i/>
          <w:sz w:val="21"/>
          <w:szCs w:val="21"/>
        </w:rPr>
        <w:t>[…]</w:t>
      </w:r>
    </w:p>
    <w:p w14:paraId="326FBF69"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IX. Datos personales</w:t>
      </w:r>
      <w:r w:rsidRPr="00B53730">
        <w:rPr>
          <w:rFonts w:ascii="Palatino Linotype" w:eastAsia="Palatino Linotype" w:hAnsi="Palatino Linotype" w:cs="Palatino Linotype"/>
          <w:i/>
          <w:sz w:val="21"/>
          <w:szCs w:val="21"/>
        </w:rPr>
        <w:t xml:space="preserve">: La información concerniente a una persona, identificada o identificable según lo dispuesto por la Ley de Protección de Datos Personales del Estado de México; </w:t>
      </w:r>
    </w:p>
    <w:p w14:paraId="040EE056"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XX. Información clasificada</w:t>
      </w:r>
      <w:r w:rsidRPr="00B53730">
        <w:rPr>
          <w:rFonts w:ascii="Palatino Linotype" w:eastAsia="Palatino Linotype" w:hAnsi="Palatino Linotype" w:cs="Palatino Linotype"/>
          <w:i/>
          <w:sz w:val="21"/>
          <w:szCs w:val="21"/>
        </w:rPr>
        <w:t>: Aquella considerada por la presente Ley como reservada o confidencial;</w:t>
      </w:r>
    </w:p>
    <w:p w14:paraId="49C0F7C4"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XXI. Información confidencial</w:t>
      </w:r>
      <w:r w:rsidRPr="00B53730">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EE00B5"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XLV. Versión pública</w:t>
      </w:r>
      <w:r w:rsidRPr="00B53730">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14:paraId="679DE5CF"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i/>
          <w:sz w:val="21"/>
          <w:szCs w:val="21"/>
        </w:rPr>
        <w:t>[…]</w:t>
      </w:r>
    </w:p>
    <w:p w14:paraId="2F863009"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Artículo 91.</w:t>
      </w:r>
      <w:r w:rsidRPr="00B53730">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14:paraId="49ED8A15"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Artículo 132</w:t>
      </w:r>
      <w:r w:rsidRPr="00B53730">
        <w:rPr>
          <w:rFonts w:ascii="Palatino Linotype" w:eastAsia="Palatino Linotype" w:hAnsi="Palatino Linotype" w:cs="Palatino Linotype"/>
          <w:i/>
          <w:sz w:val="21"/>
          <w:szCs w:val="21"/>
        </w:rPr>
        <w:t>. La clasificación de la información se llevará a cabo en el momento en que:</w:t>
      </w:r>
    </w:p>
    <w:p w14:paraId="38D7260A"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w:t>
      </w:r>
      <w:r w:rsidRPr="00B53730">
        <w:rPr>
          <w:rFonts w:ascii="Palatino Linotype" w:eastAsia="Palatino Linotype" w:hAnsi="Palatino Linotype" w:cs="Palatino Linotype"/>
          <w:i/>
          <w:sz w:val="21"/>
          <w:szCs w:val="21"/>
        </w:rPr>
        <w:t xml:space="preserve"> Se reciba una solicitud de acceso a la información;</w:t>
      </w:r>
    </w:p>
    <w:p w14:paraId="30DB2261"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II.</w:t>
      </w:r>
      <w:r w:rsidRPr="00B53730">
        <w:rPr>
          <w:rFonts w:ascii="Palatino Linotype" w:eastAsia="Palatino Linotype" w:hAnsi="Palatino Linotype" w:cs="Palatino Linotype"/>
          <w:i/>
          <w:sz w:val="21"/>
          <w:szCs w:val="21"/>
        </w:rPr>
        <w:t xml:space="preserve"> Se determine mediante resolución de autoridad competente; o</w:t>
      </w:r>
    </w:p>
    <w:p w14:paraId="61C2A76C"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III.</w:t>
      </w:r>
      <w:r w:rsidRPr="00B53730">
        <w:rPr>
          <w:rFonts w:ascii="Palatino Linotype" w:eastAsia="Palatino Linotype" w:hAnsi="Palatino Linotype" w:cs="Palatino Linotype"/>
          <w:i/>
          <w:sz w:val="21"/>
          <w:szCs w:val="21"/>
        </w:rPr>
        <w:t xml:space="preserve"> Se generen versiones públicas para dar cumplimiento a las obligaciones de transparencia previstas en esta Ley.</w:t>
      </w:r>
    </w:p>
    <w:p w14:paraId="039DBF51"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i/>
          <w:sz w:val="21"/>
          <w:szCs w:val="21"/>
        </w:rPr>
        <w:t>[…]</w:t>
      </w:r>
    </w:p>
    <w:p w14:paraId="55C13B2D"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Artículo 143.</w:t>
      </w:r>
      <w:r w:rsidRPr="00B53730">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14:paraId="71080263"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w:t>
      </w:r>
      <w:r w:rsidRPr="00B53730">
        <w:rPr>
          <w:rFonts w:ascii="Palatino Linotype" w:eastAsia="Palatino Linotype" w:hAnsi="Palatino Linotype" w:cs="Palatino Linotype"/>
          <w:i/>
          <w:sz w:val="21"/>
          <w:szCs w:val="21"/>
        </w:rPr>
        <w:t xml:space="preserve"> Se refiera a la información privada y los datos personales concernientes a una persona física o </w:t>
      </w:r>
      <w:proofErr w:type="gramStart"/>
      <w:r w:rsidRPr="00B53730">
        <w:rPr>
          <w:rFonts w:ascii="Palatino Linotype" w:eastAsia="Palatino Linotype" w:hAnsi="Palatino Linotype" w:cs="Palatino Linotype"/>
          <w:i/>
          <w:sz w:val="21"/>
          <w:szCs w:val="21"/>
        </w:rPr>
        <w:t>jurídico</w:t>
      </w:r>
      <w:proofErr w:type="gramEnd"/>
      <w:r w:rsidRPr="00B53730">
        <w:rPr>
          <w:rFonts w:ascii="Palatino Linotype" w:eastAsia="Palatino Linotype" w:hAnsi="Palatino Linotype" w:cs="Palatino Linotype"/>
          <w:i/>
          <w:sz w:val="21"/>
          <w:szCs w:val="21"/>
        </w:rPr>
        <w:t xml:space="preserve"> colectiva identificada o identificable;</w:t>
      </w:r>
    </w:p>
    <w:p w14:paraId="5B509663"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II.</w:t>
      </w:r>
      <w:r w:rsidRPr="00B53730">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DA628B6"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b/>
          <w:i/>
          <w:sz w:val="21"/>
          <w:szCs w:val="21"/>
        </w:rPr>
        <w:t>III.</w:t>
      </w:r>
      <w:r w:rsidRPr="00B53730">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w:t>
      </w:r>
    </w:p>
    <w:p w14:paraId="2A74924E"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551D790D" w14:textId="77777777" w:rsidR="00E138B8" w:rsidRPr="00B53730" w:rsidRDefault="00161B76">
      <w:pPr>
        <w:spacing w:line="276" w:lineRule="auto"/>
        <w:ind w:left="567" w:right="616"/>
        <w:jc w:val="both"/>
        <w:rPr>
          <w:rFonts w:ascii="Palatino Linotype" w:eastAsia="Palatino Linotype" w:hAnsi="Palatino Linotype" w:cs="Palatino Linotype"/>
          <w:i/>
          <w:sz w:val="21"/>
          <w:szCs w:val="21"/>
        </w:rPr>
      </w:pPr>
      <w:r w:rsidRPr="00B53730">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66B9C2D5" w14:textId="77777777" w:rsidR="00E138B8" w:rsidRPr="00B53730" w:rsidRDefault="00E138B8">
      <w:pPr>
        <w:spacing w:line="360" w:lineRule="auto"/>
        <w:ind w:left="1134" w:right="902"/>
        <w:jc w:val="both"/>
        <w:rPr>
          <w:rFonts w:ascii="Palatino Linotype" w:eastAsia="Palatino Linotype" w:hAnsi="Palatino Linotype" w:cs="Palatino Linotype"/>
          <w:i/>
          <w:sz w:val="21"/>
          <w:szCs w:val="21"/>
        </w:rPr>
      </w:pPr>
    </w:p>
    <w:p w14:paraId="7F7460C8"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B1DF14" w14:textId="77777777" w:rsidR="00E138B8" w:rsidRPr="00B53730" w:rsidRDefault="00E138B8">
      <w:pPr>
        <w:spacing w:line="360" w:lineRule="auto"/>
        <w:jc w:val="both"/>
        <w:rPr>
          <w:rFonts w:ascii="Palatino Linotype" w:eastAsia="Palatino Linotype" w:hAnsi="Palatino Linotype" w:cs="Palatino Linotype"/>
        </w:rPr>
      </w:pPr>
    </w:p>
    <w:p w14:paraId="78C7D702"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5905247"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w:t>
      </w:r>
      <w:r w:rsidRPr="00B53730">
        <w:rPr>
          <w:rFonts w:ascii="Palatino Linotype" w:eastAsia="Palatino Linotype" w:hAnsi="Palatino Linotype" w:cs="Palatino Linotype"/>
          <w:b/>
          <w:i/>
          <w:sz w:val="22"/>
          <w:szCs w:val="22"/>
        </w:rPr>
        <w:t>Quincuagésimo sexto.</w:t>
      </w:r>
      <w:r w:rsidRPr="00B53730">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CB12CA9"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Quincuagésimo séptimo.</w:t>
      </w:r>
      <w:r w:rsidRPr="00B5373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40B1215"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I.</w:t>
      </w:r>
      <w:r w:rsidRPr="00B5373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7C17C6E"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II.</w:t>
      </w:r>
      <w:r w:rsidRPr="00B53730">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34CF68C5"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III.</w:t>
      </w:r>
      <w:r w:rsidRPr="00B5373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3F31B1F"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706427A9" w14:textId="77777777" w:rsidR="00E138B8" w:rsidRPr="00B53730" w:rsidRDefault="00161B76">
      <w:pPr>
        <w:spacing w:line="276" w:lineRule="auto"/>
        <w:ind w:left="567" w:right="616"/>
        <w:jc w:val="both"/>
        <w:rPr>
          <w:rFonts w:ascii="Palatino Linotype" w:eastAsia="Palatino Linotype" w:hAnsi="Palatino Linotype" w:cs="Palatino Linotype"/>
          <w:i/>
          <w:sz w:val="22"/>
          <w:szCs w:val="22"/>
        </w:rPr>
      </w:pPr>
      <w:r w:rsidRPr="00B53730">
        <w:rPr>
          <w:rFonts w:ascii="Palatino Linotype" w:eastAsia="Palatino Linotype" w:hAnsi="Palatino Linotype" w:cs="Palatino Linotype"/>
          <w:b/>
          <w:i/>
          <w:sz w:val="22"/>
          <w:szCs w:val="22"/>
        </w:rPr>
        <w:t>Quincuagésimo octavo</w:t>
      </w:r>
      <w:r w:rsidRPr="00B53730">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4D526F76" w14:textId="77777777" w:rsidR="00E138B8" w:rsidRPr="00B53730" w:rsidRDefault="00E138B8">
      <w:pPr>
        <w:spacing w:line="360" w:lineRule="auto"/>
        <w:ind w:left="1134" w:right="902"/>
        <w:jc w:val="both"/>
        <w:rPr>
          <w:rFonts w:ascii="Palatino Linotype" w:eastAsia="Palatino Linotype" w:hAnsi="Palatino Linotype" w:cs="Palatino Linotype"/>
          <w:i/>
          <w:sz w:val="22"/>
          <w:szCs w:val="22"/>
        </w:rPr>
      </w:pPr>
    </w:p>
    <w:p w14:paraId="6E8ADF73"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fecha de nacimiento, lugar de nacimiento, edad, estado civil, domicilio, clave de elector, numero de OCR, CURP, fotografía, el número de cuenta bancaria, que sean exclusivamente de particulares, entre otros, entre otros.</w:t>
      </w:r>
    </w:p>
    <w:p w14:paraId="60AB39F5" w14:textId="77777777" w:rsidR="00E138B8" w:rsidRPr="00B53730" w:rsidRDefault="00E138B8">
      <w:pPr>
        <w:spacing w:line="360" w:lineRule="auto"/>
        <w:jc w:val="both"/>
        <w:rPr>
          <w:rFonts w:ascii="Palatino Linotype" w:eastAsia="Palatino Linotype" w:hAnsi="Palatino Linotype" w:cs="Palatino Linotype"/>
        </w:rPr>
      </w:pPr>
    </w:p>
    <w:p w14:paraId="23DB5D86"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19F9846" w14:textId="77777777" w:rsidR="00E138B8" w:rsidRPr="00B53730" w:rsidRDefault="00E138B8">
      <w:pPr>
        <w:spacing w:line="360" w:lineRule="auto"/>
        <w:jc w:val="both"/>
        <w:rPr>
          <w:rFonts w:ascii="Palatino Linotype" w:eastAsia="Palatino Linotype" w:hAnsi="Palatino Linotype" w:cs="Palatino Linotype"/>
        </w:rPr>
      </w:pPr>
    </w:p>
    <w:p w14:paraId="52A190EB"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Asimismo, se destaca que la versión pública que elabore 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w:t>
      </w:r>
    </w:p>
    <w:p w14:paraId="1B4158E5" w14:textId="77777777" w:rsidR="00E138B8" w:rsidRPr="00B53730" w:rsidRDefault="00E138B8">
      <w:pPr>
        <w:spacing w:line="360" w:lineRule="auto"/>
        <w:jc w:val="both"/>
        <w:rPr>
          <w:rFonts w:ascii="Palatino Linotype" w:eastAsia="Palatino Linotype" w:hAnsi="Palatino Linotype" w:cs="Palatino Linotype"/>
        </w:rPr>
      </w:pPr>
    </w:p>
    <w:p w14:paraId="34FC14A5"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 xml:space="preserve">De este modo, la versión pública que elabore el </w:t>
      </w:r>
      <w:r w:rsidRPr="00B53730">
        <w:rPr>
          <w:rFonts w:ascii="Palatino Linotype" w:eastAsia="Palatino Linotype" w:hAnsi="Palatino Linotype" w:cs="Palatino Linotype"/>
          <w:b/>
        </w:rPr>
        <w:t xml:space="preserve">SUJETO OBLIGADO </w:t>
      </w:r>
      <w:r w:rsidRPr="00B53730">
        <w:rPr>
          <w:rFonts w:ascii="Palatino Linotype" w:eastAsia="Palatino Linotype" w:hAnsi="Palatino Linotype" w:cs="Palatino Linotype"/>
        </w:rPr>
        <w:t>debe acompañarse del</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B53730">
        <w:rPr>
          <w:rFonts w:ascii="Palatino Linotype" w:eastAsia="Palatino Linotype" w:hAnsi="Palatino Linotype" w:cs="Palatino Linotype"/>
          <w:b/>
          <w:u w:val="single"/>
        </w:rPr>
        <w:t>razones, motivos o circunstancias especiales</w:t>
      </w:r>
      <w:r w:rsidRPr="00B53730">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45B0D469" w14:textId="77777777" w:rsidR="00E138B8" w:rsidRPr="00B53730" w:rsidRDefault="00E138B8">
      <w:pPr>
        <w:spacing w:line="360" w:lineRule="auto"/>
        <w:jc w:val="both"/>
        <w:rPr>
          <w:rFonts w:ascii="Palatino Linotype" w:eastAsia="Palatino Linotype" w:hAnsi="Palatino Linotype" w:cs="Palatino Linotype"/>
        </w:rPr>
      </w:pPr>
    </w:p>
    <w:p w14:paraId="2BD18B26"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p w14:paraId="20D403D4" w14:textId="77777777" w:rsidR="00E138B8" w:rsidRPr="00B53730" w:rsidRDefault="00E138B8">
      <w:pPr>
        <w:spacing w:line="360" w:lineRule="auto"/>
        <w:jc w:val="both"/>
        <w:rPr>
          <w:rFonts w:ascii="Palatino Linotype" w:eastAsia="Palatino Linotype" w:hAnsi="Palatino Linotype" w:cs="Palatino Linotype"/>
        </w:rPr>
      </w:pP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119"/>
        <w:gridCol w:w="1417"/>
        <w:gridCol w:w="3163"/>
      </w:tblGrid>
      <w:tr w:rsidR="00B53730" w:rsidRPr="00B53730" w14:paraId="7880D65E" w14:textId="77777777">
        <w:tc>
          <w:tcPr>
            <w:tcW w:w="4248" w:type="dxa"/>
            <w:gridSpan w:val="2"/>
          </w:tcPr>
          <w:p w14:paraId="00A39963" w14:textId="77777777" w:rsidR="00E138B8" w:rsidRPr="00B53730" w:rsidRDefault="00161B76">
            <w:pPr>
              <w:jc w:val="center"/>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Parcial</w:t>
            </w:r>
          </w:p>
        </w:tc>
        <w:tc>
          <w:tcPr>
            <w:tcW w:w="4580" w:type="dxa"/>
            <w:gridSpan w:val="2"/>
          </w:tcPr>
          <w:p w14:paraId="1F401560" w14:textId="77777777" w:rsidR="00E138B8" w:rsidRPr="00B53730" w:rsidRDefault="00161B76">
            <w:pPr>
              <w:jc w:val="center"/>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Total</w:t>
            </w:r>
          </w:p>
        </w:tc>
      </w:tr>
      <w:tr w:rsidR="00B53730" w:rsidRPr="00B53730" w14:paraId="4041C222" w14:textId="77777777">
        <w:tc>
          <w:tcPr>
            <w:tcW w:w="1129" w:type="dxa"/>
          </w:tcPr>
          <w:p w14:paraId="01ACDF55" w14:textId="77777777" w:rsidR="00E138B8" w:rsidRPr="00B53730" w:rsidRDefault="00161B76">
            <w:pPr>
              <w:jc w:val="center"/>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Concepto</w:t>
            </w:r>
          </w:p>
        </w:tc>
        <w:tc>
          <w:tcPr>
            <w:tcW w:w="3119" w:type="dxa"/>
          </w:tcPr>
          <w:p w14:paraId="60006F75" w14:textId="77777777" w:rsidR="00E138B8" w:rsidRPr="00B53730" w:rsidRDefault="00161B76">
            <w:pPr>
              <w:jc w:val="center"/>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Dónde</w:t>
            </w:r>
          </w:p>
        </w:tc>
        <w:tc>
          <w:tcPr>
            <w:tcW w:w="1417" w:type="dxa"/>
          </w:tcPr>
          <w:p w14:paraId="0BC0C276" w14:textId="77777777" w:rsidR="00E138B8" w:rsidRPr="00B53730" w:rsidRDefault="00161B76">
            <w:pPr>
              <w:jc w:val="center"/>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Concepto</w:t>
            </w:r>
          </w:p>
        </w:tc>
        <w:tc>
          <w:tcPr>
            <w:tcW w:w="3163" w:type="dxa"/>
          </w:tcPr>
          <w:p w14:paraId="7CF0E302" w14:textId="77777777" w:rsidR="00E138B8" w:rsidRPr="00B53730" w:rsidRDefault="00161B76">
            <w:pPr>
              <w:jc w:val="center"/>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Dónde</w:t>
            </w:r>
          </w:p>
        </w:tc>
      </w:tr>
      <w:tr w:rsidR="00B53730" w:rsidRPr="00B53730" w14:paraId="55190B3C" w14:textId="77777777">
        <w:tc>
          <w:tcPr>
            <w:tcW w:w="8828" w:type="dxa"/>
            <w:gridSpan w:val="4"/>
          </w:tcPr>
          <w:p w14:paraId="35C15650" w14:textId="77777777" w:rsidR="00E138B8" w:rsidRPr="00B53730" w:rsidRDefault="00161B76">
            <w:pPr>
              <w:jc w:val="center"/>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Sello oficial o logotipo del sujeto obligado</w:t>
            </w:r>
          </w:p>
        </w:tc>
      </w:tr>
      <w:tr w:rsidR="00B53730" w:rsidRPr="00B53730" w14:paraId="71683C14" w14:textId="77777777">
        <w:tc>
          <w:tcPr>
            <w:tcW w:w="1129" w:type="dxa"/>
          </w:tcPr>
          <w:p w14:paraId="3CD0E446"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Fecha de clasificación</w:t>
            </w:r>
          </w:p>
        </w:tc>
        <w:tc>
          <w:tcPr>
            <w:tcW w:w="3119" w:type="dxa"/>
          </w:tcPr>
          <w:p w14:paraId="34D2255A"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417" w:type="dxa"/>
          </w:tcPr>
          <w:p w14:paraId="7CEFB1F4"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Fecha de clasificación</w:t>
            </w:r>
          </w:p>
        </w:tc>
        <w:tc>
          <w:tcPr>
            <w:tcW w:w="3163" w:type="dxa"/>
          </w:tcPr>
          <w:p w14:paraId="128AC9B1"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B53730" w:rsidRPr="00B53730" w14:paraId="73716F02" w14:textId="77777777">
        <w:tc>
          <w:tcPr>
            <w:tcW w:w="1129" w:type="dxa"/>
          </w:tcPr>
          <w:p w14:paraId="46D5AE9F"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Área</w:t>
            </w:r>
          </w:p>
        </w:tc>
        <w:tc>
          <w:tcPr>
            <w:tcW w:w="3119" w:type="dxa"/>
          </w:tcPr>
          <w:p w14:paraId="0E98DE36"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señalará el nombre del área del cual es titular quien clasifica.</w:t>
            </w:r>
          </w:p>
        </w:tc>
        <w:tc>
          <w:tcPr>
            <w:tcW w:w="1417" w:type="dxa"/>
          </w:tcPr>
          <w:p w14:paraId="199165EE"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Área</w:t>
            </w:r>
          </w:p>
        </w:tc>
        <w:tc>
          <w:tcPr>
            <w:tcW w:w="3163" w:type="dxa"/>
          </w:tcPr>
          <w:p w14:paraId="7A002AA8"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señalará el nombre del área de la cual es el titular quien clasifica.</w:t>
            </w:r>
          </w:p>
        </w:tc>
      </w:tr>
      <w:tr w:rsidR="00B53730" w:rsidRPr="00B53730" w14:paraId="0BF1870A" w14:textId="77777777">
        <w:tc>
          <w:tcPr>
            <w:tcW w:w="1129" w:type="dxa"/>
          </w:tcPr>
          <w:p w14:paraId="61BC82DB"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Información reservada</w:t>
            </w:r>
          </w:p>
        </w:tc>
        <w:tc>
          <w:tcPr>
            <w:tcW w:w="3119" w:type="dxa"/>
          </w:tcPr>
          <w:p w14:paraId="17F4F164"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 xml:space="preserve">Se indicarán, en su caso, las partes o páginas del documento que se clasifican como reservadas. Si el documento fuera reservado en su totalidad, se </w:t>
            </w:r>
            <w:proofErr w:type="gramStart"/>
            <w:r w:rsidRPr="00B53730">
              <w:rPr>
                <w:rFonts w:ascii="Palatino Linotype" w:eastAsia="Palatino Linotype" w:hAnsi="Palatino Linotype" w:cs="Palatino Linotype"/>
                <w:sz w:val="18"/>
                <w:szCs w:val="18"/>
              </w:rPr>
              <w:t>anotarán</w:t>
            </w:r>
            <w:proofErr w:type="gramEnd"/>
            <w:r w:rsidRPr="00B53730">
              <w:rPr>
                <w:rFonts w:ascii="Palatino Linotype" w:eastAsia="Palatino Linotype" w:hAnsi="Palatino Linotype" w:cs="Palatino Linotype"/>
                <w:sz w:val="18"/>
                <w:szCs w:val="18"/>
              </w:rPr>
              <w:t xml:space="preserve"> todas las páginas que lo conforman. Si el documento no contiene información reservada, se tachará este apartado.</w:t>
            </w:r>
          </w:p>
        </w:tc>
        <w:tc>
          <w:tcPr>
            <w:tcW w:w="1417" w:type="dxa"/>
          </w:tcPr>
          <w:p w14:paraId="2ADD3709"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Reservado</w:t>
            </w:r>
          </w:p>
        </w:tc>
        <w:tc>
          <w:tcPr>
            <w:tcW w:w="3163" w:type="dxa"/>
          </w:tcPr>
          <w:p w14:paraId="03952678"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Leyenda de información RESERVADA.</w:t>
            </w:r>
          </w:p>
        </w:tc>
      </w:tr>
      <w:tr w:rsidR="00B53730" w:rsidRPr="00B53730" w14:paraId="75259918" w14:textId="77777777">
        <w:tc>
          <w:tcPr>
            <w:tcW w:w="1129" w:type="dxa"/>
          </w:tcPr>
          <w:p w14:paraId="4BD63C03"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Fundamento legal</w:t>
            </w:r>
          </w:p>
        </w:tc>
        <w:tc>
          <w:tcPr>
            <w:tcW w:w="3119" w:type="dxa"/>
          </w:tcPr>
          <w:p w14:paraId="74C90D76"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417" w:type="dxa"/>
          </w:tcPr>
          <w:p w14:paraId="601667EB"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Periodo de reserva</w:t>
            </w:r>
          </w:p>
        </w:tc>
        <w:tc>
          <w:tcPr>
            <w:tcW w:w="3163" w:type="dxa"/>
          </w:tcPr>
          <w:p w14:paraId="569D8C8B"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B53730" w:rsidRPr="00B53730" w14:paraId="7925FB64" w14:textId="77777777">
        <w:tc>
          <w:tcPr>
            <w:tcW w:w="1129" w:type="dxa"/>
          </w:tcPr>
          <w:p w14:paraId="3E6F1D70"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Ampliación del periodo de reserva</w:t>
            </w:r>
          </w:p>
        </w:tc>
        <w:tc>
          <w:tcPr>
            <w:tcW w:w="3119" w:type="dxa"/>
          </w:tcPr>
          <w:p w14:paraId="47C924EF"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417" w:type="dxa"/>
          </w:tcPr>
          <w:p w14:paraId="0A9AB719"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Fundamento legal</w:t>
            </w:r>
          </w:p>
        </w:tc>
        <w:tc>
          <w:tcPr>
            <w:tcW w:w="3163" w:type="dxa"/>
          </w:tcPr>
          <w:p w14:paraId="6C6EFE7D"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B53730" w:rsidRPr="00B53730" w14:paraId="6E955E51" w14:textId="77777777">
        <w:tc>
          <w:tcPr>
            <w:tcW w:w="1129" w:type="dxa"/>
          </w:tcPr>
          <w:p w14:paraId="412A2071"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Confidencial</w:t>
            </w:r>
          </w:p>
        </w:tc>
        <w:tc>
          <w:tcPr>
            <w:tcW w:w="3119" w:type="dxa"/>
          </w:tcPr>
          <w:p w14:paraId="082B654C"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417" w:type="dxa"/>
          </w:tcPr>
          <w:p w14:paraId="03D9CAB6"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Ampliación del periodo de reserva</w:t>
            </w:r>
          </w:p>
        </w:tc>
        <w:tc>
          <w:tcPr>
            <w:tcW w:w="3163" w:type="dxa"/>
          </w:tcPr>
          <w:p w14:paraId="55426123"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B53730" w:rsidRPr="00B53730" w14:paraId="2543BF9D" w14:textId="77777777">
        <w:tc>
          <w:tcPr>
            <w:tcW w:w="1129" w:type="dxa"/>
          </w:tcPr>
          <w:p w14:paraId="73504B20"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Fundamento legal</w:t>
            </w:r>
          </w:p>
        </w:tc>
        <w:tc>
          <w:tcPr>
            <w:tcW w:w="3119" w:type="dxa"/>
          </w:tcPr>
          <w:p w14:paraId="6A5EF4A5"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417" w:type="dxa"/>
          </w:tcPr>
          <w:p w14:paraId="57DC5F0B"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Confidencial</w:t>
            </w:r>
          </w:p>
        </w:tc>
        <w:tc>
          <w:tcPr>
            <w:tcW w:w="3163" w:type="dxa"/>
          </w:tcPr>
          <w:p w14:paraId="3C370190"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Leyenda de información CONFIDENCIAL.</w:t>
            </w:r>
          </w:p>
        </w:tc>
      </w:tr>
      <w:tr w:rsidR="00B53730" w:rsidRPr="00B53730" w14:paraId="144D6C85" w14:textId="77777777">
        <w:tc>
          <w:tcPr>
            <w:tcW w:w="1129" w:type="dxa"/>
          </w:tcPr>
          <w:p w14:paraId="331ABCC2"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Rúbrica del titular del área</w:t>
            </w:r>
          </w:p>
        </w:tc>
        <w:tc>
          <w:tcPr>
            <w:tcW w:w="3119" w:type="dxa"/>
          </w:tcPr>
          <w:p w14:paraId="23C82656"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Rúbrica autógrafa de quien clasifica.</w:t>
            </w:r>
          </w:p>
        </w:tc>
        <w:tc>
          <w:tcPr>
            <w:tcW w:w="1417" w:type="dxa"/>
          </w:tcPr>
          <w:p w14:paraId="50736C23"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Fundamento legal</w:t>
            </w:r>
          </w:p>
        </w:tc>
        <w:tc>
          <w:tcPr>
            <w:tcW w:w="3163" w:type="dxa"/>
          </w:tcPr>
          <w:p w14:paraId="77084BB6"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B53730" w:rsidRPr="00B53730" w14:paraId="471BCB8A" w14:textId="77777777">
        <w:tc>
          <w:tcPr>
            <w:tcW w:w="1129" w:type="dxa"/>
          </w:tcPr>
          <w:p w14:paraId="7948F744"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Fecha de desclasificación</w:t>
            </w:r>
          </w:p>
        </w:tc>
        <w:tc>
          <w:tcPr>
            <w:tcW w:w="3119" w:type="dxa"/>
          </w:tcPr>
          <w:p w14:paraId="7F42DA72"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anotará la fecha en que se desclasifica el documento.</w:t>
            </w:r>
          </w:p>
        </w:tc>
        <w:tc>
          <w:tcPr>
            <w:tcW w:w="1417" w:type="dxa"/>
          </w:tcPr>
          <w:p w14:paraId="42C3333C"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Rúbrica del titular del área</w:t>
            </w:r>
          </w:p>
        </w:tc>
        <w:tc>
          <w:tcPr>
            <w:tcW w:w="3163" w:type="dxa"/>
          </w:tcPr>
          <w:p w14:paraId="55916D52"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Rúbrica autógrafa de quien clasifica.</w:t>
            </w:r>
          </w:p>
        </w:tc>
      </w:tr>
      <w:tr w:rsidR="00B53730" w:rsidRPr="00B53730" w14:paraId="6E7BD496" w14:textId="77777777">
        <w:tc>
          <w:tcPr>
            <w:tcW w:w="1129" w:type="dxa"/>
          </w:tcPr>
          <w:p w14:paraId="105C446D"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Rúbrica y cargo del servidor público</w:t>
            </w:r>
          </w:p>
        </w:tc>
        <w:tc>
          <w:tcPr>
            <w:tcW w:w="3119" w:type="dxa"/>
          </w:tcPr>
          <w:p w14:paraId="3EB9D487"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Rúbrica autógrafa de quien desclasifica.</w:t>
            </w:r>
          </w:p>
        </w:tc>
        <w:tc>
          <w:tcPr>
            <w:tcW w:w="1417" w:type="dxa"/>
          </w:tcPr>
          <w:p w14:paraId="7A1B0B18"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Fecha de desclasificación</w:t>
            </w:r>
          </w:p>
        </w:tc>
        <w:tc>
          <w:tcPr>
            <w:tcW w:w="3163" w:type="dxa"/>
          </w:tcPr>
          <w:p w14:paraId="7A857F91"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Se anotará la fecha en que se desclasifica.</w:t>
            </w:r>
          </w:p>
        </w:tc>
      </w:tr>
      <w:tr w:rsidR="00B53730" w:rsidRPr="00B53730" w14:paraId="054C597C" w14:textId="77777777">
        <w:tc>
          <w:tcPr>
            <w:tcW w:w="1129" w:type="dxa"/>
          </w:tcPr>
          <w:p w14:paraId="1F976286" w14:textId="77777777" w:rsidR="00E138B8" w:rsidRPr="00B53730" w:rsidRDefault="00E138B8">
            <w:pPr>
              <w:jc w:val="both"/>
              <w:rPr>
                <w:rFonts w:ascii="Palatino Linotype" w:eastAsia="Palatino Linotype" w:hAnsi="Palatino Linotype" w:cs="Palatino Linotype"/>
                <w:sz w:val="18"/>
                <w:szCs w:val="18"/>
              </w:rPr>
            </w:pPr>
          </w:p>
        </w:tc>
        <w:tc>
          <w:tcPr>
            <w:tcW w:w="3119" w:type="dxa"/>
          </w:tcPr>
          <w:p w14:paraId="0DAB750A" w14:textId="77777777" w:rsidR="00E138B8" w:rsidRPr="00B53730" w:rsidRDefault="00E138B8">
            <w:pPr>
              <w:jc w:val="both"/>
              <w:rPr>
                <w:rFonts w:ascii="Palatino Linotype" w:eastAsia="Palatino Linotype" w:hAnsi="Palatino Linotype" w:cs="Palatino Linotype"/>
                <w:sz w:val="18"/>
                <w:szCs w:val="18"/>
              </w:rPr>
            </w:pPr>
          </w:p>
        </w:tc>
        <w:tc>
          <w:tcPr>
            <w:tcW w:w="1417" w:type="dxa"/>
          </w:tcPr>
          <w:p w14:paraId="05B5C99E"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Partes o secciones reservadas o confidenciales</w:t>
            </w:r>
          </w:p>
        </w:tc>
        <w:tc>
          <w:tcPr>
            <w:tcW w:w="3163" w:type="dxa"/>
          </w:tcPr>
          <w:p w14:paraId="2A0462BB"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 xml:space="preserve">En caso que una vez desclasificado el expediente, </w:t>
            </w:r>
            <w:proofErr w:type="spellStart"/>
            <w:r w:rsidRPr="00B53730">
              <w:rPr>
                <w:rFonts w:ascii="Palatino Linotype" w:eastAsia="Palatino Linotype" w:hAnsi="Palatino Linotype" w:cs="Palatino Linotype"/>
                <w:sz w:val="18"/>
                <w:szCs w:val="18"/>
              </w:rPr>
              <w:t>subsistanpartes</w:t>
            </w:r>
            <w:proofErr w:type="spellEnd"/>
            <w:r w:rsidRPr="00B53730">
              <w:rPr>
                <w:rFonts w:ascii="Palatino Linotype" w:eastAsia="Palatino Linotype" w:hAnsi="Palatino Linotype" w:cs="Palatino Linotype"/>
                <w:sz w:val="18"/>
                <w:szCs w:val="18"/>
              </w:rPr>
              <w:t xml:space="preserve"> o secciones del mismo reservadas o confidenciales, se señalará este hecho.</w:t>
            </w:r>
          </w:p>
        </w:tc>
      </w:tr>
      <w:tr w:rsidR="00E138B8" w:rsidRPr="00B53730" w14:paraId="14FF74A3" w14:textId="77777777">
        <w:tc>
          <w:tcPr>
            <w:tcW w:w="1129" w:type="dxa"/>
          </w:tcPr>
          <w:p w14:paraId="5D118A57" w14:textId="77777777" w:rsidR="00E138B8" w:rsidRPr="00B53730" w:rsidRDefault="00E138B8">
            <w:pPr>
              <w:jc w:val="both"/>
              <w:rPr>
                <w:rFonts w:ascii="Palatino Linotype" w:eastAsia="Palatino Linotype" w:hAnsi="Palatino Linotype" w:cs="Palatino Linotype"/>
                <w:sz w:val="18"/>
                <w:szCs w:val="18"/>
              </w:rPr>
            </w:pPr>
          </w:p>
        </w:tc>
        <w:tc>
          <w:tcPr>
            <w:tcW w:w="3119" w:type="dxa"/>
          </w:tcPr>
          <w:p w14:paraId="04F51076" w14:textId="77777777" w:rsidR="00E138B8" w:rsidRPr="00B53730" w:rsidRDefault="00E138B8">
            <w:pPr>
              <w:jc w:val="both"/>
              <w:rPr>
                <w:rFonts w:ascii="Palatino Linotype" w:eastAsia="Palatino Linotype" w:hAnsi="Palatino Linotype" w:cs="Palatino Linotype"/>
                <w:sz w:val="18"/>
                <w:szCs w:val="18"/>
              </w:rPr>
            </w:pPr>
          </w:p>
        </w:tc>
        <w:tc>
          <w:tcPr>
            <w:tcW w:w="1417" w:type="dxa"/>
          </w:tcPr>
          <w:p w14:paraId="48854513" w14:textId="77777777" w:rsidR="00E138B8" w:rsidRPr="00B53730" w:rsidRDefault="00161B76">
            <w:pPr>
              <w:jc w:val="both"/>
              <w:rPr>
                <w:rFonts w:ascii="Palatino Linotype" w:eastAsia="Palatino Linotype" w:hAnsi="Palatino Linotype" w:cs="Palatino Linotype"/>
                <w:b/>
                <w:sz w:val="18"/>
                <w:szCs w:val="18"/>
              </w:rPr>
            </w:pPr>
            <w:r w:rsidRPr="00B53730">
              <w:rPr>
                <w:rFonts w:ascii="Palatino Linotype" w:eastAsia="Palatino Linotype" w:hAnsi="Palatino Linotype" w:cs="Palatino Linotype"/>
                <w:b/>
                <w:sz w:val="18"/>
                <w:szCs w:val="18"/>
              </w:rPr>
              <w:t>Rúbrica y cargo del servidor público</w:t>
            </w:r>
          </w:p>
        </w:tc>
        <w:tc>
          <w:tcPr>
            <w:tcW w:w="3163" w:type="dxa"/>
          </w:tcPr>
          <w:p w14:paraId="3BB7CB4F" w14:textId="77777777" w:rsidR="00E138B8" w:rsidRPr="00B53730" w:rsidRDefault="00161B76">
            <w:pPr>
              <w:jc w:val="both"/>
              <w:rPr>
                <w:rFonts w:ascii="Palatino Linotype" w:eastAsia="Palatino Linotype" w:hAnsi="Palatino Linotype" w:cs="Palatino Linotype"/>
                <w:sz w:val="18"/>
                <w:szCs w:val="18"/>
              </w:rPr>
            </w:pPr>
            <w:r w:rsidRPr="00B53730">
              <w:rPr>
                <w:rFonts w:ascii="Palatino Linotype" w:eastAsia="Palatino Linotype" w:hAnsi="Palatino Linotype" w:cs="Palatino Linotype"/>
                <w:sz w:val="18"/>
                <w:szCs w:val="18"/>
              </w:rPr>
              <w:t>Rúbrica autógrafa de quien desclasifica.</w:t>
            </w:r>
          </w:p>
        </w:tc>
      </w:tr>
    </w:tbl>
    <w:p w14:paraId="272A4A03" w14:textId="77777777" w:rsidR="00E138B8" w:rsidRPr="00B53730" w:rsidRDefault="00E138B8">
      <w:pPr>
        <w:tabs>
          <w:tab w:val="left" w:pos="8222"/>
        </w:tabs>
        <w:spacing w:line="360" w:lineRule="auto"/>
        <w:ind w:right="-28"/>
        <w:jc w:val="both"/>
        <w:rPr>
          <w:rFonts w:ascii="Palatino Linotype" w:eastAsia="Palatino Linotype" w:hAnsi="Palatino Linotype" w:cs="Palatino Linotype"/>
        </w:rPr>
      </w:pPr>
    </w:p>
    <w:p w14:paraId="7C38C1B3" w14:textId="5EDD5696" w:rsidR="00E830D5" w:rsidRPr="00B53730" w:rsidRDefault="00E830D5">
      <w:pPr>
        <w:spacing w:line="360" w:lineRule="auto"/>
        <w:jc w:val="both"/>
        <w:rPr>
          <w:rFonts w:ascii="Palatino Linotype" w:eastAsia="Palatino Linotype" w:hAnsi="Palatino Linotype" w:cs="Palatino Linotype"/>
          <w:b/>
          <w:bCs/>
        </w:rPr>
      </w:pPr>
      <w:r w:rsidRPr="00B53730">
        <w:rPr>
          <w:rFonts w:ascii="Palatino Linotype" w:eastAsia="Palatino Linotype" w:hAnsi="Palatino Linotype" w:cs="Palatino Linotype"/>
          <w:b/>
          <w:bCs/>
        </w:rPr>
        <w:t xml:space="preserve">Sexto. Vista a la Dirección General de Protección de Datos Personales. </w:t>
      </w:r>
    </w:p>
    <w:p w14:paraId="6C4F9E51" w14:textId="457983DC" w:rsidR="00E830D5" w:rsidRPr="00B53730" w:rsidRDefault="00E830D5">
      <w:pPr>
        <w:spacing w:line="360" w:lineRule="auto"/>
        <w:jc w:val="both"/>
        <w:rPr>
          <w:rFonts w:ascii="Palatino Linotype" w:eastAsia="Palatino Linotype" w:hAnsi="Palatino Linotype" w:cs="Palatino Linotype"/>
          <w:b/>
          <w:bCs/>
        </w:rPr>
      </w:pPr>
    </w:p>
    <w:p w14:paraId="1C5E8DA0" w14:textId="18550A60" w:rsidR="00E830D5" w:rsidRPr="00B53730" w:rsidRDefault="00E830D5">
      <w:pPr>
        <w:spacing w:line="360" w:lineRule="auto"/>
        <w:jc w:val="both"/>
        <w:rPr>
          <w:rFonts w:ascii="Palatino Linotype" w:hAnsi="Palatino Linotype" w:cs="Arial"/>
          <w:shd w:val="clear" w:color="auto" w:fill="FFFFFF"/>
        </w:rPr>
      </w:pPr>
      <w:r w:rsidRPr="00B53730">
        <w:rPr>
          <w:rFonts w:ascii="Palatino Linotype" w:hAnsi="Palatino Linotype" w:cs="Arial"/>
          <w:shd w:val="clear" w:color="auto" w:fill="FFFFFF"/>
        </w:rPr>
        <w:t xml:space="preserve">Finalmente, en atención a que de la respuesta el Sujeto Obligado no clasificó adecuadamente la información proporcionada y que actualizaba la fracción I del artículo 143 de la Ley de Transparencia y Acceso a la Información Pública del Estado de México y Municipios, dejando así expuestos datos personales, a saber el </w:t>
      </w:r>
      <w:r w:rsidRPr="00B53730">
        <w:rPr>
          <w:rFonts w:ascii="Palatino Linotype" w:hAnsi="Palatino Linotype" w:cs="Arial"/>
          <w:b/>
          <w:bCs/>
          <w:shd w:val="clear" w:color="auto" w:fill="FFFFFF"/>
        </w:rPr>
        <w:t>número de credencial de elector</w:t>
      </w:r>
      <w:r w:rsidRPr="00B53730">
        <w:rPr>
          <w:rFonts w:ascii="Palatino Linotype" w:hAnsi="Palatino Linotype" w:cs="Arial"/>
          <w:shd w:val="clear" w:color="auto" w:fill="FFFFFF"/>
        </w:rPr>
        <w:t xml:space="preserve">; se ordena dar vista al Titular de la Dirección de Datos Personales de este Organismo Garante en observancia a lo señalado por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w:t>
      </w:r>
    </w:p>
    <w:p w14:paraId="31FBA24A" w14:textId="77777777" w:rsidR="00E830D5" w:rsidRPr="00B53730" w:rsidRDefault="00E830D5">
      <w:pPr>
        <w:spacing w:line="360" w:lineRule="auto"/>
        <w:jc w:val="both"/>
        <w:rPr>
          <w:rFonts w:ascii="Palatino Linotype" w:hAnsi="Palatino Linotype" w:cs="Arial"/>
          <w:shd w:val="clear" w:color="auto" w:fill="FFFFFF"/>
        </w:rPr>
      </w:pPr>
    </w:p>
    <w:p w14:paraId="61C46144" w14:textId="1885826B" w:rsidR="00E830D5" w:rsidRPr="00B53730" w:rsidRDefault="00E830D5">
      <w:pPr>
        <w:spacing w:line="360" w:lineRule="auto"/>
        <w:jc w:val="both"/>
        <w:rPr>
          <w:rFonts w:ascii="Palatino Linotype" w:hAnsi="Palatino Linotype" w:cs="Arial"/>
          <w:shd w:val="clear" w:color="auto" w:fill="FFFFFF"/>
        </w:rPr>
      </w:pPr>
      <w:r w:rsidRPr="00B53730">
        <w:rPr>
          <w:rFonts w:ascii="Palatino Linotype" w:hAnsi="Palatino Linotype" w:cs="Arial"/>
          <w:shd w:val="clear" w:color="auto" w:fill="FFFFFF"/>
        </w:rPr>
        <w:t>Lo anterior, a efecto de que investigue y sanciones las posibles omisiones en las que el Sujeto Obligado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Sujeto Obligado, para que este determine lo que conforme derecho corresponda, cuyo resultado deberá ser informado a este Instituto.</w:t>
      </w:r>
    </w:p>
    <w:p w14:paraId="54E9021C" w14:textId="77777777" w:rsidR="00E830D5" w:rsidRPr="00B53730" w:rsidRDefault="00E830D5">
      <w:pPr>
        <w:spacing w:line="360" w:lineRule="auto"/>
        <w:jc w:val="both"/>
        <w:rPr>
          <w:rFonts w:ascii="Palatino Linotype" w:hAnsi="Palatino Linotype" w:cs="Arial"/>
          <w:shd w:val="clear" w:color="auto" w:fill="FFFFFF"/>
        </w:rPr>
      </w:pPr>
    </w:p>
    <w:p w14:paraId="1C6622CB" w14:textId="0A02D1B4"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En consecuencia, este Organismo Garante determina que las razones o motivos de inconformidad vertidos por la parte</w:t>
      </w:r>
      <w:r w:rsidRPr="00B53730">
        <w:rPr>
          <w:rFonts w:ascii="Palatino Linotype" w:eastAsia="Palatino Linotype" w:hAnsi="Palatino Linotype" w:cs="Palatino Linotype"/>
          <w:b/>
        </w:rPr>
        <w:t xml:space="preserve"> RECURRENTE</w:t>
      </w:r>
      <w:r w:rsidRPr="00B53730">
        <w:rPr>
          <w:rFonts w:ascii="Palatino Linotype" w:eastAsia="Palatino Linotype" w:hAnsi="Palatino Linotype" w:cs="Palatino Linotype"/>
        </w:rPr>
        <w:t xml:space="preserve"> en el recurso de revisión en estudio, resultan fundadas y procedentes por lo que se </w:t>
      </w:r>
      <w:r w:rsidRPr="00B53730">
        <w:rPr>
          <w:rFonts w:ascii="Palatino Linotype" w:eastAsia="Palatino Linotype" w:hAnsi="Palatino Linotype" w:cs="Palatino Linotype"/>
          <w:b/>
        </w:rPr>
        <w:t xml:space="preserve">MODIFICA </w:t>
      </w:r>
      <w:r w:rsidRPr="00B53730">
        <w:rPr>
          <w:rFonts w:ascii="Palatino Linotype" w:eastAsia="Palatino Linotype" w:hAnsi="Palatino Linotype" w:cs="Palatino Linotype"/>
        </w:rPr>
        <w:t>la respuesta del</w:t>
      </w:r>
      <w:r w:rsidRPr="00B53730">
        <w:rPr>
          <w:rFonts w:ascii="Palatino Linotype" w:eastAsia="Palatino Linotype" w:hAnsi="Palatino Linotype" w:cs="Palatino Linotype"/>
          <w:b/>
        </w:rPr>
        <w:t xml:space="preserve"> SUJETO OBLIGADO</w:t>
      </w:r>
      <w:r w:rsidRPr="00B53730">
        <w:rPr>
          <w:rFonts w:ascii="Palatino Linotype" w:eastAsia="Palatino Linotype" w:hAnsi="Palatino Linotype" w:cs="Palatino Linotype"/>
        </w:rPr>
        <w:t xml:space="preserve"> y se ordena que entregue a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vía </w:t>
      </w:r>
      <w:r w:rsidRPr="00B53730">
        <w:rPr>
          <w:rFonts w:ascii="Palatino Linotype" w:eastAsia="Palatino Linotype" w:hAnsi="Palatino Linotype" w:cs="Palatino Linotype"/>
          <w:b/>
        </w:rPr>
        <w:t>SAIMEX</w:t>
      </w:r>
      <w:r w:rsidRPr="00B53730">
        <w:rPr>
          <w:rFonts w:ascii="Palatino Linotype" w:eastAsia="Palatino Linotype" w:hAnsi="Palatino Linotype" w:cs="Palatino Linotype"/>
        </w:rPr>
        <w:t xml:space="preserve">, en versión pública, los convenios enviados en respuesta, acompañados de su Acuerdo de Clasificación que para tal efecto emite su Comité de Transparencia. </w:t>
      </w:r>
    </w:p>
    <w:p w14:paraId="15518716" w14:textId="77777777" w:rsidR="00E138B8" w:rsidRPr="00B53730" w:rsidRDefault="00E138B8">
      <w:pPr>
        <w:spacing w:line="360" w:lineRule="auto"/>
        <w:jc w:val="both"/>
        <w:rPr>
          <w:rFonts w:ascii="Palatino Linotype" w:eastAsia="Palatino Linotype" w:hAnsi="Palatino Linotype" w:cs="Palatino Linotype"/>
        </w:rPr>
      </w:pPr>
    </w:p>
    <w:p w14:paraId="73B81973" w14:textId="77777777" w:rsidR="00E138B8" w:rsidRPr="00B53730" w:rsidRDefault="00161B76">
      <w:pPr>
        <w:tabs>
          <w:tab w:val="left" w:pos="709"/>
        </w:tabs>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B55566" w14:textId="77777777" w:rsidR="00E138B8" w:rsidRPr="00B53730" w:rsidRDefault="00E138B8">
      <w:pPr>
        <w:tabs>
          <w:tab w:val="left" w:pos="709"/>
        </w:tabs>
        <w:spacing w:line="360" w:lineRule="auto"/>
        <w:jc w:val="both"/>
        <w:rPr>
          <w:rFonts w:ascii="Palatino Linotype" w:eastAsia="Palatino Linotype" w:hAnsi="Palatino Linotype" w:cs="Palatino Linotype"/>
        </w:rPr>
      </w:pPr>
    </w:p>
    <w:p w14:paraId="5F9A1760" w14:textId="77777777" w:rsidR="00E138B8" w:rsidRPr="00B53730" w:rsidRDefault="00161B76">
      <w:pPr>
        <w:numPr>
          <w:ilvl w:val="0"/>
          <w:numId w:val="1"/>
        </w:numPr>
        <w:spacing w:line="360" w:lineRule="auto"/>
        <w:jc w:val="center"/>
        <w:rPr>
          <w:rFonts w:ascii="Palatino Linotype" w:eastAsia="Palatino Linotype" w:hAnsi="Palatino Linotype" w:cs="Palatino Linotype"/>
          <w:b/>
        </w:rPr>
      </w:pPr>
      <w:r w:rsidRPr="00B53730">
        <w:rPr>
          <w:rFonts w:ascii="Palatino Linotype" w:eastAsia="Palatino Linotype" w:hAnsi="Palatino Linotype" w:cs="Palatino Linotype"/>
          <w:b/>
        </w:rPr>
        <w:t>R E S U E L V E</w:t>
      </w:r>
    </w:p>
    <w:p w14:paraId="357F9850" w14:textId="77777777" w:rsidR="00E138B8" w:rsidRPr="00B53730" w:rsidRDefault="00E138B8">
      <w:pPr>
        <w:spacing w:line="360" w:lineRule="auto"/>
        <w:ind w:left="1080"/>
        <w:jc w:val="center"/>
        <w:rPr>
          <w:rFonts w:ascii="Palatino Linotype" w:eastAsia="Palatino Linotype" w:hAnsi="Palatino Linotype" w:cs="Palatino Linotype"/>
          <w:b/>
        </w:rPr>
      </w:pPr>
    </w:p>
    <w:p w14:paraId="7B03181D" w14:textId="77777777" w:rsidR="00E138B8" w:rsidRPr="00B53730" w:rsidRDefault="00161B76">
      <w:pPr>
        <w:spacing w:line="360" w:lineRule="auto"/>
        <w:jc w:val="both"/>
        <w:rPr>
          <w:rFonts w:ascii="Palatino Linotype" w:eastAsia="Palatino Linotype" w:hAnsi="Palatino Linotype" w:cs="Palatino Linotype"/>
          <w:b/>
        </w:rPr>
      </w:pPr>
      <w:r w:rsidRPr="00B53730">
        <w:rPr>
          <w:rFonts w:ascii="Palatino Linotype" w:eastAsia="Palatino Linotype" w:hAnsi="Palatino Linotype" w:cs="Palatino Linotype"/>
          <w:b/>
        </w:rPr>
        <w:t xml:space="preserve">PRIMERO. </w:t>
      </w:r>
      <w:r w:rsidRPr="00B53730">
        <w:rPr>
          <w:rFonts w:ascii="Palatino Linotype" w:eastAsia="Palatino Linotype" w:hAnsi="Palatino Linotype" w:cs="Palatino Linotype"/>
        </w:rPr>
        <w:t xml:space="preserve">Resultan fundados los motivos de inconformidad hechos valer por la parte </w:t>
      </w:r>
      <w:r w:rsidRPr="00B53730">
        <w:rPr>
          <w:rFonts w:ascii="Palatino Linotype" w:eastAsia="Palatino Linotype" w:hAnsi="Palatino Linotype" w:cs="Palatino Linotype"/>
          <w:b/>
        </w:rPr>
        <w:t xml:space="preserve">RECURRENTE </w:t>
      </w:r>
      <w:r w:rsidRPr="00B53730">
        <w:rPr>
          <w:rFonts w:ascii="Palatino Linotype" w:eastAsia="Palatino Linotype" w:hAnsi="Palatino Linotype" w:cs="Palatino Linotype"/>
        </w:rPr>
        <w:t xml:space="preserve">en el recurso de revisión </w:t>
      </w:r>
      <w:r w:rsidRPr="00B53730">
        <w:rPr>
          <w:rFonts w:ascii="Palatino Linotype" w:eastAsia="Palatino Linotype" w:hAnsi="Palatino Linotype" w:cs="Palatino Linotype"/>
          <w:b/>
        </w:rPr>
        <w:t>08694/INFOEM/IP/RR/2022</w:t>
      </w:r>
      <w:r w:rsidRPr="00B53730">
        <w:rPr>
          <w:rFonts w:ascii="Palatino Linotype" w:eastAsia="Palatino Linotype" w:hAnsi="Palatino Linotype" w:cs="Palatino Linotype"/>
          <w:b/>
          <w:sz w:val="22"/>
          <w:szCs w:val="22"/>
        </w:rPr>
        <w:t xml:space="preserve">, </w:t>
      </w:r>
      <w:r w:rsidRPr="00B53730">
        <w:rPr>
          <w:rFonts w:ascii="Palatino Linotype" w:eastAsia="Palatino Linotype" w:hAnsi="Palatino Linotype" w:cs="Palatino Linotype"/>
        </w:rPr>
        <w:t xml:space="preserve">por lo que, en términos del Considerando Cuarto de la presente resolución, se </w:t>
      </w:r>
      <w:r w:rsidRPr="00B53730">
        <w:rPr>
          <w:rFonts w:ascii="Palatino Linotype" w:eastAsia="Palatino Linotype" w:hAnsi="Palatino Linotype" w:cs="Palatino Linotype"/>
          <w:b/>
        </w:rPr>
        <w:t xml:space="preserve">MODIFICA </w:t>
      </w:r>
      <w:r w:rsidRPr="00B53730">
        <w:rPr>
          <w:rFonts w:ascii="Palatino Linotype" w:eastAsia="Palatino Linotype" w:hAnsi="Palatino Linotype" w:cs="Palatino Linotype"/>
        </w:rPr>
        <w:t>la respuesta</w:t>
      </w:r>
      <w:r w:rsidRPr="00B53730">
        <w:rPr>
          <w:rFonts w:ascii="Palatino Linotype" w:eastAsia="Palatino Linotype" w:hAnsi="Palatino Linotype" w:cs="Palatino Linotype"/>
          <w:b/>
        </w:rPr>
        <w:t xml:space="preserve"> </w:t>
      </w:r>
      <w:r w:rsidRPr="00B53730">
        <w:rPr>
          <w:rFonts w:ascii="Palatino Linotype" w:eastAsia="Palatino Linotype" w:hAnsi="Palatino Linotype" w:cs="Palatino Linotype"/>
        </w:rPr>
        <w:t xml:space="preserve">del </w:t>
      </w:r>
      <w:r w:rsidRPr="00B53730">
        <w:rPr>
          <w:rFonts w:ascii="Palatino Linotype" w:eastAsia="Palatino Linotype" w:hAnsi="Palatino Linotype" w:cs="Palatino Linotype"/>
          <w:b/>
        </w:rPr>
        <w:t>SUJETO OBLIGADO.</w:t>
      </w:r>
    </w:p>
    <w:p w14:paraId="40C115AF" w14:textId="77777777" w:rsidR="00E138B8" w:rsidRPr="00B53730" w:rsidRDefault="00E138B8">
      <w:pPr>
        <w:spacing w:line="360" w:lineRule="auto"/>
        <w:jc w:val="both"/>
        <w:rPr>
          <w:rFonts w:ascii="Palatino Linotype" w:eastAsia="Palatino Linotype" w:hAnsi="Palatino Linotype" w:cs="Palatino Linotype"/>
          <w:b/>
        </w:rPr>
      </w:pPr>
    </w:p>
    <w:p w14:paraId="4A69ABDF"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SEGUNDO. </w:t>
      </w:r>
      <w:r w:rsidRPr="00B53730">
        <w:rPr>
          <w:rFonts w:ascii="Palatino Linotype" w:eastAsia="Palatino Linotype" w:hAnsi="Palatino Linotype" w:cs="Palatino Linotype"/>
        </w:rPr>
        <w:t xml:space="preserve">Se Ordena al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en términos de los Considerandos </w:t>
      </w:r>
      <w:r w:rsidRPr="00B53730">
        <w:rPr>
          <w:rFonts w:ascii="Palatino Linotype" w:eastAsia="Palatino Linotype" w:hAnsi="Palatino Linotype" w:cs="Palatino Linotype"/>
          <w:b/>
        </w:rPr>
        <w:t>Cuarto y Quinto</w:t>
      </w:r>
      <w:r w:rsidRPr="00B53730">
        <w:rPr>
          <w:rFonts w:ascii="Palatino Linotype" w:eastAsia="Palatino Linotype" w:hAnsi="Palatino Linotype" w:cs="Palatino Linotype"/>
        </w:rPr>
        <w:t xml:space="preserve"> de esta resolución, haga entrega </w:t>
      </w:r>
      <w:r w:rsidRPr="00B53730">
        <w:rPr>
          <w:rFonts w:ascii="Palatino Linotype" w:eastAsia="Palatino Linotype" w:hAnsi="Palatino Linotype" w:cs="Palatino Linotype"/>
          <w:b/>
        </w:rPr>
        <w:t>SAIMEX</w:t>
      </w:r>
      <w:r w:rsidRPr="00B53730">
        <w:rPr>
          <w:rFonts w:ascii="Palatino Linotype" w:eastAsia="Palatino Linotype" w:hAnsi="Palatino Linotype" w:cs="Palatino Linotype"/>
        </w:rPr>
        <w:t xml:space="preserve">, en una correcta versión pública de: </w:t>
      </w:r>
    </w:p>
    <w:p w14:paraId="52F366EC" w14:textId="77777777" w:rsidR="00E138B8" w:rsidRPr="00B53730" w:rsidRDefault="00E138B8">
      <w:pPr>
        <w:spacing w:line="360" w:lineRule="auto"/>
        <w:jc w:val="both"/>
        <w:rPr>
          <w:rFonts w:ascii="Palatino Linotype" w:eastAsia="Palatino Linotype" w:hAnsi="Palatino Linotype" w:cs="Palatino Linotype"/>
        </w:rPr>
      </w:pPr>
    </w:p>
    <w:p w14:paraId="5EC04E90" w14:textId="77777777" w:rsidR="00E138B8" w:rsidRPr="00B53730" w:rsidRDefault="00161B7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bookmarkStart w:id="5" w:name="_heading=h.1fob9te" w:colFirst="0" w:colLast="0"/>
      <w:bookmarkEnd w:id="5"/>
      <w:r w:rsidRPr="00B53730">
        <w:rPr>
          <w:rFonts w:ascii="Palatino Linotype" w:eastAsia="Palatino Linotype" w:hAnsi="Palatino Linotype" w:cs="Palatino Linotype"/>
        </w:rPr>
        <w:t xml:space="preserve">Los </w:t>
      </w:r>
      <w:r w:rsidRPr="00B53730">
        <w:rPr>
          <w:rFonts w:ascii="Palatino Linotype" w:eastAsia="Palatino Linotype" w:hAnsi="Palatino Linotype" w:cs="Palatino Linotype"/>
          <w:b/>
        </w:rPr>
        <w:t>convenios enviados en respuesta a la solicitud de información 00052/TRIECA/IP/2022.</w:t>
      </w:r>
    </w:p>
    <w:p w14:paraId="1292DA8F" w14:textId="77777777" w:rsidR="00E138B8" w:rsidRPr="00B53730" w:rsidRDefault="00E138B8">
      <w:pPr>
        <w:spacing w:line="360" w:lineRule="auto"/>
        <w:jc w:val="both"/>
        <w:rPr>
          <w:rFonts w:ascii="Palatino Linotype" w:eastAsia="Palatino Linotype" w:hAnsi="Palatino Linotype" w:cs="Palatino Linotype"/>
          <w:i/>
        </w:rPr>
      </w:pPr>
    </w:p>
    <w:p w14:paraId="26D7572C" w14:textId="77777777" w:rsidR="00E138B8" w:rsidRPr="00B53730" w:rsidRDefault="00161B76">
      <w:pPr>
        <w:spacing w:line="360" w:lineRule="auto"/>
        <w:jc w:val="both"/>
        <w:rPr>
          <w:rFonts w:ascii="Palatino Linotype" w:eastAsia="Palatino Linotype" w:hAnsi="Palatino Linotype" w:cs="Palatino Linotype"/>
          <w:i/>
        </w:rPr>
      </w:pPr>
      <w:r w:rsidRPr="00B53730">
        <w:rPr>
          <w:rFonts w:ascii="Palatino Linotype" w:eastAsia="Palatino Linotype" w:hAnsi="Palatino Linotype" w:cs="Palatino Linotype"/>
          <w:i/>
        </w:rPr>
        <w:t>Asimismo, deberá remitir el Acuerdo del Comité de Transparencia de conformidad con lo dispuesto en la Ley de Transparencia y Acceso a la Información Pública del Estado de México y Municipios, en el que funde y motive adecuadamente la versión pública de las documentales proporcionadas.</w:t>
      </w:r>
    </w:p>
    <w:p w14:paraId="2E3807CE" w14:textId="77777777" w:rsidR="00E138B8" w:rsidRPr="00B53730" w:rsidRDefault="00E138B8">
      <w:pPr>
        <w:spacing w:line="360" w:lineRule="auto"/>
        <w:jc w:val="both"/>
        <w:rPr>
          <w:rFonts w:ascii="Palatino Linotype" w:eastAsia="Palatino Linotype" w:hAnsi="Palatino Linotype" w:cs="Palatino Linotype"/>
        </w:rPr>
      </w:pPr>
    </w:p>
    <w:p w14:paraId="369034FD" w14:textId="77777777" w:rsidR="00E138B8" w:rsidRPr="00B53730" w:rsidRDefault="00161B76">
      <w:pPr>
        <w:spacing w:line="360" w:lineRule="auto"/>
        <w:jc w:val="both"/>
        <w:rPr>
          <w:rFonts w:ascii="Palatino Linotype" w:eastAsia="Palatino Linotype" w:hAnsi="Palatino Linotype" w:cs="Palatino Linotype"/>
          <w:b/>
        </w:rPr>
      </w:pPr>
      <w:r w:rsidRPr="00B53730">
        <w:rPr>
          <w:rFonts w:ascii="Palatino Linotype" w:eastAsia="Palatino Linotype" w:hAnsi="Palatino Linotype" w:cs="Palatino Linotype"/>
          <w:b/>
        </w:rPr>
        <w:t xml:space="preserve">TERCERO. Notifíquese, vía SAIMEX </w:t>
      </w:r>
      <w:r w:rsidRPr="00B53730">
        <w:rPr>
          <w:rFonts w:ascii="Palatino Linotype" w:eastAsia="Palatino Linotype" w:hAnsi="Palatino Linotype" w:cs="Palatino Linotype"/>
        </w:rPr>
        <w:t xml:space="preserve">a la Titular de la Unidad de Transparencia del </w:t>
      </w:r>
      <w:r w:rsidRPr="00B53730">
        <w:rPr>
          <w:rFonts w:ascii="Palatino Linotype" w:eastAsia="Palatino Linotype" w:hAnsi="Palatino Linotype" w:cs="Palatino Linotype"/>
          <w:b/>
        </w:rPr>
        <w:t>SUJETO OBLIGADO</w:t>
      </w:r>
      <w:r w:rsidRPr="00B5373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53730">
        <w:rPr>
          <w:rFonts w:ascii="Palatino Linotype" w:eastAsia="Palatino Linotype" w:hAnsi="Palatino Linotype" w:cs="Palatino Linotype"/>
          <w:b/>
        </w:rPr>
        <w:t>.</w:t>
      </w:r>
    </w:p>
    <w:p w14:paraId="554DAEDE" w14:textId="77777777" w:rsidR="00E138B8" w:rsidRPr="00B53730" w:rsidRDefault="00E138B8">
      <w:pPr>
        <w:spacing w:line="360" w:lineRule="auto"/>
        <w:jc w:val="both"/>
        <w:rPr>
          <w:rFonts w:ascii="Palatino Linotype" w:eastAsia="Palatino Linotype" w:hAnsi="Palatino Linotype" w:cs="Palatino Linotype"/>
          <w:b/>
        </w:rPr>
      </w:pPr>
    </w:p>
    <w:p w14:paraId="203A5623" w14:textId="7777777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 xml:space="preserve">CUARTO. </w:t>
      </w:r>
      <w:r w:rsidRPr="00B5373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074E3C" w14:textId="77777777" w:rsidR="00E138B8" w:rsidRPr="00B53730" w:rsidRDefault="00E138B8">
      <w:pPr>
        <w:spacing w:line="360" w:lineRule="auto"/>
        <w:jc w:val="both"/>
        <w:rPr>
          <w:rFonts w:ascii="Palatino Linotype" w:eastAsia="Palatino Linotype" w:hAnsi="Palatino Linotype" w:cs="Palatino Linotype"/>
        </w:rPr>
      </w:pPr>
    </w:p>
    <w:p w14:paraId="2851459D" w14:textId="29339E97" w:rsidR="00E138B8" w:rsidRPr="00B53730" w:rsidRDefault="00161B76">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rPr>
        <w:t>QUINTO</w:t>
      </w:r>
      <w:r w:rsidRPr="00B53730">
        <w:rPr>
          <w:rFonts w:ascii="Palatino Linotype" w:eastAsia="Palatino Linotype" w:hAnsi="Palatino Linotype" w:cs="Palatino Linotype"/>
          <w:b/>
          <w:sz w:val="28"/>
          <w:szCs w:val="28"/>
        </w:rPr>
        <w:t>.</w:t>
      </w:r>
      <w:r w:rsidRPr="00B53730">
        <w:rPr>
          <w:rFonts w:ascii="Palatino Linotype" w:eastAsia="Palatino Linotype" w:hAnsi="Palatino Linotype" w:cs="Palatino Linotype"/>
          <w:b/>
        </w:rPr>
        <w:t xml:space="preserve">  Notifíquese </w:t>
      </w:r>
      <w:r w:rsidRPr="00B53730">
        <w:rPr>
          <w:rFonts w:ascii="Palatino Linotype" w:eastAsia="Palatino Linotype" w:hAnsi="Palatino Linotype" w:cs="Palatino Linotype"/>
        </w:rPr>
        <w:t xml:space="preserve">a la parte </w:t>
      </w:r>
      <w:r w:rsidRPr="00B53730">
        <w:rPr>
          <w:rFonts w:ascii="Palatino Linotype" w:eastAsia="Palatino Linotype" w:hAnsi="Palatino Linotype" w:cs="Palatino Linotype"/>
          <w:b/>
        </w:rPr>
        <w:t>RECURRENTE</w:t>
      </w:r>
      <w:r w:rsidRPr="00B53730">
        <w:rPr>
          <w:rFonts w:ascii="Palatino Linotype" w:eastAsia="Palatino Linotype" w:hAnsi="Palatino Linotype" w:cs="Palatino Linotype"/>
        </w:rPr>
        <w:t xml:space="preserve">, la presente resolución </w:t>
      </w:r>
      <w:r w:rsidRPr="00B53730">
        <w:rPr>
          <w:rFonts w:ascii="Palatino Linotype" w:eastAsia="Palatino Linotype" w:hAnsi="Palatino Linotype" w:cs="Palatino Linotype"/>
          <w:b/>
        </w:rPr>
        <w:t>vía</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rPr>
        <w:t>SAIMEX</w:t>
      </w:r>
      <w:r w:rsidRPr="00B53730">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C57C32C" w14:textId="0DE7514B" w:rsidR="00E830D5" w:rsidRPr="00B53730" w:rsidRDefault="00E830D5">
      <w:pPr>
        <w:spacing w:line="360" w:lineRule="auto"/>
        <w:jc w:val="both"/>
        <w:rPr>
          <w:rFonts w:ascii="Palatino Linotype" w:eastAsia="Palatino Linotype" w:hAnsi="Palatino Linotype" w:cs="Palatino Linotype"/>
        </w:rPr>
      </w:pPr>
    </w:p>
    <w:p w14:paraId="7E2669B5" w14:textId="5D960A7B" w:rsidR="00E830D5" w:rsidRPr="00B53730" w:rsidRDefault="00E830D5">
      <w:pPr>
        <w:spacing w:line="360" w:lineRule="auto"/>
        <w:jc w:val="both"/>
        <w:rPr>
          <w:rFonts w:ascii="Palatino Linotype" w:eastAsia="Palatino Linotype" w:hAnsi="Palatino Linotype" w:cs="Palatino Linotype"/>
        </w:rPr>
      </w:pPr>
      <w:r w:rsidRPr="00B53730">
        <w:rPr>
          <w:rFonts w:ascii="Palatino Linotype" w:eastAsia="Palatino Linotype" w:hAnsi="Palatino Linotype" w:cs="Palatino Linotype"/>
          <w:b/>
          <w:bCs/>
        </w:rPr>
        <w:t>S</w:t>
      </w:r>
      <w:r w:rsidR="007F275F" w:rsidRPr="00B53730">
        <w:rPr>
          <w:rFonts w:ascii="Palatino Linotype" w:eastAsia="Palatino Linotype" w:hAnsi="Palatino Linotype" w:cs="Palatino Linotype"/>
          <w:b/>
          <w:bCs/>
        </w:rPr>
        <w:t>EXTO</w:t>
      </w:r>
      <w:r w:rsidRPr="00B53730">
        <w:rPr>
          <w:rFonts w:ascii="Palatino Linotype" w:eastAsia="Palatino Linotype" w:hAnsi="Palatino Linotype" w:cs="Palatino Linotype"/>
          <w:b/>
          <w:bCs/>
        </w:rPr>
        <w:t>.</w:t>
      </w:r>
      <w:r w:rsidRPr="00B53730">
        <w:rPr>
          <w:rFonts w:ascii="Palatino Linotype" w:eastAsia="Palatino Linotype" w:hAnsi="Palatino Linotype" w:cs="Palatino Linotype"/>
        </w:rPr>
        <w:t xml:space="preserve"> </w:t>
      </w:r>
      <w:r w:rsidRPr="00B53730">
        <w:rPr>
          <w:rFonts w:ascii="Palatino Linotype" w:eastAsia="Palatino Linotype" w:hAnsi="Palatino Linotype" w:cs="Palatino Linotype"/>
          <w:b/>
          <w:bCs/>
        </w:rPr>
        <w:t>GÍRESE</w:t>
      </w:r>
      <w:r w:rsidRPr="00B53730">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Sexto de la presente resolución.</w:t>
      </w:r>
    </w:p>
    <w:p w14:paraId="50E86E94" w14:textId="77777777" w:rsidR="00E138B8" w:rsidRPr="00B53730" w:rsidRDefault="00E138B8">
      <w:pPr>
        <w:spacing w:line="360" w:lineRule="auto"/>
        <w:jc w:val="both"/>
        <w:rPr>
          <w:rFonts w:ascii="Palatino Linotype" w:eastAsia="Palatino Linotype" w:hAnsi="Palatino Linotype" w:cs="Palatino Linotype"/>
        </w:rPr>
      </w:pPr>
    </w:p>
    <w:p w14:paraId="7FE6F5BC" w14:textId="77777777" w:rsidR="00E138B8" w:rsidRPr="00B53730" w:rsidRDefault="00161B76">
      <w:pPr>
        <w:spacing w:line="360" w:lineRule="auto"/>
        <w:ind w:right="-93"/>
        <w:jc w:val="both"/>
        <w:rPr>
          <w:rFonts w:ascii="Palatino Linotype" w:eastAsia="Palatino Linotype" w:hAnsi="Palatino Linotype" w:cs="Palatino Linotype"/>
          <w:sz w:val="22"/>
          <w:szCs w:val="22"/>
        </w:rPr>
      </w:pPr>
      <w:bookmarkStart w:id="6" w:name="_heading=h.2et92p0" w:colFirst="0" w:colLast="0"/>
      <w:bookmarkEnd w:id="6"/>
      <w:r w:rsidRPr="00B5373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14:paraId="5A6E228F" w14:textId="77777777" w:rsidR="00E138B8" w:rsidRPr="00B53730" w:rsidRDefault="00E138B8">
      <w:pPr>
        <w:spacing w:line="360" w:lineRule="auto"/>
        <w:jc w:val="both"/>
        <w:rPr>
          <w:rFonts w:ascii="Palatino Linotype" w:eastAsia="Palatino Linotype" w:hAnsi="Palatino Linotype" w:cs="Palatino Linotype"/>
        </w:rPr>
      </w:pPr>
    </w:p>
    <w:p w14:paraId="4E30AC21" w14:textId="77777777" w:rsidR="00E138B8" w:rsidRPr="00B53730" w:rsidRDefault="00E138B8">
      <w:pPr>
        <w:spacing w:line="360" w:lineRule="auto"/>
        <w:jc w:val="both"/>
        <w:rPr>
          <w:rFonts w:ascii="Palatino Linotype" w:eastAsia="Palatino Linotype" w:hAnsi="Palatino Linotype" w:cs="Palatino Linotype"/>
        </w:rPr>
      </w:pPr>
    </w:p>
    <w:p w14:paraId="3C484235" w14:textId="77777777" w:rsidR="00E138B8" w:rsidRPr="00B53730" w:rsidRDefault="00E138B8">
      <w:pPr>
        <w:spacing w:line="360" w:lineRule="auto"/>
        <w:jc w:val="both"/>
        <w:rPr>
          <w:rFonts w:ascii="Palatino Linotype" w:eastAsia="Palatino Linotype" w:hAnsi="Palatino Linotype" w:cs="Palatino Linotype"/>
        </w:rPr>
      </w:pPr>
    </w:p>
    <w:p w14:paraId="3B20CB63" w14:textId="77777777" w:rsidR="00E138B8" w:rsidRPr="00B53730" w:rsidRDefault="00E138B8">
      <w:pPr>
        <w:spacing w:line="360" w:lineRule="auto"/>
        <w:jc w:val="both"/>
        <w:rPr>
          <w:rFonts w:ascii="Palatino Linotype" w:eastAsia="Palatino Linotype" w:hAnsi="Palatino Linotype" w:cs="Palatino Linotype"/>
        </w:rPr>
      </w:pPr>
    </w:p>
    <w:p w14:paraId="74277086" w14:textId="77777777" w:rsidR="00E138B8" w:rsidRPr="00B53730" w:rsidRDefault="00E138B8">
      <w:pPr>
        <w:spacing w:line="360" w:lineRule="auto"/>
        <w:jc w:val="both"/>
        <w:rPr>
          <w:rFonts w:ascii="Palatino Linotype" w:eastAsia="Palatino Linotype" w:hAnsi="Palatino Linotype" w:cs="Palatino Linotype"/>
        </w:rPr>
      </w:pPr>
    </w:p>
    <w:sectPr w:rsidR="00E138B8" w:rsidRPr="00B53730">
      <w:headerReference w:type="default" r:id="rId11"/>
      <w:footerReference w:type="default" r:id="rId12"/>
      <w:headerReference w:type="first" r:id="rId13"/>
      <w:footerReference w:type="first" r:id="rId14"/>
      <w:pgSz w:w="12240" w:h="15840"/>
      <w:pgMar w:top="1985" w:right="1701" w:bottom="1701" w:left="1701" w:header="97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57E35" w14:textId="77777777" w:rsidR="008B48F2" w:rsidRDefault="008B48F2">
      <w:r>
        <w:separator/>
      </w:r>
    </w:p>
  </w:endnote>
  <w:endnote w:type="continuationSeparator" w:id="0">
    <w:p w14:paraId="4704D82B" w14:textId="77777777" w:rsidR="008B48F2" w:rsidRDefault="008B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03D33" w14:textId="77777777" w:rsidR="00E138B8" w:rsidRDefault="00161B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62D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62D5">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3B98A1AC" w14:textId="77777777" w:rsidR="00E138B8" w:rsidRDefault="00E138B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8AD0" w14:textId="77777777" w:rsidR="00E138B8" w:rsidRDefault="00161B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0FB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0FBB">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29644034" w14:textId="77777777" w:rsidR="00E138B8" w:rsidRDefault="00E138B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2E2C5" w14:textId="77777777" w:rsidR="008B48F2" w:rsidRDefault="008B48F2">
      <w:r>
        <w:separator/>
      </w:r>
    </w:p>
  </w:footnote>
  <w:footnote w:type="continuationSeparator" w:id="0">
    <w:p w14:paraId="122FC2FF" w14:textId="77777777" w:rsidR="008B48F2" w:rsidRDefault="008B4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EBE1" w14:textId="77777777" w:rsidR="00E138B8" w:rsidRDefault="00161B7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207FF82" wp14:editId="17E20255">
          <wp:simplePos x="0" y="0"/>
          <wp:positionH relativeFrom="column">
            <wp:posOffset>-1080133</wp:posOffset>
          </wp:positionH>
          <wp:positionV relativeFrom="paragraph">
            <wp:posOffset>-384161</wp:posOffset>
          </wp:positionV>
          <wp:extent cx="7809865" cy="10165715"/>
          <wp:effectExtent l="0" t="0" r="0" b="0"/>
          <wp:wrapNone/>
          <wp:docPr id="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953" w:type="dxa"/>
      <w:tblInd w:w="3261" w:type="dxa"/>
      <w:tblLayout w:type="fixed"/>
      <w:tblLook w:val="0400" w:firstRow="0" w:lastRow="0" w:firstColumn="0" w:lastColumn="0" w:noHBand="0" w:noVBand="1"/>
    </w:tblPr>
    <w:tblGrid>
      <w:gridCol w:w="2489"/>
      <w:gridCol w:w="3464"/>
    </w:tblGrid>
    <w:tr w:rsidR="00E138B8" w14:paraId="79E80A0E" w14:textId="77777777">
      <w:tc>
        <w:tcPr>
          <w:tcW w:w="2489" w:type="dxa"/>
          <w:shd w:val="clear" w:color="auto" w:fill="auto"/>
        </w:tcPr>
        <w:p w14:paraId="491CE650" w14:textId="77777777" w:rsidR="00E138B8" w:rsidRDefault="00161B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4BC6127" w14:textId="77777777" w:rsidR="00E138B8" w:rsidRDefault="00161B7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08694/INFOEM/IP/RR/2022</w:t>
          </w:r>
        </w:p>
      </w:tc>
    </w:tr>
    <w:tr w:rsidR="00E138B8" w14:paraId="27B46FB6" w14:textId="77777777">
      <w:trPr>
        <w:trHeight w:val="228"/>
      </w:trPr>
      <w:tc>
        <w:tcPr>
          <w:tcW w:w="2489" w:type="dxa"/>
          <w:shd w:val="clear" w:color="auto" w:fill="auto"/>
          <w:vAlign w:val="center"/>
        </w:tcPr>
        <w:p w14:paraId="55D6A2B6" w14:textId="77777777" w:rsidR="00E138B8" w:rsidRDefault="00161B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62D020D" w14:textId="77777777" w:rsidR="00E138B8" w:rsidRDefault="00161B7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E138B8" w14:paraId="6098CE91" w14:textId="77777777">
      <w:tc>
        <w:tcPr>
          <w:tcW w:w="2489" w:type="dxa"/>
          <w:shd w:val="clear" w:color="auto" w:fill="auto"/>
          <w:vAlign w:val="center"/>
        </w:tcPr>
        <w:p w14:paraId="502E5B6E" w14:textId="77777777" w:rsidR="00E138B8" w:rsidRDefault="00161B7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D765B49" w14:textId="77777777" w:rsidR="00E138B8" w:rsidRDefault="00161B7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3982B7" w14:textId="77777777" w:rsidR="00E138B8" w:rsidRDefault="00161B7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AEBFD" w14:textId="77777777" w:rsidR="00E138B8" w:rsidRDefault="00161B7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4804421" wp14:editId="57C28A3E">
          <wp:simplePos x="0" y="0"/>
          <wp:positionH relativeFrom="column">
            <wp:posOffset>-716914</wp:posOffset>
          </wp:positionH>
          <wp:positionV relativeFrom="paragraph">
            <wp:posOffset>-302894</wp:posOffset>
          </wp:positionV>
          <wp:extent cx="7809500" cy="11469407"/>
          <wp:effectExtent l="0" t="0" r="0" b="0"/>
          <wp:wrapNone/>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500" cy="11469407"/>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1"/>
      <w:gridCol w:w="3119"/>
    </w:tblGrid>
    <w:tr w:rsidR="00E138B8" w14:paraId="46201223" w14:textId="77777777">
      <w:tc>
        <w:tcPr>
          <w:tcW w:w="2551" w:type="dxa"/>
          <w:shd w:val="clear" w:color="auto" w:fill="auto"/>
          <w:vAlign w:val="center"/>
        </w:tcPr>
        <w:p w14:paraId="22BC2107" w14:textId="77777777" w:rsidR="00E138B8" w:rsidRDefault="00161B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64BD466" w14:textId="77777777" w:rsidR="00E138B8" w:rsidRDefault="00161B7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08694/INFOEM/IP/RR/2022</w:t>
          </w:r>
        </w:p>
      </w:tc>
    </w:tr>
    <w:tr w:rsidR="00E138B8" w14:paraId="6B512971" w14:textId="77777777">
      <w:trPr>
        <w:trHeight w:val="130"/>
      </w:trPr>
      <w:tc>
        <w:tcPr>
          <w:tcW w:w="2551" w:type="dxa"/>
          <w:shd w:val="clear" w:color="auto" w:fill="auto"/>
          <w:vAlign w:val="center"/>
        </w:tcPr>
        <w:p w14:paraId="5764B4AF" w14:textId="77777777" w:rsidR="00E138B8" w:rsidRDefault="00161B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4D7493F6" w14:textId="77777777" w:rsidR="00E138B8" w:rsidRDefault="00E138B8">
          <w:pPr>
            <w:rPr>
              <w:rFonts w:ascii="Palatino Linotype" w:eastAsia="Palatino Linotype" w:hAnsi="Palatino Linotype" w:cs="Palatino Linotype"/>
              <w:b/>
              <w:sz w:val="22"/>
              <w:szCs w:val="22"/>
            </w:rPr>
          </w:pPr>
        </w:p>
      </w:tc>
      <w:tc>
        <w:tcPr>
          <w:tcW w:w="3119" w:type="dxa"/>
          <w:shd w:val="clear" w:color="auto" w:fill="auto"/>
          <w:vAlign w:val="center"/>
        </w:tcPr>
        <w:p w14:paraId="0C5D1DE9" w14:textId="76A4EF04" w:rsidR="00E138B8" w:rsidRDefault="00E00FBB" w:rsidP="00E00FB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XXXXXXXXXX XXXXX XXXX</w:t>
          </w:r>
        </w:p>
      </w:tc>
    </w:tr>
    <w:tr w:rsidR="00E138B8" w14:paraId="7B733655" w14:textId="77777777">
      <w:trPr>
        <w:trHeight w:val="228"/>
      </w:trPr>
      <w:tc>
        <w:tcPr>
          <w:tcW w:w="2551" w:type="dxa"/>
          <w:shd w:val="clear" w:color="auto" w:fill="auto"/>
          <w:vAlign w:val="center"/>
        </w:tcPr>
        <w:p w14:paraId="23AFBDED" w14:textId="77777777" w:rsidR="00E138B8" w:rsidRDefault="00161B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815F9E7" w14:textId="77777777" w:rsidR="00E138B8" w:rsidRDefault="00E138B8">
          <w:pPr>
            <w:rPr>
              <w:rFonts w:ascii="Palatino Linotype" w:eastAsia="Palatino Linotype" w:hAnsi="Palatino Linotype" w:cs="Palatino Linotype"/>
              <w:b/>
              <w:sz w:val="22"/>
              <w:szCs w:val="22"/>
            </w:rPr>
          </w:pPr>
        </w:p>
      </w:tc>
      <w:tc>
        <w:tcPr>
          <w:tcW w:w="3119" w:type="dxa"/>
          <w:shd w:val="clear" w:color="auto" w:fill="auto"/>
          <w:vAlign w:val="center"/>
        </w:tcPr>
        <w:p w14:paraId="6E20CD5C" w14:textId="77777777" w:rsidR="00E138B8" w:rsidRDefault="00161B7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E138B8" w14:paraId="06C0713D" w14:textId="77777777">
      <w:tc>
        <w:tcPr>
          <w:tcW w:w="2551" w:type="dxa"/>
          <w:shd w:val="clear" w:color="auto" w:fill="auto"/>
          <w:vAlign w:val="center"/>
        </w:tcPr>
        <w:p w14:paraId="0DF85B16" w14:textId="77777777" w:rsidR="00E138B8" w:rsidRDefault="00161B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BCB0661" w14:textId="77777777" w:rsidR="00E138B8" w:rsidRDefault="00161B7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C4D4E7" w14:textId="77777777" w:rsidR="00E138B8" w:rsidRDefault="00E138B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21866"/>
    <w:multiLevelType w:val="multilevel"/>
    <w:tmpl w:val="5186D778"/>
    <w:lvl w:ilvl="0">
      <w:start w:val="1"/>
      <w:numFmt w:val="upperRoman"/>
      <w:lvlText w:val="%1."/>
      <w:lvlJc w:val="left"/>
      <w:pPr>
        <w:ind w:left="1080" w:hanging="72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E80C7F"/>
    <w:multiLevelType w:val="multilevel"/>
    <w:tmpl w:val="328EBE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6276290"/>
    <w:multiLevelType w:val="multilevel"/>
    <w:tmpl w:val="FCF612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27285567"/>
    <w:multiLevelType w:val="multilevel"/>
    <w:tmpl w:val="167AA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857471D"/>
    <w:multiLevelType w:val="multilevel"/>
    <w:tmpl w:val="B5ECB82C"/>
    <w:lvl w:ilvl="0">
      <w:start w:val="1"/>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39C5028B"/>
    <w:multiLevelType w:val="multilevel"/>
    <w:tmpl w:val="7652B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0551E22"/>
    <w:multiLevelType w:val="multilevel"/>
    <w:tmpl w:val="636CA7C0"/>
    <w:lvl w:ilvl="0">
      <w:start w:val="1"/>
      <w:numFmt w:val="bullet"/>
      <w:lvlText w:val="●"/>
      <w:lvlJc w:val="left"/>
      <w:pPr>
        <w:ind w:left="1364" w:hanging="360"/>
      </w:pPr>
      <w:rPr>
        <w:rFonts w:ascii="Noto Sans Symbols" w:eastAsia="Noto Sans Symbols" w:hAnsi="Noto Sans Symbols" w:cs="Noto Sans Symbols"/>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7">
    <w:nsid w:val="527758E6"/>
    <w:multiLevelType w:val="multilevel"/>
    <w:tmpl w:val="7028384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9471448"/>
    <w:multiLevelType w:val="multilevel"/>
    <w:tmpl w:val="A87E697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3251DB0"/>
    <w:multiLevelType w:val="multilevel"/>
    <w:tmpl w:val="3A728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1"/>
  </w:num>
  <w:num w:numId="4">
    <w:abstractNumId w:val="2"/>
  </w:num>
  <w:num w:numId="5">
    <w:abstractNumId w:val="6"/>
  </w:num>
  <w:num w:numId="6">
    <w:abstractNumId w:val="0"/>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B8"/>
    <w:rsid w:val="000804F7"/>
    <w:rsid w:val="00161B76"/>
    <w:rsid w:val="00302181"/>
    <w:rsid w:val="004B65E7"/>
    <w:rsid w:val="00506154"/>
    <w:rsid w:val="00593861"/>
    <w:rsid w:val="005E6577"/>
    <w:rsid w:val="007B02FA"/>
    <w:rsid w:val="007F275F"/>
    <w:rsid w:val="007F7115"/>
    <w:rsid w:val="008B48F2"/>
    <w:rsid w:val="009E58FB"/>
    <w:rsid w:val="00B53730"/>
    <w:rsid w:val="00C1262D"/>
    <w:rsid w:val="00E00FBB"/>
    <w:rsid w:val="00E138B8"/>
    <w:rsid w:val="00E830D5"/>
    <w:rsid w:val="00F078B4"/>
    <w:rsid w:val="00F56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ED21"/>
  <w15:docId w15:val="{8FE73EDD-06D5-4D45-8A32-3619A801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A3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6A55E8"/>
    <w:pPr>
      <w:numPr>
        <w:numId w:val="10"/>
      </w:numPr>
      <w:contextualSpacing/>
    </w:pPr>
    <w:rPr>
      <w:lang w:val="es-MX"/>
    </w:rPr>
  </w:style>
  <w:style w:type="character" w:customStyle="1" w:styleId="maestrofonttexto1">
    <w:name w:val="maestro_fonttexto1"/>
    <w:basedOn w:val="Fuentedeprrafopredeter"/>
    <w:rsid w:val="000C565F"/>
    <w:rPr>
      <w:rFonts w:ascii="Arial" w:hAnsi="Arial" w:cs="Arial" w:hint="default"/>
      <w:sz w:val="15"/>
      <w:szCs w:val="15"/>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41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2fN1wd3nalylvc1Rt3Yja1Q1cw==">AMUW2mX9wH1a7EPNYZLPHNtaMazdRDzo8TE6pvTLeHafJN+twM+uZN+r2e30qfOs7FyN1xMmFvKJ8Ffb6p4Yui4xPkCccxycErHoZybY6q5UQu+yGHl40mdrQfBGVwig41p2/JyKIkXft4O8P7uOQQ2Z2lYhC5vRfUaj2GGAi5L9xmExyL+eOUE9ER8UoLF8G268G/rGA2K2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8914</Words>
  <Characters>49030</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2022-12-02T16:00:00Z</cp:lastPrinted>
  <dcterms:created xsi:type="dcterms:W3CDTF">2022-12-06T19:08:00Z</dcterms:created>
  <dcterms:modified xsi:type="dcterms:W3CDTF">2022-12-06T19:08:00Z</dcterms:modified>
</cp:coreProperties>
</file>