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827CD" w14:textId="77777777" w:rsidR="00DC1D62" w:rsidRDefault="00DC1D62">
      <w:pPr>
        <w:widowControl w:val="0"/>
        <w:pBdr>
          <w:top w:val="nil"/>
          <w:left w:val="nil"/>
          <w:bottom w:val="nil"/>
          <w:right w:val="nil"/>
          <w:between w:val="nil"/>
        </w:pBdr>
        <w:spacing w:line="276" w:lineRule="auto"/>
      </w:pPr>
    </w:p>
    <w:p w14:paraId="144BEB9F" w14:textId="77777777" w:rsidR="00DC1D62" w:rsidRDefault="00DC1D62">
      <w:pPr>
        <w:widowControl w:val="0"/>
        <w:pBdr>
          <w:top w:val="nil"/>
          <w:left w:val="nil"/>
          <w:bottom w:val="nil"/>
          <w:right w:val="nil"/>
          <w:between w:val="nil"/>
        </w:pBdr>
        <w:spacing w:line="276" w:lineRule="auto"/>
      </w:pPr>
    </w:p>
    <w:p w14:paraId="3F9AE7E3" w14:textId="77777777" w:rsidR="00DC1D62" w:rsidRDefault="00DC1D62">
      <w:pPr>
        <w:widowControl w:val="0"/>
        <w:pBdr>
          <w:top w:val="nil"/>
          <w:left w:val="nil"/>
          <w:bottom w:val="nil"/>
          <w:right w:val="nil"/>
          <w:between w:val="nil"/>
        </w:pBdr>
        <w:spacing w:line="276" w:lineRule="auto"/>
      </w:pPr>
    </w:p>
    <w:p w14:paraId="34BEC0FD" w14:textId="77777777" w:rsidR="00DC1D62" w:rsidRDefault="00DC1D62">
      <w:pPr>
        <w:widowControl w:val="0"/>
        <w:pBdr>
          <w:top w:val="nil"/>
          <w:left w:val="nil"/>
          <w:bottom w:val="nil"/>
          <w:right w:val="nil"/>
          <w:between w:val="nil"/>
        </w:pBdr>
        <w:spacing w:line="276" w:lineRule="auto"/>
      </w:pPr>
    </w:p>
    <w:p w14:paraId="14FE755E" w14:textId="77777777" w:rsidR="00DC1D62" w:rsidRPr="0091592F" w:rsidRDefault="001F661C">
      <w:pPr>
        <w:spacing w:after="280" w:line="360" w:lineRule="auto"/>
        <w:jc w:val="both"/>
        <w:rPr>
          <w:rFonts w:ascii="Palatino Linotype" w:eastAsia="Palatino Linotype" w:hAnsi="Palatino Linotype" w:cs="Palatino Linotype"/>
        </w:rPr>
      </w:pPr>
      <w:bookmarkStart w:id="0" w:name="_heading=h.gjdgxs" w:colFirst="0" w:colLast="0"/>
      <w:bookmarkEnd w:id="0"/>
      <w:r w:rsidRPr="0091592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cuatro de mayo de dos mil veintidós.</w:t>
      </w:r>
    </w:p>
    <w:p w14:paraId="00E94742" w14:textId="544CEFB5" w:rsidR="00DC1D62" w:rsidRPr="0091592F" w:rsidRDefault="001F661C">
      <w:pPr>
        <w:spacing w:before="280" w:after="280"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b/>
        </w:rPr>
        <w:t>VISTO</w:t>
      </w:r>
      <w:r w:rsidRPr="0091592F">
        <w:rPr>
          <w:rFonts w:ascii="Palatino Linotype" w:eastAsia="Palatino Linotype" w:hAnsi="Palatino Linotype" w:cs="Palatino Linotype"/>
        </w:rPr>
        <w:t xml:space="preserve"> el expediente formado con motivo del Recurso de Revisión </w:t>
      </w:r>
      <w:r w:rsidRPr="0091592F">
        <w:rPr>
          <w:rFonts w:ascii="Palatino Linotype" w:eastAsia="Palatino Linotype" w:hAnsi="Palatino Linotype" w:cs="Palatino Linotype"/>
          <w:b/>
        </w:rPr>
        <w:t>01107/INFOEM/IP/RR/2022</w:t>
      </w:r>
      <w:r w:rsidRPr="0091592F">
        <w:rPr>
          <w:rFonts w:ascii="Palatino Linotype" w:eastAsia="Palatino Linotype" w:hAnsi="Palatino Linotype" w:cs="Palatino Linotype"/>
        </w:rPr>
        <w:t xml:space="preserve">, promovido por un particular quien señalo por nombre </w:t>
      </w:r>
      <w:r w:rsidR="009608AF">
        <w:rPr>
          <w:rFonts w:ascii="Palatino Linotype" w:eastAsia="Palatino Linotype" w:hAnsi="Palatino Linotype" w:cs="Palatino Linotype"/>
          <w:b/>
        </w:rPr>
        <w:t xml:space="preserve">XXXX XXXXXXX </w:t>
      </w:r>
      <w:proofErr w:type="spellStart"/>
      <w:r w:rsidR="009608AF">
        <w:rPr>
          <w:rFonts w:ascii="Palatino Linotype" w:eastAsia="Palatino Linotype" w:hAnsi="Palatino Linotype" w:cs="Palatino Linotype"/>
          <w:b/>
        </w:rPr>
        <w:t>XXXXXXX</w:t>
      </w:r>
      <w:proofErr w:type="spellEnd"/>
      <w:r w:rsidRPr="0091592F">
        <w:rPr>
          <w:rFonts w:ascii="Palatino Linotype" w:eastAsia="Palatino Linotype" w:hAnsi="Palatino Linotype" w:cs="Palatino Linotype"/>
          <w:b/>
        </w:rPr>
        <w:t xml:space="preserve">, </w:t>
      </w:r>
      <w:r w:rsidRPr="0091592F">
        <w:rPr>
          <w:rFonts w:ascii="Palatino Linotype" w:eastAsia="Palatino Linotype" w:hAnsi="Palatino Linotype" w:cs="Palatino Linotype"/>
        </w:rPr>
        <w:t xml:space="preserve">a quien en lo sucesivo se le denominará </w:t>
      </w:r>
      <w:r w:rsidRPr="0091592F">
        <w:rPr>
          <w:rFonts w:ascii="Palatino Linotype" w:eastAsia="Palatino Linotype" w:hAnsi="Palatino Linotype" w:cs="Palatino Linotype"/>
          <w:b/>
        </w:rPr>
        <w:t>EL</w:t>
      </w:r>
      <w:r w:rsidRPr="0091592F">
        <w:rPr>
          <w:rFonts w:ascii="Palatino Linotype" w:eastAsia="Palatino Linotype" w:hAnsi="Palatino Linotype" w:cs="Palatino Linotype"/>
        </w:rPr>
        <w:t xml:space="preserve"> </w:t>
      </w:r>
      <w:r w:rsidRPr="0091592F">
        <w:rPr>
          <w:rFonts w:ascii="Palatino Linotype" w:eastAsia="Palatino Linotype" w:hAnsi="Palatino Linotype" w:cs="Palatino Linotype"/>
          <w:b/>
        </w:rPr>
        <w:t>RECURRENTE</w:t>
      </w:r>
      <w:r w:rsidRPr="0091592F">
        <w:rPr>
          <w:rFonts w:ascii="Palatino Linotype" w:eastAsia="Palatino Linotype" w:hAnsi="Palatino Linotype" w:cs="Palatino Linotype"/>
        </w:rPr>
        <w:t xml:space="preserve">, en contra de la respuesta emitida por el </w:t>
      </w:r>
      <w:r w:rsidRPr="0091592F">
        <w:rPr>
          <w:rFonts w:ascii="Palatino Linotype" w:eastAsia="Palatino Linotype" w:hAnsi="Palatino Linotype" w:cs="Palatino Linotype"/>
          <w:b/>
        </w:rPr>
        <w:t xml:space="preserve">Sistema de Agua Potable Alcantarillado y Saneamiento de Ecatepec de Morelos, </w:t>
      </w:r>
      <w:r w:rsidRPr="0091592F">
        <w:rPr>
          <w:rFonts w:ascii="Palatino Linotype" w:eastAsia="Palatino Linotype" w:hAnsi="Palatino Linotype" w:cs="Palatino Linotype"/>
        </w:rPr>
        <w:t xml:space="preserve">a quien en lo sucesivo se le denominará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se procede a dictar la presente resolución con base en lo siguiente:</w:t>
      </w:r>
    </w:p>
    <w:p w14:paraId="105F539F" w14:textId="77777777" w:rsidR="00DC1D62" w:rsidRPr="0091592F" w:rsidRDefault="001F661C">
      <w:pPr>
        <w:spacing w:before="280" w:after="280" w:line="360" w:lineRule="auto"/>
        <w:jc w:val="center"/>
        <w:rPr>
          <w:rFonts w:ascii="Palatino Linotype" w:eastAsia="Palatino Linotype" w:hAnsi="Palatino Linotype" w:cs="Palatino Linotype"/>
          <w:b/>
          <w:sz w:val="28"/>
          <w:szCs w:val="28"/>
        </w:rPr>
      </w:pPr>
      <w:r w:rsidRPr="0091592F">
        <w:rPr>
          <w:rFonts w:ascii="Palatino Linotype" w:eastAsia="Palatino Linotype" w:hAnsi="Palatino Linotype" w:cs="Palatino Linotype"/>
          <w:b/>
          <w:sz w:val="28"/>
          <w:szCs w:val="28"/>
        </w:rPr>
        <w:t>ANTECEDENTES</w:t>
      </w:r>
    </w:p>
    <w:p w14:paraId="3417A76C" w14:textId="77777777" w:rsidR="00DC1D62" w:rsidRPr="0091592F" w:rsidRDefault="001F661C">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sz w:val="32"/>
          <w:szCs w:val="32"/>
        </w:rPr>
      </w:pPr>
      <w:bookmarkStart w:id="1" w:name="_heading=h.30j0zll" w:colFirst="0" w:colLast="0"/>
      <w:bookmarkEnd w:id="1"/>
      <w:r w:rsidRPr="0091592F">
        <w:rPr>
          <w:rFonts w:ascii="Palatino Linotype" w:eastAsia="Palatino Linotype" w:hAnsi="Palatino Linotype" w:cs="Palatino Linotype"/>
          <w:b/>
          <w:color w:val="000000"/>
          <w:sz w:val="32"/>
          <w:szCs w:val="32"/>
        </w:rPr>
        <w:t>I.</w:t>
      </w:r>
      <w:r w:rsidRPr="0091592F">
        <w:rPr>
          <w:rFonts w:ascii="Palatino Linotype" w:eastAsia="Palatino Linotype" w:hAnsi="Palatino Linotype" w:cs="Palatino Linotype"/>
          <w:color w:val="000000"/>
          <w:sz w:val="32"/>
          <w:szCs w:val="32"/>
        </w:rPr>
        <w:t xml:space="preserve"> </w:t>
      </w:r>
      <w:r w:rsidRPr="0091592F">
        <w:rPr>
          <w:rFonts w:ascii="Palatino Linotype" w:eastAsia="Palatino Linotype" w:hAnsi="Palatino Linotype" w:cs="Palatino Linotype"/>
          <w:b/>
          <w:color w:val="000000"/>
          <w:sz w:val="32"/>
          <w:szCs w:val="32"/>
        </w:rPr>
        <w:t>De la Solicitud de Información:</w:t>
      </w:r>
    </w:p>
    <w:p w14:paraId="0A7EA31B" w14:textId="77777777" w:rsidR="00DC1D62" w:rsidRPr="0091592F" w:rsidRDefault="001F661C">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En fecha </w:t>
      </w:r>
      <w:r w:rsidRPr="0091592F">
        <w:rPr>
          <w:rFonts w:ascii="Palatino Linotype" w:eastAsia="Palatino Linotype" w:hAnsi="Palatino Linotype" w:cs="Palatino Linotype"/>
        </w:rPr>
        <w:t xml:space="preserve">veintinueve </w:t>
      </w:r>
      <w:r w:rsidRPr="0091592F">
        <w:rPr>
          <w:rFonts w:ascii="Palatino Linotype" w:eastAsia="Palatino Linotype" w:hAnsi="Palatino Linotype" w:cs="Palatino Linotype"/>
          <w:color w:val="000000"/>
        </w:rPr>
        <w:t xml:space="preserve">de enero de dos mil veintidós, </w:t>
      </w:r>
      <w:r w:rsidRPr="0091592F">
        <w:rPr>
          <w:rFonts w:ascii="Palatino Linotype" w:eastAsia="Palatino Linotype" w:hAnsi="Palatino Linotype" w:cs="Palatino Linotype"/>
          <w:b/>
          <w:color w:val="000000"/>
        </w:rPr>
        <w:t xml:space="preserve">EL RECURRENTE </w:t>
      </w:r>
      <w:r w:rsidRPr="0091592F">
        <w:rPr>
          <w:rFonts w:ascii="Palatino Linotype" w:eastAsia="Palatino Linotype" w:hAnsi="Palatino Linotype" w:cs="Palatino Linotype"/>
          <w:color w:val="000000"/>
        </w:rPr>
        <w:t xml:space="preserve">presentó a través del Sistema de Acceso a la Información Mexiquense, que en lo subsecuente se denominará </w:t>
      </w:r>
      <w:r w:rsidRPr="0091592F">
        <w:rPr>
          <w:rFonts w:ascii="Palatino Linotype" w:eastAsia="Palatino Linotype" w:hAnsi="Palatino Linotype" w:cs="Palatino Linotype"/>
          <w:b/>
          <w:color w:val="000000"/>
        </w:rPr>
        <w:t>EL SAIMEX,</w:t>
      </w:r>
      <w:r w:rsidRPr="0091592F">
        <w:rPr>
          <w:rFonts w:ascii="Palatino Linotype" w:eastAsia="Palatino Linotype" w:hAnsi="Palatino Linotype" w:cs="Palatino Linotype"/>
          <w:color w:val="000000"/>
        </w:rPr>
        <w:t xml:space="preserve"> ante </w:t>
      </w:r>
      <w:r w:rsidRPr="0091592F">
        <w:rPr>
          <w:rFonts w:ascii="Palatino Linotype" w:eastAsia="Palatino Linotype" w:hAnsi="Palatino Linotype" w:cs="Palatino Linotype"/>
          <w:b/>
          <w:color w:val="000000"/>
        </w:rPr>
        <w:t>EL SUJETO OBLIGADO</w:t>
      </w:r>
      <w:r w:rsidRPr="0091592F">
        <w:rPr>
          <w:rFonts w:ascii="Palatino Linotype" w:eastAsia="Palatino Linotype" w:hAnsi="Palatino Linotype" w:cs="Palatino Linotype"/>
          <w:color w:val="000000"/>
        </w:rPr>
        <w:t>, la solicitud de acceso a la Información Pública a la que se le asignó el número</w:t>
      </w:r>
      <w:r w:rsidRPr="0091592F">
        <w:rPr>
          <w:rFonts w:ascii="Palatino Linotype" w:eastAsia="Palatino Linotype" w:hAnsi="Palatino Linotype" w:cs="Palatino Linotype"/>
          <w:b/>
          <w:color w:val="FF0000"/>
        </w:rPr>
        <w:t xml:space="preserve"> </w:t>
      </w:r>
      <w:r w:rsidRPr="0091592F">
        <w:rPr>
          <w:rFonts w:ascii="Palatino Linotype" w:eastAsia="Palatino Linotype" w:hAnsi="Palatino Linotype" w:cs="Palatino Linotype"/>
          <w:b/>
        </w:rPr>
        <w:t>00007/OASECATEPE/IP/2022</w:t>
      </w:r>
      <w:r w:rsidRPr="0091592F">
        <w:rPr>
          <w:rFonts w:ascii="Palatino Linotype" w:eastAsia="Palatino Linotype" w:hAnsi="Palatino Linotype" w:cs="Palatino Linotype"/>
          <w:b/>
          <w:color w:val="000000"/>
        </w:rPr>
        <w:t xml:space="preserve"> </w:t>
      </w:r>
      <w:r w:rsidRPr="0091592F">
        <w:rPr>
          <w:rFonts w:ascii="Palatino Linotype" w:eastAsia="Palatino Linotype" w:hAnsi="Palatino Linotype" w:cs="Palatino Linotype"/>
          <w:color w:val="000000"/>
        </w:rPr>
        <w:t>mediante la cual requirió, lo siguiente:</w:t>
      </w:r>
    </w:p>
    <w:p w14:paraId="3743FBDE" w14:textId="77777777" w:rsidR="00DC1D62" w:rsidRPr="0091592F" w:rsidRDefault="001F661C">
      <w:pPr>
        <w:pBdr>
          <w:top w:val="nil"/>
          <w:left w:val="nil"/>
          <w:bottom w:val="nil"/>
          <w:right w:val="nil"/>
          <w:between w:val="nil"/>
        </w:pBdr>
        <w:tabs>
          <w:tab w:val="left" w:pos="709"/>
        </w:tabs>
        <w:spacing w:before="280" w:after="280"/>
        <w:ind w:left="851" w:right="618"/>
        <w:jc w:val="both"/>
        <w:rPr>
          <w:rFonts w:ascii="Palatino Linotype" w:eastAsia="Palatino Linotype" w:hAnsi="Palatino Linotype" w:cs="Palatino Linotype"/>
          <w:i/>
          <w:color w:val="000000"/>
          <w:sz w:val="22"/>
          <w:szCs w:val="22"/>
        </w:rPr>
      </w:pPr>
      <w:bookmarkStart w:id="2" w:name="_heading=h.1fob9te" w:colFirst="0" w:colLast="0"/>
      <w:bookmarkEnd w:id="2"/>
      <w:r w:rsidRPr="0091592F">
        <w:rPr>
          <w:rFonts w:ascii="Palatino Linotype" w:eastAsia="Palatino Linotype" w:hAnsi="Palatino Linotype" w:cs="Palatino Linotype"/>
          <w:i/>
          <w:color w:val="000000"/>
          <w:sz w:val="22"/>
          <w:szCs w:val="22"/>
        </w:rPr>
        <w:lastRenderedPageBreak/>
        <w:t>“</w:t>
      </w:r>
      <w:r w:rsidRPr="0091592F">
        <w:rPr>
          <w:rFonts w:ascii="Palatino Linotype" w:eastAsia="Palatino Linotype" w:hAnsi="Palatino Linotype" w:cs="Palatino Linotype"/>
          <w:i/>
          <w:sz w:val="22"/>
          <w:szCs w:val="22"/>
        </w:rPr>
        <w:t xml:space="preserve">Solicito Obtener la opinión de cumplimiento proporcionada directamente por el ente fiscalizador: SAT, IMSS, INFONAVIT y SATEM, cada uno en sus respectivos ámbitos y generada x el ente obligado; ya que los reportes fiscales los baja la persona autorizada por el ente obligado con la clave CIEC tratándose del ISR salarios y asimilados. Esto para confirmar que el ayuntamiento y las paramunicipales (Junta de agua potable, DIF, Casa de la cultura, etc.) están cumpliendo correctamente sus obligaciones fiscales. Reportes del ayuntamiento y de las paramunicipales solicitados en formato digital: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las paramunicipales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paramunicipal. A cada uno de los trabajadores seleccionados el personal responsable del municipio y/o de las paramunicipales, les calcularán el impuesto anual por los años 2017, 2018, 2019, y 2020, con base en los datos precargados en el expediente fiscal del trabajador. Para </w:t>
      </w:r>
      <w:r w:rsidRPr="0091592F">
        <w:rPr>
          <w:rFonts w:ascii="Palatino Linotype" w:eastAsia="Palatino Linotype" w:hAnsi="Palatino Linotype" w:cs="Palatino Linotype"/>
          <w:i/>
          <w:sz w:val="22"/>
          <w:szCs w:val="22"/>
        </w:rPr>
        <w:lastRenderedPageBreak/>
        <w:t xml:space="preserve">guardar la confidencialidad, a </w:t>
      </w:r>
      <w:proofErr w:type="spellStart"/>
      <w:r w:rsidRPr="0091592F">
        <w:rPr>
          <w:rFonts w:ascii="Palatino Linotype" w:eastAsia="Palatino Linotype" w:hAnsi="Palatino Linotype" w:cs="Palatino Linotype"/>
          <w:i/>
          <w:sz w:val="22"/>
          <w:szCs w:val="22"/>
        </w:rPr>
        <w:t>mi</w:t>
      </w:r>
      <w:proofErr w:type="spellEnd"/>
      <w:r w:rsidRPr="0091592F">
        <w:rPr>
          <w:rFonts w:ascii="Palatino Linotype" w:eastAsia="Palatino Linotype" w:hAnsi="Palatino Linotype" w:cs="Palatino Linotype"/>
          <w:i/>
          <w:sz w:val="22"/>
          <w:szCs w:val="22"/>
        </w:rPr>
        <w:t xml:space="preserve"> solo me entregarán un papel de trabajo con los siguientes encabezados: A)En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w:t>
      </w:r>
      <w:r w:rsidRPr="0091592F">
        <w:rPr>
          <w:rFonts w:ascii="Palatino Linotype" w:eastAsia="Palatino Linotype" w:hAnsi="Palatino Linotype" w:cs="Palatino Linotype"/>
          <w:i/>
          <w:color w:val="000000"/>
          <w:sz w:val="22"/>
          <w:szCs w:val="22"/>
        </w:rPr>
        <w:t>”(</w:t>
      </w:r>
      <w:r w:rsidRPr="0091592F">
        <w:rPr>
          <w:rFonts w:ascii="Palatino Linotype" w:eastAsia="Palatino Linotype" w:hAnsi="Palatino Linotype" w:cs="Palatino Linotype"/>
          <w:i/>
          <w:sz w:val="22"/>
          <w:szCs w:val="22"/>
        </w:rPr>
        <w:t>Sic)</w:t>
      </w:r>
    </w:p>
    <w:p w14:paraId="4622468E" w14:textId="77777777" w:rsidR="00DC1D62" w:rsidRPr="0091592F" w:rsidRDefault="001F661C">
      <w:pPr>
        <w:spacing w:before="280" w:after="280"/>
        <w:ind w:right="709"/>
        <w:jc w:val="both"/>
        <w:rPr>
          <w:rFonts w:ascii="Palatino Linotype" w:eastAsia="Palatino Linotype" w:hAnsi="Palatino Linotype" w:cs="Palatino Linotype"/>
        </w:rPr>
      </w:pPr>
      <w:r w:rsidRPr="0091592F">
        <w:rPr>
          <w:rFonts w:ascii="Palatino Linotype" w:eastAsia="Palatino Linotype" w:hAnsi="Palatino Linotype" w:cs="Palatino Linotype"/>
          <w:b/>
          <w:sz w:val="28"/>
          <w:szCs w:val="28"/>
        </w:rPr>
        <w:t>Modalidad de entrega:</w:t>
      </w:r>
      <w:r w:rsidRPr="0091592F">
        <w:rPr>
          <w:rFonts w:ascii="Palatino Linotype" w:eastAsia="Palatino Linotype" w:hAnsi="Palatino Linotype" w:cs="Palatino Linotype"/>
          <w:b/>
        </w:rPr>
        <w:t xml:space="preserve"> </w:t>
      </w:r>
      <w:r w:rsidRPr="0091592F">
        <w:rPr>
          <w:rFonts w:ascii="Palatino Linotype" w:eastAsia="Palatino Linotype" w:hAnsi="Palatino Linotype" w:cs="Palatino Linotype"/>
        </w:rPr>
        <w:t xml:space="preserve">vía </w:t>
      </w:r>
      <w:r w:rsidRPr="0091592F">
        <w:rPr>
          <w:rFonts w:ascii="Palatino Linotype" w:eastAsia="Palatino Linotype" w:hAnsi="Palatino Linotype" w:cs="Palatino Linotype"/>
          <w:b/>
        </w:rPr>
        <w:t xml:space="preserve">SAIMEX y </w:t>
      </w:r>
      <w:r w:rsidRPr="0091592F">
        <w:rPr>
          <w:rFonts w:ascii="Palatino Linotype" w:eastAsia="Palatino Linotype" w:hAnsi="Palatino Linotype" w:cs="Palatino Linotype"/>
        </w:rPr>
        <w:t xml:space="preserve">correo electrónico </w:t>
      </w:r>
    </w:p>
    <w:p w14:paraId="2BF9A215" w14:textId="77777777" w:rsidR="00DC1D62" w:rsidRPr="0091592F" w:rsidRDefault="001F661C">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sz w:val="28"/>
          <w:szCs w:val="28"/>
        </w:rPr>
      </w:pPr>
      <w:r w:rsidRPr="0091592F">
        <w:rPr>
          <w:rFonts w:ascii="Palatino Linotype" w:eastAsia="Palatino Linotype" w:hAnsi="Palatino Linotype" w:cs="Palatino Linotype"/>
          <w:b/>
          <w:color w:val="000000"/>
          <w:sz w:val="28"/>
          <w:szCs w:val="28"/>
        </w:rPr>
        <w:t>II. Respuesta del Sujeto Obligado:</w:t>
      </w:r>
    </w:p>
    <w:p w14:paraId="22CBDA12" w14:textId="77777777" w:rsidR="00DC1D62" w:rsidRPr="0091592F" w:rsidRDefault="001F661C">
      <w:pPr>
        <w:widowControl w:val="0"/>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En fecha veintidós de febrero de dos mil veintidós,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dio respuesta a la solicitud de información en los siguientes términos:</w:t>
      </w:r>
    </w:p>
    <w:p w14:paraId="0179A13C" w14:textId="77777777" w:rsidR="00DC1D62" w:rsidRPr="0091592F" w:rsidRDefault="00DC1D62">
      <w:pPr>
        <w:widowControl w:val="0"/>
        <w:spacing w:line="360" w:lineRule="auto"/>
        <w:jc w:val="both"/>
        <w:rPr>
          <w:rFonts w:ascii="Palatino Linotype" w:eastAsia="Palatino Linotype" w:hAnsi="Palatino Linotype" w:cs="Palatino Linotype"/>
        </w:rPr>
      </w:pPr>
    </w:p>
    <w:p w14:paraId="322B3338" w14:textId="77777777" w:rsidR="00DC1D62" w:rsidRPr="0091592F" w:rsidRDefault="001F661C">
      <w:pPr>
        <w:widowControl w:val="0"/>
        <w:ind w:left="851" w:right="616"/>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00007/OASECATEPE/IP/2021; relativo a su petición de información en la que a la letra dice: Solicito Obtener la opinión de cumplimiento proporcionada directamente por el ente fiscalizador: SAT, IMSS, INFONAVIT y SATEM, cada uno en sus respectivos ámbitos y generada x el ente obligado; ya que los reportes fiscales los baja la persona autorizada por el ente obligado con la clave CIEC tratándose del ISR salarios y asimilados. Esto para confirmar que el ayuntamiento y las paramunicipales (Junta de agua potable, DIF, Casa de la cultura, etc.) están cumpliendo correctamente sus obligaciones fiscales. Reportes del ayuntamiento y de las paramunicipales solicitados en formato digital: I. Reportes del </w:t>
      </w:r>
      <w:r w:rsidRPr="0091592F">
        <w:rPr>
          <w:rFonts w:ascii="Palatino Linotype" w:eastAsia="Palatino Linotype" w:hAnsi="Palatino Linotype" w:cs="Palatino Linotype"/>
          <w:i/>
          <w:sz w:val="22"/>
          <w:szCs w:val="22"/>
        </w:rPr>
        <w:lastRenderedPageBreak/>
        <w:t xml:space="preserve">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las paramunicipales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paramunicipal.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a </w:t>
      </w:r>
      <w:proofErr w:type="spellStart"/>
      <w:r w:rsidRPr="0091592F">
        <w:rPr>
          <w:rFonts w:ascii="Palatino Linotype" w:eastAsia="Palatino Linotype" w:hAnsi="Palatino Linotype" w:cs="Palatino Linotype"/>
          <w:i/>
          <w:sz w:val="22"/>
          <w:szCs w:val="22"/>
        </w:rPr>
        <w:t>mi</w:t>
      </w:r>
      <w:proofErr w:type="spellEnd"/>
      <w:r w:rsidRPr="0091592F">
        <w:rPr>
          <w:rFonts w:ascii="Palatino Linotype" w:eastAsia="Palatino Linotype" w:hAnsi="Palatino Linotype" w:cs="Palatino Linotype"/>
          <w:i/>
          <w:sz w:val="22"/>
          <w:szCs w:val="22"/>
        </w:rPr>
        <w:t xml:space="preserve"> solo me entregarán un papel de trabajo con los siguientes encabezados: A)En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w:t>
      </w:r>
      <w:r w:rsidRPr="0091592F">
        <w:rPr>
          <w:rFonts w:ascii="Palatino Linotype" w:eastAsia="Palatino Linotype" w:hAnsi="Palatino Linotype" w:cs="Palatino Linotype"/>
          <w:i/>
          <w:sz w:val="22"/>
          <w:szCs w:val="22"/>
        </w:rPr>
        <w:lastRenderedPageBreak/>
        <w:t>solamente se captura la información de los años que si hayan trabajado… (Sic) Por lo anterior me permito comentarle que se realizó una búsqueda exhaustiva en los archivos que obra dentro de este Organismo y no cuenta con servicios de las instituciones de las cuales requiere información en esta solicitud, esto por ser servidores del Estado de México y por ende no se cuenta con afiliaciones a las instituciones señaladas. Es menester comentarle que el ISR es personal y se aplica al trabajador estrictamente apegado a la Ley del Impuesto sobre la Renta no habiendo adeudos sobre ese rubro. . Sin más por el momento, quedo de usted esperando que le sea de utilidad dicha información.” (Sic)</w:t>
      </w:r>
    </w:p>
    <w:p w14:paraId="3E58BC91" w14:textId="77777777" w:rsidR="00DC1D62" w:rsidRPr="0091592F" w:rsidRDefault="00DC1D62">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p>
    <w:p w14:paraId="6D46E81E"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Además, en respuesta, adjuntó el archivo electrónico </w:t>
      </w:r>
      <w:r w:rsidRPr="0091592F">
        <w:rPr>
          <w:rFonts w:ascii="Palatino Linotype" w:eastAsia="Palatino Linotype" w:hAnsi="Palatino Linotype" w:cs="Palatino Linotype"/>
          <w:i/>
        </w:rPr>
        <w:t>“</w:t>
      </w:r>
      <w:r w:rsidRPr="0091592F">
        <w:rPr>
          <w:rFonts w:ascii="Palatino Linotype" w:eastAsia="Palatino Linotype" w:hAnsi="Palatino Linotype" w:cs="Palatino Linotype"/>
          <w:b/>
          <w:i/>
        </w:rPr>
        <w:t>RESPUESTA00007-22.pdf”</w:t>
      </w:r>
      <w:r w:rsidRPr="0091592F">
        <w:rPr>
          <w:rFonts w:ascii="Palatino Linotype" w:eastAsia="Palatino Linotype" w:hAnsi="Palatino Linotype" w:cs="Palatino Linotype"/>
          <w:b/>
          <w:i/>
          <w:color w:val="000000"/>
        </w:rPr>
        <w:t>,</w:t>
      </w:r>
      <w:r w:rsidRPr="0091592F">
        <w:rPr>
          <w:rFonts w:ascii="Palatino Linotype" w:eastAsia="Palatino Linotype" w:hAnsi="Palatino Linotype" w:cs="Palatino Linotype"/>
          <w:b/>
          <w:i/>
        </w:rPr>
        <w:t xml:space="preserve"> </w:t>
      </w:r>
      <w:r w:rsidRPr="0091592F">
        <w:rPr>
          <w:rFonts w:ascii="Palatino Linotype" w:eastAsia="Palatino Linotype" w:hAnsi="Palatino Linotype" w:cs="Palatino Linotype"/>
        </w:rPr>
        <w:t>firmado por el Director General del ente recurrido</w:t>
      </w:r>
      <w:r w:rsidRPr="0091592F">
        <w:rPr>
          <w:rFonts w:ascii="Palatino Linotype" w:eastAsia="Palatino Linotype" w:hAnsi="Palatino Linotype" w:cs="Palatino Linotype"/>
          <w:color w:val="000000"/>
        </w:rPr>
        <w:t xml:space="preserve">, en el cual </w:t>
      </w:r>
      <w:r w:rsidRPr="0091592F">
        <w:rPr>
          <w:rFonts w:ascii="Palatino Linotype" w:eastAsia="Palatino Linotype" w:hAnsi="Palatino Linotype" w:cs="Palatino Linotype"/>
        </w:rPr>
        <w:t xml:space="preserve">medularmente señala que una vez realizada la búsqueda de la información,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no cuenta con servicios  de las Instituciones requeridas. </w:t>
      </w:r>
    </w:p>
    <w:p w14:paraId="5443BC89" w14:textId="77777777" w:rsidR="00DC1D62" w:rsidRPr="0091592F" w:rsidRDefault="00DC1D62">
      <w:pPr>
        <w:spacing w:line="360" w:lineRule="auto"/>
        <w:jc w:val="both"/>
        <w:rPr>
          <w:rFonts w:ascii="Palatino Linotype" w:eastAsia="Palatino Linotype" w:hAnsi="Palatino Linotype" w:cs="Palatino Linotype"/>
          <w:b/>
          <w:sz w:val="28"/>
          <w:szCs w:val="28"/>
        </w:rPr>
      </w:pPr>
    </w:p>
    <w:p w14:paraId="45A4B480" w14:textId="77777777" w:rsidR="00DC1D62" w:rsidRPr="0091592F" w:rsidRDefault="001F661C">
      <w:pPr>
        <w:spacing w:line="360" w:lineRule="auto"/>
        <w:jc w:val="both"/>
        <w:rPr>
          <w:rFonts w:ascii="Palatino Linotype" w:eastAsia="Palatino Linotype" w:hAnsi="Palatino Linotype" w:cs="Palatino Linotype"/>
          <w:b/>
          <w:color w:val="000000"/>
          <w:sz w:val="28"/>
          <w:szCs w:val="28"/>
        </w:rPr>
      </w:pPr>
      <w:r w:rsidRPr="0091592F">
        <w:rPr>
          <w:rFonts w:ascii="Palatino Linotype" w:eastAsia="Palatino Linotype" w:hAnsi="Palatino Linotype" w:cs="Palatino Linotype"/>
          <w:b/>
          <w:color w:val="000000"/>
          <w:sz w:val="28"/>
          <w:szCs w:val="28"/>
        </w:rPr>
        <w:t>III.</w:t>
      </w:r>
      <w:r w:rsidRPr="0091592F">
        <w:rPr>
          <w:rFonts w:ascii="Palatino Linotype" w:eastAsia="Palatino Linotype" w:hAnsi="Palatino Linotype" w:cs="Palatino Linotype"/>
          <w:color w:val="000000"/>
          <w:sz w:val="28"/>
          <w:szCs w:val="28"/>
        </w:rPr>
        <w:t xml:space="preserve"> </w:t>
      </w:r>
      <w:r w:rsidRPr="0091592F">
        <w:rPr>
          <w:rFonts w:ascii="Palatino Linotype" w:eastAsia="Palatino Linotype" w:hAnsi="Palatino Linotype" w:cs="Palatino Linotype"/>
          <w:b/>
          <w:color w:val="000000"/>
          <w:sz w:val="28"/>
          <w:szCs w:val="28"/>
        </w:rPr>
        <w:t>Del Recurso de Revisión.</w:t>
      </w:r>
    </w:p>
    <w:p w14:paraId="5AAD7F72" w14:textId="77777777" w:rsidR="00DC1D62" w:rsidRPr="0091592F" w:rsidRDefault="001F661C">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En fecha </w:t>
      </w:r>
      <w:r w:rsidRPr="0091592F">
        <w:rPr>
          <w:rFonts w:ascii="Palatino Linotype" w:eastAsia="Palatino Linotype" w:hAnsi="Palatino Linotype" w:cs="Palatino Linotype"/>
        </w:rPr>
        <w:t xml:space="preserve">veintidós </w:t>
      </w:r>
      <w:r w:rsidRPr="0091592F">
        <w:rPr>
          <w:rFonts w:ascii="Palatino Linotype" w:eastAsia="Palatino Linotype" w:hAnsi="Palatino Linotype" w:cs="Palatino Linotype"/>
          <w:color w:val="000000"/>
        </w:rPr>
        <w:t xml:space="preserve">de febrero de dos mil veintidós, </w:t>
      </w:r>
      <w:r w:rsidRPr="0091592F">
        <w:rPr>
          <w:rFonts w:ascii="Palatino Linotype" w:eastAsia="Palatino Linotype" w:hAnsi="Palatino Linotype" w:cs="Palatino Linotype"/>
        </w:rPr>
        <w:t>el</w:t>
      </w:r>
      <w:r w:rsidRPr="0091592F">
        <w:rPr>
          <w:rFonts w:ascii="Palatino Linotype" w:eastAsia="Palatino Linotype" w:hAnsi="Palatino Linotype" w:cs="Palatino Linotype"/>
          <w:color w:val="000000"/>
        </w:rPr>
        <w:t xml:space="preserve"> particular presentó ante este Instituto el Recurso de Revisión materia del presente estudio, a través del</w:t>
      </w:r>
      <w:r w:rsidRPr="0091592F">
        <w:rPr>
          <w:rFonts w:ascii="Palatino Linotype" w:eastAsia="Palatino Linotype" w:hAnsi="Palatino Linotype" w:cs="Palatino Linotype"/>
          <w:b/>
          <w:color w:val="000000"/>
        </w:rPr>
        <w:t xml:space="preserve"> SAIMEX, </w:t>
      </w:r>
      <w:r w:rsidRPr="0091592F">
        <w:rPr>
          <w:rFonts w:ascii="Palatino Linotype" w:eastAsia="Palatino Linotype" w:hAnsi="Palatino Linotype" w:cs="Palatino Linotype"/>
          <w:color w:val="000000"/>
        </w:rPr>
        <w:t xml:space="preserve">al que se le asignó el número al rubro citado, en contra de la respuesta otorgada por </w:t>
      </w:r>
      <w:r w:rsidRPr="0091592F">
        <w:rPr>
          <w:rFonts w:ascii="Palatino Linotype" w:eastAsia="Palatino Linotype" w:hAnsi="Palatino Linotype" w:cs="Palatino Linotype"/>
          <w:b/>
          <w:color w:val="000000"/>
        </w:rPr>
        <w:t xml:space="preserve">EL SUJETO OBLIGADO </w:t>
      </w:r>
      <w:r w:rsidRPr="0091592F">
        <w:rPr>
          <w:rFonts w:ascii="Palatino Linotype" w:eastAsia="Palatino Linotype" w:hAnsi="Palatino Linotype" w:cs="Palatino Linotype"/>
          <w:color w:val="000000"/>
        </w:rPr>
        <w:t xml:space="preserve">y en el cual señaló las siguientes manifestaciones: </w:t>
      </w:r>
    </w:p>
    <w:p w14:paraId="4CFF164C" w14:textId="77777777" w:rsidR="00DC1D62" w:rsidRPr="0091592F" w:rsidRDefault="001F661C">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sidRPr="0091592F">
        <w:rPr>
          <w:rFonts w:ascii="Palatino Linotype" w:eastAsia="Palatino Linotype" w:hAnsi="Palatino Linotype" w:cs="Palatino Linotype"/>
          <w:b/>
          <w:color w:val="000000"/>
        </w:rPr>
        <w:t xml:space="preserve">Acto Impugnado: </w:t>
      </w:r>
    </w:p>
    <w:p w14:paraId="7107524D" w14:textId="77777777" w:rsidR="00DC1D62" w:rsidRPr="0091592F" w:rsidRDefault="001F661C">
      <w:pPr>
        <w:tabs>
          <w:tab w:val="left" w:pos="851"/>
        </w:tabs>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“Su oficio 00007/OASECATEPE/2022 respuesta a mi petición de información sin fundamentos </w:t>
      </w:r>
      <w:proofErr w:type="spellStart"/>
      <w:r w:rsidRPr="0091592F">
        <w:rPr>
          <w:rFonts w:ascii="Palatino Linotype" w:eastAsia="Palatino Linotype" w:hAnsi="Palatino Linotype" w:cs="Palatino Linotype"/>
          <w:i/>
          <w:sz w:val="22"/>
          <w:szCs w:val="22"/>
        </w:rPr>
        <w:t>lagales</w:t>
      </w:r>
      <w:proofErr w:type="spellEnd"/>
      <w:r w:rsidRPr="0091592F">
        <w:rPr>
          <w:rFonts w:ascii="Palatino Linotype" w:eastAsia="Palatino Linotype" w:hAnsi="Palatino Linotype" w:cs="Palatino Linotype"/>
          <w:i/>
          <w:sz w:val="22"/>
          <w:szCs w:val="22"/>
        </w:rPr>
        <w:t xml:space="preserve"> ni reales." (sic)</w:t>
      </w:r>
    </w:p>
    <w:p w14:paraId="40ED3501" w14:textId="77777777" w:rsidR="00DC1D62" w:rsidRPr="0091592F" w:rsidRDefault="00DC1D62">
      <w:p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p>
    <w:p w14:paraId="671749E4" w14:textId="77777777" w:rsidR="00DC1D62" w:rsidRPr="0091592F" w:rsidRDefault="001F661C">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b/>
          <w:color w:val="000000"/>
        </w:rPr>
        <w:lastRenderedPageBreak/>
        <w:t>Razones o motivos de Inconformidad:</w:t>
      </w:r>
    </w:p>
    <w:p w14:paraId="037AAA91" w14:textId="374B5FF1"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“Por medio de la presente hoy 22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de Agua Potable Alcantarillado y Saneamiento de Ecatepec de Morelos, ya que su respuesta que me entrego oficio; 00007/OASECATEPE/2022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Sistema de Agua Potable Alcantarillado y Saneamiento de Ecatepec de Morelos,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91592F">
        <w:rPr>
          <w:rFonts w:ascii="Palatino Linotype" w:eastAsia="Palatino Linotype" w:hAnsi="Palatino Linotype" w:cs="Palatino Linotype"/>
          <w:i/>
          <w:sz w:val="22"/>
          <w:szCs w:val="22"/>
        </w:rPr>
        <w:t>pdf</w:t>
      </w:r>
      <w:proofErr w:type="spellEnd"/>
      <w:r w:rsidRPr="0091592F">
        <w:rPr>
          <w:rFonts w:ascii="Palatino Linotype" w:eastAsia="Palatino Linotype" w:hAnsi="Palatino Linotype" w:cs="Palatino Linotype"/>
          <w:i/>
          <w:sz w:val="22"/>
          <w:szCs w:val="22"/>
        </w:rPr>
        <w:t xml:space="preserve">, se envían y listo. Respecto a las otras dos presentaciones del </w:t>
      </w:r>
      <w:r w:rsidRPr="0091592F">
        <w:rPr>
          <w:rFonts w:ascii="Palatino Linotype" w:eastAsia="Palatino Linotype" w:hAnsi="Palatino Linotype" w:cs="Palatino Linotype"/>
          <w:i/>
          <w:sz w:val="22"/>
          <w:szCs w:val="22"/>
        </w:rPr>
        <w:lastRenderedPageBreak/>
        <w:t xml:space="preserve">visor de nóminas del SAT (Vista anual acumulada vista Horizontal y vertical y detalle mensual) solo tiene que descargar los </w:t>
      </w:r>
      <w:proofErr w:type="spellStart"/>
      <w:r w:rsidRPr="0091592F">
        <w:rPr>
          <w:rFonts w:ascii="Palatino Linotype" w:eastAsia="Palatino Linotype" w:hAnsi="Palatino Linotype" w:cs="Palatino Linotype"/>
          <w:i/>
          <w:sz w:val="22"/>
          <w:szCs w:val="22"/>
        </w:rPr>
        <w:t>pdf</w:t>
      </w:r>
      <w:proofErr w:type="spellEnd"/>
      <w:r w:rsidRPr="0091592F">
        <w:rPr>
          <w:rFonts w:ascii="Palatino Linotype" w:eastAsia="Palatino Linotype" w:hAnsi="Palatino Linotype" w:cs="Palatino Linotype"/>
          <w:i/>
          <w:sz w:val="22"/>
          <w:szCs w:val="22"/>
        </w:rPr>
        <w:t xml:space="preserve">. de su portal del SAT. Dando solo dos </w:t>
      </w:r>
      <w:proofErr w:type="spellStart"/>
      <w:r w:rsidRPr="0091592F">
        <w:rPr>
          <w:rFonts w:ascii="Palatino Linotype" w:eastAsia="Palatino Linotype" w:hAnsi="Palatino Linotype" w:cs="Palatino Linotype"/>
          <w:i/>
          <w:sz w:val="22"/>
          <w:szCs w:val="22"/>
        </w:rPr>
        <w:t>clicks</w:t>
      </w:r>
      <w:proofErr w:type="spellEnd"/>
      <w:r w:rsidRPr="0091592F">
        <w:rPr>
          <w:rFonts w:ascii="Palatino Linotype" w:eastAsia="Palatino Linotype" w:hAnsi="Palatino Linotype" w:cs="Palatino Linotype"/>
          <w:i/>
          <w:sz w:val="22"/>
          <w:szCs w:val="22"/>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w:t>
      </w:r>
      <w:proofErr w:type="spellStart"/>
      <w:r w:rsidRPr="0091592F">
        <w:rPr>
          <w:rFonts w:ascii="Palatino Linotype" w:eastAsia="Palatino Linotype" w:hAnsi="Palatino Linotype" w:cs="Palatino Linotype"/>
          <w:i/>
          <w:sz w:val="22"/>
          <w:szCs w:val="22"/>
        </w:rPr>
        <w:t>si</w:t>
      </w:r>
      <w:proofErr w:type="spellEnd"/>
      <w:r w:rsidRPr="0091592F">
        <w:rPr>
          <w:rFonts w:ascii="Palatino Linotype" w:eastAsia="Palatino Linotype" w:hAnsi="Palatino Linotype" w:cs="Palatino Linotype"/>
          <w:i/>
          <w:sz w:val="22"/>
          <w:szCs w:val="22"/>
        </w:rPr>
        <w:t xml:space="preserve"> aplica es darme las constancias y opiniones de cumplimiento al día y respecto al punto I espero ahora si lo haya entendido que es una herramienta de ayuda del SAT para ellos y son reportes ya entregados y si </w:t>
      </w:r>
      <w:proofErr w:type="spellStart"/>
      <w:r w:rsidRPr="0091592F">
        <w:rPr>
          <w:rFonts w:ascii="Palatino Linotype" w:eastAsia="Palatino Linotype" w:hAnsi="Palatino Linotype" w:cs="Palatino Linotype"/>
          <w:i/>
          <w:sz w:val="22"/>
          <w:szCs w:val="22"/>
        </w:rPr>
        <w:t>aún</w:t>
      </w:r>
      <w:proofErr w:type="spellEnd"/>
      <w:r w:rsidRPr="0091592F">
        <w:rPr>
          <w:rFonts w:ascii="Palatino Linotype" w:eastAsia="Palatino Linotype" w:hAnsi="Palatino Linotype" w:cs="Palatino Linotype"/>
          <w:i/>
          <w:sz w:val="22"/>
          <w:szCs w:val="22"/>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w:t>
      </w:r>
      <w:proofErr w:type="spellStart"/>
      <w:r w:rsidRPr="0091592F">
        <w:rPr>
          <w:rFonts w:ascii="Palatino Linotype" w:eastAsia="Palatino Linotype" w:hAnsi="Palatino Linotype" w:cs="Palatino Linotype"/>
          <w:i/>
          <w:sz w:val="22"/>
          <w:szCs w:val="22"/>
        </w:rPr>
        <w:t>eficientar</w:t>
      </w:r>
      <w:proofErr w:type="spellEnd"/>
      <w:r w:rsidRPr="0091592F">
        <w:rPr>
          <w:rFonts w:ascii="Palatino Linotype" w:eastAsia="Palatino Linotype" w:hAnsi="Palatino Linotype" w:cs="Palatino Linotype"/>
          <w:i/>
          <w:sz w:val="22"/>
          <w:szCs w:val="22"/>
        </w:rPr>
        <w:t xml:space="preserve">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9608AF">
        <w:rPr>
          <w:rFonts w:ascii="Palatino Linotype" w:eastAsia="Palatino Linotype" w:hAnsi="Palatino Linotype" w:cs="Palatino Linotype"/>
          <w:i/>
          <w:sz w:val="22"/>
          <w:szCs w:val="22"/>
        </w:rPr>
        <w:t xml:space="preserve">XXXX </w:t>
      </w:r>
      <w:proofErr w:type="gramStart"/>
      <w:r w:rsidR="009608AF">
        <w:rPr>
          <w:rFonts w:ascii="Palatino Linotype" w:eastAsia="Palatino Linotype" w:hAnsi="Palatino Linotype" w:cs="Palatino Linotype"/>
          <w:i/>
          <w:sz w:val="22"/>
          <w:szCs w:val="22"/>
        </w:rPr>
        <w:t xml:space="preserve">XXXXXXX </w:t>
      </w:r>
      <w:r w:rsidRPr="0091592F">
        <w:rPr>
          <w:rFonts w:ascii="Palatino Linotype" w:eastAsia="Palatino Linotype" w:hAnsi="Palatino Linotype" w:cs="Palatino Linotype"/>
          <w:i/>
          <w:sz w:val="22"/>
          <w:szCs w:val="22"/>
        </w:rPr>
        <w:t>”</w:t>
      </w:r>
      <w:proofErr w:type="gramEnd"/>
    </w:p>
    <w:p w14:paraId="13EE1E06" w14:textId="77777777" w:rsidR="00DC1D62" w:rsidRPr="0091592F" w:rsidRDefault="001F661C">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Por otro lado, se hace constar que, adjunto a su recurso de revisión, el </w:t>
      </w:r>
      <w:r w:rsidRPr="0091592F">
        <w:rPr>
          <w:rFonts w:ascii="Palatino Linotype" w:eastAsia="Palatino Linotype" w:hAnsi="Palatino Linotype" w:cs="Palatino Linotype"/>
          <w:b/>
          <w:color w:val="000000"/>
        </w:rPr>
        <w:t>RECURRENTE</w:t>
      </w:r>
      <w:r w:rsidRPr="0091592F">
        <w:rPr>
          <w:rFonts w:ascii="Palatino Linotype" w:eastAsia="Palatino Linotype" w:hAnsi="Palatino Linotype" w:cs="Palatino Linotype"/>
          <w:color w:val="000000"/>
        </w:rPr>
        <w:t xml:space="preserve"> presentó los siguientes archivos electrónicos que se muestran en la imagen:</w:t>
      </w:r>
    </w:p>
    <w:p w14:paraId="31027923" w14:textId="77777777" w:rsidR="00DC1D62" w:rsidRPr="0091592F" w:rsidRDefault="001F661C">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b/>
          <w:color w:val="000000"/>
          <w:sz w:val="28"/>
          <w:szCs w:val="28"/>
        </w:rPr>
      </w:pPr>
      <w:r w:rsidRPr="0091592F">
        <w:rPr>
          <w:noProof/>
          <w:color w:val="000000"/>
          <w:lang w:eastAsia="es-MX"/>
        </w:rPr>
        <w:lastRenderedPageBreak/>
        <w:drawing>
          <wp:inline distT="0" distB="0" distL="0" distR="0" wp14:anchorId="6DF61928" wp14:editId="15301828">
            <wp:extent cx="5612130" cy="1572895"/>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130" cy="1572895"/>
                    </a:xfrm>
                    <a:prstGeom prst="rect">
                      <a:avLst/>
                    </a:prstGeom>
                    <a:ln/>
                  </pic:spPr>
                </pic:pic>
              </a:graphicData>
            </a:graphic>
          </wp:inline>
        </w:drawing>
      </w:r>
    </w:p>
    <w:p w14:paraId="46EE0CF4" w14:textId="77777777" w:rsidR="00DC1D62" w:rsidRPr="0091592F" w:rsidRDefault="001F661C">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Por cuanto hace al archivo denominado</w:t>
      </w:r>
      <w:r w:rsidRPr="0091592F">
        <w:rPr>
          <w:rFonts w:ascii="Palatino Linotype" w:eastAsia="Palatino Linotype" w:hAnsi="Palatino Linotype" w:cs="Palatino Linotype"/>
          <w:b/>
          <w:color w:val="000000"/>
        </w:rPr>
        <w:t xml:space="preserve"> “G-13-03-01-2019-01 ejemplo vista anual acumulado o global.pdf”</w:t>
      </w:r>
      <w:r w:rsidRPr="0091592F">
        <w:rPr>
          <w:rFonts w:ascii="Palatino Linotype" w:eastAsia="Palatino Linotype" w:hAnsi="Palatino Linotype" w:cs="Palatino Linotype"/>
          <w:color w:val="000000"/>
        </w:rPr>
        <w:t xml:space="preserve">, este contiene información a modo de ejemplo que proporciona </w:t>
      </w:r>
      <w:r w:rsidRPr="0091592F">
        <w:rPr>
          <w:rFonts w:ascii="Palatino Linotype" w:eastAsia="Palatino Linotype" w:hAnsi="Palatino Linotype" w:cs="Palatino Linotype"/>
          <w:b/>
        </w:rPr>
        <w:t>EL R</w:t>
      </w:r>
      <w:r w:rsidRPr="0091592F">
        <w:rPr>
          <w:rFonts w:ascii="Palatino Linotype" w:eastAsia="Palatino Linotype" w:hAnsi="Palatino Linotype" w:cs="Palatino Linotype"/>
          <w:b/>
          <w:color w:val="000000"/>
        </w:rPr>
        <w:t>ECURRENTE</w:t>
      </w:r>
      <w:r w:rsidRPr="0091592F">
        <w:rPr>
          <w:rFonts w:ascii="Palatino Linotype" w:eastAsia="Palatino Linotype" w:hAnsi="Palatino Linotype" w:cs="Palatino Linotype"/>
          <w:color w:val="000000"/>
        </w:rPr>
        <w:t xml:space="preserve"> relativo a la vista anual acumulado o global del periodo 2019; para que le sea proporcionada dicha información.</w:t>
      </w:r>
    </w:p>
    <w:p w14:paraId="3573D34B" w14:textId="77777777" w:rsidR="00DC1D62" w:rsidRPr="0091592F" w:rsidRDefault="001F661C">
      <w:pPr>
        <w:spacing w:after="160"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Por cuanto hace al archivo denominado</w:t>
      </w:r>
      <w:r w:rsidRPr="0091592F">
        <w:rPr>
          <w:rFonts w:ascii="Palatino Linotype" w:eastAsia="Palatino Linotype" w:hAnsi="Palatino Linotype" w:cs="Palatino Linotype"/>
          <w:b/>
        </w:rPr>
        <w:t xml:space="preserve"> “G-13-01-02-2019-01 ejemplo detalle diferencias sueldos y salarios, diferencias mensuales.pdf”</w:t>
      </w:r>
      <w:r w:rsidRPr="0091592F">
        <w:rPr>
          <w:rFonts w:ascii="Palatino Linotype" w:eastAsia="Palatino Linotype" w:hAnsi="Palatino Linotype" w:cs="Palatino Linotype"/>
        </w:rPr>
        <w:t xml:space="preserve">, este contiene información a modo de ejemplo que proporciona </w:t>
      </w:r>
      <w:r w:rsidRPr="0091592F">
        <w:rPr>
          <w:rFonts w:ascii="Palatino Linotype" w:eastAsia="Palatino Linotype" w:hAnsi="Palatino Linotype" w:cs="Palatino Linotype"/>
          <w:b/>
        </w:rPr>
        <w:t>EL RECURRENTE</w:t>
      </w:r>
      <w:r w:rsidRPr="0091592F">
        <w:rPr>
          <w:rFonts w:ascii="Palatino Linotype" w:eastAsia="Palatino Linotype" w:hAnsi="Palatino Linotype" w:cs="Palatino Linotype"/>
        </w:rPr>
        <w:t xml:space="preserve"> relativo al detalle de diferencias de sueldos y salarios y asimilados; para que le sea proporcionada dicha información.</w:t>
      </w:r>
    </w:p>
    <w:p w14:paraId="377DB83E" w14:textId="77777777" w:rsidR="00DC1D62" w:rsidRPr="0091592F" w:rsidRDefault="001F661C">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Por cuanto hace al archivo denominado</w:t>
      </w:r>
      <w:r w:rsidRPr="0091592F">
        <w:rPr>
          <w:rFonts w:ascii="Palatino Linotype" w:eastAsia="Palatino Linotype" w:hAnsi="Palatino Linotype" w:cs="Palatino Linotype"/>
          <w:b/>
          <w:color w:val="000000"/>
        </w:rPr>
        <w:t xml:space="preserve"> “G-35-03-03-2018-01 ejemplo presentación detalle mensual.pdf”</w:t>
      </w:r>
      <w:r w:rsidRPr="0091592F">
        <w:rPr>
          <w:rFonts w:ascii="Palatino Linotype" w:eastAsia="Palatino Linotype" w:hAnsi="Palatino Linotype" w:cs="Palatino Linotype"/>
          <w:color w:val="000000"/>
        </w:rPr>
        <w:t xml:space="preserve">, este contiene información a modo de ejemplo que proporciona </w:t>
      </w:r>
      <w:r w:rsidRPr="0091592F">
        <w:rPr>
          <w:rFonts w:ascii="Palatino Linotype" w:eastAsia="Palatino Linotype" w:hAnsi="Palatino Linotype" w:cs="Palatino Linotype"/>
          <w:b/>
        </w:rPr>
        <w:t>EL R</w:t>
      </w:r>
      <w:r w:rsidRPr="0091592F">
        <w:rPr>
          <w:rFonts w:ascii="Palatino Linotype" w:eastAsia="Palatino Linotype" w:hAnsi="Palatino Linotype" w:cs="Palatino Linotype"/>
          <w:b/>
          <w:color w:val="000000"/>
        </w:rPr>
        <w:t>ECURRENTE</w:t>
      </w:r>
      <w:r w:rsidRPr="0091592F">
        <w:rPr>
          <w:rFonts w:ascii="Palatino Linotype" w:eastAsia="Palatino Linotype" w:hAnsi="Palatino Linotype" w:cs="Palatino Linotype"/>
          <w:color w:val="000000"/>
        </w:rPr>
        <w:t xml:space="preserve"> relativo al detalle mensual de pagos y retenciones por sueldos y salarios realizados a tus trabajadores; para que le sea proporcionada dicha información.</w:t>
      </w:r>
    </w:p>
    <w:p w14:paraId="6D11EDC0" w14:textId="77777777" w:rsidR="00DC1D62" w:rsidRPr="0091592F" w:rsidRDefault="00DC1D62">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p>
    <w:p w14:paraId="63DAC6AC" w14:textId="77777777" w:rsidR="00DC1D62" w:rsidRPr="0091592F" w:rsidRDefault="001F661C">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b/>
          <w:color w:val="000000"/>
          <w:sz w:val="28"/>
          <w:szCs w:val="28"/>
        </w:rPr>
      </w:pPr>
      <w:r w:rsidRPr="0091592F">
        <w:rPr>
          <w:rFonts w:ascii="Palatino Linotype" w:eastAsia="Palatino Linotype" w:hAnsi="Palatino Linotype" w:cs="Palatino Linotype"/>
          <w:b/>
          <w:color w:val="000000"/>
          <w:sz w:val="28"/>
          <w:szCs w:val="28"/>
        </w:rPr>
        <w:lastRenderedPageBreak/>
        <w:t>IV. Del turno del Recurso de Revisión.</w:t>
      </w:r>
    </w:p>
    <w:p w14:paraId="5B04B24A" w14:textId="77777777" w:rsidR="00DC1D62" w:rsidRPr="0091592F" w:rsidRDefault="001F661C">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En </w:t>
      </w:r>
      <w:r w:rsidRPr="0091592F">
        <w:rPr>
          <w:rFonts w:ascii="Palatino Linotype" w:eastAsia="Palatino Linotype" w:hAnsi="Palatino Linotype" w:cs="Palatino Linotype"/>
        </w:rPr>
        <w:t xml:space="preserve">fecha veintidós </w:t>
      </w:r>
      <w:r w:rsidRPr="0091592F">
        <w:rPr>
          <w:rFonts w:ascii="Palatino Linotype" w:eastAsia="Palatino Linotype" w:hAnsi="Palatino Linotype" w:cs="Palatino Linotype"/>
          <w:color w:val="000000"/>
        </w:rPr>
        <w:t xml:space="preserve">de febrero de dos mil veintidós, el Recurso de que se trata se envió electrónicamente al Instituto; por lo que, con fundamento en el artículo 185, fracción I de la Ley de Transparencia y Acceso a la Información Pública del Estado de México y Municipios, se turnó, a través del </w:t>
      </w:r>
      <w:r w:rsidRPr="0091592F">
        <w:rPr>
          <w:rFonts w:ascii="Palatino Linotype" w:eastAsia="Palatino Linotype" w:hAnsi="Palatino Linotype" w:cs="Palatino Linotype"/>
          <w:b/>
          <w:color w:val="000000"/>
        </w:rPr>
        <w:t>SAIMEX</w:t>
      </w:r>
      <w:r w:rsidRPr="0091592F">
        <w:rPr>
          <w:rFonts w:ascii="Palatino Linotype" w:eastAsia="Palatino Linotype" w:hAnsi="Palatino Linotype" w:cs="Palatino Linotype"/>
          <w:color w:val="000000"/>
        </w:rPr>
        <w:t>, a</w:t>
      </w:r>
      <w:r w:rsidRPr="0091592F">
        <w:rPr>
          <w:rFonts w:ascii="Palatino Linotype" w:eastAsia="Palatino Linotype" w:hAnsi="Palatino Linotype" w:cs="Palatino Linotype"/>
        </w:rPr>
        <w:t xml:space="preserve"> la</w:t>
      </w:r>
      <w:r w:rsidRPr="0091592F">
        <w:rPr>
          <w:rFonts w:ascii="Palatino Linotype" w:eastAsia="Palatino Linotype" w:hAnsi="Palatino Linotype" w:cs="Palatino Linotype"/>
          <w:color w:val="000000"/>
        </w:rPr>
        <w:t xml:space="preserve"> </w:t>
      </w:r>
      <w:r w:rsidRPr="0091592F">
        <w:rPr>
          <w:rFonts w:ascii="Palatino Linotype" w:eastAsia="Palatino Linotype" w:hAnsi="Palatino Linotype" w:cs="Palatino Linotype"/>
          <w:b/>
          <w:color w:val="000000"/>
        </w:rPr>
        <w:t>C</w:t>
      </w:r>
      <w:r w:rsidRPr="0091592F">
        <w:rPr>
          <w:rFonts w:ascii="Palatino Linotype" w:eastAsia="Palatino Linotype" w:hAnsi="Palatino Linotype" w:cs="Palatino Linotype"/>
          <w:b/>
        </w:rPr>
        <w:t>omisionada María del Rosario Mejía Ayala</w:t>
      </w:r>
      <w:r w:rsidRPr="0091592F">
        <w:rPr>
          <w:rFonts w:ascii="Palatino Linotype" w:eastAsia="Palatino Linotype" w:hAnsi="Palatino Linotype" w:cs="Palatino Linotype"/>
          <w:color w:val="000000"/>
        </w:rPr>
        <w:t xml:space="preserve">, a efecto de que decretara su admisión o </w:t>
      </w:r>
      <w:proofErr w:type="spellStart"/>
      <w:r w:rsidRPr="0091592F">
        <w:rPr>
          <w:rFonts w:ascii="Palatino Linotype" w:eastAsia="Palatino Linotype" w:hAnsi="Palatino Linotype" w:cs="Palatino Linotype"/>
          <w:color w:val="000000"/>
        </w:rPr>
        <w:t>desechamiento</w:t>
      </w:r>
      <w:proofErr w:type="spellEnd"/>
      <w:r w:rsidRPr="0091592F">
        <w:rPr>
          <w:rFonts w:ascii="Palatino Linotype" w:eastAsia="Palatino Linotype" w:hAnsi="Palatino Linotype" w:cs="Palatino Linotype"/>
          <w:color w:val="000000"/>
        </w:rPr>
        <w:t>.</w:t>
      </w:r>
    </w:p>
    <w:p w14:paraId="5E3899BF" w14:textId="77777777" w:rsidR="00DC1D62" w:rsidRPr="0091592F" w:rsidRDefault="001F661C">
      <w:pPr>
        <w:widowControl w:val="0"/>
        <w:tabs>
          <w:tab w:val="left" w:pos="0"/>
        </w:tabs>
        <w:spacing w:before="240" w:after="240" w:line="360" w:lineRule="auto"/>
        <w:jc w:val="both"/>
        <w:rPr>
          <w:rFonts w:ascii="Palatino Linotype" w:eastAsia="Palatino Linotype" w:hAnsi="Palatino Linotype" w:cs="Palatino Linotype"/>
          <w:b/>
        </w:rPr>
      </w:pPr>
      <w:r w:rsidRPr="0091592F">
        <w:rPr>
          <w:rFonts w:ascii="Palatino Linotype" w:eastAsia="Palatino Linotype" w:hAnsi="Palatino Linotype" w:cs="Palatino Linotype"/>
          <w:b/>
        </w:rPr>
        <w:t>a) Admisión del Recurso de Revisión:</w:t>
      </w:r>
    </w:p>
    <w:p w14:paraId="3C6F1E90" w14:textId="77777777" w:rsidR="00DC1D62" w:rsidRPr="0091592F" w:rsidRDefault="001F661C">
      <w:pPr>
        <w:widowControl w:val="0"/>
        <w:tabs>
          <w:tab w:val="left" w:pos="0"/>
        </w:tabs>
        <w:spacing w:before="240" w:after="240"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En </w:t>
      </w:r>
      <w:r w:rsidRPr="0091592F">
        <w:rPr>
          <w:rFonts w:ascii="Palatino Linotype" w:eastAsia="Palatino Linotype" w:hAnsi="Palatino Linotype" w:cs="Palatino Linotype"/>
          <w:b/>
        </w:rPr>
        <w:t>fecha veintitrés de febrero de dos mil veintidós</w:t>
      </w:r>
      <w:r w:rsidRPr="0091592F">
        <w:rPr>
          <w:rFonts w:ascii="Palatino Linotype" w:eastAsia="Palatino Linotype" w:hAnsi="Palatino Linotype" w:cs="Palatino Linotype"/>
        </w:rPr>
        <w:t xml:space="preserve">, en atención a lo dispuesto en el artículo 185, fracciones I, II y IV, de la Ley de Transparencia y Acceso a la Información Pública del Estado de México y Municipios, se acordó la admisión a trámite del referido Recurso de Revisión; así como, la integración del expediente respectivo, mismo que se puso a disposición de las partes, para que en el plazo máximo de siete días hábiles, </w:t>
      </w:r>
      <w:r w:rsidRPr="0091592F">
        <w:rPr>
          <w:rFonts w:ascii="Palatino Linotype" w:eastAsia="Palatino Linotype" w:hAnsi="Palatino Linotype" w:cs="Palatino Linotype"/>
          <w:b/>
        </w:rPr>
        <w:t xml:space="preserve">EL RECURRENTE </w:t>
      </w:r>
      <w:r w:rsidRPr="0091592F">
        <w:rPr>
          <w:rFonts w:ascii="Palatino Linotype" w:eastAsia="Palatino Linotype" w:hAnsi="Palatino Linotype" w:cs="Palatino Linotype"/>
        </w:rPr>
        <w:t xml:space="preserve"> realizara manifestaciones, alegatos y ofreciera las pruebas que a su derecho conviniera y, en el caso del</w:t>
      </w:r>
      <w:r w:rsidRPr="0091592F">
        <w:rPr>
          <w:rFonts w:ascii="Palatino Linotype" w:eastAsia="Palatino Linotype" w:hAnsi="Palatino Linotype" w:cs="Palatino Linotype"/>
          <w:b/>
        </w:rPr>
        <w:t xml:space="preserve"> SUJETO OBLIGADO</w:t>
      </w:r>
      <w:r w:rsidRPr="0091592F">
        <w:rPr>
          <w:rFonts w:ascii="Palatino Linotype" w:eastAsia="Palatino Linotype" w:hAnsi="Palatino Linotype" w:cs="Palatino Linotype"/>
        </w:rPr>
        <w:t>, para que exhibiera el Informe Justificado correspondiente.</w:t>
      </w:r>
    </w:p>
    <w:p w14:paraId="0DF43C8D" w14:textId="77777777" w:rsidR="00DC1D62" w:rsidRPr="0091592F" w:rsidRDefault="001F661C">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91592F">
        <w:rPr>
          <w:rFonts w:ascii="Palatino Linotype" w:eastAsia="Palatino Linotype" w:hAnsi="Palatino Linotype" w:cs="Palatino Linotype"/>
          <w:b/>
          <w:color w:val="000000"/>
        </w:rPr>
        <w:t>b) Informe Justificado:</w:t>
      </w:r>
    </w:p>
    <w:p w14:paraId="6DC3B693" w14:textId="77777777" w:rsidR="00DC1D62" w:rsidRPr="0091592F" w:rsidRDefault="001F661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De las constancias que obran en el </w:t>
      </w:r>
      <w:r w:rsidRPr="0091592F">
        <w:rPr>
          <w:rFonts w:ascii="Palatino Linotype" w:eastAsia="Palatino Linotype" w:hAnsi="Palatino Linotype" w:cs="Palatino Linotype"/>
          <w:b/>
          <w:color w:val="000000"/>
        </w:rPr>
        <w:t>SAIMEX</w:t>
      </w:r>
      <w:r w:rsidRPr="0091592F">
        <w:rPr>
          <w:rFonts w:ascii="Palatino Linotype" w:eastAsia="Palatino Linotype" w:hAnsi="Palatino Linotype" w:cs="Palatino Linotype"/>
          <w:color w:val="000000"/>
        </w:rPr>
        <w:t>, se desprende que la particular no realizó manifestaciones conforme a derecho; por otra parte, </w:t>
      </w:r>
      <w:r w:rsidRPr="0091592F">
        <w:rPr>
          <w:rFonts w:ascii="Palatino Linotype" w:eastAsia="Palatino Linotype" w:hAnsi="Palatino Linotype" w:cs="Palatino Linotype"/>
          <w:b/>
          <w:color w:val="000000"/>
        </w:rPr>
        <w:t>EL SUJETO OBLIGADO </w:t>
      </w:r>
      <w:r w:rsidRPr="0091592F">
        <w:rPr>
          <w:rFonts w:ascii="Palatino Linotype" w:eastAsia="Palatino Linotype" w:hAnsi="Palatino Linotype" w:cs="Palatino Linotype"/>
          <w:color w:val="000000"/>
        </w:rPr>
        <w:t>no rindió su Informe Justificado, como se desprende en la imagen que se anexa a continuación:</w:t>
      </w:r>
    </w:p>
    <w:p w14:paraId="08401EF1" w14:textId="77777777" w:rsidR="00DC1D62" w:rsidRPr="0091592F" w:rsidRDefault="001F661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91592F">
        <w:rPr>
          <w:noProof/>
          <w:lang w:eastAsia="es-MX"/>
        </w:rPr>
        <w:lastRenderedPageBreak/>
        <w:drawing>
          <wp:inline distT="114300" distB="114300" distL="114300" distR="114300" wp14:anchorId="711B7D7C" wp14:editId="46A9FEC6">
            <wp:extent cx="5612130" cy="1295400"/>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2130" cy="1295400"/>
                    </a:xfrm>
                    <a:prstGeom prst="rect">
                      <a:avLst/>
                    </a:prstGeom>
                    <a:ln/>
                  </pic:spPr>
                </pic:pic>
              </a:graphicData>
            </a:graphic>
          </wp:inline>
        </w:drawing>
      </w:r>
    </w:p>
    <w:p w14:paraId="1EEFA8A5" w14:textId="77777777" w:rsidR="00DC1D62" w:rsidRPr="0091592F" w:rsidRDefault="001F661C">
      <w:pPr>
        <w:spacing w:before="280" w:after="280" w:line="360" w:lineRule="auto"/>
        <w:jc w:val="both"/>
        <w:rPr>
          <w:rFonts w:ascii="Palatino Linotype" w:eastAsia="Palatino Linotype" w:hAnsi="Palatino Linotype" w:cs="Palatino Linotype"/>
          <w:b/>
          <w:sz w:val="28"/>
          <w:szCs w:val="28"/>
        </w:rPr>
      </w:pPr>
      <w:r w:rsidRPr="0091592F">
        <w:rPr>
          <w:rFonts w:ascii="Palatino Linotype" w:eastAsia="Palatino Linotype" w:hAnsi="Palatino Linotype" w:cs="Palatino Linotype"/>
          <w:b/>
          <w:sz w:val="28"/>
          <w:szCs w:val="28"/>
        </w:rPr>
        <w:t xml:space="preserve">c) Del </w:t>
      </w:r>
      <w:proofErr w:type="spellStart"/>
      <w:r w:rsidRPr="0091592F">
        <w:rPr>
          <w:rFonts w:ascii="Palatino Linotype" w:eastAsia="Palatino Linotype" w:hAnsi="Palatino Linotype" w:cs="Palatino Linotype"/>
          <w:b/>
          <w:sz w:val="28"/>
          <w:szCs w:val="28"/>
        </w:rPr>
        <w:t>returno</w:t>
      </w:r>
      <w:proofErr w:type="spellEnd"/>
      <w:r w:rsidRPr="0091592F">
        <w:rPr>
          <w:rFonts w:ascii="Palatino Linotype" w:eastAsia="Palatino Linotype" w:hAnsi="Palatino Linotype" w:cs="Palatino Linotype"/>
          <w:b/>
          <w:sz w:val="28"/>
          <w:szCs w:val="28"/>
        </w:rPr>
        <w:t xml:space="preserve"> del Recurso de Revisión:</w:t>
      </w:r>
    </w:p>
    <w:p w14:paraId="6B25720B" w14:textId="77777777" w:rsidR="00DC1D62" w:rsidRPr="0091592F" w:rsidRDefault="001F661C">
      <w:pPr>
        <w:spacing w:before="28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b/>
          <w:sz w:val="28"/>
          <w:szCs w:val="28"/>
        </w:rPr>
        <w:t xml:space="preserve"> </w:t>
      </w:r>
      <w:r w:rsidRPr="0091592F">
        <w:rPr>
          <w:rFonts w:ascii="Palatino Linotype" w:eastAsia="Palatino Linotype" w:hAnsi="Palatino Linotype" w:cs="Palatino Linotype"/>
          <w:color w:val="000000"/>
        </w:rPr>
        <w:t xml:space="preserve">En la Novena Sesión Ordinaria de fecha nueve de marzo de dos mil veintidós, por acuerdo del Pleno de este Órgano Garante, fue </w:t>
      </w:r>
      <w:proofErr w:type="spellStart"/>
      <w:r w:rsidRPr="0091592F">
        <w:rPr>
          <w:rFonts w:ascii="Palatino Linotype" w:eastAsia="Palatino Linotype" w:hAnsi="Palatino Linotype" w:cs="Palatino Linotype"/>
          <w:color w:val="000000"/>
        </w:rPr>
        <w:t>returnado</w:t>
      </w:r>
      <w:proofErr w:type="spellEnd"/>
      <w:r w:rsidRPr="0091592F">
        <w:rPr>
          <w:rFonts w:ascii="Palatino Linotype" w:eastAsia="Palatino Linotype" w:hAnsi="Palatino Linotype" w:cs="Palatino Linotype"/>
          <w:color w:val="000000"/>
        </w:rPr>
        <w:t xml:space="preserve"> el Recurso de Revisión </w:t>
      </w:r>
      <w:r w:rsidRPr="0091592F">
        <w:rPr>
          <w:rFonts w:ascii="Palatino Linotype" w:eastAsia="Palatino Linotype" w:hAnsi="Palatino Linotype" w:cs="Palatino Linotype"/>
          <w:b/>
          <w:color w:val="000000"/>
        </w:rPr>
        <w:t>0</w:t>
      </w:r>
      <w:r w:rsidRPr="0091592F">
        <w:rPr>
          <w:rFonts w:ascii="Palatino Linotype" w:eastAsia="Palatino Linotype" w:hAnsi="Palatino Linotype" w:cs="Palatino Linotype"/>
          <w:b/>
        </w:rPr>
        <w:t>1107</w:t>
      </w:r>
      <w:r w:rsidRPr="0091592F">
        <w:rPr>
          <w:rFonts w:ascii="Palatino Linotype" w:eastAsia="Palatino Linotype" w:hAnsi="Palatino Linotype" w:cs="Palatino Linotype"/>
          <w:b/>
          <w:color w:val="000000"/>
        </w:rPr>
        <w:t>/INFOEM/IP/RR/2022</w:t>
      </w:r>
      <w:r w:rsidRPr="0091592F">
        <w:rPr>
          <w:rFonts w:ascii="Palatino Linotype" w:eastAsia="Palatino Linotype" w:hAnsi="Palatino Linotype" w:cs="Palatino Linotype"/>
          <w:color w:val="000000"/>
        </w:rPr>
        <w:t xml:space="preserve">, a la </w:t>
      </w:r>
      <w:r w:rsidRPr="0091592F">
        <w:rPr>
          <w:rFonts w:ascii="Palatino Linotype" w:eastAsia="Palatino Linotype" w:hAnsi="Palatino Linotype" w:cs="Palatino Linotype"/>
          <w:b/>
          <w:color w:val="000000"/>
        </w:rPr>
        <w:t xml:space="preserve">Comisionada Sharon Cristina Morales Martínez </w:t>
      </w:r>
      <w:r w:rsidRPr="0091592F">
        <w:rPr>
          <w:rFonts w:ascii="Palatino Linotype" w:eastAsia="Palatino Linotype" w:hAnsi="Palatino Linotype" w:cs="Palatino Linotype"/>
          <w:color w:val="000000"/>
        </w:rPr>
        <w:t>para su resolución y presentación al Pleno.</w:t>
      </w:r>
    </w:p>
    <w:p w14:paraId="1695015E" w14:textId="77777777" w:rsidR="00DC1D62" w:rsidRPr="0091592F" w:rsidRDefault="001F661C">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8"/>
          <w:szCs w:val="28"/>
        </w:rPr>
      </w:pPr>
      <w:r w:rsidRPr="0091592F">
        <w:rPr>
          <w:rFonts w:ascii="Palatino Linotype" w:eastAsia="Palatino Linotype" w:hAnsi="Palatino Linotype" w:cs="Palatino Linotype"/>
          <w:b/>
          <w:color w:val="000000"/>
          <w:sz w:val="28"/>
          <w:szCs w:val="28"/>
        </w:rPr>
        <w:t>d) Cierre de Instrucción:</w:t>
      </w:r>
    </w:p>
    <w:p w14:paraId="6D621FE1" w14:textId="77777777" w:rsidR="00DC1D62" w:rsidRPr="0091592F" w:rsidRDefault="001F661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Una vez analizado el estado procesal que guarda el expediente, el </w:t>
      </w:r>
      <w:r w:rsidRPr="0091592F">
        <w:rPr>
          <w:rFonts w:ascii="Palatino Linotype" w:eastAsia="Palatino Linotype" w:hAnsi="Palatino Linotype" w:cs="Palatino Linotype"/>
        </w:rPr>
        <w:t>primero</w:t>
      </w:r>
      <w:r w:rsidRPr="0091592F">
        <w:rPr>
          <w:rFonts w:ascii="Palatino Linotype" w:eastAsia="Palatino Linotype" w:hAnsi="Palatino Linotype" w:cs="Palatino Linotype"/>
          <w:color w:val="000000"/>
        </w:rPr>
        <w:t xml:space="preserve"> de abril de dos mil veintidós, la </w:t>
      </w:r>
      <w:r w:rsidRPr="0091592F">
        <w:rPr>
          <w:rFonts w:ascii="Palatino Linotype" w:eastAsia="Palatino Linotype" w:hAnsi="Palatino Linotype" w:cs="Palatino Linotype"/>
          <w:b/>
          <w:color w:val="000000"/>
        </w:rPr>
        <w:t>Comisionada Sharon Cristina Morales Martínez</w:t>
      </w:r>
      <w:r w:rsidRPr="0091592F">
        <w:rPr>
          <w:rFonts w:ascii="Palatino Linotype" w:eastAsia="Palatino Linotype" w:hAnsi="Palatino Linotype" w:cs="Palatino Linotype"/>
          <w:color w:val="000000"/>
        </w:rPr>
        <w:t>,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91592F" w:rsidRPr="0091592F">
        <w:rPr>
          <w:rFonts w:ascii="Palatino Linotype" w:eastAsia="Palatino Linotype" w:hAnsi="Palatino Linotype" w:cs="Palatino Linotype"/>
          <w:color w:val="000000"/>
        </w:rPr>
        <w:t>.</w:t>
      </w:r>
    </w:p>
    <w:p w14:paraId="686DE56F" w14:textId="77777777" w:rsidR="0091592F" w:rsidRPr="0091592F" w:rsidRDefault="0091592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5B07C656" w14:textId="77777777" w:rsidR="0091592F" w:rsidRPr="0091592F" w:rsidRDefault="0091592F">
      <w:pPr>
        <w:spacing w:before="280" w:after="280" w:line="360" w:lineRule="auto"/>
        <w:jc w:val="both"/>
        <w:rPr>
          <w:rFonts w:ascii="Palatino Linotype" w:eastAsia="Palatino Linotype" w:hAnsi="Palatino Linotype" w:cs="Palatino Linotype"/>
          <w:b/>
          <w:sz w:val="28"/>
          <w:szCs w:val="28"/>
        </w:rPr>
      </w:pPr>
    </w:p>
    <w:p w14:paraId="5450CA7A" w14:textId="77777777" w:rsidR="0091592F" w:rsidRPr="0091592F" w:rsidRDefault="0091592F">
      <w:pPr>
        <w:spacing w:before="280" w:after="280" w:line="360" w:lineRule="auto"/>
        <w:jc w:val="both"/>
        <w:rPr>
          <w:rFonts w:ascii="Palatino Linotype" w:eastAsia="Palatino Linotype" w:hAnsi="Palatino Linotype" w:cs="Palatino Linotype"/>
          <w:b/>
          <w:sz w:val="28"/>
          <w:szCs w:val="28"/>
        </w:rPr>
      </w:pPr>
    </w:p>
    <w:p w14:paraId="3A74801D" w14:textId="77777777" w:rsidR="00DC1D62" w:rsidRPr="0091592F" w:rsidRDefault="001F661C">
      <w:pPr>
        <w:spacing w:before="280" w:after="280" w:line="360" w:lineRule="auto"/>
        <w:jc w:val="both"/>
        <w:rPr>
          <w:rFonts w:ascii="Palatino Linotype" w:eastAsia="Palatino Linotype" w:hAnsi="Palatino Linotype" w:cs="Palatino Linotype"/>
          <w:b/>
          <w:sz w:val="28"/>
          <w:szCs w:val="28"/>
        </w:rPr>
      </w:pPr>
      <w:r w:rsidRPr="0091592F">
        <w:rPr>
          <w:rFonts w:ascii="Palatino Linotype" w:eastAsia="Palatino Linotype" w:hAnsi="Palatino Linotype" w:cs="Palatino Linotype"/>
          <w:b/>
          <w:sz w:val="28"/>
          <w:szCs w:val="28"/>
        </w:rPr>
        <w:lastRenderedPageBreak/>
        <w:t>e) Acuerdo de ampliación:</w:t>
      </w:r>
    </w:p>
    <w:p w14:paraId="2263B18D" w14:textId="77777777" w:rsidR="00DC1D62" w:rsidRPr="0091592F" w:rsidRDefault="001F661C" w:rsidP="0091592F">
      <w:pPr>
        <w:spacing w:before="28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El </w:t>
      </w:r>
      <w:r w:rsidRPr="0091592F">
        <w:rPr>
          <w:rFonts w:ascii="Palatino Linotype" w:eastAsia="Palatino Linotype" w:hAnsi="Palatino Linotype" w:cs="Palatino Linotype"/>
        </w:rPr>
        <w:t>dieciocho</w:t>
      </w:r>
      <w:r w:rsidRPr="0091592F">
        <w:rPr>
          <w:rFonts w:ascii="Palatino Linotype" w:eastAsia="Palatino Linotype" w:hAnsi="Palatino Linotype" w:cs="Palatino Linotype"/>
          <w:color w:val="000000"/>
        </w:rPr>
        <w:t xml:space="preserve"> de abril de dos mil veintidós, se notificó a las partes el acuerdo de ampliación del plazo para resolver el Recurso de Revisión en estudio, por un periodo de hasta quince días hábiles, de conformidad con el artículo 181, tercer párrafo de la Ley de Transparencia y Acceso a la Información Pública del Estado de México y Municipios.</w:t>
      </w:r>
    </w:p>
    <w:p w14:paraId="659F3FF8" w14:textId="77777777" w:rsidR="00DC1D62" w:rsidRPr="0091592F" w:rsidRDefault="001F661C">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91592F">
        <w:rPr>
          <w:rFonts w:ascii="Palatino Linotype" w:eastAsia="Palatino Linotype" w:hAnsi="Palatino Linotype" w:cs="Palatino Linotype"/>
          <w:b/>
          <w:color w:val="000000"/>
          <w:sz w:val="28"/>
          <w:szCs w:val="28"/>
        </w:rPr>
        <w:t>CONSIDERANDO</w:t>
      </w:r>
    </w:p>
    <w:p w14:paraId="2965ED74" w14:textId="77777777" w:rsidR="00DC1D62" w:rsidRPr="0091592F" w:rsidRDefault="001F661C">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b/>
          <w:color w:val="000000"/>
        </w:rPr>
      </w:pPr>
      <w:r w:rsidRPr="0091592F">
        <w:rPr>
          <w:rFonts w:ascii="Palatino Linotype" w:eastAsia="Palatino Linotype" w:hAnsi="Palatino Linotype" w:cs="Palatino Linotype"/>
          <w:b/>
          <w:color w:val="000000"/>
          <w:sz w:val="28"/>
          <w:szCs w:val="28"/>
        </w:rPr>
        <w:t>PRIMERO</w:t>
      </w:r>
      <w:r w:rsidRPr="0091592F">
        <w:rPr>
          <w:rFonts w:ascii="Palatino Linotype" w:eastAsia="Palatino Linotype" w:hAnsi="Palatino Linotype" w:cs="Palatino Linotype"/>
          <w:b/>
          <w:color w:val="000000"/>
        </w:rPr>
        <w:t>. Competencia</w:t>
      </w:r>
      <w:r w:rsidRPr="0091592F">
        <w:rPr>
          <w:rFonts w:ascii="Palatino Linotype" w:eastAsia="Palatino Linotype" w:hAnsi="Palatino Linotype" w:cs="Palatino Linotype"/>
          <w:color w:val="000000"/>
        </w:rPr>
        <w:t>.</w:t>
      </w:r>
      <w:r w:rsidRPr="0091592F">
        <w:rPr>
          <w:rFonts w:ascii="Palatino Linotype" w:eastAsia="Palatino Linotype" w:hAnsi="Palatino Linotype" w:cs="Palatino Linotype"/>
          <w:b/>
          <w:color w:val="000000"/>
        </w:rPr>
        <w:t xml:space="preserve"> </w:t>
      </w:r>
    </w:p>
    <w:p w14:paraId="4653453F" w14:textId="77777777" w:rsidR="00DC1D62" w:rsidRPr="0091592F" w:rsidRDefault="001F661C">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3944E05" w14:textId="77777777" w:rsidR="00DC1D62" w:rsidRPr="0091592F" w:rsidRDefault="001F661C">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b/>
          <w:color w:val="000000"/>
          <w:sz w:val="28"/>
          <w:szCs w:val="28"/>
        </w:rPr>
        <w:lastRenderedPageBreak/>
        <w:t>SEGUNDO</w:t>
      </w:r>
      <w:r w:rsidRPr="0091592F">
        <w:rPr>
          <w:rFonts w:ascii="Palatino Linotype" w:eastAsia="Palatino Linotype" w:hAnsi="Palatino Linotype" w:cs="Palatino Linotype"/>
          <w:b/>
          <w:color w:val="000000"/>
        </w:rPr>
        <w:t>. Interés.</w:t>
      </w:r>
      <w:r w:rsidRPr="0091592F">
        <w:rPr>
          <w:rFonts w:ascii="Palatino Linotype" w:eastAsia="Palatino Linotype" w:hAnsi="Palatino Linotype" w:cs="Palatino Linotype"/>
          <w:color w:val="000000"/>
        </w:rPr>
        <w:t xml:space="preserve"> </w:t>
      </w:r>
    </w:p>
    <w:p w14:paraId="6B81B7E8"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El Recurso de Revisión fue interpuesto por parte legítima en atención a que fue presentado por </w:t>
      </w:r>
      <w:r w:rsidRPr="0091592F">
        <w:rPr>
          <w:rFonts w:ascii="Palatino Linotype" w:eastAsia="Palatino Linotype" w:hAnsi="Palatino Linotype" w:cs="Palatino Linotype"/>
          <w:b/>
        </w:rPr>
        <w:t>EL RECURRENTE</w:t>
      </w:r>
      <w:r w:rsidRPr="0091592F">
        <w:rPr>
          <w:rFonts w:ascii="Palatino Linotype" w:eastAsia="Palatino Linotype" w:hAnsi="Palatino Linotype" w:cs="Palatino Linotype"/>
        </w:rPr>
        <w:t>, quien es la misma persona que formuló la solicitud de información pública, tal como se advierte se las constancias que obran en el expediente.</w:t>
      </w:r>
    </w:p>
    <w:p w14:paraId="6A7931EB" w14:textId="77777777" w:rsidR="00DC1D62" w:rsidRPr="0091592F" w:rsidRDefault="00DC1D62">
      <w:pPr>
        <w:spacing w:line="360" w:lineRule="auto"/>
        <w:jc w:val="both"/>
        <w:rPr>
          <w:rFonts w:ascii="Palatino Linotype" w:eastAsia="Palatino Linotype" w:hAnsi="Palatino Linotype" w:cs="Palatino Linotype"/>
        </w:rPr>
      </w:pPr>
    </w:p>
    <w:p w14:paraId="467D0147" w14:textId="77777777" w:rsidR="00DC1D62" w:rsidRPr="0091592F" w:rsidRDefault="001F661C">
      <w:pPr>
        <w:spacing w:line="360" w:lineRule="auto"/>
        <w:jc w:val="both"/>
        <w:rPr>
          <w:rFonts w:ascii="Palatino Linotype" w:eastAsia="Palatino Linotype" w:hAnsi="Palatino Linotype" w:cs="Palatino Linotype"/>
          <w:b/>
        </w:rPr>
      </w:pPr>
      <w:r w:rsidRPr="0091592F">
        <w:rPr>
          <w:rFonts w:ascii="Palatino Linotype" w:eastAsia="Palatino Linotype" w:hAnsi="Palatino Linotype" w:cs="Palatino Linotype"/>
        </w:rPr>
        <w:t xml:space="preserve"> </w:t>
      </w:r>
      <w:r w:rsidRPr="0091592F">
        <w:rPr>
          <w:rFonts w:ascii="Palatino Linotype" w:eastAsia="Palatino Linotype" w:hAnsi="Palatino Linotype" w:cs="Palatino Linotype"/>
          <w:b/>
          <w:sz w:val="28"/>
          <w:szCs w:val="28"/>
        </w:rPr>
        <w:t>TERCERO</w:t>
      </w:r>
      <w:r w:rsidRPr="0091592F">
        <w:rPr>
          <w:rFonts w:ascii="Palatino Linotype" w:eastAsia="Palatino Linotype" w:hAnsi="Palatino Linotype" w:cs="Palatino Linotype"/>
          <w:b/>
        </w:rPr>
        <w:t xml:space="preserve">. Oportunidad. </w:t>
      </w:r>
    </w:p>
    <w:p w14:paraId="44A6D2C4" w14:textId="77777777" w:rsidR="00DC1D62" w:rsidRPr="0091592F" w:rsidRDefault="001F661C">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El Recurso de Revisión fue interpuesto dentro del plazo de quince días hábiles, contados a partir del día siguiente al en que </w:t>
      </w:r>
      <w:r w:rsidRPr="0091592F">
        <w:rPr>
          <w:rFonts w:ascii="Palatino Linotype" w:eastAsia="Palatino Linotype" w:hAnsi="Palatino Linotype" w:cs="Palatino Linotype"/>
          <w:b/>
          <w:color w:val="000000"/>
        </w:rPr>
        <w:t xml:space="preserve">EL RECURRENTE </w:t>
      </w:r>
      <w:r w:rsidRPr="0091592F">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F0781A" w14:textId="77777777" w:rsidR="00DC1D62" w:rsidRPr="0091592F" w:rsidRDefault="001F661C">
      <w:pPr>
        <w:ind w:left="720" w:right="70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Artículo 178.</w:t>
      </w:r>
      <w:r w:rsidRPr="0091592F">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A3C618C" w14:textId="77777777" w:rsidR="00DC1D62" w:rsidRPr="0091592F" w:rsidRDefault="00DC1D62">
      <w:pPr>
        <w:ind w:left="720" w:right="709"/>
        <w:jc w:val="both"/>
        <w:rPr>
          <w:rFonts w:ascii="Palatino Linotype" w:eastAsia="Palatino Linotype" w:hAnsi="Palatino Linotype" w:cs="Palatino Linotype"/>
          <w:i/>
          <w:sz w:val="22"/>
          <w:szCs w:val="22"/>
        </w:rPr>
      </w:pPr>
    </w:p>
    <w:p w14:paraId="79772B78" w14:textId="77777777" w:rsidR="00DC1D62" w:rsidRPr="0091592F" w:rsidRDefault="001F661C">
      <w:pPr>
        <w:ind w:left="720" w:right="70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BCBA549" w14:textId="77777777" w:rsidR="00DC1D62" w:rsidRPr="0091592F" w:rsidRDefault="00DC1D62">
      <w:pPr>
        <w:ind w:left="720" w:right="709"/>
        <w:jc w:val="both"/>
        <w:rPr>
          <w:rFonts w:ascii="Palatino Linotype" w:eastAsia="Palatino Linotype" w:hAnsi="Palatino Linotype" w:cs="Palatino Linotype"/>
          <w:i/>
          <w:sz w:val="22"/>
          <w:szCs w:val="22"/>
        </w:rPr>
      </w:pPr>
    </w:p>
    <w:p w14:paraId="7E90C3BF" w14:textId="77777777" w:rsidR="00DC1D62" w:rsidRPr="0091592F" w:rsidRDefault="001F661C">
      <w:pPr>
        <w:ind w:left="720" w:right="70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 (Sic)</w:t>
      </w:r>
    </w:p>
    <w:p w14:paraId="12B27BB0" w14:textId="77777777" w:rsidR="00DC1D62" w:rsidRPr="0091592F" w:rsidRDefault="001F661C">
      <w:pPr>
        <w:spacing w:before="240" w:after="280"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lastRenderedPageBreak/>
        <w:t xml:space="preserve">En esa tesitura, atendiendo a que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notificó la respuesta a la solicitud de acceso a la Información Pública el día</w:t>
      </w:r>
      <w:r w:rsidRPr="0091592F">
        <w:rPr>
          <w:rFonts w:ascii="Palatino Linotype" w:eastAsia="Palatino Linotype" w:hAnsi="Palatino Linotype" w:cs="Palatino Linotype"/>
          <w:b/>
        </w:rPr>
        <w:t xml:space="preserve"> veintidós de febrero de dos mil veintidós</w:t>
      </w:r>
      <w:r w:rsidRPr="0091592F">
        <w:rPr>
          <w:rFonts w:ascii="Palatino Linotype" w:eastAsia="Palatino Linotype" w:hAnsi="Palatino Linotype" w:cs="Palatino Linotype"/>
        </w:rPr>
        <w:t>; así, el plazo de quince días hábiles que el artículo 178 de la Ley de la materia otorga al hoy</w:t>
      </w:r>
      <w:r w:rsidRPr="0091592F">
        <w:rPr>
          <w:rFonts w:ascii="Palatino Linotype" w:eastAsia="Palatino Linotype" w:hAnsi="Palatino Linotype" w:cs="Palatino Linotype"/>
          <w:b/>
        </w:rPr>
        <w:t xml:space="preserve"> RECURRENTE</w:t>
      </w:r>
      <w:r w:rsidRPr="0091592F">
        <w:rPr>
          <w:rFonts w:ascii="Palatino Linotype" w:eastAsia="Palatino Linotype" w:hAnsi="Palatino Linotype" w:cs="Palatino Linotype"/>
        </w:rPr>
        <w:t xml:space="preserve"> para presentar el respectivo Recurso de Revisión, transcurrió del </w:t>
      </w:r>
      <w:r w:rsidRPr="0091592F">
        <w:rPr>
          <w:rFonts w:ascii="Palatino Linotype" w:eastAsia="Palatino Linotype" w:hAnsi="Palatino Linotype" w:cs="Palatino Linotype"/>
          <w:b/>
        </w:rPr>
        <w:t xml:space="preserve">veintitrés de febrero al dieciséis de marzo de dos mil veintidós, </w:t>
      </w:r>
      <w:r w:rsidRPr="0091592F">
        <w:rPr>
          <w:rFonts w:ascii="Palatino Linotype" w:eastAsia="Palatino Linotype" w:hAnsi="Palatino Linotype" w:cs="Palatino Linotype"/>
        </w:rPr>
        <w:t>sin contemplar en el cómputo los días veintiséis y veintisiete  de febrero de dos mil veintidós así como cinco, seis, doce y trece de marzo  por corresponder a sábados y domingos, considerados como días inhábiles, en términos del artículo 3, fracción X de la Ley de Transparencia y Acceso a la Información Pública del Estado de México y Municipios; además del día dos de marzo de dos mil veintidós, es inhábil, de conformidad con el acuerdo de modificación al Calendario Oficial en materia de Transparencia aprobado por el Pleno en fecha ocho de diciembre de dos mil veintiuno.</w:t>
      </w:r>
    </w:p>
    <w:p w14:paraId="643FC7CE" w14:textId="77777777" w:rsidR="00DC1D62" w:rsidRPr="0091592F" w:rsidRDefault="001F661C">
      <w:pPr>
        <w:spacing w:before="240" w:after="280" w:line="360" w:lineRule="auto"/>
        <w:jc w:val="both"/>
      </w:pPr>
      <w:r w:rsidRPr="0091592F">
        <w:rPr>
          <w:rFonts w:ascii="Palatino Linotype" w:eastAsia="Palatino Linotype" w:hAnsi="Palatino Linotype" w:cs="Palatino Linotype"/>
        </w:rPr>
        <w:t xml:space="preserve">Así bien, se advierte que </w:t>
      </w:r>
      <w:r w:rsidRPr="0091592F">
        <w:rPr>
          <w:rFonts w:ascii="Palatino Linotype" w:eastAsia="Palatino Linotype" w:hAnsi="Palatino Linotype" w:cs="Palatino Linotype"/>
          <w:b/>
        </w:rPr>
        <w:t>EL RECURRENTE</w:t>
      </w:r>
      <w:r w:rsidRPr="0091592F">
        <w:rPr>
          <w:rFonts w:ascii="Palatino Linotype" w:eastAsia="Palatino Linotype" w:hAnsi="Palatino Linotype" w:cs="Palatino Linotype"/>
        </w:rPr>
        <w:t xml:space="preserve"> presentó el medio de impugnación, el mismo día en que se le notificó la respuesta impugnada; no obstante lo anterior, ello no implica que su interposición sea extemporánea, es decir, fuera del plazo señalado para tales efectos, en razón de que el artículo 178, de la Ley de Transparencia y Acceso a la Información Pública del Estado de México y Municipios, establece que el recurso de revisión se promueve </w:t>
      </w:r>
      <w:r w:rsidRPr="0091592F">
        <w:rPr>
          <w:rFonts w:ascii="Palatino Linotype" w:eastAsia="Palatino Linotype" w:hAnsi="Palatino Linotype" w:cs="Palatino Linotype"/>
          <w:b/>
          <w:u w:val="single"/>
        </w:rPr>
        <w:t>dentro</w:t>
      </w:r>
      <w:r w:rsidRPr="0091592F">
        <w:rPr>
          <w:rFonts w:ascii="Palatino Linotype" w:eastAsia="Palatino Linotype" w:hAnsi="Palatino Linotype" w:cs="Palatino Linotype"/>
        </w:rPr>
        <w:t xml:space="preserve"> de los quince días hábiles siguientes en que </w:t>
      </w:r>
      <w:r w:rsidRPr="0091592F">
        <w:rPr>
          <w:rFonts w:ascii="Palatino Linotype" w:eastAsia="Palatino Linotype" w:hAnsi="Palatino Linotype" w:cs="Palatino Linotype"/>
          <w:b/>
        </w:rPr>
        <w:t>EL RECURRENTE</w:t>
      </w:r>
      <w:r w:rsidRPr="0091592F">
        <w:rPr>
          <w:rFonts w:ascii="Palatino Linotype" w:eastAsia="Palatino Linotype" w:hAnsi="Palatino Linotype" w:cs="Palatino Linotype"/>
        </w:rPr>
        <w:t xml:space="preserve"> tenga conocimiento de la respuesta impugnada, no limita a los particulares para que lo puedan presentar </w:t>
      </w:r>
      <w:r w:rsidRPr="0091592F">
        <w:rPr>
          <w:rFonts w:ascii="Palatino Linotype" w:eastAsia="Palatino Linotype" w:hAnsi="Palatino Linotype" w:cs="Palatino Linotype"/>
          <w:b/>
        </w:rPr>
        <w:t>el mismo día</w:t>
      </w:r>
      <w:r w:rsidRPr="0091592F">
        <w:rPr>
          <w:rFonts w:ascii="Palatino Linotype" w:eastAsia="Palatino Linotype" w:hAnsi="Palatino Linotype" w:cs="Palatino Linotype"/>
        </w:rPr>
        <w:t xml:space="preserve"> en que le sea notificada dicha respuesta.</w:t>
      </w:r>
    </w:p>
    <w:p w14:paraId="7DE124DD" w14:textId="77777777" w:rsidR="00DC1D62" w:rsidRPr="0091592F" w:rsidRDefault="001F661C">
      <w:pPr>
        <w:spacing w:before="200" w:after="200" w:line="360" w:lineRule="auto"/>
        <w:jc w:val="both"/>
      </w:pPr>
      <w:r w:rsidRPr="0091592F">
        <w:rPr>
          <w:rFonts w:ascii="Palatino Linotype" w:eastAsia="Palatino Linotype" w:hAnsi="Palatino Linotype" w:cs="Palatino Linotype"/>
        </w:rPr>
        <w:lastRenderedPageBreak/>
        <w:t>En apoyo a lo anterior, resulta aplicable por analogía la Jurisprudencia número 1a./J. 41/2015 (10a.), Décima Época, sustentada por la Primera Sala de la Suprema Corte de Justicia de la Nación, visible en la página 569, libro 19, tomo I, del Semanario Judicial de la Federación y su de la Gaceta de junio de 2015, cuyo rubro y texto esgrimen:</w:t>
      </w:r>
    </w:p>
    <w:p w14:paraId="41503C3A" w14:textId="77777777" w:rsidR="00DC1D62" w:rsidRPr="0091592F" w:rsidRDefault="001F661C">
      <w:pPr>
        <w:spacing w:before="120" w:after="120"/>
        <w:ind w:left="709" w:right="709"/>
        <w:jc w:val="both"/>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 xml:space="preserve">RECURSO DE RECLAMACIÓN. SU INTERPOSICIÓN NO ES EXTEMPORÁNEA SI SE REALIZA ANTES DE QUE INICIE EL PLAZO PARA HACERLO. </w:t>
      </w:r>
      <w:r w:rsidRPr="0091592F">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Pr="0091592F">
        <w:t xml:space="preserve"> </w:t>
      </w:r>
    </w:p>
    <w:p w14:paraId="3E236658" w14:textId="77777777" w:rsidR="00DC1D62" w:rsidRPr="0091592F" w:rsidRDefault="00DC1D62">
      <w:pPr>
        <w:spacing w:before="120" w:after="120"/>
        <w:ind w:left="709" w:right="709"/>
        <w:jc w:val="both"/>
      </w:pPr>
    </w:p>
    <w:p w14:paraId="6F1A1FAC" w14:textId="77777777" w:rsidR="00DC1D62" w:rsidRPr="0091592F" w:rsidRDefault="001F661C">
      <w:pPr>
        <w:spacing w:before="120" w:after="120" w:line="360" w:lineRule="auto"/>
        <w:ind w:right="49"/>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Dicha tesis establece que si bien, los artículos contemplan un plazo, este debe ser entendido en el sentido de que la presentación del recurso no debe hacerse después de la cantidad de días contemplados, pero no debe limitarse la presentación si esta se hace antes de que comiencen a contar los días indicados en la ley. </w:t>
      </w:r>
    </w:p>
    <w:p w14:paraId="583E044A" w14:textId="77777777" w:rsidR="00DC1D62" w:rsidRPr="0091592F" w:rsidRDefault="001F661C">
      <w:pPr>
        <w:spacing w:before="120" w:after="120" w:line="360" w:lineRule="auto"/>
        <w:ind w:right="49"/>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Por ello, al haber interpuesto el recurso materia de este análisis el mismo día de la notificación de la respuesta del </w:t>
      </w:r>
      <w:r w:rsidRPr="0091592F">
        <w:rPr>
          <w:rFonts w:ascii="Palatino Linotype" w:eastAsia="Palatino Linotype" w:hAnsi="Palatino Linotype" w:cs="Palatino Linotype"/>
          <w:b/>
        </w:rPr>
        <w:t>SUJETO OBLIGADO</w:t>
      </w:r>
      <w:r w:rsidRPr="0091592F">
        <w:rPr>
          <w:rFonts w:ascii="Palatino Linotype" w:eastAsia="Palatino Linotype" w:hAnsi="Palatino Linotype" w:cs="Palatino Linotype"/>
        </w:rPr>
        <w:t xml:space="preserve"> debe considerarse en tiempo.</w:t>
      </w:r>
    </w:p>
    <w:p w14:paraId="5E377FFF" w14:textId="77777777" w:rsidR="00DC1D62" w:rsidRPr="0091592F" w:rsidRDefault="00DC1D62">
      <w:pPr>
        <w:spacing w:before="120" w:after="120" w:line="360" w:lineRule="auto"/>
        <w:ind w:right="49"/>
        <w:jc w:val="both"/>
        <w:rPr>
          <w:rFonts w:ascii="Palatino Linotype" w:eastAsia="Palatino Linotype" w:hAnsi="Palatino Linotype" w:cs="Palatino Linotype"/>
        </w:rPr>
      </w:pPr>
    </w:p>
    <w:p w14:paraId="12362FCF" w14:textId="77777777" w:rsidR="00DC1D62" w:rsidRPr="0091592F" w:rsidRDefault="001F661C">
      <w:pPr>
        <w:spacing w:before="120" w:after="120" w:line="360" w:lineRule="auto"/>
        <w:ind w:right="49"/>
        <w:jc w:val="both"/>
        <w:rPr>
          <w:rFonts w:ascii="Palatino Linotype" w:eastAsia="Palatino Linotype" w:hAnsi="Palatino Linotype" w:cs="Palatino Linotype"/>
        </w:rPr>
      </w:pPr>
      <w:r w:rsidRPr="0091592F">
        <w:rPr>
          <w:rFonts w:ascii="Palatino Linotype" w:eastAsia="Palatino Linotype" w:hAnsi="Palatino Linotype" w:cs="Palatino Linotype"/>
          <w:b/>
          <w:sz w:val="28"/>
          <w:szCs w:val="28"/>
        </w:rPr>
        <w:t>CUARTO</w:t>
      </w:r>
      <w:r w:rsidRPr="0091592F">
        <w:rPr>
          <w:rFonts w:ascii="Palatino Linotype" w:eastAsia="Palatino Linotype" w:hAnsi="Palatino Linotype" w:cs="Palatino Linotype"/>
        </w:rPr>
        <w:t xml:space="preserve">. </w:t>
      </w:r>
      <w:r w:rsidRPr="0091592F">
        <w:rPr>
          <w:rFonts w:ascii="Palatino Linotype" w:eastAsia="Palatino Linotype" w:hAnsi="Palatino Linotype" w:cs="Palatino Linotype"/>
          <w:b/>
        </w:rPr>
        <w:t>Procedibilidad</w:t>
      </w:r>
      <w:r w:rsidRPr="0091592F">
        <w:rPr>
          <w:rFonts w:ascii="Palatino Linotype" w:eastAsia="Palatino Linotype" w:hAnsi="Palatino Linotype" w:cs="Palatino Linotype"/>
        </w:rPr>
        <w:t xml:space="preserve">. </w:t>
      </w:r>
    </w:p>
    <w:p w14:paraId="43D4C754" w14:textId="77777777" w:rsidR="00DC1D62" w:rsidRPr="0091592F" w:rsidRDefault="001F661C">
      <w:pPr>
        <w:spacing w:line="360" w:lineRule="auto"/>
        <w:ind w:right="49"/>
        <w:jc w:val="both"/>
        <w:rPr>
          <w:rFonts w:ascii="Palatino Linotype" w:eastAsia="Palatino Linotype" w:hAnsi="Palatino Linotype" w:cs="Palatino Linotype"/>
        </w:rPr>
      </w:pPr>
      <w:r w:rsidRPr="0091592F">
        <w:rPr>
          <w:rFonts w:ascii="Palatino Linotype" w:eastAsia="Palatino Linotype" w:hAnsi="Palatino Linotype" w:cs="Palatino Linotype"/>
        </w:rPr>
        <w:lastRenderedPageBreak/>
        <w:t xml:space="preserve">Del análisis efectuado se advierte que resulta procedente la interposición del Recurso de Revisión y se concluye la acreditación plena de todos y cada uno de los elementos formales exigidos por el artículo 180 de la Ley de Transparencia y Acceso a la Información Pública del Estado de México y Municipios, en atención a que fue presentado mediante el formato visible en </w:t>
      </w:r>
      <w:r w:rsidRPr="0091592F">
        <w:rPr>
          <w:rFonts w:ascii="Palatino Linotype" w:eastAsia="Palatino Linotype" w:hAnsi="Palatino Linotype" w:cs="Palatino Linotype"/>
          <w:b/>
        </w:rPr>
        <w:t>EL SAIMEX</w:t>
      </w:r>
      <w:r w:rsidRPr="0091592F">
        <w:rPr>
          <w:rFonts w:ascii="Palatino Linotype" w:eastAsia="Palatino Linotype" w:hAnsi="Palatino Linotype" w:cs="Palatino Linotype"/>
        </w:rPr>
        <w:t>.</w:t>
      </w:r>
    </w:p>
    <w:p w14:paraId="54EFC505" w14:textId="77777777" w:rsidR="00DC1D62" w:rsidRPr="0091592F" w:rsidRDefault="00DC1D62">
      <w:pPr>
        <w:spacing w:line="360" w:lineRule="auto"/>
        <w:ind w:right="49"/>
        <w:jc w:val="both"/>
        <w:rPr>
          <w:rFonts w:ascii="Palatino Linotype" w:eastAsia="Palatino Linotype" w:hAnsi="Palatino Linotype" w:cs="Palatino Linotype"/>
        </w:rPr>
      </w:pPr>
    </w:p>
    <w:p w14:paraId="0D66330D" w14:textId="77777777" w:rsidR="00DC1D62" w:rsidRPr="0091592F" w:rsidRDefault="001F661C">
      <w:pPr>
        <w:spacing w:before="240" w:after="280"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b/>
          <w:sz w:val="28"/>
          <w:szCs w:val="28"/>
        </w:rPr>
        <w:t xml:space="preserve">QUINTO. </w:t>
      </w:r>
      <w:r w:rsidRPr="0091592F">
        <w:rPr>
          <w:rFonts w:ascii="Palatino Linotype" w:eastAsia="Palatino Linotype" w:hAnsi="Palatino Linotype" w:cs="Palatino Linotype"/>
          <w:b/>
        </w:rPr>
        <w:t>Estudio y análisis del asunto.</w:t>
      </w:r>
      <w:r w:rsidRPr="0091592F">
        <w:rPr>
          <w:rFonts w:ascii="Palatino Linotype" w:eastAsia="Palatino Linotype" w:hAnsi="Palatino Linotype" w:cs="Palatino Linotype"/>
        </w:rPr>
        <w:t xml:space="preserve"> </w:t>
      </w:r>
    </w:p>
    <w:p w14:paraId="24C13238" w14:textId="77777777" w:rsidR="00DC1D62" w:rsidRPr="0091592F" w:rsidRDefault="001F661C">
      <w:pPr>
        <w:spacing w:before="24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Primeramente queda patente que </w:t>
      </w:r>
      <w:r w:rsidRPr="0091592F">
        <w:rPr>
          <w:rFonts w:ascii="Palatino Linotype" w:eastAsia="Palatino Linotype" w:hAnsi="Palatino Linotype" w:cs="Palatino Linotype"/>
          <w:b/>
        </w:rPr>
        <w:t xml:space="preserve">EL </w:t>
      </w:r>
      <w:r w:rsidRPr="0091592F">
        <w:rPr>
          <w:rFonts w:ascii="Palatino Linotype" w:eastAsia="Palatino Linotype" w:hAnsi="Palatino Linotype" w:cs="Palatino Linotype"/>
          <w:b/>
          <w:color w:val="000000"/>
        </w:rPr>
        <w:t>RECURRENTE</w:t>
      </w:r>
      <w:r w:rsidRPr="0091592F">
        <w:rPr>
          <w:rFonts w:ascii="Palatino Linotype" w:eastAsia="Palatino Linotype" w:hAnsi="Palatino Linotype" w:cs="Palatino Linotype"/>
          <w:color w:val="000000"/>
        </w:rPr>
        <w:t xml:space="preserve"> requirió obtener diversa información relacionada con el pago de obligaciones fiscales del </w:t>
      </w:r>
      <w:r w:rsidRPr="0091592F">
        <w:rPr>
          <w:rFonts w:ascii="Palatino Linotype" w:eastAsia="Palatino Linotype" w:hAnsi="Palatino Linotype" w:cs="Palatino Linotype"/>
          <w:b/>
          <w:color w:val="000000"/>
        </w:rPr>
        <w:t>SUJETO OBLIGADO</w:t>
      </w:r>
      <w:r w:rsidRPr="0091592F">
        <w:rPr>
          <w:rFonts w:ascii="Palatino Linotype" w:eastAsia="Palatino Linotype" w:hAnsi="Palatino Linotype" w:cs="Palatino Linotype"/>
          <w:color w:val="000000"/>
        </w:rPr>
        <w:t xml:space="preserve">, a saber: </w:t>
      </w:r>
      <w:r w:rsidRPr="0091592F">
        <w:rPr>
          <w:rFonts w:ascii="Palatino Linotype" w:eastAsia="Palatino Linotype" w:hAnsi="Palatino Linotype" w:cs="Palatino Linotype"/>
          <w:b/>
          <w:color w:val="000000"/>
        </w:rPr>
        <w:t>a)</w:t>
      </w:r>
      <w:r w:rsidRPr="0091592F">
        <w:rPr>
          <w:rFonts w:ascii="Palatino Linotype" w:eastAsia="Palatino Linotype" w:hAnsi="Palatino Linotype" w:cs="Palatino Linotype"/>
          <w:color w:val="000000"/>
        </w:rPr>
        <w:t xml:space="preserve"> Opinión de cumplimiento proporcionada por el SAT, IMSS, INFONAVIT y SATEM; </w:t>
      </w:r>
      <w:r w:rsidRPr="0091592F">
        <w:rPr>
          <w:rFonts w:ascii="Palatino Linotype" w:eastAsia="Palatino Linotype" w:hAnsi="Palatino Linotype" w:cs="Palatino Linotype"/>
          <w:b/>
          <w:color w:val="000000"/>
        </w:rPr>
        <w:t>b)</w:t>
      </w:r>
      <w:r w:rsidRPr="0091592F">
        <w:rPr>
          <w:rFonts w:ascii="Palatino Linotype" w:eastAsia="Palatino Linotype" w:hAnsi="Palatino Linotype" w:cs="Palatino Linotype"/>
          <w:color w:val="000000"/>
        </w:rPr>
        <w:t xml:space="preserve"> Reportes del aplicativo “Visor de nómina del SAT”, del dos mil dieciocho al dos mil veintiuno, en sus presentaciones ‘Vista anual acumulada’, ‘Detalle mensual’ y ‘Detalle diferencias sueldos y salarios’; </w:t>
      </w:r>
      <w:r w:rsidRPr="0091592F">
        <w:rPr>
          <w:rFonts w:ascii="Palatino Linotype" w:eastAsia="Palatino Linotype" w:hAnsi="Palatino Linotype" w:cs="Palatino Linotype"/>
          <w:b/>
          <w:color w:val="000000"/>
        </w:rPr>
        <w:t>c)</w:t>
      </w:r>
      <w:r w:rsidRPr="0091592F">
        <w:rPr>
          <w:rFonts w:ascii="Palatino Linotype" w:eastAsia="Palatino Linotype" w:hAnsi="Palatino Linotype" w:cs="Palatino Linotype"/>
          <w:color w:val="000000"/>
        </w:rPr>
        <w:t xml:space="preserve"> Constancias de situación fiscal de no adeudo emitida por el INFONAVIT, IMSS y SATEM; </w:t>
      </w:r>
      <w:r w:rsidRPr="0091592F">
        <w:rPr>
          <w:rFonts w:ascii="Palatino Linotype" w:eastAsia="Palatino Linotype" w:hAnsi="Palatino Linotype" w:cs="Palatino Linotype"/>
          <w:b/>
          <w:color w:val="000000"/>
        </w:rPr>
        <w:t>d)</w:t>
      </w:r>
      <w:r w:rsidRPr="0091592F">
        <w:rPr>
          <w:rFonts w:ascii="Palatino Linotype" w:eastAsia="Palatino Linotype" w:hAnsi="Palatino Linotype" w:cs="Palatino Linotype"/>
          <w:color w:val="000000"/>
        </w:rPr>
        <w:t xml:space="preserve"> Se genere un documento donde se desarrolle diversa información relacionada con el pago del ISR.</w:t>
      </w:r>
    </w:p>
    <w:p w14:paraId="22B06689" w14:textId="77777777" w:rsidR="00DC1D62" w:rsidRPr="0091592F" w:rsidRDefault="00DC1D62">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645A6797" w14:textId="77777777" w:rsidR="00DC1D62" w:rsidRPr="0091592F" w:rsidRDefault="001F661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En respuesta a la solicitud de información, el </w:t>
      </w:r>
      <w:r w:rsidRPr="0091592F">
        <w:rPr>
          <w:rFonts w:ascii="Palatino Linotype" w:eastAsia="Palatino Linotype" w:hAnsi="Palatino Linotype" w:cs="Palatino Linotype"/>
          <w:b/>
          <w:color w:val="000000"/>
        </w:rPr>
        <w:t>SUJETO OBLIGADO</w:t>
      </w:r>
      <w:r w:rsidRPr="0091592F">
        <w:rPr>
          <w:rFonts w:ascii="Palatino Linotype" w:eastAsia="Palatino Linotype" w:hAnsi="Palatino Linotype" w:cs="Palatino Linotype"/>
          <w:color w:val="000000"/>
        </w:rPr>
        <w:t xml:space="preserve"> entregó el archivo denominado</w:t>
      </w:r>
      <w:r w:rsidRPr="0091592F">
        <w:rPr>
          <w:rFonts w:ascii="Palatino Linotype" w:eastAsia="Palatino Linotype" w:hAnsi="Palatino Linotype" w:cs="Palatino Linotype"/>
        </w:rPr>
        <w:t xml:space="preserve"> </w:t>
      </w:r>
      <w:r w:rsidRPr="0091592F">
        <w:rPr>
          <w:rFonts w:ascii="Palatino Linotype" w:eastAsia="Palatino Linotype" w:hAnsi="Palatino Linotype" w:cs="Palatino Linotype"/>
          <w:i/>
        </w:rPr>
        <w:t>“RESPUESTA00007-22.pdf</w:t>
      </w:r>
      <w:r w:rsidRPr="0091592F">
        <w:rPr>
          <w:rFonts w:ascii="Palatino Linotype" w:eastAsia="Palatino Linotype" w:hAnsi="Palatino Linotype" w:cs="Palatino Linotype"/>
          <w:b/>
          <w:i/>
          <w:color w:val="000000"/>
        </w:rPr>
        <w:t xml:space="preserve">”, </w:t>
      </w:r>
      <w:r w:rsidRPr="0091592F">
        <w:rPr>
          <w:rFonts w:ascii="Palatino Linotype" w:eastAsia="Palatino Linotype" w:hAnsi="Palatino Linotype" w:cs="Palatino Linotype"/>
        </w:rPr>
        <w:t>firmado por el Director General del ente recurrido</w:t>
      </w:r>
      <w:r w:rsidRPr="0091592F">
        <w:rPr>
          <w:rFonts w:ascii="Palatino Linotype" w:eastAsia="Palatino Linotype" w:hAnsi="Palatino Linotype" w:cs="Palatino Linotype"/>
          <w:color w:val="000000"/>
        </w:rPr>
        <w:t xml:space="preserve">, donde medularmente expuso que una vez que turnó la solicitud </w:t>
      </w:r>
      <w:r w:rsidRPr="0091592F">
        <w:rPr>
          <w:rFonts w:ascii="Palatino Linotype" w:eastAsia="Palatino Linotype" w:hAnsi="Palatino Linotype" w:cs="Palatino Linotype"/>
          <w:color w:val="000000"/>
        </w:rPr>
        <w:lastRenderedPageBreak/>
        <w:t xml:space="preserve">a las áreas correspondientes, el </w:t>
      </w:r>
      <w:r w:rsidRPr="0091592F">
        <w:rPr>
          <w:rFonts w:ascii="Palatino Linotype" w:eastAsia="Palatino Linotype" w:hAnsi="Palatino Linotype" w:cs="Palatino Linotype"/>
          <w:b/>
          <w:color w:val="000000"/>
        </w:rPr>
        <w:t>SUJETO OBLIGADO</w:t>
      </w:r>
      <w:r w:rsidRPr="0091592F">
        <w:rPr>
          <w:rFonts w:ascii="Palatino Linotype" w:eastAsia="Palatino Linotype" w:hAnsi="Palatino Linotype" w:cs="Palatino Linotype"/>
          <w:color w:val="000000"/>
        </w:rPr>
        <w:t xml:space="preserve"> no genera dicha información</w:t>
      </w:r>
      <w:r w:rsidRPr="0091592F">
        <w:rPr>
          <w:rFonts w:ascii="Palatino Linotype" w:eastAsia="Palatino Linotype" w:hAnsi="Palatino Linotype" w:cs="Palatino Linotype"/>
        </w:rPr>
        <w:t xml:space="preserve">, pues no cuenta con afiliaciones a las instituciones mencionadas. </w:t>
      </w:r>
    </w:p>
    <w:p w14:paraId="7B44F32E" w14:textId="77777777" w:rsidR="00DC1D62" w:rsidRPr="0091592F" w:rsidRDefault="00DC1D62">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rPr>
      </w:pPr>
    </w:p>
    <w:p w14:paraId="1F32180F" w14:textId="77777777" w:rsidR="00DC1D62" w:rsidRPr="0091592F" w:rsidRDefault="001F661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rPr>
        <w:t>En un acto posterior, e</w:t>
      </w:r>
      <w:r w:rsidRPr="0091592F">
        <w:rPr>
          <w:rFonts w:ascii="Palatino Linotype" w:eastAsia="Palatino Linotype" w:hAnsi="Palatino Linotype" w:cs="Palatino Linotype"/>
          <w:color w:val="000000"/>
        </w:rPr>
        <w:t xml:space="preserve">l particular impugnó la respuesta mediante recurso de revisión, en el que señaló por agravios que la respuesta del </w:t>
      </w:r>
      <w:r w:rsidRPr="0091592F">
        <w:rPr>
          <w:rFonts w:ascii="Palatino Linotype" w:eastAsia="Palatino Linotype" w:hAnsi="Palatino Linotype" w:cs="Palatino Linotype"/>
          <w:b/>
          <w:color w:val="000000"/>
        </w:rPr>
        <w:t>SUJETO OBLIGADO</w:t>
      </w:r>
      <w:r w:rsidRPr="0091592F">
        <w:rPr>
          <w:rFonts w:ascii="Palatino Linotype" w:eastAsia="Palatino Linotype" w:hAnsi="Palatino Linotype" w:cs="Palatino Linotype"/>
          <w:color w:val="000000"/>
        </w:rPr>
        <w:t xml:space="preserve"> actualizaba las causales de procedencia del recurso establecidas en el artículo 179, fracciones I, II, III ,IV, X, XI, XII, XIII Y XIV de la Ley de Transparencia y Acceso a la Información Pública del Estado de México y Municipios; asimismo, instruyó sobre el procedimiento para consultar y que se le entregue la i formación solicitada, proporcionando los archivos denominados</w:t>
      </w:r>
      <w:r w:rsidRPr="0091592F">
        <w:rPr>
          <w:rFonts w:ascii="Palatino Linotype" w:eastAsia="Palatino Linotype" w:hAnsi="Palatino Linotype" w:cs="Palatino Linotype"/>
          <w:b/>
          <w:color w:val="000000"/>
        </w:rPr>
        <w:t xml:space="preserve"> “G-13-03-01-2019-01 ejemplo vista anual acumulado o global.pdf”</w:t>
      </w:r>
      <w:r w:rsidRPr="0091592F">
        <w:rPr>
          <w:rFonts w:ascii="Palatino Linotype" w:eastAsia="Palatino Linotype" w:hAnsi="Palatino Linotype" w:cs="Palatino Linotype"/>
          <w:color w:val="000000"/>
        </w:rPr>
        <w:t xml:space="preserve">, este contiene información relativo a la vista anual acumulado o global del periodo 2019; también el archivo denominado </w:t>
      </w:r>
      <w:r w:rsidRPr="0091592F">
        <w:rPr>
          <w:rFonts w:ascii="Palatino Linotype" w:eastAsia="Palatino Linotype" w:hAnsi="Palatino Linotype" w:cs="Palatino Linotype"/>
          <w:b/>
          <w:color w:val="000000"/>
        </w:rPr>
        <w:t>“G-13-01-02-2019-01 ejemplo detalle diferencias sueldos y salarios, diferencias mensuales.pdf”</w:t>
      </w:r>
      <w:r w:rsidRPr="0091592F">
        <w:rPr>
          <w:rFonts w:ascii="Palatino Linotype" w:eastAsia="Palatino Linotype" w:hAnsi="Palatino Linotype" w:cs="Palatino Linotype"/>
          <w:color w:val="000000"/>
        </w:rPr>
        <w:t>, relativo al detalle de diferencias de sueldos y salarios y asimilados; y finalmente el archivo denominado</w:t>
      </w:r>
      <w:r w:rsidRPr="0091592F">
        <w:rPr>
          <w:rFonts w:ascii="Palatino Linotype" w:eastAsia="Palatino Linotype" w:hAnsi="Palatino Linotype" w:cs="Palatino Linotype"/>
          <w:b/>
          <w:color w:val="000000"/>
        </w:rPr>
        <w:t xml:space="preserve"> “G-35-03-03-2018-01 ejemplo presentación detalle mensual.pdf”</w:t>
      </w:r>
      <w:r w:rsidRPr="0091592F">
        <w:rPr>
          <w:rFonts w:ascii="Palatino Linotype" w:eastAsia="Palatino Linotype" w:hAnsi="Palatino Linotype" w:cs="Palatino Linotype"/>
          <w:color w:val="000000"/>
        </w:rPr>
        <w:t>, relativo al detalle mensual de pagos y retenciones por sueldos y salarios realizados a tus trabajadores.</w:t>
      </w:r>
    </w:p>
    <w:p w14:paraId="5FD1C419" w14:textId="77777777" w:rsidR="00DC1D62" w:rsidRPr="0091592F" w:rsidRDefault="00DC1D62">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0D5CEC52" w14:textId="77777777" w:rsidR="00DC1D62" w:rsidRPr="0091592F" w:rsidRDefault="001F661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En ese sentido, se advierte que las razones o motivos de inconformidad manifestados por el </w:t>
      </w:r>
      <w:r w:rsidRPr="0091592F">
        <w:rPr>
          <w:rFonts w:ascii="Palatino Linotype" w:eastAsia="Palatino Linotype" w:hAnsi="Palatino Linotype" w:cs="Palatino Linotype"/>
          <w:b/>
          <w:color w:val="000000"/>
        </w:rPr>
        <w:t>RECURRENTE</w:t>
      </w:r>
      <w:r w:rsidRPr="0091592F">
        <w:rPr>
          <w:rFonts w:ascii="Palatino Linotype" w:eastAsia="Palatino Linotype" w:hAnsi="Palatino Linotype" w:cs="Palatino Linotype"/>
          <w:color w:val="000000"/>
        </w:rPr>
        <w:t xml:space="preserve"> sugieren que la respuesta proporcionada por el </w:t>
      </w:r>
      <w:r w:rsidRPr="0091592F">
        <w:rPr>
          <w:rFonts w:ascii="Palatino Linotype" w:eastAsia="Palatino Linotype" w:hAnsi="Palatino Linotype" w:cs="Palatino Linotype"/>
          <w:b/>
          <w:color w:val="000000"/>
        </w:rPr>
        <w:t>SUJETO OBLIGADO</w:t>
      </w:r>
      <w:r w:rsidRPr="0091592F">
        <w:rPr>
          <w:rFonts w:ascii="Palatino Linotype" w:eastAsia="Palatino Linotype" w:hAnsi="Palatino Linotype" w:cs="Palatino Linotype"/>
          <w:color w:val="000000"/>
        </w:rPr>
        <w:t xml:space="preserve"> no cumplió con los principios contendidos en el artículo 11 de la Ley de Transparencia y Acceso a la Información Pública del Estado de </w:t>
      </w:r>
      <w:r w:rsidRPr="0091592F">
        <w:rPr>
          <w:rFonts w:ascii="Palatino Linotype" w:eastAsia="Palatino Linotype" w:hAnsi="Palatino Linotype" w:cs="Palatino Linotype"/>
          <w:color w:val="000000"/>
        </w:rPr>
        <w:lastRenderedPageBreak/>
        <w:t xml:space="preserve">México y Municipios, los cuales señalan que en la generación, publicación y entrega de información se deberá garantizar que ésta sea </w:t>
      </w:r>
      <w:r w:rsidRPr="0091592F">
        <w:rPr>
          <w:rFonts w:ascii="Palatino Linotype" w:eastAsia="Palatino Linotype" w:hAnsi="Palatino Linotype" w:cs="Palatino Linotype"/>
          <w:b/>
          <w:color w:val="000000"/>
        </w:rPr>
        <w:t xml:space="preserve">accesible </w:t>
      </w:r>
      <w:r w:rsidRPr="0091592F">
        <w:rPr>
          <w:rFonts w:ascii="Palatino Linotype" w:eastAsia="Palatino Linotype" w:hAnsi="Palatino Linotype" w:cs="Palatino Linotype"/>
          <w:color w:val="000000"/>
        </w:rPr>
        <w:t>y</w:t>
      </w:r>
      <w:r w:rsidRPr="0091592F">
        <w:rPr>
          <w:rFonts w:ascii="Palatino Linotype" w:eastAsia="Palatino Linotype" w:hAnsi="Palatino Linotype" w:cs="Palatino Linotype"/>
          <w:b/>
          <w:color w:val="000000"/>
        </w:rPr>
        <w:t xml:space="preserve"> completa</w:t>
      </w:r>
      <w:r w:rsidRPr="0091592F">
        <w:rPr>
          <w:rFonts w:ascii="Palatino Linotype" w:eastAsia="Palatino Linotype" w:hAnsi="Palatino Linotype" w:cs="Palatino Linotype"/>
          <w:color w:val="000000"/>
        </w:rPr>
        <w:t>.</w:t>
      </w:r>
    </w:p>
    <w:p w14:paraId="40E2B538" w14:textId="77777777" w:rsidR="00DC1D62" w:rsidRPr="0091592F" w:rsidRDefault="00DC1D62">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544EFE5C" w14:textId="77777777" w:rsidR="00DC1D62" w:rsidRPr="0091592F" w:rsidRDefault="001F661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Por lo anterior, la </w:t>
      </w:r>
      <w:r w:rsidRPr="0091592F">
        <w:rPr>
          <w:rFonts w:ascii="Palatino Linotype" w:eastAsia="Palatino Linotype" w:hAnsi="Palatino Linotype" w:cs="Palatino Linotype"/>
          <w:i/>
          <w:color w:val="000000"/>
        </w:rPr>
        <w:t>Litis</w:t>
      </w:r>
      <w:r w:rsidRPr="0091592F">
        <w:rPr>
          <w:rFonts w:ascii="Palatino Linotype" w:eastAsia="Palatino Linotype" w:hAnsi="Palatino Linotype" w:cs="Palatino Linotype"/>
          <w:color w:val="000000"/>
        </w:rPr>
        <w:t xml:space="preserve"> a resolver en el presente recurso se circunscribe en determinar si la respuesta del </w:t>
      </w:r>
      <w:r w:rsidRPr="0091592F">
        <w:rPr>
          <w:rFonts w:ascii="Palatino Linotype" w:eastAsia="Palatino Linotype" w:hAnsi="Palatino Linotype" w:cs="Palatino Linotype"/>
          <w:b/>
          <w:color w:val="000000"/>
        </w:rPr>
        <w:t>SUJETO OBLIGADO</w:t>
      </w:r>
      <w:r w:rsidRPr="0091592F">
        <w:rPr>
          <w:rFonts w:ascii="Palatino Linotype" w:eastAsia="Palatino Linotype" w:hAnsi="Palatino Linotype" w:cs="Palatino Linotype"/>
          <w:color w:val="000000"/>
        </w:rPr>
        <w:t xml:space="preserve"> colma el derecho de acceso a la información ejercido por el </w:t>
      </w:r>
      <w:r w:rsidRPr="0091592F">
        <w:rPr>
          <w:rFonts w:ascii="Palatino Linotype" w:eastAsia="Palatino Linotype" w:hAnsi="Palatino Linotype" w:cs="Palatino Linotype"/>
          <w:b/>
          <w:color w:val="000000"/>
        </w:rPr>
        <w:t>RECURRENTE</w:t>
      </w:r>
      <w:r w:rsidRPr="0091592F">
        <w:rPr>
          <w:rFonts w:ascii="Palatino Linotype" w:eastAsia="Palatino Linotype" w:hAnsi="Palatino Linotype" w:cs="Palatino Linotype"/>
          <w:color w:val="000000"/>
        </w:rPr>
        <w:t>; o, si por el contrario, se actualizan las causales de procedencia del recurso de revisión establecidas en el artículo 179, fracciones I, II, III ,IV, X, XI, XII, XIII Y XIV de la Ley de Transparencia y Acceso a la Información Pública del Estado de México y Municipios, y que se transcriben a continuación:</w:t>
      </w:r>
    </w:p>
    <w:p w14:paraId="7580E12A" w14:textId="77777777" w:rsidR="00DC1D62" w:rsidRPr="0091592F" w:rsidRDefault="00DC1D62">
      <w:pPr>
        <w:pBdr>
          <w:top w:val="nil"/>
          <w:left w:val="nil"/>
          <w:bottom w:val="nil"/>
          <w:right w:val="nil"/>
          <w:between w:val="nil"/>
        </w:pBdr>
        <w:tabs>
          <w:tab w:val="left" w:pos="426"/>
        </w:tabs>
        <w:ind w:left="851" w:right="567"/>
        <w:jc w:val="both"/>
        <w:rPr>
          <w:rFonts w:ascii="Palatino Linotype" w:eastAsia="Palatino Linotype" w:hAnsi="Palatino Linotype" w:cs="Palatino Linotype"/>
          <w:i/>
          <w:color w:val="000000"/>
          <w:sz w:val="22"/>
          <w:szCs w:val="22"/>
        </w:rPr>
      </w:pPr>
    </w:p>
    <w:p w14:paraId="6C4B0EFA" w14:textId="77777777" w:rsidR="00DC1D62" w:rsidRPr="0091592F" w:rsidRDefault="001F661C">
      <w:pPr>
        <w:pBdr>
          <w:top w:val="nil"/>
          <w:left w:val="nil"/>
          <w:bottom w:val="nil"/>
          <w:right w:val="nil"/>
          <w:between w:val="nil"/>
        </w:pBdr>
        <w:tabs>
          <w:tab w:val="left" w:pos="426"/>
        </w:tabs>
        <w:ind w:left="851" w:right="567"/>
        <w:jc w:val="both"/>
        <w:rPr>
          <w:rFonts w:ascii="Palatino Linotype" w:eastAsia="Palatino Linotype" w:hAnsi="Palatino Linotype" w:cs="Palatino Linotype"/>
          <w:i/>
          <w:color w:val="000000"/>
          <w:sz w:val="22"/>
          <w:szCs w:val="22"/>
        </w:rPr>
      </w:pPr>
      <w:r w:rsidRPr="0091592F">
        <w:rPr>
          <w:rFonts w:ascii="Palatino Linotype" w:eastAsia="Palatino Linotype" w:hAnsi="Palatino Linotype" w:cs="Palatino Linotype"/>
          <w:i/>
          <w:color w:val="000000"/>
          <w:sz w:val="22"/>
          <w:szCs w:val="22"/>
        </w:rPr>
        <w:t>“</w:t>
      </w:r>
      <w:r w:rsidRPr="0091592F">
        <w:rPr>
          <w:rFonts w:ascii="Palatino Linotype" w:eastAsia="Palatino Linotype" w:hAnsi="Palatino Linotype" w:cs="Palatino Linotype"/>
          <w:b/>
          <w:i/>
          <w:color w:val="000000"/>
          <w:sz w:val="22"/>
          <w:szCs w:val="22"/>
        </w:rPr>
        <w:t>Artículo 179.</w:t>
      </w:r>
      <w:r w:rsidRPr="0091592F">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168A7D71" w14:textId="77777777" w:rsidR="00DC1D62" w:rsidRPr="0091592F" w:rsidRDefault="00DC1D62">
      <w:pPr>
        <w:pBdr>
          <w:top w:val="nil"/>
          <w:left w:val="nil"/>
          <w:bottom w:val="nil"/>
          <w:right w:val="nil"/>
          <w:between w:val="nil"/>
        </w:pBdr>
        <w:tabs>
          <w:tab w:val="left" w:pos="426"/>
        </w:tabs>
        <w:ind w:left="851" w:right="567"/>
        <w:jc w:val="both"/>
        <w:rPr>
          <w:rFonts w:ascii="Palatino Linotype" w:eastAsia="Palatino Linotype" w:hAnsi="Palatino Linotype" w:cs="Palatino Linotype"/>
          <w:i/>
          <w:color w:val="000000"/>
          <w:sz w:val="22"/>
          <w:szCs w:val="22"/>
        </w:rPr>
      </w:pPr>
    </w:p>
    <w:p w14:paraId="59FB0BD3" w14:textId="77777777" w:rsidR="00DC1D62" w:rsidRPr="0091592F" w:rsidRDefault="001F661C">
      <w:pPr>
        <w:widowControl w:val="0"/>
        <w:pBdr>
          <w:top w:val="nil"/>
          <w:left w:val="nil"/>
          <w:bottom w:val="nil"/>
          <w:right w:val="nil"/>
          <w:between w:val="nil"/>
        </w:pBdr>
        <w:tabs>
          <w:tab w:val="left" w:pos="264"/>
        </w:tabs>
        <w:ind w:left="851" w:right="616"/>
        <w:jc w:val="both"/>
        <w:rPr>
          <w:rFonts w:ascii="Palatino Linotype" w:eastAsia="Palatino Linotype" w:hAnsi="Palatino Linotype" w:cs="Palatino Linotype"/>
          <w:i/>
          <w:color w:val="000000"/>
          <w:sz w:val="22"/>
          <w:szCs w:val="22"/>
        </w:rPr>
      </w:pPr>
      <w:r w:rsidRPr="0091592F">
        <w:rPr>
          <w:rFonts w:ascii="Palatino Linotype" w:eastAsia="Palatino Linotype" w:hAnsi="Palatino Linotype" w:cs="Palatino Linotype"/>
          <w:i/>
          <w:color w:val="000000"/>
          <w:sz w:val="22"/>
          <w:szCs w:val="22"/>
        </w:rPr>
        <w:t>I.- La negativa a la información solicitada;</w:t>
      </w:r>
    </w:p>
    <w:p w14:paraId="0F018B33" w14:textId="77777777" w:rsidR="00DC1D62" w:rsidRPr="0091592F" w:rsidRDefault="00DC1D62">
      <w:pPr>
        <w:pBdr>
          <w:top w:val="nil"/>
          <w:left w:val="nil"/>
          <w:bottom w:val="nil"/>
          <w:right w:val="nil"/>
          <w:between w:val="nil"/>
        </w:pBdr>
        <w:tabs>
          <w:tab w:val="left" w:pos="426"/>
        </w:tabs>
        <w:ind w:left="851" w:right="567"/>
        <w:jc w:val="both"/>
        <w:rPr>
          <w:rFonts w:ascii="Palatino Linotype" w:eastAsia="Palatino Linotype" w:hAnsi="Palatino Linotype" w:cs="Palatino Linotype"/>
          <w:i/>
          <w:color w:val="000000"/>
          <w:sz w:val="22"/>
          <w:szCs w:val="22"/>
        </w:rPr>
      </w:pPr>
    </w:p>
    <w:p w14:paraId="4945EC6F" w14:textId="77777777" w:rsidR="00DC1D62" w:rsidRPr="0091592F" w:rsidRDefault="001F661C">
      <w:pPr>
        <w:widowControl w:val="0"/>
        <w:pBdr>
          <w:top w:val="nil"/>
          <w:left w:val="nil"/>
          <w:bottom w:val="nil"/>
          <w:right w:val="nil"/>
          <w:between w:val="nil"/>
        </w:pBdr>
        <w:tabs>
          <w:tab w:val="left" w:pos="315"/>
        </w:tabs>
        <w:ind w:left="851" w:right="616"/>
        <w:jc w:val="both"/>
        <w:rPr>
          <w:rFonts w:ascii="Palatino Linotype" w:eastAsia="Palatino Linotype" w:hAnsi="Palatino Linotype" w:cs="Palatino Linotype"/>
          <w:i/>
          <w:color w:val="000000"/>
          <w:sz w:val="22"/>
          <w:szCs w:val="22"/>
        </w:rPr>
      </w:pPr>
      <w:r w:rsidRPr="0091592F">
        <w:rPr>
          <w:rFonts w:ascii="Palatino Linotype" w:eastAsia="Palatino Linotype" w:hAnsi="Palatino Linotype" w:cs="Palatino Linotype"/>
          <w:i/>
          <w:color w:val="000000"/>
          <w:sz w:val="22"/>
          <w:szCs w:val="22"/>
        </w:rPr>
        <w:t>II.- La clasificación de la información;</w:t>
      </w:r>
    </w:p>
    <w:p w14:paraId="1A8C2E0D" w14:textId="77777777" w:rsidR="00DC1D62" w:rsidRPr="0091592F" w:rsidRDefault="00DC1D62">
      <w:pPr>
        <w:widowControl w:val="0"/>
        <w:pBdr>
          <w:top w:val="nil"/>
          <w:left w:val="nil"/>
          <w:bottom w:val="nil"/>
          <w:right w:val="nil"/>
          <w:between w:val="nil"/>
        </w:pBdr>
        <w:jc w:val="both"/>
        <w:rPr>
          <w:rFonts w:ascii="Palatino Linotype" w:eastAsia="Palatino Linotype" w:hAnsi="Palatino Linotype" w:cs="Palatino Linotype"/>
          <w:i/>
          <w:color w:val="000000"/>
          <w:sz w:val="22"/>
          <w:szCs w:val="22"/>
        </w:rPr>
      </w:pPr>
    </w:p>
    <w:p w14:paraId="0ECF6664" w14:textId="77777777" w:rsidR="00DC1D62" w:rsidRPr="0091592F" w:rsidRDefault="001F661C">
      <w:pPr>
        <w:widowControl w:val="0"/>
        <w:pBdr>
          <w:top w:val="nil"/>
          <w:left w:val="nil"/>
          <w:bottom w:val="nil"/>
          <w:right w:val="nil"/>
          <w:between w:val="nil"/>
        </w:pBdr>
        <w:tabs>
          <w:tab w:val="left" w:pos="366"/>
        </w:tabs>
        <w:ind w:left="851" w:right="618"/>
        <w:jc w:val="both"/>
        <w:rPr>
          <w:rFonts w:ascii="Palatino Linotype" w:eastAsia="Palatino Linotype" w:hAnsi="Palatino Linotype" w:cs="Palatino Linotype"/>
          <w:i/>
          <w:color w:val="000000"/>
          <w:sz w:val="22"/>
          <w:szCs w:val="22"/>
        </w:rPr>
      </w:pPr>
      <w:r w:rsidRPr="0091592F">
        <w:rPr>
          <w:rFonts w:ascii="Palatino Linotype" w:eastAsia="Palatino Linotype" w:hAnsi="Palatino Linotype" w:cs="Palatino Linotype"/>
          <w:i/>
          <w:color w:val="000000"/>
          <w:sz w:val="22"/>
          <w:szCs w:val="22"/>
        </w:rPr>
        <w:t>III.- La declaración de inexistencia de la información;</w:t>
      </w:r>
    </w:p>
    <w:p w14:paraId="4597D09C" w14:textId="77777777" w:rsidR="00DC1D62" w:rsidRPr="0091592F" w:rsidRDefault="00DC1D62">
      <w:pPr>
        <w:widowControl w:val="0"/>
        <w:pBdr>
          <w:top w:val="nil"/>
          <w:left w:val="nil"/>
          <w:bottom w:val="nil"/>
          <w:right w:val="nil"/>
          <w:between w:val="nil"/>
        </w:pBdr>
        <w:ind w:left="851" w:right="618"/>
        <w:jc w:val="both"/>
        <w:rPr>
          <w:rFonts w:ascii="Palatino Linotype" w:eastAsia="Palatino Linotype" w:hAnsi="Palatino Linotype" w:cs="Palatino Linotype"/>
          <w:i/>
          <w:color w:val="000000"/>
          <w:sz w:val="22"/>
          <w:szCs w:val="22"/>
        </w:rPr>
      </w:pPr>
    </w:p>
    <w:p w14:paraId="6C2AD90B" w14:textId="77777777" w:rsidR="00DC1D62" w:rsidRPr="0091592F" w:rsidRDefault="001F661C">
      <w:pPr>
        <w:widowControl w:val="0"/>
        <w:tabs>
          <w:tab w:val="left" w:pos="385"/>
        </w:tabs>
        <w:ind w:left="851" w:right="618"/>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IV.- La declaración de incompetencia por el sujeto obligado;</w:t>
      </w:r>
    </w:p>
    <w:p w14:paraId="42D57C2C" w14:textId="77777777" w:rsidR="00DC1D62" w:rsidRPr="0091592F" w:rsidRDefault="00DC1D62">
      <w:pPr>
        <w:widowControl w:val="0"/>
        <w:pBdr>
          <w:top w:val="nil"/>
          <w:left w:val="nil"/>
          <w:bottom w:val="nil"/>
          <w:right w:val="nil"/>
          <w:between w:val="nil"/>
        </w:pBdr>
        <w:ind w:left="851" w:right="618"/>
        <w:jc w:val="both"/>
        <w:rPr>
          <w:rFonts w:ascii="Palatino Linotype" w:eastAsia="Palatino Linotype" w:hAnsi="Palatino Linotype" w:cs="Palatino Linotype"/>
          <w:i/>
          <w:color w:val="000000"/>
          <w:sz w:val="22"/>
          <w:szCs w:val="22"/>
        </w:rPr>
      </w:pPr>
    </w:p>
    <w:p w14:paraId="13098385" w14:textId="77777777" w:rsidR="00DC1D62" w:rsidRPr="0091592F" w:rsidRDefault="001F661C">
      <w:pPr>
        <w:widowControl w:val="0"/>
        <w:pBdr>
          <w:top w:val="nil"/>
          <w:left w:val="nil"/>
          <w:bottom w:val="nil"/>
          <w:right w:val="nil"/>
          <w:between w:val="nil"/>
        </w:pBdr>
        <w:tabs>
          <w:tab w:val="left" w:pos="335"/>
        </w:tabs>
        <w:ind w:left="851" w:right="618"/>
        <w:jc w:val="both"/>
        <w:rPr>
          <w:rFonts w:ascii="Palatino Linotype" w:eastAsia="Palatino Linotype" w:hAnsi="Palatino Linotype" w:cs="Palatino Linotype"/>
          <w:i/>
          <w:color w:val="000000"/>
          <w:sz w:val="22"/>
          <w:szCs w:val="22"/>
        </w:rPr>
      </w:pPr>
      <w:r w:rsidRPr="0091592F">
        <w:rPr>
          <w:rFonts w:ascii="Palatino Linotype" w:eastAsia="Palatino Linotype" w:hAnsi="Palatino Linotype" w:cs="Palatino Linotype"/>
          <w:i/>
          <w:color w:val="000000"/>
          <w:sz w:val="22"/>
          <w:szCs w:val="22"/>
        </w:rPr>
        <w:t>(...)</w:t>
      </w:r>
    </w:p>
    <w:p w14:paraId="6F074F7E" w14:textId="77777777" w:rsidR="00DC1D62" w:rsidRPr="0091592F" w:rsidRDefault="00DC1D62">
      <w:pPr>
        <w:ind w:left="851" w:right="618"/>
        <w:jc w:val="both"/>
        <w:rPr>
          <w:rFonts w:ascii="Palatino Linotype" w:eastAsia="Palatino Linotype" w:hAnsi="Palatino Linotype" w:cs="Palatino Linotype"/>
          <w:i/>
          <w:sz w:val="22"/>
          <w:szCs w:val="22"/>
        </w:rPr>
      </w:pPr>
    </w:p>
    <w:p w14:paraId="06818E3C" w14:textId="77777777" w:rsidR="00DC1D62" w:rsidRPr="0091592F" w:rsidRDefault="001F661C">
      <w:pPr>
        <w:widowControl w:val="0"/>
        <w:pBdr>
          <w:top w:val="nil"/>
          <w:left w:val="nil"/>
          <w:bottom w:val="nil"/>
          <w:right w:val="nil"/>
          <w:between w:val="nil"/>
        </w:pBdr>
        <w:tabs>
          <w:tab w:val="left" w:pos="335"/>
        </w:tabs>
        <w:ind w:left="851" w:right="618"/>
        <w:jc w:val="both"/>
        <w:rPr>
          <w:rFonts w:ascii="Palatino Linotype" w:eastAsia="Palatino Linotype" w:hAnsi="Palatino Linotype" w:cs="Palatino Linotype"/>
          <w:i/>
          <w:color w:val="000000"/>
          <w:sz w:val="22"/>
          <w:szCs w:val="22"/>
        </w:rPr>
      </w:pPr>
      <w:r w:rsidRPr="0091592F">
        <w:rPr>
          <w:rFonts w:ascii="Palatino Linotype" w:eastAsia="Palatino Linotype" w:hAnsi="Palatino Linotype" w:cs="Palatino Linotype"/>
          <w:i/>
          <w:color w:val="000000"/>
          <w:sz w:val="22"/>
          <w:szCs w:val="22"/>
        </w:rPr>
        <w:t>X.- Los costos o tiempos de entrega de la información;</w:t>
      </w:r>
    </w:p>
    <w:p w14:paraId="333A5835" w14:textId="77777777" w:rsidR="00DC1D62" w:rsidRPr="0091592F" w:rsidRDefault="00DC1D62">
      <w:pPr>
        <w:widowControl w:val="0"/>
        <w:pBdr>
          <w:top w:val="nil"/>
          <w:left w:val="nil"/>
          <w:bottom w:val="nil"/>
          <w:right w:val="nil"/>
          <w:between w:val="nil"/>
        </w:pBdr>
        <w:ind w:left="851" w:right="618"/>
        <w:jc w:val="both"/>
        <w:rPr>
          <w:rFonts w:ascii="Palatino Linotype" w:eastAsia="Palatino Linotype" w:hAnsi="Palatino Linotype" w:cs="Palatino Linotype"/>
          <w:i/>
          <w:color w:val="000000"/>
          <w:sz w:val="22"/>
          <w:szCs w:val="22"/>
        </w:rPr>
      </w:pPr>
    </w:p>
    <w:p w14:paraId="6056BCDF" w14:textId="77777777" w:rsidR="00DC1D62" w:rsidRPr="0091592F" w:rsidRDefault="001F661C">
      <w:pPr>
        <w:widowControl w:val="0"/>
        <w:tabs>
          <w:tab w:val="left" w:pos="385"/>
        </w:tabs>
        <w:ind w:left="851" w:right="618"/>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XI.- La falta de trámite a una solicitud;</w:t>
      </w:r>
    </w:p>
    <w:p w14:paraId="7A98AC1F" w14:textId="77777777" w:rsidR="00DC1D62" w:rsidRPr="0091592F" w:rsidRDefault="00DC1D62">
      <w:pPr>
        <w:widowControl w:val="0"/>
        <w:pBdr>
          <w:top w:val="nil"/>
          <w:left w:val="nil"/>
          <w:bottom w:val="nil"/>
          <w:right w:val="nil"/>
          <w:between w:val="nil"/>
        </w:pBdr>
        <w:ind w:left="851" w:right="618"/>
        <w:jc w:val="both"/>
        <w:rPr>
          <w:rFonts w:ascii="Palatino Linotype" w:eastAsia="Palatino Linotype" w:hAnsi="Palatino Linotype" w:cs="Palatino Linotype"/>
          <w:i/>
          <w:color w:val="000000"/>
          <w:sz w:val="22"/>
          <w:szCs w:val="22"/>
        </w:rPr>
      </w:pPr>
    </w:p>
    <w:p w14:paraId="4E101DCB" w14:textId="77777777" w:rsidR="00DC1D62" w:rsidRPr="0091592F" w:rsidRDefault="001F661C">
      <w:pPr>
        <w:widowControl w:val="0"/>
        <w:pBdr>
          <w:top w:val="nil"/>
          <w:left w:val="nil"/>
          <w:bottom w:val="nil"/>
          <w:right w:val="nil"/>
          <w:between w:val="nil"/>
        </w:pBdr>
        <w:tabs>
          <w:tab w:val="left" w:pos="435"/>
        </w:tabs>
        <w:ind w:left="851" w:right="618"/>
        <w:jc w:val="both"/>
        <w:rPr>
          <w:rFonts w:ascii="Palatino Linotype" w:eastAsia="Palatino Linotype" w:hAnsi="Palatino Linotype" w:cs="Palatino Linotype"/>
          <w:i/>
          <w:color w:val="000000"/>
          <w:sz w:val="22"/>
          <w:szCs w:val="22"/>
        </w:rPr>
      </w:pPr>
      <w:r w:rsidRPr="0091592F">
        <w:rPr>
          <w:rFonts w:ascii="Palatino Linotype" w:eastAsia="Palatino Linotype" w:hAnsi="Palatino Linotype" w:cs="Palatino Linotype"/>
          <w:i/>
          <w:color w:val="000000"/>
          <w:sz w:val="22"/>
          <w:szCs w:val="22"/>
        </w:rPr>
        <w:t>XII.- La negativa a permitir la consulta directa de la información;</w:t>
      </w:r>
    </w:p>
    <w:p w14:paraId="5B53CA63" w14:textId="77777777" w:rsidR="00DC1D62" w:rsidRPr="0091592F" w:rsidRDefault="00DC1D62">
      <w:pPr>
        <w:widowControl w:val="0"/>
        <w:pBdr>
          <w:top w:val="nil"/>
          <w:left w:val="nil"/>
          <w:bottom w:val="nil"/>
          <w:right w:val="nil"/>
          <w:between w:val="nil"/>
        </w:pBdr>
        <w:ind w:left="851" w:right="618"/>
        <w:jc w:val="both"/>
        <w:rPr>
          <w:rFonts w:ascii="Palatino Linotype" w:eastAsia="Palatino Linotype" w:hAnsi="Palatino Linotype" w:cs="Palatino Linotype"/>
          <w:i/>
          <w:color w:val="000000"/>
          <w:sz w:val="22"/>
          <w:szCs w:val="22"/>
        </w:rPr>
      </w:pPr>
    </w:p>
    <w:p w14:paraId="38882968" w14:textId="77777777" w:rsidR="00DC1D62" w:rsidRPr="0091592F" w:rsidRDefault="001F661C">
      <w:pPr>
        <w:widowControl w:val="0"/>
        <w:pBdr>
          <w:top w:val="nil"/>
          <w:left w:val="nil"/>
          <w:bottom w:val="nil"/>
          <w:right w:val="nil"/>
          <w:between w:val="nil"/>
        </w:pBdr>
        <w:tabs>
          <w:tab w:val="left" w:pos="486"/>
        </w:tabs>
        <w:ind w:left="851" w:right="618"/>
        <w:jc w:val="both"/>
        <w:rPr>
          <w:rFonts w:ascii="Palatino Linotype" w:eastAsia="Palatino Linotype" w:hAnsi="Palatino Linotype" w:cs="Palatino Linotype"/>
          <w:i/>
          <w:color w:val="000000"/>
          <w:sz w:val="22"/>
          <w:szCs w:val="22"/>
        </w:rPr>
      </w:pPr>
      <w:r w:rsidRPr="0091592F">
        <w:rPr>
          <w:rFonts w:ascii="Palatino Linotype" w:eastAsia="Palatino Linotype" w:hAnsi="Palatino Linotype" w:cs="Palatino Linotype"/>
          <w:i/>
          <w:color w:val="000000"/>
          <w:sz w:val="22"/>
          <w:szCs w:val="22"/>
        </w:rPr>
        <w:t>XIII.- La falta, deficiencia o insuficiencia de la fundamentación y/o motivación en la respuesta; y</w:t>
      </w:r>
    </w:p>
    <w:p w14:paraId="5AA954C5" w14:textId="77777777" w:rsidR="00DC1D62" w:rsidRPr="0091592F" w:rsidRDefault="00DC1D62">
      <w:pPr>
        <w:widowControl w:val="0"/>
        <w:pBdr>
          <w:top w:val="nil"/>
          <w:left w:val="nil"/>
          <w:bottom w:val="nil"/>
          <w:right w:val="nil"/>
          <w:between w:val="nil"/>
        </w:pBdr>
        <w:ind w:left="851" w:right="618"/>
        <w:jc w:val="both"/>
        <w:rPr>
          <w:rFonts w:ascii="Palatino Linotype" w:eastAsia="Palatino Linotype" w:hAnsi="Palatino Linotype" w:cs="Palatino Linotype"/>
          <w:i/>
          <w:color w:val="000000"/>
          <w:sz w:val="22"/>
          <w:szCs w:val="22"/>
        </w:rPr>
      </w:pPr>
    </w:p>
    <w:p w14:paraId="2D25E92D" w14:textId="77777777" w:rsidR="00DC1D62" w:rsidRPr="0091592F" w:rsidRDefault="001F661C">
      <w:pPr>
        <w:widowControl w:val="0"/>
        <w:pBdr>
          <w:top w:val="nil"/>
          <w:left w:val="nil"/>
          <w:bottom w:val="nil"/>
          <w:right w:val="nil"/>
          <w:between w:val="nil"/>
        </w:pBdr>
        <w:tabs>
          <w:tab w:val="left" w:pos="505"/>
        </w:tabs>
        <w:ind w:left="851" w:right="618"/>
        <w:jc w:val="both"/>
        <w:rPr>
          <w:rFonts w:ascii="Palatino Linotype" w:eastAsia="Palatino Linotype" w:hAnsi="Palatino Linotype" w:cs="Palatino Linotype"/>
          <w:i/>
          <w:color w:val="000000"/>
          <w:sz w:val="22"/>
          <w:szCs w:val="22"/>
        </w:rPr>
      </w:pPr>
      <w:r w:rsidRPr="0091592F">
        <w:rPr>
          <w:rFonts w:ascii="Palatino Linotype" w:eastAsia="Palatino Linotype" w:hAnsi="Palatino Linotype" w:cs="Palatino Linotype"/>
          <w:i/>
          <w:color w:val="000000"/>
          <w:sz w:val="22"/>
          <w:szCs w:val="22"/>
        </w:rPr>
        <w:t>XIV.- La orientación a un trámite específico.</w:t>
      </w:r>
      <w:r w:rsidRPr="0091592F">
        <w:rPr>
          <w:rFonts w:ascii="Palatino Linotype" w:eastAsia="Palatino Linotype" w:hAnsi="Palatino Linotype" w:cs="Palatino Linotype"/>
          <w:i/>
          <w:sz w:val="22"/>
          <w:szCs w:val="22"/>
        </w:rPr>
        <w:t>”</w:t>
      </w:r>
    </w:p>
    <w:p w14:paraId="226F347F" w14:textId="77777777" w:rsidR="00DC1D62" w:rsidRPr="0091592F" w:rsidRDefault="00DC1D62">
      <w:pPr>
        <w:widowControl w:val="0"/>
        <w:pBdr>
          <w:top w:val="nil"/>
          <w:left w:val="nil"/>
          <w:bottom w:val="nil"/>
          <w:right w:val="nil"/>
          <w:between w:val="nil"/>
        </w:pBdr>
        <w:ind w:left="851" w:right="618"/>
        <w:jc w:val="both"/>
        <w:rPr>
          <w:rFonts w:ascii="Palatino Linotype" w:eastAsia="Palatino Linotype" w:hAnsi="Palatino Linotype" w:cs="Palatino Linotype"/>
          <w:color w:val="000000"/>
          <w:sz w:val="22"/>
          <w:szCs w:val="22"/>
        </w:rPr>
      </w:pPr>
    </w:p>
    <w:p w14:paraId="1F3DBB1D" w14:textId="77777777" w:rsidR="00DC1D62" w:rsidRPr="0091592F" w:rsidRDefault="00DC1D62">
      <w:pPr>
        <w:widowControl w:val="0"/>
        <w:pBdr>
          <w:top w:val="nil"/>
          <w:left w:val="nil"/>
          <w:bottom w:val="nil"/>
          <w:right w:val="nil"/>
          <w:between w:val="nil"/>
        </w:pBdr>
        <w:jc w:val="both"/>
        <w:rPr>
          <w:rFonts w:ascii="Bookman Old Style" w:eastAsia="Bookman Old Style" w:hAnsi="Bookman Old Style" w:cs="Bookman Old Style"/>
          <w:color w:val="000000"/>
          <w:sz w:val="20"/>
          <w:szCs w:val="20"/>
        </w:rPr>
      </w:pPr>
    </w:p>
    <w:p w14:paraId="1E400C3F"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Es así que, del análisis a las documentales que integran el expediente electrónico se advierte que e</w:t>
      </w:r>
      <w:r w:rsidRPr="0091592F">
        <w:rPr>
          <w:rFonts w:ascii="Palatino Linotype" w:eastAsia="Palatino Linotype" w:hAnsi="Palatino Linotype" w:cs="Palatino Linotype"/>
          <w:color w:val="000000"/>
        </w:rPr>
        <w:t xml:space="preserve">l </w:t>
      </w:r>
      <w:r w:rsidRPr="0091592F">
        <w:rPr>
          <w:rFonts w:ascii="Palatino Linotype" w:eastAsia="Palatino Linotype" w:hAnsi="Palatino Linotype" w:cs="Palatino Linotype"/>
          <w:color w:val="222222"/>
        </w:rPr>
        <w:t xml:space="preserve">Titular de la Unidad de Transparencia </w:t>
      </w:r>
      <w:r w:rsidRPr="0091592F">
        <w:rPr>
          <w:rFonts w:ascii="Palatino Linotype" w:eastAsia="Palatino Linotype" w:hAnsi="Palatino Linotype" w:cs="Palatino Linotype"/>
        </w:rPr>
        <w:t xml:space="preserve">no siguió a cabalidad el procedimiento de acceso a la información previsto en el artículo 162 de la Ley de Transparencia y Acceso a la Información Pública del Estado de México y Municipios, esto dado que omitió turnar a las Áreas competentes que pudiesen contar con la información o deban tenerla de acuerdo a sus facultades, competencias y funciones, con el objeto de que realicen una </w:t>
      </w:r>
      <w:r w:rsidRPr="0091592F">
        <w:rPr>
          <w:rFonts w:ascii="Palatino Linotype" w:eastAsia="Palatino Linotype" w:hAnsi="Palatino Linotype" w:cs="Palatino Linotype"/>
          <w:b/>
        </w:rPr>
        <w:t>búsqueda exhaustiva y razonable</w:t>
      </w:r>
      <w:r w:rsidRPr="0091592F">
        <w:rPr>
          <w:rFonts w:ascii="Palatino Linotype" w:eastAsia="Palatino Linotype" w:hAnsi="Palatino Linotype" w:cs="Palatino Linotype"/>
        </w:rPr>
        <w:t xml:space="preserve"> de la información solicitada.</w:t>
      </w:r>
    </w:p>
    <w:p w14:paraId="1A229605" w14:textId="77777777" w:rsidR="00DC1D62" w:rsidRPr="0091592F" w:rsidRDefault="00DC1D62">
      <w:pPr>
        <w:spacing w:line="360" w:lineRule="auto"/>
        <w:jc w:val="both"/>
        <w:rPr>
          <w:rFonts w:ascii="Palatino Linotype" w:eastAsia="Palatino Linotype" w:hAnsi="Palatino Linotype" w:cs="Palatino Linotype"/>
        </w:rPr>
      </w:pPr>
    </w:p>
    <w:p w14:paraId="3BE1FC15"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A efecto de determinar la legalidad de dicha respuesta, es necesario tomar en cuenta las siguientes disposiciones de la Ley de la materia.</w:t>
      </w:r>
    </w:p>
    <w:p w14:paraId="6790894B" w14:textId="77777777" w:rsidR="00DC1D62" w:rsidRPr="0091592F" w:rsidRDefault="00DC1D62">
      <w:pPr>
        <w:ind w:left="851" w:right="901"/>
        <w:jc w:val="both"/>
        <w:rPr>
          <w:rFonts w:ascii="Palatino Linotype" w:eastAsia="Palatino Linotype" w:hAnsi="Palatino Linotype" w:cs="Palatino Linotype"/>
          <w:i/>
          <w:sz w:val="22"/>
          <w:szCs w:val="22"/>
        </w:rPr>
      </w:pPr>
    </w:p>
    <w:p w14:paraId="2EEFF004"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Artículo 50.</w:t>
      </w:r>
      <w:r w:rsidRPr="0091592F">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45D7A743" w14:textId="77777777" w:rsidR="00DC1D62" w:rsidRPr="0091592F" w:rsidRDefault="00DC1D62">
      <w:pPr>
        <w:ind w:left="567" w:right="618"/>
        <w:jc w:val="both"/>
        <w:rPr>
          <w:rFonts w:ascii="Palatino Linotype" w:eastAsia="Palatino Linotype" w:hAnsi="Palatino Linotype" w:cs="Palatino Linotype"/>
          <w:i/>
          <w:sz w:val="22"/>
          <w:szCs w:val="22"/>
        </w:rPr>
      </w:pPr>
    </w:p>
    <w:p w14:paraId="7D389F0F"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Artículo 51</w:t>
      </w:r>
      <w:r w:rsidRPr="0091592F">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03B0DF8" w14:textId="77777777" w:rsidR="00DC1D62" w:rsidRPr="0091592F" w:rsidRDefault="00DC1D62">
      <w:pPr>
        <w:ind w:left="567" w:right="618"/>
        <w:jc w:val="both"/>
        <w:rPr>
          <w:rFonts w:ascii="Palatino Linotype" w:eastAsia="Palatino Linotype" w:hAnsi="Palatino Linotype" w:cs="Palatino Linotype"/>
          <w:i/>
          <w:sz w:val="22"/>
          <w:szCs w:val="22"/>
        </w:rPr>
      </w:pPr>
    </w:p>
    <w:p w14:paraId="74939EF5"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Artículo 53</w:t>
      </w:r>
      <w:r w:rsidRPr="0091592F">
        <w:rPr>
          <w:rFonts w:ascii="Palatino Linotype" w:eastAsia="Palatino Linotype" w:hAnsi="Palatino Linotype" w:cs="Palatino Linotype"/>
          <w:i/>
          <w:sz w:val="22"/>
          <w:szCs w:val="22"/>
        </w:rPr>
        <w:t>. Las Unidades de Transparencia tendrán las siguientes funciones:</w:t>
      </w:r>
    </w:p>
    <w:p w14:paraId="5E46223A"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439BF1A6" w14:textId="77777777" w:rsidR="00DC1D62" w:rsidRPr="0091592F" w:rsidRDefault="001F661C">
      <w:pPr>
        <w:ind w:left="851" w:right="901"/>
        <w:jc w:val="both"/>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 xml:space="preserve">II. Recibir, </w:t>
      </w:r>
      <w:r w:rsidRPr="0091592F">
        <w:rPr>
          <w:rFonts w:ascii="Palatino Linotype" w:eastAsia="Palatino Linotype" w:hAnsi="Palatino Linotype" w:cs="Palatino Linotype"/>
          <w:b/>
          <w:i/>
          <w:sz w:val="22"/>
          <w:szCs w:val="22"/>
          <w:u w:val="single"/>
        </w:rPr>
        <w:t>tramitar</w:t>
      </w:r>
      <w:r w:rsidRPr="0091592F">
        <w:rPr>
          <w:rFonts w:ascii="Palatino Linotype" w:eastAsia="Palatino Linotype" w:hAnsi="Palatino Linotype" w:cs="Palatino Linotype"/>
          <w:b/>
          <w:i/>
          <w:sz w:val="22"/>
          <w:szCs w:val="22"/>
        </w:rPr>
        <w:t xml:space="preserve"> y dar respuesta a las solicitudes de acceso a la información;</w:t>
      </w:r>
    </w:p>
    <w:p w14:paraId="50923A55"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14D49E3B"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3BC6FE9F"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V. Entregar, en su caso, a los particulares la información solicitada;</w:t>
      </w:r>
    </w:p>
    <w:p w14:paraId="5C22F4A6"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VI. Efectuar las notificaciones a los solicitantes;</w:t>
      </w:r>
    </w:p>
    <w:p w14:paraId="44106ACF"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44DE4D42"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14:paraId="1F46B073"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75EBEC96"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X. Presentar ante el Comité, el proyecto de clasificación de información;</w:t>
      </w:r>
    </w:p>
    <w:p w14:paraId="76E03B43"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XI. Promover e implementar políticas de transparencia proactiva procurando su accesibilidad;</w:t>
      </w:r>
    </w:p>
    <w:p w14:paraId="134E7473"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XII. Fomentar la transparencia y accesibilidad al interior del sujeto obligado;</w:t>
      </w:r>
    </w:p>
    <w:p w14:paraId="43D6240A"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09315952"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14:paraId="453C4F6B"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35BF914A"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135A06C" w14:textId="77777777" w:rsidR="00DC1D62" w:rsidRPr="0091592F" w:rsidRDefault="00DC1D62">
      <w:pPr>
        <w:ind w:left="567" w:right="618"/>
        <w:jc w:val="both"/>
        <w:rPr>
          <w:rFonts w:ascii="Palatino Linotype" w:eastAsia="Palatino Linotype" w:hAnsi="Palatino Linotype" w:cs="Palatino Linotype"/>
          <w:i/>
          <w:sz w:val="22"/>
          <w:szCs w:val="22"/>
        </w:rPr>
      </w:pPr>
    </w:p>
    <w:p w14:paraId="51580F39"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Artículo 59</w:t>
      </w:r>
      <w:r w:rsidRPr="0091592F">
        <w:rPr>
          <w:rFonts w:ascii="Palatino Linotype" w:eastAsia="Palatino Linotype" w:hAnsi="Palatino Linotype" w:cs="Palatino Linotype"/>
          <w:i/>
          <w:sz w:val="22"/>
          <w:szCs w:val="22"/>
        </w:rPr>
        <w:t>. Los servidores públicos habilitados tendrán las funciones siguientes:</w:t>
      </w:r>
    </w:p>
    <w:p w14:paraId="3A4CDC31"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 Localizar la información que le solicite la Unidad de Transparencia;</w:t>
      </w:r>
    </w:p>
    <w:p w14:paraId="31A81F84"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II. Proporcionar la información que obre en los archivos y que le sea solicitada por la Unidad de Transparencia;</w:t>
      </w:r>
    </w:p>
    <w:p w14:paraId="19CDCB05"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III. Apoyar a la Unidad de Transparencia en lo que esta le solicite para el cumplimiento de sus funciones;</w:t>
      </w:r>
    </w:p>
    <w:p w14:paraId="06F23DE9"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163DC4E0"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5AB685D0"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27385E7F"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VII. Dar cuenta a la Unidad de Transparencia del vencimiento de los plazos de reserva.</w:t>
      </w:r>
    </w:p>
    <w:p w14:paraId="388DF120" w14:textId="77777777" w:rsidR="00DC1D62" w:rsidRPr="0091592F" w:rsidRDefault="00DC1D62">
      <w:pPr>
        <w:ind w:left="567" w:right="618"/>
        <w:jc w:val="both"/>
        <w:rPr>
          <w:rFonts w:ascii="Palatino Linotype" w:eastAsia="Palatino Linotype" w:hAnsi="Palatino Linotype" w:cs="Palatino Linotype"/>
          <w:i/>
          <w:sz w:val="22"/>
          <w:szCs w:val="22"/>
        </w:rPr>
      </w:pPr>
    </w:p>
    <w:p w14:paraId="38681AF0"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Artículo 162</w:t>
      </w:r>
      <w:r w:rsidRPr="0091592F">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CDE3984" w14:textId="77777777" w:rsidR="00DC1D62" w:rsidRPr="0091592F" w:rsidRDefault="001F661C">
      <w:pPr>
        <w:ind w:left="851"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(Énfasis añadido)</w:t>
      </w:r>
    </w:p>
    <w:p w14:paraId="445125A4" w14:textId="77777777" w:rsidR="00DC1D62" w:rsidRPr="0091592F" w:rsidRDefault="00DC1D62">
      <w:pPr>
        <w:jc w:val="both"/>
        <w:rPr>
          <w:rFonts w:ascii="Palatino Linotype" w:eastAsia="Palatino Linotype" w:hAnsi="Palatino Linotype" w:cs="Palatino Linotype"/>
        </w:rPr>
      </w:pPr>
    </w:p>
    <w:p w14:paraId="781DD041"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y los solicitantes, y tiene bajo su responsabilidad el tramitar internamente la solicitud de información.</w:t>
      </w:r>
    </w:p>
    <w:p w14:paraId="2ACB38FD" w14:textId="77777777" w:rsidR="00DC1D62" w:rsidRPr="0091592F" w:rsidRDefault="00DC1D62">
      <w:pPr>
        <w:spacing w:line="360" w:lineRule="auto"/>
        <w:ind w:left="426"/>
        <w:jc w:val="both"/>
        <w:rPr>
          <w:rFonts w:ascii="Palatino Linotype" w:eastAsia="Palatino Linotype" w:hAnsi="Palatino Linotype" w:cs="Palatino Linotype"/>
        </w:rPr>
      </w:pPr>
    </w:p>
    <w:p w14:paraId="515600A0"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91592F">
        <w:rPr>
          <w:rFonts w:ascii="Palatino Linotype" w:eastAsia="Palatino Linotype" w:hAnsi="Palatino Linotype" w:cs="Palatino Linotype"/>
          <w:b/>
        </w:rPr>
        <w:t xml:space="preserve">SUJETO OBLIGADO; </w:t>
      </w:r>
      <w:r w:rsidRPr="0091592F">
        <w:rPr>
          <w:rFonts w:ascii="Palatino Linotype" w:eastAsia="Palatino Linotype" w:hAnsi="Palatino Linotype" w:cs="Palatino Linotype"/>
        </w:rPr>
        <w:t>es por ello que, debe turnar la solicitud a todas las áreas que pudieran generar, administrar o poseer la información requerida por la particular; pues tienen como función, buscar, localizar y poseer la información, así como entregarla.</w:t>
      </w:r>
    </w:p>
    <w:p w14:paraId="6B62D53C" w14:textId="77777777" w:rsidR="00DC1D62" w:rsidRPr="0091592F" w:rsidRDefault="00DC1D62">
      <w:pPr>
        <w:spacing w:line="360" w:lineRule="auto"/>
        <w:jc w:val="both"/>
        <w:rPr>
          <w:rFonts w:ascii="Palatino Linotype" w:eastAsia="Palatino Linotype" w:hAnsi="Palatino Linotype" w:cs="Palatino Linotype"/>
        </w:rPr>
      </w:pPr>
    </w:p>
    <w:p w14:paraId="499B5A34"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Es así que, le corresponde al Titular de la Unidad de Transparencia el garantizar que las solicitudes se turnen a las áreas competentes que puedan contar con la información, con el objeto de que se realice una búsqueda exhaustiva y razonable de la misma; destacando de las documentales que integran el expediente electrónico no se advierte que el Titular de la Unidad de Transparencia haya turnado la solicitud a algún área de la estructura con la que cuenta.</w:t>
      </w:r>
    </w:p>
    <w:p w14:paraId="67E05D06" w14:textId="77777777" w:rsidR="00DC1D62" w:rsidRPr="0091592F" w:rsidRDefault="00DC1D62">
      <w:pPr>
        <w:spacing w:line="360" w:lineRule="auto"/>
        <w:jc w:val="both"/>
        <w:rPr>
          <w:rFonts w:ascii="Palatino Linotype" w:eastAsia="Palatino Linotype" w:hAnsi="Palatino Linotype" w:cs="Palatino Linotype"/>
        </w:rPr>
      </w:pPr>
    </w:p>
    <w:p w14:paraId="255D8ABE" w14:textId="77777777" w:rsidR="00DC1D62" w:rsidRPr="0091592F" w:rsidRDefault="001F661C">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lastRenderedPageBreak/>
        <w:t>Dicho lo anterior, debemos señalar que el artículo 115 de la Constitución Política de los Estados Unidos Mexicanos establece que los municipios estarán investidos de personalidad jurídica y manejarán su patrimonio conforme a la Ley; asimismo, señala que administrarán libremente su hacienda, la cual se conformará de los rendimientos de los bienes que les pertenezcan, así como de las contribuciones y otros ingresos que las legislaturas establezcan a su favor.</w:t>
      </w:r>
    </w:p>
    <w:p w14:paraId="10A07384" w14:textId="77777777" w:rsidR="00DC1D62" w:rsidRPr="0091592F" w:rsidRDefault="00DC1D6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67C5648" w14:textId="77777777" w:rsidR="00DC1D62" w:rsidRPr="0091592F" w:rsidRDefault="001F661C">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Ahora bien, de conformidad con lo dispuesto por el Bando Municipal 2022 de</w:t>
      </w:r>
      <w:r w:rsidRPr="0091592F">
        <w:rPr>
          <w:rFonts w:ascii="Palatino Linotype" w:eastAsia="Palatino Linotype" w:hAnsi="Palatino Linotype" w:cs="Palatino Linotype"/>
        </w:rPr>
        <w:t xml:space="preserve"> Ecatepec de Morelos</w:t>
      </w:r>
      <w:r w:rsidRPr="0091592F">
        <w:rPr>
          <w:rFonts w:ascii="Palatino Linotype" w:eastAsia="Palatino Linotype" w:hAnsi="Palatino Linotype" w:cs="Palatino Linotype"/>
          <w:color w:val="000000"/>
        </w:rPr>
        <w:t>, la administración pública municipal será centralizada y estará subordinada al Presidente Municipal con las facultades y obligaciones que las leyes les otorgan, de conformidad con la Constitución Política de los Estados Unidos Mexicanos, la Constitución Política del Estado Libre y Soberano de México, la Ley Orgánica Municipal del Estado de México, y demás disposiciones legales aplicables al tema en concreto.</w:t>
      </w:r>
    </w:p>
    <w:p w14:paraId="1B07055D" w14:textId="77777777" w:rsidR="00DC1D62" w:rsidRPr="0091592F" w:rsidRDefault="00DC1D6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7658857" w14:textId="77777777" w:rsidR="00DC1D62" w:rsidRPr="0091592F" w:rsidRDefault="001F661C">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En relación con lo anterior, de conformidad con lo establecido por el artículo </w:t>
      </w:r>
      <w:r w:rsidRPr="0091592F">
        <w:rPr>
          <w:rFonts w:ascii="Palatino Linotype" w:eastAsia="Palatino Linotype" w:hAnsi="Palatino Linotype" w:cs="Palatino Linotype"/>
        </w:rPr>
        <w:t>33</w:t>
      </w:r>
      <w:r w:rsidRPr="0091592F">
        <w:rPr>
          <w:rFonts w:ascii="Palatino Linotype" w:eastAsia="Palatino Linotype" w:hAnsi="Palatino Linotype" w:cs="Palatino Linotype"/>
          <w:color w:val="000000"/>
        </w:rPr>
        <w:t xml:space="preserve"> del Bando Municipal 2022 de </w:t>
      </w:r>
      <w:r w:rsidRPr="0091592F">
        <w:rPr>
          <w:rFonts w:ascii="Palatino Linotype" w:eastAsia="Palatino Linotype" w:hAnsi="Palatino Linotype" w:cs="Palatino Linotype"/>
        </w:rPr>
        <w:t xml:space="preserve">Ecatepec de Morelos, </w:t>
      </w:r>
      <w:r w:rsidRPr="0091592F">
        <w:rPr>
          <w:rFonts w:ascii="Palatino Linotype" w:eastAsia="Palatino Linotype" w:hAnsi="Palatino Linotype" w:cs="Palatino Linotype"/>
          <w:color w:val="000000"/>
        </w:rPr>
        <w:t>el Municipio, se advierte que cuenta con diversos organismos que cuentan con personalidad jurídica y patrimonio propios y coadyuvarán con el Ayuntamiento en el ejercicio de las funciones, desarrollo de actividades y prestación de servicios públicos municipales, de los cuales se auxiliará como a continuación se muestra:</w:t>
      </w:r>
    </w:p>
    <w:p w14:paraId="0D2C5D5B" w14:textId="77777777" w:rsidR="00DC1D62" w:rsidRPr="0091592F" w:rsidRDefault="001F661C">
      <w:pPr>
        <w:ind w:left="851" w:right="616"/>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lastRenderedPageBreak/>
        <w:t xml:space="preserve">“Artículo 33. </w:t>
      </w:r>
      <w:r w:rsidRPr="0091592F">
        <w:rPr>
          <w:rFonts w:ascii="Palatino Linotype" w:eastAsia="Palatino Linotype" w:hAnsi="Palatino Linotype" w:cs="Palatino Linotype"/>
          <w:i/>
          <w:sz w:val="22"/>
          <w:szCs w:val="22"/>
        </w:rPr>
        <w:t>Artículo 33. Para el ejercicio de sus atribuciones, tanto el H. Ayuntamiento como el presidente municipal, se auxiliarán de las siguientes dependencias, las cuales estarán subordinadas a este último:</w:t>
      </w:r>
    </w:p>
    <w:p w14:paraId="7A062753" w14:textId="77777777" w:rsidR="00DC1D62" w:rsidRPr="0091592F" w:rsidRDefault="00DC1D62">
      <w:pPr>
        <w:ind w:left="851" w:right="616"/>
        <w:jc w:val="both"/>
        <w:rPr>
          <w:rFonts w:ascii="Palatino Linotype" w:eastAsia="Palatino Linotype" w:hAnsi="Palatino Linotype" w:cs="Palatino Linotype"/>
          <w:b/>
          <w:i/>
          <w:sz w:val="22"/>
          <w:szCs w:val="22"/>
        </w:rPr>
      </w:pPr>
    </w:p>
    <w:p w14:paraId="591F8EFE" w14:textId="77777777" w:rsidR="00DC1D62" w:rsidRPr="0091592F" w:rsidRDefault="001F661C">
      <w:pPr>
        <w:ind w:left="851" w:right="616"/>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VIII. Organismos Públicos Descentralizados:</w:t>
      </w:r>
    </w:p>
    <w:p w14:paraId="2ABD7938" w14:textId="77777777" w:rsidR="00DC1D62" w:rsidRPr="0091592F" w:rsidRDefault="001F661C">
      <w:pPr>
        <w:ind w:left="851" w:right="616"/>
        <w:jc w:val="both"/>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a. Para la Prestación de los Servicios de Agua Potable, Alcantarillado y Saneamiento de Ecatepec de Morelos; (S.A.P.A.S.E); y</w:t>
      </w:r>
    </w:p>
    <w:p w14:paraId="41E0361B" w14:textId="77777777" w:rsidR="00DC1D62" w:rsidRPr="0091592F" w:rsidRDefault="00DC1D62">
      <w:pPr>
        <w:ind w:left="851" w:right="616"/>
        <w:jc w:val="both"/>
        <w:rPr>
          <w:rFonts w:ascii="Palatino Linotype" w:eastAsia="Palatino Linotype" w:hAnsi="Palatino Linotype" w:cs="Palatino Linotype"/>
          <w:i/>
          <w:sz w:val="22"/>
          <w:szCs w:val="22"/>
        </w:rPr>
      </w:pPr>
    </w:p>
    <w:p w14:paraId="51887EB4" w14:textId="77777777" w:rsidR="00DC1D62" w:rsidRPr="0091592F" w:rsidRDefault="001F661C">
      <w:pPr>
        <w:ind w:left="851" w:right="616"/>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b. Sistema Municipal para el Desarrollo Integral de la Familia (D.I.F); y”</w:t>
      </w:r>
    </w:p>
    <w:p w14:paraId="7C719182" w14:textId="77777777" w:rsidR="00DC1D62" w:rsidRPr="0091592F" w:rsidRDefault="001F661C">
      <w:pPr>
        <w:ind w:left="851" w:right="616"/>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(énfasis añadido)</w:t>
      </w:r>
    </w:p>
    <w:p w14:paraId="2BE82B6D" w14:textId="77777777" w:rsidR="00DC1D62" w:rsidRPr="0091592F" w:rsidRDefault="001F661C">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Siendo de especial interés para el presente asunto el Organismo </w:t>
      </w:r>
      <w:r w:rsidRPr="0091592F">
        <w:rPr>
          <w:rFonts w:ascii="Palatino Linotype" w:eastAsia="Palatino Linotype" w:hAnsi="Palatino Linotype" w:cs="Palatino Linotype"/>
        </w:rPr>
        <w:t>p</w:t>
      </w:r>
      <w:r w:rsidRPr="0091592F">
        <w:rPr>
          <w:rFonts w:ascii="Palatino Linotype" w:eastAsia="Palatino Linotype" w:hAnsi="Palatino Linotype" w:cs="Palatino Linotype"/>
          <w:color w:val="000000"/>
        </w:rPr>
        <w:t>ara la Prestación de los Servicios de Agua Potable, Alcantarillado y Saneamiento de Ecatepec de Morelos; (S.A.P.A.S.E)</w:t>
      </w:r>
      <w:r w:rsidRPr="0091592F">
        <w:rPr>
          <w:rFonts w:ascii="Palatino Linotype" w:eastAsia="Palatino Linotype" w:hAnsi="Palatino Linotype" w:cs="Palatino Linotype"/>
          <w:b/>
          <w:i/>
          <w:color w:val="000000"/>
        </w:rPr>
        <w:t>,</w:t>
      </w:r>
      <w:r w:rsidRPr="0091592F">
        <w:rPr>
          <w:rFonts w:ascii="Palatino Linotype" w:eastAsia="Palatino Linotype" w:hAnsi="Palatino Linotype" w:cs="Palatino Linotype"/>
          <w:color w:val="000000"/>
        </w:rPr>
        <w:t xml:space="preserve"> el cual, de acuerdo con lo dispuesto por el artículo segundo de su Reglamento Interior, es un Organismo Público Descentralizado del Gobierno Municipal, con personalidad jurídica y patrimonio propios, con autonomía técnica y administrativa en el manejo de sus recursos</w:t>
      </w:r>
      <w:r w:rsidRPr="0091592F">
        <w:rPr>
          <w:rFonts w:ascii="Palatino Linotype" w:eastAsia="Palatino Linotype" w:hAnsi="Palatino Linotype" w:cs="Palatino Linotype"/>
        </w:rPr>
        <w:t xml:space="preserve">. </w:t>
      </w:r>
    </w:p>
    <w:p w14:paraId="04D6D08A" w14:textId="77777777" w:rsidR="00DC1D62" w:rsidRPr="0091592F" w:rsidRDefault="00DC1D62">
      <w:pPr>
        <w:pBdr>
          <w:top w:val="nil"/>
          <w:left w:val="nil"/>
          <w:bottom w:val="nil"/>
          <w:right w:val="nil"/>
          <w:between w:val="nil"/>
        </w:pBdr>
        <w:tabs>
          <w:tab w:val="left" w:pos="426"/>
        </w:tabs>
        <w:spacing w:line="360" w:lineRule="auto"/>
        <w:ind w:right="51"/>
        <w:jc w:val="both"/>
        <w:rPr>
          <w:color w:val="000000"/>
        </w:rPr>
      </w:pPr>
    </w:p>
    <w:p w14:paraId="400AECBD" w14:textId="77777777" w:rsidR="00DC1D62" w:rsidRPr="0091592F" w:rsidRDefault="001F661C">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91592F">
        <w:rPr>
          <w:rFonts w:ascii="Palatino Linotype" w:eastAsia="Palatino Linotype" w:hAnsi="Palatino Linotype" w:cs="Palatino Linotype"/>
          <w:color w:val="000000"/>
        </w:rPr>
        <w:t xml:space="preserve">Asimismo, de acuerdo con lo establecido </w:t>
      </w:r>
      <w:r w:rsidRPr="0091592F">
        <w:rPr>
          <w:rFonts w:ascii="Palatino Linotype" w:eastAsia="Palatino Linotype" w:hAnsi="Palatino Linotype" w:cs="Palatino Linotype"/>
        </w:rPr>
        <w:t xml:space="preserve">por el </w:t>
      </w:r>
      <w:r w:rsidRPr="0091592F">
        <w:rPr>
          <w:rFonts w:ascii="Palatino Linotype" w:eastAsia="Palatino Linotype" w:hAnsi="Palatino Linotype" w:cs="Palatino Linotype"/>
          <w:color w:val="000000"/>
        </w:rPr>
        <w:t>Reglamento en estudio</w:t>
      </w:r>
      <w:r w:rsidRPr="0091592F">
        <w:rPr>
          <w:rFonts w:ascii="Palatino Linotype" w:eastAsia="Palatino Linotype" w:hAnsi="Palatino Linotype" w:cs="Palatino Linotype"/>
        </w:rPr>
        <w:t xml:space="preserve"> en su artículo 4</w:t>
      </w:r>
      <w:r w:rsidRPr="0091592F">
        <w:rPr>
          <w:rFonts w:ascii="Palatino Linotype" w:eastAsia="Palatino Linotype" w:hAnsi="Palatino Linotype" w:cs="Palatino Linotype"/>
          <w:color w:val="000000"/>
        </w:rPr>
        <w:t>, el Organismo Público Descentralizado para la Prestación de los Servicios de Agua Potable, Alcantarillado y Saneamiento de Tenancingo contará con la siguiente estructura orgánica:</w:t>
      </w:r>
    </w:p>
    <w:p w14:paraId="7E28E7BF" w14:textId="77777777" w:rsidR="00DC1D62" w:rsidRPr="0091592F" w:rsidRDefault="001F661C">
      <w:pPr>
        <w:pBdr>
          <w:top w:val="nil"/>
          <w:left w:val="nil"/>
          <w:bottom w:val="nil"/>
          <w:right w:val="nil"/>
          <w:between w:val="nil"/>
        </w:pBdr>
        <w:tabs>
          <w:tab w:val="left" w:pos="426"/>
        </w:tabs>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Artículo 4.</w:t>
      </w:r>
      <w:r w:rsidRPr="0091592F">
        <w:rPr>
          <w:rFonts w:ascii="Palatino Linotype" w:eastAsia="Palatino Linotype" w:hAnsi="Palatino Linotype" w:cs="Palatino Linotype"/>
          <w:i/>
          <w:sz w:val="22"/>
          <w:szCs w:val="22"/>
        </w:rPr>
        <w:t xml:space="preserve"> El Organismo Público Descentralizado para la prestación de los servicios de Agua Potable, Alcantarillado y Saneamiento del Municipio de Ecatepec de Morelos, Estado de México, conforme a las disposiciones legales el Organismo se integrará por: </w:t>
      </w:r>
    </w:p>
    <w:p w14:paraId="024F8978" w14:textId="77777777" w:rsidR="00DC1D62" w:rsidRPr="0091592F" w:rsidRDefault="001F661C">
      <w:pPr>
        <w:pBdr>
          <w:top w:val="nil"/>
          <w:left w:val="nil"/>
          <w:bottom w:val="nil"/>
          <w:right w:val="nil"/>
          <w:between w:val="nil"/>
        </w:pBdr>
        <w:tabs>
          <w:tab w:val="left" w:pos="426"/>
        </w:tabs>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I. Un Consejo Directivo </w:t>
      </w:r>
    </w:p>
    <w:p w14:paraId="40597678" w14:textId="77777777" w:rsidR="00DC1D62" w:rsidRPr="0091592F" w:rsidRDefault="001F661C">
      <w:pPr>
        <w:pBdr>
          <w:top w:val="nil"/>
          <w:left w:val="nil"/>
          <w:bottom w:val="nil"/>
          <w:right w:val="nil"/>
          <w:between w:val="nil"/>
        </w:pBdr>
        <w:tabs>
          <w:tab w:val="left" w:pos="426"/>
        </w:tabs>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II. Un Comisario</w:t>
      </w:r>
    </w:p>
    <w:p w14:paraId="4322A413" w14:textId="77777777" w:rsidR="00DC1D62" w:rsidRPr="0091592F" w:rsidRDefault="001F661C">
      <w:pPr>
        <w:pBdr>
          <w:top w:val="nil"/>
          <w:left w:val="nil"/>
          <w:bottom w:val="nil"/>
          <w:right w:val="nil"/>
          <w:between w:val="nil"/>
        </w:pBdr>
        <w:tabs>
          <w:tab w:val="left" w:pos="426"/>
        </w:tabs>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 III. Un Director General”(Sic)</w:t>
      </w:r>
    </w:p>
    <w:p w14:paraId="22FD4C83" w14:textId="77777777" w:rsidR="00DC1D62" w:rsidRPr="0091592F" w:rsidRDefault="00DC1D62">
      <w:pPr>
        <w:spacing w:line="360" w:lineRule="auto"/>
        <w:jc w:val="both"/>
        <w:rPr>
          <w:rFonts w:ascii="Palatino Linotype" w:eastAsia="Palatino Linotype" w:hAnsi="Palatino Linotype" w:cs="Palatino Linotype"/>
        </w:rPr>
      </w:pPr>
    </w:p>
    <w:p w14:paraId="6A6D0EBC"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lastRenderedPageBreak/>
        <w:t>A su vez, la Dirección General se encuentra dividida en diferentes direcciones y unidades como se puede apreciar del Catálogo de dependencias contenido en el Reglamento ya referido.  Se insertan capturas de pantalla para mayor certeza:</w:t>
      </w:r>
    </w:p>
    <w:p w14:paraId="74DB37A2" w14:textId="77777777" w:rsidR="00DC1D62" w:rsidRPr="0091592F" w:rsidRDefault="00DC1D62">
      <w:pPr>
        <w:spacing w:line="360" w:lineRule="auto"/>
        <w:jc w:val="both"/>
        <w:rPr>
          <w:rFonts w:ascii="Palatino Linotype" w:eastAsia="Palatino Linotype" w:hAnsi="Palatino Linotype" w:cs="Palatino Linotype"/>
        </w:rPr>
      </w:pPr>
    </w:p>
    <w:p w14:paraId="18F22CED" w14:textId="77777777" w:rsidR="00DC1D62" w:rsidRPr="0091592F" w:rsidRDefault="001F661C">
      <w:pPr>
        <w:spacing w:line="360" w:lineRule="auto"/>
        <w:jc w:val="center"/>
      </w:pPr>
      <w:r w:rsidRPr="0091592F">
        <w:rPr>
          <w:noProof/>
          <w:lang w:eastAsia="es-MX"/>
        </w:rPr>
        <w:drawing>
          <wp:inline distT="114300" distB="114300" distL="114300" distR="114300" wp14:anchorId="029FCE2C" wp14:editId="47B5121A">
            <wp:extent cx="4792662" cy="3347546"/>
            <wp:effectExtent l="0" t="0" r="0" b="0"/>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r="6178"/>
                    <a:stretch>
                      <a:fillRect/>
                    </a:stretch>
                  </pic:blipFill>
                  <pic:spPr>
                    <a:xfrm>
                      <a:off x="0" y="0"/>
                      <a:ext cx="4792662" cy="3347546"/>
                    </a:xfrm>
                    <a:prstGeom prst="rect">
                      <a:avLst/>
                    </a:prstGeom>
                    <a:ln/>
                  </pic:spPr>
                </pic:pic>
              </a:graphicData>
            </a:graphic>
          </wp:inline>
        </w:drawing>
      </w:r>
    </w:p>
    <w:p w14:paraId="1DB2494E" w14:textId="77777777" w:rsidR="00DC1D62" w:rsidRPr="0091592F" w:rsidRDefault="001F661C">
      <w:pPr>
        <w:spacing w:line="360" w:lineRule="auto"/>
        <w:jc w:val="center"/>
      </w:pPr>
      <w:r w:rsidRPr="0091592F">
        <w:rPr>
          <w:noProof/>
          <w:lang w:eastAsia="es-MX"/>
        </w:rPr>
        <w:drawing>
          <wp:inline distT="114300" distB="114300" distL="114300" distR="114300" wp14:anchorId="0884380F" wp14:editId="53673BF0">
            <wp:extent cx="4634760" cy="1785446"/>
            <wp:effectExtent l="0" t="0" r="0" b="0"/>
            <wp:docPr id="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4634760" cy="1785446"/>
                    </a:xfrm>
                    <a:prstGeom prst="rect">
                      <a:avLst/>
                    </a:prstGeom>
                    <a:ln/>
                  </pic:spPr>
                </pic:pic>
              </a:graphicData>
            </a:graphic>
          </wp:inline>
        </w:drawing>
      </w:r>
    </w:p>
    <w:p w14:paraId="5BB2FA91"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lastRenderedPageBreak/>
        <w:t xml:space="preserve">De las imágenes antes señaladas se puede observar que la Dirección General se integra de varias gerencias y direcciones como la Contraloría Interna, la Dirección de Finanzas y Administración y la Dirección Técnica de Construcción Operación y Mantenimiento, situación que se puede corroborar en el portal de Información Pública de Oficio Mexiquense del </w:t>
      </w:r>
      <w:r w:rsidRPr="0091592F">
        <w:rPr>
          <w:rFonts w:ascii="Palatino Linotype" w:eastAsia="Palatino Linotype" w:hAnsi="Palatino Linotype" w:cs="Palatino Linotype"/>
          <w:b/>
        </w:rPr>
        <w:t xml:space="preserve">SUJETO OBLIGADO  </w:t>
      </w:r>
      <w:r w:rsidRPr="0091592F">
        <w:rPr>
          <w:rFonts w:ascii="Palatino Linotype" w:eastAsia="Palatino Linotype" w:hAnsi="Palatino Linotype" w:cs="Palatino Linotype"/>
        </w:rPr>
        <w:t xml:space="preserve">como se puede corroborar de las imágenes siguientes: </w:t>
      </w:r>
    </w:p>
    <w:p w14:paraId="7C438695" w14:textId="77777777" w:rsidR="00DC1D62" w:rsidRPr="0091592F" w:rsidRDefault="001F661C">
      <w:pPr>
        <w:spacing w:line="360" w:lineRule="auto"/>
        <w:jc w:val="both"/>
        <w:rPr>
          <w:rFonts w:ascii="Palatino Linotype" w:eastAsia="Palatino Linotype" w:hAnsi="Palatino Linotype" w:cs="Palatino Linotype"/>
        </w:rPr>
      </w:pPr>
      <w:r w:rsidRPr="0091592F">
        <w:rPr>
          <w:noProof/>
          <w:lang w:eastAsia="es-MX"/>
        </w:rPr>
        <w:drawing>
          <wp:inline distT="114300" distB="114300" distL="114300" distR="114300" wp14:anchorId="3A7351A3" wp14:editId="750F9FD2">
            <wp:extent cx="4572000" cy="3010391"/>
            <wp:effectExtent l="0" t="0" r="0" b="0"/>
            <wp:docPr id="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32315"/>
                    <a:stretch>
                      <a:fillRect/>
                    </a:stretch>
                  </pic:blipFill>
                  <pic:spPr>
                    <a:xfrm>
                      <a:off x="0" y="0"/>
                      <a:ext cx="4572000" cy="3010391"/>
                    </a:xfrm>
                    <a:prstGeom prst="rect">
                      <a:avLst/>
                    </a:prstGeom>
                    <a:ln/>
                  </pic:spPr>
                </pic:pic>
              </a:graphicData>
            </a:graphic>
          </wp:inline>
        </w:drawing>
      </w:r>
    </w:p>
    <w:p w14:paraId="458EF046" w14:textId="77777777" w:rsidR="00DC1D62" w:rsidRPr="0091592F" w:rsidRDefault="001F661C">
      <w:pPr>
        <w:spacing w:line="360" w:lineRule="auto"/>
        <w:jc w:val="both"/>
      </w:pPr>
      <w:r w:rsidRPr="0091592F">
        <w:rPr>
          <w:noProof/>
          <w:lang w:eastAsia="es-MX"/>
        </w:rPr>
        <w:lastRenderedPageBreak/>
        <w:drawing>
          <wp:inline distT="114300" distB="114300" distL="114300" distR="114300" wp14:anchorId="737331AC" wp14:editId="25459364">
            <wp:extent cx="4676775" cy="2724150"/>
            <wp:effectExtent l="0" t="0" r="0" b="0"/>
            <wp:docPr id="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676775" cy="2724150"/>
                    </a:xfrm>
                    <a:prstGeom prst="rect">
                      <a:avLst/>
                    </a:prstGeom>
                    <a:ln/>
                  </pic:spPr>
                </pic:pic>
              </a:graphicData>
            </a:graphic>
          </wp:inline>
        </w:drawing>
      </w:r>
    </w:p>
    <w:p w14:paraId="17A487DF" w14:textId="77777777" w:rsidR="00DC1D62" w:rsidRPr="0091592F" w:rsidRDefault="001F661C">
      <w:pPr>
        <w:spacing w:line="360" w:lineRule="auto"/>
        <w:jc w:val="both"/>
      </w:pPr>
      <w:r w:rsidRPr="0091592F">
        <w:rPr>
          <w:rFonts w:ascii="Palatino Linotype" w:eastAsia="Palatino Linotype" w:hAnsi="Palatino Linotype" w:cs="Palatino Linotype"/>
        </w:rPr>
        <w:t xml:space="preserve">Así bien, del multicitado reglamento se pueden observar las funciones de varias áreas administrativas partes de la estructura orgánica del </w:t>
      </w:r>
      <w:r w:rsidRPr="0091592F">
        <w:rPr>
          <w:rFonts w:ascii="Palatino Linotype" w:eastAsia="Palatino Linotype" w:hAnsi="Palatino Linotype" w:cs="Palatino Linotype"/>
          <w:b/>
        </w:rPr>
        <w:t>SUJETO OBLIGADO</w:t>
      </w:r>
      <w:r w:rsidRPr="0091592F">
        <w:rPr>
          <w:rFonts w:ascii="Palatino Linotype" w:eastAsia="Palatino Linotype" w:hAnsi="Palatino Linotype" w:cs="Palatino Linotype"/>
        </w:rPr>
        <w:t xml:space="preserve">, entre las cuales, para el caso que nos ocupa toma especial relevancia la Dirección de Finanzas y Administración, misma que encuentra su fundamento  jurídico en el artículo 25 que se transcribe a continuación: </w:t>
      </w:r>
    </w:p>
    <w:p w14:paraId="1DFD32B5"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 xml:space="preserve">Artículo 25. </w:t>
      </w:r>
      <w:r w:rsidRPr="0091592F">
        <w:rPr>
          <w:rFonts w:ascii="Palatino Linotype" w:eastAsia="Palatino Linotype" w:hAnsi="Palatino Linotype" w:cs="Palatino Linotype"/>
          <w:i/>
          <w:sz w:val="22"/>
          <w:szCs w:val="22"/>
        </w:rPr>
        <w:t xml:space="preserve">La Dirección de Finanzas y Administración planeará, organizará, dirigirá y controlará las acciones necesarias para que las unidades administrativas del Organismo, cuenten con los recursos humanos, materiales y financieros, así como, los servicios generales que contribuyan al eficiente y eficaz desarrollo de sus funciones. “ </w:t>
      </w:r>
    </w:p>
    <w:p w14:paraId="158F022E"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(Énfasis añadido)</w:t>
      </w:r>
    </w:p>
    <w:p w14:paraId="2A534992" w14:textId="77777777" w:rsidR="00DC1D62" w:rsidRPr="0091592F" w:rsidRDefault="00DC1D62">
      <w:pPr>
        <w:spacing w:line="360" w:lineRule="auto"/>
        <w:jc w:val="both"/>
      </w:pPr>
    </w:p>
    <w:p w14:paraId="583A3BFB"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Dicha Dirección tiene sus facultades conferidas en el artículo 26 del mismo ordenamiento de las cuales se resaltan las siguientes: </w:t>
      </w:r>
    </w:p>
    <w:p w14:paraId="4D1BF322"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“Artículo 26. La Dirección de Finanzas y Administración tendrá las siguientes funciones: </w:t>
      </w:r>
    </w:p>
    <w:p w14:paraId="444B4F38"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lastRenderedPageBreak/>
        <w:t xml:space="preserve">I. Planear, organizar, dirigir y controlar la administración de personal, recursos financieros y materiales; así como la prestación de los servicios generales y la atención a usuarios, conforme a las normas establecidas </w:t>
      </w:r>
    </w:p>
    <w:p w14:paraId="182AF874"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III. Dirigir y supervisar las acciones relacionadas con la contabilidad, presupuestación, ingresos y egresos del Organismo </w:t>
      </w:r>
    </w:p>
    <w:p w14:paraId="438A3D34"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V. Presentar anualmente al Órgano Superior de Fiscalización del Estado de México la información sobre el avance y cumplimiento de las metas físicas y financieras, consignadas en sus planes, programas y presupuestos aprobados </w:t>
      </w:r>
    </w:p>
    <w:p w14:paraId="295ABD2C"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VI. Supervisar la elaboración de trabajos relacionados a la Cuenta de la Hacienda Pública Municipal, auditoría externa, interna y sesiones del Consejo Directivo </w:t>
      </w:r>
    </w:p>
    <w:p w14:paraId="19180D30"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VII. Proponer transferencias entre las partidas autorizadas del presupuesto, con base en las necesidades administrativas y de operación del Organismo </w:t>
      </w:r>
    </w:p>
    <w:p w14:paraId="4ABEB9DC"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XVII. Establecer la planeación financiera de la Institución, para lograr el mejor equilibrio entre la optimización de los recursos financieros y el cumplimiento de los objetivos del Organismo </w:t>
      </w:r>
    </w:p>
    <w:p w14:paraId="11ED1B72"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XVIII. Implementar las políticas y lineamientos de presupuestación y control de gasto, que permitan un uso eficiente de los recursos del Organismo, de acuerdo a los ordenamientos aplicables </w:t>
      </w:r>
    </w:p>
    <w:p w14:paraId="504294D1"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XIX. Asesorar a la Dirección General en la fundamentación de decisiones de carácter económico o financiero </w:t>
      </w:r>
    </w:p>
    <w:p w14:paraId="2553FCCE"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XXII. Normar y establecer los sistemas integrales de registro y control contable, así como difundir la aplicación de criterios financieros del Organismo </w:t>
      </w:r>
    </w:p>
    <w:p w14:paraId="22162D60"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XXIII. Coordinar la atención de los asuntos que se deriven de la observación de carácter financiero, hechas por los órganos fiscalizadores de los diversos ámbitos de gobierno </w:t>
      </w:r>
    </w:p>
    <w:p w14:paraId="47D77ABD"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XXIV. Formular, planificar y dirigir la política financiera, comercial y administrativa del Organismo </w:t>
      </w:r>
    </w:p>
    <w:p w14:paraId="308C8DB6"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XXV. Formular y coordinar el presupuesto de ingresos y egresos y someterlo a la aprobación del consejo directivo para su presentación ante el OSFEM </w:t>
      </w:r>
    </w:p>
    <w:p w14:paraId="1B254BEC"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XXXIX. Evaluar y aprobar los informes referentes a la situación financiera del Organismo y someterlo a la autorización del Consejo Directivo </w:t>
      </w:r>
    </w:p>
    <w:p w14:paraId="00DE572F"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XL. Establecer los lineamientos de comunicación oficial de las actividades realizadas por el personal del Organismo </w:t>
      </w:r>
    </w:p>
    <w:p w14:paraId="6CC34D42"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XLIII. Adoptar las medidas necesarias para que el Organismo alcance su autonomía y autosuficiencia técnica, administrativa y financiera, en la prestación de los servicios de agua potable, alcantarillado y saneamiento y tratamiento de aguas </w:t>
      </w:r>
      <w:r w:rsidRPr="0091592F">
        <w:rPr>
          <w:rFonts w:ascii="Palatino Linotype" w:eastAsia="Palatino Linotype" w:hAnsi="Palatino Linotype" w:cs="Palatino Linotype"/>
          <w:i/>
          <w:sz w:val="22"/>
          <w:szCs w:val="22"/>
        </w:rPr>
        <w:lastRenderedPageBreak/>
        <w:t xml:space="preserve">residuales, estableciendo los mecanismos de control necesarios para garantizar al público usuario condiciones adecuadas de eficiencia y transparencia </w:t>
      </w:r>
    </w:p>
    <w:p w14:paraId="1B77DD1C"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XLV. Administrar la hacienda pública del Organismo, de conformidad con las disposiciones legales aplicables </w:t>
      </w:r>
    </w:p>
    <w:p w14:paraId="606A2B0D"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XLVI. Determinar, liquidar, recaudar, fiscalizar y administrar las contribuciones en los términos de los ordenamientos jurídicos aplicables y, en su caso, aplicar el procedimiento administrativo de ejecución en términos de las disposiciones aplicables </w:t>
      </w:r>
    </w:p>
    <w:p w14:paraId="64026E2F"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XLVII. Imponer las sanciones administrativas que procedan por infracciones a las disposiciones fiscales </w:t>
      </w:r>
    </w:p>
    <w:p w14:paraId="4C49E075"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XLVIII. Llevar los registros contables, financieros y administrativos de los ingresos, egresos, e inventarios </w:t>
      </w:r>
    </w:p>
    <w:p w14:paraId="4934CB1C"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XLIX. Proporcionar oportunamente al ayuntamiento todos los datos o informes que sean necesarios para la formulación del presupuesto de egresos municipales, vigilando que se ajuste a las disposiciones de ésta Ley y de otros ordenamientos aplicables</w:t>
      </w:r>
    </w:p>
    <w:p w14:paraId="0960CC83"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L. Diseñar y aprobar las formas oficiales de manifestaciones, avisos y declaraciones y demás documentos requeridos </w:t>
      </w:r>
    </w:p>
    <w:p w14:paraId="6192812C"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LI. Participar en la formulación de convenios fiscales y ejercer las atribuciones que le correspondan en el ámbito de su competencia </w:t>
      </w:r>
    </w:p>
    <w:p w14:paraId="4C726F0B"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LII. Proponer la cancelación de cuentas incobrables </w:t>
      </w:r>
    </w:p>
    <w:p w14:paraId="5D1ACEB6"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LIII. Custodiar y ejercer las garantías que se otorguen a favor de la hacienda del Organismo </w:t>
      </w:r>
    </w:p>
    <w:p w14:paraId="68791486"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LIV. Proponer la política de ingresos del Organismo </w:t>
      </w:r>
    </w:p>
    <w:p w14:paraId="081554EA"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LV. Intervenir en la elaboración del programa financiero del Organismo </w:t>
      </w:r>
    </w:p>
    <w:p w14:paraId="35674EA1"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LVI. Elaborar y mantener actualizado el padrón de contribuyentes </w:t>
      </w:r>
    </w:p>
    <w:p w14:paraId="5740441D"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LVII. Ministrar a su inmediato antecesor todos los datos oficiales que le solicitare, para contestar los pliegos de observaciones y alcances que formule y deduzca el Órgano Superior de Fiscalización </w:t>
      </w:r>
    </w:p>
    <w:p w14:paraId="5781ED44"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LVIII. Solicitar a las instancias competentes, la práctica de revisiones circunstanciadas, de conformidad con las normas que rigen en materia de control y evaluación gubernamental en el ámbito municipal. </w:t>
      </w:r>
    </w:p>
    <w:p w14:paraId="2E7836A6" w14:textId="77777777" w:rsidR="00DC1D62" w:rsidRPr="0091592F" w:rsidRDefault="00DC1D62">
      <w:pPr>
        <w:ind w:right="629"/>
        <w:jc w:val="both"/>
        <w:rPr>
          <w:rFonts w:ascii="Palatino Linotype" w:eastAsia="Palatino Linotype" w:hAnsi="Palatino Linotype" w:cs="Palatino Linotype"/>
        </w:rPr>
      </w:pPr>
    </w:p>
    <w:p w14:paraId="54D55C30" w14:textId="77777777" w:rsidR="00DC1D62" w:rsidRPr="0091592F" w:rsidRDefault="001F661C">
      <w:pPr>
        <w:spacing w:line="360" w:lineRule="auto"/>
        <w:ind w:right="62"/>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De las facultades listadas anteriormente se puede advertir que dentro de sus atribuciones la Dirección de Finanzas y Administración tiene aquellas que se </w:t>
      </w:r>
      <w:r w:rsidRPr="0091592F">
        <w:rPr>
          <w:rFonts w:ascii="Palatino Linotype" w:eastAsia="Palatino Linotype" w:hAnsi="Palatino Linotype" w:cs="Palatino Linotype"/>
        </w:rPr>
        <w:lastRenderedPageBreak/>
        <w:t xml:space="preserve">relacionan con obligaciones presupuestales, fiscales y administración del personal. Así bien, dentro de la Dirección se encuentra el Departamento de Finanzas el cual según lo dispuesto por el Artículo 40 del Reglamento Internos podrá registrar las operaciones contables y financieras, así como llevar el control de las información fiscal, como se observa del artículo en comento, resaltando para el caso que nos ocupa las siguientes: </w:t>
      </w:r>
    </w:p>
    <w:p w14:paraId="183E8E22"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 xml:space="preserve">Artículo 40. </w:t>
      </w:r>
      <w:r w:rsidRPr="0091592F">
        <w:rPr>
          <w:rFonts w:ascii="Palatino Linotype" w:eastAsia="Palatino Linotype" w:hAnsi="Palatino Linotype" w:cs="Palatino Linotype"/>
          <w:i/>
          <w:sz w:val="22"/>
          <w:szCs w:val="22"/>
        </w:rPr>
        <w:t xml:space="preserve">El Departamento de Finanzas tendrá las siguientes funciones: </w:t>
      </w:r>
    </w:p>
    <w:p w14:paraId="32DF6906"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I. Coordinar la integración del proyecto de presupuesto de ingresos y egresos del Organismo y de los programas operativos generando los documentos necesarios para su autorización, incluyendo la integración y realización de sus modificaciones </w:t>
      </w:r>
    </w:p>
    <w:p w14:paraId="3FCCC746"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II. Coordinar, registrar y controlar las operaciones contables y financieras que se realizan en el Organismo, por medio de los sistemas de contabilidad y control presupuestario, así como la integración y respaldo de la cuenta pública anual </w:t>
      </w:r>
    </w:p>
    <w:p w14:paraId="2E0595D5"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III. Coordinar y llevar el seguimiento de las acciones relacionadas con la recepción de los ingresos del Organismo, así como su depósito y registro correspondientes. </w:t>
      </w:r>
    </w:p>
    <w:p w14:paraId="2751D835"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V. Coordinar y controlar el presupuesto de ingresos y egresos autorizado y realizar las transferencias cuando se justifique </w:t>
      </w:r>
    </w:p>
    <w:p w14:paraId="09E03C34"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VII. Coordinar la atención de las necesidades derivadas de las auditorías financieras a que se sujeta el Organismo </w:t>
      </w:r>
    </w:p>
    <w:p w14:paraId="7A724D49"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VIII. Integrar el Diario General de Ingresos, así como su depósito y registro en las pólizas respectivas </w:t>
      </w:r>
    </w:p>
    <w:p w14:paraId="0E0BE4C8"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 Elaborar el Programa Operativo Anual del Departamento de Finanzas y vigilar su cumplimiento </w:t>
      </w:r>
    </w:p>
    <w:p w14:paraId="7954787C" w14:textId="77777777" w:rsidR="00DC1D62" w:rsidRPr="0091592F" w:rsidRDefault="001F661C">
      <w:pPr>
        <w:ind w:left="850" w:right="629"/>
        <w:jc w:val="both"/>
        <w:rPr>
          <w:rFonts w:ascii="Palatino Linotype" w:eastAsia="Palatino Linotype" w:hAnsi="Palatino Linotype" w:cs="Palatino Linotype"/>
          <w:i/>
          <w:sz w:val="22"/>
          <w:szCs w:val="22"/>
        </w:rPr>
      </w:pPr>
      <w:proofErr w:type="spellStart"/>
      <w:r w:rsidRPr="0091592F">
        <w:rPr>
          <w:rFonts w:ascii="Palatino Linotype" w:eastAsia="Palatino Linotype" w:hAnsi="Palatino Linotype" w:cs="Palatino Linotype"/>
          <w:i/>
          <w:sz w:val="22"/>
          <w:szCs w:val="22"/>
        </w:rPr>
        <w:t>XXIV.Controlar</w:t>
      </w:r>
      <w:proofErr w:type="spellEnd"/>
      <w:r w:rsidRPr="0091592F">
        <w:rPr>
          <w:rFonts w:ascii="Palatino Linotype" w:eastAsia="Palatino Linotype" w:hAnsi="Palatino Linotype" w:cs="Palatino Linotype"/>
          <w:i/>
          <w:sz w:val="22"/>
          <w:szCs w:val="22"/>
        </w:rPr>
        <w:t xml:space="preserve"> el préstamo de los expedientes de usuarios a las diferentes áreas del Organismo </w:t>
      </w:r>
    </w:p>
    <w:p w14:paraId="389F3737"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XXV. Mantener informada tanto a la Dirección de Finanzas y Administración como a la Gerencia de Finanzas y Contraloría Interna del Organismo, de la facturación emitida e ingresos recaudados diariamente </w:t>
      </w:r>
    </w:p>
    <w:p w14:paraId="4F1610B9"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XXVII. Estudiar y analizar las propuestas de tarifas en forma anual para los ejercicios fiscales correspondientes </w:t>
      </w:r>
    </w:p>
    <w:p w14:paraId="1C8C5796"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XXX. Tramitar certificados de no adeudo </w:t>
      </w:r>
    </w:p>
    <w:p w14:paraId="4F08C8D1"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XXXII. Elaborar y controlar la facturación que emita el Organismo </w:t>
      </w:r>
    </w:p>
    <w:p w14:paraId="1F0CE407" w14:textId="77777777" w:rsidR="00DC1D62" w:rsidRPr="0091592F" w:rsidRDefault="001F661C">
      <w:pPr>
        <w:ind w:left="850" w:right="629"/>
        <w:jc w:val="both"/>
        <w:rPr>
          <w:rFonts w:ascii="Palatino Linotype" w:eastAsia="Palatino Linotype" w:hAnsi="Palatino Linotype" w:cs="Palatino Linotype"/>
          <w:i/>
          <w:sz w:val="22"/>
          <w:szCs w:val="22"/>
        </w:rPr>
      </w:pPr>
      <w:proofErr w:type="spellStart"/>
      <w:r w:rsidRPr="0091592F">
        <w:rPr>
          <w:rFonts w:ascii="Palatino Linotype" w:eastAsia="Palatino Linotype" w:hAnsi="Palatino Linotype" w:cs="Palatino Linotype"/>
          <w:i/>
          <w:sz w:val="22"/>
          <w:szCs w:val="22"/>
        </w:rPr>
        <w:lastRenderedPageBreak/>
        <w:t>XXXIII.Informar</w:t>
      </w:r>
      <w:proofErr w:type="spellEnd"/>
      <w:r w:rsidRPr="0091592F">
        <w:rPr>
          <w:rFonts w:ascii="Palatino Linotype" w:eastAsia="Palatino Linotype" w:hAnsi="Palatino Linotype" w:cs="Palatino Linotype"/>
          <w:i/>
          <w:sz w:val="22"/>
          <w:szCs w:val="22"/>
        </w:rPr>
        <w:t xml:space="preserve"> a la Gerencia de Finanzas lo relativo a la facturación y cobranza efectuada diariamente </w:t>
      </w:r>
    </w:p>
    <w:p w14:paraId="4C949BD0"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XXXVIII. Proporcionar orientación y asistencia a los contribuyentes para un mejor cumplimiento de sus obligaciones fiscales </w:t>
      </w:r>
    </w:p>
    <w:p w14:paraId="7C2A4809" w14:textId="77777777" w:rsidR="00DC1D62" w:rsidRPr="0091592F" w:rsidRDefault="001F661C">
      <w:pPr>
        <w:ind w:left="850" w:right="629"/>
        <w:jc w:val="both"/>
        <w:rPr>
          <w:rFonts w:ascii="Palatino Linotype" w:eastAsia="Palatino Linotype" w:hAnsi="Palatino Linotype" w:cs="Palatino Linotype"/>
          <w:i/>
          <w:sz w:val="22"/>
          <w:szCs w:val="22"/>
        </w:rPr>
      </w:pPr>
      <w:proofErr w:type="spellStart"/>
      <w:r w:rsidRPr="0091592F">
        <w:rPr>
          <w:rFonts w:ascii="Palatino Linotype" w:eastAsia="Palatino Linotype" w:hAnsi="Palatino Linotype" w:cs="Palatino Linotype"/>
          <w:i/>
          <w:sz w:val="22"/>
          <w:szCs w:val="22"/>
        </w:rPr>
        <w:t>XLIV.Realizar</w:t>
      </w:r>
      <w:proofErr w:type="spellEnd"/>
      <w:r w:rsidRPr="0091592F">
        <w:rPr>
          <w:rFonts w:ascii="Palatino Linotype" w:eastAsia="Palatino Linotype" w:hAnsi="Palatino Linotype" w:cs="Palatino Linotype"/>
          <w:i/>
          <w:sz w:val="22"/>
          <w:szCs w:val="22"/>
        </w:rPr>
        <w:t xml:space="preserve"> todas aquellas actividades que sean inherentes y aplicables al área de su competencia”</w:t>
      </w:r>
    </w:p>
    <w:p w14:paraId="7D1A7A6D" w14:textId="77777777" w:rsidR="00DC1D62" w:rsidRPr="0091592F" w:rsidRDefault="001F661C">
      <w:pPr>
        <w:ind w:left="850" w:right="62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(énfasis añadido)</w:t>
      </w:r>
    </w:p>
    <w:p w14:paraId="7BD79CDB" w14:textId="77777777" w:rsidR="00DC1D62" w:rsidRPr="0091592F" w:rsidRDefault="00DC1D62">
      <w:pPr>
        <w:jc w:val="both"/>
        <w:rPr>
          <w:rFonts w:ascii="Palatino Linotype" w:eastAsia="Palatino Linotype" w:hAnsi="Palatino Linotype" w:cs="Palatino Linotype"/>
          <w:i/>
          <w:sz w:val="22"/>
          <w:szCs w:val="22"/>
        </w:rPr>
      </w:pPr>
    </w:p>
    <w:p w14:paraId="19A9881B" w14:textId="77777777" w:rsidR="00DC1D62" w:rsidRPr="0091592F" w:rsidRDefault="001F661C">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color w:val="000000"/>
        </w:rPr>
        <w:t xml:space="preserve">Derivado de lo anterior, este Organismo Garante determina que el </w:t>
      </w:r>
      <w:r w:rsidRPr="0091592F">
        <w:rPr>
          <w:rFonts w:ascii="Palatino Linotype" w:eastAsia="Palatino Linotype" w:hAnsi="Palatino Linotype" w:cs="Palatino Linotype"/>
          <w:b/>
          <w:color w:val="000000"/>
        </w:rPr>
        <w:t>SUJETO OBLIGADO</w:t>
      </w:r>
      <w:r w:rsidRPr="0091592F">
        <w:rPr>
          <w:rFonts w:ascii="Palatino Linotype" w:eastAsia="Palatino Linotype" w:hAnsi="Palatino Linotype" w:cs="Palatino Linotype"/>
          <w:color w:val="000000"/>
        </w:rPr>
        <w:t xml:space="preserve">, cuenta con diversas áreas administrativas que pueden tener la información que requiere el solicitante, como </w:t>
      </w:r>
      <w:r w:rsidRPr="0091592F">
        <w:rPr>
          <w:rFonts w:ascii="Palatino Linotype" w:eastAsia="Palatino Linotype" w:hAnsi="Palatino Linotype" w:cs="Palatino Linotype"/>
        </w:rPr>
        <w:t>lo es l</w:t>
      </w:r>
      <w:r w:rsidRPr="0091592F">
        <w:rPr>
          <w:rFonts w:ascii="Palatino Linotype" w:eastAsia="Palatino Linotype" w:hAnsi="Palatino Linotype" w:cs="Palatino Linotype"/>
          <w:color w:val="000000"/>
        </w:rPr>
        <w:t xml:space="preserve">a Dirección de Finanzas y </w:t>
      </w:r>
      <w:r w:rsidRPr="0091592F">
        <w:rPr>
          <w:rFonts w:ascii="Palatino Linotype" w:eastAsia="Palatino Linotype" w:hAnsi="Palatino Linotype" w:cs="Palatino Linotype"/>
        </w:rPr>
        <w:t>Administración</w:t>
      </w:r>
      <w:r w:rsidRPr="0091592F">
        <w:rPr>
          <w:rFonts w:ascii="Palatino Linotype" w:eastAsia="Palatino Linotype" w:hAnsi="Palatino Linotype" w:cs="Palatino Linotype"/>
          <w:color w:val="000000"/>
        </w:rPr>
        <w:t xml:space="preserve">, y </w:t>
      </w:r>
      <w:r w:rsidRPr="0091592F">
        <w:rPr>
          <w:rFonts w:ascii="Palatino Linotype" w:eastAsia="Palatino Linotype" w:hAnsi="Palatino Linotype" w:cs="Palatino Linotype"/>
        </w:rPr>
        <w:t>está</w:t>
      </w:r>
      <w:r w:rsidRPr="0091592F">
        <w:rPr>
          <w:rFonts w:ascii="Palatino Linotype" w:eastAsia="Palatino Linotype" w:hAnsi="Palatino Linotype" w:cs="Palatino Linotype"/>
          <w:color w:val="000000"/>
        </w:rPr>
        <w:t xml:space="preserve"> a su vez cuenta con diversas unidades que pudieran contar con la información, pues tienen por la naturaleza de sus funciones, la competencia para poseer, generar y/o administrar la información fiscal requerida.</w:t>
      </w:r>
    </w:p>
    <w:p w14:paraId="17D721BE" w14:textId="77777777" w:rsidR="00DC1D62" w:rsidRPr="0091592F" w:rsidRDefault="00DC1D6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33636C3"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Señalado lo anterior, se procede a analizar la información solicitada, para lo cual se desagrega la solicitud de información con la competencia que tiene el </w:t>
      </w:r>
      <w:r w:rsidRPr="0091592F">
        <w:rPr>
          <w:rFonts w:ascii="Palatino Linotype" w:eastAsia="Palatino Linotype" w:hAnsi="Palatino Linotype" w:cs="Palatino Linotype"/>
          <w:b/>
        </w:rPr>
        <w:t>SUJETO OBLIGADO</w:t>
      </w:r>
      <w:r w:rsidRPr="0091592F">
        <w:rPr>
          <w:rFonts w:ascii="Palatino Linotype" w:eastAsia="Palatino Linotype" w:hAnsi="Palatino Linotype" w:cs="Palatino Linotype"/>
        </w:rPr>
        <w:t>.</w:t>
      </w:r>
    </w:p>
    <w:p w14:paraId="41DFAE48" w14:textId="77777777" w:rsidR="00DC1D62" w:rsidRPr="0091592F" w:rsidRDefault="00DC1D62">
      <w:pPr>
        <w:spacing w:line="360" w:lineRule="auto"/>
        <w:jc w:val="both"/>
        <w:rPr>
          <w:rFonts w:ascii="Palatino Linotype" w:eastAsia="Palatino Linotype" w:hAnsi="Palatino Linotype" w:cs="Palatino Linotype"/>
        </w:rPr>
      </w:pPr>
    </w:p>
    <w:p w14:paraId="3D2DD906"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En primer lugar, resulta necesario traer a colación el artículo 123 en sus aparatos A y B, de la Constitución Política de los Estados Unidos Mexicanos, el cual establece las relaciones obrero patronales entre particulares (apartado A) y las relaciones laborales entre las Dependencias de Gobierno con sus servidores públicos (apartado B), se cita para mayor referencia a continuación:</w:t>
      </w:r>
    </w:p>
    <w:p w14:paraId="22EB7EFE" w14:textId="77777777" w:rsidR="00DC1D62" w:rsidRPr="0091592F" w:rsidRDefault="00DC1D62">
      <w:pPr>
        <w:spacing w:line="360" w:lineRule="auto"/>
        <w:jc w:val="both"/>
        <w:rPr>
          <w:rFonts w:ascii="Palatino Linotype" w:eastAsia="Palatino Linotype" w:hAnsi="Palatino Linotype" w:cs="Palatino Linotype"/>
        </w:rPr>
      </w:pPr>
    </w:p>
    <w:p w14:paraId="3F739883"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lastRenderedPageBreak/>
        <w:t xml:space="preserve">“Artículo 123. </w:t>
      </w:r>
      <w:r w:rsidRPr="0091592F">
        <w:rPr>
          <w:rFonts w:ascii="Palatino Linotype" w:eastAsia="Palatino Linotype" w:hAnsi="Palatino Linotype" w:cs="Palatino Linotype"/>
          <w:i/>
          <w:sz w:val="22"/>
          <w:szCs w:val="22"/>
        </w:rPr>
        <w:t>Toda persona tiene derecho al trabajo digno y socialmente útil; al efecto, se promoverán la creación de empleos y la organización social de trabajo, conforme a la ley.</w:t>
      </w:r>
    </w:p>
    <w:p w14:paraId="50AEA2F2"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El Congreso de la Unión, sin contravenir a las bases siguientes deberá expedir leyes sobre el trabajo, las cuales regirán:</w:t>
      </w:r>
    </w:p>
    <w:p w14:paraId="56ADF115"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A. </w:t>
      </w:r>
      <w:r w:rsidRPr="0091592F">
        <w:rPr>
          <w:rFonts w:ascii="Palatino Linotype" w:eastAsia="Palatino Linotype" w:hAnsi="Palatino Linotype" w:cs="Palatino Linotype"/>
          <w:i/>
          <w:sz w:val="22"/>
          <w:szCs w:val="22"/>
        </w:rPr>
        <w:t>Entre los obreros, jornaleros, empleados domésticos, artesanos y de una manera general, todo contrato de trabajo:</w:t>
      </w:r>
    </w:p>
    <w:p w14:paraId="6A06A44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1BD9C024"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B.</w:t>
      </w:r>
      <w:r w:rsidRPr="0091592F">
        <w:rPr>
          <w:rFonts w:ascii="Palatino Linotype" w:eastAsia="Palatino Linotype" w:hAnsi="Palatino Linotype" w:cs="Palatino Linotype"/>
          <w:i/>
          <w:sz w:val="22"/>
          <w:szCs w:val="22"/>
        </w:rPr>
        <w:t xml:space="preserve"> Entre los Poderes de la Unión y sus trabajadores:</w:t>
      </w:r>
    </w:p>
    <w:p w14:paraId="0BACF854"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05BF5A6D" w14:textId="77777777" w:rsidR="00DC1D62" w:rsidRPr="0091592F" w:rsidRDefault="00DC1D62">
      <w:pPr>
        <w:spacing w:line="360" w:lineRule="auto"/>
        <w:jc w:val="both"/>
        <w:rPr>
          <w:rFonts w:ascii="Palatino Linotype" w:eastAsia="Palatino Linotype" w:hAnsi="Palatino Linotype" w:cs="Palatino Linotype"/>
        </w:rPr>
      </w:pPr>
    </w:p>
    <w:p w14:paraId="18FCCC03"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De lo anterior se advierte que, tanto el Instituto Mexicano del Seguro Social (IMSS) y el Instituto del Fondo Nacional de la Vivienda para los Trabajadores (INFONAVIT), se encuentran regulados conforme al apartado </w:t>
      </w:r>
      <w:r w:rsidRPr="0091592F">
        <w:rPr>
          <w:rFonts w:ascii="Palatino Linotype" w:eastAsia="Palatino Linotype" w:hAnsi="Palatino Linotype" w:cs="Palatino Linotype"/>
          <w:b/>
        </w:rPr>
        <w:t>A</w:t>
      </w:r>
      <w:r w:rsidRPr="0091592F">
        <w:rPr>
          <w:rFonts w:ascii="Palatino Linotype" w:eastAsia="Palatino Linotype" w:hAnsi="Palatino Linotype" w:cs="Palatino Linotype"/>
        </w:rPr>
        <w:t xml:space="preserve"> del artículo citado, que regula las relaciones laborales entre particulares, empero el apartado que rige las relaciones labores de los servidores públicos corresponde al apartado </w:t>
      </w:r>
      <w:r w:rsidRPr="0091592F">
        <w:rPr>
          <w:rFonts w:ascii="Palatino Linotype" w:eastAsia="Palatino Linotype" w:hAnsi="Palatino Linotype" w:cs="Palatino Linotype"/>
          <w:b/>
        </w:rPr>
        <w:t>B</w:t>
      </w:r>
      <w:r w:rsidRPr="0091592F">
        <w:rPr>
          <w:rFonts w:ascii="Palatino Linotype" w:eastAsia="Palatino Linotype" w:hAnsi="Palatino Linotype" w:cs="Palatino Linotype"/>
        </w:rPr>
        <w:t>, hechas las precisiones anteriores, se procede en los términos siguientes:</w:t>
      </w:r>
    </w:p>
    <w:p w14:paraId="352B3C59" w14:textId="77777777" w:rsidR="00DC1D62" w:rsidRPr="0091592F" w:rsidRDefault="00DC1D62">
      <w:pPr>
        <w:spacing w:line="360" w:lineRule="auto"/>
        <w:jc w:val="both"/>
        <w:rPr>
          <w:rFonts w:ascii="Palatino Linotype" w:eastAsia="Palatino Linotype" w:hAnsi="Palatino Linotype" w:cs="Palatino Linotype"/>
        </w:rPr>
      </w:pPr>
    </w:p>
    <w:p w14:paraId="56B6F115"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En lo que corresponde a:</w:t>
      </w:r>
    </w:p>
    <w:p w14:paraId="434B88CC" w14:textId="77777777" w:rsidR="00DC1D62" w:rsidRPr="0091592F" w:rsidRDefault="00DC1D62">
      <w:pPr>
        <w:ind w:left="850"/>
        <w:jc w:val="both"/>
        <w:rPr>
          <w:rFonts w:ascii="Palatino Linotype" w:eastAsia="Palatino Linotype" w:hAnsi="Palatino Linotype" w:cs="Palatino Linotype"/>
        </w:rPr>
      </w:pPr>
    </w:p>
    <w:p w14:paraId="43CBCF9A" w14:textId="77777777" w:rsidR="00DC1D62" w:rsidRPr="0091592F" w:rsidRDefault="001F661C">
      <w:pPr>
        <w:ind w:left="850"/>
        <w:jc w:val="both"/>
        <w:rPr>
          <w:rFonts w:ascii="Palatino Linotype" w:eastAsia="Palatino Linotype" w:hAnsi="Palatino Linotype" w:cs="Palatino Linotype"/>
          <w:b/>
          <w:i/>
          <w:sz w:val="22"/>
          <w:szCs w:val="22"/>
        </w:rPr>
      </w:pPr>
      <w:bookmarkStart w:id="3" w:name="_heading=h.3znysh7" w:colFirst="0" w:colLast="0"/>
      <w:bookmarkEnd w:id="3"/>
      <w:r w:rsidRPr="0091592F">
        <w:rPr>
          <w:rFonts w:ascii="Palatino Linotype" w:eastAsia="Palatino Linotype" w:hAnsi="Palatino Linotype" w:cs="Palatino Linotype"/>
          <w:b/>
          <w:i/>
          <w:sz w:val="22"/>
          <w:szCs w:val="22"/>
        </w:rPr>
        <w:t>“la opinión de cumplimiento del Servicio de Administración Tributaria (SAT)”</w:t>
      </w:r>
    </w:p>
    <w:p w14:paraId="7CE82A72" w14:textId="77777777" w:rsidR="00DC1D62" w:rsidRPr="0091592F" w:rsidRDefault="00DC1D62">
      <w:pPr>
        <w:ind w:left="850"/>
        <w:jc w:val="both"/>
        <w:rPr>
          <w:rFonts w:ascii="Palatino Linotype" w:eastAsia="Palatino Linotype" w:hAnsi="Palatino Linotype" w:cs="Palatino Linotype"/>
        </w:rPr>
      </w:pPr>
    </w:p>
    <w:p w14:paraId="71B16001"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Partiremos que éste es un órgano desconcentrado de la Secretaría de Hacienda y Crédito Público (SHCP), siendo esta la máxima autoridad fiscal encargada de la determinación y recaudación de impuestos en México. En ese orden de ideas, debemos traer a colación los artículos 27 apartado A, fracción VI, 29, 32-D último párrafo, 32-G del Código Fiscal de la Federación, así como los artículos 94 fracción I y 96 de la Ley del Impuesto sobre la Renta que señalan lo siguiente:</w:t>
      </w:r>
    </w:p>
    <w:p w14:paraId="3CBD0BA9" w14:textId="77777777" w:rsidR="00DC1D62" w:rsidRPr="0091592F" w:rsidRDefault="00DC1D62">
      <w:pPr>
        <w:spacing w:line="360" w:lineRule="auto"/>
        <w:jc w:val="both"/>
        <w:rPr>
          <w:rFonts w:ascii="Palatino Linotype" w:eastAsia="Palatino Linotype" w:hAnsi="Palatino Linotype" w:cs="Palatino Linotype"/>
        </w:rPr>
      </w:pPr>
    </w:p>
    <w:p w14:paraId="3B7531A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 xml:space="preserve">Artículo 27. </w:t>
      </w:r>
      <w:r w:rsidRPr="0091592F">
        <w:rPr>
          <w:rFonts w:ascii="Palatino Linotype" w:eastAsia="Palatino Linotype" w:hAnsi="Palatino Linotype" w:cs="Palatino Linotype"/>
          <w:i/>
          <w:sz w:val="22"/>
          <w:szCs w:val="22"/>
        </w:rPr>
        <w:t>En materia del Registro Federal de Contribuyentes, se estará a lo siguiente:</w:t>
      </w:r>
    </w:p>
    <w:p w14:paraId="19FDC229" w14:textId="77777777" w:rsidR="00DC1D62" w:rsidRPr="0091592F" w:rsidRDefault="00DC1D62">
      <w:pPr>
        <w:ind w:left="850" w:right="901"/>
        <w:jc w:val="both"/>
        <w:rPr>
          <w:rFonts w:ascii="Palatino Linotype" w:eastAsia="Palatino Linotype" w:hAnsi="Palatino Linotype" w:cs="Palatino Linotype"/>
          <w:i/>
          <w:sz w:val="22"/>
          <w:szCs w:val="22"/>
        </w:rPr>
      </w:pPr>
    </w:p>
    <w:p w14:paraId="370E5C1D"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w:t>
      </w:r>
      <w:r w:rsidRPr="0091592F">
        <w:rPr>
          <w:rFonts w:ascii="Palatino Linotype" w:eastAsia="Palatino Linotype" w:hAnsi="Palatino Linotype" w:cs="Palatino Linotype"/>
          <w:i/>
          <w:sz w:val="22"/>
          <w:szCs w:val="22"/>
        </w:rPr>
        <w:t xml:space="preserve"> Sujetos y sus obligaciones específicas:</w:t>
      </w:r>
    </w:p>
    <w:p w14:paraId="3CF0875F"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7286223F" w14:textId="77777777" w:rsidR="00DC1D62" w:rsidRPr="0091592F" w:rsidRDefault="00DC1D62">
      <w:pPr>
        <w:ind w:left="850" w:right="901"/>
        <w:jc w:val="both"/>
        <w:rPr>
          <w:rFonts w:ascii="Palatino Linotype" w:eastAsia="Palatino Linotype" w:hAnsi="Palatino Linotype" w:cs="Palatino Linotype"/>
          <w:i/>
          <w:sz w:val="22"/>
          <w:szCs w:val="22"/>
        </w:rPr>
      </w:pPr>
    </w:p>
    <w:p w14:paraId="1EDCC9D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VI.</w:t>
      </w:r>
      <w:r w:rsidRPr="0091592F">
        <w:rPr>
          <w:rFonts w:ascii="Palatino Linotype" w:eastAsia="Palatino Linotype" w:hAnsi="Palatino Linotype" w:cs="Palatino Linotype"/>
          <w:i/>
          <w:sz w:val="22"/>
          <w:szCs w:val="22"/>
        </w:rPr>
        <w:t xml:space="preserve"> Las unidades administrativas y los órganos administrativos desconcentrados de las dependencias y las demás áreas u órganos de la Federación, de las Entidades Federativas, </w:t>
      </w:r>
      <w:r w:rsidRPr="0091592F">
        <w:rPr>
          <w:rFonts w:ascii="Palatino Linotype" w:eastAsia="Palatino Linotype" w:hAnsi="Palatino Linotype" w:cs="Palatino Linotype"/>
          <w:i/>
          <w:sz w:val="22"/>
          <w:szCs w:val="22"/>
          <w:u w:val="single"/>
        </w:rPr>
        <w:t>de los municipios</w:t>
      </w:r>
      <w:r w:rsidRPr="0091592F">
        <w:rPr>
          <w:rFonts w:ascii="Palatino Linotype" w:eastAsia="Palatino Linotype" w:hAnsi="Palatino Linotype" w:cs="Palatino Linotype"/>
          <w:i/>
          <w:sz w:val="22"/>
          <w:szCs w:val="22"/>
        </w:rPr>
        <w:t xml:space="preserve">, de los organismos descentralizados y de los órganos constitucionales autónomos, </w:t>
      </w:r>
      <w:r w:rsidRPr="0091592F">
        <w:rPr>
          <w:rFonts w:ascii="Palatino Linotype" w:eastAsia="Palatino Linotype" w:hAnsi="Palatino Linotype" w:cs="Palatino Linotype"/>
          <w:i/>
          <w:sz w:val="22"/>
          <w:szCs w:val="22"/>
          <w:u w:val="single"/>
        </w:rPr>
        <w:t>que cuenten con autorización del ente público al que pertenezcan, que tengan el carácter de retenedor</w:t>
      </w:r>
      <w:r w:rsidRPr="0091592F">
        <w:rPr>
          <w:rFonts w:ascii="Palatino Linotype" w:eastAsia="Palatino Linotype" w:hAnsi="Palatino Linotype" w:cs="Palatino Linotype"/>
          <w:i/>
          <w:sz w:val="22"/>
          <w:szCs w:val="22"/>
        </w:rPr>
        <w:t xml:space="preserve"> o de contribuyente, de conformidad con las leyes fiscales, en forma separada del ente público al que pertenezcan, deberán dar cumplimiento a las obligaciones previstas en las fracciones I, II y III del apartado B del presente artículo</w:t>
      </w:r>
    </w:p>
    <w:p w14:paraId="1737256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Artículo 29.</w:t>
      </w:r>
      <w:r w:rsidRPr="0091592F">
        <w:rPr>
          <w:rFonts w:ascii="Palatino Linotype" w:eastAsia="Palatino Linotype" w:hAnsi="Palatino Linotype" w:cs="Palatino Linotype"/>
          <w:i/>
          <w:sz w:val="22"/>
          <w:szCs w:val="22"/>
        </w:rPr>
        <w:t xml:space="preserve"> </w:t>
      </w:r>
      <w:r w:rsidRPr="0091592F">
        <w:rPr>
          <w:rFonts w:ascii="Palatino Linotype" w:eastAsia="Palatino Linotype" w:hAnsi="Palatino Linotype" w:cs="Palatino Linotype"/>
          <w:i/>
          <w:sz w:val="22"/>
          <w:szCs w:val="22"/>
          <w:u w:val="single"/>
        </w:rPr>
        <w:t>Cuando las leyes fiscales establezcan la obligación de expedir comprobantes fiscales por los actos o actividades que realicen, por los ingresos que se perciban o por las retenciones de contribuciones que efectúen</w:t>
      </w:r>
      <w:r w:rsidRPr="0091592F">
        <w:rPr>
          <w:rFonts w:ascii="Palatino Linotype" w:eastAsia="Palatino Linotype" w:hAnsi="Palatino Linotype" w:cs="Palatino Linotype"/>
          <w:i/>
          <w:sz w:val="22"/>
          <w:szCs w:val="22"/>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39A1B489"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Los contribuyentes a que se refiere el párrafo anterior deberán cumplir con las obligaciones siguientes:</w:t>
      </w:r>
    </w:p>
    <w:p w14:paraId="0B97AB63"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5496B09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II. Tramitar ante el Servicio de Administración Tributaria el certificado para el uso de los sellos digitales.</w:t>
      </w:r>
    </w:p>
    <w:p w14:paraId="34021AA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lastRenderedPageBreak/>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FC450AE"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3957F3E9"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La tramitación de un certificado de sello digital sólo podrá efectuarse mediante formato electrónico que cuente con la firma electrónica avanzada de la persona solicitante.</w:t>
      </w:r>
    </w:p>
    <w:p w14:paraId="7E34FD2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51E15E6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4DF01C3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0F765E2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b) Asignar el folio del comprobante fiscal digital.</w:t>
      </w:r>
    </w:p>
    <w:p w14:paraId="4B074D58"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c) Incorporar el sello digital del Servicio de Administración Tributaria </w:t>
      </w:r>
    </w:p>
    <w:p w14:paraId="722F0BDF"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11E7613A"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lastRenderedPageBreak/>
        <w:t>VI. Cumplir con las especificaciones que en materia de informática determine el Servicio de Administración Tributaria mediante reglas de carácter general.</w:t>
      </w:r>
    </w:p>
    <w:p w14:paraId="7489A13E"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5EFBCA0C"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7C83186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4C4B4244"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7E39FC72" w14:textId="77777777" w:rsidR="00DC1D62" w:rsidRPr="0091592F" w:rsidRDefault="00DC1D62">
      <w:pPr>
        <w:ind w:left="850" w:right="901"/>
        <w:jc w:val="both"/>
        <w:rPr>
          <w:rFonts w:ascii="Palatino Linotype" w:eastAsia="Palatino Linotype" w:hAnsi="Palatino Linotype" w:cs="Palatino Linotype"/>
          <w:i/>
          <w:sz w:val="22"/>
          <w:szCs w:val="22"/>
        </w:rPr>
      </w:pPr>
    </w:p>
    <w:p w14:paraId="1196A823"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Artículo 32-D.</w:t>
      </w:r>
      <w:r w:rsidRPr="0091592F">
        <w:rPr>
          <w:rFonts w:ascii="Palatino Linotype" w:eastAsia="Palatino Linotype" w:hAnsi="Palatino Linotype" w:cs="Palatino Linotype"/>
          <w:i/>
          <w:sz w:val="22"/>
          <w:szCs w:val="22"/>
        </w:rPr>
        <w:t xml:space="preserv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5BBD10F8"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7F40D427" w14:textId="77777777" w:rsidR="00DC1D62" w:rsidRPr="0091592F" w:rsidRDefault="00DC1D62">
      <w:pPr>
        <w:ind w:left="850" w:right="901"/>
        <w:jc w:val="both"/>
        <w:rPr>
          <w:rFonts w:ascii="Palatino Linotype" w:eastAsia="Palatino Linotype" w:hAnsi="Palatino Linotype" w:cs="Palatino Linotype"/>
          <w:i/>
          <w:sz w:val="22"/>
          <w:szCs w:val="22"/>
        </w:rPr>
      </w:pPr>
    </w:p>
    <w:p w14:paraId="7517E91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Para participar como proveedores de los sujetos señalados en el primer párrafo de este artículo, los contribuyentes estarán obligados a autorizar al Servicio de Administración Tributaria y a las autoridades fiscales federales en materia de seguridad social, </w:t>
      </w:r>
      <w:r w:rsidRPr="0091592F">
        <w:rPr>
          <w:rFonts w:ascii="Palatino Linotype" w:eastAsia="Palatino Linotype" w:hAnsi="Palatino Linotype" w:cs="Palatino Linotype"/>
          <w:i/>
          <w:sz w:val="22"/>
          <w:szCs w:val="22"/>
          <w:u w:val="single"/>
        </w:rPr>
        <w:t>para que hagan público el resultado de la opinión del cumplimiento</w:t>
      </w:r>
      <w:r w:rsidRPr="0091592F">
        <w:rPr>
          <w:rFonts w:ascii="Palatino Linotype" w:eastAsia="Palatino Linotype" w:hAnsi="Palatino Linotype" w:cs="Palatino Linotype"/>
          <w:i/>
          <w:sz w:val="22"/>
          <w:szCs w:val="22"/>
        </w:rPr>
        <w:t>, a través del procedimiento que establezcan dicho órgano desconcentrado y autoridades fiscales federales, mediante reglas de carácter general, además de cumplir con lo establecido en las fracciones anteriores.</w:t>
      </w:r>
    </w:p>
    <w:p w14:paraId="3156A446" w14:textId="77777777" w:rsidR="00DC1D62" w:rsidRPr="0091592F" w:rsidRDefault="00DC1D62">
      <w:pPr>
        <w:ind w:left="850" w:right="901"/>
        <w:jc w:val="both"/>
        <w:rPr>
          <w:rFonts w:ascii="Palatino Linotype" w:eastAsia="Palatino Linotype" w:hAnsi="Palatino Linotype" w:cs="Palatino Linotype"/>
          <w:i/>
          <w:sz w:val="22"/>
          <w:szCs w:val="22"/>
        </w:rPr>
      </w:pPr>
    </w:p>
    <w:p w14:paraId="63E8E7D2"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Artículo 32-G.</w:t>
      </w:r>
      <w:r w:rsidRPr="0091592F">
        <w:rPr>
          <w:rFonts w:ascii="Palatino Linotype" w:eastAsia="Palatino Linotype" w:hAnsi="Palatino Linotype" w:cs="Palatino Linotype"/>
          <w:i/>
          <w:sz w:val="22"/>
          <w:szCs w:val="22"/>
        </w:rPr>
        <w:t xml:space="preserve"> La Federación, las Entidades Federativas, el Distrito Federal, y sus Organismos Descentralizados, </w:t>
      </w:r>
      <w:r w:rsidRPr="0091592F">
        <w:rPr>
          <w:rFonts w:ascii="Palatino Linotype" w:eastAsia="Palatino Linotype" w:hAnsi="Palatino Linotype" w:cs="Palatino Linotype"/>
          <w:i/>
          <w:sz w:val="22"/>
          <w:szCs w:val="22"/>
          <w:u w:val="single"/>
        </w:rPr>
        <w:t>así como los Municipios</w:t>
      </w:r>
      <w:r w:rsidRPr="0091592F">
        <w:rPr>
          <w:rFonts w:ascii="Palatino Linotype" w:eastAsia="Palatino Linotype" w:hAnsi="Palatino Linotype" w:cs="Palatino Linotype"/>
          <w:i/>
          <w:sz w:val="22"/>
          <w:szCs w:val="22"/>
        </w:rPr>
        <w:t>, tendrán la obligación de presentar ante las autoridades fiscales, a través de los medios y formatos electrónicos que señale el Servicio de Administración, la información relativa a:</w:t>
      </w:r>
    </w:p>
    <w:p w14:paraId="79124DAF"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I. </w:t>
      </w:r>
      <w:r w:rsidRPr="0091592F">
        <w:rPr>
          <w:rFonts w:ascii="Palatino Linotype" w:eastAsia="Palatino Linotype" w:hAnsi="Palatino Linotype" w:cs="Palatino Linotype"/>
          <w:i/>
          <w:sz w:val="22"/>
          <w:szCs w:val="22"/>
          <w:u w:val="single"/>
        </w:rPr>
        <w:t>Las personas a las que en el mes inmediato anterior les hubieren efectuado retenciones de impuesto sobre la renta</w:t>
      </w:r>
      <w:r w:rsidRPr="0091592F">
        <w:rPr>
          <w:rFonts w:ascii="Palatino Linotype" w:eastAsia="Palatino Linotype" w:hAnsi="Palatino Linotype" w:cs="Palatino Linotype"/>
          <w:i/>
          <w:sz w:val="22"/>
          <w:szCs w:val="22"/>
        </w:rPr>
        <w:t>, así como de los residentes en el extranjero a los que les hayan efectuado pagos de acuerdo con lo previsto en el Título V de la Ley del Impuesto sobre la Renta.</w:t>
      </w:r>
    </w:p>
    <w:p w14:paraId="4E3B3014"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4FB052B2" w14:textId="77777777" w:rsidR="00DC1D62" w:rsidRPr="0091592F" w:rsidRDefault="001F661C">
      <w:pPr>
        <w:ind w:left="850" w:right="901"/>
        <w:jc w:val="both"/>
        <w:rPr>
          <w:rFonts w:ascii="Palatino Linotype" w:eastAsia="Palatino Linotype" w:hAnsi="Palatino Linotype" w:cs="Palatino Linotype"/>
          <w:sz w:val="22"/>
          <w:szCs w:val="22"/>
        </w:rPr>
      </w:pPr>
      <w:r w:rsidRPr="0091592F">
        <w:rPr>
          <w:rFonts w:ascii="Palatino Linotype" w:eastAsia="Palatino Linotype" w:hAnsi="Palatino Linotype" w:cs="Palatino Linotype"/>
          <w:i/>
          <w:sz w:val="22"/>
          <w:szCs w:val="22"/>
        </w:rPr>
        <w:t>La información a que se refiere el párrafo anterior se deberá presentar a más tardar el día 17 del mes posterior al que corresponda dicha información”</w:t>
      </w:r>
    </w:p>
    <w:p w14:paraId="3A6151ED" w14:textId="77777777" w:rsidR="00DC1D62" w:rsidRPr="0091592F" w:rsidRDefault="001F661C">
      <w:pPr>
        <w:ind w:left="850" w:right="901"/>
        <w:jc w:val="right"/>
        <w:rPr>
          <w:rFonts w:ascii="Palatino Linotype" w:eastAsia="Palatino Linotype" w:hAnsi="Palatino Linotype" w:cs="Palatino Linotype"/>
          <w:sz w:val="22"/>
          <w:szCs w:val="22"/>
        </w:rPr>
      </w:pPr>
      <w:r w:rsidRPr="0091592F">
        <w:rPr>
          <w:rFonts w:ascii="Palatino Linotype" w:eastAsia="Palatino Linotype" w:hAnsi="Palatino Linotype" w:cs="Palatino Linotype"/>
          <w:sz w:val="22"/>
          <w:szCs w:val="22"/>
        </w:rPr>
        <w:t>(Énfasis añadido)</w:t>
      </w:r>
    </w:p>
    <w:p w14:paraId="4290D414" w14:textId="77777777" w:rsidR="00DC1D62" w:rsidRPr="0091592F" w:rsidRDefault="00DC1D62">
      <w:pPr>
        <w:ind w:left="850" w:right="901"/>
        <w:jc w:val="both"/>
        <w:rPr>
          <w:rFonts w:ascii="Palatino Linotype" w:eastAsia="Palatino Linotype" w:hAnsi="Palatino Linotype" w:cs="Palatino Linotype"/>
          <w:sz w:val="22"/>
          <w:szCs w:val="22"/>
        </w:rPr>
      </w:pPr>
    </w:p>
    <w:p w14:paraId="4924DB15" w14:textId="77777777" w:rsidR="00DC1D62" w:rsidRPr="0091592F" w:rsidRDefault="001F661C">
      <w:pPr>
        <w:ind w:left="850" w:right="901"/>
        <w:jc w:val="center"/>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Ley del Impuesto sobre la Renta</w:t>
      </w:r>
    </w:p>
    <w:p w14:paraId="25F589F9" w14:textId="77777777" w:rsidR="00DC1D62" w:rsidRPr="0091592F" w:rsidRDefault="00DC1D62">
      <w:pPr>
        <w:ind w:left="850" w:right="901"/>
        <w:jc w:val="center"/>
        <w:rPr>
          <w:rFonts w:ascii="Palatino Linotype" w:eastAsia="Palatino Linotype" w:hAnsi="Palatino Linotype" w:cs="Palatino Linotype"/>
          <w:b/>
          <w:i/>
          <w:sz w:val="22"/>
          <w:szCs w:val="22"/>
        </w:rPr>
      </w:pPr>
    </w:p>
    <w:p w14:paraId="57BAEB06" w14:textId="77777777" w:rsidR="00DC1D62" w:rsidRPr="0091592F" w:rsidRDefault="001F661C">
      <w:pPr>
        <w:ind w:left="850" w:right="901"/>
        <w:jc w:val="center"/>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CAPÍTULO I</w:t>
      </w:r>
    </w:p>
    <w:p w14:paraId="38D72FA7" w14:textId="77777777" w:rsidR="00DC1D62" w:rsidRPr="0091592F" w:rsidRDefault="001F661C">
      <w:pPr>
        <w:ind w:left="850" w:right="901"/>
        <w:jc w:val="center"/>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 xml:space="preserve">DE LOS INGRESOS POR SALARIOS Y EN GENERAL POR LA </w:t>
      </w:r>
    </w:p>
    <w:p w14:paraId="324BF7C7" w14:textId="77777777" w:rsidR="00DC1D62" w:rsidRPr="0091592F" w:rsidRDefault="001F661C">
      <w:pPr>
        <w:ind w:left="850" w:right="901"/>
        <w:jc w:val="center"/>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PRESTACIÓN DE UN SERVICIO PERSONAL SUBORDINADO</w:t>
      </w:r>
    </w:p>
    <w:p w14:paraId="276D6C87" w14:textId="77777777" w:rsidR="00DC1D62" w:rsidRPr="0091592F" w:rsidRDefault="00DC1D62">
      <w:pPr>
        <w:ind w:left="850" w:right="901"/>
        <w:jc w:val="both"/>
        <w:rPr>
          <w:rFonts w:ascii="Palatino Linotype" w:eastAsia="Palatino Linotype" w:hAnsi="Palatino Linotype" w:cs="Palatino Linotype"/>
          <w:i/>
          <w:sz w:val="22"/>
          <w:szCs w:val="22"/>
        </w:rPr>
      </w:pPr>
    </w:p>
    <w:p w14:paraId="2BE94BB7"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Artículo 94. </w:t>
      </w:r>
      <w:r w:rsidRPr="0091592F">
        <w:rPr>
          <w:rFonts w:ascii="Palatino Linotype" w:eastAsia="Palatino Linotype" w:hAnsi="Palatino Linotype" w:cs="Palatino Linotype"/>
          <w:i/>
          <w:sz w:val="22"/>
          <w:szCs w:val="22"/>
          <w:u w:val="single"/>
        </w:rPr>
        <w:t>Se consideran ingresos por la prestación de un servicio personal subordinado</w:t>
      </w:r>
      <w:r w:rsidRPr="0091592F">
        <w:rPr>
          <w:rFonts w:ascii="Palatino Linotype" w:eastAsia="Palatino Linotype" w:hAnsi="Palatino Linotype" w:cs="Palatino Linotype"/>
          <w:i/>
          <w:sz w:val="22"/>
          <w:szCs w:val="22"/>
        </w:rPr>
        <w:t xml:space="preserve">, los salarios y demás prestaciones que deriven de una relación laboral, incluyendo la participación de los trabajadores en las utilidades de las empresas y las prestaciones percibidas como consecuencia de la terminación de la </w:t>
      </w:r>
      <w:r w:rsidRPr="0091592F">
        <w:rPr>
          <w:rFonts w:ascii="Palatino Linotype" w:eastAsia="Palatino Linotype" w:hAnsi="Palatino Linotype" w:cs="Palatino Linotype"/>
          <w:i/>
          <w:sz w:val="22"/>
          <w:szCs w:val="22"/>
        </w:rPr>
        <w:lastRenderedPageBreak/>
        <w:t>relación laboral. Para los efectos de este impuesto, se asimilan a estos ingresos los siguientes:</w:t>
      </w:r>
    </w:p>
    <w:p w14:paraId="300A68B3"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I. </w:t>
      </w:r>
      <w:r w:rsidRPr="0091592F">
        <w:rPr>
          <w:rFonts w:ascii="Palatino Linotype" w:eastAsia="Palatino Linotype" w:hAnsi="Palatino Linotype" w:cs="Palatino Linotype"/>
          <w:i/>
          <w:sz w:val="22"/>
          <w:szCs w:val="22"/>
        </w:rPr>
        <w:t xml:space="preserve">Las remuneraciones y demás prestaciones, obtenidas por los funcionarios y trabajadores de la Federación, de las entidades federativas y de </w:t>
      </w:r>
      <w:r w:rsidRPr="0091592F">
        <w:rPr>
          <w:rFonts w:ascii="Palatino Linotype" w:eastAsia="Palatino Linotype" w:hAnsi="Palatino Linotype" w:cs="Palatino Linotype"/>
          <w:i/>
          <w:sz w:val="22"/>
          <w:szCs w:val="22"/>
          <w:u w:val="single"/>
        </w:rPr>
        <w:t>los municipios</w:t>
      </w:r>
      <w:r w:rsidRPr="0091592F">
        <w:rPr>
          <w:rFonts w:ascii="Palatino Linotype" w:eastAsia="Palatino Linotype" w:hAnsi="Palatino Linotype" w:cs="Palatino Linotype"/>
          <w:i/>
          <w:sz w:val="22"/>
          <w:szCs w:val="22"/>
        </w:rPr>
        <w:t>, aun cuando sean por concepto de gastos no sujetos a comprobación, así como los obtenidos por los miembros de las fuerzas armadas.</w:t>
      </w:r>
    </w:p>
    <w:p w14:paraId="1A5F5DDE"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57A0C206"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Artículo 96. </w:t>
      </w:r>
      <w:r w:rsidRPr="0091592F">
        <w:rPr>
          <w:rFonts w:ascii="Palatino Linotype" w:eastAsia="Palatino Linotype" w:hAnsi="Palatino Linotype" w:cs="Palatino Linotype"/>
          <w:i/>
          <w:sz w:val="22"/>
          <w:szCs w:val="22"/>
        </w:rPr>
        <w:t>Quienes hagan pagos por los conceptos a que se refiere este Capítulo e</w:t>
      </w:r>
      <w:r w:rsidRPr="0091592F">
        <w:rPr>
          <w:rFonts w:ascii="Palatino Linotype" w:eastAsia="Palatino Linotype" w:hAnsi="Palatino Linotype" w:cs="Palatino Linotype"/>
          <w:i/>
          <w:sz w:val="22"/>
          <w:szCs w:val="22"/>
          <w:u w:val="single"/>
        </w:rPr>
        <w:t>stán obligados a efectuar retenciones y enteros mensuales que tendrán el carácter de pagos provisionales a cuenta del impuesto anual.</w:t>
      </w:r>
      <w:r w:rsidRPr="0091592F">
        <w:rPr>
          <w:rFonts w:ascii="Palatino Linotype" w:eastAsia="Palatino Linotype" w:hAnsi="Palatino Linotype" w:cs="Palatino Linotype"/>
          <w:i/>
          <w:sz w:val="22"/>
          <w:szCs w:val="22"/>
        </w:rPr>
        <w:t xml:space="preserve"> No se efectuará retención a las personas que en el mes únicamente perciban un salario mínimo general correspondiente al área geográfica del contribuyente.</w:t>
      </w:r>
    </w:p>
    <w:p w14:paraId="4D4038BF" w14:textId="77777777" w:rsidR="00DC1D62" w:rsidRPr="0091592F" w:rsidRDefault="001F661C">
      <w:pPr>
        <w:ind w:left="850" w:right="901"/>
        <w:rPr>
          <w:rFonts w:ascii="Palatino Linotype" w:eastAsia="Palatino Linotype" w:hAnsi="Palatino Linotype" w:cs="Palatino Linotype"/>
          <w:sz w:val="22"/>
          <w:szCs w:val="22"/>
        </w:rPr>
      </w:pPr>
      <w:r w:rsidRPr="0091592F">
        <w:rPr>
          <w:rFonts w:ascii="Palatino Linotype" w:eastAsia="Palatino Linotype" w:hAnsi="Palatino Linotype" w:cs="Palatino Linotype"/>
          <w:sz w:val="22"/>
          <w:szCs w:val="22"/>
        </w:rPr>
        <w:t>(Énfasis añadido)</w:t>
      </w:r>
    </w:p>
    <w:p w14:paraId="33CDC5B0" w14:textId="77777777" w:rsidR="00DC1D62" w:rsidRPr="0091592F" w:rsidRDefault="00DC1D62">
      <w:pPr>
        <w:spacing w:line="360" w:lineRule="auto"/>
        <w:jc w:val="both"/>
        <w:rPr>
          <w:rFonts w:ascii="Palatino Linotype" w:eastAsia="Palatino Linotype" w:hAnsi="Palatino Linotype" w:cs="Palatino Linotype"/>
        </w:rPr>
      </w:pPr>
    </w:p>
    <w:p w14:paraId="7825C3A8"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De conformidad con los artículos citados, se advierte que los Municipios al administrar libremente su hacienda pública municipal, encargándose en lo relativo al pago de los salarios y/o remuneraciones de sus servidores públicos, realiza la retención del Impuesto Sobre la Renta, que debe enterar al Servicio de Administración Tributaria (SAT), de igual manera, genera los Comprobantes Fiscales Digitales por Internet (CFDI), acciones que encuadran en las hipótesis jurídicas citadas, en su carácter de retenedores del impuesto sobre la renta, por lo que, se encuentran obligados de presentar ante la Autoridad Fiscal (Servicio de Administración Tributaria SAT), la información relativa de las personas a las que les fue efectuada dicha retención, circunstancia que al encontrarse sujeta a la rendición de cuentas de la administración pública, resulta de interés a la sociedad el conocer si se encuentra al corriente en sus obligaciones fiscales, consecuentemente podemos concluir que resulta dable ordenar la entrega de </w:t>
      </w:r>
      <w:r w:rsidRPr="0091592F">
        <w:rPr>
          <w:rFonts w:ascii="Palatino Linotype" w:eastAsia="Palatino Linotype" w:hAnsi="Palatino Linotype" w:cs="Palatino Linotype"/>
          <w:u w:val="single"/>
        </w:rPr>
        <w:t>la opinión de cumplimiento emitida por el Servicio de Administración Tributaria (SAT)</w:t>
      </w:r>
      <w:r w:rsidRPr="0091592F">
        <w:rPr>
          <w:rFonts w:ascii="Palatino Linotype" w:eastAsia="Palatino Linotype" w:hAnsi="Palatino Linotype" w:cs="Palatino Linotype"/>
        </w:rPr>
        <w:t>, a favor del Sujeto Obligado.</w:t>
      </w:r>
    </w:p>
    <w:p w14:paraId="5BCFF240" w14:textId="77777777" w:rsidR="00DC1D62" w:rsidRPr="0091592F" w:rsidRDefault="00DC1D62">
      <w:pPr>
        <w:spacing w:line="360" w:lineRule="auto"/>
        <w:jc w:val="both"/>
        <w:rPr>
          <w:rFonts w:ascii="Palatino Linotype" w:eastAsia="Palatino Linotype" w:hAnsi="Palatino Linotype" w:cs="Palatino Linotype"/>
        </w:rPr>
      </w:pPr>
    </w:p>
    <w:p w14:paraId="538D6295" w14:textId="77777777" w:rsidR="00DC1D62" w:rsidRPr="0091592F" w:rsidRDefault="001F661C">
      <w:pPr>
        <w:spacing w:line="360" w:lineRule="auto"/>
        <w:jc w:val="both"/>
        <w:rPr>
          <w:rFonts w:ascii="Palatino Linotype" w:eastAsia="Palatino Linotype" w:hAnsi="Palatino Linotype" w:cs="Palatino Linotype"/>
        </w:rPr>
      </w:pPr>
      <w:bookmarkStart w:id="4" w:name="_heading=h.2et92p0" w:colFirst="0" w:colLast="0"/>
      <w:bookmarkEnd w:id="4"/>
      <w:r w:rsidRPr="0091592F">
        <w:rPr>
          <w:rFonts w:ascii="Palatino Linotype" w:eastAsia="Palatino Linotype" w:hAnsi="Palatino Linotype" w:cs="Palatino Linotype"/>
        </w:rPr>
        <w:t>Por otra parte, en relación a:</w:t>
      </w:r>
    </w:p>
    <w:p w14:paraId="720BC618" w14:textId="77777777" w:rsidR="00DC1D62" w:rsidRPr="0091592F" w:rsidRDefault="00DC1D62">
      <w:pPr>
        <w:spacing w:line="360" w:lineRule="auto"/>
        <w:jc w:val="both"/>
        <w:rPr>
          <w:rFonts w:ascii="Palatino Linotype" w:eastAsia="Palatino Linotype" w:hAnsi="Palatino Linotype" w:cs="Palatino Linotype"/>
        </w:rPr>
      </w:pPr>
    </w:p>
    <w:p w14:paraId="48BB6A00" w14:textId="77777777" w:rsidR="00DC1D62" w:rsidRPr="0091592F" w:rsidRDefault="001F661C">
      <w:pPr>
        <w:spacing w:line="360" w:lineRule="auto"/>
        <w:ind w:left="850" w:right="901"/>
        <w:jc w:val="both"/>
        <w:rPr>
          <w:rFonts w:ascii="Palatino Linotype" w:eastAsia="Palatino Linotype" w:hAnsi="Palatino Linotype" w:cs="Palatino Linotype"/>
          <w:b/>
          <w:i/>
          <w:sz w:val="22"/>
          <w:szCs w:val="22"/>
        </w:rPr>
      </w:pPr>
      <w:bookmarkStart w:id="5" w:name="_heading=h.tyjcwt" w:colFirst="0" w:colLast="0"/>
      <w:bookmarkEnd w:id="5"/>
      <w:r w:rsidRPr="0091592F">
        <w:rPr>
          <w:rFonts w:ascii="Palatino Linotype" w:eastAsia="Palatino Linotype" w:hAnsi="Palatino Linotype" w:cs="Palatino Linotype"/>
          <w:b/>
          <w:i/>
          <w:sz w:val="22"/>
          <w:szCs w:val="22"/>
        </w:rPr>
        <w:t>“la opinión de cumplimiento del Instituto Mexicano del Seguro Social IMSS”</w:t>
      </w:r>
    </w:p>
    <w:p w14:paraId="58DE4F66" w14:textId="77777777" w:rsidR="00DC1D62" w:rsidRPr="0091592F" w:rsidRDefault="00DC1D62">
      <w:pPr>
        <w:spacing w:line="360" w:lineRule="auto"/>
        <w:ind w:left="850" w:right="901"/>
        <w:jc w:val="both"/>
        <w:rPr>
          <w:rFonts w:ascii="Palatino Linotype" w:eastAsia="Palatino Linotype" w:hAnsi="Palatino Linotype" w:cs="Palatino Linotype"/>
          <w:b/>
          <w:i/>
          <w:sz w:val="22"/>
          <w:szCs w:val="22"/>
        </w:rPr>
      </w:pPr>
    </w:p>
    <w:p w14:paraId="6398EE3E"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Se iniciará que de conformidad con el artículo 5 de la Ley del Seguro Social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7CF8B9D4" w14:textId="77777777" w:rsidR="00DC1D62" w:rsidRPr="0091592F" w:rsidRDefault="00DC1D62">
      <w:pPr>
        <w:spacing w:line="360" w:lineRule="auto"/>
        <w:jc w:val="both"/>
        <w:rPr>
          <w:rFonts w:ascii="Palatino Linotype" w:eastAsia="Palatino Linotype" w:hAnsi="Palatino Linotype" w:cs="Palatino Linotype"/>
        </w:rPr>
      </w:pPr>
    </w:p>
    <w:p w14:paraId="6CFDFD23"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Organismo que si bien se encarga de garantizar el derecho a la seguridad social, lo es en lo que corresponde a los Entes de Gobierno de Nivel Federal; atentos a ello, de conformidad con los artículos 1, 2 y 3 de la Ley de Seguridad Social para los Servidores Públicos del Estado de México y Municipios, podemos apreciar que el Organismo competente para la seguridad social de los servidores públicos del Estado de México y Municipios, se encuentra a cargo del Instituto de Seguridad </w:t>
      </w:r>
      <w:r w:rsidRPr="0091592F">
        <w:rPr>
          <w:rFonts w:ascii="Palatino Linotype" w:eastAsia="Palatino Linotype" w:hAnsi="Palatino Linotype" w:cs="Palatino Linotype"/>
        </w:rPr>
        <w:lastRenderedPageBreak/>
        <w:t>Social del Estado de México y Municipios (ISSEMyM), se insertan para mayor referencia los artículos a continuación:</w:t>
      </w:r>
    </w:p>
    <w:p w14:paraId="66E5231F" w14:textId="77777777" w:rsidR="00DC1D62" w:rsidRPr="0091592F" w:rsidRDefault="00DC1D62">
      <w:pPr>
        <w:spacing w:line="360" w:lineRule="auto"/>
        <w:jc w:val="both"/>
        <w:rPr>
          <w:rFonts w:ascii="Palatino Linotype" w:eastAsia="Palatino Linotype" w:hAnsi="Palatino Linotype" w:cs="Palatino Linotype"/>
        </w:rPr>
      </w:pPr>
    </w:p>
    <w:p w14:paraId="7F813C64"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ARTICULO 1.- </w:t>
      </w:r>
      <w:r w:rsidRPr="0091592F">
        <w:rPr>
          <w:rFonts w:ascii="Palatino Linotype" w:eastAsia="Palatino Linotype" w:hAnsi="Palatino Linotype" w:cs="Palatino Linotype"/>
          <w:i/>
          <w:sz w:val="22"/>
          <w:szCs w:val="22"/>
        </w:rPr>
        <w:t>La presente ley es de orden público e interés general y tiene por objeto regular el régimen de seguridad social en favor de los servidores públicos del estado y municipios, así como de sus organismos auxiliares y fideicomisos públicos.</w:t>
      </w:r>
    </w:p>
    <w:p w14:paraId="1BF6CA42" w14:textId="77777777" w:rsidR="00DC1D62" w:rsidRPr="0091592F" w:rsidRDefault="00DC1D62">
      <w:pPr>
        <w:ind w:left="850" w:right="901"/>
        <w:jc w:val="both"/>
        <w:rPr>
          <w:rFonts w:ascii="Palatino Linotype" w:eastAsia="Palatino Linotype" w:hAnsi="Palatino Linotype" w:cs="Palatino Linotype"/>
          <w:i/>
          <w:sz w:val="22"/>
          <w:szCs w:val="22"/>
        </w:rPr>
      </w:pPr>
    </w:p>
    <w:p w14:paraId="65B9F840"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ARTICULO 2.-</w:t>
      </w:r>
      <w:r w:rsidRPr="0091592F">
        <w:rPr>
          <w:rFonts w:ascii="Palatino Linotype" w:eastAsia="Palatino Linotype" w:hAnsi="Palatino Linotype" w:cs="Palatino Linotype"/>
          <w:i/>
          <w:sz w:val="22"/>
          <w:szCs w:val="22"/>
        </w:rPr>
        <w:t xml:space="preserve"> La aplicación y cumplimiento del régimen de seguridad social que regula esta ley, le corresponde al Instituto de Seguridad Social del Estado de México y Municipios, organismo público descentralizado con personalidad jurídica y patrimonio propios.</w:t>
      </w:r>
    </w:p>
    <w:p w14:paraId="2A75AAE2" w14:textId="77777777" w:rsidR="00DC1D62" w:rsidRPr="0091592F" w:rsidRDefault="00DC1D62">
      <w:pPr>
        <w:ind w:left="850" w:right="901"/>
        <w:jc w:val="both"/>
        <w:rPr>
          <w:rFonts w:ascii="Palatino Linotype" w:eastAsia="Palatino Linotype" w:hAnsi="Palatino Linotype" w:cs="Palatino Linotype"/>
          <w:i/>
          <w:sz w:val="22"/>
          <w:szCs w:val="22"/>
        </w:rPr>
      </w:pPr>
    </w:p>
    <w:p w14:paraId="7F296EB3"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ARTICULO 3.-</w:t>
      </w:r>
      <w:r w:rsidRPr="0091592F">
        <w:rPr>
          <w:rFonts w:ascii="Palatino Linotype" w:eastAsia="Palatino Linotype" w:hAnsi="Palatino Linotype" w:cs="Palatino Linotype"/>
          <w:i/>
          <w:sz w:val="22"/>
          <w:szCs w:val="22"/>
        </w:rPr>
        <w:t xml:space="preserve"> Son sujetos de esta ley:</w:t>
      </w:r>
    </w:p>
    <w:p w14:paraId="7388B79E" w14:textId="77777777" w:rsidR="00DC1D62" w:rsidRPr="0091592F" w:rsidRDefault="00DC1D62">
      <w:pPr>
        <w:ind w:left="850" w:right="901"/>
        <w:jc w:val="both"/>
        <w:rPr>
          <w:rFonts w:ascii="Palatino Linotype" w:eastAsia="Palatino Linotype" w:hAnsi="Palatino Linotype" w:cs="Palatino Linotype"/>
          <w:i/>
          <w:sz w:val="22"/>
          <w:szCs w:val="22"/>
        </w:rPr>
      </w:pPr>
    </w:p>
    <w:p w14:paraId="5EF92C7F"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I. </w:t>
      </w:r>
      <w:r w:rsidRPr="0091592F">
        <w:rPr>
          <w:rFonts w:ascii="Palatino Linotype" w:eastAsia="Palatino Linotype" w:hAnsi="Palatino Linotype" w:cs="Palatino Linotype"/>
          <w:i/>
          <w:sz w:val="22"/>
          <w:szCs w:val="22"/>
        </w:rPr>
        <w:t>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182CE6F8" w14:textId="77777777" w:rsidR="00DC1D62" w:rsidRPr="0091592F" w:rsidRDefault="00DC1D62">
      <w:pPr>
        <w:ind w:left="850" w:right="901"/>
        <w:jc w:val="both"/>
        <w:rPr>
          <w:rFonts w:ascii="Palatino Linotype" w:eastAsia="Palatino Linotype" w:hAnsi="Palatino Linotype" w:cs="Palatino Linotype"/>
          <w:i/>
          <w:sz w:val="22"/>
          <w:szCs w:val="22"/>
        </w:rPr>
      </w:pPr>
    </w:p>
    <w:p w14:paraId="0DA581FA"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II. </w:t>
      </w:r>
      <w:r w:rsidRPr="0091592F">
        <w:rPr>
          <w:rFonts w:ascii="Palatino Linotype" w:eastAsia="Palatino Linotype" w:hAnsi="Palatino Linotype" w:cs="Palatino Linotype"/>
          <w:i/>
          <w:sz w:val="22"/>
          <w:szCs w:val="22"/>
        </w:rPr>
        <w:t>Los servidores públicos de las instituciones públicas mencionadas en la fracción anterior;</w:t>
      </w:r>
    </w:p>
    <w:p w14:paraId="21780B0B" w14:textId="77777777" w:rsidR="00DC1D62" w:rsidRPr="0091592F" w:rsidRDefault="00DC1D62">
      <w:pPr>
        <w:ind w:left="850" w:right="901"/>
        <w:jc w:val="both"/>
        <w:rPr>
          <w:rFonts w:ascii="Palatino Linotype" w:eastAsia="Palatino Linotype" w:hAnsi="Palatino Linotype" w:cs="Palatino Linotype"/>
          <w:i/>
          <w:sz w:val="22"/>
          <w:szCs w:val="22"/>
        </w:rPr>
      </w:pPr>
    </w:p>
    <w:p w14:paraId="154C79D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III.</w:t>
      </w:r>
      <w:r w:rsidRPr="0091592F">
        <w:rPr>
          <w:rFonts w:ascii="Palatino Linotype" w:eastAsia="Palatino Linotype" w:hAnsi="Palatino Linotype" w:cs="Palatino Linotype"/>
          <w:i/>
          <w:sz w:val="22"/>
          <w:szCs w:val="22"/>
        </w:rPr>
        <w:t xml:space="preserve"> Los pensionados y pensionistas;</w:t>
      </w:r>
    </w:p>
    <w:p w14:paraId="31EA1214" w14:textId="77777777" w:rsidR="00DC1D62" w:rsidRPr="0091592F" w:rsidRDefault="00DC1D62">
      <w:pPr>
        <w:ind w:left="850" w:right="901"/>
        <w:jc w:val="both"/>
        <w:rPr>
          <w:rFonts w:ascii="Palatino Linotype" w:eastAsia="Palatino Linotype" w:hAnsi="Palatino Linotype" w:cs="Palatino Linotype"/>
          <w:i/>
          <w:sz w:val="22"/>
          <w:szCs w:val="22"/>
        </w:rPr>
      </w:pPr>
    </w:p>
    <w:p w14:paraId="7BC46A38"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IV.</w:t>
      </w:r>
      <w:r w:rsidRPr="0091592F">
        <w:rPr>
          <w:rFonts w:ascii="Palatino Linotype" w:eastAsia="Palatino Linotype" w:hAnsi="Palatino Linotype" w:cs="Palatino Linotype"/>
          <w:i/>
          <w:sz w:val="22"/>
          <w:szCs w:val="22"/>
        </w:rPr>
        <w:t xml:space="preserve"> Los familiares y dependientes económicos de los servidores públicos y de los pensionados.</w:t>
      </w:r>
    </w:p>
    <w:p w14:paraId="392BE832" w14:textId="77777777" w:rsidR="00DC1D62" w:rsidRPr="0091592F" w:rsidRDefault="00DC1D62">
      <w:pPr>
        <w:ind w:left="850" w:right="901"/>
        <w:jc w:val="both"/>
        <w:rPr>
          <w:rFonts w:ascii="Palatino Linotype" w:eastAsia="Palatino Linotype" w:hAnsi="Palatino Linotype" w:cs="Palatino Linotype"/>
          <w:i/>
          <w:sz w:val="22"/>
          <w:szCs w:val="22"/>
        </w:rPr>
      </w:pPr>
    </w:p>
    <w:p w14:paraId="647797C2"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ARTICULO 5.- </w:t>
      </w:r>
      <w:r w:rsidRPr="0091592F">
        <w:rPr>
          <w:rFonts w:ascii="Palatino Linotype" w:eastAsia="Palatino Linotype" w:hAnsi="Palatino Linotype" w:cs="Palatino Linotype"/>
          <w:i/>
          <w:sz w:val="22"/>
          <w:szCs w:val="22"/>
        </w:rPr>
        <w:t>Para los efectos de esta ley se entiende por:</w:t>
      </w:r>
    </w:p>
    <w:p w14:paraId="5B05E642" w14:textId="77777777" w:rsidR="00DC1D62" w:rsidRPr="0091592F" w:rsidRDefault="00DC1D62">
      <w:pPr>
        <w:ind w:left="850" w:right="901"/>
        <w:jc w:val="both"/>
        <w:rPr>
          <w:rFonts w:ascii="Palatino Linotype" w:eastAsia="Palatino Linotype" w:hAnsi="Palatino Linotype" w:cs="Palatino Linotype"/>
          <w:i/>
          <w:sz w:val="22"/>
          <w:szCs w:val="22"/>
        </w:rPr>
      </w:pPr>
    </w:p>
    <w:p w14:paraId="0C5F6AB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I…</w:t>
      </w:r>
    </w:p>
    <w:p w14:paraId="438CAD51" w14:textId="77777777" w:rsidR="00DC1D62" w:rsidRPr="0091592F" w:rsidRDefault="00DC1D62">
      <w:pPr>
        <w:ind w:left="850" w:right="901"/>
        <w:jc w:val="both"/>
        <w:rPr>
          <w:rFonts w:ascii="Palatino Linotype" w:eastAsia="Palatino Linotype" w:hAnsi="Palatino Linotype" w:cs="Palatino Linotype"/>
          <w:i/>
          <w:sz w:val="22"/>
          <w:szCs w:val="22"/>
        </w:rPr>
      </w:pPr>
    </w:p>
    <w:p w14:paraId="06E1CBEE"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II. </w:t>
      </w:r>
      <w:r w:rsidRPr="0091592F">
        <w:rPr>
          <w:rFonts w:ascii="Palatino Linotype" w:eastAsia="Palatino Linotype" w:hAnsi="Palatino Linotype" w:cs="Palatino Linotype"/>
          <w:i/>
          <w:sz w:val="22"/>
          <w:szCs w:val="22"/>
        </w:rPr>
        <w:t>Institución pública, a los poderes públicos del estado, los ayuntamientos de los municipios y los tribunales administrativos, así como los organismos auxiliares y fideicomisos públicos de carácter estatal y municipal;</w:t>
      </w:r>
    </w:p>
    <w:p w14:paraId="1F591239"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lastRenderedPageBreak/>
        <w:t>III.</w:t>
      </w:r>
      <w:r w:rsidRPr="0091592F">
        <w:rPr>
          <w:rFonts w:ascii="Palatino Linotype" w:eastAsia="Palatino Linotype" w:hAnsi="Palatino Linotype" w:cs="Palatino Linotype"/>
          <w:i/>
          <w:sz w:val="22"/>
          <w:szCs w:val="22"/>
        </w:rPr>
        <w:t xml:space="preserve"> Servidor público,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371CE75B" w14:textId="77777777" w:rsidR="00DC1D62" w:rsidRPr="0091592F" w:rsidRDefault="00DC1D62">
      <w:pPr>
        <w:jc w:val="both"/>
        <w:rPr>
          <w:rFonts w:ascii="Bookman Old Style" w:eastAsia="Bookman Old Style" w:hAnsi="Bookman Old Style" w:cs="Bookman Old Style"/>
        </w:rPr>
      </w:pPr>
    </w:p>
    <w:p w14:paraId="6AE44EF2"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De conformidad con los preceptos legales, se acredita que compete Instituto de Seguridad Social del Estado de México y Municipios (ISSEMyM), regular el régimen de seguridad social en favor de los servidores públicos del estado y municipios, consecuentemente, el Sujeto Obligado resulta incompetente para tener en sus archivos la información relativa a la opinión de cumplimiento de sus obligaciones fiscales en materia de Seguridad Social” emitida por el Instituto Mexicano del Seguro Social (IMSS). </w:t>
      </w:r>
    </w:p>
    <w:p w14:paraId="53B57F4B" w14:textId="77777777" w:rsidR="00DC1D62" w:rsidRPr="0091592F" w:rsidRDefault="00DC1D62">
      <w:pPr>
        <w:spacing w:line="360" w:lineRule="auto"/>
        <w:jc w:val="both"/>
        <w:rPr>
          <w:rFonts w:ascii="Palatino Linotype" w:eastAsia="Palatino Linotype" w:hAnsi="Palatino Linotype" w:cs="Palatino Linotype"/>
        </w:rPr>
      </w:pPr>
    </w:p>
    <w:p w14:paraId="74E130F1"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Por otra parte, acerca de:</w:t>
      </w:r>
    </w:p>
    <w:p w14:paraId="7E1F7F70" w14:textId="77777777" w:rsidR="00DC1D62" w:rsidRPr="0091592F" w:rsidRDefault="00DC1D62">
      <w:pPr>
        <w:spacing w:line="360" w:lineRule="auto"/>
        <w:jc w:val="both"/>
        <w:rPr>
          <w:rFonts w:ascii="Palatino Linotype" w:eastAsia="Palatino Linotype" w:hAnsi="Palatino Linotype" w:cs="Palatino Linotype"/>
        </w:rPr>
      </w:pPr>
    </w:p>
    <w:p w14:paraId="1968EF7D" w14:textId="77777777" w:rsidR="00DC1D62" w:rsidRPr="0091592F" w:rsidRDefault="001F661C">
      <w:pPr>
        <w:ind w:left="850" w:right="901"/>
        <w:jc w:val="both"/>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 xml:space="preserve"> “la opinión de cumplimiento emitida por el Instituto del Fondo Nacional de la Vivienda para los Trabajadores (INFONAVIT)”</w:t>
      </w:r>
    </w:p>
    <w:p w14:paraId="69B8555D" w14:textId="77777777" w:rsidR="00DC1D62" w:rsidRPr="0091592F" w:rsidRDefault="00DC1D62">
      <w:pPr>
        <w:jc w:val="both"/>
        <w:rPr>
          <w:rFonts w:ascii="Palatino Linotype" w:eastAsia="Palatino Linotype" w:hAnsi="Palatino Linotype" w:cs="Palatino Linotype"/>
          <w:b/>
          <w:i/>
          <w:sz w:val="22"/>
          <w:szCs w:val="22"/>
        </w:rPr>
      </w:pPr>
    </w:p>
    <w:p w14:paraId="5FAFD183"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Considerando que de conformidad con el artículo 123 apartado A, fracción XII de la Constitución Política de los Estados Unidos Mexicanos, el cual establece las bases que rigen las relaciones laborales entre las empresas y los particulares, se cita a continuación, para mayor referencia:</w:t>
      </w:r>
    </w:p>
    <w:p w14:paraId="77056AAC" w14:textId="77777777" w:rsidR="00DC1D62" w:rsidRPr="0091592F" w:rsidRDefault="00DC1D62">
      <w:pPr>
        <w:spacing w:line="360" w:lineRule="auto"/>
        <w:jc w:val="both"/>
        <w:rPr>
          <w:rFonts w:ascii="Palatino Linotype" w:eastAsia="Palatino Linotype" w:hAnsi="Palatino Linotype" w:cs="Palatino Linotype"/>
        </w:rPr>
      </w:pPr>
    </w:p>
    <w:p w14:paraId="25DA51C1" w14:textId="77777777" w:rsidR="00DC1D62" w:rsidRPr="0091592F" w:rsidRDefault="001F661C">
      <w:pPr>
        <w:ind w:left="850" w:right="901"/>
        <w:jc w:val="center"/>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Constitución Política de los Estados Unidos Mexicanos</w:t>
      </w:r>
    </w:p>
    <w:p w14:paraId="437F29F6" w14:textId="77777777" w:rsidR="00DC1D62" w:rsidRPr="0091592F" w:rsidRDefault="00DC1D62">
      <w:pPr>
        <w:ind w:left="850" w:right="901"/>
        <w:jc w:val="both"/>
        <w:rPr>
          <w:rFonts w:ascii="Palatino Linotype" w:eastAsia="Palatino Linotype" w:hAnsi="Palatino Linotype" w:cs="Palatino Linotype"/>
          <w:i/>
          <w:sz w:val="22"/>
          <w:szCs w:val="22"/>
        </w:rPr>
      </w:pPr>
    </w:p>
    <w:p w14:paraId="00799BD6"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lastRenderedPageBreak/>
        <w:t xml:space="preserve">Artículo 123. </w:t>
      </w:r>
      <w:r w:rsidRPr="0091592F">
        <w:rPr>
          <w:rFonts w:ascii="Palatino Linotype" w:eastAsia="Palatino Linotype" w:hAnsi="Palatino Linotype" w:cs="Palatino Linotype"/>
          <w:i/>
          <w:sz w:val="22"/>
          <w:szCs w:val="22"/>
        </w:rPr>
        <w:t>Toda persona tiene derecho al trabajo digno y socialmente útil; al efecto, se promoverán la creación de empleos y la organización social de trabajo, conforme a la ley.</w:t>
      </w:r>
    </w:p>
    <w:p w14:paraId="545C0F92"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El Congreso de la Unión, sin contravenir a las bases siguientes deberá expedir leyes sobre el trabajo, las cuales regirán:</w:t>
      </w:r>
    </w:p>
    <w:p w14:paraId="6ACE4208"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A. </w:t>
      </w:r>
      <w:r w:rsidRPr="0091592F">
        <w:rPr>
          <w:rFonts w:ascii="Palatino Linotype" w:eastAsia="Palatino Linotype" w:hAnsi="Palatino Linotype" w:cs="Palatino Linotype"/>
          <w:i/>
          <w:sz w:val="22"/>
          <w:szCs w:val="22"/>
        </w:rPr>
        <w:t>Entre los obreros, jornaleros, empleados domésticos, artesanos y de una manera general, todo contrato de trabajo:</w:t>
      </w:r>
    </w:p>
    <w:p w14:paraId="05C82B17"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6B29C055"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XII</w:t>
      </w:r>
      <w:r w:rsidRPr="0091592F">
        <w:rPr>
          <w:rFonts w:ascii="Palatino Linotype" w:eastAsia="Palatino Linotype" w:hAnsi="Palatino Linotype" w:cs="Palatino Linotype"/>
          <w:i/>
          <w:sz w:val="22"/>
          <w:szCs w:val="22"/>
        </w:rPr>
        <w:t xml:space="preserve">. Toda empresa agrícola, industrial, minera o de cualquier otra clase de trabajo, estará obligada, según lo determinen las leyes reglamentarias a proporcionar a los trabajadores habitaciones cómodas e higiénicas. </w:t>
      </w:r>
      <w:r w:rsidRPr="0091592F">
        <w:rPr>
          <w:rFonts w:ascii="Palatino Linotype" w:eastAsia="Palatino Linotype" w:hAnsi="Palatino Linotype" w:cs="Palatino Linotype"/>
          <w:i/>
          <w:sz w:val="22"/>
          <w:szCs w:val="22"/>
          <w:u w:val="single"/>
        </w:rPr>
        <w:t>Esta obligación se cumplirá mediante las aportaciones que las empresas hagan a un fondo nacional de la vivienda a fin de constituir depósitos en favor de sus trabajadores</w:t>
      </w:r>
      <w:r w:rsidRPr="0091592F">
        <w:rPr>
          <w:rFonts w:ascii="Palatino Linotype" w:eastAsia="Palatino Linotype" w:hAnsi="Palatino Linotype" w:cs="Palatino Linotype"/>
          <w:i/>
          <w:sz w:val="22"/>
          <w:szCs w:val="22"/>
        </w:rPr>
        <w:t xml:space="preserve"> y establecer un sistema de financiamiento que permita otorgar a éstos crédito barato y suficiente para que adquieran en propiedad tales habitaciones.</w:t>
      </w:r>
    </w:p>
    <w:p w14:paraId="3BC478D0"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u w:val="single"/>
        </w:rPr>
        <w:t>Se considera de utilidad social la expedición de una ley para la creación de un organismo integrado por representantes del Gobierno Federal, de los trabajadores y de los patrones, que administre los recursos del fondo nacional de la vivienda.</w:t>
      </w:r>
      <w:r w:rsidRPr="0091592F">
        <w:rPr>
          <w:rFonts w:ascii="Palatino Linotype" w:eastAsia="Palatino Linotype" w:hAnsi="Palatino Linotype" w:cs="Palatino Linotype"/>
          <w:i/>
          <w:sz w:val="22"/>
          <w:szCs w:val="22"/>
        </w:rPr>
        <w:t xml:space="preserve"> Dicha ley regulará las formas y procedimientos conforme a los cuales los trabajadores podrán adquirir en propiedad las habitaciones antes mencionadas.”</w:t>
      </w:r>
    </w:p>
    <w:p w14:paraId="7B5B87D2" w14:textId="77777777" w:rsidR="00DC1D62" w:rsidRPr="0091592F" w:rsidRDefault="001F661C">
      <w:pPr>
        <w:ind w:left="850" w:right="901"/>
        <w:rPr>
          <w:rFonts w:ascii="Palatino Linotype" w:eastAsia="Palatino Linotype" w:hAnsi="Palatino Linotype" w:cs="Palatino Linotype"/>
          <w:sz w:val="22"/>
          <w:szCs w:val="22"/>
        </w:rPr>
      </w:pPr>
      <w:r w:rsidRPr="0091592F">
        <w:rPr>
          <w:rFonts w:ascii="Palatino Linotype" w:eastAsia="Palatino Linotype" w:hAnsi="Palatino Linotype" w:cs="Palatino Linotype"/>
          <w:sz w:val="22"/>
          <w:szCs w:val="22"/>
        </w:rPr>
        <w:t>(Énfasis añadido)</w:t>
      </w:r>
    </w:p>
    <w:p w14:paraId="01766F57" w14:textId="77777777" w:rsidR="00DC1D62" w:rsidRPr="0091592F" w:rsidRDefault="00DC1D62">
      <w:pPr>
        <w:spacing w:line="360" w:lineRule="auto"/>
        <w:jc w:val="both"/>
        <w:rPr>
          <w:rFonts w:ascii="Palatino Linotype" w:eastAsia="Palatino Linotype" w:hAnsi="Palatino Linotype" w:cs="Palatino Linotype"/>
        </w:rPr>
      </w:pPr>
    </w:p>
    <w:p w14:paraId="379A0D62"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Precepto legal que concatenado con el contenido de los artículos 2 y 3 de Ley del Instituto del Fondo Nacional de la Vivienda para los Trabajadores, que establece a dicho Instituto como el organismo de servicio social con personalidad jurídica y patrimonio propio, cuyos objetivos son entre otros, administrar los recursos del Fondo Nacional de Vivienda, se cita para mayor referencia:</w:t>
      </w:r>
    </w:p>
    <w:p w14:paraId="2C004BF6" w14:textId="77777777" w:rsidR="00DC1D62" w:rsidRPr="0091592F" w:rsidRDefault="00DC1D62">
      <w:pPr>
        <w:ind w:left="567" w:right="567"/>
        <w:jc w:val="both"/>
        <w:rPr>
          <w:rFonts w:ascii="Palatino Linotype" w:eastAsia="Palatino Linotype" w:hAnsi="Palatino Linotype" w:cs="Palatino Linotype"/>
          <w:i/>
        </w:rPr>
      </w:pPr>
    </w:p>
    <w:p w14:paraId="226ED5C4" w14:textId="77777777" w:rsidR="00DC1D62" w:rsidRPr="0091592F" w:rsidRDefault="001F661C">
      <w:pPr>
        <w:ind w:left="850" w:right="901"/>
        <w:jc w:val="center"/>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Ley del Instituto del Fondo Nacional de la Vivienda para los Trabajadores</w:t>
      </w:r>
    </w:p>
    <w:p w14:paraId="110B78ED" w14:textId="77777777" w:rsidR="00DC1D62" w:rsidRPr="0091592F" w:rsidRDefault="00DC1D62">
      <w:pPr>
        <w:ind w:left="850" w:right="901"/>
        <w:jc w:val="both"/>
        <w:rPr>
          <w:rFonts w:ascii="Palatino Linotype" w:eastAsia="Palatino Linotype" w:hAnsi="Palatino Linotype" w:cs="Palatino Linotype"/>
          <w:i/>
          <w:sz w:val="22"/>
          <w:szCs w:val="22"/>
        </w:rPr>
      </w:pPr>
    </w:p>
    <w:p w14:paraId="002AE2D6"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Artículo 3o.-</w:t>
      </w:r>
      <w:r w:rsidRPr="0091592F">
        <w:rPr>
          <w:rFonts w:ascii="Palatino Linotype" w:eastAsia="Palatino Linotype" w:hAnsi="Palatino Linotype" w:cs="Palatino Linotype"/>
          <w:i/>
          <w:sz w:val="22"/>
          <w:szCs w:val="22"/>
        </w:rPr>
        <w:t xml:space="preserve"> El Instituto tiene por objeto:</w:t>
      </w:r>
    </w:p>
    <w:p w14:paraId="084CCAD7"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 Administrar los recursos del Fondo Nacional de la Vivienda;</w:t>
      </w:r>
    </w:p>
    <w:p w14:paraId="050E5C33"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lastRenderedPageBreak/>
        <w:t>II.- Establecer y operar un sistema de financiamiento que permita a los trabajadores obtener crédito barato y suficiente para:</w:t>
      </w:r>
    </w:p>
    <w:p w14:paraId="12F3B3F6"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a).- La adquisición en propiedad de habitaciones cómodas e higiénicas,</w:t>
      </w:r>
    </w:p>
    <w:p w14:paraId="2A4BABB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b).- La construcción, reparación, ampliación o mejoramiento de sus habitaciones, y</w:t>
      </w:r>
    </w:p>
    <w:p w14:paraId="3407DCD5"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c).- El pago de pasivos contraídos por los conceptos anteriores;</w:t>
      </w:r>
    </w:p>
    <w:p w14:paraId="2CAF9E30"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d).- La adquisición en propiedad de suelo destinado para la construcción de sus habitaciones;</w:t>
      </w:r>
    </w:p>
    <w:p w14:paraId="685463DD"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III.- Coordinar y financiar programas de construcción de habitaciones destinadas a ser adquiridas en propiedad por los trabajadores; y</w:t>
      </w:r>
    </w:p>
    <w:p w14:paraId="0887F99E"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IV.- Lo demás a que se refiere la fracción XII del Apartado A del Artículo 123 Constitucional y el</w:t>
      </w:r>
    </w:p>
    <w:p w14:paraId="637FDE30"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Título Cuarto, Capítulo III de la Ley Federal del Trabajo, así como lo que esta ley establece.</w:t>
      </w:r>
    </w:p>
    <w:p w14:paraId="3B7BD5B1" w14:textId="77777777" w:rsidR="00DC1D62" w:rsidRPr="0091592F" w:rsidRDefault="00DC1D62">
      <w:pPr>
        <w:spacing w:line="360" w:lineRule="auto"/>
        <w:jc w:val="both"/>
        <w:rPr>
          <w:rFonts w:ascii="Palatino Linotype" w:eastAsia="Palatino Linotype" w:hAnsi="Palatino Linotype" w:cs="Palatino Linotype"/>
        </w:rPr>
      </w:pPr>
    </w:p>
    <w:p w14:paraId="18C1C39D"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De los preceptos de Ley citados, podemos concluir que lo relativo al Fondo Nacional de Vivienda, se encuentra únicamente contemplado en las relaciones laborales entre particulares (privados), por lo que la opinión de cumplimiento del </w:t>
      </w:r>
      <w:r w:rsidRPr="0091592F">
        <w:rPr>
          <w:rFonts w:ascii="Palatino Linotype" w:eastAsia="Palatino Linotype" w:hAnsi="Palatino Linotype" w:cs="Palatino Linotype"/>
          <w:b/>
        </w:rPr>
        <w:t>INFONAVIT</w:t>
      </w:r>
      <w:r w:rsidRPr="0091592F">
        <w:rPr>
          <w:rFonts w:ascii="Palatino Linotype" w:eastAsia="Palatino Linotype" w:hAnsi="Palatino Linotype" w:cs="Palatino Linotype"/>
        </w:rPr>
        <w:t>, (correctamente denominada Constancia de Situación Fiscal de las obligaciones patronales), únicamente es requerida y exigible a los Patrones del régimen laboral entre particulares, por lo que al peticionar la entrega de la misma, a Entes de Gobierno, no resulta procedente.</w:t>
      </w:r>
    </w:p>
    <w:p w14:paraId="5C7A2F7B" w14:textId="77777777" w:rsidR="00DC1D62" w:rsidRPr="0091592F" w:rsidRDefault="00DC1D62">
      <w:pPr>
        <w:spacing w:line="360" w:lineRule="auto"/>
        <w:jc w:val="both"/>
        <w:rPr>
          <w:rFonts w:ascii="Palatino Linotype" w:eastAsia="Palatino Linotype" w:hAnsi="Palatino Linotype" w:cs="Palatino Linotype"/>
        </w:rPr>
      </w:pPr>
    </w:p>
    <w:p w14:paraId="567C6C88"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No obstante; </w:t>
      </w:r>
      <w:r w:rsidRPr="0091592F">
        <w:rPr>
          <w:rFonts w:ascii="Palatino Linotype" w:eastAsia="Palatino Linotype" w:hAnsi="Palatino Linotype" w:cs="Palatino Linotype"/>
          <w:b/>
        </w:rPr>
        <w:t xml:space="preserve">EL SUJETO OBLIGADO </w:t>
      </w:r>
      <w:r w:rsidRPr="0091592F">
        <w:rPr>
          <w:rFonts w:ascii="Palatino Linotype" w:eastAsia="Palatino Linotype" w:hAnsi="Palatino Linotype" w:cs="Palatino Linotype"/>
        </w:rPr>
        <w:t>no</w:t>
      </w:r>
      <w:r w:rsidRPr="0091592F">
        <w:rPr>
          <w:rFonts w:ascii="Palatino Linotype" w:eastAsia="Palatino Linotype" w:hAnsi="Palatino Linotype" w:cs="Palatino Linotype"/>
          <w:b/>
        </w:rPr>
        <w:t xml:space="preserve"> </w:t>
      </w:r>
      <w:r w:rsidRPr="0091592F">
        <w:rPr>
          <w:rFonts w:ascii="Palatino Linotype" w:eastAsia="Palatino Linotype" w:hAnsi="Palatino Linotype" w:cs="Palatino Linotype"/>
        </w:rPr>
        <w:t>emitió un pronunciamiento al respecto, de conformidad con lo establecido en el artículo 167</w:t>
      </w:r>
      <w:r w:rsidRPr="0091592F">
        <w:rPr>
          <w:rFonts w:ascii="Palatino Linotype" w:eastAsia="Palatino Linotype" w:hAnsi="Palatino Linotype" w:cs="Palatino Linotype"/>
          <w:vertAlign w:val="superscript"/>
        </w:rPr>
        <w:footnoteReference w:id="1"/>
      </w:r>
      <w:r w:rsidRPr="0091592F">
        <w:rPr>
          <w:rFonts w:ascii="Palatino Linotype" w:eastAsia="Palatino Linotype" w:hAnsi="Palatino Linotype" w:cs="Palatino Linotype"/>
        </w:rPr>
        <w:t xml:space="preserve">, de la Ley de Transparencia y </w:t>
      </w:r>
      <w:r w:rsidRPr="0091592F">
        <w:rPr>
          <w:rFonts w:ascii="Palatino Linotype" w:eastAsia="Palatino Linotype" w:hAnsi="Palatino Linotype" w:cs="Palatino Linotype"/>
        </w:rPr>
        <w:lastRenderedPageBreak/>
        <w:t xml:space="preserve">Acceso a la Información Pública, que indica que cuando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sea incompetente para dar contestación a la solicitud de información deberá notificar al particular y de ser el caso orientarlo con el Sujeto Obligado competente; por ello, dicha incompetencia tiene que ser aprobada por el Comité de Transparencia del </w:t>
      </w:r>
      <w:r w:rsidRPr="0091592F">
        <w:rPr>
          <w:rFonts w:ascii="Palatino Linotype" w:eastAsia="Palatino Linotype" w:hAnsi="Palatino Linotype" w:cs="Palatino Linotype"/>
          <w:b/>
        </w:rPr>
        <w:t>SUJETO OBLIGADO</w:t>
      </w:r>
      <w:r w:rsidRPr="0091592F">
        <w:rPr>
          <w:rFonts w:ascii="Palatino Linotype" w:eastAsia="Palatino Linotype" w:hAnsi="Palatino Linotype" w:cs="Palatino Linotype"/>
        </w:rPr>
        <w:t xml:space="preserve"> en términos del artículo 49, fracciones I y II de la Ley de la materia, que literalmente señala:</w:t>
      </w:r>
    </w:p>
    <w:p w14:paraId="7E5C77FE" w14:textId="77777777" w:rsidR="00DC1D62" w:rsidRPr="0091592F" w:rsidRDefault="00DC1D62">
      <w:pPr>
        <w:ind w:left="709" w:right="757"/>
        <w:jc w:val="both"/>
        <w:rPr>
          <w:rFonts w:ascii="Palatino Linotype" w:eastAsia="Palatino Linotype" w:hAnsi="Palatino Linotype" w:cs="Palatino Linotype"/>
          <w:i/>
          <w:sz w:val="22"/>
          <w:szCs w:val="22"/>
        </w:rPr>
      </w:pPr>
    </w:p>
    <w:p w14:paraId="3C743C44" w14:textId="77777777" w:rsidR="00DC1D62" w:rsidRPr="0091592F" w:rsidRDefault="001F661C">
      <w:pPr>
        <w:ind w:left="709" w:right="757"/>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Artículo 49</w:t>
      </w:r>
      <w:r w:rsidRPr="0091592F">
        <w:rPr>
          <w:rFonts w:ascii="Palatino Linotype" w:eastAsia="Palatino Linotype" w:hAnsi="Palatino Linotype" w:cs="Palatino Linotype"/>
          <w:i/>
          <w:sz w:val="22"/>
          <w:szCs w:val="22"/>
        </w:rPr>
        <w:t>. Los Comités de Transparencia tendrán las siguientes atribuciones:</w:t>
      </w:r>
    </w:p>
    <w:p w14:paraId="5238D33F" w14:textId="77777777" w:rsidR="00DC1D62" w:rsidRPr="0091592F" w:rsidRDefault="00DC1D62">
      <w:pPr>
        <w:ind w:left="709" w:right="757"/>
        <w:jc w:val="both"/>
        <w:rPr>
          <w:rFonts w:ascii="Palatino Linotype" w:eastAsia="Palatino Linotype" w:hAnsi="Palatino Linotype" w:cs="Palatino Linotype"/>
          <w:i/>
          <w:sz w:val="22"/>
          <w:szCs w:val="22"/>
        </w:rPr>
      </w:pPr>
    </w:p>
    <w:p w14:paraId="690CE9DB" w14:textId="77777777" w:rsidR="00DC1D62" w:rsidRPr="0091592F" w:rsidRDefault="001F661C">
      <w:pPr>
        <w:ind w:left="709" w:right="757"/>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I. </w:t>
      </w:r>
      <w:r w:rsidRPr="0091592F">
        <w:rPr>
          <w:rFonts w:ascii="Palatino Linotype" w:eastAsia="Palatino Linotype" w:hAnsi="Palatino Linotype" w:cs="Palatino Linotype"/>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2F746BD3" w14:textId="77777777" w:rsidR="00DC1D62" w:rsidRPr="0091592F" w:rsidRDefault="001F661C">
      <w:pPr>
        <w:numPr>
          <w:ilvl w:val="0"/>
          <w:numId w:val="1"/>
        </w:numPr>
        <w:ind w:right="757"/>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20593B65" w14:textId="77777777" w:rsidR="00DC1D62" w:rsidRPr="0091592F" w:rsidRDefault="001F661C">
      <w:pPr>
        <w:ind w:left="709" w:right="757"/>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II</w:t>
      </w:r>
      <w:r w:rsidRPr="0091592F">
        <w:rPr>
          <w:rFonts w:ascii="Palatino Linotype" w:eastAsia="Palatino Linotype" w:hAnsi="Palatino Linotype" w:cs="Palatino Linotype"/>
          <w:i/>
          <w:sz w:val="22"/>
          <w:szCs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1A485EF2" w14:textId="77777777" w:rsidR="00DC1D62" w:rsidRPr="0091592F" w:rsidRDefault="00DC1D62">
      <w:pPr>
        <w:spacing w:line="360" w:lineRule="auto"/>
        <w:jc w:val="both"/>
        <w:rPr>
          <w:rFonts w:ascii="Palatino Linotype" w:eastAsia="Palatino Linotype" w:hAnsi="Palatino Linotype" w:cs="Palatino Linotype"/>
          <w:sz w:val="22"/>
          <w:szCs w:val="22"/>
        </w:rPr>
      </w:pPr>
    </w:p>
    <w:p w14:paraId="656F27CE" w14:textId="77777777" w:rsidR="00DC1D62" w:rsidRPr="0091592F" w:rsidRDefault="001F661C">
      <w:pPr>
        <w:spacing w:line="360" w:lineRule="auto"/>
        <w:jc w:val="both"/>
        <w:rPr>
          <w:rFonts w:ascii="Palatino Linotype" w:eastAsia="Palatino Linotype" w:hAnsi="Palatino Linotype" w:cs="Palatino Linotype"/>
        </w:rPr>
      </w:pPr>
      <w:bookmarkStart w:id="6" w:name="_heading=h.3rdcrjn" w:colFirst="0" w:colLast="0"/>
      <w:bookmarkEnd w:id="6"/>
      <w:r w:rsidRPr="0091592F">
        <w:rPr>
          <w:rFonts w:ascii="Palatino Linotype" w:eastAsia="Palatino Linotype" w:hAnsi="Palatino Linotype" w:cs="Palatino Linotype"/>
        </w:rPr>
        <w:t xml:space="preserve">Así pues,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no tiene competencia para administrar, generar o poseer la información en estudio</w:t>
      </w:r>
    </w:p>
    <w:p w14:paraId="7456E505" w14:textId="77777777" w:rsidR="00DC1D62" w:rsidRPr="0091592F" w:rsidRDefault="00DC1D62">
      <w:pPr>
        <w:spacing w:line="360" w:lineRule="auto"/>
        <w:jc w:val="both"/>
        <w:rPr>
          <w:rFonts w:ascii="Palatino Linotype" w:eastAsia="Palatino Linotype" w:hAnsi="Palatino Linotype" w:cs="Palatino Linotype"/>
        </w:rPr>
      </w:pPr>
      <w:bookmarkStart w:id="7" w:name="_heading=h.yw8l9zlo9y9t" w:colFirst="0" w:colLast="0"/>
      <w:bookmarkEnd w:id="7"/>
    </w:p>
    <w:p w14:paraId="449CF331" w14:textId="77777777" w:rsidR="00DC1D62" w:rsidRPr="0091592F" w:rsidRDefault="001F661C">
      <w:pPr>
        <w:spacing w:line="360" w:lineRule="auto"/>
        <w:jc w:val="both"/>
        <w:rPr>
          <w:rFonts w:ascii="Palatino Linotype" w:eastAsia="Palatino Linotype" w:hAnsi="Palatino Linotype" w:cs="Palatino Linotype"/>
        </w:rPr>
      </w:pPr>
      <w:bookmarkStart w:id="8" w:name="_heading=h.6c4wfq8j91ph" w:colFirst="0" w:colLast="0"/>
      <w:bookmarkEnd w:id="8"/>
      <w:r w:rsidRPr="0091592F">
        <w:rPr>
          <w:rFonts w:ascii="Palatino Linotype" w:eastAsia="Palatino Linotype" w:hAnsi="Palatino Linotype" w:cs="Palatino Linotype"/>
        </w:rPr>
        <w:t>Por consiguiente, en relación a:</w:t>
      </w:r>
    </w:p>
    <w:p w14:paraId="542A7ABD" w14:textId="77777777" w:rsidR="00DC1D62" w:rsidRPr="0091592F" w:rsidRDefault="00DC1D62">
      <w:pPr>
        <w:spacing w:line="360" w:lineRule="auto"/>
        <w:jc w:val="both"/>
        <w:rPr>
          <w:rFonts w:ascii="Palatino Linotype" w:eastAsia="Palatino Linotype" w:hAnsi="Palatino Linotype" w:cs="Palatino Linotype"/>
        </w:rPr>
      </w:pPr>
    </w:p>
    <w:p w14:paraId="7CB379A0"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 Reportes del aplicativo “Visor de nómina del SAT” por los años 2018, 2019, 2020, y 2021 en sus tres presentaciones:</w:t>
      </w:r>
    </w:p>
    <w:p w14:paraId="0C4DEE95" w14:textId="77777777" w:rsidR="00DC1D62" w:rsidRPr="0091592F" w:rsidRDefault="00DC1D62">
      <w:pPr>
        <w:ind w:left="850" w:right="901"/>
        <w:jc w:val="both"/>
        <w:rPr>
          <w:rFonts w:ascii="Palatino Linotype" w:eastAsia="Palatino Linotype" w:hAnsi="Palatino Linotype" w:cs="Palatino Linotype"/>
          <w:i/>
          <w:sz w:val="22"/>
          <w:szCs w:val="22"/>
        </w:rPr>
      </w:pPr>
    </w:p>
    <w:p w14:paraId="24C67C8F"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a) Vista anual acumulada.</w:t>
      </w:r>
    </w:p>
    <w:p w14:paraId="6DA536CA"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lastRenderedPageBreak/>
        <w:t>b) Detalle mensual.</w:t>
      </w:r>
    </w:p>
    <w:p w14:paraId="7633D01A"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c) Detalle diferencias sueldos y salarios” (Sic)</w:t>
      </w:r>
    </w:p>
    <w:p w14:paraId="3CC364DD" w14:textId="77777777" w:rsidR="00DC1D62" w:rsidRPr="0091592F" w:rsidRDefault="00DC1D62">
      <w:pPr>
        <w:spacing w:line="360" w:lineRule="auto"/>
        <w:jc w:val="both"/>
        <w:rPr>
          <w:rFonts w:ascii="Palatino Linotype" w:eastAsia="Palatino Linotype" w:hAnsi="Palatino Linotype" w:cs="Palatino Linotype"/>
        </w:rPr>
      </w:pPr>
    </w:p>
    <w:p w14:paraId="2F015006"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Se advierte que,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se encuentra constreñido a cumplir con las disposiciones tributarias con el fin de dar cumplimiento, generar y proporcionar la información necesaria para dar atención a las políticas tributarias; por ello, que el patrón se podrá deducir las erogaciones por concepto de remuneración, las retenciones correspondientes y las deducciones del impuesto local por salarios y en general, de conformidad con lo establecido en el artículo 27, fracción V 96, 97 y 99, fracciones I y III, de la Ley del Impuesto sobre la Renta, que a la letra dicen:</w:t>
      </w:r>
    </w:p>
    <w:p w14:paraId="6067B292" w14:textId="77777777" w:rsidR="00DC1D62" w:rsidRPr="0091592F" w:rsidRDefault="00DC1D62">
      <w:pPr>
        <w:spacing w:line="360" w:lineRule="auto"/>
        <w:jc w:val="both"/>
        <w:rPr>
          <w:rFonts w:ascii="Palatino Linotype" w:eastAsia="Palatino Linotype" w:hAnsi="Palatino Linotype" w:cs="Palatino Linotype"/>
        </w:rPr>
      </w:pPr>
    </w:p>
    <w:p w14:paraId="053A7451"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La mencionada herramienta que es ofrecida por el Servicio de Administración Tributaria (SAT), a los contribuyentes, a efecto que se dé cumplimiento a los artículos 27, fracción V, 96, 97 y 99, fracciones I y III de la Ley del Impuesto Sobre la Renta, los cuales para mayor referencia se procede a citar a continuación:</w:t>
      </w:r>
    </w:p>
    <w:p w14:paraId="2E8D02C5" w14:textId="77777777" w:rsidR="00DC1D62" w:rsidRPr="0091592F" w:rsidRDefault="00DC1D62">
      <w:pPr>
        <w:spacing w:line="360" w:lineRule="auto"/>
        <w:jc w:val="both"/>
        <w:rPr>
          <w:rFonts w:ascii="Palatino Linotype" w:eastAsia="Palatino Linotype" w:hAnsi="Palatino Linotype" w:cs="Palatino Linotype"/>
        </w:rPr>
      </w:pPr>
    </w:p>
    <w:p w14:paraId="72B01402"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Artículo 27.</w:t>
      </w:r>
      <w:r w:rsidRPr="0091592F">
        <w:rPr>
          <w:rFonts w:ascii="Palatino Linotype" w:eastAsia="Palatino Linotype" w:hAnsi="Palatino Linotype" w:cs="Palatino Linotype"/>
          <w:i/>
          <w:sz w:val="22"/>
          <w:szCs w:val="22"/>
        </w:rPr>
        <w:t xml:space="preserve"> Las deducciones autorizadas en este Título deberán reunir los siguientes requisitos:</w:t>
      </w:r>
    </w:p>
    <w:p w14:paraId="67FC85C3"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5DA47F8D"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p>
    <w:p w14:paraId="0ABE2BC7" w14:textId="77777777" w:rsidR="00DC1D62" w:rsidRPr="0091592F" w:rsidRDefault="00DC1D62">
      <w:pPr>
        <w:ind w:left="850" w:right="901"/>
        <w:jc w:val="both"/>
        <w:rPr>
          <w:rFonts w:ascii="Palatino Linotype" w:eastAsia="Palatino Linotype" w:hAnsi="Palatino Linotype" w:cs="Palatino Linotype"/>
          <w:i/>
          <w:sz w:val="22"/>
          <w:szCs w:val="22"/>
        </w:rPr>
      </w:pPr>
    </w:p>
    <w:p w14:paraId="3CA225D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Los pagos que a la vez sean ingresos en los términos del Capítulo I del Título IV, de esta Ley, se podrán deducir siempre que las erogaciones por concepto de </w:t>
      </w:r>
      <w:r w:rsidRPr="0091592F">
        <w:rPr>
          <w:rFonts w:ascii="Palatino Linotype" w:eastAsia="Palatino Linotype" w:hAnsi="Palatino Linotype" w:cs="Palatino Linotype"/>
          <w:i/>
          <w:sz w:val="22"/>
          <w:szCs w:val="22"/>
        </w:rPr>
        <w:lastRenderedPageBreak/>
        <w:t>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3391A96E" w14:textId="77777777" w:rsidR="00DC1D62" w:rsidRPr="0091592F" w:rsidRDefault="00DC1D62">
      <w:pPr>
        <w:ind w:left="850" w:right="901"/>
        <w:jc w:val="both"/>
        <w:rPr>
          <w:rFonts w:ascii="Palatino Linotype" w:eastAsia="Palatino Linotype" w:hAnsi="Palatino Linotype" w:cs="Palatino Linotype"/>
          <w:i/>
          <w:sz w:val="22"/>
          <w:szCs w:val="22"/>
        </w:rPr>
      </w:pPr>
    </w:p>
    <w:p w14:paraId="761DA704"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6A9D3E49" w14:textId="77777777" w:rsidR="00DC1D62" w:rsidRPr="0091592F" w:rsidRDefault="00DC1D62">
      <w:pPr>
        <w:ind w:left="850" w:right="901"/>
        <w:jc w:val="both"/>
        <w:rPr>
          <w:rFonts w:ascii="Palatino Linotype" w:eastAsia="Palatino Linotype" w:hAnsi="Palatino Linotype" w:cs="Palatino Linotype"/>
          <w:i/>
          <w:sz w:val="22"/>
          <w:szCs w:val="22"/>
        </w:rPr>
      </w:pPr>
    </w:p>
    <w:p w14:paraId="2D6B5DD9"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Artículo 96.</w:t>
      </w:r>
      <w:r w:rsidRPr="0091592F">
        <w:rPr>
          <w:rFonts w:ascii="Palatino Linotype" w:eastAsia="Palatino Linotype" w:hAnsi="Palatino Linotype" w:cs="Palatino Linotype"/>
          <w:i/>
          <w:sz w:val="22"/>
          <w:szCs w:val="22"/>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0AFC13D2"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0391056E" w14:textId="77777777" w:rsidR="00DC1D62" w:rsidRPr="0091592F" w:rsidRDefault="00DC1D62">
      <w:pPr>
        <w:ind w:left="850" w:right="901"/>
        <w:jc w:val="both"/>
        <w:rPr>
          <w:rFonts w:ascii="Palatino Linotype" w:eastAsia="Palatino Linotype" w:hAnsi="Palatino Linotype" w:cs="Palatino Linotype"/>
          <w:i/>
          <w:sz w:val="22"/>
          <w:szCs w:val="22"/>
        </w:rPr>
      </w:pPr>
    </w:p>
    <w:p w14:paraId="6D8A11E4"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Artículo 97.</w:t>
      </w:r>
      <w:r w:rsidRPr="0091592F">
        <w:rPr>
          <w:rFonts w:ascii="Palatino Linotype" w:eastAsia="Palatino Linotype" w:hAnsi="Palatino Linotype" w:cs="Palatino Linotype"/>
          <w:i/>
          <w:sz w:val="22"/>
          <w:szCs w:val="22"/>
        </w:rPr>
        <w:t xml:space="preserve"> Las personas obligadas a efectuar retenciones en los términos del artículo 96 de esta Ley, calcularán el impuesto anual de cada persona que le hubiere prestado servicios personales subordinados.</w:t>
      </w:r>
    </w:p>
    <w:p w14:paraId="64DD5C39"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1B27F56A" w14:textId="77777777" w:rsidR="00DC1D62" w:rsidRPr="0091592F" w:rsidRDefault="00DC1D62">
      <w:pPr>
        <w:ind w:left="850" w:right="901"/>
        <w:jc w:val="both"/>
        <w:rPr>
          <w:rFonts w:ascii="Palatino Linotype" w:eastAsia="Palatino Linotype" w:hAnsi="Palatino Linotype" w:cs="Palatino Linotype"/>
          <w:i/>
          <w:sz w:val="22"/>
          <w:szCs w:val="22"/>
        </w:rPr>
      </w:pPr>
    </w:p>
    <w:p w14:paraId="66FE9CE7"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lastRenderedPageBreak/>
        <w:t>Artículo 99.</w:t>
      </w:r>
      <w:r w:rsidRPr="0091592F">
        <w:rPr>
          <w:rFonts w:ascii="Palatino Linotype" w:eastAsia="Palatino Linotype" w:hAnsi="Palatino Linotype" w:cs="Palatino Linotype"/>
          <w:i/>
          <w:sz w:val="22"/>
          <w:szCs w:val="22"/>
        </w:rPr>
        <w:t xml:space="preserve"> Quienes hagan pagos por los conceptos a que se refiere este Capítulo, tendrán las siguientes obligaciones:</w:t>
      </w:r>
    </w:p>
    <w:p w14:paraId="50D62900"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I. </w:t>
      </w:r>
      <w:r w:rsidRPr="0091592F">
        <w:rPr>
          <w:rFonts w:ascii="Palatino Linotype" w:eastAsia="Palatino Linotype" w:hAnsi="Palatino Linotype" w:cs="Palatino Linotype"/>
          <w:i/>
          <w:sz w:val="22"/>
          <w:szCs w:val="22"/>
        </w:rPr>
        <w:t>Efectuar las retenciones señaladas en el artículo 96 de esta Ley.</w:t>
      </w:r>
    </w:p>
    <w:p w14:paraId="42EFD219"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II.</w:t>
      </w:r>
      <w:r w:rsidRPr="0091592F">
        <w:rPr>
          <w:rFonts w:ascii="Palatino Linotype" w:eastAsia="Palatino Linotype" w:hAnsi="Palatino Linotype" w:cs="Palatino Linotype"/>
          <w:i/>
          <w:sz w:val="22"/>
          <w:szCs w:val="22"/>
        </w:rPr>
        <w:t xml:space="preserve"> Calcular el impuesto anual de las personas que les hubieren prestado servicios subordinados, en los términos del artículo 97 de esta Ley.</w:t>
      </w:r>
    </w:p>
    <w:p w14:paraId="055BCE8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III.</w:t>
      </w:r>
      <w:r w:rsidRPr="0091592F">
        <w:rPr>
          <w:rFonts w:ascii="Palatino Linotype" w:eastAsia="Palatino Linotype" w:hAnsi="Palatino Linotype" w:cs="Palatino Linotype"/>
          <w:i/>
          <w:sz w:val="22"/>
          <w:szCs w:val="22"/>
        </w:rPr>
        <w:t xml:space="preserve">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2E0F6C96"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IV. </w:t>
      </w:r>
      <w:r w:rsidRPr="0091592F">
        <w:rPr>
          <w:rFonts w:ascii="Palatino Linotype" w:eastAsia="Palatino Linotype" w:hAnsi="Palatino Linotype" w:cs="Palatino Linotype"/>
          <w:i/>
          <w:sz w:val="22"/>
          <w:szCs w:val="22"/>
        </w:rPr>
        <w:t>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20C571EA"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51AFD30E"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V.</w:t>
      </w:r>
      <w:r w:rsidRPr="0091592F">
        <w:rPr>
          <w:rFonts w:ascii="Palatino Linotype" w:eastAsia="Palatino Linotype" w:hAnsi="Palatino Linotype" w:cs="Palatino Linotype"/>
          <w:i/>
          <w:sz w:val="22"/>
          <w:szCs w:val="22"/>
        </w:rPr>
        <w:t xml:space="preserve">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14:paraId="6140B100"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VI.</w:t>
      </w:r>
      <w:r w:rsidRPr="0091592F">
        <w:rPr>
          <w:rFonts w:ascii="Palatino Linotype" w:eastAsia="Palatino Linotype" w:hAnsi="Palatino Linotype" w:cs="Palatino Linotype"/>
          <w:i/>
          <w:sz w:val="22"/>
          <w:szCs w:val="22"/>
        </w:rPr>
        <w:t xml:space="preserve">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09D342F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VII. </w:t>
      </w:r>
      <w:r w:rsidRPr="0091592F">
        <w:rPr>
          <w:rFonts w:ascii="Palatino Linotype" w:eastAsia="Palatino Linotype" w:hAnsi="Palatino Linotype" w:cs="Palatino Linotype"/>
          <w:i/>
          <w:sz w:val="22"/>
          <w:szCs w:val="22"/>
        </w:rPr>
        <w:t>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08BBC749"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lastRenderedPageBreak/>
        <w:t>Quedan exceptuados de las obligaciones señaladas en este artículo, los organismos internacionales cuando así lo establezcan los tratados o convenios respectivos, y los estados extranjeros.”</w:t>
      </w:r>
    </w:p>
    <w:p w14:paraId="26D8E3AF" w14:textId="77777777" w:rsidR="00DC1D62" w:rsidRPr="0091592F" w:rsidRDefault="00DC1D62">
      <w:pPr>
        <w:spacing w:line="360" w:lineRule="auto"/>
        <w:ind w:left="850" w:right="901"/>
        <w:jc w:val="both"/>
        <w:rPr>
          <w:rFonts w:ascii="Palatino Linotype" w:eastAsia="Palatino Linotype" w:hAnsi="Palatino Linotype" w:cs="Palatino Linotype"/>
        </w:rPr>
      </w:pPr>
    </w:p>
    <w:p w14:paraId="69A371D6"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De lo anterior, se denota que el patrón podrá expedir y entregar comprobantes fiscales a las personas que reciban pagos por los conceptos de remuneraciones, a su vez, este podrá tener acceso al “Visor de comprobantes de nómina para el patrón”, documentos donde se pueden consultar los pagos de los trabajadores de forma acumulada, por mensual y diferencias de sueldos; es necesario precisar que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al realizar el pago de sueldos podrá acceder a la información el sitio oficial del Servicio de Administración Tributaria (SAT), en la dirección electrónica IP </w:t>
      </w:r>
      <w:hyperlink r:id="rId14">
        <w:r w:rsidRPr="0091592F">
          <w:rPr>
            <w:rFonts w:ascii="Palatino Linotype" w:eastAsia="Palatino Linotype" w:hAnsi="Palatino Linotype" w:cs="Palatino Linotype"/>
            <w:color w:val="035899"/>
          </w:rPr>
          <w:t>https://www.sat.gob.mx/declaracion/90887/consulta-el-visor-de-comprobantes-de-nomina-para-el-patron-</w:t>
        </w:r>
      </w:hyperlink>
      <w:r w:rsidRPr="0091592F">
        <w:rPr>
          <w:rFonts w:ascii="Palatino Linotype" w:eastAsia="Palatino Linotype" w:hAnsi="Palatino Linotype" w:cs="Palatino Linotype"/>
        </w:rPr>
        <w:t xml:space="preserve">, donde se dan los pasos a seguir para iniciar la consulta, tal y como se muestra en las siguientes capturas de pantalla: </w:t>
      </w:r>
    </w:p>
    <w:p w14:paraId="3E530099" w14:textId="77777777" w:rsidR="00DC1D62" w:rsidRPr="0091592F" w:rsidRDefault="00DC1D62">
      <w:pPr>
        <w:spacing w:line="360" w:lineRule="auto"/>
        <w:jc w:val="both"/>
        <w:rPr>
          <w:rFonts w:ascii="Palatino Linotype" w:eastAsia="Palatino Linotype" w:hAnsi="Palatino Linotype" w:cs="Palatino Linotype"/>
        </w:rPr>
      </w:pPr>
    </w:p>
    <w:p w14:paraId="114ACFF7" w14:textId="77777777" w:rsidR="00DC1D62" w:rsidRPr="0091592F" w:rsidRDefault="001F661C">
      <w:pPr>
        <w:spacing w:line="360" w:lineRule="auto"/>
        <w:jc w:val="center"/>
        <w:rPr>
          <w:rFonts w:ascii="Palatino Linotype" w:eastAsia="Palatino Linotype" w:hAnsi="Palatino Linotype" w:cs="Palatino Linotype"/>
        </w:rPr>
      </w:pPr>
      <w:r w:rsidRPr="0091592F">
        <w:rPr>
          <w:rFonts w:ascii="Palatino Linotype" w:eastAsia="Palatino Linotype" w:hAnsi="Palatino Linotype" w:cs="Palatino Linotype"/>
          <w:noProof/>
          <w:lang w:eastAsia="es-MX"/>
        </w:rPr>
        <w:lastRenderedPageBreak/>
        <w:drawing>
          <wp:inline distT="0" distB="0" distL="0" distR="0" wp14:anchorId="79341933" wp14:editId="5EB7AA5E">
            <wp:extent cx="4641215" cy="5063490"/>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641215" cy="5063490"/>
                    </a:xfrm>
                    <a:prstGeom prst="rect">
                      <a:avLst/>
                    </a:prstGeom>
                    <a:ln/>
                  </pic:spPr>
                </pic:pic>
              </a:graphicData>
            </a:graphic>
          </wp:inline>
        </w:drawing>
      </w:r>
    </w:p>
    <w:p w14:paraId="7E18FD29" w14:textId="77777777" w:rsidR="00DC1D62" w:rsidRPr="0091592F" w:rsidRDefault="001F661C">
      <w:pPr>
        <w:spacing w:line="360" w:lineRule="auto"/>
        <w:jc w:val="center"/>
        <w:rPr>
          <w:rFonts w:ascii="Palatino Linotype" w:eastAsia="Palatino Linotype" w:hAnsi="Palatino Linotype" w:cs="Palatino Linotype"/>
        </w:rPr>
      </w:pPr>
      <w:r w:rsidRPr="0091592F">
        <w:rPr>
          <w:rFonts w:ascii="Palatino Linotype" w:eastAsia="Palatino Linotype" w:hAnsi="Palatino Linotype" w:cs="Palatino Linotype"/>
          <w:b/>
          <w:noProof/>
          <w:lang w:eastAsia="es-MX"/>
        </w:rPr>
        <w:lastRenderedPageBreak/>
        <w:drawing>
          <wp:inline distT="0" distB="0" distL="0" distR="0" wp14:anchorId="470FC744" wp14:editId="435C63DB">
            <wp:extent cx="4554855" cy="4184015"/>
            <wp:effectExtent l="0" t="0" r="0" b="0"/>
            <wp:docPr id="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554855" cy="4184015"/>
                    </a:xfrm>
                    <a:prstGeom prst="rect">
                      <a:avLst/>
                    </a:prstGeom>
                    <a:ln/>
                  </pic:spPr>
                </pic:pic>
              </a:graphicData>
            </a:graphic>
          </wp:inline>
        </w:drawing>
      </w:r>
    </w:p>
    <w:p w14:paraId="1FB50435" w14:textId="77777777" w:rsidR="00DC1D62" w:rsidRPr="0091592F" w:rsidRDefault="00DC1D62">
      <w:pPr>
        <w:spacing w:line="360" w:lineRule="auto"/>
        <w:jc w:val="both"/>
        <w:rPr>
          <w:rFonts w:ascii="Palatino Linotype" w:eastAsia="Palatino Linotype" w:hAnsi="Palatino Linotype" w:cs="Palatino Linotype"/>
        </w:rPr>
      </w:pPr>
    </w:p>
    <w:p w14:paraId="7E6F37E5"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Que resultante de la consulta del “Visor de comprobantes de nómina para el patrón”,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obtendrá documentación en archivos PDF con las diferentes modalidades de información, como se precisa en las siguientes imágenes:</w:t>
      </w:r>
    </w:p>
    <w:p w14:paraId="0BC059CF" w14:textId="77777777" w:rsidR="00DC1D62" w:rsidRPr="0091592F" w:rsidRDefault="00DC1D62">
      <w:pPr>
        <w:spacing w:line="360" w:lineRule="auto"/>
        <w:jc w:val="both"/>
        <w:rPr>
          <w:rFonts w:ascii="Palatino Linotype" w:eastAsia="Palatino Linotype" w:hAnsi="Palatino Linotype" w:cs="Palatino Linotype"/>
        </w:rPr>
      </w:pPr>
    </w:p>
    <w:p w14:paraId="6D42195D"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noProof/>
          <w:lang w:eastAsia="es-MX"/>
        </w:rPr>
        <w:drawing>
          <wp:inline distT="0" distB="0" distL="0" distR="0" wp14:anchorId="4A6F8E77" wp14:editId="34B95721">
            <wp:extent cx="5612130" cy="850900"/>
            <wp:effectExtent l="0" t="0" r="0" b="0"/>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12130" cy="850900"/>
                    </a:xfrm>
                    <a:prstGeom prst="rect">
                      <a:avLst/>
                    </a:prstGeom>
                    <a:ln/>
                  </pic:spPr>
                </pic:pic>
              </a:graphicData>
            </a:graphic>
          </wp:inline>
        </w:drawing>
      </w:r>
      <w:r w:rsidRPr="0091592F">
        <w:rPr>
          <w:noProof/>
          <w:lang w:eastAsia="es-MX"/>
        </w:rPr>
        <mc:AlternateContent>
          <mc:Choice Requires="wpg">
            <w:drawing>
              <wp:anchor distT="0" distB="0" distL="114300" distR="114300" simplePos="0" relativeHeight="251658240" behindDoc="0" locked="0" layoutInCell="1" hidden="0" allowOverlap="1" wp14:anchorId="4550560B" wp14:editId="3601C1A8">
                <wp:simplePos x="0" y="0"/>
                <wp:positionH relativeFrom="column">
                  <wp:posOffset>1905000</wp:posOffset>
                </wp:positionH>
                <wp:positionV relativeFrom="paragraph">
                  <wp:posOffset>127000</wp:posOffset>
                </wp:positionV>
                <wp:extent cx="2372360" cy="400050"/>
                <wp:effectExtent l="0" t="0" r="0" b="0"/>
                <wp:wrapNone/>
                <wp:docPr id="68" name="Rectángulo 68"/>
                <wp:cNvGraphicFramePr/>
                <a:graphic xmlns:a="http://schemas.openxmlformats.org/drawingml/2006/main">
                  <a:graphicData uri="http://schemas.microsoft.com/office/word/2010/wordprocessingShape">
                    <wps:wsp>
                      <wps:cNvSpPr/>
                      <wps:spPr>
                        <a:xfrm>
                          <a:off x="4185220" y="3605375"/>
                          <a:ext cx="2321560" cy="349250"/>
                        </a:xfrm>
                        <a:prstGeom prst="rect">
                          <a:avLst/>
                        </a:prstGeom>
                        <a:noFill/>
                        <a:ln w="12700" cap="flat" cmpd="sng">
                          <a:solidFill>
                            <a:schemeClr val="accent2"/>
                          </a:solidFill>
                          <a:prstDash val="solid"/>
                          <a:miter lim="800000"/>
                          <a:headEnd type="none" w="sm" len="sm"/>
                          <a:tailEnd type="none" w="sm" len="sm"/>
                        </a:ln>
                      </wps:spPr>
                      <wps:txbx>
                        <w:txbxContent>
                          <w:p w14:paraId="0A64F2A7" w14:textId="77777777" w:rsidR="00DC1D62" w:rsidRDefault="00DC1D6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1905000</wp:posOffset>
                </wp:positionH>
                <wp:positionV relativeFrom="paragraph">
                  <wp:posOffset>127000</wp:posOffset>
                </wp:positionV>
                <wp:extent cx="2372360" cy="400050"/>
                <wp:effectExtent b="0" l="0" r="0" t="0"/>
                <wp:wrapNone/>
                <wp:docPr id="68"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2372360" cy="400050"/>
                        </a:xfrm>
                        <a:prstGeom prst="rect"/>
                        <a:ln/>
                      </pic:spPr>
                    </pic:pic>
                  </a:graphicData>
                </a:graphic>
              </wp:anchor>
            </w:drawing>
          </mc:Fallback>
        </mc:AlternateContent>
      </w:r>
    </w:p>
    <w:p w14:paraId="1BD3E359" w14:textId="77777777" w:rsidR="00DC1D62" w:rsidRPr="0091592F" w:rsidRDefault="00DC1D62">
      <w:pPr>
        <w:spacing w:line="360" w:lineRule="auto"/>
        <w:jc w:val="both"/>
        <w:rPr>
          <w:rFonts w:ascii="Palatino Linotype" w:eastAsia="Palatino Linotype" w:hAnsi="Palatino Linotype" w:cs="Palatino Linotype"/>
        </w:rPr>
      </w:pPr>
    </w:p>
    <w:p w14:paraId="2AC589CD"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noProof/>
          <w:lang w:eastAsia="es-MX"/>
        </w:rPr>
        <w:drawing>
          <wp:inline distT="0" distB="0" distL="0" distR="0" wp14:anchorId="7C6F25D1" wp14:editId="4F0AB052">
            <wp:extent cx="5612130" cy="876300"/>
            <wp:effectExtent l="0" t="0" r="0" b="0"/>
            <wp:docPr id="8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612130" cy="876300"/>
                    </a:xfrm>
                    <a:prstGeom prst="rect">
                      <a:avLst/>
                    </a:prstGeom>
                    <a:ln/>
                  </pic:spPr>
                </pic:pic>
              </a:graphicData>
            </a:graphic>
          </wp:inline>
        </w:drawing>
      </w:r>
      <w:r w:rsidRPr="0091592F">
        <w:rPr>
          <w:noProof/>
          <w:lang w:eastAsia="es-MX"/>
        </w:rPr>
        <mc:AlternateContent>
          <mc:Choice Requires="wpg">
            <w:drawing>
              <wp:anchor distT="0" distB="0" distL="114300" distR="114300" simplePos="0" relativeHeight="251659264" behindDoc="0" locked="0" layoutInCell="1" hidden="0" allowOverlap="1" wp14:anchorId="681B1B1E" wp14:editId="72EC4C3A">
                <wp:simplePos x="0" y="0"/>
                <wp:positionH relativeFrom="column">
                  <wp:posOffset>1879600</wp:posOffset>
                </wp:positionH>
                <wp:positionV relativeFrom="paragraph">
                  <wp:posOffset>76200</wp:posOffset>
                </wp:positionV>
                <wp:extent cx="2435860" cy="487680"/>
                <wp:effectExtent l="0" t="0" r="0" b="0"/>
                <wp:wrapNone/>
                <wp:docPr id="66" name="Rectángulo 66"/>
                <wp:cNvGraphicFramePr/>
                <a:graphic xmlns:a="http://schemas.openxmlformats.org/drawingml/2006/main">
                  <a:graphicData uri="http://schemas.microsoft.com/office/word/2010/wordprocessingShape">
                    <wps:wsp>
                      <wps:cNvSpPr/>
                      <wps:spPr>
                        <a:xfrm>
                          <a:off x="4153470" y="3561560"/>
                          <a:ext cx="2385060" cy="436880"/>
                        </a:xfrm>
                        <a:prstGeom prst="rect">
                          <a:avLst/>
                        </a:prstGeom>
                        <a:noFill/>
                        <a:ln w="12700" cap="flat" cmpd="sng">
                          <a:solidFill>
                            <a:schemeClr val="accent2"/>
                          </a:solidFill>
                          <a:prstDash val="solid"/>
                          <a:miter lim="800000"/>
                          <a:headEnd type="none" w="sm" len="sm"/>
                          <a:tailEnd type="none" w="sm" len="sm"/>
                        </a:ln>
                      </wps:spPr>
                      <wps:txbx>
                        <w:txbxContent>
                          <w:p w14:paraId="4F5790BA" w14:textId="77777777" w:rsidR="00DC1D62" w:rsidRDefault="00DC1D6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1879600</wp:posOffset>
                </wp:positionH>
                <wp:positionV relativeFrom="paragraph">
                  <wp:posOffset>76200</wp:posOffset>
                </wp:positionV>
                <wp:extent cx="2435860" cy="487680"/>
                <wp:effectExtent b="0" l="0" r="0" t="0"/>
                <wp:wrapNone/>
                <wp:docPr id="66"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2435860" cy="487680"/>
                        </a:xfrm>
                        <a:prstGeom prst="rect"/>
                        <a:ln/>
                      </pic:spPr>
                    </pic:pic>
                  </a:graphicData>
                </a:graphic>
              </wp:anchor>
            </w:drawing>
          </mc:Fallback>
        </mc:AlternateContent>
      </w:r>
    </w:p>
    <w:p w14:paraId="77444759" w14:textId="77777777" w:rsidR="00DC1D62" w:rsidRPr="0091592F" w:rsidRDefault="00DC1D62">
      <w:pPr>
        <w:spacing w:line="360" w:lineRule="auto"/>
        <w:jc w:val="both"/>
        <w:rPr>
          <w:rFonts w:ascii="Palatino Linotype" w:eastAsia="Palatino Linotype" w:hAnsi="Palatino Linotype" w:cs="Palatino Linotype"/>
        </w:rPr>
      </w:pPr>
    </w:p>
    <w:p w14:paraId="11722549"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noProof/>
          <w:lang w:eastAsia="es-MX"/>
        </w:rPr>
        <w:drawing>
          <wp:inline distT="0" distB="0" distL="0" distR="0" wp14:anchorId="6E353059" wp14:editId="098CBA1A">
            <wp:extent cx="5612130" cy="800100"/>
            <wp:effectExtent l="0" t="0" r="0" b="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612130" cy="800100"/>
                    </a:xfrm>
                    <a:prstGeom prst="rect">
                      <a:avLst/>
                    </a:prstGeom>
                    <a:ln/>
                  </pic:spPr>
                </pic:pic>
              </a:graphicData>
            </a:graphic>
          </wp:inline>
        </w:drawing>
      </w:r>
      <w:r w:rsidRPr="0091592F">
        <w:rPr>
          <w:noProof/>
          <w:lang w:eastAsia="es-MX"/>
        </w:rPr>
        <mc:AlternateContent>
          <mc:Choice Requires="wpg">
            <w:drawing>
              <wp:anchor distT="0" distB="0" distL="114300" distR="114300" simplePos="0" relativeHeight="251660288" behindDoc="0" locked="0" layoutInCell="1" hidden="0" allowOverlap="1" wp14:anchorId="76CC1CFB" wp14:editId="0F80C977">
                <wp:simplePos x="0" y="0"/>
                <wp:positionH relativeFrom="column">
                  <wp:posOffset>1485900</wp:posOffset>
                </wp:positionH>
                <wp:positionV relativeFrom="paragraph">
                  <wp:posOffset>12700</wp:posOffset>
                </wp:positionV>
                <wp:extent cx="2833370" cy="487680"/>
                <wp:effectExtent l="0" t="0" r="0" b="0"/>
                <wp:wrapNone/>
                <wp:docPr id="69" name="Rectángulo 69"/>
                <wp:cNvGraphicFramePr/>
                <a:graphic xmlns:a="http://schemas.openxmlformats.org/drawingml/2006/main">
                  <a:graphicData uri="http://schemas.microsoft.com/office/word/2010/wordprocessingShape">
                    <wps:wsp>
                      <wps:cNvSpPr/>
                      <wps:spPr>
                        <a:xfrm>
                          <a:off x="3954715" y="3561560"/>
                          <a:ext cx="2782570" cy="436880"/>
                        </a:xfrm>
                        <a:prstGeom prst="rect">
                          <a:avLst/>
                        </a:prstGeom>
                        <a:noFill/>
                        <a:ln w="12700" cap="flat" cmpd="sng">
                          <a:solidFill>
                            <a:schemeClr val="accent2"/>
                          </a:solidFill>
                          <a:prstDash val="solid"/>
                          <a:miter lim="800000"/>
                          <a:headEnd type="none" w="sm" len="sm"/>
                          <a:tailEnd type="none" w="sm" len="sm"/>
                        </a:ln>
                      </wps:spPr>
                      <wps:txbx>
                        <w:txbxContent>
                          <w:p w14:paraId="638248EE" w14:textId="77777777" w:rsidR="00DC1D62" w:rsidRDefault="00DC1D6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2833370" cy="487680"/>
                <wp:effectExtent b="0" l="0" r="0" t="0"/>
                <wp:wrapNone/>
                <wp:docPr id="69"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2833370" cy="487680"/>
                        </a:xfrm>
                        <a:prstGeom prst="rect"/>
                        <a:ln/>
                      </pic:spPr>
                    </pic:pic>
                  </a:graphicData>
                </a:graphic>
              </wp:anchor>
            </w:drawing>
          </mc:Fallback>
        </mc:AlternateContent>
      </w:r>
    </w:p>
    <w:p w14:paraId="630D100C" w14:textId="77777777" w:rsidR="00DC1D62" w:rsidRPr="0091592F" w:rsidRDefault="00DC1D62">
      <w:pPr>
        <w:spacing w:line="360" w:lineRule="auto"/>
        <w:jc w:val="both"/>
        <w:rPr>
          <w:rFonts w:ascii="Palatino Linotype" w:eastAsia="Palatino Linotype" w:hAnsi="Palatino Linotype" w:cs="Palatino Linotype"/>
        </w:rPr>
      </w:pPr>
    </w:p>
    <w:p w14:paraId="072D94D9"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En conclusión,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a realizar la consulta en el “Visor de comprobantes de nómina para el patrón” generar y archivara los documentos que valen el destino del gasto realizado con recursos públicos, lo que permite transparentar el actuar público, por tanto, se ordena al SUJETO OBLIGADO haga entrega de los documentos donde conste los Reportes del aplicativo “Visor de comprobantes de nómina para el patrón”, de los años 2018, 2019, 2020, y 2021, en las siguientes modalidades: a) Vista anual acumulada, b) Detalle mensual y c) Detalle diferencias sueldos y salarios, en </w:t>
      </w:r>
      <w:r w:rsidRPr="0091592F">
        <w:rPr>
          <w:rFonts w:ascii="Palatino Linotype" w:eastAsia="Palatino Linotype" w:hAnsi="Palatino Linotype" w:cs="Palatino Linotype"/>
          <w:b/>
        </w:rPr>
        <w:t>versión publica</w:t>
      </w:r>
      <w:r w:rsidRPr="0091592F">
        <w:rPr>
          <w:rFonts w:ascii="Palatino Linotype" w:eastAsia="Palatino Linotype" w:hAnsi="Palatino Linotype" w:cs="Palatino Linotype"/>
        </w:rPr>
        <w:t xml:space="preserve"> de ser procedente.</w:t>
      </w:r>
    </w:p>
    <w:p w14:paraId="7AB3FF4D"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Respecto al numeral identificado con el </w:t>
      </w:r>
      <w:r w:rsidRPr="0091592F">
        <w:rPr>
          <w:rFonts w:ascii="Palatino Linotype" w:eastAsia="Palatino Linotype" w:hAnsi="Palatino Linotype" w:cs="Palatino Linotype"/>
          <w:b/>
        </w:rPr>
        <w:t>5</w:t>
      </w:r>
      <w:r w:rsidRPr="0091592F">
        <w:rPr>
          <w:rFonts w:ascii="Palatino Linotype" w:eastAsia="Palatino Linotype" w:hAnsi="Palatino Linotype" w:cs="Palatino Linotype"/>
        </w:rPr>
        <w:t xml:space="preserve">, relativo a </w:t>
      </w:r>
    </w:p>
    <w:p w14:paraId="66562F32" w14:textId="77777777" w:rsidR="00DC1D62" w:rsidRPr="0091592F" w:rsidRDefault="00DC1D62">
      <w:pPr>
        <w:spacing w:line="360" w:lineRule="auto"/>
        <w:jc w:val="both"/>
        <w:rPr>
          <w:rFonts w:ascii="Palatino Linotype" w:eastAsia="Palatino Linotype" w:hAnsi="Palatino Linotype" w:cs="Palatino Linotype"/>
        </w:rPr>
      </w:pPr>
    </w:p>
    <w:p w14:paraId="135D85AE"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“V. Un papel de trabajo por el municipio, y otro por cada una de sus descentralizadas que contenga los datos para identificar el ISR participable recuperado por cada mes desde Enero de 2019 hasta Octubre de 2021. Propongo un papel de trabajo con los siguientes encabezados:</w:t>
      </w:r>
    </w:p>
    <w:p w14:paraId="05DE2900"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A) En la columna A “Mes”.</w:t>
      </w:r>
    </w:p>
    <w:p w14:paraId="36D78EBC"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lastRenderedPageBreak/>
        <w:t>B) En la columna B “Año”.</w:t>
      </w:r>
    </w:p>
    <w:p w14:paraId="068BA2CF"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C) En la columna C “ISR salarios retenido”.</w:t>
      </w:r>
    </w:p>
    <w:p w14:paraId="35F190E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D) En la columna D “ISR salarios enterado”.</w:t>
      </w:r>
    </w:p>
    <w:p w14:paraId="0F4FCBA0"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E) En la columna E “ISR asimilados retenido”.</w:t>
      </w:r>
    </w:p>
    <w:p w14:paraId="03438255"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F) En la columna F “ISR asimilados enterado”.</w:t>
      </w:r>
    </w:p>
    <w:p w14:paraId="4FEBBC1D"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G) En la columna G “ISR honorarios y arrendamiento retenido”.</w:t>
      </w:r>
    </w:p>
    <w:p w14:paraId="219C7816"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H) En la columna H “ISR honorarios y arrendamiento enterado”.</w:t>
      </w:r>
    </w:p>
    <w:p w14:paraId="0AB79C6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 En la columna I “ISR participable recuperado a valor histórico”.</w:t>
      </w:r>
    </w:p>
    <w:p w14:paraId="40F85FB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J) En la columna J “Subsidio para el empleo entregado en el mes al trabajador”.</w:t>
      </w:r>
    </w:p>
    <w:p w14:paraId="137D5EE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K) En la columna K “Subsidio para el empleo acreditado en el mes contra las contribuciones que proceda”.</w:t>
      </w:r>
    </w:p>
    <w:p w14:paraId="4BAD9E53"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5E9FC605" w14:textId="77777777" w:rsidR="00DC1D62" w:rsidRPr="0091592F" w:rsidRDefault="00DC1D62">
      <w:pPr>
        <w:spacing w:line="360" w:lineRule="auto"/>
        <w:jc w:val="both"/>
        <w:rPr>
          <w:rFonts w:ascii="Palatino Linotype" w:eastAsia="Palatino Linotype" w:hAnsi="Palatino Linotype" w:cs="Palatino Linotype"/>
        </w:rPr>
      </w:pPr>
    </w:p>
    <w:p w14:paraId="327C8EED"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Es importante mencionar que </w:t>
      </w:r>
      <w:r w:rsidRPr="0091592F">
        <w:rPr>
          <w:rFonts w:ascii="Palatino Linotype" w:eastAsia="Palatino Linotype" w:hAnsi="Palatino Linotype" w:cs="Palatino Linotype"/>
          <w:b/>
        </w:rPr>
        <w:t>EL RECURRENTE</w:t>
      </w:r>
      <w:r w:rsidRPr="0091592F">
        <w:rPr>
          <w:rFonts w:ascii="Palatino Linotype" w:eastAsia="Palatino Linotype" w:hAnsi="Palatino Linotype" w:cs="Palatino Linotype"/>
        </w:rPr>
        <w:t xml:space="preserve"> peticiona un documento de tipo específico que contenga desagregada la información en diversos apartados, atentos a ello, se le hace del conocimiento al particular que de conformidad con los artículos 12 y 24 de la Ley de Transparencia local, se establece la obligación de los </w:t>
      </w:r>
      <w:r w:rsidRPr="0091592F">
        <w:rPr>
          <w:rFonts w:ascii="Palatino Linotype" w:eastAsia="Palatino Linotype" w:hAnsi="Palatino Linotype" w:cs="Palatino Linotype"/>
          <w:b/>
        </w:rPr>
        <w:t>Sujetos Obligados</w:t>
      </w:r>
      <w:r w:rsidRPr="0091592F">
        <w:rPr>
          <w:rFonts w:ascii="Palatino Linotype" w:eastAsia="Palatino Linotype" w:hAnsi="Palatino Linotype" w:cs="Palatino Linotype"/>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6F83DD28" w14:textId="77777777" w:rsidR="00DC1D62" w:rsidRPr="0091592F" w:rsidRDefault="00DC1D62">
      <w:pPr>
        <w:spacing w:line="360" w:lineRule="auto"/>
        <w:jc w:val="both"/>
        <w:rPr>
          <w:rFonts w:ascii="Palatino Linotype" w:eastAsia="Palatino Linotype" w:hAnsi="Palatino Linotype" w:cs="Palatino Linotype"/>
        </w:rPr>
      </w:pPr>
    </w:p>
    <w:p w14:paraId="30C8372D"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Acotado lo anterior, del contenido del requerimiento, podemos sintetizar que, el </w:t>
      </w:r>
      <w:r w:rsidRPr="0091592F">
        <w:rPr>
          <w:rFonts w:ascii="Palatino Linotype" w:eastAsia="Palatino Linotype" w:hAnsi="Palatino Linotype" w:cs="Palatino Linotype"/>
          <w:b/>
        </w:rPr>
        <w:t>Recurrente</w:t>
      </w:r>
      <w:r w:rsidRPr="0091592F">
        <w:rPr>
          <w:rFonts w:ascii="Palatino Linotype" w:eastAsia="Palatino Linotype" w:hAnsi="Palatino Linotype" w:cs="Palatino Linotype"/>
        </w:rPr>
        <w:t xml:space="preserve"> peticiona el soporte documental en el que sea observable el Impuesto </w:t>
      </w:r>
      <w:r w:rsidRPr="0091592F">
        <w:rPr>
          <w:rFonts w:ascii="Palatino Linotype" w:eastAsia="Palatino Linotype" w:hAnsi="Palatino Linotype" w:cs="Palatino Linotype"/>
        </w:rPr>
        <w:lastRenderedPageBreak/>
        <w:t>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0BF985B4" w14:textId="77777777" w:rsidR="00DC1D62" w:rsidRPr="0091592F" w:rsidRDefault="00DC1D62">
      <w:pPr>
        <w:spacing w:line="360" w:lineRule="auto"/>
        <w:jc w:val="both"/>
        <w:rPr>
          <w:rFonts w:ascii="Palatino Linotype" w:eastAsia="Palatino Linotype" w:hAnsi="Palatino Linotype" w:cs="Palatino Linotype"/>
        </w:rPr>
      </w:pPr>
    </w:p>
    <w:p w14:paraId="7E8B0162" w14:textId="77777777" w:rsidR="00DC1D62" w:rsidRPr="0091592F" w:rsidRDefault="001F661C">
      <w:pPr>
        <w:ind w:left="850" w:right="901"/>
        <w:jc w:val="both"/>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48. Retenciones del Impuesto Sobre la Renta por Salarios, Honorarios y Arrendamiento</w:t>
      </w:r>
    </w:p>
    <w:p w14:paraId="35C1193E" w14:textId="77777777" w:rsidR="00DC1D62" w:rsidRPr="0091592F" w:rsidRDefault="001F661C">
      <w:pPr>
        <w:ind w:left="850" w:right="901"/>
        <w:jc w:val="both"/>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Formato: el archivo se presentará en .</w:t>
      </w:r>
      <w:proofErr w:type="spellStart"/>
      <w:r w:rsidRPr="0091592F">
        <w:rPr>
          <w:rFonts w:ascii="Palatino Linotype" w:eastAsia="Palatino Linotype" w:hAnsi="Palatino Linotype" w:cs="Palatino Linotype"/>
          <w:b/>
          <w:i/>
          <w:sz w:val="22"/>
          <w:szCs w:val="22"/>
        </w:rPr>
        <w:t>pdf</w:t>
      </w:r>
      <w:proofErr w:type="spellEnd"/>
      <w:r w:rsidRPr="0091592F">
        <w:rPr>
          <w:rFonts w:ascii="Palatino Linotype" w:eastAsia="Palatino Linotype" w:hAnsi="Palatino Linotype" w:cs="Palatino Linotype"/>
          <w:b/>
          <w:i/>
          <w:sz w:val="22"/>
          <w:szCs w:val="22"/>
        </w:rPr>
        <w:t xml:space="preserve"> y .</w:t>
      </w:r>
      <w:proofErr w:type="spellStart"/>
      <w:r w:rsidRPr="0091592F">
        <w:rPr>
          <w:rFonts w:ascii="Palatino Linotype" w:eastAsia="Palatino Linotype" w:hAnsi="Palatino Linotype" w:cs="Palatino Linotype"/>
          <w:b/>
          <w:i/>
          <w:sz w:val="22"/>
          <w:szCs w:val="22"/>
        </w:rPr>
        <w:t>xls</w:t>
      </w:r>
      <w:proofErr w:type="spellEnd"/>
    </w:p>
    <w:p w14:paraId="4BF2371D"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Objetivo</w:t>
      </w:r>
      <w:r w:rsidRPr="0091592F">
        <w:rPr>
          <w:rFonts w:ascii="Palatino Linotype" w:eastAsia="Palatino Linotype" w:hAnsi="Palatino Linotype" w:cs="Palatino Linotype"/>
          <w:i/>
          <w:sz w:val="22"/>
          <w:szCs w:val="22"/>
        </w:rPr>
        <w:t>: Concentrar toda la información de las Retenciones del Impuesto Sobre la Renta por Salarios, Honorarios y Arrendamiento.</w:t>
      </w:r>
    </w:p>
    <w:p w14:paraId="26393A57"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Instructivo:</w:t>
      </w:r>
    </w:p>
    <w:p w14:paraId="7C7FD72C"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1. Entidad Municipal:</w:t>
      </w:r>
      <w:r w:rsidRPr="0091592F">
        <w:rPr>
          <w:rFonts w:ascii="Palatino Linotype" w:eastAsia="Palatino Linotype" w:hAnsi="Palatino Linotype" w:cs="Palatino Linotype"/>
          <w:i/>
          <w:sz w:val="22"/>
          <w:szCs w:val="22"/>
        </w:rPr>
        <w:t xml:space="preserve"> Anotar el nombre de la entidad, seguido del número que le corresponde, por ejemplo: Toluca, 101.</w:t>
      </w:r>
    </w:p>
    <w:p w14:paraId="4F6E9C55"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2. Periodo de Presentación; </w:t>
      </w:r>
      <w:r w:rsidRPr="0091592F">
        <w:rPr>
          <w:rFonts w:ascii="Palatino Linotype" w:eastAsia="Palatino Linotype" w:hAnsi="Palatino Linotype" w:cs="Palatino Linotype"/>
          <w:i/>
          <w:sz w:val="22"/>
          <w:szCs w:val="22"/>
        </w:rPr>
        <w:t xml:space="preserve">Indicar a que fecha se presenta la información requisitada. </w:t>
      </w:r>
    </w:p>
    <w:p w14:paraId="617051B4"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3. ISR Retenido por Salarios:</w:t>
      </w:r>
      <w:r w:rsidRPr="0091592F">
        <w:rPr>
          <w:rFonts w:ascii="Palatino Linotype" w:eastAsia="Palatino Linotype" w:hAnsi="Palatino Linotype" w:cs="Palatino Linotype"/>
          <w:i/>
          <w:sz w:val="22"/>
          <w:szCs w:val="22"/>
        </w:rPr>
        <w:t xml:space="preserve"> Anotar en pesos el importe mensual registrado por este concepto durante el ejercicio 2019.</w:t>
      </w:r>
    </w:p>
    <w:p w14:paraId="2CFB44A7"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4. ISR Retenido por Honorarios: </w:t>
      </w:r>
      <w:r w:rsidRPr="0091592F">
        <w:rPr>
          <w:rFonts w:ascii="Palatino Linotype" w:eastAsia="Palatino Linotype" w:hAnsi="Palatino Linotype" w:cs="Palatino Linotype"/>
          <w:i/>
          <w:sz w:val="22"/>
          <w:szCs w:val="22"/>
        </w:rPr>
        <w:t>Colocar en pesos el importe mensual registrado por este concepto durante el ejercicio 2019.</w:t>
      </w:r>
    </w:p>
    <w:p w14:paraId="3E85817A"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5. ISR por pago a cuenta de Terceros o Retenciones por Arrendamiento de Inmuebles:</w:t>
      </w:r>
      <w:r w:rsidRPr="0091592F">
        <w:rPr>
          <w:rFonts w:ascii="Palatino Linotype" w:eastAsia="Palatino Linotype" w:hAnsi="Palatino Linotype" w:cs="Palatino Linotype"/>
          <w:i/>
          <w:sz w:val="22"/>
          <w:szCs w:val="22"/>
        </w:rPr>
        <w:t xml:space="preserve"> En caso de que la entidad presente retenciones por estos conceptos deberá anotar en pesos el importe mensual registrado por este concepto durante el ejercicio 2019.</w:t>
      </w:r>
    </w:p>
    <w:p w14:paraId="22C4F1C0"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6.- ISR Retenido por algún otro concepto:</w:t>
      </w:r>
      <w:r w:rsidRPr="0091592F">
        <w:rPr>
          <w:rFonts w:ascii="Palatino Linotype" w:eastAsia="Palatino Linotype" w:hAnsi="Palatino Linotype" w:cs="Palatino Linotype"/>
          <w:i/>
          <w:sz w:val="22"/>
          <w:szCs w:val="22"/>
        </w:rPr>
        <w:t xml:space="preserve"> En caso de que la entidad presente retenciones por algún otro concepto no detallado entre los principales, estos deberá anotarse en pesos el importe mensual registrado por este concepto durante el ejercicio 2019.</w:t>
      </w:r>
    </w:p>
    <w:p w14:paraId="787B10B6"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7.- Actualizaciones y Recargos:</w:t>
      </w:r>
      <w:r w:rsidRPr="0091592F">
        <w:rPr>
          <w:rFonts w:ascii="Palatino Linotype" w:eastAsia="Palatino Linotype" w:hAnsi="Palatino Linotype" w:cs="Palatino Linotype"/>
          <w:i/>
          <w:sz w:val="22"/>
          <w:szCs w:val="22"/>
        </w:rPr>
        <w:t xml:space="preserve"> En casos de cumplimiento extemporáneo de obligaciones deberán anotar la suma en pesos de las actualizaciones y los recargos que fueron originados al momento de cumplir con la obligación.</w:t>
      </w:r>
    </w:p>
    <w:p w14:paraId="243D1EA3"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8.- Subsidio al empleo: </w:t>
      </w:r>
      <w:r w:rsidRPr="0091592F">
        <w:rPr>
          <w:rFonts w:ascii="Palatino Linotype" w:eastAsia="Palatino Linotype" w:hAnsi="Palatino Linotype" w:cs="Palatino Linotype"/>
          <w:i/>
          <w:sz w:val="22"/>
          <w:szCs w:val="22"/>
        </w:rPr>
        <w:t xml:space="preserve">Anotar en pesos el importe mensual registrado por este concepto de ayuda o apoyo que por ley debe pagarle el patrón al trabajador cuando </w:t>
      </w:r>
      <w:r w:rsidRPr="0091592F">
        <w:rPr>
          <w:rFonts w:ascii="Palatino Linotype" w:eastAsia="Palatino Linotype" w:hAnsi="Palatino Linotype" w:cs="Palatino Linotype"/>
          <w:i/>
          <w:sz w:val="22"/>
          <w:szCs w:val="22"/>
        </w:rPr>
        <w:lastRenderedPageBreak/>
        <w:t>éste último percibe el salario mínimo durante el ejercicio y que se acredito contra el ISR a cargo.</w:t>
      </w:r>
    </w:p>
    <w:p w14:paraId="57CD2B4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9.- ISR por pagar; </w:t>
      </w:r>
      <w:r w:rsidRPr="0091592F">
        <w:rPr>
          <w:rFonts w:ascii="Palatino Linotype" w:eastAsia="Palatino Linotype" w:hAnsi="Palatino Linotype" w:cs="Palatino Linotype"/>
          <w:i/>
          <w:sz w:val="22"/>
          <w:szCs w:val="22"/>
        </w:rPr>
        <w:t>Operación aritmética que consiste en sumar los conceptos de retención de ISR con las actualizaciones y recargos que en su caso se originaron descontando el subsidio.</w:t>
      </w:r>
    </w:p>
    <w:p w14:paraId="750146DC"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Refleja el saldo mensual que se debió pagar de las Retenciones del Impuesto Sobre la Renta por Salarios, Honorarios y Arrendamiento del ejercicio 2019.</w:t>
      </w:r>
    </w:p>
    <w:p w14:paraId="4D08557D"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10.- Pagos realizados de acuerdo a expediente;</w:t>
      </w:r>
      <w:r w:rsidRPr="0091592F">
        <w:rPr>
          <w:rFonts w:ascii="Palatino Linotype" w:eastAsia="Palatino Linotype" w:hAnsi="Palatino Linotype" w:cs="Palatino Linotype"/>
          <w:i/>
          <w:sz w:val="22"/>
          <w:szCs w:val="22"/>
        </w:rPr>
        <w:t xml:space="preserve"> Anotar en pesos el importe correspondiente a cada mes de los pagos efectuados por las Retenciones del Impuesto Sobre la Renta por Salarios, Honorarios y Arrendamiento del ejercicio 2019.</w:t>
      </w:r>
    </w:p>
    <w:p w14:paraId="53C48815"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11.- Fecha de pago: </w:t>
      </w:r>
      <w:r w:rsidRPr="0091592F">
        <w:rPr>
          <w:rFonts w:ascii="Palatino Linotype" w:eastAsia="Palatino Linotype" w:hAnsi="Palatino Linotype" w:cs="Palatino Linotype"/>
          <w:i/>
          <w:sz w:val="22"/>
          <w:szCs w:val="22"/>
        </w:rPr>
        <w:t>Especificar la fecha en que se realizó el pago de dicha obligación.</w:t>
      </w:r>
    </w:p>
    <w:p w14:paraId="35A56825"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12.- Remanente por pagar:</w:t>
      </w:r>
      <w:r w:rsidRPr="0091592F">
        <w:rPr>
          <w:rFonts w:ascii="Palatino Linotype" w:eastAsia="Palatino Linotype" w:hAnsi="Palatino Linotype" w:cs="Palatino Linotype"/>
          <w:i/>
          <w:sz w:val="22"/>
          <w:szCs w:val="22"/>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2599171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13.- Cuenta Contable:</w:t>
      </w:r>
      <w:r w:rsidRPr="0091592F">
        <w:rPr>
          <w:rFonts w:ascii="Palatino Linotype" w:eastAsia="Palatino Linotype" w:hAnsi="Palatino Linotype" w:cs="Palatino Linotype"/>
          <w:i/>
          <w:sz w:val="22"/>
          <w:szCs w:val="22"/>
        </w:rPr>
        <w:t xml:space="preserve"> Anotar las subcuentas a nivel registro de la cuenta contable donde se registró la provisión del pasivo para el pago de las Retenciones del Impuesto Sobre la Renta por Salarios, Honorarios y Arrendamiento del ejercicio 2019.</w:t>
      </w:r>
    </w:p>
    <w:p w14:paraId="7D181B1B"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14.- Saldo de la Cuenta de pasivo:</w:t>
      </w:r>
      <w:r w:rsidRPr="0091592F">
        <w:rPr>
          <w:rFonts w:ascii="Palatino Linotype" w:eastAsia="Palatino Linotype" w:hAnsi="Palatino Linotype" w:cs="Palatino Linotype"/>
          <w:i/>
          <w:sz w:val="22"/>
          <w:szCs w:val="22"/>
        </w:rPr>
        <w:t xml:space="preserve"> Colocar en pesos el saldo de la cuenta de pasivo que reflejan los reportes contables para cada cuenta que le corresponda.</w:t>
      </w:r>
    </w:p>
    <w:p w14:paraId="20D4D2C5"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15. Apartado de Firmas:</w:t>
      </w:r>
      <w:r w:rsidRPr="0091592F">
        <w:rPr>
          <w:rFonts w:ascii="Palatino Linotype" w:eastAsia="Palatino Linotype" w:hAnsi="Palatino Linotype" w:cs="Palatino Linotype"/>
          <w:i/>
          <w:sz w:val="22"/>
          <w:szCs w:val="22"/>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1FA6A21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r w:rsidRPr="0091592F">
        <w:rPr>
          <w:rFonts w:ascii="Palatino Linotype" w:eastAsia="Palatino Linotype" w:hAnsi="Palatino Linotype" w:cs="Palatino Linotype"/>
          <w:i/>
          <w:sz w:val="22"/>
          <w:szCs w:val="22"/>
        </w:rPr>
        <w:t>.</w:t>
      </w:r>
    </w:p>
    <w:p w14:paraId="56A41920" w14:textId="77777777" w:rsidR="00DC1D62" w:rsidRPr="0091592F" w:rsidRDefault="00DC1D62">
      <w:pPr>
        <w:spacing w:line="360" w:lineRule="auto"/>
        <w:jc w:val="both"/>
        <w:rPr>
          <w:rFonts w:ascii="Palatino Linotype" w:eastAsia="Palatino Linotype" w:hAnsi="Palatino Linotype" w:cs="Palatino Linotype"/>
        </w:rPr>
      </w:pPr>
    </w:p>
    <w:p w14:paraId="7064CE3E" w14:textId="77777777" w:rsidR="00DC1D62" w:rsidRPr="0091592F" w:rsidRDefault="001F661C">
      <w:pPr>
        <w:spacing w:line="360" w:lineRule="auto"/>
        <w:jc w:val="center"/>
        <w:rPr>
          <w:rFonts w:ascii="Palatino Linotype" w:eastAsia="Palatino Linotype" w:hAnsi="Palatino Linotype" w:cs="Palatino Linotype"/>
        </w:rPr>
      </w:pPr>
      <w:r w:rsidRPr="0091592F">
        <w:rPr>
          <w:rFonts w:ascii="Palatino Linotype" w:eastAsia="Palatino Linotype" w:hAnsi="Palatino Linotype" w:cs="Palatino Linotype"/>
          <w:noProof/>
          <w:lang w:eastAsia="es-MX"/>
        </w:rPr>
        <w:lastRenderedPageBreak/>
        <w:drawing>
          <wp:inline distT="0" distB="0" distL="0" distR="0" wp14:anchorId="5ABD8C82" wp14:editId="34C42C7F">
            <wp:extent cx="5612130" cy="2692400"/>
            <wp:effectExtent l="0" t="0" r="0" b="0"/>
            <wp:docPr id="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4643" t="22536" r="4154"/>
                    <a:stretch>
                      <a:fillRect/>
                    </a:stretch>
                  </pic:blipFill>
                  <pic:spPr>
                    <a:xfrm>
                      <a:off x="0" y="0"/>
                      <a:ext cx="5612130" cy="2692400"/>
                    </a:xfrm>
                    <a:prstGeom prst="rect">
                      <a:avLst/>
                    </a:prstGeom>
                    <a:ln/>
                  </pic:spPr>
                </pic:pic>
              </a:graphicData>
            </a:graphic>
          </wp:inline>
        </w:drawing>
      </w:r>
    </w:p>
    <w:p w14:paraId="664916C2"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Como podemos observar, el documento denominado “Retenciones del Impuesto Sobre la Renta por Salarios, Honorarios y Arrendamiento”, pudiera satisfacer el requerimiento del </w:t>
      </w:r>
      <w:r w:rsidRPr="0091592F">
        <w:rPr>
          <w:rFonts w:ascii="Palatino Linotype" w:eastAsia="Palatino Linotype" w:hAnsi="Palatino Linotype" w:cs="Palatino Linotype"/>
          <w:b/>
        </w:rPr>
        <w:t>RECURRENTE</w:t>
      </w:r>
      <w:r w:rsidRPr="0091592F">
        <w:rPr>
          <w:rFonts w:ascii="Palatino Linotype" w:eastAsia="Palatino Linotype" w:hAnsi="Palatino Linotype" w:cs="Palatino Linotype"/>
        </w:rPr>
        <w:t xml:space="preserve">, al apreciarse en los apartados del documento, que contiene la información peticionada, en consecuencia,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1CFB0298" w14:textId="77777777" w:rsidR="00DC1D62" w:rsidRPr="0091592F" w:rsidRDefault="00DC1D62">
      <w:pPr>
        <w:spacing w:line="360" w:lineRule="auto"/>
        <w:jc w:val="both"/>
        <w:rPr>
          <w:rFonts w:ascii="Palatino Linotype" w:eastAsia="Palatino Linotype" w:hAnsi="Palatino Linotype" w:cs="Palatino Linotype"/>
        </w:rPr>
      </w:pPr>
    </w:p>
    <w:p w14:paraId="649F4D32" w14:textId="77777777" w:rsidR="00DC1D62" w:rsidRPr="0091592F" w:rsidRDefault="001F661C">
      <w:pPr>
        <w:spacing w:line="360" w:lineRule="auto"/>
        <w:jc w:val="both"/>
        <w:rPr>
          <w:rFonts w:ascii="Palatino Linotype" w:eastAsia="Palatino Linotype" w:hAnsi="Palatino Linotype" w:cs="Palatino Linotype"/>
          <w:b/>
        </w:rPr>
      </w:pPr>
      <w:r w:rsidRPr="0091592F">
        <w:rPr>
          <w:rFonts w:ascii="Palatino Linotype" w:eastAsia="Palatino Linotype" w:hAnsi="Palatino Linotype" w:cs="Palatino Linotype"/>
        </w:rPr>
        <w:t xml:space="preserve">Finalmente, respecto del numeral </w:t>
      </w:r>
      <w:r w:rsidRPr="0091592F">
        <w:rPr>
          <w:rFonts w:ascii="Palatino Linotype" w:eastAsia="Palatino Linotype" w:hAnsi="Palatino Linotype" w:cs="Palatino Linotype"/>
          <w:b/>
        </w:rPr>
        <w:t xml:space="preserve">6, </w:t>
      </w:r>
      <w:r w:rsidRPr="0091592F">
        <w:rPr>
          <w:rFonts w:ascii="Palatino Linotype" w:eastAsia="Palatino Linotype" w:hAnsi="Palatino Linotype" w:cs="Palatino Linotype"/>
        </w:rPr>
        <w:t>donde se solicita lo siguiente:</w:t>
      </w:r>
    </w:p>
    <w:p w14:paraId="4E61580C" w14:textId="77777777" w:rsidR="00DC1D62" w:rsidRPr="0091592F" w:rsidRDefault="00DC1D62">
      <w:pPr>
        <w:ind w:left="850" w:right="901"/>
        <w:jc w:val="both"/>
        <w:rPr>
          <w:rFonts w:ascii="Palatino Linotype" w:eastAsia="Palatino Linotype" w:hAnsi="Palatino Linotype" w:cs="Palatino Linotype"/>
          <w:i/>
          <w:sz w:val="22"/>
          <w:szCs w:val="22"/>
        </w:rPr>
      </w:pPr>
    </w:p>
    <w:p w14:paraId="077B98E2"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w:t>
      </w:r>
      <w:r w:rsidRPr="0091592F">
        <w:rPr>
          <w:rFonts w:ascii="Palatino Linotype" w:eastAsia="Palatino Linotype" w:hAnsi="Palatino Linotype" w:cs="Palatino Linotype"/>
          <w:i/>
          <w:sz w:val="22"/>
          <w:szCs w:val="22"/>
        </w:rPr>
        <w:lastRenderedPageBreak/>
        <w:t xml:space="preserve">y 2020, con base en los datos precargados en el expediente fiscal del trabajador. Para guardar la confidencialidad, a </w:t>
      </w:r>
      <w:proofErr w:type="spellStart"/>
      <w:r w:rsidRPr="0091592F">
        <w:rPr>
          <w:rFonts w:ascii="Palatino Linotype" w:eastAsia="Palatino Linotype" w:hAnsi="Palatino Linotype" w:cs="Palatino Linotype"/>
          <w:i/>
          <w:sz w:val="22"/>
          <w:szCs w:val="22"/>
        </w:rPr>
        <w:t>mi</w:t>
      </w:r>
      <w:proofErr w:type="spellEnd"/>
      <w:r w:rsidRPr="0091592F">
        <w:rPr>
          <w:rFonts w:ascii="Palatino Linotype" w:eastAsia="Palatino Linotype" w:hAnsi="Palatino Linotype" w:cs="Palatino Linotype"/>
          <w:i/>
          <w:sz w:val="22"/>
          <w:szCs w:val="22"/>
        </w:rPr>
        <w:t xml:space="preserve"> solo me entregarán un papel de trabajo con los siguientes encabezados:</w:t>
      </w:r>
    </w:p>
    <w:p w14:paraId="2BA4C562" w14:textId="77777777" w:rsidR="00DC1D62" w:rsidRPr="0091592F" w:rsidRDefault="00DC1D62">
      <w:pPr>
        <w:ind w:left="850" w:right="901"/>
        <w:jc w:val="both"/>
        <w:rPr>
          <w:rFonts w:ascii="Palatino Linotype" w:eastAsia="Palatino Linotype" w:hAnsi="Palatino Linotype" w:cs="Palatino Linotype"/>
          <w:i/>
          <w:sz w:val="22"/>
          <w:szCs w:val="22"/>
        </w:rPr>
      </w:pPr>
    </w:p>
    <w:p w14:paraId="6B350BAD"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A) En la columna A “Nombre del trabajador”, pudiendo identificarlos como: trabajador 1, trabajador 2, trabajador 3</w:t>
      </w:r>
    </w:p>
    <w:p w14:paraId="6D0DEC33"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B) En la columna B “Año”.</w:t>
      </w:r>
    </w:p>
    <w:p w14:paraId="4A2B4036"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C) En la columna C “Saldo a favor de ISR”.</w:t>
      </w:r>
    </w:p>
    <w:p w14:paraId="784B2FCE"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D) En la columna D “Saldo a cargo en el ISR”.</w:t>
      </w:r>
    </w:p>
    <w:p w14:paraId="7775EA05"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E) En la columna E “Diferencia 0 en el ISR”. </w:t>
      </w:r>
    </w:p>
    <w:p w14:paraId="019FA926" w14:textId="77777777" w:rsidR="00DC1D62" w:rsidRPr="0091592F" w:rsidRDefault="00DC1D62">
      <w:pPr>
        <w:ind w:left="850" w:right="901"/>
        <w:jc w:val="both"/>
        <w:rPr>
          <w:rFonts w:ascii="Palatino Linotype" w:eastAsia="Palatino Linotype" w:hAnsi="Palatino Linotype" w:cs="Palatino Linotype"/>
          <w:i/>
          <w:sz w:val="22"/>
          <w:szCs w:val="22"/>
        </w:rPr>
      </w:pPr>
    </w:p>
    <w:p w14:paraId="6528B67F"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p>
    <w:p w14:paraId="65EE1FF8" w14:textId="77777777" w:rsidR="00DC1D62" w:rsidRPr="0091592F" w:rsidRDefault="00DC1D62">
      <w:pPr>
        <w:spacing w:line="360" w:lineRule="auto"/>
        <w:jc w:val="both"/>
        <w:rPr>
          <w:rFonts w:ascii="Palatino Linotype" w:eastAsia="Palatino Linotype" w:hAnsi="Palatino Linotype" w:cs="Palatino Linotype"/>
          <w:b/>
        </w:rPr>
      </w:pPr>
    </w:p>
    <w:p w14:paraId="7B4D5FBB"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De la lectura del mismo, se acredita que el </w:t>
      </w:r>
      <w:r w:rsidRPr="0091592F">
        <w:rPr>
          <w:rFonts w:ascii="Palatino Linotype" w:eastAsia="Palatino Linotype" w:hAnsi="Palatino Linotype" w:cs="Palatino Linotype"/>
          <w:b/>
        </w:rPr>
        <w:t>RECURRENTE</w:t>
      </w:r>
      <w:r w:rsidRPr="0091592F">
        <w:rPr>
          <w:rFonts w:ascii="Palatino Linotype" w:eastAsia="Palatino Linotype" w:hAnsi="Palatino Linotype" w:cs="Palatino Linotype"/>
        </w:rPr>
        <w:t xml:space="preserve"> peticiona al </w:t>
      </w:r>
      <w:r w:rsidRPr="0091592F">
        <w:rPr>
          <w:rFonts w:ascii="Palatino Linotype" w:eastAsia="Palatino Linotype" w:hAnsi="Palatino Linotype" w:cs="Palatino Linotype"/>
          <w:b/>
        </w:rPr>
        <w:t>SUJETO OBLIGADO</w:t>
      </w:r>
      <w:r w:rsidRPr="0091592F">
        <w:rPr>
          <w:rFonts w:ascii="Palatino Linotype" w:eastAsia="Palatino Linotype" w:hAnsi="Palatino Linotype" w:cs="Palatino Linotype"/>
        </w:rPr>
        <w:t xml:space="preserve"> realice un procesamiento de información, a efecto de poder comprobarse que los servidores públicos no están siendo afectados por errores en el cálculo de impuestos, por lo que a manera de muestra </w:t>
      </w:r>
      <w:r w:rsidRPr="0091592F">
        <w:rPr>
          <w:rFonts w:ascii="Palatino Linotype" w:eastAsia="Palatino Linotype" w:hAnsi="Palatino Linotype" w:cs="Palatino Linotype"/>
          <w:u w:val="single"/>
        </w:rPr>
        <w:t>calculen los impuestos anuales</w:t>
      </w:r>
      <w:r w:rsidRPr="0091592F">
        <w:rPr>
          <w:rFonts w:ascii="Palatino Linotype" w:eastAsia="Palatino Linotype" w:hAnsi="Palatino Linotype" w:cs="Palatino Linotype"/>
        </w:rPr>
        <w:t xml:space="preserve"> de los años 2017, 2018, 2019 y 2020, una vez hecho el procesamiento de la información, deberá realizar un documento de tipo específico que la contenga desagregada conforme a los apartados señalados.</w:t>
      </w:r>
    </w:p>
    <w:p w14:paraId="625E85B0" w14:textId="77777777" w:rsidR="00DC1D62" w:rsidRPr="0091592F" w:rsidRDefault="00DC1D62">
      <w:pPr>
        <w:spacing w:line="360" w:lineRule="auto"/>
        <w:jc w:val="both"/>
        <w:rPr>
          <w:rFonts w:ascii="Palatino Linotype" w:eastAsia="Palatino Linotype" w:hAnsi="Palatino Linotype" w:cs="Palatino Linotype"/>
        </w:rPr>
      </w:pPr>
    </w:p>
    <w:p w14:paraId="5F3B9B69"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sidRPr="0091592F">
        <w:rPr>
          <w:rFonts w:ascii="Palatino Linotype" w:eastAsia="Palatino Linotype" w:hAnsi="Palatino Linotype" w:cs="Palatino Linotype"/>
          <w:u w:val="single"/>
        </w:rPr>
        <w:t xml:space="preserve">en el estado que se encuentra y no hacer </w:t>
      </w:r>
      <w:r w:rsidRPr="0091592F">
        <w:rPr>
          <w:rFonts w:ascii="Palatino Linotype" w:eastAsia="Palatino Linotype" w:hAnsi="Palatino Linotype" w:cs="Palatino Linotype"/>
          <w:u w:val="single"/>
        </w:rPr>
        <w:lastRenderedPageBreak/>
        <w:t>un procesamiento de la misma, ni presentarla conforme al interés del solicitante</w:t>
      </w:r>
      <w:r w:rsidRPr="0091592F">
        <w:rPr>
          <w:rFonts w:ascii="Palatino Linotype" w:eastAsia="Palatino Linotype" w:hAnsi="Palatino Linotype" w:cs="Palatino Linotype"/>
        </w:rPr>
        <w:t>; como así lo establece el artículo 12 de la Ley de Transparencia y Acceso a la Información Pública del Estado de México y Municipios, que a la letra dice:</w:t>
      </w:r>
    </w:p>
    <w:p w14:paraId="0CC5E942" w14:textId="77777777" w:rsidR="00DC1D62" w:rsidRPr="0091592F" w:rsidRDefault="00DC1D62">
      <w:pPr>
        <w:spacing w:line="276" w:lineRule="auto"/>
        <w:jc w:val="both"/>
        <w:rPr>
          <w:rFonts w:ascii="Palatino Linotype" w:eastAsia="Palatino Linotype" w:hAnsi="Palatino Linotype" w:cs="Palatino Linotype"/>
        </w:rPr>
      </w:pPr>
    </w:p>
    <w:p w14:paraId="1F9241D9"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“Artículo 12.-</w:t>
      </w:r>
      <w:r w:rsidRPr="0091592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8F4F680" w14:textId="77777777" w:rsidR="00DC1D62" w:rsidRPr="0091592F" w:rsidRDefault="00DC1D62">
      <w:pPr>
        <w:ind w:left="850" w:right="901"/>
        <w:jc w:val="both"/>
        <w:rPr>
          <w:rFonts w:ascii="Palatino Linotype" w:eastAsia="Palatino Linotype" w:hAnsi="Palatino Linotype" w:cs="Palatino Linotype"/>
          <w:i/>
          <w:sz w:val="22"/>
          <w:szCs w:val="22"/>
        </w:rPr>
      </w:pPr>
    </w:p>
    <w:p w14:paraId="78A17014"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1592F">
        <w:rPr>
          <w:rFonts w:ascii="Palatino Linotype" w:eastAsia="Palatino Linotype" w:hAnsi="Palatino Linotype" w:cs="Palatino Linotype"/>
          <w:i/>
          <w:sz w:val="22"/>
          <w:szCs w:val="22"/>
        </w:rPr>
        <w:t xml:space="preserve">. </w:t>
      </w:r>
      <w:r w:rsidRPr="0091592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4559877" w14:textId="77777777" w:rsidR="00DC1D62" w:rsidRPr="0091592F" w:rsidRDefault="00DC1D62">
      <w:pPr>
        <w:spacing w:line="276" w:lineRule="auto"/>
        <w:ind w:right="-93"/>
        <w:jc w:val="both"/>
        <w:rPr>
          <w:rFonts w:ascii="Palatino Linotype" w:eastAsia="Palatino Linotype" w:hAnsi="Palatino Linotype" w:cs="Palatino Linotype"/>
        </w:rPr>
      </w:pPr>
    </w:p>
    <w:p w14:paraId="42C6E7F8" w14:textId="77777777" w:rsidR="00DC1D62" w:rsidRPr="0091592F" w:rsidRDefault="001F661C">
      <w:pPr>
        <w:spacing w:line="360" w:lineRule="auto"/>
        <w:ind w:right="-93"/>
        <w:jc w:val="both"/>
        <w:rPr>
          <w:rFonts w:ascii="Palatino Linotype" w:eastAsia="Palatino Linotype" w:hAnsi="Palatino Linotype" w:cs="Palatino Linotype"/>
        </w:rPr>
      </w:pPr>
      <w:r w:rsidRPr="0091592F">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3BDEDA8" w14:textId="77777777" w:rsidR="00DC1D62" w:rsidRPr="0091592F" w:rsidRDefault="00DC1D62">
      <w:pPr>
        <w:spacing w:line="360" w:lineRule="auto"/>
        <w:ind w:right="-93"/>
        <w:jc w:val="both"/>
        <w:rPr>
          <w:rFonts w:ascii="Palatino Linotype" w:eastAsia="Palatino Linotype" w:hAnsi="Palatino Linotype" w:cs="Palatino Linotype"/>
        </w:rPr>
      </w:pPr>
    </w:p>
    <w:p w14:paraId="08533AB3" w14:textId="77777777" w:rsidR="00DC1D62" w:rsidRPr="0091592F" w:rsidRDefault="001F661C">
      <w:pPr>
        <w:spacing w:line="360" w:lineRule="auto"/>
        <w:ind w:right="-93"/>
        <w:jc w:val="both"/>
        <w:rPr>
          <w:rFonts w:ascii="Palatino Linotype" w:eastAsia="Palatino Linotype" w:hAnsi="Palatino Linotype" w:cs="Palatino Linotype"/>
        </w:rPr>
      </w:pPr>
      <w:r w:rsidRPr="0091592F">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91592F">
        <w:rPr>
          <w:rFonts w:ascii="Palatino Linotype" w:eastAsia="Palatino Linotype" w:hAnsi="Palatino Linotype" w:cs="Palatino Linotype"/>
          <w:b/>
        </w:rPr>
        <w:t xml:space="preserve"> </w:t>
      </w:r>
    </w:p>
    <w:p w14:paraId="7BFF9162" w14:textId="77777777" w:rsidR="00DC1D62" w:rsidRPr="0091592F" w:rsidRDefault="00DC1D62">
      <w:pPr>
        <w:spacing w:line="360" w:lineRule="auto"/>
        <w:ind w:right="-93"/>
        <w:jc w:val="both"/>
        <w:rPr>
          <w:rFonts w:ascii="Palatino Linotype" w:eastAsia="Palatino Linotype" w:hAnsi="Palatino Linotype" w:cs="Palatino Linotype"/>
        </w:rPr>
      </w:pPr>
    </w:p>
    <w:p w14:paraId="16794AD3"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lastRenderedPageBreak/>
        <w:t>“</w:t>
      </w:r>
      <w:r w:rsidRPr="0091592F">
        <w:rPr>
          <w:rFonts w:ascii="Palatino Linotype" w:eastAsia="Palatino Linotype" w:hAnsi="Palatino Linotype" w:cs="Palatino Linotype"/>
          <w:b/>
          <w:i/>
          <w:sz w:val="22"/>
          <w:szCs w:val="22"/>
        </w:rPr>
        <w:t>No existe obligación de elaborar documentos ad hoc para atender las solicitudes de acceso a la información.</w:t>
      </w:r>
      <w:r w:rsidRPr="0091592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6383B9F" w14:textId="77777777" w:rsidR="00DC1D62" w:rsidRPr="0091592F" w:rsidRDefault="00DC1D62">
      <w:pPr>
        <w:spacing w:line="360" w:lineRule="auto"/>
        <w:jc w:val="both"/>
        <w:rPr>
          <w:rFonts w:ascii="Palatino Linotype" w:eastAsia="Palatino Linotype" w:hAnsi="Palatino Linotype" w:cs="Palatino Linotype"/>
        </w:rPr>
      </w:pPr>
    </w:p>
    <w:p w14:paraId="76541AB9"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En esa tesitura, al apreciarse que el </w:t>
      </w:r>
      <w:r w:rsidRPr="0091592F">
        <w:rPr>
          <w:rFonts w:ascii="Palatino Linotype" w:eastAsia="Palatino Linotype" w:hAnsi="Palatino Linotype" w:cs="Palatino Linotype"/>
          <w:b/>
        </w:rPr>
        <w:t>RECURRENTE</w:t>
      </w:r>
      <w:r w:rsidRPr="0091592F">
        <w:rPr>
          <w:rFonts w:ascii="Palatino Linotype" w:eastAsia="Palatino Linotype" w:hAnsi="Palatino Linotype" w:cs="Palatino Linotype"/>
        </w:rPr>
        <w:t xml:space="preserve"> no desea acceder a un soporte documental, sino que </w:t>
      </w:r>
      <w:r w:rsidRPr="0091592F">
        <w:rPr>
          <w:rFonts w:ascii="Palatino Linotype" w:eastAsia="Palatino Linotype" w:hAnsi="Palatino Linotype" w:cs="Palatino Linotype"/>
          <w:b/>
        </w:rPr>
        <w:t xml:space="preserve">EL SUJETO OBLIGADO </w:t>
      </w:r>
      <w:r w:rsidRPr="0091592F">
        <w:rPr>
          <w:rFonts w:ascii="Palatino Linotype" w:eastAsia="Palatino Linotype" w:hAnsi="Palatino Linotype" w:cs="Palatino Linotype"/>
        </w:rPr>
        <w:t xml:space="preserve">realice un procesamiento y cálculo de la información, una vez realizados, genere un documento que contenga desagregada la información, en apartados específicos; lo cual no resulta exigible, consecuentemente, </w:t>
      </w:r>
      <w:r w:rsidRPr="0091592F">
        <w:rPr>
          <w:rFonts w:ascii="Palatino Linotype" w:eastAsia="Palatino Linotype" w:hAnsi="Palatino Linotype" w:cs="Palatino Linotype"/>
          <w:b/>
        </w:rPr>
        <w:t>no resulta dable ordenar su entrega</w:t>
      </w:r>
      <w:r w:rsidRPr="0091592F">
        <w:rPr>
          <w:rFonts w:ascii="Palatino Linotype" w:eastAsia="Palatino Linotype" w:hAnsi="Palatino Linotype" w:cs="Palatino Linotype"/>
        </w:rPr>
        <w:t>.</w:t>
      </w:r>
    </w:p>
    <w:p w14:paraId="139234DA" w14:textId="77777777" w:rsidR="00DC1D62" w:rsidRPr="0091592F" w:rsidRDefault="00DC1D62">
      <w:pPr>
        <w:spacing w:line="360" w:lineRule="auto"/>
        <w:jc w:val="both"/>
        <w:rPr>
          <w:rFonts w:ascii="Palatino Linotype" w:eastAsia="Palatino Linotype" w:hAnsi="Palatino Linotype" w:cs="Palatino Linotype"/>
        </w:rPr>
      </w:pPr>
    </w:p>
    <w:p w14:paraId="6B025C98"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Finalmente, con relación a las modalidad de entrega de la información </w:t>
      </w:r>
      <w:r w:rsidRPr="0091592F">
        <w:rPr>
          <w:rFonts w:ascii="Palatino Linotype" w:eastAsia="Palatino Linotype" w:hAnsi="Palatino Linotype" w:cs="Palatino Linotype"/>
          <w:i/>
        </w:rPr>
        <w:t>“…</w:t>
      </w:r>
      <w:proofErr w:type="spellStart"/>
      <w:r w:rsidRPr="0091592F">
        <w:rPr>
          <w:rFonts w:ascii="Palatino Linotype" w:eastAsia="Palatino Linotype" w:hAnsi="Palatino Linotype" w:cs="Palatino Linotype"/>
          <w:i/>
        </w:rPr>
        <w:t>usb</w:t>
      </w:r>
      <w:proofErr w:type="spellEnd"/>
      <w:r w:rsidRPr="0091592F">
        <w:rPr>
          <w:rFonts w:ascii="Palatino Linotype" w:eastAsia="Palatino Linotype" w:hAnsi="Palatino Linotype" w:cs="Palatino Linotype"/>
          <w:i/>
        </w:rPr>
        <w:t xml:space="preserve">, </w:t>
      </w:r>
      <w:proofErr w:type="spellStart"/>
      <w:r w:rsidRPr="0091592F">
        <w:rPr>
          <w:rFonts w:ascii="Palatino Linotype" w:eastAsia="Palatino Linotype" w:hAnsi="Palatino Linotype" w:cs="Palatino Linotype"/>
          <w:i/>
        </w:rPr>
        <w:t>sd</w:t>
      </w:r>
      <w:proofErr w:type="spellEnd"/>
      <w:r w:rsidRPr="0091592F">
        <w:rPr>
          <w:rFonts w:ascii="Palatino Linotype" w:eastAsia="Palatino Linotype" w:hAnsi="Palatino Linotype" w:cs="Palatino Linotype"/>
          <w:i/>
        </w:rPr>
        <w:t xml:space="preserve"> y </w:t>
      </w:r>
      <w:proofErr w:type="spellStart"/>
      <w:r w:rsidRPr="0091592F">
        <w:rPr>
          <w:rFonts w:ascii="Palatino Linotype" w:eastAsia="Palatino Linotype" w:hAnsi="Palatino Linotype" w:cs="Palatino Linotype"/>
          <w:i/>
        </w:rPr>
        <w:t>cd-rom</w:t>
      </w:r>
      <w:proofErr w:type="spellEnd"/>
      <w:r w:rsidRPr="0091592F">
        <w:rPr>
          <w:rFonts w:ascii="Palatino Linotype" w:eastAsia="Palatino Linotype" w:hAnsi="Palatino Linotype" w:cs="Palatino Linotype"/>
          <w:i/>
        </w:rPr>
        <w:t xml:space="preserve">.” </w:t>
      </w:r>
      <w:r w:rsidRPr="0091592F">
        <w:rPr>
          <w:rFonts w:ascii="Palatino Linotype" w:eastAsia="Palatino Linotype" w:hAnsi="Palatino Linotype" w:cs="Palatino Linotype"/>
        </w:rPr>
        <w:t xml:space="preserve">es de señalar que se encuentran reguladas por el Código Financiero del Estado de México y Municipios en su artículo 148, fracciones III y IV, aplicable al </w:t>
      </w:r>
      <w:r w:rsidRPr="0091592F">
        <w:rPr>
          <w:rFonts w:ascii="Palatino Linotype" w:eastAsia="Palatino Linotype" w:hAnsi="Palatino Linotype" w:cs="Palatino Linotype"/>
          <w:b/>
        </w:rPr>
        <w:t xml:space="preserve">Sujeto Obligado </w:t>
      </w:r>
      <w:r w:rsidRPr="0091592F">
        <w:rPr>
          <w:rFonts w:ascii="Palatino Linotype" w:eastAsia="Palatino Linotype" w:hAnsi="Palatino Linotype" w:cs="Palatino Linotype"/>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54A72569" w14:textId="5568B48D" w:rsidR="00DC1D62" w:rsidRPr="0091592F" w:rsidRDefault="009608AF">
      <w:pPr>
        <w:spacing w:line="360" w:lineRule="auto"/>
        <w:jc w:val="center"/>
        <w:rPr>
          <w:rFonts w:ascii="Palatino Linotype" w:eastAsia="Palatino Linotype" w:hAnsi="Palatino Linotype" w:cs="Palatino Linotype"/>
        </w:rPr>
      </w:pPr>
      <w:r w:rsidRPr="0091592F">
        <w:rPr>
          <w:noProof/>
          <w:lang w:eastAsia="es-MX"/>
        </w:rPr>
        <w:lastRenderedPageBreak/>
        <mc:AlternateContent>
          <mc:Choice Requires="wps">
            <w:drawing>
              <wp:anchor distT="0" distB="0" distL="114300" distR="114300" simplePos="0" relativeHeight="251661312" behindDoc="0" locked="0" layoutInCell="1" hidden="0" allowOverlap="1" wp14:anchorId="182B5C91" wp14:editId="72F98F25">
                <wp:simplePos x="0" y="0"/>
                <wp:positionH relativeFrom="column">
                  <wp:posOffset>512290</wp:posOffset>
                </wp:positionH>
                <wp:positionV relativeFrom="paragraph">
                  <wp:posOffset>1314450</wp:posOffset>
                </wp:positionV>
                <wp:extent cx="4362450" cy="542285"/>
                <wp:effectExtent l="0" t="0" r="0" b="0"/>
                <wp:wrapNone/>
                <wp:docPr id="67" name="Rectángulo 67"/>
                <wp:cNvGraphicFramePr/>
                <a:graphic xmlns:a="http://schemas.openxmlformats.org/drawingml/2006/main">
                  <a:graphicData uri="http://schemas.microsoft.com/office/word/2010/wordprocessingShape">
                    <wps:wsp>
                      <wps:cNvSpPr/>
                      <wps:spPr>
                        <a:xfrm>
                          <a:off x="0" y="0"/>
                          <a:ext cx="4362450" cy="542285"/>
                        </a:xfrm>
                        <a:prstGeom prst="rect">
                          <a:avLst/>
                        </a:prstGeom>
                        <a:noFill/>
                        <a:ln w="38100" cap="flat" cmpd="sng">
                          <a:solidFill>
                            <a:srgbClr val="C00000"/>
                          </a:solidFill>
                          <a:prstDash val="solid"/>
                          <a:round/>
                          <a:headEnd type="none" w="sm" len="sm"/>
                          <a:tailEnd type="none" w="sm" len="sm"/>
                        </a:ln>
                      </wps:spPr>
                      <wps:txbx>
                        <w:txbxContent>
                          <w:p w14:paraId="39D3BFD9" w14:textId="77777777" w:rsidR="00DC1D62" w:rsidRDefault="00DC1D62">
                            <w:pPr>
                              <w:textDirection w:val="btLr"/>
                            </w:pPr>
                            <w:bookmarkStart w:id="9" w:name="_GoBack"/>
                            <w:bookmarkEnd w:id="9"/>
                          </w:p>
                        </w:txbxContent>
                      </wps:txbx>
                      <wps:bodyPr spcFirstLastPara="1" wrap="square" lIns="91425" tIns="91425" rIns="91425" bIns="91425" anchor="ctr" anchorCtr="0">
                        <a:noAutofit/>
                      </wps:bodyPr>
                    </wps:wsp>
                  </a:graphicData>
                </a:graphic>
              </wp:anchor>
            </w:drawing>
          </mc:Choice>
          <mc:Fallback>
            <w:pict>
              <v:rect w14:anchorId="182B5C91" id="Rectángulo 67" o:spid="_x0000_s1029" style="position:absolute;left:0;text-align:left;margin-left:40.35pt;margin-top:103.5pt;width:343.5pt;height:4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" filled="f" strokecolor="#c00000" strokeweight="3pt">
                <v:stroke startarrowwidth="narrow" startarrowlength="short" endarrowwidth="narrow" endarrowlength="short" joinstyle="round"/>
                <v:textbox inset="2.53958mm,2.53958mm,2.53958mm,2.53958mm">
                  <w:txbxContent>
                    <w:p w14:paraId="39D3BFD9" w14:textId="77777777" w:rsidR="00DC1D62" w:rsidRDefault="00DC1D62">
                      <w:pPr>
                        <w:textDirection w:val="btLr"/>
                      </w:pPr>
                      <w:bookmarkStart w:id="10" w:name="_GoBack"/>
                      <w:bookmarkEnd w:id="10"/>
                    </w:p>
                  </w:txbxContent>
                </v:textbox>
              </v:rect>
            </w:pict>
          </mc:Fallback>
        </mc:AlternateContent>
      </w:r>
      <w:r w:rsidR="001F661C" w:rsidRPr="0091592F">
        <w:rPr>
          <w:rFonts w:ascii="Palatino Linotype" w:eastAsia="Palatino Linotype" w:hAnsi="Palatino Linotype" w:cs="Palatino Linotype"/>
          <w:noProof/>
          <w:lang w:eastAsia="es-MX"/>
        </w:rPr>
        <w:drawing>
          <wp:inline distT="0" distB="0" distL="0" distR="0" wp14:anchorId="64EBD2BC" wp14:editId="2CE3588B">
            <wp:extent cx="4824000" cy="3030348"/>
            <wp:effectExtent l="0" t="0" r="0" b="0"/>
            <wp:docPr id="8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4824000" cy="3030348"/>
                    </a:xfrm>
                    <a:prstGeom prst="rect">
                      <a:avLst/>
                    </a:prstGeom>
                    <a:ln/>
                  </pic:spPr>
                </pic:pic>
              </a:graphicData>
            </a:graphic>
          </wp:inline>
        </w:drawing>
      </w:r>
    </w:p>
    <w:p w14:paraId="2B530017" w14:textId="77777777" w:rsidR="00DC1D62" w:rsidRPr="0091592F" w:rsidRDefault="001F661C">
      <w:pPr>
        <w:spacing w:before="240" w:after="240"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Como se advierte, la entrega de información en ejercicio del derecho de acceso a la información a través de medios magnéticos o disco compacto, genera derechos a favor de los entes públicos, por lo que el particular deberá cubrir los montos respectivos de manera previa para que </w:t>
      </w:r>
      <w:r w:rsidRPr="0091592F">
        <w:rPr>
          <w:rFonts w:ascii="Palatino Linotype" w:eastAsia="Palatino Linotype" w:hAnsi="Palatino Linotype" w:cs="Palatino Linotype"/>
          <w:b/>
        </w:rPr>
        <w:t xml:space="preserve">EL SUJETO OBLIGADO </w:t>
      </w:r>
      <w:r w:rsidRPr="0091592F">
        <w:rPr>
          <w:rFonts w:ascii="Palatino Linotype" w:eastAsia="Palatino Linotype" w:hAnsi="Palatino Linotype" w:cs="Palatino Linotype"/>
        </w:rPr>
        <w:t>le proporcione la información que es de su interés,</w:t>
      </w:r>
      <w:r w:rsidRPr="0091592F">
        <w:rPr>
          <w:rFonts w:ascii="Palatino Linotype" w:eastAsia="Palatino Linotype" w:hAnsi="Palatino Linotype" w:cs="Palatino Linotype"/>
          <w:b/>
        </w:rPr>
        <w:t xml:space="preserve"> </w:t>
      </w:r>
      <w:r w:rsidRPr="0091592F">
        <w:rPr>
          <w:rFonts w:ascii="Palatino Linotype" w:eastAsia="Palatino Linotype" w:hAnsi="Palatino Linotype" w:cs="Palatino Linotype"/>
        </w:rPr>
        <w:t>sin embargo, dicho cobró no resultará procedente en el caso de que el solicitante proporcione el medio en el que requiera le sea entregada la información pública.</w:t>
      </w:r>
    </w:p>
    <w:p w14:paraId="2A374F1E"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Ahora bien, en relación a la </w:t>
      </w:r>
      <w:r w:rsidRPr="0091592F">
        <w:rPr>
          <w:rFonts w:ascii="Palatino Linotype" w:eastAsia="Palatino Linotype" w:hAnsi="Palatino Linotype" w:cs="Palatino Linotype"/>
          <w:b/>
        </w:rPr>
        <w:t xml:space="preserve">versión pública </w:t>
      </w:r>
      <w:r w:rsidRPr="0091592F">
        <w:rPr>
          <w:rFonts w:ascii="Palatino Linotype" w:eastAsia="Palatino Linotype" w:hAnsi="Palatino Linotype" w:cs="Palatino Linotype"/>
        </w:rPr>
        <w:t xml:space="preserve">de la información de la que se ordena su entrega, en términos del artículo 143 de la Ley de Transparencia y Acceso a la Información Pública del Estado de México y Municipios, deberá omitirse, eliminarse o suprimirse la información </w:t>
      </w:r>
      <w:r w:rsidRPr="0091592F">
        <w:rPr>
          <w:rFonts w:ascii="Palatino Linotype" w:eastAsia="Palatino Linotype" w:hAnsi="Palatino Linotype" w:cs="Palatino Linotype"/>
          <w:b/>
        </w:rPr>
        <w:t>confidencial</w:t>
      </w:r>
      <w:r w:rsidRPr="0091592F">
        <w:rPr>
          <w:rFonts w:ascii="Palatino Linotype" w:eastAsia="Palatino Linotype" w:hAnsi="Palatino Linotype" w:cs="Palatino Linotype"/>
        </w:rPr>
        <w:t xml:space="preserve">. </w:t>
      </w:r>
    </w:p>
    <w:p w14:paraId="26E306CB" w14:textId="77777777" w:rsidR="00DC1D62" w:rsidRPr="0091592F" w:rsidRDefault="00DC1D62">
      <w:pPr>
        <w:spacing w:line="360" w:lineRule="auto"/>
        <w:jc w:val="both"/>
        <w:rPr>
          <w:rFonts w:ascii="Palatino Linotype" w:eastAsia="Palatino Linotype" w:hAnsi="Palatino Linotype" w:cs="Palatino Linotype"/>
        </w:rPr>
      </w:pPr>
    </w:p>
    <w:p w14:paraId="6E886BDD"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91592F">
        <w:rPr>
          <w:rFonts w:ascii="Palatino Linotype" w:eastAsia="Palatino Linotype" w:hAnsi="Palatino Linotype" w:cs="Palatino Linotype"/>
          <w:b/>
        </w:rPr>
        <w:t>SUJETO OBLIGADO</w:t>
      </w:r>
      <w:r w:rsidRPr="0091592F">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029F007D" w14:textId="77777777" w:rsidR="00DC1D62" w:rsidRPr="0091592F" w:rsidRDefault="00DC1D62">
      <w:pPr>
        <w:spacing w:line="360" w:lineRule="auto"/>
        <w:jc w:val="both"/>
        <w:rPr>
          <w:rFonts w:ascii="Palatino Linotype" w:eastAsia="Palatino Linotype" w:hAnsi="Palatino Linotype" w:cs="Palatino Linotype"/>
        </w:rPr>
      </w:pPr>
    </w:p>
    <w:p w14:paraId="28E270FC"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Por ende,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2154885" w14:textId="77777777" w:rsidR="00DC1D62" w:rsidRPr="0091592F" w:rsidRDefault="00DC1D62">
      <w:pPr>
        <w:ind w:left="851" w:right="902"/>
        <w:jc w:val="center"/>
        <w:rPr>
          <w:rFonts w:ascii="Palatino Linotype" w:eastAsia="Palatino Linotype" w:hAnsi="Palatino Linotype" w:cs="Palatino Linotype"/>
          <w:b/>
          <w:i/>
          <w:sz w:val="22"/>
          <w:szCs w:val="22"/>
        </w:rPr>
      </w:pPr>
    </w:p>
    <w:p w14:paraId="558BE00B" w14:textId="77777777" w:rsidR="00DC1D62" w:rsidRPr="0091592F" w:rsidRDefault="001F661C">
      <w:pPr>
        <w:ind w:left="851" w:right="902"/>
        <w:jc w:val="center"/>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Ley de Transparencia y Acceso a la Información Pública del Estado de México y Municipios.</w:t>
      </w:r>
    </w:p>
    <w:p w14:paraId="721EFC01" w14:textId="77777777" w:rsidR="00DC1D62" w:rsidRPr="0091592F" w:rsidRDefault="00DC1D62">
      <w:pPr>
        <w:ind w:left="851" w:right="902"/>
        <w:jc w:val="center"/>
        <w:rPr>
          <w:rFonts w:ascii="Palatino Linotype" w:eastAsia="Palatino Linotype" w:hAnsi="Palatino Linotype" w:cs="Palatino Linotype"/>
          <w:b/>
          <w:i/>
          <w:sz w:val="22"/>
          <w:szCs w:val="22"/>
        </w:rPr>
      </w:pPr>
    </w:p>
    <w:p w14:paraId="29B6B5CA"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 xml:space="preserve">Artículo 49. </w:t>
      </w:r>
      <w:r w:rsidRPr="0091592F">
        <w:rPr>
          <w:rFonts w:ascii="Palatino Linotype" w:eastAsia="Palatino Linotype" w:hAnsi="Palatino Linotype" w:cs="Palatino Linotype"/>
          <w:i/>
          <w:sz w:val="22"/>
          <w:szCs w:val="22"/>
        </w:rPr>
        <w:t>Los Comités de Transparencia tendrán las siguientes atribuciones:</w:t>
      </w:r>
    </w:p>
    <w:p w14:paraId="6168D0EF"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VIII.</w:t>
      </w:r>
      <w:r w:rsidRPr="0091592F">
        <w:rPr>
          <w:rFonts w:ascii="Palatino Linotype" w:eastAsia="Palatino Linotype" w:hAnsi="Palatino Linotype" w:cs="Palatino Linotype"/>
          <w:i/>
          <w:sz w:val="22"/>
          <w:szCs w:val="22"/>
        </w:rPr>
        <w:t xml:space="preserve"> </w:t>
      </w:r>
      <w:r w:rsidRPr="0091592F">
        <w:rPr>
          <w:rFonts w:ascii="Palatino Linotype" w:eastAsia="Palatino Linotype" w:hAnsi="Palatino Linotype" w:cs="Palatino Linotype"/>
          <w:b/>
          <w:i/>
          <w:sz w:val="22"/>
          <w:szCs w:val="22"/>
        </w:rPr>
        <w:t>Aprobar</w:t>
      </w:r>
      <w:r w:rsidRPr="0091592F">
        <w:rPr>
          <w:rFonts w:ascii="Palatino Linotype" w:eastAsia="Palatino Linotype" w:hAnsi="Palatino Linotype" w:cs="Palatino Linotype"/>
          <w:i/>
          <w:sz w:val="22"/>
          <w:szCs w:val="22"/>
        </w:rPr>
        <w:t>, modificar o revocar la clasificación de la información;</w:t>
      </w:r>
    </w:p>
    <w:p w14:paraId="0D2456C4" w14:textId="77777777" w:rsidR="00DC1D62" w:rsidRPr="0091592F" w:rsidRDefault="001F661C">
      <w:pPr>
        <w:ind w:left="851" w:right="902"/>
        <w:jc w:val="both"/>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Artículo 132.</w:t>
      </w:r>
      <w:r w:rsidRPr="0091592F">
        <w:rPr>
          <w:rFonts w:ascii="Palatino Linotype" w:eastAsia="Palatino Linotype" w:hAnsi="Palatino Linotype" w:cs="Palatino Linotype"/>
          <w:i/>
          <w:sz w:val="22"/>
          <w:szCs w:val="22"/>
        </w:rPr>
        <w:t xml:space="preserve"> </w:t>
      </w:r>
      <w:r w:rsidRPr="0091592F">
        <w:rPr>
          <w:rFonts w:ascii="Palatino Linotype" w:eastAsia="Palatino Linotype" w:hAnsi="Palatino Linotype" w:cs="Palatino Linotype"/>
          <w:b/>
          <w:i/>
          <w:sz w:val="22"/>
          <w:szCs w:val="22"/>
        </w:rPr>
        <w:t>La clasificación de la información se llevará a cabo en el momento en que:</w:t>
      </w:r>
    </w:p>
    <w:p w14:paraId="46214CEF"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06913B5A"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II.</w:t>
      </w:r>
      <w:r w:rsidRPr="0091592F">
        <w:rPr>
          <w:rFonts w:ascii="Palatino Linotype" w:eastAsia="Palatino Linotype" w:hAnsi="Palatino Linotype" w:cs="Palatino Linotype"/>
          <w:i/>
          <w:sz w:val="22"/>
          <w:szCs w:val="22"/>
        </w:rPr>
        <w:t xml:space="preserve"> Se determine mediante resolución de autoridad competente; o</w:t>
      </w:r>
    </w:p>
    <w:p w14:paraId="0C9EACF6"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III</w:t>
      </w:r>
      <w:r w:rsidRPr="0091592F">
        <w:rPr>
          <w:rFonts w:ascii="Palatino Linotype" w:eastAsia="Palatino Linotype" w:hAnsi="Palatino Linotype" w:cs="Palatino Linotype"/>
          <w:i/>
          <w:sz w:val="22"/>
          <w:szCs w:val="22"/>
        </w:rPr>
        <w:t xml:space="preserve">. </w:t>
      </w:r>
      <w:r w:rsidRPr="0091592F">
        <w:rPr>
          <w:rFonts w:ascii="Palatino Linotype" w:eastAsia="Palatino Linotype" w:hAnsi="Palatino Linotype" w:cs="Palatino Linotype"/>
          <w:b/>
          <w:i/>
          <w:sz w:val="22"/>
          <w:szCs w:val="22"/>
        </w:rPr>
        <w:t>Se generen versiones públicas para dar cumplimiento a las obligaciones de transparencia previstas en esta Ley</w:t>
      </w:r>
      <w:r w:rsidRPr="0091592F">
        <w:rPr>
          <w:rFonts w:ascii="Palatino Linotype" w:eastAsia="Palatino Linotype" w:hAnsi="Palatino Linotype" w:cs="Palatino Linotype"/>
          <w:i/>
          <w:sz w:val="22"/>
          <w:szCs w:val="22"/>
        </w:rPr>
        <w:t>.”</w:t>
      </w:r>
    </w:p>
    <w:p w14:paraId="3E5E14DC" w14:textId="77777777" w:rsidR="00DC1D62" w:rsidRPr="0091592F" w:rsidRDefault="00DC1D62">
      <w:pPr>
        <w:ind w:left="851" w:right="902"/>
        <w:jc w:val="both"/>
        <w:rPr>
          <w:rFonts w:ascii="Palatino Linotype" w:eastAsia="Palatino Linotype" w:hAnsi="Palatino Linotype" w:cs="Palatino Linotype"/>
          <w:i/>
          <w:sz w:val="22"/>
          <w:szCs w:val="22"/>
        </w:rPr>
      </w:pPr>
    </w:p>
    <w:p w14:paraId="3A531E4E" w14:textId="77777777" w:rsidR="00DC1D62" w:rsidRPr="0091592F" w:rsidRDefault="001F661C">
      <w:pPr>
        <w:ind w:left="851" w:right="902"/>
        <w:jc w:val="center"/>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Lineamientos Generales en materia de Clasificación y Desclasificación de la Información</w:t>
      </w:r>
    </w:p>
    <w:p w14:paraId="21BE5CC5" w14:textId="77777777" w:rsidR="00DC1D62" w:rsidRPr="0091592F" w:rsidRDefault="00DC1D62">
      <w:pPr>
        <w:ind w:left="851" w:right="902"/>
        <w:jc w:val="center"/>
        <w:rPr>
          <w:rFonts w:ascii="Palatino Linotype" w:eastAsia="Palatino Linotype" w:hAnsi="Palatino Linotype" w:cs="Palatino Linotype"/>
          <w:b/>
          <w:i/>
          <w:sz w:val="22"/>
          <w:szCs w:val="22"/>
        </w:rPr>
      </w:pPr>
    </w:p>
    <w:p w14:paraId="1EF9C184"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r w:rsidRPr="0091592F">
        <w:rPr>
          <w:rFonts w:ascii="Palatino Linotype" w:eastAsia="Palatino Linotype" w:hAnsi="Palatino Linotype" w:cs="Palatino Linotype"/>
          <w:b/>
          <w:i/>
          <w:sz w:val="22"/>
          <w:szCs w:val="22"/>
        </w:rPr>
        <w:t>Segundo.-</w:t>
      </w:r>
      <w:r w:rsidRPr="0091592F">
        <w:rPr>
          <w:rFonts w:ascii="Palatino Linotype" w:eastAsia="Palatino Linotype" w:hAnsi="Palatino Linotype" w:cs="Palatino Linotype"/>
          <w:i/>
          <w:sz w:val="22"/>
          <w:szCs w:val="22"/>
        </w:rPr>
        <w:t xml:space="preserve"> Para efectos de los presentes Lineamientos Generales, se entenderá por:</w:t>
      </w:r>
    </w:p>
    <w:p w14:paraId="6E81B786"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XVIII.</w:t>
      </w:r>
      <w:r w:rsidRPr="0091592F">
        <w:rPr>
          <w:rFonts w:ascii="Palatino Linotype" w:eastAsia="Palatino Linotype" w:hAnsi="Palatino Linotype" w:cs="Palatino Linotype"/>
          <w:i/>
          <w:sz w:val="22"/>
          <w:szCs w:val="22"/>
        </w:rPr>
        <w:t xml:space="preserve"> </w:t>
      </w:r>
      <w:r w:rsidRPr="0091592F">
        <w:rPr>
          <w:rFonts w:ascii="Palatino Linotype" w:eastAsia="Palatino Linotype" w:hAnsi="Palatino Linotype" w:cs="Palatino Linotype"/>
          <w:b/>
          <w:i/>
          <w:sz w:val="22"/>
          <w:szCs w:val="22"/>
        </w:rPr>
        <w:t>Versión pública:</w:t>
      </w:r>
      <w:r w:rsidRPr="0091592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1592F">
        <w:rPr>
          <w:rFonts w:ascii="Palatino Linotype" w:eastAsia="Palatino Linotype" w:hAnsi="Palatino Linotype" w:cs="Palatino Linotype"/>
          <w:b/>
          <w:i/>
          <w:sz w:val="22"/>
          <w:szCs w:val="22"/>
        </w:rPr>
        <w:t>fundando y motivando la</w:t>
      </w:r>
      <w:r w:rsidRPr="0091592F">
        <w:rPr>
          <w:rFonts w:ascii="Palatino Linotype" w:eastAsia="Palatino Linotype" w:hAnsi="Palatino Linotype" w:cs="Palatino Linotype"/>
          <w:i/>
          <w:sz w:val="22"/>
          <w:szCs w:val="22"/>
        </w:rPr>
        <w:t xml:space="preserve"> reserva o </w:t>
      </w:r>
      <w:r w:rsidRPr="0091592F">
        <w:rPr>
          <w:rFonts w:ascii="Palatino Linotype" w:eastAsia="Palatino Linotype" w:hAnsi="Palatino Linotype" w:cs="Palatino Linotype"/>
          <w:b/>
          <w:i/>
          <w:sz w:val="22"/>
          <w:szCs w:val="22"/>
        </w:rPr>
        <w:t>confidencialidad</w:t>
      </w:r>
      <w:r w:rsidRPr="0091592F">
        <w:rPr>
          <w:rFonts w:ascii="Palatino Linotype" w:eastAsia="Palatino Linotype" w:hAnsi="Palatino Linotype" w:cs="Palatino Linotype"/>
          <w:i/>
          <w:sz w:val="22"/>
          <w:szCs w:val="22"/>
        </w:rPr>
        <w:t>, a través de la resolución que para tal efecto emita el Comité de Transparencia.</w:t>
      </w:r>
    </w:p>
    <w:p w14:paraId="016A6FF7" w14:textId="77777777" w:rsidR="00DC1D62" w:rsidRPr="0091592F" w:rsidRDefault="00DC1D62">
      <w:pPr>
        <w:ind w:left="851" w:right="902"/>
        <w:jc w:val="both"/>
        <w:rPr>
          <w:rFonts w:ascii="Palatino Linotype" w:eastAsia="Palatino Linotype" w:hAnsi="Palatino Linotype" w:cs="Palatino Linotype"/>
          <w:i/>
          <w:sz w:val="22"/>
          <w:szCs w:val="22"/>
        </w:rPr>
      </w:pPr>
    </w:p>
    <w:p w14:paraId="6B5619F0"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Cuarto.</w:t>
      </w:r>
      <w:r w:rsidRPr="0091592F">
        <w:rPr>
          <w:rFonts w:ascii="Palatino Linotype" w:eastAsia="Palatino Linotype" w:hAnsi="Palatino Linotype" w:cs="Palatino Linotype"/>
          <w:i/>
          <w:sz w:val="22"/>
          <w:szCs w:val="22"/>
        </w:rPr>
        <w:t xml:space="preserve"> </w:t>
      </w:r>
      <w:r w:rsidRPr="0091592F">
        <w:rPr>
          <w:rFonts w:ascii="Palatino Linotype" w:eastAsia="Palatino Linotype" w:hAnsi="Palatino Linotype" w:cs="Palatino Linotype"/>
          <w:b/>
          <w:i/>
          <w:sz w:val="22"/>
          <w:szCs w:val="22"/>
        </w:rPr>
        <w:t>Para clasificar la información como</w:t>
      </w:r>
      <w:r w:rsidRPr="0091592F">
        <w:rPr>
          <w:rFonts w:ascii="Palatino Linotype" w:eastAsia="Palatino Linotype" w:hAnsi="Palatino Linotype" w:cs="Palatino Linotype"/>
          <w:i/>
          <w:sz w:val="22"/>
          <w:szCs w:val="22"/>
        </w:rPr>
        <w:t xml:space="preserve"> reservada o </w:t>
      </w:r>
      <w:r w:rsidRPr="0091592F">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91592F">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2E09C4"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E399A11" w14:textId="77777777" w:rsidR="00DC1D62" w:rsidRPr="0091592F" w:rsidRDefault="00DC1D62">
      <w:pPr>
        <w:ind w:left="851" w:right="902"/>
        <w:jc w:val="both"/>
        <w:rPr>
          <w:rFonts w:ascii="Palatino Linotype" w:eastAsia="Palatino Linotype" w:hAnsi="Palatino Linotype" w:cs="Palatino Linotype"/>
          <w:i/>
          <w:sz w:val="22"/>
          <w:szCs w:val="22"/>
        </w:rPr>
      </w:pPr>
    </w:p>
    <w:p w14:paraId="42D84D4D"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Quinto.</w:t>
      </w:r>
      <w:r w:rsidRPr="0091592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w:t>
      </w:r>
      <w:r w:rsidRPr="0091592F">
        <w:rPr>
          <w:rFonts w:ascii="Palatino Linotype" w:eastAsia="Palatino Linotype" w:hAnsi="Palatino Linotype" w:cs="Palatino Linotype"/>
          <w:i/>
          <w:sz w:val="22"/>
          <w:szCs w:val="22"/>
        </w:rPr>
        <w:lastRenderedPageBreak/>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1A559D" w14:textId="77777777" w:rsidR="00DC1D62" w:rsidRPr="0091592F" w:rsidRDefault="00DC1D62">
      <w:pPr>
        <w:ind w:left="851" w:right="902"/>
        <w:jc w:val="both"/>
        <w:rPr>
          <w:rFonts w:ascii="Palatino Linotype" w:eastAsia="Palatino Linotype" w:hAnsi="Palatino Linotype" w:cs="Palatino Linotype"/>
          <w:i/>
          <w:sz w:val="22"/>
          <w:szCs w:val="22"/>
        </w:rPr>
      </w:pPr>
    </w:p>
    <w:p w14:paraId="305375A7"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Sexto.</w:t>
      </w:r>
      <w:r w:rsidRPr="0091592F">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CD546D6"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D0B37F0" w14:textId="77777777" w:rsidR="00DC1D62" w:rsidRPr="0091592F" w:rsidRDefault="00DC1D62">
      <w:pPr>
        <w:ind w:left="851" w:right="902"/>
        <w:jc w:val="both"/>
        <w:rPr>
          <w:rFonts w:ascii="Palatino Linotype" w:eastAsia="Palatino Linotype" w:hAnsi="Palatino Linotype" w:cs="Palatino Linotype"/>
          <w:i/>
          <w:sz w:val="22"/>
          <w:szCs w:val="22"/>
        </w:rPr>
      </w:pPr>
    </w:p>
    <w:p w14:paraId="626DD4DE"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Séptimo.</w:t>
      </w:r>
      <w:r w:rsidRPr="0091592F">
        <w:rPr>
          <w:rFonts w:ascii="Palatino Linotype" w:eastAsia="Palatino Linotype" w:hAnsi="Palatino Linotype" w:cs="Palatino Linotype"/>
          <w:i/>
          <w:sz w:val="22"/>
          <w:szCs w:val="22"/>
        </w:rPr>
        <w:t xml:space="preserve"> La clasificación de la información se llevará a cabo en el momento en que:</w:t>
      </w:r>
    </w:p>
    <w:p w14:paraId="2A8C2B08"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I.</w:t>
      </w:r>
      <w:r w:rsidRPr="0091592F">
        <w:rPr>
          <w:rFonts w:ascii="Palatino Linotype" w:eastAsia="Palatino Linotype" w:hAnsi="Palatino Linotype" w:cs="Palatino Linotype"/>
          <w:i/>
          <w:sz w:val="22"/>
          <w:szCs w:val="22"/>
        </w:rPr>
        <w:t xml:space="preserve"> Se reciba una solicitud de acceso a la información;</w:t>
      </w:r>
    </w:p>
    <w:p w14:paraId="5E5B9856"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II.</w:t>
      </w:r>
      <w:r w:rsidRPr="0091592F">
        <w:rPr>
          <w:rFonts w:ascii="Palatino Linotype" w:eastAsia="Palatino Linotype" w:hAnsi="Palatino Linotype" w:cs="Palatino Linotype"/>
          <w:i/>
          <w:sz w:val="22"/>
          <w:szCs w:val="22"/>
        </w:rPr>
        <w:t xml:space="preserve"> Se determine mediante resolución de autoridad competente, o</w:t>
      </w:r>
    </w:p>
    <w:p w14:paraId="7AF0118D"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III.</w:t>
      </w:r>
      <w:r w:rsidRPr="0091592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6DE4728"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85CA9F6" w14:textId="77777777" w:rsidR="00DC1D62" w:rsidRPr="0091592F" w:rsidRDefault="00DC1D62">
      <w:pPr>
        <w:ind w:left="851" w:right="902"/>
        <w:jc w:val="both"/>
        <w:rPr>
          <w:rFonts w:ascii="Palatino Linotype" w:eastAsia="Palatino Linotype" w:hAnsi="Palatino Linotype" w:cs="Palatino Linotype"/>
          <w:i/>
          <w:sz w:val="22"/>
          <w:szCs w:val="22"/>
        </w:rPr>
      </w:pPr>
    </w:p>
    <w:p w14:paraId="15F139CE"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Octavo.</w:t>
      </w:r>
      <w:r w:rsidRPr="0091592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2435BFD"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D2CF60A"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50E7C482"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Tratándose de información clasificada como confidencial respecto de la cual se haya determinado su conservación permanente por tener valor histórico, ésta </w:t>
      </w:r>
      <w:r w:rsidRPr="0091592F">
        <w:rPr>
          <w:rFonts w:ascii="Palatino Linotype" w:eastAsia="Palatino Linotype" w:hAnsi="Palatino Linotype" w:cs="Palatino Linotype"/>
          <w:i/>
          <w:sz w:val="22"/>
          <w:szCs w:val="22"/>
        </w:rPr>
        <w:lastRenderedPageBreak/>
        <w:t>conservará tal carácter de conformidad con la normativa aplicable en materia de archivos.</w:t>
      </w:r>
    </w:p>
    <w:p w14:paraId="666A9820"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25AE8DB" w14:textId="77777777" w:rsidR="00DC1D62" w:rsidRPr="0091592F" w:rsidRDefault="00DC1D62">
      <w:pPr>
        <w:ind w:left="851" w:right="902"/>
        <w:jc w:val="both"/>
        <w:rPr>
          <w:rFonts w:ascii="Palatino Linotype" w:eastAsia="Palatino Linotype" w:hAnsi="Palatino Linotype" w:cs="Palatino Linotype"/>
          <w:i/>
          <w:sz w:val="22"/>
          <w:szCs w:val="22"/>
        </w:rPr>
      </w:pPr>
    </w:p>
    <w:p w14:paraId="14A3DC3F"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Noveno.</w:t>
      </w:r>
      <w:r w:rsidRPr="0091592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D4529B0" w14:textId="77777777" w:rsidR="00DC1D62" w:rsidRPr="0091592F" w:rsidRDefault="00DC1D62">
      <w:pPr>
        <w:ind w:left="851" w:right="902"/>
        <w:jc w:val="both"/>
        <w:rPr>
          <w:rFonts w:ascii="Palatino Linotype" w:eastAsia="Palatino Linotype" w:hAnsi="Palatino Linotype" w:cs="Palatino Linotype"/>
          <w:i/>
          <w:sz w:val="22"/>
          <w:szCs w:val="22"/>
        </w:rPr>
      </w:pPr>
    </w:p>
    <w:p w14:paraId="115D25BF"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Décimo.</w:t>
      </w:r>
      <w:r w:rsidRPr="0091592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D7DDDF0"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0B819F4" w14:textId="77777777" w:rsidR="00DC1D62" w:rsidRPr="0091592F" w:rsidRDefault="00DC1D62">
      <w:pPr>
        <w:ind w:left="851" w:right="902"/>
        <w:jc w:val="both"/>
        <w:rPr>
          <w:rFonts w:ascii="Palatino Linotype" w:eastAsia="Palatino Linotype" w:hAnsi="Palatino Linotype" w:cs="Palatino Linotype"/>
          <w:i/>
          <w:sz w:val="22"/>
          <w:szCs w:val="22"/>
        </w:rPr>
      </w:pPr>
    </w:p>
    <w:p w14:paraId="51C87058" w14:textId="77777777" w:rsidR="00DC1D62" w:rsidRPr="0091592F" w:rsidRDefault="001F661C">
      <w:pPr>
        <w:ind w:left="851" w:right="902"/>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Décimo primero.</w:t>
      </w:r>
      <w:r w:rsidRPr="0091592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18ABD7B" w14:textId="77777777" w:rsidR="00DC1D62" w:rsidRPr="0091592F" w:rsidRDefault="00DC1D62">
      <w:pPr>
        <w:ind w:left="851" w:right="902"/>
        <w:jc w:val="both"/>
        <w:rPr>
          <w:rFonts w:ascii="Palatino Linotype" w:eastAsia="Palatino Linotype" w:hAnsi="Palatino Linotype" w:cs="Palatino Linotype"/>
          <w:i/>
          <w:sz w:val="22"/>
          <w:szCs w:val="22"/>
        </w:rPr>
      </w:pPr>
    </w:p>
    <w:p w14:paraId="1293E58A" w14:textId="77777777" w:rsidR="00DC1D62" w:rsidRPr="0091592F" w:rsidRDefault="001F661C">
      <w:pPr>
        <w:ind w:left="709" w:right="709"/>
        <w:jc w:val="center"/>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CAPÍTULO VIII</w:t>
      </w:r>
    </w:p>
    <w:p w14:paraId="4ED9880B" w14:textId="77777777" w:rsidR="00DC1D62" w:rsidRPr="0091592F" w:rsidRDefault="001F661C">
      <w:pPr>
        <w:ind w:left="709" w:right="709"/>
        <w:jc w:val="center"/>
        <w:rPr>
          <w:rFonts w:ascii="Palatino Linotype" w:eastAsia="Palatino Linotype" w:hAnsi="Palatino Linotype" w:cs="Palatino Linotype"/>
          <w:b/>
          <w:i/>
          <w:sz w:val="22"/>
          <w:szCs w:val="22"/>
        </w:rPr>
      </w:pPr>
      <w:r w:rsidRPr="0091592F">
        <w:rPr>
          <w:rFonts w:ascii="Palatino Linotype" w:eastAsia="Palatino Linotype" w:hAnsi="Palatino Linotype" w:cs="Palatino Linotype"/>
          <w:b/>
          <w:i/>
          <w:sz w:val="22"/>
          <w:szCs w:val="22"/>
        </w:rPr>
        <w:t>DE LA LEYENDA DE CLASIFICACIÓN</w:t>
      </w:r>
    </w:p>
    <w:p w14:paraId="0A44EE95"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Quincuagésimo. </w:t>
      </w:r>
      <w:r w:rsidRPr="0091592F">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91592F">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118182C7"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w:t>
      </w:r>
    </w:p>
    <w:p w14:paraId="3082CC0F"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b/>
          <w:i/>
          <w:sz w:val="22"/>
          <w:szCs w:val="22"/>
        </w:rPr>
        <w:t xml:space="preserve">Quincuagésimo tercero. </w:t>
      </w:r>
      <w:r w:rsidRPr="0091592F">
        <w:rPr>
          <w:rFonts w:ascii="Palatino Linotype" w:eastAsia="Palatino Linotype" w:hAnsi="Palatino Linotype" w:cs="Palatino Linotype"/>
          <w:b/>
          <w:i/>
          <w:sz w:val="22"/>
          <w:szCs w:val="22"/>
          <w:u w:val="single"/>
        </w:rPr>
        <w:t>El formato para señalar la clasificación parcial de un documento</w:t>
      </w:r>
      <w:r w:rsidRPr="0091592F">
        <w:rPr>
          <w:rFonts w:ascii="Palatino Linotype" w:eastAsia="Palatino Linotype" w:hAnsi="Palatino Linotype" w:cs="Palatino Linotype"/>
          <w:i/>
          <w:sz w:val="22"/>
          <w:szCs w:val="22"/>
        </w:rPr>
        <w:t>, es el siguiente:</w:t>
      </w:r>
    </w:p>
    <w:tbl>
      <w:tblPr>
        <w:tblStyle w:val="a6"/>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DC1D62" w:rsidRPr="0091592F" w14:paraId="68651A0B"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24DB2508" w14:textId="77777777" w:rsidR="00DC1D62" w:rsidRPr="0091592F" w:rsidRDefault="00DC1D62">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628659F" w14:textId="77777777" w:rsidR="00DC1D62" w:rsidRPr="0091592F" w:rsidRDefault="001F661C">
            <w:pPr>
              <w:jc w:val="center"/>
              <w:rPr>
                <w:rFonts w:ascii="Palatino Linotype" w:eastAsia="Palatino Linotype" w:hAnsi="Palatino Linotype" w:cs="Palatino Linotype"/>
                <w:b/>
                <w:i/>
              </w:rPr>
            </w:pPr>
            <w:r w:rsidRPr="0091592F">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6CF43B3" w14:textId="77777777" w:rsidR="00DC1D62" w:rsidRPr="0091592F" w:rsidRDefault="001F661C">
            <w:pPr>
              <w:jc w:val="center"/>
              <w:rPr>
                <w:rFonts w:ascii="Palatino Linotype" w:eastAsia="Palatino Linotype" w:hAnsi="Palatino Linotype" w:cs="Palatino Linotype"/>
                <w:b/>
                <w:i/>
              </w:rPr>
            </w:pPr>
            <w:r w:rsidRPr="0091592F">
              <w:rPr>
                <w:rFonts w:ascii="Palatino Linotype" w:eastAsia="Palatino Linotype" w:hAnsi="Palatino Linotype" w:cs="Palatino Linotype"/>
                <w:b/>
                <w:i/>
              </w:rPr>
              <w:t>Dónde:</w:t>
            </w:r>
          </w:p>
        </w:tc>
      </w:tr>
      <w:tr w:rsidR="00DC1D62" w:rsidRPr="0091592F" w14:paraId="6413CE29"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09A5070B" w14:textId="77777777" w:rsidR="00DC1D62" w:rsidRPr="0091592F" w:rsidRDefault="001F661C">
            <w:pPr>
              <w:jc w:val="center"/>
              <w:rPr>
                <w:rFonts w:ascii="Palatino Linotype" w:eastAsia="Palatino Linotype" w:hAnsi="Palatino Linotype" w:cs="Palatino Linotype"/>
                <w:b/>
                <w:i/>
              </w:rPr>
            </w:pPr>
            <w:r w:rsidRPr="0091592F">
              <w:rPr>
                <w:rFonts w:ascii="Palatino Linotype" w:eastAsia="Palatino Linotype" w:hAnsi="Palatino Linotype" w:cs="Palatino Linotype"/>
                <w:b/>
                <w:i/>
              </w:rPr>
              <w:lastRenderedPageBreak/>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1B0BEBD1" w14:textId="77777777" w:rsidR="00DC1D62" w:rsidRPr="0091592F" w:rsidRDefault="001F661C">
            <w:pPr>
              <w:jc w:val="center"/>
              <w:rPr>
                <w:rFonts w:ascii="Palatino Linotype" w:eastAsia="Palatino Linotype" w:hAnsi="Palatino Linotype" w:cs="Palatino Linotype"/>
                <w:i/>
              </w:rPr>
            </w:pPr>
            <w:r w:rsidRPr="0091592F">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33627AF5" w14:textId="77777777" w:rsidR="00DC1D62" w:rsidRPr="0091592F" w:rsidRDefault="001F661C">
            <w:pPr>
              <w:jc w:val="both"/>
              <w:rPr>
                <w:rFonts w:ascii="Palatino Linotype" w:eastAsia="Palatino Linotype" w:hAnsi="Palatino Linotype" w:cs="Palatino Linotype"/>
                <w:i/>
              </w:rPr>
            </w:pPr>
            <w:r w:rsidRPr="0091592F">
              <w:rPr>
                <w:rFonts w:ascii="Palatino Linotype" w:eastAsia="Palatino Linotype" w:hAnsi="Palatino Linotype" w:cs="Palatino Linotype"/>
                <w:i/>
              </w:rPr>
              <w:t>Se anotará la fecha en la que el Comité de Transparencia confirmó la clasificación del documento, en su caso.</w:t>
            </w:r>
          </w:p>
        </w:tc>
      </w:tr>
      <w:tr w:rsidR="00DC1D62" w:rsidRPr="0091592F" w14:paraId="366D373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6D8EDD5" w14:textId="77777777" w:rsidR="00DC1D62" w:rsidRPr="0091592F" w:rsidRDefault="00DC1D6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B28F6A5" w14:textId="77777777" w:rsidR="00DC1D62" w:rsidRPr="0091592F" w:rsidRDefault="001F661C">
            <w:pPr>
              <w:jc w:val="center"/>
              <w:rPr>
                <w:rFonts w:ascii="Palatino Linotype" w:eastAsia="Palatino Linotype" w:hAnsi="Palatino Linotype" w:cs="Palatino Linotype"/>
                <w:i/>
              </w:rPr>
            </w:pPr>
            <w:r w:rsidRPr="0091592F">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5D8AF1DB" w14:textId="77777777" w:rsidR="00DC1D62" w:rsidRPr="0091592F" w:rsidRDefault="001F661C">
            <w:pPr>
              <w:jc w:val="both"/>
              <w:rPr>
                <w:rFonts w:ascii="Palatino Linotype" w:eastAsia="Palatino Linotype" w:hAnsi="Palatino Linotype" w:cs="Palatino Linotype"/>
                <w:i/>
              </w:rPr>
            </w:pPr>
            <w:r w:rsidRPr="0091592F">
              <w:rPr>
                <w:rFonts w:ascii="Palatino Linotype" w:eastAsia="Palatino Linotype" w:hAnsi="Palatino Linotype" w:cs="Palatino Linotype"/>
                <w:i/>
              </w:rPr>
              <w:t>Se señalará el nombre del área del cual es titular quien clasifica.</w:t>
            </w:r>
          </w:p>
        </w:tc>
      </w:tr>
      <w:tr w:rsidR="00DC1D62" w:rsidRPr="0091592F" w14:paraId="66E2EE1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6EB74CC" w14:textId="77777777" w:rsidR="00DC1D62" w:rsidRPr="0091592F" w:rsidRDefault="00DC1D6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1EC84B5" w14:textId="77777777" w:rsidR="00DC1D62" w:rsidRPr="0091592F" w:rsidRDefault="001F661C">
            <w:pPr>
              <w:jc w:val="center"/>
              <w:rPr>
                <w:rFonts w:ascii="Palatino Linotype" w:eastAsia="Palatino Linotype" w:hAnsi="Palatino Linotype" w:cs="Palatino Linotype"/>
                <w:i/>
              </w:rPr>
            </w:pPr>
            <w:r w:rsidRPr="0091592F">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49AC0259" w14:textId="77777777" w:rsidR="00DC1D62" w:rsidRPr="0091592F" w:rsidRDefault="001F661C">
            <w:pPr>
              <w:jc w:val="both"/>
              <w:rPr>
                <w:rFonts w:ascii="Palatino Linotype" w:eastAsia="Palatino Linotype" w:hAnsi="Palatino Linotype" w:cs="Palatino Linotype"/>
                <w:i/>
              </w:rPr>
            </w:pPr>
            <w:r w:rsidRPr="0091592F">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C1D62" w:rsidRPr="0091592F" w14:paraId="3FF8EFCF"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AD3E4EF" w14:textId="77777777" w:rsidR="00DC1D62" w:rsidRPr="0091592F" w:rsidRDefault="00DC1D6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E0267BD" w14:textId="77777777" w:rsidR="00DC1D62" w:rsidRPr="0091592F" w:rsidRDefault="001F661C">
            <w:pPr>
              <w:jc w:val="center"/>
              <w:rPr>
                <w:rFonts w:ascii="Palatino Linotype" w:eastAsia="Palatino Linotype" w:hAnsi="Palatino Linotype" w:cs="Palatino Linotype"/>
                <w:i/>
              </w:rPr>
            </w:pPr>
            <w:r w:rsidRPr="0091592F">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5D527900" w14:textId="77777777" w:rsidR="00DC1D62" w:rsidRPr="0091592F" w:rsidRDefault="001F661C">
            <w:pPr>
              <w:jc w:val="both"/>
              <w:rPr>
                <w:rFonts w:ascii="Palatino Linotype" w:eastAsia="Palatino Linotype" w:hAnsi="Palatino Linotype" w:cs="Palatino Linotype"/>
                <w:i/>
              </w:rPr>
            </w:pPr>
            <w:r w:rsidRPr="0091592F">
              <w:rPr>
                <w:rFonts w:ascii="Palatino Linotype" w:eastAsia="Palatino Linotype" w:hAnsi="Palatino Linotype" w:cs="Palatino Linotype"/>
                <w:i/>
              </w:rPr>
              <w:t>Se anotará el número de años o meses por los que se mantendrá el documento o las partes del mismo como reservado.</w:t>
            </w:r>
          </w:p>
        </w:tc>
      </w:tr>
      <w:tr w:rsidR="00DC1D62" w:rsidRPr="0091592F" w14:paraId="487FD79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C14A6E0" w14:textId="77777777" w:rsidR="00DC1D62" w:rsidRPr="0091592F" w:rsidRDefault="00DC1D6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F52AE93" w14:textId="77777777" w:rsidR="00DC1D62" w:rsidRPr="0091592F" w:rsidRDefault="001F661C">
            <w:pPr>
              <w:jc w:val="center"/>
              <w:rPr>
                <w:rFonts w:ascii="Palatino Linotype" w:eastAsia="Palatino Linotype" w:hAnsi="Palatino Linotype" w:cs="Palatino Linotype"/>
                <w:i/>
              </w:rPr>
            </w:pPr>
            <w:r w:rsidRPr="0091592F">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2001705" w14:textId="77777777" w:rsidR="00DC1D62" w:rsidRPr="0091592F" w:rsidRDefault="001F661C">
            <w:pPr>
              <w:jc w:val="both"/>
              <w:rPr>
                <w:rFonts w:ascii="Palatino Linotype" w:eastAsia="Palatino Linotype" w:hAnsi="Palatino Linotype" w:cs="Palatino Linotype"/>
                <w:i/>
              </w:rPr>
            </w:pPr>
            <w:r w:rsidRPr="0091592F">
              <w:rPr>
                <w:rFonts w:ascii="Palatino Linotype" w:eastAsia="Palatino Linotype" w:hAnsi="Palatino Linotype" w:cs="Palatino Linotype"/>
                <w:i/>
              </w:rPr>
              <w:t>Se señalará el nombre del ordenamiento, el o los artículos, fracción(es), párrafo(s) con base en los cuales se sustente la reserva.</w:t>
            </w:r>
          </w:p>
        </w:tc>
      </w:tr>
      <w:tr w:rsidR="00DC1D62" w:rsidRPr="0091592F" w14:paraId="6977188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B7E54E1" w14:textId="77777777" w:rsidR="00DC1D62" w:rsidRPr="0091592F" w:rsidRDefault="00DC1D6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88B2F33" w14:textId="77777777" w:rsidR="00DC1D62" w:rsidRPr="0091592F" w:rsidRDefault="001F661C">
            <w:pPr>
              <w:jc w:val="center"/>
              <w:rPr>
                <w:rFonts w:ascii="Palatino Linotype" w:eastAsia="Palatino Linotype" w:hAnsi="Palatino Linotype" w:cs="Palatino Linotype"/>
                <w:i/>
              </w:rPr>
            </w:pPr>
            <w:r w:rsidRPr="0091592F">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E9EB449" w14:textId="77777777" w:rsidR="00DC1D62" w:rsidRPr="0091592F" w:rsidRDefault="001F661C">
            <w:pPr>
              <w:jc w:val="both"/>
              <w:rPr>
                <w:rFonts w:ascii="Palatino Linotype" w:eastAsia="Palatino Linotype" w:hAnsi="Palatino Linotype" w:cs="Palatino Linotype"/>
                <w:i/>
              </w:rPr>
            </w:pPr>
            <w:r w:rsidRPr="0091592F">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DC1D62" w:rsidRPr="0091592F" w14:paraId="3EF35B6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8F5D6BB" w14:textId="77777777" w:rsidR="00DC1D62" w:rsidRPr="0091592F" w:rsidRDefault="00DC1D6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A3B80ED" w14:textId="77777777" w:rsidR="00DC1D62" w:rsidRPr="0091592F" w:rsidRDefault="001F661C">
            <w:pPr>
              <w:jc w:val="center"/>
              <w:rPr>
                <w:rFonts w:ascii="Palatino Linotype" w:eastAsia="Palatino Linotype" w:hAnsi="Palatino Linotype" w:cs="Palatino Linotype"/>
                <w:b/>
                <w:i/>
                <w:u w:val="single"/>
              </w:rPr>
            </w:pPr>
            <w:r w:rsidRPr="0091592F">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47CDD864" w14:textId="77777777" w:rsidR="00DC1D62" w:rsidRPr="0091592F" w:rsidRDefault="001F661C">
            <w:pPr>
              <w:jc w:val="both"/>
              <w:rPr>
                <w:rFonts w:ascii="Palatino Linotype" w:eastAsia="Palatino Linotype" w:hAnsi="Palatino Linotype" w:cs="Palatino Linotype"/>
                <w:i/>
              </w:rPr>
            </w:pPr>
            <w:r w:rsidRPr="0091592F">
              <w:rPr>
                <w:rFonts w:ascii="Palatino Linotype" w:eastAsia="Palatino Linotype" w:hAnsi="Palatino Linotype" w:cs="Palatino Linotype"/>
                <w:i/>
              </w:rPr>
              <w:t xml:space="preserve">Se indicarán, en su caso, </w:t>
            </w:r>
            <w:r w:rsidRPr="0091592F">
              <w:rPr>
                <w:rFonts w:ascii="Palatino Linotype" w:eastAsia="Palatino Linotype" w:hAnsi="Palatino Linotype" w:cs="Palatino Linotype"/>
                <w:b/>
                <w:i/>
                <w:u w:val="single"/>
              </w:rPr>
              <w:t>las partes o páginas del documento que se clasifica como confidencial</w:t>
            </w:r>
            <w:r w:rsidRPr="0091592F">
              <w:rPr>
                <w:rFonts w:ascii="Palatino Linotype" w:eastAsia="Palatino Linotype" w:hAnsi="Palatino Linotype" w:cs="Palatino Linotype"/>
                <w:i/>
              </w:rPr>
              <w:t xml:space="preserve">. </w:t>
            </w:r>
            <w:r w:rsidRPr="0091592F">
              <w:rPr>
                <w:rFonts w:ascii="Palatino Linotype" w:eastAsia="Palatino Linotype" w:hAnsi="Palatino Linotype" w:cs="Palatino Linotype"/>
                <w:b/>
                <w:i/>
                <w:u w:val="single"/>
              </w:rPr>
              <w:t>Si el documento fuera confidencial en su totalidad, se anotarán todas las páginas que lo conforman</w:t>
            </w:r>
            <w:r w:rsidRPr="0091592F">
              <w:rPr>
                <w:rFonts w:ascii="Palatino Linotype" w:eastAsia="Palatino Linotype" w:hAnsi="Palatino Linotype" w:cs="Palatino Linotype"/>
                <w:i/>
              </w:rPr>
              <w:t>. Si el documento no contiene información confidencial, se tachará este apartado.</w:t>
            </w:r>
          </w:p>
        </w:tc>
      </w:tr>
      <w:tr w:rsidR="00DC1D62" w:rsidRPr="0091592F" w14:paraId="617F551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9076268" w14:textId="77777777" w:rsidR="00DC1D62" w:rsidRPr="0091592F" w:rsidRDefault="00DC1D6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B56E248" w14:textId="77777777" w:rsidR="00DC1D62" w:rsidRPr="0091592F" w:rsidRDefault="001F661C">
            <w:pPr>
              <w:jc w:val="center"/>
              <w:rPr>
                <w:rFonts w:ascii="Palatino Linotype" w:eastAsia="Palatino Linotype" w:hAnsi="Palatino Linotype" w:cs="Palatino Linotype"/>
                <w:i/>
              </w:rPr>
            </w:pPr>
            <w:r w:rsidRPr="0091592F">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F33CE54" w14:textId="77777777" w:rsidR="00DC1D62" w:rsidRPr="0091592F" w:rsidRDefault="001F661C">
            <w:pPr>
              <w:jc w:val="both"/>
              <w:rPr>
                <w:rFonts w:ascii="Palatino Linotype" w:eastAsia="Palatino Linotype" w:hAnsi="Palatino Linotype" w:cs="Palatino Linotype"/>
                <w:i/>
              </w:rPr>
            </w:pPr>
            <w:r w:rsidRPr="0091592F">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DC1D62" w:rsidRPr="0091592F" w14:paraId="0936D78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CF12940" w14:textId="77777777" w:rsidR="00DC1D62" w:rsidRPr="0091592F" w:rsidRDefault="00DC1D6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AC875C8" w14:textId="77777777" w:rsidR="00DC1D62" w:rsidRPr="0091592F" w:rsidRDefault="001F661C">
            <w:pPr>
              <w:jc w:val="center"/>
              <w:rPr>
                <w:rFonts w:ascii="Palatino Linotype" w:eastAsia="Palatino Linotype" w:hAnsi="Palatino Linotype" w:cs="Palatino Linotype"/>
                <w:i/>
              </w:rPr>
            </w:pPr>
            <w:r w:rsidRPr="0091592F">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75B6B78" w14:textId="77777777" w:rsidR="00DC1D62" w:rsidRPr="0091592F" w:rsidRDefault="001F661C">
            <w:pPr>
              <w:jc w:val="both"/>
              <w:rPr>
                <w:rFonts w:ascii="Palatino Linotype" w:eastAsia="Palatino Linotype" w:hAnsi="Palatino Linotype" w:cs="Palatino Linotype"/>
                <w:i/>
              </w:rPr>
            </w:pPr>
            <w:r w:rsidRPr="0091592F">
              <w:rPr>
                <w:rFonts w:ascii="Palatino Linotype" w:eastAsia="Palatino Linotype" w:hAnsi="Palatino Linotype" w:cs="Palatino Linotype"/>
                <w:i/>
              </w:rPr>
              <w:t>Rúbrica autógrafa de quien clasifica.</w:t>
            </w:r>
          </w:p>
        </w:tc>
      </w:tr>
      <w:tr w:rsidR="00DC1D62" w:rsidRPr="0091592F" w14:paraId="774C4F3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7F61B8D" w14:textId="77777777" w:rsidR="00DC1D62" w:rsidRPr="0091592F" w:rsidRDefault="00DC1D6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8B9FBA" w14:textId="77777777" w:rsidR="00DC1D62" w:rsidRPr="0091592F" w:rsidRDefault="001F661C">
            <w:pPr>
              <w:jc w:val="center"/>
              <w:rPr>
                <w:rFonts w:ascii="Palatino Linotype" w:eastAsia="Palatino Linotype" w:hAnsi="Palatino Linotype" w:cs="Palatino Linotype"/>
                <w:i/>
              </w:rPr>
            </w:pPr>
            <w:r w:rsidRPr="0091592F">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227B828E" w14:textId="77777777" w:rsidR="00DC1D62" w:rsidRPr="0091592F" w:rsidRDefault="001F661C">
            <w:pPr>
              <w:jc w:val="both"/>
              <w:rPr>
                <w:rFonts w:ascii="Palatino Linotype" w:eastAsia="Palatino Linotype" w:hAnsi="Palatino Linotype" w:cs="Palatino Linotype"/>
                <w:i/>
              </w:rPr>
            </w:pPr>
            <w:r w:rsidRPr="0091592F">
              <w:rPr>
                <w:rFonts w:ascii="Palatino Linotype" w:eastAsia="Palatino Linotype" w:hAnsi="Palatino Linotype" w:cs="Palatino Linotype"/>
                <w:i/>
              </w:rPr>
              <w:t>Se anotará la fecha en que se desclasifica el documento.</w:t>
            </w:r>
          </w:p>
        </w:tc>
      </w:tr>
      <w:tr w:rsidR="00DC1D62" w:rsidRPr="0091592F" w14:paraId="5071166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587AB59" w14:textId="77777777" w:rsidR="00DC1D62" w:rsidRPr="0091592F" w:rsidRDefault="00DC1D6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0C5625B" w14:textId="77777777" w:rsidR="00DC1D62" w:rsidRPr="0091592F" w:rsidRDefault="001F661C">
            <w:pPr>
              <w:jc w:val="center"/>
              <w:rPr>
                <w:rFonts w:ascii="Palatino Linotype" w:eastAsia="Palatino Linotype" w:hAnsi="Palatino Linotype" w:cs="Palatino Linotype"/>
                <w:i/>
              </w:rPr>
            </w:pPr>
            <w:r w:rsidRPr="0091592F">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2F5AFB8D" w14:textId="77777777" w:rsidR="00DC1D62" w:rsidRPr="0091592F" w:rsidRDefault="001F661C">
            <w:pPr>
              <w:rPr>
                <w:rFonts w:ascii="Palatino Linotype" w:eastAsia="Palatino Linotype" w:hAnsi="Palatino Linotype" w:cs="Palatino Linotype"/>
                <w:i/>
              </w:rPr>
            </w:pPr>
            <w:r w:rsidRPr="0091592F">
              <w:rPr>
                <w:rFonts w:ascii="Palatino Linotype" w:eastAsia="Palatino Linotype" w:hAnsi="Palatino Linotype" w:cs="Palatino Linotype"/>
                <w:i/>
              </w:rPr>
              <w:t>Rúbrica autógrafa de quien desclasifica.</w:t>
            </w:r>
          </w:p>
        </w:tc>
      </w:tr>
    </w:tbl>
    <w:p w14:paraId="1D7666DF" w14:textId="77777777" w:rsidR="00DC1D62" w:rsidRPr="0091592F" w:rsidRDefault="001F661C">
      <w:pPr>
        <w:ind w:left="709" w:right="709"/>
        <w:jc w:val="both"/>
        <w:rPr>
          <w:rFonts w:ascii="Palatino Linotype" w:eastAsia="Palatino Linotype" w:hAnsi="Palatino Linotype" w:cs="Palatino Linotype"/>
          <w:sz w:val="22"/>
          <w:szCs w:val="22"/>
        </w:rPr>
      </w:pPr>
      <w:r w:rsidRPr="0091592F">
        <w:rPr>
          <w:rFonts w:ascii="Palatino Linotype" w:eastAsia="Palatino Linotype" w:hAnsi="Palatino Linotype" w:cs="Palatino Linotype"/>
          <w:sz w:val="22"/>
          <w:szCs w:val="22"/>
        </w:rPr>
        <w:t>(Énfasis Añadido)</w:t>
      </w:r>
    </w:p>
    <w:p w14:paraId="62554031" w14:textId="77777777" w:rsidR="00DC1D62" w:rsidRPr="0091592F" w:rsidRDefault="00DC1D62">
      <w:pPr>
        <w:ind w:left="709" w:right="709"/>
        <w:jc w:val="both"/>
        <w:rPr>
          <w:rFonts w:ascii="Palatino Linotype" w:eastAsia="Palatino Linotype" w:hAnsi="Palatino Linotype" w:cs="Palatino Linotype"/>
          <w:sz w:val="22"/>
          <w:szCs w:val="22"/>
        </w:rPr>
      </w:pPr>
    </w:p>
    <w:p w14:paraId="7B8C8711" w14:textId="77777777" w:rsidR="00DC1D62" w:rsidRPr="0091592F" w:rsidRDefault="001F661C">
      <w:pPr>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Es importante referir que, </w:t>
      </w:r>
      <w:r w:rsidRPr="0091592F">
        <w:rPr>
          <w:rFonts w:ascii="Palatino Linotype" w:eastAsia="Palatino Linotype" w:hAnsi="Palatino Linotype" w:cs="Palatino Linotype"/>
          <w:b/>
        </w:rPr>
        <w:t>EL SUJETO OBLIGADO</w:t>
      </w:r>
      <w:r w:rsidRPr="0091592F">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91592F">
        <w:rPr>
          <w:rFonts w:ascii="Palatino Linotype" w:eastAsia="Palatino Linotype" w:hAnsi="Palatino Linotype" w:cs="Palatino Linotype"/>
          <w:b/>
        </w:rPr>
        <w:t xml:space="preserve"> </w:t>
      </w:r>
      <w:r w:rsidRPr="0091592F">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9268D43" w14:textId="77777777" w:rsidR="00DC1D62" w:rsidRPr="0091592F" w:rsidRDefault="00DC1D62">
      <w:pPr>
        <w:spacing w:line="360" w:lineRule="auto"/>
        <w:jc w:val="both"/>
        <w:rPr>
          <w:rFonts w:ascii="Palatino Linotype" w:eastAsia="Palatino Linotype" w:hAnsi="Palatino Linotype" w:cs="Palatino Linotype"/>
        </w:rPr>
      </w:pPr>
    </w:p>
    <w:p w14:paraId="3706275F" w14:textId="77777777" w:rsidR="00DC1D62" w:rsidRPr="0091592F" w:rsidRDefault="001F661C">
      <w:pPr>
        <w:widowControl w:val="0"/>
        <w:tabs>
          <w:tab w:val="left" w:pos="1701"/>
          <w:tab w:val="left" w:pos="1843"/>
        </w:tabs>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En razón de lo anteriormente expuesto, este Instituto estima que las razones o motivos de inconformidad hechos valer por </w:t>
      </w:r>
      <w:r w:rsidRPr="0091592F">
        <w:rPr>
          <w:rFonts w:ascii="Palatino Linotype" w:eastAsia="Palatino Linotype" w:hAnsi="Palatino Linotype" w:cs="Palatino Linotype"/>
          <w:b/>
        </w:rPr>
        <w:t>EL RECURRENTE</w:t>
      </w:r>
      <w:r w:rsidRPr="0091592F">
        <w:rPr>
          <w:rFonts w:ascii="Palatino Linotype" w:eastAsia="Palatino Linotype" w:hAnsi="Palatino Linotype" w:cs="Palatino Linotype"/>
        </w:rPr>
        <w:t xml:space="preserve"> devienen </w:t>
      </w:r>
      <w:r w:rsidRPr="0091592F">
        <w:rPr>
          <w:rFonts w:ascii="Palatino Linotype" w:eastAsia="Palatino Linotype" w:hAnsi="Palatino Linotype" w:cs="Palatino Linotype"/>
          <w:b/>
        </w:rPr>
        <w:t>fundadas</w:t>
      </w:r>
      <w:r w:rsidRPr="0091592F">
        <w:rPr>
          <w:rFonts w:ascii="Palatino Linotype" w:eastAsia="Palatino Linotype" w:hAnsi="Palatino Linotype" w:cs="Palatino Linotype"/>
        </w:rPr>
        <w:t xml:space="preserve"> y suficientes para </w:t>
      </w:r>
      <w:r w:rsidRPr="0091592F">
        <w:rPr>
          <w:rFonts w:ascii="Palatino Linotype" w:eastAsia="Palatino Linotype" w:hAnsi="Palatino Linotype" w:cs="Palatino Linotype"/>
          <w:b/>
        </w:rPr>
        <w:t>REVOCAR</w:t>
      </w:r>
      <w:r w:rsidRPr="0091592F">
        <w:rPr>
          <w:rFonts w:ascii="Palatino Linotype" w:eastAsia="Palatino Linotype" w:hAnsi="Palatino Linotype" w:cs="Palatino Linotype"/>
        </w:rPr>
        <w:t xml:space="preserve"> la respuesta del </w:t>
      </w:r>
      <w:r w:rsidRPr="0091592F">
        <w:rPr>
          <w:rFonts w:ascii="Palatino Linotype" w:eastAsia="Palatino Linotype" w:hAnsi="Palatino Linotype" w:cs="Palatino Linotype"/>
          <w:b/>
        </w:rPr>
        <w:t>SUJETO OBLIGADO</w:t>
      </w:r>
      <w:r w:rsidRPr="0091592F">
        <w:rPr>
          <w:rFonts w:ascii="Palatino Linotype" w:eastAsia="Palatino Linotype" w:hAnsi="Palatino Linotype" w:cs="Palatino Linotype"/>
        </w:rPr>
        <w:t xml:space="preserve"> y ordenarle haga entrega del documento en donde conste la información precisada en el presente considerando </w:t>
      </w:r>
    </w:p>
    <w:p w14:paraId="02212DCC" w14:textId="77777777" w:rsidR="00DC1D62" w:rsidRPr="0091592F" w:rsidRDefault="00DC1D62">
      <w:pPr>
        <w:spacing w:line="360" w:lineRule="auto"/>
        <w:ind w:right="51"/>
        <w:jc w:val="both"/>
        <w:rPr>
          <w:rFonts w:ascii="Palatino Linotype" w:eastAsia="Palatino Linotype" w:hAnsi="Palatino Linotype" w:cs="Palatino Linotype"/>
        </w:rPr>
      </w:pPr>
    </w:p>
    <w:p w14:paraId="4DE6AD1F" w14:textId="77777777" w:rsidR="00DC1D62" w:rsidRPr="0091592F" w:rsidRDefault="001F661C">
      <w:pPr>
        <w:widowControl w:val="0"/>
        <w:spacing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lastRenderedPageBreak/>
        <w:t>Así, con fundamento en lo prescrito en los artículos 5, párrafos trigésimos, trigésimos primero y trigésimos segundos,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258C5914" w14:textId="77777777" w:rsidR="00DC1D62" w:rsidRPr="0091592F" w:rsidRDefault="00DC1D62">
      <w:pPr>
        <w:widowControl w:val="0"/>
        <w:spacing w:line="360" w:lineRule="auto"/>
        <w:jc w:val="both"/>
        <w:rPr>
          <w:rFonts w:ascii="Palatino Linotype" w:eastAsia="Palatino Linotype" w:hAnsi="Palatino Linotype" w:cs="Palatino Linotype"/>
          <w:b/>
          <w:sz w:val="28"/>
          <w:szCs w:val="28"/>
        </w:rPr>
      </w:pPr>
    </w:p>
    <w:p w14:paraId="14422471" w14:textId="77777777" w:rsidR="00DC1D62" w:rsidRPr="0091592F" w:rsidRDefault="001F661C">
      <w:pPr>
        <w:jc w:val="center"/>
        <w:rPr>
          <w:rFonts w:ascii="Palatino Linotype" w:eastAsia="Palatino Linotype" w:hAnsi="Palatino Linotype" w:cs="Palatino Linotype"/>
          <w:b/>
          <w:sz w:val="28"/>
          <w:szCs w:val="28"/>
        </w:rPr>
      </w:pPr>
      <w:r w:rsidRPr="0091592F">
        <w:rPr>
          <w:rFonts w:ascii="Palatino Linotype" w:eastAsia="Palatino Linotype" w:hAnsi="Palatino Linotype" w:cs="Palatino Linotype"/>
          <w:b/>
          <w:sz w:val="28"/>
          <w:szCs w:val="28"/>
        </w:rPr>
        <w:t>R E S U E L V E</w:t>
      </w:r>
    </w:p>
    <w:p w14:paraId="487CC42A" w14:textId="77777777" w:rsidR="00DC1D62" w:rsidRPr="0091592F" w:rsidRDefault="00DC1D62">
      <w:pPr>
        <w:jc w:val="center"/>
        <w:rPr>
          <w:rFonts w:ascii="Palatino Linotype" w:eastAsia="Palatino Linotype" w:hAnsi="Palatino Linotype" w:cs="Palatino Linotype"/>
          <w:b/>
          <w:sz w:val="28"/>
          <w:szCs w:val="28"/>
        </w:rPr>
      </w:pPr>
    </w:p>
    <w:p w14:paraId="757E532D" w14:textId="77777777" w:rsidR="00DC1D62" w:rsidRPr="0091592F" w:rsidRDefault="001F661C">
      <w:pPr>
        <w:widowControl w:val="0"/>
        <w:spacing w:before="280" w:after="280"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b/>
          <w:sz w:val="28"/>
          <w:szCs w:val="28"/>
        </w:rPr>
        <w:t xml:space="preserve">PRIMERO. </w:t>
      </w:r>
      <w:r w:rsidRPr="0091592F">
        <w:rPr>
          <w:rFonts w:ascii="Palatino Linotype" w:eastAsia="Palatino Linotype" w:hAnsi="Palatino Linotype" w:cs="Palatino Linotype"/>
        </w:rPr>
        <w:t xml:space="preserve">Resultan </w:t>
      </w:r>
      <w:r w:rsidRPr="0091592F">
        <w:rPr>
          <w:rFonts w:ascii="Palatino Linotype" w:eastAsia="Palatino Linotype" w:hAnsi="Palatino Linotype" w:cs="Palatino Linotype"/>
          <w:b/>
        </w:rPr>
        <w:t>fundadas</w:t>
      </w:r>
      <w:r w:rsidRPr="0091592F">
        <w:rPr>
          <w:rFonts w:ascii="Palatino Linotype" w:eastAsia="Palatino Linotype" w:hAnsi="Palatino Linotype" w:cs="Palatino Linotype"/>
        </w:rPr>
        <w:t xml:space="preserve"> las razones o motivos de inconformidad planteadas por </w:t>
      </w:r>
      <w:r w:rsidRPr="0091592F">
        <w:rPr>
          <w:rFonts w:ascii="Palatino Linotype" w:eastAsia="Palatino Linotype" w:hAnsi="Palatino Linotype" w:cs="Palatino Linotype"/>
          <w:b/>
        </w:rPr>
        <w:t>EL RECURRENTE</w:t>
      </w:r>
      <w:r w:rsidRPr="0091592F">
        <w:rPr>
          <w:rFonts w:ascii="Palatino Linotype" w:eastAsia="Palatino Linotype" w:hAnsi="Palatino Linotype" w:cs="Palatino Linotype"/>
        </w:rPr>
        <w:t xml:space="preserve">, en el Recurso de Revisión en términos del Considerando </w:t>
      </w:r>
      <w:r w:rsidRPr="0091592F">
        <w:rPr>
          <w:rFonts w:ascii="Palatino Linotype" w:eastAsia="Palatino Linotype" w:hAnsi="Palatino Linotype" w:cs="Palatino Linotype"/>
          <w:b/>
        </w:rPr>
        <w:t>QUINTO</w:t>
      </w:r>
      <w:r w:rsidRPr="0091592F">
        <w:rPr>
          <w:rFonts w:ascii="Palatino Linotype" w:eastAsia="Palatino Linotype" w:hAnsi="Palatino Linotype" w:cs="Palatino Linotype"/>
        </w:rPr>
        <w:t xml:space="preserve"> de la presente resolución.</w:t>
      </w:r>
    </w:p>
    <w:p w14:paraId="0A49CFF9" w14:textId="77777777" w:rsidR="00DC1D62" w:rsidRPr="0091592F" w:rsidRDefault="001F661C">
      <w:pPr>
        <w:widowControl w:val="0"/>
        <w:spacing w:before="280" w:after="280"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b/>
          <w:sz w:val="28"/>
          <w:szCs w:val="28"/>
        </w:rPr>
        <w:t>SEGUNDO</w:t>
      </w:r>
      <w:r w:rsidRPr="0091592F">
        <w:rPr>
          <w:rFonts w:ascii="Palatino Linotype" w:eastAsia="Palatino Linotype" w:hAnsi="Palatino Linotype" w:cs="Palatino Linotype"/>
          <w:sz w:val="28"/>
          <w:szCs w:val="28"/>
        </w:rPr>
        <w:t>.</w:t>
      </w:r>
      <w:r w:rsidRPr="0091592F">
        <w:rPr>
          <w:rFonts w:ascii="Palatino Linotype" w:eastAsia="Palatino Linotype" w:hAnsi="Palatino Linotype" w:cs="Palatino Linotype"/>
        </w:rPr>
        <w:t xml:space="preserve"> </w:t>
      </w:r>
      <w:r w:rsidRPr="0091592F">
        <w:rPr>
          <w:rFonts w:ascii="Palatino Linotype" w:eastAsia="Palatino Linotype" w:hAnsi="Palatino Linotype" w:cs="Palatino Linotype"/>
          <w:color w:val="000000"/>
        </w:rPr>
        <w:t xml:space="preserve">Se </w:t>
      </w:r>
      <w:r w:rsidRPr="0091592F">
        <w:rPr>
          <w:rFonts w:ascii="Palatino Linotype" w:eastAsia="Palatino Linotype" w:hAnsi="Palatino Linotype" w:cs="Palatino Linotype"/>
          <w:b/>
          <w:color w:val="000000"/>
        </w:rPr>
        <w:t xml:space="preserve">REVOCA </w:t>
      </w:r>
      <w:r w:rsidRPr="0091592F">
        <w:rPr>
          <w:rFonts w:ascii="Palatino Linotype" w:eastAsia="Palatino Linotype" w:hAnsi="Palatino Linotype" w:cs="Palatino Linotype"/>
          <w:color w:val="000000"/>
        </w:rPr>
        <w:t xml:space="preserve">la respuesta proporcionada por </w:t>
      </w:r>
      <w:r w:rsidRPr="0091592F">
        <w:rPr>
          <w:rFonts w:ascii="Palatino Linotype" w:eastAsia="Palatino Linotype" w:hAnsi="Palatino Linotype" w:cs="Palatino Linotype"/>
          <w:b/>
          <w:color w:val="000000"/>
        </w:rPr>
        <w:t xml:space="preserve">EL SUJETO OBLIGADO </w:t>
      </w:r>
      <w:r w:rsidRPr="0091592F">
        <w:rPr>
          <w:rFonts w:ascii="Palatino Linotype" w:eastAsia="Palatino Linotype" w:hAnsi="Palatino Linotype" w:cs="Palatino Linotype"/>
          <w:color w:val="000000"/>
        </w:rPr>
        <w:t xml:space="preserve">y se </w:t>
      </w:r>
      <w:r w:rsidRPr="0091592F">
        <w:rPr>
          <w:rFonts w:ascii="Palatino Linotype" w:eastAsia="Palatino Linotype" w:hAnsi="Palatino Linotype" w:cs="Palatino Linotype"/>
          <w:b/>
          <w:color w:val="000000"/>
        </w:rPr>
        <w:t xml:space="preserve">ordena </w:t>
      </w:r>
      <w:r w:rsidRPr="0091592F">
        <w:rPr>
          <w:rFonts w:ascii="Palatino Linotype" w:eastAsia="Palatino Linotype" w:hAnsi="Palatino Linotype" w:cs="Palatino Linotype"/>
          <w:color w:val="000000"/>
        </w:rPr>
        <w:t xml:space="preserve">atienda la solicitud de información que dio origen al recurso de revisión </w:t>
      </w:r>
      <w:r w:rsidRPr="0091592F">
        <w:rPr>
          <w:rFonts w:ascii="Palatino Linotype" w:eastAsia="Palatino Linotype" w:hAnsi="Palatino Linotype" w:cs="Palatino Linotype"/>
          <w:b/>
          <w:color w:val="000000"/>
        </w:rPr>
        <w:t>0</w:t>
      </w:r>
      <w:r w:rsidRPr="0091592F">
        <w:rPr>
          <w:rFonts w:ascii="Palatino Linotype" w:eastAsia="Palatino Linotype" w:hAnsi="Palatino Linotype" w:cs="Palatino Linotype"/>
          <w:b/>
        </w:rPr>
        <w:t>1107</w:t>
      </w:r>
      <w:r w:rsidRPr="0091592F">
        <w:rPr>
          <w:rFonts w:ascii="Palatino Linotype" w:eastAsia="Palatino Linotype" w:hAnsi="Palatino Linotype" w:cs="Palatino Linotype"/>
          <w:b/>
          <w:color w:val="000000"/>
        </w:rPr>
        <w:t>/INFOEM/IP/RR/2022</w:t>
      </w:r>
      <w:r w:rsidRPr="0091592F">
        <w:rPr>
          <w:rFonts w:ascii="Palatino Linotype" w:eastAsia="Palatino Linotype" w:hAnsi="Palatino Linotype" w:cs="Palatino Linotype"/>
          <w:color w:val="000000"/>
        </w:rPr>
        <w:t xml:space="preserve">, en términos del Considerando </w:t>
      </w:r>
      <w:r w:rsidRPr="0091592F">
        <w:rPr>
          <w:rFonts w:ascii="Palatino Linotype" w:eastAsia="Palatino Linotype" w:hAnsi="Palatino Linotype" w:cs="Palatino Linotype"/>
          <w:b/>
          <w:color w:val="000000"/>
        </w:rPr>
        <w:t>QUINTO</w:t>
      </w:r>
      <w:r w:rsidRPr="0091592F">
        <w:rPr>
          <w:rFonts w:ascii="Palatino Linotype" w:eastAsia="Palatino Linotype" w:hAnsi="Palatino Linotype" w:cs="Palatino Linotype"/>
          <w:color w:val="000000"/>
        </w:rPr>
        <w:t xml:space="preserve"> de la presente resolución, y haga entrega al</w:t>
      </w:r>
      <w:r w:rsidRPr="0091592F">
        <w:rPr>
          <w:rFonts w:ascii="Palatino Linotype" w:eastAsia="Palatino Linotype" w:hAnsi="Palatino Linotype" w:cs="Palatino Linotype"/>
          <w:b/>
          <w:color w:val="000000"/>
        </w:rPr>
        <w:t xml:space="preserve"> RECURRENTE</w:t>
      </w:r>
      <w:r w:rsidRPr="0091592F">
        <w:rPr>
          <w:rFonts w:ascii="Palatino Linotype" w:eastAsia="Palatino Linotype" w:hAnsi="Palatino Linotype" w:cs="Palatino Linotype"/>
          <w:color w:val="000000"/>
        </w:rPr>
        <w:t xml:space="preserve">, vía </w:t>
      </w:r>
      <w:r w:rsidRPr="0091592F">
        <w:rPr>
          <w:rFonts w:ascii="Palatino Linotype" w:eastAsia="Palatino Linotype" w:hAnsi="Palatino Linotype" w:cs="Palatino Linotype"/>
          <w:b/>
          <w:color w:val="000000"/>
        </w:rPr>
        <w:t>SAIMEX</w:t>
      </w:r>
      <w:r w:rsidRPr="0091592F">
        <w:rPr>
          <w:rFonts w:ascii="Palatino Linotype" w:eastAsia="Palatino Linotype" w:hAnsi="Palatino Linotype" w:cs="Palatino Linotype"/>
          <w:b/>
        </w:rPr>
        <w:t>, correo electrónico,</w:t>
      </w:r>
      <w:r w:rsidRPr="0091592F">
        <w:rPr>
          <w:rFonts w:ascii="Palatino Linotype" w:eastAsia="Palatino Linotype" w:hAnsi="Palatino Linotype" w:cs="Palatino Linotype"/>
          <w:b/>
          <w:color w:val="000000"/>
        </w:rPr>
        <w:t xml:space="preserve"> medios magnéticos (con costo) y CD-ROM (con costo), </w:t>
      </w:r>
      <w:r w:rsidRPr="0091592F">
        <w:rPr>
          <w:rFonts w:ascii="Palatino Linotype" w:eastAsia="Palatino Linotype" w:hAnsi="Palatino Linotype" w:cs="Palatino Linotype"/>
          <w:color w:val="000000"/>
        </w:rPr>
        <w:t xml:space="preserve">previa </w:t>
      </w:r>
      <w:r w:rsidRPr="0091592F">
        <w:rPr>
          <w:rFonts w:ascii="Palatino Linotype" w:eastAsia="Palatino Linotype" w:hAnsi="Palatino Linotype" w:cs="Palatino Linotype"/>
          <w:b/>
          <w:color w:val="000000"/>
        </w:rPr>
        <w:t xml:space="preserve">búsqueda exhaustiva y razonable </w:t>
      </w:r>
      <w:r w:rsidRPr="0091592F">
        <w:rPr>
          <w:rFonts w:ascii="Palatino Linotype" w:eastAsia="Palatino Linotype" w:hAnsi="Palatino Linotype" w:cs="Palatino Linotype"/>
          <w:color w:val="000000"/>
        </w:rPr>
        <w:t xml:space="preserve">de ser procedente en </w:t>
      </w:r>
      <w:r w:rsidRPr="0091592F">
        <w:rPr>
          <w:rFonts w:ascii="Palatino Linotype" w:eastAsia="Palatino Linotype" w:hAnsi="Palatino Linotype" w:cs="Palatino Linotype"/>
          <w:b/>
          <w:color w:val="000000"/>
        </w:rPr>
        <w:t xml:space="preserve">versión pública </w:t>
      </w:r>
      <w:r w:rsidRPr="0091592F">
        <w:rPr>
          <w:rFonts w:ascii="Palatino Linotype" w:eastAsia="Palatino Linotype" w:hAnsi="Palatino Linotype" w:cs="Palatino Linotype"/>
          <w:color w:val="000000"/>
        </w:rPr>
        <w:t>lo siguiente:</w:t>
      </w:r>
    </w:p>
    <w:p w14:paraId="4CBC4937" w14:textId="77777777" w:rsidR="00DC1D62" w:rsidRPr="0091592F" w:rsidRDefault="001F661C">
      <w:pPr>
        <w:ind w:left="850" w:right="901"/>
        <w:jc w:val="both"/>
        <w:rPr>
          <w:rFonts w:ascii="Palatino Linotype" w:eastAsia="Palatino Linotype" w:hAnsi="Palatino Linotype" w:cs="Palatino Linotype"/>
          <w:i/>
          <w:sz w:val="22"/>
          <w:szCs w:val="22"/>
        </w:rPr>
      </w:pPr>
      <w:bookmarkStart w:id="11" w:name="_heading=h.3dy6vkm" w:colFirst="0" w:colLast="0"/>
      <w:bookmarkEnd w:id="11"/>
      <w:r w:rsidRPr="0091592F">
        <w:rPr>
          <w:rFonts w:ascii="Palatino Linotype" w:eastAsia="Palatino Linotype" w:hAnsi="Palatino Linotype" w:cs="Palatino Linotype"/>
          <w:i/>
          <w:sz w:val="22"/>
          <w:szCs w:val="22"/>
        </w:rPr>
        <w:t xml:space="preserve">1. Los Reportes del aplicativo “Visor de comprobantes de nómina para el patrón” de los años 2018, 2019, 2020 y 2021, en las siguientes modalidades: </w:t>
      </w:r>
    </w:p>
    <w:p w14:paraId="6E51A0F0" w14:textId="77777777" w:rsidR="00DC1D62" w:rsidRPr="0091592F" w:rsidRDefault="00DC1D62">
      <w:pPr>
        <w:ind w:left="850" w:right="901"/>
        <w:jc w:val="both"/>
        <w:rPr>
          <w:rFonts w:ascii="Palatino Linotype" w:eastAsia="Palatino Linotype" w:hAnsi="Palatino Linotype" w:cs="Palatino Linotype"/>
          <w:i/>
          <w:sz w:val="22"/>
          <w:szCs w:val="22"/>
        </w:rPr>
      </w:pPr>
    </w:p>
    <w:p w14:paraId="4C980ED9"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lastRenderedPageBreak/>
        <w:t>a) Vista anual acumulada;</w:t>
      </w:r>
    </w:p>
    <w:p w14:paraId="007E77D2"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b) Detalle mensual y </w:t>
      </w:r>
    </w:p>
    <w:p w14:paraId="0EC776BA"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c) Detalle diferencias sueldos y salarios</w:t>
      </w:r>
    </w:p>
    <w:p w14:paraId="15228355" w14:textId="77777777" w:rsidR="00DC1D62" w:rsidRPr="0091592F" w:rsidRDefault="00DC1D62">
      <w:pPr>
        <w:ind w:left="850" w:right="901"/>
        <w:jc w:val="both"/>
        <w:rPr>
          <w:rFonts w:ascii="Palatino Linotype" w:eastAsia="Palatino Linotype" w:hAnsi="Palatino Linotype" w:cs="Palatino Linotype"/>
          <w:i/>
          <w:sz w:val="22"/>
          <w:szCs w:val="22"/>
        </w:rPr>
      </w:pPr>
    </w:p>
    <w:p w14:paraId="681516FA"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2. La opinión de no adeudo en el cumplimiento de obligaciones fiscales emitida por el Servicio de Administración Tributaria (SAT);</w:t>
      </w:r>
    </w:p>
    <w:p w14:paraId="0C1F54C5" w14:textId="77777777" w:rsidR="00DC1D62" w:rsidRPr="0091592F" w:rsidRDefault="00DC1D62">
      <w:pPr>
        <w:ind w:left="850" w:right="901"/>
        <w:jc w:val="both"/>
        <w:rPr>
          <w:rFonts w:ascii="Palatino Linotype" w:eastAsia="Palatino Linotype" w:hAnsi="Palatino Linotype" w:cs="Palatino Linotype"/>
          <w:i/>
          <w:sz w:val="22"/>
          <w:szCs w:val="22"/>
        </w:rPr>
      </w:pPr>
    </w:p>
    <w:p w14:paraId="2903C091"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3. Retenciones del Impuesto Sobre la Renta por Salarios, Honorarios y Arrendamiento del periodo del 01 de enero de 2019, hasta el 31 de octubre de 2021.</w:t>
      </w:r>
    </w:p>
    <w:p w14:paraId="0FFF3A98" w14:textId="77777777" w:rsidR="00DC1D62" w:rsidRPr="0091592F" w:rsidRDefault="00DC1D62">
      <w:pPr>
        <w:ind w:left="850" w:right="901"/>
        <w:jc w:val="both"/>
        <w:rPr>
          <w:rFonts w:ascii="Palatino Linotype" w:eastAsia="Palatino Linotype" w:hAnsi="Palatino Linotype" w:cs="Palatino Linotype"/>
          <w:i/>
          <w:sz w:val="22"/>
          <w:szCs w:val="22"/>
        </w:rPr>
      </w:pPr>
    </w:p>
    <w:p w14:paraId="4D778A5F"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Para la expedición de la información en medios magnéticos (con costo) y CD-ROM (con costo), el Sujeto Obligado deberá informar a la parte Recurrente mediante </w:t>
      </w:r>
      <w:r w:rsidRPr="0091592F">
        <w:rPr>
          <w:rFonts w:ascii="Palatino Linotype" w:eastAsia="Palatino Linotype" w:hAnsi="Palatino Linotype" w:cs="Palatino Linotype"/>
          <w:b/>
          <w:i/>
          <w:sz w:val="22"/>
          <w:szCs w:val="22"/>
        </w:rPr>
        <w:t>SAIMEX</w:t>
      </w:r>
      <w:r w:rsidRPr="0091592F">
        <w:rPr>
          <w:rFonts w:ascii="Palatino Linotype" w:eastAsia="Palatino Linotype" w:hAnsi="Palatino Linotype" w:cs="Palatino Linotype"/>
          <w:i/>
          <w:sz w:val="22"/>
          <w:szCs w:val="22"/>
        </w:rPr>
        <w:t xml:space="preserve"> el procedimiento exacto y detallado para su obtención (lugar, días, horas hábiles, etc.), debiendo acreditar </w:t>
      </w:r>
      <w:r w:rsidRPr="0091592F">
        <w:rPr>
          <w:rFonts w:ascii="Palatino Linotype" w:eastAsia="Palatino Linotype" w:hAnsi="Palatino Linotype" w:cs="Palatino Linotype"/>
          <w:b/>
          <w:i/>
          <w:sz w:val="22"/>
          <w:szCs w:val="22"/>
        </w:rPr>
        <w:t>EL SUJETO OBLIGADO</w:t>
      </w:r>
      <w:r w:rsidRPr="0091592F">
        <w:rPr>
          <w:rFonts w:ascii="Palatino Linotype" w:eastAsia="Palatino Linotype" w:hAnsi="Palatino Linotype" w:cs="Palatino Linotype"/>
          <w:i/>
          <w:sz w:val="22"/>
          <w:szCs w:val="22"/>
        </w:rPr>
        <w:t xml:space="preserve"> la entrega de la información a la parte Recurrente.</w:t>
      </w:r>
    </w:p>
    <w:p w14:paraId="7E043E57"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Para el caso de que el particular proporcione a la autoridad municipal el medio magnético o CD-ROM en el que requiera le sea entregada la información pública no habrá costo que</w:t>
      </w:r>
    </w:p>
    <w:p w14:paraId="03D89C06"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cubrir.</w:t>
      </w:r>
    </w:p>
    <w:p w14:paraId="27E654F1" w14:textId="77777777" w:rsidR="00DC1D62" w:rsidRPr="0091592F" w:rsidRDefault="00DC1D62">
      <w:pPr>
        <w:ind w:left="850" w:right="901"/>
        <w:jc w:val="both"/>
        <w:rPr>
          <w:rFonts w:ascii="Palatino Linotype" w:eastAsia="Palatino Linotype" w:hAnsi="Palatino Linotype" w:cs="Palatino Linotype"/>
          <w:i/>
          <w:sz w:val="22"/>
          <w:szCs w:val="22"/>
        </w:rPr>
      </w:pPr>
    </w:p>
    <w:p w14:paraId="4A557552" w14:textId="77777777" w:rsidR="00DC1D62" w:rsidRPr="0091592F" w:rsidRDefault="001F661C">
      <w:pPr>
        <w:ind w:left="850" w:right="901"/>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Debiendo notificar al </w:t>
      </w:r>
      <w:r w:rsidRPr="0091592F">
        <w:rPr>
          <w:rFonts w:ascii="Palatino Linotype" w:eastAsia="Palatino Linotype" w:hAnsi="Palatino Linotype" w:cs="Palatino Linotype"/>
          <w:b/>
          <w:i/>
          <w:sz w:val="22"/>
          <w:szCs w:val="22"/>
        </w:rPr>
        <w:t>RECURRENTE</w:t>
      </w:r>
      <w:r w:rsidRPr="0091592F">
        <w:rPr>
          <w:rFonts w:ascii="Palatino Linotype" w:eastAsia="Palatino Linotype" w:hAnsi="Palatino Linotype" w:cs="Palatino Linotype"/>
          <w:i/>
          <w:sz w:val="22"/>
          <w:szCs w:val="22"/>
        </w:rPr>
        <w:t xml:space="preserve"> el Acuerdo de Clasificación que emita el Comité de Transparencia, con motivo de la versión pública.</w:t>
      </w:r>
    </w:p>
    <w:p w14:paraId="4B82A77A" w14:textId="77777777" w:rsidR="00DC1D62" w:rsidRPr="0091592F" w:rsidRDefault="00DC1D62">
      <w:pPr>
        <w:ind w:left="850" w:right="901"/>
        <w:jc w:val="both"/>
        <w:rPr>
          <w:rFonts w:ascii="Palatino Linotype" w:eastAsia="Palatino Linotype" w:hAnsi="Palatino Linotype" w:cs="Palatino Linotype"/>
          <w:i/>
          <w:sz w:val="22"/>
          <w:szCs w:val="22"/>
        </w:rPr>
      </w:pPr>
    </w:p>
    <w:p w14:paraId="6E5FC13E" w14:textId="77777777" w:rsidR="00DC1D62" w:rsidRPr="0091592F" w:rsidRDefault="001F661C">
      <w:pPr>
        <w:spacing w:line="276" w:lineRule="auto"/>
        <w:ind w:left="851" w:right="899"/>
        <w:jc w:val="both"/>
        <w:rPr>
          <w:rFonts w:ascii="Palatino Linotype" w:eastAsia="Palatino Linotype" w:hAnsi="Palatino Linotype" w:cs="Palatino Linotype"/>
          <w:i/>
          <w:sz w:val="22"/>
          <w:szCs w:val="22"/>
        </w:rPr>
      </w:pPr>
      <w:r w:rsidRPr="0091592F">
        <w:rPr>
          <w:rFonts w:ascii="Palatino Linotype" w:eastAsia="Palatino Linotype" w:hAnsi="Palatino Linotype" w:cs="Palatino Linotype"/>
          <w:i/>
          <w:sz w:val="22"/>
          <w:szCs w:val="22"/>
        </w:rPr>
        <w:t xml:space="preserve">Respecto de la información que se ordena su entrega, en el numeral 1, </w:t>
      </w:r>
      <w:r w:rsidRPr="0091592F">
        <w:rPr>
          <w:rFonts w:ascii="Palatino Linotype" w:eastAsia="Palatino Linotype" w:hAnsi="Palatino Linotype" w:cs="Palatino Linotype"/>
          <w:b/>
          <w:i/>
          <w:sz w:val="22"/>
          <w:szCs w:val="22"/>
        </w:rPr>
        <w:t xml:space="preserve">EL SUJETO OBLIGADO </w:t>
      </w:r>
      <w:r w:rsidRPr="0091592F">
        <w:rPr>
          <w:rFonts w:ascii="Palatino Linotype" w:eastAsia="Palatino Linotype" w:hAnsi="Palatino Linotype" w:cs="Palatino Linotype"/>
          <w:i/>
          <w:sz w:val="22"/>
          <w:szCs w:val="22"/>
        </w:rPr>
        <w:t xml:space="preserve">acredite no contar con la misma, deberá hacerlo del conocimiento del </w:t>
      </w:r>
      <w:r w:rsidRPr="0091592F">
        <w:rPr>
          <w:rFonts w:ascii="Palatino Linotype" w:eastAsia="Palatino Linotype" w:hAnsi="Palatino Linotype" w:cs="Palatino Linotype"/>
          <w:b/>
          <w:i/>
          <w:sz w:val="22"/>
          <w:szCs w:val="22"/>
        </w:rPr>
        <w:t>RECURRENTE</w:t>
      </w:r>
      <w:r w:rsidRPr="0091592F">
        <w:rPr>
          <w:rFonts w:ascii="Palatino Linotype" w:eastAsia="Palatino Linotype" w:hAnsi="Palatino Linotype" w:cs="Palatino Linotype"/>
          <w:i/>
          <w:sz w:val="22"/>
          <w:szCs w:val="22"/>
        </w:rPr>
        <w:t>, en términos del artículo 19 de la Ley de Transparencia y Acceso a la Información Pública del Estado de México y Municipios</w:t>
      </w:r>
    </w:p>
    <w:p w14:paraId="6A856420" w14:textId="77777777" w:rsidR="00DC1D62" w:rsidRPr="0091592F" w:rsidRDefault="00DC1D62">
      <w:pPr>
        <w:spacing w:line="360" w:lineRule="auto"/>
        <w:jc w:val="both"/>
        <w:rPr>
          <w:rFonts w:ascii="Palatino Linotype" w:eastAsia="Palatino Linotype" w:hAnsi="Palatino Linotype" w:cs="Palatino Linotype"/>
          <w:b/>
          <w:color w:val="000000"/>
          <w:sz w:val="28"/>
          <w:szCs w:val="28"/>
        </w:rPr>
      </w:pPr>
    </w:p>
    <w:p w14:paraId="1A5F2287" w14:textId="77777777" w:rsidR="00DC1D62" w:rsidRPr="0091592F" w:rsidRDefault="001F661C">
      <w:pPr>
        <w:spacing w:line="360" w:lineRule="auto"/>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b/>
          <w:color w:val="000000"/>
          <w:sz w:val="28"/>
          <w:szCs w:val="28"/>
        </w:rPr>
        <w:t>TERCERO.</w:t>
      </w:r>
      <w:r w:rsidRPr="0091592F">
        <w:rPr>
          <w:rFonts w:ascii="Palatino Linotype" w:eastAsia="Palatino Linotype" w:hAnsi="Palatino Linotype" w:cs="Palatino Linotype"/>
          <w:b/>
          <w:color w:val="000000"/>
        </w:rPr>
        <w:t> Notifíquese</w:t>
      </w:r>
      <w:r w:rsidRPr="0091592F">
        <w:rPr>
          <w:rFonts w:ascii="Palatino Linotype" w:eastAsia="Palatino Linotype" w:hAnsi="Palatino Linotype" w:cs="Palatino Linotype"/>
          <w:color w:val="000000"/>
        </w:rPr>
        <w:t xml:space="preserve"> al Titular de la Unidad de Transparencia del </w:t>
      </w:r>
      <w:r w:rsidRPr="0091592F">
        <w:rPr>
          <w:rFonts w:ascii="Palatino Linotype" w:eastAsia="Palatino Linotype" w:hAnsi="Palatino Linotype" w:cs="Palatino Linotype"/>
          <w:b/>
          <w:color w:val="000000"/>
        </w:rPr>
        <w:t>SUJETO OBLIGADO</w:t>
      </w:r>
      <w:r w:rsidRPr="0091592F">
        <w:rPr>
          <w:rFonts w:ascii="Palatino Linotype" w:eastAsia="Palatino Linotype" w:hAnsi="Palatino Linotype" w:cs="Palatino Linotype"/>
          <w:color w:val="000000"/>
        </w:rPr>
        <w:t xml:space="preserve">, para que conforme a los artículos 186, último párrafo y 189, párrafo segundo de la Ley de Transparencia y Acceso a la Información Pública del Estado </w:t>
      </w:r>
      <w:r w:rsidRPr="0091592F">
        <w:rPr>
          <w:rFonts w:ascii="Palatino Linotype" w:eastAsia="Palatino Linotype" w:hAnsi="Palatino Linotype" w:cs="Palatino Linotype"/>
          <w:color w:val="000000"/>
        </w:rPr>
        <w:lastRenderedPageBreak/>
        <w:t>de México y Municipios, dé cumplimiento a lo ordenado dentro del plazo de diez días hábiles, debiendo informar a este Instituto en un plazo de tres días hábiles siguientes sobre el cumplimiento dado a la presente resolución.</w:t>
      </w:r>
    </w:p>
    <w:p w14:paraId="4EBC5508" w14:textId="77777777" w:rsidR="00DC1D62" w:rsidRPr="0091592F" w:rsidRDefault="00DC1D62">
      <w:pPr>
        <w:spacing w:line="360" w:lineRule="auto"/>
        <w:ind w:right="49"/>
        <w:jc w:val="both"/>
        <w:rPr>
          <w:rFonts w:ascii="Palatino Linotype" w:eastAsia="Palatino Linotype" w:hAnsi="Palatino Linotype" w:cs="Palatino Linotype"/>
          <w:b/>
          <w:color w:val="000000"/>
        </w:rPr>
      </w:pPr>
    </w:p>
    <w:p w14:paraId="2A16F264" w14:textId="77777777" w:rsidR="00DC1D62" w:rsidRPr="0091592F" w:rsidRDefault="001F661C">
      <w:pPr>
        <w:spacing w:line="360" w:lineRule="auto"/>
        <w:ind w:right="49"/>
        <w:jc w:val="both"/>
        <w:rPr>
          <w:rFonts w:ascii="Palatino Linotype" w:eastAsia="Palatino Linotype" w:hAnsi="Palatino Linotype" w:cs="Palatino Linotype"/>
          <w:b/>
        </w:rPr>
      </w:pPr>
      <w:r w:rsidRPr="0091592F">
        <w:rPr>
          <w:rFonts w:ascii="Palatino Linotype" w:eastAsia="Palatino Linotype" w:hAnsi="Palatino Linotype" w:cs="Palatino Linotype"/>
          <w:b/>
          <w:color w:val="000000"/>
          <w:sz w:val="28"/>
          <w:szCs w:val="28"/>
        </w:rPr>
        <w:t xml:space="preserve">CUARTO. </w:t>
      </w:r>
      <w:r w:rsidRPr="0091592F">
        <w:rPr>
          <w:rFonts w:ascii="Palatino Linotype" w:eastAsia="Palatino Linotype" w:hAnsi="Palatino Linotype" w:cs="Palatino Linotype"/>
          <w:b/>
          <w:color w:val="000000"/>
        </w:rPr>
        <w:t>Notifíquese</w:t>
      </w:r>
      <w:r w:rsidRPr="0091592F">
        <w:rPr>
          <w:rFonts w:ascii="Palatino Linotype" w:eastAsia="Palatino Linotype" w:hAnsi="Palatino Linotype" w:cs="Palatino Linotype"/>
          <w:color w:val="000000"/>
        </w:rPr>
        <w:t xml:space="preserve"> al</w:t>
      </w:r>
      <w:r w:rsidRPr="0091592F">
        <w:rPr>
          <w:rFonts w:ascii="Palatino Linotype" w:eastAsia="Palatino Linotype" w:hAnsi="Palatino Linotype" w:cs="Palatino Linotype"/>
          <w:b/>
          <w:color w:val="000000"/>
        </w:rPr>
        <w:t xml:space="preserve"> RECURRENTE</w:t>
      </w:r>
      <w:r w:rsidRPr="0091592F">
        <w:rPr>
          <w:rFonts w:ascii="Palatino Linotype" w:eastAsia="Palatino Linotype" w:hAnsi="Palatino Linotype" w:cs="Palatino Linotype"/>
          <w:color w:val="000000"/>
        </w:rPr>
        <w:t xml:space="preserve"> la presente resolución vía Sistema de Acceso a la Información Mexiquense SAIMEX</w:t>
      </w:r>
      <w:r w:rsidRPr="0091592F">
        <w:rPr>
          <w:rFonts w:ascii="Palatino Linotype" w:eastAsia="Palatino Linotype" w:hAnsi="Palatino Linotype" w:cs="Palatino Linotype"/>
        </w:rPr>
        <w:t xml:space="preserve"> y correo electrónico. </w:t>
      </w:r>
    </w:p>
    <w:p w14:paraId="4D5DC20A" w14:textId="77777777" w:rsidR="00DC1D62" w:rsidRPr="0091592F" w:rsidRDefault="001F661C">
      <w:pPr>
        <w:spacing w:before="240" w:after="240" w:line="360" w:lineRule="auto"/>
        <w:ind w:right="49"/>
        <w:jc w:val="both"/>
        <w:rPr>
          <w:rFonts w:ascii="Palatino Linotype" w:eastAsia="Palatino Linotype" w:hAnsi="Palatino Linotype" w:cs="Palatino Linotype"/>
          <w:color w:val="222222"/>
        </w:rPr>
      </w:pPr>
      <w:r w:rsidRPr="0091592F">
        <w:rPr>
          <w:rFonts w:ascii="Palatino Linotype" w:eastAsia="Palatino Linotype" w:hAnsi="Palatino Linotype" w:cs="Palatino Linotype"/>
          <w:b/>
          <w:color w:val="000000"/>
          <w:sz w:val="28"/>
          <w:szCs w:val="28"/>
        </w:rPr>
        <w:t>QUINTO.</w:t>
      </w:r>
      <w:r w:rsidRPr="0091592F">
        <w:rPr>
          <w:rFonts w:ascii="Palatino Linotype" w:eastAsia="Palatino Linotype" w:hAnsi="Palatino Linotype" w:cs="Palatino Linotype"/>
          <w:color w:val="000000"/>
        </w:rPr>
        <w:t xml:space="preserve"> </w:t>
      </w:r>
      <w:r w:rsidRPr="0091592F">
        <w:rPr>
          <w:rFonts w:ascii="Palatino Linotype" w:eastAsia="Palatino Linotype" w:hAnsi="Palatino Linotype" w:cs="Palatino Linotype"/>
          <w:b/>
          <w:color w:val="000000"/>
        </w:rPr>
        <w:t>Hágase del conocimiento</w:t>
      </w:r>
      <w:r w:rsidRPr="0091592F">
        <w:rPr>
          <w:rFonts w:ascii="Palatino Linotype" w:eastAsia="Palatino Linotype" w:hAnsi="Palatino Linotype" w:cs="Palatino Linotype"/>
          <w:color w:val="000000"/>
        </w:rPr>
        <w:t xml:space="preserve"> al </w:t>
      </w:r>
      <w:r w:rsidRPr="0091592F">
        <w:rPr>
          <w:rFonts w:ascii="Palatino Linotype" w:eastAsia="Palatino Linotype" w:hAnsi="Palatino Linotype" w:cs="Palatino Linotype"/>
          <w:b/>
          <w:color w:val="000000"/>
        </w:rPr>
        <w:t>RECURRENTE</w:t>
      </w:r>
      <w:r w:rsidRPr="0091592F">
        <w:rPr>
          <w:rFonts w:ascii="Palatino Linotype" w:eastAsia="Palatino Linotype" w:hAnsi="Palatino Linotype" w:cs="Palatino Linotype"/>
          <w:color w:val="000000"/>
        </w:rPr>
        <w:t xml:space="preserve"> que </w:t>
      </w:r>
      <w:r w:rsidRPr="0091592F">
        <w:rPr>
          <w:rFonts w:ascii="Palatino Linotype" w:eastAsia="Palatino Linotype" w:hAnsi="Palatino Linotype" w:cs="Palatino Linotype"/>
          <w:color w:val="222222"/>
        </w:rPr>
        <w:t>de conformidad con lo establecido en el artículo 196 de la Ley de Transparencia y Acceso a la Información Pública del Estado de México y Municipios, podrá impugnar vía Juicio de Amparo en los términos de las leyes aplicables.</w:t>
      </w:r>
    </w:p>
    <w:p w14:paraId="20E9E010" w14:textId="77777777" w:rsidR="00DC1D62" w:rsidRPr="0091592F" w:rsidRDefault="001F661C">
      <w:pPr>
        <w:spacing w:line="360" w:lineRule="auto"/>
        <w:ind w:right="49"/>
        <w:jc w:val="both"/>
        <w:rPr>
          <w:rFonts w:ascii="Palatino Linotype" w:eastAsia="Palatino Linotype" w:hAnsi="Palatino Linotype" w:cs="Palatino Linotype"/>
          <w:color w:val="000000"/>
        </w:rPr>
      </w:pPr>
      <w:r w:rsidRPr="0091592F">
        <w:rPr>
          <w:rFonts w:ascii="Palatino Linotype" w:eastAsia="Palatino Linotype" w:hAnsi="Palatino Linotype" w:cs="Palatino Linotype"/>
          <w:b/>
          <w:color w:val="000000"/>
          <w:sz w:val="28"/>
          <w:szCs w:val="28"/>
        </w:rPr>
        <w:t>SEXTO</w:t>
      </w:r>
      <w:r w:rsidRPr="0091592F">
        <w:rPr>
          <w:rFonts w:ascii="Palatino Linotype" w:eastAsia="Palatino Linotype" w:hAnsi="Palatino Linotype" w:cs="Palatino Linotype"/>
          <w:color w:val="000000"/>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74584E7" w14:textId="77777777" w:rsidR="00DC1D62" w:rsidRPr="0091592F" w:rsidRDefault="001F661C">
      <w:pPr>
        <w:widowControl w:val="0"/>
        <w:spacing w:before="280" w:after="280" w:line="360" w:lineRule="auto"/>
        <w:jc w:val="both"/>
        <w:rPr>
          <w:rFonts w:ascii="Palatino Linotype" w:eastAsia="Palatino Linotype" w:hAnsi="Palatino Linotype" w:cs="Palatino Linotype"/>
        </w:rPr>
      </w:pPr>
      <w:r w:rsidRPr="0091592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w:t>
      </w:r>
      <w:r w:rsidRPr="0091592F">
        <w:rPr>
          <w:rFonts w:ascii="Palatino Linotype" w:eastAsia="Palatino Linotype" w:hAnsi="Palatino Linotype" w:cs="Palatino Linotype"/>
        </w:rPr>
        <w:lastRenderedPageBreak/>
        <w:t>CUATRO DE MAYO DE DOS MIL VEINTIDÓS, ANTE EL SECRETARIO TÉCNICO DEL PLENO, ALEXIS TAPIA RAMÍREZ.</w:t>
      </w:r>
    </w:p>
    <w:p w14:paraId="51086982" w14:textId="77777777" w:rsidR="00DC1D62" w:rsidRDefault="001F661C">
      <w:pPr>
        <w:widowControl w:val="0"/>
        <w:spacing w:before="280" w:after="280" w:line="360" w:lineRule="auto"/>
        <w:jc w:val="both"/>
        <w:rPr>
          <w:rFonts w:ascii="Palatino Linotype" w:eastAsia="Palatino Linotype" w:hAnsi="Palatino Linotype" w:cs="Palatino Linotype"/>
          <w:sz w:val="16"/>
          <w:szCs w:val="16"/>
        </w:rPr>
      </w:pPr>
      <w:r w:rsidRPr="0091592F">
        <w:rPr>
          <w:rFonts w:ascii="Palatino Linotype" w:eastAsia="Palatino Linotype" w:hAnsi="Palatino Linotype" w:cs="Palatino Linotype"/>
          <w:sz w:val="16"/>
          <w:szCs w:val="16"/>
        </w:rPr>
        <w:t>SCMM/BLA/DEMF/PMRE</w:t>
      </w:r>
      <w:r>
        <w:br w:type="page"/>
      </w:r>
    </w:p>
    <w:p w14:paraId="4AC48707" w14:textId="77777777" w:rsidR="00DC1D62" w:rsidRDefault="00DC1D62">
      <w:pPr>
        <w:widowControl w:val="0"/>
        <w:spacing w:before="280" w:after="280" w:line="360" w:lineRule="auto"/>
        <w:jc w:val="both"/>
        <w:rPr>
          <w:rFonts w:ascii="Palatino Linotype" w:eastAsia="Palatino Linotype" w:hAnsi="Palatino Linotype" w:cs="Palatino Linotype"/>
          <w:sz w:val="20"/>
          <w:szCs w:val="20"/>
        </w:rPr>
      </w:pPr>
    </w:p>
    <w:p w14:paraId="707CF979" w14:textId="77777777" w:rsidR="00DC1D62" w:rsidRDefault="00DC1D62">
      <w:pPr>
        <w:widowControl w:val="0"/>
        <w:spacing w:before="280" w:after="280" w:line="360" w:lineRule="auto"/>
        <w:jc w:val="both"/>
        <w:rPr>
          <w:rFonts w:ascii="Palatino Linotype" w:eastAsia="Palatino Linotype" w:hAnsi="Palatino Linotype" w:cs="Palatino Linotype"/>
        </w:rPr>
      </w:pPr>
    </w:p>
    <w:p w14:paraId="057B804F" w14:textId="77777777" w:rsidR="00DC1D62" w:rsidRDefault="00DC1D62">
      <w:pPr>
        <w:rPr>
          <w:rFonts w:ascii="Palatino Linotype" w:eastAsia="Palatino Linotype" w:hAnsi="Palatino Linotype" w:cs="Palatino Linotype"/>
        </w:rPr>
      </w:pPr>
      <w:bookmarkStart w:id="12" w:name="_heading=h.1t3h5sf" w:colFirst="0" w:colLast="0"/>
      <w:bookmarkEnd w:id="12"/>
    </w:p>
    <w:sectPr w:rsidR="00DC1D62">
      <w:headerReference w:type="default" r:id="rId26"/>
      <w:footerReference w:type="default" r:id="rId27"/>
      <w:headerReference w:type="first" r:id="rId28"/>
      <w:footerReference w:type="first" r:id="rId2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8EECC" w14:textId="77777777" w:rsidR="00C14D27" w:rsidRDefault="00C14D27">
      <w:r>
        <w:separator/>
      </w:r>
    </w:p>
  </w:endnote>
  <w:endnote w:type="continuationSeparator" w:id="0">
    <w:p w14:paraId="3792035A" w14:textId="77777777" w:rsidR="00C14D27" w:rsidRDefault="00C1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B1B41" w14:textId="77777777" w:rsidR="00DC1D62" w:rsidRDefault="001F661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608AF">
      <w:rPr>
        <w:rFonts w:ascii="Palatino Linotype" w:eastAsia="Palatino Linotype" w:hAnsi="Palatino Linotype" w:cs="Palatino Linotype"/>
        <w:noProof/>
        <w:color w:val="000000"/>
        <w:sz w:val="22"/>
        <w:szCs w:val="22"/>
      </w:rPr>
      <w:t>68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608AF">
      <w:rPr>
        <w:rFonts w:ascii="Palatino Linotype" w:eastAsia="Palatino Linotype" w:hAnsi="Palatino Linotype" w:cs="Palatino Linotype"/>
        <w:noProof/>
        <w:color w:val="000000"/>
        <w:sz w:val="22"/>
        <w:szCs w:val="22"/>
      </w:rPr>
      <w:t>68</w:t>
    </w:r>
    <w:r>
      <w:rPr>
        <w:rFonts w:ascii="Palatino Linotype" w:eastAsia="Palatino Linotype" w:hAnsi="Palatino Linotype" w:cs="Palatino Linotype"/>
        <w:color w:val="000000"/>
        <w:sz w:val="22"/>
        <w:szCs w:val="22"/>
      </w:rPr>
      <w:fldChar w:fldCharType="end"/>
    </w:r>
  </w:p>
  <w:p w14:paraId="18317BCF" w14:textId="77777777" w:rsidR="00DC1D62" w:rsidRDefault="00DC1D6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43DC5" w14:textId="77777777" w:rsidR="00DC1D62" w:rsidRDefault="001F661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608AF">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608AF">
      <w:rPr>
        <w:rFonts w:ascii="Palatino Linotype" w:eastAsia="Palatino Linotype" w:hAnsi="Palatino Linotype" w:cs="Palatino Linotype"/>
        <w:noProof/>
        <w:color w:val="000000"/>
        <w:sz w:val="22"/>
        <w:szCs w:val="22"/>
      </w:rPr>
      <w:t>68</w:t>
    </w:r>
    <w:r>
      <w:rPr>
        <w:rFonts w:ascii="Palatino Linotype" w:eastAsia="Palatino Linotype" w:hAnsi="Palatino Linotype" w:cs="Palatino Linotype"/>
        <w:color w:val="000000"/>
        <w:sz w:val="22"/>
        <w:szCs w:val="22"/>
      </w:rPr>
      <w:fldChar w:fldCharType="end"/>
    </w:r>
  </w:p>
  <w:p w14:paraId="34829418" w14:textId="77777777" w:rsidR="00DC1D62" w:rsidRDefault="00DC1D6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7D59B" w14:textId="77777777" w:rsidR="00C14D27" w:rsidRDefault="00C14D27">
      <w:r>
        <w:separator/>
      </w:r>
    </w:p>
  </w:footnote>
  <w:footnote w:type="continuationSeparator" w:id="0">
    <w:p w14:paraId="3F57C744" w14:textId="77777777" w:rsidR="00C14D27" w:rsidRDefault="00C14D27">
      <w:r>
        <w:continuationSeparator/>
      </w:r>
    </w:p>
  </w:footnote>
  <w:footnote w:id="1">
    <w:p w14:paraId="7F41499E" w14:textId="77777777" w:rsidR="00DC1D62" w:rsidRDefault="001F661C">
      <w:pPr>
        <w:jc w:val="both"/>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b/>
          <w:i/>
          <w:sz w:val="20"/>
          <w:szCs w:val="20"/>
        </w:rPr>
        <w:t>Ley de Transparencia y Acceso a la Información Pública del Estado de México y Municipios</w:t>
      </w:r>
    </w:p>
    <w:p w14:paraId="06B2329B" w14:textId="77777777" w:rsidR="00DC1D62" w:rsidRDefault="001F661C">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Artículo 167.</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b/>
          <w:i/>
          <w:sz w:val="20"/>
          <w:szCs w:val="20"/>
        </w:rPr>
        <w:t xml:space="preserve">Cuando las unidades de transparencia determinen la notoria incompetencia por parte de los sujetos obligados, dentro del ámbito de aplicación, para atender la solicitud de acceso a la información, </w:t>
      </w:r>
      <w:r>
        <w:rPr>
          <w:rFonts w:ascii="Palatino Linotype" w:eastAsia="Palatino Linotype" w:hAnsi="Palatino Linotype" w:cs="Palatino Linotype"/>
          <w:b/>
          <w:i/>
          <w:sz w:val="20"/>
          <w:szCs w:val="20"/>
          <w:u w:val="single"/>
        </w:rPr>
        <w:t>deberán comunicarlo al solicitante, dentro de los tres días hábiles posteriores a la recepción de la solicitud</w:t>
      </w:r>
      <w:r>
        <w:rPr>
          <w:rFonts w:ascii="Palatino Linotype" w:eastAsia="Palatino Linotype" w:hAnsi="Palatino Linotype" w:cs="Palatino Linotype"/>
          <w:b/>
          <w:i/>
          <w:sz w:val="20"/>
          <w:szCs w:val="20"/>
        </w:rPr>
        <w:t xml:space="preserve"> y, en su caso orientar al solicitante, el o los sujetos obligados competentes. </w:t>
      </w:r>
    </w:p>
    <w:p w14:paraId="7D4C0FB0" w14:textId="77777777" w:rsidR="00DC1D62" w:rsidRDefault="00DC1D62">
      <w:pPr>
        <w:jc w:val="both"/>
        <w:rPr>
          <w:rFonts w:ascii="Cambria" w:eastAsia="Cambria" w:hAnsi="Cambria" w:cs="Cambria"/>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9F19C" w14:textId="77777777" w:rsidR="00DC1D62" w:rsidRDefault="00DC1D62">
    <w:pPr>
      <w:widowControl w:val="0"/>
      <w:pBdr>
        <w:top w:val="nil"/>
        <w:left w:val="nil"/>
        <w:bottom w:val="nil"/>
        <w:right w:val="nil"/>
        <w:between w:val="nil"/>
      </w:pBdr>
      <w:spacing w:line="276" w:lineRule="auto"/>
      <w:rPr>
        <w:color w:val="000000"/>
      </w:rPr>
    </w:pPr>
  </w:p>
  <w:tbl>
    <w:tblPr>
      <w:tblStyle w:val="a8"/>
      <w:tblW w:w="9073" w:type="dxa"/>
      <w:tblInd w:w="-284" w:type="dxa"/>
      <w:tblLayout w:type="fixed"/>
      <w:tblLook w:val="0400" w:firstRow="0" w:lastRow="0" w:firstColumn="0" w:lastColumn="0" w:noHBand="0" w:noVBand="1"/>
    </w:tblPr>
    <w:tblGrid>
      <w:gridCol w:w="3403"/>
      <w:gridCol w:w="2552"/>
      <w:gridCol w:w="3118"/>
    </w:tblGrid>
    <w:tr w:rsidR="00DC1D62" w14:paraId="05F1B9D3" w14:textId="77777777">
      <w:tc>
        <w:tcPr>
          <w:tcW w:w="3403" w:type="dxa"/>
          <w:vMerge w:val="restart"/>
          <w:shd w:val="clear" w:color="auto" w:fill="auto"/>
        </w:tcPr>
        <w:p w14:paraId="2E069875" w14:textId="77777777" w:rsidR="00DC1D62" w:rsidRDefault="001F661C">
          <w:pPr>
            <w:rPr>
              <w:rFonts w:ascii="Palatino Linotype" w:eastAsia="Palatino Linotype" w:hAnsi="Palatino Linotype" w:cs="Palatino Linotype"/>
              <w:b/>
            </w:rPr>
          </w:pPr>
          <w:r>
            <w:rPr>
              <w:rFonts w:ascii="Palatino Linotype" w:eastAsia="Palatino Linotype" w:hAnsi="Palatino Linotype" w:cs="Palatino Linotype"/>
              <w:noProof/>
              <w:sz w:val="28"/>
              <w:szCs w:val="28"/>
              <w:lang w:eastAsia="es-MX"/>
            </w:rPr>
            <w:drawing>
              <wp:inline distT="0" distB="0" distL="0" distR="0" wp14:anchorId="27840544" wp14:editId="0ECAC12C">
                <wp:extent cx="1692162" cy="852673"/>
                <wp:effectExtent l="0" t="0" r="0" b="0"/>
                <wp:docPr id="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4E138F7A" w14:textId="77777777" w:rsidR="00DC1D62" w:rsidRDefault="001F661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8" w:type="dxa"/>
          <w:shd w:val="clear" w:color="auto" w:fill="auto"/>
          <w:vAlign w:val="center"/>
        </w:tcPr>
        <w:p w14:paraId="5F742664" w14:textId="77777777" w:rsidR="00DC1D62" w:rsidRDefault="001F661C">
          <w:pPr>
            <w:jc w:val="both"/>
            <w:rPr>
              <w:rFonts w:ascii="Palatino Linotype" w:eastAsia="Palatino Linotype" w:hAnsi="Palatino Linotype" w:cs="Palatino Linotype"/>
              <w:b/>
            </w:rPr>
          </w:pPr>
          <w:r>
            <w:rPr>
              <w:rFonts w:ascii="Palatino Linotype" w:eastAsia="Palatino Linotype" w:hAnsi="Palatino Linotype" w:cs="Palatino Linotype"/>
              <w:b/>
            </w:rPr>
            <w:t>01107/INFOEM/IP/RR/2022</w:t>
          </w:r>
        </w:p>
      </w:tc>
    </w:tr>
    <w:tr w:rsidR="00DC1D62" w14:paraId="521BC471" w14:textId="77777777">
      <w:trPr>
        <w:trHeight w:val="228"/>
      </w:trPr>
      <w:tc>
        <w:tcPr>
          <w:tcW w:w="3403" w:type="dxa"/>
          <w:vMerge/>
          <w:shd w:val="clear" w:color="auto" w:fill="auto"/>
        </w:tcPr>
        <w:p w14:paraId="257291EB" w14:textId="77777777" w:rsidR="00DC1D62" w:rsidRDefault="00DC1D6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2" w:type="dxa"/>
          <w:shd w:val="clear" w:color="auto" w:fill="auto"/>
        </w:tcPr>
        <w:p w14:paraId="3754BC0A" w14:textId="77777777" w:rsidR="00DC1D62" w:rsidRDefault="001F661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8" w:type="dxa"/>
          <w:shd w:val="clear" w:color="auto" w:fill="auto"/>
          <w:vAlign w:val="center"/>
        </w:tcPr>
        <w:p w14:paraId="48BE930A" w14:textId="77777777" w:rsidR="00DC1D62" w:rsidRDefault="001F661C">
          <w:pPr>
            <w:jc w:val="both"/>
            <w:rPr>
              <w:rFonts w:ascii="Palatino Linotype" w:eastAsia="Palatino Linotype" w:hAnsi="Palatino Linotype" w:cs="Palatino Linotype"/>
              <w:b/>
            </w:rPr>
          </w:pPr>
          <w:r>
            <w:rPr>
              <w:rFonts w:ascii="Palatino Linotype" w:eastAsia="Palatino Linotype" w:hAnsi="Palatino Linotype" w:cs="Palatino Linotype"/>
              <w:b/>
            </w:rPr>
            <w:t>Sistema de Agua Potable Alcantarillado y Saneamiento de Ecatepec de Morelos</w:t>
          </w:r>
        </w:p>
      </w:tc>
    </w:tr>
    <w:tr w:rsidR="00DC1D62" w14:paraId="5659B70A" w14:textId="77777777">
      <w:tc>
        <w:tcPr>
          <w:tcW w:w="3403" w:type="dxa"/>
          <w:vMerge/>
          <w:shd w:val="clear" w:color="auto" w:fill="auto"/>
        </w:tcPr>
        <w:p w14:paraId="0E4C0CC7" w14:textId="77777777" w:rsidR="00DC1D62" w:rsidRDefault="00DC1D6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2" w:type="dxa"/>
          <w:shd w:val="clear" w:color="auto" w:fill="auto"/>
        </w:tcPr>
        <w:p w14:paraId="1692ED16" w14:textId="77777777" w:rsidR="00DC1D62" w:rsidRDefault="001F661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8" w:type="dxa"/>
          <w:shd w:val="clear" w:color="auto" w:fill="auto"/>
        </w:tcPr>
        <w:p w14:paraId="1D9E20B6" w14:textId="77777777" w:rsidR="00DC1D62" w:rsidRDefault="001F661C">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4ACFDB11" w14:textId="77777777" w:rsidR="00DC1D62" w:rsidRDefault="00C14D27">
    <w:pPr>
      <w:pBdr>
        <w:top w:val="nil"/>
        <w:left w:val="nil"/>
        <w:bottom w:val="nil"/>
        <w:right w:val="nil"/>
        <w:between w:val="nil"/>
      </w:pBdr>
      <w:tabs>
        <w:tab w:val="center" w:pos="4419"/>
        <w:tab w:val="right" w:pos="8838"/>
      </w:tabs>
      <w:rPr>
        <w:color w:val="000000"/>
      </w:rPr>
    </w:pPr>
    <w:r>
      <w:rPr>
        <w:rFonts w:ascii="Palatino Linotype" w:eastAsia="Palatino Linotype" w:hAnsi="Palatino Linotype" w:cs="Palatino Linotype"/>
        <w:color w:val="000000"/>
        <w:sz w:val="28"/>
        <w:szCs w:val="28"/>
      </w:rPr>
      <w:pict w14:anchorId="13616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RESOLUCIÓN" style="position:absolute;margin-left:-72.65pt;margin-top:-72.45pt;width:540pt;height:10in;z-index:-251659264;mso-position-horizontal:absolute;mso-position-horizontal-relative:margin;mso-position-vertical:absolute;mso-position-vertical-relative:margin">
          <v:imagedata r:id="rId2" o:title="image1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184CA" w14:textId="77777777" w:rsidR="00DC1D62" w:rsidRDefault="00DC1D62">
    <w:pPr>
      <w:widowControl w:val="0"/>
      <w:pBdr>
        <w:top w:val="nil"/>
        <w:left w:val="nil"/>
        <w:bottom w:val="nil"/>
        <w:right w:val="nil"/>
        <w:between w:val="nil"/>
      </w:pBdr>
      <w:spacing w:line="276" w:lineRule="auto"/>
      <w:rPr>
        <w:rFonts w:ascii="Calibri" w:eastAsia="Calibri" w:hAnsi="Calibri" w:cs="Calibri"/>
        <w:color w:val="000000"/>
        <w:sz w:val="20"/>
        <w:szCs w:val="20"/>
      </w:rPr>
    </w:pPr>
  </w:p>
  <w:tbl>
    <w:tblPr>
      <w:tblStyle w:val="a7"/>
      <w:tblW w:w="9356" w:type="dxa"/>
      <w:tblInd w:w="-142" w:type="dxa"/>
      <w:tblLayout w:type="fixed"/>
      <w:tblLook w:val="0400" w:firstRow="0" w:lastRow="0" w:firstColumn="0" w:lastColumn="0" w:noHBand="0" w:noVBand="1"/>
    </w:tblPr>
    <w:tblGrid>
      <w:gridCol w:w="3403"/>
      <w:gridCol w:w="2552"/>
      <w:gridCol w:w="3401"/>
    </w:tblGrid>
    <w:tr w:rsidR="00DC1D62" w14:paraId="5C423598" w14:textId="77777777">
      <w:tc>
        <w:tcPr>
          <w:tcW w:w="3403" w:type="dxa"/>
          <w:vMerge w:val="restart"/>
          <w:shd w:val="clear" w:color="auto" w:fill="auto"/>
        </w:tcPr>
        <w:p w14:paraId="74C025A7" w14:textId="77777777" w:rsidR="00DC1D62" w:rsidRDefault="001F661C">
          <w:pPr>
            <w:rPr>
              <w:rFonts w:ascii="Palatino Linotype" w:eastAsia="Palatino Linotype" w:hAnsi="Palatino Linotype" w:cs="Palatino Linotype"/>
              <w:b/>
            </w:rPr>
          </w:pPr>
          <w:r>
            <w:rPr>
              <w:rFonts w:ascii="Palatino Linotype" w:eastAsia="Palatino Linotype" w:hAnsi="Palatino Linotype" w:cs="Palatino Linotype"/>
              <w:noProof/>
              <w:sz w:val="28"/>
              <w:szCs w:val="28"/>
              <w:lang w:eastAsia="es-MX"/>
            </w:rPr>
            <w:drawing>
              <wp:inline distT="0" distB="0" distL="0" distR="0" wp14:anchorId="1A13F280" wp14:editId="0A4AD5F2">
                <wp:extent cx="1692162" cy="852673"/>
                <wp:effectExtent l="0" t="0" r="0" b="0"/>
                <wp:docPr id="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0A716391" w14:textId="77777777" w:rsidR="00DC1D62" w:rsidRDefault="001F661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1" w:type="dxa"/>
          <w:shd w:val="clear" w:color="auto" w:fill="auto"/>
          <w:vAlign w:val="center"/>
        </w:tcPr>
        <w:p w14:paraId="3B057ABB" w14:textId="77777777" w:rsidR="00DC1D62" w:rsidRDefault="001F661C">
          <w:pPr>
            <w:jc w:val="both"/>
            <w:rPr>
              <w:rFonts w:ascii="Palatino Linotype" w:eastAsia="Palatino Linotype" w:hAnsi="Palatino Linotype" w:cs="Palatino Linotype"/>
              <w:b/>
            </w:rPr>
          </w:pPr>
          <w:r>
            <w:rPr>
              <w:rFonts w:ascii="Palatino Linotype" w:eastAsia="Palatino Linotype" w:hAnsi="Palatino Linotype" w:cs="Palatino Linotype"/>
              <w:b/>
            </w:rPr>
            <w:t>01107/INFOEM/IP/RR/2022</w:t>
          </w:r>
        </w:p>
      </w:tc>
    </w:tr>
    <w:tr w:rsidR="00DC1D62" w14:paraId="1230832B" w14:textId="77777777">
      <w:tc>
        <w:tcPr>
          <w:tcW w:w="3403" w:type="dxa"/>
          <w:vMerge/>
          <w:shd w:val="clear" w:color="auto" w:fill="auto"/>
        </w:tcPr>
        <w:p w14:paraId="730EE401" w14:textId="77777777" w:rsidR="00DC1D62" w:rsidRDefault="00DC1D6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2" w:type="dxa"/>
          <w:shd w:val="clear" w:color="auto" w:fill="auto"/>
        </w:tcPr>
        <w:p w14:paraId="1D4DE7C3" w14:textId="77777777" w:rsidR="00DC1D62" w:rsidRDefault="001F661C">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1" w:type="dxa"/>
          <w:shd w:val="clear" w:color="auto" w:fill="auto"/>
          <w:vAlign w:val="center"/>
        </w:tcPr>
        <w:p w14:paraId="50C0DECF" w14:textId="30138010" w:rsidR="00DC1D62" w:rsidRDefault="009608A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XXXX XXXXXXX </w:t>
          </w:r>
          <w:proofErr w:type="spellStart"/>
          <w:r>
            <w:rPr>
              <w:rFonts w:ascii="Palatino Linotype" w:eastAsia="Palatino Linotype" w:hAnsi="Palatino Linotype" w:cs="Palatino Linotype"/>
              <w:b/>
            </w:rPr>
            <w:t>XXXXXXX</w:t>
          </w:r>
          <w:proofErr w:type="spellEnd"/>
        </w:p>
      </w:tc>
    </w:tr>
    <w:tr w:rsidR="00DC1D62" w14:paraId="7002E9A2" w14:textId="77777777">
      <w:trPr>
        <w:trHeight w:val="228"/>
      </w:trPr>
      <w:tc>
        <w:tcPr>
          <w:tcW w:w="3403" w:type="dxa"/>
          <w:vMerge/>
          <w:shd w:val="clear" w:color="auto" w:fill="auto"/>
        </w:tcPr>
        <w:p w14:paraId="6A24C589" w14:textId="77777777" w:rsidR="00DC1D62" w:rsidRDefault="00DC1D6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2" w:type="dxa"/>
          <w:shd w:val="clear" w:color="auto" w:fill="auto"/>
        </w:tcPr>
        <w:p w14:paraId="1FBB0C76" w14:textId="77777777" w:rsidR="00DC1D62" w:rsidRDefault="001F661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1" w:type="dxa"/>
          <w:shd w:val="clear" w:color="auto" w:fill="auto"/>
          <w:vAlign w:val="center"/>
        </w:tcPr>
        <w:p w14:paraId="65D9CFB9" w14:textId="77777777" w:rsidR="00DC1D62" w:rsidRDefault="001F661C">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Sistema de Agua Potable Alcantarillado y Saneamiento de Ecatepec de Morelos </w:t>
          </w:r>
        </w:p>
      </w:tc>
    </w:tr>
    <w:tr w:rsidR="00DC1D62" w14:paraId="527CD8A8" w14:textId="77777777">
      <w:tc>
        <w:tcPr>
          <w:tcW w:w="3403" w:type="dxa"/>
          <w:vMerge/>
          <w:shd w:val="clear" w:color="auto" w:fill="auto"/>
        </w:tcPr>
        <w:p w14:paraId="3AC9EE9A" w14:textId="77777777" w:rsidR="00DC1D62" w:rsidRDefault="00DC1D6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2" w:type="dxa"/>
          <w:shd w:val="clear" w:color="auto" w:fill="auto"/>
        </w:tcPr>
        <w:p w14:paraId="6FD3626F" w14:textId="77777777" w:rsidR="00DC1D62" w:rsidRDefault="001F661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1" w:type="dxa"/>
          <w:shd w:val="clear" w:color="auto" w:fill="auto"/>
        </w:tcPr>
        <w:p w14:paraId="1B742A06" w14:textId="77777777" w:rsidR="00DC1D62" w:rsidRDefault="001F661C">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1A9092E1" w14:textId="77777777" w:rsidR="00DC1D62" w:rsidRDefault="00C14D27">
    <w:pPr>
      <w:pBdr>
        <w:top w:val="nil"/>
        <w:left w:val="nil"/>
        <w:bottom w:val="nil"/>
        <w:right w:val="nil"/>
        <w:between w:val="nil"/>
      </w:pBdr>
      <w:tabs>
        <w:tab w:val="center" w:pos="4419"/>
        <w:tab w:val="right" w:pos="8838"/>
      </w:tabs>
      <w:rPr>
        <w:color w:val="000000"/>
      </w:rPr>
    </w:pPr>
    <w:r>
      <w:rPr>
        <w:color w:val="000000"/>
      </w:rPr>
      <w:pict w14:anchorId="73FE5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RESOLUCIÓN" style="position:absolute;margin-left:-60.65pt;margin-top:-104.95pt;width:540pt;height:10in;z-index:-251658240;mso-wrap-edited:f;mso-width-percent:0;mso-height-percent:0;mso-position-horizontal:absolute;mso-position-horizontal-relative:margin;mso-position-vertical:absolute;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42427"/>
    <w:multiLevelType w:val="multilevel"/>
    <w:tmpl w:val="5998A596"/>
    <w:lvl w:ilvl="0">
      <w:start w:val="1"/>
      <w:numFmt w:val="upperRoman"/>
      <w:lvlText w:val="%1."/>
      <w:lvlJc w:val="left"/>
      <w:pPr>
        <w:ind w:left="1429" w:hanging="72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D62"/>
    <w:rsid w:val="001F661C"/>
    <w:rsid w:val="0091592F"/>
    <w:rsid w:val="009608AF"/>
    <w:rsid w:val="00C14D27"/>
    <w:rsid w:val="00C22638"/>
    <w:rsid w:val="00C2277F"/>
    <w:rsid w:val="00DC1D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77E1B27"/>
  <w15:docId w15:val="{1697631A-6EB5-401F-810D-C6490AF7A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EB2"/>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24501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22EB2"/>
    <w:pPr>
      <w:tabs>
        <w:tab w:val="center" w:pos="4419"/>
        <w:tab w:val="right" w:pos="8838"/>
      </w:tabs>
    </w:pPr>
  </w:style>
  <w:style w:type="character" w:customStyle="1" w:styleId="EncabezadoCar">
    <w:name w:val="Encabezado Car"/>
    <w:basedOn w:val="Fuentedeprrafopredeter"/>
    <w:link w:val="Encabezado"/>
    <w:uiPriority w:val="99"/>
    <w:rsid w:val="00D22EB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22EB2"/>
    <w:pPr>
      <w:tabs>
        <w:tab w:val="center" w:pos="4419"/>
        <w:tab w:val="right" w:pos="8838"/>
      </w:tabs>
    </w:pPr>
  </w:style>
  <w:style w:type="character" w:customStyle="1" w:styleId="PiedepginaCar">
    <w:name w:val="Pie de página Car"/>
    <w:basedOn w:val="Fuentedeprrafopredeter"/>
    <w:link w:val="Piedepgina"/>
    <w:uiPriority w:val="99"/>
    <w:rsid w:val="00D22EB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22E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22EB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22EB2"/>
    <w:rPr>
      <w:color w:val="0563C1" w:themeColor="hyperlink"/>
      <w:u w:val="single"/>
    </w:rPr>
  </w:style>
  <w:style w:type="character" w:customStyle="1" w:styleId="Ttulo2Car">
    <w:name w:val="Título 2 Car"/>
    <w:basedOn w:val="Fuentedeprrafopredeter"/>
    <w:link w:val="Ttulo2"/>
    <w:uiPriority w:val="9"/>
    <w:rsid w:val="00245018"/>
    <w:rPr>
      <w:rFonts w:asciiTheme="majorHAnsi" w:eastAsiaTheme="majorEastAsia" w:hAnsiTheme="majorHAnsi" w:cstheme="majorBidi"/>
      <w:color w:val="2E74B5" w:themeColor="accent1" w:themeShade="BF"/>
      <w:sz w:val="26"/>
      <w:szCs w:val="26"/>
    </w:rPr>
  </w:style>
  <w:style w:type="paragraph" w:styleId="Sinespaciado">
    <w:name w:val="No Spacing"/>
    <w:aliases w:val="Francesa,INAI"/>
    <w:link w:val="SinespaciadoCar"/>
    <w:uiPriority w:val="1"/>
    <w:qFormat/>
    <w:rsid w:val="00245018"/>
    <w:rPr>
      <w:rFonts w:eastAsiaTheme="minorEastAsia"/>
      <w:lang w:val="es-ES_tradnl" w:eastAsia="es-ES"/>
    </w:rPr>
  </w:style>
  <w:style w:type="character" w:customStyle="1" w:styleId="SinespaciadoCar">
    <w:name w:val="Sin espaciado Car"/>
    <w:aliases w:val="Francesa Car,INAI Car"/>
    <w:link w:val="Sinespaciado"/>
    <w:uiPriority w:val="1"/>
    <w:locked/>
    <w:rsid w:val="00245018"/>
    <w:rPr>
      <w:rFonts w:eastAsiaTheme="minorEastAsia"/>
      <w:sz w:val="24"/>
      <w:szCs w:val="24"/>
      <w:lang w:val="es-ES_tradnl" w:eastAsia="es-ES"/>
    </w:rPr>
  </w:style>
  <w:style w:type="paragraph" w:styleId="Textoindependiente">
    <w:name w:val="Body Text"/>
    <w:basedOn w:val="Normal"/>
    <w:link w:val="TextoindependienteCar1"/>
    <w:uiPriority w:val="1"/>
    <w:qFormat/>
    <w:rsid w:val="00E23B5B"/>
    <w:pPr>
      <w:widowControl w:val="0"/>
      <w:ind w:left="114"/>
    </w:pPr>
    <w:rPr>
      <w:rFonts w:ascii="Arial" w:eastAsia="Arial" w:hAnsi="Arial"/>
      <w:sz w:val="19"/>
      <w:szCs w:val="19"/>
      <w:lang w:val="en-US" w:eastAsia="en-US"/>
    </w:rPr>
  </w:style>
  <w:style w:type="character" w:customStyle="1" w:styleId="TextoindependienteCar">
    <w:name w:val="Texto independiente Car"/>
    <w:basedOn w:val="Fuentedeprrafopredeter"/>
    <w:uiPriority w:val="99"/>
    <w:semiHidden/>
    <w:rsid w:val="00E23B5B"/>
    <w:rPr>
      <w:rFonts w:ascii="Times New Roman" w:eastAsia="Times New Roman" w:hAnsi="Times New Roman" w:cs="Times New Roman"/>
      <w:sz w:val="24"/>
      <w:szCs w:val="24"/>
      <w:lang w:eastAsia="es-ES"/>
    </w:rPr>
  </w:style>
  <w:style w:type="character" w:customStyle="1" w:styleId="TextoindependienteCar1">
    <w:name w:val="Texto independiente Car1"/>
    <w:basedOn w:val="Fuentedeprrafopredeter"/>
    <w:link w:val="Textoindependiente"/>
    <w:uiPriority w:val="1"/>
    <w:locked/>
    <w:rsid w:val="00E23B5B"/>
    <w:rPr>
      <w:rFonts w:ascii="Arial" w:eastAsia="Arial" w:hAnsi="Arial" w:cs="Times New Roman"/>
      <w:sz w:val="19"/>
      <w:szCs w:val="19"/>
      <w:lang w:val="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67A3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67A3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767A35"/>
    <w:rPr>
      <w:vertAlign w:val="superscript"/>
    </w:rPr>
  </w:style>
  <w:style w:type="character" w:styleId="Textoennegrita">
    <w:name w:val="Strong"/>
    <w:basedOn w:val="Fuentedeprrafopredeter"/>
    <w:uiPriority w:val="22"/>
    <w:qFormat/>
    <w:rsid w:val="001C2D74"/>
    <w:rPr>
      <w:b/>
      <w:bCs/>
    </w:rPr>
  </w:style>
  <w:style w:type="paragraph" w:customStyle="1" w:styleId="Default">
    <w:name w:val="Default"/>
    <w:rsid w:val="001C2D74"/>
    <w:pPr>
      <w:autoSpaceDE w:val="0"/>
      <w:autoSpaceDN w:val="0"/>
      <w:adjustRightInd w:val="0"/>
    </w:pPr>
    <w:rPr>
      <w:rFonts w:ascii="Arial" w:hAnsi="Arial" w:cs="Arial"/>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rPr>
      <w:rFonts w:ascii="Arial" w:eastAsia="Arial" w:hAnsi="Arial" w:cs="Arial"/>
      <w:sz w:val="22"/>
      <w:szCs w:val="22"/>
    </w:rPr>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0"/>
    <w:rPr>
      <w:rFonts w:ascii="Arial" w:eastAsia="Arial" w:hAnsi="Arial" w:cs="Arial"/>
      <w:sz w:val="22"/>
      <w:szCs w:val="22"/>
    </w:rPr>
    <w:tblPr>
      <w:tblStyleRowBandSize w:val="1"/>
      <w:tblStyleColBandSize w:val="1"/>
      <w:tblCellMar>
        <w:left w:w="115" w:type="dxa"/>
        <w:right w:w="115" w:type="dxa"/>
      </w:tblCellMar>
    </w:tblPr>
  </w:style>
  <w:style w:type="table" w:customStyle="1" w:styleId="a7">
    <w:basedOn w:val="TableNormal0"/>
    <w:rPr>
      <w:rFonts w:ascii="Arial" w:eastAsia="Arial" w:hAnsi="Arial" w:cs="Arial"/>
      <w:sz w:val="22"/>
      <w:szCs w:val="22"/>
    </w:rPr>
    <w:tblPr>
      <w:tblStyleRowBandSize w:val="1"/>
      <w:tblStyleColBandSize w:val="1"/>
      <w:tblCellMar>
        <w:left w:w="115" w:type="dxa"/>
        <w:right w:w="115" w:type="dxa"/>
      </w:tblCellMar>
    </w:tblPr>
  </w:style>
  <w:style w:type="table" w:customStyle="1" w:styleId="a8">
    <w:basedOn w:val="TableNormal0"/>
    <w:rPr>
      <w:rFonts w:ascii="Arial" w:eastAsia="Arial" w:hAnsi="Arial" w:cs="Arial"/>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8.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t.gob.mx/declaracion/90887/consulta-el-visor-de-comprobantes-de-nomina-para-el-patron-" TargetMode="Externa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O0+1gJ3by6UxH1+Nkun6PpBjCw==">AMUW2mW53q9ZF6nZIclDY1wyu0ijIdpur+2lorvedjNJNVGTM+S5Mk4TnGdn/j8oztibNZabUgrRystJN1+ArUdXn6WE6Yu2cfuypm2HdOcEuYqekSO6RrEq6CAc5TKsi3tJOQZOpK5OysbvP5hnhofj73Wr0ZMGuJu/qKw3L9JOyGVykVNL8AdA8A+aEDmYra8uvcuftP18h+W0se1AlPkbUAzUh2QTlDLFrQ8vr9YTl9AFFiYiy+40xetOadinr/ayv8bE+LXZAxBZwS6PZekFD14hgj9V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68</Pages>
  <Words>16465</Words>
  <Characters>90560</Characters>
  <Application>Microsoft Office Word</Application>
  <DocSecurity>0</DocSecurity>
  <Lines>754</Lines>
  <Paragraphs>213</Paragraphs>
  <ScaleCrop>false</ScaleCrop>
  <Company/>
  <LinksUpToDate>false</LinksUpToDate>
  <CharactersWithSpaces>106812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Monserrat</dc:creator>
  <cp:lastModifiedBy>User</cp:lastModifiedBy>
  <cp:revision>5</cp:revision>
  <cp:lastPrinted>2022-05-09T05:47:00Z</cp:lastPrinted>
  <dcterms:created xsi:type="dcterms:W3CDTF">2022-04-29T00:48:00Z</dcterms:created>
  <dcterms:modified xsi:type="dcterms:W3CDTF">2022-05-23T13:58:00Z</dcterms:modified>
</cp:coreProperties>
</file>