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668C1"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B7685D">
        <w:rPr>
          <w:rFonts w:ascii="Palatino Linotype" w:eastAsia="Palatino Linotype" w:hAnsi="Palatino Linotype" w:cs="Palatino Linotype"/>
          <w:b/>
        </w:rPr>
        <w:t>catorce de septiembre de dos mil veintidós</w:t>
      </w:r>
      <w:r w:rsidRPr="00B7685D">
        <w:rPr>
          <w:rFonts w:ascii="Palatino Linotype" w:eastAsia="Palatino Linotype" w:hAnsi="Palatino Linotype" w:cs="Palatino Linotype"/>
        </w:rPr>
        <w:t xml:space="preserve">. </w:t>
      </w:r>
    </w:p>
    <w:p w14:paraId="794D8CD3" w14:textId="088DD8AD"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t>Visto</w:t>
      </w:r>
      <w:r w:rsidRPr="00B7685D">
        <w:rPr>
          <w:rFonts w:ascii="Palatino Linotype" w:eastAsia="Palatino Linotype" w:hAnsi="Palatino Linotype" w:cs="Palatino Linotype"/>
        </w:rPr>
        <w:t xml:space="preserve"> el expediente formado con motivo del recurso de revisión </w:t>
      </w:r>
      <w:r w:rsidRPr="00B7685D">
        <w:rPr>
          <w:rFonts w:ascii="Palatino Linotype" w:eastAsia="Palatino Linotype" w:hAnsi="Palatino Linotype" w:cs="Palatino Linotype"/>
          <w:b/>
        </w:rPr>
        <w:t>06389/INFOEM/IP/RR/2022</w:t>
      </w:r>
      <w:r w:rsidRPr="00B7685D">
        <w:rPr>
          <w:rFonts w:ascii="Palatino Linotype" w:eastAsia="Palatino Linotype" w:hAnsi="Palatino Linotype" w:cs="Palatino Linotype"/>
        </w:rPr>
        <w:t>, interpuesto por</w:t>
      </w:r>
      <w:r w:rsidR="005A4F86">
        <w:rPr>
          <w:rFonts w:ascii="Palatino Linotype" w:eastAsia="Palatino Linotype" w:hAnsi="Palatino Linotype" w:cs="Palatino Linotype"/>
          <w:b/>
        </w:rPr>
        <w:t xml:space="preserve"> XXXXX XXX XXXXXX XXXXX,</w:t>
      </w:r>
      <w:r w:rsidRPr="00B7685D">
        <w:rPr>
          <w:rFonts w:ascii="Palatino Linotype" w:eastAsia="Palatino Linotype" w:hAnsi="Palatino Linotype" w:cs="Palatino Linotype"/>
          <w:b/>
        </w:rPr>
        <w:t xml:space="preserve"> </w:t>
      </w:r>
      <w:r w:rsidRPr="00B7685D">
        <w:rPr>
          <w:rFonts w:ascii="Palatino Linotype" w:eastAsia="Palatino Linotype" w:hAnsi="Palatino Linotype" w:cs="Palatino Linotype"/>
        </w:rPr>
        <w:t>quien en lo sucesivo</w:t>
      </w:r>
      <w:r w:rsidRPr="00B7685D">
        <w:rPr>
          <w:rFonts w:ascii="Palatino Linotype" w:eastAsia="Palatino Linotype" w:hAnsi="Palatino Linotype" w:cs="Palatino Linotype"/>
          <w:b/>
        </w:rPr>
        <w:t xml:space="preserve"> </w:t>
      </w:r>
      <w:r w:rsidRPr="00B7685D">
        <w:rPr>
          <w:rFonts w:ascii="Palatino Linotype" w:eastAsia="Palatino Linotype" w:hAnsi="Palatino Linotype" w:cs="Palatino Linotype"/>
        </w:rPr>
        <w:t xml:space="preserve">será identificado como </w:t>
      </w:r>
      <w:r w:rsidRPr="00B7685D">
        <w:rPr>
          <w:rFonts w:ascii="Palatino Linotype" w:eastAsia="Palatino Linotype" w:hAnsi="Palatino Linotype" w:cs="Palatino Linotype"/>
          <w:b/>
        </w:rPr>
        <w:t>el</w:t>
      </w:r>
      <w:r w:rsidRPr="00B7685D">
        <w:rPr>
          <w:rFonts w:ascii="Palatino Linotype" w:eastAsia="Palatino Linotype" w:hAnsi="Palatino Linotype" w:cs="Palatino Linotype"/>
        </w:rPr>
        <w:t xml:space="preserve">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en contra de la respuesta del </w:t>
      </w:r>
      <w:r w:rsidRPr="00B7685D">
        <w:rPr>
          <w:rFonts w:ascii="Palatino Linotype" w:eastAsia="Palatino Linotype" w:hAnsi="Palatino Linotype" w:cs="Palatino Linotype"/>
          <w:b/>
        </w:rPr>
        <w:t xml:space="preserve">Ayuntamiento de Valle de Bravo, </w:t>
      </w:r>
      <w:r w:rsidRPr="00B7685D">
        <w:rPr>
          <w:rFonts w:ascii="Palatino Linotype" w:eastAsia="Palatino Linotype" w:hAnsi="Palatino Linotype" w:cs="Palatino Linotype"/>
        </w:rPr>
        <w:t xml:space="preserve">en lo sucesivo el </w:t>
      </w:r>
      <w:r w:rsidRPr="00B7685D">
        <w:rPr>
          <w:rFonts w:ascii="Palatino Linotype" w:eastAsia="Palatino Linotype" w:hAnsi="Palatino Linotype" w:cs="Palatino Linotype"/>
          <w:b/>
        </w:rPr>
        <w:t xml:space="preserve">SUJETO OBLIGADO, </w:t>
      </w:r>
      <w:r w:rsidRPr="00B7685D">
        <w:rPr>
          <w:rFonts w:ascii="Palatino Linotype" w:eastAsia="Palatino Linotype" w:hAnsi="Palatino Linotype" w:cs="Palatino Linotype"/>
        </w:rPr>
        <w:t xml:space="preserve">se procede a dictar la presente resolución con base en los siguientes: </w:t>
      </w:r>
    </w:p>
    <w:p w14:paraId="2F207D41" w14:textId="77777777" w:rsidR="00787869" w:rsidRPr="00B7685D" w:rsidRDefault="00661B8A">
      <w:pPr>
        <w:spacing w:before="240" w:after="240" w:line="360" w:lineRule="auto"/>
        <w:jc w:val="center"/>
        <w:rPr>
          <w:rFonts w:ascii="Palatino Linotype" w:eastAsia="Palatino Linotype" w:hAnsi="Palatino Linotype" w:cs="Palatino Linotype"/>
          <w:b/>
        </w:rPr>
      </w:pPr>
      <w:r w:rsidRPr="00B7685D">
        <w:rPr>
          <w:rFonts w:ascii="Palatino Linotype" w:eastAsia="Palatino Linotype" w:hAnsi="Palatino Linotype" w:cs="Palatino Linotype"/>
          <w:b/>
        </w:rPr>
        <w:t>I. A N T E C E D E N T E S</w:t>
      </w:r>
    </w:p>
    <w:p w14:paraId="0C71F12C"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t>1. SOLICITUD DE ACCESO A LA INFORMACIÓN.</w:t>
      </w:r>
      <w:r w:rsidRPr="00B7685D">
        <w:rPr>
          <w:rFonts w:ascii="Palatino Linotype" w:eastAsia="Palatino Linotype" w:hAnsi="Palatino Linotype" w:cs="Palatino Linotype"/>
        </w:rPr>
        <w:t xml:space="preserve"> El </w:t>
      </w:r>
      <w:r w:rsidRPr="00B7685D">
        <w:rPr>
          <w:rFonts w:ascii="Palatino Linotype" w:eastAsia="Palatino Linotype" w:hAnsi="Palatino Linotype" w:cs="Palatino Linotype"/>
          <w:b/>
        </w:rPr>
        <w:t>seis de abril de dos mil veintidós,</w:t>
      </w:r>
      <w:r w:rsidRPr="00B7685D">
        <w:rPr>
          <w:rFonts w:ascii="Palatino Linotype" w:eastAsia="Palatino Linotype" w:hAnsi="Palatino Linotype" w:cs="Palatino Linotype"/>
        </w:rPr>
        <w:t xml:space="preserve"> </w:t>
      </w:r>
      <w:r w:rsidRPr="00B7685D">
        <w:rPr>
          <w:rFonts w:ascii="Palatino Linotype" w:eastAsia="Palatino Linotype" w:hAnsi="Palatino Linotype" w:cs="Palatino Linotype"/>
          <w:b/>
        </w:rPr>
        <w:t>el</w:t>
      </w:r>
      <w:r w:rsidRPr="00B7685D">
        <w:rPr>
          <w:rFonts w:ascii="Palatino Linotype" w:eastAsia="Palatino Linotype" w:hAnsi="Palatino Linotype" w:cs="Palatino Linotype"/>
        </w:rPr>
        <w:t xml:space="preserve"> </w:t>
      </w:r>
      <w:r w:rsidRPr="00B7685D">
        <w:rPr>
          <w:rFonts w:ascii="Palatino Linotype" w:eastAsia="Palatino Linotype" w:hAnsi="Palatino Linotype" w:cs="Palatino Linotype"/>
          <w:b/>
        </w:rPr>
        <w:t xml:space="preserve">RECURRENTE </w:t>
      </w:r>
      <w:r w:rsidRPr="00B7685D">
        <w:rPr>
          <w:rFonts w:ascii="Palatino Linotype" w:eastAsia="Palatino Linotype" w:hAnsi="Palatino Linotype" w:cs="Palatino Linotype"/>
        </w:rPr>
        <w:t>presentó a través del Sistema de Acceso a la Información Mexiquense (</w:t>
      </w:r>
      <w:r w:rsidRPr="00B7685D">
        <w:rPr>
          <w:rFonts w:ascii="Palatino Linotype" w:eastAsia="Palatino Linotype" w:hAnsi="Palatino Linotype" w:cs="Palatino Linotype"/>
          <w:b/>
        </w:rPr>
        <w:t>SAIMEX),</w:t>
      </w:r>
      <w:r w:rsidRPr="00B7685D">
        <w:rPr>
          <w:rFonts w:ascii="Palatino Linotype" w:eastAsia="Palatino Linotype" w:hAnsi="Palatino Linotype" w:cs="Palatino Linotype"/>
        </w:rPr>
        <w:t xml:space="preserve"> la solicitud de acceso a la información pública registrada con el número </w:t>
      </w:r>
      <w:r w:rsidRPr="00B7685D">
        <w:rPr>
          <w:rFonts w:ascii="Palatino Linotype" w:eastAsia="Palatino Linotype" w:hAnsi="Palatino Linotype" w:cs="Palatino Linotype"/>
          <w:b/>
        </w:rPr>
        <w:t xml:space="preserve">00133/VABRAVO/IP/2022, </w:t>
      </w:r>
      <w:r w:rsidRPr="00B7685D">
        <w:rPr>
          <w:rFonts w:ascii="Palatino Linotype" w:eastAsia="Palatino Linotype" w:hAnsi="Palatino Linotype" w:cs="Palatino Linotype"/>
        </w:rPr>
        <w:t xml:space="preserve">mediante la cual requirió la información siguiente: </w:t>
      </w:r>
    </w:p>
    <w:p w14:paraId="0A3DCE33" w14:textId="77777777" w:rsidR="00787869" w:rsidRPr="00B7685D" w:rsidRDefault="00661B8A">
      <w:pPr>
        <w:spacing w:before="240" w:after="240" w:line="276" w:lineRule="auto"/>
        <w:ind w:left="567" w:right="900"/>
        <w:jc w:val="both"/>
        <w:rPr>
          <w:rFonts w:ascii="Palatino Linotype" w:eastAsia="Palatino Linotype" w:hAnsi="Palatino Linotype" w:cs="Palatino Linotype"/>
          <w:b/>
          <w:i/>
        </w:rPr>
      </w:pPr>
      <w:bookmarkStart w:id="0" w:name="_heading=h.gjdgxs" w:colFirst="0" w:colLast="0"/>
      <w:bookmarkEnd w:id="0"/>
      <w:r w:rsidRPr="00B7685D">
        <w:rPr>
          <w:rFonts w:ascii="Palatino Linotype" w:eastAsia="Palatino Linotype" w:hAnsi="Palatino Linotype" w:cs="Palatino Linotype"/>
          <w:i/>
        </w:rPr>
        <w:t>“EN EL MUNICIPIO DE VALLE DE BRAVO HAY UN TRAMITE DENOMINADO LICENCIA DE FUNCIONAMIENTO DE EXISTIR, CUAL ES SU FUNDAMENTO JURIDICO REQUISITOS Y COSTO.” (Sic)</w:t>
      </w:r>
    </w:p>
    <w:p w14:paraId="001C2A43"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t>Modalidad de Entrega:</w:t>
      </w:r>
      <w:r w:rsidRPr="00B7685D">
        <w:rPr>
          <w:rFonts w:ascii="Palatino Linotype" w:eastAsia="Palatino Linotype" w:hAnsi="Palatino Linotype" w:cs="Palatino Linotype"/>
        </w:rPr>
        <w:t xml:space="preserve"> </w:t>
      </w:r>
      <w:r w:rsidR="00306285" w:rsidRPr="00B7685D">
        <w:rPr>
          <w:rFonts w:ascii="Palatino Linotype" w:eastAsia="Palatino Linotype" w:hAnsi="Palatino Linotype" w:cs="Palatino Linotype"/>
        </w:rPr>
        <w:t>“</w:t>
      </w:r>
      <w:r w:rsidR="00306285" w:rsidRPr="00B7685D">
        <w:rPr>
          <w:rFonts w:ascii="Palatino Linotype" w:eastAsia="Palatino Linotype" w:hAnsi="Palatino Linotype" w:cs="Palatino Linotype"/>
          <w:i/>
        </w:rPr>
        <w:t xml:space="preserve">MAIL”; </w:t>
      </w:r>
      <w:r w:rsidR="00306285" w:rsidRPr="00B7685D">
        <w:rPr>
          <w:rFonts w:ascii="Palatino Linotype" w:eastAsia="Palatino Linotype" w:hAnsi="Palatino Linotype" w:cs="Palatino Linotype"/>
        </w:rPr>
        <w:t>sin embargo, toda vez que el presente asunto se ha sustanciado a</w:t>
      </w:r>
      <w:r w:rsidRPr="00B7685D">
        <w:rPr>
          <w:rFonts w:ascii="Palatino Linotype" w:eastAsia="Palatino Linotype" w:hAnsi="Palatino Linotype" w:cs="Palatino Linotype"/>
        </w:rPr>
        <w:t xml:space="preserve"> través del Sistema de Acceso a la Información Mexiquense (</w:t>
      </w:r>
      <w:r w:rsidRPr="00B7685D">
        <w:rPr>
          <w:rFonts w:ascii="Palatino Linotype" w:eastAsia="Palatino Linotype" w:hAnsi="Palatino Linotype" w:cs="Palatino Linotype"/>
          <w:b/>
        </w:rPr>
        <w:t>SAIMEX</w:t>
      </w:r>
      <w:r w:rsidR="00306285" w:rsidRPr="00B7685D">
        <w:rPr>
          <w:rFonts w:ascii="Palatino Linotype" w:eastAsia="Palatino Linotype" w:hAnsi="Palatino Linotype" w:cs="Palatino Linotype"/>
        </w:rPr>
        <w:t xml:space="preserve">); también se entenderá la modalidad de entrega por esta vía. </w:t>
      </w:r>
    </w:p>
    <w:p w14:paraId="538DF480"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lastRenderedPageBreak/>
        <w:t xml:space="preserve">2. RESPUESTA. </w:t>
      </w:r>
      <w:r w:rsidRPr="00B7685D">
        <w:rPr>
          <w:rFonts w:ascii="Palatino Linotype" w:eastAsia="Palatino Linotype" w:hAnsi="Palatino Linotype" w:cs="Palatino Linotype"/>
        </w:rPr>
        <w:t xml:space="preserve"> El </w:t>
      </w:r>
      <w:r w:rsidRPr="00B7685D">
        <w:rPr>
          <w:rFonts w:ascii="Palatino Linotype" w:eastAsia="Palatino Linotype" w:hAnsi="Palatino Linotype" w:cs="Palatino Linotype"/>
          <w:b/>
        </w:rPr>
        <w:t>veintiuno de abril de dos mil veintidós</w:t>
      </w:r>
      <w:r w:rsidRPr="00B7685D">
        <w:rPr>
          <w:rFonts w:ascii="Palatino Linotype" w:eastAsia="Palatino Linotype" w:hAnsi="Palatino Linotype" w:cs="Palatino Linotype"/>
        </w:rPr>
        <w:t xml:space="preserve">, 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respondió a la solicitud de acceso a la información en los términos siguientes:   </w:t>
      </w:r>
    </w:p>
    <w:p w14:paraId="07E9BA22"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 xml:space="preserve">“En respuesta a la solicitud recibida, nos permitimos hacer de su conocimiento que con fundamento en el artículo 53, Fracciones: II, V y </w:t>
      </w:r>
      <w:bookmarkStart w:id="1" w:name="_GoBack"/>
      <w:bookmarkEnd w:id="1"/>
      <w:r w:rsidRPr="00B7685D">
        <w:rPr>
          <w:rFonts w:ascii="Palatino Linotype" w:eastAsia="Palatino Linotype" w:hAnsi="Palatino Linotype" w:cs="Palatino Linotype"/>
          <w:i/>
        </w:rPr>
        <w:t>VI de la Ley de Transparencia y Acceso a la Información Pública del Estado de México y Municipios, le contestamos que:</w:t>
      </w:r>
    </w:p>
    <w:p w14:paraId="2C964DDE"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Se envía adjunta la presente documentación, la cual fue turnada a la Unidad de Transparencia y Acceso a la Información Pública del Municipio de Valle de Bravo.</w:t>
      </w:r>
    </w:p>
    <w:p w14:paraId="1D361B3C"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ATENTAMENTE</w:t>
      </w:r>
    </w:p>
    <w:p w14:paraId="3FBFA19E"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M.A. KARLA MARYSOL GARCIA DELGADO” (sic)</w:t>
      </w:r>
    </w:p>
    <w:p w14:paraId="35A7F58D" w14:textId="77777777" w:rsidR="00787869" w:rsidRPr="00B7685D" w:rsidRDefault="00661B8A">
      <w:pPr>
        <w:spacing w:before="240" w:after="240" w:line="276" w:lineRule="auto"/>
        <w:ind w:left="567" w:right="900"/>
        <w:jc w:val="both"/>
        <w:rPr>
          <w:rFonts w:ascii="Palatino Linotype" w:eastAsia="Palatino Linotype" w:hAnsi="Palatino Linotype" w:cs="Palatino Linotype"/>
          <w:b/>
        </w:rPr>
      </w:pPr>
      <w:r w:rsidRPr="00B7685D">
        <w:rPr>
          <w:rFonts w:ascii="Palatino Linotype" w:eastAsia="Palatino Linotype" w:hAnsi="Palatino Linotype" w:cs="Palatino Linotype"/>
          <w:b/>
        </w:rPr>
        <w:t>Archivos adjuntos:</w:t>
      </w:r>
    </w:p>
    <w:p w14:paraId="0784032F" w14:textId="77777777" w:rsidR="00787869" w:rsidRPr="00B7685D" w:rsidRDefault="00661B8A">
      <w:pPr>
        <w:spacing w:before="240" w:after="240" w:line="276" w:lineRule="auto"/>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w:t>
      </w:r>
      <w:r w:rsidRPr="00B7685D">
        <w:rPr>
          <w:rFonts w:ascii="Palatino Linotype" w:eastAsia="Palatino Linotype" w:hAnsi="Palatino Linotype" w:cs="Palatino Linotype"/>
          <w:b/>
          <w:i/>
          <w:color w:val="000000"/>
        </w:rPr>
        <w:t xml:space="preserve">133-DesarrolloE.pdf”: </w:t>
      </w:r>
      <w:r w:rsidRPr="00B7685D">
        <w:rPr>
          <w:rFonts w:ascii="Palatino Linotype" w:eastAsia="Palatino Linotype" w:hAnsi="Palatino Linotype" w:cs="Palatino Linotype"/>
          <w:color w:val="000000"/>
        </w:rPr>
        <w:t xml:space="preserve">el cual consiste en el oficio sin número de fecha diecinueve de abril de dos mil veintidós, signado por el L. A.  José Luis Rodríguez Pedraza Director de Desarrollo Económico Municipal, en el cual refiere que la Dirección a su cargo lleva a cabo el trámite de “LICENCIAS DE FUNCIONAMIENTO”, el cual se expide a solicitud de la parte interesada, así mismo, señala que se encuentra fundamentada en los artículos 66 de </w:t>
      </w:r>
      <w:r w:rsidRPr="00B7685D">
        <w:rPr>
          <w:rFonts w:ascii="Palatino Linotype" w:eastAsia="Palatino Linotype" w:hAnsi="Palatino Linotype" w:cs="Palatino Linotype"/>
        </w:rPr>
        <w:t xml:space="preserve">Ley de Competitividad y Ordenamiento Comercial del Estado de México y 72, 73 y 74 del Bando </w:t>
      </w:r>
      <w:r w:rsidRPr="00B7685D">
        <w:rPr>
          <w:rFonts w:ascii="Palatino Linotype" w:eastAsia="Palatino Linotype" w:hAnsi="Palatino Linotype" w:cs="Palatino Linotype"/>
          <w:color w:val="000000"/>
        </w:rPr>
        <w:t>Municipal de Valle de Bravo 2022, de igual forma refiere que la misma tiene un costo y requisitos variables y enlista de manera general los requisitos, para mayor referencia se ilustra:</w:t>
      </w:r>
    </w:p>
    <w:p w14:paraId="6E7AD732" w14:textId="77777777" w:rsidR="00787869" w:rsidRPr="00B7685D" w:rsidRDefault="00661B8A">
      <w:pPr>
        <w:spacing w:before="240" w:after="240" w:line="276" w:lineRule="auto"/>
        <w:ind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noProof/>
          <w:lang w:val="es-MX"/>
        </w:rPr>
        <w:lastRenderedPageBreak/>
        <w:drawing>
          <wp:inline distT="0" distB="0" distL="0" distR="0" wp14:anchorId="5F9D091D" wp14:editId="267386A9">
            <wp:extent cx="5514894" cy="7071076"/>
            <wp:effectExtent l="12700" t="12700" r="12700" b="1270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57197" t="16294" r="8519" b="5551"/>
                    <a:stretch>
                      <a:fillRect/>
                    </a:stretch>
                  </pic:blipFill>
                  <pic:spPr>
                    <a:xfrm>
                      <a:off x="0" y="0"/>
                      <a:ext cx="5514894" cy="7071076"/>
                    </a:xfrm>
                    <a:prstGeom prst="rect">
                      <a:avLst/>
                    </a:prstGeom>
                    <a:ln w="12700">
                      <a:solidFill>
                        <a:srgbClr val="4F81BD"/>
                      </a:solidFill>
                      <a:prstDash val="solid"/>
                    </a:ln>
                  </pic:spPr>
                </pic:pic>
              </a:graphicData>
            </a:graphic>
          </wp:inline>
        </w:drawing>
      </w:r>
      <w:r w:rsidRPr="00B7685D">
        <w:rPr>
          <w:rFonts w:ascii="Palatino Linotype" w:eastAsia="Palatino Linotype" w:hAnsi="Palatino Linotype" w:cs="Palatino Linotype"/>
          <w:color w:val="000000"/>
        </w:rPr>
        <w:t xml:space="preserve">  </w:t>
      </w:r>
    </w:p>
    <w:p w14:paraId="799E910C" w14:textId="77777777" w:rsidR="00787869" w:rsidRPr="00B7685D" w:rsidRDefault="00661B8A">
      <w:pPr>
        <w:tabs>
          <w:tab w:val="left" w:pos="2265"/>
        </w:tabs>
        <w:rPr>
          <w:rFonts w:ascii="Palatino Linotype" w:eastAsia="Palatino Linotype" w:hAnsi="Palatino Linotype" w:cs="Palatino Linotype"/>
        </w:rPr>
      </w:pPr>
      <w:r w:rsidRPr="00B7685D">
        <w:rPr>
          <w:rFonts w:ascii="Palatino Linotype" w:eastAsia="Palatino Linotype" w:hAnsi="Palatino Linotype" w:cs="Palatino Linotype"/>
          <w:noProof/>
          <w:lang w:val="es-MX"/>
        </w:rPr>
        <w:lastRenderedPageBreak/>
        <w:drawing>
          <wp:inline distT="0" distB="0" distL="0" distR="0" wp14:anchorId="3901D52A" wp14:editId="165B88F2">
            <wp:extent cx="5531431" cy="7107888"/>
            <wp:effectExtent l="12700" t="12700" r="12700" b="1270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57705" t="17200" r="8351" b="5250"/>
                    <a:stretch>
                      <a:fillRect/>
                    </a:stretch>
                  </pic:blipFill>
                  <pic:spPr>
                    <a:xfrm>
                      <a:off x="0" y="0"/>
                      <a:ext cx="5531431" cy="7107888"/>
                    </a:xfrm>
                    <a:prstGeom prst="rect">
                      <a:avLst/>
                    </a:prstGeom>
                    <a:ln w="12700">
                      <a:solidFill>
                        <a:srgbClr val="4F81BD"/>
                      </a:solidFill>
                      <a:prstDash val="solid"/>
                    </a:ln>
                  </pic:spPr>
                </pic:pic>
              </a:graphicData>
            </a:graphic>
          </wp:inline>
        </w:drawing>
      </w:r>
    </w:p>
    <w:p w14:paraId="532F6B2D" w14:textId="77777777" w:rsidR="00787869" w:rsidRPr="00B7685D" w:rsidRDefault="00661B8A">
      <w:pPr>
        <w:spacing w:before="240" w:after="240" w:line="360" w:lineRule="auto"/>
        <w:ind w:right="49"/>
        <w:jc w:val="both"/>
        <w:rPr>
          <w:rFonts w:ascii="Palatino Linotype" w:eastAsia="Palatino Linotype" w:hAnsi="Palatino Linotype" w:cs="Palatino Linotype"/>
        </w:rPr>
      </w:pPr>
      <w:r w:rsidRPr="00B7685D">
        <w:rPr>
          <w:rFonts w:ascii="Palatino Linotype" w:eastAsia="Palatino Linotype" w:hAnsi="Palatino Linotype" w:cs="Palatino Linotype"/>
          <w:b/>
        </w:rPr>
        <w:lastRenderedPageBreak/>
        <w:t xml:space="preserve">3. INTERPOSICIÓN DEL RECURSO DE REVISIÓN.  </w:t>
      </w:r>
      <w:r w:rsidRPr="00B7685D">
        <w:rPr>
          <w:rFonts w:ascii="Palatino Linotype" w:eastAsia="Palatino Linotype" w:hAnsi="Palatino Linotype" w:cs="Palatino Linotype"/>
        </w:rPr>
        <w:t xml:space="preserve">El </w:t>
      </w:r>
      <w:r w:rsidRPr="00B7685D">
        <w:rPr>
          <w:rFonts w:ascii="Palatino Linotype" w:eastAsia="Palatino Linotype" w:hAnsi="Palatino Linotype" w:cs="Palatino Linotype"/>
          <w:b/>
        </w:rPr>
        <w:t>veintidós de</w:t>
      </w:r>
      <w:r w:rsidRPr="00B7685D">
        <w:rPr>
          <w:rFonts w:ascii="Palatino Linotype" w:eastAsia="Palatino Linotype" w:hAnsi="Palatino Linotype" w:cs="Palatino Linotype"/>
          <w:b/>
          <w:color w:val="000000"/>
        </w:rPr>
        <w:t xml:space="preserve"> abril </w:t>
      </w:r>
      <w:r w:rsidRPr="00B7685D">
        <w:rPr>
          <w:rFonts w:ascii="Palatino Linotype" w:eastAsia="Palatino Linotype" w:hAnsi="Palatino Linotype" w:cs="Palatino Linotype"/>
          <w:b/>
        </w:rPr>
        <w:t xml:space="preserve">de dos mil veintidós, el RECURRENTE, </w:t>
      </w:r>
      <w:r w:rsidRPr="00B7685D">
        <w:rPr>
          <w:rFonts w:ascii="Palatino Linotype" w:eastAsia="Palatino Linotype" w:hAnsi="Palatino Linotype" w:cs="Palatino Linotype"/>
        </w:rPr>
        <w:t>inconforme con la respuesta, presentó el recurso de revisión a través del cual expresó lo siguiente:</w:t>
      </w:r>
    </w:p>
    <w:p w14:paraId="5D2F73E3" w14:textId="77777777" w:rsidR="00787869" w:rsidRPr="00B7685D" w:rsidRDefault="00661B8A">
      <w:pPr>
        <w:spacing w:before="240" w:after="240" w:line="360" w:lineRule="auto"/>
        <w:ind w:left="567"/>
        <w:rPr>
          <w:rFonts w:ascii="Palatino Linotype" w:eastAsia="Palatino Linotype" w:hAnsi="Palatino Linotype" w:cs="Palatino Linotype"/>
          <w:b/>
        </w:rPr>
      </w:pPr>
      <w:r w:rsidRPr="00B7685D">
        <w:rPr>
          <w:rFonts w:ascii="Palatino Linotype" w:eastAsia="Palatino Linotype" w:hAnsi="Palatino Linotype" w:cs="Palatino Linotype"/>
          <w:b/>
        </w:rPr>
        <w:t>a) Acto impugnado.</w:t>
      </w:r>
    </w:p>
    <w:p w14:paraId="007DC3CE"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color w:val="000000"/>
        </w:rPr>
      </w:pPr>
      <w:r w:rsidRPr="00B7685D">
        <w:rPr>
          <w:rFonts w:ascii="Palatino Linotype" w:eastAsia="Palatino Linotype" w:hAnsi="Palatino Linotype" w:cs="Palatino Linotype"/>
          <w:i/>
          <w:color w:val="000000"/>
        </w:rPr>
        <w:t>“00133/VABRAVO/IP/2022” (Sic)</w:t>
      </w:r>
    </w:p>
    <w:p w14:paraId="73CD5E5F" w14:textId="77777777" w:rsidR="00787869" w:rsidRPr="00B7685D" w:rsidRDefault="00661B8A">
      <w:pPr>
        <w:spacing w:before="240" w:after="240" w:line="360" w:lineRule="auto"/>
        <w:ind w:left="567"/>
        <w:jc w:val="both"/>
        <w:rPr>
          <w:rFonts w:ascii="Palatino Linotype" w:eastAsia="Palatino Linotype" w:hAnsi="Palatino Linotype" w:cs="Palatino Linotype"/>
          <w:b/>
        </w:rPr>
      </w:pPr>
      <w:r w:rsidRPr="00B7685D">
        <w:rPr>
          <w:rFonts w:ascii="Palatino Linotype" w:eastAsia="Palatino Linotype" w:hAnsi="Palatino Linotype" w:cs="Palatino Linotype"/>
          <w:b/>
        </w:rPr>
        <w:t>b) Motivos de inconformidad.</w:t>
      </w:r>
    </w:p>
    <w:p w14:paraId="28AA469E"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color w:val="000000"/>
        </w:rPr>
      </w:pPr>
      <w:r w:rsidRPr="00B7685D">
        <w:rPr>
          <w:rFonts w:ascii="Palatino Linotype" w:eastAsia="Palatino Linotype" w:hAnsi="Palatino Linotype" w:cs="Palatino Linotype"/>
          <w:i/>
          <w:color w:val="000000"/>
        </w:rPr>
        <w:t>“ME NIEGA INFORMACION COMPLETA E INCUMPLE EL PRINCIPIO DE MAXIMA PUBLICIDAD en forma injusitificada no da el costo del tramite, argumentando de depenciendo de "giro", sin que siga a que se regiere ni para que giros esta prebista dicha licencia, y menos aun proporciona de una forma clara y transparente la forma de calcular el costo dependiendo del giro. y tampoco dice para que giros se neecesitan.” (Sic)</w:t>
      </w:r>
    </w:p>
    <w:p w14:paraId="2763F431" w14:textId="77777777" w:rsidR="00787869" w:rsidRPr="00B7685D" w:rsidRDefault="00787869">
      <w:pPr>
        <w:spacing w:before="240" w:after="240" w:line="360" w:lineRule="auto"/>
        <w:jc w:val="both"/>
        <w:rPr>
          <w:rFonts w:ascii="Palatino Linotype" w:eastAsia="Palatino Linotype" w:hAnsi="Palatino Linotype" w:cs="Palatino Linotype"/>
        </w:rPr>
      </w:pPr>
    </w:p>
    <w:p w14:paraId="409BB8A5"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Anexa a su Recurso de Revisión el archivo electrónico </w:t>
      </w:r>
      <w:r w:rsidRPr="00B7685D">
        <w:rPr>
          <w:rFonts w:ascii="Palatino Linotype" w:eastAsia="Palatino Linotype" w:hAnsi="Palatino Linotype" w:cs="Palatino Linotype"/>
          <w:color w:val="000000"/>
        </w:rPr>
        <w:t>“</w:t>
      </w:r>
      <w:r w:rsidRPr="00B7685D">
        <w:rPr>
          <w:rFonts w:ascii="Palatino Linotype" w:eastAsia="Palatino Linotype" w:hAnsi="Palatino Linotype" w:cs="Palatino Linotype"/>
          <w:b/>
          <w:i/>
          <w:color w:val="000000"/>
        </w:rPr>
        <w:t xml:space="preserve">133-DesarrolloE.pdf” </w:t>
      </w:r>
      <w:r w:rsidRPr="00B7685D">
        <w:rPr>
          <w:rFonts w:ascii="Palatino Linotype" w:eastAsia="Palatino Linotype" w:hAnsi="Palatino Linotype" w:cs="Palatino Linotype"/>
          <w:color w:val="000000"/>
        </w:rPr>
        <w:t>que contiene</w:t>
      </w:r>
      <w:r w:rsidRPr="00B7685D">
        <w:rPr>
          <w:rFonts w:ascii="Palatino Linotype" w:eastAsia="Palatino Linotype" w:hAnsi="Palatino Linotype" w:cs="Palatino Linotype"/>
          <w:b/>
          <w:i/>
          <w:color w:val="000000"/>
        </w:rPr>
        <w:t xml:space="preserve"> </w:t>
      </w:r>
      <w:r w:rsidRPr="00B7685D">
        <w:rPr>
          <w:rFonts w:ascii="Palatino Linotype" w:eastAsia="Palatino Linotype" w:hAnsi="Palatino Linotype" w:cs="Palatino Linotype"/>
        </w:rPr>
        <w:t xml:space="preserve">la respuesta otorgada por 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w:t>
      </w:r>
    </w:p>
    <w:p w14:paraId="3107584D"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t xml:space="preserve">4. TURNO. </w:t>
      </w:r>
      <w:r w:rsidRPr="00B7685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B7685D">
        <w:rPr>
          <w:rFonts w:ascii="Palatino Linotype" w:eastAsia="Palatino Linotype" w:hAnsi="Palatino Linotype" w:cs="Palatino Linotype"/>
          <w:b/>
        </w:rPr>
        <w:t xml:space="preserve">Comisionada Guadalupe Ramírez Peña, </w:t>
      </w:r>
      <w:r w:rsidRPr="00B7685D">
        <w:rPr>
          <w:rFonts w:ascii="Palatino Linotype" w:eastAsia="Palatino Linotype" w:hAnsi="Palatino Linotype" w:cs="Palatino Linotype"/>
        </w:rPr>
        <w:t>a efecto de que analizara sobre su admisión o su desechamiento.</w:t>
      </w:r>
    </w:p>
    <w:p w14:paraId="01D34AF5" w14:textId="77777777" w:rsidR="00787869" w:rsidRPr="00B7685D" w:rsidRDefault="00661B8A">
      <w:pPr>
        <w:spacing w:before="240" w:after="240" w:line="360" w:lineRule="auto"/>
        <w:jc w:val="both"/>
        <w:rPr>
          <w:rFonts w:ascii="Palatino Linotype" w:eastAsia="Palatino Linotype" w:hAnsi="Palatino Linotype" w:cs="Palatino Linotype"/>
          <w:b/>
        </w:rPr>
      </w:pPr>
      <w:r w:rsidRPr="00B7685D">
        <w:rPr>
          <w:rFonts w:ascii="Palatino Linotype" w:eastAsia="Palatino Linotype" w:hAnsi="Palatino Linotype" w:cs="Palatino Linotype"/>
          <w:b/>
        </w:rPr>
        <w:lastRenderedPageBreak/>
        <w:t>5.</w:t>
      </w:r>
      <w:r w:rsidRPr="00B7685D">
        <w:rPr>
          <w:rFonts w:ascii="Palatino Linotype" w:eastAsia="Palatino Linotype" w:hAnsi="Palatino Linotype" w:cs="Palatino Linotype"/>
          <w:b/>
          <w:i/>
        </w:rPr>
        <w:t xml:space="preserve"> </w:t>
      </w:r>
      <w:r w:rsidRPr="00B7685D">
        <w:rPr>
          <w:rFonts w:ascii="Palatino Linotype" w:eastAsia="Palatino Linotype" w:hAnsi="Palatino Linotype" w:cs="Palatino Linotype"/>
          <w:b/>
        </w:rPr>
        <w:t>ADMISIÓN DEL RECURSO DE REVISIÓN.</w:t>
      </w:r>
      <w:r w:rsidRPr="00B7685D">
        <w:rPr>
          <w:rFonts w:ascii="Palatino Linotype" w:eastAsia="Palatino Linotype" w:hAnsi="Palatino Linotype" w:cs="Palatino Linotype"/>
        </w:rPr>
        <w:t xml:space="preserve"> El</w:t>
      </w:r>
      <w:r w:rsidRPr="00B7685D">
        <w:rPr>
          <w:rFonts w:ascii="Palatino Linotype" w:eastAsia="Palatino Linotype" w:hAnsi="Palatino Linotype" w:cs="Palatino Linotype"/>
          <w:b/>
        </w:rPr>
        <w:t xml:space="preserve"> veintiocho de abril de dos mil veintidós, </w:t>
      </w:r>
      <w:r w:rsidRPr="00B7685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presentara su informe justificado.</w:t>
      </w:r>
    </w:p>
    <w:p w14:paraId="21EF4956" w14:textId="77777777" w:rsidR="00787869" w:rsidRPr="00B7685D" w:rsidRDefault="00661B8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i/>
        </w:rPr>
      </w:pPr>
      <w:r w:rsidRPr="00B7685D">
        <w:rPr>
          <w:rFonts w:ascii="Palatino Linotype" w:eastAsia="Palatino Linotype" w:hAnsi="Palatino Linotype" w:cs="Palatino Linotype"/>
          <w:b/>
        </w:rPr>
        <w:t>6. MANIFESTACIONES</w:t>
      </w:r>
      <w:r w:rsidRPr="00B7685D">
        <w:rPr>
          <w:rFonts w:ascii="Palatino Linotype" w:eastAsia="Palatino Linotype" w:hAnsi="Palatino Linotype" w:cs="Palatino Linotype"/>
        </w:rPr>
        <w:t xml:space="preserve">. </w:t>
      </w:r>
      <w:r w:rsidRPr="00B7685D">
        <w:rPr>
          <w:rFonts w:ascii="Palatino Linotype" w:eastAsia="Palatino Linotype" w:hAnsi="Palatino Linotype" w:cs="Palatino Linotype"/>
          <w:color w:val="000000"/>
        </w:rPr>
        <w:t xml:space="preserve">De las constancias que integran el expediente en que se actúan se advierte que la parte </w:t>
      </w:r>
      <w:r w:rsidRPr="00B7685D">
        <w:rPr>
          <w:rFonts w:ascii="Palatino Linotype" w:eastAsia="Palatino Linotype" w:hAnsi="Palatino Linotype" w:cs="Palatino Linotype"/>
          <w:b/>
          <w:color w:val="000000"/>
        </w:rPr>
        <w:t>RECURRENTE</w:t>
      </w:r>
      <w:r w:rsidRPr="00B7685D">
        <w:rPr>
          <w:rFonts w:ascii="Palatino Linotype" w:eastAsia="Palatino Linotype" w:hAnsi="Palatino Linotype" w:cs="Palatino Linotype"/>
          <w:color w:val="000000"/>
        </w:rPr>
        <w:t xml:space="preserve"> fue omisa en ofrecer alegatos, por su parte, el</w:t>
      </w:r>
      <w:r w:rsidRPr="00B7685D">
        <w:rPr>
          <w:rFonts w:ascii="Palatino Linotype" w:eastAsia="Palatino Linotype" w:hAnsi="Palatino Linotype" w:cs="Palatino Linotype"/>
        </w:rPr>
        <w:t xml:space="preserve">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en fecha dieciséis de mayo de dos mil veintidós, presentó su informe justificado a través del SAIMEX, mediante el archivo denominado “133 - DesarrolloE.pdf” el cual consiste en su repuesta primigenia, además de remitir el siguiente comentario: </w:t>
      </w:r>
      <w:r w:rsidRPr="00B7685D">
        <w:rPr>
          <w:rFonts w:ascii="Palatino Linotype" w:eastAsia="Palatino Linotype" w:hAnsi="Palatino Linotype" w:cs="Palatino Linotype"/>
          <w:i/>
        </w:rPr>
        <w:t>“Se envía respuesta al Recurso de Revisión interpuesto. Cabe mencionar que el costo solicitado se especificó en la respuesta como variable y el formato de solicitud lo puede encontrar en: https://mejoraregulatoria.valledebravo.gob.mx/sistema-de-apertura-rapida-de-empresas-sare/ “</w:t>
      </w:r>
    </w:p>
    <w:p w14:paraId="73DD21C9" w14:textId="77777777" w:rsidR="00787869" w:rsidRPr="00B7685D" w:rsidRDefault="00661B8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De igual forma, en fecha treinta de agosto de dos mil veintidós, 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remitió, a través del SAIMEX, un alcance a su informe justificado mediante el cual adjuntó un enlace al Código Financiero de del Estado de México y Municipios, agregando el siguiente comentario “</w:t>
      </w:r>
      <w:r w:rsidRPr="00B7685D">
        <w:rPr>
          <w:rFonts w:ascii="Palatino Linotype" w:eastAsia="Palatino Linotype" w:hAnsi="Palatino Linotype" w:cs="Palatino Linotype"/>
          <w:i/>
        </w:rPr>
        <w:t xml:space="preserve">En alcance a la información previamente otorgada, se agrega el Código Financiero del EDOMEX y sus Municipios, en el cual vienen especificados, en la sección DÉCIMA, Artículo 159, los costos de las licencias y </w:t>
      </w:r>
      <w:r w:rsidRPr="00B7685D">
        <w:rPr>
          <w:rFonts w:ascii="Palatino Linotype" w:eastAsia="Palatino Linotype" w:hAnsi="Palatino Linotype" w:cs="Palatino Linotype"/>
          <w:i/>
        </w:rPr>
        <w:lastRenderedPageBreak/>
        <w:t xml:space="preserve">refrendos de acuerdo al tipo de negocio. De igual forma, se le incita al </w:t>
      </w:r>
      <w:r w:rsidRPr="00B7685D">
        <w:rPr>
          <w:rFonts w:ascii="Palatino Linotype" w:eastAsia="Palatino Linotype" w:hAnsi="Palatino Linotype" w:cs="Palatino Linotype"/>
          <w:b/>
          <w:i/>
        </w:rPr>
        <w:t>RECURRENTE</w:t>
      </w:r>
      <w:r w:rsidRPr="00B7685D">
        <w:rPr>
          <w:rFonts w:ascii="Palatino Linotype" w:eastAsia="Palatino Linotype" w:hAnsi="Palatino Linotype" w:cs="Palatino Linotype"/>
          <w:i/>
        </w:rPr>
        <w:t xml:space="preserve"> a descargar el formato de solicitud y entregarlo en la oficina de la Dirección de Desarrollo Económico para poder determinar el costo correspondiente al negocio de su interés</w:t>
      </w:r>
      <w:r w:rsidRPr="00B7685D">
        <w:rPr>
          <w:rFonts w:ascii="Palatino Linotype" w:eastAsia="Palatino Linotype" w:hAnsi="Palatino Linotype" w:cs="Palatino Linotype"/>
        </w:rPr>
        <w:t>. “</w:t>
      </w:r>
    </w:p>
    <w:p w14:paraId="0566200C" w14:textId="77777777" w:rsidR="00787869" w:rsidRPr="00B7685D" w:rsidRDefault="00661B8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Ambos documentos fueron puestos a la vista del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w:t>
      </w:r>
    </w:p>
    <w:p w14:paraId="39E821EF"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t xml:space="preserve">7. AMPLIACIÓN DE PLAZO. </w:t>
      </w:r>
      <w:r w:rsidRPr="00B7685D">
        <w:rPr>
          <w:rFonts w:ascii="Palatino Linotype" w:eastAsia="Palatino Linotype" w:hAnsi="Palatino Linotype" w:cs="Palatino Linotype"/>
        </w:rPr>
        <w:t>En fecha</w:t>
      </w:r>
      <w:r w:rsidRPr="00B7685D">
        <w:rPr>
          <w:rFonts w:ascii="Palatino Linotype" w:eastAsia="Palatino Linotype" w:hAnsi="Palatino Linotype" w:cs="Palatino Linotype"/>
          <w:color w:val="FF0000"/>
        </w:rPr>
        <w:t xml:space="preserve"> </w:t>
      </w:r>
      <w:r w:rsidRPr="00B7685D">
        <w:rPr>
          <w:rFonts w:ascii="Palatino Linotype" w:eastAsia="Palatino Linotype" w:hAnsi="Palatino Linotype" w:cs="Palatino Linotype"/>
          <w:b/>
          <w:color w:val="000000"/>
        </w:rPr>
        <w:t>diecinueve</w:t>
      </w:r>
      <w:r w:rsidRPr="00B7685D">
        <w:rPr>
          <w:rFonts w:ascii="Palatino Linotype" w:eastAsia="Palatino Linotype" w:hAnsi="Palatino Linotype" w:cs="Palatino Linotype"/>
          <w:b/>
          <w:color w:val="FF0000"/>
        </w:rPr>
        <w:t xml:space="preserve"> </w:t>
      </w:r>
      <w:r w:rsidRPr="00B7685D">
        <w:rPr>
          <w:rFonts w:ascii="Palatino Linotype" w:eastAsia="Palatino Linotype" w:hAnsi="Palatino Linotype" w:cs="Palatino Linotype"/>
          <w:b/>
        </w:rPr>
        <w:t>de agosto de dos mil veintidós</w:t>
      </w:r>
      <w:r w:rsidRPr="00B7685D">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196AA2CC"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AF41ED6"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24FD074"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FCF4BD"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545E793"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75D1E869" w14:textId="77777777" w:rsidR="00787869" w:rsidRPr="00B7685D" w:rsidRDefault="00661B8A">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B7685D">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10CE0792" w14:textId="77777777" w:rsidR="00787869" w:rsidRPr="00B7685D" w:rsidRDefault="00661B8A">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B7685D">
        <w:rPr>
          <w:rFonts w:ascii="Palatino Linotype" w:eastAsia="Palatino Linotype" w:hAnsi="Palatino Linotype" w:cs="Palatino Linotype"/>
        </w:rPr>
        <w:t>Actividad Procesal del interesado. Acciones u omisiones del interesado.</w:t>
      </w:r>
    </w:p>
    <w:p w14:paraId="4B053698" w14:textId="77777777" w:rsidR="00787869" w:rsidRPr="00B7685D" w:rsidRDefault="00661B8A">
      <w:pPr>
        <w:numPr>
          <w:ilvl w:val="0"/>
          <w:numId w:val="2"/>
        </w:numPr>
        <w:spacing w:before="240" w:after="240" w:line="360" w:lineRule="auto"/>
        <w:ind w:left="567" w:right="1183" w:hanging="283"/>
        <w:jc w:val="both"/>
        <w:rPr>
          <w:rFonts w:ascii="Palatino Linotype" w:eastAsia="Palatino Linotype" w:hAnsi="Palatino Linotype" w:cs="Palatino Linotype"/>
        </w:rPr>
      </w:pPr>
      <w:r w:rsidRPr="00B7685D">
        <w:rPr>
          <w:rFonts w:ascii="Palatino Linotype" w:eastAsia="Palatino Linotype" w:hAnsi="Palatino Linotype" w:cs="Palatino Linotype"/>
        </w:rPr>
        <w:t>Conducta de la Autoridad: Las Acciones u omisiones realizadas en el procedimiento. Así como si la autoridad actuó con la debida diligencia.</w:t>
      </w:r>
    </w:p>
    <w:p w14:paraId="220C34CB" w14:textId="77777777" w:rsidR="00787869" w:rsidRPr="00B7685D" w:rsidRDefault="00661B8A">
      <w:pPr>
        <w:spacing w:before="240" w:after="240" w:line="360" w:lineRule="auto"/>
        <w:ind w:left="567" w:right="1183" w:hanging="283"/>
        <w:jc w:val="both"/>
        <w:rPr>
          <w:rFonts w:ascii="Palatino Linotype" w:eastAsia="Palatino Linotype" w:hAnsi="Palatino Linotype" w:cs="Palatino Linotype"/>
        </w:rPr>
      </w:pPr>
      <w:r w:rsidRPr="00B7685D">
        <w:rPr>
          <w:rFonts w:ascii="Palatino Linotype" w:eastAsia="Palatino Linotype" w:hAnsi="Palatino Linotype" w:cs="Palatino Linotype"/>
        </w:rPr>
        <w:t>d. La afectación generada en la situación jurídica de la persona involucrada en el proceso: Violación a sus derechos humanos.</w:t>
      </w:r>
    </w:p>
    <w:p w14:paraId="495225D7"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8277A1"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7685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7685D">
        <w:rPr>
          <w:rFonts w:ascii="Palatino Linotype" w:eastAsia="Palatino Linotype" w:hAnsi="Palatino Linotype" w:cs="Palatino Linotype"/>
        </w:rPr>
        <w:t>, visible en la Gaceta del Seminario Judicial de la Federación con el registro digital 205635.</w:t>
      </w:r>
    </w:p>
    <w:p w14:paraId="7B34431C"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FF9178"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D7C6BA7"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w:t>
      </w:r>
      <w:r w:rsidRPr="00B7685D">
        <w:rPr>
          <w:rFonts w:ascii="Palatino Linotype" w:eastAsia="Palatino Linotype" w:hAnsi="Palatino Linotype" w:cs="Palatino Linotype"/>
          <w:i/>
        </w:rPr>
        <w:t>“PLAZO RAZONABLE PARA RESOLVER. DIMENSIÓN Y EFECTOS DE ESTE CONCEPTO CUANDO SE ADUCE EXCESIVA CARGA DE TRABAJO.”</w:t>
      </w:r>
      <w:r w:rsidRPr="00B7685D">
        <w:rPr>
          <w:rFonts w:ascii="Palatino Linotype" w:eastAsia="Palatino Linotype" w:hAnsi="Palatino Linotype" w:cs="Palatino Linotype"/>
        </w:rPr>
        <w:t xml:space="preserve"> consultable en el Seminario Judicial de la Federación y su gaceta, con el registro digital 2002351.</w:t>
      </w:r>
    </w:p>
    <w:p w14:paraId="393AD550"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i/>
        </w:rPr>
        <w:t>“PLAZO RAZONABLE PARA RESOLVER. CONCEPTO Y ELEMENTOS QUE LO INTEGRAN A LA LUZ DEL DERECHO INTERNACIONAL DE LOS DERECHOS HUMANOS.”</w:t>
      </w:r>
      <w:r w:rsidRPr="00B7685D">
        <w:rPr>
          <w:rFonts w:ascii="Palatino Linotype" w:eastAsia="Palatino Linotype" w:hAnsi="Palatino Linotype" w:cs="Palatino Linotype"/>
        </w:rPr>
        <w:t>, visible en el Seminario Judicial de la Federación y su gaceta, con el registro digital 2002350.</w:t>
      </w:r>
    </w:p>
    <w:p w14:paraId="21162A44"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A604220"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color w:val="000000"/>
        </w:rPr>
        <w:t xml:space="preserve">8. </w:t>
      </w:r>
      <w:r w:rsidRPr="00B7685D">
        <w:rPr>
          <w:rFonts w:ascii="Palatino Linotype" w:eastAsia="Palatino Linotype" w:hAnsi="Palatino Linotype" w:cs="Palatino Linotype"/>
          <w:b/>
        </w:rPr>
        <w:t xml:space="preserve">CIERRE DE INSTRUCCIÓN. </w:t>
      </w:r>
      <w:r w:rsidRPr="00B7685D">
        <w:rPr>
          <w:rFonts w:ascii="Palatino Linotype" w:eastAsia="Palatino Linotype" w:hAnsi="Palatino Linotype" w:cs="Palatino Linotype"/>
        </w:rPr>
        <w:t>Una vez transcurrido el periodo otorgado a las partes para realizar sus manifestaciones y no habiendo documentos que integrar al expediente, el</w:t>
      </w:r>
      <w:r w:rsidRPr="00B7685D">
        <w:rPr>
          <w:rFonts w:ascii="Palatino Linotype" w:eastAsia="Palatino Linotype" w:hAnsi="Palatino Linotype" w:cs="Palatino Linotype"/>
          <w:color w:val="000000"/>
        </w:rPr>
        <w:t xml:space="preserve"> </w:t>
      </w:r>
      <w:r w:rsidRPr="00B7685D">
        <w:rPr>
          <w:rFonts w:ascii="Palatino Linotype" w:eastAsia="Palatino Linotype" w:hAnsi="Palatino Linotype" w:cs="Palatino Linotype"/>
          <w:b/>
          <w:color w:val="000000"/>
        </w:rPr>
        <w:t>siete de septiembre</w:t>
      </w:r>
      <w:r w:rsidRPr="00B7685D">
        <w:rPr>
          <w:rFonts w:ascii="Palatino Linotype" w:eastAsia="Palatino Linotype" w:hAnsi="Palatino Linotype" w:cs="Palatino Linotype"/>
          <w:b/>
        </w:rPr>
        <w:t xml:space="preserve"> de dos mil veintidós</w:t>
      </w:r>
      <w:r w:rsidRPr="00B7685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9D5B426"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lastRenderedPageBreak/>
        <w:t xml:space="preserve">En razón de que </w:t>
      </w:r>
      <w:r w:rsidRPr="00B7685D">
        <w:rPr>
          <w:rFonts w:ascii="Palatino Linotype" w:eastAsia="Palatino Linotype" w:hAnsi="Palatino Linotype" w:cs="Palatino Linotype"/>
          <w:color w:val="000000"/>
        </w:rPr>
        <w:t xml:space="preserve">fue debidamente sustanciado el expediente electrónico </w:t>
      </w:r>
      <w:r w:rsidRPr="00B7685D">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14:paraId="666CC635" w14:textId="77777777" w:rsidR="00787869" w:rsidRPr="00B7685D" w:rsidRDefault="00661B8A">
      <w:pPr>
        <w:widowControl w:val="0"/>
        <w:spacing w:before="240" w:after="240" w:line="360" w:lineRule="auto"/>
        <w:jc w:val="center"/>
        <w:rPr>
          <w:rFonts w:ascii="Palatino Linotype" w:eastAsia="Palatino Linotype" w:hAnsi="Palatino Linotype" w:cs="Palatino Linotype"/>
          <w:b/>
        </w:rPr>
      </w:pPr>
      <w:r w:rsidRPr="00B7685D">
        <w:rPr>
          <w:rFonts w:ascii="Palatino Linotype" w:eastAsia="Palatino Linotype" w:hAnsi="Palatino Linotype" w:cs="Palatino Linotype"/>
          <w:b/>
        </w:rPr>
        <w:t>II. C O N S I D E R A N D O</w:t>
      </w:r>
    </w:p>
    <w:p w14:paraId="75FCC621"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t>PRIMERO. COMPETENCIA.</w:t>
      </w:r>
      <w:r w:rsidRPr="00B7685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D49C8E2" w14:textId="77777777" w:rsidR="00787869" w:rsidRPr="00B7685D" w:rsidRDefault="00661B8A">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B7685D">
        <w:rPr>
          <w:rFonts w:ascii="Palatino Linotype" w:eastAsia="Palatino Linotype" w:hAnsi="Palatino Linotype" w:cs="Palatino Linotype"/>
          <w:b/>
        </w:rPr>
        <w:t>SEGUNDO. OPORTUNIDAD Y PROCEDIBILIDAD DEL RECURSO DE REVISIÓN</w:t>
      </w:r>
      <w:r w:rsidRPr="00B7685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2AC91B2"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respondió a la solicitud de información el </w:t>
      </w:r>
      <w:r w:rsidRPr="00B7685D">
        <w:rPr>
          <w:rFonts w:ascii="Palatino Linotype" w:eastAsia="Palatino Linotype" w:hAnsi="Palatino Linotype" w:cs="Palatino Linotype"/>
          <w:b/>
        </w:rPr>
        <w:t xml:space="preserve">veintiuno de abril de dos mil veintidós, </w:t>
      </w:r>
      <w:r w:rsidRPr="00B7685D">
        <w:rPr>
          <w:rFonts w:ascii="Palatino Linotype" w:eastAsia="Palatino Linotype" w:hAnsi="Palatino Linotype" w:cs="Palatino Linotype"/>
        </w:rPr>
        <w:t xml:space="preserve">mientras que el recurso de revisión se interpuso el </w:t>
      </w:r>
      <w:r w:rsidRPr="00B7685D">
        <w:rPr>
          <w:rFonts w:ascii="Palatino Linotype" w:eastAsia="Palatino Linotype" w:hAnsi="Palatino Linotype" w:cs="Palatino Linotype"/>
          <w:b/>
        </w:rPr>
        <w:t>veintidós de abril de dos mil veintidós</w:t>
      </w:r>
      <w:r w:rsidRPr="00B7685D">
        <w:rPr>
          <w:rFonts w:ascii="Palatino Linotype" w:eastAsia="Palatino Linotype" w:hAnsi="Palatino Linotype" w:cs="Palatino Linotype"/>
        </w:rPr>
        <w:t xml:space="preserve">, esto es, el </w:t>
      </w:r>
      <w:r w:rsidRPr="00B7685D">
        <w:rPr>
          <w:rFonts w:ascii="Palatino Linotype" w:eastAsia="Palatino Linotype" w:hAnsi="Palatino Linotype" w:cs="Palatino Linotype"/>
          <w:b/>
        </w:rPr>
        <w:t>primer día hábil</w:t>
      </w:r>
      <w:r w:rsidRPr="00B7685D">
        <w:rPr>
          <w:rFonts w:ascii="Palatino Linotype" w:eastAsia="Palatino Linotype" w:hAnsi="Palatino Linotype" w:cs="Palatino Linotype"/>
        </w:rPr>
        <w:t xml:space="preserve"> posterior en que tuvo conocimiento de la respuesta impugnada.</w:t>
      </w:r>
    </w:p>
    <w:p w14:paraId="015E1C6E"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275555F"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Finalmente, se advierte que resulta procedente la interposición del recurso, según lo manifestado por el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en sus motivos de inconformidad, de acuerdo al artículo 179, fracción V del ordenamiento legal citado, que a la letra dice: </w:t>
      </w:r>
    </w:p>
    <w:p w14:paraId="3A58D3D6" w14:textId="77777777" w:rsidR="00787869" w:rsidRPr="00B7685D" w:rsidRDefault="00661B8A">
      <w:pPr>
        <w:tabs>
          <w:tab w:val="left" w:pos="7088"/>
        </w:tabs>
        <w:spacing w:before="240" w:after="240"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w:t>
      </w:r>
      <w:r w:rsidRPr="00B7685D">
        <w:rPr>
          <w:rFonts w:ascii="Palatino Linotype" w:eastAsia="Palatino Linotype" w:hAnsi="Palatino Linotype" w:cs="Palatino Linotype"/>
          <w:b/>
          <w:i/>
        </w:rPr>
        <w:t>Artículo 179.</w:t>
      </w:r>
      <w:r w:rsidRPr="00B7685D">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CC3922A" w14:textId="77777777" w:rsidR="00787869" w:rsidRPr="00B7685D" w:rsidRDefault="00661B8A">
      <w:pPr>
        <w:tabs>
          <w:tab w:val="left" w:pos="7088"/>
        </w:tabs>
        <w:spacing w:before="240" w:after="240" w:line="276" w:lineRule="auto"/>
        <w:ind w:left="567" w:right="900"/>
        <w:jc w:val="both"/>
        <w:rPr>
          <w:rFonts w:ascii="Palatino Linotype" w:eastAsia="Palatino Linotype" w:hAnsi="Palatino Linotype" w:cs="Palatino Linotype"/>
          <w:b/>
          <w:i/>
        </w:rPr>
      </w:pPr>
      <w:r w:rsidRPr="00B7685D">
        <w:rPr>
          <w:rFonts w:ascii="Palatino Linotype" w:eastAsia="Palatino Linotype" w:hAnsi="Palatino Linotype" w:cs="Palatino Linotype"/>
          <w:b/>
          <w:i/>
        </w:rPr>
        <w:t>…</w:t>
      </w:r>
    </w:p>
    <w:p w14:paraId="75CB6079" w14:textId="77777777" w:rsidR="00787869" w:rsidRPr="00B7685D" w:rsidRDefault="00661B8A">
      <w:pPr>
        <w:tabs>
          <w:tab w:val="left" w:pos="7088"/>
        </w:tabs>
        <w:spacing w:before="240" w:after="240" w:line="276" w:lineRule="auto"/>
        <w:ind w:left="567" w:right="900"/>
        <w:jc w:val="both"/>
        <w:rPr>
          <w:rFonts w:ascii="Palatino Linotype" w:eastAsia="Palatino Linotype" w:hAnsi="Palatino Linotype" w:cs="Palatino Linotype"/>
          <w:b/>
          <w:i/>
        </w:rPr>
      </w:pPr>
      <w:r w:rsidRPr="00B7685D">
        <w:rPr>
          <w:rFonts w:ascii="Palatino Linotype" w:eastAsia="Palatino Linotype" w:hAnsi="Palatino Linotype" w:cs="Palatino Linotype"/>
          <w:b/>
          <w:i/>
        </w:rPr>
        <w:t>V. La entrega de información incompleta;</w:t>
      </w:r>
    </w:p>
    <w:p w14:paraId="1640EEAE" w14:textId="77777777" w:rsidR="00787869" w:rsidRPr="00B7685D" w:rsidRDefault="00661B8A">
      <w:pPr>
        <w:tabs>
          <w:tab w:val="left" w:pos="7088"/>
        </w:tabs>
        <w:spacing w:before="240" w:after="240"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b/>
          <w:i/>
        </w:rPr>
        <w:t>…</w:t>
      </w:r>
      <w:r w:rsidRPr="00B7685D">
        <w:rPr>
          <w:rFonts w:ascii="Palatino Linotype" w:eastAsia="Palatino Linotype" w:hAnsi="Palatino Linotype" w:cs="Palatino Linotype"/>
          <w:i/>
        </w:rPr>
        <w:t>”</w:t>
      </w:r>
    </w:p>
    <w:p w14:paraId="54115244" w14:textId="77777777" w:rsidR="00787869" w:rsidRPr="00B7685D" w:rsidRDefault="00661B8A">
      <w:pPr>
        <w:tabs>
          <w:tab w:val="left" w:pos="7088"/>
        </w:tabs>
        <w:spacing w:before="240" w:after="240"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(Énfasis añadido)</w:t>
      </w:r>
    </w:p>
    <w:p w14:paraId="378DD85D"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lastRenderedPageBreak/>
        <w:t xml:space="preserve">TERCERO. MATERIA DE LA REVISIÓN. </w:t>
      </w:r>
      <w:r w:rsidRPr="00B7685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7685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7685D">
        <w:rPr>
          <w:rFonts w:ascii="Palatino Linotype" w:eastAsia="Palatino Linotype" w:hAnsi="Palatino Linotype" w:cs="Palatino Linotype"/>
        </w:rPr>
        <w:t xml:space="preserve">del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o en su defecto, en caso de ser procedente, ordenar la entrega de información oportuna.</w:t>
      </w:r>
    </w:p>
    <w:p w14:paraId="57B24392"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color w:val="000000"/>
        </w:rPr>
        <w:t xml:space="preserve">CUARTO. ESTUDIO DEL ASUNTO. </w:t>
      </w:r>
      <w:r w:rsidRPr="00B7685D">
        <w:rPr>
          <w:rFonts w:ascii="Palatino Linotype" w:eastAsia="Palatino Linotype" w:hAnsi="Palatino Linotype" w:cs="Palatino Linotype"/>
          <w:color w:val="000000"/>
        </w:rPr>
        <w:t xml:space="preserve">Antes de entrar al análisis de los pronunciamientos del </w:t>
      </w:r>
      <w:r w:rsidRPr="00B7685D">
        <w:rPr>
          <w:rFonts w:ascii="Palatino Linotype" w:eastAsia="Palatino Linotype" w:hAnsi="Palatino Linotype" w:cs="Palatino Linotype"/>
          <w:b/>
          <w:color w:val="000000"/>
        </w:rPr>
        <w:t>SUJETO OBLIGADO</w:t>
      </w:r>
      <w:r w:rsidRPr="00B7685D">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CD7256F"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u w:val="single"/>
        </w:rPr>
        <w:t>Artículo 1o. En los Estados Unidos Mexicanos todas las personas gozarán de los derechos humanos reconocidos en esta Constitución y en los tratados internacionales de los que el Estado Mexicano sea parte</w:t>
      </w:r>
      <w:r w:rsidRPr="00B7685D">
        <w:rPr>
          <w:rFonts w:ascii="Palatino Linotype" w:eastAsia="Palatino Linotype" w:hAnsi="Palatino Linotype" w:cs="Palatino Linotype"/>
          <w:i/>
          <w:color w:val="000000"/>
        </w:rPr>
        <w:t>, así como de las garantías para su protección, cuyo ejercicio no podrá restringirse ni suspenderse, salvo en los casos y bajo las condiciones que esta Constitución establece.</w:t>
      </w:r>
    </w:p>
    <w:p w14:paraId="14C3F4A9"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t>Las normas relativas a los derechos humanos se interpretarán de conformidad con esta Constitución y con los tratados internacionales de la materia favoreciendo en todo tiempo a las personas la protección más amplia.</w:t>
      </w:r>
    </w:p>
    <w:p w14:paraId="3C8DA913"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B7685D">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14:paraId="219C01CA"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w:t>
      </w:r>
    </w:p>
    <w:p w14:paraId="78FD6B96"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t>“Artículo 6o.</w:t>
      </w:r>
    </w:p>
    <w:p w14:paraId="2D154517"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w:t>
      </w:r>
    </w:p>
    <w:p w14:paraId="240856E7"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t xml:space="preserve">A. Para el ejercicio del derecho de acceso a la información, la Federación y </w:t>
      </w:r>
      <w:r w:rsidRPr="00B7685D">
        <w:rPr>
          <w:rFonts w:ascii="Palatino Linotype" w:eastAsia="Palatino Linotype" w:hAnsi="Palatino Linotype" w:cs="Palatino Linotype"/>
          <w:b/>
          <w:i/>
          <w:color w:val="000000"/>
          <w:u w:val="single"/>
        </w:rPr>
        <w:t>las entidades federativas</w:t>
      </w:r>
      <w:r w:rsidRPr="00B7685D">
        <w:rPr>
          <w:rFonts w:ascii="Palatino Linotype" w:eastAsia="Palatino Linotype" w:hAnsi="Palatino Linotype" w:cs="Palatino Linotype"/>
          <w:b/>
          <w:i/>
          <w:color w:val="000000"/>
        </w:rPr>
        <w:t>,</w:t>
      </w:r>
      <w:r w:rsidRPr="00B7685D">
        <w:rPr>
          <w:rFonts w:ascii="Palatino Linotype" w:eastAsia="Palatino Linotype" w:hAnsi="Palatino Linotype" w:cs="Palatino Linotype"/>
          <w:i/>
          <w:color w:val="000000"/>
        </w:rPr>
        <w:t xml:space="preserve"> en el ámbito de sus respectivas competencias, se regirán por los siguientes principios y bases:</w:t>
      </w:r>
    </w:p>
    <w:p w14:paraId="6EFAA3B2"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 </w:t>
      </w:r>
      <w:r w:rsidRPr="00B7685D">
        <w:rPr>
          <w:rFonts w:ascii="Palatino Linotype" w:eastAsia="Palatino Linotype" w:hAnsi="Palatino Linotype" w:cs="Palatino Linotype"/>
          <w:b/>
          <w:i/>
          <w:color w:val="000000"/>
        </w:rPr>
        <w:t xml:space="preserve">I. </w:t>
      </w:r>
      <w:r w:rsidRPr="00B7685D">
        <w:rPr>
          <w:rFonts w:ascii="Palatino Linotype" w:eastAsia="Palatino Linotype" w:hAnsi="Palatino Linotype" w:cs="Palatino Linotype"/>
          <w:b/>
          <w:i/>
          <w:color w:val="000000"/>
          <w:u w:val="single"/>
        </w:rPr>
        <w:t>Toda la información en posesión de cualquier autoridad, entidad, órgano y organismo de los Poderes</w:t>
      </w:r>
      <w:r w:rsidRPr="00B7685D">
        <w:rPr>
          <w:rFonts w:ascii="Palatino Linotype" w:eastAsia="Palatino Linotype" w:hAnsi="Palatino Linotype" w:cs="Palatino Linotype"/>
          <w:i/>
          <w:color w:val="000000"/>
        </w:rPr>
        <w:t xml:space="preserve"> Ejecutivo, Legislativo </w:t>
      </w:r>
      <w:r w:rsidRPr="00B7685D">
        <w:rPr>
          <w:rFonts w:ascii="Palatino Linotype" w:eastAsia="Palatino Linotype" w:hAnsi="Palatino Linotype" w:cs="Palatino Linotype"/>
          <w:b/>
          <w:i/>
          <w:color w:val="000000"/>
          <w:u w:val="single"/>
        </w:rPr>
        <w:t>y Judicial</w:t>
      </w:r>
      <w:r w:rsidRPr="00B7685D">
        <w:rPr>
          <w:rFonts w:ascii="Palatino Linotype" w:eastAsia="Palatino Linotype" w:hAnsi="Palatino Linotype" w:cs="Palatino Linotype"/>
          <w:i/>
          <w:color w:val="00000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7685D">
        <w:rPr>
          <w:rFonts w:ascii="Palatino Linotype" w:eastAsia="Palatino Linotype" w:hAnsi="Palatino Linotype" w:cs="Palatino Linotype"/>
          <w:b/>
          <w:i/>
          <w:color w:val="000000"/>
        </w:rPr>
        <w:t>es pública y sólo podrá ser reservada temporalmente por razones de interés público y seguridad nacional,</w:t>
      </w:r>
      <w:r w:rsidRPr="00B7685D">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066E451"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 </w:t>
      </w:r>
      <w:r w:rsidRPr="00B7685D">
        <w:rPr>
          <w:rFonts w:ascii="Palatino Linotype" w:eastAsia="Palatino Linotype" w:hAnsi="Palatino Linotype" w:cs="Palatino Linotype"/>
          <w:b/>
          <w:i/>
          <w:color w:val="000000"/>
        </w:rPr>
        <w:t>II. La información que se refiere a la vida privada y los datos personales será protegida en los términos y con las excepciones que fijen las leyes.</w:t>
      </w:r>
    </w:p>
    <w:p w14:paraId="2651CC9F"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 </w:t>
      </w:r>
      <w:r w:rsidRPr="00B7685D">
        <w:rPr>
          <w:rFonts w:ascii="Palatino Linotype" w:eastAsia="Palatino Linotype" w:hAnsi="Palatino Linotype" w:cs="Palatino Linotype"/>
          <w:b/>
          <w:i/>
          <w:color w:val="000000"/>
        </w:rPr>
        <w:t xml:space="preserve">III. </w:t>
      </w:r>
      <w:r w:rsidRPr="00B7685D">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sidRPr="00B7685D">
        <w:rPr>
          <w:rFonts w:ascii="Palatino Linotype" w:eastAsia="Palatino Linotype" w:hAnsi="Palatino Linotype" w:cs="Palatino Linotype"/>
          <w:i/>
          <w:color w:val="000000"/>
        </w:rPr>
        <w:t xml:space="preserve"> a sus datos personales o a la rectificación de éstos.</w:t>
      </w:r>
    </w:p>
    <w:p w14:paraId="2B23B765"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lastRenderedPageBreak/>
        <w:t> </w:t>
      </w:r>
      <w:r w:rsidRPr="00B7685D">
        <w:rPr>
          <w:rFonts w:ascii="Palatino Linotype" w:eastAsia="Palatino Linotype" w:hAnsi="Palatino Linotype" w:cs="Palatino Linotype"/>
          <w:b/>
          <w:i/>
          <w:color w:val="000000"/>
        </w:rPr>
        <w:t xml:space="preserve">IV. </w:t>
      </w:r>
      <w:r w:rsidRPr="00B7685D">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14:paraId="143F6A0C"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t xml:space="preserve">V. </w:t>
      </w:r>
      <w:r w:rsidRPr="00B7685D">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FD4055B"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 </w:t>
      </w:r>
      <w:r w:rsidRPr="00B7685D">
        <w:rPr>
          <w:rFonts w:ascii="Palatino Linotype" w:eastAsia="Palatino Linotype" w:hAnsi="Palatino Linotype" w:cs="Palatino Linotype"/>
          <w:b/>
          <w:i/>
          <w:color w:val="000000"/>
        </w:rPr>
        <w:t xml:space="preserve">VI. </w:t>
      </w:r>
      <w:r w:rsidRPr="00B7685D">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63DE5A55" w14:textId="77777777" w:rsidR="00787869" w:rsidRPr="00B7685D" w:rsidRDefault="00661B8A">
      <w:pPr>
        <w:pBdr>
          <w:top w:val="nil"/>
          <w:left w:val="nil"/>
          <w:bottom w:val="nil"/>
          <w:right w:val="nil"/>
          <w:between w:val="nil"/>
        </w:pBdr>
        <w:spacing w:before="240" w:after="240"/>
        <w:ind w:left="567" w:right="85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 </w:t>
      </w:r>
      <w:r w:rsidRPr="00B7685D">
        <w:rPr>
          <w:rFonts w:ascii="Palatino Linotype" w:eastAsia="Palatino Linotype" w:hAnsi="Palatino Linotype" w:cs="Palatino Linotype"/>
          <w:b/>
          <w:i/>
          <w:color w:val="000000"/>
        </w:rPr>
        <w:t xml:space="preserve">VII. </w:t>
      </w:r>
      <w:r w:rsidRPr="00B7685D">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14:paraId="643C6CC2"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D252E4E"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w:t>
      </w:r>
      <w:r w:rsidRPr="00B7685D">
        <w:rPr>
          <w:rFonts w:ascii="Palatino Linotype" w:eastAsia="Palatino Linotype" w:hAnsi="Palatino Linotype" w:cs="Palatino Linotype"/>
          <w:b/>
          <w:i/>
          <w:color w:val="000000"/>
        </w:rPr>
        <w:t>Artículo 4</w:t>
      </w:r>
      <w:r w:rsidRPr="00B7685D">
        <w:rPr>
          <w:rFonts w:ascii="Palatino Linotype" w:eastAsia="Palatino Linotype" w:hAnsi="Palatino Linotype" w:cs="Palatino Linotype"/>
          <w:i/>
          <w:color w:val="000000"/>
        </w:rPr>
        <w:t>. El derecho humano de acceso a la información pública es la prerrogativa de las personas para buscar, difundir, investigar, recabar, recibir y solicitar información pública, sin necesidad de acreditar personalidad ni interés jurídico. </w:t>
      </w:r>
    </w:p>
    <w:p w14:paraId="166E72C1"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63518E0"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solicitantes.”(Sic)</w:t>
      </w:r>
    </w:p>
    <w:p w14:paraId="5E081D25"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852F120"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w:t>
      </w:r>
      <w:r w:rsidRPr="00B7685D">
        <w:rPr>
          <w:rFonts w:ascii="Palatino Linotype" w:eastAsia="Palatino Linotype" w:hAnsi="Palatino Linotype" w:cs="Palatino Linotype"/>
          <w:b/>
          <w:i/>
          <w:color w:val="000000"/>
        </w:rPr>
        <w:t>Artículo 12</w:t>
      </w:r>
      <w:r w:rsidRPr="00B7685D">
        <w:rPr>
          <w:rFonts w:ascii="Palatino Linotype" w:eastAsia="Palatino Linotype" w:hAnsi="Palatino Linotype" w:cs="Palatino Linotype"/>
          <w:i/>
          <w:color w:val="000000"/>
        </w:rPr>
        <w:t>. Quienes generen, recopilen, administren, manejen, procesen, archiven o conserven información pública serán responsables de la misma en los términos de las disposiciones jurídicas aplicables. </w:t>
      </w:r>
    </w:p>
    <w:p w14:paraId="20F94CEA"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7088341"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sidRPr="00B7685D">
        <w:rPr>
          <w:rFonts w:ascii="Palatino Linotype" w:eastAsia="Palatino Linotype" w:hAnsi="Palatino Linotype" w:cs="Palatino Linotype"/>
          <w:b/>
          <w:color w:val="000000"/>
        </w:rPr>
        <w:t xml:space="preserve"> </w:t>
      </w:r>
      <w:r w:rsidRPr="00B7685D">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B7685D">
        <w:rPr>
          <w:rFonts w:ascii="Palatino Linotype" w:eastAsia="Palatino Linotype" w:hAnsi="Palatino Linotype" w:cs="Palatino Linotype"/>
          <w:i/>
          <w:color w:val="000000"/>
        </w:rPr>
        <w:t>ad hoc</w:t>
      </w:r>
      <w:r w:rsidRPr="00B7685D">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CA00AB6" w14:textId="77777777" w:rsidR="00787869" w:rsidRPr="00B7685D" w:rsidRDefault="00661B8A">
      <w:pPr>
        <w:pBdr>
          <w:top w:val="nil"/>
          <w:left w:val="nil"/>
          <w:bottom w:val="nil"/>
          <w:right w:val="nil"/>
          <w:between w:val="nil"/>
        </w:pBdr>
        <w:tabs>
          <w:tab w:val="left" w:pos="7938"/>
        </w:tabs>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t>03/17</w:t>
      </w:r>
    </w:p>
    <w:p w14:paraId="62C7C780" w14:textId="77777777" w:rsidR="00787869" w:rsidRPr="00B7685D" w:rsidRDefault="00661B8A">
      <w:pPr>
        <w:pBdr>
          <w:top w:val="nil"/>
          <w:left w:val="nil"/>
          <w:bottom w:val="nil"/>
          <w:right w:val="nil"/>
          <w:between w:val="nil"/>
        </w:pBdr>
        <w:tabs>
          <w:tab w:val="left" w:pos="7938"/>
        </w:tabs>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t>“NO EXISTE OBLIGACIÓN DE ELABORAR DOCUMENTOS AD HOC PARA ATENDER LAS SOLICITUDES DE ACCESO A LA INFORMACIÓN.</w:t>
      </w:r>
    </w:p>
    <w:p w14:paraId="253D5C1C" w14:textId="77777777" w:rsidR="00787869" w:rsidRPr="00B7685D" w:rsidRDefault="00661B8A">
      <w:pPr>
        <w:pBdr>
          <w:top w:val="nil"/>
          <w:left w:val="nil"/>
          <w:bottom w:val="nil"/>
          <w:right w:val="nil"/>
          <w:between w:val="nil"/>
        </w:pBdr>
        <w:tabs>
          <w:tab w:val="left" w:pos="7938"/>
        </w:tabs>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E035326"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B7685D">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14:paraId="20999C64" w14:textId="77777777" w:rsidR="00787869" w:rsidRPr="00B7685D" w:rsidRDefault="00661B8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Pr="00B7685D">
        <w:rPr>
          <w:rFonts w:ascii="Palatino Linotype" w:eastAsia="Palatino Linotype" w:hAnsi="Palatino Linotype" w:cs="Palatino Linotype"/>
          <w:b/>
          <w:color w:val="000000"/>
        </w:rPr>
        <w:t>SUJETO OBLIGADO</w:t>
      </w:r>
      <w:r w:rsidRPr="00B7685D">
        <w:rPr>
          <w:rFonts w:ascii="Palatino Linotype" w:eastAsia="Palatino Linotype" w:hAnsi="Palatino Linotype" w:cs="Palatino Linotype"/>
          <w:color w:val="000000"/>
        </w:rPr>
        <w:t>; como así se establece en la Ley de Transparencia y Acceso a la Información Pública del Estado de México y Municipios.</w:t>
      </w:r>
    </w:p>
    <w:p w14:paraId="40117C06"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9CFC7E5"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w:t>
      </w:r>
      <w:r w:rsidRPr="00B7685D">
        <w:rPr>
          <w:rFonts w:ascii="Palatino Linotype" w:eastAsia="Palatino Linotype" w:hAnsi="Palatino Linotype" w:cs="Palatino Linotype"/>
          <w:b/>
          <w:i/>
          <w:color w:val="000000"/>
        </w:rPr>
        <w:t xml:space="preserve">Artículo 3. </w:t>
      </w:r>
      <w:r w:rsidRPr="00B7685D">
        <w:rPr>
          <w:rFonts w:ascii="Palatino Linotype" w:eastAsia="Palatino Linotype" w:hAnsi="Palatino Linotype" w:cs="Palatino Linotype"/>
          <w:i/>
          <w:color w:val="000000"/>
        </w:rPr>
        <w:t>Para los efectos de la presente Ley se entenderá por:</w:t>
      </w:r>
    </w:p>
    <w:p w14:paraId="3334949A"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w:t>
      </w:r>
    </w:p>
    <w:p w14:paraId="0335ADE4"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t>XI. Documento:</w:t>
      </w:r>
      <w:r w:rsidRPr="00B7685D">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w:t>
      </w:r>
      <w:r w:rsidRPr="00B7685D">
        <w:rPr>
          <w:rFonts w:ascii="Palatino Linotype" w:eastAsia="Palatino Linotype" w:hAnsi="Palatino Linotype" w:cs="Palatino Linotype"/>
          <w:i/>
          <w:color w:val="000000"/>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7685D">
        <w:rPr>
          <w:rFonts w:ascii="Palatino Linotype" w:eastAsia="Palatino Linotype" w:hAnsi="Palatino Linotype" w:cs="Palatino Linotype"/>
          <w:b/>
          <w:i/>
          <w:color w:val="000000"/>
        </w:rPr>
        <w:t>…</w:t>
      </w:r>
      <w:r w:rsidRPr="00B7685D">
        <w:rPr>
          <w:rFonts w:ascii="Palatino Linotype" w:eastAsia="Palatino Linotype" w:hAnsi="Palatino Linotype" w:cs="Palatino Linotype"/>
          <w:i/>
          <w:color w:val="000000"/>
        </w:rPr>
        <w:t>” (Sic)</w:t>
      </w:r>
    </w:p>
    <w:p w14:paraId="3D5CC46B"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AE80661"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color w:val="000000"/>
        </w:rPr>
        <w:t>“</w:t>
      </w:r>
      <w:r w:rsidRPr="00B7685D">
        <w:rPr>
          <w:rFonts w:ascii="Palatino Linotype" w:eastAsia="Palatino Linotype" w:hAnsi="Palatino Linotype" w:cs="Palatino Linotype"/>
          <w:b/>
          <w:i/>
          <w:color w:val="000000"/>
        </w:rPr>
        <w:t>CRITERIO 0002-11</w:t>
      </w:r>
    </w:p>
    <w:p w14:paraId="224988FD"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i/>
          <w:color w:val="000000"/>
        </w:rPr>
        <w:t>INFORMACIÓN PÚBLICA, CONCEPTO DE, EN MATERIA DE TRANSPARENCIA. INTERPRETACIÓN SISTEMÁTICA DE LOS ARTÍCULOS 2°, FRACCIÓN V, XV, Y XVI, 3°, 4°, 11 Y 41.</w:t>
      </w:r>
      <w:r w:rsidRPr="00B7685D">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190BE7" w14:textId="77777777" w:rsidR="00787869" w:rsidRPr="00B7685D" w:rsidRDefault="00661B8A">
      <w:pPr>
        <w:pBdr>
          <w:top w:val="nil"/>
          <w:left w:val="nil"/>
          <w:bottom w:val="nil"/>
          <w:right w:val="nil"/>
          <w:between w:val="nil"/>
        </w:pBdr>
        <w:spacing w:before="240" w:after="240"/>
        <w:ind w:left="567"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t>En consecuencia el acceso a la información se refiere a que se cumplan cualquiera de los siguientes tres supuestos:</w:t>
      </w:r>
    </w:p>
    <w:p w14:paraId="2DEA8D63" w14:textId="77777777" w:rsidR="00787869" w:rsidRPr="00B7685D" w:rsidRDefault="00661B8A">
      <w:pPr>
        <w:numPr>
          <w:ilvl w:val="0"/>
          <w:numId w:val="3"/>
        </w:numPr>
        <w:pBdr>
          <w:top w:val="nil"/>
          <w:left w:val="nil"/>
          <w:bottom w:val="nil"/>
          <w:right w:val="nil"/>
          <w:between w:val="nil"/>
        </w:pBdr>
        <w:spacing w:before="240" w:after="240"/>
        <w:ind w:left="567" w:right="900"/>
        <w:jc w:val="both"/>
        <w:rPr>
          <w:rFonts w:ascii="Palatino Linotype" w:eastAsia="Palatino Linotype" w:hAnsi="Palatino Linotype" w:cs="Palatino Linotype"/>
          <w:i/>
          <w:color w:val="000000"/>
        </w:rPr>
      </w:pPr>
      <w:r w:rsidRPr="00B7685D">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14:paraId="1A3EDB2B" w14:textId="77777777" w:rsidR="00787869" w:rsidRPr="00B7685D" w:rsidRDefault="00661B8A">
      <w:pPr>
        <w:numPr>
          <w:ilvl w:val="0"/>
          <w:numId w:val="3"/>
        </w:numPr>
        <w:pBdr>
          <w:top w:val="nil"/>
          <w:left w:val="nil"/>
          <w:bottom w:val="nil"/>
          <w:right w:val="nil"/>
          <w:between w:val="nil"/>
        </w:pBdr>
        <w:spacing w:before="240" w:after="240"/>
        <w:ind w:left="567" w:right="900"/>
        <w:jc w:val="both"/>
        <w:rPr>
          <w:rFonts w:ascii="Palatino Linotype" w:eastAsia="Palatino Linotype" w:hAnsi="Palatino Linotype" w:cs="Palatino Linotype"/>
          <w:i/>
          <w:color w:val="000000"/>
        </w:rPr>
      </w:pPr>
      <w:r w:rsidRPr="00B7685D">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14:paraId="786AD00B" w14:textId="77777777" w:rsidR="00787869" w:rsidRPr="00B7685D" w:rsidRDefault="00661B8A">
      <w:pPr>
        <w:pBdr>
          <w:top w:val="nil"/>
          <w:left w:val="nil"/>
          <w:bottom w:val="nil"/>
          <w:right w:val="nil"/>
          <w:between w:val="nil"/>
        </w:pBdr>
        <w:spacing w:before="240" w:after="240"/>
        <w:ind w:left="567" w:right="900" w:hanging="284"/>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i/>
          <w:color w:val="000000"/>
        </w:rPr>
        <w:lastRenderedPageBreak/>
        <w:t xml:space="preserve">3. </w:t>
      </w:r>
      <w:r w:rsidRPr="00B7685D">
        <w:rPr>
          <w:rFonts w:ascii="Palatino Linotype" w:eastAsia="Palatino Linotype" w:hAnsi="Palatino Linotype" w:cs="Palatino Linotype"/>
          <w:b/>
          <w:i/>
          <w:color w:val="000000"/>
        </w:rPr>
        <w:t>Que se trate de información registrada en cualquier soporte documental, que en ejercicio de las atribuciones conferidas, se encuentre en posesión de los Sujetos Obligados.” (Sic)</w:t>
      </w:r>
    </w:p>
    <w:p w14:paraId="34BC2484"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 xml:space="preserve">De ahí que el </w:t>
      </w:r>
      <w:r w:rsidRPr="00B7685D">
        <w:rPr>
          <w:rFonts w:ascii="Palatino Linotype" w:eastAsia="Palatino Linotype" w:hAnsi="Palatino Linotype" w:cs="Palatino Linotype"/>
          <w:b/>
          <w:color w:val="000000"/>
        </w:rPr>
        <w:t>SUJETO OBLIGADO</w:t>
      </w:r>
      <w:r w:rsidRPr="00B7685D">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0D1B2CC" w14:textId="77777777" w:rsidR="00787869" w:rsidRPr="00B7685D" w:rsidRDefault="00661B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B7685D">
        <w:rPr>
          <w:rFonts w:ascii="Palatino Linotype" w:eastAsia="Palatino Linotype" w:hAnsi="Palatino Linotype" w:cs="Palatino Linotype"/>
          <w:b/>
          <w:color w:val="000000"/>
        </w:rPr>
        <w:t>SUJETO OBLIGADO</w:t>
      </w:r>
      <w:r w:rsidRPr="00B7685D">
        <w:rPr>
          <w:rFonts w:ascii="Palatino Linotype" w:eastAsia="Palatino Linotype" w:hAnsi="Palatino Linotype" w:cs="Palatino Linotype"/>
          <w:color w:val="000000"/>
        </w:rPr>
        <w:t>, le proporcionara lo siguiente:</w:t>
      </w:r>
    </w:p>
    <w:p w14:paraId="77C50396" w14:textId="77777777" w:rsidR="00787869" w:rsidRPr="00B7685D" w:rsidRDefault="00661B8A">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b/>
          <w:color w:val="000000"/>
        </w:rPr>
        <w:t>Si en el municipio de Valle de Bravo existe un trámite licencia de funcionamiento, en caso de existir, cual es su fundamento jurídico, sus requisitos y su costo.</w:t>
      </w:r>
    </w:p>
    <w:p w14:paraId="5C279CA2" w14:textId="77777777" w:rsidR="00787869" w:rsidRPr="00B7685D" w:rsidRDefault="00661B8A">
      <w:pPr>
        <w:spacing w:before="240" w:after="240" w:line="360" w:lineRule="auto"/>
        <w:ind w:right="49"/>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rPr>
        <w:t xml:space="preserve">En su respuesta, el </w:t>
      </w:r>
      <w:r w:rsidRPr="00B7685D">
        <w:rPr>
          <w:rFonts w:ascii="Palatino Linotype" w:eastAsia="Palatino Linotype" w:hAnsi="Palatino Linotype" w:cs="Palatino Linotype"/>
          <w:b/>
        </w:rPr>
        <w:t xml:space="preserve">SUJETO OBLIGADO </w:t>
      </w:r>
      <w:r w:rsidRPr="00B7685D">
        <w:rPr>
          <w:rFonts w:ascii="Palatino Linotype" w:eastAsia="Palatino Linotype" w:hAnsi="Palatino Linotype" w:cs="Palatino Linotype"/>
        </w:rPr>
        <w:t xml:space="preserve">por conducto del Director de Desarrollo Económico, refiere que la Dirección a su cargo lleva a cabo el trámite de “LICENCIAS DE FUNCIONAMIENTO”, el cual se expide a solicitud de la parte interesada, así mismo, señala que se encuentra fundamentada en los artículos 66 de Ley de Competitividad y Ordenamiento Comercial del Estado de México y 72, 73 y 74 del Bando Municipal de Valle de Bravo 2022, de igual forma refiere que la misma </w:t>
      </w:r>
      <w:r w:rsidRPr="00B7685D">
        <w:rPr>
          <w:rFonts w:ascii="Palatino Linotype" w:eastAsia="Palatino Linotype" w:hAnsi="Palatino Linotype" w:cs="Palatino Linotype"/>
        </w:rPr>
        <w:lastRenderedPageBreak/>
        <w:t xml:space="preserve">tiene un costo y requisitos variables ya que depende del tipo de giro que tenga el solicitante y que a efecto de calcular el costo, dicha dependencia se ajusta al artículo 159 del Código Financiero del Estado de México y Municipios y enlista de manera general los requisitos para la expedición </w:t>
      </w:r>
    </w:p>
    <w:p w14:paraId="76B0D887" w14:textId="77777777" w:rsidR="00787869" w:rsidRPr="00B7685D" w:rsidRDefault="00661B8A">
      <w:pPr>
        <w:spacing w:before="240" w:after="240" w:line="360" w:lineRule="auto"/>
        <w:ind w:right="49"/>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Conocida la respuesta, el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interpuso el recurso de revisión que nos ocupa, expresando medularmente en sus razones o motivos de inconformidad que se le entrega información incompleta  toda vez que no se da el costo del trámite y no informa de forma clara y precisa la forma de calcular el costo y para que giros se requiere.</w:t>
      </w:r>
    </w:p>
    <w:p w14:paraId="796F9F89" w14:textId="77777777" w:rsidR="00787869" w:rsidRPr="00B7685D" w:rsidRDefault="00661B8A">
      <w:pPr>
        <w:spacing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A484B92" w14:textId="77777777" w:rsidR="00787869" w:rsidRPr="00B7685D" w:rsidRDefault="00787869">
      <w:pPr>
        <w:spacing w:line="360" w:lineRule="auto"/>
        <w:jc w:val="both"/>
        <w:rPr>
          <w:rFonts w:ascii="Palatino Linotype" w:eastAsia="Palatino Linotype" w:hAnsi="Palatino Linotype" w:cs="Palatino Linotype"/>
        </w:rPr>
      </w:pPr>
    </w:p>
    <w:p w14:paraId="5288032B" w14:textId="77777777" w:rsidR="00787869" w:rsidRPr="00B7685D" w:rsidRDefault="00661B8A">
      <w:pPr>
        <w:spacing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En tal sentido, el </w:t>
      </w:r>
      <w:r w:rsidRPr="00B7685D">
        <w:rPr>
          <w:rFonts w:ascii="Palatino Linotype" w:eastAsia="Palatino Linotype" w:hAnsi="Palatino Linotype" w:cs="Palatino Linotype"/>
          <w:b/>
        </w:rPr>
        <w:t xml:space="preserve">SUJETO OBLIGADO </w:t>
      </w:r>
      <w:r w:rsidRPr="00B7685D">
        <w:rPr>
          <w:rFonts w:ascii="Palatino Linotype" w:eastAsia="Palatino Linotype" w:hAnsi="Palatino Linotype" w:cs="Palatino Linotype"/>
        </w:rPr>
        <w:t xml:space="preserve">remitió su informe justificado, mediante el cual, ratificó en lo sustancial la respuesta proporcionada en primera instancia, por lo que respecta a la parte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resulto omiso de rendir manifestación alguna.</w:t>
      </w:r>
    </w:p>
    <w:p w14:paraId="46EE6E60" w14:textId="77777777" w:rsidR="00787869" w:rsidRPr="00B7685D" w:rsidRDefault="00661B8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Adicionalmente, en fecha treinta de agosto de dos mil veintidós, 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remitió, a través del SAIMEX, un alcance a su informe justificado mediante el cual adjuntó un enlace al Código Financiero de del Estado de México y Municipios, agregando el siguiente comentario “</w:t>
      </w:r>
      <w:r w:rsidRPr="00B7685D">
        <w:rPr>
          <w:rFonts w:ascii="Palatino Linotype" w:eastAsia="Palatino Linotype" w:hAnsi="Palatino Linotype" w:cs="Palatino Linotype"/>
          <w:i/>
        </w:rPr>
        <w:t xml:space="preserve">En alcance a la información </w:t>
      </w:r>
      <w:r w:rsidRPr="00B7685D">
        <w:rPr>
          <w:rFonts w:ascii="Palatino Linotype" w:eastAsia="Palatino Linotype" w:hAnsi="Palatino Linotype" w:cs="Palatino Linotype"/>
          <w:i/>
        </w:rPr>
        <w:lastRenderedPageBreak/>
        <w:t xml:space="preserve">previamente otorgada, se agrega el Código Financiero del EDOMEX y sus Municipios, en el cual vienen especificados, en la sección DÉCIMA, Artículo 159, los costos de las licencias y refrendos de acuerdo al tipo de negocio. De igual forma, se le incita al </w:t>
      </w:r>
      <w:r w:rsidRPr="00B7685D">
        <w:rPr>
          <w:rFonts w:ascii="Palatino Linotype" w:eastAsia="Palatino Linotype" w:hAnsi="Palatino Linotype" w:cs="Palatino Linotype"/>
          <w:b/>
          <w:i/>
        </w:rPr>
        <w:t>RECURRENTE</w:t>
      </w:r>
      <w:r w:rsidRPr="00B7685D">
        <w:rPr>
          <w:rFonts w:ascii="Palatino Linotype" w:eastAsia="Palatino Linotype" w:hAnsi="Palatino Linotype" w:cs="Palatino Linotype"/>
          <w:i/>
        </w:rPr>
        <w:t xml:space="preserve"> a descargar el formato de solicitud y entregarlo en la oficina de la Dirección de Desarrollo Económico para poder determinar el costo correspondiente al negocio de su interés</w:t>
      </w:r>
      <w:r w:rsidRPr="00B7685D">
        <w:rPr>
          <w:rFonts w:ascii="Palatino Linotype" w:eastAsia="Palatino Linotype" w:hAnsi="Palatino Linotype" w:cs="Palatino Linotype"/>
        </w:rPr>
        <w:t>. “</w:t>
      </w:r>
    </w:p>
    <w:p w14:paraId="440D25FA" w14:textId="77777777" w:rsidR="00787869" w:rsidRPr="00B7685D" w:rsidRDefault="00661B8A">
      <w:pPr>
        <w:spacing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Tanto el informe justificado como el alcance al mismo, fueron puestos a la vista de la parte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w:t>
      </w:r>
    </w:p>
    <w:p w14:paraId="4776BE23" w14:textId="77777777" w:rsidR="00787869" w:rsidRPr="00B7685D" w:rsidRDefault="00661B8A">
      <w:pPr>
        <w:spacing w:before="240" w:line="360" w:lineRule="auto"/>
        <w:jc w:val="both"/>
        <w:rPr>
          <w:rFonts w:ascii="Palatino Linotype" w:eastAsia="Palatino Linotype" w:hAnsi="Palatino Linotype" w:cs="Palatino Linotype"/>
          <w:color w:val="FF0000"/>
        </w:rPr>
      </w:pPr>
      <w:r w:rsidRPr="00B7685D">
        <w:rPr>
          <w:rFonts w:ascii="Palatino Linotype" w:eastAsia="Palatino Linotype" w:hAnsi="Palatino Linotype" w:cs="Palatino Linotype"/>
          <w:color w:val="000000"/>
        </w:rPr>
        <w:t xml:space="preserve">De esta manera, se procede al análisis de la respuesta proporcionada por el </w:t>
      </w:r>
      <w:r w:rsidRPr="00B7685D">
        <w:rPr>
          <w:rFonts w:ascii="Palatino Linotype" w:eastAsia="Palatino Linotype" w:hAnsi="Palatino Linotype" w:cs="Palatino Linotype"/>
          <w:b/>
          <w:color w:val="000000"/>
        </w:rPr>
        <w:t>SUJETO OBLIGADO,</w:t>
      </w:r>
      <w:r w:rsidRPr="00B7685D">
        <w:rPr>
          <w:rFonts w:ascii="Palatino Linotype" w:eastAsia="Palatino Linotype" w:hAnsi="Palatino Linotype" w:cs="Palatino Linotype"/>
          <w:color w:val="000000"/>
        </w:rPr>
        <w:t xml:space="preserve"> a efecto de determinar si es suficiente para tener por colmado el derecho de acceso a la información del </w:t>
      </w:r>
      <w:r w:rsidRPr="00B7685D">
        <w:rPr>
          <w:rFonts w:ascii="Palatino Linotype" w:eastAsia="Palatino Linotype" w:hAnsi="Palatino Linotype" w:cs="Palatino Linotype"/>
          <w:b/>
          <w:color w:val="000000"/>
        </w:rPr>
        <w:t>RECURRENTE</w:t>
      </w:r>
      <w:r w:rsidRPr="00B7685D">
        <w:rPr>
          <w:rFonts w:ascii="Palatino Linotype" w:eastAsia="Palatino Linotype" w:hAnsi="Palatino Linotype" w:cs="Palatino Linotype"/>
          <w:color w:val="000000"/>
        </w:rPr>
        <w:t>, o en su defecto ordenar la entrega del o los documentos que lo satisfagan.</w:t>
      </w:r>
    </w:p>
    <w:p w14:paraId="31692825" w14:textId="77777777" w:rsidR="00787869" w:rsidRPr="00B7685D" w:rsidRDefault="00661B8A">
      <w:pPr>
        <w:spacing w:line="360" w:lineRule="auto"/>
        <w:jc w:val="both"/>
        <w:rPr>
          <w:rFonts w:ascii="Palatino Linotype" w:eastAsia="Palatino Linotype" w:hAnsi="Palatino Linotype" w:cs="Palatino Linotype"/>
          <w:color w:val="FF0000"/>
        </w:rPr>
      </w:pPr>
      <w:r w:rsidRPr="00B7685D">
        <w:rPr>
          <w:rFonts w:ascii="Palatino Linotype" w:eastAsia="Palatino Linotype" w:hAnsi="Palatino Linotype" w:cs="Palatino Linotype"/>
          <w:color w:val="FF0000"/>
        </w:rPr>
        <w:t xml:space="preserve"> </w:t>
      </w:r>
    </w:p>
    <w:p w14:paraId="2A35EEB5"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Resulta oportuno mencionar que de los motivos de inconformidad, se advierte que, EL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sólo se inconforma, porque no se le entregó la información concerniente al costo de la licencia de funcionamiento, luego entonces la parte de la respuesta que no fue impugnada debe declararse consentida por el hoy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por lo que en razón de que no se realizaron manifestaciones de inconformidad referente a la información proporcionada por la Dirección de Desarrollo Económico, 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w:t>
      </w:r>
      <w:r w:rsidRPr="00B7685D">
        <w:rPr>
          <w:rFonts w:ascii="Palatino Linotype" w:eastAsia="Palatino Linotype" w:hAnsi="Palatino Linotype" w:cs="Palatino Linotype"/>
        </w:rPr>
        <w:lastRenderedPageBreak/>
        <w:t xml:space="preserve">hayan consentido tácitamente, entendiéndose por estos cuando el agravio no se haya promovido en el plazo señalado para el efecto. </w:t>
      </w:r>
    </w:p>
    <w:p w14:paraId="7213525E" w14:textId="77777777" w:rsidR="00787869" w:rsidRPr="00B7685D" w:rsidRDefault="00787869">
      <w:pPr>
        <w:spacing w:line="360" w:lineRule="auto"/>
        <w:ind w:right="51"/>
        <w:jc w:val="both"/>
        <w:rPr>
          <w:rFonts w:ascii="Palatino Linotype" w:eastAsia="Palatino Linotype" w:hAnsi="Palatino Linotype" w:cs="Palatino Linotype"/>
        </w:rPr>
      </w:pPr>
    </w:p>
    <w:p w14:paraId="6A4BDE53"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7B9D11DB" w14:textId="77777777" w:rsidR="00787869" w:rsidRPr="00B7685D" w:rsidRDefault="00787869">
      <w:pPr>
        <w:spacing w:line="360" w:lineRule="auto"/>
        <w:ind w:right="51"/>
        <w:jc w:val="both"/>
        <w:rPr>
          <w:rFonts w:ascii="Palatino Linotype" w:eastAsia="Palatino Linotype" w:hAnsi="Palatino Linotype" w:cs="Palatino Linotype"/>
        </w:rPr>
      </w:pPr>
    </w:p>
    <w:p w14:paraId="53C2FA7D"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7A107808" w14:textId="77777777" w:rsidR="00787869" w:rsidRPr="00B7685D" w:rsidRDefault="00787869">
      <w:pPr>
        <w:spacing w:line="360" w:lineRule="auto"/>
        <w:ind w:right="51"/>
        <w:jc w:val="both"/>
        <w:rPr>
          <w:rFonts w:ascii="Palatino Linotype" w:eastAsia="Palatino Linotype" w:hAnsi="Palatino Linotype" w:cs="Palatino Linotype"/>
        </w:rPr>
      </w:pPr>
    </w:p>
    <w:p w14:paraId="64D9B6F3"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Asimismo, resulta relevante traer a colación el Criterio 01/20, emitido por el Instituto Nacional de Transparencia, Acceso a la Información y Protección de Datos Personales, que establece lo siguiente:</w:t>
      </w:r>
    </w:p>
    <w:p w14:paraId="0F4C85C9" w14:textId="77777777" w:rsidR="00787869" w:rsidRPr="00B7685D" w:rsidRDefault="00787869">
      <w:pPr>
        <w:spacing w:line="360" w:lineRule="auto"/>
        <w:ind w:right="51"/>
        <w:jc w:val="both"/>
        <w:rPr>
          <w:rFonts w:ascii="Palatino Linotype" w:eastAsia="Palatino Linotype" w:hAnsi="Palatino Linotype" w:cs="Palatino Linotype"/>
        </w:rPr>
      </w:pPr>
    </w:p>
    <w:p w14:paraId="05B52D04" w14:textId="77777777" w:rsidR="00787869" w:rsidRPr="00B7685D" w:rsidRDefault="00661B8A">
      <w:pPr>
        <w:spacing w:line="360"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w:t>
      </w:r>
      <w:r w:rsidRPr="00B7685D">
        <w:rPr>
          <w:rFonts w:ascii="Palatino Linotype" w:eastAsia="Palatino Linotype" w:hAnsi="Palatino Linotype" w:cs="Palatino Linotype"/>
          <w:b/>
          <w:i/>
        </w:rPr>
        <w:t>ACTOS CONSENTIDOS TÁCITAMENTE.</w:t>
      </w:r>
      <w:r w:rsidRPr="00B7685D">
        <w:rPr>
          <w:rFonts w:ascii="Palatino Linotype" w:eastAsia="Palatino Linotype" w:hAnsi="Palatino Linotype" w:cs="Palatino Linotype"/>
          <w:i/>
        </w:rPr>
        <w:t xml:space="preserve"> Improcedencia de su análisis. Si en su recurso de revisión, la  persona </w:t>
      </w:r>
      <w:r w:rsidRPr="00B7685D">
        <w:rPr>
          <w:rFonts w:ascii="Palatino Linotype" w:eastAsia="Palatino Linotype" w:hAnsi="Palatino Linotype" w:cs="Palatino Linotype"/>
          <w:b/>
          <w:i/>
        </w:rPr>
        <w:t>RECURRENTE</w:t>
      </w:r>
      <w:r w:rsidRPr="00B7685D">
        <w:rPr>
          <w:rFonts w:ascii="Palatino Linotype" w:eastAsia="Palatino Linotype" w:hAnsi="Palatino Linotype" w:cs="Palatino Linotype"/>
          <w:i/>
        </w:rPr>
        <w:t xml:space="preserve"> no expresó inconformidad alguna con ciertas partes de la respuesta otorgada, se </w:t>
      </w:r>
      <w:r w:rsidRPr="00B7685D">
        <w:rPr>
          <w:rFonts w:ascii="Palatino Linotype" w:eastAsia="Palatino Linotype" w:hAnsi="Palatino Linotype" w:cs="Palatino Linotype"/>
          <w:i/>
        </w:rPr>
        <w:lastRenderedPageBreak/>
        <w:t>entienden tácitamente consentidas, por ende, no deben formar parte del estudio de fondo de la resolución que emite el Instituto.”</w:t>
      </w:r>
    </w:p>
    <w:p w14:paraId="128CA063" w14:textId="77777777" w:rsidR="00787869" w:rsidRPr="00B7685D" w:rsidRDefault="00787869">
      <w:pPr>
        <w:spacing w:line="360" w:lineRule="auto"/>
        <w:ind w:right="51"/>
        <w:jc w:val="both"/>
        <w:rPr>
          <w:rFonts w:ascii="Palatino Linotype" w:eastAsia="Palatino Linotype" w:hAnsi="Palatino Linotype" w:cs="Palatino Linotype"/>
        </w:rPr>
      </w:pPr>
    </w:p>
    <w:p w14:paraId="37F1B6B4"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Conforme al Criterio establecido, es improcedente entrar al análisis de las partes de la respuesta del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que no fueron impugnadas por el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por lo que, en el presente caso, se tiene por consentida la información consistente en el fundamento y los requisitos de la licencia de funcionamiento. </w:t>
      </w:r>
    </w:p>
    <w:p w14:paraId="4EFAEED5" w14:textId="77777777" w:rsidR="00787869" w:rsidRPr="00B7685D" w:rsidRDefault="00787869">
      <w:pPr>
        <w:spacing w:line="360" w:lineRule="auto"/>
        <w:ind w:right="51"/>
        <w:jc w:val="both"/>
        <w:rPr>
          <w:rFonts w:ascii="Palatino Linotype" w:eastAsia="Palatino Linotype" w:hAnsi="Palatino Linotype" w:cs="Palatino Linotype"/>
        </w:rPr>
      </w:pPr>
    </w:p>
    <w:p w14:paraId="0BA93A3F"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Expuestas las posturas de las partes, se procede a analizar el agravio hecho valer por el hoy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consistente en la entrega de información incompleta respecto al costo de la licencia de funcionamiento.</w:t>
      </w:r>
    </w:p>
    <w:p w14:paraId="762C46B2" w14:textId="77777777" w:rsidR="00787869" w:rsidRPr="00B7685D" w:rsidRDefault="00787869">
      <w:pPr>
        <w:spacing w:line="360" w:lineRule="auto"/>
        <w:ind w:right="51"/>
        <w:jc w:val="both"/>
        <w:rPr>
          <w:rFonts w:ascii="Palatino Linotype" w:eastAsia="Palatino Linotype" w:hAnsi="Palatino Linotype" w:cs="Palatino Linotype"/>
        </w:rPr>
      </w:pPr>
    </w:p>
    <w:p w14:paraId="1BA10344" w14:textId="77777777" w:rsidR="00787869" w:rsidRPr="00B7685D" w:rsidRDefault="00661B8A">
      <w:pPr>
        <w:spacing w:line="360" w:lineRule="auto"/>
        <w:ind w:right="-162"/>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Al respecto, el Artículo 31, fracciones, XXIV Quáter y XLIV, de la Ley Orgánica Municipal el Estado de México, establece que los Ayuntamientos, entre los que se encuentra el de Valle de Bravo, son los encargados de otorgar licencias para el funcionamiento de unidades económicas; así como, de crear el Registro Municipal de Unidades Económicas, donde se especifique la licencia de funcionamiento y las características que se determinen convenientes, porciones normativas que a le letra disponen. </w:t>
      </w:r>
    </w:p>
    <w:p w14:paraId="0B071110" w14:textId="77777777" w:rsidR="00787869" w:rsidRPr="00B7685D" w:rsidRDefault="00661B8A">
      <w:pPr>
        <w:spacing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 xml:space="preserve">“Artículo 31.- Son atribuciones de los ayuntamientos: </w:t>
      </w:r>
    </w:p>
    <w:p w14:paraId="29263F9F" w14:textId="77777777" w:rsidR="00787869" w:rsidRPr="00B7685D" w:rsidRDefault="00661B8A">
      <w:pPr>
        <w:spacing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w:t>
      </w:r>
    </w:p>
    <w:p w14:paraId="3B638211" w14:textId="77777777" w:rsidR="00787869" w:rsidRPr="00B7685D" w:rsidRDefault="00661B8A">
      <w:pPr>
        <w:spacing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 xml:space="preserve">XXIV Quáter. </w:t>
      </w:r>
      <w:r w:rsidRPr="00B7685D">
        <w:rPr>
          <w:rFonts w:ascii="Palatino Linotype" w:eastAsia="Palatino Linotype" w:hAnsi="Palatino Linotype" w:cs="Palatino Linotype"/>
          <w:b/>
          <w:i/>
        </w:rPr>
        <w:t>Otorgar licencias</w:t>
      </w:r>
      <w:r w:rsidRPr="00B7685D">
        <w:rPr>
          <w:rFonts w:ascii="Palatino Linotype" w:eastAsia="Palatino Linotype" w:hAnsi="Palatino Linotype" w:cs="Palatino Linotype"/>
          <w:i/>
        </w:rPr>
        <w:t xml:space="preserve"> y permisos para construcciones privadas, </w:t>
      </w:r>
      <w:r w:rsidRPr="00B7685D">
        <w:rPr>
          <w:rFonts w:ascii="Palatino Linotype" w:eastAsia="Palatino Linotype" w:hAnsi="Palatino Linotype" w:cs="Palatino Linotype"/>
          <w:b/>
          <w:i/>
        </w:rPr>
        <w:t>para el funcionamiento de unidades económicas o establecimientos</w:t>
      </w:r>
      <w:r w:rsidRPr="00B7685D">
        <w:rPr>
          <w:rFonts w:ascii="Palatino Linotype" w:eastAsia="Palatino Linotype" w:hAnsi="Palatino Linotype" w:cs="Palatino Linotype"/>
          <w:i/>
        </w:rPr>
        <w:t xml:space="preserve"> destinados a la enajenación, reparación o mantenimiento de vehículos </w:t>
      </w:r>
      <w:r w:rsidRPr="00B7685D">
        <w:rPr>
          <w:rFonts w:ascii="Palatino Linotype" w:eastAsia="Palatino Linotype" w:hAnsi="Palatino Linotype" w:cs="Palatino Linotype"/>
          <w:i/>
        </w:rPr>
        <w:lastRenderedPageBreak/>
        <w:t xml:space="preserve">automotores usados y autopartes nuevas y usadas, parques y desarrollos industriales, urbanos y de servicios. Tratándose de obras, unidades económicas, inversiones o proyectos que requieran Dictamen Único de Factibilidad, la licencia o permiso correspondiente deberá otorgarse, en un plazo no mayor a veinte días hábiles, contados a partir de que le sea presentado el Dictamen Único de Factibilidad correspondiente, siempre y cuando el solicitante haya presentado el oficio de procedencia jurídica a más tardar diez días hábiles posteriores a la fecha de su recepción; </w:t>
      </w:r>
    </w:p>
    <w:p w14:paraId="73818EB4" w14:textId="77777777" w:rsidR="00787869" w:rsidRPr="00B7685D" w:rsidRDefault="00661B8A">
      <w:pPr>
        <w:spacing w:line="360" w:lineRule="auto"/>
        <w:ind w:left="567" w:right="-162"/>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 </w:t>
      </w:r>
    </w:p>
    <w:p w14:paraId="4C4C8900" w14:textId="77777777" w:rsidR="00787869" w:rsidRPr="00B7685D" w:rsidRDefault="00661B8A">
      <w:pPr>
        <w:spacing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 xml:space="preserve">XLIV. </w:t>
      </w:r>
      <w:r w:rsidRPr="00B7685D">
        <w:rPr>
          <w:rFonts w:ascii="Palatino Linotype" w:eastAsia="Palatino Linotype" w:hAnsi="Palatino Linotype" w:cs="Palatino Linotype"/>
          <w:b/>
          <w:i/>
        </w:rPr>
        <w:t>Crear el Registro Municipal de Unidades Económicas, donde se especifique la licencia de funcionamiento con la actividad de la unidad económica</w:t>
      </w:r>
      <w:r w:rsidRPr="00B7685D">
        <w:rPr>
          <w:rFonts w:ascii="Palatino Linotype" w:eastAsia="Palatino Linotype" w:hAnsi="Palatino Linotype" w:cs="Palatino Linotype"/>
          <w:i/>
        </w:rPr>
        <w:t xml:space="preserve"> e impacto que generen, así como las demás características que se determinen;”</w:t>
      </w:r>
    </w:p>
    <w:p w14:paraId="2F309759" w14:textId="77777777" w:rsidR="00787869" w:rsidRPr="00B7685D" w:rsidRDefault="00787869">
      <w:pPr>
        <w:spacing w:line="360" w:lineRule="auto"/>
        <w:ind w:right="-93"/>
        <w:jc w:val="both"/>
        <w:rPr>
          <w:rFonts w:ascii="Palatino Linotype" w:eastAsia="Palatino Linotype" w:hAnsi="Palatino Linotype" w:cs="Palatino Linotype"/>
        </w:rPr>
      </w:pPr>
    </w:p>
    <w:p w14:paraId="762AFCB5" w14:textId="77777777" w:rsidR="00787869" w:rsidRPr="00B7685D" w:rsidRDefault="00661B8A">
      <w:pPr>
        <w:spacing w:line="360" w:lineRule="auto"/>
        <w:ind w:right="-93"/>
        <w:jc w:val="both"/>
        <w:rPr>
          <w:rFonts w:ascii="Palatino Linotype" w:eastAsia="Palatino Linotype" w:hAnsi="Palatino Linotype" w:cs="Palatino Linotype"/>
        </w:rPr>
      </w:pPr>
      <w:r w:rsidRPr="00B7685D">
        <w:rPr>
          <w:rFonts w:ascii="Palatino Linotype" w:eastAsia="Palatino Linotype" w:hAnsi="Palatino Linotype" w:cs="Palatino Linotype"/>
        </w:rPr>
        <w:t>En ese sentido, en el artículo 2°, fracciones XV y XXXVIII, 5°, fracción X, 7°, fracción II, 15, 16, y 33 de la Ley de Competitividad y Ordenamiento Comercial del Estado de México, la licencia de funcionamiento, es el acto administrativo emitido por los Municipios, a través de la Ventanilla Única, a través del cual se autoriza a una persona física o jurídica colectiva a desarrollar actividades económicas de bajo impacto, entre las que se encuentran la intermediación, compraventa, arredramiento, distribución de bienes o prestación de servicios comerciales. En ese contexto, la operación de la Ventanilla Única y la expedición de las licencias de 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del Reglamento de la Ley de Competitividad y Ordenamiento Comercial del Estado de México.</w:t>
      </w:r>
    </w:p>
    <w:p w14:paraId="6A2DA19D" w14:textId="77777777" w:rsidR="00787869" w:rsidRPr="00B7685D" w:rsidRDefault="00787869">
      <w:pPr>
        <w:spacing w:line="360" w:lineRule="auto"/>
        <w:ind w:right="-93"/>
        <w:jc w:val="both"/>
        <w:rPr>
          <w:rFonts w:ascii="Palatino Linotype" w:eastAsia="Palatino Linotype" w:hAnsi="Palatino Linotype" w:cs="Palatino Linotype"/>
        </w:rPr>
      </w:pPr>
    </w:p>
    <w:p w14:paraId="739DF998" w14:textId="77777777" w:rsidR="00787869" w:rsidRPr="00B7685D" w:rsidRDefault="00661B8A">
      <w:pPr>
        <w:spacing w:line="360" w:lineRule="auto"/>
        <w:ind w:right="-93"/>
        <w:jc w:val="both"/>
        <w:rPr>
          <w:rFonts w:ascii="Palatino Linotype" w:eastAsia="Palatino Linotype" w:hAnsi="Palatino Linotype" w:cs="Palatino Linotype"/>
        </w:rPr>
      </w:pPr>
      <w:r w:rsidRPr="00B7685D">
        <w:rPr>
          <w:rFonts w:ascii="Palatino Linotype" w:eastAsia="Palatino Linotype" w:hAnsi="Palatino Linotype" w:cs="Palatino Linotype"/>
        </w:rPr>
        <w:t>Ahora bien, la expedición de dichas licencias de funcionamiento, encuentra sustento en los artículos 72, 73 y 74 del Bando Municipal vigente en el Municipio de Valle de Bravo:</w:t>
      </w:r>
    </w:p>
    <w:p w14:paraId="0E7D3C33" w14:textId="77777777" w:rsidR="00787869" w:rsidRPr="00B7685D" w:rsidRDefault="00661B8A">
      <w:pPr>
        <w:spacing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b/>
          <w:i/>
          <w:sz w:val="22"/>
          <w:szCs w:val="22"/>
        </w:rPr>
        <w:t>“Artículo 72.-</w:t>
      </w:r>
      <w:r w:rsidRPr="00B7685D">
        <w:rPr>
          <w:rFonts w:ascii="Palatino Linotype" w:eastAsia="Palatino Linotype" w:hAnsi="Palatino Linotype" w:cs="Palatino Linotype"/>
          <w:i/>
          <w:sz w:val="22"/>
          <w:szCs w:val="22"/>
        </w:rPr>
        <w:t xml:space="preserve"> El ejercicio de las actividades económicas, comerciales y de servicios en el Municipio de Valle de Bravo, se sujetará a lo que dispone la Ley de Competitividad y Ordenamiento Comercial del Estado de México, el Código Administrativo, el Código Financiero del Estado de México y Municipios, la Ley de Fomento Económico del Estado de México, la Ley para la Mejora Regulatoria del Estado de México y Municipios, el Código de Procedimientos Administrativos, la Ley Orgánica Municipal, este Bando Municipal, y demás disposiciones legales federales, estatales y municipales aplicables.</w:t>
      </w:r>
    </w:p>
    <w:p w14:paraId="757B2D4B" w14:textId="77777777" w:rsidR="00787869" w:rsidRPr="00B7685D" w:rsidRDefault="00787869">
      <w:pPr>
        <w:spacing w:line="276" w:lineRule="auto"/>
        <w:ind w:left="567" w:right="900"/>
        <w:jc w:val="both"/>
        <w:rPr>
          <w:rFonts w:ascii="Palatino Linotype" w:eastAsia="Palatino Linotype" w:hAnsi="Palatino Linotype" w:cs="Palatino Linotype"/>
          <w:i/>
          <w:sz w:val="22"/>
          <w:szCs w:val="22"/>
        </w:rPr>
      </w:pPr>
    </w:p>
    <w:p w14:paraId="11857C00" w14:textId="77777777" w:rsidR="00787869" w:rsidRPr="00B7685D" w:rsidRDefault="00661B8A">
      <w:pPr>
        <w:spacing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b/>
          <w:i/>
          <w:sz w:val="22"/>
          <w:szCs w:val="22"/>
        </w:rPr>
        <w:t>Artículo 73.-</w:t>
      </w:r>
      <w:r w:rsidRPr="00B7685D">
        <w:rPr>
          <w:rFonts w:ascii="Palatino Linotype" w:eastAsia="Palatino Linotype" w:hAnsi="Palatino Linotype" w:cs="Palatino Linotype"/>
          <w:i/>
          <w:sz w:val="22"/>
          <w:szCs w:val="22"/>
        </w:rPr>
        <w:t xml:space="preserve"> Toda actividad económica, comercial, industrial o de servicios que realicen los particulares, ya sean personas físicas o jurídicas colectivas, requieren licencia, permiso o autorización de la Dirección de Desarrollo Económico, previo cumplimiento de requisitos y dictamen de verificación. En su caso, ha de observarse primeramente la normatividad federal y estatal que conforme al giro comercial se pretenda obtener la autorización, sujetándose a lo que dispone y a las disposiciones de observancia general que emita el Ayuntamiento. </w:t>
      </w:r>
    </w:p>
    <w:p w14:paraId="48F2D940" w14:textId="77777777" w:rsidR="00787869" w:rsidRPr="00B7685D" w:rsidRDefault="00661B8A">
      <w:pPr>
        <w:spacing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Para el otorgamiento de la licencia de funcionamiento de los establecimientos destinados a la actividad económica, comercial o de servicios, así como para espectáculos y eventos públicos, las personas físicas y/o jurídicas colectivas deberán obtener el dictamen de la Coordinación de Ordenamiento Comercial, dependiente de la Dirección de Desarrollo Económico, el dictamen de la Coordinación Municipal de Protección Civil, y de las demás dependencias u organismos municipales que intervienen en el procedimiento de otorgamiento.</w:t>
      </w:r>
    </w:p>
    <w:p w14:paraId="27855082" w14:textId="77777777" w:rsidR="00787869" w:rsidRPr="00B7685D" w:rsidRDefault="00661B8A">
      <w:pPr>
        <w:spacing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 xml:space="preserve">Las licencias de funcionamiento para establecimientos comerciales que tengan como giro la venta de bebidas alcohólicas serán expedidas por la Presidenta Municipal, previo acuerdo del Ayuntamiento. La Dirección de Desarrollo Económico, en el ámbito de sus atribuciones, vigilará el cumplimiento previo de lo señalado en el Libro </w:t>
      </w:r>
      <w:r w:rsidRPr="00B7685D">
        <w:rPr>
          <w:rFonts w:ascii="Palatino Linotype" w:eastAsia="Palatino Linotype" w:hAnsi="Palatino Linotype" w:cs="Palatino Linotype"/>
          <w:i/>
          <w:sz w:val="22"/>
          <w:szCs w:val="22"/>
        </w:rPr>
        <w:lastRenderedPageBreak/>
        <w:t>Segundo del Código Administrativo, la Ley de Competitividad y Ordenamiento Comercial del Estado de México y demás normatividad aplicable.</w:t>
      </w:r>
    </w:p>
    <w:p w14:paraId="406E400D" w14:textId="77777777" w:rsidR="00787869" w:rsidRPr="00B7685D" w:rsidRDefault="00787869">
      <w:pPr>
        <w:spacing w:line="276" w:lineRule="auto"/>
        <w:ind w:left="567" w:right="900"/>
        <w:jc w:val="both"/>
        <w:rPr>
          <w:rFonts w:ascii="Palatino Linotype" w:eastAsia="Palatino Linotype" w:hAnsi="Palatino Linotype" w:cs="Palatino Linotype"/>
          <w:i/>
          <w:sz w:val="22"/>
          <w:szCs w:val="22"/>
        </w:rPr>
      </w:pPr>
    </w:p>
    <w:p w14:paraId="609C0EBC" w14:textId="77777777" w:rsidR="00787869" w:rsidRPr="00B7685D" w:rsidRDefault="00661B8A">
      <w:pPr>
        <w:spacing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b/>
          <w:i/>
          <w:sz w:val="22"/>
          <w:szCs w:val="22"/>
        </w:rPr>
        <w:t xml:space="preserve">Artículo 74.- </w:t>
      </w:r>
      <w:r w:rsidRPr="00B7685D">
        <w:rPr>
          <w:rFonts w:ascii="Palatino Linotype" w:eastAsia="Palatino Linotype" w:hAnsi="Palatino Linotype" w:cs="Palatino Linotype"/>
          <w:i/>
          <w:sz w:val="22"/>
          <w:szCs w:val="22"/>
        </w:rPr>
        <w:t>La autoridad municipal establecerá el procedimiento de otorgamiento y revalidación de licencias, autorizaciones y permisos. Asimismo, establecerá los horarios de las actividades económicas, comerciales y de servicios, restricciones y prohibiciones.”</w:t>
      </w:r>
    </w:p>
    <w:p w14:paraId="5DEE1E3B" w14:textId="77777777" w:rsidR="00787869" w:rsidRPr="00B7685D" w:rsidRDefault="00787869">
      <w:pPr>
        <w:spacing w:line="360" w:lineRule="auto"/>
        <w:ind w:right="-93"/>
        <w:jc w:val="both"/>
        <w:rPr>
          <w:rFonts w:ascii="Palatino Linotype" w:eastAsia="Palatino Linotype" w:hAnsi="Palatino Linotype" w:cs="Palatino Linotype"/>
        </w:rPr>
      </w:pPr>
    </w:p>
    <w:p w14:paraId="130AB8C5" w14:textId="77777777" w:rsidR="00787869" w:rsidRPr="00B7685D" w:rsidRDefault="00661B8A">
      <w:pP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 xml:space="preserve">Sobre el particular, no se omite comentar que la </w:t>
      </w:r>
      <w:r w:rsidRPr="00B7685D">
        <w:rPr>
          <w:rFonts w:ascii="Palatino Linotype" w:eastAsia="Palatino Linotype" w:hAnsi="Palatino Linotype" w:cs="Palatino Linotype"/>
        </w:rPr>
        <w:t xml:space="preserve">Ley General de Transparencia y Acceso a la Información Pública, en su artículo 70 </w:t>
      </w:r>
      <w:r w:rsidRPr="00B7685D">
        <w:rPr>
          <w:rFonts w:ascii="Palatino Linotype" w:eastAsia="Palatino Linotype" w:hAnsi="Palatino Linotype" w:cs="Palatino Linotype"/>
          <w:color w:val="000000"/>
        </w:rPr>
        <w:t xml:space="preserve">prevé que las licencias constituyen una obligación de transparencia común, como a continuación se advierte: </w:t>
      </w:r>
    </w:p>
    <w:p w14:paraId="1D5F104C" w14:textId="77777777" w:rsidR="00787869" w:rsidRPr="00B7685D" w:rsidRDefault="00787869">
      <w:pPr>
        <w:spacing w:line="360" w:lineRule="auto"/>
        <w:ind w:right="51"/>
        <w:jc w:val="both"/>
        <w:rPr>
          <w:rFonts w:ascii="Palatino Linotype" w:eastAsia="Palatino Linotype" w:hAnsi="Palatino Linotype" w:cs="Palatino Linotype"/>
        </w:rPr>
      </w:pPr>
    </w:p>
    <w:p w14:paraId="6300E5F6" w14:textId="77777777" w:rsidR="00787869" w:rsidRPr="00B7685D" w:rsidRDefault="00661B8A">
      <w:pPr>
        <w:spacing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w:t>
      </w:r>
      <w:r w:rsidRPr="00B7685D">
        <w:rPr>
          <w:rFonts w:ascii="Palatino Linotype" w:eastAsia="Palatino Linotype" w:hAnsi="Palatino Linotype" w:cs="Palatino Linotype"/>
          <w:b/>
          <w:i/>
        </w:rPr>
        <w:t>Artículo 70.</w:t>
      </w:r>
      <w:r w:rsidRPr="00B7685D">
        <w:rPr>
          <w:rFonts w:ascii="Palatino Linotype" w:eastAsia="Palatino Linotype" w:hAnsi="Palatino Linotype" w:cs="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482EA9B" w14:textId="77777777" w:rsidR="00787869" w:rsidRPr="00B7685D" w:rsidRDefault="00661B8A">
      <w:pPr>
        <w:spacing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w:t>
      </w:r>
    </w:p>
    <w:p w14:paraId="1D6F06CA" w14:textId="77777777" w:rsidR="00787869" w:rsidRPr="00B7685D" w:rsidRDefault="00661B8A">
      <w:pPr>
        <w:spacing w:line="276" w:lineRule="auto"/>
        <w:ind w:left="567" w:right="900"/>
        <w:jc w:val="both"/>
        <w:rPr>
          <w:rFonts w:ascii="Palatino Linotype" w:eastAsia="Palatino Linotype" w:hAnsi="Palatino Linotype" w:cs="Palatino Linotype"/>
          <w:i/>
        </w:rPr>
      </w:pPr>
      <w:r w:rsidRPr="00B7685D">
        <w:rPr>
          <w:rFonts w:ascii="Palatino Linotype" w:eastAsia="Palatino Linotype" w:hAnsi="Palatino Linotype" w:cs="Palatino Linotype"/>
          <w:i/>
        </w:rPr>
        <w:t xml:space="preserve">XIX. Los servicios que ofrecen señalando los requisitos para acceder a ellos; </w:t>
      </w:r>
    </w:p>
    <w:p w14:paraId="47643BFD" w14:textId="77777777" w:rsidR="00787869" w:rsidRPr="00B7685D" w:rsidRDefault="00661B8A">
      <w:pPr>
        <w:spacing w:line="276" w:lineRule="auto"/>
        <w:ind w:left="567" w:right="900"/>
        <w:jc w:val="both"/>
        <w:rPr>
          <w:rFonts w:ascii="Palatino Linotype" w:eastAsia="Palatino Linotype" w:hAnsi="Palatino Linotype" w:cs="Palatino Linotype"/>
        </w:rPr>
      </w:pPr>
      <w:r w:rsidRPr="00B7685D">
        <w:rPr>
          <w:rFonts w:ascii="Palatino Linotype" w:eastAsia="Palatino Linotype" w:hAnsi="Palatino Linotype" w:cs="Palatino Linotype"/>
          <w:i/>
        </w:rPr>
        <w:t>XX. Los trámites, requisitos y formatos que ofrecen;</w:t>
      </w:r>
    </w:p>
    <w:p w14:paraId="6B5E331F" w14:textId="77777777" w:rsidR="00787869" w:rsidRPr="00B7685D" w:rsidRDefault="00661B8A">
      <w:pPr>
        <w:spacing w:line="276" w:lineRule="auto"/>
        <w:ind w:left="567" w:right="900" w:firstLine="719"/>
        <w:jc w:val="both"/>
        <w:rPr>
          <w:rFonts w:ascii="Palatino Linotype" w:eastAsia="Palatino Linotype" w:hAnsi="Palatino Linotype" w:cs="Palatino Linotype"/>
          <w:i/>
        </w:rPr>
      </w:pPr>
      <w:r w:rsidRPr="00B7685D">
        <w:rPr>
          <w:rFonts w:ascii="Palatino Linotype" w:eastAsia="Palatino Linotype" w:hAnsi="Palatino Linotype" w:cs="Palatino Linotype"/>
          <w:i/>
        </w:rPr>
        <w:t>…”</w:t>
      </w:r>
    </w:p>
    <w:p w14:paraId="17DC20C7" w14:textId="77777777" w:rsidR="00787869" w:rsidRPr="00B7685D" w:rsidRDefault="00661B8A">
      <w:pPr>
        <w:spacing w:before="240" w:after="240" w:line="360" w:lineRule="auto"/>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color w:val="000000"/>
        </w:rPr>
        <w:t xml:space="preserve">Por su parte el artículo 92 de la Ley de Transparencia vigente en la entidad, en congruencia con la normativa general, establece lo conducente en los artículos que a continuación se trascriben: </w:t>
      </w:r>
    </w:p>
    <w:p w14:paraId="72E23726" w14:textId="77777777" w:rsidR="00787869" w:rsidRPr="00B7685D" w:rsidRDefault="00787869">
      <w:pPr>
        <w:spacing w:before="240" w:after="240" w:line="360" w:lineRule="auto"/>
        <w:jc w:val="both"/>
        <w:rPr>
          <w:rFonts w:ascii="Palatino Linotype" w:eastAsia="Palatino Linotype" w:hAnsi="Palatino Linotype" w:cs="Palatino Linotype"/>
          <w:color w:val="000000"/>
        </w:rPr>
      </w:pPr>
    </w:p>
    <w:p w14:paraId="6B6AAA3B"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rPr>
        <w:lastRenderedPageBreak/>
        <w:t>“</w:t>
      </w:r>
      <w:r w:rsidRPr="00B7685D">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119C55"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w:t>
      </w:r>
    </w:p>
    <w:p w14:paraId="1CA74F4F"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XXIV. Los trámites, requisitos y formatos que ofrecen, así como los tiempos de respuesta;</w:t>
      </w:r>
    </w:p>
    <w:p w14:paraId="599A48DD"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w:t>
      </w:r>
    </w:p>
    <w:p w14:paraId="0EEA24D9" w14:textId="77777777" w:rsidR="00787869" w:rsidRPr="00B7685D" w:rsidRDefault="00661B8A">
      <w:pPr>
        <w:spacing w:before="240" w:after="240"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 xml:space="preserve">XXXII. Las concesiones, contratos, convenios, permisos, </w:t>
      </w:r>
      <w:r w:rsidRPr="00B7685D">
        <w:rPr>
          <w:rFonts w:ascii="Palatino Linotype" w:eastAsia="Palatino Linotype" w:hAnsi="Palatino Linotype" w:cs="Palatino Linotype"/>
          <w:b/>
          <w:i/>
          <w:sz w:val="22"/>
          <w:szCs w:val="22"/>
        </w:rPr>
        <w:t xml:space="preserve">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r w:rsidRPr="00B7685D">
        <w:rPr>
          <w:rFonts w:ascii="Palatino Linotype" w:eastAsia="Palatino Linotype" w:hAnsi="Palatino Linotype" w:cs="Palatino Linotype"/>
          <w:i/>
          <w:sz w:val="22"/>
          <w:szCs w:val="22"/>
        </w:rPr>
        <w:t>(Sic) (Énfasis añadido)</w:t>
      </w:r>
    </w:p>
    <w:p w14:paraId="47945526" w14:textId="77777777" w:rsidR="00787869" w:rsidRPr="00B7685D" w:rsidRDefault="00787869">
      <w:pPr>
        <w:rPr>
          <w:rFonts w:ascii="Palatino Linotype" w:eastAsia="Palatino Linotype" w:hAnsi="Palatino Linotype" w:cs="Palatino Linotype"/>
        </w:rPr>
      </w:pPr>
    </w:p>
    <w:p w14:paraId="2093751D"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Una vez establecido lo anterior, no escapa a este Organismo Garante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de manera obligatoria para el Instituto Nacional de Transparencia, Acceso a la Información y Protección de Datos Personales, los organismos garantes y los sujetos obligados de todo el país en sus diferentes ámbitos (federal, estatal y municipal), los formatos que se usarán para publicar la información prescrita en el Título Quinto </w:t>
      </w:r>
      <w:r w:rsidRPr="00B7685D">
        <w:rPr>
          <w:rFonts w:ascii="Palatino Linotype" w:eastAsia="Palatino Linotype" w:hAnsi="Palatino Linotype" w:cs="Palatino Linotype"/>
        </w:rPr>
        <w:lastRenderedPageBreak/>
        <w:t>de la Ley General y asegurar que sea veraz, confiable, oportuna, congruente, integral, actualizada, accesible, comprensible y verificable. Así mismo, contemplan las especificaciones necesarias para la homologación en la presentación y publicación de la información, al tiempo que detallan los criterios mínimos, tanto de contenido como de forma, que los sujetos obligados deberán tomar en consideración al preparar la información que publicarán para cumplir con sus obligaciones de transparencia.</w:t>
      </w:r>
    </w:p>
    <w:p w14:paraId="54009900" w14:textId="77777777" w:rsidR="00787869" w:rsidRPr="00B7685D" w:rsidRDefault="00787869">
      <w:pPr>
        <w:spacing w:line="360" w:lineRule="auto"/>
        <w:ind w:right="51"/>
        <w:jc w:val="both"/>
        <w:rPr>
          <w:rFonts w:ascii="Palatino Linotype" w:eastAsia="Palatino Linotype" w:hAnsi="Palatino Linotype" w:cs="Palatino Linotype"/>
        </w:rPr>
      </w:pPr>
    </w:p>
    <w:p w14:paraId="35FA6912"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De este ordenamiento en materia de trasparencia, se desprende lo siguiente:</w:t>
      </w:r>
    </w:p>
    <w:p w14:paraId="629DA9BC"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   </w:t>
      </w:r>
    </w:p>
    <w:p w14:paraId="5585751A" w14:textId="77777777" w:rsidR="00787869" w:rsidRPr="00B7685D" w:rsidRDefault="00661B8A">
      <w:pPr>
        <w:spacing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rPr>
        <w:t>“</w:t>
      </w:r>
      <w:r w:rsidRPr="00B7685D">
        <w:rPr>
          <w:rFonts w:ascii="Palatino Linotype" w:eastAsia="Palatino Linotype" w:hAnsi="Palatino Linotype" w:cs="Palatino Linotype"/>
          <w:b/>
          <w:i/>
          <w:sz w:val="22"/>
          <w:szCs w:val="22"/>
        </w:rPr>
        <w:t>Décimo noveno.</w:t>
      </w:r>
      <w:r w:rsidRPr="00B7685D">
        <w:rPr>
          <w:rFonts w:ascii="Palatino Linotype" w:eastAsia="Palatino Linotype" w:hAnsi="Palatino Linotype" w:cs="Palatino Linotype"/>
          <w:i/>
          <w:sz w:val="22"/>
          <w:szCs w:val="22"/>
        </w:rPr>
        <w:t xml:space="preserve"> El catálogo de la información que todos los sujetos obligados deben poner a disposición de las personas en sus portales de Internet y en la Plataforma Nacional está detallado en el artículo 70 de la Ley General, de las fracciones I a la XLVIII, constituyendo lo que se denomina como “Obligaciones de transparencia comunes”, y se trata de información pública que debe estar a disposición de las personas sin que medie petición alguna. </w:t>
      </w:r>
    </w:p>
    <w:p w14:paraId="7BEA3E2F" w14:textId="77777777" w:rsidR="00787869" w:rsidRPr="00B7685D" w:rsidRDefault="00661B8A">
      <w:pPr>
        <w:spacing w:line="276" w:lineRule="auto"/>
        <w:ind w:left="567"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En el Anexo 1 de los presentes Lineamientos se detallan los criterios sustantivos y adjetivos que por cada rubro de información determinan los datos, características y forma de organización de la información que publicarán y actualizarán en sus portales de Internet y en la Plataforma Nacional, todos los sujetos obligados en los distintos ámbitos: federal, estatal, municipal y delegacional, de conformidad con lo establecido en el artículo 70.”</w:t>
      </w:r>
    </w:p>
    <w:p w14:paraId="646085D0" w14:textId="77777777" w:rsidR="00787869" w:rsidRPr="00B7685D" w:rsidRDefault="00787869">
      <w:pPr>
        <w:spacing w:line="360" w:lineRule="auto"/>
        <w:ind w:right="51"/>
        <w:jc w:val="both"/>
        <w:rPr>
          <w:rFonts w:ascii="Palatino Linotype" w:eastAsia="Palatino Linotype" w:hAnsi="Palatino Linotype" w:cs="Palatino Linotype"/>
        </w:rPr>
      </w:pPr>
    </w:p>
    <w:p w14:paraId="65FA5666"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Para mayor abundancia se trascribe la parte atinente del Anexo referido, así como los formatos que del mismo se desprenden:</w:t>
      </w:r>
    </w:p>
    <w:p w14:paraId="4FD17F17" w14:textId="77777777" w:rsidR="00787869" w:rsidRPr="00B7685D" w:rsidRDefault="00661B8A">
      <w:pPr>
        <w:spacing w:line="360" w:lineRule="auto"/>
        <w:ind w:right="51"/>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  </w:t>
      </w:r>
    </w:p>
    <w:p w14:paraId="33056EBF" w14:textId="77777777" w:rsidR="00787869" w:rsidRPr="00B7685D" w:rsidRDefault="00661B8A">
      <w:pPr>
        <w:spacing w:line="360" w:lineRule="auto"/>
        <w:ind w:left="720" w:right="333"/>
        <w:jc w:val="center"/>
        <w:rPr>
          <w:rFonts w:ascii="Palatino Linotype" w:eastAsia="Palatino Linotype" w:hAnsi="Palatino Linotype" w:cs="Palatino Linotype"/>
          <w:b/>
          <w:i/>
        </w:rPr>
      </w:pPr>
      <w:r w:rsidRPr="00B7685D">
        <w:rPr>
          <w:rFonts w:ascii="Palatino Linotype" w:eastAsia="Palatino Linotype" w:hAnsi="Palatino Linotype" w:cs="Palatino Linotype"/>
          <w:b/>
          <w:i/>
        </w:rPr>
        <w:t>ANEXO I</w:t>
      </w:r>
    </w:p>
    <w:p w14:paraId="7276639C" w14:textId="77777777" w:rsidR="00787869" w:rsidRPr="00B7685D" w:rsidRDefault="00661B8A">
      <w:pPr>
        <w:spacing w:line="276" w:lineRule="auto"/>
        <w:ind w:left="720" w:right="333"/>
        <w:jc w:val="center"/>
        <w:rPr>
          <w:rFonts w:ascii="Palatino Linotype" w:eastAsia="Palatino Linotype" w:hAnsi="Palatino Linotype" w:cs="Palatino Linotype"/>
          <w:b/>
          <w:i/>
          <w:sz w:val="22"/>
          <w:szCs w:val="22"/>
        </w:rPr>
      </w:pPr>
      <w:r w:rsidRPr="00B7685D">
        <w:rPr>
          <w:rFonts w:ascii="Palatino Linotype" w:eastAsia="Palatino Linotype" w:hAnsi="Palatino Linotype" w:cs="Palatino Linotype"/>
          <w:b/>
          <w:i/>
          <w:sz w:val="22"/>
          <w:szCs w:val="22"/>
        </w:rPr>
        <w:lastRenderedPageBreak/>
        <w:t>OBLIGACIONES DE TRANSPARENCIA COMUNES TODOS LOS SUJETOS OBLIGADOS</w:t>
      </w:r>
    </w:p>
    <w:p w14:paraId="42D849CA" w14:textId="77777777" w:rsidR="00787869" w:rsidRPr="00B7685D" w:rsidRDefault="00787869">
      <w:pPr>
        <w:spacing w:line="276" w:lineRule="auto"/>
        <w:ind w:left="720" w:right="333"/>
        <w:jc w:val="both"/>
        <w:rPr>
          <w:rFonts w:ascii="Palatino Linotype" w:eastAsia="Palatino Linotype" w:hAnsi="Palatino Linotype" w:cs="Palatino Linotype"/>
          <w:b/>
          <w:i/>
          <w:sz w:val="22"/>
          <w:szCs w:val="22"/>
        </w:rPr>
      </w:pPr>
    </w:p>
    <w:p w14:paraId="7E93966E" w14:textId="77777777" w:rsidR="00787869" w:rsidRPr="00B7685D" w:rsidRDefault="00661B8A">
      <w:pPr>
        <w:spacing w:line="276" w:lineRule="auto"/>
        <w:ind w:left="720" w:right="333"/>
        <w:jc w:val="both"/>
        <w:rPr>
          <w:rFonts w:ascii="Palatino Linotype" w:eastAsia="Palatino Linotype" w:hAnsi="Palatino Linotype" w:cs="Palatino Linotype"/>
          <w:b/>
          <w:i/>
          <w:sz w:val="22"/>
          <w:szCs w:val="22"/>
        </w:rPr>
      </w:pPr>
      <w:r w:rsidRPr="00B7685D">
        <w:rPr>
          <w:rFonts w:ascii="Palatino Linotype" w:eastAsia="Palatino Linotype" w:hAnsi="Palatino Linotype" w:cs="Palatino Linotype"/>
          <w:b/>
          <w:i/>
          <w:sz w:val="22"/>
          <w:szCs w:val="22"/>
        </w:rPr>
        <w:t xml:space="preserve">Criterios para las obligaciones de transparencia comunes </w:t>
      </w:r>
    </w:p>
    <w:p w14:paraId="7EFF082C" w14:textId="77777777" w:rsidR="00787869" w:rsidRPr="00B7685D" w:rsidRDefault="00787869">
      <w:pPr>
        <w:spacing w:line="276" w:lineRule="auto"/>
        <w:ind w:left="720" w:right="333"/>
        <w:jc w:val="both"/>
        <w:rPr>
          <w:rFonts w:ascii="Palatino Linotype" w:eastAsia="Palatino Linotype" w:hAnsi="Palatino Linotype" w:cs="Palatino Linotype"/>
          <w:b/>
          <w:i/>
          <w:sz w:val="22"/>
          <w:szCs w:val="22"/>
        </w:rPr>
      </w:pPr>
    </w:p>
    <w:p w14:paraId="18E976E6" w14:textId="77777777" w:rsidR="00787869" w:rsidRPr="00B7685D" w:rsidRDefault="00661B8A">
      <w:pPr>
        <w:spacing w:line="276" w:lineRule="auto"/>
        <w:ind w:left="720"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 xml:space="preserve">El catálogo de la información que todos los sujetos obligados deben poner a disposición de las personas en sus portales de Internet y en la Plataforma Nacional está detallado en el Título Quinto, Capítulo II de la Ley General, en el artículo 70, fracciones I a la XLVIII. </w:t>
      </w:r>
    </w:p>
    <w:p w14:paraId="4F831338" w14:textId="77777777" w:rsidR="00787869" w:rsidRPr="00B7685D" w:rsidRDefault="00787869">
      <w:pPr>
        <w:spacing w:line="276" w:lineRule="auto"/>
        <w:ind w:left="720" w:right="900"/>
        <w:jc w:val="both"/>
        <w:rPr>
          <w:rFonts w:ascii="Palatino Linotype" w:eastAsia="Palatino Linotype" w:hAnsi="Palatino Linotype" w:cs="Palatino Linotype"/>
          <w:i/>
          <w:sz w:val="22"/>
          <w:szCs w:val="22"/>
        </w:rPr>
      </w:pPr>
    </w:p>
    <w:p w14:paraId="728537FD" w14:textId="77777777" w:rsidR="00787869" w:rsidRPr="00B7685D" w:rsidRDefault="00661B8A">
      <w:pPr>
        <w:spacing w:line="276" w:lineRule="auto"/>
        <w:ind w:left="720"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 xml:space="preserve">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 </w:t>
      </w:r>
    </w:p>
    <w:p w14:paraId="7BC1CD48" w14:textId="77777777" w:rsidR="00787869" w:rsidRPr="00B7685D" w:rsidRDefault="00787869">
      <w:pPr>
        <w:spacing w:line="276" w:lineRule="auto"/>
        <w:ind w:left="720" w:right="900"/>
        <w:jc w:val="both"/>
        <w:rPr>
          <w:rFonts w:ascii="Palatino Linotype" w:eastAsia="Palatino Linotype" w:hAnsi="Palatino Linotype" w:cs="Palatino Linotype"/>
          <w:i/>
          <w:sz w:val="22"/>
          <w:szCs w:val="22"/>
        </w:rPr>
      </w:pPr>
    </w:p>
    <w:p w14:paraId="54ED4468" w14:textId="77777777" w:rsidR="00787869" w:rsidRPr="00B7685D" w:rsidRDefault="00661B8A">
      <w:pPr>
        <w:spacing w:line="276" w:lineRule="auto"/>
        <w:ind w:left="720"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El artículo 70 dice a la letra:</w:t>
      </w:r>
    </w:p>
    <w:p w14:paraId="2D66305C" w14:textId="77777777" w:rsidR="00787869" w:rsidRPr="00B7685D" w:rsidRDefault="00787869">
      <w:pPr>
        <w:spacing w:line="276" w:lineRule="auto"/>
        <w:ind w:left="720" w:right="900"/>
        <w:jc w:val="both"/>
        <w:rPr>
          <w:rFonts w:ascii="Palatino Linotype" w:eastAsia="Palatino Linotype" w:hAnsi="Palatino Linotype" w:cs="Palatino Linotype"/>
          <w:i/>
          <w:sz w:val="22"/>
          <w:szCs w:val="22"/>
        </w:rPr>
      </w:pPr>
    </w:p>
    <w:p w14:paraId="445A0673" w14:textId="77777777" w:rsidR="00787869" w:rsidRPr="00B7685D" w:rsidRDefault="00661B8A">
      <w:pPr>
        <w:spacing w:line="276" w:lineRule="auto"/>
        <w:ind w:left="720"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4CB63920" w14:textId="77777777" w:rsidR="00787869" w:rsidRPr="00B7685D" w:rsidRDefault="00787869">
      <w:pPr>
        <w:spacing w:line="276" w:lineRule="auto"/>
        <w:ind w:left="720" w:right="900"/>
        <w:jc w:val="both"/>
        <w:rPr>
          <w:rFonts w:ascii="Palatino Linotype" w:eastAsia="Palatino Linotype" w:hAnsi="Palatino Linotype" w:cs="Palatino Linotype"/>
          <w:i/>
          <w:sz w:val="22"/>
          <w:szCs w:val="22"/>
        </w:rPr>
      </w:pPr>
    </w:p>
    <w:p w14:paraId="05BA682E" w14:textId="77777777" w:rsidR="00787869" w:rsidRPr="00B7685D" w:rsidRDefault="00661B8A">
      <w:pPr>
        <w:spacing w:line="276" w:lineRule="auto"/>
        <w:ind w:left="720"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 xml:space="preserve">En las siguientes páginas se hace mención de cada una de las fracciones con sus respectivos criterios. </w:t>
      </w:r>
    </w:p>
    <w:p w14:paraId="5B3B613C" w14:textId="77777777" w:rsidR="00787869" w:rsidRPr="00B7685D" w:rsidRDefault="00661B8A">
      <w:pPr>
        <w:spacing w:line="276" w:lineRule="auto"/>
        <w:ind w:left="720" w:right="900"/>
        <w:jc w:val="both"/>
        <w:rPr>
          <w:rFonts w:ascii="Palatino Linotype" w:eastAsia="Palatino Linotype" w:hAnsi="Palatino Linotype" w:cs="Palatino Linotype"/>
          <w:i/>
          <w:sz w:val="22"/>
          <w:szCs w:val="22"/>
        </w:rPr>
      </w:pPr>
      <w:r w:rsidRPr="00B7685D">
        <w:rPr>
          <w:rFonts w:ascii="Palatino Linotype" w:eastAsia="Palatino Linotype" w:hAnsi="Palatino Linotype" w:cs="Palatino Linotype"/>
          <w:i/>
          <w:sz w:val="22"/>
          <w:szCs w:val="22"/>
        </w:rPr>
        <w:t>…</w:t>
      </w:r>
    </w:p>
    <w:p w14:paraId="100E214D" w14:textId="77777777" w:rsidR="00787869" w:rsidRPr="00B7685D" w:rsidRDefault="00661B8A">
      <w:pPr>
        <w:spacing w:line="276" w:lineRule="auto"/>
        <w:ind w:left="720" w:right="900"/>
        <w:jc w:val="center"/>
        <w:rPr>
          <w:rFonts w:ascii="Palatino Linotype" w:eastAsia="Palatino Linotype" w:hAnsi="Palatino Linotype" w:cs="Palatino Linotype"/>
          <w:b/>
          <w:i/>
          <w:sz w:val="22"/>
          <w:szCs w:val="22"/>
        </w:rPr>
      </w:pPr>
      <w:r w:rsidRPr="00B7685D">
        <w:rPr>
          <w:rFonts w:ascii="Palatino Linotype" w:eastAsia="Palatino Linotype" w:hAnsi="Palatino Linotype" w:cs="Palatino Linotype"/>
          <w:b/>
          <w:i/>
          <w:sz w:val="22"/>
          <w:szCs w:val="22"/>
        </w:rPr>
        <w:t>XX. Los trámites, requisitos y formatos que ofrecen.”</w:t>
      </w:r>
    </w:p>
    <w:p w14:paraId="09204D09" w14:textId="77777777" w:rsidR="00787869" w:rsidRPr="00B7685D" w:rsidRDefault="00787869">
      <w:pPr>
        <w:spacing w:line="360" w:lineRule="auto"/>
        <w:ind w:left="720" w:right="900"/>
        <w:jc w:val="both"/>
        <w:rPr>
          <w:rFonts w:ascii="Palatino Linotype" w:eastAsia="Palatino Linotype" w:hAnsi="Palatino Linotype" w:cs="Palatino Linotype"/>
          <w:i/>
        </w:rPr>
      </w:pPr>
    </w:p>
    <w:p w14:paraId="3737FF61" w14:textId="77777777" w:rsidR="00787869" w:rsidRPr="00B7685D" w:rsidRDefault="00661B8A">
      <w:pPr>
        <w:spacing w:line="360" w:lineRule="auto"/>
        <w:ind w:right="49"/>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Los Sujetos Obligados publicarán la información relacionada con las tareas administrativas que realizan en sus diferentes ámbitos (federal, estatal, delegacional </w:t>
      </w:r>
      <w:r w:rsidRPr="00B7685D">
        <w:rPr>
          <w:rFonts w:ascii="Palatino Linotype" w:eastAsia="Palatino Linotype" w:hAnsi="Palatino Linotype" w:cs="Palatino Linotype"/>
        </w:rPr>
        <w:lastRenderedPageBreak/>
        <w:t>y municipal) con el objeto de cumplir una obligación o, en general, a fin de que se emita una resolución.</w:t>
      </w:r>
    </w:p>
    <w:p w14:paraId="7A4CED0C" w14:textId="77777777" w:rsidR="00787869" w:rsidRPr="00B7685D" w:rsidRDefault="00787869">
      <w:pPr>
        <w:spacing w:line="360" w:lineRule="auto"/>
        <w:ind w:right="49"/>
        <w:jc w:val="both"/>
        <w:rPr>
          <w:rFonts w:ascii="Palatino Linotype" w:eastAsia="Palatino Linotype" w:hAnsi="Palatino Linotype" w:cs="Palatino Linotype"/>
        </w:rPr>
      </w:pPr>
    </w:p>
    <w:p w14:paraId="742EEA21" w14:textId="77777777" w:rsidR="00787869" w:rsidRPr="00B7685D" w:rsidRDefault="00661B8A">
      <w:pPr>
        <w:spacing w:line="360" w:lineRule="auto"/>
        <w:ind w:right="49"/>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La Ley General de Mejora Regulatoria establece que un </w:t>
      </w:r>
      <w:r w:rsidRPr="00B7685D">
        <w:rPr>
          <w:rFonts w:ascii="Palatino Linotype" w:eastAsia="Palatino Linotype" w:hAnsi="Palatino Linotype" w:cs="Palatino Linotype"/>
          <w:b/>
        </w:rPr>
        <w:t>trámite es “Cualquier solicitud o entrega de información que las personas físicas o morales del sector privado realicen ante la autoridad competente en el ámbito federal, de las entidades federativas, municipal o de la alcaldía, ya sea para cumplir una obligación o, en general, a fin de que se emita una resolución”</w:t>
      </w:r>
      <w:r w:rsidRPr="00B7685D">
        <w:rPr>
          <w:rFonts w:ascii="Palatino Linotype" w:eastAsia="Palatino Linotype" w:hAnsi="Palatino Linotype" w:cs="Palatino Linotype"/>
        </w:rPr>
        <w:t xml:space="preserve">. Asimismo, señala que el Catálogo Nacional de Regulaciones, Tramites y Servicios es la herramienta tecnológica que compila las Regulaciones, los Trámites y los Servicios de los Sujetos Obligados, con el objeto de otorgar seguridad jurídica a las personas, dar transparencia, facilitar el cumplimiento regulatorio, así como fomentar el uso de tecnologías de la información. La información que contenga dicho catálogo será vinculante para los Sujetos Obligados en el ámbito de sus competencias, además de que su inscripción y actualización es permanente y obligatoria para todos los Sujetos Obligados. Los Sujetos Obligados que no estén regulados por la Ley General de Mejora Regulatoria, así como por las disposiciones emitidas por el Consejo Nacional de Mejora Regulatoria referidas en el presente apartado, se podrán sujetar a éstas para efecto de dar cumplimiento a los presentes Lineamientos, asimismo, para aquellos sujetos obligados que no estén vinculados al Catálogo Nacional de Regulaciones, Trámites y Servicios, se vinculará a los sistemas homólogos en la materia. Finalmente, en esta sección, se deberá incluir información relativa a los trámites en materia de acceso a la información y protección de datos personales, tales como solicitudes de acceso a información pública, recursos de revisión y las </w:t>
      </w:r>
      <w:r w:rsidRPr="00B7685D">
        <w:rPr>
          <w:rFonts w:ascii="Palatino Linotype" w:eastAsia="Palatino Linotype" w:hAnsi="Palatino Linotype" w:cs="Palatino Linotype"/>
        </w:rPr>
        <w:lastRenderedPageBreak/>
        <w:t>solicitudes de acceso, rectificación, cancelación y oposición de datos personales que todo sujeto obligado debe proporcionar. La información publicada deberá corresponder y vincular con el Catálogo Nacional de Regulaciones, Tramites y Servicios o sistemas homólogos.</w:t>
      </w:r>
    </w:p>
    <w:p w14:paraId="46D8EF18" w14:textId="77777777" w:rsidR="00787869" w:rsidRPr="00B7685D" w:rsidRDefault="00787869">
      <w:pPr>
        <w:spacing w:line="360" w:lineRule="auto"/>
        <w:ind w:left="720" w:right="333"/>
        <w:jc w:val="both"/>
        <w:rPr>
          <w:rFonts w:ascii="Palatino Linotype" w:eastAsia="Palatino Linotype" w:hAnsi="Palatino Linotype" w:cs="Palatino Linotype"/>
        </w:rPr>
      </w:pPr>
    </w:p>
    <w:p w14:paraId="0B595658" w14:textId="77777777" w:rsidR="00787869" w:rsidRPr="00B7685D" w:rsidRDefault="00661B8A">
      <w:pPr>
        <w:spacing w:line="360" w:lineRule="auto"/>
        <w:ind w:right="49"/>
        <w:jc w:val="both"/>
        <w:rPr>
          <w:rFonts w:ascii="Palatino Linotype" w:eastAsia="Palatino Linotype" w:hAnsi="Palatino Linotype" w:cs="Palatino Linotype"/>
          <w:i/>
        </w:rPr>
      </w:pPr>
      <w:r w:rsidRPr="00B7685D">
        <w:rPr>
          <w:rFonts w:ascii="Palatino Linotype" w:eastAsia="Palatino Linotype" w:hAnsi="Palatino Linotype" w:cs="Palatino Linotype"/>
          <w:noProof/>
          <w:lang w:val="es-MX"/>
        </w:rPr>
        <w:drawing>
          <wp:inline distT="0" distB="0" distL="0" distR="0" wp14:anchorId="50A179D7" wp14:editId="5DCC0359">
            <wp:extent cx="5510672" cy="3981457"/>
            <wp:effectExtent l="9525" t="9525" r="9525" b="9525"/>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57536" t="30763" r="8858" b="26070"/>
                    <a:stretch>
                      <a:fillRect/>
                    </a:stretch>
                  </pic:blipFill>
                  <pic:spPr>
                    <a:xfrm>
                      <a:off x="0" y="0"/>
                      <a:ext cx="5510672" cy="3981457"/>
                    </a:xfrm>
                    <a:prstGeom prst="rect">
                      <a:avLst/>
                    </a:prstGeom>
                    <a:ln w="9525">
                      <a:solidFill>
                        <a:srgbClr val="4F81BD"/>
                      </a:solidFill>
                      <a:prstDash val="solid"/>
                    </a:ln>
                  </pic:spPr>
                </pic:pic>
              </a:graphicData>
            </a:graphic>
          </wp:inline>
        </w:drawing>
      </w:r>
    </w:p>
    <w:p w14:paraId="7D5233A6" w14:textId="77777777" w:rsidR="00787869" w:rsidRPr="00B7685D" w:rsidRDefault="00787869">
      <w:pPr>
        <w:spacing w:line="360" w:lineRule="auto"/>
        <w:ind w:left="720" w:right="333"/>
        <w:jc w:val="both"/>
        <w:rPr>
          <w:rFonts w:ascii="Palatino Linotype" w:eastAsia="Palatino Linotype" w:hAnsi="Palatino Linotype" w:cs="Palatino Linotype"/>
          <w:i/>
        </w:rPr>
      </w:pPr>
    </w:p>
    <w:p w14:paraId="559464A9" w14:textId="77777777" w:rsidR="00787869" w:rsidRPr="00B7685D" w:rsidRDefault="00787869">
      <w:pPr>
        <w:spacing w:line="360" w:lineRule="auto"/>
        <w:ind w:left="720" w:right="333"/>
        <w:jc w:val="both"/>
        <w:rPr>
          <w:rFonts w:ascii="Palatino Linotype" w:eastAsia="Palatino Linotype" w:hAnsi="Palatino Linotype" w:cs="Palatino Linotype"/>
          <w:i/>
        </w:rPr>
      </w:pPr>
    </w:p>
    <w:p w14:paraId="38E67CE3" w14:textId="77777777" w:rsidR="00787869" w:rsidRPr="00B7685D" w:rsidRDefault="00661B8A">
      <w:pPr>
        <w:spacing w:line="360" w:lineRule="auto"/>
        <w:ind w:right="49"/>
        <w:jc w:val="both"/>
        <w:rPr>
          <w:rFonts w:ascii="Palatino Linotype" w:eastAsia="Palatino Linotype" w:hAnsi="Palatino Linotype" w:cs="Palatino Linotype"/>
          <w:i/>
        </w:rPr>
      </w:pPr>
      <w:r w:rsidRPr="00B7685D">
        <w:rPr>
          <w:rFonts w:ascii="Palatino Linotype" w:eastAsia="Palatino Linotype" w:hAnsi="Palatino Linotype" w:cs="Palatino Linotype"/>
          <w:noProof/>
          <w:lang w:val="es-MX"/>
        </w:rPr>
        <w:lastRenderedPageBreak/>
        <w:drawing>
          <wp:inline distT="0" distB="0" distL="0" distR="0" wp14:anchorId="76A949CA" wp14:editId="5780D021">
            <wp:extent cx="5516594" cy="6844663"/>
            <wp:effectExtent l="12700" t="12700" r="12700" b="1270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56517" t="14182" r="6823" b="4948"/>
                    <a:stretch>
                      <a:fillRect/>
                    </a:stretch>
                  </pic:blipFill>
                  <pic:spPr>
                    <a:xfrm>
                      <a:off x="0" y="0"/>
                      <a:ext cx="5516594" cy="6844663"/>
                    </a:xfrm>
                    <a:prstGeom prst="rect">
                      <a:avLst/>
                    </a:prstGeom>
                    <a:ln w="12700">
                      <a:solidFill>
                        <a:srgbClr val="4F81BD"/>
                      </a:solidFill>
                      <a:prstDash val="solid"/>
                    </a:ln>
                  </pic:spPr>
                </pic:pic>
              </a:graphicData>
            </a:graphic>
          </wp:inline>
        </w:drawing>
      </w:r>
      <w:r w:rsidRPr="00B7685D">
        <w:rPr>
          <w:noProof/>
          <w:lang w:val="es-MX"/>
        </w:rPr>
        <mc:AlternateContent>
          <mc:Choice Requires="wpg">
            <w:drawing>
              <wp:anchor distT="0" distB="0" distL="114300" distR="114300" simplePos="0" relativeHeight="251658240" behindDoc="0" locked="0" layoutInCell="1" hidden="0" allowOverlap="1" wp14:anchorId="03BD64AC" wp14:editId="13CBD66E">
                <wp:simplePos x="0" y="0"/>
                <wp:positionH relativeFrom="column">
                  <wp:posOffset>685800</wp:posOffset>
                </wp:positionH>
                <wp:positionV relativeFrom="paragraph">
                  <wp:posOffset>4343400</wp:posOffset>
                </wp:positionV>
                <wp:extent cx="3921125" cy="539750"/>
                <wp:effectExtent l="0" t="0" r="0" b="0"/>
                <wp:wrapNone/>
                <wp:docPr id="30" name="Rectángulo 30"/>
                <wp:cNvGraphicFramePr/>
                <a:graphic xmlns:a="http://schemas.openxmlformats.org/drawingml/2006/main">
                  <a:graphicData uri="http://schemas.microsoft.com/office/word/2010/wordprocessingShape">
                    <wps:wsp>
                      <wps:cNvSpPr/>
                      <wps:spPr>
                        <a:xfrm>
                          <a:off x="3398138" y="3522825"/>
                          <a:ext cx="3895725" cy="514350"/>
                        </a:xfrm>
                        <a:prstGeom prst="rect">
                          <a:avLst/>
                        </a:prstGeom>
                        <a:noFill/>
                        <a:ln w="25400" cap="flat" cmpd="sng">
                          <a:solidFill>
                            <a:srgbClr val="FF0000"/>
                          </a:solidFill>
                          <a:prstDash val="solid"/>
                          <a:round/>
                          <a:headEnd type="none" w="sm" len="sm"/>
                          <a:tailEnd type="none" w="sm" len="sm"/>
                        </a:ln>
                      </wps:spPr>
                      <wps:txbx>
                        <w:txbxContent>
                          <w:p w14:paraId="56B35101" w14:textId="77777777" w:rsidR="00787869" w:rsidRDefault="0078786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685800</wp:posOffset>
                </wp:positionH>
                <wp:positionV relativeFrom="paragraph">
                  <wp:posOffset>4343400</wp:posOffset>
                </wp:positionV>
                <wp:extent cx="3921125" cy="539750"/>
                <wp:effectExtent b="0" l="0" r="0" t="0"/>
                <wp:wrapNone/>
                <wp:docPr id="30"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3921125" cy="539750"/>
                        </a:xfrm>
                        <a:prstGeom prst="rect"/>
                        <a:ln/>
                      </pic:spPr>
                    </pic:pic>
                  </a:graphicData>
                </a:graphic>
              </wp:anchor>
            </w:drawing>
          </mc:Fallback>
        </mc:AlternateContent>
      </w:r>
    </w:p>
    <w:p w14:paraId="7D51F3F7" w14:textId="77777777" w:rsidR="00787869" w:rsidRPr="00B7685D" w:rsidRDefault="00661B8A">
      <w:pPr>
        <w:spacing w:line="360" w:lineRule="auto"/>
        <w:ind w:right="49"/>
        <w:jc w:val="both"/>
        <w:rPr>
          <w:rFonts w:ascii="Palatino Linotype" w:eastAsia="Palatino Linotype" w:hAnsi="Palatino Linotype" w:cs="Palatino Linotype"/>
          <w:i/>
        </w:rPr>
      </w:pPr>
      <w:r w:rsidRPr="00B7685D">
        <w:rPr>
          <w:rFonts w:ascii="Palatino Linotype" w:eastAsia="Palatino Linotype" w:hAnsi="Palatino Linotype" w:cs="Palatino Linotype"/>
          <w:noProof/>
          <w:lang w:val="es-MX"/>
        </w:rPr>
        <w:lastRenderedPageBreak/>
        <w:drawing>
          <wp:inline distT="0" distB="0" distL="0" distR="0" wp14:anchorId="0DEDF96E" wp14:editId="7D869EAA">
            <wp:extent cx="5524399" cy="6840960"/>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56348" t="15088" r="7331" b="4948"/>
                    <a:stretch>
                      <a:fillRect/>
                    </a:stretch>
                  </pic:blipFill>
                  <pic:spPr>
                    <a:xfrm>
                      <a:off x="0" y="0"/>
                      <a:ext cx="5524399" cy="6840960"/>
                    </a:xfrm>
                    <a:prstGeom prst="rect">
                      <a:avLst/>
                    </a:prstGeom>
                    <a:ln/>
                  </pic:spPr>
                </pic:pic>
              </a:graphicData>
            </a:graphic>
          </wp:inline>
        </w:drawing>
      </w:r>
    </w:p>
    <w:p w14:paraId="4C095353" w14:textId="77777777" w:rsidR="00787869" w:rsidRPr="00B7685D" w:rsidRDefault="00787869">
      <w:pPr>
        <w:spacing w:line="360" w:lineRule="auto"/>
        <w:ind w:left="720" w:right="333"/>
        <w:jc w:val="both"/>
        <w:rPr>
          <w:rFonts w:ascii="Palatino Linotype" w:eastAsia="Palatino Linotype" w:hAnsi="Palatino Linotype" w:cs="Palatino Linotype"/>
          <w:i/>
        </w:rPr>
      </w:pPr>
    </w:p>
    <w:p w14:paraId="1CCE7617" w14:textId="77777777" w:rsidR="00787869" w:rsidRPr="00B7685D" w:rsidRDefault="00661B8A">
      <w:pPr>
        <w:spacing w:line="360" w:lineRule="auto"/>
        <w:ind w:right="49"/>
        <w:jc w:val="both"/>
        <w:rPr>
          <w:rFonts w:ascii="Palatino Linotype" w:eastAsia="Palatino Linotype" w:hAnsi="Palatino Linotype" w:cs="Palatino Linotype"/>
          <w:i/>
        </w:rPr>
      </w:pPr>
      <w:r w:rsidRPr="00B7685D">
        <w:rPr>
          <w:rFonts w:ascii="Palatino Linotype" w:eastAsia="Palatino Linotype" w:hAnsi="Palatino Linotype" w:cs="Palatino Linotype"/>
          <w:noProof/>
          <w:lang w:val="es-MX"/>
        </w:rPr>
        <w:lastRenderedPageBreak/>
        <w:drawing>
          <wp:inline distT="0" distB="0" distL="0" distR="0" wp14:anchorId="3081D852" wp14:editId="00547F4F">
            <wp:extent cx="5523845" cy="6859844"/>
            <wp:effectExtent l="9525" t="9525" r="9525" b="9525"/>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56688" t="14484" r="6821" b="4948"/>
                    <a:stretch>
                      <a:fillRect/>
                    </a:stretch>
                  </pic:blipFill>
                  <pic:spPr>
                    <a:xfrm>
                      <a:off x="0" y="0"/>
                      <a:ext cx="5523845" cy="6859844"/>
                    </a:xfrm>
                    <a:prstGeom prst="rect">
                      <a:avLst/>
                    </a:prstGeom>
                    <a:ln w="9525">
                      <a:solidFill>
                        <a:srgbClr val="4F81BD"/>
                      </a:solidFill>
                      <a:prstDash val="solid"/>
                    </a:ln>
                  </pic:spPr>
                </pic:pic>
              </a:graphicData>
            </a:graphic>
          </wp:inline>
        </w:drawing>
      </w:r>
      <w:r w:rsidRPr="00B7685D">
        <w:rPr>
          <w:noProof/>
          <w:lang w:val="es-MX"/>
        </w:rPr>
        <mc:AlternateContent>
          <mc:Choice Requires="wpg">
            <w:drawing>
              <wp:anchor distT="0" distB="0" distL="114300" distR="114300" simplePos="0" relativeHeight="251659264" behindDoc="0" locked="0" layoutInCell="1" hidden="0" allowOverlap="1" wp14:anchorId="44A4B20C" wp14:editId="7D4F409D">
                <wp:simplePos x="0" y="0"/>
                <wp:positionH relativeFrom="column">
                  <wp:posOffset>2743200</wp:posOffset>
                </wp:positionH>
                <wp:positionV relativeFrom="paragraph">
                  <wp:posOffset>5346700</wp:posOffset>
                </wp:positionV>
                <wp:extent cx="2111375" cy="644525"/>
                <wp:effectExtent l="0" t="0" r="0" b="0"/>
                <wp:wrapNone/>
                <wp:docPr id="29" name="Rectángulo 29"/>
                <wp:cNvGraphicFramePr/>
                <a:graphic xmlns:a="http://schemas.openxmlformats.org/drawingml/2006/main">
                  <a:graphicData uri="http://schemas.microsoft.com/office/word/2010/wordprocessingShape">
                    <wps:wsp>
                      <wps:cNvSpPr/>
                      <wps:spPr>
                        <a:xfrm>
                          <a:off x="4303013" y="3470438"/>
                          <a:ext cx="2085975" cy="619125"/>
                        </a:xfrm>
                        <a:prstGeom prst="rect">
                          <a:avLst/>
                        </a:prstGeom>
                        <a:noFill/>
                        <a:ln w="2540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405CC176" w14:textId="77777777" w:rsidR="00787869" w:rsidRDefault="0078786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2743200</wp:posOffset>
                </wp:positionH>
                <wp:positionV relativeFrom="paragraph">
                  <wp:posOffset>5346700</wp:posOffset>
                </wp:positionV>
                <wp:extent cx="2111375" cy="644525"/>
                <wp:effectExtent b="0" l="0" r="0" t="0"/>
                <wp:wrapNone/>
                <wp:docPr id="29"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2111375" cy="644525"/>
                        </a:xfrm>
                        <a:prstGeom prst="rect"/>
                        <a:ln/>
                      </pic:spPr>
                    </pic:pic>
                  </a:graphicData>
                </a:graphic>
              </wp:anchor>
            </w:drawing>
          </mc:Fallback>
        </mc:AlternateContent>
      </w:r>
    </w:p>
    <w:p w14:paraId="37950927" w14:textId="77777777" w:rsidR="00787869" w:rsidRPr="00B7685D" w:rsidRDefault="00787869">
      <w:pPr>
        <w:spacing w:line="360" w:lineRule="auto"/>
        <w:ind w:left="720" w:right="333"/>
        <w:jc w:val="both"/>
        <w:rPr>
          <w:rFonts w:ascii="Palatino Linotype" w:eastAsia="Palatino Linotype" w:hAnsi="Palatino Linotype" w:cs="Palatino Linotype"/>
          <w:i/>
        </w:rPr>
      </w:pPr>
    </w:p>
    <w:p w14:paraId="6B8CEADE" w14:textId="77777777" w:rsidR="00787869" w:rsidRPr="00B7685D" w:rsidRDefault="00661B8A">
      <w:pPr>
        <w:spacing w:line="360" w:lineRule="auto"/>
        <w:ind w:right="49"/>
        <w:jc w:val="both"/>
        <w:rPr>
          <w:rFonts w:ascii="Palatino Linotype" w:eastAsia="Palatino Linotype" w:hAnsi="Palatino Linotype" w:cs="Palatino Linotype"/>
          <w:i/>
        </w:rPr>
      </w:pPr>
      <w:r w:rsidRPr="00B7685D">
        <w:rPr>
          <w:rFonts w:ascii="Palatino Linotype" w:eastAsia="Palatino Linotype" w:hAnsi="Palatino Linotype" w:cs="Palatino Linotype"/>
          <w:noProof/>
          <w:lang w:val="es-MX"/>
        </w:rPr>
        <w:lastRenderedPageBreak/>
        <w:drawing>
          <wp:inline distT="0" distB="0" distL="0" distR="0" wp14:anchorId="646EAF7C" wp14:editId="054F09FB">
            <wp:extent cx="5513139" cy="6808855"/>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56178" t="14182" r="6991" b="4948"/>
                    <a:stretch>
                      <a:fillRect/>
                    </a:stretch>
                  </pic:blipFill>
                  <pic:spPr>
                    <a:xfrm>
                      <a:off x="0" y="0"/>
                      <a:ext cx="5513139" cy="6808855"/>
                    </a:xfrm>
                    <a:prstGeom prst="rect">
                      <a:avLst/>
                    </a:prstGeom>
                    <a:ln/>
                  </pic:spPr>
                </pic:pic>
              </a:graphicData>
            </a:graphic>
          </wp:inline>
        </w:drawing>
      </w:r>
    </w:p>
    <w:p w14:paraId="181B2E5A" w14:textId="77777777" w:rsidR="00787869" w:rsidRPr="00B7685D" w:rsidRDefault="00787869">
      <w:pPr>
        <w:spacing w:line="360" w:lineRule="auto"/>
        <w:ind w:left="720" w:right="333"/>
        <w:jc w:val="both"/>
        <w:rPr>
          <w:rFonts w:ascii="Palatino Linotype" w:eastAsia="Palatino Linotype" w:hAnsi="Palatino Linotype" w:cs="Palatino Linotype"/>
          <w:i/>
        </w:rPr>
      </w:pPr>
    </w:p>
    <w:p w14:paraId="65CDF528" w14:textId="77777777" w:rsidR="00787869" w:rsidRPr="00B7685D" w:rsidRDefault="00661B8A">
      <w:pPr>
        <w:spacing w:line="360" w:lineRule="auto"/>
        <w:ind w:right="49"/>
        <w:jc w:val="both"/>
        <w:rPr>
          <w:rFonts w:ascii="Palatino Linotype" w:eastAsia="Palatino Linotype" w:hAnsi="Palatino Linotype" w:cs="Palatino Linotype"/>
        </w:rPr>
      </w:pPr>
      <w:r w:rsidRPr="00B7685D">
        <w:rPr>
          <w:rFonts w:ascii="Palatino Linotype" w:eastAsia="Palatino Linotype" w:hAnsi="Palatino Linotype" w:cs="Palatino Linotype"/>
        </w:rPr>
        <w:lastRenderedPageBreak/>
        <w:t xml:space="preserve">De la normatividad referida se colige que el costo de cualquier trámite que realice el SUJETO OBLIGADO dentro de sus funciones y atribuciones, </w:t>
      </w:r>
      <w:r w:rsidRPr="00B7685D">
        <w:rPr>
          <w:rFonts w:ascii="Palatino Linotype" w:eastAsia="Palatino Linotype" w:hAnsi="Palatino Linotype" w:cs="Palatino Linotype"/>
          <w:b/>
        </w:rPr>
        <w:t>se trata de información pública,</w:t>
      </w:r>
      <w:r w:rsidRPr="00B7685D">
        <w:rPr>
          <w:rFonts w:ascii="Palatino Linotype" w:eastAsia="Palatino Linotype" w:hAnsi="Palatino Linotype" w:cs="Palatino Linotype"/>
        </w:rPr>
        <w:t xml:space="preserve"> y nada debe impedir que los interesados obtengan acceso a la información que por definición legal es pública, como el monto o la forma de calcular el monto que el particular habrá de erogar para obtener la licencia de funcionamiento. Toda vez que la Ley de Transparencia y Acceso a la Información Pública del Estado de México y Municipios, establece expresamente entre sus objetivos proveer lo necesario para que toda persona pueda tener acceso a la información mediante procedimientos sencillos y expeditos, transparentar la gestión pública mediante la difusión de la información y favorecer la rendición de cuentas, derivado de ello, este Organismo Garante se dio a la tarea de visitar la página de Información Pública de Oficio Mexiquense concerniente al ayuntamiento de Valle de Bravo, donde se pudo observar que, en cumplimento a lo establecido en la fracción XXIV de la Ley de Transparencia y Acceso a la Información Pública del Estado de México y Municipios, se encuentran 69 registros de Trámites, requisitos y formatos que ofrecen, sin embargo, también fue observable que </w:t>
      </w:r>
      <w:r w:rsidRPr="00B7685D">
        <w:rPr>
          <w:rFonts w:ascii="Palatino Linotype" w:eastAsia="Palatino Linotype" w:hAnsi="Palatino Linotype" w:cs="Palatino Linotype"/>
          <w:b/>
        </w:rPr>
        <w:t>no se encontró el trámite de “Licencia de Funcionamiento”</w:t>
      </w:r>
      <w:r w:rsidRPr="00B7685D">
        <w:rPr>
          <w:rFonts w:ascii="Palatino Linotype" w:eastAsia="Palatino Linotype" w:hAnsi="Palatino Linotype" w:cs="Palatino Linotype"/>
        </w:rPr>
        <w:t xml:space="preserve">.  </w:t>
      </w:r>
    </w:p>
    <w:p w14:paraId="2942DDCB" w14:textId="77777777" w:rsidR="00E92EB7" w:rsidRPr="00B7685D" w:rsidRDefault="00661B8A" w:rsidP="00E92EB7">
      <w:p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rPr>
      </w:pPr>
      <w:r w:rsidRPr="00B7685D">
        <w:rPr>
          <w:rFonts w:ascii="Palatino Linotype" w:eastAsia="Palatino Linotype" w:hAnsi="Palatino Linotype" w:cs="Palatino Linotype"/>
        </w:rPr>
        <w:t xml:space="preserve">En mérito de lo expuesto, esta autoridad estima que las razones o motivos de inconformidad hechos valer por </w:t>
      </w:r>
      <w:r w:rsidRPr="00B7685D">
        <w:rPr>
          <w:rFonts w:ascii="Palatino Linotype" w:eastAsia="Palatino Linotype" w:hAnsi="Palatino Linotype" w:cs="Palatino Linotype"/>
          <w:b/>
        </w:rPr>
        <w:t>El RECURRENTE</w:t>
      </w:r>
      <w:r w:rsidRPr="00B7685D">
        <w:rPr>
          <w:rFonts w:ascii="Palatino Linotype" w:eastAsia="Palatino Linotype" w:hAnsi="Palatino Linotype" w:cs="Palatino Linotype"/>
        </w:rPr>
        <w:t xml:space="preserve"> se estiman  fundados; por lo que, lo procedente es </w:t>
      </w:r>
      <w:r w:rsidRPr="00B7685D">
        <w:rPr>
          <w:rFonts w:ascii="Palatino Linotype" w:eastAsia="Palatino Linotype" w:hAnsi="Palatino Linotype" w:cs="Palatino Linotype"/>
          <w:b/>
        </w:rPr>
        <w:t>MODIFICAR </w:t>
      </w:r>
      <w:r w:rsidRPr="00B7685D">
        <w:rPr>
          <w:rFonts w:ascii="Palatino Linotype" w:eastAsia="Palatino Linotype" w:hAnsi="Palatino Linotype" w:cs="Palatino Linotype"/>
        </w:rPr>
        <w:t xml:space="preserve">la respuesta del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y ordenar, previa búsqueda exhaustiva, la entrega del costo por el otorgamiento de las licencias de funcionamiento</w:t>
      </w:r>
      <w:r w:rsidR="00E92EB7" w:rsidRPr="00B7685D">
        <w:rPr>
          <w:rFonts w:ascii="Palatino Linotype" w:eastAsia="Palatino Linotype" w:hAnsi="Palatino Linotype" w:cs="Palatino Linotype"/>
        </w:rPr>
        <w:t xml:space="preserve"> </w:t>
      </w:r>
      <w:r w:rsidR="00E92EB7" w:rsidRPr="00B7685D">
        <w:rPr>
          <w:rFonts w:ascii="Palatino Linotype" w:eastAsia="Palatino Linotype" w:hAnsi="Palatino Linotype" w:cs="Palatino Linotype"/>
          <w:color w:val="000000"/>
        </w:rPr>
        <w:t xml:space="preserve">de cada </w:t>
      </w:r>
      <w:r w:rsidR="00E92EB7" w:rsidRPr="00B7685D">
        <w:rPr>
          <w:rFonts w:ascii="Palatino Linotype" w:eastAsia="Palatino Linotype" w:hAnsi="Palatino Linotype" w:cs="Palatino Linotype"/>
          <w:color w:val="000000"/>
        </w:rPr>
        <w:lastRenderedPageBreak/>
        <w:t xml:space="preserve">giro comercial y/o tipos de establecimientos en el municipio de Valle de Bravo; así como, la forma en que se calcula la cantidad a pagar.  </w:t>
      </w:r>
    </w:p>
    <w:p w14:paraId="05437B8F" w14:textId="77777777" w:rsidR="00787869" w:rsidRPr="00B7685D" w:rsidRDefault="00787869">
      <w:pPr>
        <w:spacing w:after="160" w:line="360" w:lineRule="auto"/>
        <w:jc w:val="both"/>
        <w:rPr>
          <w:rFonts w:ascii="Palatino Linotype" w:eastAsia="Palatino Linotype" w:hAnsi="Palatino Linotype" w:cs="Palatino Linotype"/>
        </w:rPr>
      </w:pPr>
    </w:p>
    <w:p w14:paraId="08E7C304"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3E312E6B" w14:textId="77777777" w:rsidR="00787869" w:rsidRPr="00B7685D" w:rsidRDefault="00661B8A">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B7685D">
        <w:rPr>
          <w:rFonts w:ascii="Palatino Linotype" w:eastAsia="Palatino Linotype" w:hAnsi="Palatino Linotype" w:cs="Palatino Linotype"/>
          <w:b/>
          <w:color w:val="000000"/>
        </w:rPr>
        <w:t>R E S U E L V E:</w:t>
      </w:r>
    </w:p>
    <w:p w14:paraId="7FCEA106" w14:textId="77777777" w:rsidR="00787869" w:rsidRPr="00B7685D" w:rsidRDefault="00661B8A">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B7685D">
        <w:rPr>
          <w:rFonts w:ascii="Palatino Linotype" w:eastAsia="Palatino Linotype" w:hAnsi="Palatino Linotype" w:cs="Palatino Linotype"/>
          <w:b/>
        </w:rPr>
        <w:t xml:space="preserve">PRIMERO. </w:t>
      </w:r>
      <w:r w:rsidRPr="00B7685D">
        <w:rPr>
          <w:rFonts w:ascii="Palatino Linotype" w:eastAsia="Palatino Linotype" w:hAnsi="Palatino Linotype" w:cs="Palatino Linotype"/>
        </w:rPr>
        <w:t xml:space="preserve">Resultan fundadas las razones o motivos de inconformidad hechos valer por </w:t>
      </w:r>
      <w:r w:rsidRPr="00B7685D">
        <w:rPr>
          <w:rFonts w:ascii="Palatino Linotype" w:eastAsia="Palatino Linotype" w:hAnsi="Palatino Linotype" w:cs="Palatino Linotype"/>
          <w:b/>
          <w:color w:val="000000"/>
        </w:rPr>
        <w:t>la parte RECURRENTE</w:t>
      </w:r>
      <w:r w:rsidRPr="00B7685D">
        <w:rPr>
          <w:rFonts w:ascii="Palatino Linotype" w:eastAsia="Palatino Linotype" w:hAnsi="Palatino Linotype" w:cs="Palatino Linotype"/>
          <w:color w:val="000000"/>
        </w:rPr>
        <w:t xml:space="preserve"> </w:t>
      </w:r>
      <w:r w:rsidRPr="00B7685D">
        <w:rPr>
          <w:rFonts w:ascii="Palatino Linotype" w:eastAsia="Palatino Linotype" w:hAnsi="Palatino Linotype" w:cs="Palatino Linotype"/>
        </w:rPr>
        <w:t xml:space="preserve">en el recurso de revisión </w:t>
      </w:r>
      <w:r w:rsidRPr="00B7685D">
        <w:rPr>
          <w:rFonts w:ascii="Palatino Linotype" w:eastAsia="Palatino Linotype" w:hAnsi="Palatino Linotype" w:cs="Palatino Linotype"/>
          <w:b/>
        </w:rPr>
        <w:t>06389/INFOEM/IP/RR/2022</w:t>
      </w:r>
      <w:r w:rsidRPr="00B7685D">
        <w:rPr>
          <w:rFonts w:ascii="Palatino Linotype" w:eastAsia="Palatino Linotype" w:hAnsi="Palatino Linotype" w:cs="Palatino Linotype"/>
        </w:rPr>
        <w:t xml:space="preserve">; por lo que, en términos del </w:t>
      </w:r>
      <w:r w:rsidRPr="00B7685D">
        <w:rPr>
          <w:rFonts w:ascii="Palatino Linotype" w:eastAsia="Palatino Linotype" w:hAnsi="Palatino Linotype" w:cs="Palatino Linotype"/>
          <w:b/>
        </w:rPr>
        <w:t>Considerando</w:t>
      </w:r>
      <w:r w:rsidRPr="00B7685D">
        <w:rPr>
          <w:rFonts w:ascii="Palatino Linotype" w:eastAsia="Palatino Linotype" w:hAnsi="Palatino Linotype" w:cs="Palatino Linotype"/>
        </w:rPr>
        <w:t xml:space="preserve"> </w:t>
      </w:r>
      <w:r w:rsidRPr="00B7685D">
        <w:rPr>
          <w:rFonts w:ascii="Palatino Linotype" w:eastAsia="Palatino Linotype" w:hAnsi="Palatino Linotype" w:cs="Palatino Linotype"/>
          <w:b/>
        </w:rPr>
        <w:t xml:space="preserve">Cuarto </w:t>
      </w:r>
      <w:r w:rsidRPr="00B7685D">
        <w:rPr>
          <w:rFonts w:ascii="Palatino Linotype" w:eastAsia="Palatino Linotype" w:hAnsi="Palatino Linotype" w:cs="Palatino Linotype"/>
        </w:rPr>
        <w:t xml:space="preserve">de esta resolución, se </w:t>
      </w:r>
      <w:r w:rsidRPr="00B7685D">
        <w:rPr>
          <w:rFonts w:ascii="Palatino Linotype" w:eastAsia="Palatino Linotype" w:hAnsi="Palatino Linotype" w:cs="Palatino Linotype"/>
          <w:b/>
        </w:rPr>
        <w:t xml:space="preserve">MODIFICA </w:t>
      </w:r>
      <w:r w:rsidRPr="00B7685D">
        <w:rPr>
          <w:rFonts w:ascii="Palatino Linotype" w:eastAsia="Palatino Linotype" w:hAnsi="Palatino Linotype" w:cs="Palatino Linotype"/>
        </w:rPr>
        <w:t xml:space="preserve">la respuesta emitida por el </w:t>
      </w:r>
      <w:r w:rsidRPr="00B7685D">
        <w:rPr>
          <w:rFonts w:ascii="Palatino Linotype" w:eastAsia="Palatino Linotype" w:hAnsi="Palatino Linotype" w:cs="Palatino Linotype"/>
          <w:b/>
        </w:rPr>
        <w:t>SUJETO OBLIGADO.</w:t>
      </w:r>
    </w:p>
    <w:p w14:paraId="3504616F" w14:textId="77777777" w:rsidR="00787869" w:rsidRPr="00B7685D" w:rsidRDefault="00661B8A">
      <w:pPr>
        <w:spacing w:before="240" w:after="240" w:line="360" w:lineRule="auto"/>
        <w:ind w:right="49"/>
        <w:jc w:val="both"/>
        <w:rPr>
          <w:rFonts w:ascii="Palatino Linotype" w:eastAsia="Palatino Linotype" w:hAnsi="Palatino Linotype" w:cs="Palatino Linotype"/>
        </w:rPr>
      </w:pPr>
      <w:bookmarkStart w:id="4" w:name="_heading=h.1fob9te" w:colFirst="0" w:colLast="0"/>
      <w:bookmarkEnd w:id="4"/>
      <w:r w:rsidRPr="00B7685D">
        <w:rPr>
          <w:rFonts w:ascii="Palatino Linotype" w:eastAsia="Palatino Linotype" w:hAnsi="Palatino Linotype" w:cs="Palatino Linotype"/>
          <w:b/>
        </w:rPr>
        <w:t xml:space="preserve">SEGUNDO. </w:t>
      </w:r>
      <w:r w:rsidRPr="00B7685D">
        <w:rPr>
          <w:rFonts w:ascii="Palatino Linotype" w:eastAsia="Palatino Linotype" w:hAnsi="Palatino Linotype" w:cs="Palatino Linotype"/>
        </w:rPr>
        <w:t xml:space="preserve">Se </w:t>
      </w:r>
      <w:r w:rsidRPr="00B7685D">
        <w:rPr>
          <w:rFonts w:ascii="Palatino Linotype" w:eastAsia="Palatino Linotype" w:hAnsi="Palatino Linotype" w:cs="Palatino Linotype"/>
          <w:b/>
        </w:rPr>
        <w:t xml:space="preserve">Ordena </w:t>
      </w:r>
      <w:r w:rsidRPr="00B7685D">
        <w:rPr>
          <w:rFonts w:ascii="Palatino Linotype" w:eastAsia="Palatino Linotype" w:hAnsi="Palatino Linotype" w:cs="Palatino Linotype"/>
        </w:rPr>
        <w:t xml:space="preserve">al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haga entrega a </w:t>
      </w:r>
      <w:r w:rsidRPr="00B7685D">
        <w:rPr>
          <w:rFonts w:ascii="Palatino Linotype" w:eastAsia="Palatino Linotype" w:hAnsi="Palatino Linotype" w:cs="Palatino Linotype"/>
          <w:b/>
        </w:rPr>
        <w:t>la parte</w:t>
      </w:r>
      <w:r w:rsidRPr="00B7685D">
        <w:rPr>
          <w:rFonts w:ascii="Palatino Linotype" w:eastAsia="Palatino Linotype" w:hAnsi="Palatino Linotype" w:cs="Palatino Linotype"/>
        </w:rPr>
        <w:t xml:space="preserve">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vía SAIMEX</w:t>
      </w:r>
      <w:r w:rsidR="00E92EB7" w:rsidRPr="00B7685D">
        <w:rPr>
          <w:rFonts w:ascii="Palatino Linotype" w:eastAsia="Palatino Linotype" w:hAnsi="Palatino Linotype" w:cs="Palatino Linotype"/>
        </w:rPr>
        <w:t xml:space="preserve"> y correo electrónico</w:t>
      </w:r>
      <w:r w:rsidRPr="00B7685D">
        <w:rPr>
          <w:rFonts w:ascii="Palatino Linotype" w:eastAsia="Palatino Linotype" w:hAnsi="Palatino Linotype" w:cs="Palatino Linotype"/>
        </w:rPr>
        <w:t xml:space="preserve">, en términos del Considerando </w:t>
      </w:r>
      <w:r w:rsidRPr="00B7685D">
        <w:rPr>
          <w:rFonts w:ascii="Palatino Linotype" w:eastAsia="Palatino Linotype" w:hAnsi="Palatino Linotype" w:cs="Palatino Linotype"/>
          <w:b/>
        </w:rPr>
        <w:t xml:space="preserve">Cuarto </w:t>
      </w:r>
      <w:r w:rsidRPr="00B7685D">
        <w:rPr>
          <w:rFonts w:ascii="Palatino Linotype" w:eastAsia="Palatino Linotype" w:hAnsi="Palatino Linotype" w:cs="Palatino Linotype"/>
        </w:rPr>
        <w:t xml:space="preserve">de la presente resolución, la siguiente información: </w:t>
      </w:r>
    </w:p>
    <w:p w14:paraId="041ABBB7" w14:textId="77777777" w:rsidR="00787869" w:rsidRPr="00B7685D" w:rsidRDefault="00661B8A">
      <w:pPr>
        <w:numPr>
          <w:ilvl w:val="0"/>
          <w:numId w:val="4"/>
        </w:numPr>
        <w:pBdr>
          <w:top w:val="nil"/>
          <w:left w:val="nil"/>
          <w:bottom w:val="nil"/>
          <w:right w:val="nil"/>
          <w:between w:val="nil"/>
        </w:pBdr>
        <w:spacing w:before="240" w:line="276" w:lineRule="auto"/>
        <w:ind w:right="900"/>
        <w:jc w:val="both"/>
        <w:rPr>
          <w:rFonts w:ascii="Palatino Linotype" w:eastAsia="Palatino Linotype" w:hAnsi="Palatino Linotype" w:cs="Palatino Linotype"/>
          <w:i/>
          <w:color w:val="000000"/>
        </w:rPr>
      </w:pPr>
      <w:r w:rsidRPr="00B7685D">
        <w:rPr>
          <w:rFonts w:ascii="Palatino Linotype" w:eastAsia="Palatino Linotype" w:hAnsi="Palatino Linotype" w:cs="Palatino Linotype"/>
          <w:b/>
          <w:i/>
          <w:color w:val="000000"/>
        </w:rPr>
        <w:t xml:space="preserve">Documento donde conste el costo por el otorgamiento de las licencias de funcionamiento </w:t>
      </w:r>
      <w:r w:rsidR="00E92EB7" w:rsidRPr="00B7685D">
        <w:rPr>
          <w:rFonts w:ascii="Palatino Linotype" w:eastAsia="Palatino Linotype" w:hAnsi="Palatino Linotype" w:cs="Palatino Linotype"/>
          <w:b/>
          <w:i/>
          <w:color w:val="000000"/>
        </w:rPr>
        <w:t>de cada giro comercial y/o tipos de</w:t>
      </w:r>
      <w:r w:rsidRPr="00B7685D">
        <w:rPr>
          <w:rFonts w:ascii="Palatino Linotype" w:eastAsia="Palatino Linotype" w:hAnsi="Palatino Linotype" w:cs="Palatino Linotype"/>
          <w:b/>
          <w:i/>
          <w:color w:val="000000"/>
        </w:rPr>
        <w:t xml:space="preserve"> establecimientos en</w:t>
      </w:r>
      <w:r w:rsidR="00E92EB7" w:rsidRPr="00B7685D">
        <w:rPr>
          <w:rFonts w:ascii="Palatino Linotype" w:eastAsia="Palatino Linotype" w:hAnsi="Palatino Linotype" w:cs="Palatino Linotype"/>
          <w:b/>
          <w:i/>
          <w:color w:val="000000"/>
        </w:rPr>
        <w:t xml:space="preserve"> el municipio de Valle de Bravo; </w:t>
      </w:r>
      <w:r w:rsidR="002277DE" w:rsidRPr="00B7685D">
        <w:rPr>
          <w:rFonts w:ascii="Palatino Linotype" w:eastAsia="Palatino Linotype" w:hAnsi="Palatino Linotype" w:cs="Palatino Linotype"/>
          <w:b/>
          <w:i/>
          <w:color w:val="000000"/>
        </w:rPr>
        <w:t>o bien</w:t>
      </w:r>
      <w:r w:rsidR="00E92EB7" w:rsidRPr="00B7685D">
        <w:rPr>
          <w:rFonts w:ascii="Palatino Linotype" w:eastAsia="Palatino Linotype" w:hAnsi="Palatino Linotype" w:cs="Palatino Linotype"/>
          <w:b/>
          <w:i/>
          <w:color w:val="000000"/>
        </w:rPr>
        <w:t xml:space="preserve">, la forma en que se calcula la cantidad a pagar.  </w:t>
      </w:r>
    </w:p>
    <w:p w14:paraId="10A00D89" w14:textId="77777777" w:rsidR="00787869" w:rsidRPr="00B7685D" w:rsidRDefault="00787869">
      <w:pPr>
        <w:pBdr>
          <w:top w:val="nil"/>
          <w:left w:val="nil"/>
          <w:bottom w:val="nil"/>
          <w:right w:val="nil"/>
          <w:between w:val="nil"/>
        </w:pBdr>
        <w:spacing w:after="240" w:line="276" w:lineRule="auto"/>
        <w:ind w:left="720" w:right="900"/>
        <w:jc w:val="both"/>
        <w:rPr>
          <w:rFonts w:ascii="Palatino Linotype" w:eastAsia="Palatino Linotype" w:hAnsi="Palatino Linotype" w:cs="Palatino Linotype"/>
          <w:i/>
          <w:color w:val="000000"/>
        </w:rPr>
      </w:pPr>
    </w:p>
    <w:p w14:paraId="67340122"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lastRenderedPageBreak/>
        <w:t xml:space="preserve">TERCERO.  Notifíquese vía SAIMEX, </w:t>
      </w:r>
      <w:r w:rsidRPr="00B7685D">
        <w:rPr>
          <w:rFonts w:ascii="Palatino Linotype" w:eastAsia="Palatino Linotype" w:hAnsi="Palatino Linotype" w:cs="Palatino Linotype"/>
        </w:rPr>
        <w:t xml:space="preserve">al Responsable de la Unidad de Transparencia del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11C5050"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t xml:space="preserve">CUARTO. </w:t>
      </w:r>
      <w:r w:rsidRPr="00B7685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7685D">
        <w:rPr>
          <w:rFonts w:ascii="Palatino Linotype" w:eastAsia="Palatino Linotype" w:hAnsi="Palatino Linotype" w:cs="Palatino Linotype"/>
          <w:b/>
        </w:rPr>
        <w:t>SUJETO OBLIGADO</w:t>
      </w:r>
      <w:r w:rsidRPr="00B7685D">
        <w:rPr>
          <w:rFonts w:ascii="Palatino Linotype" w:eastAsia="Palatino Linotype" w:hAnsi="Palatino Linotype" w:cs="Palatino Linotype"/>
        </w:rPr>
        <w:t xml:space="preserve"> de manera fundada y motivada, podrá solicitar una ampliación de plazo para el cumplimiento de la presente resolución.</w:t>
      </w:r>
    </w:p>
    <w:p w14:paraId="4641FA88"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b/>
        </w:rPr>
        <w:t>QUINTO. Notifíquese vía SAIMEX</w:t>
      </w:r>
      <w:r w:rsidR="00306285" w:rsidRPr="00B7685D">
        <w:rPr>
          <w:rFonts w:ascii="Palatino Linotype" w:eastAsia="Palatino Linotype" w:hAnsi="Palatino Linotype" w:cs="Palatino Linotype"/>
          <w:b/>
        </w:rPr>
        <w:t xml:space="preserve"> y correo electrónico</w:t>
      </w:r>
      <w:r w:rsidRPr="00B7685D">
        <w:rPr>
          <w:rFonts w:ascii="Palatino Linotype" w:eastAsia="Palatino Linotype" w:hAnsi="Palatino Linotype" w:cs="Palatino Linotype"/>
          <w:b/>
        </w:rPr>
        <w:t xml:space="preserve">, </w:t>
      </w:r>
      <w:r w:rsidRPr="00B7685D">
        <w:rPr>
          <w:rFonts w:ascii="Palatino Linotype" w:eastAsia="Palatino Linotype" w:hAnsi="Palatino Linotype" w:cs="Palatino Linotype"/>
        </w:rPr>
        <w:t xml:space="preserve">al </w:t>
      </w:r>
      <w:r w:rsidRPr="00B7685D">
        <w:rPr>
          <w:rFonts w:ascii="Palatino Linotype" w:eastAsia="Palatino Linotype" w:hAnsi="Palatino Linotype" w:cs="Palatino Linotype"/>
          <w:b/>
        </w:rPr>
        <w:t>RECURRENTE</w:t>
      </w:r>
      <w:r w:rsidRPr="00B7685D">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9E4E2B2" w14:textId="77777777" w:rsidR="00787869" w:rsidRPr="00B7685D" w:rsidRDefault="00661B8A">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B7685D">
        <w:rPr>
          <w:rFonts w:ascii="Palatino Linotype" w:eastAsia="Palatino Linotype" w:hAnsi="Palatino Linotype" w:cs="Palatino Linotype"/>
        </w:rPr>
        <w:lastRenderedPageBreak/>
        <w:t>RAMÍREZ PEÑA; EN LA TRIGÉSIMA TERCERA SESIÓN ORDINARIA CELEBRADA EL CATORCE DE SEPTIEMBRE DE DOS MIL VEINTIDÓS, ANTE EL SECRETARIO TÉCNICO DEL PLENO, ALEXIS TAPIA RAMÍREZ.</w:t>
      </w:r>
    </w:p>
    <w:p w14:paraId="4BE2CB98" w14:textId="3863F443" w:rsidR="00444BA5" w:rsidRDefault="00444BA5">
      <w:pPr>
        <w:spacing w:before="240" w:after="240" w:line="360" w:lineRule="auto"/>
        <w:jc w:val="both"/>
        <w:rPr>
          <w:rFonts w:ascii="Palatino Linotype" w:eastAsia="Palatino Linotype" w:hAnsi="Palatino Linotype" w:cs="Palatino Linotype"/>
        </w:rPr>
      </w:pPr>
      <w:r w:rsidRPr="00B7685D">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6D9E8661" wp14:editId="11C7810D">
                <wp:simplePos x="0" y="0"/>
                <wp:positionH relativeFrom="column">
                  <wp:posOffset>358139</wp:posOffset>
                </wp:positionH>
                <wp:positionV relativeFrom="paragraph">
                  <wp:posOffset>75565</wp:posOffset>
                </wp:positionV>
                <wp:extent cx="5133975" cy="611505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133975" cy="6115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6539F"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2pt,5.95pt" to="432.45pt,4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" strokecolor="#4f81bd [3204]" strokeweight="2pt">
                <v:shadow on="t" color="black" opacity="24903f" origin=",.5" offset="0,.55556mm"/>
              </v:line>
            </w:pict>
          </mc:Fallback>
        </mc:AlternateContent>
      </w:r>
    </w:p>
    <w:p w14:paraId="3916854C" w14:textId="77777777" w:rsidR="00444BA5" w:rsidRDefault="00444BA5">
      <w:pPr>
        <w:spacing w:before="240" w:after="240" w:line="360" w:lineRule="auto"/>
        <w:jc w:val="both"/>
        <w:rPr>
          <w:rFonts w:ascii="Palatino Linotype" w:eastAsia="Palatino Linotype" w:hAnsi="Palatino Linotype" w:cs="Palatino Linotype"/>
        </w:rPr>
      </w:pPr>
    </w:p>
    <w:p w14:paraId="6C351BB4" w14:textId="56A9545E" w:rsidR="00444BA5" w:rsidRDefault="00444BA5">
      <w:pPr>
        <w:spacing w:before="240" w:after="240" w:line="360" w:lineRule="auto"/>
        <w:jc w:val="both"/>
        <w:rPr>
          <w:rFonts w:ascii="Palatino Linotype" w:eastAsia="Palatino Linotype" w:hAnsi="Palatino Linotype" w:cs="Palatino Linotype"/>
        </w:rPr>
        <w:sectPr w:rsidR="00444BA5">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p>
    <w:p w14:paraId="4C74C299" w14:textId="77777777" w:rsidR="00787869" w:rsidRDefault="00787869">
      <w:pPr>
        <w:spacing w:before="240" w:after="240" w:line="360" w:lineRule="auto"/>
        <w:jc w:val="both"/>
        <w:rPr>
          <w:rFonts w:ascii="Palatino Linotype" w:eastAsia="Palatino Linotype" w:hAnsi="Palatino Linotype" w:cs="Palatino Linotype"/>
        </w:rPr>
      </w:pPr>
    </w:p>
    <w:p w14:paraId="365A4B50" w14:textId="77777777" w:rsidR="00787869" w:rsidRDefault="00787869">
      <w:pPr>
        <w:spacing w:before="240" w:after="240" w:line="360" w:lineRule="auto"/>
        <w:jc w:val="both"/>
        <w:rPr>
          <w:rFonts w:ascii="Palatino Linotype" w:eastAsia="Palatino Linotype" w:hAnsi="Palatino Linotype" w:cs="Palatino Linotype"/>
        </w:rPr>
      </w:pPr>
    </w:p>
    <w:p w14:paraId="41080CD6" w14:textId="77777777" w:rsidR="00787869" w:rsidRDefault="00787869">
      <w:pPr>
        <w:spacing w:before="240" w:after="240" w:line="360" w:lineRule="auto"/>
        <w:jc w:val="both"/>
        <w:rPr>
          <w:rFonts w:ascii="Palatino Linotype" w:eastAsia="Palatino Linotype" w:hAnsi="Palatino Linotype" w:cs="Palatino Linotype"/>
        </w:rPr>
      </w:pPr>
    </w:p>
    <w:p w14:paraId="6CE1403C" w14:textId="77777777" w:rsidR="00787869" w:rsidRDefault="00787869">
      <w:pPr>
        <w:spacing w:before="240" w:after="240" w:line="360" w:lineRule="auto"/>
        <w:jc w:val="both"/>
        <w:rPr>
          <w:rFonts w:ascii="Palatino Linotype" w:eastAsia="Palatino Linotype" w:hAnsi="Palatino Linotype" w:cs="Palatino Linotype"/>
        </w:rPr>
      </w:pPr>
    </w:p>
    <w:p w14:paraId="186A3D7A" w14:textId="77777777" w:rsidR="00787869" w:rsidRDefault="00787869">
      <w:pPr>
        <w:spacing w:before="240" w:after="240" w:line="360" w:lineRule="auto"/>
        <w:jc w:val="both"/>
        <w:rPr>
          <w:rFonts w:ascii="Palatino Linotype" w:eastAsia="Palatino Linotype" w:hAnsi="Palatino Linotype" w:cs="Palatino Linotype"/>
        </w:rPr>
      </w:pPr>
    </w:p>
    <w:p w14:paraId="3EC53894" w14:textId="77777777" w:rsidR="00787869" w:rsidRDefault="00787869">
      <w:pPr>
        <w:spacing w:before="240" w:after="240" w:line="360" w:lineRule="auto"/>
        <w:jc w:val="both"/>
        <w:rPr>
          <w:rFonts w:ascii="Palatino Linotype" w:eastAsia="Palatino Linotype" w:hAnsi="Palatino Linotype" w:cs="Palatino Linotype"/>
        </w:rPr>
      </w:pPr>
    </w:p>
    <w:p w14:paraId="2F1855A4" w14:textId="77777777" w:rsidR="00787869" w:rsidRDefault="00787869">
      <w:pPr>
        <w:spacing w:before="240" w:after="240" w:line="360" w:lineRule="auto"/>
        <w:jc w:val="both"/>
        <w:rPr>
          <w:rFonts w:ascii="Palatino Linotype" w:eastAsia="Palatino Linotype" w:hAnsi="Palatino Linotype" w:cs="Palatino Linotype"/>
        </w:rPr>
      </w:pPr>
    </w:p>
    <w:p w14:paraId="539A402E" w14:textId="77777777" w:rsidR="00787869" w:rsidRDefault="00787869">
      <w:pPr>
        <w:spacing w:before="240" w:after="240" w:line="360" w:lineRule="auto"/>
        <w:jc w:val="both"/>
        <w:rPr>
          <w:rFonts w:ascii="Palatino Linotype" w:eastAsia="Palatino Linotype" w:hAnsi="Palatino Linotype" w:cs="Palatino Linotype"/>
        </w:rPr>
      </w:pPr>
    </w:p>
    <w:sectPr w:rsidR="00787869">
      <w:head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DE39A" w14:textId="77777777" w:rsidR="00C10D99" w:rsidRDefault="00C10D99">
      <w:r>
        <w:separator/>
      </w:r>
    </w:p>
  </w:endnote>
  <w:endnote w:type="continuationSeparator" w:id="0">
    <w:p w14:paraId="0A12236B" w14:textId="77777777" w:rsidR="00C10D99" w:rsidRDefault="00C10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C3A7C" w14:textId="77777777" w:rsidR="00787869" w:rsidRDefault="00661B8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A4F86">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4F86">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1DEC6EE8" w14:textId="77777777" w:rsidR="00787869" w:rsidRDefault="0078786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8F3DB" w14:textId="77777777" w:rsidR="00787869" w:rsidRDefault="00661B8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A4F8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4F86">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386FE549" w14:textId="77777777" w:rsidR="00787869" w:rsidRDefault="0078786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FA5A4" w14:textId="77777777" w:rsidR="00C10D99" w:rsidRDefault="00C10D99">
      <w:r>
        <w:separator/>
      </w:r>
    </w:p>
  </w:footnote>
  <w:footnote w:type="continuationSeparator" w:id="0">
    <w:p w14:paraId="7E3D1B7F" w14:textId="77777777" w:rsidR="00C10D99" w:rsidRDefault="00C10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19522" w14:textId="77777777" w:rsidR="00787869" w:rsidRDefault="00661B8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783392D" wp14:editId="40355461">
          <wp:simplePos x="0" y="0"/>
          <wp:positionH relativeFrom="column">
            <wp:posOffset>-1080132</wp:posOffset>
          </wp:positionH>
          <wp:positionV relativeFrom="paragraph">
            <wp:posOffset>-396399</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787869" w14:paraId="5A0FED36" w14:textId="77777777">
      <w:tc>
        <w:tcPr>
          <w:tcW w:w="2489" w:type="dxa"/>
          <w:shd w:val="clear" w:color="auto" w:fill="auto"/>
        </w:tcPr>
        <w:p w14:paraId="6EE305A0" w14:textId="77777777" w:rsidR="00787869" w:rsidRDefault="00661B8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165BC7E2" w14:textId="77777777" w:rsidR="00787869" w:rsidRDefault="00661B8A">
          <w:pPr>
            <w:ind w:right="175"/>
            <w:jc w:val="both"/>
            <w:rPr>
              <w:rFonts w:ascii="Palatino Linotype" w:eastAsia="Palatino Linotype" w:hAnsi="Palatino Linotype" w:cs="Palatino Linotype"/>
              <w:b/>
            </w:rPr>
          </w:pPr>
          <w:r>
            <w:rPr>
              <w:rFonts w:ascii="Palatino Linotype" w:eastAsia="Palatino Linotype" w:hAnsi="Palatino Linotype" w:cs="Palatino Linotype"/>
              <w:b/>
            </w:rPr>
            <w:t>06389/INFOEM/IP/RR/2022</w:t>
          </w:r>
        </w:p>
      </w:tc>
    </w:tr>
    <w:tr w:rsidR="00787869" w14:paraId="16F9B782" w14:textId="77777777">
      <w:trPr>
        <w:trHeight w:val="228"/>
      </w:trPr>
      <w:tc>
        <w:tcPr>
          <w:tcW w:w="2489" w:type="dxa"/>
          <w:shd w:val="clear" w:color="auto" w:fill="auto"/>
          <w:vAlign w:val="center"/>
        </w:tcPr>
        <w:p w14:paraId="300C0EBA" w14:textId="77777777" w:rsidR="00787869" w:rsidRDefault="00661B8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99DD4CE" w14:textId="77777777" w:rsidR="00787869" w:rsidRDefault="00661B8A">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Valle de Bravo</w:t>
          </w:r>
        </w:p>
      </w:tc>
    </w:tr>
    <w:tr w:rsidR="00787869" w14:paraId="1F7A74FE" w14:textId="77777777">
      <w:tc>
        <w:tcPr>
          <w:tcW w:w="2489" w:type="dxa"/>
          <w:shd w:val="clear" w:color="auto" w:fill="auto"/>
          <w:vAlign w:val="center"/>
        </w:tcPr>
        <w:p w14:paraId="0501B372" w14:textId="77777777" w:rsidR="00787869" w:rsidRDefault="00661B8A">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2D4DDF40" w14:textId="77777777" w:rsidR="00787869" w:rsidRDefault="00661B8A">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7E6E67A" w14:textId="77777777" w:rsidR="00787869" w:rsidRDefault="00661B8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71059" w14:textId="77777777" w:rsidR="00787869" w:rsidRDefault="0078786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953" w:type="dxa"/>
      <w:tblInd w:w="3261" w:type="dxa"/>
      <w:tblLayout w:type="fixed"/>
      <w:tblLook w:val="0400" w:firstRow="0" w:lastRow="0" w:firstColumn="0" w:lastColumn="0" w:noHBand="0" w:noVBand="1"/>
    </w:tblPr>
    <w:tblGrid>
      <w:gridCol w:w="2551"/>
      <w:gridCol w:w="3402"/>
    </w:tblGrid>
    <w:tr w:rsidR="00787869" w14:paraId="1D6141B0" w14:textId="77777777">
      <w:tc>
        <w:tcPr>
          <w:tcW w:w="2551" w:type="dxa"/>
          <w:shd w:val="clear" w:color="auto" w:fill="auto"/>
          <w:vAlign w:val="center"/>
        </w:tcPr>
        <w:p w14:paraId="780AE75E" w14:textId="77777777" w:rsidR="00787869" w:rsidRDefault="00661B8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555AF476" w14:textId="77777777" w:rsidR="00787869" w:rsidRDefault="00661B8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06389/INFOEM/IP/RR/2022</w:t>
          </w:r>
        </w:p>
      </w:tc>
    </w:tr>
    <w:tr w:rsidR="00787869" w14:paraId="44A73BE9" w14:textId="77777777">
      <w:trPr>
        <w:trHeight w:val="130"/>
      </w:trPr>
      <w:tc>
        <w:tcPr>
          <w:tcW w:w="2551" w:type="dxa"/>
          <w:shd w:val="clear" w:color="auto" w:fill="auto"/>
          <w:vAlign w:val="center"/>
        </w:tcPr>
        <w:p w14:paraId="3721C937" w14:textId="77777777" w:rsidR="00787869" w:rsidRDefault="00661B8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26311960" w14:textId="767A9D5A" w:rsidR="00787869" w:rsidRDefault="005A4F86" w:rsidP="005A4F86">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w:t>
          </w:r>
          <w:r w:rsidR="00661B8A">
            <w:rPr>
              <w:rFonts w:ascii="Palatino Linotype" w:eastAsia="Palatino Linotype" w:hAnsi="Palatino Linotype" w:cs="Palatino Linotype"/>
              <w:b/>
            </w:rPr>
            <w:t xml:space="preserve"> </w:t>
          </w:r>
          <w:r>
            <w:rPr>
              <w:rFonts w:ascii="Palatino Linotype" w:eastAsia="Palatino Linotype" w:hAnsi="Palatino Linotype" w:cs="Palatino Linotype"/>
              <w:b/>
            </w:rPr>
            <w:t>XXXXXX XXXXX</w:t>
          </w:r>
        </w:p>
      </w:tc>
    </w:tr>
    <w:tr w:rsidR="00787869" w14:paraId="135EA12C" w14:textId="77777777">
      <w:trPr>
        <w:trHeight w:val="228"/>
      </w:trPr>
      <w:tc>
        <w:tcPr>
          <w:tcW w:w="2551" w:type="dxa"/>
          <w:shd w:val="clear" w:color="auto" w:fill="auto"/>
          <w:vAlign w:val="center"/>
        </w:tcPr>
        <w:p w14:paraId="5EB230C9" w14:textId="77777777" w:rsidR="00787869" w:rsidRDefault="00661B8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7506725F" w14:textId="77777777" w:rsidR="00787869" w:rsidRDefault="00661B8A">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Valle de Bravo</w:t>
          </w:r>
        </w:p>
      </w:tc>
    </w:tr>
    <w:tr w:rsidR="00787869" w14:paraId="2051B010" w14:textId="77777777">
      <w:tc>
        <w:tcPr>
          <w:tcW w:w="2551" w:type="dxa"/>
          <w:shd w:val="clear" w:color="auto" w:fill="auto"/>
          <w:vAlign w:val="center"/>
        </w:tcPr>
        <w:p w14:paraId="3059D5CC" w14:textId="77777777" w:rsidR="00787869" w:rsidRDefault="00661B8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016BD186" w14:textId="77777777" w:rsidR="00787869" w:rsidRDefault="00661B8A">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8DC19FF" w14:textId="77777777" w:rsidR="00787869" w:rsidRDefault="00661B8A">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8F2EFB1" wp14:editId="7AE24D10">
          <wp:simplePos x="0" y="0"/>
          <wp:positionH relativeFrom="column">
            <wp:posOffset>-1175382</wp:posOffset>
          </wp:positionH>
          <wp:positionV relativeFrom="paragraph">
            <wp:posOffset>-1325242</wp:posOffset>
          </wp:positionV>
          <wp:extent cx="7809865" cy="10165715"/>
          <wp:effectExtent l="0" t="0" r="0" b="0"/>
          <wp:wrapNone/>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6CA18" w14:textId="77777777" w:rsidR="00787869" w:rsidRDefault="0078786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36A3D41C" w14:textId="77777777" w:rsidR="00787869" w:rsidRDefault="0078786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E555A"/>
    <w:multiLevelType w:val="multilevel"/>
    <w:tmpl w:val="461033F0"/>
    <w:lvl w:ilvl="0">
      <w:start w:val="1"/>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3632570C"/>
    <w:multiLevelType w:val="multilevel"/>
    <w:tmpl w:val="51626F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4BA240CE"/>
    <w:multiLevelType w:val="multilevel"/>
    <w:tmpl w:val="CE8C7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18B0E2D"/>
    <w:multiLevelType w:val="multilevel"/>
    <w:tmpl w:val="24BA6E46"/>
    <w:lvl w:ilvl="0">
      <w:start w:val="3"/>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6D545D7"/>
    <w:multiLevelType w:val="multilevel"/>
    <w:tmpl w:val="0A1048F6"/>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869"/>
    <w:rsid w:val="000032DA"/>
    <w:rsid w:val="000E27D9"/>
    <w:rsid w:val="002277DE"/>
    <w:rsid w:val="00306285"/>
    <w:rsid w:val="00444BA5"/>
    <w:rsid w:val="004C7409"/>
    <w:rsid w:val="005A4F86"/>
    <w:rsid w:val="005B651F"/>
    <w:rsid w:val="00661B8A"/>
    <w:rsid w:val="00787869"/>
    <w:rsid w:val="00B72356"/>
    <w:rsid w:val="00B7685D"/>
    <w:rsid w:val="00C10D99"/>
    <w:rsid w:val="00DD6718"/>
    <w:rsid w:val="00E1446E"/>
    <w:rsid w:val="00E92E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632D5"/>
  <w15:docId w15:val="{38845E38-C414-483A-A352-696243E91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RpQWyEsniOmX+8smrmWO91Ln1w==">AMUW2mXdM/soTegJVHIz6CQcu5drB6wXscV6aBBca9FRRWCJ3sLwrsNItO7emhvf/it9Lqy//qXKp+ObSP6XNd/GNkgAo2wqFq+INc8QQlTSCTDD4p6Z3zSePn0neUJfWkgbcvbDUqB0jD8FdkBXQcEGmYg0JNEtMGnM19Etclhvntil9//19cQ=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BF0D58-23B6-4197-B39A-4D489507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7910</Words>
  <Characters>43507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2022-09-19T17:34:00Z</cp:lastPrinted>
  <dcterms:created xsi:type="dcterms:W3CDTF">2022-09-29T19:56:00Z</dcterms:created>
  <dcterms:modified xsi:type="dcterms:W3CDTF">2022-09-29T19:56:00Z</dcterms:modified>
</cp:coreProperties>
</file>