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410D39" w14:textId="6B31450A" w:rsidR="00E93FC1" w:rsidRPr="00E420D7" w:rsidRDefault="00E93FC1" w:rsidP="00730D0C">
      <w:pPr>
        <w:tabs>
          <w:tab w:val="left" w:pos="0"/>
        </w:tabs>
        <w:spacing w:before="240" w:after="240" w:line="360" w:lineRule="auto"/>
        <w:jc w:val="both"/>
        <w:rPr>
          <w:rFonts w:ascii="Palatino Linotype" w:hAnsi="Palatino Linotype"/>
        </w:rPr>
      </w:pPr>
      <w:r w:rsidRPr="00E420D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3C4F22">
        <w:rPr>
          <w:rFonts w:ascii="Palatino Linotype" w:hAnsi="Palatino Linotype"/>
        </w:rPr>
        <w:t>veintitrés (23</w:t>
      </w:r>
      <w:r w:rsidR="00681B03">
        <w:rPr>
          <w:rFonts w:ascii="Palatino Linotype" w:hAnsi="Palatino Linotype"/>
        </w:rPr>
        <w:t xml:space="preserve">) de febrero </w:t>
      </w:r>
      <w:r w:rsidR="00E42703" w:rsidRPr="00E420D7">
        <w:rPr>
          <w:rFonts w:ascii="Palatino Linotype" w:hAnsi="Palatino Linotype"/>
        </w:rPr>
        <w:t>de dos mil veintidós</w:t>
      </w:r>
      <w:r w:rsidR="004F050E">
        <w:rPr>
          <w:rFonts w:ascii="Palatino Linotype" w:hAnsi="Palatino Linotype"/>
        </w:rPr>
        <w:t xml:space="preserve">. </w:t>
      </w:r>
    </w:p>
    <w:p w14:paraId="7FA52FFA" w14:textId="77777777" w:rsidR="00E93FC1" w:rsidRPr="00E420D7" w:rsidRDefault="00E93FC1" w:rsidP="00730D0C">
      <w:pPr>
        <w:spacing w:before="240" w:after="240" w:line="360" w:lineRule="auto"/>
        <w:jc w:val="both"/>
        <w:rPr>
          <w:rFonts w:ascii="Palatino Linotype" w:hAnsi="Palatino Linotype"/>
        </w:rPr>
      </w:pPr>
      <w:r w:rsidRPr="00E420D7">
        <w:rPr>
          <w:rFonts w:ascii="Palatino Linotype" w:hAnsi="Palatino Linotype"/>
          <w:b/>
        </w:rPr>
        <w:t>VISTO</w:t>
      </w:r>
      <w:r w:rsidRPr="00E420D7">
        <w:rPr>
          <w:rFonts w:ascii="Palatino Linotype" w:hAnsi="Palatino Linotype"/>
        </w:rPr>
        <w:t xml:space="preserve"> el expediente electrónico formado con motivo del recurso de revisión </w:t>
      </w:r>
      <w:r w:rsidR="00E919FF">
        <w:rPr>
          <w:rFonts w:ascii="Palatino Linotype" w:hAnsi="Palatino Linotype" w:cs="Arial"/>
          <w:b/>
          <w:bCs/>
        </w:rPr>
        <w:t>00283</w:t>
      </w:r>
      <w:r w:rsidRPr="00E420D7">
        <w:rPr>
          <w:rFonts w:ascii="Palatino Linotype" w:hAnsi="Palatino Linotype" w:cs="Arial"/>
          <w:b/>
          <w:bCs/>
        </w:rPr>
        <w:t xml:space="preserve">/INFOEM/IP/RR/2021, </w:t>
      </w:r>
      <w:r w:rsidRPr="00E919FF">
        <w:rPr>
          <w:rFonts w:ascii="Palatino Linotype" w:hAnsi="Palatino Linotype"/>
        </w:rPr>
        <w:t xml:space="preserve">promovido </w:t>
      </w:r>
      <w:r w:rsidR="00E919FF" w:rsidRPr="00E919FF">
        <w:rPr>
          <w:rFonts w:ascii="Palatino Linotype" w:hAnsi="Palatino Linotype"/>
        </w:rPr>
        <w:t>un usuario del</w:t>
      </w:r>
      <w:r w:rsidR="00E919FF">
        <w:rPr>
          <w:rFonts w:ascii="Palatino Linotype" w:hAnsi="Palatino Linotype"/>
          <w:b/>
        </w:rPr>
        <w:t xml:space="preserve"> Sistema de Acceso a la Información Mexiquense (SAIMEX)</w:t>
      </w:r>
      <w:r w:rsidRPr="00E420D7">
        <w:rPr>
          <w:rFonts w:ascii="Palatino Linotype" w:hAnsi="Palatino Linotype"/>
        </w:rPr>
        <w:t>,</w:t>
      </w:r>
      <w:r w:rsidR="00E919FF">
        <w:rPr>
          <w:rFonts w:ascii="Palatino Linotype" w:hAnsi="Palatino Linotype"/>
        </w:rPr>
        <w:t xml:space="preserve"> quien no proporcionó nombre o seudónimo para ser identificado y que</w:t>
      </w:r>
      <w:r w:rsidRPr="00E420D7">
        <w:rPr>
          <w:rFonts w:ascii="Palatino Linotype" w:hAnsi="Palatino Linotype"/>
        </w:rPr>
        <w:t xml:space="preserve"> en lo sucesivo se le identificara como </w:t>
      </w:r>
      <w:r w:rsidRPr="00E420D7">
        <w:rPr>
          <w:rFonts w:ascii="Palatino Linotype" w:hAnsi="Palatino Linotype"/>
          <w:b/>
        </w:rPr>
        <w:t>RECURRENTE</w:t>
      </w:r>
      <w:r w:rsidRPr="00E420D7">
        <w:rPr>
          <w:rFonts w:ascii="Palatino Linotype" w:hAnsi="Palatino Linotype"/>
        </w:rPr>
        <w:t>, en contra de la</w:t>
      </w:r>
      <w:r w:rsidRPr="00E420D7">
        <w:rPr>
          <w:rFonts w:ascii="Palatino Linotype" w:hAnsi="Palatino Linotype" w:cs="Arial"/>
        </w:rPr>
        <w:t xml:space="preserve"> respuesta del  </w:t>
      </w:r>
      <w:r w:rsidR="00E919FF">
        <w:rPr>
          <w:rFonts w:ascii="Palatino Linotype" w:eastAsia="Calibri" w:hAnsi="Palatino Linotype" w:cs="Tahoma"/>
          <w:b/>
          <w:szCs w:val="22"/>
          <w:lang w:eastAsia="en-US"/>
        </w:rPr>
        <w:t>Comisión de Conciliación y Arbitraje Médico del Estado de México</w:t>
      </w:r>
      <w:r w:rsidRPr="00E420D7">
        <w:rPr>
          <w:rFonts w:ascii="Palatino Linotype" w:hAnsi="Palatino Linotype" w:cs="Arial"/>
          <w:b/>
        </w:rPr>
        <w:t xml:space="preserve">, </w:t>
      </w:r>
      <w:r w:rsidRPr="00E420D7">
        <w:rPr>
          <w:rFonts w:ascii="Palatino Linotype" w:hAnsi="Palatino Linotype"/>
        </w:rPr>
        <w:t>en lo sucesivo el</w:t>
      </w:r>
      <w:r w:rsidRPr="00E420D7">
        <w:rPr>
          <w:rFonts w:ascii="Palatino Linotype" w:hAnsi="Palatino Linotype"/>
          <w:b/>
        </w:rPr>
        <w:t xml:space="preserve"> SUJETO OBLIGADO, </w:t>
      </w:r>
      <w:r w:rsidRPr="00E420D7">
        <w:rPr>
          <w:rFonts w:ascii="Palatino Linotype" w:hAnsi="Palatino Linotype"/>
        </w:rPr>
        <w:t>se procede a dictar la presente resolució</w:t>
      </w:r>
      <w:r w:rsidR="004F050E">
        <w:rPr>
          <w:rFonts w:ascii="Palatino Linotype" w:hAnsi="Palatino Linotype"/>
        </w:rPr>
        <w:t xml:space="preserve">n, con base en los siguientes: </w:t>
      </w:r>
    </w:p>
    <w:p w14:paraId="7F2E75B7" w14:textId="77777777" w:rsidR="00E93FC1" w:rsidRPr="00E420D7"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0" w:name="_Toc496274633"/>
      <w:bookmarkStart w:id="1" w:name="_Toc490060616"/>
      <w:bookmarkStart w:id="2" w:name="_Toc499727165"/>
      <w:bookmarkStart w:id="3" w:name="_Toc94119610"/>
      <w:r w:rsidRPr="00E420D7">
        <w:rPr>
          <w:rFonts w:ascii="Palatino Linotype" w:hAnsi="Palatino Linotype"/>
          <w:b/>
          <w:lang w:eastAsia="en-US"/>
        </w:rPr>
        <w:t>ANTECEDENTES</w:t>
      </w:r>
      <w:bookmarkEnd w:id="0"/>
      <w:bookmarkEnd w:id="1"/>
      <w:bookmarkEnd w:id="2"/>
      <w:bookmarkEnd w:id="3"/>
    </w:p>
    <w:p w14:paraId="3466DCE6" w14:textId="77777777" w:rsidR="00E93FC1" w:rsidRPr="00E420D7"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E420D7">
        <w:rPr>
          <w:rFonts w:ascii="Palatino Linotype" w:eastAsia="Calibri" w:hAnsi="Palatino Linotype" w:cs="Arial"/>
          <w:lang w:val="es-ES"/>
        </w:rPr>
        <w:t xml:space="preserve">El </w:t>
      </w:r>
      <w:r w:rsidR="001D1BE5">
        <w:rPr>
          <w:rFonts w:ascii="Palatino Linotype" w:eastAsia="Calibri" w:hAnsi="Palatino Linotype" w:cs="Arial"/>
          <w:lang w:val="es-ES"/>
        </w:rPr>
        <w:t>once (11</w:t>
      </w:r>
      <w:r w:rsidR="004F050E">
        <w:rPr>
          <w:rFonts w:ascii="Palatino Linotype" w:eastAsia="Calibri" w:hAnsi="Palatino Linotype" w:cs="Arial"/>
          <w:lang w:val="es-ES"/>
        </w:rPr>
        <w:t>) de diciembre</w:t>
      </w:r>
      <w:r w:rsidR="00E93FC1" w:rsidRPr="00E420D7">
        <w:rPr>
          <w:rFonts w:ascii="Palatino Linotype" w:eastAsia="Calibri" w:hAnsi="Palatino Linotype" w:cs="Arial"/>
          <w:lang w:val="es-ES"/>
        </w:rPr>
        <w:t xml:space="preserve">  de dos mil veintiuno,</w:t>
      </w:r>
      <w:r w:rsidR="00E93FC1" w:rsidRPr="00E420D7">
        <w:rPr>
          <w:rFonts w:ascii="Palatino Linotype" w:eastAsia="Calibri" w:hAnsi="Palatino Linotype"/>
          <w:lang w:val="es-ES"/>
        </w:rPr>
        <w:t xml:space="preserve"> </w:t>
      </w:r>
      <w:r w:rsidR="00E93FC1" w:rsidRPr="00E420D7">
        <w:rPr>
          <w:rFonts w:ascii="Palatino Linotype" w:hAnsi="Palatino Linotype"/>
        </w:rPr>
        <w:t>el</w:t>
      </w:r>
      <w:r w:rsidR="00E93FC1" w:rsidRPr="00E420D7">
        <w:rPr>
          <w:rFonts w:ascii="Palatino Linotype" w:hAnsi="Palatino Linotype"/>
          <w:b/>
        </w:rPr>
        <w:t xml:space="preserve"> </w:t>
      </w:r>
      <w:r w:rsidR="00E93FC1" w:rsidRPr="00E420D7">
        <w:rPr>
          <w:rFonts w:ascii="Palatino Linotype" w:hAnsi="Palatino Linotype"/>
        </w:rPr>
        <w:t>solicitante</w:t>
      </w:r>
      <w:r w:rsidR="00E93FC1" w:rsidRPr="00E420D7">
        <w:rPr>
          <w:rFonts w:ascii="Palatino Linotype" w:hAnsi="Palatino Linotype"/>
          <w:b/>
        </w:rPr>
        <w:t xml:space="preserve">  </w:t>
      </w:r>
      <w:r w:rsidR="00E93FC1" w:rsidRPr="00E420D7">
        <w:rPr>
          <w:rFonts w:ascii="Palatino Linotype" w:hAnsi="Palatino Linotype"/>
        </w:rPr>
        <w:t>presentó</w:t>
      </w:r>
      <w:r w:rsidR="00E93FC1" w:rsidRPr="00E420D7">
        <w:rPr>
          <w:rFonts w:ascii="Palatino Linotype" w:hAnsi="Palatino Linotype"/>
          <w:b/>
        </w:rPr>
        <w:t xml:space="preserve"> </w:t>
      </w:r>
      <w:r w:rsidR="00E93FC1" w:rsidRPr="00E420D7">
        <w:rPr>
          <w:rFonts w:ascii="Palatino Linotype" w:eastAsia="Calibri" w:hAnsi="Palatino Linotype" w:cs="Arial"/>
          <w:lang w:val="es-ES"/>
        </w:rPr>
        <w:t xml:space="preserve">ante el </w:t>
      </w:r>
      <w:r w:rsidR="00E93FC1" w:rsidRPr="00E420D7">
        <w:rPr>
          <w:rFonts w:ascii="Palatino Linotype" w:eastAsia="Calibri" w:hAnsi="Palatino Linotype" w:cs="Arial"/>
          <w:b/>
          <w:lang w:val="es-ES"/>
        </w:rPr>
        <w:t>SUJETO OBLIGADO,</w:t>
      </w:r>
      <w:r w:rsidR="00E93FC1" w:rsidRPr="00E420D7">
        <w:rPr>
          <w:rFonts w:ascii="Palatino Linotype" w:eastAsia="Calibri" w:hAnsi="Palatino Linotype" w:cs="Arial"/>
        </w:rPr>
        <w:t xml:space="preserve"> </w:t>
      </w:r>
      <w:r w:rsidRPr="00E420D7">
        <w:rPr>
          <w:rFonts w:ascii="Palatino Linotype" w:eastAsia="Calibri" w:hAnsi="Palatino Linotype" w:cs="Arial"/>
        </w:rPr>
        <w:t xml:space="preserve">a través de la </w:t>
      </w:r>
      <w:r w:rsidR="007A3D32" w:rsidRPr="00E420D7">
        <w:rPr>
          <w:rFonts w:ascii="Palatino Linotype" w:eastAsia="Calibri" w:hAnsi="Palatino Linotype" w:cs="Arial"/>
        </w:rPr>
        <w:t>Plataforma digital Sistema de Acceso a la Información Mexiquense (SAIMEX),</w:t>
      </w:r>
      <w:r w:rsidR="00E93FC1" w:rsidRPr="00E420D7">
        <w:rPr>
          <w:rFonts w:ascii="Palatino Linotype" w:eastAsia="Calibri" w:hAnsi="Palatino Linotype" w:cs="Arial"/>
          <w:lang w:val="es-ES"/>
        </w:rPr>
        <w:t xml:space="preserve"> la solicitud de información pública registrada con el número </w:t>
      </w:r>
      <w:r w:rsidR="00E93FC1" w:rsidRPr="00E420D7">
        <w:rPr>
          <w:rFonts w:ascii="Palatino Linotype" w:hAnsi="Palatino Linotype"/>
          <w:b/>
          <w:bCs/>
        </w:rPr>
        <w:t> </w:t>
      </w:r>
      <w:r w:rsidR="00E919FF" w:rsidRPr="00E919FF">
        <w:rPr>
          <w:rFonts w:ascii="Palatino Linotype" w:hAnsi="Palatino Linotype"/>
          <w:b/>
          <w:bCs/>
        </w:rPr>
        <w:t>00319/CAMEM/IP/2021</w:t>
      </w:r>
      <w:r w:rsidR="00E93FC1" w:rsidRPr="00E420D7">
        <w:rPr>
          <w:rFonts w:ascii="Palatino Linotype" w:eastAsia="Calibri" w:hAnsi="Palatino Linotype" w:cs="Arial"/>
          <w:lang w:val="es-ES"/>
        </w:rPr>
        <w:t>, mediante la cual se solicitó:</w:t>
      </w:r>
    </w:p>
    <w:p w14:paraId="6935414A" w14:textId="77777777" w:rsidR="00E93FC1" w:rsidRPr="00E420D7" w:rsidRDefault="00E93FC1" w:rsidP="00730D0C">
      <w:pPr>
        <w:tabs>
          <w:tab w:val="left" w:pos="0"/>
        </w:tabs>
        <w:spacing w:before="240" w:after="240" w:line="360" w:lineRule="auto"/>
        <w:ind w:left="360"/>
        <w:contextualSpacing/>
        <w:jc w:val="both"/>
        <w:rPr>
          <w:rFonts w:ascii="Palatino Linotype" w:eastAsia="Calibri" w:hAnsi="Palatino Linotype" w:cs="Arial"/>
          <w:lang w:val="es-ES"/>
        </w:rPr>
      </w:pPr>
    </w:p>
    <w:p w14:paraId="3B1696A4" w14:textId="77777777" w:rsidR="00E93FC1" w:rsidRDefault="00E93FC1" w:rsidP="004F050E">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E420D7">
        <w:rPr>
          <w:rFonts w:ascii="Palatino Linotype" w:hAnsi="Palatino Linotype" w:cs="Arial"/>
          <w:i/>
          <w:sz w:val="22"/>
          <w:szCs w:val="22"/>
          <w:lang w:val="es-ES"/>
        </w:rPr>
        <w:t>“</w:t>
      </w:r>
      <w:r w:rsidR="00E919FF" w:rsidRPr="00E919FF">
        <w:rPr>
          <w:rFonts w:ascii="Palatino Linotype" w:hAnsi="Palatino Linotype"/>
          <w:i/>
          <w:color w:val="000000"/>
          <w:sz w:val="22"/>
          <w:szCs w:val="22"/>
        </w:rPr>
        <w:t>SOLICITO AMABLEMENTE ME INFORMEN QUE INSTITUCIÓN FINANCIERA DE SEGUROS ES LA ENCARGADA DE CUBRIR LOS SINIESTROS DERIVADOS DEL SEGURO DE VIDA INSTITUCIONAL PARA LOS SERVIDORES PÚBLICOS DE LA DEPENDENCIA, EN OTRAS PALABRAS QUE ASEGURADORA CONTRATÓ LA CCAMEM PARA EFECTOS DEL SEGURO DE VIDA INSTITUCIONAL.</w:t>
      </w:r>
      <w:r w:rsidR="004F050E">
        <w:rPr>
          <w:rFonts w:ascii="Palatino Linotype" w:hAnsi="Palatino Linotype" w:cs="Arial"/>
          <w:i/>
          <w:sz w:val="22"/>
          <w:szCs w:val="22"/>
          <w:lang w:val="es-ES"/>
        </w:rPr>
        <w:t>” (Sic)</w:t>
      </w:r>
    </w:p>
    <w:p w14:paraId="6C9DD47D" w14:textId="77777777" w:rsidR="004F050E" w:rsidRPr="004F050E" w:rsidRDefault="004F050E" w:rsidP="004F050E">
      <w:pPr>
        <w:tabs>
          <w:tab w:val="left" w:pos="0"/>
        </w:tabs>
        <w:spacing w:before="240" w:after="240" w:line="360" w:lineRule="auto"/>
        <w:ind w:right="49"/>
        <w:contextualSpacing/>
        <w:jc w:val="both"/>
        <w:rPr>
          <w:rFonts w:ascii="Palatino Linotype" w:hAnsi="Palatino Linotype" w:cs="Arial"/>
          <w:i/>
          <w:sz w:val="22"/>
          <w:szCs w:val="22"/>
          <w:lang w:val="es-ES"/>
        </w:rPr>
      </w:pPr>
    </w:p>
    <w:p w14:paraId="7DEDA11D" w14:textId="77777777" w:rsidR="00E93FC1" w:rsidRPr="00E919FF" w:rsidRDefault="00E93FC1" w:rsidP="00E919FF">
      <w:pPr>
        <w:pStyle w:val="Prrafodelista"/>
        <w:numPr>
          <w:ilvl w:val="0"/>
          <w:numId w:val="1"/>
        </w:numPr>
        <w:spacing w:before="240" w:after="240" w:line="360" w:lineRule="auto"/>
        <w:ind w:left="0" w:firstLine="0"/>
        <w:jc w:val="both"/>
        <w:rPr>
          <w:rFonts w:ascii="Palatino Linotype" w:hAnsi="Palatino Linotype" w:cs="Arial"/>
          <w:i/>
          <w:sz w:val="24"/>
        </w:rPr>
      </w:pPr>
      <w:r w:rsidRPr="00E420D7">
        <w:rPr>
          <w:rFonts w:ascii="Palatino Linotype" w:hAnsi="Palatino Linotype" w:cs="Arial"/>
          <w:sz w:val="24"/>
        </w:rPr>
        <w:lastRenderedPageBreak/>
        <w:t xml:space="preserve">Se hace constar que se señaló como modalidad de entrega de la información a través </w:t>
      </w:r>
      <w:r w:rsidR="00E919FF">
        <w:rPr>
          <w:rFonts w:ascii="Palatino Linotype" w:hAnsi="Palatino Linotype" w:cs="Arial"/>
          <w:sz w:val="24"/>
        </w:rPr>
        <w:t>del Sistema de Acceso a la Información Mexiquense (SAIMEX).</w:t>
      </w:r>
      <w:r w:rsidRPr="00E420D7">
        <w:rPr>
          <w:rFonts w:ascii="Palatino Linotype" w:hAnsi="Palatino Linotype" w:cs="Arial"/>
          <w:b/>
          <w:sz w:val="24"/>
        </w:rPr>
        <w:t xml:space="preserve">  </w:t>
      </w:r>
    </w:p>
    <w:p w14:paraId="204AD058" w14:textId="77777777" w:rsidR="004F050E" w:rsidRPr="004F050E"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4F050E">
        <w:rPr>
          <w:rFonts w:ascii="Palatino Linotype" w:hAnsi="Palatino Linotype" w:cs="Arial"/>
          <w:lang w:val="es-ES"/>
        </w:rPr>
        <w:t xml:space="preserve">El </w:t>
      </w:r>
      <w:r w:rsidR="003D572E">
        <w:rPr>
          <w:rFonts w:ascii="Palatino Linotype" w:hAnsi="Palatino Linotype" w:cs="Arial"/>
          <w:lang w:val="es-ES"/>
        </w:rPr>
        <w:t>diecisiete (17) de enero  de dos mil veintidós</w:t>
      </w:r>
      <w:r w:rsidRPr="004F050E">
        <w:rPr>
          <w:rFonts w:ascii="Palatino Linotype" w:hAnsi="Palatino Linotype" w:cs="Arial"/>
          <w:lang w:val="es-ES"/>
        </w:rPr>
        <w:t xml:space="preserve">, se realizó un requerimiento </w:t>
      </w:r>
      <w:r w:rsidR="003D572E">
        <w:rPr>
          <w:rFonts w:ascii="Palatino Linotype" w:hAnsi="Palatino Linotype" w:cs="Arial"/>
          <w:lang w:val="es-ES"/>
        </w:rPr>
        <w:t>al servidor público habilitado.</w:t>
      </w:r>
    </w:p>
    <w:p w14:paraId="71278EB7" w14:textId="77777777" w:rsidR="004F050E" w:rsidRPr="003D572E" w:rsidRDefault="004F050E" w:rsidP="003D572E">
      <w:pPr>
        <w:rPr>
          <w:rFonts w:ascii="Palatino Linotype" w:eastAsia="Calibri" w:hAnsi="Palatino Linotype" w:cs="Arial"/>
          <w:lang w:val="es-AR"/>
        </w:rPr>
      </w:pPr>
    </w:p>
    <w:p w14:paraId="159AFF04" w14:textId="77777777" w:rsidR="00E93FC1" w:rsidRPr="0005455E"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E420D7">
        <w:rPr>
          <w:rFonts w:ascii="Palatino Linotype" w:eastAsia="Calibri" w:hAnsi="Palatino Linotype" w:cs="Arial"/>
          <w:lang w:val="es-AR"/>
        </w:rPr>
        <w:t>El</w:t>
      </w:r>
      <w:r w:rsidR="00E50E5B" w:rsidRPr="00E420D7">
        <w:rPr>
          <w:rFonts w:ascii="Palatino Linotype" w:hAnsi="Palatino Linotype" w:cs="Arial"/>
          <w:lang w:val="es-ES"/>
        </w:rPr>
        <w:t xml:space="preserve"> </w:t>
      </w:r>
      <w:r w:rsidR="003D572E">
        <w:rPr>
          <w:rFonts w:ascii="Palatino Linotype" w:hAnsi="Palatino Linotype" w:cs="Arial"/>
          <w:lang w:val="es-ES"/>
        </w:rPr>
        <w:t xml:space="preserve">diecisiete </w:t>
      </w:r>
      <w:r w:rsidR="001D1BE5">
        <w:rPr>
          <w:rFonts w:ascii="Palatino Linotype" w:hAnsi="Palatino Linotype" w:cs="Arial"/>
          <w:lang w:val="es-ES"/>
        </w:rPr>
        <w:t xml:space="preserve">(17) </w:t>
      </w:r>
      <w:r w:rsidR="003D572E">
        <w:rPr>
          <w:rFonts w:ascii="Palatino Linotype" w:hAnsi="Palatino Linotype" w:cs="Arial"/>
          <w:lang w:val="es-ES"/>
        </w:rPr>
        <w:t>de enero de dos mil veintidós</w:t>
      </w:r>
      <w:r w:rsidRPr="00E420D7">
        <w:rPr>
          <w:rFonts w:ascii="Palatino Linotype" w:hAnsi="Palatino Linotype" w:cs="Arial"/>
          <w:lang w:val="es-ES"/>
        </w:rPr>
        <w:t xml:space="preserve">, el </w:t>
      </w:r>
      <w:r w:rsidRPr="00E420D7">
        <w:rPr>
          <w:rFonts w:ascii="Palatino Linotype" w:hAnsi="Palatino Linotype" w:cs="Arial"/>
          <w:b/>
          <w:lang w:val="es-ES"/>
        </w:rPr>
        <w:t xml:space="preserve">SUJETO OBLIGADO </w:t>
      </w:r>
      <w:bookmarkStart w:id="4" w:name="_Toc472500652"/>
      <w:bookmarkStart w:id="5" w:name="_Toc472427085"/>
      <w:bookmarkStart w:id="6" w:name="_Toc462307683"/>
      <w:r w:rsidRPr="00E420D7">
        <w:rPr>
          <w:rFonts w:ascii="Palatino Linotype" w:hAnsi="Palatino Linotype" w:cs="Arial"/>
          <w:lang w:val="es-ES"/>
        </w:rPr>
        <w:t>dio respuesta a la solicitud en el siguiente sentido:</w:t>
      </w:r>
    </w:p>
    <w:p w14:paraId="7635EBBB" w14:textId="77777777" w:rsidR="0005455E" w:rsidRDefault="0005455E" w:rsidP="0005455E">
      <w:pPr>
        <w:tabs>
          <w:tab w:val="left" w:pos="0"/>
        </w:tabs>
        <w:spacing w:before="240" w:after="240" w:line="360" w:lineRule="auto"/>
        <w:ind w:right="34"/>
        <w:contextualSpacing/>
        <w:jc w:val="both"/>
        <w:rPr>
          <w:rFonts w:ascii="Palatino Linotype" w:hAnsi="Palatino Linotype" w:cs="Arial"/>
          <w:b/>
          <w:sz w:val="22"/>
          <w:lang w:val="es-ES"/>
        </w:rPr>
      </w:pPr>
    </w:p>
    <w:tbl>
      <w:tblPr>
        <w:tblW w:w="7337" w:type="dxa"/>
        <w:jc w:val="center"/>
        <w:tblCellSpacing w:w="0" w:type="dxa"/>
        <w:tblCellMar>
          <w:left w:w="0" w:type="dxa"/>
          <w:right w:w="0" w:type="dxa"/>
        </w:tblCellMar>
        <w:tblLook w:val="04A0" w:firstRow="1" w:lastRow="0" w:firstColumn="1" w:lastColumn="0" w:noHBand="0" w:noVBand="1"/>
      </w:tblPr>
      <w:tblGrid>
        <w:gridCol w:w="7337"/>
      </w:tblGrid>
      <w:tr w:rsidR="0005455E" w:rsidRPr="0005455E" w14:paraId="0480DD19" w14:textId="77777777" w:rsidTr="003D572E">
        <w:trPr>
          <w:trHeight w:val="92"/>
          <w:tblCellSpacing w:w="0" w:type="dxa"/>
          <w:jc w:val="center"/>
        </w:trPr>
        <w:tc>
          <w:tcPr>
            <w:tcW w:w="0" w:type="auto"/>
            <w:vAlign w:val="center"/>
            <w:hideMark/>
          </w:tcPr>
          <w:tbl>
            <w:tblPr>
              <w:tblW w:w="7337" w:type="dxa"/>
              <w:jc w:val="center"/>
              <w:tblCellSpacing w:w="0" w:type="dxa"/>
              <w:tblCellMar>
                <w:left w:w="0" w:type="dxa"/>
                <w:right w:w="0" w:type="dxa"/>
              </w:tblCellMar>
              <w:tblLook w:val="04A0" w:firstRow="1" w:lastRow="0" w:firstColumn="1" w:lastColumn="0" w:noHBand="0" w:noVBand="1"/>
            </w:tblPr>
            <w:tblGrid>
              <w:gridCol w:w="7337"/>
            </w:tblGrid>
            <w:tr w:rsidR="003D572E" w:rsidRPr="003D572E" w14:paraId="792B0FA2" w14:textId="77777777" w:rsidTr="003D572E">
              <w:trPr>
                <w:trHeight w:val="141"/>
                <w:tblCellSpacing w:w="0" w:type="dxa"/>
                <w:jc w:val="center"/>
              </w:trPr>
              <w:tc>
                <w:tcPr>
                  <w:tcW w:w="0" w:type="auto"/>
                  <w:vAlign w:val="center"/>
                  <w:hideMark/>
                </w:tcPr>
                <w:p w14:paraId="0DA15661" w14:textId="77777777" w:rsidR="003D572E" w:rsidRDefault="003D572E" w:rsidP="003D572E">
                  <w:pPr>
                    <w:jc w:val="both"/>
                    <w:rPr>
                      <w:rFonts w:ascii="Palatino Linotype" w:hAnsi="Palatino Linotype"/>
                      <w:i/>
                      <w:sz w:val="22"/>
                      <w:szCs w:val="22"/>
                    </w:rPr>
                  </w:pPr>
                  <w:r>
                    <w:rPr>
                      <w:rFonts w:ascii="Palatino Linotype" w:hAnsi="Palatino Linotype"/>
                      <w:i/>
                      <w:sz w:val="22"/>
                      <w:szCs w:val="22"/>
                    </w:rPr>
                    <w:t>“…</w:t>
                  </w:r>
                </w:p>
                <w:p w14:paraId="017B7B05" w14:textId="77777777" w:rsidR="003D572E" w:rsidRPr="003D572E" w:rsidRDefault="003D572E" w:rsidP="003D572E">
                  <w:pPr>
                    <w:jc w:val="both"/>
                    <w:rPr>
                      <w:rFonts w:ascii="Palatino Linotype" w:hAnsi="Palatino Linotype"/>
                      <w:i/>
                      <w:sz w:val="22"/>
                      <w:szCs w:val="22"/>
                      <w:lang w:val="es-ES" w:eastAsia="es-ES"/>
                    </w:rPr>
                  </w:pPr>
                  <w:r w:rsidRPr="003D572E">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3D572E" w:rsidRPr="003D572E" w14:paraId="1B7BE59A" w14:textId="77777777" w:rsidTr="003D572E">
              <w:trPr>
                <w:trHeight w:val="353"/>
                <w:tblCellSpacing w:w="0" w:type="dxa"/>
                <w:jc w:val="center"/>
              </w:trPr>
              <w:tc>
                <w:tcPr>
                  <w:tcW w:w="0" w:type="auto"/>
                  <w:vAlign w:val="center"/>
                  <w:hideMark/>
                </w:tcPr>
                <w:p w14:paraId="0403A920" w14:textId="77777777" w:rsidR="003D572E" w:rsidRPr="003D572E" w:rsidRDefault="003D572E" w:rsidP="003D572E">
                  <w:pPr>
                    <w:jc w:val="both"/>
                    <w:rPr>
                      <w:rFonts w:ascii="Palatino Linotype" w:hAnsi="Palatino Linotype"/>
                      <w:i/>
                      <w:sz w:val="22"/>
                      <w:szCs w:val="22"/>
                    </w:rPr>
                  </w:pPr>
                </w:p>
              </w:tc>
            </w:tr>
            <w:tr w:rsidR="003D572E" w:rsidRPr="003D572E" w14:paraId="30681D1A" w14:textId="77777777" w:rsidTr="003D572E">
              <w:trPr>
                <w:trHeight w:val="141"/>
                <w:tblCellSpacing w:w="0" w:type="dxa"/>
                <w:jc w:val="center"/>
              </w:trPr>
              <w:tc>
                <w:tcPr>
                  <w:tcW w:w="0" w:type="auto"/>
                  <w:vAlign w:val="center"/>
                  <w:hideMark/>
                </w:tcPr>
                <w:p w14:paraId="7B240887" w14:textId="77777777" w:rsidR="003D572E" w:rsidRPr="003D572E" w:rsidRDefault="003D572E" w:rsidP="003D572E">
                  <w:pPr>
                    <w:jc w:val="both"/>
                    <w:rPr>
                      <w:rFonts w:ascii="Palatino Linotype" w:hAnsi="Palatino Linotype"/>
                      <w:i/>
                      <w:sz w:val="22"/>
                      <w:szCs w:val="22"/>
                    </w:rPr>
                  </w:pPr>
                  <w:r w:rsidRPr="003D572E">
                    <w:rPr>
                      <w:rFonts w:ascii="Palatino Linotype" w:hAnsi="Palatino Linotype"/>
                      <w:i/>
                      <w:sz w:val="22"/>
                      <w:szCs w:val="22"/>
                    </w:rPr>
                    <w:t xml:space="preserve">En respuesta a su solicitud de información número 00319/CAMEM/IP/2021, “SOLICITO AMABLEMENTE ME INFORMEN QUE INSTITUCIÓN FINANCIERA DE SEGUROS ES LA ENCARGADA DE CUBRIR LOS SINIESTROS DERIVADOS DEL SEGURO DE VIDA INSTITUCIONAL PARA LOS SERVIDORES PÚBLICOS DE LA DEPENDENCIA, EN OTRAS PALABRAS QUE ASEGURADORA CONTRATÓ LA CCAMEM PARA EFECTOS DEL SEGURO DE VIDA INSTITUCIONAL“ al respecto me permito comunicar a usted que,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 lo anterior, con fundamento en la Ley de Transparencia y Acceso a la Información Pública del Estado de México y Municipios que establece lo siguiente: Artículo 12.- “…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Artículo 24.- </w:t>
                  </w:r>
                  <w:r w:rsidRPr="003D572E">
                    <w:rPr>
                      <w:rFonts w:ascii="Palatino Linotype" w:hAnsi="Palatino Linotype"/>
                      <w:i/>
                      <w:sz w:val="22"/>
                      <w:szCs w:val="22"/>
                    </w:rPr>
                    <w:lastRenderedPageBreak/>
                    <w:t>“… Los sujetos obligados solo proporcionarán la información pública que generen, administren o posean en el ejercicio de sus atribuciones.”</w:t>
                  </w:r>
                </w:p>
              </w:tc>
            </w:tr>
          </w:tbl>
          <w:p w14:paraId="2531443D" w14:textId="77777777" w:rsidR="0005455E" w:rsidRPr="003D572E" w:rsidRDefault="003D572E" w:rsidP="003D572E">
            <w:pPr>
              <w:jc w:val="both"/>
              <w:rPr>
                <w:rFonts w:ascii="Palatino Linotype" w:hAnsi="Palatino Linotype"/>
                <w:i/>
                <w:sz w:val="22"/>
                <w:szCs w:val="22"/>
              </w:rPr>
            </w:pPr>
            <w:r w:rsidRPr="003D572E">
              <w:rPr>
                <w:rFonts w:ascii="Palatino Linotype" w:hAnsi="Palatino Linotype"/>
                <w:i/>
                <w:sz w:val="22"/>
                <w:szCs w:val="22"/>
              </w:rPr>
              <w:lastRenderedPageBreak/>
              <w:t xml:space="preserve"> </w:t>
            </w:r>
            <w:r w:rsidR="0005455E" w:rsidRPr="003D572E">
              <w:rPr>
                <w:rFonts w:ascii="Palatino Linotype" w:hAnsi="Palatino Linotype"/>
                <w:i/>
                <w:sz w:val="22"/>
                <w:szCs w:val="22"/>
              </w:rPr>
              <w:t>“…</w:t>
            </w:r>
          </w:p>
          <w:p w14:paraId="6E13B12C" w14:textId="77777777" w:rsidR="0005455E" w:rsidRPr="0005455E" w:rsidRDefault="0005455E" w:rsidP="0005455E">
            <w:pPr>
              <w:rPr>
                <w:rFonts w:ascii="Palatino Linotype" w:hAnsi="Palatino Linotype"/>
                <w:i/>
                <w:sz w:val="22"/>
                <w:szCs w:val="22"/>
              </w:rPr>
            </w:pPr>
          </w:p>
        </w:tc>
      </w:tr>
    </w:tbl>
    <w:p w14:paraId="5EAEC226" w14:textId="77777777" w:rsidR="00E93FC1" w:rsidRPr="00E420D7"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E420D7">
        <w:rPr>
          <w:rFonts w:ascii="Palatino Linotype" w:hAnsi="Palatino Linotype" w:cs="Arial"/>
          <w:sz w:val="24"/>
          <w:lang w:val="es-ES"/>
        </w:rPr>
        <w:lastRenderedPageBreak/>
        <w:t xml:space="preserve">En lo sucesivo el </w:t>
      </w:r>
      <w:r w:rsidR="00236611">
        <w:rPr>
          <w:rFonts w:ascii="Palatino Linotype" w:hAnsi="Palatino Linotype" w:cs="Arial"/>
          <w:sz w:val="24"/>
          <w:lang w:val="es-ES"/>
        </w:rPr>
        <w:t>v</w:t>
      </w:r>
      <w:r w:rsidR="003D572E">
        <w:rPr>
          <w:rFonts w:ascii="Palatino Linotype" w:hAnsi="Palatino Linotype" w:cs="Arial"/>
          <w:sz w:val="24"/>
          <w:lang w:val="es-ES"/>
        </w:rPr>
        <w:t>eintidós (22) de enero de dos mil veintidós</w:t>
      </w:r>
      <w:r w:rsidR="00E93FC1" w:rsidRPr="00E420D7">
        <w:rPr>
          <w:rFonts w:ascii="Palatino Linotype" w:hAnsi="Palatino Linotype" w:cs="Arial"/>
          <w:b/>
          <w:sz w:val="24"/>
          <w:lang w:val="es-ES"/>
        </w:rPr>
        <w:t>,</w:t>
      </w:r>
      <w:r w:rsidR="00E93FC1" w:rsidRPr="00E420D7">
        <w:rPr>
          <w:rFonts w:ascii="Palatino Linotype" w:hAnsi="Palatino Linotype" w:cs="Arial"/>
          <w:sz w:val="24"/>
          <w:lang w:val="es-ES"/>
        </w:rPr>
        <w:t xml:space="preserve"> </w:t>
      </w:r>
      <w:r w:rsidR="00E93FC1" w:rsidRPr="00E420D7">
        <w:rPr>
          <w:rFonts w:ascii="Palatino Linotype" w:hAnsi="Palatino Linotype" w:cs="Arial"/>
          <w:b/>
          <w:sz w:val="24"/>
          <w:lang w:val="es-ES"/>
        </w:rPr>
        <w:t xml:space="preserve"> </w:t>
      </w:r>
      <w:r w:rsidR="00E93FC1" w:rsidRPr="00E420D7">
        <w:rPr>
          <w:rFonts w:ascii="Palatino Linotype" w:hAnsi="Palatino Linotype" w:cs="Arial"/>
          <w:sz w:val="24"/>
          <w:lang w:val="es-ES"/>
        </w:rPr>
        <w:t>el solicitante interpuso el recurso de revisión, señalando como:</w:t>
      </w:r>
    </w:p>
    <w:p w14:paraId="715B233D" w14:textId="77777777" w:rsidR="00E93FC1" w:rsidRPr="00E420D7" w:rsidRDefault="00E93FC1" w:rsidP="00730D0C">
      <w:pPr>
        <w:tabs>
          <w:tab w:val="left" w:pos="0"/>
        </w:tabs>
        <w:spacing w:before="240" w:after="240" w:line="360" w:lineRule="auto"/>
        <w:ind w:left="360"/>
        <w:contextualSpacing/>
        <w:jc w:val="both"/>
        <w:rPr>
          <w:rFonts w:ascii="Palatino Linotype" w:eastAsia="MS Mincho" w:hAnsi="Palatino Linotype" w:cs="Arial"/>
          <w:b/>
          <w:bCs/>
        </w:rPr>
      </w:pPr>
    </w:p>
    <w:bookmarkEnd w:id="4"/>
    <w:bookmarkEnd w:id="5"/>
    <w:bookmarkEnd w:id="6"/>
    <w:p w14:paraId="5063C987" w14:textId="77777777" w:rsidR="00E93FC1" w:rsidRPr="00E420D7" w:rsidRDefault="00E93FC1" w:rsidP="00730D0C">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E420D7">
        <w:rPr>
          <w:rFonts w:ascii="Palatino Linotype" w:eastAsia="Calibri" w:hAnsi="Palatino Linotype" w:cs="Arial"/>
          <w:b/>
          <w:lang w:val="es-ES"/>
        </w:rPr>
        <w:t>Acto impugnado:</w:t>
      </w:r>
      <w:r w:rsidRPr="00E420D7">
        <w:rPr>
          <w:rFonts w:ascii="Palatino Linotype" w:eastAsia="Calibri" w:hAnsi="Palatino Linotype" w:cs="Arial"/>
          <w:i/>
          <w:lang w:val="es-ES"/>
        </w:rPr>
        <w:t xml:space="preserve"> </w:t>
      </w:r>
      <w:r w:rsidRPr="00E420D7">
        <w:rPr>
          <w:rFonts w:ascii="Palatino Linotype" w:eastAsia="Calibri" w:hAnsi="Palatino Linotype" w:cs="Arial"/>
          <w:sz w:val="22"/>
          <w:szCs w:val="22"/>
          <w:lang w:val="es-ES"/>
        </w:rPr>
        <w:t>“</w:t>
      </w:r>
      <w:r w:rsidR="003D572E" w:rsidRPr="003D572E">
        <w:rPr>
          <w:rFonts w:ascii="Palatino Linotype" w:hAnsi="Palatino Linotype"/>
          <w:i/>
          <w:color w:val="000000"/>
          <w:sz w:val="22"/>
          <w:szCs w:val="22"/>
        </w:rPr>
        <w:t>No entrega la información solicitada.</w:t>
      </w:r>
      <w:r w:rsidRPr="00E420D7">
        <w:rPr>
          <w:rFonts w:ascii="Palatino Linotype" w:hAnsi="Palatino Linotype"/>
          <w:i/>
          <w:color w:val="000000"/>
          <w:sz w:val="22"/>
          <w:szCs w:val="22"/>
        </w:rPr>
        <w:t>”</w:t>
      </w:r>
      <w:r w:rsidR="00236611">
        <w:rPr>
          <w:rFonts w:ascii="Palatino Linotype" w:eastAsia="Calibri" w:hAnsi="Palatino Linotype" w:cs="Arial"/>
          <w:i/>
          <w:lang w:val="es-ES"/>
        </w:rPr>
        <w:t xml:space="preserve"> (Sic)</w:t>
      </w:r>
      <w:r w:rsidRPr="00E420D7">
        <w:rPr>
          <w:rFonts w:ascii="Palatino Linotype" w:eastAsia="Calibri" w:hAnsi="Palatino Linotype" w:cs="Arial"/>
          <w:i/>
          <w:lang w:val="es-ES"/>
        </w:rPr>
        <w:t xml:space="preserve"> </w:t>
      </w:r>
    </w:p>
    <w:p w14:paraId="1F372F50" w14:textId="77777777" w:rsidR="00E93FC1" w:rsidRPr="00E420D7" w:rsidRDefault="00E93FC1" w:rsidP="00730D0C">
      <w:pPr>
        <w:tabs>
          <w:tab w:val="left" w:pos="0"/>
        </w:tabs>
        <w:spacing w:before="240" w:after="240" w:line="360" w:lineRule="auto"/>
        <w:ind w:left="567" w:hanging="141"/>
        <w:contextualSpacing/>
        <w:rPr>
          <w:rFonts w:ascii="Palatino Linotype" w:eastAsia="Calibri" w:hAnsi="Palatino Linotype" w:cs="Arial"/>
          <w:i/>
          <w:lang w:val="es-ES"/>
        </w:rPr>
      </w:pPr>
    </w:p>
    <w:p w14:paraId="231EDFCA" w14:textId="77777777" w:rsidR="00E93FC1" w:rsidRPr="00E420D7" w:rsidRDefault="00E93FC1" w:rsidP="00730D0C">
      <w:pPr>
        <w:tabs>
          <w:tab w:val="left" w:pos="851"/>
        </w:tabs>
        <w:spacing w:before="240" w:after="240" w:line="360" w:lineRule="auto"/>
        <w:ind w:left="851" w:right="567"/>
        <w:contextualSpacing/>
        <w:jc w:val="both"/>
        <w:rPr>
          <w:rFonts w:ascii="Palatino Linotype" w:eastAsia="MS Mincho" w:hAnsi="Palatino Linotype"/>
          <w:i/>
          <w:sz w:val="22"/>
          <w:szCs w:val="22"/>
        </w:rPr>
      </w:pPr>
      <w:r w:rsidRPr="00E420D7">
        <w:rPr>
          <w:rFonts w:ascii="Palatino Linotype" w:eastAsia="MS Gothic" w:hAnsi="Palatino Linotype"/>
          <w:b/>
          <w:lang w:val="es-ES"/>
        </w:rPr>
        <w:t>Razones o Motivos de inconformidad</w:t>
      </w:r>
      <w:r w:rsidRPr="00E420D7">
        <w:rPr>
          <w:rFonts w:ascii="Palatino Linotype" w:eastAsia="MS Mincho" w:hAnsi="Palatino Linotype"/>
          <w:i/>
        </w:rPr>
        <w:t xml:space="preserve">: </w:t>
      </w:r>
      <w:r w:rsidRPr="00E420D7">
        <w:rPr>
          <w:rFonts w:ascii="Palatino Linotype" w:eastAsia="MS Mincho" w:hAnsi="Palatino Linotype"/>
          <w:i/>
          <w:sz w:val="22"/>
          <w:szCs w:val="22"/>
        </w:rPr>
        <w:t>“</w:t>
      </w:r>
      <w:r w:rsidR="003D572E" w:rsidRPr="003D572E">
        <w:rPr>
          <w:rFonts w:ascii="Palatino Linotype" w:hAnsi="Palatino Linotype"/>
          <w:i/>
          <w:color w:val="000000"/>
          <w:sz w:val="22"/>
          <w:szCs w:val="22"/>
        </w:rPr>
        <w:t>No entrega la información siendo que la solicité por este medio.</w:t>
      </w:r>
      <w:r w:rsidRPr="00E420D7">
        <w:rPr>
          <w:rFonts w:ascii="Palatino Linotype" w:eastAsia="MS Mincho" w:hAnsi="Palatino Linotype"/>
          <w:i/>
          <w:sz w:val="22"/>
          <w:szCs w:val="22"/>
        </w:rPr>
        <w:t>” (Sic)</w:t>
      </w:r>
    </w:p>
    <w:p w14:paraId="727C060C" w14:textId="77777777" w:rsidR="00236611" w:rsidRPr="00E420D7"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1B00E702" w14:textId="77777777" w:rsidR="00E93FC1" w:rsidRPr="003D572E" w:rsidRDefault="00E93FC1"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hAnsi="Palatino Linotype" w:cs="Arial"/>
          <w:lang w:val="es-ES"/>
        </w:rPr>
        <w:t xml:space="preserve">Se registró el recurso de revisión bajo el número de expediente </w:t>
      </w:r>
      <w:r w:rsidRPr="00E420D7">
        <w:rPr>
          <w:rFonts w:ascii="Palatino Linotype" w:eastAsia="MS Mincho" w:hAnsi="Palatino Linotype" w:cs="Arial"/>
          <w:bCs/>
        </w:rPr>
        <w:t xml:space="preserve">al rubro indicado, asimismo con fundamento en lo dispuesto por el </w:t>
      </w:r>
      <w:r w:rsidRPr="00E420D7">
        <w:rPr>
          <w:rFonts w:ascii="Palatino Linotype" w:eastAsia="Calibri" w:hAnsi="Palatino Linotype" w:cs="Arial"/>
          <w:lang w:val="es-ES"/>
        </w:rPr>
        <w:t xml:space="preserve">artículo 185 fracción I de la Ley de Transparencia y Acceso a la Información Pública del Estado de México y Municipios </w:t>
      </w:r>
      <w:r w:rsidRPr="00E420D7">
        <w:rPr>
          <w:rFonts w:ascii="Palatino Linotype" w:hAnsi="Palatino Linotype" w:cs="Arial"/>
          <w:lang w:val="es-ES"/>
        </w:rPr>
        <w:t xml:space="preserve">se turnó </w:t>
      </w:r>
      <w:r w:rsidR="003D572E">
        <w:rPr>
          <w:rFonts w:ascii="Palatino Linotype" w:hAnsi="Palatino Linotype" w:cs="Arial"/>
          <w:lang w:val="es-ES"/>
        </w:rPr>
        <w:t xml:space="preserve">a </w:t>
      </w:r>
      <w:r w:rsidRPr="00E420D7">
        <w:rPr>
          <w:rFonts w:ascii="Palatino Linotype" w:hAnsi="Palatino Linotype" w:cs="Arial"/>
          <w:lang w:val="es-ES"/>
        </w:rPr>
        <w:t xml:space="preserve">la </w:t>
      </w:r>
      <w:r w:rsidRPr="00E420D7">
        <w:rPr>
          <w:rFonts w:ascii="Palatino Linotype" w:hAnsi="Palatino Linotype" w:cs="Arial"/>
          <w:b/>
          <w:lang w:val="es-ES"/>
        </w:rPr>
        <w:t>Comisionada María del Rosario Mejía Ayala</w:t>
      </w:r>
      <w:r w:rsidRPr="00E420D7">
        <w:rPr>
          <w:rFonts w:ascii="Palatino Linotype" w:hAnsi="Palatino Linotype" w:cs="Arial"/>
          <w:lang w:val="es-ES"/>
        </w:rPr>
        <w:t xml:space="preserve"> con el objeto de </w:t>
      </w:r>
      <w:r w:rsidRPr="00E420D7">
        <w:rPr>
          <w:rFonts w:ascii="Palatino Linotype" w:hAnsi="Palatino Linotype" w:cs="Arial"/>
        </w:rPr>
        <w:t>su análisis.</w:t>
      </w:r>
    </w:p>
    <w:p w14:paraId="0CAAF9E4" w14:textId="77777777" w:rsidR="003D572E" w:rsidRPr="00212244" w:rsidRDefault="003D572E" w:rsidP="003D572E">
      <w:pPr>
        <w:spacing w:before="240" w:after="240" w:line="360" w:lineRule="auto"/>
        <w:contextualSpacing/>
        <w:jc w:val="both"/>
        <w:rPr>
          <w:rFonts w:ascii="Palatino Linotype" w:eastAsia="MS Mincho" w:hAnsi="Palatino Linotype"/>
          <w:i/>
          <w:color w:val="000000"/>
        </w:rPr>
      </w:pPr>
    </w:p>
    <w:p w14:paraId="16416238" w14:textId="77777777" w:rsidR="00CD0D2C" w:rsidRPr="002442EA" w:rsidRDefault="00E93FC1"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sidRPr="00E420D7">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3D572E">
        <w:rPr>
          <w:rFonts w:ascii="Palatino Linotype" w:eastAsia="Calibri" w:hAnsi="Palatino Linotype" w:cs="Arial"/>
          <w:lang w:val="es-ES"/>
        </w:rPr>
        <w:t>fecha treinta y uno (31)</w:t>
      </w:r>
      <w:r w:rsidR="002442EA">
        <w:rPr>
          <w:rFonts w:ascii="Palatino Linotype" w:eastAsia="Calibri" w:hAnsi="Palatino Linotype" w:cs="Arial"/>
          <w:lang w:val="es-ES"/>
        </w:rPr>
        <w:t xml:space="preserve"> de enero de dos mil veintidós</w:t>
      </w:r>
      <w:r w:rsidRPr="00E420D7">
        <w:rPr>
          <w:rFonts w:ascii="Palatino Linotype" w:eastAsia="Calibri" w:hAnsi="Palatino Linotype" w:cs="Arial"/>
          <w:lang w:val="es-ES"/>
        </w:rPr>
        <w:t xml:space="preserve">, puso a disposición de las partes el expediente electrónico </w:t>
      </w:r>
      <w:r w:rsidRPr="00E420D7">
        <w:rPr>
          <w:rFonts w:ascii="Palatino Linotype" w:eastAsia="Calibri" w:hAnsi="Palatino Linotype" w:cs="Arial"/>
        </w:rPr>
        <w:t xml:space="preserve">vía </w:t>
      </w:r>
      <w:r w:rsidRPr="00E420D7">
        <w:rPr>
          <w:rFonts w:ascii="Palatino Linotype" w:eastAsia="Calibri" w:hAnsi="Palatino Linotype" w:cs="Arial"/>
          <w:lang w:val="es-ES"/>
        </w:rPr>
        <w:t xml:space="preserve">Sistema de Acceso a la Información Mexiquense </w:t>
      </w:r>
      <w:r w:rsidRPr="00E420D7">
        <w:rPr>
          <w:rFonts w:ascii="Palatino Linotype" w:eastAsia="Calibri" w:hAnsi="Palatino Linotype" w:cs="Arial"/>
          <w:b/>
          <w:lang w:val="es-ES"/>
        </w:rPr>
        <w:t xml:space="preserve">(SAIMEX) </w:t>
      </w:r>
      <w:r w:rsidRPr="00E420D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E420D7">
        <w:rPr>
          <w:rFonts w:ascii="Palatino Linotype" w:eastAsia="Calibri" w:hAnsi="Palatino Linotype" w:cs="Arial"/>
          <w:b/>
          <w:lang w:val="es-ES"/>
        </w:rPr>
        <w:t>SUJETO OBLIGADO</w:t>
      </w:r>
      <w:r w:rsidRPr="00E420D7">
        <w:rPr>
          <w:rFonts w:ascii="Palatino Linotype" w:eastAsia="Calibri" w:hAnsi="Palatino Linotype" w:cs="Arial"/>
          <w:lang w:val="es-ES"/>
        </w:rPr>
        <w:t xml:space="preserve"> presentara el Informe Justificado procedente.  </w:t>
      </w:r>
    </w:p>
    <w:p w14:paraId="6561AF45" w14:textId="77777777" w:rsidR="002442EA" w:rsidRPr="002442EA" w:rsidRDefault="002442EA" w:rsidP="002442EA">
      <w:pPr>
        <w:spacing w:before="240" w:after="240" w:line="360" w:lineRule="auto"/>
        <w:contextualSpacing/>
        <w:jc w:val="both"/>
        <w:rPr>
          <w:rFonts w:ascii="Palatino Linotype" w:eastAsia="MS Mincho" w:hAnsi="Palatino Linotype"/>
          <w:i/>
          <w:color w:val="000000"/>
        </w:rPr>
      </w:pPr>
    </w:p>
    <w:p w14:paraId="6F8DDB5B" w14:textId="77777777" w:rsidR="002442EA" w:rsidRPr="002442EA" w:rsidRDefault="002442EA"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Pr>
          <w:rFonts w:ascii="Palatino Linotype" w:eastAsia="Calibri" w:hAnsi="Palatino Linotype" w:cs="Arial"/>
          <w:lang w:val="es-ES"/>
        </w:rPr>
        <w:t>De las constancias que obran en el expediente electrónico SAIMEX, se advierte que el particular no realizó manifestaciones</w:t>
      </w:r>
      <w:r w:rsidR="003D572E">
        <w:rPr>
          <w:rFonts w:ascii="Palatino Linotype" w:eastAsia="Calibri" w:hAnsi="Palatino Linotype" w:cs="Arial"/>
          <w:lang w:val="es-ES"/>
        </w:rPr>
        <w:t>, ni ofreció pruebas o alegatos que a su derecho conviniera;</w:t>
      </w:r>
      <w:r>
        <w:rPr>
          <w:rFonts w:ascii="Palatino Linotype" w:eastAsia="Calibri" w:hAnsi="Palatino Linotype" w:cs="Arial"/>
          <w:lang w:val="es-ES"/>
        </w:rPr>
        <w:t xml:space="preserve"> por su parte el Sujeto Obligado no remitió informe justificado.</w:t>
      </w:r>
    </w:p>
    <w:p w14:paraId="3025247A" w14:textId="77777777" w:rsidR="002442EA" w:rsidRPr="00E420D7" w:rsidRDefault="002442EA" w:rsidP="002442EA">
      <w:pPr>
        <w:spacing w:before="240" w:after="240" w:line="360" w:lineRule="auto"/>
        <w:contextualSpacing/>
        <w:jc w:val="both"/>
        <w:rPr>
          <w:rFonts w:ascii="Palatino Linotype" w:eastAsia="MS Mincho" w:hAnsi="Palatino Linotype"/>
          <w:i/>
          <w:color w:val="000000"/>
        </w:rPr>
      </w:pPr>
    </w:p>
    <w:p w14:paraId="1BF51DE3" w14:textId="77777777" w:rsidR="00D21854" w:rsidRPr="002442EA"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E420D7">
        <w:rPr>
          <w:rFonts w:ascii="Palatino Linotype" w:eastAsia="MS Mincho" w:hAnsi="Palatino Linotype"/>
        </w:rPr>
        <w:t>La Comisionada Ponente decretó el cierre de instrucción</w:t>
      </w:r>
      <w:r w:rsidRPr="00E420D7">
        <w:rPr>
          <w:rFonts w:ascii="Palatino Linotype" w:eastAsia="MS Mincho" w:hAnsi="Palatino Linotype" w:cs="Arial"/>
        </w:rPr>
        <w:t xml:space="preserve"> </w:t>
      </w:r>
      <w:r w:rsidRPr="00E420D7">
        <w:rPr>
          <w:rFonts w:ascii="Palatino Linotype" w:eastAsia="MS Mincho" w:hAnsi="Palatino Linotype"/>
        </w:rPr>
        <w:t xml:space="preserve">mediante acuerdo del </w:t>
      </w:r>
      <w:r w:rsidR="003D572E">
        <w:rPr>
          <w:rFonts w:ascii="Palatino Linotype" w:eastAsia="MS Mincho" w:hAnsi="Palatino Linotype"/>
        </w:rPr>
        <w:t>quince (15) de febrero</w:t>
      </w:r>
      <w:r w:rsidR="002442EA">
        <w:rPr>
          <w:rFonts w:ascii="Palatino Linotype" w:eastAsia="MS Mincho" w:hAnsi="Palatino Linotype"/>
        </w:rPr>
        <w:t xml:space="preserve"> de dos mil veintidós</w:t>
      </w:r>
      <w:r w:rsidRPr="00E420D7">
        <w:rPr>
          <w:rFonts w:ascii="Palatino Linotype" w:eastAsia="MS Mincho" w:hAnsi="Palatino Linotype"/>
        </w:rPr>
        <w:t xml:space="preserve">, </w:t>
      </w:r>
      <w:r w:rsidRPr="00E420D7">
        <w:rPr>
          <w:rFonts w:ascii="Palatino Linotype" w:eastAsia="MS Mincho" w:hAnsi="Palatino Linotype" w:cs="Arial"/>
        </w:rPr>
        <w:t>por lo que, ordenó turnar el expediente a resolución, misma que a continuación se pronuncia.</w:t>
      </w:r>
    </w:p>
    <w:p w14:paraId="25883E78" w14:textId="77777777" w:rsidR="002442EA" w:rsidRPr="002442EA" w:rsidRDefault="002442EA" w:rsidP="002442EA">
      <w:pPr>
        <w:spacing w:before="240" w:after="240" w:line="360" w:lineRule="auto"/>
        <w:contextualSpacing/>
        <w:jc w:val="both"/>
        <w:rPr>
          <w:rFonts w:ascii="Palatino Linotype" w:eastAsia="MS Mincho" w:hAnsi="Palatino Linotype"/>
          <w:b/>
        </w:rPr>
      </w:pPr>
    </w:p>
    <w:p w14:paraId="76D1537D" w14:textId="77777777" w:rsidR="00E93FC1" w:rsidRPr="002442EA"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7" w:name="_Toc491791302"/>
      <w:bookmarkStart w:id="8" w:name="_Toc528153788"/>
      <w:bookmarkStart w:id="9" w:name="_Toc94119611"/>
      <w:r w:rsidRPr="00E420D7">
        <w:rPr>
          <w:rFonts w:ascii="Palatino Linotype" w:eastAsia="MS Gothic" w:hAnsi="Palatino Linotype"/>
          <w:b/>
          <w:lang w:eastAsia="en-US"/>
        </w:rPr>
        <w:t>CONSIDERANDO</w:t>
      </w:r>
      <w:bookmarkEnd w:id="7"/>
      <w:bookmarkEnd w:id="8"/>
      <w:bookmarkEnd w:id="9"/>
    </w:p>
    <w:p w14:paraId="577CD0B4"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0" w:name="_Toc491791303"/>
      <w:bookmarkStart w:id="11" w:name="_Toc528153789"/>
      <w:bookmarkStart w:id="12" w:name="_Toc94119612"/>
      <w:r w:rsidRPr="00E420D7">
        <w:rPr>
          <w:rFonts w:ascii="Palatino Linotype" w:eastAsia="MS Gothic" w:hAnsi="Palatino Linotype"/>
          <w:b/>
          <w:lang w:eastAsia="en-US"/>
        </w:rPr>
        <w:t>PRIMERO. De la competencia</w:t>
      </w:r>
      <w:bookmarkEnd w:id="10"/>
      <w:bookmarkEnd w:id="11"/>
      <w:r w:rsidRPr="00E420D7">
        <w:rPr>
          <w:rFonts w:ascii="Palatino Linotype" w:eastAsia="MS Gothic" w:hAnsi="Palatino Linotype"/>
          <w:b/>
          <w:lang w:eastAsia="en-US"/>
        </w:rPr>
        <w:t>.</w:t>
      </w:r>
      <w:bookmarkEnd w:id="12"/>
    </w:p>
    <w:p w14:paraId="6A5F719D" w14:textId="77777777" w:rsidR="00E93FC1" w:rsidRPr="002442EA" w:rsidRDefault="00E93FC1" w:rsidP="00730D0C">
      <w:pPr>
        <w:numPr>
          <w:ilvl w:val="0"/>
          <w:numId w:val="1"/>
        </w:numPr>
        <w:spacing w:before="240" w:after="240" w:line="360" w:lineRule="auto"/>
        <w:ind w:left="0" w:firstLine="0"/>
        <w:jc w:val="both"/>
        <w:rPr>
          <w:rFonts w:ascii="Palatino Linotype" w:eastAsia="Calibri" w:hAnsi="Palatino Linotype"/>
          <w:b/>
          <w:lang w:val="es-ES"/>
        </w:rPr>
      </w:pPr>
      <w:r w:rsidRPr="00E420D7">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E420D7">
        <w:rPr>
          <w:rFonts w:ascii="Palatino Linotype" w:eastAsia="Calibri" w:hAnsi="Palatino Linotype"/>
          <w:b/>
          <w:lang w:val="es-ES"/>
        </w:rPr>
        <w:t>Constitución Política de los Estados Unidos Mexicanos</w:t>
      </w:r>
      <w:r w:rsidRPr="00E420D7">
        <w:rPr>
          <w:rFonts w:ascii="Palatino Linotype" w:eastAsia="Calibri" w:hAnsi="Palatino Linotype"/>
          <w:lang w:val="es-ES"/>
        </w:rPr>
        <w:t xml:space="preserve">; 5, párrafos trigésimo, trigésimo primero y trigésimo segundo, fracciones IV y V, de la </w:t>
      </w:r>
      <w:r w:rsidRPr="00E420D7">
        <w:rPr>
          <w:rFonts w:ascii="Palatino Linotype" w:eastAsia="Calibri" w:hAnsi="Palatino Linotype"/>
          <w:b/>
          <w:lang w:val="es-ES"/>
        </w:rPr>
        <w:t>Constitución Política del Estado Libre y Soberano de México</w:t>
      </w:r>
      <w:r w:rsidRPr="00E420D7">
        <w:rPr>
          <w:rFonts w:ascii="Palatino Linotype" w:eastAsia="Calibri" w:hAnsi="Palatino Linotype"/>
          <w:lang w:val="es-ES"/>
        </w:rPr>
        <w:t xml:space="preserve">; artículos 1, 2 fracción II, 13, 29, 36 fracciones I y II, 176, 178, 179, 181 párrafo tercero y 185 de la </w:t>
      </w:r>
      <w:r w:rsidRPr="00E420D7">
        <w:rPr>
          <w:rFonts w:ascii="Palatino Linotype" w:eastAsia="Calibri" w:hAnsi="Palatino Linotype"/>
          <w:b/>
          <w:lang w:val="es-ES"/>
        </w:rPr>
        <w:t>Ley de Transparencia y Acceso a la Información Pública del Estado de México y Municipios</w:t>
      </w:r>
      <w:r w:rsidRPr="00E420D7">
        <w:rPr>
          <w:rFonts w:ascii="Palatino Linotype" w:eastAsia="Calibri" w:hAnsi="Palatino Linotype"/>
          <w:lang w:val="es-ES"/>
        </w:rPr>
        <w:t xml:space="preserve">; y 10, 7, 9 fracciones I y XXIV, y 11 del </w:t>
      </w:r>
      <w:r w:rsidRPr="00E420D7">
        <w:rPr>
          <w:rFonts w:ascii="Palatino Linotype" w:eastAsia="Calibri" w:hAnsi="Palatino Linotype"/>
          <w:b/>
          <w:lang w:val="es-ES"/>
        </w:rPr>
        <w:t>Reglamento Interior del Instituto de Transparencia, Acceso a la Información Pública y Protección de Datos P</w:t>
      </w:r>
      <w:bookmarkStart w:id="13" w:name="_GoBack"/>
      <w:bookmarkEnd w:id="13"/>
      <w:r w:rsidRPr="00E420D7">
        <w:rPr>
          <w:rFonts w:ascii="Palatino Linotype" w:eastAsia="Calibri" w:hAnsi="Palatino Linotype"/>
          <w:b/>
          <w:lang w:val="es-ES"/>
        </w:rPr>
        <w:t>ersonales del Estado de México y Municipios.</w:t>
      </w:r>
    </w:p>
    <w:p w14:paraId="6A968746" w14:textId="77777777" w:rsidR="00E93FC1" w:rsidRPr="002442EA" w:rsidRDefault="00E93FC1" w:rsidP="002442EA">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E420D7">
        <w:rPr>
          <w:rFonts w:ascii="Palatino Linotype" w:eastAsia="MS Gothic" w:hAnsi="Palatino Linotype"/>
          <w:b/>
          <w:lang w:eastAsia="en-US"/>
        </w:rPr>
        <w:lastRenderedPageBreak/>
        <w:t>SEGUNDO. De la oportunidad y procedencia.</w:t>
      </w:r>
      <w:bookmarkEnd w:id="14"/>
      <w:bookmarkEnd w:id="15"/>
      <w:bookmarkEnd w:id="16"/>
    </w:p>
    <w:p w14:paraId="2BD07035" w14:textId="77777777" w:rsidR="00E93FC1" w:rsidRPr="00E420D7" w:rsidRDefault="00E93FC1" w:rsidP="00730D0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E420D7">
        <w:rPr>
          <w:rFonts w:ascii="Palatino Linotype" w:eastAsia="Calibri" w:hAnsi="Palatino Linotype" w:cs="Arial"/>
          <w:lang w:val="es-ES_tradnl" w:eastAsia="es-ES"/>
        </w:rPr>
        <w:t xml:space="preserve">El medio de impugnación fue presentado a través del </w:t>
      </w:r>
      <w:r w:rsidRPr="00E420D7">
        <w:rPr>
          <w:rFonts w:ascii="Palatino Linotype" w:eastAsia="Calibri" w:hAnsi="Palatino Linotype" w:cs="Arial"/>
          <w:b/>
          <w:lang w:val="es-ES_tradnl" w:eastAsia="es-ES"/>
        </w:rPr>
        <w:t>SAIMEX,</w:t>
      </w:r>
      <w:r w:rsidRPr="00E420D7">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E420D7">
        <w:rPr>
          <w:rFonts w:ascii="Palatino Linotype" w:eastAsia="Calibri" w:hAnsi="Palatino Linotype" w:cs="Arial"/>
          <w:b/>
          <w:lang w:val="es-ES_tradnl" w:eastAsia="es-ES"/>
        </w:rPr>
        <w:t>SUJETO OBLIGADO</w:t>
      </w:r>
      <w:r w:rsidRPr="00E420D7">
        <w:rPr>
          <w:rFonts w:ascii="Palatino Linotype" w:eastAsia="Calibri" w:hAnsi="Palatino Linotype" w:cs="Arial"/>
          <w:lang w:val="es-ES_tradnl" w:eastAsia="es-ES"/>
        </w:rPr>
        <w:t xml:space="preserve"> entregó respuesta el día </w:t>
      </w:r>
      <w:r w:rsidR="003D572E">
        <w:rPr>
          <w:rFonts w:ascii="Palatino Linotype" w:eastAsia="Calibri" w:hAnsi="Palatino Linotype" w:cs="Arial"/>
          <w:lang w:val="es-ES_tradnl" w:eastAsia="es-ES"/>
        </w:rPr>
        <w:t>diecisiete (17) de enero de dos mil veintidós</w:t>
      </w:r>
      <w:r w:rsidRPr="00E420D7">
        <w:rPr>
          <w:rFonts w:ascii="Palatino Linotype" w:eastAsia="Calibri" w:hAnsi="Palatino Linotype" w:cs="Arial"/>
          <w:lang w:val="es-ES_tradnl" w:eastAsia="es-ES"/>
        </w:rPr>
        <w:t xml:space="preserve">, </w:t>
      </w:r>
      <w:r w:rsidRPr="00E420D7">
        <w:rPr>
          <w:rFonts w:ascii="Palatino Linotype" w:eastAsiaTheme="minorEastAsia" w:hAnsi="Palatino Linotype" w:cs="Arial"/>
          <w:lang w:val="es-ES_tradnl" w:eastAsia="es-ES"/>
        </w:rPr>
        <w:t xml:space="preserve">de tal forma que el plazo para interponer el recurso transcurrió del día </w:t>
      </w:r>
      <w:r w:rsidR="003D572E">
        <w:rPr>
          <w:rFonts w:ascii="Palatino Linotype" w:eastAsiaTheme="minorEastAsia" w:hAnsi="Palatino Linotype" w:cs="Arial"/>
          <w:lang w:val="es-ES_tradnl" w:eastAsia="es-ES"/>
        </w:rPr>
        <w:t>dieciocho (18) de enero</w:t>
      </w:r>
      <w:r w:rsidR="00D21854" w:rsidRPr="00E420D7">
        <w:rPr>
          <w:rFonts w:ascii="Palatino Linotype" w:eastAsiaTheme="minorEastAsia" w:hAnsi="Palatino Linotype" w:cs="Arial"/>
          <w:lang w:val="es-ES_tradnl" w:eastAsia="es-ES"/>
        </w:rPr>
        <w:t xml:space="preserve"> </w:t>
      </w:r>
      <w:r w:rsidRPr="00E420D7">
        <w:rPr>
          <w:rFonts w:ascii="Palatino Linotype" w:eastAsiaTheme="minorEastAsia" w:hAnsi="Palatino Linotype" w:cs="Arial"/>
          <w:lang w:val="es-ES_tradnl" w:eastAsia="es-ES"/>
        </w:rPr>
        <w:t xml:space="preserve">al </w:t>
      </w:r>
      <w:r w:rsidR="003D572E">
        <w:rPr>
          <w:rFonts w:ascii="Palatino Linotype" w:eastAsiaTheme="minorEastAsia" w:hAnsi="Palatino Linotype" w:cs="Arial"/>
          <w:lang w:val="es-ES_tradnl" w:eastAsia="es-ES"/>
        </w:rPr>
        <w:t>ocho (08) de febrero</w:t>
      </w:r>
      <w:r w:rsidR="002442EA">
        <w:rPr>
          <w:rFonts w:ascii="Palatino Linotype" w:eastAsiaTheme="minorEastAsia" w:hAnsi="Palatino Linotype" w:cs="Arial"/>
          <w:lang w:val="es-ES_tradnl" w:eastAsia="es-ES"/>
        </w:rPr>
        <w:t xml:space="preserve"> de dos mil veintidós</w:t>
      </w:r>
      <w:r w:rsidRPr="00E420D7">
        <w:rPr>
          <w:rFonts w:ascii="Palatino Linotype" w:eastAsiaTheme="minorEastAsia" w:hAnsi="Palatino Linotype" w:cs="Arial"/>
          <w:lang w:val="es-ES_tradnl" w:eastAsia="es-ES"/>
        </w:rPr>
        <w:t xml:space="preserve">; en consecuencia, si el particular presentó su inconformidad el día </w:t>
      </w:r>
      <w:r w:rsidR="00897584">
        <w:rPr>
          <w:rFonts w:ascii="Palatino Linotype" w:eastAsiaTheme="minorEastAsia" w:hAnsi="Palatino Linotype" w:cs="Arial"/>
          <w:lang w:val="es-ES_tradnl" w:eastAsia="es-ES"/>
        </w:rPr>
        <w:t>veintidós de enero del presente año</w:t>
      </w:r>
      <w:r w:rsidRPr="00E420D7">
        <w:rPr>
          <w:rFonts w:ascii="Palatino Linotype" w:eastAsiaTheme="minorEastAsia" w:hAnsi="Palatino Linotype" w:cs="Arial"/>
          <w:lang w:val="es-ES_tradnl" w:eastAsia="es-ES"/>
        </w:rPr>
        <w:t xml:space="preserve">, se encuentra dentro de los márgenes temporales previstos en el artículo 178 de la </w:t>
      </w:r>
      <w:r w:rsidRPr="00E420D7">
        <w:rPr>
          <w:rFonts w:ascii="Palatino Linotype" w:eastAsiaTheme="minorEastAsia" w:hAnsi="Palatino Linotype" w:cs="Arial"/>
          <w:b/>
          <w:lang w:val="es-ES_tradnl" w:eastAsia="es-ES"/>
        </w:rPr>
        <w:t xml:space="preserve">Ley de Transparencia y Acceso a la Información Pública del Estado de México y Municipios </w:t>
      </w:r>
      <w:r w:rsidRPr="00E420D7">
        <w:rPr>
          <w:rFonts w:ascii="Palatino Linotype" w:eastAsiaTheme="minorEastAsia" w:hAnsi="Palatino Linotype" w:cs="Arial"/>
          <w:lang w:val="es-ES_tradnl" w:eastAsia="es-ES"/>
        </w:rPr>
        <w:t xml:space="preserve">vigente. </w:t>
      </w:r>
    </w:p>
    <w:p w14:paraId="766D6AAE" w14:textId="77777777" w:rsidR="002032DD" w:rsidRPr="00E420D7"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EA295B6" w14:textId="77777777" w:rsidR="00E93FC1" w:rsidRPr="00897584"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E420D7">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E5654BD" w14:textId="77777777" w:rsidR="00897584" w:rsidRPr="009C09D4" w:rsidRDefault="00897584" w:rsidP="00897584">
      <w:pPr>
        <w:spacing w:before="240" w:after="240" w:line="360" w:lineRule="auto"/>
        <w:ind w:right="49"/>
        <w:contextualSpacing/>
        <w:jc w:val="both"/>
        <w:rPr>
          <w:rFonts w:ascii="Palatino Linotype" w:eastAsia="Calibri" w:hAnsi="Palatino Linotype" w:cs="Arial"/>
          <w:b/>
        </w:rPr>
      </w:pPr>
    </w:p>
    <w:p w14:paraId="70FDA688" w14:textId="77777777" w:rsidR="00E93FC1" w:rsidRPr="009C09D4" w:rsidRDefault="00E93FC1" w:rsidP="009C09D4">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E420D7">
        <w:rPr>
          <w:rFonts w:ascii="Palatino Linotype" w:eastAsia="MS Mincho" w:hAnsi="Palatino Linotype" w:cstheme="majorBidi"/>
          <w:b/>
          <w:lang w:val="es-ES_tradnl" w:eastAsia="es-ES"/>
        </w:rPr>
        <w:t>TERCERO. Planteamiento de la Litis</w:t>
      </w:r>
      <w:r w:rsidRPr="00E420D7">
        <w:rPr>
          <w:rFonts w:ascii="Palatino Linotype" w:eastAsia="MS Gothic" w:hAnsi="Palatino Linotype"/>
          <w:b/>
        </w:rPr>
        <w:t>.</w:t>
      </w:r>
      <w:bookmarkEnd w:id="17"/>
      <w:bookmarkEnd w:id="18"/>
    </w:p>
    <w:p w14:paraId="4DEAA15F" w14:textId="77777777" w:rsidR="00655E90" w:rsidRPr="00E420D7" w:rsidRDefault="009C09D4" w:rsidP="00730D0C">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Pr>
          <w:rFonts w:ascii="Palatino Linotype" w:hAnsi="Palatino Linotype" w:cs="Arial"/>
          <w:color w:val="000000" w:themeColor="text1"/>
          <w:sz w:val="24"/>
        </w:rPr>
        <w:t xml:space="preserve">El particular solicitó </w:t>
      </w:r>
      <w:r w:rsidR="00897584">
        <w:rPr>
          <w:rFonts w:ascii="Palatino Linotype" w:hAnsi="Palatino Linotype"/>
          <w:color w:val="000000"/>
          <w:sz w:val="24"/>
        </w:rPr>
        <w:t>el nombre de la institución financiera de seguros contratada por la Comisión de Conciliación y Arbitraje Médico para efectos del seguro de vida de los servidores públicos.</w:t>
      </w:r>
    </w:p>
    <w:p w14:paraId="3D3D9DFE" w14:textId="77777777" w:rsidR="00655E90" w:rsidRPr="00E420D7" w:rsidRDefault="00655E90" w:rsidP="00730D0C">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7FE2E300" w14:textId="77777777" w:rsidR="00655E90" w:rsidRPr="00E420D7" w:rsidRDefault="00E93FC1" w:rsidP="00730D0C">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E420D7">
        <w:rPr>
          <w:rFonts w:ascii="Palatino Linotype" w:hAnsi="Palatino Linotype"/>
          <w:iCs/>
          <w:color w:val="000000"/>
          <w:sz w:val="24"/>
        </w:rPr>
        <w:lastRenderedPageBreak/>
        <w:t>En respuest</w:t>
      </w:r>
      <w:r w:rsidR="00655E90" w:rsidRPr="00E420D7">
        <w:rPr>
          <w:rFonts w:ascii="Palatino Linotype" w:hAnsi="Palatino Linotype"/>
          <w:iCs/>
          <w:color w:val="000000"/>
          <w:sz w:val="24"/>
        </w:rPr>
        <w:t xml:space="preserve">a, el SUJETO OBLIGADO </w:t>
      </w:r>
      <w:r w:rsidR="009C09D4">
        <w:rPr>
          <w:rFonts w:ascii="Palatino Linotype" w:hAnsi="Palatino Linotype"/>
          <w:iCs/>
          <w:color w:val="000000"/>
          <w:sz w:val="24"/>
        </w:rPr>
        <w:t>realizó el cambió de modalida</w:t>
      </w:r>
      <w:r w:rsidR="00897584">
        <w:rPr>
          <w:rFonts w:ascii="Palatino Linotype" w:hAnsi="Palatino Linotype"/>
          <w:iCs/>
          <w:color w:val="000000"/>
          <w:sz w:val="24"/>
        </w:rPr>
        <w:t xml:space="preserve">d de entrega a consulta directa, al señalar </w:t>
      </w:r>
      <w:r w:rsidR="00897584">
        <w:rPr>
          <w:rFonts w:ascii="Palatino Linotype" w:hAnsi="Palatino Linotype"/>
          <w:sz w:val="24"/>
          <w:szCs w:val="22"/>
        </w:rPr>
        <w:t>que</w:t>
      </w:r>
      <w:r w:rsidR="00897584" w:rsidRPr="00897584">
        <w:rPr>
          <w:rFonts w:ascii="Palatino Linotype" w:hAnsi="Palatino Linotype"/>
          <w:sz w:val="24"/>
          <w:szCs w:val="22"/>
        </w:rPr>
        <w:t xml:space="preserv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p>
    <w:p w14:paraId="3E2B6D03" w14:textId="77777777" w:rsidR="00655E90" w:rsidRPr="00E420D7" w:rsidRDefault="00655E90" w:rsidP="00730D0C">
      <w:pPr>
        <w:pStyle w:val="Prrafodelista"/>
        <w:spacing w:before="240" w:after="240" w:line="360" w:lineRule="auto"/>
        <w:rPr>
          <w:rFonts w:ascii="Palatino Linotype" w:hAnsi="Palatino Linotype"/>
          <w:sz w:val="24"/>
        </w:rPr>
      </w:pPr>
    </w:p>
    <w:p w14:paraId="2301E93A" w14:textId="77777777" w:rsidR="009C09D4" w:rsidRPr="009C09D4"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hAnsi="Palatino Linotype"/>
          <w:sz w:val="24"/>
        </w:rPr>
        <w:t>En consecuencia, el particular interpuso recurso de revisión</w:t>
      </w:r>
      <w:r w:rsidR="00D5736F" w:rsidRPr="00E420D7">
        <w:rPr>
          <w:rFonts w:ascii="Palatino Linotype" w:hAnsi="Palatino Linotype"/>
          <w:sz w:val="24"/>
        </w:rPr>
        <w:t xml:space="preserve"> mediante el cual se inconformó</w:t>
      </w:r>
      <w:r w:rsidRPr="00E420D7">
        <w:rPr>
          <w:rFonts w:ascii="Palatino Linotype" w:hAnsi="Palatino Linotype"/>
          <w:sz w:val="24"/>
        </w:rPr>
        <w:t xml:space="preserve">; argumentó en sus motivos de inconformidad </w:t>
      </w:r>
      <w:r w:rsidR="009C09D4" w:rsidRPr="009C09D4">
        <w:rPr>
          <w:rFonts w:ascii="Palatino Linotype" w:eastAsia="MS Mincho" w:hAnsi="Palatino Linotype"/>
          <w:i/>
          <w:sz w:val="24"/>
        </w:rPr>
        <w:t>“</w:t>
      </w:r>
      <w:r w:rsidR="00897584" w:rsidRPr="00897584">
        <w:rPr>
          <w:rFonts w:ascii="Palatino Linotype" w:hAnsi="Palatino Linotype"/>
          <w:i/>
          <w:color w:val="000000"/>
          <w:sz w:val="24"/>
        </w:rPr>
        <w:t>No entrega la información siendo que la solicité por este medio.</w:t>
      </w:r>
      <w:r w:rsidR="009C09D4" w:rsidRPr="009C09D4">
        <w:rPr>
          <w:rFonts w:ascii="Palatino Linotype" w:eastAsia="MS Mincho" w:hAnsi="Palatino Linotype"/>
          <w:i/>
          <w:sz w:val="24"/>
        </w:rPr>
        <w:t>”</w:t>
      </w:r>
    </w:p>
    <w:p w14:paraId="1B5D2772" w14:textId="77777777" w:rsidR="009C09D4" w:rsidRPr="009C09D4" w:rsidRDefault="009C09D4" w:rsidP="009C09D4">
      <w:pPr>
        <w:pStyle w:val="Prrafodelista"/>
        <w:rPr>
          <w:rFonts w:ascii="Palatino Linotype" w:eastAsia="MS Gothic" w:hAnsi="Palatino Linotype"/>
          <w:sz w:val="24"/>
        </w:rPr>
      </w:pPr>
    </w:p>
    <w:p w14:paraId="5FBEFDEE" w14:textId="77777777" w:rsidR="009C09D4" w:rsidRPr="001D1BE5"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eastAsia="MS Gothic" w:hAnsi="Palatino Linotype"/>
          <w:sz w:val="24"/>
        </w:rPr>
        <w:t xml:space="preserve">En consecuencia, la Litis a resolver en este recurso, se circunscribe a determinar </w:t>
      </w:r>
      <w:r w:rsidR="009678C8" w:rsidRPr="00E420D7">
        <w:rPr>
          <w:rFonts w:ascii="Palatino Linotype" w:eastAsia="MS Gothic" w:hAnsi="Palatino Linotype"/>
          <w:sz w:val="24"/>
        </w:rPr>
        <w:t xml:space="preserve">si la respuesta colma con lo solicitado o </w:t>
      </w:r>
      <w:r w:rsidRPr="00E420D7">
        <w:rPr>
          <w:rFonts w:ascii="Palatino Linotype" w:eastAsia="MS Gothic" w:hAnsi="Palatino Linotype"/>
          <w:sz w:val="24"/>
        </w:rPr>
        <w:t xml:space="preserve">si se actualizan las causales de procedencia previstas </w:t>
      </w:r>
      <w:r w:rsidRPr="00E420D7">
        <w:rPr>
          <w:rFonts w:ascii="Palatino Linotype" w:hAnsi="Palatino Linotype"/>
          <w:sz w:val="24"/>
        </w:rPr>
        <w:t>e</w:t>
      </w:r>
      <w:r w:rsidR="009678C8" w:rsidRPr="00E420D7">
        <w:rPr>
          <w:rFonts w:ascii="Palatino Linotype" w:hAnsi="Palatino Linotype"/>
          <w:sz w:val="24"/>
        </w:rPr>
        <w:t>n</w:t>
      </w:r>
      <w:r w:rsidR="009C09D4">
        <w:rPr>
          <w:rFonts w:ascii="Palatino Linotype" w:hAnsi="Palatino Linotype"/>
          <w:sz w:val="24"/>
        </w:rPr>
        <w:t xml:space="preserve"> el artículo 179, fracción I y V</w:t>
      </w:r>
      <w:r w:rsidR="009678C8" w:rsidRPr="00E420D7">
        <w:rPr>
          <w:rFonts w:ascii="Palatino Linotype" w:hAnsi="Palatino Linotype"/>
          <w:sz w:val="24"/>
        </w:rPr>
        <w:t>III</w:t>
      </w:r>
      <w:r w:rsidRPr="00E420D7">
        <w:rPr>
          <w:rFonts w:ascii="Palatino Linotype" w:hAnsi="Palatino Linotype"/>
          <w:sz w:val="24"/>
        </w:rPr>
        <w:t xml:space="preserve"> de la Ley de Transparencia y Acceso a la Información Pública del Estado de México y Municipios; </w:t>
      </w:r>
      <w:r w:rsidR="009678C8" w:rsidRPr="00E420D7">
        <w:rPr>
          <w:rFonts w:ascii="Palatino Linotype" w:hAnsi="Palatino Linotype"/>
          <w:sz w:val="24"/>
        </w:rPr>
        <w:t>que establece la negati</w:t>
      </w:r>
      <w:r w:rsidR="009C09D4">
        <w:rPr>
          <w:rFonts w:ascii="Palatino Linotype" w:hAnsi="Palatino Linotype"/>
          <w:sz w:val="24"/>
        </w:rPr>
        <w:t xml:space="preserve">va de la información  y </w:t>
      </w:r>
      <w:r w:rsidR="009C09D4" w:rsidRPr="009C09D4">
        <w:rPr>
          <w:rFonts w:ascii="Palatino Linotype" w:eastAsiaTheme="minorHAnsi" w:hAnsi="Palatino Linotype" w:cs="Arial"/>
          <w:sz w:val="24"/>
          <w:lang w:eastAsia="en-US"/>
        </w:rPr>
        <w:t>la notificación, entrega</w:t>
      </w:r>
      <w:r w:rsidR="009C09D4" w:rsidRPr="009C09D4">
        <w:rPr>
          <w:rFonts w:ascii="Palatino Linotype" w:hAnsi="Palatino Linotype" w:cs="Arial"/>
          <w:sz w:val="24"/>
        </w:rPr>
        <w:t xml:space="preserve"> o puesta a disposición de información en una modalidad o formato distinto al solicitado</w:t>
      </w:r>
      <w:r w:rsidR="009678C8" w:rsidRPr="009C09D4">
        <w:rPr>
          <w:rFonts w:ascii="Palatino Linotype" w:hAnsi="Palatino Linotype"/>
          <w:sz w:val="24"/>
        </w:rPr>
        <w:t>.</w:t>
      </w:r>
    </w:p>
    <w:p w14:paraId="3D20722C" w14:textId="77777777" w:rsidR="00E93FC1" w:rsidRPr="009C09D4"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E420D7">
        <w:rPr>
          <w:rFonts w:ascii="Palatino Linotype" w:eastAsia="MS Gothic" w:hAnsi="Palatino Linotype"/>
          <w:b/>
          <w:color w:val="auto"/>
          <w:sz w:val="24"/>
          <w:szCs w:val="24"/>
          <w:lang w:val="es-ES_tradnl"/>
        </w:rPr>
        <w:t>CUARTO. Del estudio y resolución del recurso de revisión.</w:t>
      </w:r>
      <w:bookmarkEnd w:id="19"/>
      <w:bookmarkEnd w:id="20"/>
    </w:p>
    <w:p w14:paraId="20C8CC3E" w14:textId="77777777" w:rsidR="00E93FC1" w:rsidRPr="009C09D4"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E420D7">
        <w:rPr>
          <w:rFonts w:ascii="Palatino Linotype" w:eastAsia="MS Gothic" w:hAnsi="Palatino Linotype"/>
          <w:b/>
          <w:color w:val="auto"/>
          <w:sz w:val="24"/>
          <w:lang w:val="es-ES_tradnl" w:eastAsia="es-ES"/>
        </w:rPr>
        <w:t>I. De</w:t>
      </w:r>
      <w:bookmarkEnd w:id="21"/>
      <w:r w:rsidRPr="00E420D7">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52501A39" w14:textId="77777777" w:rsidR="00E93FC1" w:rsidRPr="009C09D4"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eastAsiaTheme="minorEastAsia" w:hAnsi="Palatino Linotype"/>
          <w:lang w:val="es-ES_tradnl" w:eastAsia="es-ES"/>
        </w:rPr>
        <w:t>E</w:t>
      </w:r>
      <w:r w:rsidRPr="00E420D7">
        <w:rPr>
          <w:rFonts w:ascii="Palatino Linotype" w:hAnsi="Palatino Linotype" w:cs="Arial"/>
          <w:color w:val="000000"/>
          <w:lang w:val="es-ES_tradnl"/>
        </w:rPr>
        <w:t xml:space="preserve">l Derecho de Acceso a la Información Pública, es un derecho humano reconocido en el Pacto de Derechos Civiles y Políticos en su artículo 19.2; en la Convención Americana sobre </w:t>
      </w:r>
      <w:r w:rsidRPr="00E420D7">
        <w:rPr>
          <w:rFonts w:ascii="Palatino Linotype" w:hAnsi="Palatino Linotype" w:cs="Arial"/>
          <w:color w:val="000000"/>
          <w:lang w:val="es-ES_tradnl"/>
        </w:rPr>
        <w:lastRenderedPageBreak/>
        <w:t>Derechos Humanos en su artículo 13.1; en el artículo sexto de la Constitución Política de los Estados Unidos Mexicanos y en el artículo quinto de la Particular del Estado de México</w:t>
      </w:r>
      <w:r w:rsidRPr="00E420D7">
        <w:rPr>
          <w:rFonts w:ascii="Palatino Linotype" w:hAnsi="Palatino Linotype" w:cs="Arial"/>
          <w:color w:val="000000"/>
          <w:lang w:val="es-ES_tradnl" w:eastAsia="es-ES"/>
        </w:rPr>
        <w:t xml:space="preserve">. </w:t>
      </w:r>
    </w:p>
    <w:p w14:paraId="660AE348"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 xml:space="preserve">Definiendo el Derecho de Acceso a la Información Pública como: </w:t>
      </w:r>
      <w:r w:rsidRPr="00E420D7">
        <w:rPr>
          <w:rFonts w:ascii="Palatino Linotype" w:eastAsiaTheme="minorEastAsia" w:hAnsi="Palatino Linotype"/>
          <w:i/>
          <w:color w:val="000000"/>
          <w:lang w:val="es-ES_tradnl" w:eastAsia="es-ES"/>
        </w:rPr>
        <w:t>La igualdad de oportunidades para recibir, buscar e impartir información</w:t>
      </w:r>
      <w:r w:rsidRPr="00E420D7">
        <w:rPr>
          <w:rFonts w:ascii="Palatino Linotype" w:eastAsiaTheme="minorEastAsia" w:hAnsi="Palatino Linotype"/>
          <w:i/>
          <w:vertAlign w:val="superscript"/>
          <w:lang w:val="es-ES_tradnl" w:eastAsia="es-ES"/>
        </w:rPr>
        <w:footnoteReference w:id="1"/>
      </w:r>
      <w:r w:rsidRPr="00E420D7">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420D7">
        <w:rPr>
          <w:rFonts w:ascii="Palatino Linotype" w:eastAsiaTheme="minorEastAsia" w:hAnsi="Palatino Linotype"/>
          <w:i/>
          <w:vertAlign w:val="superscript"/>
          <w:lang w:val="es-ES_tradnl" w:eastAsia="es-ES"/>
        </w:rPr>
        <w:footnoteReference w:id="2"/>
      </w:r>
      <w:r w:rsidRPr="00E420D7">
        <w:rPr>
          <w:rFonts w:ascii="Palatino Linotype" w:eastAsiaTheme="minorEastAsia" w:hAnsi="Palatino Linotype"/>
          <w:color w:val="000000"/>
          <w:lang w:val="es-ES_tradnl" w:eastAsia="es-ES"/>
        </w:rPr>
        <w:t>que se constituye como una herramienta fundamental para ejercer</w:t>
      </w:r>
      <w:r w:rsidRPr="00E420D7">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E420D7">
        <w:rPr>
          <w:rFonts w:ascii="Palatino Linotype" w:eastAsiaTheme="minorEastAsia" w:hAnsi="Palatino Linotype"/>
          <w:i/>
          <w:vertAlign w:val="superscript"/>
          <w:lang w:val="es-ES_tradnl" w:eastAsia="es-ES"/>
        </w:rPr>
        <w:footnoteReference w:id="3"/>
      </w:r>
      <w:r w:rsidRPr="00E420D7">
        <w:rPr>
          <w:rFonts w:ascii="Palatino Linotype" w:eastAsiaTheme="minorEastAsia" w:hAnsi="Palatino Linotype"/>
          <w:color w:val="000000"/>
          <w:lang w:val="es-ES_tradnl" w:eastAsia="es-ES"/>
        </w:rPr>
        <w:t>fomentando</w:t>
      </w:r>
      <w:r w:rsidRPr="00E420D7">
        <w:rPr>
          <w:rFonts w:ascii="Palatino Linotype" w:eastAsiaTheme="minorEastAsia" w:hAnsi="Palatino Linotype"/>
          <w:i/>
          <w:color w:val="000000"/>
          <w:lang w:val="es-ES_tradnl" w:eastAsia="es-ES"/>
        </w:rPr>
        <w:t xml:space="preserve"> la transparencia de las actividades estatales y </w:t>
      </w:r>
      <w:r w:rsidRPr="00E420D7">
        <w:rPr>
          <w:rFonts w:ascii="Palatino Linotype" w:eastAsiaTheme="minorEastAsia" w:hAnsi="Palatino Linotype"/>
          <w:color w:val="000000"/>
          <w:lang w:val="es-ES_tradnl" w:eastAsia="es-ES"/>
        </w:rPr>
        <w:t>promoviendo</w:t>
      </w:r>
      <w:r w:rsidRPr="00E420D7">
        <w:rPr>
          <w:rFonts w:ascii="Palatino Linotype" w:eastAsiaTheme="minorEastAsia" w:hAnsi="Palatino Linotype"/>
          <w:i/>
          <w:color w:val="000000"/>
          <w:lang w:val="es-ES_tradnl" w:eastAsia="es-ES"/>
        </w:rPr>
        <w:t xml:space="preserve"> la responsabilidad de los funcionarios sobre su gestión pública,</w:t>
      </w:r>
      <w:r w:rsidRPr="00E420D7">
        <w:rPr>
          <w:rFonts w:ascii="Palatino Linotype" w:eastAsiaTheme="minorEastAsia" w:hAnsi="Palatino Linotype"/>
          <w:i/>
          <w:vertAlign w:val="superscript"/>
          <w:lang w:val="es-ES_tradnl" w:eastAsia="es-ES"/>
        </w:rPr>
        <w:footnoteReference w:id="4"/>
      </w:r>
      <w:r w:rsidRPr="00E420D7">
        <w:rPr>
          <w:rFonts w:ascii="Palatino Linotype" w:eastAsiaTheme="minorEastAsia" w:hAnsi="Palatino Linotype"/>
          <w:color w:val="000000"/>
          <w:lang w:val="es-ES_tradnl" w:eastAsia="es-ES"/>
        </w:rPr>
        <w:t>que permite</w:t>
      </w:r>
      <w:r w:rsidRPr="00E420D7">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ABE348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DF2AE34"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62120ECE" w14:textId="77777777" w:rsidR="00E93FC1" w:rsidRPr="00E420D7" w:rsidRDefault="00E93FC1" w:rsidP="00730D0C">
      <w:pPr>
        <w:spacing w:before="240" w:after="240" w:line="360" w:lineRule="auto"/>
        <w:ind w:right="49"/>
        <w:contextualSpacing/>
        <w:jc w:val="both"/>
        <w:rPr>
          <w:rFonts w:ascii="Palatino Linotype" w:hAnsi="Palatino Linotype"/>
          <w:lang w:val="es-ES_tradnl" w:eastAsia="es-ES"/>
        </w:rPr>
      </w:pPr>
    </w:p>
    <w:p w14:paraId="69CECFDF" w14:textId="77777777" w:rsidR="00E93FC1" w:rsidRPr="00E420D7"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t>“</w:t>
      </w:r>
      <w:r w:rsidRPr="00E420D7">
        <w:rPr>
          <w:rFonts w:ascii="Palatino Linotype" w:hAnsi="Palatino Linotype"/>
          <w:b/>
          <w:i/>
          <w:sz w:val="22"/>
          <w:lang w:val="es-ES_tradnl" w:eastAsia="es-ES"/>
        </w:rPr>
        <w:t>Artículo 1.-</w:t>
      </w:r>
      <w:r w:rsidRPr="00E420D7">
        <w:rPr>
          <w:rFonts w:ascii="Palatino Linotype" w:hAnsi="Palatino Linotype"/>
          <w:i/>
          <w:sz w:val="22"/>
          <w:lang w:val="es-ES_tradnl" w:eastAsia="es-ES"/>
        </w:rPr>
        <w:t xml:space="preserve"> </w:t>
      </w:r>
    </w:p>
    <w:p w14:paraId="3E099273" w14:textId="77777777" w:rsidR="00E93FC1" w:rsidRPr="00E420D7"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E420D7">
        <w:rPr>
          <w:rFonts w:ascii="Palatino Linotype" w:hAnsi="Palatino Linotype"/>
          <w:i/>
          <w:sz w:val="22"/>
          <w:lang w:val="es-ES_tradnl" w:eastAsia="es-ES"/>
        </w:rPr>
        <w:lastRenderedPageBreak/>
        <w:t>(…)</w:t>
      </w:r>
    </w:p>
    <w:p w14:paraId="104429F6" w14:textId="77777777" w:rsidR="00E93FC1" w:rsidRPr="00E420D7" w:rsidRDefault="00E93FC1" w:rsidP="00730D0C">
      <w:pPr>
        <w:spacing w:before="240" w:after="240" w:line="360" w:lineRule="auto"/>
        <w:ind w:left="567" w:right="567"/>
        <w:contextualSpacing/>
        <w:jc w:val="both"/>
        <w:rPr>
          <w:rFonts w:ascii="Palatino Linotype" w:hAnsi="Palatino Linotype"/>
          <w:i/>
          <w:sz w:val="22"/>
        </w:rPr>
      </w:pPr>
      <w:r w:rsidRPr="00E420D7">
        <w:rPr>
          <w:rFonts w:ascii="Palatino Linotype" w:hAnsi="Palatino Linotype"/>
          <w:i/>
          <w:sz w:val="22"/>
          <w:lang w:val="es-ES_tradnl" w:eastAsia="es-ES"/>
        </w:rPr>
        <w:t>Todas las</w:t>
      </w:r>
      <w:r w:rsidRPr="00E420D7">
        <w:rPr>
          <w:rFonts w:ascii="Palatino Linotype" w:hAnsi="Palatino Linotype"/>
          <w:sz w:val="22"/>
          <w:lang w:val="es-ES_tradnl" w:eastAsia="es-ES"/>
        </w:rPr>
        <w:t xml:space="preserve"> </w:t>
      </w:r>
      <w:r w:rsidRPr="00E420D7">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220A703A" w14:textId="77777777" w:rsidR="00E93FC1" w:rsidRPr="00E420D7" w:rsidRDefault="00E93FC1" w:rsidP="00730D0C">
      <w:pPr>
        <w:spacing w:before="240" w:after="240" w:line="360" w:lineRule="auto"/>
        <w:ind w:left="567" w:right="567"/>
        <w:contextualSpacing/>
        <w:jc w:val="both"/>
        <w:rPr>
          <w:rFonts w:ascii="Palatino Linotype" w:hAnsi="Palatino Linotype"/>
          <w:sz w:val="22"/>
          <w:lang w:val="es-ES_tradnl" w:eastAsia="es-ES"/>
        </w:rPr>
      </w:pPr>
      <w:r w:rsidRPr="00E420D7">
        <w:rPr>
          <w:rFonts w:ascii="Palatino Linotype" w:hAnsi="Palatino Linotype"/>
          <w:i/>
          <w:sz w:val="22"/>
        </w:rPr>
        <w:t>(…)</w:t>
      </w:r>
      <w:r w:rsidRPr="00E420D7">
        <w:rPr>
          <w:rFonts w:ascii="Palatino Linotype" w:hAnsi="Palatino Linotype"/>
          <w:sz w:val="22"/>
          <w:lang w:val="es-ES_tradnl" w:eastAsia="es-ES"/>
        </w:rPr>
        <w:t>”.</w:t>
      </w:r>
    </w:p>
    <w:p w14:paraId="05801AD8" w14:textId="77777777" w:rsidR="00E93FC1" w:rsidRPr="00E420D7" w:rsidRDefault="00E93FC1" w:rsidP="00730D0C">
      <w:pPr>
        <w:spacing w:before="240" w:after="240" w:line="360" w:lineRule="auto"/>
        <w:ind w:left="567" w:right="567"/>
        <w:contextualSpacing/>
        <w:jc w:val="both"/>
        <w:rPr>
          <w:rFonts w:ascii="Palatino Linotype" w:hAnsi="Palatino Linotype"/>
          <w:b/>
          <w:sz w:val="22"/>
          <w:lang w:val="es-ES_tradnl" w:eastAsia="es-ES"/>
        </w:rPr>
      </w:pPr>
      <w:r w:rsidRPr="00E420D7">
        <w:rPr>
          <w:rFonts w:ascii="Palatino Linotype" w:hAnsi="Palatino Linotype"/>
          <w:b/>
          <w:i/>
          <w:sz w:val="22"/>
        </w:rPr>
        <w:t>(Énfasis Añadido)</w:t>
      </w:r>
    </w:p>
    <w:p w14:paraId="1E9285AC"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761EC99C"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1629535F"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4A7013FD"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lang w:val="es-ES_tradnl" w:eastAsia="es-ES"/>
        </w:rPr>
        <w:t xml:space="preserve">Así, conforme a la Constitución Política de las Estado Unidos Mexicanos </w:t>
      </w:r>
      <w:r w:rsidRPr="00E420D7">
        <w:rPr>
          <w:rFonts w:ascii="Palatino Linotype" w:eastAsia="Calibri" w:hAnsi="Palatino Linotype"/>
          <w:lang w:val="es-ES_tradnl" w:eastAsia="es-ES"/>
        </w:rPr>
        <w:t>y la Constitución Política del Estado Libre y Soberano de México respectivamente</w:t>
      </w:r>
      <w:r w:rsidRPr="00E420D7">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8BBBEC1"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591D6E4" w14:textId="77777777" w:rsidR="00E93FC1" w:rsidRPr="00E420D7"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 los Estados Unidos Mexicanos</w:t>
      </w:r>
    </w:p>
    <w:p w14:paraId="26EDCE6F"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“Artículo 6.</w:t>
      </w:r>
      <w:r w:rsidRPr="00E420D7">
        <w:rPr>
          <w:rFonts w:ascii="Palatino Linotype" w:eastAsiaTheme="minorEastAsia" w:hAnsi="Palatino Linotype" w:cs="Arial"/>
          <w:bCs/>
          <w:i/>
          <w:sz w:val="22"/>
          <w:lang w:val="es-ES_tradnl" w:eastAsia="es-ES"/>
        </w:rPr>
        <w:t xml:space="preserve"> …</w:t>
      </w:r>
    </w:p>
    <w:p w14:paraId="0C15377E"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24FE94F9"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lastRenderedPageBreak/>
        <w:t>Para efectos de lo dispuesto en el presente artículo se observará lo siguiente:</w:t>
      </w:r>
    </w:p>
    <w:p w14:paraId="55A5D0C6"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A</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Para el ejercicio del derecho de acceso a la información</w:t>
      </w:r>
      <w:r w:rsidRPr="00E420D7">
        <w:rPr>
          <w:rFonts w:ascii="Palatino Linotype" w:eastAsiaTheme="minorEastAsia" w:hAnsi="Palatino Linotype" w:cs="Arial"/>
          <w:bCs/>
          <w:i/>
          <w:sz w:val="22"/>
          <w:lang w:val="es-ES_tradnl" w:eastAsia="es-ES"/>
        </w:rPr>
        <w:t xml:space="preserve">, la Federación y </w:t>
      </w:r>
      <w:r w:rsidRPr="00E420D7">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55471E3C"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p>
    <w:p w14:paraId="245FC9A0"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 xml:space="preserve">I. </w:t>
      </w:r>
      <w:r w:rsidRPr="00E420D7">
        <w:rPr>
          <w:rFonts w:ascii="Palatino Linotype" w:eastAsiaTheme="minorEastAsia" w:hAnsi="Palatino Linotype" w:cs="Arial"/>
          <w:b/>
          <w:bCs/>
          <w:i/>
          <w:sz w:val="22"/>
          <w:lang w:val="es-ES_tradnl" w:eastAsia="es-ES"/>
        </w:rPr>
        <w:tab/>
        <w:t>Toda la información en posesión de cualquier</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autoridad</w:t>
      </w:r>
      <w:r w:rsidRPr="00E420D7">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420D7">
        <w:rPr>
          <w:rFonts w:ascii="Palatino Linotype" w:eastAsiaTheme="minorEastAsia" w:hAnsi="Palatino Linotype" w:cs="Arial"/>
          <w:b/>
          <w:bCs/>
          <w:i/>
          <w:sz w:val="22"/>
          <w:lang w:val="es-ES_tradnl" w:eastAsia="es-ES"/>
        </w:rPr>
        <w:t>municipal</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09C6D333" w14:textId="77777777" w:rsidR="00E93FC1" w:rsidRPr="00E420D7"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14:paraId="2BA0F75D" w14:textId="77777777" w:rsidR="00E93FC1" w:rsidRPr="00E420D7"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p>
    <w:p w14:paraId="593E683A" w14:textId="77777777" w:rsidR="00E93FC1" w:rsidRPr="00E420D7"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E420D7">
        <w:rPr>
          <w:rFonts w:ascii="Palatino Linotype" w:eastAsiaTheme="minorEastAsia" w:hAnsi="Palatino Linotype" w:cs="Arial"/>
          <w:b/>
          <w:bCs/>
          <w:i/>
          <w:sz w:val="22"/>
          <w:lang w:val="es-ES_tradnl" w:eastAsia="es-ES"/>
        </w:rPr>
        <w:t>Constitución Política del Estado Libre y Soberano de México</w:t>
      </w:r>
    </w:p>
    <w:p w14:paraId="4A3150D0"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“Artículo 5</w:t>
      </w:r>
      <w:r w:rsidRPr="00E420D7">
        <w:rPr>
          <w:rFonts w:ascii="Palatino Linotype" w:eastAsiaTheme="minorEastAsia" w:hAnsi="Palatino Linotype" w:cs="Arial"/>
          <w:bCs/>
          <w:i/>
          <w:sz w:val="22"/>
          <w:lang w:val="es-ES_tradnl" w:eastAsia="es-ES"/>
        </w:rPr>
        <w:t>.- …</w:t>
      </w:r>
    </w:p>
    <w:p w14:paraId="60F609F0"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w:t>
      </w:r>
    </w:p>
    <w:p w14:paraId="59E815E0"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lastRenderedPageBreak/>
        <w:t>El derecho a la información será garantizado por el Estado. La ley establecerá las previsiones que permitan asegurar la protección, el respeto y la difusión de este derecho</w:t>
      </w:r>
      <w:r w:rsidRPr="00E420D7">
        <w:rPr>
          <w:rFonts w:ascii="Palatino Linotype" w:eastAsiaTheme="minorEastAsia" w:hAnsi="Palatino Linotype" w:cs="Arial"/>
          <w:bCs/>
          <w:i/>
          <w:sz w:val="22"/>
          <w:lang w:val="es-ES_tradnl" w:eastAsia="es-ES"/>
        </w:rPr>
        <w:t>.</w:t>
      </w:r>
    </w:p>
    <w:p w14:paraId="379C1C79"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AFD2F96"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Este derecho se regirá por los principios y bases siguientes</w:t>
      </w:r>
      <w:r w:rsidRPr="00E420D7">
        <w:rPr>
          <w:rFonts w:ascii="Palatino Linotype" w:eastAsiaTheme="minorEastAsia" w:hAnsi="Palatino Linotype" w:cs="Arial"/>
          <w:bCs/>
          <w:i/>
          <w:sz w:val="22"/>
          <w:lang w:val="es-ES_tradnl" w:eastAsia="es-ES"/>
        </w:rPr>
        <w:t>:</w:t>
      </w:r>
    </w:p>
    <w:p w14:paraId="5E178154" w14:textId="77777777" w:rsidR="00E93FC1" w:rsidRPr="00E420D7"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E420D7">
        <w:rPr>
          <w:rFonts w:ascii="Palatino Linotype" w:eastAsiaTheme="minorEastAsia" w:hAnsi="Palatino Linotype" w:cs="Arial"/>
          <w:b/>
          <w:bCs/>
          <w:i/>
          <w:sz w:val="22"/>
          <w:lang w:val="es-ES_tradnl" w:eastAsia="es-ES"/>
        </w:rPr>
        <w:t>I. Toda la información en posesión de cualquier autoridad, entidad, órgano y organismos de los</w:t>
      </w:r>
      <w:r w:rsidRPr="00E420D7">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E420D7">
        <w:rPr>
          <w:rFonts w:ascii="Palatino Linotype" w:eastAsiaTheme="minorEastAsia" w:hAnsi="Palatino Linotype" w:cs="Arial"/>
          <w:b/>
          <w:bCs/>
          <w:i/>
          <w:sz w:val="22"/>
          <w:lang w:val="es-ES_tradnl" w:eastAsia="es-ES"/>
        </w:rPr>
        <w:t>municipales</w:t>
      </w:r>
      <w:r w:rsidRPr="00E420D7">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20D7">
        <w:rPr>
          <w:rFonts w:ascii="Palatino Linotype" w:eastAsiaTheme="minorEastAsia" w:hAnsi="Palatino Linotype" w:cs="Arial"/>
          <w:b/>
          <w:bCs/>
          <w:i/>
          <w:sz w:val="22"/>
          <w:lang w:val="es-ES_tradnl" w:eastAsia="es-ES"/>
        </w:rPr>
        <w:t>es pública</w:t>
      </w:r>
      <w:r w:rsidRPr="00E420D7">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E420D7">
        <w:rPr>
          <w:rFonts w:ascii="Palatino Linotype" w:eastAsiaTheme="minorEastAsia" w:hAnsi="Palatino Linotype" w:cs="Arial"/>
          <w:b/>
          <w:bCs/>
          <w:i/>
          <w:sz w:val="22"/>
          <w:lang w:val="es-ES_tradnl" w:eastAsia="es-ES"/>
        </w:rPr>
        <w:t>En la interpretación de este derecho deberá prevalecer el principio de máxima publicidad</w:t>
      </w:r>
      <w:r w:rsidRPr="00E420D7">
        <w:rPr>
          <w:rFonts w:ascii="Palatino Linotype" w:eastAsiaTheme="minorEastAsia" w:hAnsi="Palatino Linotype" w:cs="Arial"/>
          <w:bCs/>
          <w:i/>
          <w:sz w:val="22"/>
          <w:lang w:val="es-ES_tradnl" w:eastAsia="es-ES"/>
        </w:rPr>
        <w:t xml:space="preserve">. </w:t>
      </w:r>
      <w:r w:rsidRPr="00E420D7">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E420D7">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6C96CD3" w14:textId="77777777" w:rsidR="00E93FC1" w:rsidRPr="00EE743E" w:rsidRDefault="00E93FC1" w:rsidP="00EE743E">
      <w:pPr>
        <w:pStyle w:val="Prrafodelista"/>
        <w:tabs>
          <w:tab w:val="left" w:pos="567"/>
        </w:tabs>
        <w:spacing w:before="240" w:after="240" w:line="360" w:lineRule="auto"/>
        <w:ind w:left="567" w:right="567"/>
        <w:jc w:val="both"/>
        <w:rPr>
          <w:rFonts w:ascii="Palatino Linotype" w:hAnsi="Palatino Linotype" w:cs="Arial"/>
          <w:b/>
          <w:bCs/>
          <w:i/>
        </w:rPr>
      </w:pPr>
      <w:r w:rsidRPr="00E420D7">
        <w:rPr>
          <w:rFonts w:ascii="Palatino Linotype" w:hAnsi="Palatino Linotype" w:cs="Arial"/>
          <w:b/>
          <w:bCs/>
          <w:i/>
        </w:rPr>
        <w:t>(Énfasis añadido)</w:t>
      </w:r>
    </w:p>
    <w:p w14:paraId="3860B76A"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w:t>
      </w:r>
      <w:r w:rsidRPr="00E420D7">
        <w:rPr>
          <w:rFonts w:ascii="Palatino Linotype" w:eastAsiaTheme="minorEastAsia" w:hAnsi="Palatino Linotype" w:cs="Arial"/>
          <w:lang w:val="es-ES_tradnl" w:eastAsia="es-ES"/>
        </w:rPr>
        <w:lastRenderedPageBreak/>
        <w:t xml:space="preserve">regirá </w:t>
      </w:r>
      <w:r w:rsidRPr="00E420D7">
        <w:rPr>
          <w:rFonts w:ascii="Palatino Linotype" w:eastAsiaTheme="minorEastAsia" w:hAnsi="Palatino Linotype" w:cs="Arial"/>
          <w:i/>
          <w:lang w:val="es-ES_tradnl" w:eastAsia="es-ES"/>
        </w:rPr>
        <w:t>por los principios de simplicidad, rapidez gratuidad del procedimiento, auxilio y orientación a los particulares</w:t>
      </w:r>
      <w:r w:rsidRPr="00E420D7">
        <w:rPr>
          <w:rFonts w:ascii="Palatino Linotype" w:eastAsiaTheme="minorEastAsia" w:hAnsi="Palatino Linotype" w:cs="Arial"/>
          <w:lang w:val="es-ES_tradnl" w:eastAsia="es-ES"/>
        </w:rPr>
        <w:t>, contemplando el derecho de las personas con discapacidad y hablantes de lengua indígena.</w:t>
      </w:r>
    </w:p>
    <w:p w14:paraId="71693266"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BBF6B89" w14:textId="77777777" w:rsidR="00E93FC1" w:rsidRPr="00E420D7"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E420D7">
        <w:rPr>
          <w:rFonts w:ascii="Palatino Linotype" w:eastAsiaTheme="minorEastAsia" w:hAnsi="Palatino Linotype" w:cs="Arial"/>
          <w:i/>
          <w:lang w:val="es-ES_tradnl" w:eastAsia="es-ES"/>
        </w:rPr>
        <w:t>solicitudes de acceso a la información</w:t>
      </w:r>
      <w:r w:rsidRPr="00E420D7">
        <w:rPr>
          <w:rFonts w:ascii="Palatino Linotype" w:eastAsiaTheme="minorEastAsia" w:hAnsi="Palatino Linotype" w:cs="Arial"/>
          <w:lang w:val="es-ES_tradnl" w:eastAsia="es-ES"/>
        </w:rPr>
        <w:t>.</w:t>
      </w:r>
    </w:p>
    <w:p w14:paraId="298D69F8" w14:textId="77777777" w:rsidR="00E93FC1" w:rsidRPr="00E420D7"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31272B08" w14:textId="77777777" w:rsidR="00E93FC1" w:rsidRPr="009C09D4"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E420D7">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Pr>
          <w:rFonts w:ascii="Palatino Linotype" w:eastAsiaTheme="minorEastAsia" w:hAnsi="Palatino Linotype" w:cs="Arial"/>
          <w:lang w:val="es-ES_tradnl" w:eastAsia="es-ES"/>
        </w:rPr>
        <w:t xml:space="preserve">zar el derecho, entregando </w:t>
      </w:r>
      <w:r w:rsidRPr="00E420D7">
        <w:rPr>
          <w:rFonts w:ascii="Palatino Linotype" w:eastAsiaTheme="minorEastAsia" w:hAnsi="Palatino Linotype" w:cs="Arial"/>
          <w:lang w:val="es-ES_tradnl" w:eastAsia="es-ES"/>
        </w:rPr>
        <w:t>la información solicitada.</w:t>
      </w:r>
      <w:bookmarkStart w:id="27" w:name="_Toc80812777"/>
    </w:p>
    <w:p w14:paraId="46AAA6E0" w14:textId="77777777" w:rsidR="009C09D4" w:rsidRPr="00E420D7" w:rsidRDefault="009C09D4" w:rsidP="009C09D4">
      <w:pPr>
        <w:spacing w:line="360" w:lineRule="auto"/>
        <w:ind w:right="49"/>
        <w:contextualSpacing/>
        <w:jc w:val="both"/>
        <w:rPr>
          <w:rFonts w:ascii="Palatino Linotype" w:eastAsiaTheme="minorEastAsia" w:hAnsi="Palatino Linotype"/>
          <w:lang w:val="es-ES_tradnl" w:eastAsia="es-ES"/>
        </w:rPr>
      </w:pPr>
    </w:p>
    <w:p w14:paraId="1BD0B878" w14:textId="77777777" w:rsidR="00E93FC1" w:rsidRPr="009C09D4" w:rsidRDefault="00E93FC1" w:rsidP="009C09D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E420D7">
        <w:rPr>
          <w:rFonts w:ascii="Palatino Linotype" w:hAnsi="Palatino Linotype"/>
          <w:b/>
          <w:color w:val="auto"/>
          <w:sz w:val="24"/>
          <w:szCs w:val="24"/>
        </w:rPr>
        <w:t>II. De la información solicitada</w:t>
      </w:r>
      <w:bookmarkEnd w:id="27"/>
      <w:bookmarkEnd w:id="28"/>
      <w:r w:rsidRPr="00E420D7">
        <w:rPr>
          <w:rFonts w:ascii="Palatino Linotype" w:hAnsi="Palatino Linotype"/>
          <w:b/>
          <w:color w:val="auto"/>
          <w:sz w:val="24"/>
          <w:szCs w:val="24"/>
        </w:rPr>
        <w:t xml:space="preserve"> y la respuesta del Sujeto Obligado</w:t>
      </w:r>
      <w:bookmarkEnd w:id="29"/>
    </w:p>
    <w:p w14:paraId="314185F2" w14:textId="77777777" w:rsidR="00F61CD3" w:rsidRDefault="00E93FC1" w:rsidP="00730D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E420D7">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39BC7127" w14:textId="77777777" w:rsidR="00EE743E" w:rsidRPr="001D1BE5" w:rsidRDefault="00EE743E" w:rsidP="00EE743E">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Pr>
          <w:rFonts w:ascii="Palatino Linotype" w:eastAsia="Calibri" w:hAnsi="Palatino Linotype" w:cs="Arial"/>
          <w:sz w:val="24"/>
        </w:rPr>
        <w:t xml:space="preserve">Primeramente debemos recapitular que el particular solicitó </w:t>
      </w:r>
      <w:r w:rsidR="00897584" w:rsidRPr="00897584">
        <w:rPr>
          <w:rFonts w:ascii="Palatino Linotype" w:hAnsi="Palatino Linotype"/>
          <w:color w:val="000000"/>
          <w:sz w:val="24"/>
        </w:rPr>
        <w:t>el nombre de la institución financiera de seguros contratada por la Comisión de Conciliación y Arbitraje Médico para efectos del seguro de vida de los servidores públicos</w:t>
      </w:r>
      <w:r w:rsidR="00897584">
        <w:rPr>
          <w:rFonts w:ascii="Palatino Linotype" w:hAnsi="Palatino Linotype"/>
          <w:color w:val="000000"/>
          <w:sz w:val="24"/>
        </w:rPr>
        <w:t>.</w:t>
      </w:r>
    </w:p>
    <w:p w14:paraId="0D4DAFA6" w14:textId="77777777" w:rsidR="00EE743E" w:rsidRPr="00897584" w:rsidRDefault="00EE743E" w:rsidP="00897584">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E420D7">
        <w:rPr>
          <w:rFonts w:ascii="Palatino Linotype" w:hAnsi="Palatino Linotype"/>
          <w:iCs/>
          <w:color w:val="000000"/>
          <w:sz w:val="24"/>
        </w:rPr>
        <w:lastRenderedPageBreak/>
        <w:t xml:space="preserve">En respuesta, el SUJETO OBLIGADO </w:t>
      </w:r>
      <w:r>
        <w:rPr>
          <w:rFonts w:ascii="Palatino Linotype" w:hAnsi="Palatino Linotype"/>
          <w:iCs/>
          <w:color w:val="000000"/>
          <w:sz w:val="24"/>
        </w:rPr>
        <w:t>realizó el cambió de modalidad de entrega a c</w:t>
      </w:r>
      <w:r w:rsidR="00897584">
        <w:rPr>
          <w:rFonts w:ascii="Palatino Linotype" w:hAnsi="Palatino Linotype"/>
          <w:iCs/>
          <w:color w:val="000000"/>
          <w:sz w:val="24"/>
        </w:rPr>
        <w:t xml:space="preserve">onsulta directa, al señalar </w:t>
      </w:r>
      <w:r w:rsidR="00897584">
        <w:rPr>
          <w:rFonts w:ascii="Palatino Linotype" w:hAnsi="Palatino Linotype"/>
          <w:sz w:val="24"/>
          <w:szCs w:val="22"/>
        </w:rPr>
        <w:t>que</w:t>
      </w:r>
      <w:r w:rsidR="00897584" w:rsidRPr="00897584">
        <w:rPr>
          <w:rFonts w:ascii="Palatino Linotype" w:hAnsi="Palatino Linotype"/>
          <w:sz w:val="24"/>
          <w:szCs w:val="22"/>
        </w:rPr>
        <w:t xml:space="preserve"> la información solicitada se encuentra disponible para su consulta en las instalaciones de la Comisión de Conciliación y Arbitraje Médico del Estado de México, ubicadas en calle de Juan Aldama No. 215, Colonia Centro, Toluca de Lerdo, Estado de México, C.P. 50000, en la Unidad de Apoyo Administrativo, debiéndose presentar con el titular de la Unidad de Apoyo Administrativo.</w:t>
      </w:r>
    </w:p>
    <w:p w14:paraId="78583BE8" w14:textId="77777777" w:rsidR="00EE743E" w:rsidRPr="00E420D7" w:rsidRDefault="00EE743E" w:rsidP="00EE743E">
      <w:pPr>
        <w:pStyle w:val="Prrafodelista"/>
        <w:spacing w:before="240" w:after="240" w:line="360" w:lineRule="auto"/>
        <w:jc w:val="center"/>
        <w:rPr>
          <w:rFonts w:ascii="Palatino Linotype" w:hAnsi="Palatino Linotype"/>
          <w:sz w:val="24"/>
        </w:rPr>
      </w:pPr>
    </w:p>
    <w:p w14:paraId="6BFF33DB" w14:textId="77777777" w:rsidR="00EE743E" w:rsidRPr="001F499E" w:rsidRDefault="00EE743E" w:rsidP="00EE743E">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E420D7">
        <w:rPr>
          <w:rFonts w:ascii="Palatino Linotype" w:hAnsi="Palatino Linotype"/>
          <w:sz w:val="24"/>
        </w:rPr>
        <w:t xml:space="preserve">En consecuencia, el particular interpuso recurso de revisión mediante el cual se inconformó; argumentó </w:t>
      </w:r>
      <w:r w:rsidR="00635262">
        <w:rPr>
          <w:rFonts w:ascii="Palatino Linotype" w:hAnsi="Palatino Linotype"/>
          <w:sz w:val="24"/>
        </w:rPr>
        <w:t>en sus motivos de inconformidad que no le entregan la información por el medio solicitado.</w:t>
      </w:r>
    </w:p>
    <w:p w14:paraId="38754D13" w14:textId="77777777" w:rsidR="001F499E" w:rsidRPr="001F499E" w:rsidRDefault="001F499E" w:rsidP="001F499E">
      <w:pPr>
        <w:pStyle w:val="Prrafodelista"/>
        <w:spacing w:before="240" w:after="240" w:line="360" w:lineRule="auto"/>
        <w:ind w:left="0" w:right="48"/>
        <w:jc w:val="both"/>
        <w:rPr>
          <w:rFonts w:ascii="Palatino Linotype" w:eastAsia="MS Gothic" w:hAnsi="Palatino Linotype"/>
          <w:sz w:val="24"/>
        </w:rPr>
      </w:pPr>
    </w:p>
    <w:p w14:paraId="071A96C4" w14:textId="77777777" w:rsidR="00635262" w:rsidRPr="001D1BE5" w:rsidRDefault="005B4960" w:rsidP="00635262">
      <w:pPr>
        <w:pStyle w:val="Prrafodelista"/>
        <w:numPr>
          <w:ilvl w:val="0"/>
          <w:numId w:val="1"/>
        </w:numPr>
        <w:spacing w:before="240" w:after="240" w:line="360" w:lineRule="auto"/>
        <w:ind w:left="0" w:right="48" w:firstLine="0"/>
        <w:jc w:val="both"/>
        <w:rPr>
          <w:rFonts w:ascii="Palatino Linotype" w:eastAsia="MS Gothic" w:hAnsi="Palatino Linotype"/>
          <w:sz w:val="24"/>
        </w:rPr>
      </w:pPr>
      <w:r>
        <w:rPr>
          <w:rFonts w:ascii="Palatino Linotype" w:eastAsia="MS Gothic" w:hAnsi="Palatino Linotype"/>
          <w:sz w:val="24"/>
        </w:rPr>
        <w:t xml:space="preserve">Cabe señalar que el Sujeto Obligado no niega la existencia de la información solicitada, por el contrario, asume contar con ella, tan es así que manifestó en respuesta </w:t>
      </w:r>
      <w:r w:rsidR="00635262">
        <w:rPr>
          <w:rFonts w:ascii="Palatino Linotype" w:eastAsia="MS Gothic" w:hAnsi="Palatino Linotype"/>
          <w:sz w:val="24"/>
        </w:rPr>
        <w:t>que la información puede ser consultada en las instalaciones de la Comisión de Conciliación y Arbitraje Médico del Estado de México</w:t>
      </w:r>
      <w:r w:rsidR="001D1BE5">
        <w:rPr>
          <w:rFonts w:ascii="Palatino Linotype" w:eastAsia="MS Gothic" w:hAnsi="Palatino Linotype"/>
          <w:sz w:val="24"/>
        </w:rPr>
        <w:t xml:space="preserve">, en este caso, omitiremos entrar al estudio que determina si el sujeto obligado genera, posee o administra la información solicitada, pues a nada práctico nos conduciría.  </w:t>
      </w:r>
    </w:p>
    <w:p w14:paraId="22168DE9" w14:textId="77777777" w:rsidR="00EE743E" w:rsidRPr="00D403DA" w:rsidRDefault="00EE743E" w:rsidP="00EE743E">
      <w:pPr>
        <w:pStyle w:val="Ttulo1"/>
        <w:rPr>
          <w:rFonts w:ascii="Palatino Linotype" w:eastAsia="MS Gothic" w:hAnsi="Palatino Linotype"/>
          <w:b/>
          <w:color w:val="auto"/>
          <w:sz w:val="24"/>
        </w:rPr>
      </w:pPr>
      <w:bookmarkStart w:id="30" w:name="_Toc70625058"/>
      <w:bookmarkStart w:id="31" w:name="_Toc94119618"/>
      <w:r w:rsidRPr="00D403DA">
        <w:rPr>
          <w:rFonts w:ascii="Palatino Linotype" w:eastAsia="MS Gothic" w:hAnsi="Palatino Linotype"/>
          <w:b/>
          <w:color w:val="auto"/>
          <w:sz w:val="24"/>
        </w:rPr>
        <w:t>II.   De la modalidad de entrega de la información solicitada.</w:t>
      </w:r>
      <w:bookmarkEnd w:id="30"/>
      <w:bookmarkEnd w:id="31"/>
      <w:r w:rsidRPr="00D403DA">
        <w:rPr>
          <w:rFonts w:ascii="Palatino Linotype" w:eastAsia="MS Gothic" w:hAnsi="Palatino Linotype"/>
          <w:b/>
          <w:color w:val="auto"/>
          <w:sz w:val="24"/>
        </w:rPr>
        <w:t xml:space="preserve"> </w:t>
      </w:r>
    </w:p>
    <w:p w14:paraId="564ED9AB" w14:textId="77777777" w:rsidR="00EE743E" w:rsidRPr="00D403DA" w:rsidRDefault="00EE743E" w:rsidP="00EE743E">
      <w:pPr>
        <w:spacing w:line="360" w:lineRule="auto"/>
        <w:contextualSpacing/>
        <w:jc w:val="both"/>
        <w:rPr>
          <w:rFonts w:ascii="Palatino Linotype" w:eastAsia="MS Mincho" w:hAnsi="Palatino Linotype" w:cs="Arial"/>
        </w:rPr>
      </w:pPr>
    </w:p>
    <w:p w14:paraId="2A014D8A" w14:textId="77777777" w:rsidR="00EE743E" w:rsidRPr="00D403DA" w:rsidRDefault="00EE743E" w:rsidP="00EE743E">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E</w:t>
      </w:r>
      <w:r w:rsidRPr="00D403DA">
        <w:rPr>
          <w:rFonts w:ascii="Palatino Linotype" w:eastAsia="MS Mincho" w:hAnsi="Palatino Linotype" w:cs="Arial"/>
        </w:rPr>
        <w:t xml:space="preserve">s indispensable traer a colación lo contenido en los artículos 158 y 164 de la Ley de Transparencia y Acceso a la Información Pública del Estado de México y Municipios, los cuales señalan que: </w:t>
      </w:r>
    </w:p>
    <w:p w14:paraId="0F086780" w14:textId="77777777" w:rsidR="00EE743E" w:rsidRPr="00D403DA" w:rsidRDefault="00EE743E" w:rsidP="00EE743E">
      <w:pPr>
        <w:spacing w:line="360" w:lineRule="auto"/>
        <w:contextualSpacing/>
        <w:jc w:val="both"/>
        <w:rPr>
          <w:rFonts w:ascii="Palatino Linotype" w:eastAsia="MS Mincho" w:hAnsi="Palatino Linotype" w:cs="Arial"/>
        </w:rPr>
      </w:pPr>
    </w:p>
    <w:p w14:paraId="50774E19" w14:textId="77777777" w:rsidR="00EE743E" w:rsidRDefault="00EE743E" w:rsidP="00EE743E">
      <w:pPr>
        <w:spacing w:line="360" w:lineRule="auto"/>
        <w:ind w:left="567" w:right="567"/>
        <w:jc w:val="both"/>
        <w:rPr>
          <w:rFonts w:ascii="Palatino Linotype" w:hAnsi="Palatino Linotype"/>
          <w:i/>
        </w:rPr>
      </w:pPr>
      <w:r w:rsidRPr="00D403DA">
        <w:rPr>
          <w:rFonts w:ascii="Palatino Linotype" w:hAnsi="Palatino Linotype"/>
          <w:i/>
        </w:rPr>
        <w:lastRenderedPageBreak/>
        <w:t>“</w:t>
      </w:r>
      <w:r w:rsidRPr="00EE743E">
        <w:rPr>
          <w:rFonts w:ascii="Palatino Linotype" w:hAnsi="Palatino Linotype"/>
          <w:b/>
          <w:bCs/>
          <w:i/>
        </w:rPr>
        <w:t>Artículo 158.</w:t>
      </w:r>
      <w:r w:rsidRPr="00D403DA">
        <w:rPr>
          <w:rFonts w:ascii="Palatino Linotype" w:hAnsi="Palatino Linotype"/>
          <w:i/>
        </w:rPr>
        <w:t xml:space="preserve"> </w:t>
      </w:r>
      <w:r w:rsidRPr="00D403DA">
        <w:rPr>
          <w:rFonts w:ascii="Palatino Linotype" w:hAnsi="Palatino Linotype"/>
          <w:bCs/>
          <w:i/>
        </w:rPr>
        <w:t>De manera excepcional, cuando de forma fundada y motivada así lo determine el sujeto obligado</w:t>
      </w:r>
      <w:r w:rsidRPr="00D403DA">
        <w:rPr>
          <w:rFonts w:ascii="Palatino Linotype" w:hAnsi="Palatino Linotype"/>
          <w:i/>
        </w:rPr>
        <w:t xml:space="preserve">, en aquellos casos en que la información solicitada que ya se encuentre en su posesión implique análisis, estudio o procesamiento de documentos </w:t>
      </w:r>
      <w:r w:rsidRPr="00D403DA">
        <w:rPr>
          <w:rFonts w:ascii="Palatino Linotype" w:hAnsi="Palatino Linotype"/>
          <w:bCs/>
          <w:i/>
        </w:rPr>
        <w:t>cuya entrega o reproducción sobrepase las capacidades técnicas administrativas y humanas del sujeto obligado</w:t>
      </w:r>
      <w:r w:rsidRPr="00D403DA">
        <w:rPr>
          <w:rFonts w:ascii="Palatino Linotype" w:hAnsi="Palatino Linotype"/>
          <w:i/>
        </w:rPr>
        <w:t xml:space="preserve"> para cumplir con la solicitud, en los plazos establecidos para dichos efectos,</w:t>
      </w:r>
      <w:r w:rsidRPr="00D403DA">
        <w:rPr>
          <w:rFonts w:ascii="Palatino Linotype" w:hAnsi="Palatino Linotype"/>
          <w:bCs/>
          <w:i/>
        </w:rPr>
        <w:t xml:space="preserve"> se podrá poner a disposición del solicitante los documentos en consulta directa</w:t>
      </w:r>
      <w:r w:rsidRPr="00D403DA">
        <w:rPr>
          <w:rFonts w:ascii="Palatino Linotype" w:hAnsi="Palatino Linotype"/>
          <w:i/>
        </w:rPr>
        <w:t>, salvo la información clasificada”.</w:t>
      </w:r>
    </w:p>
    <w:p w14:paraId="0BFC028E" w14:textId="77777777" w:rsidR="00EE743E" w:rsidRPr="00D403DA" w:rsidRDefault="00EE743E" w:rsidP="00EE743E">
      <w:pPr>
        <w:spacing w:line="360" w:lineRule="auto"/>
        <w:ind w:left="567" w:right="567"/>
        <w:jc w:val="both"/>
        <w:rPr>
          <w:rFonts w:ascii="Palatino Linotype" w:hAnsi="Palatino Linotype"/>
          <w:i/>
        </w:rPr>
      </w:pPr>
    </w:p>
    <w:p w14:paraId="5DFAC385" w14:textId="77777777" w:rsidR="00EE743E" w:rsidRPr="00D403DA" w:rsidRDefault="00EE743E" w:rsidP="00EE743E">
      <w:pPr>
        <w:spacing w:line="360" w:lineRule="auto"/>
        <w:ind w:left="567" w:right="567"/>
        <w:jc w:val="both"/>
        <w:rPr>
          <w:rFonts w:ascii="Palatino Linotype" w:hAnsi="Palatino Linotype"/>
          <w:bCs/>
          <w:i/>
        </w:rPr>
      </w:pPr>
      <w:r w:rsidRPr="00D403DA">
        <w:rPr>
          <w:rFonts w:ascii="Palatino Linotype" w:hAnsi="Palatino Linotype"/>
          <w:i/>
        </w:rPr>
        <w:t>“</w:t>
      </w:r>
      <w:r w:rsidRPr="00EE743E">
        <w:rPr>
          <w:rFonts w:ascii="Palatino Linotype" w:hAnsi="Palatino Linotype"/>
          <w:b/>
          <w:bCs/>
          <w:i/>
        </w:rPr>
        <w:t>Artículo 164.</w:t>
      </w:r>
      <w:r w:rsidRPr="00D403DA">
        <w:rPr>
          <w:rFonts w:ascii="Palatino Linotype" w:hAnsi="Palatino Linotype"/>
          <w:i/>
        </w:rPr>
        <w:t xml:space="preserve"> </w:t>
      </w:r>
      <w:r w:rsidRPr="00D403DA">
        <w:rPr>
          <w:rFonts w:ascii="Palatino Linotype" w:hAnsi="Palatino Linotype"/>
          <w:bCs/>
          <w:i/>
        </w:rPr>
        <w:t>El acceso se dará en la modalidad de entrega</w:t>
      </w:r>
      <w:r w:rsidRPr="00D403DA">
        <w:rPr>
          <w:rFonts w:ascii="Palatino Linotype" w:hAnsi="Palatino Linotype"/>
          <w:i/>
        </w:rPr>
        <w:t xml:space="preserve"> y, en su caso, de envío elegidos por el solicitante</w:t>
      </w:r>
      <w:r w:rsidRPr="00D403DA">
        <w:rPr>
          <w:rFonts w:ascii="Palatino Linotype" w:hAnsi="Palatino Linotype"/>
          <w:bCs/>
          <w:i/>
        </w:rPr>
        <w:t>. Cuando la información no pueda entregarse o enviarse en la modalidad solicitada, el sujeto obligado deberá ofrecer otra u otras modalidades de entrega.</w:t>
      </w:r>
    </w:p>
    <w:p w14:paraId="782BBF85" w14:textId="77777777" w:rsidR="00EE743E" w:rsidRPr="00D403DA" w:rsidRDefault="00EE743E" w:rsidP="00EE743E">
      <w:pPr>
        <w:spacing w:line="360" w:lineRule="auto"/>
        <w:ind w:left="567" w:right="567"/>
        <w:jc w:val="both"/>
        <w:rPr>
          <w:rFonts w:ascii="Palatino Linotype" w:hAnsi="Palatino Linotype"/>
          <w:i/>
        </w:rPr>
      </w:pPr>
      <w:r w:rsidRPr="00D403DA">
        <w:rPr>
          <w:rFonts w:ascii="Palatino Linotype" w:hAnsi="Palatino Linotype"/>
          <w:bCs/>
          <w:i/>
        </w:rPr>
        <w:t>En cualquier caso, se deberá fundar y motivar la necesidad de ofrecer otras modalidades</w:t>
      </w:r>
      <w:r w:rsidRPr="00D403DA">
        <w:rPr>
          <w:rFonts w:ascii="Palatino Linotype" w:hAnsi="Palatino Linotype"/>
          <w:i/>
        </w:rPr>
        <w:t>”.</w:t>
      </w:r>
    </w:p>
    <w:p w14:paraId="415F5B56" w14:textId="77777777" w:rsidR="00EE743E" w:rsidRPr="00D403DA" w:rsidRDefault="00EE743E" w:rsidP="00EE743E">
      <w:pPr>
        <w:spacing w:line="360" w:lineRule="auto"/>
        <w:contextualSpacing/>
        <w:jc w:val="both"/>
        <w:rPr>
          <w:rFonts w:ascii="Palatino Linotype" w:eastAsia="MS Mincho" w:hAnsi="Palatino Linotype" w:cs="Arial"/>
          <w:i/>
        </w:rPr>
      </w:pPr>
    </w:p>
    <w:p w14:paraId="023FBC33" w14:textId="77777777" w:rsidR="00EE743E" w:rsidRPr="00D403DA"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6223AEB7" w14:textId="77777777" w:rsidR="00EE743E" w:rsidRPr="00D403DA" w:rsidRDefault="00EE743E" w:rsidP="00EE743E">
      <w:pPr>
        <w:spacing w:line="360" w:lineRule="auto"/>
        <w:contextualSpacing/>
        <w:jc w:val="both"/>
        <w:rPr>
          <w:rFonts w:ascii="Palatino Linotype" w:eastAsia="MS Mincho" w:hAnsi="Palatino Linotype" w:cs="Arial"/>
        </w:rPr>
      </w:pPr>
      <w:r w:rsidRPr="00D403DA">
        <w:rPr>
          <w:rFonts w:ascii="Palatino Linotype" w:eastAsia="MS Mincho" w:hAnsi="Palatino Linotype" w:cs="Arial"/>
        </w:rPr>
        <w:t xml:space="preserve"> </w:t>
      </w:r>
    </w:p>
    <w:p w14:paraId="0DF2998C" w14:textId="77777777" w:rsidR="00EE743E" w:rsidRPr="00D403DA"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Es decir, del artículo anterior, se derivan tres hipótesis que en conjunto y de manera fundada y motivada, validan el cambio de modalidad de entrega de la </w:t>
      </w:r>
      <w:r w:rsidRPr="00D403DA">
        <w:rPr>
          <w:rFonts w:ascii="Palatino Linotype" w:eastAsia="MS Mincho" w:hAnsi="Palatino Linotype" w:cs="Arial"/>
        </w:rPr>
        <w:lastRenderedPageBreak/>
        <w:t xml:space="preserve">información y las cuales son, que las documentales a proporcionar </w:t>
      </w:r>
      <w:r w:rsidRPr="00D403DA">
        <w:rPr>
          <w:rFonts w:ascii="Palatino Linotype" w:eastAsia="MS Mincho" w:hAnsi="Palatino Linotype" w:cs="Arial"/>
          <w:b/>
        </w:rPr>
        <w:t xml:space="preserve">sobrepasen las capacidades técnicas administrativas y humanas del sujeto obligado. </w:t>
      </w:r>
    </w:p>
    <w:p w14:paraId="2EF94C07" w14:textId="77777777" w:rsidR="00EE743E" w:rsidRPr="00D403DA" w:rsidRDefault="00EE743E" w:rsidP="00EE743E">
      <w:pPr>
        <w:spacing w:line="360" w:lineRule="auto"/>
        <w:contextualSpacing/>
        <w:jc w:val="both"/>
        <w:rPr>
          <w:rFonts w:ascii="Palatino Linotype" w:eastAsia="MS Mincho" w:hAnsi="Palatino Linotype" w:cs="Arial"/>
        </w:rPr>
      </w:pPr>
    </w:p>
    <w:p w14:paraId="2CE67CEA" w14:textId="77777777" w:rsidR="00EE743E" w:rsidRPr="00D403DA"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Para ello, cabe mencionar lo que se tiene por </w:t>
      </w:r>
      <w:r w:rsidRPr="00D403DA">
        <w:rPr>
          <w:rFonts w:ascii="Palatino Linotype" w:eastAsia="MS Mincho" w:hAnsi="Palatino Linotype" w:cs="Arial"/>
          <w:b/>
        </w:rPr>
        <w:t>“capacidad”</w:t>
      </w:r>
      <w:r w:rsidRPr="00D403DA">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2152E4B7" w14:textId="77777777" w:rsidR="00EE743E" w:rsidRPr="00D403DA" w:rsidRDefault="00EE743E" w:rsidP="005B4960">
      <w:pPr>
        <w:pStyle w:val="Prrafodelista"/>
        <w:keepNext/>
        <w:keepLines/>
        <w:spacing w:line="360" w:lineRule="auto"/>
        <w:ind w:left="0"/>
        <w:outlineLvl w:val="0"/>
        <w:rPr>
          <w:rFonts w:ascii="Palatino Linotype" w:eastAsia="MS Gothic" w:hAnsi="Palatino Linotype" w:cstheme="majorBidi"/>
          <w:b/>
        </w:rPr>
      </w:pPr>
    </w:p>
    <w:p w14:paraId="041D13CE" w14:textId="77777777" w:rsidR="00EE743E" w:rsidRPr="00D403DA"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6A8D78B6" w14:textId="77777777" w:rsidR="00EE743E" w:rsidRPr="00D403DA" w:rsidRDefault="00EE743E" w:rsidP="00EE743E">
      <w:pPr>
        <w:spacing w:line="360" w:lineRule="auto"/>
        <w:contextualSpacing/>
        <w:jc w:val="both"/>
        <w:rPr>
          <w:rFonts w:ascii="Palatino Linotype" w:eastAsia="MS Mincho" w:hAnsi="Palatino Linotype" w:cs="Arial"/>
        </w:rPr>
      </w:pPr>
    </w:p>
    <w:p w14:paraId="505CC4C5" w14:textId="77777777" w:rsidR="00EE743E"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D403DA">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11F58D90" w14:textId="77777777" w:rsidR="003F7BD4" w:rsidRDefault="003F7BD4" w:rsidP="005B4960">
      <w:pPr>
        <w:pStyle w:val="Prrafodelista"/>
        <w:ind w:left="0"/>
        <w:rPr>
          <w:rFonts w:ascii="Palatino Linotype" w:eastAsia="MS Mincho" w:hAnsi="Palatino Linotype" w:cs="Arial"/>
        </w:rPr>
      </w:pPr>
    </w:p>
    <w:p w14:paraId="1444988B" w14:textId="77777777" w:rsidR="00EE743E" w:rsidRDefault="003F7BD4" w:rsidP="005B4960">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lastRenderedPageBreak/>
        <w:t xml:space="preserve">En este caso, el Sujeto Obligado </w:t>
      </w:r>
      <w:r w:rsidR="00970EE3">
        <w:rPr>
          <w:rFonts w:ascii="Palatino Linotype" w:eastAsia="MS Mincho" w:hAnsi="Palatino Linotype" w:cs="Arial"/>
        </w:rPr>
        <w:t>no manifestó en su respuesta algún inconveniente para cargar la información;</w:t>
      </w:r>
      <w:r>
        <w:rPr>
          <w:rFonts w:ascii="Palatino Linotype" w:eastAsia="MS Mincho" w:hAnsi="Palatino Linotype" w:cs="Arial"/>
        </w:rPr>
        <w:t xml:space="preserve"> </w:t>
      </w:r>
      <w:r w:rsidR="00970EE3">
        <w:rPr>
          <w:rFonts w:ascii="Palatino Linotype" w:eastAsia="MS Mincho" w:hAnsi="Palatino Linotype" w:cs="Arial"/>
        </w:rPr>
        <w:t xml:space="preserve">sin embargo, </w:t>
      </w:r>
      <w:r w:rsidR="00EE743E" w:rsidRPr="00264EC3">
        <w:rPr>
          <w:rFonts w:ascii="Palatino Linotype" w:eastAsia="MS Mincho" w:hAnsi="Palatino Linotype" w:cs="Arial"/>
        </w:rPr>
        <w:t xml:space="preserve"> </w:t>
      </w:r>
      <w:r w:rsidR="00970EE3">
        <w:rPr>
          <w:rFonts w:ascii="Palatino Linotype" w:eastAsia="MS Mincho" w:hAnsi="Palatino Linotype" w:cs="Arial"/>
        </w:rPr>
        <w:t>este Órgano Garante</w:t>
      </w:r>
      <w:r w:rsidR="00EE743E" w:rsidRPr="00264EC3">
        <w:rPr>
          <w:rFonts w:ascii="Palatino Linotype" w:eastAsia="MS Mincho" w:hAnsi="Palatino Linotype" w:cs="Arial"/>
        </w:rPr>
        <w:t xml:space="preserve"> se dio a la tarea de solicitar a la Dirección General de Informática del Instituto de Transparencia, </w:t>
      </w:r>
      <w:r w:rsidR="00926425" w:rsidRPr="00264EC3">
        <w:rPr>
          <w:rFonts w:ascii="Palatino Linotype" w:eastAsia="MS Mincho" w:hAnsi="Palatino Linotype" w:cs="Arial"/>
        </w:rPr>
        <w:t xml:space="preserve">información </w:t>
      </w:r>
      <w:r w:rsidR="00970EE3">
        <w:rPr>
          <w:rFonts w:ascii="Palatino Linotype" w:eastAsia="MS Mincho" w:hAnsi="Palatino Linotype" w:cs="Arial"/>
        </w:rPr>
        <w:t>para saber si el Sujeto Obligado manifestó alguna incidencia para subir la información solicitada a través de la Plataforma SAIMEX</w:t>
      </w:r>
      <w:r w:rsidR="0016749F" w:rsidRPr="00264EC3">
        <w:rPr>
          <w:rFonts w:ascii="Palatino Linotype" w:eastAsia="MS Mincho" w:hAnsi="Palatino Linotype" w:cs="Arial"/>
        </w:rPr>
        <w:t>; en respuesta, la Dirección</w:t>
      </w:r>
      <w:r w:rsidR="00926425" w:rsidRPr="00264EC3">
        <w:rPr>
          <w:rFonts w:ascii="Palatino Linotype" w:eastAsia="MS Mincho" w:hAnsi="Palatino Linotype" w:cs="Arial"/>
        </w:rPr>
        <w:t xml:space="preserve"> manifestó que no se tenía algún reporte de incidencia</w:t>
      </w:r>
      <w:r w:rsidR="00970EE3">
        <w:rPr>
          <w:rFonts w:ascii="Palatino Linotype" w:eastAsia="MS Mincho" w:hAnsi="Palatino Linotype" w:cs="Arial"/>
        </w:rPr>
        <w:t xml:space="preserve"> por parte del Sujeto Obligado: </w:t>
      </w:r>
    </w:p>
    <w:p w14:paraId="269CCE0F" w14:textId="77777777" w:rsidR="00970EE3" w:rsidRDefault="00970EE3" w:rsidP="00970EE3">
      <w:pPr>
        <w:spacing w:line="360" w:lineRule="auto"/>
        <w:contextualSpacing/>
        <w:jc w:val="both"/>
        <w:rPr>
          <w:rFonts w:ascii="Palatino Linotype" w:eastAsia="MS Mincho" w:hAnsi="Palatino Linotype" w:cs="Arial"/>
        </w:rPr>
      </w:pPr>
    </w:p>
    <w:p w14:paraId="6899ECD0" w14:textId="77777777" w:rsidR="00970EE3" w:rsidRPr="00264EC3" w:rsidRDefault="00970EE3" w:rsidP="00970EE3">
      <w:pPr>
        <w:spacing w:line="360" w:lineRule="auto"/>
        <w:contextualSpacing/>
        <w:jc w:val="both"/>
        <w:rPr>
          <w:rFonts w:ascii="Palatino Linotype" w:eastAsia="MS Mincho" w:hAnsi="Palatino Linotype" w:cs="Arial"/>
        </w:rPr>
      </w:pPr>
      <w:r>
        <w:rPr>
          <w:noProof/>
        </w:rPr>
        <w:drawing>
          <wp:inline distT="0" distB="0" distL="0" distR="0" wp14:anchorId="33CBF049" wp14:editId="31CDE801">
            <wp:extent cx="5604510" cy="3326004"/>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069" t="20842" r="35430" b="33422"/>
                    <a:stretch/>
                  </pic:blipFill>
                  <pic:spPr bwMode="auto">
                    <a:xfrm>
                      <a:off x="0" y="0"/>
                      <a:ext cx="5656649" cy="3356946"/>
                    </a:xfrm>
                    <a:prstGeom prst="rect">
                      <a:avLst/>
                    </a:prstGeom>
                    <a:ln>
                      <a:noFill/>
                    </a:ln>
                    <a:extLst>
                      <a:ext uri="{53640926-AAD7-44D8-BBD7-CCE9431645EC}">
                        <a14:shadowObscured xmlns:a14="http://schemas.microsoft.com/office/drawing/2010/main"/>
                      </a:ext>
                    </a:extLst>
                  </pic:spPr>
                </pic:pic>
              </a:graphicData>
            </a:graphic>
          </wp:inline>
        </w:drawing>
      </w:r>
    </w:p>
    <w:p w14:paraId="741EDFD2" w14:textId="77777777" w:rsidR="0016749F" w:rsidRDefault="0016749F" w:rsidP="0016749F">
      <w:pPr>
        <w:pStyle w:val="Prrafodelista"/>
        <w:rPr>
          <w:rFonts w:ascii="Palatino Linotype" w:eastAsia="MS Mincho" w:hAnsi="Palatino Linotype" w:cs="Arial"/>
        </w:rPr>
      </w:pPr>
    </w:p>
    <w:p w14:paraId="5F7D6995" w14:textId="77777777" w:rsidR="00926425" w:rsidRPr="00926425" w:rsidRDefault="00926425" w:rsidP="00926425">
      <w:pPr>
        <w:spacing w:line="360" w:lineRule="auto"/>
        <w:contextualSpacing/>
        <w:jc w:val="both"/>
        <w:rPr>
          <w:rFonts w:ascii="Palatino Linotype" w:eastAsia="MS Mincho" w:hAnsi="Palatino Linotype" w:cs="Arial"/>
        </w:rPr>
      </w:pPr>
    </w:p>
    <w:p w14:paraId="6948615A" w14:textId="77777777" w:rsidR="003F7BD4" w:rsidRPr="009543D9" w:rsidRDefault="009543D9" w:rsidP="009543D9">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En consecuencia, el Sujeto Obligado no tiene alguna</w:t>
      </w:r>
      <w:r w:rsidR="00EE743E" w:rsidRPr="00D403DA">
        <w:rPr>
          <w:rFonts w:ascii="Palatino Linotype" w:eastAsia="MS Mincho" w:hAnsi="Palatino Linotype" w:cs="Arial"/>
        </w:rPr>
        <w:t xml:space="preserve">  </w:t>
      </w:r>
      <w:r w:rsidR="003F7BD4">
        <w:rPr>
          <w:rFonts w:ascii="Palatino Linotype" w:eastAsia="MS Mincho" w:hAnsi="Palatino Linotype" w:cs="Arial"/>
        </w:rPr>
        <w:t>in</w:t>
      </w:r>
      <w:r w:rsidR="00EE743E" w:rsidRPr="00D403DA">
        <w:rPr>
          <w:rFonts w:ascii="Palatino Linotype" w:eastAsia="MS Mincho" w:hAnsi="Palatino Linotype" w:cs="Arial"/>
        </w:rPr>
        <w:t>capacidad técnica para remitir la in</w:t>
      </w:r>
      <w:r>
        <w:rPr>
          <w:rFonts w:ascii="Palatino Linotype" w:eastAsia="MS Mincho" w:hAnsi="Palatino Linotype" w:cs="Arial"/>
        </w:rPr>
        <w:t>formación vía SAIMEX; ahora bien, r</w:t>
      </w:r>
      <w:r w:rsidR="003F7BD4" w:rsidRPr="009543D9">
        <w:rPr>
          <w:rFonts w:ascii="Palatino Linotype" w:eastAsia="MS Mincho" w:hAnsi="Palatino Linotype" w:cs="Arial"/>
        </w:rPr>
        <w:t xml:space="preserve">eferente a la capacidad administrativa, esta es definida como la habilidad institucional de un gobierno, para </w:t>
      </w:r>
      <w:r w:rsidR="003F7BD4" w:rsidRPr="009543D9">
        <w:rPr>
          <w:rFonts w:ascii="Palatino Linotype" w:eastAsia="MS Mincho" w:hAnsi="Palatino Linotype" w:cs="Arial"/>
        </w:rPr>
        <w:lastRenderedPageBreak/>
        <w:t xml:space="preserve">formular y realizar planes, políticas, programas, actividades, operaciones u otras medidas para cumplir con los propósitos de desarrollo. En palabras más simples, es la </w:t>
      </w:r>
      <w:r w:rsidR="003F7BD4" w:rsidRPr="009543D9">
        <w:rPr>
          <w:rFonts w:ascii="Palatino Linotype" w:eastAsia="MS Mincho" w:hAnsi="Palatino Linotype" w:cs="Arial"/>
          <w:b/>
        </w:rPr>
        <w:t>eficiencia organizacional para efectuar funciones esenciales.</w:t>
      </w:r>
    </w:p>
    <w:p w14:paraId="18CBACF0" w14:textId="77777777" w:rsidR="003F7BD4" w:rsidRPr="00DF091C" w:rsidRDefault="003F7BD4" w:rsidP="005B4960">
      <w:pPr>
        <w:spacing w:line="360" w:lineRule="auto"/>
        <w:contextualSpacing/>
        <w:jc w:val="both"/>
        <w:rPr>
          <w:rFonts w:ascii="Palatino Linotype" w:eastAsia="MS Mincho" w:hAnsi="Palatino Linotype" w:cs="Arial"/>
        </w:rPr>
      </w:pPr>
    </w:p>
    <w:p w14:paraId="58B63499" w14:textId="77777777" w:rsidR="003F7BD4" w:rsidRPr="00DF091C"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DF091C">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10CC160" w14:textId="77777777" w:rsidR="003F7BD4" w:rsidRPr="00DF091C" w:rsidRDefault="003F7BD4" w:rsidP="005B4960">
      <w:pPr>
        <w:spacing w:line="360" w:lineRule="auto"/>
        <w:contextualSpacing/>
        <w:jc w:val="both"/>
        <w:rPr>
          <w:rFonts w:ascii="Palatino Linotype" w:eastAsia="MS Mincho" w:hAnsi="Palatino Linotype" w:cs="Arial"/>
        </w:rPr>
      </w:pPr>
    </w:p>
    <w:p w14:paraId="41635A04" w14:textId="77777777" w:rsidR="003F7BD4" w:rsidRPr="00DF091C"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DF091C">
        <w:rPr>
          <w:rFonts w:ascii="Palatino Linotype" w:eastAsia="MS Mincho" w:hAnsi="Palatino Linotype" w:cs="Arial"/>
        </w:rPr>
        <w:t xml:space="preserve">Desde una perspectiva institucional, la </w:t>
      </w:r>
      <w:r w:rsidRPr="00DF091C">
        <w:rPr>
          <w:rFonts w:ascii="Palatino Linotype" w:eastAsia="MS Mincho" w:hAnsi="Palatino Linotype" w:cs="Arial"/>
          <w:b/>
        </w:rPr>
        <w:t xml:space="preserve">capacidad administrativa </w:t>
      </w:r>
      <w:r w:rsidRPr="00DF091C">
        <w:rPr>
          <w:rFonts w:ascii="Palatino Linotype" w:eastAsia="MS Mincho" w:hAnsi="Palatino Linotype" w:cs="Arial"/>
        </w:rPr>
        <w:t xml:space="preserve">es entendida como </w:t>
      </w:r>
      <w:r w:rsidRPr="00DF091C">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DF091C">
        <w:rPr>
          <w:rFonts w:ascii="Palatino Linotype" w:eastAsia="MS Mincho" w:hAnsi="Palatino Linotype" w:cs="Arial"/>
          <w:b/>
          <w:i/>
        </w:rPr>
        <w:t xml:space="preserve">primero </w:t>
      </w:r>
      <w:r w:rsidRPr="00DF091C">
        <w:rPr>
          <w:rFonts w:ascii="Palatino Linotype" w:eastAsia="MS Mincho" w:hAnsi="Palatino Linotype" w:cs="Arial"/>
          <w:i/>
        </w:rPr>
        <w:t xml:space="preserve">hace alusión al individuo, al </w:t>
      </w:r>
      <w:r w:rsidRPr="00DF091C">
        <w:rPr>
          <w:rFonts w:ascii="Palatino Linotype" w:eastAsia="MS Mincho" w:hAnsi="Palatino Linotype" w:cs="Arial"/>
          <w:b/>
          <w:i/>
        </w:rPr>
        <w:t>recursos humano</w:t>
      </w:r>
      <w:r w:rsidRPr="00DF091C">
        <w:rPr>
          <w:rFonts w:ascii="Palatino Linotype" w:eastAsia="MS Mincho" w:hAnsi="Palatino Linotype" w:cs="Arial"/>
          <w:i/>
        </w:rPr>
        <w:t xml:space="preserve">. En el segundo nivel, se ubica la </w:t>
      </w:r>
      <w:r w:rsidRPr="00DF091C">
        <w:rPr>
          <w:rFonts w:ascii="Palatino Linotype" w:eastAsia="MS Mincho" w:hAnsi="Palatino Linotype" w:cs="Arial"/>
          <w:b/>
          <w:i/>
        </w:rPr>
        <w:t>capacidad de gestión</w:t>
      </w:r>
      <w:r w:rsidRPr="00DF091C">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DF091C">
        <w:rPr>
          <w:rStyle w:val="Refdenotaalpie"/>
          <w:rFonts w:ascii="Palatino Linotype" w:eastAsia="MS Mincho" w:hAnsi="Palatino Linotype" w:cs="Arial"/>
          <w:i/>
        </w:rPr>
        <w:footnoteReference w:id="5"/>
      </w:r>
    </w:p>
    <w:p w14:paraId="1B8112A3" w14:textId="77777777" w:rsidR="003F7BD4" w:rsidRPr="00DF091C" w:rsidRDefault="003F7BD4" w:rsidP="005B4960">
      <w:pPr>
        <w:spacing w:line="360" w:lineRule="auto"/>
        <w:contextualSpacing/>
        <w:jc w:val="both"/>
        <w:rPr>
          <w:rFonts w:ascii="Palatino Linotype" w:eastAsia="MS Mincho" w:hAnsi="Palatino Linotype" w:cs="Arial"/>
        </w:rPr>
      </w:pPr>
    </w:p>
    <w:p w14:paraId="41B4C01F" w14:textId="77777777" w:rsidR="003F7BD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DF091C">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w:t>
      </w:r>
      <w:r w:rsidRPr="00DF091C">
        <w:rPr>
          <w:rFonts w:ascii="Palatino Linotype" w:eastAsia="MS Mincho" w:hAnsi="Palatino Linotype" w:cs="Arial"/>
        </w:rPr>
        <w:lastRenderedPageBreak/>
        <w:t xml:space="preserve">conjunto y a la medida correcta, alcanzarían que las instituciones logren la finalidad de cumplir con sus responsabilidades y funciones de manera eficaz y eficiente. </w:t>
      </w:r>
    </w:p>
    <w:p w14:paraId="4E3B34FC" w14:textId="77777777" w:rsidR="003F7BD4" w:rsidRDefault="003F7BD4" w:rsidP="005B4960">
      <w:pPr>
        <w:pStyle w:val="Prrafodelista"/>
        <w:ind w:left="0"/>
        <w:rPr>
          <w:rFonts w:ascii="Palatino Linotype" w:eastAsia="MS Mincho" w:hAnsi="Palatino Linotype" w:cs="Arial"/>
          <w:sz w:val="24"/>
        </w:rPr>
      </w:pPr>
    </w:p>
    <w:p w14:paraId="506C8B93" w14:textId="77777777" w:rsidR="003F7BD4" w:rsidRPr="0072220F" w:rsidRDefault="003F7BD4" w:rsidP="005B4960">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Ahora bien, respecto de las capacidades </w:t>
      </w:r>
      <w:r w:rsidRPr="0072220F">
        <w:rPr>
          <w:rFonts w:ascii="Palatino Linotype" w:eastAsia="MS Mincho" w:hAnsi="Palatino Linotype" w:cs="Arial"/>
        </w:rPr>
        <w:t xml:space="preserve">humanas vale la pena precisar lo que se denomina por </w:t>
      </w:r>
      <w:r w:rsidRPr="0072220F">
        <w:rPr>
          <w:rFonts w:ascii="Palatino Linotype" w:eastAsia="MS Mincho" w:hAnsi="Palatino Linotype" w:cs="Arial"/>
          <w:b/>
        </w:rPr>
        <w:t>recursos humanos</w:t>
      </w:r>
      <w:r w:rsidRPr="0072220F">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6F33730C" w14:textId="77777777" w:rsidR="003F7BD4" w:rsidRPr="0072220F" w:rsidRDefault="003F7BD4" w:rsidP="005B4960">
      <w:pPr>
        <w:spacing w:line="360" w:lineRule="auto"/>
        <w:contextualSpacing/>
        <w:jc w:val="both"/>
        <w:rPr>
          <w:rFonts w:ascii="Palatino Linotype" w:eastAsia="MS Mincho" w:hAnsi="Palatino Linotype" w:cs="Arial"/>
        </w:rPr>
      </w:pPr>
    </w:p>
    <w:p w14:paraId="23D17BBD" w14:textId="77777777" w:rsidR="003F7BD4"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72220F">
        <w:rPr>
          <w:rFonts w:ascii="Palatino Linotype" w:eastAsia="MS Mincho" w:hAnsi="Palatino Linotype" w:cs="Arial"/>
        </w:rPr>
        <w:t xml:space="preserve">Las personas, son la </w:t>
      </w:r>
      <w:r w:rsidRPr="0072220F">
        <w:rPr>
          <w:rFonts w:ascii="Palatino Linotype" w:eastAsia="MS Mincho" w:hAnsi="Palatino Linotype" w:cs="Arial"/>
          <w:b/>
        </w:rPr>
        <w:t xml:space="preserve">parte fundamental de una organización </w:t>
      </w:r>
      <w:r w:rsidRPr="0072220F">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3684B630" w14:textId="77777777" w:rsidR="003F7BD4" w:rsidRPr="0072220F" w:rsidRDefault="003F7BD4" w:rsidP="005B4960">
      <w:pPr>
        <w:spacing w:line="360" w:lineRule="auto"/>
        <w:contextualSpacing/>
        <w:jc w:val="both"/>
        <w:rPr>
          <w:rFonts w:ascii="Palatino Linotype" w:eastAsia="MS Mincho" w:hAnsi="Palatino Linotype" w:cs="Arial"/>
        </w:rPr>
      </w:pPr>
    </w:p>
    <w:p w14:paraId="1C4E0F94" w14:textId="77777777" w:rsidR="00A54073" w:rsidRDefault="00C8485D" w:rsidP="009543D9">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Atendiendo a esta óptica, el SUJETO OBLIGADO </w:t>
      </w:r>
      <w:r w:rsidR="009543D9">
        <w:rPr>
          <w:rFonts w:ascii="Palatino Linotype" w:eastAsia="MS Mincho" w:hAnsi="Palatino Linotype" w:cs="Arial"/>
        </w:rPr>
        <w:t>tampoco  s</w:t>
      </w:r>
      <w:r>
        <w:rPr>
          <w:rFonts w:ascii="Palatino Linotype" w:eastAsia="MS Mincho" w:hAnsi="Palatino Linotype" w:cs="Arial"/>
        </w:rPr>
        <w:t>e pronunció sobre una incapacidad administrativa y humana para realizar el cambio de modalidad a consulta directa.</w:t>
      </w:r>
    </w:p>
    <w:p w14:paraId="79B866D2" w14:textId="77777777" w:rsidR="009543D9" w:rsidRDefault="009543D9" w:rsidP="009543D9">
      <w:pPr>
        <w:spacing w:line="360" w:lineRule="auto"/>
        <w:contextualSpacing/>
        <w:jc w:val="both"/>
        <w:rPr>
          <w:rFonts w:ascii="Palatino Linotype" w:eastAsia="MS Mincho" w:hAnsi="Palatino Linotype" w:cs="Arial"/>
        </w:rPr>
      </w:pPr>
    </w:p>
    <w:p w14:paraId="324D8020" w14:textId="77777777" w:rsidR="009543D9" w:rsidRPr="009543D9" w:rsidRDefault="009543D9" w:rsidP="009543D9">
      <w:pPr>
        <w:numPr>
          <w:ilvl w:val="0"/>
          <w:numId w:val="1"/>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Derivado de todo lo anteriormente señalado, al no fundar y motivar el cambio de entrega de la información, el Sujeto Obligado no acreditó el cambio de modalidad, en consecuencia, se ordena la entrega del documento o documentos donde conste el nombre de la institución financiera de seguros </w:t>
      </w:r>
      <w:r>
        <w:rPr>
          <w:rFonts w:ascii="Palatino Linotype" w:hAnsi="Palatino Linotype"/>
          <w:color w:val="000000"/>
        </w:rPr>
        <w:t xml:space="preserve">contratada por la Comisión de </w:t>
      </w:r>
      <w:r>
        <w:rPr>
          <w:rFonts w:ascii="Palatino Linotype" w:hAnsi="Palatino Linotype"/>
          <w:color w:val="000000"/>
        </w:rPr>
        <w:lastRenderedPageBreak/>
        <w:t xml:space="preserve">Conciliación y Arbitraje Médico para efectos del seguro de vida de los servidores públicos. </w:t>
      </w:r>
    </w:p>
    <w:p w14:paraId="62390C96" w14:textId="77777777" w:rsidR="00A54073" w:rsidRDefault="00A54073" w:rsidP="00E400B2">
      <w:pPr>
        <w:pStyle w:val="Prrafodelista"/>
        <w:numPr>
          <w:ilvl w:val="0"/>
          <w:numId w:val="1"/>
        </w:numPr>
        <w:spacing w:before="240" w:after="240" w:line="360" w:lineRule="auto"/>
        <w:ind w:left="0" w:firstLine="0"/>
        <w:jc w:val="both"/>
        <w:rPr>
          <w:rFonts w:ascii="Palatino Linotype" w:eastAsia="Calibri" w:hAnsi="Palatino Linotype" w:cs="Arial"/>
          <w:sz w:val="24"/>
        </w:rPr>
      </w:pPr>
      <w:r>
        <w:rPr>
          <w:rFonts w:ascii="Palatino Linotype" w:eastAsia="Calibri" w:hAnsi="Palatino Linotype" w:cs="Arial"/>
          <w:sz w:val="24"/>
        </w:rPr>
        <w:t>Asimismo, no pasa desapercibido para este Órgano Garante, que la información que se ordena entregar puede contener información susceptible de clasificarse como confidencial, para lo cual deberá atender al siguiente considerando.</w:t>
      </w:r>
    </w:p>
    <w:p w14:paraId="41A4C2D7" w14:textId="77777777" w:rsidR="00A54073" w:rsidRPr="00A54073" w:rsidRDefault="00A54073" w:rsidP="00A54073">
      <w:pPr>
        <w:pStyle w:val="Prrafodelista"/>
        <w:spacing w:before="240" w:after="240" w:line="360" w:lineRule="auto"/>
        <w:ind w:left="0"/>
        <w:jc w:val="both"/>
        <w:rPr>
          <w:rFonts w:ascii="Palatino Linotype" w:eastAsia="Calibri" w:hAnsi="Palatino Linotype" w:cs="Arial"/>
          <w:sz w:val="24"/>
        </w:rPr>
      </w:pPr>
    </w:p>
    <w:p w14:paraId="68D37E9B" w14:textId="77777777" w:rsidR="003F2E3B" w:rsidRPr="00E420D7" w:rsidRDefault="003F2E3B" w:rsidP="00730D0C">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32" w:name="_Toc89350464"/>
      <w:bookmarkStart w:id="33" w:name="_Toc94119619"/>
      <w:r w:rsidRPr="00E420D7">
        <w:rPr>
          <w:rFonts w:ascii="Palatino Linotype" w:hAnsi="Palatino Linotype"/>
          <w:b/>
          <w:bCs/>
          <w:color w:val="000000" w:themeColor="text1"/>
        </w:rPr>
        <w:t>QUINTO. De la versión pública.</w:t>
      </w:r>
      <w:bookmarkEnd w:id="32"/>
      <w:bookmarkEnd w:id="33"/>
    </w:p>
    <w:p w14:paraId="14ACEB9C" w14:textId="77777777" w:rsidR="003F2E3B" w:rsidRPr="00E420D7"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14:paraId="48D77758"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Debe destacarse que, debido a la naturaleza de la información solicitada</w:t>
      </w:r>
      <w:r w:rsidRPr="00A54073">
        <w:rPr>
          <w:rFonts w:ascii="Palatino Linotype" w:hAnsi="Palatino Linotype"/>
          <w:b/>
          <w:color w:val="000000" w:themeColor="text1"/>
          <w:sz w:val="24"/>
        </w:rPr>
        <w:t xml:space="preserve"> </w:t>
      </w:r>
      <w:r w:rsidRPr="00A54073">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0D0A433D" w14:textId="77777777" w:rsidR="003F2E3B" w:rsidRPr="00A54073"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5DC22D96" w14:textId="77777777" w:rsidR="003F2E3B" w:rsidRPr="00A54073"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A54073">
        <w:rPr>
          <w:rFonts w:ascii="Palatino Linotype" w:hAnsi="Palatino Linotype"/>
          <w:color w:val="000000" w:themeColor="text1"/>
          <w:sz w:val="24"/>
        </w:rPr>
        <w:t xml:space="preserve">La </w:t>
      </w:r>
      <w:r w:rsidRPr="00A54073">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sz w:val="24"/>
        </w:rPr>
        <w:t xml:space="preserve">Actualmente, el grave problema que enfrentamos son los Acuerdos de Clasificación de la Información que emiten los </w:t>
      </w:r>
      <w:r w:rsidRPr="00A54073">
        <w:rPr>
          <w:rFonts w:ascii="Palatino Linotype" w:hAnsi="Palatino Linotype" w:cs="Arial"/>
          <w:b/>
          <w:color w:val="000000"/>
          <w:sz w:val="24"/>
        </w:rPr>
        <w:t>SUJETOS OBLIGADOS</w:t>
      </w:r>
      <w:r w:rsidRPr="00A54073">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D5BB6B2"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E420D7" w14:paraId="4F87B039"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7CB763"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a) Requisitos previos.</w:t>
            </w:r>
          </w:p>
        </w:tc>
        <w:tc>
          <w:tcPr>
            <w:tcW w:w="6990" w:type="dxa"/>
          </w:tcPr>
          <w:p w14:paraId="45941A05"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5DB70F7A"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Al hacerlo tienen que precisar de qué información se trata, señalando el supuesto de clasificación (confidencialidad o reserva).</w:t>
            </w:r>
          </w:p>
          <w:p w14:paraId="52D9971B" w14:textId="77777777" w:rsidR="003F2E3B" w:rsidRPr="00E420D7"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0086D435" w14:textId="77777777" w:rsidR="003F2E3B" w:rsidRPr="00E420D7"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E420D7" w14:paraId="08848FCC"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38052AD"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b) Supuestos de clasificación.</w:t>
            </w:r>
          </w:p>
        </w:tc>
        <w:tc>
          <w:tcPr>
            <w:tcW w:w="6990" w:type="dxa"/>
          </w:tcPr>
          <w:p w14:paraId="0CF07F3B"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014DBFBF"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1EC1B68A" w14:textId="77777777" w:rsidR="003F2E3B" w:rsidRPr="00E420D7"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w:t>
            </w:r>
            <w:r w:rsidRPr="00E420D7">
              <w:rPr>
                <w:rFonts w:ascii="Palatino Linotype" w:hAnsi="Palatino Linotype" w:cs="Arial"/>
                <w:color w:val="000000"/>
                <w:sz w:val="20"/>
                <w:szCs w:val="20"/>
              </w:rPr>
              <w:lastRenderedPageBreak/>
              <w:t>debe de realizar el servidor público habilitado y el titular del área que administra la información.</w:t>
            </w:r>
          </w:p>
        </w:tc>
      </w:tr>
      <w:tr w:rsidR="003F2E3B" w:rsidRPr="00E420D7" w14:paraId="2CA1744E"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608D44E9" w14:textId="77777777" w:rsidR="003F2E3B" w:rsidRPr="00E420D7" w:rsidRDefault="003F2E3B" w:rsidP="0060605C">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c) Formalidades para emitir el acuerdo de clasificación.</w:t>
            </w:r>
          </w:p>
        </w:tc>
        <w:tc>
          <w:tcPr>
            <w:tcW w:w="6990" w:type="dxa"/>
          </w:tcPr>
          <w:p w14:paraId="26997EE4"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69A5C3B2"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17517FD3" w14:textId="77777777" w:rsidR="003F2E3B" w:rsidRPr="00E420D7"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3F2E3B" w:rsidRPr="00E420D7" w14:paraId="65E46666"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8F7A615" w14:textId="77777777" w:rsidR="003F2E3B" w:rsidRPr="00E420D7" w:rsidRDefault="003F2E3B" w:rsidP="0060605C">
            <w:pPr>
              <w:spacing w:before="240" w:after="240" w:line="360" w:lineRule="auto"/>
              <w:rPr>
                <w:rFonts w:ascii="Palatino Linotype" w:hAnsi="Palatino Linotype"/>
                <w:b w:val="0"/>
                <w:sz w:val="20"/>
                <w:szCs w:val="20"/>
              </w:rPr>
            </w:pPr>
          </w:p>
          <w:p w14:paraId="5FAB53FC" w14:textId="77777777" w:rsidR="003F2E3B" w:rsidRPr="00E420D7" w:rsidRDefault="003F2E3B" w:rsidP="0060605C">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t xml:space="preserve">d) Requisitos de fondo del acuerdo de clasificación. </w:t>
            </w:r>
          </w:p>
        </w:tc>
        <w:tc>
          <w:tcPr>
            <w:tcW w:w="6990" w:type="dxa"/>
          </w:tcPr>
          <w:p w14:paraId="4AC1DB04"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09FBF495"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xml:space="preserve">, esto es determinar los datos que se suprimen en las versiones públicas, es necesario fundar y motivar, de manera correcta, la clasificación; considerando que todo acto que la autoridad pronuncie en el ejercicio de sus </w:t>
            </w:r>
            <w:r w:rsidRPr="00E420D7">
              <w:rPr>
                <w:rFonts w:ascii="Palatino Linotype" w:hAnsi="Palatino Linotype" w:cs="Arial"/>
                <w:color w:val="000000"/>
                <w:sz w:val="20"/>
                <w:szCs w:val="20"/>
              </w:rPr>
              <w:lastRenderedPageBreak/>
              <w:t>atribuciones, debe expresar los fundamentos legales que le dieron origen y las razones por las que se deben aplicar al caso concreto.</w:t>
            </w:r>
          </w:p>
          <w:p w14:paraId="21E2C096"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30306C6"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762789F5" w14:textId="77777777" w:rsidR="003F2E3B" w:rsidRPr="00E420D7"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F2E3B" w:rsidRPr="00E420D7" w14:paraId="1F00CC7A"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06395490" w14:textId="77777777" w:rsidR="003F2E3B" w:rsidRPr="00E420D7" w:rsidRDefault="003F2E3B" w:rsidP="0060605C">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606DD54D" w14:textId="77777777" w:rsidR="003F2E3B" w:rsidRPr="00E420D7" w:rsidRDefault="003F2E3B" w:rsidP="0060605C">
            <w:pPr>
              <w:spacing w:before="240" w:after="240" w:line="360" w:lineRule="auto"/>
              <w:rPr>
                <w:rFonts w:ascii="Palatino Linotype" w:hAnsi="Palatino Linotype"/>
                <w:sz w:val="20"/>
                <w:szCs w:val="20"/>
              </w:rPr>
            </w:pPr>
          </w:p>
        </w:tc>
        <w:tc>
          <w:tcPr>
            <w:tcW w:w="6990" w:type="dxa"/>
          </w:tcPr>
          <w:p w14:paraId="709CE5A1"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4E223897" w14:textId="77777777" w:rsidR="003F2E3B" w:rsidRPr="00E420D7"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1E1D04D" w14:textId="77777777" w:rsidR="003F2E3B" w:rsidRPr="00E420D7"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Pero si la información que se pretende clasificar como confidencial no se encuentra en los supuestos de los artículos señalados y es posible, se deberá consultar al titular de los datos si permite o no el acceso. De no ser posible, </w:t>
            </w:r>
            <w:r w:rsidRPr="00E420D7">
              <w:rPr>
                <w:rFonts w:ascii="Palatino Linotype" w:hAnsi="Palatino Linotype" w:cs="Arial"/>
                <w:color w:val="000000"/>
                <w:sz w:val="20"/>
                <w:szCs w:val="20"/>
              </w:rPr>
              <w:lastRenderedPageBreak/>
              <w:t>la realización de la consulta, procede, fundando y motivando, la clasificación.</w:t>
            </w:r>
          </w:p>
        </w:tc>
      </w:tr>
    </w:tbl>
    <w:p w14:paraId="7CB12821"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35D6297" w14:textId="77777777" w:rsidR="003F2E3B" w:rsidRPr="00E420D7" w:rsidRDefault="003F2E3B" w:rsidP="00E400B2">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4" w:name="_Toc89350469"/>
      <w:bookmarkStart w:id="35" w:name="_Toc94119620"/>
      <w:r w:rsidRPr="00E420D7">
        <w:rPr>
          <w:rFonts w:ascii="Palatino Linotype" w:hAnsi="Palatino Linotype"/>
          <w:b/>
          <w:bCs/>
          <w:color w:val="000000" w:themeColor="text1"/>
          <w:sz w:val="24"/>
        </w:rPr>
        <w:t>SEXTO. Decisión</w:t>
      </w:r>
      <w:bookmarkEnd w:id="34"/>
      <w:bookmarkEnd w:id="35"/>
    </w:p>
    <w:p w14:paraId="209C0436" w14:textId="77777777" w:rsidR="003F2E3B" w:rsidRPr="00E420D7"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p w14:paraId="1C5A5ECA" w14:textId="77777777" w:rsidR="005B4960" w:rsidRPr="00FF5D4E" w:rsidRDefault="003F312C" w:rsidP="00FB70E3">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FF5D4E">
        <w:rPr>
          <w:rFonts w:ascii="Palatino Linotype" w:hAnsi="Palatino Linotype"/>
          <w:color w:val="000000" w:themeColor="text1"/>
          <w:sz w:val="24"/>
        </w:rPr>
        <w:t xml:space="preserve">Una vez analizadas las constancias que forman el expediente electrónico, se estableció </w:t>
      </w:r>
      <w:r w:rsidR="0060605C" w:rsidRPr="00FF5D4E">
        <w:rPr>
          <w:rFonts w:ascii="Palatino Linotype" w:hAnsi="Palatino Linotype"/>
          <w:color w:val="000000" w:themeColor="text1"/>
          <w:sz w:val="24"/>
        </w:rPr>
        <w:t xml:space="preserve">que el Sujeto Obligado no </w:t>
      </w:r>
      <w:r w:rsidR="005B4960" w:rsidRPr="00FF5D4E">
        <w:rPr>
          <w:rFonts w:ascii="Palatino Linotype" w:hAnsi="Palatino Linotype"/>
          <w:color w:val="000000" w:themeColor="text1"/>
          <w:sz w:val="24"/>
        </w:rPr>
        <w:t xml:space="preserve">fundó ni motivo el cambio de modalidad de entrega a consulta directa. </w:t>
      </w:r>
      <w:r w:rsidR="003F2E3B" w:rsidRPr="00FF5D4E">
        <w:rPr>
          <w:rFonts w:ascii="Palatino Linotype" w:hAnsi="Palatino Linotype"/>
          <w:color w:val="000000" w:themeColor="text1"/>
          <w:sz w:val="24"/>
        </w:rPr>
        <w:t xml:space="preserve">Por </w:t>
      </w:r>
      <w:r w:rsidR="003F2E3B" w:rsidRPr="00FF5D4E">
        <w:rPr>
          <w:rFonts w:ascii="Palatino Linotype" w:eastAsia="MS Mincho" w:hAnsi="Palatino Linotype" w:cstheme="majorBidi"/>
          <w:sz w:val="24"/>
        </w:rPr>
        <w:t>lo tanto,</w:t>
      </w:r>
      <w:r w:rsidR="003F2E3B" w:rsidRPr="00FF5D4E">
        <w:rPr>
          <w:rFonts w:ascii="Palatino Linotype" w:eastAsia="MS Mincho" w:hAnsi="Palatino Linotype" w:cstheme="majorBidi"/>
          <w:sz w:val="24"/>
          <w:lang w:val="es-ES"/>
        </w:rPr>
        <w:t xml:space="preserve"> en consecuencia y en mérito de lo expuesto en líneas anteriores, resultan fundadas las razones o motivos de inconformidad hechos valer por el </w:t>
      </w:r>
      <w:r w:rsidR="003F2E3B" w:rsidRPr="00FF5D4E">
        <w:rPr>
          <w:rFonts w:ascii="Palatino Linotype" w:eastAsia="MS Mincho" w:hAnsi="Palatino Linotype" w:cstheme="majorBidi"/>
          <w:b/>
          <w:sz w:val="24"/>
          <w:lang w:val="es-ES"/>
        </w:rPr>
        <w:t>RECURRENTE</w:t>
      </w:r>
      <w:r w:rsidR="003F2E3B" w:rsidRPr="00FF5D4E">
        <w:rPr>
          <w:rFonts w:ascii="Palatino Linotype" w:eastAsia="MS Mincho" w:hAnsi="Palatino Linotype" w:cstheme="majorBidi"/>
          <w:sz w:val="24"/>
          <w:lang w:val="es-ES"/>
        </w:rPr>
        <w:t xml:space="preserve"> dentro del recurso de revisión </w:t>
      </w:r>
      <w:r w:rsidR="00FF5D4E">
        <w:rPr>
          <w:rFonts w:ascii="Palatino Linotype" w:eastAsia="MS Mincho" w:hAnsi="Palatino Linotype" w:cstheme="majorBidi"/>
          <w:b/>
          <w:bCs/>
          <w:sz w:val="24"/>
          <w:lang w:val="es-ES"/>
        </w:rPr>
        <w:t>00283/INFOEM/IP/RR/2022</w:t>
      </w:r>
      <w:r w:rsidR="003F2E3B" w:rsidRPr="00FF5D4E">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3F2E3B" w:rsidRPr="00FF5D4E">
        <w:rPr>
          <w:rFonts w:ascii="Palatino Linotype" w:eastAsia="MS Mincho" w:hAnsi="Palatino Linotype" w:cstheme="majorBidi"/>
          <w:b/>
          <w:sz w:val="24"/>
          <w:lang w:val="es-ES"/>
        </w:rPr>
        <w:t>REVOCA</w:t>
      </w:r>
      <w:r w:rsidR="003F2E3B" w:rsidRPr="00FF5D4E">
        <w:rPr>
          <w:rFonts w:ascii="Palatino Linotype" w:eastAsia="MS Mincho" w:hAnsi="Palatino Linotype" w:cstheme="majorBidi"/>
          <w:sz w:val="24"/>
          <w:lang w:val="es-ES"/>
        </w:rPr>
        <w:t xml:space="preserve"> la respuesta </w:t>
      </w:r>
      <w:r w:rsidR="005B4960" w:rsidRPr="00FF5D4E">
        <w:rPr>
          <w:rFonts w:ascii="Palatino Linotype" w:eastAsia="MS Mincho" w:hAnsi="Palatino Linotype" w:cstheme="majorBidi"/>
          <w:sz w:val="24"/>
          <w:lang w:val="es-ES"/>
        </w:rPr>
        <w:t>del Sujeto Obligado y se ordena la entrega de ser procedente en versión pública</w:t>
      </w:r>
      <w:r w:rsidR="00FF5D4E">
        <w:rPr>
          <w:rFonts w:ascii="Palatino Linotype" w:eastAsia="MS Mincho" w:hAnsi="Palatino Linotype" w:cstheme="majorBidi"/>
          <w:sz w:val="24"/>
          <w:lang w:val="es-ES"/>
        </w:rPr>
        <w:t xml:space="preserve"> del</w:t>
      </w:r>
      <w:r w:rsidR="005B4960" w:rsidRPr="00FF5D4E">
        <w:rPr>
          <w:rFonts w:ascii="Palatino Linotype" w:eastAsia="MS Mincho" w:hAnsi="Palatino Linotype" w:cstheme="majorBidi"/>
          <w:sz w:val="24"/>
          <w:lang w:val="es-ES"/>
        </w:rPr>
        <w:t xml:space="preserve"> </w:t>
      </w:r>
      <w:r w:rsidR="00FF5D4E">
        <w:rPr>
          <w:rFonts w:ascii="Palatino Linotype" w:eastAsia="MS Mincho" w:hAnsi="Palatino Linotype" w:cs="Arial"/>
        </w:rPr>
        <w:t xml:space="preserve">documento o documentos donde conste el nombre de la institución financiera de seguros </w:t>
      </w:r>
      <w:r w:rsidR="00FF5D4E">
        <w:rPr>
          <w:rFonts w:ascii="Palatino Linotype" w:hAnsi="Palatino Linotype"/>
          <w:color w:val="000000"/>
          <w:sz w:val="24"/>
        </w:rPr>
        <w:t>contratada por la Comisión de Conciliación y Arbitraje Médico para efectos del seguro de vida de los servidores públicos</w:t>
      </w:r>
      <w:r w:rsidR="00FF5D4E">
        <w:rPr>
          <w:rFonts w:ascii="Palatino Linotype" w:hAnsi="Palatino Linotype"/>
          <w:color w:val="000000"/>
        </w:rPr>
        <w:t>.</w:t>
      </w:r>
    </w:p>
    <w:p w14:paraId="51F336AF" w14:textId="77777777" w:rsidR="00FF5D4E" w:rsidRPr="00FF5D4E" w:rsidRDefault="00FF5D4E" w:rsidP="00FF5D4E">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7A85C677" w14:textId="77777777" w:rsidR="00E93FC1" w:rsidRPr="00E420D7"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E420D7">
        <w:rPr>
          <w:rFonts w:ascii="Palatino Linotype" w:hAnsi="Palatino Linotype"/>
          <w:sz w:val="24"/>
          <w:lang w:val="es-ES"/>
        </w:rPr>
        <w:t xml:space="preserve">Por lo anteriormente expuesto y fundado, este </w:t>
      </w:r>
      <w:r w:rsidRPr="00E420D7">
        <w:rPr>
          <w:rFonts w:ascii="Palatino Linotype" w:hAnsi="Palatino Linotype"/>
          <w:b/>
          <w:bCs/>
          <w:sz w:val="24"/>
          <w:lang w:val="es-ES"/>
        </w:rPr>
        <w:t>ÓRGANO GARANTE</w:t>
      </w:r>
      <w:r w:rsidRPr="00E420D7">
        <w:rPr>
          <w:rFonts w:ascii="Palatino Linotype" w:hAnsi="Palatino Linotype"/>
          <w:sz w:val="24"/>
          <w:lang w:val="es-ES"/>
        </w:rPr>
        <w:t xml:space="preserve"> emite los siguientes:</w:t>
      </w:r>
    </w:p>
    <w:p w14:paraId="791BBCD6" w14:textId="77777777" w:rsidR="00E93FC1" w:rsidRPr="00E420D7"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E420D7">
        <w:rPr>
          <w:rFonts w:ascii="Palatino Linotype" w:eastAsiaTheme="majorEastAsia" w:hAnsi="Palatino Linotype" w:cstheme="majorBidi"/>
          <w:b/>
          <w:color w:val="000000" w:themeColor="text1"/>
          <w:lang w:eastAsia="en-US"/>
        </w:rPr>
        <w:lastRenderedPageBreak/>
        <w:t>R E S O L U T I V O S</w:t>
      </w:r>
      <w:bookmarkEnd w:id="36"/>
      <w:bookmarkEnd w:id="37"/>
    </w:p>
    <w:p w14:paraId="38285674" w14:textId="77777777" w:rsidR="00E93FC1" w:rsidRPr="00E420D7" w:rsidRDefault="00E93FC1" w:rsidP="00730D0C">
      <w:pPr>
        <w:spacing w:before="240" w:after="240" w:line="360" w:lineRule="auto"/>
        <w:ind w:right="48"/>
        <w:jc w:val="both"/>
        <w:rPr>
          <w:rFonts w:ascii="Palatino Linotype" w:hAnsi="Palatino Linotype" w:cs="Arial"/>
          <w:bCs/>
          <w:szCs w:val="20"/>
          <w:lang w:eastAsia="es-ES"/>
        </w:rPr>
      </w:pPr>
      <w:r w:rsidRPr="00E420D7">
        <w:rPr>
          <w:rFonts w:ascii="Palatino Linotype" w:hAnsi="Palatino Linotype" w:cs="Arial"/>
          <w:b/>
          <w:szCs w:val="20"/>
          <w:lang w:eastAsia="es-ES"/>
        </w:rPr>
        <w:t xml:space="preserve">PRIMERO. </w:t>
      </w:r>
      <w:r w:rsidRPr="00E420D7">
        <w:rPr>
          <w:rFonts w:ascii="Palatino Linotype" w:hAnsi="Palatino Linotype" w:cs="Arial"/>
          <w:szCs w:val="20"/>
          <w:lang w:eastAsia="es-ES"/>
        </w:rPr>
        <w:t>Resultan fundadas las</w:t>
      </w:r>
      <w:r w:rsidRPr="00E420D7">
        <w:rPr>
          <w:rFonts w:ascii="Palatino Linotype" w:hAnsi="Palatino Linotype" w:cs="Arial"/>
          <w:b/>
          <w:szCs w:val="20"/>
          <w:lang w:eastAsia="es-ES"/>
        </w:rPr>
        <w:t xml:space="preserve"> </w:t>
      </w:r>
      <w:r w:rsidRPr="00E420D7">
        <w:rPr>
          <w:rFonts w:ascii="Palatino Linotype" w:hAnsi="Palatino Linotype" w:cs="Arial"/>
          <w:szCs w:val="20"/>
          <w:lang w:val="es-ES" w:eastAsia="es-ES"/>
        </w:rPr>
        <w:t xml:space="preserve">razones o motivos de inconformidad hechos valer </w:t>
      </w:r>
      <w:r w:rsidRPr="00E420D7">
        <w:rPr>
          <w:rFonts w:ascii="Palatino Linotype" w:eastAsia="Calibri" w:hAnsi="Palatino Linotype" w:cs="Arial"/>
          <w:szCs w:val="20"/>
          <w:lang w:val="es-ES" w:eastAsia="es-ES"/>
        </w:rPr>
        <w:t xml:space="preserve">en el recurso de revisión </w:t>
      </w:r>
      <w:r w:rsidR="00FF5D4E">
        <w:rPr>
          <w:rFonts w:ascii="Palatino Linotype" w:hAnsi="Palatino Linotype" w:cs="Arial"/>
          <w:b/>
          <w:bCs/>
          <w:szCs w:val="20"/>
          <w:lang w:eastAsia="es-ES"/>
        </w:rPr>
        <w:t>00283</w:t>
      </w:r>
      <w:r w:rsidR="00D37593">
        <w:rPr>
          <w:rFonts w:ascii="Palatino Linotype" w:hAnsi="Palatino Linotype" w:cs="Arial"/>
          <w:b/>
          <w:bCs/>
          <w:szCs w:val="20"/>
          <w:lang w:eastAsia="es-ES"/>
        </w:rPr>
        <w:t>/INFOEM/IP/RR/2022</w:t>
      </w:r>
      <w:r w:rsidRPr="00E420D7">
        <w:rPr>
          <w:rFonts w:ascii="Palatino Linotype" w:hAnsi="Palatino Linotype" w:cs="Arial"/>
          <w:b/>
          <w:bCs/>
          <w:szCs w:val="20"/>
          <w:lang w:eastAsia="es-ES"/>
        </w:rPr>
        <w:t xml:space="preserve">, </w:t>
      </w:r>
      <w:r w:rsidRPr="00E420D7">
        <w:rPr>
          <w:rFonts w:ascii="Palatino Linotype" w:hAnsi="Palatino Linotype" w:cs="Arial"/>
          <w:bCs/>
          <w:szCs w:val="20"/>
          <w:lang w:eastAsia="es-ES"/>
        </w:rPr>
        <w:t xml:space="preserve">en términos del </w:t>
      </w:r>
      <w:r w:rsidRPr="00E420D7">
        <w:rPr>
          <w:rFonts w:ascii="Palatino Linotype" w:hAnsi="Palatino Linotype" w:cs="Arial"/>
          <w:b/>
          <w:bCs/>
          <w:szCs w:val="20"/>
          <w:lang w:eastAsia="es-ES"/>
        </w:rPr>
        <w:t>Considerando</w:t>
      </w:r>
      <w:r w:rsidRPr="00E420D7">
        <w:rPr>
          <w:rFonts w:ascii="Palatino Linotype" w:hAnsi="Palatino Linotype" w:cs="Arial"/>
          <w:bCs/>
          <w:szCs w:val="20"/>
          <w:lang w:eastAsia="es-ES"/>
        </w:rPr>
        <w:t xml:space="preserve"> </w:t>
      </w:r>
      <w:r w:rsidRPr="00E420D7">
        <w:rPr>
          <w:rFonts w:ascii="Palatino Linotype" w:hAnsi="Palatino Linotype" w:cs="Arial"/>
          <w:b/>
          <w:bCs/>
          <w:szCs w:val="20"/>
          <w:lang w:eastAsia="es-ES"/>
        </w:rPr>
        <w:t xml:space="preserve">CUARTO </w:t>
      </w:r>
      <w:r w:rsidR="006E1937" w:rsidRPr="00E420D7">
        <w:rPr>
          <w:rFonts w:ascii="Palatino Linotype" w:hAnsi="Palatino Linotype" w:cs="Arial"/>
          <w:b/>
          <w:bCs/>
          <w:szCs w:val="20"/>
          <w:lang w:eastAsia="es-ES"/>
        </w:rPr>
        <w:t>y QUINTO</w:t>
      </w:r>
      <w:r w:rsidRPr="00E420D7">
        <w:rPr>
          <w:rFonts w:ascii="Palatino Linotype" w:hAnsi="Palatino Linotype" w:cs="Arial"/>
          <w:b/>
          <w:bCs/>
          <w:szCs w:val="20"/>
          <w:lang w:eastAsia="es-ES"/>
        </w:rPr>
        <w:t xml:space="preserve">  </w:t>
      </w:r>
      <w:r w:rsidR="00E420D7">
        <w:rPr>
          <w:rFonts w:ascii="Palatino Linotype" w:hAnsi="Palatino Linotype" w:cs="Arial"/>
          <w:bCs/>
          <w:szCs w:val="20"/>
          <w:lang w:eastAsia="es-ES"/>
        </w:rPr>
        <w:t>de la presente resolución.</w:t>
      </w:r>
    </w:p>
    <w:p w14:paraId="7E896B97" w14:textId="77777777" w:rsidR="00E93FC1" w:rsidRPr="00E420D7" w:rsidRDefault="00E93FC1" w:rsidP="00730D0C">
      <w:pPr>
        <w:spacing w:before="240" w:after="240" w:line="360" w:lineRule="auto"/>
        <w:ind w:right="48"/>
        <w:jc w:val="both"/>
        <w:rPr>
          <w:rFonts w:ascii="Palatino Linotype" w:hAnsi="Palatino Linotype" w:cs="Arial"/>
          <w:bCs/>
          <w:szCs w:val="20"/>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E420D7">
        <w:rPr>
          <w:rFonts w:ascii="Palatino Linotype" w:hAnsi="Palatino Linotype"/>
          <w:b/>
          <w:szCs w:val="20"/>
          <w:lang w:eastAsia="es-ES"/>
        </w:rPr>
        <w:t>SEGUNDO.</w:t>
      </w:r>
      <w:r w:rsidRPr="00E420D7">
        <w:rPr>
          <w:rFonts w:ascii="Palatino Linotype" w:eastAsia="等线 Light" w:hAnsi="Palatino Linotype"/>
          <w:color w:val="2F5496"/>
          <w:sz w:val="36"/>
          <w:szCs w:val="26"/>
          <w:lang w:eastAsia="es-ES"/>
        </w:rPr>
        <w:t xml:space="preserve"> </w:t>
      </w:r>
      <w:bookmarkEnd w:id="38"/>
      <w:bookmarkEnd w:id="39"/>
      <w:bookmarkEnd w:id="40"/>
      <w:bookmarkEnd w:id="41"/>
      <w:bookmarkEnd w:id="42"/>
      <w:bookmarkEnd w:id="43"/>
      <w:bookmarkEnd w:id="44"/>
      <w:r w:rsidRPr="00E420D7">
        <w:rPr>
          <w:rFonts w:ascii="Palatino Linotype" w:eastAsia="Calibri" w:hAnsi="Palatino Linotype" w:cs="Arial"/>
          <w:szCs w:val="20"/>
          <w:lang w:val="es-ES" w:eastAsia="es-ES"/>
        </w:rPr>
        <w:t>Se</w:t>
      </w:r>
      <w:r w:rsidRPr="00E420D7">
        <w:rPr>
          <w:rFonts w:ascii="Palatino Linotype" w:eastAsia="Calibri" w:hAnsi="Palatino Linotype" w:cs="Arial"/>
          <w:b/>
          <w:szCs w:val="20"/>
          <w:lang w:val="es-ES" w:eastAsia="es-ES"/>
        </w:rPr>
        <w:t xml:space="preserve"> REVOCA </w:t>
      </w:r>
      <w:r w:rsidR="00FF5D4E">
        <w:rPr>
          <w:rFonts w:ascii="Palatino Linotype" w:eastAsia="Calibri" w:hAnsi="Palatino Linotype" w:cs="Arial"/>
          <w:szCs w:val="20"/>
          <w:lang w:val="es-ES" w:eastAsia="es-ES"/>
        </w:rPr>
        <w:t>la respuesta emitida por la</w:t>
      </w:r>
      <w:r w:rsidRPr="00E420D7">
        <w:rPr>
          <w:rFonts w:ascii="Palatino Linotype" w:eastAsia="Calibri" w:hAnsi="Palatino Linotype" w:cs="Arial"/>
          <w:szCs w:val="20"/>
          <w:lang w:val="es-ES" w:eastAsia="es-ES"/>
        </w:rPr>
        <w:t xml:space="preserve"> </w:t>
      </w:r>
      <w:r w:rsidR="00FF5D4E">
        <w:rPr>
          <w:rFonts w:ascii="Palatino Linotype" w:eastAsia="Calibri" w:hAnsi="Palatino Linotype" w:cs="Tahoma"/>
          <w:b/>
          <w:szCs w:val="22"/>
          <w:lang w:eastAsia="en-US"/>
        </w:rPr>
        <w:t>Comisión de Conciliación y Arbitraje Médico del Estado de México</w:t>
      </w:r>
      <w:r w:rsidR="00A54073" w:rsidRPr="00A54073">
        <w:rPr>
          <w:rFonts w:ascii="Palatino Linotype" w:eastAsia="Calibri" w:hAnsi="Palatino Linotype" w:cs="Tahoma"/>
          <w:b/>
          <w:szCs w:val="22"/>
          <w:lang w:val="es-ES" w:eastAsia="en-US"/>
        </w:rPr>
        <w:t xml:space="preserve"> </w:t>
      </w:r>
      <w:r w:rsidRPr="00E420D7">
        <w:rPr>
          <w:rFonts w:ascii="Palatino Linotype" w:eastAsia="Calibri" w:hAnsi="Palatino Linotype" w:cs="Arial"/>
          <w:szCs w:val="20"/>
          <w:lang w:val="es-ES" w:eastAsia="es-ES"/>
        </w:rPr>
        <w:t>y se</w:t>
      </w:r>
      <w:r w:rsidRPr="00E420D7">
        <w:rPr>
          <w:rFonts w:ascii="Palatino Linotype" w:eastAsia="Calibri" w:hAnsi="Palatino Linotype" w:cs="Arial"/>
          <w:b/>
          <w:szCs w:val="20"/>
          <w:lang w:val="es-ES" w:eastAsia="es-ES"/>
        </w:rPr>
        <w:t xml:space="preserve"> ORDENA </w:t>
      </w:r>
      <w:r w:rsidRPr="00E420D7">
        <w:rPr>
          <w:rFonts w:ascii="Palatino Linotype" w:hAnsi="Palatino Linotype" w:cs="Arial"/>
          <w:szCs w:val="20"/>
          <w:lang w:val="es-ES" w:eastAsia="es-ES"/>
        </w:rPr>
        <w:t>entregar vía Sistema de Accesos a la Información Mexiquense (SAIMEX)</w:t>
      </w:r>
      <w:r w:rsidR="00A54073">
        <w:rPr>
          <w:rFonts w:ascii="Palatino Linotype" w:hAnsi="Palatino Linotype" w:cs="Arial"/>
          <w:szCs w:val="20"/>
          <w:lang w:val="es-ES" w:eastAsia="es-ES"/>
        </w:rPr>
        <w:t>, de ser procedente en</w:t>
      </w:r>
      <w:r w:rsidR="006E1937" w:rsidRPr="00E420D7">
        <w:rPr>
          <w:rFonts w:ascii="Palatino Linotype" w:hAnsi="Palatino Linotype" w:cs="Arial"/>
          <w:szCs w:val="20"/>
          <w:lang w:val="es-ES" w:eastAsia="es-ES"/>
        </w:rPr>
        <w:t xml:space="preserve"> </w:t>
      </w:r>
      <w:r w:rsidR="00A54073">
        <w:rPr>
          <w:rFonts w:ascii="Palatino Linotype" w:hAnsi="Palatino Linotype" w:cs="Arial"/>
          <w:szCs w:val="20"/>
          <w:lang w:val="es-ES" w:eastAsia="es-ES"/>
        </w:rPr>
        <w:t>versión pública</w:t>
      </w:r>
      <w:r w:rsidR="003A14CB" w:rsidRPr="00E420D7">
        <w:rPr>
          <w:rFonts w:ascii="Palatino Linotype" w:hAnsi="Palatino Linotype" w:cs="Arial"/>
          <w:color w:val="000000"/>
        </w:rPr>
        <w:t>,</w:t>
      </w:r>
      <w:r w:rsidR="003A14CB" w:rsidRPr="00E420D7">
        <w:rPr>
          <w:rFonts w:ascii="Palatino Linotype" w:hAnsi="Palatino Linotype" w:cs="Arial"/>
          <w:szCs w:val="20"/>
          <w:lang w:val="es-ES" w:eastAsia="es-ES"/>
        </w:rPr>
        <w:t xml:space="preserve"> </w:t>
      </w:r>
      <w:r w:rsidRPr="00E420D7">
        <w:rPr>
          <w:rFonts w:ascii="Palatino Linotype" w:hAnsi="Palatino Linotype" w:cs="Arial"/>
          <w:szCs w:val="20"/>
          <w:lang w:val="es-ES" w:eastAsia="es-ES"/>
        </w:rPr>
        <w:t xml:space="preserve">la siguiente </w:t>
      </w:r>
      <w:r w:rsidR="00E420D7">
        <w:rPr>
          <w:rFonts w:ascii="Palatino Linotype" w:hAnsi="Palatino Linotype" w:cs="Arial"/>
          <w:bCs/>
          <w:szCs w:val="20"/>
          <w:lang w:eastAsia="es-ES"/>
        </w:rPr>
        <w:t>información:</w:t>
      </w:r>
    </w:p>
    <w:p w14:paraId="78F17CAF" w14:textId="77777777" w:rsidR="004A4A48" w:rsidRDefault="00BD738A" w:rsidP="005B4960">
      <w:pPr>
        <w:pStyle w:val="Prrafodelista"/>
        <w:spacing w:before="240" w:after="240" w:line="360" w:lineRule="auto"/>
        <w:ind w:left="851" w:right="567"/>
        <w:jc w:val="both"/>
        <w:rPr>
          <w:rFonts w:ascii="Palatino Linotype" w:eastAsia="Calibri" w:hAnsi="Palatino Linotype" w:cs="Arial"/>
          <w:sz w:val="24"/>
        </w:rPr>
      </w:pPr>
      <w:r w:rsidRPr="00E420D7">
        <w:rPr>
          <w:rFonts w:ascii="Palatino Linotype" w:hAnsi="Palatino Linotype"/>
          <w:b/>
          <w:bCs/>
          <w:color w:val="000000"/>
        </w:rPr>
        <w:t xml:space="preserve">a). </w:t>
      </w:r>
      <w:r w:rsidR="00FF5D4E">
        <w:rPr>
          <w:rFonts w:ascii="Palatino Linotype" w:eastAsia="Calibri" w:hAnsi="Palatino Linotype" w:cs="Arial"/>
          <w:sz w:val="24"/>
        </w:rPr>
        <w:t>D</w:t>
      </w:r>
      <w:r w:rsidR="00FF5D4E" w:rsidRPr="00FF5D4E">
        <w:rPr>
          <w:rFonts w:ascii="Palatino Linotype" w:eastAsia="Calibri" w:hAnsi="Palatino Linotype" w:cs="Arial"/>
          <w:sz w:val="24"/>
        </w:rPr>
        <w:t>ocumento o documentos donde conste el nombre de la institución financiera de seguros contratada por la Comisión de Conciliación y Arbitraje Médico para efectos del seguro de vida de los servidores públicos.</w:t>
      </w:r>
    </w:p>
    <w:p w14:paraId="63493717" w14:textId="77777777" w:rsidR="005B4960" w:rsidRPr="005B4960" w:rsidRDefault="005B4960" w:rsidP="005B4960">
      <w:pPr>
        <w:pStyle w:val="Prrafodelista"/>
        <w:spacing w:before="240" w:after="240" w:line="360" w:lineRule="auto"/>
        <w:ind w:left="851" w:right="567"/>
        <w:jc w:val="both"/>
        <w:rPr>
          <w:rFonts w:ascii="Palatino Linotype" w:hAnsi="Palatino Linotype"/>
          <w:b/>
          <w:bCs/>
          <w:color w:val="000000"/>
          <w:u w:val="double"/>
        </w:rPr>
      </w:pPr>
    </w:p>
    <w:p w14:paraId="0AD34E64" w14:textId="77777777" w:rsidR="004A4A48" w:rsidRPr="0016749F" w:rsidRDefault="004A4A48" w:rsidP="004F2B9D">
      <w:pPr>
        <w:pStyle w:val="Prrafodelista"/>
        <w:autoSpaceDE w:val="0"/>
        <w:autoSpaceDN w:val="0"/>
        <w:adjustRightInd w:val="0"/>
        <w:spacing w:before="240" w:line="360" w:lineRule="auto"/>
        <w:ind w:left="851" w:right="822"/>
        <w:jc w:val="both"/>
        <w:rPr>
          <w:rFonts w:ascii="Palatino Linotype" w:hAnsi="Palatino Linotype"/>
          <w:i/>
          <w:lang w:val="es-ES_tradnl"/>
        </w:rPr>
      </w:pPr>
      <w:r w:rsidRPr="00E0110C">
        <w:rPr>
          <w:rFonts w:ascii="Palatino Linotype" w:hAnsi="Palatino Linotype"/>
          <w:i/>
          <w:lang w:val="es-ES_tradnl"/>
        </w:rPr>
        <w:t xml:space="preserve">Para el caso de que exista impedimento justificado para respetar la modalidad entrega, por el tipo de documento del que se trata, </w:t>
      </w:r>
      <w:r w:rsidRPr="00E0110C">
        <w:rPr>
          <w:rFonts w:ascii="Palatino Linotype" w:hAnsi="Palatino Linotype"/>
          <w:b/>
          <w:i/>
          <w:lang w:val="es-ES_tradnl"/>
        </w:rPr>
        <w:t xml:space="preserve">EL SUJETO OBLIGADO </w:t>
      </w:r>
      <w:r w:rsidRPr="00E0110C">
        <w:rPr>
          <w:rFonts w:ascii="Palatino Linotype" w:hAnsi="Palatino Linotype"/>
          <w:i/>
          <w:lang w:val="es-ES_tradnl"/>
        </w:rPr>
        <w:t xml:space="preserve">deberá </w:t>
      </w:r>
      <w:r w:rsidRPr="00E0110C">
        <w:rPr>
          <w:rFonts w:ascii="Palatino Linotype" w:hAnsi="Palatino Linotype"/>
          <w:b/>
          <w:i/>
          <w:lang w:val="es-ES_tradnl"/>
        </w:rPr>
        <w:t>ofrecer otros medios electrónicos</w:t>
      </w:r>
      <w:r w:rsidRPr="00E0110C">
        <w:rPr>
          <w:rFonts w:ascii="Palatino Linotype" w:hAnsi="Palatino Linotype"/>
          <w:i/>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67730E6B" w14:textId="77777777" w:rsidR="00E93FC1" w:rsidRDefault="00E93FC1" w:rsidP="00730D0C">
      <w:pPr>
        <w:tabs>
          <w:tab w:val="left" w:pos="8080"/>
        </w:tabs>
        <w:spacing w:before="240" w:after="240" w:line="360" w:lineRule="auto"/>
        <w:ind w:right="48"/>
        <w:contextualSpacing/>
        <w:jc w:val="both"/>
        <w:rPr>
          <w:rFonts w:ascii="Palatino Linotype" w:hAnsi="Palatino Linotype"/>
          <w:b/>
        </w:rPr>
      </w:pPr>
      <w:r w:rsidRPr="00E420D7">
        <w:rPr>
          <w:rFonts w:ascii="Palatino Linotype" w:hAnsi="Palatino Linotype"/>
        </w:rPr>
        <w:t xml:space="preserve">Para efectos de lo anterior, se deberá emitir el Acuerdo del Comité de Transparencia en términos de los artículos 49, fracción VIII y 132, fracción II de la Ley de </w:t>
      </w:r>
      <w:r w:rsidRPr="00E420D7">
        <w:rPr>
          <w:rFonts w:ascii="Palatino Linotype" w:hAnsi="Palatino Linotype"/>
        </w:rPr>
        <w:lastRenderedPageBreak/>
        <w:t xml:space="preserve">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E420D7">
        <w:rPr>
          <w:rFonts w:ascii="Palatino Linotype" w:hAnsi="Palatino Linotype"/>
          <w:b/>
        </w:rPr>
        <w:t>EL RECURRENTE.</w:t>
      </w:r>
    </w:p>
    <w:p w14:paraId="43FD12A3" w14:textId="77777777" w:rsidR="00E93FC1" w:rsidRPr="00E420D7"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5EC0C30A" w14:textId="77777777" w:rsidR="00E420D7"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E420D7">
        <w:rPr>
          <w:rFonts w:ascii="Palatino Linotype" w:eastAsia="Palatino Linotype" w:hAnsi="Palatino Linotype" w:cs="Palatino Linotype"/>
          <w:b/>
        </w:rPr>
        <w:t xml:space="preserve">TERCERO. Notifíquese </w:t>
      </w:r>
      <w:r w:rsidRPr="00E420D7">
        <w:rPr>
          <w:rFonts w:ascii="Palatino Linotype" w:eastAsia="Palatino Linotype" w:hAnsi="Palatino Linotype" w:cs="Palatino Linotype"/>
        </w:rPr>
        <w:t xml:space="preserve">al Titular de la Unidad de Transparencia del </w:t>
      </w:r>
      <w:r w:rsidRPr="00E420D7">
        <w:rPr>
          <w:rFonts w:ascii="Palatino Linotype" w:eastAsia="Palatino Linotype" w:hAnsi="Palatino Linotype" w:cs="Palatino Linotype"/>
          <w:b/>
        </w:rPr>
        <w:t>SUJETO OBLIGADO</w:t>
      </w:r>
      <w:r w:rsidRPr="00E420D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E420D7">
        <w:rPr>
          <w:rFonts w:ascii="Palatino Linotype" w:hAnsi="Palatino Linotype"/>
          <w:color w:val="222222"/>
          <w:shd w:val="clear" w:color="auto" w:fill="FFFFFF"/>
        </w:rPr>
        <w:t>vigente, dé cumplimiento a lo ord</w:t>
      </w:r>
      <w:r w:rsidR="00A54073">
        <w:rPr>
          <w:rFonts w:ascii="Palatino Linotype" w:hAnsi="Palatino Linotype"/>
          <w:color w:val="222222"/>
          <w:shd w:val="clear" w:color="auto" w:fill="FFFFFF"/>
        </w:rPr>
        <w:t>enado dentro del plazo de diez</w:t>
      </w:r>
      <w:r w:rsidRPr="00E420D7">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24074FF2" w14:textId="77777777" w:rsidR="00E93FC1" w:rsidRPr="00E420D7" w:rsidRDefault="00E93FC1" w:rsidP="00E420D7">
      <w:pPr>
        <w:tabs>
          <w:tab w:val="left" w:pos="8080"/>
        </w:tabs>
        <w:spacing w:before="240" w:after="240" w:line="360" w:lineRule="auto"/>
        <w:ind w:right="48"/>
        <w:contextualSpacing/>
        <w:jc w:val="both"/>
        <w:rPr>
          <w:rFonts w:ascii="Palatino Linotype" w:eastAsia="Palatino Linotype" w:hAnsi="Palatino Linotype" w:cs="Palatino Linotype"/>
          <w:b/>
        </w:rPr>
      </w:pPr>
      <w:r w:rsidRPr="00E420D7">
        <w:rPr>
          <w:rFonts w:ascii="Palatino Linotype" w:hAnsi="Palatino Linotype" w:cs="Arial"/>
          <w:b/>
        </w:rPr>
        <w:tab/>
      </w:r>
    </w:p>
    <w:p w14:paraId="4792AD50" w14:textId="77777777" w:rsidR="00E93FC1" w:rsidRPr="00E420D7" w:rsidRDefault="00E93FC1" w:rsidP="00730D0C">
      <w:pPr>
        <w:shd w:val="clear" w:color="auto" w:fill="FFFFFF"/>
        <w:spacing w:before="240" w:after="240" w:line="360" w:lineRule="auto"/>
        <w:ind w:right="48"/>
        <w:jc w:val="both"/>
        <w:rPr>
          <w:rFonts w:ascii="Palatino Linotype" w:hAnsi="Palatino Linotype"/>
        </w:rPr>
      </w:pPr>
      <w:r w:rsidRPr="00E420D7">
        <w:rPr>
          <w:rFonts w:ascii="Palatino Linotype" w:hAnsi="Palatino Linotype" w:cs="Arial"/>
          <w:b/>
        </w:rPr>
        <w:t xml:space="preserve">CUARTO. </w:t>
      </w:r>
      <w:r w:rsidRPr="00E420D7">
        <w:rPr>
          <w:rFonts w:ascii="Palatino Linotype" w:hAnsi="Palatino Linotype"/>
          <w:b/>
          <w:bCs/>
          <w:lang w:val="es-ES"/>
        </w:rPr>
        <w:t>Notifíquese al RECURRENTE</w:t>
      </w:r>
      <w:r w:rsidRPr="00E420D7">
        <w:rPr>
          <w:rFonts w:ascii="Palatino Linotype" w:hAnsi="Palatino Linotype"/>
        </w:rPr>
        <w:t xml:space="preserve"> la presente resolución</w:t>
      </w:r>
      <w:r w:rsidR="006E1937" w:rsidRPr="00E420D7">
        <w:rPr>
          <w:rFonts w:ascii="Palatino Linotype" w:hAnsi="Palatino Linotype"/>
        </w:rPr>
        <w:t xml:space="preserve"> vía </w:t>
      </w:r>
      <w:r w:rsidR="006E1937" w:rsidRPr="00E420D7">
        <w:rPr>
          <w:rFonts w:ascii="Palatino Linotype" w:hAnsi="Palatino Linotype"/>
          <w:b/>
        </w:rPr>
        <w:t>SAIMEX</w:t>
      </w:r>
      <w:r w:rsidR="00A54073">
        <w:rPr>
          <w:rFonts w:ascii="Palatino Linotype" w:hAnsi="Palatino Linotype"/>
          <w:b/>
        </w:rPr>
        <w:t>.</w:t>
      </w:r>
    </w:p>
    <w:p w14:paraId="610FAAF4" w14:textId="77777777" w:rsidR="00E93FC1" w:rsidRPr="00E420D7" w:rsidRDefault="00E93FC1" w:rsidP="00730D0C">
      <w:pPr>
        <w:spacing w:before="240" w:after="240" w:line="360" w:lineRule="auto"/>
        <w:ind w:right="48"/>
        <w:jc w:val="both"/>
        <w:rPr>
          <w:rFonts w:ascii="Palatino Linotype" w:eastAsia="MS Mincho" w:hAnsi="Palatino Linotype"/>
          <w:lang w:val="es-ES"/>
        </w:rPr>
      </w:pPr>
      <w:r w:rsidRPr="00E420D7">
        <w:rPr>
          <w:rFonts w:ascii="Palatino Linotype" w:eastAsia="MS Mincho" w:hAnsi="Palatino Linotype"/>
          <w:b/>
        </w:rPr>
        <w:t>QUINTO.</w:t>
      </w:r>
      <w:r w:rsidRPr="00E420D7">
        <w:rPr>
          <w:rFonts w:ascii="Palatino Linotype" w:eastAsia="MS Mincho" w:hAnsi="Palatino Linotype"/>
        </w:rPr>
        <w:t xml:space="preserve"> </w:t>
      </w:r>
      <w:r w:rsidRPr="00E420D7">
        <w:rPr>
          <w:rFonts w:ascii="Palatino Linotype" w:eastAsia="MS Mincho" w:hAnsi="Palatino Linotype"/>
          <w:lang w:val="es-ES"/>
        </w:rPr>
        <w:t xml:space="preserve">Se hace del conocimiento del </w:t>
      </w:r>
      <w:r w:rsidRPr="00E420D7">
        <w:rPr>
          <w:rFonts w:ascii="Palatino Linotype" w:hAnsi="Palatino Linotype"/>
          <w:b/>
        </w:rPr>
        <w:t>RECURRENTE</w:t>
      </w:r>
      <w:r w:rsidRPr="00E420D7">
        <w:rPr>
          <w:rFonts w:ascii="Palatino Linotype" w:hAnsi="Palatino Linotype"/>
        </w:rPr>
        <w:t xml:space="preserve"> </w:t>
      </w:r>
      <w:r w:rsidRPr="00E420D7">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E420D7">
        <w:rPr>
          <w:rFonts w:ascii="Palatino Linotype" w:eastAsia="MS Mincho" w:hAnsi="Palatino Linotype"/>
          <w:bCs/>
          <w:lang w:val="es-ES"/>
        </w:rPr>
        <w:t>vía juicio de amparo</w:t>
      </w:r>
      <w:r w:rsidRPr="00E420D7">
        <w:rPr>
          <w:rFonts w:ascii="Palatino Linotype" w:eastAsia="MS Mincho" w:hAnsi="Palatino Linotype"/>
          <w:lang w:val="es-ES"/>
        </w:rPr>
        <w:t> en los té</w:t>
      </w:r>
      <w:r w:rsidR="00E420D7">
        <w:rPr>
          <w:rFonts w:ascii="Palatino Linotype" w:eastAsia="MS Mincho" w:hAnsi="Palatino Linotype"/>
          <w:lang w:val="es-ES"/>
        </w:rPr>
        <w:t>rminos de las leyes aplicables.</w:t>
      </w:r>
    </w:p>
    <w:p w14:paraId="311E4B20" w14:textId="77777777" w:rsidR="00E93FC1" w:rsidRPr="00E420D7" w:rsidRDefault="00E93FC1" w:rsidP="00730D0C">
      <w:pPr>
        <w:spacing w:before="240" w:after="240" w:line="360" w:lineRule="auto"/>
        <w:ind w:right="48"/>
        <w:jc w:val="both"/>
        <w:rPr>
          <w:rFonts w:ascii="Palatino Linotype" w:eastAsia="Calibri" w:hAnsi="Palatino Linotype" w:cs="Arial"/>
          <w:bCs/>
        </w:rPr>
      </w:pPr>
      <w:r w:rsidRPr="00E420D7">
        <w:rPr>
          <w:rFonts w:ascii="Palatino Linotype" w:hAnsi="Palatino Linotype"/>
          <w:b/>
          <w:color w:val="000000"/>
          <w:shd w:val="clear" w:color="auto" w:fill="FFFFFF"/>
        </w:rPr>
        <w:t xml:space="preserve">SEXTO. </w:t>
      </w:r>
      <w:r w:rsidRPr="00E420D7">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Pr>
          <w:rFonts w:ascii="Palatino Linotype" w:eastAsia="Calibri" w:hAnsi="Palatino Linotype" w:cs="Arial"/>
          <w:bCs/>
        </w:rPr>
        <w:t>ento de la presente resolución.</w:t>
      </w:r>
    </w:p>
    <w:p w14:paraId="04C01AC7" w14:textId="77777777" w:rsidR="007E07C6" w:rsidRPr="00624AAD" w:rsidRDefault="007E07C6" w:rsidP="007E07C6">
      <w:pPr>
        <w:spacing w:before="240" w:after="240" w:line="360" w:lineRule="auto"/>
        <w:ind w:firstLine="1"/>
        <w:jc w:val="both"/>
        <w:rPr>
          <w:rFonts w:ascii="Palatino Linotype" w:hAnsi="Palatino Linotype"/>
        </w:rPr>
      </w:pPr>
      <w:bookmarkStart w:id="45" w:name="_Hlk96506827"/>
      <w:r w:rsidRPr="00A0054B">
        <w:rPr>
          <w:rFonts w:ascii="Palatino Linotype" w:hAnsi="Palatino Linotype"/>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Pr>
          <w:rFonts w:ascii="Palatino Linotype" w:hAnsi="Palatino Linotype"/>
        </w:rPr>
        <w:t>SÉPTIMA</w:t>
      </w:r>
      <w:r w:rsidRPr="00A0054B">
        <w:rPr>
          <w:rFonts w:ascii="Palatino Linotype" w:hAnsi="Palatino Linotype"/>
        </w:rPr>
        <w:t xml:space="preserve"> SESIÓN ORDINARIA CELEBRADA EL </w:t>
      </w:r>
      <w:r>
        <w:rPr>
          <w:rFonts w:ascii="Palatino Linotype" w:hAnsi="Palatino Linotype"/>
        </w:rPr>
        <w:t>VEINTITRÉS</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bookmarkEnd w:id="45"/>
    <w:p w14:paraId="72A075BA" w14:textId="77777777" w:rsidR="00E93FC1" w:rsidRPr="00730D0C" w:rsidRDefault="00E93FC1" w:rsidP="00730D0C">
      <w:pPr>
        <w:spacing w:before="240" w:after="240" w:line="360" w:lineRule="auto"/>
        <w:jc w:val="both"/>
        <w:rPr>
          <w:rFonts w:ascii="Palatino Linotype" w:hAnsi="Palatino Linotype" w:cs="Arial"/>
        </w:rPr>
      </w:pPr>
    </w:p>
    <w:p w14:paraId="10D15516" w14:textId="77777777" w:rsidR="00E93FC1" w:rsidRPr="00730D0C" w:rsidRDefault="00E93FC1" w:rsidP="00730D0C">
      <w:pPr>
        <w:spacing w:before="240" w:after="240" w:line="360" w:lineRule="auto"/>
        <w:jc w:val="both"/>
        <w:rPr>
          <w:rFonts w:ascii="Palatino Linotype" w:hAnsi="Palatino Linotype" w:cs="Arial"/>
        </w:rPr>
      </w:pPr>
    </w:p>
    <w:p w14:paraId="49B9F1DA" w14:textId="77777777" w:rsidR="00E93FC1" w:rsidRPr="00730D0C" w:rsidRDefault="00E93FC1" w:rsidP="00730D0C">
      <w:pPr>
        <w:spacing w:before="240" w:after="240" w:line="360" w:lineRule="auto"/>
        <w:rPr>
          <w:rFonts w:ascii="Palatino Linotype" w:hAnsi="Palatino Linotype"/>
        </w:rPr>
      </w:pPr>
    </w:p>
    <w:p w14:paraId="7D800F42" w14:textId="77777777" w:rsidR="00E93FC1" w:rsidRPr="00730D0C" w:rsidRDefault="00E93FC1" w:rsidP="00730D0C">
      <w:pPr>
        <w:spacing w:before="240" w:after="240" w:line="360" w:lineRule="auto"/>
        <w:rPr>
          <w:rFonts w:ascii="Palatino Linotype" w:hAnsi="Palatino Linotype"/>
        </w:rPr>
      </w:pPr>
    </w:p>
    <w:p w14:paraId="34D659BA" w14:textId="77777777" w:rsidR="00E93FC1" w:rsidRPr="00730D0C" w:rsidRDefault="00E93FC1" w:rsidP="00730D0C">
      <w:pPr>
        <w:spacing w:before="240" w:after="240" w:line="360" w:lineRule="auto"/>
        <w:rPr>
          <w:rFonts w:ascii="Palatino Linotype" w:hAnsi="Palatino Linotype"/>
        </w:rPr>
      </w:pPr>
    </w:p>
    <w:p w14:paraId="1E3D0D10" w14:textId="77777777" w:rsidR="00E93FC1" w:rsidRPr="00730D0C" w:rsidRDefault="00E93FC1" w:rsidP="00730D0C">
      <w:pPr>
        <w:spacing w:before="240" w:after="240" w:line="360" w:lineRule="auto"/>
        <w:rPr>
          <w:rFonts w:ascii="Palatino Linotype" w:hAnsi="Palatino Linotype"/>
        </w:rPr>
      </w:pPr>
    </w:p>
    <w:p w14:paraId="272AE625"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232E0" w14:textId="77777777" w:rsidR="00961FCB" w:rsidRDefault="00961FCB" w:rsidP="00E93FC1">
      <w:r>
        <w:separator/>
      </w:r>
    </w:p>
  </w:endnote>
  <w:endnote w:type="continuationSeparator" w:id="0">
    <w:p w14:paraId="6E41E2E2" w14:textId="77777777" w:rsidR="00961FCB" w:rsidRDefault="00961FCB"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B5C8F"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441AEE">
      <w:rPr>
        <w:b/>
        <w:bCs/>
        <w:noProof/>
      </w:rPr>
      <w:t>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41AEE">
      <w:rPr>
        <w:b/>
        <w:bCs/>
        <w:noProof/>
      </w:rPr>
      <w:t>25</w:t>
    </w:r>
    <w:r>
      <w:rPr>
        <w:b/>
        <w:bCs/>
      </w:rPr>
      <w:fldChar w:fldCharType="end"/>
    </w:r>
  </w:p>
  <w:p w14:paraId="344AD4D5"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15AE9"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441AEE">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41AEE">
      <w:rPr>
        <w:b/>
        <w:bCs/>
        <w:noProof/>
      </w:rPr>
      <w:t>25</w:t>
    </w:r>
    <w:r>
      <w:rPr>
        <w:b/>
        <w:bCs/>
      </w:rPr>
      <w:fldChar w:fldCharType="end"/>
    </w:r>
  </w:p>
  <w:p w14:paraId="6DC97728"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83297" w14:textId="77777777" w:rsidR="00961FCB" w:rsidRDefault="00961FCB" w:rsidP="00E93FC1">
      <w:r>
        <w:separator/>
      </w:r>
    </w:p>
  </w:footnote>
  <w:footnote w:type="continuationSeparator" w:id="0">
    <w:p w14:paraId="2A6D3278" w14:textId="77777777" w:rsidR="00961FCB" w:rsidRDefault="00961FCB" w:rsidP="00E93FC1">
      <w:r>
        <w:continuationSeparator/>
      </w:r>
    </w:p>
  </w:footnote>
  <w:footnote w:id="1">
    <w:p w14:paraId="2A1BA6C5"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01D98B18"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11B9BBB0"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D62099C" w14:textId="77777777" w:rsidR="00681B03" w:rsidRDefault="00681B03" w:rsidP="00E93FC1">
      <w:pPr>
        <w:pStyle w:val="Textonotapie"/>
      </w:pPr>
      <w:r>
        <w:rPr>
          <w:rStyle w:val="Refdenotaalpie"/>
        </w:rPr>
        <w:footnoteRef/>
      </w:r>
      <w:r>
        <w:t xml:space="preserve"> Ibídem. Parr. 87.</w:t>
      </w:r>
    </w:p>
  </w:footnote>
  <w:footnote w:id="5">
    <w:p w14:paraId="551778C4" w14:textId="77777777" w:rsidR="003F7BD4" w:rsidRDefault="003F7BD4" w:rsidP="003F7BD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71D15" w14:textId="77777777" w:rsidR="00681B03" w:rsidRDefault="00961FCB">
    <w:pPr>
      <w:pStyle w:val="Encabezado"/>
    </w:pPr>
    <w:r>
      <w:rPr>
        <w:noProof/>
      </w:rPr>
      <w:pict w14:anchorId="75931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1B643701" w14:textId="77777777" w:rsidTr="00E93FC1">
      <w:trPr>
        <w:trHeight w:val="1435"/>
      </w:trPr>
      <w:tc>
        <w:tcPr>
          <w:tcW w:w="2268" w:type="dxa"/>
          <w:shd w:val="clear" w:color="auto" w:fill="auto"/>
        </w:tcPr>
        <w:p w14:paraId="4A6E6E78"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0990D70D"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04A17C33" w14:textId="77777777" w:rsidTr="00E93FC1">
            <w:trPr>
              <w:trHeight w:val="150"/>
            </w:trPr>
            <w:tc>
              <w:tcPr>
                <w:tcW w:w="2551" w:type="dxa"/>
                <w:shd w:val="clear" w:color="auto" w:fill="auto"/>
              </w:tcPr>
              <w:p w14:paraId="1496BEF4"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76285713" w14:textId="77777777" w:rsidR="00681B03" w:rsidRPr="00020E73" w:rsidRDefault="00E919FF"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00283/INFOEM/IP/RR/2022</w:t>
                </w:r>
              </w:p>
            </w:tc>
          </w:tr>
          <w:tr w:rsidR="00681B03" w14:paraId="58C2D7EA" w14:textId="77777777" w:rsidTr="00E93FC1">
            <w:trPr>
              <w:trHeight w:val="295"/>
            </w:trPr>
            <w:tc>
              <w:tcPr>
                <w:tcW w:w="2551" w:type="dxa"/>
                <w:shd w:val="clear" w:color="auto" w:fill="auto"/>
              </w:tcPr>
              <w:p w14:paraId="42267397"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582D3122" w14:textId="77777777" w:rsidR="00681B03" w:rsidRPr="00020E73" w:rsidRDefault="00E919FF"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Comisión de Conciliación y Arbitraje Médico del Estado de México</w:t>
                </w:r>
              </w:p>
            </w:tc>
          </w:tr>
          <w:tr w:rsidR="00681B03" w14:paraId="1434BC79" w14:textId="77777777" w:rsidTr="00E93FC1">
            <w:trPr>
              <w:trHeight w:val="295"/>
            </w:trPr>
            <w:tc>
              <w:tcPr>
                <w:tcW w:w="2551" w:type="dxa"/>
                <w:shd w:val="clear" w:color="auto" w:fill="auto"/>
              </w:tcPr>
              <w:p w14:paraId="45E221CC"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0F375745"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591BA278"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462F307E"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6E9EE40C" w14:textId="77777777" w:rsidR="00681B03" w:rsidRPr="00443C6B" w:rsidRDefault="00961FCB" w:rsidP="00E93FC1">
    <w:pPr>
      <w:pStyle w:val="Encabezado"/>
      <w:rPr>
        <w:sz w:val="14"/>
      </w:rPr>
    </w:pPr>
    <w:r>
      <w:rPr>
        <w:noProof/>
        <w:sz w:val="14"/>
      </w:rPr>
      <w:pict w14:anchorId="27E7EA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48E3DC7C" w14:textId="77777777" w:rsidTr="00E93FC1">
      <w:trPr>
        <w:trHeight w:val="1435"/>
      </w:trPr>
      <w:tc>
        <w:tcPr>
          <w:tcW w:w="2268" w:type="dxa"/>
          <w:shd w:val="clear" w:color="auto" w:fill="auto"/>
        </w:tcPr>
        <w:p w14:paraId="183A4243"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580200C0" w14:textId="77777777" w:rsidTr="00E93FC1">
            <w:trPr>
              <w:trHeight w:val="144"/>
            </w:trPr>
            <w:tc>
              <w:tcPr>
                <w:tcW w:w="2444" w:type="dxa"/>
                <w:shd w:val="clear" w:color="auto" w:fill="auto"/>
              </w:tcPr>
              <w:p w14:paraId="0E0CB7F8"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18FA5E57" w14:textId="77777777" w:rsidR="00681B03" w:rsidRPr="00020E73" w:rsidRDefault="00E919FF"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00283</w:t>
                </w:r>
                <w:r w:rsidR="00681B03" w:rsidRPr="009E7B0A">
                  <w:rPr>
                    <w:rFonts w:ascii="Palatino Linotype" w:eastAsia="Calibri" w:hAnsi="Palatino Linotype" w:cs="Tahoma"/>
                    <w:sz w:val="22"/>
                    <w:szCs w:val="22"/>
                    <w:lang w:eastAsia="en-US"/>
                  </w:rPr>
                  <w:t>/INFOEM/IP/RR/2021</w:t>
                </w:r>
                <w:r>
                  <w:rPr>
                    <w:rFonts w:ascii="Palatino Linotype" w:eastAsia="Calibri" w:hAnsi="Palatino Linotype" w:cs="Tahoma"/>
                    <w:b/>
                    <w:bCs/>
                    <w:sz w:val="22"/>
                    <w:szCs w:val="22"/>
                    <w:lang w:eastAsia="en-US"/>
                  </w:rPr>
                  <w:t>2</w:t>
                </w:r>
                <w:r w:rsidR="00681B03">
                  <w:rPr>
                    <w:rFonts w:ascii="Palatino Linotype" w:eastAsia="Calibri" w:hAnsi="Palatino Linotype" w:cs="Tahoma"/>
                    <w:b/>
                    <w:bCs/>
                    <w:sz w:val="22"/>
                    <w:szCs w:val="22"/>
                    <w:lang w:eastAsia="en-US"/>
                  </w:rPr>
                  <w:t xml:space="preserve"> </w:t>
                </w:r>
              </w:p>
            </w:tc>
          </w:tr>
          <w:tr w:rsidR="00681B03" w:rsidRPr="00330DA7" w14:paraId="47FA234E" w14:textId="77777777" w:rsidTr="00E93FC1">
            <w:trPr>
              <w:trHeight w:val="144"/>
            </w:trPr>
            <w:tc>
              <w:tcPr>
                <w:tcW w:w="2444" w:type="dxa"/>
                <w:shd w:val="clear" w:color="auto" w:fill="auto"/>
              </w:tcPr>
              <w:p w14:paraId="5FE3BB16"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3E8D2611" w14:textId="77777777" w:rsidR="00681B03" w:rsidRPr="00020E73" w:rsidRDefault="00681B03"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66858276" w14:textId="77777777" w:rsidTr="00E93FC1">
            <w:trPr>
              <w:trHeight w:val="283"/>
            </w:trPr>
            <w:tc>
              <w:tcPr>
                <w:tcW w:w="2444" w:type="dxa"/>
                <w:shd w:val="clear" w:color="auto" w:fill="auto"/>
              </w:tcPr>
              <w:p w14:paraId="62294BF6"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65541A65" w14:textId="77777777" w:rsidR="00681B03" w:rsidRPr="009E7B0A" w:rsidRDefault="00E919FF"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Comisión de Conciliación y Arbitraje Médico del Estado de México</w:t>
                </w:r>
                <w:r w:rsidR="00681B03">
                  <w:rPr>
                    <w:rFonts w:ascii="Palatino Linotype" w:eastAsia="Calibri" w:hAnsi="Palatino Linotype" w:cs="Tahoma"/>
                    <w:sz w:val="22"/>
                    <w:szCs w:val="22"/>
                    <w:lang w:eastAsia="en-US"/>
                  </w:rPr>
                  <w:t xml:space="preserve"> </w:t>
                </w:r>
              </w:p>
            </w:tc>
          </w:tr>
          <w:tr w:rsidR="00681B03" w:rsidRPr="00330DA7" w14:paraId="3ADC0BE2" w14:textId="77777777" w:rsidTr="00E93FC1">
            <w:trPr>
              <w:trHeight w:val="283"/>
            </w:trPr>
            <w:tc>
              <w:tcPr>
                <w:tcW w:w="2444" w:type="dxa"/>
                <w:shd w:val="clear" w:color="auto" w:fill="auto"/>
              </w:tcPr>
              <w:p w14:paraId="2AEAC6AE"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BD4C493"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7C85FA30"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26C0AE1A"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688E4DFF" w14:textId="77777777" w:rsidR="00681B03" w:rsidRPr="00827FA0" w:rsidRDefault="00961FCB" w:rsidP="00E93FC1">
    <w:pPr>
      <w:pStyle w:val="Encabezado"/>
      <w:rPr>
        <w:sz w:val="2"/>
        <w:szCs w:val="22"/>
      </w:rPr>
    </w:pPr>
    <w:r>
      <w:rPr>
        <w:noProof/>
        <w:sz w:val="2"/>
        <w:szCs w:val="22"/>
      </w:rPr>
      <w:pict w14:anchorId="07141F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0"/>
  </w:num>
  <w:num w:numId="5">
    <w:abstractNumId w:val="5"/>
  </w:num>
  <w:num w:numId="6">
    <w:abstractNumId w:val="8"/>
  </w:num>
  <w:num w:numId="7">
    <w:abstractNumId w:val="7"/>
  </w:num>
  <w:num w:numId="8">
    <w:abstractNumId w:val="2"/>
  </w:num>
  <w:num w:numId="9">
    <w:abstractNumId w:val="1"/>
  </w:num>
  <w:num w:numId="10">
    <w:abstractNumId w:val="14"/>
  </w:num>
  <w:num w:numId="11">
    <w:abstractNumId w:val="16"/>
  </w:num>
  <w:num w:numId="12">
    <w:abstractNumId w:val="6"/>
  </w:num>
  <w:num w:numId="13">
    <w:abstractNumId w:val="13"/>
  </w:num>
  <w:num w:numId="14">
    <w:abstractNumId w:val="4"/>
  </w:num>
  <w:num w:numId="15">
    <w:abstractNumId w:val="1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7A3C"/>
    <w:rsid w:val="0005455E"/>
    <w:rsid w:val="000A68FE"/>
    <w:rsid w:val="000A77D0"/>
    <w:rsid w:val="00102DEE"/>
    <w:rsid w:val="00132989"/>
    <w:rsid w:val="00133794"/>
    <w:rsid w:val="0016749F"/>
    <w:rsid w:val="00183438"/>
    <w:rsid w:val="00196156"/>
    <w:rsid w:val="001A7BE8"/>
    <w:rsid w:val="001C45E4"/>
    <w:rsid w:val="001D1BE5"/>
    <w:rsid w:val="001F499E"/>
    <w:rsid w:val="002032DD"/>
    <w:rsid w:val="00212244"/>
    <w:rsid w:val="00214EBE"/>
    <w:rsid w:val="00236611"/>
    <w:rsid w:val="002442EA"/>
    <w:rsid w:val="0026064D"/>
    <w:rsid w:val="00264EC3"/>
    <w:rsid w:val="0030122B"/>
    <w:rsid w:val="00311503"/>
    <w:rsid w:val="003A14CB"/>
    <w:rsid w:val="003C2CE3"/>
    <w:rsid w:val="003C4F22"/>
    <w:rsid w:val="003D0510"/>
    <w:rsid w:val="003D473B"/>
    <w:rsid w:val="003D572E"/>
    <w:rsid w:val="003F2E3B"/>
    <w:rsid w:val="003F312C"/>
    <w:rsid w:val="003F7BD4"/>
    <w:rsid w:val="00402467"/>
    <w:rsid w:val="00441AEE"/>
    <w:rsid w:val="004A4A48"/>
    <w:rsid w:val="004F050E"/>
    <w:rsid w:val="004F2B9D"/>
    <w:rsid w:val="004F340A"/>
    <w:rsid w:val="004F64B9"/>
    <w:rsid w:val="005B4960"/>
    <w:rsid w:val="005E614C"/>
    <w:rsid w:val="0060605C"/>
    <w:rsid w:val="00635262"/>
    <w:rsid w:val="00655E90"/>
    <w:rsid w:val="00681B03"/>
    <w:rsid w:val="006E1937"/>
    <w:rsid w:val="00707A05"/>
    <w:rsid w:val="00730D0C"/>
    <w:rsid w:val="0074360B"/>
    <w:rsid w:val="0076643E"/>
    <w:rsid w:val="00767D1D"/>
    <w:rsid w:val="00787C2A"/>
    <w:rsid w:val="00791991"/>
    <w:rsid w:val="007A3D32"/>
    <w:rsid w:val="007B3EBB"/>
    <w:rsid w:val="007D567D"/>
    <w:rsid w:val="007E07C6"/>
    <w:rsid w:val="007E45DE"/>
    <w:rsid w:val="0080644C"/>
    <w:rsid w:val="00832761"/>
    <w:rsid w:val="00834BCD"/>
    <w:rsid w:val="00861C66"/>
    <w:rsid w:val="00897584"/>
    <w:rsid w:val="008C574D"/>
    <w:rsid w:val="008E0A5F"/>
    <w:rsid w:val="008E79B9"/>
    <w:rsid w:val="0090514D"/>
    <w:rsid w:val="00926425"/>
    <w:rsid w:val="0094321C"/>
    <w:rsid w:val="00946B3B"/>
    <w:rsid w:val="0095434F"/>
    <w:rsid w:val="009543D9"/>
    <w:rsid w:val="00961FCB"/>
    <w:rsid w:val="009678C8"/>
    <w:rsid w:val="00970EE3"/>
    <w:rsid w:val="00976CF4"/>
    <w:rsid w:val="009C09D4"/>
    <w:rsid w:val="00A17D87"/>
    <w:rsid w:val="00A379F0"/>
    <w:rsid w:val="00A54073"/>
    <w:rsid w:val="00A7471C"/>
    <w:rsid w:val="00AF0429"/>
    <w:rsid w:val="00BB2437"/>
    <w:rsid w:val="00BC6690"/>
    <w:rsid w:val="00BD738A"/>
    <w:rsid w:val="00BF49D7"/>
    <w:rsid w:val="00C41761"/>
    <w:rsid w:val="00C8485D"/>
    <w:rsid w:val="00CD0D2C"/>
    <w:rsid w:val="00D16F2C"/>
    <w:rsid w:val="00D21854"/>
    <w:rsid w:val="00D3376B"/>
    <w:rsid w:val="00D37593"/>
    <w:rsid w:val="00D5736F"/>
    <w:rsid w:val="00D666D8"/>
    <w:rsid w:val="00D91C3A"/>
    <w:rsid w:val="00DC63C8"/>
    <w:rsid w:val="00E400B2"/>
    <w:rsid w:val="00E420D7"/>
    <w:rsid w:val="00E42703"/>
    <w:rsid w:val="00E454D1"/>
    <w:rsid w:val="00E50E5B"/>
    <w:rsid w:val="00E62D04"/>
    <w:rsid w:val="00E919FF"/>
    <w:rsid w:val="00E93FC1"/>
    <w:rsid w:val="00EA0C88"/>
    <w:rsid w:val="00EA692A"/>
    <w:rsid w:val="00EE743E"/>
    <w:rsid w:val="00F476D7"/>
    <w:rsid w:val="00F61CD3"/>
    <w:rsid w:val="00F80211"/>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F65DEE9"/>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5492</Words>
  <Characters>30211</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2022-03-08T23:56:00Z</dcterms:created>
  <dcterms:modified xsi:type="dcterms:W3CDTF">2022-03-08T23:56:00Z</dcterms:modified>
</cp:coreProperties>
</file>