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B2CEF" w14:textId="77777777" w:rsidR="0060755C" w:rsidRDefault="0060755C"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3B789F7"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924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A24FA">
        <w:rPr>
          <w:rFonts w:ascii="Palatino Linotype" w:eastAsia="Times New Roman" w:hAnsi="Palatino Linotype" w:cs="Arial"/>
          <w:color w:val="000000"/>
          <w:sz w:val="24"/>
          <w:szCs w:val="24"/>
          <w:lang w:val="es-419" w:eastAsia="es-MX"/>
        </w:rPr>
        <w:t xml:space="preserve">dieciocho </w:t>
      </w:r>
      <w:r w:rsidRPr="00692461">
        <w:rPr>
          <w:rFonts w:ascii="Palatino Linotype" w:eastAsia="Times New Roman" w:hAnsi="Palatino Linotype" w:cs="Arial"/>
          <w:color w:val="000000"/>
          <w:sz w:val="24"/>
          <w:szCs w:val="24"/>
          <w:lang w:eastAsia="es-MX"/>
        </w:rPr>
        <w:t xml:space="preserve">de </w:t>
      </w:r>
      <w:r w:rsidR="00EA24FA">
        <w:rPr>
          <w:rFonts w:ascii="Palatino Linotype" w:eastAsia="Times New Roman" w:hAnsi="Palatino Linotype" w:cs="Arial"/>
          <w:color w:val="000000"/>
          <w:sz w:val="24"/>
          <w:szCs w:val="24"/>
          <w:lang w:val="es-419" w:eastAsia="es-MX"/>
        </w:rPr>
        <w:t xml:space="preserve">mayo </w:t>
      </w:r>
      <w:r w:rsidRPr="00692461">
        <w:rPr>
          <w:rFonts w:ascii="Palatino Linotype" w:eastAsia="Times New Roman" w:hAnsi="Palatino Linotype" w:cs="Arial"/>
          <w:color w:val="000000"/>
          <w:sz w:val="24"/>
          <w:szCs w:val="24"/>
          <w:lang w:eastAsia="es-MX"/>
        </w:rPr>
        <w:t xml:space="preserve">de dos mil </w:t>
      </w:r>
      <w:r w:rsidR="00FA1A88" w:rsidRPr="00692461">
        <w:rPr>
          <w:rFonts w:ascii="Palatino Linotype" w:eastAsia="Times New Roman" w:hAnsi="Palatino Linotype" w:cs="Arial"/>
          <w:color w:val="000000"/>
          <w:sz w:val="24"/>
          <w:szCs w:val="24"/>
          <w:lang w:eastAsia="es-MX"/>
        </w:rPr>
        <w:t>veintidós</w:t>
      </w:r>
      <w:r w:rsidRPr="00692461">
        <w:rPr>
          <w:rFonts w:ascii="Palatino Linotype" w:eastAsia="Times New Roman" w:hAnsi="Palatino Linotype" w:cs="Arial"/>
          <w:color w:val="000000"/>
          <w:sz w:val="24"/>
          <w:szCs w:val="24"/>
          <w:lang w:eastAsia="es-MX"/>
        </w:rPr>
        <w:t>.</w:t>
      </w:r>
    </w:p>
    <w:p w14:paraId="4334AAF6"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68F7E3A" w14:textId="77777777" w:rsidR="00337A3D" w:rsidRPr="00692461" w:rsidRDefault="00337A3D" w:rsidP="00262FBF">
      <w:pPr>
        <w:tabs>
          <w:tab w:val="left" w:pos="1701"/>
        </w:tabs>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VISTO</w:t>
      </w:r>
      <w:r w:rsidRPr="00692461">
        <w:rPr>
          <w:rFonts w:ascii="Palatino Linotype" w:hAnsi="Palatino Linotype" w:cs="Arial"/>
          <w:sz w:val="24"/>
          <w:szCs w:val="24"/>
        </w:rPr>
        <w:t xml:space="preserve"> </w:t>
      </w:r>
      <w:r w:rsidR="00EA24FA">
        <w:rPr>
          <w:rFonts w:ascii="Palatino Linotype" w:hAnsi="Palatino Linotype" w:cs="Arial"/>
          <w:sz w:val="24"/>
          <w:szCs w:val="24"/>
          <w:lang w:val="es-419"/>
        </w:rPr>
        <w:t>e</w:t>
      </w:r>
      <w:r w:rsidRPr="00692461">
        <w:rPr>
          <w:rFonts w:ascii="Palatino Linotype" w:hAnsi="Palatino Linotype" w:cs="Arial"/>
          <w:sz w:val="24"/>
          <w:szCs w:val="24"/>
        </w:rPr>
        <w:t xml:space="preserve">l expediente electrónico formado con </w:t>
      </w:r>
      <w:r w:rsidRPr="009D1861">
        <w:rPr>
          <w:rFonts w:ascii="Palatino Linotype" w:hAnsi="Palatino Linotype" w:cs="Arial"/>
          <w:sz w:val="24"/>
          <w:szCs w:val="24"/>
        </w:rPr>
        <w:t xml:space="preserve">motivo del recurso de revisión </w:t>
      </w:r>
      <w:r w:rsidR="00D90C53" w:rsidRPr="009D1861">
        <w:rPr>
          <w:rFonts w:ascii="Palatino Linotype" w:hAnsi="Palatino Linotype" w:cs="Arial"/>
          <w:sz w:val="24"/>
          <w:szCs w:val="24"/>
        </w:rPr>
        <w:t xml:space="preserve">identificado con </w:t>
      </w:r>
      <w:r w:rsidR="00EA24FA" w:rsidRPr="009D1861">
        <w:rPr>
          <w:rFonts w:ascii="Palatino Linotype" w:hAnsi="Palatino Linotype" w:cs="Arial"/>
          <w:sz w:val="24"/>
          <w:szCs w:val="24"/>
          <w:lang w:val="es-419"/>
        </w:rPr>
        <w:t>e</w:t>
      </w:r>
      <w:r w:rsidR="00D90C53" w:rsidRPr="009D1861">
        <w:rPr>
          <w:rFonts w:ascii="Palatino Linotype" w:hAnsi="Palatino Linotype" w:cs="Arial"/>
          <w:sz w:val="24"/>
          <w:szCs w:val="24"/>
        </w:rPr>
        <w:t xml:space="preserve">l </w:t>
      </w:r>
      <w:r w:rsidRPr="009D1861">
        <w:rPr>
          <w:rFonts w:ascii="Palatino Linotype" w:hAnsi="Palatino Linotype" w:cs="Arial"/>
          <w:sz w:val="24"/>
          <w:szCs w:val="24"/>
        </w:rPr>
        <w:t xml:space="preserve">número </w:t>
      </w:r>
      <w:r w:rsidR="00EA24FA" w:rsidRPr="009D1861">
        <w:rPr>
          <w:rFonts w:ascii="Palatino Linotype" w:hAnsi="Palatino Linotype" w:cs="Arial"/>
          <w:b/>
          <w:bCs/>
          <w:sz w:val="24"/>
          <w:szCs w:val="24"/>
          <w:lang w:val="es-419" w:eastAsia="es-MX"/>
        </w:rPr>
        <w:t>0187</w:t>
      </w:r>
      <w:r w:rsidR="0060755C">
        <w:rPr>
          <w:rFonts w:ascii="Palatino Linotype" w:hAnsi="Palatino Linotype" w:cs="Arial"/>
          <w:b/>
          <w:bCs/>
          <w:sz w:val="24"/>
          <w:szCs w:val="24"/>
          <w:lang w:val="es-419" w:eastAsia="es-MX"/>
        </w:rPr>
        <w:t>5</w:t>
      </w:r>
      <w:r w:rsidR="001E4511" w:rsidRPr="009D1861">
        <w:rPr>
          <w:rFonts w:ascii="Palatino Linotype" w:hAnsi="Palatino Linotype" w:cs="Arial"/>
          <w:b/>
          <w:bCs/>
          <w:sz w:val="24"/>
          <w:szCs w:val="24"/>
          <w:lang w:eastAsia="es-MX"/>
        </w:rPr>
        <w:t>/INFOEM/IP/RR/2022</w:t>
      </w:r>
      <w:r w:rsidR="00D90C53" w:rsidRPr="009D1861">
        <w:rPr>
          <w:rFonts w:ascii="Palatino Linotype" w:hAnsi="Palatino Linotype" w:cs="Arial"/>
          <w:b/>
          <w:bCs/>
          <w:sz w:val="24"/>
          <w:szCs w:val="24"/>
          <w:lang w:eastAsia="es-MX"/>
        </w:rPr>
        <w:t>,</w:t>
      </w:r>
      <w:r w:rsidRPr="009D1861">
        <w:rPr>
          <w:rFonts w:ascii="Palatino Linotype" w:hAnsi="Palatino Linotype" w:cs="Arial"/>
          <w:sz w:val="24"/>
          <w:szCs w:val="24"/>
        </w:rPr>
        <w:t xml:space="preserve"> </w:t>
      </w:r>
      <w:r w:rsidR="009D1861" w:rsidRPr="009D1861">
        <w:rPr>
          <w:rFonts w:ascii="Palatino Linotype" w:eastAsia="Palatino Linotype" w:hAnsi="Palatino Linotype" w:cs="Palatino Linotype"/>
          <w:color w:val="000000"/>
          <w:sz w:val="24"/>
          <w:szCs w:val="24"/>
        </w:rPr>
        <w:t>promovido por un ciudadano que al momento de ingresar su solicitud de información no proporcionó nombre o seudónimo para identificarlo y que en lo sucesivo se denominará</w:t>
      </w:r>
      <w:r w:rsidR="009D1861" w:rsidRPr="009D1861">
        <w:rPr>
          <w:rFonts w:ascii="Palatino Linotype" w:eastAsia="Palatino Linotype" w:hAnsi="Palatino Linotype" w:cs="Palatino Linotype"/>
          <w:b/>
          <w:color w:val="000000"/>
          <w:sz w:val="24"/>
          <w:szCs w:val="24"/>
        </w:rPr>
        <w:t xml:space="preserve"> EL RECURRENTE</w:t>
      </w:r>
      <w:r w:rsidRPr="009D1861">
        <w:rPr>
          <w:rFonts w:ascii="Palatino Linotype" w:hAnsi="Palatino Linotype" w:cs="Arial"/>
          <w:sz w:val="24"/>
          <w:szCs w:val="24"/>
        </w:rPr>
        <w:t xml:space="preserve">, en contra de la </w:t>
      </w:r>
      <w:r w:rsidR="00064E75" w:rsidRPr="009D1861">
        <w:rPr>
          <w:rFonts w:ascii="Palatino Linotype" w:hAnsi="Palatino Linotype" w:cs="Arial"/>
          <w:sz w:val="24"/>
          <w:szCs w:val="24"/>
        </w:rPr>
        <w:t xml:space="preserve">respuesta proporcionada por </w:t>
      </w:r>
      <w:r w:rsidR="009145EE" w:rsidRPr="009D1861">
        <w:rPr>
          <w:rFonts w:ascii="Palatino Linotype" w:hAnsi="Palatino Linotype" w:cs="Arial"/>
          <w:sz w:val="24"/>
          <w:szCs w:val="24"/>
        </w:rPr>
        <w:t>e</w:t>
      </w:r>
      <w:r w:rsidR="00064E75" w:rsidRPr="009D1861">
        <w:rPr>
          <w:rFonts w:ascii="Palatino Linotype" w:hAnsi="Palatino Linotype" w:cs="Arial"/>
          <w:sz w:val="24"/>
          <w:szCs w:val="24"/>
        </w:rPr>
        <w:t>l</w:t>
      </w:r>
      <w:r w:rsidR="00262FBF" w:rsidRPr="009D1861">
        <w:rPr>
          <w:rFonts w:ascii="Palatino Linotype" w:hAnsi="Palatino Linotype" w:cs="Arial"/>
          <w:b/>
          <w:sz w:val="24"/>
          <w:szCs w:val="24"/>
        </w:rPr>
        <w:t xml:space="preserve"> </w:t>
      </w:r>
      <w:r w:rsidR="009D1861">
        <w:rPr>
          <w:rFonts w:ascii="Palatino Linotype" w:hAnsi="Palatino Linotype" w:cs="Arial"/>
          <w:b/>
          <w:bCs/>
          <w:sz w:val="24"/>
          <w:szCs w:val="24"/>
          <w:lang w:val="es-419" w:eastAsia="es-MX"/>
        </w:rPr>
        <w:t>Ayuntamiento de Tenancingo</w:t>
      </w:r>
      <w:r w:rsidRPr="00692461">
        <w:rPr>
          <w:rFonts w:ascii="Palatino Linotype" w:hAnsi="Palatino Linotype" w:cs="Arial"/>
          <w:sz w:val="24"/>
          <w:szCs w:val="24"/>
        </w:rPr>
        <w:t xml:space="preserve">, en lo subsecuente el </w:t>
      </w:r>
      <w:r w:rsidRPr="00692461">
        <w:rPr>
          <w:rFonts w:ascii="Palatino Linotype" w:hAnsi="Palatino Linotype" w:cs="Arial"/>
          <w:b/>
          <w:sz w:val="24"/>
          <w:szCs w:val="24"/>
        </w:rPr>
        <w:t>Sujeto Obligado</w:t>
      </w:r>
      <w:r w:rsidRPr="00692461">
        <w:rPr>
          <w:rFonts w:ascii="Palatino Linotype" w:hAnsi="Palatino Linotype" w:cs="Arial"/>
          <w:sz w:val="24"/>
          <w:szCs w:val="24"/>
        </w:rPr>
        <w:t xml:space="preserve">, se procede </w:t>
      </w:r>
      <w:r w:rsidR="00064E75" w:rsidRPr="00692461">
        <w:rPr>
          <w:rFonts w:ascii="Palatino Linotype" w:hAnsi="Palatino Linotype" w:cs="Arial"/>
          <w:sz w:val="24"/>
          <w:szCs w:val="24"/>
        </w:rPr>
        <w:t>a dictar la presente resolución.</w:t>
      </w:r>
    </w:p>
    <w:p w14:paraId="59EA4F42" w14:textId="77777777" w:rsidR="00262FBF" w:rsidRPr="00692461" w:rsidRDefault="00262FBF" w:rsidP="00337A3D">
      <w:pPr>
        <w:tabs>
          <w:tab w:val="left" w:pos="6960"/>
        </w:tabs>
        <w:spacing w:after="0" w:line="360" w:lineRule="auto"/>
        <w:jc w:val="both"/>
        <w:rPr>
          <w:rFonts w:ascii="Palatino Linotype" w:hAnsi="Palatino Linotype" w:cs="Arial"/>
          <w:sz w:val="24"/>
          <w:szCs w:val="24"/>
        </w:rPr>
      </w:pPr>
    </w:p>
    <w:p w14:paraId="0CEF8F2A" w14:textId="77777777" w:rsidR="00337A3D" w:rsidRPr="00692461" w:rsidRDefault="00337A3D" w:rsidP="00337A3D">
      <w:pPr>
        <w:spacing w:after="0" w:line="360" w:lineRule="auto"/>
        <w:jc w:val="center"/>
        <w:rPr>
          <w:rFonts w:ascii="Palatino Linotype" w:hAnsi="Palatino Linotype" w:cs="Arial"/>
          <w:b/>
          <w:sz w:val="28"/>
          <w:szCs w:val="24"/>
        </w:rPr>
      </w:pPr>
      <w:r w:rsidRPr="00692461">
        <w:rPr>
          <w:rFonts w:ascii="Palatino Linotype" w:hAnsi="Palatino Linotype" w:cs="Arial"/>
          <w:b/>
          <w:sz w:val="28"/>
          <w:szCs w:val="24"/>
        </w:rPr>
        <w:t>A N T E C E D E N T E S</w:t>
      </w:r>
    </w:p>
    <w:p w14:paraId="5D53FF38" w14:textId="77777777" w:rsidR="00337A3D" w:rsidRPr="00692461" w:rsidRDefault="00337A3D" w:rsidP="00337A3D">
      <w:pPr>
        <w:spacing w:after="0" w:line="360" w:lineRule="auto"/>
        <w:rPr>
          <w:rFonts w:ascii="Palatino Linotype" w:hAnsi="Palatino Linotype" w:cs="Arial"/>
          <w:b/>
          <w:sz w:val="24"/>
          <w:szCs w:val="24"/>
        </w:rPr>
      </w:pPr>
    </w:p>
    <w:p w14:paraId="7A72F3B0" w14:textId="77777777" w:rsidR="00F3766A" w:rsidRPr="00692461" w:rsidRDefault="00337A3D" w:rsidP="00337A3D">
      <w:pPr>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PRIMERO. </w:t>
      </w:r>
      <w:r w:rsidR="00F3766A" w:rsidRPr="00692461">
        <w:rPr>
          <w:rFonts w:ascii="Palatino Linotype" w:hAnsi="Palatino Linotype" w:cs="Arial"/>
          <w:b/>
          <w:sz w:val="24"/>
          <w:szCs w:val="24"/>
        </w:rPr>
        <w:t>De la solicitud de información.</w:t>
      </w:r>
    </w:p>
    <w:p w14:paraId="26FB99CE" w14:textId="77777777" w:rsidR="005E1D14" w:rsidRPr="009D1861" w:rsidRDefault="00337A3D" w:rsidP="00337A3D">
      <w:pPr>
        <w:spacing w:after="0" w:line="360" w:lineRule="auto"/>
        <w:jc w:val="both"/>
        <w:rPr>
          <w:rFonts w:ascii="Palatino Linotype" w:hAnsi="Palatino Linotype" w:cs="Arial"/>
          <w:sz w:val="24"/>
          <w:szCs w:val="24"/>
          <w:lang w:val="es-419"/>
        </w:rPr>
      </w:pPr>
      <w:r w:rsidRPr="00692461">
        <w:rPr>
          <w:rFonts w:ascii="Palatino Linotype" w:hAnsi="Palatino Linotype" w:cs="Arial"/>
          <w:sz w:val="24"/>
          <w:szCs w:val="24"/>
        </w:rPr>
        <w:t xml:space="preserve">Con fecha </w:t>
      </w:r>
      <w:r w:rsidR="009D1861">
        <w:rPr>
          <w:rFonts w:ascii="Palatino Linotype" w:hAnsi="Palatino Linotype" w:cs="Arial"/>
          <w:sz w:val="24"/>
          <w:szCs w:val="24"/>
          <w:lang w:val="es-419"/>
        </w:rPr>
        <w:t>dos</w:t>
      </w:r>
      <w:r w:rsidR="001F1C38" w:rsidRPr="00692461">
        <w:rPr>
          <w:rFonts w:ascii="Palatino Linotype" w:hAnsi="Palatino Linotype" w:cs="Arial"/>
          <w:sz w:val="24"/>
          <w:szCs w:val="24"/>
        </w:rPr>
        <w:t xml:space="preserve"> de </w:t>
      </w:r>
      <w:r w:rsidR="009D1861">
        <w:rPr>
          <w:rFonts w:ascii="Palatino Linotype" w:hAnsi="Palatino Linotype" w:cs="Arial"/>
          <w:sz w:val="24"/>
          <w:szCs w:val="24"/>
          <w:lang w:val="es-419"/>
        </w:rPr>
        <w:t>febrero</w:t>
      </w:r>
      <w:r w:rsidR="001F1C38" w:rsidRPr="00692461">
        <w:rPr>
          <w:rFonts w:ascii="Palatino Linotype" w:hAnsi="Palatino Linotype" w:cs="Arial"/>
          <w:sz w:val="24"/>
          <w:szCs w:val="24"/>
        </w:rPr>
        <w:t xml:space="preserve"> de dos mil veint</w:t>
      </w:r>
      <w:r w:rsidR="00FA1A88" w:rsidRPr="00692461">
        <w:rPr>
          <w:rFonts w:ascii="Palatino Linotype" w:hAnsi="Palatino Linotype" w:cs="Arial"/>
          <w:sz w:val="24"/>
          <w:szCs w:val="24"/>
        </w:rPr>
        <w:t>i</w:t>
      </w:r>
      <w:r w:rsidR="00D11221" w:rsidRPr="00692461">
        <w:rPr>
          <w:rFonts w:ascii="Palatino Linotype" w:hAnsi="Palatino Linotype" w:cs="Arial"/>
          <w:sz w:val="24"/>
          <w:szCs w:val="24"/>
        </w:rPr>
        <w:t xml:space="preserve">dós </w:t>
      </w:r>
      <w:r w:rsidR="001F1C38" w:rsidRPr="00692461">
        <w:rPr>
          <w:rFonts w:ascii="Palatino Linotype" w:hAnsi="Palatino Linotype" w:cs="Arial"/>
          <w:sz w:val="24"/>
          <w:szCs w:val="24"/>
        </w:rPr>
        <w:t xml:space="preserve">el </w:t>
      </w:r>
      <w:r w:rsidRPr="00692461">
        <w:rPr>
          <w:rFonts w:ascii="Palatino Linotype" w:hAnsi="Palatino Linotype" w:cs="Arial"/>
          <w:b/>
          <w:sz w:val="24"/>
          <w:szCs w:val="24"/>
        </w:rPr>
        <w:t>Recurrente</w:t>
      </w:r>
      <w:r w:rsidRPr="00692461">
        <w:rPr>
          <w:rFonts w:ascii="Palatino Linotype" w:hAnsi="Palatino Linotype" w:cs="Arial"/>
          <w:sz w:val="24"/>
          <w:szCs w:val="24"/>
        </w:rPr>
        <w:t xml:space="preserve"> presentó a través del Sistema de Acceso a la Información Mexiquense, </w:t>
      </w:r>
      <w:r w:rsidR="00F43B74" w:rsidRPr="00692461">
        <w:rPr>
          <w:rFonts w:ascii="Palatino Linotype" w:hAnsi="Palatino Linotype" w:cs="Arial"/>
          <w:sz w:val="24"/>
          <w:szCs w:val="24"/>
        </w:rPr>
        <w:t>(</w:t>
      </w:r>
      <w:r w:rsidRPr="00692461">
        <w:rPr>
          <w:rFonts w:ascii="Palatino Linotype" w:hAnsi="Palatino Linotype" w:cs="Arial"/>
          <w:b/>
          <w:sz w:val="24"/>
          <w:szCs w:val="24"/>
        </w:rPr>
        <w:t>SAIMEX</w:t>
      </w:r>
      <w:r w:rsidR="00F43B74" w:rsidRPr="00692461">
        <w:rPr>
          <w:rFonts w:ascii="Palatino Linotype" w:hAnsi="Palatino Linotype" w:cs="Arial"/>
          <w:b/>
          <w:sz w:val="24"/>
          <w:szCs w:val="24"/>
        </w:rPr>
        <w:t>)</w:t>
      </w:r>
      <w:r w:rsidRPr="00692461">
        <w:rPr>
          <w:rFonts w:ascii="Palatino Linotype" w:hAnsi="Palatino Linotype" w:cs="Arial"/>
          <w:sz w:val="24"/>
          <w:szCs w:val="24"/>
        </w:rPr>
        <w:t xml:space="preserve">, ante </w:t>
      </w:r>
      <w:r w:rsidRPr="00692461">
        <w:rPr>
          <w:rFonts w:ascii="Palatino Linotype" w:hAnsi="Palatino Linotype" w:cs="Arial"/>
          <w:b/>
          <w:sz w:val="24"/>
          <w:szCs w:val="24"/>
        </w:rPr>
        <w:t>el Sujeto Obligado</w:t>
      </w:r>
      <w:r w:rsidRPr="00692461">
        <w:rPr>
          <w:rFonts w:ascii="Palatino Linotype" w:hAnsi="Palatino Linotype" w:cs="Arial"/>
          <w:sz w:val="24"/>
          <w:szCs w:val="24"/>
        </w:rPr>
        <w:t xml:space="preserve">, </w:t>
      </w:r>
      <w:r w:rsidR="00064E75" w:rsidRPr="00692461">
        <w:rPr>
          <w:rFonts w:ascii="Palatino Linotype" w:hAnsi="Palatino Linotype" w:cs="Arial"/>
          <w:sz w:val="24"/>
          <w:szCs w:val="24"/>
        </w:rPr>
        <w:t xml:space="preserve">la </w:t>
      </w:r>
      <w:r w:rsidRPr="00692461">
        <w:rPr>
          <w:rFonts w:ascii="Palatino Linotype" w:hAnsi="Palatino Linotype" w:cs="Arial"/>
          <w:sz w:val="24"/>
          <w:szCs w:val="24"/>
        </w:rPr>
        <w:t xml:space="preserve">solicitud de acceso a la información pública, registrada bajo </w:t>
      </w:r>
      <w:r w:rsidR="009D1861" w:rsidRPr="009D1861">
        <w:rPr>
          <w:rFonts w:ascii="Palatino Linotype" w:hAnsi="Palatino Linotype" w:cs="Arial"/>
          <w:sz w:val="24"/>
          <w:szCs w:val="24"/>
        </w:rPr>
        <w:t>e</w:t>
      </w:r>
      <w:r w:rsidR="005E1D14" w:rsidRPr="00692461">
        <w:rPr>
          <w:rFonts w:ascii="Palatino Linotype" w:hAnsi="Palatino Linotype" w:cs="Arial"/>
          <w:sz w:val="24"/>
          <w:szCs w:val="24"/>
        </w:rPr>
        <w:t>l</w:t>
      </w:r>
      <w:r w:rsidRPr="00692461">
        <w:rPr>
          <w:rFonts w:ascii="Palatino Linotype" w:hAnsi="Palatino Linotype" w:cs="Arial"/>
          <w:sz w:val="24"/>
          <w:szCs w:val="24"/>
        </w:rPr>
        <w:t xml:space="preserve"> número de expediente</w:t>
      </w:r>
      <w:r w:rsidR="005E1D14" w:rsidRPr="00692461">
        <w:rPr>
          <w:rFonts w:ascii="Palatino Linotype" w:hAnsi="Palatino Linotype" w:cs="Arial"/>
          <w:sz w:val="24"/>
          <w:szCs w:val="24"/>
        </w:rPr>
        <w:t>:</w:t>
      </w:r>
      <w:r w:rsidR="009D1861" w:rsidRPr="009D1861">
        <w:rPr>
          <w:rFonts w:ascii="Palatino Linotype" w:hAnsi="Palatino Linotype" w:cs="Arial"/>
          <w:sz w:val="24"/>
          <w:szCs w:val="24"/>
        </w:rPr>
        <w:t xml:space="preserve"> </w:t>
      </w:r>
      <w:r w:rsidR="009D1861" w:rsidRPr="009D1861">
        <w:rPr>
          <w:rFonts w:ascii="Palatino Linotype" w:hAnsi="Palatino Linotype" w:cs="Arial"/>
          <w:b/>
          <w:sz w:val="24"/>
          <w:szCs w:val="24"/>
        </w:rPr>
        <w:t>0007</w:t>
      </w:r>
      <w:r w:rsidR="0060755C">
        <w:rPr>
          <w:rFonts w:ascii="Palatino Linotype" w:hAnsi="Palatino Linotype" w:cs="Arial"/>
          <w:b/>
          <w:sz w:val="24"/>
          <w:szCs w:val="24"/>
          <w:lang w:val="es-419"/>
        </w:rPr>
        <w:t>2</w:t>
      </w:r>
      <w:r w:rsidR="009D1861" w:rsidRPr="009D1861">
        <w:rPr>
          <w:rFonts w:ascii="Palatino Linotype" w:hAnsi="Palatino Linotype" w:cs="Arial"/>
          <w:b/>
          <w:sz w:val="24"/>
          <w:szCs w:val="24"/>
        </w:rPr>
        <w:t>/TENANCIN/IP/2022</w:t>
      </w:r>
      <w:r w:rsidR="009D1861">
        <w:rPr>
          <w:rFonts w:ascii="Palatino Linotype" w:hAnsi="Palatino Linotype" w:cs="Arial"/>
          <w:sz w:val="24"/>
          <w:szCs w:val="24"/>
          <w:lang w:val="es-419"/>
        </w:rPr>
        <w:t>, mediante la cual solicitó:</w:t>
      </w:r>
    </w:p>
    <w:p w14:paraId="1D4838D9" w14:textId="77777777" w:rsidR="005E1D14" w:rsidRPr="009D1861" w:rsidRDefault="005E1D14" w:rsidP="009D1861">
      <w:pPr>
        <w:spacing w:after="0" w:line="360" w:lineRule="auto"/>
        <w:jc w:val="both"/>
        <w:rPr>
          <w:rFonts w:ascii="Palatino Linotype" w:hAnsi="Palatino Linotype" w:cs="Arial"/>
          <w:sz w:val="24"/>
          <w:szCs w:val="24"/>
          <w:lang w:val="es-419"/>
        </w:rPr>
      </w:pPr>
    </w:p>
    <w:p w14:paraId="76B99B78" w14:textId="77777777" w:rsidR="009D1861" w:rsidRPr="009D1861" w:rsidRDefault="009D1861" w:rsidP="009D1861">
      <w:pPr>
        <w:spacing w:after="0" w:line="360" w:lineRule="auto"/>
        <w:ind w:left="851" w:right="1134"/>
        <w:jc w:val="both"/>
        <w:rPr>
          <w:rFonts w:ascii="Palatino Linotype" w:hAnsi="Palatino Linotype" w:cs="Arial"/>
          <w:sz w:val="24"/>
          <w:szCs w:val="24"/>
          <w:lang w:val="es-419"/>
        </w:rPr>
      </w:pPr>
      <w:r w:rsidRPr="009D1861">
        <w:rPr>
          <w:rFonts w:ascii="Palatino Linotype" w:hAnsi="Palatino Linotype" w:cs="Arial"/>
          <w:sz w:val="24"/>
          <w:szCs w:val="24"/>
          <w:lang w:val="es-419"/>
        </w:rPr>
        <w:t>“</w:t>
      </w:r>
      <w:r w:rsidR="0060755C" w:rsidRPr="0060755C">
        <w:rPr>
          <w:rFonts w:ascii="Palatino Linotype" w:hAnsi="Palatino Linotype" w:cs="Arial"/>
          <w:i/>
          <w:sz w:val="24"/>
          <w:szCs w:val="24"/>
          <w:lang w:val="es-419"/>
        </w:rPr>
        <w:t>solicito el nombre de todos los trabajadores que causaron alta en la primer quincena de enero, así como su área de trabajo</w:t>
      </w:r>
      <w:r w:rsidRPr="009D1861">
        <w:rPr>
          <w:rFonts w:ascii="Palatino Linotype" w:hAnsi="Palatino Linotype" w:cs="Arial"/>
          <w:sz w:val="24"/>
          <w:szCs w:val="24"/>
          <w:lang w:val="es-419"/>
        </w:rPr>
        <w:t>” (sic)</w:t>
      </w:r>
    </w:p>
    <w:p w14:paraId="498E451A" w14:textId="77777777" w:rsidR="007E36A8" w:rsidRDefault="007E36A8" w:rsidP="00337A3D">
      <w:pPr>
        <w:spacing w:after="0" w:line="360" w:lineRule="auto"/>
        <w:jc w:val="both"/>
        <w:rPr>
          <w:rFonts w:ascii="Palatino Linotype" w:hAnsi="Palatino Linotype" w:cs="Arial"/>
          <w:sz w:val="24"/>
          <w:szCs w:val="24"/>
          <w:lang w:val="es-419"/>
        </w:rPr>
      </w:pPr>
    </w:p>
    <w:p w14:paraId="71FDCFAF" w14:textId="77777777" w:rsidR="009D1861" w:rsidRDefault="009D1861"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Señalando como modalidad de entrega: A través del SAIMEX.</w:t>
      </w:r>
    </w:p>
    <w:p w14:paraId="3115533A" w14:textId="77777777" w:rsidR="00362049" w:rsidRDefault="00362049" w:rsidP="00337A3D">
      <w:pPr>
        <w:spacing w:after="0" w:line="360" w:lineRule="auto"/>
        <w:jc w:val="both"/>
        <w:rPr>
          <w:rFonts w:ascii="Palatino Linotype" w:hAnsi="Palatino Linotype" w:cs="Arial"/>
          <w:b/>
          <w:sz w:val="28"/>
          <w:szCs w:val="24"/>
        </w:rPr>
      </w:pPr>
    </w:p>
    <w:p w14:paraId="1A26AC38" w14:textId="77777777" w:rsidR="00F3766A" w:rsidRPr="00692461" w:rsidRDefault="00337A3D" w:rsidP="00337A3D">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xml:space="preserve">. </w:t>
      </w:r>
      <w:r w:rsidR="00F3766A" w:rsidRPr="00692461">
        <w:rPr>
          <w:rFonts w:ascii="Palatino Linotype" w:hAnsi="Palatino Linotype" w:cs="Arial"/>
          <w:b/>
          <w:sz w:val="24"/>
          <w:szCs w:val="24"/>
        </w:rPr>
        <w:t xml:space="preserve">De la </w:t>
      </w:r>
      <w:r w:rsidR="00066174" w:rsidRPr="00692461">
        <w:rPr>
          <w:rFonts w:ascii="Palatino Linotype" w:hAnsi="Palatino Linotype" w:cs="Arial"/>
          <w:b/>
          <w:sz w:val="24"/>
          <w:szCs w:val="24"/>
        </w:rPr>
        <w:t>respuesta</w:t>
      </w:r>
      <w:r w:rsidR="00F3766A" w:rsidRPr="00692461">
        <w:rPr>
          <w:rFonts w:ascii="Palatino Linotype" w:hAnsi="Palatino Linotype" w:cs="Arial"/>
          <w:b/>
          <w:sz w:val="24"/>
          <w:szCs w:val="24"/>
        </w:rPr>
        <w:t xml:space="preserve"> del sujeto obligado</w:t>
      </w:r>
    </w:p>
    <w:p w14:paraId="58A99325" w14:textId="77777777" w:rsidR="00337A3D" w:rsidRPr="00692461" w:rsidRDefault="00FA1A88"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9D1861">
        <w:rPr>
          <w:rFonts w:ascii="Palatino Linotype" w:hAnsi="Palatino Linotype" w:cs="Arial"/>
          <w:sz w:val="24"/>
          <w:szCs w:val="24"/>
          <w:lang w:val="es-419"/>
        </w:rPr>
        <w:t xml:space="preserve">veintitrés </w:t>
      </w:r>
      <w:r w:rsidR="008520F2" w:rsidRPr="00692461">
        <w:rPr>
          <w:rFonts w:ascii="Palatino Linotype" w:hAnsi="Palatino Linotype" w:cs="Arial"/>
          <w:sz w:val="24"/>
          <w:szCs w:val="24"/>
        </w:rPr>
        <w:t xml:space="preserve">de </w:t>
      </w:r>
      <w:r w:rsidR="009D1861">
        <w:rPr>
          <w:rFonts w:ascii="Palatino Linotype" w:hAnsi="Palatino Linotype" w:cs="Arial"/>
          <w:sz w:val="24"/>
          <w:szCs w:val="24"/>
          <w:lang w:val="es-419"/>
        </w:rPr>
        <w:t>febrero</w:t>
      </w:r>
      <w:r w:rsidR="009B24F8" w:rsidRPr="00692461">
        <w:rPr>
          <w:rFonts w:ascii="Palatino Linotype" w:hAnsi="Palatino Linotype" w:cs="Arial"/>
          <w:sz w:val="24"/>
          <w:szCs w:val="24"/>
        </w:rPr>
        <w:t xml:space="preserve"> </w:t>
      </w:r>
      <w:r w:rsidRPr="00692461">
        <w:rPr>
          <w:rFonts w:ascii="Palatino Linotype" w:hAnsi="Palatino Linotype" w:cs="Arial"/>
          <w:sz w:val="24"/>
          <w:szCs w:val="24"/>
        </w:rPr>
        <w:t>de dos mil veinti</w:t>
      </w:r>
      <w:r w:rsidR="008520F2" w:rsidRPr="00692461">
        <w:rPr>
          <w:rFonts w:ascii="Palatino Linotype" w:hAnsi="Palatino Linotype" w:cs="Arial"/>
          <w:sz w:val="24"/>
          <w:szCs w:val="24"/>
        </w:rPr>
        <w:t>dós</w:t>
      </w:r>
      <w:r w:rsidRPr="00692461">
        <w:rPr>
          <w:rFonts w:ascii="Palatino Linotype" w:hAnsi="Palatino Linotype" w:cs="Arial"/>
          <w:sz w:val="24"/>
          <w:szCs w:val="24"/>
        </w:rPr>
        <w:t xml:space="preserve"> el sujeto obligado dio contestación a través del SAIMEX a la</w:t>
      </w:r>
      <w:r w:rsidR="006A3EBD" w:rsidRPr="00692461">
        <w:rPr>
          <w:rFonts w:ascii="Palatino Linotype" w:hAnsi="Palatino Linotype" w:cs="Arial"/>
          <w:sz w:val="24"/>
          <w:szCs w:val="24"/>
        </w:rPr>
        <w:t>s</w:t>
      </w:r>
      <w:r w:rsidRPr="00692461">
        <w:rPr>
          <w:rFonts w:ascii="Palatino Linotype" w:hAnsi="Palatino Linotype" w:cs="Arial"/>
          <w:sz w:val="24"/>
          <w:szCs w:val="24"/>
        </w:rPr>
        <w:t xml:space="preserve"> solicitud</w:t>
      </w:r>
      <w:r w:rsidR="006A3EBD" w:rsidRPr="00692461">
        <w:rPr>
          <w:rFonts w:ascii="Palatino Linotype" w:hAnsi="Palatino Linotype" w:cs="Arial"/>
          <w:sz w:val="24"/>
          <w:szCs w:val="24"/>
        </w:rPr>
        <w:t>es</w:t>
      </w:r>
      <w:r w:rsidRPr="00692461">
        <w:rPr>
          <w:rFonts w:ascii="Palatino Linotype" w:hAnsi="Palatino Linotype" w:cs="Arial"/>
          <w:sz w:val="24"/>
          <w:szCs w:val="24"/>
        </w:rPr>
        <w:t xml:space="preserve"> de información, manifestando</w:t>
      </w:r>
      <w:r w:rsidR="006A3EBD" w:rsidRPr="00692461">
        <w:rPr>
          <w:rFonts w:ascii="Palatino Linotype" w:hAnsi="Palatino Linotype" w:cs="Arial"/>
          <w:sz w:val="24"/>
          <w:szCs w:val="24"/>
        </w:rPr>
        <w:t xml:space="preserve"> en todos los casos lo siguiente</w:t>
      </w:r>
      <w:r w:rsidRPr="00692461">
        <w:rPr>
          <w:rFonts w:ascii="Palatino Linotype" w:hAnsi="Palatino Linotype" w:cs="Arial"/>
          <w:sz w:val="24"/>
          <w:szCs w:val="24"/>
        </w:rPr>
        <w:t>:</w:t>
      </w:r>
    </w:p>
    <w:p w14:paraId="7C7ED21F" w14:textId="77777777" w:rsidR="00337A3D" w:rsidRPr="00692461" w:rsidRDefault="00337A3D" w:rsidP="00337A3D">
      <w:pPr>
        <w:spacing w:after="0" w:line="360" w:lineRule="auto"/>
        <w:jc w:val="both"/>
        <w:rPr>
          <w:rFonts w:ascii="Palatino Linotype" w:hAnsi="Palatino Linotype" w:cs="Arial"/>
          <w:sz w:val="24"/>
          <w:szCs w:val="24"/>
        </w:rPr>
      </w:pPr>
    </w:p>
    <w:p w14:paraId="284FEDBE" w14:textId="77777777" w:rsidR="00FA1A88" w:rsidRPr="00692461" w:rsidRDefault="00FA1A88" w:rsidP="00362049">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9D1861" w:rsidRPr="009D1861">
        <w:rPr>
          <w:rFonts w:ascii="Palatino Linotype" w:eastAsia="Times New Roman" w:hAnsi="Palatino Linotype" w:cs="Times New Roman"/>
          <w:i/>
          <w:sz w:val="24"/>
          <w:szCs w:val="24"/>
          <w:lang w:val="es-ES_tradnl" w:eastAsia="es-ES"/>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0007</w:t>
      </w:r>
      <w:r w:rsidR="0060755C">
        <w:rPr>
          <w:rFonts w:ascii="Palatino Linotype" w:eastAsia="Times New Roman" w:hAnsi="Palatino Linotype" w:cs="Times New Roman"/>
          <w:i/>
          <w:sz w:val="24"/>
          <w:szCs w:val="24"/>
          <w:lang w:val="es-419" w:eastAsia="es-ES"/>
        </w:rPr>
        <w:t>2</w:t>
      </w:r>
      <w:r w:rsidR="009D1861" w:rsidRPr="009D1861">
        <w:rPr>
          <w:rFonts w:ascii="Palatino Linotype" w:eastAsia="Times New Roman" w:hAnsi="Palatino Linotype" w:cs="Times New Roman"/>
          <w:i/>
          <w:sz w:val="24"/>
          <w:szCs w:val="24"/>
          <w:lang w:val="es-ES_tradnl" w:eastAsia="es-ES"/>
        </w:rPr>
        <w:t>/TENANCIN/IP/2022, en archivo anexo PDF</w:t>
      </w:r>
      <w:r w:rsidRPr="00692461">
        <w:rPr>
          <w:rFonts w:ascii="Palatino Linotype" w:eastAsia="Times New Roman" w:hAnsi="Palatino Linotype" w:cs="Times New Roman"/>
          <w:i/>
          <w:sz w:val="24"/>
          <w:szCs w:val="24"/>
          <w:lang w:val="es-ES_tradnl" w:eastAsia="es-ES"/>
        </w:rPr>
        <w:t>.”</w:t>
      </w:r>
      <w:r w:rsidR="00C0073A" w:rsidRPr="00692461">
        <w:rPr>
          <w:rFonts w:ascii="Palatino Linotype" w:eastAsia="Times New Roman" w:hAnsi="Palatino Linotype" w:cs="Times New Roman"/>
          <w:i/>
          <w:sz w:val="24"/>
          <w:szCs w:val="24"/>
          <w:lang w:val="es-ES_tradnl" w:eastAsia="es-ES"/>
        </w:rPr>
        <w:t xml:space="preserve"> (Sic).</w:t>
      </w:r>
    </w:p>
    <w:p w14:paraId="1D605CE1" w14:textId="77777777" w:rsidR="00CE7F48" w:rsidRPr="00692461" w:rsidRDefault="00CE7F48" w:rsidP="00285F96">
      <w:pPr>
        <w:spacing w:after="0" w:line="360" w:lineRule="auto"/>
        <w:jc w:val="both"/>
        <w:rPr>
          <w:rFonts w:ascii="Palatino Linotype" w:hAnsi="Palatino Linotype" w:cs="Arial"/>
          <w:sz w:val="24"/>
          <w:szCs w:val="24"/>
        </w:rPr>
      </w:pPr>
    </w:p>
    <w:p w14:paraId="14D7E8D3" w14:textId="77777777" w:rsidR="008520F2" w:rsidRPr="00692461" w:rsidRDefault="001576A2"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 sujeto obligado adjuntó</w:t>
      </w:r>
      <w:r w:rsidR="008520F2" w:rsidRPr="00692461">
        <w:rPr>
          <w:rFonts w:ascii="Palatino Linotype" w:hAnsi="Palatino Linotype" w:cs="Arial"/>
          <w:sz w:val="24"/>
          <w:szCs w:val="24"/>
        </w:rPr>
        <w:t xml:space="preserve"> </w:t>
      </w:r>
      <w:r w:rsidR="001660FC" w:rsidRPr="00692461">
        <w:rPr>
          <w:rFonts w:ascii="Palatino Linotype" w:hAnsi="Palatino Linotype" w:cs="Arial"/>
          <w:sz w:val="24"/>
          <w:szCs w:val="24"/>
        </w:rPr>
        <w:t>p</w:t>
      </w:r>
      <w:r w:rsidR="008520F2" w:rsidRPr="00692461">
        <w:rPr>
          <w:rFonts w:ascii="Palatino Linotype" w:hAnsi="Palatino Linotype" w:cs="Arial"/>
          <w:sz w:val="24"/>
          <w:szCs w:val="24"/>
        </w:rPr>
        <w:t xml:space="preserve">ara tal efecto </w:t>
      </w:r>
      <w:r w:rsidR="009D1861" w:rsidRPr="009D1861">
        <w:rPr>
          <w:rFonts w:ascii="Palatino Linotype" w:hAnsi="Palatino Linotype" w:cs="Arial"/>
          <w:sz w:val="24"/>
          <w:szCs w:val="24"/>
        </w:rPr>
        <w:t>el archivo electrónico en PDF denominado “</w:t>
      </w:r>
      <w:r w:rsidR="0060755C" w:rsidRPr="0060755C">
        <w:rPr>
          <w:rFonts w:ascii="Palatino Linotype" w:hAnsi="Palatino Linotype"/>
          <w:sz w:val="24"/>
          <w:szCs w:val="24"/>
        </w:rPr>
        <w:t>72.pdf</w:t>
      </w:r>
      <w:r w:rsidR="009D1861" w:rsidRPr="0060755C">
        <w:rPr>
          <w:rFonts w:ascii="Palatino Linotype" w:hAnsi="Palatino Linotype" w:cs="Arial"/>
          <w:sz w:val="24"/>
          <w:szCs w:val="24"/>
        </w:rPr>
        <w:t>” el</w:t>
      </w:r>
      <w:r w:rsidR="008520F2" w:rsidRPr="00692461">
        <w:rPr>
          <w:rFonts w:ascii="Palatino Linotype" w:hAnsi="Palatino Linotype" w:cs="Arial"/>
          <w:sz w:val="24"/>
          <w:szCs w:val="24"/>
        </w:rPr>
        <w:t xml:space="preserve"> cual será analizado en la parte considerativa de la presente resolución.</w:t>
      </w:r>
    </w:p>
    <w:p w14:paraId="3A0BAC43" w14:textId="77777777" w:rsidR="008520F2" w:rsidRPr="00692461" w:rsidRDefault="008520F2" w:rsidP="00285F96">
      <w:pPr>
        <w:spacing w:after="0" w:line="360" w:lineRule="auto"/>
        <w:jc w:val="both"/>
        <w:rPr>
          <w:rFonts w:ascii="Palatino Linotype" w:hAnsi="Palatino Linotype" w:cs="Arial"/>
          <w:sz w:val="24"/>
          <w:szCs w:val="24"/>
        </w:rPr>
      </w:pPr>
    </w:p>
    <w:p w14:paraId="6CDC565C" w14:textId="77777777" w:rsidR="00B93DE8"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14:paraId="5BEA0753" w14:textId="77777777" w:rsidR="00AF47E9"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Inconforme con la respuesta</w:t>
      </w:r>
      <w:r w:rsidR="007E4212" w:rsidRPr="00692461">
        <w:rPr>
          <w:rFonts w:ascii="Palatino Linotype" w:hAnsi="Palatino Linotype" w:cs="Arial"/>
          <w:sz w:val="24"/>
          <w:szCs w:val="24"/>
        </w:rPr>
        <w:t xml:space="preserve"> emitida </w:t>
      </w:r>
      <w:r w:rsidRPr="00692461">
        <w:rPr>
          <w:rFonts w:ascii="Palatino Linotype" w:hAnsi="Palatino Linotype" w:cs="Arial"/>
          <w:sz w:val="24"/>
          <w:szCs w:val="24"/>
        </w:rPr>
        <w:t xml:space="preserve">por parte del Sujeto Obligado, en fecha </w:t>
      </w:r>
      <w:r w:rsidR="00003CEF">
        <w:rPr>
          <w:rFonts w:ascii="Palatino Linotype" w:hAnsi="Palatino Linotype" w:cs="Arial"/>
          <w:b/>
          <w:sz w:val="24"/>
          <w:szCs w:val="24"/>
          <w:lang w:val="es-419"/>
        </w:rPr>
        <w:t>veinticuatro</w:t>
      </w:r>
      <w:r w:rsidR="00C75197" w:rsidRPr="00692461">
        <w:rPr>
          <w:rFonts w:ascii="Palatino Linotype" w:hAnsi="Palatino Linotype" w:cs="Arial"/>
          <w:b/>
          <w:sz w:val="24"/>
          <w:szCs w:val="24"/>
        </w:rPr>
        <w:t xml:space="preserve"> de </w:t>
      </w:r>
      <w:r w:rsidR="00003CEF">
        <w:rPr>
          <w:rFonts w:ascii="Palatino Linotype" w:hAnsi="Palatino Linotype" w:cs="Arial"/>
          <w:b/>
          <w:sz w:val="24"/>
          <w:szCs w:val="24"/>
          <w:lang w:val="es-419"/>
        </w:rPr>
        <w:t>febrero</w:t>
      </w:r>
      <w:r w:rsidRPr="00692461">
        <w:rPr>
          <w:rFonts w:ascii="Palatino Linotype" w:hAnsi="Palatino Linotype" w:cs="Arial"/>
          <w:b/>
          <w:sz w:val="24"/>
          <w:szCs w:val="24"/>
        </w:rPr>
        <w:t xml:space="preserve"> de dos mil </w:t>
      </w:r>
      <w:r w:rsidR="004C2D70" w:rsidRPr="00692461">
        <w:rPr>
          <w:rFonts w:ascii="Palatino Linotype" w:hAnsi="Palatino Linotype" w:cs="Arial"/>
          <w:b/>
          <w:sz w:val="24"/>
          <w:szCs w:val="24"/>
        </w:rPr>
        <w:t>veintidós</w:t>
      </w:r>
      <w:r w:rsidRPr="00692461">
        <w:rPr>
          <w:rFonts w:ascii="Palatino Linotype" w:hAnsi="Palatino Linotype" w:cs="Arial"/>
          <w:sz w:val="24"/>
          <w:szCs w:val="24"/>
        </w:rPr>
        <w:t xml:space="preserve">, </w:t>
      </w:r>
      <w:r w:rsidR="00E525B3" w:rsidRPr="00692461">
        <w:rPr>
          <w:rFonts w:ascii="Palatino Linotype" w:hAnsi="Palatino Linotype" w:cs="Arial"/>
          <w:sz w:val="24"/>
          <w:szCs w:val="24"/>
        </w:rPr>
        <w:t>la</w:t>
      </w:r>
      <w:r w:rsidRPr="00692461">
        <w:rPr>
          <w:rFonts w:ascii="Palatino Linotype" w:hAnsi="Palatino Linotype" w:cs="Arial"/>
          <w:sz w:val="24"/>
          <w:szCs w:val="24"/>
        </w:rPr>
        <w:t xml:space="preserve"> ahora Recurrente interp</w:t>
      </w:r>
      <w:r w:rsidR="007E4212" w:rsidRPr="00692461">
        <w:rPr>
          <w:rFonts w:ascii="Palatino Linotype" w:hAnsi="Palatino Linotype" w:cs="Arial"/>
          <w:sz w:val="24"/>
          <w:szCs w:val="24"/>
        </w:rPr>
        <w:t>uso</w:t>
      </w:r>
      <w:r w:rsidRPr="00692461">
        <w:rPr>
          <w:rFonts w:ascii="Palatino Linotype" w:hAnsi="Palatino Linotype" w:cs="Arial"/>
          <w:sz w:val="24"/>
          <w:szCs w:val="24"/>
        </w:rPr>
        <w:t xml:space="preserve"> </w:t>
      </w:r>
      <w:r w:rsidR="00003CEF">
        <w:rPr>
          <w:rFonts w:ascii="Palatino Linotype" w:hAnsi="Palatino Linotype" w:cs="Arial"/>
          <w:sz w:val="24"/>
          <w:szCs w:val="24"/>
          <w:lang w:val="es-419"/>
        </w:rPr>
        <w:t>e</w:t>
      </w:r>
      <w:r w:rsidR="004E35FC" w:rsidRPr="00692461">
        <w:rPr>
          <w:rFonts w:ascii="Palatino Linotype" w:hAnsi="Palatino Linotype" w:cs="Arial"/>
          <w:sz w:val="24"/>
          <w:szCs w:val="24"/>
        </w:rPr>
        <w:t>l</w:t>
      </w:r>
      <w:r w:rsidR="007E4212" w:rsidRPr="00692461">
        <w:rPr>
          <w:rFonts w:ascii="Palatino Linotype" w:hAnsi="Palatino Linotype" w:cs="Arial"/>
          <w:sz w:val="24"/>
          <w:szCs w:val="24"/>
        </w:rPr>
        <w:t xml:space="preserve"> </w:t>
      </w:r>
      <w:r w:rsidRPr="00692461">
        <w:rPr>
          <w:rFonts w:ascii="Palatino Linotype" w:hAnsi="Palatino Linotype" w:cs="Arial"/>
          <w:sz w:val="24"/>
          <w:szCs w:val="24"/>
        </w:rPr>
        <w:t>recurso de revisión</w:t>
      </w:r>
      <w:r w:rsidR="007E4212" w:rsidRPr="00692461">
        <w:rPr>
          <w:rFonts w:ascii="Palatino Linotype" w:hAnsi="Palatino Linotype" w:cs="Arial"/>
          <w:sz w:val="24"/>
          <w:szCs w:val="24"/>
        </w:rPr>
        <w:t>,</w:t>
      </w:r>
      <w:r w:rsidRPr="00692461">
        <w:rPr>
          <w:rFonts w:ascii="Palatino Linotype" w:hAnsi="Palatino Linotype" w:cs="Arial"/>
          <w:sz w:val="24"/>
          <w:szCs w:val="24"/>
        </w:rPr>
        <w:t xml:space="preserve"> </w:t>
      </w:r>
      <w:r w:rsidR="00003CEF">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cual fue registrado en el sistema electrónico con </w:t>
      </w:r>
      <w:r w:rsidR="00003CEF">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expediente número</w:t>
      </w:r>
      <w:r w:rsidR="004E35FC" w:rsidRPr="00692461">
        <w:rPr>
          <w:rFonts w:ascii="Palatino Linotype" w:hAnsi="Palatino Linotype" w:cs="Arial"/>
          <w:sz w:val="24"/>
          <w:szCs w:val="24"/>
        </w:rPr>
        <w:t xml:space="preserve"> </w:t>
      </w:r>
      <w:r w:rsidR="004C2D70" w:rsidRPr="00692461">
        <w:rPr>
          <w:rFonts w:ascii="Palatino Linotype" w:hAnsi="Palatino Linotype" w:cs="Arial"/>
          <w:b/>
          <w:bCs/>
          <w:sz w:val="24"/>
          <w:lang w:eastAsia="es-MX"/>
        </w:rPr>
        <w:t>0</w:t>
      </w:r>
      <w:r w:rsidR="00003CEF">
        <w:rPr>
          <w:rFonts w:ascii="Palatino Linotype" w:hAnsi="Palatino Linotype" w:cs="Arial"/>
          <w:b/>
          <w:bCs/>
          <w:sz w:val="24"/>
          <w:lang w:val="es-419" w:eastAsia="es-MX"/>
        </w:rPr>
        <w:t>187</w:t>
      </w:r>
      <w:r w:rsidR="0060755C">
        <w:rPr>
          <w:rFonts w:ascii="Palatino Linotype" w:hAnsi="Palatino Linotype" w:cs="Arial"/>
          <w:b/>
          <w:bCs/>
          <w:sz w:val="24"/>
          <w:lang w:val="es-419" w:eastAsia="es-MX"/>
        </w:rPr>
        <w:t>5</w:t>
      </w:r>
      <w:r w:rsidR="004C2D70" w:rsidRPr="00692461">
        <w:rPr>
          <w:rFonts w:ascii="Palatino Linotype" w:hAnsi="Palatino Linotype" w:cs="Arial"/>
          <w:b/>
          <w:bCs/>
          <w:sz w:val="24"/>
          <w:lang w:eastAsia="es-MX"/>
        </w:rPr>
        <w:t>/INFOEM/IP/RR/2022</w:t>
      </w:r>
      <w:r w:rsidRPr="00692461">
        <w:rPr>
          <w:rFonts w:ascii="Palatino Linotype" w:hAnsi="Palatino Linotype" w:cs="Arial"/>
          <w:sz w:val="24"/>
          <w:szCs w:val="24"/>
        </w:rPr>
        <w:t xml:space="preserve"> aduciendo</w:t>
      </w:r>
      <w:r w:rsidR="002A6AE2" w:rsidRPr="00692461">
        <w:rPr>
          <w:rFonts w:ascii="Palatino Linotype" w:hAnsi="Palatino Linotype" w:cs="Arial"/>
          <w:sz w:val="24"/>
          <w:szCs w:val="24"/>
        </w:rPr>
        <w:t>, lo siguiente</w:t>
      </w:r>
      <w:r w:rsidR="00AF47E9" w:rsidRPr="00692461">
        <w:rPr>
          <w:rFonts w:ascii="Palatino Linotype" w:hAnsi="Palatino Linotype" w:cs="Arial"/>
          <w:sz w:val="24"/>
          <w:szCs w:val="24"/>
        </w:rPr>
        <w:t>:</w:t>
      </w:r>
    </w:p>
    <w:p w14:paraId="3C27D764" w14:textId="77777777" w:rsidR="002A6AE2" w:rsidRPr="00692461" w:rsidRDefault="002A6AE2" w:rsidP="0060755C">
      <w:pPr>
        <w:spacing w:after="0" w:line="360" w:lineRule="auto"/>
        <w:jc w:val="both"/>
        <w:rPr>
          <w:rFonts w:ascii="Palatino Linotype" w:hAnsi="Palatino Linotype" w:cs="Arial"/>
          <w:sz w:val="24"/>
          <w:szCs w:val="24"/>
        </w:rPr>
      </w:pPr>
    </w:p>
    <w:p w14:paraId="5F7EE1CE" w14:textId="77777777" w:rsidR="002A6AE2" w:rsidRPr="00692461" w:rsidRDefault="007E36A8" w:rsidP="0060755C">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21A98ACF" w14:textId="77777777" w:rsidR="00AF47E9" w:rsidRPr="00692461" w:rsidRDefault="002A6AE2" w:rsidP="0060755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3CEF" w:rsidRPr="00003CEF">
        <w:rPr>
          <w:rFonts w:ascii="Palatino Linotype" w:eastAsia="Times New Roman" w:hAnsi="Palatino Linotype" w:cs="Times New Roman"/>
          <w:i/>
          <w:sz w:val="24"/>
          <w:szCs w:val="24"/>
          <w:lang w:val="es-ES_tradnl" w:eastAsia="es-ES"/>
        </w:rPr>
        <w:t>no entrega</w:t>
      </w:r>
      <w:r w:rsidR="0060755C">
        <w:rPr>
          <w:rFonts w:ascii="Palatino Linotype" w:eastAsia="Times New Roman" w:hAnsi="Palatino Linotype" w:cs="Times New Roman"/>
          <w:i/>
          <w:sz w:val="24"/>
          <w:szCs w:val="24"/>
          <w:lang w:val="es-419" w:eastAsia="es-ES"/>
        </w:rPr>
        <w:t>ron</w:t>
      </w:r>
      <w:r w:rsidR="00003CEF" w:rsidRPr="00003CEF">
        <w:rPr>
          <w:rFonts w:ascii="Palatino Linotype" w:eastAsia="Times New Roman" w:hAnsi="Palatino Linotype" w:cs="Times New Roman"/>
          <w:i/>
          <w:sz w:val="24"/>
          <w:szCs w:val="24"/>
          <w:lang w:val="es-ES_tradnl" w:eastAsia="es-ES"/>
        </w:rPr>
        <w:t xml:space="preserve"> la respuesta</w:t>
      </w:r>
      <w:r w:rsidRPr="00692461">
        <w:rPr>
          <w:rFonts w:ascii="Palatino Linotype" w:eastAsia="Times New Roman" w:hAnsi="Palatino Linotype" w:cs="Times New Roman"/>
          <w:i/>
          <w:sz w:val="24"/>
          <w:szCs w:val="24"/>
          <w:lang w:val="es-ES_tradnl" w:eastAsia="es-ES"/>
        </w:rPr>
        <w:t>.”</w:t>
      </w:r>
      <w:r w:rsidR="0011490E" w:rsidRPr="00692461">
        <w:rPr>
          <w:rFonts w:ascii="Palatino Linotype" w:eastAsia="Times New Roman" w:hAnsi="Palatino Linotype" w:cs="Times New Roman"/>
          <w:i/>
          <w:sz w:val="24"/>
          <w:szCs w:val="24"/>
          <w:lang w:val="es-ES_tradnl" w:eastAsia="es-ES"/>
        </w:rPr>
        <w:t xml:space="preserve"> (sic)</w:t>
      </w:r>
    </w:p>
    <w:p w14:paraId="003EDB0E" w14:textId="77777777" w:rsidR="001576A2" w:rsidRPr="00692461" w:rsidRDefault="001576A2" w:rsidP="0060755C">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r w:rsidR="007E36A8" w:rsidRPr="00692461">
        <w:rPr>
          <w:rFonts w:ascii="Palatino Linotype" w:hAnsi="Palatino Linotype" w:cs="Arial"/>
          <w:b/>
          <w:sz w:val="24"/>
          <w:szCs w:val="24"/>
        </w:rPr>
        <w:t>:</w:t>
      </w:r>
    </w:p>
    <w:p w14:paraId="06664FE0" w14:textId="77777777" w:rsidR="00A3069D" w:rsidRPr="00692461" w:rsidRDefault="003D028D" w:rsidP="0060755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3CEF" w:rsidRPr="00003CEF">
        <w:rPr>
          <w:rFonts w:ascii="Palatino Linotype" w:eastAsia="Times New Roman" w:hAnsi="Palatino Linotype" w:cs="Times New Roman"/>
          <w:i/>
          <w:sz w:val="24"/>
          <w:szCs w:val="24"/>
          <w:lang w:val="es-ES_tradnl" w:eastAsia="es-ES"/>
        </w:rPr>
        <w:t xml:space="preserve">no </w:t>
      </w:r>
      <w:proofErr w:type="spellStart"/>
      <w:r w:rsidR="00003CEF" w:rsidRPr="00003CEF">
        <w:rPr>
          <w:rFonts w:ascii="Palatino Linotype" w:eastAsia="Times New Roman" w:hAnsi="Palatino Linotype" w:cs="Times New Roman"/>
          <w:i/>
          <w:sz w:val="24"/>
          <w:szCs w:val="24"/>
          <w:lang w:val="es-ES_tradnl" w:eastAsia="es-ES"/>
        </w:rPr>
        <w:t>estan</w:t>
      </w:r>
      <w:proofErr w:type="spellEnd"/>
      <w:r w:rsidR="00003CEF" w:rsidRPr="00003CEF">
        <w:rPr>
          <w:rFonts w:ascii="Palatino Linotype" w:eastAsia="Times New Roman" w:hAnsi="Palatino Linotype" w:cs="Times New Roman"/>
          <w:i/>
          <w:sz w:val="24"/>
          <w:szCs w:val="24"/>
          <w:lang w:val="es-ES_tradnl" w:eastAsia="es-ES"/>
        </w:rPr>
        <w:t xml:space="preserve"> cumpliendo con sus obligaciones</w:t>
      </w:r>
      <w:r w:rsidRPr="00692461">
        <w:rPr>
          <w:rFonts w:ascii="Palatino Linotype" w:eastAsia="Times New Roman" w:hAnsi="Palatino Linotype" w:cs="Times New Roman"/>
          <w:i/>
          <w:sz w:val="24"/>
          <w:szCs w:val="24"/>
          <w:lang w:val="es-ES_tradnl" w:eastAsia="es-ES"/>
        </w:rPr>
        <w:t>.” (Sic)</w:t>
      </w:r>
    </w:p>
    <w:p w14:paraId="1E13092A" w14:textId="77777777" w:rsidR="00362049" w:rsidRDefault="00362049" w:rsidP="000708A8">
      <w:pPr>
        <w:spacing w:after="0" w:line="360" w:lineRule="auto"/>
        <w:jc w:val="both"/>
        <w:rPr>
          <w:rFonts w:ascii="Palatino Linotype" w:hAnsi="Palatino Linotype" w:cs="Arial"/>
          <w:b/>
          <w:sz w:val="28"/>
          <w:szCs w:val="28"/>
        </w:rPr>
      </w:pPr>
    </w:p>
    <w:p w14:paraId="5B53485D" w14:textId="77777777" w:rsidR="000708A8" w:rsidRPr="00692461" w:rsidRDefault="000708A8" w:rsidP="000708A8">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del recurso de revisión.</w:t>
      </w:r>
      <w:r w:rsidRPr="00692461">
        <w:rPr>
          <w:rFonts w:ascii="Palatino Linotype" w:hAnsi="Palatino Linotype" w:cs="Arial"/>
          <w:sz w:val="24"/>
          <w:szCs w:val="24"/>
        </w:rPr>
        <w:t xml:space="preserve"> </w:t>
      </w:r>
    </w:p>
    <w:p w14:paraId="250C02F9" w14:textId="77777777" w:rsidR="000708A8" w:rsidRPr="00692461" w:rsidRDefault="002A6AE2" w:rsidP="000708A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w:t>
      </w:r>
      <w:r w:rsidR="000708A8" w:rsidRPr="00692461">
        <w:rPr>
          <w:rFonts w:ascii="Palatino Linotype" w:hAnsi="Palatino Linotype" w:cs="Arial"/>
          <w:sz w:val="24"/>
          <w:szCs w:val="24"/>
        </w:rPr>
        <w:t xml:space="preserve"> medio de impugnación presentado mediante </w:t>
      </w:r>
      <w:r w:rsidRPr="00692461">
        <w:rPr>
          <w:rFonts w:ascii="Palatino Linotype" w:hAnsi="Palatino Linotype" w:cs="Arial"/>
          <w:sz w:val="24"/>
          <w:szCs w:val="24"/>
        </w:rPr>
        <w:t>e</w:t>
      </w:r>
      <w:r w:rsidR="009F6FF0" w:rsidRPr="00692461">
        <w:rPr>
          <w:rFonts w:ascii="Palatino Linotype" w:hAnsi="Palatino Linotype" w:cs="Arial"/>
          <w:sz w:val="24"/>
          <w:szCs w:val="24"/>
        </w:rPr>
        <w:t xml:space="preserve">l </w:t>
      </w:r>
      <w:r w:rsidR="000708A8" w:rsidRPr="00692461">
        <w:rPr>
          <w:rFonts w:ascii="Palatino Linotype" w:hAnsi="Palatino Linotype" w:cs="Arial"/>
          <w:sz w:val="24"/>
          <w:szCs w:val="24"/>
        </w:rPr>
        <w:t xml:space="preserve">recurso de revisión número </w:t>
      </w:r>
      <w:r w:rsidRPr="00692461">
        <w:rPr>
          <w:rFonts w:ascii="Palatino Linotype" w:hAnsi="Palatino Linotype" w:cs="Arial"/>
          <w:b/>
          <w:sz w:val="24"/>
          <w:szCs w:val="24"/>
        </w:rPr>
        <w:t>0</w:t>
      </w:r>
      <w:r w:rsidR="00003CEF">
        <w:rPr>
          <w:rFonts w:ascii="Palatino Linotype" w:hAnsi="Palatino Linotype" w:cs="Arial"/>
          <w:b/>
          <w:sz w:val="24"/>
          <w:szCs w:val="24"/>
          <w:lang w:val="es-419"/>
        </w:rPr>
        <w:t>187</w:t>
      </w:r>
      <w:r w:rsidR="0060755C">
        <w:rPr>
          <w:rFonts w:ascii="Palatino Linotype" w:hAnsi="Palatino Linotype" w:cs="Arial"/>
          <w:b/>
          <w:sz w:val="24"/>
          <w:szCs w:val="24"/>
          <w:lang w:val="es-419"/>
        </w:rPr>
        <w:t>5</w:t>
      </w:r>
      <w:r w:rsidR="000708A8" w:rsidRPr="00692461">
        <w:rPr>
          <w:rFonts w:ascii="Palatino Linotype" w:hAnsi="Palatino Linotype" w:cs="Arial"/>
          <w:b/>
          <w:sz w:val="24"/>
          <w:szCs w:val="24"/>
        </w:rPr>
        <w:t>/INFOEM/IP/RR/202</w:t>
      </w:r>
      <w:r w:rsidRPr="00692461">
        <w:rPr>
          <w:rFonts w:ascii="Palatino Linotype" w:hAnsi="Palatino Linotype" w:cs="Arial"/>
          <w:b/>
          <w:sz w:val="24"/>
          <w:szCs w:val="24"/>
        </w:rPr>
        <w:t>2</w:t>
      </w:r>
      <w:r w:rsidR="000708A8" w:rsidRPr="00692461">
        <w:rPr>
          <w:rFonts w:ascii="Palatino Linotype" w:hAnsi="Palatino Linotype" w:cs="Arial"/>
          <w:sz w:val="24"/>
          <w:szCs w:val="24"/>
        </w:rPr>
        <w:t>,</w:t>
      </w:r>
      <w:r w:rsidR="009F6FF0"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le </w:t>
      </w:r>
      <w:r w:rsidR="000708A8" w:rsidRPr="00692461">
        <w:rPr>
          <w:rFonts w:ascii="Palatino Linotype" w:hAnsi="Palatino Linotype" w:cs="Arial"/>
          <w:sz w:val="24"/>
          <w:szCs w:val="24"/>
        </w:rPr>
        <w:t xml:space="preserve">fue turnado al </w:t>
      </w:r>
      <w:r w:rsidR="000708A8" w:rsidRPr="00003CEF">
        <w:rPr>
          <w:rFonts w:ascii="Palatino Linotype" w:hAnsi="Palatino Linotype" w:cs="Arial"/>
          <w:b/>
          <w:sz w:val="24"/>
          <w:szCs w:val="24"/>
        </w:rPr>
        <w:t>Comisionado Presidente José Martínez Vilchis</w:t>
      </w:r>
      <w:r w:rsidR="009F6FF0" w:rsidRPr="00692461">
        <w:rPr>
          <w:rFonts w:ascii="Palatino Linotype" w:hAnsi="Palatino Linotype" w:cs="Arial"/>
          <w:sz w:val="24"/>
          <w:szCs w:val="24"/>
        </w:rPr>
        <w:t>;</w:t>
      </w:r>
      <w:r w:rsidR="00FE038C" w:rsidRPr="00692461">
        <w:rPr>
          <w:rFonts w:ascii="Palatino Linotype" w:hAnsi="Palatino Linotype" w:cs="Arial"/>
          <w:sz w:val="24"/>
          <w:szCs w:val="24"/>
        </w:rPr>
        <w:t xml:space="preserve"> </w:t>
      </w:r>
      <w:r w:rsidR="000708A8" w:rsidRPr="00692461">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003CEF" w:rsidRPr="00692461">
        <w:rPr>
          <w:rFonts w:ascii="Palatino Linotype" w:hAnsi="Palatino Linotype" w:cs="Arial"/>
          <w:sz w:val="24"/>
          <w:szCs w:val="24"/>
        </w:rPr>
        <w:t>recayó</w:t>
      </w:r>
      <w:r w:rsidR="000708A8" w:rsidRPr="00692461">
        <w:rPr>
          <w:rFonts w:ascii="Palatino Linotype" w:hAnsi="Palatino Linotype" w:cs="Arial"/>
          <w:sz w:val="24"/>
          <w:szCs w:val="24"/>
        </w:rPr>
        <w:t xml:space="preserve"> acuerdo de admisión en fecha</w:t>
      </w:r>
      <w:r w:rsidR="00FE038C" w:rsidRPr="00692461">
        <w:rPr>
          <w:rFonts w:ascii="Palatino Linotype" w:hAnsi="Palatino Linotype" w:cs="Arial"/>
          <w:sz w:val="24"/>
          <w:szCs w:val="24"/>
        </w:rPr>
        <w:t xml:space="preserve"> </w:t>
      </w:r>
      <w:r w:rsidR="00003CEF">
        <w:rPr>
          <w:rFonts w:ascii="Palatino Linotype" w:hAnsi="Palatino Linotype" w:cs="Arial"/>
          <w:sz w:val="24"/>
          <w:szCs w:val="24"/>
          <w:lang w:val="es-419"/>
        </w:rPr>
        <w:t>tres</w:t>
      </w:r>
      <w:r w:rsidR="00FE038C" w:rsidRPr="00692461">
        <w:rPr>
          <w:rFonts w:ascii="Palatino Linotype" w:hAnsi="Palatino Linotype" w:cs="Arial"/>
          <w:sz w:val="24"/>
          <w:szCs w:val="24"/>
        </w:rPr>
        <w:t xml:space="preserve"> de </w:t>
      </w:r>
      <w:r w:rsidR="00003CEF">
        <w:rPr>
          <w:rFonts w:ascii="Palatino Linotype" w:hAnsi="Palatino Linotype" w:cs="Arial"/>
          <w:sz w:val="24"/>
          <w:szCs w:val="24"/>
          <w:lang w:val="es-419"/>
        </w:rPr>
        <w:t>marzo</w:t>
      </w:r>
      <w:r w:rsidR="00FE038C" w:rsidRPr="00692461">
        <w:rPr>
          <w:rFonts w:ascii="Palatino Linotype" w:hAnsi="Palatino Linotype" w:cs="Arial"/>
          <w:sz w:val="24"/>
          <w:szCs w:val="24"/>
        </w:rPr>
        <w:t xml:space="preserve"> de dos mil veintidós</w:t>
      </w:r>
      <w:r w:rsidR="000708A8"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58DACAE5" w14:textId="77777777" w:rsidR="000708A8" w:rsidRPr="00692461" w:rsidRDefault="000708A8" w:rsidP="000708A8">
      <w:pPr>
        <w:spacing w:after="0" w:line="360" w:lineRule="auto"/>
        <w:jc w:val="both"/>
        <w:rPr>
          <w:rFonts w:ascii="Palatino Linotype" w:hAnsi="Palatino Linotype" w:cs="Arial"/>
          <w:sz w:val="24"/>
          <w:szCs w:val="24"/>
        </w:rPr>
      </w:pPr>
    </w:p>
    <w:p w14:paraId="5CA6951F" w14:textId="77777777" w:rsidR="00290F21" w:rsidRPr="00692461" w:rsidRDefault="00B93DE8"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w:t>
      </w:r>
      <w:r w:rsidR="00481523">
        <w:rPr>
          <w:rFonts w:ascii="Palatino Linotype" w:hAnsi="Palatino Linotype" w:cs="Arial"/>
          <w:b/>
          <w:sz w:val="24"/>
          <w:szCs w:val="24"/>
        </w:rPr>
        <w:t>e manifestaciones y/o alegatos.</w:t>
      </w:r>
    </w:p>
    <w:p w14:paraId="7DB3AF9C" w14:textId="77777777" w:rsidR="000358BA" w:rsidRPr="00692461" w:rsidRDefault="001E0966" w:rsidP="000358BA">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del expediente electrónico del SAIMEX, del recurso de revisión </w:t>
      </w:r>
      <w:r w:rsidR="000358BA" w:rsidRPr="00692461">
        <w:rPr>
          <w:rFonts w:ascii="Palatino Linotype" w:hAnsi="Palatino Linotype" w:cs="Arial"/>
          <w:b/>
          <w:sz w:val="24"/>
          <w:szCs w:val="24"/>
        </w:rPr>
        <w:t>0</w:t>
      </w:r>
      <w:r w:rsidR="00362049">
        <w:rPr>
          <w:rFonts w:ascii="Palatino Linotype" w:hAnsi="Palatino Linotype" w:cs="Arial"/>
          <w:b/>
          <w:sz w:val="24"/>
          <w:szCs w:val="24"/>
          <w:lang w:val="es-419"/>
        </w:rPr>
        <w:t>187</w:t>
      </w:r>
      <w:r w:rsidR="0060755C">
        <w:rPr>
          <w:rFonts w:ascii="Palatino Linotype" w:hAnsi="Palatino Linotype" w:cs="Arial"/>
          <w:b/>
          <w:sz w:val="24"/>
          <w:szCs w:val="24"/>
          <w:lang w:val="es-419"/>
        </w:rPr>
        <w:t>5</w:t>
      </w:r>
      <w:r w:rsidR="000358BA" w:rsidRPr="00692461">
        <w:rPr>
          <w:rFonts w:ascii="Palatino Linotype" w:hAnsi="Palatino Linotype" w:cs="Arial"/>
          <w:b/>
          <w:sz w:val="24"/>
          <w:szCs w:val="24"/>
        </w:rPr>
        <w:t>/INFOEM/IP/RR/2022</w:t>
      </w:r>
      <w:r w:rsidRPr="00692461">
        <w:rPr>
          <w:rFonts w:ascii="Palatino Linotype" w:hAnsi="Palatino Linotype" w:cs="Arial"/>
          <w:sz w:val="24"/>
          <w:szCs w:val="24"/>
        </w:rPr>
        <w:t>, se advierte que el Sujeto Obligado no remitió informe justificado, asimismo, el particular no realizó las manifestacion</w:t>
      </w:r>
      <w:r w:rsidR="000358BA" w:rsidRPr="00692461">
        <w:rPr>
          <w:rFonts w:ascii="Palatino Linotype" w:hAnsi="Palatino Linotype" w:cs="Arial"/>
          <w:sz w:val="24"/>
          <w:szCs w:val="24"/>
        </w:rPr>
        <w:t>es que a su derecho convinieran.</w:t>
      </w:r>
    </w:p>
    <w:p w14:paraId="7164DC58" w14:textId="77777777" w:rsidR="00F3766A" w:rsidRPr="00692461" w:rsidRDefault="00F3766A" w:rsidP="001E0966">
      <w:pPr>
        <w:spacing w:after="0" w:line="360" w:lineRule="auto"/>
        <w:jc w:val="both"/>
        <w:rPr>
          <w:rFonts w:ascii="Palatino Linotype" w:hAnsi="Palatino Linotype" w:cs="Arial"/>
          <w:sz w:val="24"/>
          <w:szCs w:val="24"/>
        </w:rPr>
      </w:pPr>
    </w:p>
    <w:p w14:paraId="456612BB" w14:textId="77777777" w:rsidR="00B93DE8" w:rsidRPr="00692461" w:rsidRDefault="00327A14"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00B93DE8" w:rsidRPr="00692461">
        <w:rPr>
          <w:rFonts w:ascii="Palatino Linotype" w:hAnsi="Palatino Linotype" w:cs="Arial"/>
          <w:b/>
          <w:sz w:val="24"/>
          <w:szCs w:val="24"/>
        </w:rPr>
        <w:t xml:space="preserve">Del cierre de instrucción. </w:t>
      </w:r>
    </w:p>
    <w:p w14:paraId="77E96606" w14:textId="77777777" w:rsidR="00B93DE8"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Así, una vez transcurrido el término legal, se decret</w:t>
      </w:r>
      <w:r w:rsidR="00F3766A" w:rsidRPr="00692461">
        <w:rPr>
          <w:rFonts w:ascii="Palatino Linotype" w:hAnsi="Palatino Linotype" w:cs="Arial"/>
          <w:sz w:val="24"/>
          <w:szCs w:val="24"/>
        </w:rPr>
        <w:t>ó</w:t>
      </w:r>
      <w:r w:rsidRPr="00692461">
        <w:rPr>
          <w:rFonts w:ascii="Palatino Linotype" w:hAnsi="Palatino Linotype" w:cs="Arial"/>
          <w:sz w:val="24"/>
          <w:szCs w:val="24"/>
        </w:rPr>
        <w:t xml:space="preserve"> el cierre de instrucción de</w:t>
      </w:r>
      <w:r w:rsidR="00F3766A"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F3766A" w:rsidRPr="00692461">
        <w:rPr>
          <w:rFonts w:ascii="Palatino Linotype" w:hAnsi="Palatino Linotype" w:cs="Arial"/>
          <w:sz w:val="24"/>
          <w:szCs w:val="24"/>
        </w:rPr>
        <w:t>os</w:t>
      </w:r>
      <w:r w:rsidRPr="00692461">
        <w:rPr>
          <w:rFonts w:ascii="Palatino Linotype" w:hAnsi="Palatino Linotype" w:cs="Arial"/>
          <w:sz w:val="24"/>
          <w:szCs w:val="24"/>
        </w:rPr>
        <w:t xml:space="preserve"> recursos de revisión en fecha </w:t>
      </w:r>
      <w:r w:rsidR="00362049">
        <w:rPr>
          <w:rFonts w:ascii="Palatino Linotype" w:hAnsi="Palatino Linotype" w:cs="Arial"/>
          <w:b/>
          <w:sz w:val="24"/>
          <w:szCs w:val="24"/>
          <w:lang w:val="es-419"/>
        </w:rPr>
        <w:t xml:space="preserve">seis </w:t>
      </w:r>
      <w:r w:rsidRPr="00692461">
        <w:rPr>
          <w:rFonts w:ascii="Palatino Linotype" w:hAnsi="Palatino Linotype" w:cs="Arial"/>
          <w:b/>
          <w:sz w:val="24"/>
          <w:szCs w:val="24"/>
        </w:rPr>
        <w:t xml:space="preserve">de </w:t>
      </w:r>
      <w:r w:rsidR="00362049">
        <w:rPr>
          <w:rFonts w:ascii="Palatino Linotype" w:hAnsi="Palatino Linotype" w:cs="Arial"/>
          <w:b/>
          <w:sz w:val="24"/>
          <w:szCs w:val="24"/>
          <w:lang w:val="es-419"/>
        </w:rPr>
        <w:t>abril</w:t>
      </w:r>
      <w:r w:rsidRPr="00692461">
        <w:rPr>
          <w:rFonts w:ascii="Palatino Linotype" w:hAnsi="Palatino Linotype" w:cs="Arial"/>
          <w:b/>
          <w:sz w:val="24"/>
          <w:szCs w:val="24"/>
        </w:rPr>
        <w:t xml:space="preserve"> de dos mil veint</w:t>
      </w:r>
      <w:r w:rsidR="00B8050B" w:rsidRPr="00692461">
        <w:rPr>
          <w:rFonts w:ascii="Palatino Linotype" w:hAnsi="Palatino Linotype" w:cs="Arial"/>
          <w:b/>
          <w:sz w:val="24"/>
          <w:szCs w:val="24"/>
        </w:rPr>
        <w:t>i</w:t>
      </w:r>
      <w:r w:rsidR="001E0966" w:rsidRPr="00692461">
        <w:rPr>
          <w:rFonts w:ascii="Palatino Linotype" w:hAnsi="Palatino Linotype" w:cs="Arial"/>
          <w:b/>
          <w:sz w:val="24"/>
          <w:szCs w:val="24"/>
        </w:rPr>
        <w:t>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692461">
        <w:rPr>
          <w:rFonts w:ascii="Palatino Linotype" w:hAnsi="Palatino Linotype" w:cs="Arial"/>
          <w:sz w:val="24"/>
          <w:szCs w:val="24"/>
        </w:rPr>
        <w:t>eso</w:t>
      </w:r>
      <w:r w:rsidR="00362049">
        <w:rPr>
          <w:rFonts w:ascii="Palatino Linotype" w:hAnsi="Palatino Linotype" w:cs="Arial"/>
          <w:sz w:val="24"/>
          <w:szCs w:val="24"/>
        </w:rPr>
        <w:t>lución definitiva del asunto.</w:t>
      </w:r>
    </w:p>
    <w:p w14:paraId="4FFBE911" w14:textId="77777777" w:rsidR="00362049" w:rsidRDefault="00362049" w:rsidP="00285F96">
      <w:pPr>
        <w:spacing w:after="0" w:line="360" w:lineRule="auto"/>
        <w:jc w:val="both"/>
        <w:rPr>
          <w:rFonts w:ascii="Palatino Linotype" w:hAnsi="Palatino Linotype" w:cs="Arial"/>
          <w:sz w:val="24"/>
          <w:szCs w:val="24"/>
        </w:rPr>
      </w:pPr>
    </w:p>
    <w:p w14:paraId="0E2918CE" w14:textId="77777777" w:rsidR="0060755C" w:rsidRDefault="0060755C" w:rsidP="00285F96">
      <w:pPr>
        <w:spacing w:after="0" w:line="360" w:lineRule="auto"/>
        <w:jc w:val="both"/>
        <w:rPr>
          <w:rFonts w:ascii="Palatino Linotype" w:hAnsi="Palatino Linotype" w:cs="Arial"/>
          <w:sz w:val="24"/>
          <w:szCs w:val="24"/>
        </w:rPr>
      </w:pPr>
    </w:p>
    <w:p w14:paraId="59A95254" w14:textId="77777777" w:rsidR="00362049" w:rsidRPr="00362049" w:rsidRDefault="00362049" w:rsidP="00362049">
      <w:pPr>
        <w:spacing w:line="360" w:lineRule="auto"/>
        <w:jc w:val="both"/>
        <w:rPr>
          <w:rFonts w:ascii="Palatino Linotype" w:hAnsi="Palatino Linotype" w:cs="Arial"/>
          <w:b/>
          <w:sz w:val="24"/>
          <w:szCs w:val="24"/>
          <w:lang w:val="es-419"/>
        </w:rPr>
      </w:pPr>
      <w:r w:rsidRPr="00FE67DF">
        <w:rPr>
          <w:rFonts w:ascii="Palatino Linotype" w:hAnsi="Palatino Linotype" w:cs="Arial"/>
          <w:b/>
          <w:sz w:val="28"/>
          <w:szCs w:val="28"/>
        </w:rPr>
        <w:lastRenderedPageBreak/>
        <w:t>SEPTIMO.</w:t>
      </w:r>
      <w:r w:rsidRPr="00CC1419">
        <w:rPr>
          <w:rFonts w:ascii="Palatino Linotype" w:hAnsi="Palatino Linotype" w:cs="Arial"/>
          <w:b/>
        </w:rPr>
        <w:t xml:space="preserve"> </w:t>
      </w:r>
      <w:r w:rsidRPr="00362049">
        <w:rPr>
          <w:rFonts w:ascii="Palatino Linotype" w:hAnsi="Palatino Linotype" w:cs="Arial"/>
          <w:b/>
          <w:sz w:val="24"/>
          <w:szCs w:val="24"/>
        </w:rPr>
        <w:t>Ampliación del término para resolver</w:t>
      </w:r>
      <w:r>
        <w:rPr>
          <w:rFonts w:ascii="Palatino Linotype" w:hAnsi="Palatino Linotype" w:cs="Arial"/>
          <w:b/>
          <w:sz w:val="24"/>
          <w:szCs w:val="24"/>
          <w:lang w:val="es-419"/>
        </w:rPr>
        <w:t>.</w:t>
      </w:r>
    </w:p>
    <w:p w14:paraId="4FC842E5" w14:textId="77777777" w:rsidR="00362049" w:rsidRPr="00692461" w:rsidRDefault="00362049" w:rsidP="00362049">
      <w:pPr>
        <w:spacing w:after="0" w:line="360" w:lineRule="auto"/>
        <w:jc w:val="both"/>
        <w:rPr>
          <w:rFonts w:ascii="Palatino Linotype" w:hAnsi="Palatino Linotype" w:cs="Arial"/>
          <w:sz w:val="24"/>
          <w:szCs w:val="24"/>
        </w:rPr>
      </w:pPr>
      <w:r w:rsidRPr="00DB01C3">
        <w:rPr>
          <w:rFonts w:ascii="Palatino Linotype" w:hAnsi="Palatino Linotype" w:cs="Arial"/>
        </w:rPr>
        <w:t xml:space="preserve">Posteriormente, en fecha </w:t>
      </w:r>
      <w:r>
        <w:rPr>
          <w:rFonts w:ascii="Palatino Linotype" w:hAnsi="Palatino Linotype" w:cs="Arial"/>
          <w:b/>
        </w:rPr>
        <w:t>veintidós</w:t>
      </w:r>
      <w:r w:rsidRPr="00DB01C3">
        <w:rPr>
          <w:rFonts w:ascii="Palatino Linotype" w:hAnsi="Palatino Linotype" w:cs="Arial"/>
          <w:b/>
        </w:rPr>
        <w:t xml:space="preserve"> de abril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50BB37FD" w14:textId="77777777" w:rsidR="003E3631" w:rsidRPr="00692461" w:rsidRDefault="003E3631" w:rsidP="00337A3D">
      <w:pPr>
        <w:spacing w:after="0" w:line="360" w:lineRule="auto"/>
        <w:jc w:val="both"/>
        <w:rPr>
          <w:rFonts w:ascii="Palatino Linotype" w:eastAsia="Calibri" w:hAnsi="Palatino Linotype" w:cs="Arial"/>
          <w:b/>
          <w:sz w:val="24"/>
          <w:szCs w:val="24"/>
          <w:lang w:val="es-ES" w:eastAsia="es-ES"/>
        </w:rPr>
      </w:pPr>
    </w:p>
    <w:p w14:paraId="395FB4DC" w14:textId="77777777" w:rsidR="00337A3D" w:rsidRPr="00692461" w:rsidRDefault="00337A3D" w:rsidP="00337A3D">
      <w:pPr>
        <w:spacing w:after="0" w:line="360" w:lineRule="auto"/>
        <w:jc w:val="center"/>
        <w:rPr>
          <w:rFonts w:ascii="Palatino Linotype" w:hAnsi="Palatino Linotype" w:cs="Arial"/>
          <w:sz w:val="24"/>
          <w:szCs w:val="24"/>
        </w:rPr>
      </w:pPr>
      <w:r w:rsidRPr="00692461">
        <w:rPr>
          <w:rFonts w:ascii="Palatino Linotype" w:hAnsi="Palatino Linotype" w:cs="Arial"/>
          <w:b/>
          <w:sz w:val="28"/>
          <w:szCs w:val="24"/>
        </w:rPr>
        <w:t xml:space="preserve">C O N S I D E R A N D O </w:t>
      </w:r>
    </w:p>
    <w:p w14:paraId="27AA2E7F" w14:textId="77777777" w:rsidR="00337A3D" w:rsidRPr="00692461" w:rsidRDefault="00337A3D" w:rsidP="00337A3D">
      <w:pPr>
        <w:spacing w:after="0" w:line="360" w:lineRule="auto"/>
        <w:jc w:val="center"/>
        <w:rPr>
          <w:rFonts w:ascii="Palatino Linotype" w:hAnsi="Palatino Linotype" w:cs="Arial"/>
          <w:sz w:val="24"/>
          <w:szCs w:val="24"/>
        </w:rPr>
      </w:pPr>
    </w:p>
    <w:p w14:paraId="46C6780E" w14:textId="77777777" w:rsidR="00337A3D" w:rsidRPr="00692461" w:rsidRDefault="00337A3D" w:rsidP="00337A3D">
      <w:pPr>
        <w:spacing w:after="0" w:line="360" w:lineRule="auto"/>
        <w:jc w:val="both"/>
        <w:rPr>
          <w:rFonts w:ascii="Palatino Linotype" w:hAnsi="Palatino Linotype" w:cs="Arial"/>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6"/>
          <w:szCs w:val="26"/>
        </w:rPr>
        <w:t>De la competencia</w:t>
      </w:r>
      <w:r w:rsidRPr="00692461">
        <w:rPr>
          <w:rFonts w:ascii="Palatino Linotype" w:hAnsi="Palatino Linotype" w:cs="Arial"/>
          <w:sz w:val="26"/>
          <w:szCs w:val="26"/>
        </w:rPr>
        <w:t>.</w:t>
      </w:r>
    </w:p>
    <w:p w14:paraId="46F89A96" w14:textId="77777777"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692461">
        <w:rPr>
          <w:rFonts w:ascii="Palatino Linotype" w:hAnsi="Palatino Linotype" w:cs="Arial"/>
          <w:b/>
          <w:sz w:val="24"/>
          <w:szCs w:val="24"/>
        </w:rPr>
        <w:t>Recurrente</w:t>
      </w:r>
      <w:r w:rsidRPr="00692461">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A4F3CBD" w14:textId="77777777" w:rsidR="00143A49" w:rsidRPr="00692461" w:rsidRDefault="00143A49" w:rsidP="00337A3D">
      <w:pPr>
        <w:spacing w:after="0" w:line="360" w:lineRule="auto"/>
        <w:jc w:val="both"/>
        <w:rPr>
          <w:rFonts w:ascii="Palatino Linotype" w:hAnsi="Palatino Linotype" w:cs="Arial"/>
          <w:sz w:val="24"/>
          <w:szCs w:val="24"/>
        </w:rPr>
      </w:pPr>
    </w:p>
    <w:p w14:paraId="5CDA0D1A" w14:textId="77777777" w:rsidR="00337A3D" w:rsidRPr="00692461" w:rsidRDefault="00337A3D" w:rsidP="00337A3D">
      <w:pPr>
        <w:autoSpaceDE w:val="0"/>
        <w:autoSpaceDN w:val="0"/>
        <w:adjustRightInd w:val="0"/>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SEGUNDO. </w:t>
      </w:r>
      <w:r w:rsidRPr="00692461">
        <w:rPr>
          <w:rFonts w:ascii="Palatino Linotype" w:hAnsi="Palatino Linotype" w:cs="Arial"/>
          <w:b/>
          <w:sz w:val="26"/>
          <w:szCs w:val="26"/>
        </w:rPr>
        <w:t>Alcances del recurso de revisión.</w:t>
      </w:r>
      <w:r w:rsidRPr="00692461">
        <w:rPr>
          <w:rFonts w:ascii="Palatino Linotype" w:hAnsi="Palatino Linotype" w:cs="Arial"/>
          <w:b/>
          <w:sz w:val="28"/>
          <w:szCs w:val="28"/>
        </w:rPr>
        <w:t xml:space="preserve"> </w:t>
      </w:r>
    </w:p>
    <w:p w14:paraId="3435949C"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692461">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692E94F"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4D0D3DDC" w14:textId="77777777" w:rsidR="00C95062" w:rsidRPr="00CC36C6" w:rsidRDefault="00C95062" w:rsidP="00C95062">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100B09AD" w14:textId="77777777" w:rsidR="00C95062" w:rsidRPr="006933CE" w:rsidRDefault="00C95062" w:rsidP="00C95062">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127EE2C7" w14:textId="77777777" w:rsidR="00C95062" w:rsidRDefault="00C95062" w:rsidP="00C95062">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8CEB739" w14:textId="77777777" w:rsidR="00C95062" w:rsidRPr="006933CE" w:rsidRDefault="00C95062" w:rsidP="00C95062">
      <w:pPr>
        <w:pStyle w:val="Prrafodelista"/>
        <w:widowControl w:val="0"/>
        <w:autoSpaceDE w:val="0"/>
        <w:autoSpaceDN w:val="0"/>
        <w:adjustRightInd w:val="0"/>
        <w:spacing w:line="360" w:lineRule="auto"/>
        <w:ind w:left="0"/>
        <w:jc w:val="both"/>
        <w:rPr>
          <w:rFonts w:ascii="Palatino Linotype" w:hAnsi="Palatino Linotype" w:cs="Arial"/>
        </w:rPr>
      </w:pPr>
    </w:p>
    <w:p w14:paraId="1D57D1C3" w14:textId="77777777" w:rsidR="00C95062" w:rsidRPr="00AA65F2" w:rsidRDefault="00C95062" w:rsidP="00C95062">
      <w:pPr>
        <w:ind w:left="851" w:right="851"/>
        <w:jc w:val="both"/>
        <w:rPr>
          <w:rFonts w:ascii="Palatino Linotype" w:hAnsi="Palatino Linotype"/>
          <w:b/>
          <w:i/>
        </w:rPr>
      </w:pPr>
      <w:r w:rsidRPr="00AA65F2">
        <w:rPr>
          <w:rFonts w:ascii="Palatino Linotype" w:hAnsi="Palatino Linotype"/>
          <w:i/>
        </w:rPr>
        <w:t>“</w:t>
      </w:r>
      <w:r w:rsidRPr="00AA65F2">
        <w:rPr>
          <w:rFonts w:ascii="Palatino Linotype" w:hAnsi="Palatino Linotype"/>
          <w:b/>
          <w:i/>
        </w:rPr>
        <w:t xml:space="preserve">Artículo 180. </w:t>
      </w:r>
      <w:r w:rsidRPr="00AA65F2">
        <w:rPr>
          <w:rFonts w:ascii="Palatino Linotype" w:hAnsi="Palatino Linotype"/>
          <w:i/>
        </w:rPr>
        <w:t xml:space="preserve">El </w:t>
      </w:r>
      <w:r w:rsidRPr="00AA65F2">
        <w:rPr>
          <w:rFonts w:ascii="Palatino Linotype" w:hAnsi="Palatino Linotype" w:cs="Arial"/>
          <w:i/>
        </w:rPr>
        <w:t>recurso</w:t>
      </w:r>
      <w:r w:rsidRPr="00AA65F2">
        <w:rPr>
          <w:rFonts w:ascii="Palatino Linotype" w:hAnsi="Palatino Linotype"/>
          <w:i/>
        </w:rPr>
        <w:t xml:space="preserve"> </w:t>
      </w:r>
      <w:r w:rsidRPr="00AA65F2">
        <w:rPr>
          <w:rFonts w:ascii="Palatino Linotype" w:hAnsi="Palatino Linotype" w:cs="Arial"/>
          <w:i/>
        </w:rPr>
        <w:t>de</w:t>
      </w:r>
      <w:r w:rsidRPr="00AA65F2">
        <w:rPr>
          <w:rFonts w:ascii="Palatino Linotype" w:hAnsi="Palatino Linotype"/>
          <w:i/>
        </w:rPr>
        <w:t xml:space="preserve"> revisión contendrá:</w:t>
      </w:r>
      <w:r w:rsidRPr="00AA65F2">
        <w:rPr>
          <w:rFonts w:ascii="Palatino Linotype" w:hAnsi="Palatino Linotype"/>
          <w:b/>
          <w:i/>
        </w:rPr>
        <w:t xml:space="preserve"> </w:t>
      </w:r>
    </w:p>
    <w:p w14:paraId="4D16E754" w14:textId="77777777" w:rsidR="00C95062" w:rsidRPr="00AA65F2" w:rsidRDefault="00C95062" w:rsidP="00C95062">
      <w:pPr>
        <w:ind w:left="851" w:right="851"/>
        <w:jc w:val="both"/>
        <w:rPr>
          <w:rFonts w:ascii="Palatino Linotype" w:hAnsi="Palatino Linotype"/>
          <w:b/>
          <w:i/>
        </w:rPr>
      </w:pPr>
      <w:r w:rsidRPr="00AA65F2">
        <w:rPr>
          <w:rFonts w:ascii="Palatino Linotype" w:hAnsi="Palatino Linotype"/>
          <w:b/>
          <w:i/>
        </w:rPr>
        <w:t xml:space="preserve">I. </w:t>
      </w:r>
      <w:r w:rsidRPr="00AA65F2">
        <w:rPr>
          <w:rFonts w:ascii="Palatino Linotype" w:hAnsi="Palatino Linotype"/>
          <w:i/>
        </w:rPr>
        <w:t xml:space="preserve">El sujeto obligado ante </w:t>
      </w:r>
      <w:r w:rsidRPr="00AA65F2">
        <w:rPr>
          <w:rFonts w:ascii="Palatino Linotype" w:hAnsi="Palatino Linotype" w:cs="Arial"/>
          <w:i/>
        </w:rPr>
        <w:t>la</w:t>
      </w:r>
      <w:r w:rsidRPr="00AA65F2">
        <w:rPr>
          <w:rFonts w:ascii="Palatino Linotype" w:hAnsi="Palatino Linotype"/>
          <w:i/>
        </w:rPr>
        <w:t xml:space="preserve"> cual </w:t>
      </w:r>
      <w:r w:rsidRPr="00AA65F2">
        <w:rPr>
          <w:rFonts w:ascii="Palatino Linotype" w:hAnsi="Palatino Linotype" w:cs="Arial"/>
          <w:i/>
        </w:rPr>
        <w:t>se</w:t>
      </w:r>
      <w:r w:rsidRPr="00AA65F2">
        <w:rPr>
          <w:rFonts w:ascii="Palatino Linotype" w:hAnsi="Palatino Linotype"/>
          <w:i/>
        </w:rPr>
        <w:t xml:space="preserve"> presentó la solicitud;</w:t>
      </w:r>
      <w:r w:rsidRPr="00AA65F2">
        <w:rPr>
          <w:rFonts w:ascii="Palatino Linotype" w:hAnsi="Palatino Linotype"/>
          <w:b/>
          <w:i/>
        </w:rPr>
        <w:t xml:space="preserve"> </w:t>
      </w:r>
    </w:p>
    <w:p w14:paraId="02B551EB" w14:textId="77777777" w:rsidR="00C95062" w:rsidRPr="00AA65F2" w:rsidRDefault="00C95062" w:rsidP="00C95062">
      <w:pPr>
        <w:ind w:left="851" w:right="851"/>
        <w:jc w:val="both"/>
        <w:rPr>
          <w:rFonts w:ascii="Palatino Linotype" w:hAnsi="Palatino Linotype"/>
          <w:b/>
          <w:i/>
        </w:rPr>
      </w:pPr>
      <w:r w:rsidRPr="00AA65F2">
        <w:rPr>
          <w:rFonts w:ascii="Palatino Linotype" w:hAnsi="Palatino Linotype"/>
          <w:b/>
          <w:i/>
        </w:rPr>
        <w:t xml:space="preserve">II. </w:t>
      </w:r>
      <w:r w:rsidRPr="00AA65F2">
        <w:rPr>
          <w:rFonts w:ascii="Palatino Linotype" w:hAnsi="Palatino Linotype"/>
          <w:b/>
          <w:i/>
          <w:u w:val="single"/>
        </w:rPr>
        <w:t xml:space="preserve">El nombre del solicitante </w:t>
      </w:r>
      <w:r w:rsidRPr="00AA65F2">
        <w:rPr>
          <w:rFonts w:ascii="Palatino Linotype" w:hAnsi="Palatino Linotype" w:cs="Arial"/>
          <w:b/>
          <w:i/>
          <w:u w:val="single"/>
        </w:rPr>
        <w:t>que</w:t>
      </w:r>
      <w:r w:rsidRPr="00AA65F2">
        <w:rPr>
          <w:rFonts w:ascii="Palatino Linotype" w:hAnsi="Palatino Linotype"/>
          <w:b/>
          <w:i/>
          <w:u w:val="single"/>
        </w:rPr>
        <w:t xml:space="preserve"> recurre</w:t>
      </w:r>
      <w:r w:rsidRPr="00AA65F2">
        <w:rPr>
          <w:rFonts w:ascii="Palatino Linotype" w:hAnsi="Palatino Linotype"/>
          <w:b/>
          <w:i/>
        </w:rPr>
        <w:t xml:space="preserve"> </w:t>
      </w:r>
      <w:r w:rsidRPr="00AA65F2">
        <w:rPr>
          <w:rFonts w:ascii="Palatino Linotype" w:hAnsi="Palatino Linotype"/>
          <w:i/>
        </w:rPr>
        <w:t>o de su representante y, en su caso, del tercero interesado, así como la dirección o medio que señale para recibir notificaciones;</w:t>
      </w:r>
      <w:r w:rsidRPr="00AA65F2">
        <w:rPr>
          <w:rFonts w:ascii="Palatino Linotype" w:hAnsi="Palatino Linotype"/>
          <w:b/>
          <w:i/>
        </w:rPr>
        <w:t xml:space="preserve"> </w:t>
      </w:r>
    </w:p>
    <w:p w14:paraId="01145408" w14:textId="77777777" w:rsidR="00C95062" w:rsidRPr="00AA65F2" w:rsidRDefault="00C95062" w:rsidP="00C95062">
      <w:pPr>
        <w:ind w:left="851" w:right="851"/>
        <w:rPr>
          <w:rFonts w:ascii="Palatino Linotype" w:hAnsi="Palatino Linotype"/>
          <w:i/>
        </w:rPr>
      </w:pPr>
      <w:r w:rsidRPr="00AA65F2">
        <w:rPr>
          <w:rFonts w:ascii="Palatino Linotype" w:hAnsi="Palatino Linotype"/>
          <w:b/>
          <w:i/>
        </w:rPr>
        <w:t>(…)” [Sic]</w:t>
      </w:r>
    </w:p>
    <w:p w14:paraId="03E8581B"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highlight w:val="yellow"/>
        </w:rPr>
      </w:pPr>
    </w:p>
    <w:p w14:paraId="0388B9D4"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F4DBF4F"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rPr>
      </w:pPr>
    </w:p>
    <w:p w14:paraId="54B0F5B2"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3CEA254"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highlight w:val="yellow"/>
        </w:rPr>
      </w:pPr>
    </w:p>
    <w:p w14:paraId="4936433C" w14:textId="77777777" w:rsidR="00C95062" w:rsidRPr="00C95062" w:rsidRDefault="00C95062" w:rsidP="00C95062">
      <w:pPr>
        <w:pStyle w:val="Prrafodelista"/>
        <w:autoSpaceDE w:val="0"/>
        <w:autoSpaceDN w:val="0"/>
        <w:adjustRightInd w:val="0"/>
        <w:spacing w:line="360" w:lineRule="auto"/>
        <w:ind w:left="0"/>
        <w:jc w:val="both"/>
        <w:rPr>
          <w:rFonts w:ascii="Palatino Linotype" w:hAnsi="Palatino Linotype" w:cs="Arial"/>
          <w:lang w:val="es-419"/>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CD58A3">
        <w:rPr>
          <w:rFonts w:ascii="Palatino Linotype" w:hAnsi="Palatino Linotype"/>
        </w:rPr>
        <w:lastRenderedPageBreak/>
        <w:t>ser anónima o no contener un nombre que identifique al solicitante o que permita tener certeza sobre su identidad</w:t>
      </w:r>
      <w:r>
        <w:rPr>
          <w:rFonts w:ascii="Palatino Linotype" w:hAnsi="Palatino Linotype"/>
          <w:lang w:val="es-419"/>
        </w:rPr>
        <w:t>.</w:t>
      </w:r>
    </w:p>
    <w:p w14:paraId="41BE4304" w14:textId="77777777" w:rsidR="00C95062" w:rsidRPr="00692461" w:rsidRDefault="00C95062" w:rsidP="00337A3D">
      <w:pPr>
        <w:pStyle w:val="Prrafodelista"/>
        <w:autoSpaceDE w:val="0"/>
        <w:autoSpaceDN w:val="0"/>
        <w:adjustRightInd w:val="0"/>
        <w:spacing w:line="360" w:lineRule="auto"/>
        <w:ind w:left="0"/>
        <w:jc w:val="both"/>
        <w:rPr>
          <w:rFonts w:ascii="Palatino Linotype" w:hAnsi="Palatino Linotype" w:cs="Arial"/>
        </w:rPr>
      </w:pPr>
    </w:p>
    <w:p w14:paraId="3B1DD1B6" w14:textId="77777777" w:rsidR="00337A3D" w:rsidRPr="00692461" w:rsidRDefault="00495148"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CUARTO</w:t>
      </w:r>
      <w:r w:rsidR="00337A3D" w:rsidRPr="00692461">
        <w:rPr>
          <w:rFonts w:ascii="Palatino Linotype" w:eastAsia="Times New Roman" w:hAnsi="Palatino Linotype" w:cs="Arial"/>
          <w:b/>
          <w:sz w:val="28"/>
          <w:szCs w:val="28"/>
          <w:lang w:val="es-ES" w:eastAsia="es-ES"/>
        </w:rPr>
        <w:t>.</w:t>
      </w:r>
      <w:r w:rsidR="00337A3D" w:rsidRPr="00692461">
        <w:rPr>
          <w:rFonts w:ascii="Palatino Linotype" w:eastAsia="Times New Roman" w:hAnsi="Palatino Linotype" w:cs="Arial"/>
          <w:sz w:val="28"/>
          <w:szCs w:val="28"/>
          <w:lang w:val="es-ES" w:eastAsia="es-ES"/>
        </w:rPr>
        <w:t xml:space="preserve"> </w:t>
      </w:r>
      <w:r w:rsidR="00337A3D" w:rsidRPr="00692461">
        <w:rPr>
          <w:rFonts w:ascii="Palatino Linotype" w:eastAsia="Times New Roman" w:hAnsi="Palatino Linotype" w:cs="Arial"/>
          <w:b/>
          <w:sz w:val="28"/>
          <w:szCs w:val="28"/>
          <w:lang w:val="es-ES" w:eastAsia="es-ES"/>
        </w:rPr>
        <w:t xml:space="preserve">De las causas de improcedencia. </w:t>
      </w:r>
    </w:p>
    <w:p w14:paraId="0203041E" w14:textId="77777777" w:rsidR="00337A3D" w:rsidRPr="00692461"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92461">
        <w:rPr>
          <w:rFonts w:ascii="Palatino Linotype" w:eastAsia="Times New Roman" w:hAnsi="Palatino Linotype" w:cs="Arial"/>
          <w:sz w:val="24"/>
          <w:szCs w:val="24"/>
          <w:vertAlign w:val="superscript"/>
          <w:lang w:val="es-ES" w:eastAsia="es-ES"/>
        </w:rPr>
        <w:footnoteReference w:id="1"/>
      </w:r>
      <w:r w:rsidRPr="00692461">
        <w:rPr>
          <w:rFonts w:ascii="Palatino Linotype" w:eastAsia="Times New Roman" w:hAnsi="Palatino Linotype" w:cs="Arial"/>
          <w:sz w:val="24"/>
          <w:szCs w:val="24"/>
          <w:lang w:val="es-ES" w:eastAsia="es-ES"/>
        </w:rPr>
        <w:t>.</w:t>
      </w:r>
    </w:p>
    <w:p w14:paraId="48C1B3F0" w14:textId="77777777" w:rsidR="003E3631" w:rsidRPr="00692461"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4A20CB24"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Así las cosas, del análisis del expediente electrónico</w:t>
      </w:r>
      <w:r w:rsidR="003E3631" w:rsidRPr="00692461">
        <w:rPr>
          <w:rFonts w:ascii="Palatino Linotype" w:eastAsia="Times New Roman" w:hAnsi="Palatino Linotype" w:cs="Arial"/>
          <w:sz w:val="24"/>
          <w:szCs w:val="24"/>
          <w:lang w:val="es-ES" w:eastAsia="es-ES"/>
        </w:rPr>
        <w:t>, citado al rubro,</w:t>
      </w:r>
      <w:r w:rsidRPr="00692461">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71E0376" w14:textId="77777777" w:rsidR="00806F7E" w:rsidRPr="00692461"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77A87A" w14:textId="77777777" w:rsidR="00337A3D" w:rsidRPr="00692461" w:rsidRDefault="00495148"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QUINTO</w:t>
      </w:r>
      <w:r w:rsidR="00337A3D" w:rsidRPr="00692461">
        <w:rPr>
          <w:rFonts w:ascii="Palatino Linotype" w:eastAsia="Times New Roman" w:hAnsi="Palatino Linotype" w:cs="Arial"/>
          <w:b/>
          <w:sz w:val="28"/>
          <w:szCs w:val="28"/>
          <w:lang w:val="es-ES" w:eastAsia="es-ES"/>
        </w:rPr>
        <w:t>. Estudio y resolución del asunto</w:t>
      </w:r>
      <w:r w:rsidR="00337A3D" w:rsidRPr="00692461">
        <w:rPr>
          <w:rFonts w:ascii="Palatino Linotype" w:eastAsia="Times New Roman" w:hAnsi="Palatino Linotype" w:cs="Times New Roman"/>
          <w:b/>
          <w:sz w:val="28"/>
          <w:szCs w:val="28"/>
          <w:lang w:val="es-ES" w:eastAsia="es-ES"/>
        </w:rPr>
        <w:t xml:space="preserve">. </w:t>
      </w:r>
    </w:p>
    <w:p w14:paraId="5A87054B" w14:textId="77777777" w:rsidR="001460D8" w:rsidRPr="00692461" w:rsidRDefault="001460D8" w:rsidP="001460D8">
      <w:pPr>
        <w:spacing w:line="360" w:lineRule="auto"/>
        <w:jc w:val="both"/>
        <w:rPr>
          <w:rFonts w:ascii="Palatino Linotype" w:hAnsi="Palatino Linotype"/>
          <w:sz w:val="24"/>
          <w:szCs w:val="24"/>
        </w:rPr>
      </w:pPr>
      <w:r w:rsidRPr="001654F9">
        <w:rPr>
          <w:rFonts w:ascii="Palatino Linotype" w:hAnsi="Palatino Linotype"/>
          <w:sz w:val="24"/>
          <w:szCs w:val="24"/>
        </w:rPr>
        <w:t>Este Órgano Garante considera pertinente analizar si E</w:t>
      </w:r>
      <w:r w:rsidR="00621C53" w:rsidRPr="001654F9">
        <w:rPr>
          <w:rFonts w:ascii="Palatino Linotype" w:hAnsi="Palatino Linotype"/>
          <w:sz w:val="24"/>
          <w:szCs w:val="24"/>
        </w:rPr>
        <w:t xml:space="preserve">l Sujeto Obligado </w:t>
      </w:r>
      <w:r w:rsidRPr="001654F9">
        <w:rPr>
          <w:rFonts w:ascii="Palatino Linotype" w:hAnsi="Palatino Linotype"/>
          <w:sz w:val="24"/>
          <w:szCs w:val="24"/>
        </w:rPr>
        <w:t>es la autoridad competente para conocer de dicha solicitud, es decir, si se trata de información que deba generar, administrar</w:t>
      </w:r>
      <w:r w:rsidRPr="00692461">
        <w:rPr>
          <w:rFonts w:ascii="Palatino Linotype" w:hAnsi="Palatino Linotype"/>
          <w:sz w:val="24"/>
          <w:szCs w:val="24"/>
        </w:rPr>
        <w:t xml:space="preserve">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08E2F833" w14:textId="77777777" w:rsidR="001460D8" w:rsidRPr="00692461" w:rsidRDefault="001460D8" w:rsidP="001460D8">
      <w:pPr>
        <w:spacing w:line="360" w:lineRule="auto"/>
        <w:jc w:val="both"/>
        <w:rPr>
          <w:rFonts w:ascii="Palatino Linotype" w:hAnsi="Palatino Linotype"/>
          <w:sz w:val="24"/>
          <w:szCs w:val="24"/>
        </w:rPr>
      </w:pPr>
    </w:p>
    <w:p w14:paraId="065869DD"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14:paraId="08E1F2A5"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5F264F9F"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A.</w:t>
      </w:r>
      <w:r w:rsidRPr="0069246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BC982FE"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5CB32A41"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bCs/>
          <w:i/>
          <w:color w:val="000000"/>
          <w:lang w:eastAsia="es-MX"/>
        </w:rPr>
        <w:t xml:space="preserve">I. </w:t>
      </w:r>
      <w:r w:rsidRPr="00692461">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w:t>
      </w:r>
      <w:r w:rsidRPr="00692461">
        <w:rPr>
          <w:rFonts w:ascii="Palatino Linotype" w:hAnsi="Palatino Linotype" w:cs="Arial"/>
          <w:i/>
          <w:color w:val="000000"/>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068F39A"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35563BAE"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 </w:t>
      </w:r>
      <w:r w:rsidRPr="0069246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483C48CB"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4BC171A1"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III. </w:t>
      </w:r>
      <w:r w:rsidRPr="0069246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57311E2E"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125FABBF"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IV. </w:t>
      </w:r>
      <w:r w:rsidRPr="0069246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B4C7A7A"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40038E16"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 </w:t>
      </w:r>
      <w:r w:rsidRPr="0069246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36EADE5"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2812041B"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 </w:t>
      </w:r>
      <w:r w:rsidRPr="0069246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6345873"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3132090C"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VII. </w:t>
      </w:r>
      <w:r w:rsidRPr="0069246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92461">
        <w:rPr>
          <w:rFonts w:ascii="Palatino Linotype" w:hAnsi="Palatino Linotype" w:cs="Arial"/>
          <w:b/>
          <w:i/>
        </w:rPr>
        <w:t>”</w:t>
      </w:r>
    </w:p>
    <w:p w14:paraId="6791DFF5"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i/>
          <w:color w:val="000000"/>
          <w:lang w:eastAsia="es-MX"/>
        </w:rPr>
        <w:t>(Énfasis añadido)</w:t>
      </w:r>
    </w:p>
    <w:p w14:paraId="6249A899" w14:textId="77777777" w:rsidR="001460D8" w:rsidRPr="00692461" w:rsidRDefault="001460D8" w:rsidP="001460D8">
      <w:pPr>
        <w:spacing w:line="360" w:lineRule="auto"/>
        <w:jc w:val="both"/>
        <w:rPr>
          <w:rFonts w:ascii="Palatino Linotype" w:hAnsi="Palatino Linotype"/>
          <w:sz w:val="24"/>
          <w:szCs w:val="24"/>
        </w:rPr>
      </w:pPr>
    </w:p>
    <w:p w14:paraId="3ED5D351" w14:textId="77777777" w:rsidR="001460D8" w:rsidRPr="00692461" w:rsidRDefault="001460D8" w:rsidP="001460D8">
      <w:pPr>
        <w:spacing w:line="360" w:lineRule="auto"/>
        <w:jc w:val="both"/>
        <w:rPr>
          <w:rFonts w:ascii="Palatino Linotype" w:hAnsi="Palatino Linotype"/>
          <w:sz w:val="24"/>
          <w:szCs w:val="24"/>
        </w:rPr>
      </w:pPr>
      <w:r w:rsidRPr="00692461">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C18AD2F" w14:textId="77777777" w:rsidR="001460D8" w:rsidRPr="00692461" w:rsidRDefault="001460D8" w:rsidP="001460D8">
      <w:pPr>
        <w:spacing w:line="360" w:lineRule="auto"/>
        <w:jc w:val="both"/>
        <w:rPr>
          <w:rFonts w:ascii="Palatino Linotype" w:hAnsi="Palatino Linotype"/>
          <w:sz w:val="24"/>
          <w:szCs w:val="24"/>
        </w:rPr>
      </w:pPr>
    </w:p>
    <w:p w14:paraId="49B8A6FC" w14:textId="77777777"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14:paraId="4BEAF341"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 .</w:t>
      </w:r>
    </w:p>
    <w:p w14:paraId="0F82D910" w14:textId="77777777"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14:paraId="29CDE320"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14:paraId="5A8F11D3" w14:textId="77777777" w:rsidR="001460D8" w:rsidRPr="00692461" w:rsidRDefault="001460D8" w:rsidP="002A78CB">
      <w:pPr>
        <w:spacing w:after="0" w:line="240" w:lineRule="auto"/>
        <w:ind w:left="851" w:right="851"/>
        <w:jc w:val="both"/>
        <w:rPr>
          <w:rFonts w:ascii="Palatino Linotype" w:hAnsi="Palatino Linotype" w:cs="Arial"/>
          <w:i/>
        </w:rPr>
      </w:pPr>
    </w:p>
    <w:p w14:paraId="3DABA544"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F004D4" w14:textId="77777777" w:rsidR="001460D8" w:rsidRPr="00692461" w:rsidRDefault="001460D8" w:rsidP="002A78CB">
      <w:pPr>
        <w:spacing w:after="0" w:line="240" w:lineRule="auto"/>
        <w:ind w:left="851" w:right="851"/>
        <w:jc w:val="both"/>
        <w:rPr>
          <w:rFonts w:ascii="Palatino Linotype" w:hAnsi="Palatino Linotype" w:cs="Arial"/>
          <w:i/>
        </w:rPr>
      </w:pPr>
    </w:p>
    <w:p w14:paraId="1EF64522"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14:paraId="68C6F69A" w14:textId="77777777" w:rsidR="001460D8" w:rsidRPr="00692461" w:rsidRDefault="001460D8" w:rsidP="002A78CB">
      <w:pPr>
        <w:spacing w:after="0" w:line="240" w:lineRule="auto"/>
        <w:ind w:left="851" w:right="851"/>
        <w:jc w:val="both"/>
        <w:rPr>
          <w:rFonts w:ascii="Palatino Linotype" w:hAnsi="Palatino Linotype" w:cs="Arial"/>
          <w:i/>
        </w:rPr>
      </w:pPr>
    </w:p>
    <w:p w14:paraId="33EF5633" w14:textId="77777777"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FCABDB6" w14:textId="77777777" w:rsidR="001460D8" w:rsidRPr="00692461" w:rsidRDefault="001460D8" w:rsidP="002A78CB">
      <w:pPr>
        <w:spacing w:after="0" w:line="240" w:lineRule="auto"/>
        <w:ind w:left="851" w:right="851"/>
        <w:jc w:val="both"/>
        <w:rPr>
          <w:rFonts w:ascii="Palatino Linotype" w:hAnsi="Palatino Linotype" w:cs="Arial"/>
          <w:i/>
          <w:color w:val="222222"/>
        </w:rPr>
      </w:pPr>
    </w:p>
    <w:p w14:paraId="1FDCF17F" w14:textId="77777777"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A294AB5" w14:textId="77777777" w:rsidR="001460D8" w:rsidRPr="00692461" w:rsidRDefault="001460D8" w:rsidP="002A78CB">
      <w:pPr>
        <w:spacing w:after="0" w:line="240" w:lineRule="auto"/>
        <w:ind w:left="851" w:right="851"/>
        <w:jc w:val="both"/>
        <w:rPr>
          <w:rFonts w:ascii="Palatino Linotype" w:hAnsi="Palatino Linotype" w:cs="Arial"/>
          <w:b/>
          <w:i/>
          <w:iCs/>
          <w:color w:val="222222"/>
        </w:rPr>
      </w:pPr>
    </w:p>
    <w:p w14:paraId="1D23FD17" w14:textId="77777777"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14:paraId="08B10E3C" w14:textId="77777777"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14:paraId="0B7BD417" w14:textId="77777777" w:rsidR="001460D8" w:rsidRPr="00692461" w:rsidRDefault="001460D8" w:rsidP="001460D8">
      <w:pPr>
        <w:spacing w:line="360" w:lineRule="auto"/>
        <w:jc w:val="both"/>
        <w:rPr>
          <w:rFonts w:ascii="Palatino Linotype" w:hAnsi="Palatino Linotype"/>
          <w:sz w:val="24"/>
          <w:szCs w:val="24"/>
        </w:rPr>
      </w:pPr>
    </w:p>
    <w:p w14:paraId="288423FD" w14:textId="77777777" w:rsidR="000E08A0" w:rsidRPr="00692461" w:rsidRDefault="000E08A0" w:rsidP="000E08A0">
      <w:pPr>
        <w:spacing w:line="360" w:lineRule="auto"/>
        <w:jc w:val="both"/>
        <w:rPr>
          <w:rFonts w:ascii="Palatino Linotype" w:hAnsi="Palatino Linotype"/>
          <w:sz w:val="24"/>
          <w:szCs w:val="24"/>
        </w:rPr>
      </w:pPr>
      <w:r w:rsidRPr="00692461">
        <w:rPr>
          <w:rFonts w:ascii="Palatino Linotype" w:hAnsi="Palatino Linotype"/>
          <w:sz w:val="24"/>
          <w:szCs w:val="24"/>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70656C23" w14:textId="77777777" w:rsidR="000E08A0" w:rsidRPr="00692461" w:rsidRDefault="000E08A0" w:rsidP="00CF6619">
      <w:pPr>
        <w:autoSpaceDE w:val="0"/>
        <w:autoSpaceDN w:val="0"/>
        <w:adjustRightInd w:val="0"/>
        <w:spacing w:after="0" w:line="360" w:lineRule="auto"/>
        <w:jc w:val="both"/>
        <w:rPr>
          <w:rFonts w:ascii="Palatino Linotype" w:hAnsi="Palatino Linotype" w:cs="Arial"/>
          <w:sz w:val="24"/>
          <w:szCs w:val="24"/>
        </w:rPr>
      </w:pPr>
    </w:p>
    <w:p w14:paraId="7DF262A3" w14:textId="77777777" w:rsidR="00CF6619" w:rsidRPr="00692461" w:rsidRDefault="00CF6619" w:rsidP="00CF6619">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w:t>
      </w:r>
      <w:r w:rsidRPr="00227DC3">
        <w:rPr>
          <w:rFonts w:ascii="Palatino Linotype" w:hAnsi="Palatino Linotype" w:cs="Arial"/>
          <w:sz w:val="24"/>
          <w:szCs w:val="24"/>
        </w:rPr>
        <w:t>Estado Mexicano sea parte, en concordancia con el artículo 8 de la Ley de Transparencia local, es así que el recurrente solicitó:</w:t>
      </w:r>
    </w:p>
    <w:p w14:paraId="56BF0505" w14:textId="77777777" w:rsidR="00CF6619" w:rsidRPr="00692461" w:rsidRDefault="00CF6619" w:rsidP="00BF3E6B">
      <w:pPr>
        <w:autoSpaceDE w:val="0"/>
        <w:autoSpaceDN w:val="0"/>
        <w:adjustRightInd w:val="0"/>
        <w:spacing w:after="0" w:line="360" w:lineRule="auto"/>
        <w:jc w:val="both"/>
        <w:rPr>
          <w:rFonts w:ascii="Palatino Linotype" w:hAnsi="Palatino Linotype" w:cs="Arial"/>
          <w:sz w:val="24"/>
          <w:szCs w:val="24"/>
        </w:rPr>
      </w:pPr>
    </w:p>
    <w:p w14:paraId="793069C1" w14:textId="77777777" w:rsidR="00BF3E6B" w:rsidRPr="00227DC3" w:rsidRDefault="00227DC3" w:rsidP="00BF3E6B">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1.- El</w:t>
      </w:r>
      <w:r w:rsidRPr="00227DC3">
        <w:rPr>
          <w:rFonts w:ascii="Palatino Linotype" w:hAnsi="Palatino Linotype" w:cs="Arial"/>
          <w:sz w:val="24"/>
          <w:szCs w:val="24"/>
        </w:rPr>
        <w:t xml:space="preserve"> nombre de todos los trabajadores que causaron alta en la primer</w:t>
      </w:r>
      <w:r w:rsidR="002B3A4F">
        <w:rPr>
          <w:rFonts w:ascii="Palatino Linotype" w:hAnsi="Palatino Linotype" w:cs="Arial"/>
          <w:sz w:val="24"/>
          <w:szCs w:val="24"/>
          <w:lang w:val="es-419"/>
        </w:rPr>
        <w:t>a</w:t>
      </w:r>
      <w:r w:rsidRPr="00227DC3">
        <w:rPr>
          <w:rFonts w:ascii="Palatino Linotype" w:hAnsi="Palatino Linotype" w:cs="Arial"/>
          <w:sz w:val="24"/>
          <w:szCs w:val="24"/>
        </w:rPr>
        <w:t xml:space="preserve"> quincena de enero, así como su área de trabajo</w:t>
      </w:r>
      <w:r>
        <w:rPr>
          <w:rFonts w:ascii="Palatino Linotype" w:hAnsi="Palatino Linotype" w:cs="Arial"/>
          <w:sz w:val="24"/>
          <w:szCs w:val="24"/>
          <w:lang w:val="es-419"/>
        </w:rPr>
        <w:t>.</w:t>
      </w:r>
    </w:p>
    <w:p w14:paraId="51560241" w14:textId="77777777" w:rsidR="00227DC3" w:rsidRDefault="00227DC3" w:rsidP="00BF3E6B">
      <w:pPr>
        <w:autoSpaceDE w:val="0"/>
        <w:autoSpaceDN w:val="0"/>
        <w:adjustRightInd w:val="0"/>
        <w:spacing w:after="0" w:line="360" w:lineRule="auto"/>
        <w:jc w:val="both"/>
        <w:rPr>
          <w:rFonts w:ascii="Palatino Linotype" w:hAnsi="Palatino Linotype" w:cs="Arial"/>
          <w:sz w:val="24"/>
          <w:szCs w:val="24"/>
        </w:rPr>
      </w:pPr>
    </w:p>
    <w:p w14:paraId="6BA15C3D" w14:textId="77777777" w:rsidR="008021C8" w:rsidRPr="008021C8" w:rsidRDefault="008021C8" w:rsidP="005C514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Para lo cual el sujeto obligado entregó el oficio número MTM058/DAE00RH/005</w:t>
      </w:r>
      <w:r w:rsidR="004F4DE1">
        <w:rPr>
          <w:rFonts w:ascii="Palatino Linotype" w:hAnsi="Palatino Linotype" w:cs="Arial"/>
          <w:sz w:val="24"/>
          <w:szCs w:val="24"/>
          <w:lang w:val="es-419"/>
        </w:rPr>
        <w:t>6</w:t>
      </w:r>
      <w:r>
        <w:rPr>
          <w:rFonts w:ascii="Palatino Linotype" w:hAnsi="Palatino Linotype" w:cs="Arial"/>
          <w:sz w:val="24"/>
          <w:szCs w:val="24"/>
          <w:lang w:val="es-419"/>
        </w:rPr>
        <w:t xml:space="preserve">2/2022, de fecha veintiuno de febrero de dos mil veintidós, signado por el sujeto habilitado Lic. Juan Carlos Cerón Camacho, en su carácter de Coordinador de Recursos Humanos, dirigido a la Lic. Paola Fernanda Muñoz Bastida, en su carácter de </w:t>
      </w:r>
      <w:r w:rsidR="002D1A9D">
        <w:rPr>
          <w:rFonts w:ascii="Palatino Linotype" w:hAnsi="Palatino Linotype" w:cs="Arial"/>
          <w:sz w:val="24"/>
          <w:szCs w:val="24"/>
          <w:lang w:val="es-419"/>
        </w:rPr>
        <w:t>Coordinadora</w:t>
      </w:r>
      <w:r>
        <w:rPr>
          <w:rFonts w:ascii="Palatino Linotype" w:hAnsi="Palatino Linotype" w:cs="Arial"/>
          <w:sz w:val="24"/>
          <w:szCs w:val="24"/>
          <w:lang w:val="es-419"/>
        </w:rPr>
        <w:t xml:space="preserve"> de </w:t>
      </w:r>
      <w:r w:rsidR="002D1A9D">
        <w:rPr>
          <w:rFonts w:ascii="Palatino Linotype" w:hAnsi="Palatino Linotype" w:cs="Arial"/>
          <w:sz w:val="24"/>
          <w:szCs w:val="24"/>
          <w:lang w:val="es-419"/>
        </w:rPr>
        <w:t>Transparencia</w:t>
      </w:r>
      <w:r>
        <w:rPr>
          <w:rFonts w:ascii="Palatino Linotype" w:hAnsi="Palatino Linotype" w:cs="Arial"/>
          <w:sz w:val="24"/>
          <w:szCs w:val="24"/>
          <w:lang w:val="es-419"/>
        </w:rPr>
        <w:t xml:space="preserve"> y Acceso a la Información, Ayuntamiento de </w:t>
      </w:r>
      <w:r w:rsidR="002D1A9D">
        <w:rPr>
          <w:rFonts w:ascii="Palatino Linotype" w:hAnsi="Palatino Linotype" w:cs="Arial"/>
          <w:sz w:val="24"/>
          <w:szCs w:val="24"/>
          <w:lang w:val="es-419"/>
        </w:rPr>
        <w:t>Tenancingo</w:t>
      </w:r>
      <w:r>
        <w:rPr>
          <w:rFonts w:ascii="Palatino Linotype" w:hAnsi="Palatino Linotype" w:cs="Arial"/>
          <w:sz w:val="24"/>
          <w:szCs w:val="24"/>
          <w:lang w:val="es-419"/>
        </w:rPr>
        <w:t xml:space="preserve">, Estado de México, </w:t>
      </w:r>
      <w:r w:rsidR="002D1A9D">
        <w:rPr>
          <w:rFonts w:ascii="Palatino Linotype" w:hAnsi="Palatino Linotype" w:cs="Arial"/>
          <w:sz w:val="24"/>
          <w:szCs w:val="24"/>
          <w:lang w:val="es-419"/>
        </w:rPr>
        <w:t xml:space="preserve">por medio del cual informa, </w:t>
      </w:r>
      <w:r w:rsidR="002D1A9D" w:rsidRPr="00E01436">
        <w:rPr>
          <w:rFonts w:ascii="Palatino Linotype" w:hAnsi="Palatino Linotype" w:cs="Arial"/>
          <w:sz w:val="24"/>
          <w:szCs w:val="24"/>
          <w:lang w:val="es-419"/>
        </w:rPr>
        <w:t xml:space="preserve">que de un análisis a la solicitud de información, se desprende que no se especifica “primera quincena de enero”, de que año, por lo que al no haber certeza de lo </w:t>
      </w:r>
      <w:r w:rsidR="00957ADD" w:rsidRPr="00E01436">
        <w:rPr>
          <w:rFonts w:ascii="Palatino Linotype" w:hAnsi="Palatino Linotype" w:cs="Arial"/>
          <w:sz w:val="24"/>
          <w:szCs w:val="24"/>
          <w:lang w:val="es-419"/>
        </w:rPr>
        <w:t>solicitado</w:t>
      </w:r>
      <w:r w:rsidR="002D1A9D" w:rsidRPr="00E01436">
        <w:rPr>
          <w:rFonts w:ascii="Palatino Linotype" w:hAnsi="Palatino Linotype" w:cs="Arial"/>
          <w:sz w:val="24"/>
          <w:szCs w:val="24"/>
          <w:lang w:val="es-419"/>
        </w:rPr>
        <w:t>,</w:t>
      </w:r>
      <w:r w:rsidR="00957ADD" w:rsidRPr="00E01436">
        <w:rPr>
          <w:rFonts w:ascii="Palatino Linotype" w:hAnsi="Palatino Linotype" w:cs="Arial"/>
          <w:sz w:val="24"/>
          <w:szCs w:val="24"/>
          <w:lang w:val="es-419"/>
        </w:rPr>
        <w:t xml:space="preserve"> no se puede atender a la misma.</w:t>
      </w:r>
      <w:r w:rsidR="002D1A9D">
        <w:rPr>
          <w:rFonts w:ascii="Palatino Linotype" w:hAnsi="Palatino Linotype" w:cs="Arial"/>
          <w:sz w:val="24"/>
          <w:szCs w:val="24"/>
          <w:lang w:val="es-419"/>
        </w:rPr>
        <w:t xml:space="preserve"> </w:t>
      </w:r>
    </w:p>
    <w:p w14:paraId="285C8E31" w14:textId="77777777" w:rsidR="00C75A13" w:rsidRDefault="00C75A13" w:rsidP="00E550E0">
      <w:pPr>
        <w:tabs>
          <w:tab w:val="left" w:pos="7938"/>
        </w:tabs>
        <w:spacing w:after="0" w:line="360" w:lineRule="auto"/>
        <w:jc w:val="both"/>
        <w:rPr>
          <w:rFonts w:ascii="Palatino Linotype" w:hAnsi="Palatino Linotype" w:cs="Arial"/>
          <w:sz w:val="24"/>
          <w:szCs w:val="24"/>
        </w:rPr>
      </w:pPr>
    </w:p>
    <w:p w14:paraId="01C7B55D" w14:textId="77777777" w:rsidR="00223048" w:rsidRPr="00692461" w:rsidRDefault="005514B5" w:rsidP="00E550E0">
      <w:pPr>
        <w:tabs>
          <w:tab w:val="left" w:pos="7938"/>
        </w:tabs>
        <w:spacing w:after="0" w:line="360" w:lineRule="auto"/>
        <w:jc w:val="both"/>
        <w:rPr>
          <w:rFonts w:ascii="Palatino Linotype" w:hAnsi="Palatino Linotype" w:cs="Arial"/>
          <w:sz w:val="24"/>
          <w:szCs w:val="24"/>
        </w:rPr>
      </w:pPr>
      <w:r w:rsidRPr="00FC21BB">
        <w:rPr>
          <w:rFonts w:ascii="Palatino Linotype" w:hAnsi="Palatino Linotype" w:cs="Arial"/>
          <w:sz w:val="24"/>
          <w:szCs w:val="24"/>
        </w:rPr>
        <w:t xml:space="preserve">Cabe destacar </w:t>
      </w:r>
      <w:proofErr w:type="gramStart"/>
      <w:r w:rsidRPr="00FC21BB">
        <w:rPr>
          <w:rFonts w:ascii="Palatino Linotype" w:hAnsi="Palatino Linotype" w:cs="Arial"/>
          <w:sz w:val="24"/>
          <w:szCs w:val="24"/>
        </w:rPr>
        <w:t>que</w:t>
      </w:r>
      <w:proofErr w:type="gramEnd"/>
      <w:r w:rsidRPr="00FC21BB">
        <w:rPr>
          <w:rFonts w:ascii="Palatino Linotype" w:hAnsi="Palatino Linotype" w:cs="Arial"/>
          <w:sz w:val="24"/>
          <w:szCs w:val="24"/>
        </w:rPr>
        <w:t xml:space="preserve"> en el presente caso, si bien existe contestación en </w:t>
      </w:r>
      <w:r w:rsidR="00C75A13" w:rsidRPr="00FC21BB">
        <w:rPr>
          <w:rFonts w:ascii="Palatino Linotype" w:hAnsi="Palatino Linotype" w:cs="Arial"/>
          <w:sz w:val="24"/>
          <w:szCs w:val="24"/>
          <w:lang w:val="es-419"/>
        </w:rPr>
        <w:t>el</w:t>
      </w:r>
      <w:r w:rsidRPr="00FC21BB">
        <w:rPr>
          <w:rFonts w:ascii="Palatino Linotype" w:hAnsi="Palatino Linotype" w:cs="Arial"/>
          <w:sz w:val="24"/>
          <w:szCs w:val="24"/>
        </w:rPr>
        <w:t xml:space="preserve"> recurso </w:t>
      </w:r>
      <w:r w:rsidR="000765CE" w:rsidRPr="00FC21BB">
        <w:rPr>
          <w:rFonts w:ascii="Palatino Linotype" w:hAnsi="Palatino Linotype" w:cs="Arial"/>
          <w:sz w:val="24"/>
          <w:szCs w:val="24"/>
        </w:rPr>
        <w:t>de revisión</w:t>
      </w:r>
      <w:r w:rsidRPr="00FC21BB">
        <w:rPr>
          <w:rFonts w:ascii="Palatino Linotype" w:hAnsi="Palatino Linotype" w:cs="Arial"/>
          <w:sz w:val="24"/>
          <w:szCs w:val="24"/>
        </w:rPr>
        <w:t xml:space="preserve">, lo cierto, es que </w:t>
      </w:r>
      <w:r w:rsidR="000765CE" w:rsidRPr="00FC21BB">
        <w:rPr>
          <w:rFonts w:ascii="Palatino Linotype" w:hAnsi="Palatino Linotype" w:cs="Arial"/>
          <w:sz w:val="24"/>
          <w:szCs w:val="24"/>
        </w:rPr>
        <w:t xml:space="preserve">el sujeto obligado </w:t>
      </w:r>
      <w:r w:rsidRPr="00FC21BB">
        <w:rPr>
          <w:rFonts w:ascii="Palatino Linotype" w:hAnsi="Palatino Linotype" w:cs="Arial"/>
          <w:sz w:val="24"/>
          <w:szCs w:val="24"/>
        </w:rPr>
        <w:t>le negó</w:t>
      </w:r>
      <w:r w:rsidR="000765CE" w:rsidRPr="00FC21BB">
        <w:rPr>
          <w:rFonts w:ascii="Palatino Linotype" w:hAnsi="Palatino Linotype" w:cs="Arial"/>
          <w:sz w:val="24"/>
          <w:szCs w:val="24"/>
        </w:rPr>
        <w:t xml:space="preserve"> </w:t>
      </w:r>
      <w:r w:rsidRPr="00FC21BB">
        <w:rPr>
          <w:rFonts w:ascii="Palatino Linotype" w:hAnsi="Palatino Linotype" w:cs="Arial"/>
          <w:sz w:val="24"/>
          <w:szCs w:val="24"/>
        </w:rPr>
        <w:t xml:space="preserve">la información al hoy recurrente de forma expresa, es decir, el sujeto obligado asume que le es imposible atender </w:t>
      </w:r>
      <w:r w:rsidR="000765CE" w:rsidRPr="00FC21BB">
        <w:rPr>
          <w:rFonts w:ascii="Palatino Linotype" w:hAnsi="Palatino Linotype" w:cs="Arial"/>
          <w:sz w:val="24"/>
          <w:szCs w:val="24"/>
        </w:rPr>
        <w:t>la</w:t>
      </w:r>
      <w:r w:rsidRPr="00FC21BB">
        <w:rPr>
          <w:rFonts w:ascii="Palatino Linotype" w:hAnsi="Palatino Linotype" w:cs="Arial"/>
          <w:sz w:val="24"/>
          <w:szCs w:val="24"/>
        </w:rPr>
        <w:t xml:space="preserve"> solicitud</w:t>
      </w:r>
      <w:r w:rsidR="000765CE" w:rsidRPr="00FC21BB">
        <w:rPr>
          <w:rFonts w:ascii="Palatino Linotype" w:hAnsi="Palatino Linotype" w:cs="Arial"/>
          <w:sz w:val="24"/>
          <w:szCs w:val="24"/>
        </w:rPr>
        <w:t xml:space="preserve"> de información.</w:t>
      </w:r>
    </w:p>
    <w:p w14:paraId="65854FCE" w14:textId="77777777" w:rsidR="00642108" w:rsidRDefault="00642108" w:rsidP="007C5B8D">
      <w:pPr>
        <w:tabs>
          <w:tab w:val="left" w:pos="7938"/>
        </w:tabs>
        <w:spacing w:after="0" w:line="360" w:lineRule="auto"/>
        <w:jc w:val="both"/>
        <w:rPr>
          <w:rFonts w:ascii="Palatino Linotype" w:hAnsi="Palatino Linotype" w:cs="Arial"/>
          <w:sz w:val="24"/>
          <w:szCs w:val="24"/>
        </w:rPr>
      </w:pPr>
    </w:p>
    <w:p w14:paraId="46537352" w14:textId="77777777" w:rsidR="00CD02FA" w:rsidRDefault="00CD02FA" w:rsidP="00CD02FA">
      <w:pPr>
        <w:widowControl w:val="0"/>
        <w:tabs>
          <w:tab w:val="left" w:pos="1276"/>
        </w:tabs>
        <w:spacing w:after="0" w:line="360" w:lineRule="auto"/>
        <w:jc w:val="both"/>
        <w:rPr>
          <w:rFonts w:ascii="Palatino Linotype" w:eastAsia="Palatino Linotype" w:hAnsi="Palatino Linotype" w:cs="Palatino Linotype"/>
          <w:sz w:val="24"/>
          <w:szCs w:val="24"/>
          <w:lang w:val="es-419"/>
        </w:rPr>
      </w:pPr>
      <w:r>
        <w:rPr>
          <w:rFonts w:ascii="Palatino Linotype" w:eastAsia="Palatino Linotype" w:hAnsi="Palatino Linotype" w:cs="Palatino Linotype"/>
          <w:sz w:val="24"/>
          <w:szCs w:val="24"/>
          <w:lang w:val="es-419"/>
        </w:rPr>
        <w:t>Es necesario resaltar que el sujeto obligado contó con un término legal de cinco días hábiles, a partir de que recibió la solicitud de información, para solicitar al hoy recurrente la aclaración de su solicitud de información, como lo establece el artículo 159 de la Ley de Transparencia y Acceso a la Información Pública del Estado de México y Municipios, que refiere:</w:t>
      </w:r>
    </w:p>
    <w:p w14:paraId="0A7BE756" w14:textId="77777777" w:rsidR="00CD02FA" w:rsidRDefault="00CD02FA" w:rsidP="00CD02FA">
      <w:pPr>
        <w:widowControl w:val="0"/>
        <w:tabs>
          <w:tab w:val="left" w:pos="1276"/>
        </w:tabs>
        <w:spacing w:after="0" w:line="360" w:lineRule="auto"/>
        <w:jc w:val="both"/>
        <w:rPr>
          <w:rFonts w:ascii="Palatino Linotype" w:eastAsia="Palatino Linotype" w:hAnsi="Palatino Linotype" w:cs="Palatino Linotype"/>
          <w:sz w:val="24"/>
          <w:szCs w:val="24"/>
          <w:lang w:val="es-419"/>
        </w:rPr>
      </w:pPr>
    </w:p>
    <w:p w14:paraId="4E6679DA" w14:textId="77777777" w:rsidR="00CD02FA" w:rsidRPr="00B2128A" w:rsidRDefault="00CD02FA" w:rsidP="00CD02FA">
      <w:pPr>
        <w:spacing w:after="0" w:line="360" w:lineRule="auto"/>
        <w:ind w:left="851" w:right="899"/>
        <w:jc w:val="both"/>
        <w:rPr>
          <w:rFonts w:ascii="Palatino Linotype" w:eastAsia="Palatino Linotype" w:hAnsi="Palatino Linotype" w:cs="Palatino Linotype"/>
          <w:i/>
          <w:sz w:val="24"/>
          <w:szCs w:val="24"/>
        </w:rPr>
      </w:pPr>
      <w:r w:rsidRPr="00545115">
        <w:rPr>
          <w:rFonts w:ascii="Palatino Linotype" w:eastAsia="Palatino Linotype" w:hAnsi="Palatino Linotype" w:cs="Palatino Linotype"/>
          <w:b/>
          <w:i/>
          <w:sz w:val="24"/>
          <w:szCs w:val="24"/>
        </w:rPr>
        <w:t>Artículo 159.</w:t>
      </w:r>
      <w:r w:rsidRPr="00B2128A">
        <w:rPr>
          <w:rFonts w:ascii="Palatino Linotype" w:eastAsia="Palatino Linotype" w:hAnsi="Palatino Linotype" w:cs="Palatino Linotype"/>
          <w:i/>
          <w:sz w:val="24"/>
          <w:szCs w:val="24"/>
        </w:rPr>
        <w:t xml:space="preserve"> Cuando los detalles proporcionados para localizar los documentos resulten insuficientes, incompletos o sean erróneos, la Unidad de Transparencia podrá requerir al solicitante, </w:t>
      </w:r>
      <w:r w:rsidRPr="00B2128A">
        <w:rPr>
          <w:rFonts w:ascii="Palatino Linotype" w:eastAsia="Palatino Linotype" w:hAnsi="Palatino Linotype" w:cs="Palatino Linotype"/>
          <w:b/>
          <w:i/>
          <w:sz w:val="24"/>
          <w:szCs w:val="24"/>
          <w:u w:val="single"/>
        </w:rPr>
        <w:t>por una sola vez y dentro de un plazo que no podrá exceder de cinco días hábiles contados a partir de la presentación de la solicitud</w:t>
      </w:r>
      <w:r w:rsidRPr="00B2128A">
        <w:rPr>
          <w:rFonts w:ascii="Palatino Linotype" w:eastAsia="Palatino Linotype" w:hAnsi="Palatino Linotype" w:cs="Palatino Linotype"/>
          <w:i/>
          <w:sz w:val="24"/>
          <w:szCs w:val="24"/>
        </w:rPr>
        <w:t>, para que, en un término de hasta diez días hábiles, indique otros elementos que complementen, corrijan o amplíen los datos proporcionados o bien, precise uno o varios requerimientos de información.</w:t>
      </w:r>
    </w:p>
    <w:p w14:paraId="4C5D6F18" w14:textId="77777777" w:rsidR="00CD02FA" w:rsidRPr="00B2128A" w:rsidRDefault="00CD02FA" w:rsidP="00CD02FA">
      <w:pPr>
        <w:spacing w:after="0" w:line="360" w:lineRule="auto"/>
        <w:ind w:left="851" w:right="899"/>
        <w:jc w:val="both"/>
        <w:rPr>
          <w:rFonts w:ascii="Palatino Linotype" w:eastAsia="Palatino Linotype" w:hAnsi="Palatino Linotype" w:cs="Palatino Linotype"/>
          <w:i/>
          <w:sz w:val="24"/>
          <w:szCs w:val="24"/>
        </w:rPr>
      </w:pPr>
    </w:p>
    <w:p w14:paraId="377BCFD3" w14:textId="77777777" w:rsidR="00CD02FA" w:rsidRPr="00B2128A" w:rsidRDefault="00CD02FA" w:rsidP="00CD02FA">
      <w:pPr>
        <w:spacing w:after="0" w:line="360" w:lineRule="auto"/>
        <w:ind w:left="851" w:right="899"/>
        <w:jc w:val="both"/>
        <w:rPr>
          <w:rFonts w:ascii="Palatino Linotype" w:eastAsia="Palatino Linotype" w:hAnsi="Palatino Linotype" w:cs="Palatino Linotype"/>
          <w:i/>
          <w:sz w:val="24"/>
          <w:szCs w:val="24"/>
        </w:rPr>
      </w:pPr>
      <w:r w:rsidRPr="00B2128A">
        <w:rPr>
          <w:rFonts w:ascii="Palatino Linotype" w:eastAsia="Palatino Linotype" w:hAnsi="Palatino Linotype" w:cs="Palatino Linotype"/>
          <w:i/>
          <w:sz w:val="24"/>
          <w:szCs w:val="24"/>
        </w:rPr>
        <w:t xml:space="preserve">En este requerimiento interrumpirá el plazo de respuesta establecido en el artículo 163 de la presente Ley, por lo que comenzará a computarse nuevamente al día siguiente del desahogo por parte del particular. En este caso, </w:t>
      </w:r>
      <w:r w:rsidRPr="00B2128A">
        <w:rPr>
          <w:rFonts w:ascii="Palatino Linotype" w:eastAsia="Palatino Linotype" w:hAnsi="Palatino Linotype" w:cs="Palatino Linotype"/>
          <w:i/>
          <w:sz w:val="24"/>
          <w:szCs w:val="24"/>
        </w:rPr>
        <w:lastRenderedPageBreak/>
        <w:t>el sujeto obligado atenderá la solicitud en los términos en que fue desahogado el requerimiento de información adicional.</w:t>
      </w:r>
    </w:p>
    <w:p w14:paraId="23E09EE8" w14:textId="77777777" w:rsidR="00CD02FA" w:rsidRDefault="00CD02FA" w:rsidP="00CD02FA">
      <w:pPr>
        <w:widowControl w:val="0"/>
        <w:tabs>
          <w:tab w:val="left" w:pos="1276"/>
        </w:tabs>
        <w:spacing w:after="0" w:line="360" w:lineRule="auto"/>
        <w:jc w:val="both"/>
        <w:rPr>
          <w:rFonts w:ascii="Palatino Linotype" w:eastAsia="Palatino Linotype" w:hAnsi="Palatino Linotype" w:cs="Palatino Linotype"/>
          <w:sz w:val="24"/>
          <w:szCs w:val="24"/>
          <w:lang w:val="es-419"/>
        </w:rPr>
      </w:pPr>
    </w:p>
    <w:p w14:paraId="7B3CE82B" w14:textId="77777777" w:rsidR="00CD02FA" w:rsidRDefault="00CD02FA" w:rsidP="00CD02FA">
      <w:pPr>
        <w:widowControl w:val="0"/>
        <w:tabs>
          <w:tab w:val="left" w:pos="1276"/>
        </w:tabs>
        <w:spacing w:after="0" w:line="360" w:lineRule="auto"/>
        <w:jc w:val="both"/>
        <w:rPr>
          <w:rFonts w:ascii="Palatino Linotype" w:eastAsia="Palatino Linotype" w:hAnsi="Palatino Linotype" w:cs="Palatino Linotype"/>
          <w:sz w:val="24"/>
          <w:szCs w:val="24"/>
          <w:lang w:val="es-419"/>
        </w:rPr>
      </w:pPr>
      <w:r>
        <w:rPr>
          <w:rFonts w:ascii="Palatino Linotype" w:eastAsia="Palatino Linotype" w:hAnsi="Palatino Linotype" w:cs="Palatino Linotype"/>
          <w:sz w:val="24"/>
          <w:szCs w:val="24"/>
          <w:lang w:val="es-419"/>
        </w:rPr>
        <w:t xml:space="preserve">Ahora bien, del expediente electrónico del SAIMEX no se aprecia que el sujeto obligado haya solicitado al hoy recurrente que aclarara su solicitud de información, </w:t>
      </w:r>
      <w:proofErr w:type="gramStart"/>
      <w:r>
        <w:rPr>
          <w:rFonts w:ascii="Palatino Linotype" w:eastAsia="Palatino Linotype" w:hAnsi="Palatino Linotype" w:cs="Palatino Linotype"/>
          <w:sz w:val="24"/>
          <w:szCs w:val="24"/>
          <w:lang w:val="es-419"/>
        </w:rPr>
        <w:t>ya que</w:t>
      </w:r>
      <w:proofErr w:type="gramEnd"/>
      <w:r>
        <w:rPr>
          <w:rFonts w:ascii="Palatino Linotype" w:eastAsia="Palatino Linotype" w:hAnsi="Palatino Linotype" w:cs="Palatino Linotype"/>
          <w:sz w:val="24"/>
          <w:szCs w:val="24"/>
          <w:lang w:val="es-419"/>
        </w:rPr>
        <w:t xml:space="preserve"> del acuse de la solicitud y requerimientos al sujeto habilitado, cambió el estatus a “Respuesta a Solicitud o Entrega de Información”, es decir, durante el momento procesal oportuno, el sujeto obligado no hizo valer lo establecido en el citado artículo 159, como a continuación de muestra:</w:t>
      </w:r>
    </w:p>
    <w:p w14:paraId="6AA3BB2B" w14:textId="77777777" w:rsidR="00CD02FA" w:rsidRDefault="00CD02FA" w:rsidP="007C5B8D">
      <w:pPr>
        <w:tabs>
          <w:tab w:val="left" w:pos="7938"/>
        </w:tabs>
        <w:spacing w:after="0" w:line="360" w:lineRule="auto"/>
        <w:jc w:val="both"/>
        <w:rPr>
          <w:rFonts w:ascii="Palatino Linotype" w:hAnsi="Palatino Linotype" w:cs="Arial"/>
          <w:sz w:val="24"/>
          <w:szCs w:val="24"/>
        </w:rPr>
      </w:pPr>
    </w:p>
    <w:p w14:paraId="26506313" w14:textId="77777777" w:rsidR="00CD02FA" w:rsidRDefault="00CD02FA" w:rsidP="007C5B8D">
      <w:pPr>
        <w:tabs>
          <w:tab w:val="left" w:pos="7938"/>
        </w:tabs>
        <w:spacing w:after="0" w:line="360" w:lineRule="auto"/>
        <w:jc w:val="both"/>
        <w:rPr>
          <w:rFonts w:ascii="Palatino Linotype" w:hAnsi="Palatino Linotype" w:cs="Arial"/>
          <w:sz w:val="24"/>
          <w:szCs w:val="24"/>
        </w:rPr>
      </w:pPr>
      <w:r>
        <w:rPr>
          <w:noProof/>
          <w:lang w:eastAsia="es-MX"/>
        </w:rPr>
        <w:drawing>
          <wp:inline distT="0" distB="0" distL="0" distR="0" wp14:anchorId="77DADAB1" wp14:editId="2204BD9A">
            <wp:extent cx="5850890" cy="3443298"/>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286" t="26421" r="25350" b="22635"/>
                    <a:stretch/>
                  </pic:blipFill>
                  <pic:spPr bwMode="auto">
                    <a:xfrm>
                      <a:off x="0" y="0"/>
                      <a:ext cx="5850890" cy="3443298"/>
                    </a:xfrm>
                    <a:prstGeom prst="rect">
                      <a:avLst/>
                    </a:prstGeom>
                    <a:ln>
                      <a:noFill/>
                    </a:ln>
                    <a:extLst>
                      <a:ext uri="{53640926-AAD7-44D8-BBD7-CCE9431645EC}">
                        <a14:shadowObscured xmlns:a14="http://schemas.microsoft.com/office/drawing/2010/main"/>
                      </a:ext>
                    </a:extLst>
                  </pic:spPr>
                </pic:pic>
              </a:graphicData>
            </a:graphic>
          </wp:inline>
        </w:drawing>
      </w:r>
    </w:p>
    <w:p w14:paraId="74F58C71" w14:textId="77777777" w:rsidR="00CD02FA" w:rsidRDefault="00CD02FA" w:rsidP="007C5B8D">
      <w:pPr>
        <w:tabs>
          <w:tab w:val="left" w:pos="7938"/>
        </w:tabs>
        <w:spacing w:after="0" w:line="360" w:lineRule="auto"/>
        <w:jc w:val="both"/>
        <w:rPr>
          <w:rFonts w:ascii="Palatino Linotype" w:hAnsi="Palatino Linotype" w:cs="Arial"/>
          <w:sz w:val="24"/>
          <w:szCs w:val="24"/>
        </w:rPr>
      </w:pPr>
    </w:p>
    <w:p w14:paraId="0B19C244" w14:textId="77777777" w:rsidR="00CD02FA" w:rsidRDefault="00CD02FA" w:rsidP="00CD02FA">
      <w:pPr>
        <w:tabs>
          <w:tab w:val="left" w:pos="7938"/>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Cabe destacar que de las actuaciones en el expediente electrónico del SAIMEX, en el que se actúa no se corrobora que el sujeto habilitado haya realizado una búsqueda exhaustiva y razonable de los documentos que den cuenta de las bajas que han ocurrido </w:t>
      </w:r>
      <w:r>
        <w:rPr>
          <w:rFonts w:ascii="Palatino Linotype" w:hAnsi="Palatino Linotype" w:cs="Arial"/>
          <w:sz w:val="24"/>
          <w:szCs w:val="24"/>
          <w:lang w:val="es-419"/>
        </w:rPr>
        <w:lastRenderedPageBreak/>
        <w:t xml:space="preserve">en la </w:t>
      </w:r>
      <w:r w:rsidRPr="00155053">
        <w:rPr>
          <w:rFonts w:ascii="Palatino Linotype" w:eastAsia="Palatino Linotype" w:hAnsi="Palatino Linotype" w:cs="Palatino Linotype"/>
          <w:color w:val="000000"/>
          <w:sz w:val="24"/>
          <w:szCs w:val="24"/>
        </w:rPr>
        <w:t>primera quincena de enero de dos mil veintidós ni de los documentos en donde consten las razones de dichas bajas, sólo se limitó a referir que el recurrente no proporcionó año, pero ello n o repara el derecho de acceso a la información hoy vulnerado por el sujeto obligado.</w:t>
      </w:r>
    </w:p>
    <w:p w14:paraId="763E5DE0" w14:textId="77777777" w:rsidR="00CD02FA" w:rsidRPr="00692461" w:rsidRDefault="00CD02FA" w:rsidP="007C5B8D">
      <w:pPr>
        <w:tabs>
          <w:tab w:val="left" w:pos="7938"/>
        </w:tabs>
        <w:spacing w:after="0" w:line="360" w:lineRule="auto"/>
        <w:jc w:val="both"/>
        <w:rPr>
          <w:rFonts w:ascii="Palatino Linotype" w:hAnsi="Palatino Linotype" w:cs="Arial"/>
          <w:sz w:val="24"/>
          <w:szCs w:val="24"/>
        </w:rPr>
      </w:pPr>
    </w:p>
    <w:p w14:paraId="51A45CE6" w14:textId="77777777" w:rsidR="00CD02FA" w:rsidRPr="00692461" w:rsidRDefault="00CD02FA" w:rsidP="00CD02FA">
      <w:pPr>
        <w:tabs>
          <w:tab w:val="left" w:pos="7938"/>
        </w:tabs>
        <w:spacing w:after="0" w:line="360" w:lineRule="auto"/>
        <w:jc w:val="both"/>
        <w:rPr>
          <w:rFonts w:ascii="Palatino Linotype" w:eastAsia="Palatino Linotype" w:hAnsi="Palatino Linotype" w:cs="Palatino Linotype"/>
          <w:color w:val="000000"/>
          <w:sz w:val="24"/>
          <w:szCs w:val="24"/>
        </w:rPr>
      </w:pPr>
      <w:r w:rsidRPr="00692461">
        <w:rPr>
          <w:rFonts w:ascii="Palatino Linotype" w:hAnsi="Palatino Linotype" w:cs="Arial"/>
          <w:sz w:val="24"/>
          <w:szCs w:val="24"/>
        </w:rPr>
        <w:t>A</w:t>
      </w:r>
      <w:r>
        <w:rPr>
          <w:rFonts w:ascii="Palatino Linotype" w:hAnsi="Palatino Linotype" w:cs="Arial"/>
          <w:sz w:val="24"/>
          <w:szCs w:val="24"/>
        </w:rPr>
        <w:t xml:space="preserve">hora bien, </w:t>
      </w:r>
      <w:r w:rsidRPr="00692461">
        <w:rPr>
          <w:rFonts w:ascii="Palatino Linotype" w:hAnsi="Palatino Linotype" w:cs="Arial"/>
          <w:sz w:val="24"/>
          <w:szCs w:val="24"/>
        </w:rPr>
        <w:t>la Ley de Transparencia</w:t>
      </w:r>
      <w:r w:rsidRPr="00692461">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298CCD94"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14:paraId="19B7816E"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Artículo 23.</w:t>
      </w:r>
      <w:r w:rsidRPr="00692461">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2FED2A8F"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14:paraId="3886825F"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1B4448DC"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14:paraId="25ABEB4D"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14:paraId="4F6EB879"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V. Los órganos autónomos;</w:t>
      </w:r>
    </w:p>
    <w:p w14:paraId="65A7C914"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VI. Los tribunales administrativos y autoridades jurisdiccionales en materia laboral;</w:t>
      </w:r>
    </w:p>
    <w:p w14:paraId="70D9FD46"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VII. Los </w:t>
      </w:r>
      <w:proofErr w:type="gramStart"/>
      <w:r w:rsidRPr="00692461">
        <w:rPr>
          <w:rFonts w:ascii="Palatino Linotype" w:eastAsia="Palatino Linotype" w:hAnsi="Palatino Linotype" w:cs="Palatino Linotype"/>
          <w:i/>
          <w:color w:val="000000"/>
          <w:sz w:val="24"/>
          <w:szCs w:val="24"/>
        </w:rPr>
        <w:t>partidos políticos y agrupaciones políticas</w:t>
      </w:r>
      <w:proofErr w:type="gramEnd"/>
      <w:r w:rsidRPr="00692461">
        <w:rPr>
          <w:rFonts w:ascii="Palatino Linotype" w:eastAsia="Palatino Linotype" w:hAnsi="Palatino Linotype" w:cs="Palatino Linotype"/>
          <w:i/>
          <w:color w:val="000000"/>
          <w:sz w:val="24"/>
          <w:szCs w:val="24"/>
        </w:rPr>
        <w:t>, en los términos de las disposiciones aplicables;</w:t>
      </w:r>
    </w:p>
    <w:p w14:paraId="75D64DAE"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VIII. Los fideicomisos y fondos públicos que cuenten con financiamiento público, parcial o total, o con participación de entidades de gobierno;</w:t>
      </w:r>
    </w:p>
    <w:p w14:paraId="396EF1BD"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IX. Los sindicatos que reciban y/o ejerzan recursos públicos en el ámbito estatal y municipal;</w:t>
      </w:r>
    </w:p>
    <w:p w14:paraId="703CBE4B"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14:paraId="655D2CE5"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42902B87"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FE2A7D2"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254CEB99"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14:paraId="12F70AED"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2A6ADE5F" w14:textId="77777777" w:rsidR="007C5B8D" w:rsidRPr="00692461" w:rsidRDefault="007C5B8D" w:rsidP="007C5B8D">
      <w:pPr>
        <w:spacing w:after="0" w:line="360" w:lineRule="auto"/>
        <w:ind w:right="51"/>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60E1A5CC"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14:paraId="4BA2614B"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w:t>
      </w:r>
      <w:r w:rsidRPr="00692461">
        <w:rPr>
          <w:rFonts w:ascii="Palatino Linotype" w:eastAsia="Palatino Linotype" w:hAnsi="Palatino Linotype" w:cs="Palatino Linotype"/>
          <w:b/>
          <w:i/>
          <w:color w:val="000000"/>
          <w:sz w:val="24"/>
          <w:szCs w:val="24"/>
        </w:rPr>
        <w:t>Artículo 115</w:t>
      </w:r>
      <w:r w:rsidRPr="00692461">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F7B6073"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I.</w:t>
      </w:r>
      <w:r w:rsidRPr="00692461">
        <w:rPr>
          <w:rFonts w:ascii="Palatino Linotype" w:eastAsia="Palatino Linotype" w:hAnsi="Palatino Linotype" w:cs="Palatino Linotype"/>
          <w:i/>
          <w:color w:val="000000"/>
          <w:sz w:val="24"/>
          <w:szCs w:val="24"/>
        </w:rPr>
        <w:t xml:space="preserve"> Cada Municipio será gobernado por un Ayuntamiento de elección popular directa, integrado por un </w:t>
      </w:r>
      <w:proofErr w:type="gramStart"/>
      <w:r w:rsidRPr="00692461">
        <w:rPr>
          <w:rFonts w:ascii="Palatino Linotype" w:eastAsia="Palatino Linotype" w:hAnsi="Palatino Linotype" w:cs="Palatino Linotype"/>
          <w:i/>
          <w:color w:val="000000"/>
          <w:sz w:val="24"/>
          <w:szCs w:val="24"/>
        </w:rPr>
        <w:t>Presidente</w:t>
      </w:r>
      <w:proofErr w:type="gramEnd"/>
      <w:r w:rsidRPr="00692461">
        <w:rPr>
          <w:rFonts w:ascii="Palatino Linotype" w:eastAsia="Palatino Linotype" w:hAnsi="Palatino Linotype" w:cs="Palatino Linotype"/>
          <w:i/>
          <w:color w:val="000000"/>
          <w:sz w:val="24"/>
          <w:szCs w:val="24"/>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B2FEC54"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14:paraId="688A101B"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II.</w:t>
      </w:r>
      <w:r w:rsidRPr="00692461">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14:paraId="1398C17D"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14:paraId="66439E8B"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14:paraId="4B2614EF"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14:paraId="0EFDF7E2"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14:paraId="401B5186"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color w:val="000000"/>
          <w:sz w:val="24"/>
          <w:szCs w:val="24"/>
        </w:rPr>
      </w:pPr>
    </w:p>
    <w:p w14:paraId="731352E6"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7603DDC"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14:paraId="523207F3" w14:textId="77777777" w:rsidR="007C5B8D" w:rsidRPr="00692461"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Asimismo, en el numeral 3</w:t>
      </w:r>
      <w:r w:rsidRPr="00692461">
        <w:rPr>
          <w:rFonts w:ascii="Palatino Linotype" w:eastAsia="Palatino Linotype" w:hAnsi="Palatino Linotype" w:cs="Palatino Linotype"/>
          <w:color w:val="000000"/>
          <w:sz w:val="24"/>
          <w:szCs w:val="24"/>
          <w:vertAlign w:val="superscript"/>
        </w:rPr>
        <w:footnoteReference w:id="2"/>
      </w:r>
      <w:r w:rsidRPr="00692461">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467C5C0" w14:textId="77777777" w:rsidR="007C5B8D" w:rsidRPr="00692461"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7C1A33BC" w14:textId="77777777" w:rsidR="007C5B8D" w:rsidRPr="00692461"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143F9D19" w14:textId="77777777" w:rsidR="007C5B8D" w:rsidRPr="00692461" w:rsidRDefault="007C5B8D" w:rsidP="007C5B8D">
      <w:pPr>
        <w:tabs>
          <w:tab w:val="left" w:pos="709"/>
        </w:tabs>
        <w:spacing w:after="0" w:line="360" w:lineRule="auto"/>
        <w:jc w:val="both"/>
        <w:rPr>
          <w:rFonts w:ascii="Palatino Linotype" w:eastAsia="Palatino Linotype" w:hAnsi="Palatino Linotype" w:cs="Palatino Linotype"/>
          <w:color w:val="000000"/>
          <w:sz w:val="24"/>
          <w:szCs w:val="24"/>
        </w:rPr>
      </w:pPr>
    </w:p>
    <w:p w14:paraId="677A8DD7"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Artículo 4.</w:t>
      </w:r>
      <w:r w:rsidRPr="00692461">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A04F10"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color w:val="000000"/>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06107A"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3BB2CEDE"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55B6FD7A"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Artículo 12.</w:t>
      </w:r>
      <w:r w:rsidRPr="00692461">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14:paraId="68272190"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692461">
        <w:rPr>
          <w:rFonts w:ascii="Palatino Linotype" w:eastAsia="Palatino Linotype" w:hAnsi="Palatino Linotype" w:cs="Palatino Linotype"/>
          <w:i/>
          <w:color w:val="000000"/>
          <w:sz w:val="24"/>
          <w:szCs w:val="24"/>
        </w:rPr>
        <w:t xml:space="preserve"> La obligación de proporcionar información no comprende el procesamiento de </w:t>
      </w:r>
      <w:proofErr w:type="gramStart"/>
      <w:r w:rsidRPr="00692461">
        <w:rPr>
          <w:rFonts w:ascii="Palatino Linotype" w:eastAsia="Palatino Linotype" w:hAnsi="Palatino Linotype" w:cs="Palatino Linotype"/>
          <w:i/>
          <w:color w:val="000000"/>
          <w:sz w:val="24"/>
          <w:szCs w:val="24"/>
        </w:rPr>
        <w:t>la misma</w:t>
      </w:r>
      <w:proofErr w:type="gramEnd"/>
      <w:r w:rsidRPr="00692461">
        <w:rPr>
          <w:rFonts w:ascii="Palatino Linotype" w:eastAsia="Palatino Linotype" w:hAnsi="Palatino Linotype" w:cs="Palatino Linotype"/>
          <w:i/>
          <w:color w:val="000000"/>
          <w:sz w:val="24"/>
          <w:szCs w:val="24"/>
        </w:rPr>
        <w:t xml:space="preserve">, ni el presentarla conforme al interés del solicitante; no estarán obligados a generarla, resumirla, efectuar cálculos o practicar investigaciones.” </w:t>
      </w:r>
    </w:p>
    <w:p w14:paraId="403F6EE6"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14:paraId="5C8E425F"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58952807"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 xml:space="preserve">Por consiguiente, los preceptos legales transcritos establecen que </w:t>
      </w:r>
      <w:r w:rsidRPr="00692461">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692461">
        <w:rPr>
          <w:rFonts w:ascii="Palatino Linotype" w:eastAsia="Palatino Linotype" w:hAnsi="Palatino Linotype" w:cs="Palatino Linotype"/>
          <w:color w:val="000000"/>
          <w:sz w:val="24"/>
          <w:szCs w:val="24"/>
        </w:rPr>
        <w:t xml:space="preserve"> y que ésta misma se encuentre en sus archivos o que obre en su posesión, </w:t>
      </w:r>
      <w:r w:rsidRPr="00692461">
        <w:rPr>
          <w:rFonts w:ascii="Palatino Linotype" w:eastAsia="Palatino Linotype" w:hAnsi="Palatino Linotype" w:cs="Palatino Linotype"/>
          <w:b/>
          <w:color w:val="000000"/>
          <w:sz w:val="24"/>
          <w:szCs w:val="24"/>
        </w:rPr>
        <w:t>privilegiando en todo momento el principio de máxima publicidad,</w:t>
      </w:r>
      <w:r w:rsidRPr="00692461">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6D2D757F"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14:paraId="04018AFE"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 xml:space="preserve">Queda de manifiesto entonces que, </w:t>
      </w:r>
      <w:r w:rsidRPr="00692461">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692461">
        <w:rPr>
          <w:rFonts w:ascii="Palatino Linotype" w:eastAsia="Palatino Linotype" w:hAnsi="Palatino Linotype" w:cs="Palatino Linotype"/>
          <w:color w:val="000000"/>
          <w:sz w:val="24"/>
          <w:szCs w:val="24"/>
        </w:rPr>
        <w:t xml:space="preserve">; criterio que ha sostenido el más alto tribunal jurisdiccional del país, la Suprema Corte de Justicia de la Nación, en la tesis 2a. </w:t>
      </w:r>
      <w:r w:rsidRPr="00692461">
        <w:rPr>
          <w:rFonts w:ascii="Palatino Linotype" w:eastAsia="Palatino Linotype" w:hAnsi="Palatino Linotype" w:cs="Palatino Linotype"/>
          <w:color w:val="000000"/>
          <w:sz w:val="24"/>
          <w:szCs w:val="24"/>
        </w:rPr>
        <w:lastRenderedPageBreak/>
        <w:t>LXXXVIII/2010, sustentada por la Segunda Sala, publicada en el Semanario Judicial de la Federación y su Gaceta, Novena Época, tomo XXXII, agosto de 2010, página 463, con el siguiente contenido:</w:t>
      </w:r>
    </w:p>
    <w:p w14:paraId="4A3DDD82"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14:paraId="426796A6"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692461">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B0B30A7"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b/>
          <w:i/>
          <w:color w:val="000000"/>
          <w:sz w:val="24"/>
          <w:szCs w:val="24"/>
        </w:rPr>
      </w:pPr>
    </w:p>
    <w:p w14:paraId="1756420C"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33095DB"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14:paraId="59F1E80B"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05FE702"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p>
    <w:p w14:paraId="6A2DF89D"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00A7846B"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8FA722"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p>
    <w:p w14:paraId="630B87E9" w14:textId="77777777" w:rsidR="007C5B8D" w:rsidRPr="00692461" w:rsidRDefault="007C5B8D" w:rsidP="007C5B8D">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C69E2AA" w14:textId="77777777" w:rsidR="007C5B8D" w:rsidRPr="00692461" w:rsidRDefault="007C5B8D" w:rsidP="007C5B8D">
      <w:pPr>
        <w:spacing w:after="0" w:line="360" w:lineRule="auto"/>
        <w:ind w:left="851" w:right="901"/>
        <w:jc w:val="center"/>
        <w:rPr>
          <w:rFonts w:ascii="Palatino Linotype" w:eastAsia="Palatino Linotype" w:hAnsi="Palatino Linotype" w:cs="Palatino Linotype"/>
          <w:color w:val="000000"/>
          <w:sz w:val="24"/>
          <w:szCs w:val="24"/>
        </w:rPr>
      </w:pPr>
    </w:p>
    <w:p w14:paraId="1529789D" w14:textId="77777777" w:rsidR="007C5B8D" w:rsidRPr="00692461" w:rsidRDefault="007C5B8D" w:rsidP="007C5B8D">
      <w:pPr>
        <w:spacing w:after="0" w:line="360" w:lineRule="auto"/>
        <w:ind w:left="851" w:right="901"/>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7304E53D"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w:t>
      </w:r>
      <w:proofErr w:type="gramStart"/>
      <w:r w:rsidRPr="00692461">
        <w:rPr>
          <w:rFonts w:ascii="Palatino Linotype" w:eastAsia="Palatino Linotype" w:hAnsi="Palatino Linotype" w:cs="Palatino Linotype"/>
          <w:i/>
          <w:color w:val="000000"/>
          <w:sz w:val="24"/>
          <w:szCs w:val="24"/>
        </w:rPr>
        <w:t>Pública,</w:t>
      </w:r>
      <w:proofErr w:type="gramEnd"/>
      <w:r w:rsidRPr="00692461">
        <w:rPr>
          <w:rFonts w:ascii="Palatino Linotype" w:eastAsia="Palatino Linotype" w:hAnsi="Palatino Linotype" w:cs="Palatino Linotype"/>
          <w:i/>
          <w:color w:val="000000"/>
          <w:sz w:val="24"/>
          <w:szCs w:val="24"/>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DB5CEF"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En </w:t>
      </w:r>
      <w:proofErr w:type="gramStart"/>
      <w:r w:rsidRPr="00692461">
        <w:rPr>
          <w:rFonts w:ascii="Palatino Linotype" w:eastAsia="Palatino Linotype" w:hAnsi="Palatino Linotype" w:cs="Palatino Linotype"/>
          <w:i/>
          <w:color w:val="000000"/>
          <w:sz w:val="24"/>
          <w:szCs w:val="24"/>
        </w:rPr>
        <w:t>consecuencia</w:t>
      </w:r>
      <w:proofErr w:type="gramEnd"/>
      <w:r w:rsidRPr="00692461">
        <w:rPr>
          <w:rFonts w:ascii="Palatino Linotype" w:eastAsia="Palatino Linotype" w:hAnsi="Palatino Linotype" w:cs="Palatino Linotype"/>
          <w:i/>
          <w:color w:val="000000"/>
          <w:sz w:val="24"/>
          <w:szCs w:val="24"/>
        </w:rPr>
        <w:t xml:space="preserve"> el acceso a la información se refiere a que se cumplan cualquiera de los siguientes tres supuestos:</w:t>
      </w:r>
    </w:p>
    <w:p w14:paraId="0388F566"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 xml:space="preserve">1) Que se trate de información registrada en cualquier soporte documental, </w:t>
      </w:r>
      <w:proofErr w:type="gramStart"/>
      <w:r w:rsidRPr="00692461">
        <w:rPr>
          <w:rFonts w:ascii="Palatino Linotype" w:eastAsia="Palatino Linotype" w:hAnsi="Palatino Linotype" w:cs="Palatino Linotype"/>
          <w:b/>
          <w:i/>
          <w:color w:val="000000"/>
          <w:sz w:val="24"/>
          <w:szCs w:val="24"/>
          <w:u w:val="single"/>
        </w:rPr>
        <w:t>que</w:t>
      </w:r>
      <w:proofErr w:type="gramEnd"/>
      <w:r w:rsidRPr="00692461">
        <w:rPr>
          <w:rFonts w:ascii="Palatino Linotype" w:eastAsia="Palatino Linotype" w:hAnsi="Palatino Linotype" w:cs="Palatino Linotype"/>
          <w:b/>
          <w:i/>
          <w:color w:val="000000"/>
          <w:sz w:val="24"/>
          <w:szCs w:val="24"/>
          <w:u w:val="single"/>
        </w:rPr>
        <w:t xml:space="preserve"> en ejercicio de las atribuciones conferidas, sea generada por los Sujetos Obligados;</w:t>
      </w:r>
    </w:p>
    <w:p w14:paraId="383B02DA"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w:t>
      </w:r>
      <w:proofErr w:type="gramStart"/>
      <w:r w:rsidRPr="00692461">
        <w:rPr>
          <w:rFonts w:ascii="Palatino Linotype" w:eastAsia="Palatino Linotype" w:hAnsi="Palatino Linotype" w:cs="Palatino Linotype"/>
          <w:i/>
          <w:color w:val="000000"/>
          <w:sz w:val="24"/>
          <w:szCs w:val="24"/>
        </w:rPr>
        <w:t>que</w:t>
      </w:r>
      <w:proofErr w:type="gramEnd"/>
      <w:r w:rsidRPr="00692461">
        <w:rPr>
          <w:rFonts w:ascii="Palatino Linotype" w:eastAsia="Palatino Linotype" w:hAnsi="Palatino Linotype" w:cs="Palatino Linotype"/>
          <w:i/>
          <w:color w:val="000000"/>
          <w:sz w:val="24"/>
          <w:szCs w:val="24"/>
        </w:rPr>
        <w:t xml:space="preserve"> en ejercicio de las atribuciones conferidas, sea administrada por los Sujetos Obligados, y</w:t>
      </w:r>
    </w:p>
    <w:p w14:paraId="4AE932E5"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 xml:space="preserve">3) Que se trate de información registrada en cualquier soporte documental, </w:t>
      </w:r>
      <w:proofErr w:type="gramStart"/>
      <w:r w:rsidRPr="00692461">
        <w:rPr>
          <w:rFonts w:ascii="Palatino Linotype" w:eastAsia="Palatino Linotype" w:hAnsi="Palatino Linotype" w:cs="Palatino Linotype"/>
          <w:i/>
          <w:color w:val="000000"/>
          <w:sz w:val="24"/>
          <w:szCs w:val="24"/>
        </w:rPr>
        <w:t>que</w:t>
      </w:r>
      <w:proofErr w:type="gramEnd"/>
      <w:r w:rsidRPr="00692461">
        <w:rPr>
          <w:rFonts w:ascii="Palatino Linotype" w:eastAsia="Palatino Linotype" w:hAnsi="Palatino Linotype" w:cs="Palatino Linotype"/>
          <w:i/>
          <w:color w:val="000000"/>
          <w:sz w:val="24"/>
          <w:szCs w:val="24"/>
        </w:rPr>
        <w:t xml:space="preserve"> en ejercicio de las atribuciones conferidas, se encuentre en posesión de los Sujetos Obligados.” (SIC)</w:t>
      </w:r>
    </w:p>
    <w:p w14:paraId="6F5262E4"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46A8ADA7" w14:textId="77777777" w:rsidR="007C5B8D" w:rsidRPr="00692461" w:rsidRDefault="007C5B8D" w:rsidP="007C5B8D">
      <w:pPr>
        <w:spacing w:after="0" w:line="360" w:lineRule="auto"/>
        <w:ind w:left="851" w:right="901"/>
        <w:jc w:val="both"/>
        <w:rPr>
          <w:rFonts w:ascii="Palatino Linotype" w:eastAsia="Palatino Linotype" w:hAnsi="Palatino Linotype" w:cs="Palatino Linotype"/>
          <w:color w:val="000000"/>
          <w:sz w:val="24"/>
          <w:szCs w:val="24"/>
        </w:rPr>
      </w:pPr>
    </w:p>
    <w:p w14:paraId="501ABE01" w14:textId="77777777" w:rsidR="007C5B8D" w:rsidRPr="00692461" w:rsidRDefault="007C5B8D" w:rsidP="007C5B8D">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proofErr w:type="gram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proofErr w:type="gramEnd"/>
      <w:r w:rsidRPr="00692461">
        <w:rPr>
          <w:rFonts w:ascii="Palatino Linotype" w:eastAsia="Palatino Linotype" w:hAnsi="Palatino Linotype" w:cs="Palatino Linotype"/>
          <w:sz w:val="24"/>
          <w:szCs w:val="24"/>
        </w:rPr>
        <w:t>, sirviendo de sustento la transcripción de los preceptos legales que a la letra rezan:</w:t>
      </w:r>
    </w:p>
    <w:p w14:paraId="2CF7FA24" w14:textId="77777777" w:rsidR="007C5B8D" w:rsidRPr="00692461" w:rsidRDefault="007C5B8D" w:rsidP="007C5B8D">
      <w:pPr>
        <w:spacing w:after="0" w:line="360" w:lineRule="auto"/>
        <w:jc w:val="both"/>
        <w:rPr>
          <w:rFonts w:ascii="Palatino Linotype" w:eastAsia="Palatino Linotype" w:hAnsi="Palatino Linotype" w:cs="Palatino Linotype"/>
          <w:sz w:val="24"/>
          <w:szCs w:val="24"/>
        </w:rPr>
      </w:pPr>
    </w:p>
    <w:p w14:paraId="4043FF62"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A9374F"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75BB89F8"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36A8D8BE"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068FCF5D"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 xml:space="preserve">favoreciendo en todo tiempo a las personas la protección más amplia, atendiendo al principio </w:t>
      </w:r>
      <w:proofErr w:type="gramStart"/>
      <w:r w:rsidRPr="00692461">
        <w:rPr>
          <w:rFonts w:ascii="Palatino Linotype" w:eastAsia="Palatino Linotype" w:hAnsi="Palatino Linotype" w:cs="Palatino Linotype"/>
          <w:b/>
          <w:i/>
          <w:sz w:val="24"/>
          <w:szCs w:val="24"/>
        </w:rPr>
        <w:t>pro persona</w:t>
      </w:r>
      <w:proofErr w:type="gramEnd"/>
      <w:r w:rsidRPr="00692461">
        <w:rPr>
          <w:rFonts w:ascii="Palatino Linotype" w:eastAsia="Palatino Linotype" w:hAnsi="Palatino Linotype" w:cs="Palatino Linotype"/>
          <w:b/>
          <w:i/>
          <w:sz w:val="24"/>
          <w:szCs w:val="24"/>
        </w:rPr>
        <w:t>…</w:t>
      </w:r>
    </w:p>
    <w:p w14:paraId="5612CA32"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 xml:space="preserve">Artículo 9. El Instituto deberá regir su funcionamiento </w:t>
      </w:r>
      <w:proofErr w:type="gramStart"/>
      <w:r w:rsidRPr="00692461">
        <w:rPr>
          <w:rFonts w:ascii="Palatino Linotype" w:eastAsia="Palatino Linotype" w:hAnsi="Palatino Linotype" w:cs="Palatino Linotype"/>
          <w:b/>
          <w:i/>
          <w:sz w:val="24"/>
          <w:szCs w:val="24"/>
        </w:rPr>
        <w:t>de acuerdo a</w:t>
      </w:r>
      <w:proofErr w:type="gramEnd"/>
      <w:r w:rsidRPr="00692461">
        <w:rPr>
          <w:rFonts w:ascii="Palatino Linotype" w:eastAsia="Palatino Linotype" w:hAnsi="Palatino Linotype" w:cs="Palatino Linotype"/>
          <w:b/>
          <w:i/>
          <w:sz w:val="24"/>
          <w:szCs w:val="24"/>
        </w:rPr>
        <w:t xml:space="preserve"> los siguientes principios:</w:t>
      </w:r>
    </w:p>
    <w:p w14:paraId="29E3CED6"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2382A616"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662A5243"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w:t>
      </w:r>
      <w:r w:rsidRPr="00692461">
        <w:rPr>
          <w:rFonts w:ascii="Palatino Linotype" w:eastAsia="Palatino Linotype" w:hAnsi="Palatino Linotype" w:cs="Palatino Linotype"/>
          <w:i/>
          <w:sz w:val="24"/>
          <w:szCs w:val="24"/>
        </w:rPr>
        <w:lastRenderedPageBreak/>
        <w:t xml:space="preserve">régimen de excepciones que deberán estar definidas y ser además legítimas y estrictamente necesarias en una sociedad democrática; </w:t>
      </w:r>
    </w:p>
    <w:p w14:paraId="00A2BDFE"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7E5F7117"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2E828BEC"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613EB8D2"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p>
    <w:p w14:paraId="3E453332" w14:textId="77777777" w:rsidR="007C5B8D" w:rsidRPr="00692461" w:rsidRDefault="007C5B8D" w:rsidP="007C5B8D">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7FC9D602" w14:textId="77777777" w:rsidR="007C5B8D" w:rsidRPr="00692461" w:rsidRDefault="007C5B8D" w:rsidP="007C5B8D">
      <w:pPr>
        <w:spacing w:after="0" w:line="360" w:lineRule="auto"/>
        <w:jc w:val="both"/>
        <w:rPr>
          <w:rFonts w:ascii="Palatino Linotype" w:eastAsia="Palatino Linotype" w:hAnsi="Palatino Linotype" w:cs="Palatino Linotype"/>
          <w:sz w:val="24"/>
          <w:szCs w:val="24"/>
        </w:rPr>
      </w:pPr>
    </w:p>
    <w:p w14:paraId="7D240A8D" w14:textId="77777777" w:rsidR="007C5B8D" w:rsidRPr="00692461" w:rsidRDefault="007C5B8D" w:rsidP="007C5B8D">
      <w:pPr>
        <w:spacing w:after="0" w:line="360" w:lineRule="auto"/>
        <w:ind w:left="851" w:right="899"/>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 xml:space="preserve">cuando las respuestas que emitan guarden una relación </w:t>
      </w:r>
      <w:r w:rsidRPr="00692461">
        <w:rPr>
          <w:rFonts w:ascii="Palatino Linotype" w:eastAsia="Palatino Linotype" w:hAnsi="Palatino Linotype" w:cs="Palatino Linotype"/>
          <w:b/>
          <w:i/>
          <w:sz w:val="24"/>
          <w:szCs w:val="24"/>
        </w:rPr>
        <w:lastRenderedPageBreak/>
        <w:t>lógica con lo solicitado y atiendan de manera puntual y expresa, cada uno de los contenidos de información.</w:t>
      </w:r>
    </w:p>
    <w:p w14:paraId="6AB5BEED" w14:textId="77777777" w:rsidR="007C5B8D" w:rsidRPr="00692461" w:rsidRDefault="007C5B8D" w:rsidP="007C5B8D">
      <w:pPr>
        <w:spacing w:after="0" w:line="360" w:lineRule="auto"/>
        <w:ind w:left="851" w:right="902"/>
        <w:jc w:val="both"/>
        <w:rPr>
          <w:rFonts w:ascii="Palatino Linotype" w:eastAsia="Palatino Linotype" w:hAnsi="Palatino Linotype" w:cs="Palatino Linotype"/>
          <w:i/>
          <w:sz w:val="24"/>
          <w:szCs w:val="24"/>
        </w:rPr>
      </w:pPr>
    </w:p>
    <w:p w14:paraId="596A861A" w14:textId="77777777" w:rsidR="007C5B8D" w:rsidRPr="00692461" w:rsidRDefault="007C5B8D" w:rsidP="007C5B8D">
      <w:pPr>
        <w:spacing w:after="0" w:line="360" w:lineRule="auto"/>
        <w:ind w:left="851" w:right="899"/>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“PRINCIPIO </w:t>
      </w:r>
      <w:proofErr w:type="gramStart"/>
      <w:r w:rsidRPr="00692461">
        <w:rPr>
          <w:rFonts w:ascii="Palatino Linotype" w:eastAsia="Palatino Linotype" w:hAnsi="Palatino Linotype" w:cs="Palatino Linotype"/>
          <w:b/>
          <w:i/>
          <w:sz w:val="24"/>
          <w:szCs w:val="24"/>
        </w:rPr>
        <w:t>PRO PERSONA</w:t>
      </w:r>
      <w:proofErr w:type="gramEnd"/>
      <w:r w:rsidRPr="00692461">
        <w:rPr>
          <w:rFonts w:ascii="Palatino Linotype" w:eastAsia="Palatino Linotype" w:hAnsi="Palatino Linotype" w:cs="Palatino Linotype"/>
          <w:b/>
          <w:i/>
          <w:sz w:val="24"/>
          <w:szCs w:val="24"/>
        </w:rPr>
        <w:t>.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 xml:space="preserve">impone a las autoridades el deber de aplicar el principio </w:t>
      </w:r>
      <w:proofErr w:type="gramStart"/>
      <w:r w:rsidRPr="00692461">
        <w:rPr>
          <w:rFonts w:ascii="Palatino Linotype" w:eastAsia="Palatino Linotype" w:hAnsi="Palatino Linotype" w:cs="Palatino Linotype"/>
          <w:b/>
          <w:i/>
          <w:sz w:val="24"/>
          <w:szCs w:val="24"/>
        </w:rPr>
        <w:t>pro persona</w:t>
      </w:r>
      <w:proofErr w:type="gramEnd"/>
      <w:r w:rsidRPr="00692461">
        <w:rPr>
          <w:rFonts w:ascii="Palatino Linotype" w:eastAsia="Palatino Linotype" w:hAnsi="Palatino Linotype" w:cs="Palatino Linotype"/>
          <w:b/>
          <w:i/>
          <w:sz w:val="24"/>
          <w:szCs w:val="24"/>
        </w:rPr>
        <w:t xml:space="preserve">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w:t>
      </w:r>
      <w:r w:rsidRPr="00692461">
        <w:rPr>
          <w:rFonts w:ascii="Palatino Linotype" w:eastAsia="Palatino Linotype" w:hAnsi="Palatino Linotype" w:cs="Palatino Linotype"/>
          <w:i/>
          <w:sz w:val="24"/>
          <w:szCs w:val="24"/>
        </w:rPr>
        <w:lastRenderedPageBreak/>
        <w:t xml:space="preserve">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692461">
        <w:rPr>
          <w:rFonts w:ascii="Palatino Linotype" w:eastAsia="Palatino Linotype" w:hAnsi="Palatino Linotype" w:cs="Palatino Linotype"/>
          <w:i/>
          <w:sz w:val="24"/>
          <w:szCs w:val="24"/>
        </w:rPr>
        <w:t>que</w:t>
      </w:r>
      <w:proofErr w:type="gramEnd"/>
      <w:r w:rsidRPr="00692461">
        <w:rPr>
          <w:rFonts w:ascii="Palatino Linotype" w:eastAsia="Palatino Linotype" w:hAnsi="Palatino Linotype" w:cs="Palatino Linotype"/>
          <w:i/>
          <w:sz w:val="24"/>
          <w:szCs w:val="24"/>
        </w:rPr>
        <w:t xml:space="preserve"> con tales elementos, el órgano jurisdiccional de amparo podrá estar en condiciones de establecer si la aplicación del principio referido, propuesta por el quejoso, es viable o no en el caso particular del conocimiento.”</w:t>
      </w:r>
    </w:p>
    <w:p w14:paraId="66A784E2" w14:textId="77777777" w:rsidR="007C5B8D" w:rsidRPr="00692461" w:rsidRDefault="007C5B8D" w:rsidP="007C5B8D">
      <w:pPr>
        <w:spacing w:after="0" w:line="360" w:lineRule="auto"/>
        <w:ind w:left="851" w:right="899"/>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43A1D274" w14:textId="77777777" w:rsidR="007C5B8D" w:rsidRPr="00692461" w:rsidRDefault="007C5B8D" w:rsidP="007C5B8D">
      <w:pPr>
        <w:tabs>
          <w:tab w:val="left" w:pos="709"/>
        </w:tabs>
        <w:spacing w:after="0" w:line="360" w:lineRule="auto"/>
        <w:jc w:val="both"/>
        <w:rPr>
          <w:rFonts w:ascii="Palatino Linotype" w:eastAsia="Palatino Linotype" w:hAnsi="Palatino Linotype" w:cs="Palatino Linotype"/>
          <w:sz w:val="24"/>
          <w:szCs w:val="24"/>
        </w:rPr>
      </w:pPr>
    </w:p>
    <w:p w14:paraId="32138BC0" w14:textId="77777777" w:rsidR="007C5B8D" w:rsidRPr="00692461" w:rsidRDefault="007C5B8D" w:rsidP="007C5B8D">
      <w:pPr>
        <w:tabs>
          <w:tab w:val="left" w:pos="709"/>
        </w:tabs>
        <w:spacing w:after="0" w:line="360" w:lineRule="auto"/>
        <w:jc w:val="both"/>
        <w:rPr>
          <w:rFonts w:ascii="Palatino Linotype" w:eastAsia="Palatino Linotype" w:hAnsi="Palatino Linotype" w:cs="Palatino Linotype"/>
          <w:sz w:val="24"/>
          <w:szCs w:val="24"/>
        </w:rPr>
      </w:pPr>
      <w:r w:rsidRPr="001B2FE9">
        <w:rPr>
          <w:rFonts w:ascii="Palatino Linotype" w:eastAsia="Palatino Linotype" w:hAnsi="Palatino Linotype" w:cs="Palatino Linotype"/>
          <w:sz w:val="24"/>
          <w:szCs w:val="24"/>
        </w:rPr>
        <w:t>Bajo ese tenor, es importante</w:t>
      </w:r>
      <w:r w:rsidRPr="00692461">
        <w:rPr>
          <w:rFonts w:ascii="Palatino Linotype" w:eastAsia="Palatino Linotype" w:hAnsi="Palatino Linotype" w:cs="Palatino Linotype"/>
          <w:sz w:val="24"/>
          <w:szCs w:val="24"/>
        </w:rPr>
        <w:t xml:space="preserve"> hacer del conocimiento de las partes que </w:t>
      </w:r>
      <w:r w:rsidRPr="00692461">
        <w:rPr>
          <w:rFonts w:ascii="Palatino Linotype" w:eastAsia="Palatino Linotype" w:hAnsi="Palatino Linotype" w:cs="Palatino Linotype"/>
          <w:b/>
          <w:sz w:val="24"/>
          <w:szCs w:val="24"/>
        </w:rPr>
        <w:t xml:space="preserve">EL SUJETO OBLIGADO </w:t>
      </w:r>
      <w:r w:rsidRPr="00692461">
        <w:rPr>
          <w:rFonts w:ascii="Palatino Linotype" w:eastAsia="Palatino Linotype" w:hAnsi="Palatino Linotype" w:cs="Palatino Linotype"/>
          <w:sz w:val="24"/>
          <w:szCs w:val="24"/>
        </w:rPr>
        <w:t xml:space="preserve">deberá realizar una 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w:t>
      </w:r>
      <w:r w:rsidRPr="00692461">
        <w:rPr>
          <w:rFonts w:ascii="Palatino Linotype" w:eastAsia="Palatino Linotype" w:hAnsi="Palatino Linotype" w:cs="Palatino Linotype"/>
          <w:sz w:val="24"/>
          <w:szCs w:val="24"/>
        </w:rPr>
        <w:lastRenderedPageBreak/>
        <w:t>responsable para atender dicha Unidad, quien fungirá como enlace entre éstos y los solicitantes.</w:t>
      </w:r>
    </w:p>
    <w:p w14:paraId="32E515E6" w14:textId="77777777" w:rsidR="007C5B8D" w:rsidRPr="00692461" w:rsidRDefault="007C5B8D" w:rsidP="007C5B8D">
      <w:pPr>
        <w:tabs>
          <w:tab w:val="left" w:pos="709"/>
        </w:tabs>
        <w:spacing w:after="0" w:line="360" w:lineRule="auto"/>
        <w:jc w:val="both"/>
        <w:rPr>
          <w:rFonts w:ascii="Palatino Linotype" w:eastAsia="Palatino Linotype" w:hAnsi="Palatino Linotype" w:cs="Palatino Linotype"/>
          <w:sz w:val="24"/>
          <w:szCs w:val="24"/>
        </w:rPr>
      </w:pPr>
    </w:p>
    <w:p w14:paraId="1985E788" w14:textId="77777777" w:rsidR="007C5B8D" w:rsidRPr="00692461" w:rsidRDefault="007C5B8D" w:rsidP="007C5B8D">
      <w:pPr>
        <w:widowControl w:val="0"/>
        <w:tabs>
          <w:tab w:val="left" w:pos="1276"/>
        </w:tabs>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En este mismo orden ideas, el derecho de acceso a la Información Pública y el procedimiento para su acceso debe ser claro y preciso, a fin de dotar de certeza jurídica a todas las respuestas proporcionadas por los Sujetos Obligados.</w:t>
      </w:r>
    </w:p>
    <w:p w14:paraId="4110111E" w14:textId="77777777" w:rsidR="00642108" w:rsidRDefault="00642108" w:rsidP="002A3BE3">
      <w:pPr>
        <w:widowControl w:val="0"/>
        <w:tabs>
          <w:tab w:val="left" w:pos="1276"/>
        </w:tabs>
        <w:spacing w:after="0" w:line="360" w:lineRule="auto"/>
        <w:jc w:val="both"/>
        <w:rPr>
          <w:rFonts w:ascii="Palatino Linotype" w:eastAsia="Palatino Linotype" w:hAnsi="Palatino Linotype" w:cs="Palatino Linotype"/>
          <w:sz w:val="24"/>
          <w:szCs w:val="24"/>
        </w:rPr>
      </w:pPr>
    </w:p>
    <w:p w14:paraId="206D7508" w14:textId="77777777" w:rsidR="00CD02FA" w:rsidRPr="0080761C" w:rsidRDefault="00CD02FA" w:rsidP="00CD02FA">
      <w:pPr>
        <w:spacing w:after="0" w:line="360" w:lineRule="auto"/>
        <w:jc w:val="both"/>
        <w:rPr>
          <w:rFonts w:ascii="Palatino Linotype" w:hAnsi="Palatino Linotype" w:cs="Arial"/>
          <w:sz w:val="24"/>
          <w:szCs w:val="24"/>
          <w:lang w:val="es-419"/>
        </w:rPr>
      </w:pPr>
      <w:r w:rsidRPr="00692461">
        <w:rPr>
          <w:rFonts w:ascii="Palatino Linotype" w:eastAsia="Palatino Linotype" w:hAnsi="Palatino Linotype" w:cs="Palatino Linotype"/>
          <w:sz w:val="24"/>
          <w:szCs w:val="24"/>
        </w:rPr>
        <w:t xml:space="preserve">Ahora bien, </w:t>
      </w:r>
      <w:r>
        <w:rPr>
          <w:rFonts w:ascii="Palatino Linotype" w:eastAsia="Palatino Linotype" w:hAnsi="Palatino Linotype" w:cs="Palatino Linotype"/>
          <w:sz w:val="24"/>
          <w:szCs w:val="24"/>
          <w:lang w:val="es-419"/>
        </w:rPr>
        <w:t xml:space="preserve">el hoy </w:t>
      </w:r>
      <w:r w:rsidRPr="00123A41">
        <w:rPr>
          <w:rFonts w:ascii="Palatino Linotype" w:eastAsia="Palatino Linotype" w:hAnsi="Palatino Linotype" w:cs="Palatino Linotype"/>
          <w:sz w:val="24"/>
          <w:szCs w:val="24"/>
          <w:lang w:val="es-419"/>
        </w:rPr>
        <w:t xml:space="preserve">recurrente solicitó lo siguiente: </w:t>
      </w:r>
      <w:r w:rsidRPr="00123A41">
        <w:rPr>
          <w:rFonts w:ascii="Palatino Linotype" w:hAnsi="Palatino Linotype" w:cs="Arial"/>
          <w:sz w:val="24"/>
          <w:szCs w:val="24"/>
          <w:lang w:val="es-419"/>
        </w:rPr>
        <w:t>“S</w:t>
      </w:r>
      <w:r w:rsidRPr="00123A41">
        <w:rPr>
          <w:rFonts w:ascii="Palatino Linotype" w:hAnsi="Palatino Linotype" w:cs="Arial"/>
          <w:i/>
          <w:sz w:val="24"/>
          <w:szCs w:val="24"/>
          <w:lang w:val="es-419"/>
        </w:rPr>
        <w:t>olicito los nombre de todos los trabajadores que causaron baja en la primer quincena de enero y el motivo de dicha baja” (sic)</w:t>
      </w:r>
      <w:r>
        <w:rPr>
          <w:rFonts w:ascii="Palatino Linotype" w:hAnsi="Palatino Linotype" w:cs="Arial"/>
          <w:sz w:val="24"/>
          <w:szCs w:val="24"/>
          <w:lang w:val="es-419"/>
        </w:rPr>
        <w:t>, com</w:t>
      </w:r>
      <w:r w:rsidRPr="0080761C">
        <w:rPr>
          <w:rFonts w:ascii="Palatino Linotype" w:hAnsi="Palatino Linotype" w:cs="Arial"/>
          <w:sz w:val="24"/>
          <w:szCs w:val="24"/>
          <w:lang w:val="es-419"/>
        </w:rPr>
        <w:t>o podemos apreciar del texto de la solicitud de información pudiera contenerse información relacionada con servidores públicos adscritos a las unidades administrativas encargadas de la seguridad del Municipio</w:t>
      </w:r>
      <w:r>
        <w:rPr>
          <w:rFonts w:ascii="Palatino Linotype" w:hAnsi="Palatino Linotype" w:cs="Arial"/>
          <w:sz w:val="24"/>
          <w:szCs w:val="24"/>
          <w:lang w:val="es-419"/>
        </w:rPr>
        <w:t>,</w:t>
      </w:r>
      <w:r w:rsidRPr="0080761C">
        <w:rPr>
          <w:rFonts w:ascii="Palatino Linotype" w:hAnsi="Palatino Linotype" w:cs="Arial"/>
          <w:sz w:val="24"/>
          <w:szCs w:val="24"/>
          <w:lang w:val="es-419"/>
        </w:rPr>
        <w:t xml:space="preserve"> </w:t>
      </w:r>
      <w:r>
        <w:rPr>
          <w:rFonts w:ascii="Palatino Linotype" w:hAnsi="Palatino Linotype" w:cs="Arial"/>
          <w:sz w:val="24"/>
          <w:szCs w:val="24"/>
          <w:lang w:val="es-419"/>
        </w:rPr>
        <w:t>e</w:t>
      </w:r>
      <w:r w:rsidRPr="0080761C">
        <w:rPr>
          <w:rFonts w:ascii="Palatino Linotype" w:hAnsi="Palatino Linotype" w:cs="Arial"/>
          <w:sz w:val="24"/>
          <w:szCs w:val="24"/>
          <w:lang w:val="es-419"/>
        </w:rPr>
        <w:t xml:space="preserve">n este contexto, los artículos 22, 142, 143, 158, 159 y 160 de la Ley de Seguridad del Estado de México mismos que establecen lo siguiente: </w:t>
      </w:r>
    </w:p>
    <w:p w14:paraId="222F722C" w14:textId="77777777" w:rsidR="00CD02FA" w:rsidRPr="0080761C" w:rsidRDefault="00CD02FA" w:rsidP="00CD02FA">
      <w:pPr>
        <w:spacing w:after="0" w:line="360" w:lineRule="auto"/>
        <w:jc w:val="both"/>
        <w:rPr>
          <w:rFonts w:ascii="Palatino Linotype" w:hAnsi="Palatino Linotype" w:cs="Arial"/>
          <w:sz w:val="24"/>
          <w:szCs w:val="24"/>
          <w:lang w:val="es-419"/>
        </w:rPr>
      </w:pPr>
    </w:p>
    <w:p w14:paraId="113BD9A7" w14:textId="77777777" w:rsidR="00CD02FA" w:rsidRPr="0080761C" w:rsidRDefault="00CD02FA" w:rsidP="00CD02FA">
      <w:pPr>
        <w:spacing w:after="0" w:line="240" w:lineRule="auto"/>
        <w:ind w:left="567" w:right="539" w:firstLine="1"/>
        <w:jc w:val="both"/>
        <w:rPr>
          <w:rFonts w:ascii="Palatino Linotype" w:hAnsi="Palatino Linotype" w:cs="Arial"/>
          <w:i/>
          <w:iCs/>
          <w:sz w:val="24"/>
          <w:szCs w:val="24"/>
          <w:lang w:val="es-ES"/>
        </w:rPr>
      </w:pPr>
      <w:r>
        <w:rPr>
          <w:rFonts w:ascii="Palatino Linotype" w:hAnsi="Palatino Linotype" w:cs="Arial"/>
          <w:b/>
          <w:bCs/>
          <w:i/>
          <w:iCs/>
          <w:sz w:val="24"/>
          <w:szCs w:val="24"/>
          <w:lang w:val="es-419"/>
        </w:rPr>
        <w:t>“</w:t>
      </w:r>
      <w:r w:rsidRPr="0080761C">
        <w:rPr>
          <w:rFonts w:ascii="Palatino Linotype" w:hAnsi="Palatino Linotype" w:cs="Arial"/>
          <w:b/>
          <w:bCs/>
          <w:i/>
          <w:iCs/>
          <w:sz w:val="24"/>
          <w:szCs w:val="24"/>
          <w:lang w:val="es-ES"/>
        </w:rPr>
        <w:t>Artículo 22.</w:t>
      </w:r>
      <w:r w:rsidRPr="0080761C">
        <w:rPr>
          <w:rFonts w:ascii="Palatino Linotype" w:hAnsi="Palatino Linotype" w:cs="Arial"/>
          <w:i/>
          <w:iCs/>
          <w:sz w:val="24"/>
          <w:szCs w:val="24"/>
          <w:lang w:val="es-ES"/>
        </w:rPr>
        <w:t xml:space="preserve">- Son atribuciones del </w:t>
      </w:r>
      <w:proofErr w:type="gramStart"/>
      <w:r w:rsidRPr="0080761C">
        <w:rPr>
          <w:rFonts w:ascii="Palatino Linotype" w:hAnsi="Palatino Linotype" w:cs="Arial"/>
          <w:i/>
          <w:iCs/>
          <w:sz w:val="24"/>
          <w:szCs w:val="24"/>
          <w:lang w:val="es-ES"/>
        </w:rPr>
        <w:t>Director</w:t>
      </w:r>
      <w:proofErr w:type="gramEnd"/>
      <w:r w:rsidRPr="0080761C">
        <w:rPr>
          <w:rFonts w:ascii="Palatino Linotype" w:hAnsi="Palatino Linotype" w:cs="Arial"/>
          <w:i/>
          <w:iCs/>
          <w:sz w:val="24"/>
          <w:szCs w:val="24"/>
          <w:lang w:val="es-ES"/>
        </w:rPr>
        <w:t xml:space="preserve"> de Seguridad Pública Municipal:</w:t>
      </w:r>
    </w:p>
    <w:p w14:paraId="4019A313" w14:textId="77777777" w:rsidR="00CD02FA" w:rsidRPr="0080761C" w:rsidRDefault="00CD02FA" w:rsidP="00CD02FA">
      <w:pPr>
        <w:spacing w:after="0" w:line="240" w:lineRule="auto"/>
        <w:ind w:left="567" w:right="539" w:firstLine="1"/>
        <w:jc w:val="both"/>
        <w:rPr>
          <w:rFonts w:ascii="Palatino Linotype" w:hAnsi="Palatino Linotype" w:cs="Arial"/>
          <w:i/>
          <w:iCs/>
          <w:sz w:val="24"/>
          <w:szCs w:val="24"/>
          <w:lang w:val="es-ES"/>
        </w:rPr>
      </w:pPr>
      <w:r w:rsidRPr="0080761C">
        <w:rPr>
          <w:rFonts w:ascii="Palatino Linotype" w:hAnsi="Palatino Linotype" w:cs="Arial"/>
          <w:i/>
          <w:iCs/>
          <w:sz w:val="24"/>
          <w:szCs w:val="24"/>
          <w:lang w:val="es-ES"/>
        </w:rPr>
        <w:t>I a VI…</w:t>
      </w:r>
    </w:p>
    <w:p w14:paraId="3291EDB7" w14:textId="77777777" w:rsidR="00CD02FA" w:rsidRPr="0080761C" w:rsidRDefault="00CD02FA" w:rsidP="00CD02FA">
      <w:pPr>
        <w:spacing w:after="0" w:line="240" w:lineRule="auto"/>
        <w:ind w:left="567" w:right="539" w:firstLine="1"/>
        <w:jc w:val="both"/>
        <w:rPr>
          <w:rFonts w:ascii="Palatino Linotype" w:hAnsi="Palatino Linotype" w:cs="Arial"/>
          <w:i/>
          <w:iCs/>
          <w:sz w:val="24"/>
          <w:szCs w:val="24"/>
          <w:lang w:val="es-ES"/>
        </w:rPr>
      </w:pPr>
      <w:r w:rsidRPr="0080761C">
        <w:rPr>
          <w:rFonts w:ascii="Palatino Linotype" w:hAnsi="Palatino Linotype" w:cs="Arial"/>
          <w:i/>
          <w:iCs/>
          <w:sz w:val="24"/>
          <w:szCs w:val="24"/>
          <w:lang w:val="es-ES"/>
        </w:rPr>
        <w:t>VII. I</w:t>
      </w:r>
      <w:r w:rsidRPr="0080761C">
        <w:rPr>
          <w:rFonts w:ascii="Palatino Linotype" w:hAnsi="Palatino Linotype" w:cs="Arial"/>
          <w:b/>
          <w:i/>
          <w:iCs/>
          <w:sz w:val="24"/>
          <w:szCs w:val="24"/>
          <w:lang w:val="es-ES"/>
        </w:rPr>
        <w:t>nformar a las autoridades competentes sobre los movimientos de altas y</w:t>
      </w:r>
      <w:r w:rsidRPr="0080761C">
        <w:rPr>
          <w:rFonts w:ascii="Palatino Linotype" w:hAnsi="Palatino Linotype" w:cs="Arial"/>
          <w:i/>
          <w:iCs/>
          <w:sz w:val="24"/>
          <w:szCs w:val="24"/>
          <w:lang w:val="es-ES"/>
        </w:rPr>
        <w:t xml:space="preserve"> </w:t>
      </w:r>
      <w:r w:rsidRPr="0080761C">
        <w:rPr>
          <w:rFonts w:ascii="Palatino Linotype" w:hAnsi="Palatino Linotype" w:cs="Arial"/>
          <w:b/>
          <w:bCs/>
          <w:i/>
          <w:iCs/>
          <w:sz w:val="24"/>
          <w:szCs w:val="24"/>
          <w:u w:val="single"/>
          <w:lang w:val="es-ES"/>
        </w:rPr>
        <w:t>bajas</w:t>
      </w:r>
      <w:r w:rsidRPr="0080761C">
        <w:rPr>
          <w:rFonts w:ascii="Palatino Linotype" w:hAnsi="Palatino Linotype" w:cs="Arial"/>
          <w:i/>
          <w:iCs/>
          <w:sz w:val="24"/>
          <w:szCs w:val="24"/>
          <w:lang w:val="es-ES"/>
        </w:rPr>
        <w:t xml:space="preserve"> de los integrantes de las instituciones policiales a su cargo, así como de sus vehículos, armamento, municiones y equipo;</w:t>
      </w:r>
    </w:p>
    <w:p w14:paraId="235948D8" w14:textId="77777777" w:rsidR="00CD02FA" w:rsidRPr="0080761C" w:rsidRDefault="00CD02FA" w:rsidP="00CD02FA">
      <w:pPr>
        <w:spacing w:after="0" w:line="240" w:lineRule="auto"/>
        <w:ind w:left="567" w:right="539" w:firstLine="1"/>
        <w:jc w:val="both"/>
        <w:rPr>
          <w:rFonts w:ascii="Palatino Linotype" w:hAnsi="Palatino Linotype" w:cs="Arial"/>
          <w:i/>
          <w:iCs/>
          <w:sz w:val="24"/>
          <w:szCs w:val="24"/>
          <w:lang w:val="es-ES"/>
        </w:rPr>
      </w:pPr>
      <w:r w:rsidRPr="0080761C">
        <w:rPr>
          <w:rFonts w:ascii="Palatino Linotype" w:hAnsi="Palatino Linotype" w:cs="Arial"/>
          <w:i/>
          <w:iCs/>
          <w:sz w:val="24"/>
          <w:szCs w:val="24"/>
          <w:lang w:val="es-ES"/>
        </w:rPr>
        <w:t>XII…</w:t>
      </w:r>
    </w:p>
    <w:p w14:paraId="334C4542" w14:textId="77777777" w:rsidR="00CD02FA" w:rsidRPr="0080761C" w:rsidRDefault="00CD02FA" w:rsidP="00CD02FA">
      <w:pPr>
        <w:spacing w:after="0" w:line="240" w:lineRule="auto"/>
        <w:ind w:left="567" w:right="539" w:firstLine="1"/>
        <w:jc w:val="both"/>
        <w:rPr>
          <w:rFonts w:ascii="Palatino Linotype" w:hAnsi="Palatino Linotype" w:cs="Arial"/>
          <w:i/>
          <w:iCs/>
          <w:sz w:val="24"/>
          <w:szCs w:val="24"/>
          <w:lang w:val="es-ES"/>
        </w:rPr>
      </w:pPr>
    </w:p>
    <w:p w14:paraId="1009D710"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b/>
          <w:bCs/>
          <w:i/>
          <w:iCs/>
          <w:sz w:val="24"/>
          <w:szCs w:val="24"/>
        </w:rPr>
        <w:t>Artículo 142.-</w:t>
      </w:r>
      <w:r w:rsidRPr="0080761C">
        <w:rPr>
          <w:rFonts w:ascii="Palatino Linotype" w:hAnsi="Palatino Linotype"/>
          <w:i/>
          <w:iCs/>
          <w:sz w:val="24"/>
          <w:szCs w:val="24"/>
        </w:rPr>
        <w:t xml:space="preserve"> </w:t>
      </w:r>
      <w:r w:rsidRPr="0080761C">
        <w:rPr>
          <w:rFonts w:ascii="Palatino Linotype" w:hAnsi="Palatino Linotype"/>
          <w:b/>
          <w:i/>
          <w:iCs/>
          <w:sz w:val="24"/>
          <w:szCs w:val="24"/>
        </w:rPr>
        <w:t>La organización jerárquica</w:t>
      </w:r>
      <w:r w:rsidRPr="0080761C">
        <w:rPr>
          <w:rFonts w:ascii="Palatino Linotype" w:hAnsi="Palatino Linotype"/>
          <w:i/>
          <w:iCs/>
          <w:sz w:val="24"/>
          <w:szCs w:val="24"/>
        </w:rPr>
        <w:t xml:space="preserve"> de las Instituciones Policiales, se considerará al menos las categorías siguientes: </w:t>
      </w:r>
    </w:p>
    <w:p w14:paraId="648C2B5F"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I. Comisarios; </w:t>
      </w:r>
    </w:p>
    <w:p w14:paraId="7068BBF1"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II. Inspectores; </w:t>
      </w:r>
    </w:p>
    <w:p w14:paraId="7CFF03FC"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III. Oficiales; y </w:t>
      </w:r>
    </w:p>
    <w:p w14:paraId="5E48C911"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IV. Escala Básica.</w:t>
      </w:r>
    </w:p>
    <w:p w14:paraId="29566805"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p>
    <w:p w14:paraId="72E14F4C"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b/>
          <w:bCs/>
          <w:i/>
          <w:iCs/>
          <w:sz w:val="24"/>
          <w:szCs w:val="24"/>
        </w:rPr>
        <w:lastRenderedPageBreak/>
        <w:t>Artículo 143</w:t>
      </w:r>
      <w:r w:rsidRPr="0080761C">
        <w:rPr>
          <w:rFonts w:ascii="Palatino Linotype" w:hAnsi="Palatino Linotype"/>
          <w:i/>
          <w:iCs/>
          <w:sz w:val="24"/>
          <w:szCs w:val="24"/>
        </w:rPr>
        <w:t xml:space="preserve">.- En las Instituciones Policiales </w:t>
      </w:r>
      <w:r w:rsidRPr="0080761C">
        <w:rPr>
          <w:rFonts w:ascii="Palatino Linotype" w:hAnsi="Palatino Linotype"/>
          <w:b/>
          <w:i/>
          <w:iCs/>
          <w:sz w:val="24"/>
          <w:szCs w:val="24"/>
        </w:rPr>
        <w:t>las categorías</w:t>
      </w:r>
      <w:r w:rsidRPr="0080761C">
        <w:rPr>
          <w:rFonts w:ascii="Palatino Linotype" w:hAnsi="Palatino Linotype"/>
          <w:i/>
          <w:iCs/>
          <w:sz w:val="24"/>
          <w:szCs w:val="24"/>
        </w:rPr>
        <w:t xml:space="preserve"> previstas en el artículo anterior serán:</w:t>
      </w:r>
    </w:p>
    <w:p w14:paraId="48ABFB63"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bCs/>
          <w:i/>
          <w:iCs/>
          <w:sz w:val="24"/>
          <w:szCs w:val="24"/>
        </w:rPr>
        <w:t xml:space="preserve">I a III… </w:t>
      </w:r>
    </w:p>
    <w:p w14:paraId="08D7EAA5"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IV. Escala Básica: </w:t>
      </w:r>
    </w:p>
    <w:p w14:paraId="5E518213"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a) Policía Primero; </w:t>
      </w:r>
    </w:p>
    <w:p w14:paraId="77F7ED56"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b) Policía Segundo; </w:t>
      </w:r>
    </w:p>
    <w:p w14:paraId="7D5905A8"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c) Policía Tercero; y </w:t>
      </w:r>
    </w:p>
    <w:p w14:paraId="5B3B0354" w14:textId="77777777" w:rsidR="00CD02FA" w:rsidRPr="0080761C" w:rsidRDefault="00CD02FA" w:rsidP="00CD02FA">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d) Policía.</w:t>
      </w:r>
    </w:p>
    <w:p w14:paraId="01FB8CC1" w14:textId="77777777" w:rsidR="00CD02FA" w:rsidRPr="0080761C" w:rsidRDefault="00CD02FA" w:rsidP="00CD02FA">
      <w:pPr>
        <w:spacing w:after="0" w:line="240" w:lineRule="auto"/>
        <w:ind w:left="567" w:right="539" w:firstLine="1"/>
        <w:jc w:val="both"/>
        <w:rPr>
          <w:rFonts w:ascii="Palatino Linotype" w:hAnsi="Palatino Linotype" w:cs="Arial"/>
          <w:i/>
          <w:iCs/>
          <w:sz w:val="24"/>
          <w:szCs w:val="24"/>
          <w:lang w:val="es-ES"/>
        </w:rPr>
      </w:pPr>
    </w:p>
    <w:p w14:paraId="2A53766C"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Artículo 158.-</w:t>
      </w:r>
      <w:r w:rsidRPr="0080761C">
        <w:rPr>
          <w:rFonts w:ascii="Palatino Linotype" w:hAnsi="Palatino Linotype"/>
          <w:i/>
          <w:iCs/>
          <w:color w:val="000000"/>
        </w:rPr>
        <w:t xml:space="preserve"> La conclusión del servicio de un elemento es la terminación de su nombramiento o la cesación de sus efectos legales por las siguientes causas: </w:t>
      </w:r>
    </w:p>
    <w:p w14:paraId="5EF2CA74"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I. Separación</w:t>
      </w:r>
      <w:r w:rsidRPr="0080761C">
        <w:rPr>
          <w:rFonts w:ascii="Palatino Linotype" w:hAnsi="Palatino Linotype"/>
          <w:i/>
          <w:iCs/>
          <w:color w:val="000000"/>
        </w:rPr>
        <w:t xml:space="preserve">, por incumplimiento de cualquiera de los requisitos de permanencia, o cuando en los procesos de promoción concurran las siguientes circunstancias: </w:t>
      </w:r>
    </w:p>
    <w:p w14:paraId="234D9DFB"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a) Si hubiere sido convocado a tres procesos consecutivos de promoción sin que haya participado en los mismos, o </w:t>
      </w:r>
      <w:proofErr w:type="gramStart"/>
      <w:r w:rsidRPr="0080761C">
        <w:rPr>
          <w:rFonts w:ascii="Palatino Linotype" w:hAnsi="Palatino Linotype"/>
          <w:i/>
          <w:iCs/>
          <w:color w:val="000000"/>
        </w:rPr>
        <w:t>que</w:t>
      </w:r>
      <w:proofErr w:type="gramEnd"/>
      <w:r w:rsidRPr="0080761C">
        <w:rPr>
          <w:rFonts w:ascii="Palatino Linotype" w:hAnsi="Palatino Linotype"/>
          <w:i/>
          <w:iCs/>
          <w:color w:val="000000"/>
        </w:rPr>
        <w:t xml:space="preserve"> habiendo participado en dichos procesos, no hubiese obtenido el grado inmediato superior que le correspondería por causas imputables a él; </w:t>
      </w:r>
    </w:p>
    <w:p w14:paraId="73B277DA"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b) Que haya alcanzado la edad máxima correspondiente a su jerarquía, de acuerdo con lo establecido en las disposiciones aplicables; y </w:t>
      </w:r>
    </w:p>
    <w:p w14:paraId="20ACE5F3"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c) Que del expediente del integrante no se desprendan méritos suficientes a juicio de las Comisiones para conservar su permanencia. </w:t>
      </w:r>
    </w:p>
    <w:p w14:paraId="23FE6994"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II. Remoción</w:t>
      </w:r>
      <w:r w:rsidRPr="0080761C">
        <w:rPr>
          <w:rFonts w:ascii="Palatino Linotype" w:hAnsi="Palatino Linotype"/>
          <w:i/>
          <w:iCs/>
          <w:color w:val="000000"/>
        </w:rPr>
        <w:t xml:space="preserve">, por incurrir en responsabilidad en el desempeño de sus funciones o incumplimiento de sus deberes, de conformidad con las disposiciones relativas al régimen disciplinario; o </w:t>
      </w:r>
    </w:p>
    <w:p w14:paraId="7225257C"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III. Baja</w:t>
      </w:r>
      <w:r w:rsidRPr="0080761C">
        <w:rPr>
          <w:rFonts w:ascii="Palatino Linotype" w:hAnsi="Palatino Linotype"/>
          <w:i/>
          <w:iCs/>
          <w:color w:val="000000"/>
        </w:rPr>
        <w:t xml:space="preserve">, por </w:t>
      </w:r>
    </w:p>
    <w:p w14:paraId="161BF445"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a) Renuncia; </w:t>
      </w:r>
    </w:p>
    <w:p w14:paraId="4976B609"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b) Muerte o incapacidad permanente; o </w:t>
      </w:r>
    </w:p>
    <w:p w14:paraId="6A324F3C"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c) Jubilación o retiro. </w:t>
      </w:r>
    </w:p>
    <w:p w14:paraId="27169414"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Al concluir el servicio, el elemento deberá entregar al funcionario designado para tal efecto, toda la información, documentación, equipo, materiales, identificaciones, valores u otros recursos que hayan sido puestos bajo su responsabilidad o custodia mediante acta de entrega recepción. </w:t>
      </w:r>
    </w:p>
    <w:p w14:paraId="283B9098" w14:textId="77777777" w:rsidR="00CD02FA" w:rsidRPr="0080761C" w:rsidRDefault="00CD02FA" w:rsidP="00CD02FA">
      <w:pPr>
        <w:pStyle w:val="Prrafodelista"/>
        <w:tabs>
          <w:tab w:val="left" w:pos="567"/>
        </w:tabs>
        <w:ind w:left="567" w:right="539"/>
        <w:jc w:val="both"/>
        <w:rPr>
          <w:rFonts w:ascii="Palatino Linotype" w:hAnsi="Palatino Linotype"/>
          <w:b/>
          <w:i/>
          <w:iCs/>
          <w:color w:val="000000"/>
        </w:rPr>
      </w:pPr>
    </w:p>
    <w:p w14:paraId="1026DC15"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Artículo I59.-</w:t>
      </w:r>
      <w:r w:rsidRPr="0080761C">
        <w:rPr>
          <w:rFonts w:ascii="Palatino Linotype" w:hAnsi="Palatino Linotype"/>
          <w:i/>
          <w:iCs/>
          <w:color w:val="000000"/>
        </w:rPr>
        <w:t xml:space="preserve"> Los elementos de las Instituciones Policiales que hayan alcanzado las edades límite para la permanencia, previstas en las disposiciones que los rijan, podrán ser reubicados, a consideración de las instancias, en otras áreas de los servicios de las propias Instituciones.</w:t>
      </w:r>
    </w:p>
    <w:p w14:paraId="3DD5C255" w14:textId="77777777" w:rsidR="00CD02FA" w:rsidRPr="0080761C" w:rsidRDefault="00CD02FA" w:rsidP="00CD02FA">
      <w:pPr>
        <w:pStyle w:val="Prrafodelista"/>
        <w:tabs>
          <w:tab w:val="left" w:pos="567"/>
        </w:tabs>
        <w:ind w:left="567" w:right="539"/>
        <w:jc w:val="both"/>
        <w:rPr>
          <w:rFonts w:ascii="Palatino Linotype" w:hAnsi="Palatino Linotype"/>
          <w:b/>
          <w:i/>
          <w:iCs/>
          <w:color w:val="000000"/>
        </w:rPr>
      </w:pPr>
    </w:p>
    <w:p w14:paraId="4C8D1344"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Artículo 160.-</w:t>
      </w:r>
      <w:r w:rsidRPr="0080761C">
        <w:rPr>
          <w:rFonts w:ascii="Palatino Linotype" w:hAnsi="Palatino Linotype"/>
          <w:i/>
          <w:iCs/>
          <w:color w:val="000000"/>
        </w:rPr>
        <w:t xml:space="preserve"> </w:t>
      </w:r>
      <w:r w:rsidRPr="0080761C">
        <w:rPr>
          <w:rFonts w:ascii="Palatino Linotype" w:hAnsi="Palatino Linotype"/>
          <w:b/>
          <w:i/>
          <w:iCs/>
          <w:color w:val="000000"/>
        </w:rPr>
        <w:t>La Comisión de Honor y Justicia</w:t>
      </w:r>
      <w:r w:rsidRPr="0080761C">
        <w:rPr>
          <w:rFonts w:ascii="Palatino Linotype" w:hAnsi="Palatino Linotype"/>
          <w:i/>
          <w:iCs/>
          <w:color w:val="000000"/>
        </w:rPr>
        <w:t>, es un órgano colegiado que tendrá como atribución llevar a cabo, en el ámbito de su competencia, l</w:t>
      </w:r>
      <w:r w:rsidRPr="0080761C">
        <w:rPr>
          <w:rFonts w:ascii="Palatino Linotype" w:hAnsi="Palatino Linotype"/>
          <w:b/>
          <w:i/>
          <w:iCs/>
          <w:color w:val="000000"/>
        </w:rPr>
        <w:t>os procedimientos en los que se resuelva la suspensión temporal, separación, remoción, baja</w:t>
      </w:r>
      <w:r w:rsidRPr="0080761C">
        <w:rPr>
          <w:rFonts w:ascii="Palatino Linotype" w:hAnsi="Palatino Linotype"/>
          <w:i/>
          <w:iCs/>
          <w:color w:val="000000"/>
        </w:rPr>
        <w:t>, cese o cualquier otra forma de terminación del servicio de los elementos policiales de conformidad con lo establecido en el artículo 123, apartado B, fracción XIII de la Constitución Federal y la Ley General, cuando incumplan:</w:t>
      </w:r>
    </w:p>
    <w:p w14:paraId="5B28F01E"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p>
    <w:p w14:paraId="4C9095A0"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 I. Con los requisitos de permanencia que se establecen en la Ley General, esta Ley y demás disposiciones legales aplicables;</w:t>
      </w:r>
    </w:p>
    <w:p w14:paraId="61C8F616"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II. Con las obligaciones establecidas en la Ley General, esta Ley y los ordenamientos jurídicos internos que rigen su actuar; y </w:t>
      </w:r>
    </w:p>
    <w:p w14:paraId="75959776"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III. Con el régimen disciplinario establecido en esta Ley. La Comisión de Honor y Justicia implementará una base de datos en la que se registrarán las sanciones impuestas a los integrantes de las Instituciones Policiales.</w:t>
      </w:r>
    </w:p>
    <w:p w14:paraId="06E0722C" w14:textId="77777777" w:rsidR="00CD02FA" w:rsidRPr="0080761C" w:rsidRDefault="00CD02FA" w:rsidP="00CD02FA">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w:t>
      </w:r>
    </w:p>
    <w:p w14:paraId="6B88AF77" w14:textId="77777777" w:rsidR="00CD02FA" w:rsidRPr="0080761C" w:rsidRDefault="00CD02FA" w:rsidP="00CD02FA">
      <w:pPr>
        <w:spacing w:after="0" w:line="240" w:lineRule="auto"/>
        <w:ind w:left="567" w:right="567"/>
        <w:jc w:val="both"/>
        <w:rPr>
          <w:rFonts w:ascii="Palatino Linotype" w:eastAsia="Calibri" w:hAnsi="Palatino Linotype" w:cs="Tahoma"/>
          <w:bCs/>
          <w:sz w:val="24"/>
          <w:szCs w:val="24"/>
          <w:lang w:val="es-ES"/>
        </w:rPr>
      </w:pPr>
      <w:r w:rsidRPr="0080761C">
        <w:rPr>
          <w:rFonts w:ascii="Palatino Linotype" w:eastAsia="Calibri" w:hAnsi="Palatino Linotype" w:cs="Tahoma"/>
          <w:bCs/>
          <w:sz w:val="24"/>
          <w:szCs w:val="24"/>
          <w:lang w:val="es-ES"/>
        </w:rPr>
        <w:t>(Énfasis añadido)</w:t>
      </w:r>
    </w:p>
    <w:p w14:paraId="75C04BE2" w14:textId="77777777" w:rsidR="00CD02FA" w:rsidRPr="0080761C" w:rsidRDefault="00CD02FA" w:rsidP="00CD02FA">
      <w:pPr>
        <w:tabs>
          <w:tab w:val="left" w:pos="567"/>
        </w:tabs>
        <w:spacing w:after="0" w:line="360" w:lineRule="auto"/>
        <w:jc w:val="both"/>
        <w:rPr>
          <w:rFonts w:ascii="Palatino Linotype" w:hAnsi="Palatino Linotype"/>
          <w:i/>
          <w:iCs/>
          <w:color w:val="000000"/>
          <w:sz w:val="24"/>
          <w:szCs w:val="24"/>
        </w:rPr>
      </w:pPr>
    </w:p>
    <w:p w14:paraId="6D2C0D6B" w14:textId="77777777" w:rsidR="00CD02FA" w:rsidRPr="0080761C" w:rsidRDefault="00CD02FA" w:rsidP="00CD02FA">
      <w:pPr>
        <w:tabs>
          <w:tab w:val="left" w:pos="567"/>
        </w:tabs>
        <w:spacing w:after="0" w:line="360" w:lineRule="auto"/>
        <w:jc w:val="both"/>
        <w:rPr>
          <w:rFonts w:ascii="Palatino Linotype" w:hAnsi="Palatino Linotype"/>
          <w:color w:val="000000"/>
          <w:sz w:val="24"/>
          <w:szCs w:val="24"/>
        </w:rPr>
      </w:pPr>
      <w:r w:rsidRPr="0080761C">
        <w:rPr>
          <w:rFonts w:ascii="Palatino Linotype" w:hAnsi="Palatino Linotype"/>
          <w:color w:val="000000"/>
          <w:sz w:val="24"/>
          <w:szCs w:val="24"/>
        </w:rPr>
        <w:t>Derivado de la normatividad antes citada, se aprecia que los Municipios, deben contar con un Titular del área de Seguridad Pública; el cual, entre otras atribuciones, cuenta con la de informar a las autoridades competentes de los movimientos de altas y bajas de los elementos que integran las instituciones policiales; asimismo, conoce del puesto o categoría de cada elemento de conformidad con la clasificación antes expuesta.</w:t>
      </w:r>
    </w:p>
    <w:p w14:paraId="4E0BA680" w14:textId="77777777" w:rsidR="00CD02FA" w:rsidRPr="0080761C" w:rsidRDefault="00CD02FA" w:rsidP="00CD02FA">
      <w:pPr>
        <w:tabs>
          <w:tab w:val="left" w:pos="567"/>
        </w:tabs>
        <w:spacing w:after="0" w:line="360" w:lineRule="auto"/>
        <w:jc w:val="both"/>
        <w:rPr>
          <w:rFonts w:ascii="Palatino Linotype" w:hAnsi="Palatino Linotype"/>
          <w:color w:val="000000"/>
          <w:sz w:val="24"/>
          <w:szCs w:val="24"/>
        </w:rPr>
      </w:pPr>
    </w:p>
    <w:p w14:paraId="2FFF543E" w14:textId="77777777" w:rsidR="00CD02FA" w:rsidRPr="0080761C" w:rsidRDefault="00CD02FA" w:rsidP="00CD02FA">
      <w:pPr>
        <w:tabs>
          <w:tab w:val="left" w:pos="567"/>
        </w:tabs>
        <w:spacing w:after="0" w:line="360" w:lineRule="auto"/>
        <w:jc w:val="both"/>
        <w:rPr>
          <w:rFonts w:ascii="Palatino Linotype" w:hAnsi="Palatino Linotype"/>
          <w:color w:val="000000"/>
          <w:sz w:val="24"/>
          <w:szCs w:val="24"/>
        </w:rPr>
      </w:pPr>
      <w:r w:rsidRPr="0080761C">
        <w:rPr>
          <w:rFonts w:ascii="Palatino Linotype" w:hAnsi="Palatino Linotype"/>
          <w:color w:val="000000"/>
          <w:sz w:val="24"/>
          <w:szCs w:val="24"/>
        </w:rPr>
        <w:t>Aunado a ello, se advierte la existencia de la Comisión de Honor y Justicia, que es la encargada de realizar los procedimientos que se llevan a cabo con motivo de suspensiones temporales, remociones y baja del personal que incumple con la normatividad aplicable.</w:t>
      </w:r>
    </w:p>
    <w:p w14:paraId="714F9CE5" w14:textId="77777777" w:rsidR="00CD02FA" w:rsidRPr="0080761C" w:rsidRDefault="00CD02FA" w:rsidP="00CD02FA">
      <w:pPr>
        <w:tabs>
          <w:tab w:val="left" w:pos="567"/>
        </w:tabs>
        <w:spacing w:after="0" w:line="360" w:lineRule="auto"/>
        <w:jc w:val="both"/>
        <w:rPr>
          <w:rFonts w:ascii="Palatino Linotype" w:hAnsi="Palatino Linotype"/>
          <w:color w:val="000000"/>
          <w:sz w:val="24"/>
          <w:szCs w:val="24"/>
        </w:rPr>
      </w:pPr>
    </w:p>
    <w:p w14:paraId="1642FD3F"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lang w:val="es-419"/>
        </w:rPr>
      </w:pPr>
      <w:r w:rsidRPr="00C94405">
        <w:rPr>
          <w:rFonts w:ascii="Palatino Linotype" w:hAnsi="Palatino Linotype"/>
          <w:color w:val="000000"/>
          <w:sz w:val="24"/>
          <w:szCs w:val="24"/>
        </w:rPr>
        <w:t xml:space="preserve">Ahora bien, cabe destacar que el Bando Municipal, del Sujeto Obligado, vigente al 2022; ya que corresponde al año en el que se solicitó la información; establece, en su artículo </w:t>
      </w:r>
      <w:r w:rsidRPr="00C94405">
        <w:rPr>
          <w:rFonts w:ascii="Palatino Linotype" w:hAnsi="Palatino Linotype"/>
          <w:color w:val="000000"/>
          <w:sz w:val="24"/>
          <w:szCs w:val="24"/>
        </w:rPr>
        <w:lastRenderedPageBreak/>
        <w:t>19 la estructura orgánica del Sujeto Obligado, en el que se identifica a la Dirección de Seguridad Pública, que se compone de la Coordinación de Protección Civil, la Coordinación de Tránsito y Vialidad, la Coordinación de Prevención del Delito, la Coordinación del Escritorio Público de la Policía y de la Secretaría Técnica del Consejo Municipal de Seguridad Pública</w:t>
      </w:r>
      <w:r>
        <w:rPr>
          <w:rFonts w:ascii="Palatino Linotype" w:hAnsi="Palatino Linotype"/>
          <w:color w:val="000000"/>
          <w:sz w:val="24"/>
          <w:szCs w:val="24"/>
          <w:lang w:val="es-419"/>
        </w:rPr>
        <w:t>.</w:t>
      </w:r>
    </w:p>
    <w:p w14:paraId="22FA1DB3"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p>
    <w:p w14:paraId="70521E43"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Asimismo, el Bando Municipal en análisis, también prevé en el artículo en cita a la Dirección de Administración, la cual está compuesta por la Coordinación de Recursos Humanos, la Coordinación de Recursos Materiales y la Coordinador de Parque Vehicular.</w:t>
      </w:r>
    </w:p>
    <w:p w14:paraId="195FE010"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p>
    <w:p w14:paraId="0E2372B3"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De la estructura con la que cuenta la Dirección de Administración, se advierte, que también, puede contar con la información solicitada, pues es la encargada de administrar el personal que labora para el Sujeto Obligado y debe registrar y realizar los movimientos del personal, incluyendo las altas y bajas.</w:t>
      </w:r>
    </w:p>
    <w:p w14:paraId="00F3E8F1"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p>
    <w:p w14:paraId="283C0399"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 xml:space="preserve">En atención a lo </w:t>
      </w:r>
      <w:r>
        <w:rPr>
          <w:rFonts w:ascii="Palatino Linotype" w:hAnsi="Palatino Linotype"/>
          <w:color w:val="000000"/>
          <w:sz w:val="24"/>
          <w:szCs w:val="24"/>
          <w:lang w:val="es-419"/>
        </w:rPr>
        <w:t>anterior</w:t>
      </w:r>
      <w:r w:rsidRPr="00C94405">
        <w:rPr>
          <w:rFonts w:ascii="Palatino Linotype" w:hAnsi="Palatino Linotype"/>
          <w:color w:val="000000"/>
          <w:sz w:val="24"/>
          <w:szCs w:val="24"/>
        </w:rPr>
        <w:t xml:space="preserve">, es posible concluir que el Sujeto Obligado resulta competente para conocer de la información solicitada y que, esta puede obrar en los archivos que integran tanto </w:t>
      </w:r>
      <w:r>
        <w:rPr>
          <w:rFonts w:ascii="Palatino Linotype" w:hAnsi="Palatino Linotype"/>
          <w:color w:val="000000"/>
          <w:sz w:val="24"/>
          <w:szCs w:val="24"/>
          <w:lang w:val="es-419"/>
        </w:rPr>
        <w:t>l</w:t>
      </w:r>
      <w:r w:rsidRPr="00C94405">
        <w:rPr>
          <w:rFonts w:ascii="Palatino Linotype" w:hAnsi="Palatino Linotype"/>
          <w:color w:val="000000"/>
          <w:sz w:val="24"/>
          <w:szCs w:val="24"/>
        </w:rPr>
        <w:t>a Dirección de Seguridad Pública, que se compone de la Coordinación de Protección Civil, la Coordinación de Tránsito y Vialidad, la Coordinación de Prevención del Delito, la Coordinación del Escritorio Público de la Policía y de la Secretaría Técnica del Consejo Municipal de Seguridad Pública</w:t>
      </w:r>
      <w:r>
        <w:rPr>
          <w:rFonts w:ascii="Palatino Linotype" w:hAnsi="Palatino Linotype"/>
          <w:color w:val="000000"/>
          <w:sz w:val="24"/>
          <w:szCs w:val="24"/>
          <w:lang w:val="es-419"/>
        </w:rPr>
        <w:t xml:space="preserve"> como </w:t>
      </w:r>
      <w:r w:rsidRPr="00C94405">
        <w:rPr>
          <w:rFonts w:ascii="Palatino Linotype" w:hAnsi="Palatino Linotype"/>
          <w:color w:val="000000"/>
          <w:sz w:val="24"/>
          <w:szCs w:val="24"/>
        </w:rPr>
        <w:t>la Coordinación de Recursos Humanos, la Coordinación de Recursos Materiales</w:t>
      </w:r>
      <w:r>
        <w:rPr>
          <w:rFonts w:ascii="Palatino Linotype" w:hAnsi="Palatino Linotype"/>
          <w:color w:val="000000"/>
          <w:sz w:val="24"/>
          <w:szCs w:val="24"/>
          <w:lang w:val="es-419"/>
        </w:rPr>
        <w:t xml:space="preserve"> de la Dirección de Administración</w:t>
      </w:r>
      <w:r w:rsidRPr="00C94405">
        <w:rPr>
          <w:rFonts w:ascii="Palatino Linotype" w:hAnsi="Palatino Linotype"/>
          <w:color w:val="000000"/>
          <w:sz w:val="24"/>
          <w:szCs w:val="24"/>
        </w:rPr>
        <w:t>; por lo que el Sujeto Obligado deberá realizar la búsqueda exhaustiva y razonable en todas las áreas competentes.</w:t>
      </w:r>
    </w:p>
    <w:p w14:paraId="2162D835"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p>
    <w:p w14:paraId="680D1D24"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Incluso, de manera enunciativa más no limitativa, este Organismo Garante advierte que uno de los documentos que pudieran colmar la solicitud de información formulada por el Particular, sería el formato de baja y alta, que forma parte de los instrumentos que se entregan al Órgano Superior de Fiscalización del Estado de México (OSFEM) para su fiscalización.</w:t>
      </w:r>
    </w:p>
    <w:p w14:paraId="5A23D2E5" w14:textId="77777777" w:rsidR="00CD02FA" w:rsidRPr="00C94405" w:rsidRDefault="00CD02FA" w:rsidP="00CD02FA">
      <w:pPr>
        <w:tabs>
          <w:tab w:val="left" w:pos="567"/>
        </w:tabs>
        <w:spacing w:after="0" w:line="360" w:lineRule="auto"/>
        <w:jc w:val="both"/>
        <w:rPr>
          <w:rFonts w:ascii="Palatino Linotype" w:hAnsi="Palatino Linotype"/>
          <w:color w:val="000000"/>
          <w:sz w:val="24"/>
          <w:szCs w:val="24"/>
        </w:rPr>
      </w:pPr>
    </w:p>
    <w:p w14:paraId="2B5E7110" w14:textId="77777777" w:rsidR="00CD02FA" w:rsidRPr="00692461" w:rsidRDefault="00CD02FA" w:rsidP="00CD02FA">
      <w:pPr>
        <w:widowControl w:val="0"/>
        <w:tabs>
          <w:tab w:val="left" w:pos="1276"/>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En ese tenor es necesario </w:t>
      </w:r>
      <w:r w:rsidRPr="007E0437">
        <w:rPr>
          <w:rFonts w:ascii="Palatino Linotype" w:hAnsi="Palatino Linotype" w:cs="Arial"/>
          <w:sz w:val="24"/>
          <w:szCs w:val="24"/>
        </w:rPr>
        <w:t xml:space="preserve">referir que </w:t>
      </w:r>
      <w:proofErr w:type="gramStart"/>
      <w:r w:rsidRPr="007E0437">
        <w:rPr>
          <w:rFonts w:ascii="Palatino Linotype" w:hAnsi="Palatino Linotype" w:cs="Arial"/>
          <w:sz w:val="24"/>
          <w:szCs w:val="24"/>
        </w:rPr>
        <w:t>de acuerdo a</w:t>
      </w:r>
      <w:proofErr w:type="gramEnd"/>
      <w:r w:rsidRPr="007E0437">
        <w:rPr>
          <w:rFonts w:ascii="Palatino Linotype" w:hAnsi="Palatino Linotype" w:cs="Arial"/>
          <w:sz w:val="24"/>
          <w:szCs w:val="24"/>
        </w:rPr>
        <w:t xml:space="preserve"> la integración del Informe Trimestral de los Sujetos de Fiscalización</w:t>
      </w:r>
      <w:r w:rsidRPr="00692461">
        <w:rPr>
          <w:rFonts w:ascii="Palatino Linotype" w:hAnsi="Palatino Linotype" w:cs="Arial"/>
          <w:sz w:val="24"/>
          <w:szCs w:val="24"/>
        </w:rPr>
        <w:t xml:space="preserve"> MUNICIPAES, se prevé un apartado en el cual el sujeto obligado debe informar al OSFEM acerca de las altas y bajas, dentro del </w:t>
      </w:r>
      <w:r w:rsidRPr="00692461">
        <w:rPr>
          <w:rFonts w:ascii="Palatino Linotype" w:hAnsi="Palatino Linotype" w:cs="Arial"/>
          <w:b/>
          <w:sz w:val="24"/>
          <w:szCs w:val="24"/>
        </w:rPr>
        <w:t>Módulo 4</w:t>
      </w:r>
      <w:r w:rsidRPr="00692461">
        <w:rPr>
          <w:rFonts w:ascii="Palatino Linotype" w:hAnsi="Palatino Linotype" w:cs="Arial"/>
          <w:sz w:val="24"/>
          <w:szCs w:val="24"/>
        </w:rPr>
        <w:t xml:space="preserve">, </w:t>
      </w:r>
      <w:proofErr w:type="spellStart"/>
      <w:r w:rsidRPr="00692461">
        <w:rPr>
          <w:rFonts w:ascii="Palatino Linotype" w:hAnsi="Palatino Linotype" w:cs="Arial"/>
          <w:sz w:val="24"/>
          <w:szCs w:val="24"/>
        </w:rPr>
        <w:t>Sub-módulo-Nomina</w:t>
      </w:r>
      <w:proofErr w:type="spellEnd"/>
      <w:r w:rsidRPr="00692461">
        <w:rPr>
          <w:rFonts w:ascii="Palatino Linotype" w:hAnsi="Palatino Linotype" w:cs="Arial"/>
          <w:sz w:val="24"/>
          <w:szCs w:val="24"/>
        </w:rPr>
        <w:t xml:space="preserve">, punto ocho (8) denominado </w:t>
      </w:r>
      <w:r w:rsidRPr="00692461">
        <w:rPr>
          <w:rFonts w:ascii="Palatino Linotype" w:hAnsi="Palatino Linotype" w:cs="Arial"/>
          <w:b/>
          <w:sz w:val="24"/>
          <w:szCs w:val="24"/>
        </w:rPr>
        <w:t>Conciliación de Nómina Mensual</w:t>
      </w:r>
      <w:r w:rsidRPr="00692461">
        <w:rPr>
          <w:rFonts w:ascii="Palatino Linotype" w:hAnsi="Palatino Linotype" w:cs="Arial"/>
          <w:sz w:val="24"/>
          <w:szCs w:val="24"/>
        </w:rPr>
        <w:t>, en cuyo formato se establece lo siguiente:</w:t>
      </w:r>
    </w:p>
    <w:p w14:paraId="61242C6E" w14:textId="77777777" w:rsidR="00CD02FA" w:rsidRDefault="00CD02FA" w:rsidP="002A3BE3">
      <w:pPr>
        <w:widowControl w:val="0"/>
        <w:tabs>
          <w:tab w:val="left" w:pos="1276"/>
        </w:tabs>
        <w:spacing w:after="0" w:line="360" w:lineRule="auto"/>
        <w:jc w:val="both"/>
        <w:rPr>
          <w:rFonts w:ascii="Palatino Linotype" w:eastAsia="Palatino Linotype" w:hAnsi="Palatino Linotype" w:cs="Palatino Linotype"/>
          <w:sz w:val="24"/>
          <w:szCs w:val="24"/>
        </w:rPr>
      </w:pPr>
    </w:p>
    <w:p w14:paraId="43C96BF3" w14:textId="77777777" w:rsidR="00123778" w:rsidRPr="00692461" w:rsidRDefault="00F2138F" w:rsidP="002A3BE3">
      <w:pPr>
        <w:autoSpaceDE w:val="0"/>
        <w:autoSpaceDN w:val="0"/>
        <w:adjustRightInd w:val="0"/>
        <w:spacing w:after="0" w:line="360" w:lineRule="auto"/>
        <w:jc w:val="both"/>
        <w:rPr>
          <w:rFonts w:ascii="Palatino Linotype" w:hAnsi="Palatino Linotype" w:cs="Arial"/>
          <w:sz w:val="24"/>
          <w:szCs w:val="24"/>
        </w:rPr>
      </w:pPr>
      <w:r w:rsidRPr="00692461">
        <w:rPr>
          <w:noProof/>
          <w:lang w:eastAsia="es-MX"/>
        </w:rPr>
        <mc:AlternateContent>
          <mc:Choice Requires="wps">
            <w:drawing>
              <wp:anchor distT="0" distB="0" distL="114300" distR="114300" simplePos="0" relativeHeight="251661312" behindDoc="0" locked="0" layoutInCell="1" allowOverlap="1" wp14:anchorId="2AEA75D1" wp14:editId="7FB6A797">
                <wp:simplePos x="0" y="0"/>
                <wp:positionH relativeFrom="column">
                  <wp:posOffset>1202690</wp:posOffset>
                </wp:positionH>
                <wp:positionV relativeFrom="paragraph">
                  <wp:posOffset>39398</wp:posOffset>
                </wp:positionV>
                <wp:extent cx="675860" cy="906449"/>
                <wp:effectExtent l="38100" t="19050" r="29210" b="65405"/>
                <wp:wrapNone/>
                <wp:docPr id="5" name="Conector recto de flecha 5"/>
                <wp:cNvGraphicFramePr/>
                <a:graphic xmlns:a="http://schemas.openxmlformats.org/drawingml/2006/main">
                  <a:graphicData uri="http://schemas.microsoft.com/office/word/2010/wordprocessingShape">
                    <wps:wsp>
                      <wps:cNvCnPr/>
                      <wps:spPr>
                        <a:xfrm flipH="1">
                          <a:off x="0" y="0"/>
                          <a:ext cx="675860" cy="90644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AACDF2" id="_x0000_t32" coordsize="21600,21600" o:spt="32" o:oned="t" path="m,l21600,21600e" filled="f">
                <v:path arrowok="t" fillok="f" o:connecttype="none"/>
                <o:lock v:ext="edit" shapetype="t"/>
              </v:shapetype>
              <v:shape id="Conector recto de flecha 5" o:spid="_x0000_s1026" type="#_x0000_t32" style="position:absolute;margin-left:94.7pt;margin-top:3.1pt;width:53.2pt;height:71.3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" strokecolor="red" strokeweight="4.5pt">
                <v:stroke endarrow="block" joinstyle="miter"/>
              </v:shape>
            </w:pict>
          </mc:Fallback>
        </mc:AlternateContent>
      </w:r>
      <w:r w:rsidRPr="00692461">
        <w:rPr>
          <w:noProof/>
          <w:lang w:eastAsia="es-MX"/>
        </w:rPr>
        <mc:AlternateContent>
          <mc:Choice Requires="wps">
            <w:drawing>
              <wp:anchor distT="0" distB="0" distL="114300" distR="114300" simplePos="0" relativeHeight="251659264" behindDoc="0" locked="0" layoutInCell="1" allowOverlap="1" wp14:anchorId="1D4855CD" wp14:editId="7B105C61">
                <wp:simplePos x="0" y="0"/>
                <wp:positionH relativeFrom="column">
                  <wp:posOffset>1416575</wp:posOffset>
                </wp:positionH>
                <wp:positionV relativeFrom="paragraph">
                  <wp:posOffset>54058</wp:posOffset>
                </wp:positionV>
                <wp:extent cx="675860" cy="906449"/>
                <wp:effectExtent l="38100" t="19050" r="29210" b="65405"/>
                <wp:wrapNone/>
                <wp:docPr id="4" name="Conector recto de flecha 4"/>
                <wp:cNvGraphicFramePr/>
                <a:graphic xmlns:a="http://schemas.openxmlformats.org/drawingml/2006/main">
                  <a:graphicData uri="http://schemas.microsoft.com/office/word/2010/wordprocessingShape">
                    <wps:wsp>
                      <wps:cNvCnPr/>
                      <wps:spPr>
                        <a:xfrm flipH="1">
                          <a:off x="0" y="0"/>
                          <a:ext cx="675860" cy="90644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74073" id="Conector recto de flecha 4" o:spid="_x0000_s1026" type="#_x0000_t32" style="position:absolute;margin-left:111.55pt;margin-top:4.25pt;width:53.2pt;height:71.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" strokecolor="red" strokeweight="4.5pt">
                <v:stroke endarrow="block" joinstyle="miter"/>
              </v:shape>
            </w:pict>
          </mc:Fallback>
        </mc:AlternateContent>
      </w:r>
      <w:r w:rsidRPr="00692461">
        <w:rPr>
          <w:noProof/>
          <w:lang w:eastAsia="es-MX"/>
        </w:rPr>
        <w:drawing>
          <wp:inline distT="0" distB="0" distL="0" distR="0" wp14:anchorId="3DB4FD4F" wp14:editId="63669424">
            <wp:extent cx="5788550" cy="2337435"/>
            <wp:effectExtent l="0" t="0" r="317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9810" r="1049" b="9158"/>
                    <a:stretch/>
                  </pic:blipFill>
                  <pic:spPr bwMode="auto">
                    <a:xfrm>
                      <a:off x="0" y="0"/>
                      <a:ext cx="5789466" cy="2337805"/>
                    </a:xfrm>
                    <a:prstGeom prst="rect">
                      <a:avLst/>
                    </a:prstGeom>
                    <a:ln>
                      <a:noFill/>
                    </a:ln>
                    <a:extLst>
                      <a:ext uri="{53640926-AAD7-44D8-BBD7-CCE9431645EC}">
                        <a14:shadowObscured xmlns:a14="http://schemas.microsoft.com/office/drawing/2010/main"/>
                      </a:ext>
                    </a:extLst>
                  </pic:spPr>
                </pic:pic>
              </a:graphicData>
            </a:graphic>
          </wp:inline>
        </w:drawing>
      </w:r>
    </w:p>
    <w:p w14:paraId="213F2A03" w14:textId="77777777" w:rsidR="00123778" w:rsidRPr="00692461" w:rsidRDefault="00123778" w:rsidP="002A3BE3">
      <w:pPr>
        <w:autoSpaceDE w:val="0"/>
        <w:autoSpaceDN w:val="0"/>
        <w:adjustRightInd w:val="0"/>
        <w:spacing w:after="0" w:line="360" w:lineRule="auto"/>
        <w:jc w:val="both"/>
        <w:rPr>
          <w:rFonts w:ascii="Palatino Linotype" w:hAnsi="Palatino Linotype" w:cs="Arial"/>
          <w:sz w:val="24"/>
          <w:szCs w:val="24"/>
        </w:rPr>
      </w:pPr>
    </w:p>
    <w:p w14:paraId="0F3B7BAD" w14:textId="77777777" w:rsidR="007C5B8D" w:rsidRPr="00692461" w:rsidRDefault="00F2138F" w:rsidP="002A3BE3">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En el instructivo de llenado que se encuentra en los mismos formatos para Informe, antes citado, se establece lo siguiente:</w:t>
      </w:r>
    </w:p>
    <w:p w14:paraId="7804535E" w14:textId="77777777" w:rsidR="00F2138F" w:rsidRPr="00692461" w:rsidRDefault="00F2138F" w:rsidP="002A3BE3">
      <w:pPr>
        <w:autoSpaceDE w:val="0"/>
        <w:autoSpaceDN w:val="0"/>
        <w:adjustRightInd w:val="0"/>
        <w:spacing w:after="0" w:line="360" w:lineRule="auto"/>
        <w:jc w:val="both"/>
        <w:rPr>
          <w:rFonts w:ascii="Palatino Linotype" w:hAnsi="Palatino Linotype" w:cs="Arial"/>
          <w:sz w:val="24"/>
          <w:szCs w:val="24"/>
        </w:rPr>
      </w:pPr>
    </w:p>
    <w:p w14:paraId="58FF2DD7" w14:textId="77777777" w:rsidR="00B06988" w:rsidRPr="00692461" w:rsidRDefault="00B06988" w:rsidP="00B06988">
      <w:pPr>
        <w:autoSpaceDE w:val="0"/>
        <w:autoSpaceDN w:val="0"/>
        <w:adjustRightInd w:val="0"/>
        <w:spacing w:after="0" w:line="360" w:lineRule="auto"/>
        <w:ind w:left="851" w:right="709"/>
        <w:jc w:val="center"/>
        <w:rPr>
          <w:rFonts w:ascii="Palatino Linotype" w:hAnsi="Palatino Linotype" w:cs="Arial"/>
          <w:i/>
          <w:sz w:val="24"/>
          <w:szCs w:val="24"/>
        </w:rPr>
      </w:pPr>
      <w:r w:rsidRPr="00692461">
        <w:rPr>
          <w:rFonts w:ascii="Palatino Linotype" w:hAnsi="Palatino Linotype" w:cs="Arial"/>
          <w:i/>
          <w:sz w:val="24"/>
          <w:szCs w:val="24"/>
        </w:rPr>
        <w:lastRenderedPageBreak/>
        <w:t>“</w:t>
      </w:r>
      <w:r w:rsidRPr="00692461">
        <w:rPr>
          <w:rFonts w:ascii="Palatino Linotype" w:hAnsi="Palatino Linotype" w:cs="Arial"/>
          <w:b/>
          <w:i/>
          <w:sz w:val="24"/>
          <w:szCs w:val="24"/>
        </w:rPr>
        <w:t>Instructivo para llenado de Conciliación de Nómina Mensual</w:t>
      </w:r>
      <w:r w:rsidRPr="00692461">
        <w:rPr>
          <w:rFonts w:ascii="Palatino Linotype" w:hAnsi="Palatino Linotype" w:cs="Arial"/>
          <w:i/>
          <w:sz w:val="24"/>
          <w:szCs w:val="24"/>
        </w:rPr>
        <w:t>.</w:t>
      </w:r>
    </w:p>
    <w:p w14:paraId="508E7223" w14:textId="77777777" w:rsidR="00F2138F"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b/>
          <w:i/>
          <w:sz w:val="24"/>
          <w:szCs w:val="24"/>
        </w:rPr>
        <w:t xml:space="preserve">Finalidad: </w:t>
      </w:r>
      <w:r w:rsidRPr="00692461">
        <w:rPr>
          <w:rFonts w:ascii="Palatino Linotype" w:hAnsi="Palatino Linotype" w:cs="Arial"/>
          <w:i/>
          <w:sz w:val="24"/>
          <w:szCs w:val="24"/>
        </w:rPr>
        <w:t xml:space="preserve">Presentar </w:t>
      </w:r>
      <w:r w:rsidRPr="00692461">
        <w:rPr>
          <w:rFonts w:ascii="Palatino Linotype" w:hAnsi="Palatino Linotype" w:cs="Arial"/>
          <w:b/>
          <w:i/>
          <w:sz w:val="24"/>
          <w:szCs w:val="24"/>
          <w:u w:val="single"/>
        </w:rPr>
        <w:t>el concentrado mensual</w:t>
      </w:r>
      <w:r w:rsidRPr="00692461">
        <w:rPr>
          <w:rFonts w:ascii="Palatino Linotype" w:hAnsi="Palatino Linotype" w:cs="Arial"/>
          <w:i/>
          <w:sz w:val="24"/>
          <w:szCs w:val="24"/>
        </w:rPr>
        <w:t xml:space="preserve"> de las cifras derivadas de todas las erogaciones realizadas por concepto de remuneraciones al trabajo, registradas en la nómina; contra las contenidas en los registros contables, por concepto de remuneraciones al trabajo personal.</w:t>
      </w:r>
    </w:p>
    <w:p w14:paraId="03BD8B2D" w14:textId="77777777" w:rsidR="00B06988"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w:t>
      </w:r>
    </w:p>
    <w:tbl>
      <w:tblPr>
        <w:tblStyle w:val="Tablaconcuadrcula"/>
        <w:tblW w:w="0" w:type="auto"/>
        <w:tblInd w:w="851" w:type="dxa"/>
        <w:tblLook w:val="04A0" w:firstRow="1" w:lastRow="0" w:firstColumn="1" w:lastColumn="0" w:noHBand="0" w:noVBand="1"/>
      </w:tblPr>
      <w:tblGrid>
        <w:gridCol w:w="2121"/>
        <w:gridCol w:w="5670"/>
      </w:tblGrid>
      <w:tr w:rsidR="00B06988" w:rsidRPr="00692461" w14:paraId="3531BFB1" w14:textId="77777777" w:rsidTr="00B06988">
        <w:tc>
          <w:tcPr>
            <w:tcW w:w="2121" w:type="dxa"/>
            <w:vAlign w:val="center"/>
          </w:tcPr>
          <w:p w14:paraId="1990E463" w14:textId="77777777" w:rsidR="00B06988" w:rsidRPr="00692461" w:rsidRDefault="00B06988" w:rsidP="00B06988">
            <w:pPr>
              <w:autoSpaceDE w:val="0"/>
              <w:autoSpaceDN w:val="0"/>
              <w:adjustRightInd w:val="0"/>
              <w:spacing w:line="360" w:lineRule="auto"/>
              <w:ind w:right="34"/>
              <w:jc w:val="both"/>
              <w:rPr>
                <w:rFonts w:ascii="Palatino Linotype" w:hAnsi="Palatino Linotype" w:cs="Arial"/>
                <w:b/>
                <w:i/>
                <w:sz w:val="24"/>
                <w:szCs w:val="24"/>
              </w:rPr>
            </w:pPr>
            <w:r w:rsidRPr="00692461">
              <w:rPr>
                <w:rFonts w:ascii="Palatino Linotype" w:hAnsi="Palatino Linotype"/>
                <w:b/>
                <w:i/>
                <w:sz w:val="24"/>
                <w:szCs w:val="24"/>
              </w:rPr>
              <w:t>10. Fecha de alta.</w:t>
            </w:r>
          </w:p>
        </w:tc>
        <w:tc>
          <w:tcPr>
            <w:tcW w:w="5670" w:type="dxa"/>
          </w:tcPr>
          <w:p w14:paraId="669675CA" w14:textId="77777777" w:rsidR="00B06988" w:rsidRPr="00692461" w:rsidRDefault="00B06988" w:rsidP="00B06988">
            <w:pPr>
              <w:autoSpaceDE w:val="0"/>
              <w:autoSpaceDN w:val="0"/>
              <w:adjustRightInd w:val="0"/>
              <w:ind w:right="34"/>
              <w:jc w:val="both"/>
              <w:rPr>
                <w:rFonts w:ascii="Palatino Linotype" w:hAnsi="Palatino Linotype" w:cs="Arial"/>
                <w:i/>
                <w:sz w:val="24"/>
                <w:szCs w:val="24"/>
              </w:rPr>
            </w:pPr>
            <w:r w:rsidRPr="00692461">
              <w:rPr>
                <w:rFonts w:ascii="Palatino Linotype" w:hAnsi="Palatino Linotype"/>
                <w:i/>
                <w:sz w:val="24"/>
                <w:szCs w:val="24"/>
              </w:rPr>
              <w:t>Anotar la fecha que se le asigna al servidor en el momento en que inicia la relación laboral con el Ente Público.</w:t>
            </w:r>
          </w:p>
        </w:tc>
      </w:tr>
      <w:tr w:rsidR="00B06988" w:rsidRPr="00692461" w14:paraId="498079E0" w14:textId="77777777" w:rsidTr="00B06988">
        <w:tc>
          <w:tcPr>
            <w:tcW w:w="2121" w:type="dxa"/>
            <w:vAlign w:val="center"/>
          </w:tcPr>
          <w:p w14:paraId="5093C610" w14:textId="77777777" w:rsidR="00B06988" w:rsidRPr="00692461" w:rsidRDefault="00B06988" w:rsidP="00B06988">
            <w:pPr>
              <w:autoSpaceDE w:val="0"/>
              <w:autoSpaceDN w:val="0"/>
              <w:adjustRightInd w:val="0"/>
              <w:spacing w:line="360" w:lineRule="auto"/>
              <w:ind w:right="34"/>
              <w:jc w:val="both"/>
              <w:rPr>
                <w:rFonts w:ascii="Palatino Linotype" w:hAnsi="Palatino Linotype" w:cs="Arial"/>
                <w:b/>
                <w:i/>
                <w:sz w:val="24"/>
                <w:szCs w:val="24"/>
              </w:rPr>
            </w:pPr>
            <w:r w:rsidRPr="00692461">
              <w:rPr>
                <w:rFonts w:ascii="Palatino Linotype" w:hAnsi="Palatino Linotype"/>
                <w:b/>
                <w:i/>
                <w:sz w:val="24"/>
                <w:szCs w:val="24"/>
              </w:rPr>
              <w:t>11. Fecha de baja.</w:t>
            </w:r>
          </w:p>
        </w:tc>
        <w:tc>
          <w:tcPr>
            <w:tcW w:w="5670" w:type="dxa"/>
          </w:tcPr>
          <w:p w14:paraId="502228B5" w14:textId="77777777" w:rsidR="00B06988" w:rsidRPr="00692461" w:rsidRDefault="00B06988" w:rsidP="00B06988">
            <w:pPr>
              <w:autoSpaceDE w:val="0"/>
              <w:autoSpaceDN w:val="0"/>
              <w:adjustRightInd w:val="0"/>
              <w:ind w:right="33"/>
              <w:jc w:val="both"/>
              <w:rPr>
                <w:rFonts w:ascii="Palatino Linotype" w:hAnsi="Palatino Linotype" w:cs="Arial"/>
                <w:i/>
                <w:sz w:val="24"/>
                <w:szCs w:val="24"/>
              </w:rPr>
            </w:pPr>
            <w:r w:rsidRPr="00692461">
              <w:rPr>
                <w:rFonts w:ascii="Palatino Linotype" w:hAnsi="Palatino Linotype"/>
                <w:i/>
                <w:sz w:val="24"/>
                <w:szCs w:val="24"/>
              </w:rPr>
              <w:t>Anotar la fecha asignada cuando el servidor finaliza la relación laboral con el Ente Público.</w:t>
            </w:r>
          </w:p>
        </w:tc>
      </w:tr>
    </w:tbl>
    <w:p w14:paraId="60D06336" w14:textId="77777777" w:rsidR="00B06988"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w:t>
      </w:r>
    </w:p>
    <w:p w14:paraId="357AEA7B" w14:textId="77777777" w:rsidR="003F0B45" w:rsidRDefault="003F0B45" w:rsidP="00D40922">
      <w:pPr>
        <w:autoSpaceDE w:val="0"/>
        <w:autoSpaceDN w:val="0"/>
        <w:adjustRightInd w:val="0"/>
        <w:spacing w:after="0" w:line="360" w:lineRule="auto"/>
        <w:jc w:val="both"/>
        <w:rPr>
          <w:rFonts w:ascii="Palatino Linotype" w:hAnsi="Palatino Linotype" w:cs="Arial"/>
          <w:sz w:val="24"/>
          <w:szCs w:val="24"/>
        </w:rPr>
      </w:pPr>
    </w:p>
    <w:p w14:paraId="47823EAF" w14:textId="77777777" w:rsidR="00AC4DB0" w:rsidRPr="00692461" w:rsidRDefault="00AC4DB0" w:rsidP="00AC4DB0">
      <w:pPr>
        <w:autoSpaceDE w:val="0"/>
        <w:autoSpaceDN w:val="0"/>
        <w:adjustRightInd w:val="0"/>
        <w:spacing w:after="0" w:line="360" w:lineRule="auto"/>
        <w:jc w:val="both"/>
        <w:rPr>
          <w:rFonts w:ascii="Palatino Linotype" w:hAnsi="Palatino Linotype" w:cs="Arial"/>
          <w:sz w:val="24"/>
          <w:szCs w:val="24"/>
        </w:rPr>
      </w:pPr>
    </w:p>
    <w:p w14:paraId="6AAB9CC8" w14:textId="77777777" w:rsidR="00AC4DB0" w:rsidRPr="00692461" w:rsidRDefault="00AC4DB0" w:rsidP="00AC4DB0">
      <w:pPr>
        <w:autoSpaceDE w:val="0"/>
        <w:autoSpaceDN w:val="0"/>
        <w:adjustRightInd w:val="0"/>
        <w:spacing w:after="0" w:line="360" w:lineRule="auto"/>
        <w:jc w:val="both"/>
        <w:rPr>
          <w:rFonts w:ascii="Palatino Linotype" w:hAnsi="Palatino Linotype" w:cs="Arial"/>
          <w:sz w:val="24"/>
          <w:szCs w:val="24"/>
        </w:rPr>
      </w:pPr>
      <w:r w:rsidRPr="00155053">
        <w:rPr>
          <w:rFonts w:ascii="Palatino Linotype" w:hAnsi="Palatino Linotype" w:cs="Arial"/>
          <w:sz w:val="24"/>
          <w:szCs w:val="24"/>
        </w:rPr>
        <w:t>En ese</w:t>
      </w:r>
      <w:r w:rsidRPr="00692461">
        <w:rPr>
          <w:rFonts w:ascii="Palatino Linotype" w:hAnsi="Palatino Linotype" w:cs="Arial"/>
          <w:sz w:val="24"/>
          <w:szCs w:val="24"/>
        </w:rPr>
        <w:t xml:space="preserve"> sentido se considera que la información re</w:t>
      </w:r>
      <w:r>
        <w:rPr>
          <w:rFonts w:ascii="Palatino Linotype" w:hAnsi="Palatino Linotype" w:cs="Arial"/>
          <w:sz w:val="24"/>
          <w:szCs w:val="24"/>
        </w:rPr>
        <w:t xml:space="preserve">querida por el hoy </w:t>
      </w:r>
      <w:proofErr w:type="gramStart"/>
      <w:r>
        <w:rPr>
          <w:rFonts w:ascii="Palatino Linotype" w:hAnsi="Palatino Linotype" w:cs="Arial"/>
          <w:sz w:val="24"/>
          <w:szCs w:val="24"/>
        </w:rPr>
        <w:t>recurrente</w:t>
      </w:r>
      <w:r w:rsidRPr="00692461">
        <w:rPr>
          <w:rFonts w:ascii="Palatino Linotype" w:hAnsi="Palatino Linotype" w:cs="Arial"/>
          <w:sz w:val="24"/>
          <w:szCs w:val="24"/>
        </w:rPr>
        <w:t>,</w:t>
      </w:r>
      <w:proofErr w:type="gramEnd"/>
      <w:r w:rsidRPr="00692461">
        <w:rPr>
          <w:rFonts w:ascii="Palatino Linotype" w:hAnsi="Palatino Linotype" w:cs="Arial"/>
          <w:sz w:val="24"/>
          <w:szCs w:val="24"/>
        </w:rPr>
        <w:t xml:space="preserve"> debió ser generada en cumplimiento a los Lineamientos establecidos por el OSFEM para la integración y entrega del informe Trimestral que contiene el concentrado mensual.</w:t>
      </w:r>
    </w:p>
    <w:p w14:paraId="54AAA35C" w14:textId="77777777" w:rsidR="00AC4DB0" w:rsidRDefault="00AC4DB0" w:rsidP="00AC4DB0">
      <w:pPr>
        <w:autoSpaceDE w:val="0"/>
        <w:autoSpaceDN w:val="0"/>
        <w:adjustRightInd w:val="0"/>
        <w:spacing w:after="0" w:line="360" w:lineRule="auto"/>
        <w:jc w:val="both"/>
        <w:rPr>
          <w:rFonts w:ascii="Palatino Linotype" w:hAnsi="Palatino Linotype" w:cs="Arial"/>
          <w:sz w:val="24"/>
          <w:szCs w:val="24"/>
        </w:rPr>
      </w:pPr>
    </w:p>
    <w:p w14:paraId="3149E02E" w14:textId="77777777" w:rsidR="00AC4DB0" w:rsidRDefault="00AC4DB0" w:rsidP="00AC4DB0">
      <w:pPr>
        <w:autoSpaceDE w:val="0"/>
        <w:autoSpaceDN w:val="0"/>
        <w:adjustRightInd w:val="0"/>
        <w:spacing w:after="0" w:line="360" w:lineRule="auto"/>
        <w:jc w:val="both"/>
        <w:rPr>
          <w:rFonts w:ascii="Palatino Linotype" w:hAnsi="Palatino Linotype" w:cs="Arial"/>
          <w:sz w:val="24"/>
          <w:szCs w:val="24"/>
          <w:lang w:val="es-419"/>
        </w:rPr>
      </w:pPr>
      <w:r w:rsidRPr="00692461">
        <w:rPr>
          <w:rFonts w:ascii="Palatino Linotype" w:hAnsi="Palatino Linotype" w:cs="Arial"/>
          <w:sz w:val="24"/>
          <w:szCs w:val="24"/>
        </w:rPr>
        <w:t>En ese sentido y ante la negativa</w:t>
      </w:r>
      <w:r>
        <w:rPr>
          <w:rFonts w:ascii="Palatino Linotype" w:hAnsi="Palatino Linotype" w:cs="Arial"/>
          <w:sz w:val="24"/>
          <w:szCs w:val="24"/>
          <w:lang w:val="es-419"/>
        </w:rPr>
        <w:t xml:space="preserve"> expresa </w:t>
      </w:r>
      <w:r w:rsidRPr="00692461">
        <w:rPr>
          <w:rFonts w:ascii="Palatino Linotype" w:hAnsi="Palatino Linotype" w:cs="Arial"/>
          <w:sz w:val="24"/>
          <w:szCs w:val="24"/>
        </w:rPr>
        <w:t xml:space="preserve">del sujeto obligado, a efecto de reparar el derecho de la hoy </w:t>
      </w:r>
      <w:r w:rsidRPr="003E39B6">
        <w:rPr>
          <w:rFonts w:ascii="Palatino Linotype" w:hAnsi="Palatino Linotype" w:cs="Arial"/>
          <w:sz w:val="24"/>
          <w:szCs w:val="24"/>
          <w:lang w:val="es-419"/>
        </w:rPr>
        <w:t xml:space="preserve">recurrente, deberá entregar, </w:t>
      </w:r>
      <w:r>
        <w:rPr>
          <w:rFonts w:ascii="Palatino Linotype" w:hAnsi="Palatino Linotype" w:cs="Arial"/>
          <w:sz w:val="24"/>
          <w:szCs w:val="24"/>
          <w:lang w:val="es-419"/>
        </w:rPr>
        <w:t xml:space="preserve">el documento o documentos donde consten </w:t>
      </w:r>
      <w:r w:rsidRPr="003E39B6">
        <w:rPr>
          <w:rFonts w:ascii="Palatino Linotype" w:hAnsi="Palatino Linotype" w:cs="Arial"/>
          <w:sz w:val="24"/>
          <w:szCs w:val="24"/>
          <w:lang w:val="es-419"/>
        </w:rPr>
        <w:t>los nombre de todos los trabajadores que causaron baja en la primer quincena de enero</w:t>
      </w:r>
      <w:r>
        <w:rPr>
          <w:rFonts w:ascii="Palatino Linotype" w:hAnsi="Palatino Linotype" w:cs="Arial"/>
          <w:sz w:val="24"/>
          <w:szCs w:val="24"/>
          <w:lang w:val="es-419"/>
        </w:rPr>
        <w:t xml:space="preserve"> del año dos mil veintidós</w:t>
      </w:r>
      <w:r w:rsidRPr="003E39B6">
        <w:rPr>
          <w:rFonts w:ascii="Palatino Linotype" w:hAnsi="Palatino Linotype" w:cs="Arial"/>
          <w:sz w:val="24"/>
          <w:szCs w:val="24"/>
          <w:lang w:val="es-419"/>
        </w:rPr>
        <w:t xml:space="preserve"> y el motivo de dicha baja</w:t>
      </w:r>
      <w:r>
        <w:rPr>
          <w:rFonts w:ascii="Palatino Linotype" w:hAnsi="Palatino Linotype" w:cs="Arial"/>
          <w:sz w:val="24"/>
          <w:szCs w:val="24"/>
          <w:lang w:val="es-419"/>
        </w:rPr>
        <w:t>.</w:t>
      </w:r>
    </w:p>
    <w:p w14:paraId="7A2A23CB" w14:textId="77777777" w:rsidR="00AC4DB0" w:rsidRDefault="00AC4DB0" w:rsidP="00AC4DB0">
      <w:pPr>
        <w:autoSpaceDE w:val="0"/>
        <w:autoSpaceDN w:val="0"/>
        <w:adjustRightInd w:val="0"/>
        <w:spacing w:after="0" w:line="360" w:lineRule="auto"/>
        <w:jc w:val="both"/>
        <w:rPr>
          <w:rFonts w:ascii="Palatino Linotype" w:hAnsi="Palatino Linotype" w:cs="Arial"/>
          <w:sz w:val="24"/>
          <w:szCs w:val="24"/>
          <w:lang w:val="es-419"/>
        </w:rPr>
      </w:pPr>
    </w:p>
    <w:p w14:paraId="3DAC0FD8" w14:textId="77777777" w:rsidR="00AC4DB0" w:rsidRPr="008755BB" w:rsidRDefault="00AC4DB0" w:rsidP="00AC4DB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Lo anterior es así pues si bien el hoy recurrente no señaló el año del que requería la información </w:t>
      </w:r>
      <w:r w:rsidRPr="00692461">
        <w:rPr>
          <w:rFonts w:ascii="Palatino Linotype" w:hAnsi="Palatino Linotype" w:cs="Arial"/>
          <w:sz w:val="24"/>
          <w:szCs w:val="24"/>
        </w:rPr>
        <w:t>deberá ser entregada la información vigente a la fecha</w:t>
      </w:r>
      <w:r>
        <w:rPr>
          <w:rFonts w:ascii="Palatino Linotype" w:hAnsi="Palatino Linotype" w:cs="Arial"/>
          <w:sz w:val="24"/>
          <w:szCs w:val="24"/>
        </w:rPr>
        <w:t xml:space="preserve"> de la solicitud de información, es decir, del año dos mil veintidós,</w:t>
      </w:r>
      <w:r w:rsidRPr="008755BB">
        <w:rPr>
          <w:rFonts w:ascii="Palatino Linotype" w:hAnsi="Palatino Linotype" w:cs="Arial"/>
          <w:sz w:val="24"/>
          <w:szCs w:val="24"/>
        </w:rPr>
        <w:t xml:space="preserve"> pero sólo de la quincena que solicitó.</w:t>
      </w:r>
    </w:p>
    <w:p w14:paraId="0CE896EE" w14:textId="77777777" w:rsidR="00AC4DB0" w:rsidRDefault="00AC4DB0" w:rsidP="00AC4DB0">
      <w:pPr>
        <w:autoSpaceDE w:val="0"/>
        <w:autoSpaceDN w:val="0"/>
        <w:adjustRightInd w:val="0"/>
        <w:spacing w:after="0" w:line="360" w:lineRule="auto"/>
        <w:jc w:val="both"/>
        <w:rPr>
          <w:rFonts w:ascii="Palatino Linotype" w:hAnsi="Palatino Linotype" w:cs="Arial"/>
          <w:sz w:val="24"/>
          <w:szCs w:val="24"/>
        </w:rPr>
      </w:pPr>
    </w:p>
    <w:p w14:paraId="51F2EA8C" w14:textId="77777777" w:rsidR="00AC4DB0" w:rsidRPr="008755BB" w:rsidRDefault="00AC4DB0" w:rsidP="00AC4DB0">
      <w:pPr>
        <w:autoSpaceDE w:val="0"/>
        <w:autoSpaceDN w:val="0"/>
        <w:adjustRightInd w:val="0"/>
        <w:spacing w:after="0" w:line="360" w:lineRule="auto"/>
        <w:jc w:val="both"/>
        <w:rPr>
          <w:rFonts w:ascii="Palatino Linotype" w:hAnsi="Palatino Linotype" w:cs="Arial"/>
          <w:sz w:val="24"/>
          <w:szCs w:val="24"/>
        </w:rPr>
      </w:pPr>
      <w:r w:rsidRPr="008755BB">
        <w:rPr>
          <w:rFonts w:ascii="Palatino Linotype" w:hAnsi="Palatino Linotype" w:cs="Arial"/>
          <w:sz w:val="24"/>
          <w:szCs w:val="24"/>
        </w:rPr>
        <w:lastRenderedPageBreak/>
        <w:t xml:space="preserve">En atención a lo expuesto, es posible determinar que el Sujeto Obligado debió generar la información solicitada relacionada con la baja del </w:t>
      </w:r>
      <w:proofErr w:type="spellStart"/>
      <w:r w:rsidRPr="008755BB">
        <w:rPr>
          <w:rFonts w:ascii="Palatino Linotype" w:hAnsi="Palatino Linotype" w:cs="Arial"/>
          <w:sz w:val="24"/>
          <w:szCs w:val="24"/>
        </w:rPr>
        <w:t>personal</w:t>
      </w:r>
      <w:proofErr w:type="spellEnd"/>
      <w:r w:rsidRPr="008755BB">
        <w:rPr>
          <w:rFonts w:ascii="Palatino Linotype" w:hAnsi="Palatino Linotype" w:cs="Arial"/>
          <w:sz w:val="24"/>
          <w:szCs w:val="24"/>
        </w:rPr>
        <w:t xml:space="preserve"> ya que forma parte de los informes que se remitieron al Órgano Superior de Fiscalización del Estado de México (OSFEM), desde el año dos mil dieciséis hasta la fecha de la solicitud.</w:t>
      </w:r>
    </w:p>
    <w:p w14:paraId="6F1CDEA3" w14:textId="77777777" w:rsidR="00AC4DB0" w:rsidRPr="008755BB" w:rsidRDefault="00AC4DB0" w:rsidP="00AC4DB0">
      <w:pPr>
        <w:autoSpaceDE w:val="0"/>
        <w:autoSpaceDN w:val="0"/>
        <w:adjustRightInd w:val="0"/>
        <w:spacing w:after="0" w:line="360" w:lineRule="auto"/>
        <w:jc w:val="both"/>
        <w:rPr>
          <w:rFonts w:ascii="Palatino Linotype" w:hAnsi="Palatino Linotype" w:cs="Arial"/>
          <w:sz w:val="24"/>
          <w:szCs w:val="24"/>
        </w:rPr>
      </w:pPr>
    </w:p>
    <w:p w14:paraId="419614FE" w14:textId="77777777" w:rsidR="00AC4DB0" w:rsidRPr="008755BB" w:rsidRDefault="00AC4DB0" w:rsidP="00AC4DB0">
      <w:pPr>
        <w:autoSpaceDE w:val="0"/>
        <w:autoSpaceDN w:val="0"/>
        <w:adjustRightInd w:val="0"/>
        <w:spacing w:after="0" w:line="360" w:lineRule="auto"/>
        <w:jc w:val="both"/>
        <w:rPr>
          <w:rFonts w:ascii="Palatino Linotype" w:hAnsi="Palatino Linotype" w:cs="Arial"/>
          <w:sz w:val="24"/>
          <w:szCs w:val="24"/>
        </w:rPr>
      </w:pPr>
      <w:r w:rsidRPr="008755BB">
        <w:rPr>
          <w:rFonts w:ascii="Palatino Linotype" w:hAnsi="Palatino Linotype" w:cs="Arial"/>
          <w:sz w:val="24"/>
          <w:szCs w:val="24"/>
        </w:rPr>
        <w:t xml:space="preserve">Ahora bien, en caso de que la documentación que dé cuenta de ello contenga el nombre del elemento, dicho nombre debe ser considerado como información reservada; esto es, ya que los elementos operativos tienen facultades para combatir de manera directa los hechos delictivos, así como a prevenir dicha la actividad; lo cual podría involucrar poner en riesgo su vida, lo que da motivo a la actualización de un supuesto de clasificación. </w:t>
      </w:r>
    </w:p>
    <w:p w14:paraId="35B01ED4" w14:textId="77777777" w:rsidR="00AC4DB0" w:rsidRPr="008755BB" w:rsidRDefault="00AC4DB0" w:rsidP="00AC4DB0">
      <w:pPr>
        <w:autoSpaceDE w:val="0"/>
        <w:autoSpaceDN w:val="0"/>
        <w:adjustRightInd w:val="0"/>
        <w:spacing w:after="0" w:line="360" w:lineRule="auto"/>
        <w:jc w:val="both"/>
        <w:rPr>
          <w:rFonts w:ascii="Palatino Linotype" w:hAnsi="Palatino Linotype" w:cs="Arial"/>
          <w:sz w:val="24"/>
          <w:szCs w:val="24"/>
        </w:rPr>
      </w:pPr>
    </w:p>
    <w:p w14:paraId="409B7A97" w14:textId="77777777" w:rsidR="00AC4DB0" w:rsidRPr="008755BB" w:rsidRDefault="00AC4DB0" w:rsidP="00AC4DB0">
      <w:pPr>
        <w:spacing w:after="0" w:line="360" w:lineRule="auto"/>
        <w:contextualSpacing/>
        <w:jc w:val="both"/>
        <w:rPr>
          <w:rFonts w:ascii="Palatino Linotype" w:hAnsi="Palatino Linotype" w:cs="Tahoma"/>
          <w:b/>
          <w:color w:val="0D0D0D"/>
          <w:sz w:val="24"/>
          <w:szCs w:val="24"/>
        </w:rPr>
      </w:pPr>
      <w:r w:rsidRPr="008755BB">
        <w:rPr>
          <w:rFonts w:ascii="Palatino Linotype" w:hAnsi="Palatino Linotype" w:cs="Tahoma"/>
          <w:sz w:val="24"/>
          <w:szCs w:val="24"/>
          <w:lang w:eastAsia="es-MX"/>
        </w:rPr>
        <w:t xml:space="preserve">Así pues, se retoma el </w:t>
      </w:r>
      <w:r w:rsidRPr="008755BB">
        <w:rPr>
          <w:rFonts w:ascii="Palatino Linotype" w:hAnsi="Palatino Linotype" w:cs="Tahoma"/>
          <w:color w:val="0D0D0D"/>
          <w:sz w:val="24"/>
          <w:szCs w:val="24"/>
        </w:rPr>
        <w:t xml:space="preserve">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8755BB">
        <w:rPr>
          <w:rFonts w:ascii="Palatino Linotype" w:hAnsi="Palatino Linotype" w:cs="Tahoma"/>
          <w:b/>
          <w:color w:val="0D0D0D"/>
          <w:sz w:val="24"/>
          <w:szCs w:val="24"/>
        </w:rPr>
        <w:t>análisis caso por caso.</w:t>
      </w:r>
    </w:p>
    <w:p w14:paraId="27BAC8F3" w14:textId="77777777" w:rsidR="00AC4DB0" w:rsidRPr="008755BB" w:rsidRDefault="00AC4DB0" w:rsidP="00AC4DB0">
      <w:pPr>
        <w:spacing w:after="0" w:line="360" w:lineRule="auto"/>
        <w:jc w:val="both"/>
        <w:rPr>
          <w:rFonts w:ascii="Palatino Linotype" w:hAnsi="Palatino Linotype" w:cs="Tahoma"/>
          <w:b/>
          <w:color w:val="0D0D0D"/>
          <w:sz w:val="24"/>
          <w:szCs w:val="24"/>
        </w:rPr>
      </w:pPr>
    </w:p>
    <w:p w14:paraId="43BBE0CD" w14:textId="77777777" w:rsidR="00AC4DB0" w:rsidRPr="008755BB" w:rsidRDefault="00AC4DB0" w:rsidP="00AC4DB0">
      <w:pPr>
        <w:spacing w:after="0" w:line="360" w:lineRule="auto"/>
        <w:jc w:val="both"/>
        <w:rPr>
          <w:rFonts w:ascii="Palatino Linotype" w:hAnsi="Palatino Linotype" w:cs="Tahoma"/>
          <w:color w:val="0D0D0D"/>
          <w:sz w:val="24"/>
          <w:szCs w:val="24"/>
        </w:rPr>
      </w:pPr>
      <w:r w:rsidRPr="008755BB">
        <w:rPr>
          <w:rFonts w:ascii="Palatino Linotype" w:hAnsi="Palatino Linotype" w:cs="Tahoma"/>
          <w:color w:val="0D0D0D"/>
          <w:sz w:val="24"/>
          <w:szCs w:val="24"/>
        </w:rPr>
        <w:t xml:space="preserve">Asimismo, el artículo 131 de la Ley referida, así como el Quinto de los Lineamientos Generales, establecen que los sujetos obligados </w:t>
      </w:r>
      <w:r w:rsidRPr="008755BB">
        <w:rPr>
          <w:rFonts w:ascii="Palatino Linotype" w:hAnsi="Palatino Linotype" w:cs="Tahoma"/>
          <w:b/>
          <w:color w:val="0D0D0D"/>
          <w:sz w:val="24"/>
          <w:szCs w:val="24"/>
        </w:rPr>
        <w:t>deberán fundar y motivar</w:t>
      </w:r>
      <w:r w:rsidRPr="008755BB">
        <w:rPr>
          <w:rFonts w:ascii="Palatino Linotype" w:hAnsi="Palatino Linotype" w:cs="Tahoma"/>
          <w:color w:val="0D0D0D"/>
          <w:sz w:val="24"/>
          <w:szCs w:val="24"/>
        </w:rPr>
        <w:t xml:space="preserve"> debidamente la clasificación de la información; cuestión que se analizó en líneas anteriores.</w:t>
      </w:r>
    </w:p>
    <w:p w14:paraId="19AC001A" w14:textId="77777777" w:rsidR="00AC4DB0" w:rsidRPr="008755BB" w:rsidRDefault="00AC4DB0" w:rsidP="00AC4DB0">
      <w:pPr>
        <w:spacing w:after="0" w:line="360" w:lineRule="auto"/>
        <w:jc w:val="both"/>
        <w:rPr>
          <w:rFonts w:ascii="Palatino Linotype" w:hAnsi="Palatino Linotype" w:cs="Tahoma"/>
          <w:color w:val="0D0D0D"/>
          <w:sz w:val="24"/>
          <w:szCs w:val="24"/>
        </w:rPr>
      </w:pPr>
    </w:p>
    <w:p w14:paraId="768CA0EF" w14:textId="77777777" w:rsidR="00AC4DB0" w:rsidRPr="008755BB" w:rsidRDefault="00AC4DB0" w:rsidP="00AC4DB0">
      <w:pPr>
        <w:spacing w:after="0" w:line="360" w:lineRule="auto"/>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lastRenderedPageBreak/>
        <w:t xml:space="preserve">En ese orden de ideas, el Trigésimo </w:t>
      </w:r>
      <w:r>
        <w:rPr>
          <w:rFonts w:ascii="Palatino Linotype" w:hAnsi="Palatino Linotype" w:cs="Tahoma"/>
          <w:color w:val="0D0D0D"/>
          <w:sz w:val="24"/>
          <w:szCs w:val="24"/>
          <w:lang w:val="es-419"/>
        </w:rPr>
        <w:t>T</w:t>
      </w:r>
      <w:r w:rsidRPr="008755BB">
        <w:rPr>
          <w:rFonts w:ascii="Palatino Linotype" w:hAnsi="Palatino Linotype" w:cs="Tahoma"/>
          <w:color w:val="0D0D0D"/>
          <w:sz w:val="24"/>
          <w:szCs w:val="24"/>
          <w:lang w:val="es-ES"/>
        </w:rPr>
        <w:t>tercero de los Lineamientos Generales establece la forma en que se debe fundamentar y motivar la reserva de la información, es decir, a través de los siguientes pasos:</w:t>
      </w:r>
    </w:p>
    <w:p w14:paraId="0C06F992" w14:textId="77777777" w:rsidR="00AC4DB0" w:rsidRPr="008755BB" w:rsidRDefault="00AC4DB0" w:rsidP="00AC4DB0">
      <w:pPr>
        <w:spacing w:after="0" w:line="360" w:lineRule="auto"/>
        <w:jc w:val="both"/>
        <w:rPr>
          <w:rFonts w:ascii="Palatino Linotype" w:hAnsi="Palatino Linotype" w:cs="Tahoma"/>
          <w:color w:val="0D0D0D"/>
          <w:sz w:val="24"/>
          <w:szCs w:val="24"/>
        </w:rPr>
      </w:pPr>
    </w:p>
    <w:p w14:paraId="02A11C8D" w14:textId="77777777" w:rsidR="00AC4DB0" w:rsidRPr="008755BB" w:rsidRDefault="00AC4DB0" w:rsidP="00AC4DB0">
      <w:pPr>
        <w:numPr>
          <w:ilvl w:val="0"/>
          <w:numId w:val="27"/>
        </w:numPr>
        <w:spacing w:after="0" w:line="360" w:lineRule="auto"/>
        <w:contextualSpacing/>
        <w:jc w:val="both"/>
        <w:rPr>
          <w:rFonts w:ascii="Palatino Linotype" w:hAnsi="Palatino Linotype" w:cs="Tahoma"/>
          <w:color w:val="0D0D0D"/>
          <w:sz w:val="24"/>
          <w:szCs w:val="24"/>
        </w:rPr>
      </w:pPr>
      <w:r w:rsidRPr="008755BB">
        <w:rPr>
          <w:rFonts w:ascii="Palatino Linotype" w:hAnsi="Palatino Linotype" w:cs="Tahoma"/>
          <w:color w:val="0D0D0D"/>
          <w:sz w:val="24"/>
          <w:szCs w:val="24"/>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79D0FDC6" w14:textId="77777777" w:rsidR="00AC4DB0" w:rsidRPr="008755BB" w:rsidRDefault="00AC4DB0" w:rsidP="00AC4DB0">
      <w:pPr>
        <w:spacing w:after="0" w:line="360" w:lineRule="auto"/>
        <w:ind w:left="720"/>
        <w:contextualSpacing/>
        <w:jc w:val="both"/>
        <w:rPr>
          <w:rFonts w:ascii="Palatino Linotype" w:hAnsi="Palatino Linotype" w:cs="Tahoma"/>
          <w:color w:val="0D0D0D"/>
          <w:sz w:val="24"/>
          <w:szCs w:val="24"/>
        </w:rPr>
      </w:pPr>
    </w:p>
    <w:p w14:paraId="61A489BE" w14:textId="77777777" w:rsidR="00AC4DB0" w:rsidRPr="008755BB" w:rsidRDefault="00AC4DB0" w:rsidP="00AC4DB0">
      <w:pPr>
        <w:numPr>
          <w:ilvl w:val="0"/>
          <w:numId w:val="27"/>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deberá demostrar que la publicidad de la información generaría un riesgo de perjuicio, que rebasa el interés público;</w:t>
      </w:r>
    </w:p>
    <w:p w14:paraId="004535B0" w14:textId="77777777" w:rsidR="00AC4DB0" w:rsidRPr="008755BB" w:rsidRDefault="00AC4DB0" w:rsidP="00AC4DB0">
      <w:pPr>
        <w:pStyle w:val="Prrafodelista"/>
        <w:spacing w:line="360" w:lineRule="auto"/>
        <w:rPr>
          <w:rFonts w:ascii="Palatino Linotype" w:hAnsi="Palatino Linotype" w:cs="Tahoma"/>
          <w:color w:val="0D0D0D"/>
        </w:rPr>
      </w:pPr>
    </w:p>
    <w:p w14:paraId="7A29577B" w14:textId="77777777" w:rsidR="00AC4DB0" w:rsidRPr="008755BB" w:rsidRDefault="00AC4DB0" w:rsidP="00AC4DB0">
      <w:pPr>
        <w:numPr>
          <w:ilvl w:val="0"/>
          <w:numId w:val="27"/>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acreditará el vínculo entre la difusión de la información y la afectación del interés jurídico tutelado;</w:t>
      </w:r>
    </w:p>
    <w:p w14:paraId="1F0E12E2" w14:textId="77777777" w:rsidR="00AC4DB0" w:rsidRPr="008755BB" w:rsidRDefault="00AC4DB0" w:rsidP="00AC4DB0">
      <w:pPr>
        <w:spacing w:after="0" w:line="360" w:lineRule="auto"/>
        <w:ind w:left="720"/>
        <w:contextualSpacing/>
        <w:rPr>
          <w:rFonts w:ascii="Palatino Linotype" w:hAnsi="Palatino Linotype" w:cs="Tahoma"/>
          <w:color w:val="0D0D0D"/>
          <w:sz w:val="24"/>
          <w:szCs w:val="24"/>
          <w:lang w:val="es-ES"/>
        </w:rPr>
      </w:pPr>
    </w:p>
    <w:p w14:paraId="79F71A13" w14:textId="77777777" w:rsidR="00AC4DB0" w:rsidRPr="008755BB" w:rsidRDefault="00AC4DB0" w:rsidP="00AC4DB0">
      <w:pPr>
        <w:numPr>
          <w:ilvl w:val="0"/>
          <w:numId w:val="27"/>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precisará las razones objetivas por las que la apertura de la información generaría una afectación, por medio del riesgo real, demostrable e identificable;</w:t>
      </w:r>
    </w:p>
    <w:p w14:paraId="17B05107" w14:textId="77777777" w:rsidR="00AC4DB0" w:rsidRPr="008755BB" w:rsidRDefault="00AC4DB0" w:rsidP="00AC4DB0">
      <w:pPr>
        <w:spacing w:after="0" w:line="360" w:lineRule="auto"/>
        <w:ind w:left="720"/>
        <w:contextualSpacing/>
        <w:rPr>
          <w:rFonts w:ascii="Palatino Linotype" w:hAnsi="Palatino Linotype" w:cs="Tahoma"/>
          <w:color w:val="0D0D0D"/>
          <w:sz w:val="24"/>
          <w:szCs w:val="24"/>
          <w:lang w:val="es-ES"/>
        </w:rPr>
      </w:pPr>
    </w:p>
    <w:p w14:paraId="62213269" w14:textId="77777777" w:rsidR="00AC4DB0" w:rsidRPr="008755BB" w:rsidRDefault="00AC4DB0" w:rsidP="00AC4DB0">
      <w:pPr>
        <w:numPr>
          <w:ilvl w:val="0"/>
          <w:numId w:val="27"/>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deberán señalar las circunstancias de modo, tiempo y lugar del daño, y</w:t>
      </w:r>
    </w:p>
    <w:p w14:paraId="2E97E12E" w14:textId="77777777" w:rsidR="00AC4DB0" w:rsidRPr="008755BB" w:rsidRDefault="00AC4DB0" w:rsidP="00AC4DB0">
      <w:pPr>
        <w:spacing w:after="0" w:line="360" w:lineRule="auto"/>
        <w:ind w:left="720"/>
        <w:contextualSpacing/>
        <w:rPr>
          <w:rFonts w:ascii="Palatino Linotype" w:hAnsi="Palatino Linotype" w:cs="Tahoma"/>
          <w:color w:val="0D0D0D"/>
          <w:sz w:val="24"/>
          <w:szCs w:val="24"/>
          <w:lang w:val="es-ES"/>
        </w:rPr>
      </w:pPr>
    </w:p>
    <w:p w14:paraId="13A65EEE" w14:textId="77777777" w:rsidR="00AC4DB0" w:rsidRPr="008755BB" w:rsidRDefault="00AC4DB0" w:rsidP="00AC4DB0">
      <w:pPr>
        <w:numPr>
          <w:ilvl w:val="0"/>
          <w:numId w:val="27"/>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elegirá la opción de excepción al acceso a la información que menos restrinja, la cual será adecuada y proporcional para la protección del interés público.</w:t>
      </w:r>
    </w:p>
    <w:p w14:paraId="7094934B" w14:textId="77777777" w:rsidR="00AC4DB0" w:rsidRPr="008755BB" w:rsidRDefault="00AC4DB0" w:rsidP="00AC4DB0">
      <w:pPr>
        <w:spacing w:after="0" w:line="360" w:lineRule="auto"/>
        <w:jc w:val="both"/>
        <w:rPr>
          <w:rFonts w:ascii="Palatino Linotype" w:hAnsi="Palatino Linotype" w:cs="Tahoma"/>
          <w:color w:val="0D0D0D"/>
          <w:sz w:val="24"/>
          <w:szCs w:val="24"/>
          <w:lang w:val="es-ES"/>
        </w:rPr>
      </w:pPr>
    </w:p>
    <w:p w14:paraId="0EE3A55A" w14:textId="77777777" w:rsidR="00AC4DB0" w:rsidRPr="008755BB" w:rsidRDefault="00AC4DB0" w:rsidP="00AC4DB0">
      <w:pPr>
        <w:spacing w:after="0" w:line="360" w:lineRule="auto"/>
        <w:jc w:val="both"/>
        <w:rPr>
          <w:rFonts w:ascii="Palatino Linotype" w:eastAsia="Calibri" w:hAnsi="Palatino Linotype" w:cs="Tahoma"/>
          <w:bCs/>
          <w:sz w:val="24"/>
          <w:szCs w:val="24"/>
        </w:rPr>
      </w:pPr>
      <w:r w:rsidRPr="008755BB">
        <w:rPr>
          <w:rFonts w:ascii="Palatino Linotype" w:hAnsi="Palatino Linotype" w:cs="Tahoma"/>
          <w:color w:val="0D0D0D"/>
          <w:sz w:val="24"/>
          <w:szCs w:val="24"/>
          <w:lang w:val="es-ES"/>
        </w:rPr>
        <w:t xml:space="preserve">De </w:t>
      </w:r>
      <w:r w:rsidRPr="008755BB">
        <w:rPr>
          <w:rFonts w:ascii="Palatino Linotype" w:eastAsia="Calibri" w:hAnsi="Palatino Linotype" w:cs="Tahoma"/>
          <w:bCs/>
          <w:sz w:val="24"/>
          <w:szCs w:val="24"/>
        </w:rPr>
        <w:t xml:space="preserve">acuerdo con lo expuesto, el Sujeto Obligado, debe fundar y motivar la existencia de información reserva al momento del cumplimiento del Recurso, con la entrega del Acta </w:t>
      </w:r>
      <w:r w:rsidRPr="008755BB">
        <w:rPr>
          <w:rFonts w:ascii="Palatino Linotype" w:eastAsia="Calibri" w:hAnsi="Palatino Linotype" w:cs="Tahoma"/>
          <w:bCs/>
          <w:sz w:val="24"/>
          <w:szCs w:val="24"/>
        </w:rPr>
        <w:lastRenderedPageBreak/>
        <w:t>del Comité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4E4B1FF9" w14:textId="77777777" w:rsidR="00AC4DB0" w:rsidRPr="008755BB" w:rsidRDefault="00AC4DB0" w:rsidP="00AC4DB0">
      <w:pPr>
        <w:spacing w:after="0" w:line="360" w:lineRule="auto"/>
        <w:jc w:val="both"/>
        <w:rPr>
          <w:rFonts w:ascii="Palatino Linotype" w:eastAsia="Calibri" w:hAnsi="Palatino Linotype" w:cs="Tahoma"/>
          <w:bCs/>
          <w:sz w:val="24"/>
          <w:szCs w:val="24"/>
        </w:rPr>
      </w:pPr>
    </w:p>
    <w:p w14:paraId="331668BA" w14:textId="77777777" w:rsidR="00AC4DB0" w:rsidRPr="008755BB" w:rsidRDefault="00AC4DB0" w:rsidP="00AC4DB0">
      <w:pPr>
        <w:spacing w:after="0" w:line="360" w:lineRule="auto"/>
        <w:jc w:val="both"/>
        <w:rPr>
          <w:rFonts w:ascii="Palatino Linotype" w:eastAsia="Calibri" w:hAnsi="Palatino Linotype" w:cs="Tahoma"/>
          <w:iCs/>
          <w:sz w:val="24"/>
          <w:szCs w:val="24"/>
          <w:lang w:val="es-ES" w:eastAsia="es-ES_tradnl"/>
        </w:rPr>
      </w:pPr>
      <w:r w:rsidRPr="008755BB">
        <w:rPr>
          <w:rFonts w:ascii="Palatino Linotype" w:eastAsia="Calibri" w:hAnsi="Palatino Linotype" w:cs="Tahoma"/>
          <w:bCs/>
          <w:sz w:val="24"/>
          <w:szCs w:val="24"/>
        </w:rPr>
        <w:t>E</w:t>
      </w:r>
      <w:r w:rsidRPr="008755BB">
        <w:rPr>
          <w:rFonts w:ascii="Palatino Linotype" w:eastAsia="Calibri" w:hAnsi="Palatino Linotype" w:cs="Tahoma"/>
          <w:iCs/>
          <w:sz w:val="24"/>
          <w:szCs w:val="24"/>
          <w:lang w:val="es-ES" w:eastAsia="es-ES_tradnl"/>
        </w:rPr>
        <w:t>l</w:t>
      </w:r>
      <w:r w:rsidRPr="008755BB">
        <w:rPr>
          <w:rFonts w:ascii="Palatino Linotype" w:eastAsia="Calibri" w:hAnsi="Palatino Linotype" w:cs="Tahoma"/>
          <w:b/>
          <w:iCs/>
          <w:sz w:val="24"/>
          <w:szCs w:val="24"/>
          <w:lang w:val="es-ES" w:eastAsia="es-ES_tradnl"/>
        </w:rPr>
        <w:t xml:space="preserve"> </w:t>
      </w:r>
      <w:r w:rsidRPr="008755BB">
        <w:rPr>
          <w:rFonts w:ascii="Palatino Linotype" w:eastAsia="Calibri" w:hAnsi="Palatino Linotype" w:cs="Tahoma"/>
          <w:iCs/>
          <w:sz w:val="24"/>
          <w:szCs w:val="24"/>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7DBC762B" w14:textId="77777777" w:rsidR="00AC4DB0" w:rsidRPr="00D74FD7" w:rsidRDefault="00AC4DB0" w:rsidP="00AC4DB0">
      <w:pPr>
        <w:spacing w:line="360" w:lineRule="auto"/>
        <w:jc w:val="both"/>
        <w:rPr>
          <w:rFonts w:ascii="Palatino Linotype" w:eastAsia="Calibri" w:hAnsi="Palatino Linotype" w:cs="Tahoma"/>
          <w:bCs/>
        </w:rPr>
      </w:pPr>
    </w:p>
    <w:p w14:paraId="420E3E37" w14:textId="77777777" w:rsidR="00AC4DB0" w:rsidRPr="00D74FD7" w:rsidRDefault="00AC4DB0" w:rsidP="00AC4DB0">
      <w:pPr>
        <w:tabs>
          <w:tab w:val="left" w:pos="4962"/>
        </w:tabs>
        <w:spacing w:after="0" w:line="24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3775A1B7" w14:textId="77777777" w:rsidR="00AC4DB0" w:rsidRPr="00D74FD7" w:rsidRDefault="00AC4DB0" w:rsidP="00AC4DB0">
      <w:pPr>
        <w:tabs>
          <w:tab w:val="left" w:pos="4962"/>
        </w:tabs>
        <w:spacing w:after="0" w:line="24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I al III</w:t>
      </w:r>
      <w:r w:rsidRPr="00446D1D">
        <w:rPr>
          <w:rFonts w:ascii="Palatino Linotype" w:eastAsia="Calibri" w:hAnsi="Palatino Linotype" w:cs="Tahoma"/>
          <w:i/>
          <w:iCs/>
          <w:lang w:val="es-ES" w:eastAsia="es-ES_tradnl"/>
        </w:rPr>
        <w:t>…</w:t>
      </w:r>
    </w:p>
    <w:p w14:paraId="36C9CC3D" w14:textId="77777777" w:rsidR="00AC4DB0" w:rsidRPr="00D74FD7" w:rsidRDefault="00AC4DB0" w:rsidP="00AC4DB0">
      <w:pPr>
        <w:tabs>
          <w:tab w:val="left" w:pos="4962"/>
        </w:tabs>
        <w:spacing w:after="0" w:line="24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w:t>
      </w:r>
      <w:r w:rsidRPr="005526B1">
        <w:rPr>
          <w:rFonts w:ascii="Palatino Linotype" w:eastAsia="Calibri" w:hAnsi="Palatino Linotype" w:cs="Tahoma"/>
          <w:b/>
          <w:i/>
          <w:iCs/>
          <w:lang w:eastAsia="es-ES_tradnl"/>
        </w:rPr>
        <w:t>onga en riesgo la vida, la seguridad o la salud de una persona física;</w:t>
      </w:r>
    </w:p>
    <w:p w14:paraId="76AD0311" w14:textId="77777777" w:rsidR="00AC4DB0" w:rsidRDefault="00AC4DB0" w:rsidP="00AC4DB0">
      <w:pPr>
        <w:tabs>
          <w:tab w:val="left" w:pos="4962"/>
        </w:tabs>
        <w:spacing w:after="0" w:line="24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V al XI…</w:t>
      </w:r>
    </w:p>
    <w:p w14:paraId="665BAB3E" w14:textId="77777777" w:rsidR="00AC4DB0" w:rsidRPr="00341AC3" w:rsidRDefault="00AC4DB0" w:rsidP="00AC4DB0">
      <w:pPr>
        <w:spacing w:after="0" w:line="240" w:lineRule="auto"/>
        <w:ind w:left="567" w:right="567"/>
        <w:jc w:val="both"/>
        <w:rPr>
          <w:rFonts w:ascii="Palatino Linotype" w:eastAsia="Calibri" w:hAnsi="Palatino Linotype" w:cs="Tahoma"/>
          <w:bCs/>
          <w:lang w:val="es-ES"/>
        </w:rPr>
      </w:pPr>
      <w:r w:rsidRPr="00341AC3">
        <w:rPr>
          <w:rFonts w:ascii="Palatino Linotype" w:eastAsia="Calibri" w:hAnsi="Palatino Linotype" w:cs="Tahoma"/>
          <w:bCs/>
          <w:lang w:val="es-ES"/>
        </w:rPr>
        <w:t>(Énfasis añadido)</w:t>
      </w:r>
    </w:p>
    <w:p w14:paraId="65C56454" w14:textId="77777777" w:rsidR="00AC4DB0" w:rsidRPr="008755BB" w:rsidRDefault="00AC4DB0" w:rsidP="00AC4DB0">
      <w:pPr>
        <w:spacing w:after="0" w:line="360" w:lineRule="auto"/>
        <w:jc w:val="both"/>
        <w:rPr>
          <w:rFonts w:ascii="Palatino Linotype" w:eastAsia="Calibri" w:hAnsi="Palatino Linotype" w:cs="Tahoma"/>
          <w:iCs/>
          <w:sz w:val="24"/>
          <w:szCs w:val="24"/>
          <w:lang w:val="es-ES" w:eastAsia="es-ES_tradnl"/>
        </w:rPr>
      </w:pPr>
    </w:p>
    <w:p w14:paraId="60A6DF8D" w14:textId="77777777" w:rsidR="00AC4DB0" w:rsidRPr="008755BB" w:rsidRDefault="00AC4DB0" w:rsidP="00AC4DB0">
      <w:pPr>
        <w:spacing w:after="0" w:line="360" w:lineRule="auto"/>
        <w:jc w:val="both"/>
        <w:rPr>
          <w:rFonts w:ascii="Palatino Linotype" w:eastAsia="Calibri" w:hAnsi="Palatino Linotype" w:cs="Tahoma"/>
          <w:iCs/>
          <w:sz w:val="24"/>
          <w:szCs w:val="24"/>
          <w:lang w:val="es-ES" w:eastAsia="es-ES_tradnl"/>
        </w:rPr>
      </w:pPr>
      <w:r w:rsidRPr="008755BB">
        <w:rPr>
          <w:rFonts w:ascii="Palatino Linotype" w:eastAsia="Calibri" w:hAnsi="Palatino Linotype" w:cs="Tahoma"/>
          <w:iCs/>
          <w:sz w:val="24"/>
          <w:szCs w:val="24"/>
          <w:lang w:val="es-ES" w:eastAsia="es-ES_tradnl"/>
        </w:rPr>
        <w:t>Del precepto legal anteriormente citado se desprende que como información reservada podrá clasificarse aquella cuya publicación pueda poner en riesgo la vida, seguridad o salud de una persona física; para acreditarlo, los Lineamientos Generales, establecen lo siguiente:</w:t>
      </w:r>
    </w:p>
    <w:p w14:paraId="7CDB19C8" w14:textId="77777777" w:rsidR="00AC4DB0" w:rsidRPr="008755BB" w:rsidRDefault="00AC4DB0" w:rsidP="00AC4DB0">
      <w:pPr>
        <w:spacing w:after="0" w:line="360" w:lineRule="auto"/>
        <w:jc w:val="both"/>
        <w:rPr>
          <w:rFonts w:ascii="Palatino Linotype" w:eastAsia="Calibri" w:hAnsi="Palatino Linotype" w:cs="Tahoma"/>
          <w:iCs/>
          <w:sz w:val="24"/>
          <w:szCs w:val="24"/>
          <w:lang w:val="es-ES" w:eastAsia="es-ES_tradnl"/>
        </w:rPr>
      </w:pPr>
    </w:p>
    <w:p w14:paraId="7C790DA1" w14:textId="77777777" w:rsidR="00AC4DB0" w:rsidRPr="008755BB" w:rsidRDefault="00AC4DB0" w:rsidP="00AC4DB0">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
          <w:bCs/>
          <w:i/>
          <w:sz w:val="24"/>
          <w:szCs w:val="24"/>
        </w:rPr>
        <w:t xml:space="preserve">Vigésimo tercero. </w:t>
      </w:r>
      <w:r w:rsidRPr="008755BB">
        <w:rPr>
          <w:rFonts w:ascii="Palatino Linotype" w:eastAsia="Calibri" w:hAnsi="Palatino Linotype" w:cs="Tahoma"/>
          <w:bCs/>
          <w:i/>
          <w:sz w:val="24"/>
          <w:szCs w:val="24"/>
        </w:rPr>
        <w:t>Para clasificar la información como reservada, de conformidad con el artículo 113, fracción V de la Ley General, será necesario acreditar un vínculo, entre la persona física y la información que pueda poner en riesgo su vida, seguridad o salud.</w:t>
      </w:r>
    </w:p>
    <w:p w14:paraId="4B0CE2FB" w14:textId="77777777" w:rsidR="00AC4DB0" w:rsidRPr="008755BB" w:rsidRDefault="00AC4DB0" w:rsidP="00AC4DB0">
      <w:pPr>
        <w:spacing w:after="0" w:line="360" w:lineRule="auto"/>
        <w:ind w:left="567" w:right="567"/>
        <w:jc w:val="both"/>
        <w:rPr>
          <w:rFonts w:ascii="Palatino Linotype" w:eastAsia="Calibri" w:hAnsi="Palatino Linotype" w:cs="Tahoma"/>
          <w:bCs/>
          <w:i/>
          <w:sz w:val="24"/>
          <w:szCs w:val="24"/>
        </w:rPr>
      </w:pPr>
    </w:p>
    <w:p w14:paraId="486C9D03" w14:textId="77777777" w:rsidR="00AC4DB0" w:rsidRPr="008755BB" w:rsidRDefault="00AC4DB0" w:rsidP="00AC4DB0">
      <w:pPr>
        <w:spacing w:after="0" w:line="360" w:lineRule="auto"/>
        <w:jc w:val="both"/>
        <w:rPr>
          <w:rFonts w:ascii="Palatino Linotype" w:eastAsia="Calibri" w:hAnsi="Palatino Linotype" w:cs="Tahoma"/>
          <w:bCs/>
          <w:sz w:val="24"/>
          <w:szCs w:val="24"/>
        </w:rPr>
      </w:pPr>
      <w:r w:rsidRPr="008755BB">
        <w:rPr>
          <w:rFonts w:ascii="Palatino Linotype" w:eastAsia="Calibri" w:hAnsi="Palatino Linotype" w:cs="Tahoma"/>
          <w:bCs/>
          <w:sz w:val="24"/>
          <w:szCs w:val="24"/>
        </w:rPr>
        <w:t xml:space="preserve">Del Lineamiento referido, se desprende que para clasificar la información como reservada, será necesario </w:t>
      </w:r>
      <w:r w:rsidRPr="008755BB">
        <w:rPr>
          <w:rFonts w:ascii="Palatino Linotype" w:eastAsia="Calibri" w:hAnsi="Palatino Linotype" w:cs="Tahoma"/>
          <w:b/>
          <w:bCs/>
          <w:sz w:val="24"/>
          <w:szCs w:val="24"/>
        </w:rPr>
        <w:t>acreditar un vínculo, entre la persona física y la información que pueda poner en riesgo su vida, seguridad o salud</w:t>
      </w:r>
      <w:r w:rsidRPr="008755BB">
        <w:rPr>
          <w:rFonts w:ascii="Palatino Linotype" w:eastAsia="Calibri" w:hAnsi="Palatino Linotype" w:cs="Tahoma"/>
          <w:bCs/>
          <w:sz w:val="24"/>
          <w:szCs w:val="24"/>
        </w:rPr>
        <w:t>.</w:t>
      </w:r>
    </w:p>
    <w:p w14:paraId="09D0502A" w14:textId="77777777" w:rsidR="00AC4DB0" w:rsidRPr="008755BB" w:rsidRDefault="00AC4DB0" w:rsidP="00AC4DB0">
      <w:pPr>
        <w:spacing w:after="0" w:line="360" w:lineRule="auto"/>
        <w:jc w:val="both"/>
        <w:rPr>
          <w:rFonts w:ascii="Palatino Linotype" w:eastAsia="Calibri" w:hAnsi="Palatino Linotype" w:cs="Tahoma"/>
          <w:bCs/>
          <w:sz w:val="24"/>
          <w:szCs w:val="24"/>
        </w:rPr>
      </w:pPr>
    </w:p>
    <w:p w14:paraId="17A00718" w14:textId="77777777" w:rsidR="00AC4DB0" w:rsidRPr="008755BB" w:rsidRDefault="00AC4DB0" w:rsidP="00AC4DB0">
      <w:pPr>
        <w:spacing w:after="0" w:line="360" w:lineRule="auto"/>
        <w:jc w:val="both"/>
        <w:rPr>
          <w:rFonts w:ascii="Palatino Linotype" w:eastAsia="Calibri" w:hAnsi="Palatino Linotype" w:cs="Tahoma"/>
          <w:bCs/>
          <w:sz w:val="24"/>
          <w:szCs w:val="24"/>
        </w:rPr>
      </w:pPr>
      <w:r w:rsidRPr="008755BB">
        <w:rPr>
          <w:rFonts w:ascii="Palatino Linotype" w:eastAsia="Calibri" w:hAnsi="Palatino Linotype" w:cs="Tahoma"/>
          <w:bCs/>
          <w:sz w:val="24"/>
          <w:szCs w:val="24"/>
        </w:rPr>
        <w:t>Además, el artículo 81, fracción III, de la Ley de Seguridad del Estado de México, establece lo siguiente:</w:t>
      </w:r>
    </w:p>
    <w:p w14:paraId="713CE128" w14:textId="77777777" w:rsidR="00AC4DB0" w:rsidRPr="008755BB" w:rsidRDefault="00AC4DB0" w:rsidP="00AC4DB0">
      <w:pPr>
        <w:spacing w:after="0" w:line="360" w:lineRule="auto"/>
        <w:jc w:val="both"/>
        <w:rPr>
          <w:rFonts w:ascii="Palatino Linotype" w:eastAsia="Calibri" w:hAnsi="Palatino Linotype" w:cs="Tahoma"/>
          <w:bCs/>
          <w:sz w:val="24"/>
          <w:szCs w:val="24"/>
        </w:rPr>
      </w:pPr>
    </w:p>
    <w:p w14:paraId="4796B9A3" w14:textId="77777777" w:rsidR="00AC4DB0" w:rsidRPr="008755BB" w:rsidRDefault="00AC4DB0" w:rsidP="00AC4DB0">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
          <w:bCs/>
          <w:i/>
          <w:sz w:val="24"/>
          <w:szCs w:val="24"/>
        </w:rPr>
        <w:t>Artículo 81.-</w:t>
      </w:r>
      <w:r w:rsidRPr="008755BB">
        <w:rPr>
          <w:rFonts w:ascii="Palatino Linotype" w:eastAsia="Calibri" w:hAnsi="Palatino Linotype" w:cs="Tahoma"/>
          <w:bCs/>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8755BB">
        <w:rPr>
          <w:rFonts w:ascii="Palatino Linotype" w:eastAsia="Calibri" w:hAnsi="Palatino Linotype" w:cs="Tahoma"/>
          <w:bCs/>
          <w:i/>
          <w:sz w:val="24"/>
          <w:szCs w:val="24"/>
        </w:rPr>
        <w:t>obstante</w:t>
      </w:r>
      <w:proofErr w:type="gramEnd"/>
      <w:r w:rsidRPr="008755BB">
        <w:rPr>
          <w:rFonts w:ascii="Palatino Linotype" w:eastAsia="Calibri" w:hAnsi="Palatino Linotype" w:cs="Tahoma"/>
          <w:bCs/>
          <w:i/>
          <w:sz w:val="24"/>
          <w:szCs w:val="24"/>
        </w:rPr>
        <w:t xml:space="preserve"> lo anterior, esta información se considerará reservada en los casos siguientes: </w:t>
      </w:r>
    </w:p>
    <w:p w14:paraId="7C5C70A9" w14:textId="77777777" w:rsidR="00AC4DB0" w:rsidRPr="008755BB" w:rsidRDefault="00AC4DB0" w:rsidP="00AC4DB0">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Cs/>
          <w:i/>
          <w:sz w:val="24"/>
          <w:szCs w:val="24"/>
        </w:rPr>
        <w:t>I al II…</w:t>
      </w:r>
    </w:p>
    <w:p w14:paraId="015B0A6B" w14:textId="77777777" w:rsidR="00AC4DB0" w:rsidRPr="008755BB" w:rsidRDefault="00AC4DB0" w:rsidP="00AC4DB0">
      <w:pPr>
        <w:spacing w:after="0" w:line="240" w:lineRule="auto"/>
        <w:ind w:left="567" w:right="567"/>
        <w:jc w:val="both"/>
        <w:rPr>
          <w:rFonts w:ascii="Palatino Linotype" w:eastAsia="Calibri" w:hAnsi="Palatino Linotype" w:cs="Tahoma"/>
          <w:b/>
          <w:bCs/>
          <w:i/>
          <w:sz w:val="24"/>
          <w:szCs w:val="24"/>
        </w:rPr>
      </w:pPr>
      <w:r w:rsidRPr="008755BB">
        <w:rPr>
          <w:rFonts w:ascii="Palatino Linotype" w:eastAsia="Calibri" w:hAnsi="Palatino Linotype" w:cs="Tahoma"/>
          <w:bCs/>
          <w:i/>
          <w:sz w:val="24"/>
          <w:szCs w:val="24"/>
        </w:rPr>
        <w:t>III. La r</w:t>
      </w:r>
      <w:r w:rsidRPr="008755BB">
        <w:rPr>
          <w:rFonts w:ascii="Palatino Linotype" w:eastAsia="Calibri" w:hAnsi="Palatino Linotype" w:cs="Tahoma"/>
          <w:b/>
          <w:bCs/>
          <w:i/>
          <w:sz w:val="24"/>
          <w:szCs w:val="24"/>
        </w:rPr>
        <w:t>elativa a los servidores públicos integrantes de las instituciones de seguridad pública, cuya revelación pueda poner en riesgo su vida e integridad física con motivo de sus funciones;</w:t>
      </w:r>
    </w:p>
    <w:p w14:paraId="1CAB6AA3" w14:textId="77777777" w:rsidR="00AC4DB0" w:rsidRPr="008755BB" w:rsidRDefault="00AC4DB0" w:rsidP="00AC4DB0">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Cs/>
          <w:i/>
          <w:sz w:val="24"/>
          <w:szCs w:val="24"/>
        </w:rPr>
        <w:t>IV al V…</w:t>
      </w:r>
    </w:p>
    <w:p w14:paraId="7726B8CB" w14:textId="77777777" w:rsidR="00AC4DB0" w:rsidRPr="008755BB" w:rsidRDefault="00AC4DB0" w:rsidP="00AC4DB0">
      <w:pPr>
        <w:spacing w:after="0" w:line="240" w:lineRule="auto"/>
        <w:ind w:left="567" w:right="567"/>
        <w:jc w:val="both"/>
        <w:rPr>
          <w:rFonts w:ascii="Palatino Linotype" w:eastAsia="Calibri" w:hAnsi="Palatino Linotype" w:cs="Tahoma"/>
          <w:bCs/>
          <w:sz w:val="24"/>
          <w:szCs w:val="24"/>
          <w:lang w:val="es-ES"/>
        </w:rPr>
      </w:pPr>
      <w:r w:rsidRPr="008755BB">
        <w:rPr>
          <w:rFonts w:ascii="Palatino Linotype" w:eastAsia="Calibri" w:hAnsi="Palatino Linotype" w:cs="Tahoma"/>
          <w:bCs/>
          <w:sz w:val="24"/>
          <w:szCs w:val="24"/>
          <w:lang w:val="es-ES"/>
        </w:rPr>
        <w:t>(Énfasis añadido)</w:t>
      </w:r>
    </w:p>
    <w:p w14:paraId="238C3753" w14:textId="77777777" w:rsidR="00AC4DB0" w:rsidRPr="008755BB" w:rsidRDefault="00AC4DB0" w:rsidP="00AC4DB0">
      <w:pPr>
        <w:spacing w:after="0" w:line="360" w:lineRule="auto"/>
        <w:jc w:val="both"/>
        <w:rPr>
          <w:rFonts w:ascii="Palatino Linotype" w:eastAsia="Calibri" w:hAnsi="Palatino Linotype" w:cs="Tahoma"/>
          <w:bCs/>
          <w:sz w:val="24"/>
          <w:szCs w:val="24"/>
        </w:rPr>
      </w:pPr>
    </w:p>
    <w:p w14:paraId="553338DA" w14:textId="77777777" w:rsidR="00AC4DB0" w:rsidRPr="008755BB" w:rsidRDefault="00AC4DB0" w:rsidP="00AC4DB0">
      <w:pPr>
        <w:spacing w:after="0" w:line="360" w:lineRule="auto"/>
        <w:jc w:val="both"/>
        <w:rPr>
          <w:rFonts w:ascii="Palatino Linotype" w:eastAsia="Calibri" w:hAnsi="Palatino Linotype" w:cs="Tahoma"/>
          <w:bCs/>
          <w:sz w:val="24"/>
          <w:szCs w:val="24"/>
        </w:rPr>
      </w:pPr>
      <w:r w:rsidRPr="008755BB">
        <w:rPr>
          <w:rFonts w:ascii="Palatino Linotype" w:hAnsi="Palatino Linotype" w:cs="Tahoma"/>
          <w:sz w:val="24"/>
          <w:szCs w:val="24"/>
        </w:rPr>
        <w:t xml:space="preserve">Conforme al artículo citado, se desprende que es reservada toda aquella información de los servidores públicos integrantes de las instituciones de seguridad pública, cuya revelación pueda poner en riesgo su vida e integridad física con motivo de sus funciones. </w:t>
      </w:r>
      <w:r w:rsidRPr="008755BB">
        <w:rPr>
          <w:rFonts w:ascii="Palatino Linotype" w:eastAsia="Calibri" w:hAnsi="Palatino Linotype" w:cs="Tahoma"/>
          <w:bCs/>
          <w:sz w:val="24"/>
          <w:szCs w:val="24"/>
        </w:rPr>
        <w:t xml:space="preserve">En ese contexto, tal como se precisó en párrafos anteriores, </w:t>
      </w:r>
      <w:r w:rsidRPr="008755BB">
        <w:rPr>
          <w:rFonts w:ascii="Palatino Linotype" w:eastAsia="Calibri" w:hAnsi="Palatino Linotype" w:cs="Tahoma"/>
          <w:b/>
          <w:bCs/>
          <w:sz w:val="24"/>
          <w:szCs w:val="24"/>
        </w:rPr>
        <w:t xml:space="preserve">los datos de servidores públicos, entre los que se encuentran el nombre de los trabajadores, por regla general, </w:t>
      </w:r>
      <w:r w:rsidRPr="008755BB">
        <w:rPr>
          <w:rFonts w:ascii="Palatino Linotype" w:eastAsia="Calibri" w:hAnsi="Palatino Linotype" w:cs="Tahoma"/>
          <w:bCs/>
          <w:sz w:val="24"/>
          <w:szCs w:val="24"/>
        </w:rPr>
        <w:t>son de naturaleza pública, ya que su publicidad orienta a cumplir los objetivos que persigue la Ley.</w:t>
      </w:r>
    </w:p>
    <w:p w14:paraId="2918EAE6" w14:textId="77777777" w:rsidR="00AC4DB0" w:rsidRPr="008755BB" w:rsidRDefault="00AC4DB0" w:rsidP="00AC4DB0">
      <w:pPr>
        <w:spacing w:after="0" w:line="360" w:lineRule="auto"/>
        <w:jc w:val="both"/>
        <w:rPr>
          <w:rFonts w:ascii="Palatino Linotype" w:eastAsia="Calibri" w:hAnsi="Palatino Linotype" w:cs="Tahoma"/>
          <w:bCs/>
          <w:sz w:val="24"/>
          <w:szCs w:val="24"/>
        </w:rPr>
      </w:pPr>
    </w:p>
    <w:p w14:paraId="3BF83C04" w14:textId="77777777" w:rsidR="00AC4DB0" w:rsidRPr="008755BB" w:rsidRDefault="00AC4DB0" w:rsidP="00AC4DB0">
      <w:pPr>
        <w:spacing w:after="0" w:line="360" w:lineRule="auto"/>
        <w:jc w:val="both"/>
        <w:rPr>
          <w:rFonts w:ascii="Palatino Linotype" w:hAnsi="Palatino Linotype" w:cs="Tahoma"/>
          <w:sz w:val="24"/>
          <w:szCs w:val="24"/>
        </w:rPr>
      </w:pPr>
      <w:r w:rsidRPr="008755BB">
        <w:rPr>
          <w:rFonts w:ascii="Palatino Linotype" w:eastAsia="Calibri" w:hAnsi="Palatino Linotype" w:cs="Tahoma"/>
          <w:bCs/>
          <w:sz w:val="24"/>
          <w:szCs w:val="24"/>
        </w:rPr>
        <w:lastRenderedPageBreak/>
        <w:t xml:space="preserve">No obstante, resulta necesario traer a colación por analogía, el Criterio 06/09, emitido por </w:t>
      </w:r>
      <w:r w:rsidRPr="008755BB">
        <w:rPr>
          <w:rFonts w:ascii="Palatino Linotype" w:hAnsi="Palatino Linotype" w:cs="Tahoma"/>
          <w:sz w:val="24"/>
          <w:szCs w:val="24"/>
        </w:rPr>
        <w:t>el entonces Instituto Federal de Acceso a la Información y Protección de Datos ahora Instituto Nacional de Transparencia, Acceso a la Información y Protección de Datos Personales, que establece lo siguiente:</w:t>
      </w:r>
    </w:p>
    <w:p w14:paraId="3D2343B7" w14:textId="77777777" w:rsidR="00AC4DB0" w:rsidRPr="008755BB" w:rsidRDefault="00AC4DB0" w:rsidP="00AC4DB0">
      <w:pPr>
        <w:spacing w:after="0" w:line="360" w:lineRule="auto"/>
        <w:jc w:val="both"/>
        <w:rPr>
          <w:rFonts w:ascii="Palatino Linotype" w:hAnsi="Palatino Linotype" w:cs="Tahoma"/>
          <w:i/>
          <w:sz w:val="24"/>
          <w:szCs w:val="24"/>
        </w:rPr>
      </w:pPr>
    </w:p>
    <w:p w14:paraId="0CE98A4B" w14:textId="77777777" w:rsidR="00AC4DB0" w:rsidRPr="00F87CCD" w:rsidRDefault="00AC4DB0" w:rsidP="00AC4DB0">
      <w:pPr>
        <w:tabs>
          <w:tab w:val="left" w:pos="4962"/>
        </w:tabs>
        <w:spacing w:after="0" w:line="240" w:lineRule="auto"/>
        <w:ind w:left="567" w:right="567"/>
        <w:jc w:val="both"/>
        <w:rPr>
          <w:rFonts w:ascii="Palatino Linotype" w:hAnsi="Palatino Linotype" w:cs="Tahoma"/>
          <w:i/>
        </w:rPr>
      </w:pPr>
      <w:r w:rsidRPr="00F87CCD">
        <w:rPr>
          <w:rFonts w:ascii="Palatino Linotype" w:hAnsi="Palatino Linotype" w:cs="Tahoma"/>
          <w:b/>
          <w:i/>
        </w:rPr>
        <w:t>Nombres de servidores públicos dedicados a actividades en materia de seguridad, por excepción pueden considerarse información reservada.</w:t>
      </w:r>
      <w:r w:rsidRPr="00F87CCD">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F87CCD">
        <w:rPr>
          <w:rFonts w:ascii="Palatino Linotype" w:hAnsi="Palatino Linotype" w:cs="Tahoma"/>
          <w:i/>
        </w:rPr>
        <w:t>obstante</w:t>
      </w:r>
      <w:proofErr w:type="gramEnd"/>
      <w:r w:rsidRPr="00F87CCD">
        <w:rPr>
          <w:rFonts w:ascii="Palatino Linotype" w:hAnsi="Palatino Linotype" w:cs="Tahoma"/>
          <w:i/>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w:t>
      </w:r>
      <w:r>
        <w:rPr>
          <w:rFonts w:ascii="Palatino Linotype" w:hAnsi="Palatino Linotype" w:cs="Tahoma"/>
          <w:i/>
        </w:rPr>
        <w:t>s en sus diferentes vertientes.</w:t>
      </w:r>
    </w:p>
    <w:p w14:paraId="766B054F" w14:textId="77777777" w:rsidR="00AC4DB0" w:rsidRPr="008755BB" w:rsidRDefault="00AC4DB0" w:rsidP="00AC4DB0">
      <w:pPr>
        <w:spacing w:after="0" w:line="360" w:lineRule="auto"/>
        <w:jc w:val="both"/>
        <w:rPr>
          <w:rFonts w:ascii="Palatino Linotype" w:hAnsi="Palatino Linotype" w:cs="Tahoma"/>
          <w:sz w:val="24"/>
          <w:szCs w:val="24"/>
        </w:rPr>
      </w:pPr>
    </w:p>
    <w:p w14:paraId="02B78C08" w14:textId="77777777" w:rsidR="00AC4DB0" w:rsidRPr="008755BB" w:rsidRDefault="00AC4DB0" w:rsidP="00AC4DB0">
      <w:pPr>
        <w:spacing w:after="0" w:line="360" w:lineRule="auto"/>
        <w:jc w:val="both"/>
        <w:rPr>
          <w:rFonts w:ascii="Palatino Linotype" w:hAnsi="Palatino Linotype" w:cs="Tahoma"/>
          <w:sz w:val="24"/>
          <w:szCs w:val="24"/>
        </w:rPr>
      </w:pPr>
      <w:r w:rsidRPr="008755BB">
        <w:rPr>
          <w:rFonts w:ascii="Palatino Linotype" w:hAnsi="Palatino Linotype" w:cs="Tahoma"/>
          <w:sz w:val="24"/>
          <w:szCs w:val="24"/>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683CAC6" w14:textId="77777777" w:rsidR="00AC4DB0" w:rsidRPr="008755BB" w:rsidRDefault="00AC4DB0" w:rsidP="00AC4DB0">
      <w:pPr>
        <w:spacing w:after="0" w:line="360" w:lineRule="auto"/>
        <w:jc w:val="both"/>
        <w:rPr>
          <w:rFonts w:ascii="Palatino Linotype" w:hAnsi="Palatino Linotype" w:cs="Tahoma"/>
          <w:sz w:val="24"/>
          <w:szCs w:val="24"/>
        </w:rPr>
      </w:pPr>
    </w:p>
    <w:p w14:paraId="1906ECCB" w14:textId="77777777" w:rsidR="00AC4DB0" w:rsidRPr="008755BB" w:rsidRDefault="00AC4DB0" w:rsidP="00AC4DB0">
      <w:pPr>
        <w:spacing w:after="0" w:line="360" w:lineRule="auto"/>
        <w:jc w:val="both"/>
        <w:rPr>
          <w:rFonts w:ascii="Palatino Linotype" w:hAnsi="Palatino Linotype" w:cs="Tahoma"/>
          <w:sz w:val="24"/>
          <w:szCs w:val="24"/>
        </w:rPr>
      </w:pPr>
      <w:r w:rsidRPr="008755BB">
        <w:rPr>
          <w:rFonts w:ascii="Palatino Linotype" w:hAnsi="Palatino Linotype" w:cs="Tahoma"/>
          <w:sz w:val="24"/>
          <w:szCs w:val="24"/>
        </w:rPr>
        <w:t xml:space="preserve">En ese orden de ideas, si bien por regla general los nombres de los trabajadores gubernamentales son información pública de oficio, existe una excepción relativa a </w:t>
      </w:r>
      <w:r w:rsidRPr="008755BB">
        <w:rPr>
          <w:rFonts w:ascii="Palatino Linotype" w:hAnsi="Palatino Linotype" w:cs="Tahoma"/>
          <w:b/>
          <w:sz w:val="24"/>
          <w:szCs w:val="24"/>
        </w:rPr>
        <w:t>aquellos que realicen actividades operativas en materia de seguridad</w:t>
      </w:r>
      <w:r w:rsidRPr="008755BB">
        <w:rPr>
          <w:rFonts w:ascii="Palatino Linotype" w:hAnsi="Palatino Linotype" w:cs="Tahoma"/>
          <w:sz w:val="24"/>
          <w:szCs w:val="24"/>
        </w:rPr>
        <w:t>, como es el caso de los elementos operativos y la policía municipal. 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9B6F094" w14:textId="77777777" w:rsidR="00AC4DB0" w:rsidRPr="00354B03" w:rsidRDefault="00AC4DB0" w:rsidP="00AC4DB0">
      <w:pPr>
        <w:spacing w:after="0" w:line="360" w:lineRule="auto"/>
        <w:jc w:val="both"/>
        <w:rPr>
          <w:rFonts w:ascii="Palatino Linotype" w:hAnsi="Palatino Linotype" w:cs="Tahoma"/>
          <w:sz w:val="24"/>
          <w:szCs w:val="24"/>
        </w:rPr>
      </w:pPr>
    </w:p>
    <w:p w14:paraId="3A382686" w14:textId="77777777" w:rsidR="00AC4DB0" w:rsidRPr="00354B03" w:rsidRDefault="00AC4DB0" w:rsidP="00AC4DB0">
      <w:pPr>
        <w:spacing w:after="0" w:line="360" w:lineRule="auto"/>
        <w:jc w:val="both"/>
        <w:rPr>
          <w:rFonts w:ascii="Palatino Linotype" w:hAnsi="Palatino Linotype" w:cs="Tahoma"/>
          <w:sz w:val="24"/>
          <w:szCs w:val="24"/>
        </w:rPr>
      </w:pPr>
      <w:r w:rsidRPr="00354B03">
        <w:rPr>
          <w:rFonts w:ascii="Palatino Linotype" w:hAnsi="Palatino Linotype" w:cs="Tahoma"/>
          <w:sz w:val="24"/>
          <w:szCs w:val="24"/>
        </w:rPr>
        <w:t>En ese contexto, el artículo 6, fracciones XI y XII de dicho ordenamiento jurídico, establece los siguientes conceptos:</w:t>
      </w:r>
    </w:p>
    <w:p w14:paraId="172AA478" w14:textId="77777777" w:rsidR="00AC4DB0" w:rsidRPr="00354B03" w:rsidRDefault="00AC4DB0" w:rsidP="00AC4DB0">
      <w:pPr>
        <w:spacing w:after="0" w:line="360" w:lineRule="auto"/>
        <w:jc w:val="both"/>
        <w:rPr>
          <w:rFonts w:ascii="Palatino Linotype" w:hAnsi="Palatino Linotype" w:cs="Tahoma"/>
          <w:sz w:val="24"/>
          <w:szCs w:val="24"/>
        </w:rPr>
      </w:pPr>
    </w:p>
    <w:p w14:paraId="59F45580" w14:textId="77777777" w:rsidR="00AC4DB0" w:rsidRPr="00354B03" w:rsidRDefault="00AC4DB0" w:rsidP="00AC4DB0">
      <w:pPr>
        <w:pStyle w:val="Prrafodelista"/>
        <w:numPr>
          <w:ilvl w:val="0"/>
          <w:numId w:val="24"/>
        </w:numPr>
        <w:spacing w:line="360" w:lineRule="auto"/>
        <w:contextualSpacing/>
        <w:jc w:val="both"/>
        <w:rPr>
          <w:rFonts w:ascii="Palatino Linotype" w:eastAsia="Calibri" w:hAnsi="Palatino Linotype" w:cs="Tahoma"/>
          <w:b/>
          <w:bCs/>
          <w:lang w:eastAsia="en-US"/>
        </w:rPr>
      </w:pPr>
      <w:r w:rsidRPr="00354B03">
        <w:rPr>
          <w:rFonts w:ascii="Palatino Linotype" w:eastAsia="Calibri" w:hAnsi="Palatino Linotype" w:cs="Tahoma"/>
          <w:b/>
          <w:bCs/>
          <w:lang w:eastAsia="en-US"/>
        </w:rPr>
        <w:t xml:space="preserve">Instituciones Policiales: </w:t>
      </w:r>
      <w:r w:rsidRPr="00354B03">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354B03">
        <w:rPr>
          <w:rFonts w:ascii="Palatino Linotype" w:eastAsia="Calibri" w:hAnsi="Palatino Linotype" w:cs="Tahoma"/>
          <w:b/>
          <w:bCs/>
          <w:lang w:eastAsia="en-US"/>
        </w:rPr>
        <w:t>todas las dependencias encargadas de la seguridad pública a nivel</w:t>
      </w:r>
      <w:r w:rsidRPr="00354B03">
        <w:rPr>
          <w:rFonts w:ascii="Palatino Linotype" w:eastAsia="Calibri" w:hAnsi="Palatino Linotype" w:cs="Tahoma"/>
          <w:bCs/>
          <w:lang w:eastAsia="en-US"/>
        </w:rPr>
        <w:t xml:space="preserve"> estatal y </w:t>
      </w:r>
      <w:r w:rsidRPr="00354B03">
        <w:rPr>
          <w:rFonts w:ascii="Palatino Linotype" w:eastAsia="Calibri" w:hAnsi="Palatino Linotype" w:cs="Tahoma"/>
          <w:b/>
          <w:bCs/>
          <w:lang w:eastAsia="en-US"/>
        </w:rPr>
        <w:t>municipal.</w:t>
      </w:r>
    </w:p>
    <w:p w14:paraId="0D80FB66" w14:textId="77777777" w:rsidR="00AC4DB0" w:rsidRPr="00354B03" w:rsidRDefault="00AC4DB0" w:rsidP="00AC4DB0">
      <w:pPr>
        <w:pStyle w:val="Prrafodelista"/>
        <w:spacing w:line="360" w:lineRule="auto"/>
        <w:jc w:val="both"/>
        <w:rPr>
          <w:rFonts w:ascii="Palatino Linotype" w:eastAsia="Calibri" w:hAnsi="Palatino Linotype" w:cs="Tahoma"/>
          <w:bCs/>
          <w:lang w:eastAsia="en-US"/>
        </w:rPr>
      </w:pPr>
    </w:p>
    <w:p w14:paraId="2839411D" w14:textId="77777777" w:rsidR="00AC4DB0" w:rsidRPr="00354B03" w:rsidRDefault="00AC4DB0" w:rsidP="00AC4DB0">
      <w:pPr>
        <w:pStyle w:val="Prrafodelista"/>
        <w:numPr>
          <w:ilvl w:val="0"/>
          <w:numId w:val="24"/>
        </w:numPr>
        <w:spacing w:line="360" w:lineRule="auto"/>
        <w:contextualSpacing/>
        <w:jc w:val="both"/>
        <w:rPr>
          <w:rFonts w:ascii="Palatino Linotype" w:eastAsia="Calibri" w:hAnsi="Palatino Linotype" w:cs="Tahoma"/>
          <w:b/>
          <w:bCs/>
          <w:lang w:eastAsia="en-US"/>
        </w:rPr>
      </w:pPr>
      <w:r w:rsidRPr="00354B03">
        <w:rPr>
          <w:rFonts w:ascii="Palatino Linotype" w:eastAsia="Calibri" w:hAnsi="Palatino Linotype" w:cs="Tahoma"/>
          <w:b/>
          <w:bCs/>
          <w:lang w:eastAsia="en-US"/>
        </w:rPr>
        <w:t xml:space="preserve">Instituciones de Seguridad Pública: </w:t>
      </w:r>
      <w:r w:rsidRPr="00354B03">
        <w:rPr>
          <w:rFonts w:ascii="Palatino Linotype" w:eastAsia="Calibri" w:hAnsi="Palatino Linotype" w:cs="Tahoma"/>
          <w:bCs/>
          <w:lang w:eastAsia="en-US"/>
        </w:rPr>
        <w:t xml:space="preserve">Instituciones Policiales, Procuración de Justicia, Sistema Penitenciario y </w:t>
      </w:r>
      <w:r w:rsidRPr="00354B03">
        <w:rPr>
          <w:rFonts w:ascii="Palatino Linotype" w:eastAsia="Calibri" w:hAnsi="Palatino Linotype" w:cs="Tahoma"/>
          <w:b/>
          <w:bCs/>
          <w:lang w:eastAsia="en-US"/>
        </w:rPr>
        <w:t xml:space="preserve">dependencias encargadas de la seguridad pública a nivel </w:t>
      </w:r>
      <w:r w:rsidRPr="00354B03">
        <w:rPr>
          <w:rFonts w:ascii="Palatino Linotype" w:eastAsia="Calibri" w:hAnsi="Palatino Linotype" w:cs="Tahoma"/>
          <w:bCs/>
          <w:lang w:eastAsia="en-US"/>
        </w:rPr>
        <w:t xml:space="preserve">estatal y </w:t>
      </w:r>
      <w:r w:rsidRPr="00354B03">
        <w:rPr>
          <w:rFonts w:ascii="Palatino Linotype" w:eastAsia="Calibri" w:hAnsi="Palatino Linotype" w:cs="Tahoma"/>
          <w:b/>
          <w:bCs/>
          <w:lang w:eastAsia="en-US"/>
        </w:rPr>
        <w:t>municipal.</w:t>
      </w:r>
    </w:p>
    <w:p w14:paraId="3783ACD5" w14:textId="77777777" w:rsidR="00AC4DB0" w:rsidRPr="00354B03" w:rsidRDefault="00AC4DB0" w:rsidP="00AC4DB0">
      <w:pPr>
        <w:pStyle w:val="Prrafodelista"/>
        <w:spacing w:line="360" w:lineRule="auto"/>
        <w:rPr>
          <w:rFonts w:ascii="Palatino Linotype" w:eastAsia="Calibri" w:hAnsi="Palatino Linotype" w:cs="Tahoma"/>
          <w:b/>
          <w:bCs/>
          <w:lang w:eastAsia="en-US"/>
        </w:rPr>
      </w:pPr>
    </w:p>
    <w:p w14:paraId="518A432A" w14:textId="77777777" w:rsidR="00AC4DB0" w:rsidRPr="00354B03" w:rsidRDefault="00AC4DB0" w:rsidP="00AC4DB0">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iCs/>
          <w:sz w:val="24"/>
          <w:szCs w:val="24"/>
          <w:lang w:val="es-ES" w:eastAsia="es-ES_tradnl"/>
        </w:rPr>
        <w:lastRenderedPageBreak/>
        <w:t>Conforme a lo anterior</w:t>
      </w:r>
      <w:r w:rsidRPr="00354B03">
        <w:rPr>
          <w:rFonts w:ascii="Palatino Linotype" w:eastAsia="Calibri" w:hAnsi="Palatino Linotype" w:cs="Tahoma"/>
          <w:bCs/>
          <w:sz w:val="24"/>
          <w:szCs w:val="24"/>
        </w:rPr>
        <w:t>, se puede deducir que la Dirección de Seguridad Pública Municipal, o su equivalente; es una institución de seguridad pública, pues tiene como atribución principal resguardar el orden público y la paz social, la prevención de delitos y la inhibición de manifestaciones de conductas antisociales.</w:t>
      </w:r>
    </w:p>
    <w:p w14:paraId="403F8FA7" w14:textId="77777777" w:rsidR="00AC4DB0" w:rsidRPr="00354B03" w:rsidRDefault="00AC4DB0" w:rsidP="00AC4DB0">
      <w:pPr>
        <w:spacing w:after="0" w:line="360" w:lineRule="auto"/>
        <w:jc w:val="both"/>
        <w:rPr>
          <w:rFonts w:ascii="Palatino Linotype" w:eastAsia="Calibri" w:hAnsi="Palatino Linotype" w:cs="Tahoma"/>
          <w:bCs/>
          <w:sz w:val="24"/>
          <w:szCs w:val="24"/>
        </w:rPr>
      </w:pPr>
    </w:p>
    <w:p w14:paraId="6176DB00" w14:textId="77777777" w:rsidR="00AC4DB0" w:rsidRPr="00354B03" w:rsidRDefault="00AC4DB0" w:rsidP="00AC4DB0">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bCs/>
          <w:sz w:val="24"/>
          <w:szCs w:val="24"/>
        </w:rPr>
        <w:t xml:space="preserve">Además, el Instructivo de llenado del Formato “Personal de Seguridad Pública”, del Secretariado Ejecutivo del Sistema Nacional de Seguridad Pública, establece que los elementos operativos de seguridad </w:t>
      </w:r>
      <w:proofErr w:type="gramStart"/>
      <w:r w:rsidRPr="00354B03">
        <w:rPr>
          <w:rFonts w:ascii="Palatino Linotype" w:eastAsia="Calibri" w:hAnsi="Palatino Linotype" w:cs="Tahoma"/>
          <w:bCs/>
          <w:sz w:val="24"/>
          <w:szCs w:val="24"/>
        </w:rPr>
        <w:t>pública,</w:t>
      </w:r>
      <w:proofErr w:type="gramEnd"/>
      <w:r w:rsidRPr="00354B03">
        <w:rPr>
          <w:rFonts w:ascii="Palatino Linotype" w:eastAsia="Calibri" w:hAnsi="Palatino Linotype" w:cs="Tahoma"/>
          <w:bCs/>
          <w:sz w:val="24"/>
          <w:szCs w:val="24"/>
        </w:rPr>
        <w:t xml:space="preserve"> son aquellos que desempeñan funciones de campo (policiacas, especializadas o equivalentes y que no </w:t>
      </w:r>
      <w:r w:rsidRPr="00354B03">
        <w:rPr>
          <w:rFonts w:ascii="Palatino Linotype" w:eastAsia="Calibri" w:hAnsi="Palatino Linotype" w:cs="Tahoma"/>
          <w:b/>
          <w:bCs/>
          <w:sz w:val="24"/>
          <w:szCs w:val="24"/>
        </w:rPr>
        <w:t>desempeña funciones de mando</w:t>
      </w:r>
      <w:r w:rsidRPr="00354B03">
        <w:rPr>
          <w:rFonts w:ascii="Palatino Linotype" w:eastAsia="Calibri" w:hAnsi="Palatino Linotype" w:cs="Tahoma"/>
          <w:bCs/>
          <w:sz w:val="24"/>
          <w:szCs w:val="24"/>
        </w:rPr>
        <w:t xml:space="preserve">), entre los cuales, se encuentra </w:t>
      </w:r>
      <w:r w:rsidRPr="00354B03">
        <w:rPr>
          <w:rFonts w:ascii="Palatino Linotype" w:eastAsia="Calibri" w:hAnsi="Palatino Linotype" w:cs="Tahoma"/>
          <w:b/>
          <w:bCs/>
          <w:sz w:val="24"/>
          <w:szCs w:val="24"/>
        </w:rPr>
        <w:t>la Policía Municipal</w:t>
      </w:r>
      <w:r w:rsidRPr="00354B03">
        <w:rPr>
          <w:rFonts w:ascii="Palatino Linotype" w:eastAsia="Calibri" w:hAnsi="Palatino Linotype" w:cs="Tahoma"/>
          <w:bCs/>
          <w:sz w:val="24"/>
          <w:szCs w:val="24"/>
        </w:rPr>
        <w:t>.</w:t>
      </w:r>
    </w:p>
    <w:p w14:paraId="27BC66F8" w14:textId="77777777" w:rsidR="00AC4DB0" w:rsidRPr="00354B03" w:rsidRDefault="00AC4DB0" w:rsidP="00AC4DB0">
      <w:pPr>
        <w:tabs>
          <w:tab w:val="left" w:pos="4962"/>
        </w:tabs>
        <w:spacing w:after="0" w:line="360" w:lineRule="auto"/>
        <w:ind w:right="-28"/>
        <w:jc w:val="both"/>
        <w:rPr>
          <w:rFonts w:ascii="Palatino Linotype" w:eastAsia="Calibri" w:hAnsi="Palatino Linotype" w:cs="Tahoma"/>
          <w:bCs/>
          <w:sz w:val="24"/>
          <w:szCs w:val="24"/>
        </w:rPr>
      </w:pPr>
    </w:p>
    <w:p w14:paraId="01C6F504" w14:textId="77777777" w:rsidR="00AC4DB0" w:rsidRPr="00354B03" w:rsidRDefault="00AC4DB0" w:rsidP="00AC4DB0">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bCs/>
          <w:sz w:val="24"/>
          <w:szCs w:val="24"/>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8B2416A" w14:textId="77777777" w:rsidR="00AC4DB0" w:rsidRPr="00354B03" w:rsidRDefault="00AC4DB0" w:rsidP="00AC4DB0">
      <w:pPr>
        <w:spacing w:after="0" w:line="360" w:lineRule="auto"/>
        <w:jc w:val="both"/>
        <w:rPr>
          <w:rFonts w:ascii="Palatino Linotype" w:eastAsia="Calibri" w:hAnsi="Palatino Linotype" w:cs="Tahoma"/>
          <w:bCs/>
          <w:sz w:val="24"/>
          <w:szCs w:val="24"/>
        </w:rPr>
      </w:pPr>
    </w:p>
    <w:p w14:paraId="79846ABB" w14:textId="77777777" w:rsidR="00AC4DB0" w:rsidRPr="005A2C2C" w:rsidRDefault="00AC4DB0" w:rsidP="00AC4DB0">
      <w:pPr>
        <w:spacing w:after="0" w:line="360" w:lineRule="auto"/>
        <w:jc w:val="both"/>
        <w:rPr>
          <w:rFonts w:ascii="Palatino Linotype" w:eastAsia="Calibri" w:hAnsi="Palatino Linotype" w:cs="Tahoma"/>
          <w:bCs/>
          <w:sz w:val="24"/>
          <w:szCs w:val="24"/>
        </w:rPr>
      </w:pPr>
      <w:r w:rsidRPr="005A2C2C">
        <w:rPr>
          <w:rFonts w:ascii="Palatino Linotype" w:eastAsia="Calibri" w:hAnsi="Palatino Linotype" w:cs="Tahoma"/>
          <w:bCs/>
          <w:sz w:val="24"/>
          <w:szCs w:val="24"/>
        </w:rPr>
        <w:t xml:space="preserve">De tal situación, se considera que dar a conocer el nombre de los elementos operativos, que incluye a los policías municipales, puede poner en riesgo la vida, seguridad y salud </w:t>
      </w:r>
      <w:r w:rsidRPr="005A2C2C">
        <w:rPr>
          <w:rFonts w:ascii="Palatino Linotype" w:eastAsia="Calibri" w:hAnsi="Palatino Linotype" w:cs="Tahoma"/>
          <w:bCs/>
          <w:sz w:val="24"/>
          <w:szCs w:val="24"/>
        </w:rPr>
        <w:lastRenderedPageBreak/>
        <w:t>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7FF7600" w14:textId="77777777" w:rsidR="00AC4DB0" w:rsidRPr="005A2C2C" w:rsidRDefault="00AC4DB0" w:rsidP="00AC4DB0">
      <w:pPr>
        <w:spacing w:after="0" w:line="360" w:lineRule="auto"/>
        <w:jc w:val="both"/>
        <w:rPr>
          <w:rFonts w:ascii="Palatino Linotype" w:eastAsia="Calibri" w:hAnsi="Palatino Linotype" w:cs="Tahoma"/>
          <w:bCs/>
          <w:sz w:val="24"/>
          <w:szCs w:val="24"/>
        </w:rPr>
      </w:pPr>
    </w:p>
    <w:p w14:paraId="4E5ED7C2" w14:textId="77777777" w:rsidR="00AC4DB0" w:rsidRPr="005A2C2C" w:rsidRDefault="00AC4DB0" w:rsidP="00AC4DB0">
      <w:pPr>
        <w:spacing w:after="0" w:line="360" w:lineRule="auto"/>
        <w:jc w:val="both"/>
        <w:rPr>
          <w:rFonts w:ascii="Palatino Linotype" w:eastAsia="Calibri" w:hAnsi="Palatino Linotype" w:cs="Tahoma"/>
          <w:bCs/>
          <w:sz w:val="24"/>
          <w:szCs w:val="24"/>
        </w:rPr>
      </w:pPr>
      <w:r w:rsidRPr="005A2C2C">
        <w:rPr>
          <w:rFonts w:ascii="Palatino Linotype" w:eastAsia="Calibri" w:hAnsi="Palatino Linotype" w:cs="Tahoma"/>
          <w:bCs/>
          <w:sz w:val="24"/>
          <w:szCs w:val="24"/>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7880DB0" w14:textId="77777777" w:rsidR="00AC4DB0" w:rsidRPr="005A2C2C" w:rsidRDefault="00AC4DB0" w:rsidP="00AC4DB0">
      <w:pPr>
        <w:spacing w:after="0" w:line="360" w:lineRule="auto"/>
        <w:jc w:val="both"/>
        <w:rPr>
          <w:rFonts w:ascii="Palatino Linotype" w:eastAsia="Calibri" w:hAnsi="Palatino Linotype" w:cs="Tahoma"/>
          <w:bCs/>
          <w:sz w:val="24"/>
          <w:szCs w:val="24"/>
        </w:rPr>
      </w:pPr>
    </w:p>
    <w:p w14:paraId="2981D51B" w14:textId="77777777" w:rsidR="00AC4DB0" w:rsidRPr="003D5DCE" w:rsidRDefault="00AC4DB0" w:rsidP="00AC4DB0">
      <w:pPr>
        <w:numPr>
          <w:ilvl w:val="0"/>
          <w:numId w:val="25"/>
        </w:numPr>
        <w:tabs>
          <w:tab w:val="left" w:pos="4962"/>
        </w:tabs>
        <w:spacing w:after="0" w:line="360" w:lineRule="auto"/>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La divulgación de la información representa un riesgo real, demostrable e identificable de perjuicio significativo al interés público o a la seguridad nacional.</w:t>
      </w:r>
    </w:p>
    <w:p w14:paraId="74D9412D" w14:textId="77777777" w:rsidR="00AC4DB0" w:rsidRPr="003D5DCE" w:rsidRDefault="00AC4DB0" w:rsidP="00AC4DB0">
      <w:pPr>
        <w:tabs>
          <w:tab w:val="left" w:pos="4962"/>
        </w:tabs>
        <w:spacing w:after="0" w:line="360" w:lineRule="auto"/>
        <w:jc w:val="both"/>
        <w:rPr>
          <w:rFonts w:ascii="Palatino Linotype" w:eastAsia="Calibri" w:hAnsi="Palatino Linotype" w:cs="Tahoma"/>
          <w:iCs/>
          <w:lang w:eastAsia="es-ES_tradnl"/>
        </w:rPr>
      </w:pPr>
    </w:p>
    <w:p w14:paraId="4DA6496B" w14:textId="77777777" w:rsidR="00AC4DB0" w:rsidRPr="003D5DCE" w:rsidRDefault="00AC4DB0" w:rsidP="00AC4DB0">
      <w:pPr>
        <w:numPr>
          <w:ilvl w:val="0"/>
          <w:numId w:val="25"/>
        </w:numPr>
        <w:tabs>
          <w:tab w:val="left" w:pos="4962"/>
        </w:tabs>
        <w:spacing w:after="0" w:line="360" w:lineRule="auto"/>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El riesgo de perjuicio supera el interés público general de que se difunda.</w:t>
      </w:r>
    </w:p>
    <w:p w14:paraId="7F5B6143" w14:textId="77777777" w:rsidR="00AC4DB0" w:rsidRPr="003D5DCE" w:rsidRDefault="00AC4DB0" w:rsidP="00AC4DB0">
      <w:pPr>
        <w:tabs>
          <w:tab w:val="left" w:pos="4962"/>
        </w:tabs>
        <w:spacing w:after="0" w:line="360" w:lineRule="auto"/>
        <w:jc w:val="both"/>
        <w:rPr>
          <w:rFonts w:ascii="Palatino Linotype" w:eastAsia="Calibri" w:hAnsi="Palatino Linotype" w:cs="Tahoma"/>
          <w:iCs/>
          <w:lang w:eastAsia="es-ES_tradnl"/>
        </w:rPr>
      </w:pPr>
    </w:p>
    <w:p w14:paraId="6FAF4DE9" w14:textId="77777777" w:rsidR="00AC4DB0" w:rsidRPr="003D5DCE" w:rsidRDefault="00AC4DB0" w:rsidP="00AC4DB0">
      <w:pPr>
        <w:numPr>
          <w:ilvl w:val="0"/>
          <w:numId w:val="25"/>
        </w:numPr>
        <w:tabs>
          <w:tab w:val="left" w:pos="4962"/>
        </w:tabs>
        <w:spacing w:after="0" w:line="360" w:lineRule="auto"/>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Que la limitación se adecua al principio de proporcionalidad y representa el medio menos restrictivo disponible para evitar el perjuicio.</w:t>
      </w:r>
    </w:p>
    <w:p w14:paraId="334CC62D" w14:textId="77777777" w:rsidR="00AC4DB0" w:rsidRDefault="00AC4DB0" w:rsidP="00AC4DB0">
      <w:pPr>
        <w:spacing w:after="0" w:line="360" w:lineRule="auto"/>
        <w:jc w:val="both"/>
        <w:rPr>
          <w:rFonts w:ascii="Palatino Linotype" w:eastAsia="Calibri" w:hAnsi="Palatino Linotype" w:cs="Tahoma"/>
          <w:iCs/>
          <w:lang w:eastAsia="es-ES_tradnl"/>
        </w:rPr>
      </w:pPr>
    </w:p>
    <w:p w14:paraId="235B80CB" w14:textId="77777777" w:rsidR="00AC4DB0" w:rsidRPr="003D5DCE" w:rsidRDefault="00AC4DB0" w:rsidP="00AC4DB0">
      <w:pPr>
        <w:spacing w:after="0" w:line="360" w:lineRule="auto"/>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Al respecto, este Instituto advierte lo siguiente:</w:t>
      </w:r>
    </w:p>
    <w:p w14:paraId="0868BA6D" w14:textId="77777777" w:rsidR="00AC4DB0" w:rsidRPr="003D5DCE" w:rsidRDefault="00AC4DB0" w:rsidP="00AC4DB0">
      <w:pPr>
        <w:spacing w:after="0" w:line="360" w:lineRule="auto"/>
        <w:jc w:val="both"/>
        <w:rPr>
          <w:rFonts w:ascii="Palatino Linotype" w:eastAsia="Calibri" w:hAnsi="Palatino Linotype" w:cs="Tahoma"/>
          <w:iCs/>
          <w:lang w:eastAsia="es-ES_tradnl"/>
        </w:rPr>
      </w:pPr>
    </w:p>
    <w:p w14:paraId="34C4906F" w14:textId="77777777" w:rsidR="00AC4DB0" w:rsidRDefault="00AC4DB0" w:rsidP="00AC4DB0">
      <w:pPr>
        <w:pStyle w:val="Prrafodelista"/>
        <w:numPr>
          <w:ilvl w:val="0"/>
          <w:numId w:val="26"/>
        </w:numPr>
        <w:spacing w:line="360" w:lineRule="auto"/>
        <w:contextualSpacing/>
        <w:jc w:val="both"/>
        <w:rPr>
          <w:rFonts w:ascii="Palatino Linotype" w:eastAsia="Calibri" w:hAnsi="Palatino Linotype" w:cs="Tahoma"/>
          <w:bCs/>
          <w:szCs w:val="22"/>
          <w:lang w:eastAsia="en-US"/>
        </w:rPr>
      </w:pPr>
      <w:r w:rsidRPr="00477EFC">
        <w:rPr>
          <w:rFonts w:ascii="Palatino Linotype" w:eastAsia="Calibri" w:hAnsi="Palatino Linotype" w:cs="Tahoma"/>
          <w:bCs/>
          <w:szCs w:val="22"/>
          <w:lang w:eastAsia="en-US"/>
        </w:rPr>
        <w:t xml:space="preserve">Que existe un </w:t>
      </w:r>
      <w:r w:rsidRPr="00477EFC">
        <w:rPr>
          <w:rFonts w:ascii="Palatino Linotype" w:eastAsia="Calibri" w:hAnsi="Palatino Linotype" w:cs="Tahoma"/>
          <w:b/>
          <w:bCs/>
          <w:szCs w:val="22"/>
          <w:lang w:eastAsia="en-US"/>
        </w:rPr>
        <w:t xml:space="preserve">riesgo real, demostrable e identificable, </w:t>
      </w:r>
      <w:r w:rsidRPr="00477EFC">
        <w:rPr>
          <w:rFonts w:ascii="Palatino Linotype" w:eastAsia="Calibri" w:hAnsi="Palatino Linotype" w:cs="Tahoma"/>
          <w:bCs/>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w:t>
      </w:r>
      <w:r w:rsidRPr="00477EFC">
        <w:rPr>
          <w:rFonts w:ascii="Palatino Linotype" w:eastAsia="Calibri" w:hAnsi="Palatino Linotype" w:cs="Tahoma"/>
          <w:bCs/>
          <w:szCs w:val="22"/>
          <w:lang w:eastAsia="en-US"/>
        </w:rPr>
        <w:lastRenderedPageBreak/>
        <w:t xml:space="preserve">integrantes de organizaciones criminales los contacten para presionar en entregar información, estrategias para aumentar la inseguridad y los actos ilícitos en el Municipio. </w:t>
      </w:r>
      <w:proofErr w:type="gramStart"/>
      <w:r w:rsidRPr="00477EFC">
        <w:rPr>
          <w:rFonts w:ascii="Palatino Linotype" w:eastAsia="Calibri" w:hAnsi="Palatino Linotype" w:cs="Tahoma"/>
          <w:bCs/>
          <w:szCs w:val="22"/>
          <w:lang w:eastAsia="en-US"/>
        </w:rPr>
        <w:t>Además</w:t>
      </w:r>
      <w:proofErr w:type="gramEnd"/>
      <w:r w:rsidRPr="00477EFC">
        <w:rPr>
          <w:rFonts w:ascii="Palatino Linotype" w:eastAsia="Calibri" w:hAnsi="Palatino Linotype" w:cs="Tahoma"/>
          <w:bCs/>
          <w:szCs w:val="22"/>
          <w:lang w:eastAsia="en-US"/>
        </w:rPr>
        <w:t xml:space="preserve"> que comprometería el cumplimiento de los objetivos de la </w:t>
      </w:r>
      <w:r w:rsidRPr="00EF72C0">
        <w:rPr>
          <w:rFonts w:ascii="Palatino Linotype" w:eastAsia="Calibri" w:hAnsi="Palatino Linotype" w:cs="Tahoma"/>
          <w:bCs/>
          <w:iCs/>
          <w:szCs w:val="22"/>
          <w:lang w:eastAsia="en-US"/>
        </w:rPr>
        <w:t>Comisaría de Seguridad Ciudadana, Vialidad, Protección Civil y Bomberos</w:t>
      </w:r>
      <w:r>
        <w:rPr>
          <w:rFonts w:ascii="Palatino Linotype" w:eastAsia="Calibri" w:hAnsi="Palatino Linotype" w:cs="Tahoma"/>
          <w:bCs/>
          <w:szCs w:val="22"/>
          <w:lang w:eastAsia="en-US"/>
        </w:rPr>
        <w:t>.</w:t>
      </w:r>
    </w:p>
    <w:p w14:paraId="73E5CBF0" w14:textId="77777777" w:rsidR="00AC4DB0" w:rsidRPr="00477EFC" w:rsidRDefault="00AC4DB0" w:rsidP="00AC4DB0">
      <w:pPr>
        <w:pStyle w:val="Prrafodelista"/>
        <w:spacing w:line="360" w:lineRule="auto"/>
        <w:jc w:val="both"/>
        <w:rPr>
          <w:rFonts w:ascii="Palatino Linotype" w:eastAsia="Calibri" w:hAnsi="Palatino Linotype" w:cs="Tahoma"/>
          <w:bCs/>
          <w:szCs w:val="22"/>
          <w:lang w:eastAsia="en-US"/>
        </w:rPr>
      </w:pPr>
    </w:p>
    <w:p w14:paraId="51CD9951" w14:textId="77777777" w:rsidR="00AC4DB0" w:rsidRPr="003D5DCE" w:rsidRDefault="00AC4DB0" w:rsidP="00AC4DB0">
      <w:pPr>
        <w:pStyle w:val="Prrafodelista"/>
        <w:numPr>
          <w:ilvl w:val="0"/>
          <w:numId w:val="26"/>
        </w:numPr>
        <w:spacing w:line="360" w:lineRule="auto"/>
        <w:contextualSpacing/>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w:t>
      </w:r>
      <w:r>
        <w:rPr>
          <w:rFonts w:ascii="Palatino Linotype" w:eastAsia="Calibri" w:hAnsi="Palatino Linotype" w:cs="Tahoma"/>
          <w:bCs/>
          <w:szCs w:val="22"/>
          <w:lang w:eastAsia="en-US"/>
        </w:rPr>
        <w:t xml:space="preserve">vínculo o relación directa con los elementos operativos, que incluye a la </w:t>
      </w:r>
      <w:r w:rsidRPr="003D5DCE">
        <w:rPr>
          <w:rFonts w:ascii="Palatino Linotype" w:eastAsia="Calibri" w:hAnsi="Palatino Linotype" w:cs="Tahoma"/>
          <w:bCs/>
          <w:szCs w:val="22"/>
          <w:lang w:eastAsia="en-US"/>
        </w:rPr>
        <w:t xml:space="preserve">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577F9E41" w14:textId="77777777" w:rsidR="00AC4DB0" w:rsidRPr="003D5DCE" w:rsidRDefault="00AC4DB0" w:rsidP="00AC4DB0">
      <w:pPr>
        <w:pStyle w:val="Prrafodelista"/>
        <w:spacing w:line="360" w:lineRule="auto"/>
        <w:jc w:val="both"/>
        <w:rPr>
          <w:rFonts w:ascii="Palatino Linotype" w:eastAsia="Calibri" w:hAnsi="Palatino Linotype" w:cs="Tahoma"/>
          <w:bCs/>
          <w:szCs w:val="22"/>
          <w:lang w:eastAsia="en-US"/>
        </w:rPr>
      </w:pPr>
    </w:p>
    <w:p w14:paraId="55E6F7AF" w14:textId="77777777" w:rsidR="00AC4DB0" w:rsidRPr="00A21099" w:rsidRDefault="00AC4DB0" w:rsidP="00AC4DB0">
      <w:pPr>
        <w:pStyle w:val="Prrafodelista"/>
        <w:numPr>
          <w:ilvl w:val="0"/>
          <w:numId w:val="26"/>
        </w:numPr>
        <w:spacing w:line="360" w:lineRule="auto"/>
        <w:contextualSpacing/>
        <w:jc w:val="both"/>
        <w:rPr>
          <w:rFonts w:ascii="Palatino Linotype" w:eastAsia="Calibri" w:hAnsi="Palatino Linotype" w:cs="Tahoma"/>
          <w:bCs/>
          <w:lang w:val="es-MX"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w:t>
      </w:r>
      <w:r w:rsidRPr="00A21099">
        <w:rPr>
          <w:rFonts w:ascii="Palatino Linotype" w:eastAsia="Calibri" w:hAnsi="Palatino Linotype" w:cs="Tahoma"/>
          <w:bCs/>
          <w:lang w:val="es-MX" w:eastAsia="en-US"/>
        </w:rPr>
        <w:t>conductas antisociales.</w:t>
      </w:r>
    </w:p>
    <w:p w14:paraId="18B8C6C6" w14:textId="77777777" w:rsidR="00AC4DB0" w:rsidRPr="00A21099" w:rsidRDefault="00AC4DB0" w:rsidP="00AC4DB0">
      <w:pPr>
        <w:spacing w:after="0" w:line="360" w:lineRule="auto"/>
        <w:jc w:val="both"/>
        <w:rPr>
          <w:rFonts w:ascii="Palatino Linotype" w:eastAsia="Calibri" w:hAnsi="Palatino Linotype" w:cs="Tahoma"/>
          <w:bCs/>
          <w:sz w:val="24"/>
          <w:szCs w:val="24"/>
        </w:rPr>
      </w:pPr>
    </w:p>
    <w:p w14:paraId="03AE5760" w14:textId="77777777" w:rsidR="00AC4DB0" w:rsidRPr="005A2C2C" w:rsidRDefault="00AC4DB0" w:rsidP="00AC4DB0">
      <w:pPr>
        <w:spacing w:after="0" w:line="360" w:lineRule="auto"/>
        <w:jc w:val="both"/>
        <w:rPr>
          <w:rFonts w:ascii="Palatino Linotype" w:eastAsia="Calibri" w:hAnsi="Palatino Linotype" w:cs="Tahoma"/>
          <w:b/>
          <w:iCs/>
          <w:sz w:val="24"/>
          <w:szCs w:val="24"/>
          <w:lang w:val="es-ES" w:eastAsia="es-ES_tradnl"/>
        </w:rPr>
      </w:pPr>
      <w:r w:rsidRPr="00A21099">
        <w:rPr>
          <w:rFonts w:ascii="Palatino Linotype" w:eastAsia="Calibri" w:hAnsi="Palatino Linotype" w:cs="Tahoma"/>
          <w:bCs/>
          <w:sz w:val="24"/>
          <w:szCs w:val="24"/>
        </w:rPr>
        <w:t xml:space="preserve">Por tales consideraciones, </w:t>
      </w:r>
      <w:r w:rsidRPr="00A21099">
        <w:rPr>
          <w:rFonts w:ascii="Palatino Linotype" w:eastAsia="Calibri" w:hAnsi="Palatino Linotype" w:cs="Tahoma"/>
          <w:b/>
          <w:bCs/>
          <w:sz w:val="24"/>
          <w:szCs w:val="24"/>
        </w:rPr>
        <w:t>resulta procedente la reserva del nombre de los elementos operativos</w:t>
      </w:r>
      <w:r w:rsidRPr="00A21099">
        <w:rPr>
          <w:rFonts w:ascii="Palatino Linotype" w:eastAsia="Calibri" w:hAnsi="Palatino Linotype" w:cs="Tahoma"/>
          <w:b/>
          <w:bCs/>
          <w:sz w:val="24"/>
          <w:szCs w:val="24"/>
          <w:lang w:val="es-419"/>
        </w:rPr>
        <w:t xml:space="preserve"> de seguridad públicas</w:t>
      </w:r>
      <w:r w:rsidRPr="00A21099">
        <w:rPr>
          <w:rFonts w:ascii="Palatino Linotype" w:eastAsia="Calibri" w:hAnsi="Palatino Linotype" w:cs="Tahoma"/>
          <w:b/>
          <w:bCs/>
          <w:sz w:val="24"/>
          <w:szCs w:val="24"/>
        </w:rPr>
        <w:t xml:space="preserve"> que se encuentren activos, en términos del artículo 140, fracción IV, de </w:t>
      </w:r>
      <w:r w:rsidRPr="00A21099">
        <w:rPr>
          <w:rFonts w:ascii="Palatino Linotype" w:eastAsia="Calibri" w:hAnsi="Palatino Linotype" w:cs="Tahoma"/>
          <w:b/>
          <w:iCs/>
          <w:sz w:val="24"/>
          <w:szCs w:val="24"/>
          <w:lang w:val="es-ES" w:eastAsia="es-ES_tradnl"/>
        </w:rPr>
        <w:t>de la Ley de Transparencia y Acceso a la Información Pública del Estado de México y Municipios.</w:t>
      </w:r>
    </w:p>
    <w:p w14:paraId="525AAF41" w14:textId="77777777" w:rsidR="00AC4DB0" w:rsidRPr="005A2C2C" w:rsidRDefault="00AC4DB0" w:rsidP="00AC4DB0">
      <w:pPr>
        <w:spacing w:after="0" w:line="360" w:lineRule="auto"/>
        <w:jc w:val="both"/>
        <w:rPr>
          <w:rFonts w:ascii="Palatino Linotype" w:eastAsia="Calibri" w:hAnsi="Palatino Linotype" w:cs="Tahoma"/>
          <w:b/>
          <w:iCs/>
          <w:sz w:val="24"/>
          <w:szCs w:val="24"/>
          <w:lang w:val="es-ES" w:eastAsia="es-ES_tradnl"/>
        </w:rPr>
      </w:pPr>
    </w:p>
    <w:p w14:paraId="7C021EFC" w14:textId="77777777" w:rsidR="00AC4DB0" w:rsidRPr="005A2C2C" w:rsidRDefault="00AC4DB0" w:rsidP="00AC4DB0">
      <w:pPr>
        <w:autoSpaceDE w:val="0"/>
        <w:autoSpaceDN w:val="0"/>
        <w:spacing w:after="0" w:line="360" w:lineRule="auto"/>
        <w:jc w:val="both"/>
        <w:rPr>
          <w:rFonts w:ascii="Palatino Linotype" w:hAnsi="Palatino Linotype" w:cs="Tahoma"/>
          <w:bCs/>
          <w:sz w:val="24"/>
          <w:szCs w:val="24"/>
        </w:rPr>
      </w:pPr>
      <w:r w:rsidRPr="005A2C2C">
        <w:rPr>
          <w:rFonts w:ascii="Palatino Linotype" w:eastAsia="Calibri" w:hAnsi="Palatino Linotype" w:cs="Tahoma"/>
          <w:iCs/>
          <w:sz w:val="24"/>
          <w:szCs w:val="24"/>
          <w:lang w:val="es-ES" w:eastAsia="es-ES_tradnl"/>
        </w:rPr>
        <w:t>Finalmente,</w:t>
      </w:r>
      <w:r w:rsidRPr="005A2C2C">
        <w:rPr>
          <w:rFonts w:ascii="Palatino Linotype" w:eastAsia="Calibri" w:hAnsi="Palatino Linotype" w:cs="Tahoma"/>
          <w:b/>
          <w:iCs/>
          <w:sz w:val="24"/>
          <w:szCs w:val="24"/>
          <w:lang w:val="es-ES" w:eastAsia="es-ES_tradnl"/>
        </w:rPr>
        <w:t xml:space="preserve"> </w:t>
      </w:r>
      <w:r w:rsidRPr="005A2C2C">
        <w:rPr>
          <w:rFonts w:ascii="Palatino Linotype" w:eastAsia="Calibri" w:hAnsi="Palatino Linotype" w:cs="Tahoma"/>
          <w:bCs/>
          <w:sz w:val="24"/>
          <w:szCs w:val="24"/>
        </w:rPr>
        <w:t xml:space="preserve">respecto al plazo de reserva, el artículo 125 de la Ley de la materia, establece </w:t>
      </w:r>
      <w:r w:rsidRPr="005A2C2C">
        <w:rPr>
          <w:rFonts w:ascii="Palatino Linotype" w:hAnsi="Palatino Linotype" w:cs="Tahoma"/>
          <w:bCs/>
          <w:sz w:val="24"/>
          <w:szCs w:val="24"/>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5A2C2C">
        <w:rPr>
          <w:rFonts w:ascii="Palatino Linotype" w:hAnsi="Palatino Linotype" w:cs="Tahoma"/>
          <w:sz w:val="24"/>
          <w:szCs w:val="24"/>
        </w:rPr>
        <w:t>versiones públicas, deberá clasificar el nombre de los elementos operativos en materia de seguridad, y proporcionar, su respectivo acuerdo de Clasificación.</w:t>
      </w:r>
    </w:p>
    <w:p w14:paraId="786BA999" w14:textId="77777777" w:rsidR="00AC4DB0" w:rsidRPr="005A2C2C" w:rsidRDefault="00AC4DB0" w:rsidP="00AC4DB0">
      <w:pPr>
        <w:spacing w:after="0" w:line="360" w:lineRule="auto"/>
        <w:contextualSpacing/>
        <w:jc w:val="both"/>
        <w:rPr>
          <w:rFonts w:ascii="Palatino Linotype" w:hAnsi="Palatino Linotype" w:cs="Tahoma"/>
          <w:b/>
          <w:bCs/>
          <w:sz w:val="24"/>
          <w:szCs w:val="24"/>
        </w:rPr>
      </w:pPr>
    </w:p>
    <w:p w14:paraId="55563CC1" w14:textId="77777777" w:rsidR="00AC4DB0" w:rsidRPr="005A2C2C" w:rsidRDefault="00AC4DB0" w:rsidP="00AC4DB0">
      <w:pPr>
        <w:spacing w:after="0" w:line="360" w:lineRule="auto"/>
        <w:contextualSpacing/>
        <w:jc w:val="both"/>
        <w:rPr>
          <w:rFonts w:ascii="Palatino Linotype" w:hAnsi="Palatino Linotype" w:cs="Tahoma"/>
          <w:b/>
          <w:bCs/>
          <w:sz w:val="24"/>
          <w:szCs w:val="24"/>
        </w:rPr>
      </w:pPr>
      <w:r w:rsidRPr="005A2C2C">
        <w:rPr>
          <w:rFonts w:ascii="Palatino Linotype" w:hAnsi="Palatino Linotype" w:cs="Tahoma"/>
          <w:b/>
          <w:bCs/>
          <w:sz w:val="24"/>
          <w:szCs w:val="24"/>
        </w:rPr>
        <w:t>SEXTO. Versión pública.</w:t>
      </w:r>
    </w:p>
    <w:p w14:paraId="6865A0C9" w14:textId="77777777" w:rsidR="00AC4DB0" w:rsidRPr="005A2C2C" w:rsidRDefault="00AC4DB0" w:rsidP="00AC4DB0">
      <w:pPr>
        <w:spacing w:after="0" w:line="360" w:lineRule="auto"/>
        <w:contextualSpacing/>
        <w:jc w:val="both"/>
        <w:rPr>
          <w:rFonts w:ascii="Palatino Linotype" w:hAnsi="Palatino Linotype" w:cs="Tahoma"/>
          <w:b/>
          <w:bCs/>
          <w:sz w:val="24"/>
          <w:szCs w:val="24"/>
        </w:rPr>
      </w:pPr>
    </w:p>
    <w:p w14:paraId="1DD635B5" w14:textId="77777777" w:rsidR="00AC4DB0" w:rsidRPr="005A2C2C" w:rsidRDefault="00AC4DB0" w:rsidP="00AC4DB0">
      <w:pPr>
        <w:spacing w:after="0" w:line="360" w:lineRule="auto"/>
        <w:contextualSpacing/>
        <w:jc w:val="both"/>
        <w:rPr>
          <w:rFonts w:ascii="Palatino Linotype" w:hAnsi="Palatino Linotype" w:cs="Tahoma"/>
          <w:bCs/>
          <w:sz w:val="24"/>
          <w:szCs w:val="24"/>
        </w:rPr>
      </w:pPr>
      <w:r w:rsidRPr="005A2C2C">
        <w:rPr>
          <w:rFonts w:ascii="Palatino Linotype" w:hAnsi="Palatino Linotype" w:cs="Tahoma"/>
          <w:bCs/>
          <w:sz w:val="24"/>
          <w:szCs w:val="24"/>
        </w:rPr>
        <w:t xml:space="preserve">Es preciso señalar que para el caso de que la información que se </w:t>
      </w:r>
      <w:proofErr w:type="gramStart"/>
      <w:r w:rsidRPr="005A2C2C">
        <w:rPr>
          <w:rFonts w:ascii="Palatino Linotype" w:hAnsi="Palatino Linotype" w:cs="Tahoma"/>
          <w:bCs/>
          <w:sz w:val="24"/>
          <w:szCs w:val="24"/>
        </w:rPr>
        <w:t>ordena,</w:t>
      </w:r>
      <w:proofErr w:type="gramEnd"/>
      <w:r w:rsidRPr="005A2C2C">
        <w:rPr>
          <w:rFonts w:ascii="Palatino Linotype" w:hAnsi="Palatino Linotype" w:cs="Tahoma"/>
          <w:bCs/>
          <w:sz w:val="24"/>
          <w:szCs w:val="24"/>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3DD72FCE"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0351BD84"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Al respecto de la versión pública, se precisa que la Ley General de Transparencia y Acceso a la Información Pública, en su artículo 116, dispone que se considera </w:t>
      </w:r>
      <w:r w:rsidRPr="005A2C2C">
        <w:rPr>
          <w:rFonts w:ascii="Palatino Linotype" w:hAnsi="Palatino Linotype" w:cs="Tahoma"/>
          <w:bCs/>
          <w:iCs/>
          <w:sz w:val="24"/>
          <w:szCs w:val="24"/>
        </w:rPr>
        <w:lastRenderedPageBreak/>
        <w:t>información confidencial la que contenga datos personales concernientes a una persona física identificada o identificable.</w:t>
      </w:r>
    </w:p>
    <w:p w14:paraId="71E035F6"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41830360"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A253EBC"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61E4895D"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776912D"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3AAC1D67"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7F0B8C7"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68EDAB9E"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5A2C2C">
        <w:rPr>
          <w:rFonts w:ascii="Palatino Linotype" w:hAnsi="Palatino Linotype" w:cs="Tahoma"/>
          <w:bCs/>
          <w:iCs/>
          <w:sz w:val="24"/>
          <w:szCs w:val="24"/>
        </w:rPr>
        <w:t>ii</w:t>
      </w:r>
      <w:proofErr w:type="spellEnd"/>
      <w:r w:rsidRPr="005A2C2C">
        <w:rPr>
          <w:rFonts w:ascii="Palatino Linotype" w:hAnsi="Palatino Linotype" w:cs="Tahoma"/>
          <w:bCs/>
          <w:iCs/>
          <w:sz w:val="24"/>
          <w:szCs w:val="24"/>
        </w:rPr>
        <w:t xml:space="preserve">) por ley tenga el carácter de pública, </w:t>
      </w:r>
      <w:proofErr w:type="spellStart"/>
      <w:r w:rsidRPr="005A2C2C">
        <w:rPr>
          <w:rFonts w:ascii="Palatino Linotype" w:hAnsi="Palatino Linotype" w:cs="Tahoma"/>
          <w:bCs/>
          <w:iCs/>
          <w:sz w:val="24"/>
          <w:szCs w:val="24"/>
        </w:rPr>
        <w:t>iii</w:t>
      </w:r>
      <w:proofErr w:type="spellEnd"/>
      <w:r w:rsidRPr="005A2C2C">
        <w:rPr>
          <w:rFonts w:ascii="Palatino Linotype" w:hAnsi="Palatino Linotype" w:cs="Tahoma"/>
          <w:bCs/>
          <w:iCs/>
          <w:sz w:val="24"/>
          <w:szCs w:val="24"/>
        </w:rPr>
        <w:t xml:space="preserve">) exista una orden judicial, </w:t>
      </w:r>
      <w:proofErr w:type="spellStart"/>
      <w:r w:rsidRPr="005A2C2C">
        <w:rPr>
          <w:rFonts w:ascii="Palatino Linotype" w:hAnsi="Palatino Linotype" w:cs="Tahoma"/>
          <w:bCs/>
          <w:iCs/>
          <w:sz w:val="24"/>
          <w:szCs w:val="24"/>
        </w:rPr>
        <w:t>iv</w:t>
      </w:r>
      <w:proofErr w:type="spellEnd"/>
      <w:r w:rsidRPr="005A2C2C">
        <w:rPr>
          <w:rFonts w:ascii="Palatino Linotype" w:hAnsi="Palatino Linotype" w:cs="Tahoma"/>
          <w:bCs/>
          <w:iCs/>
          <w:sz w:val="24"/>
          <w:szCs w:val="24"/>
        </w:rPr>
        <w:t xml:space="preserve">) por razones de seguridad nacional y salubridad general o v) para proteger los derechos de terceros o cuando se </w:t>
      </w:r>
      <w:r w:rsidRPr="005A2C2C">
        <w:rPr>
          <w:rFonts w:ascii="Palatino Linotype" w:hAnsi="Palatino Linotype" w:cs="Tahoma"/>
          <w:bCs/>
          <w:iCs/>
          <w:sz w:val="24"/>
          <w:szCs w:val="24"/>
        </w:rPr>
        <w:lastRenderedPageBreak/>
        <w:t>transmita entre sujetos obligados en términos de los tratados y los acuerdos interinstitucionales.</w:t>
      </w:r>
    </w:p>
    <w:p w14:paraId="00DDBA06"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553621B0"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En términos de lo expuesto, la documentación y aquellos datos que se consideren confidenciales, serán una limitante del derecho de acceso a la información, siempre y cuando:</w:t>
      </w:r>
    </w:p>
    <w:p w14:paraId="18B74EE8"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4B5AE3C9" w14:textId="77777777" w:rsidR="00AC4DB0" w:rsidRPr="005A2C2C" w:rsidRDefault="00AC4DB0" w:rsidP="00AC4DB0">
      <w:pPr>
        <w:numPr>
          <w:ilvl w:val="0"/>
          <w:numId w:val="29"/>
        </w:num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Se trate de datos personales o información privada; esto es, información concerniente a una persona física o jurídico colectiva y que ésta sea identificada o identificable. </w:t>
      </w:r>
    </w:p>
    <w:p w14:paraId="78E17720" w14:textId="77777777" w:rsidR="00AC4DB0" w:rsidRPr="005A2C2C" w:rsidRDefault="00AC4DB0" w:rsidP="00AC4DB0">
      <w:pPr>
        <w:numPr>
          <w:ilvl w:val="0"/>
          <w:numId w:val="29"/>
        </w:num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Para la difusión de los datos, se requiera el consentimiento del titular. </w:t>
      </w:r>
    </w:p>
    <w:p w14:paraId="7CA3F00C"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383CEC14"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4398E84"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7F1D09DC"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Además, en el artículo 5° de dicho ordenamiento jurídico, establece que es la Ley aplicable para todo tratamiento de datos personales.</w:t>
      </w:r>
    </w:p>
    <w:p w14:paraId="181027B3"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3ECFAB5C"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FEDBE24"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1EA43D21"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DC9CA7F"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616A23C1"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En este contexto, la confidencialidad de los datos </w:t>
      </w:r>
      <w:proofErr w:type="gramStart"/>
      <w:r w:rsidRPr="005A2C2C">
        <w:rPr>
          <w:rFonts w:ascii="Palatino Linotype" w:hAnsi="Palatino Linotype" w:cs="Tahoma"/>
          <w:bCs/>
          <w:iCs/>
          <w:sz w:val="24"/>
          <w:szCs w:val="24"/>
        </w:rPr>
        <w:t>personales,</w:t>
      </w:r>
      <w:proofErr w:type="gramEnd"/>
      <w:r w:rsidRPr="005A2C2C">
        <w:rPr>
          <w:rFonts w:ascii="Palatino Linotype" w:hAnsi="Palatino Linotype" w:cs="Tahoma"/>
          <w:bCs/>
          <w:iCs/>
          <w:sz w:val="24"/>
          <w:szCs w:val="24"/>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FEA971A"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25B3A12E"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lastRenderedPageBreak/>
        <w:t>De tal suerte, las instituciones públicas tienen la doble responsabilidad, por un lado, de proteger los datos personales y por otro, darles publicidad cuando la relevancia de esos datos sea de interés público.</w:t>
      </w:r>
    </w:p>
    <w:p w14:paraId="773B284A"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3385A322"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8D019C2"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5278E91D"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393DBE0"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A66C7C9"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340B58B1" w14:textId="77777777" w:rsidR="00AC4DB0" w:rsidRPr="005A2C2C" w:rsidRDefault="00AC4DB0" w:rsidP="00AC4DB0">
      <w:pPr>
        <w:tabs>
          <w:tab w:val="left" w:pos="709"/>
        </w:tabs>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Bajo este esquema, se aprecia que la información ordenada, puede contener información susceptible a clasificar como confidencial; de forma enunciativa más no limitativa; se analiza el </w:t>
      </w:r>
      <w:r w:rsidRPr="005A2C2C">
        <w:rPr>
          <w:rFonts w:ascii="Palatino Linotype" w:hAnsi="Palatino Linotype" w:cs="Tahoma"/>
          <w:b/>
          <w:bCs/>
          <w:iCs/>
          <w:sz w:val="24"/>
          <w:szCs w:val="24"/>
        </w:rPr>
        <w:t>Registro Federal de Contribuyentes</w:t>
      </w:r>
      <w:r w:rsidRPr="005A2C2C">
        <w:rPr>
          <w:rFonts w:ascii="Palatino Linotype" w:hAnsi="Palatino Linotype" w:cs="Tahoma"/>
          <w:bCs/>
          <w:iCs/>
          <w:sz w:val="24"/>
          <w:szCs w:val="24"/>
        </w:rPr>
        <w:t xml:space="preserve"> (RFC) y la </w:t>
      </w:r>
      <w:r w:rsidRPr="005A2C2C">
        <w:rPr>
          <w:rFonts w:ascii="Palatino Linotype" w:hAnsi="Palatino Linotype" w:cs="Tahoma"/>
          <w:b/>
          <w:bCs/>
          <w:iCs/>
          <w:sz w:val="24"/>
          <w:szCs w:val="24"/>
        </w:rPr>
        <w:t>Clave Única de Registro de Población</w:t>
      </w:r>
      <w:r w:rsidRPr="005A2C2C">
        <w:rPr>
          <w:rFonts w:ascii="Palatino Linotype" w:hAnsi="Palatino Linotype" w:cs="Tahoma"/>
          <w:bCs/>
          <w:iCs/>
          <w:sz w:val="24"/>
          <w:szCs w:val="24"/>
        </w:rPr>
        <w:t xml:space="preserve"> (CURP), clave de seguridad social, número de empleado </w:t>
      </w:r>
    </w:p>
    <w:p w14:paraId="32563CA4"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31613E37" w14:textId="77777777" w:rsidR="00AC4DB0" w:rsidRPr="005A2C2C" w:rsidRDefault="00AC4DB0" w:rsidP="00AC4DB0">
      <w:pPr>
        <w:numPr>
          <w:ilvl w:val="0"/>
          <w:numId w:val="28"/>
        </w:num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
          <w:bCs/>
          <w:iCs/>
          <w:sz w:val="24"/>
          <w:szCs w:val="24"/>
        </w:rPr>
        <w:t xml:space="preserve">Registro Federal de Contribuyentes (RFC) </w:t>
      </w:r>
    </w:p>
    <w:p w14:paraId="7A9C8743" w14:textId="77777777" w:rsidR="00AC4DB0" w:rsidRPr="005A2C2C" w:rsidRDefault="00AC4DB0" w:rsidP="00AC4DB0">
      <w:pPr>
        <w:spacing w:after="0" w:line="360" w:lineRule="auto"/>
        <w:ind w:left="720"/>
        <w:contextualSpacing/>
        <w:jc w:val="both"/>
        <w:rPr>
          <w:rFonts w:ascii="Palatino Linotype" w:hAnsi="Palatino Linotype" w:cs="Tahoma"/>
          <w:bCs/>
          <w:iCs/>
          <w:sz w:val="24"/>
          <w:szCs w:val="24"/>
        </w:rPr>
      </w:pPr>
    </w:p>
    <w:p w14:paraId="61FE19E3"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C33FFBD"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21E6F38B"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roofErr w:type="gramStart"/>
      <w:r w:rsidRPr="005A2C2C">
        <w:rPr>
          <w:rFonts w:ascii="Palatino Linotype" w:hAnsi="Palatino Linotype" w:cs="Tahoma"/>
          <w:bCs/>
          <w:iCs/>
          <w:sz w:val="24"/>
          <w:szCs w:val="24"/>
        </w:rPr>
        <w:t>De acuerdo a</w:t>
      </w:r>
      <w:proofErr w:type="gramEnd"/>
      <w:r w:rsidRPr="005A2C2C">
        <w:rPr>
          <w:rFonts w:ascii="Palatino Linotype" w:hAnsi="Palatino Linotype" w:cs="Tahoma"/>
          <w:bCs/>
          <w:iCs/>
          <w:sz w:val="24"/>
          <w:szCs w:val="24"/>
        </w:rPr>
        <w:t xml:space="preserve"> lo establecido en el artículo en comento, esta clave se compone de trece caracteres alfanuméricos, con datos obtenidos de los apellidos, nombre (s), fecha de </w:t>
      </w:r>
      <w:r w:rsidRPr="005A2C2C">
        <w:rPr>
          <w:rFonts w:ascii="Palatino Linotype" w:hAnsi="Palatino Linotype" w:cs="Tahoma"/>
          <w:bCs/>
          <w:iCs/>
          <w:sz w:val="24"/>
          <w:szCs w:val="24"/>
        </w:rPr>
        <w:lastRenderedPageBreak/>
        <w:t xml:space="preserve">nacimiento del titular, más una </w:t>
      </w:r>
      <w:proofErr w:type="spellStart"/>
      <w:r w:rsidRPr="005A2C2C">
        <w:rPr>
          <w:rFonts w:ascii="Palatino Linotype" w:hAnsi="Palatino Linotype" w:cs="Tahoma"/>
          <w:bCs/>
          <w:iCs/>
          <w:sz w:val="24"/>
          <w:szCs w:val="24"/>
        </w:rPr>
        <w:t>homoclave</w:t>
      </w:r>
      <w:proofErr w:type="spellEnd"/>
      <w:r w:rsidRPr="005A2C2C">
        <w:rPr>
          <w:rFonts w:ascii="Palatino Linotype" w:hAnsi="Palatino Linotype" w:cs="Tahoma"/>
          <w:bCs/>
          <w:iCs/>
          <w:sz w:val="24"/>
          <w:szCs w:val="24"/>
        </w:rPr>
        <w:t xml:space="preserve"> que establece el sistema automático del Servicio de Administración Tributaria.</w:t>
      </w:r>
    </w:p>
    <w:p w14:paraId="3419D4F8"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5E0BEDC8"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Ahora bien, la clave del Registro Federal de </w:t>
      </w:r>
      <w:proofErr w:type="gramStart"/>
      <w:r w:rsidRPr="005A2C2C">
        <w:rPr>
          <w:rFonts w:ascii="Palatino Linotype" w:hAnsi="Palatino Linotype" w:cs="Tahoma"/>
          <w:bCs/>
          <w:iCs/>
          <w:sz w:val="24"/>
          <w:szCs w:val="24"/>
        </w:rPr>
        <w:t>Contribuyentes,</w:t>
      </w:r>
      <w:proofErr w:type="gramEnd"/>
      <w:r w:rsidRPr="005A2C2C">
        <w:rPr>
          <w:rFonts w:ascii="Palatino Linotype" w:hAnsi="Palatino Linotype" w:cs="Tahoma"/>
          <w:bCs/>
          <w:iCs/>
          <w:sz w:val="24"/>
          <w:szCs w:val="24"/>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AADFAA2"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4F74DEAF"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18FC480"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1372560B"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Lo anterior, resulta congruente con el Criterio 19/17 emitido por el Instituto Nacional de Transparencia, Acceso a la Información y Protección de Datos Personales, en el cual se señala lo siguiente:</w:t>
      </w:r>
    </w:p>
    <w:p w14:paraId="245B9AEC"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695308AD" w14:textId="77777777" w:rsidR="00AC4DB0" w:rsidRPr="005A2C2C" w:rsidRDefault="00AC4DB0" w:rsidP="00AC4DB0">
      <w:pPr>
        <w:spacing w:after="0" w:line="360" w:lineRule="auto"/>
        <w:ind w:left="567" w:right="539"/>
        <w:contextualSpacing/>
        <w:jc w:val="both"/>
        <w:rPr>
          <w:rFonts w:ascii="Palatino Linotype" w:hAnsi="Palatino Linotype" w:cs="Tahoma"/>
          <w:bCs/>
          <w:i/>
          <w:iCs/>
          <w:sz w:val="24"/>
          <w:szCs w:val="24"/>
        </w:rPr>
      </w:pPr>
      <w:r w:rsidRPr="005A2C2C">
        <w:rPr>
          <w:rFonts w:ascii="Palatino Linotype" w:hAnsi="Palatino Linotype" w:cs="Tahoma"/>
          <w:b/>
          <w:bCs/>
          <w:i/>
          <w:iCs/>
          <w:sz w:val="24"/>
          <w:szCs w:val="24"/>
        </w:rPr>
        <w:t>Registro Federal de Contribuyentes (RFC) de personas físicas</w:t>
      </w:r>
      <w:r w:rsidRPr="005A2C2C">
        <w:rPr>
          <w:rFonts w:ascii="Palatino Linotype" w:hAnsi="Palatino Linotype" w:cs="Tahoma"/>
          <w:bCs/>
          <w:i/>
          <w:iCs/>
          <w:sz w:val="24"/>
          <w:szCs w:val="24"/>
        </w:rPr>
        <w:t>. El RFC es una clave de carácter fiscal, única e irrepetible, que permite identificar al titular, su edad y fecha de nacimiento, por lo que es un dato personal de carácter confidencial.</w:t>
      </w:r>
    </w:p>
    <w:p w14:paraId="3180D6D9" w14:textId="77777777" w:rsidR="00AC4DB0" w:rsidRPr="005A2C2C" w:rsidRDefault="00AC4DB0" w:rsidP="00AC4DB0">
      <w:pPr>
        <w:spacing w:after="0" w:line="360" w:lineRule="auto"/>
        <w:contextualSpacing/>
        <w:jc w:val="both"/>
        <w:rPr>
          <w:rFonts w:ascii="Palatino Linotype" w:hAnsi="Palatino Linotype" w:cs="Tahoma"/>
          <w:bCs/>
          <w:i/>
          <w:iCs/>
          <w:sz w:val="24"/>
          <w:szCs w:val="24"/>
        </w:rPr>
      </w:pPr>
    </w:p>
    <w:p w14:paraId="36BF224B"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5A2C2C">
        <w:rPr>
          <w:rFonts w:ascii="Palatino Linotype" w:hAnsi="Palatino Linotype" w:cs="Tahoma"/>
          <w:b/>
          <w:bCs/>
          <w:iCs/>
          <w:sz w:val="24"/>
          <w:szCs w:val="24"/>
        </w:rPr>
        <w:t>por lo que constituye un dato personal confidencial al actualizar el supuesto normativo del artículo 143, fracción I de la Ley de Transparencia y Acceso a la Información Pública del Estado de México y Municipios.</w:t>
      </w:r>
    </w:p>
    <w:p w14:paraId="5D935A75" w14:textId="77777777" w:rsidR="00AC4DB0" w:rsidRPr="005A2C2C" w:rsidRDefault="00AC4DB0" w:rsidP="00AC4DB0">
      <w:pPr>
        <w:spacing w:after="0" w:line="360" w:lineRule="auto"/>
        <w:contextualSpacing/>
        <w:jc w:val="both"/>
        <w:rPr>
          <w:rFonts w:ascii="Palatino Linotype" w:hAnsi="Palatino Linotype" w:cs="Tahoma"/>
          <w:bCs/>
          <w:iCs/>
          <w:sz w:val="24"/>
          <w:szCs w:val="24"/>
        </w:rPr>
      </w:pPr>
    </w:p>
    <w:p w14:paraId="790211B8" w14:textId="77777777" w:rsidR="00AC4DB0" w:rsidRPr="005A2C2C" w:rsidRDefault="00AC4DB0" w:rsidP="00AC4DB0">
      <w:pPr>
        <w:numPr>
          <w:ilvl w:val="0"/>
          <w:numId w:val="28"/>
        </w:numPr>
        <w:spacing w:after="0" w:line="360" w:lineRule="auto"/>
        <w:contextualSpacing/>
        <w:jc w:val="both"/>
        <w:rPr>
          <w:rFonts w:ascii="Palatino Linotype" w:hAnsi="Palatino Linotype" w:cs="Tahoma"/>
          <w:b/>
          <w:sz w:val="24"/>
          <w:szCs w:val="24"/>
        </w:rPr>
      </w:pPr>
      <w:r w:rsidRPr="005A2C2C">
        <w:rPr>
          <w:rFonts w:ascii="Palatino Linotype" w:hAnsi="Palatino Linotype" w:cs="Tahoma"/>
          <w:b/>
          <w:sz w:val="24"/>
          <w:szCs w:val="24"/>
        </w:rPr>
        <w:t>Clave Única de Registro de Población (CURP).</w:t>
      </w:r>
    </w:p>
    <w:p w14:paraId="5F6EAA2A"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338303DF"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El artículo 36 de la Constitución Política de los Estados Unidos Mexicanos, dispone la obligación de los ciudadanos de inscribirse en el Registro Nacional de Ciudadanos. </w:t>
      </w:r>
    </w:p>
    <w:p w14:paraId="44384A18"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3E7F4A85"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45A94F4"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121116CE"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4A49F39"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2A7D2500"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De conformidad con lo precisado por la propia Secretaría de Gobernación en la dirección </w:t>
      </w:r>
      <w:hyperlink r:id="rId10" w:history="1">
        <w:r w:rsidRPr="005A2C2C">
          <w:rPr>
            <w:rFonts w:ascii="Palatino Linotype" w:hAnsi="Palatino Linotype" w:cs="Tahoma"/>
            <w:color w:val="0563C1" w:themeColor="hyperlink"/>
            <w:sz w:val="24"/>
            <w:szCs w:val="24"/>
            <w:u w:val="single"/>
            <w:lang w:eastAsia="es-MX"/>
          </w:rPr>
          <w:t>https://consultas.curp.gob.mx/CurpSP/html/informacionecurpPS.html</w:t>
        </w:r>
      </w:hyperlink>
      <w:r w:rsidRPr="005A2C2C">
        <w:rPr>
          <w:rFonts w:ascii="Palatino Linotype" w:hAnsi="Palatino Linotype" w:cs="Tahoma"/>
          <w:sz w:val="24"/>
          <w:szCs w:val="24"/>
          <w:lang w:eastAsia="es-MX"/>
        </w:rPr>
        <w:t xml:space="preserve">, la Clave Única del Registro de Población –CURP-, es un instrumento de registro que se </w:t>
      </w:r>
      <w:r w:rsidRPr="005A2C2C">
        <w:rPr>
          <w:rFonts w:ascii="Palatino Linotype" w:hAnsi="Palatino Linotype" w:cs="Tahoma"/>
          <w:sz w:val="24"/>
          <w:szCs w:val="24"/>
          <w:lang w:eastAsia="es-MX"/>
        </w:rPr>
        <w:lastRenderedPageBreak/>
        <w:t xml:space="preserve">asigna a todas las personas que viven en el territorio nacional, así como a los mexicanos que residen en el extranjero y se compone de dieciocho elementos, representados por letras y números, que </w:t>
      </w:r>
      <w:r w:rsidRPr="005A2C2C">
        <w:rPr>
          <w:rFonts w:ascii="Palatino Linotype" w:hAnsi="Palatino Linotype" w:cs="Tahoma"/>
          <w:b/>
          <w:sz w:val="24"/>
          <w:szCs w:val="24"/>
          <w:lang w:eastAsia="es-MX"/>
        </w:rPr>
        <w:t>se generan a partir de los datos contenidos en el documento probatorio de la identidad</w:t>
      </w:r>
      <w:r w:rsidRPr="005A2C2C">
        <w:rPr>
          <w:rFonts w:ascii="Palatino Linotype" w:hAnsi="Palatino Linotype" w:cs="Tahoma"/>
          <w:sz w:val="24"/>
          <w:szCs w:val="24"/>
          <w:lang w:eastAsia="es-MX"/>
        </w:rPr>
        <w:t xml:space="preserve"> </w:t>
      </w:r>
      <w:r w:rsidRPr="005A2C2C">
        <w:rPr>
          <w:rFonts w:ascii="Palatino Linotype" w:hAnsi="Palatino Linotype" w:cs="Tahoma"/>
          <w:b/>
          <w:sz w:val="24"/>
          <w:szCs w:val="24"/>
          <w:lang w:eastAsia="es-MX"/>
        </w:rPr>
        <w:t xml:space="preserve">del interesado </w:t>
      </w:r>
      <w:r w:rsidRPr="005A2C2C">
        <w:rPr>
          <w:rFonts w:ascii="Palatino Linotype" w:hAnsi="Palatino Linotype" w:cs="Tahoma"/>
          <w:sz w:val="24"/>
          <w:szCs w:val="24"/>
          <w:lang w:eastAsia="es-MX"/>
        </w:rPr>
        <w:t>(acta de nacimiento, carta de naturalización o documento migratorio) de la siguiente forma:</w:t>
      </w:r>
    </w:p>
    <w:p w14:paraId="1E013BEE"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3064E584"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 • El primero y segundo apellidos, así como al nombre de pila.</w:t>
      </w:r>
    </w:p>
    <w:p w14:paraId="29C5BA71"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 • La fecha de nacimiento.</w:t>
      </w:r>
    </w:p>
    <w:p w14:paraId="218E5173"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 • El sexo.</w:t>
      </w:r>
    </w:p>
    <w:p w14:paraId="6BD77ECB"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 • La entidad federativa de nacimiento.</w:t>
      </w:r>
    </w:p>
    <w:p w14:paraId="45281FAA"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2F53A895"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Los dos últimos elementos de la Clave Única de Registro de Población evitan la duplicidad de la Clave y garantizan su correcta integración.</w:t>
      </w:r>
    </w:p>
    <w:p w14:paraId="37771E37"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6FCF05C2" w14:textId="77777777" w:rsidR="00AC4DB0" w:rsidRPr="005A2C2C" w:rsidRDefault="00AC4DB0" w:rsidP="00AC4DB0">
      <w:pPr>
        <w:spacing w:after="0" w:line="360" w:lineRule="auto"/>
        <w:contextualSpacing/>
        <w:jc w:val="both"/>
        <w:rPr>
          <w:rFonts w:ascii="Palatino Linotype" w:hAnsi="Palatino Linotype" w:cs="Tahoma"/>
          <w:sz w:val="24"/>
          <w:szCs w:val="24"/>
        </w:rPr>
      </w:pPr>
      <w:r w:rsidRPr="005A2C2C">
        <w:rPr>
          <w:rFonts w:ascii="Palatino Linotype" w:hAnsi="Palatino Linotype" w:cs="Tahoma"/>
          <w:sz w:val="24"/>
          <w:szCs w:val="24"/>
        </w:rPr>
        <w:t xml:space="preserve">Como se desprende de lo anterior, la </w:t>
      </w:r>
      <w:r w:rsidRPr="005A2C2C">
        <w:rPr>
          <w:rFonts w:ascii="Palatino Linotype" w:hAnsi="Palatino Linotype" w:cs="Tahoma"/>
          <w:sz w:val="24"/>
          <w:szCs w:val="24"/>
          <w:lang w:eastAsia="es-MX"/>
        </w:rPr>
        <w:t>Clave Única de Registro de Población</w:t>
      </w:r>
      <w:r w:rsidRPr="005A2C2C">
        <w:rPr>
          <w:rFonts w:ascii="Palatino Linotype" w:hAnsi="Palatino Linotype" w:cs="Tahoma"/>
          <w:sz w:val="24"/>
          <w:szCs w:val="24"/>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41CE540" w14:textId="77777777" w:rsidR="00AC4DB0" w:rsidRPr="005A2C2C" w:rsidRDefault="00AC4DB0" w:rsidP="00AC4DB0">
      <w:pPr>
        <w:spacing w:after="0" w:line="360" w:lineRule="auto"/>
        <w:contextualSpacing/>
        <w:jc w:val="both"/>
        <w:rPr>
          <w:rFonts w:ascii="Palatino Linotype" w:hAnsi="Palatino Linotype" w:cs="Tahoma"/>
          <w:sz w:val="24"/>
          <w:szCs w:val="24"/>
        </w:rPr>
      </w:pPr>
    </w:p>
    <w:p w14:paraId="1393B92C"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Resulta aplicable en la especie, como argumento orientador, el Criterio 3/10, emitido por el Instituto Nacional de Transparencia, Acceso a la Información y Protección de Datos Personales.</w:t>
      </w:r>
    </w:p>
    <w:p w14:paraId="25337646" w14:textId="77777777" w:rsidR="00AC4DB0" w:rsidRPr="005A2C2C" w:rsidRDefault="00AC4DB0" w:rsidP="00AC4DB0">
      <w:pPr>
        <w:autoSpaceDE w:val="0"/>
        <w:autoSpaceDN w:val="0"/>
        <w:adjustRightInd w:val="0"/>
        <w:spacing w:after="0" w:line="360" w:lineRule="auto"/>
        <w:contextualSpacing/>
        <w:jc w:val="both"/>
        <w:rPr>
          <w:rFonts w:ascii="Palatino Linotype" w:eastAsia="Calibri" w:hAnsi="Palatino Linotype" w:cs="Tahoma"/>
          <w:b/>
          <w:bCs/>
          <w:color w:val="000000"/>
          <w:sz w:val="24"/>
          <w:szCs w:val="24"/>
        </w:rPr>
      </w:pPr>
    </w:p>
    <w:p w14:paraId="424D1221" w14:textId="77777777" w:rsidR="00AC4DB0" w:rsidRPr="005A2C2C" w:rsidRDefault="00AC4DB0" w:rsidP="00AC4DB0">
      <w:pPr>
        <w:autoSpaceDE w:val="0"/>
        <w:autoSpaceDN w:val="0"/>
        <w:adjustRightInd w:val="0"/>
        <w:spacing w:after="0" w:line="360" w:lineRule="auto"/>
        <w:ind w:left="567" w:right="539"/>
        <w:contextualSpacing/>
        <w:jc w:val="both"/>
        <w:rPr>
          <w:rFonts w:ascii="Palatino Linotype" w:eastAsia="Calibri" w:hAnsi="Palatino Linotype" w:cs="Tahoma"/>
          <w:i/>
          <w:color w:val="000000"/>
          <w:sz w:val="24"/>
          <w:szCs w:val="24"/>
        </w:rPr>
      </w:pPr>
      <w:r w:rsidRPr="005A2C2C">
        <w:rPr>
          <w:rFonts w:ascii="Palatino Linotype" w:eastAsia="Calibri" w:hAnsi="Palatino Linotype" w:cs="Tahoma"/>
          <w:b/>
          <w:bCs/>
          <w:i/>
          <w:color w:val="000000"/>
          <w:sz w:val="24"/>
          <w:szCs w:val="24"/>
        </w:rPr>
        <w:lastRenderedPageBreak/>
        <w:t xml:space="preserve">Clave Única de Registro de Población (CURP) es un dato personal confidencial. </w:t>
      </w:r>
      <w:r w:rsidRPr="005A2C2C">
        <w:rPr>
          <w:rFonts w:ascii="Palatino Linotype" w:eastAsia="Calibri" w:hAnsi="Palatino Linotype" w:cs="Tahoma"/>
          <w:i/>
          <w:color w:val="000000"/>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1BD4665" w14:textId="77777777" w:rsidR="00AC4DB0" w:rsidRPr="005A2C2C" w:rsidRDefault="00AC4DB0" w:rsidP="00AC4DB0">
      <w:pPr>
        <w:spacing w:after="0" w:line="360" w:lineRule="auto"/>
        <w:contextualSpacing/>
        <w:jc w:val="both"/>
        <w:rPr>
          <w:rFonts w:ascii="Palatino Linotype" w:hAnsi="Palatino Linotype" w:cs="Tahoma"/>
          <w:sz w:val="24"/>
          <w:szCs w:val="24"/>
        </w:rPr>
      </w:pPr>
    </w:p>
    <w:p w14:paraId="75425253" w14:textId="77777777" w:rsidR="00AC4DB0" w:rsidRPr="005A2C2C" w:rsidRDefault="00AC4DB0" w:rsidP="00AC4DB0">
      <w:pPr>
        <w:spacing w:after="0" w:line="360" w:lineRule="auto"/>
        <w:contextualSpacing/>
        <w:jc w:val="both"/>
        <w:rPr>
          <w:rFonts w:ascii="Palatino Linotype" w:hAnsi="Palatino Linotype" w:cs="Tahoma"/>
          <w:b/>
          <w:sz w:val="24"/>
          <w:szCs w:val="24"/>
        </w:rPr>
      </w:pPr>
      <w:r w:rsidRPr="005A2C2C">
        <w:rPr>
          <w:rFonts w:ascii="Palatino Linotype" w:hAnsi="Palatino Linotype" w:cs="Tahoma"/>
          <w:sz w:val="24"/>
          <w:szCs w:val="24"/>
        </w:rPr>
        <w:t xml:space="preserve">De acuerdo con lo anterior, </w:t>
      </w:r>
      <w:r w:rsidRPr="005A2C2C">
        <w:rPr>
          <w:rFonts w:ascii="Palatino Linotype" w:hAnsi="Palatino Linotype" w:cs="Tahoma"/>
          <w:b/>
          <w:sz w:val="24"/>
          <w:szCs w:val="24"/>
        </w:rPr>
        <w:t xml:space="preserve">la CURP es un dato que debe clasificarse, por tratarse de un dato personal confidencial, en términos del artículo 143, fracción I de la Ley de Transparencia y Acceso a la Información Pública del Estado de México y Municipios. </w:t>
      </w:r>
    </w:p>
    <w:p w14:paraId="0C5D3EDB"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7040FF0B" w14:textId="77777777" w:rsidR="00AC4DB0" w:rsidRPr="005A2C2C" w:rsidRDefault="00AC4DB0" w:rsidP="00AC4DB0">
      <w:pPr>
        <w:numPr>
          <w:ilvl w:val="0"/>
          <w:numId w:val="28"/>
        </w:num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b/>
          <w:sz w:val="24"/>
          <w:szCs w:val="24"/>
          <w:lang w:eastAsia="es-MX"/>
        </w:rPr>
        <w:t>Número de empleado.</w:t>
      </w:r>
    </w:p>
    <w:p w14:paraId="08853EA3" w14:textId="77777777" w:rsidR="00AC4DB0" w:rsidRPr="005A2C2C" w:rsidRDefault="00AC4DB0" w:rsidP="00AC4DB0">
      <w:pPr>
        <w:spacing w:after="0" w:line="360" w:lineRule="auto"/>
        <w:contextualSpacing/>
        <w:jc w:val="both"/>
        <w:rPr>
          <w:rFonts w:ascii="Palatino Linotype" w:hAnsi="Palatino Linotype" w:cs="Tahoma"/>
          <w:b/>
          <w:sz w:val="24"/>
          <w:szCs w:val="24"/>
          <w:lang w:eastAsia="es-MX"/>
        </w:rPr>
      </w:pPr>
    </w:p>
    <w:p w14:paraId="7AC0AD95"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4CD01A13"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668528EF"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D805775"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5FA7D5EE"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Lo anterior, se robustece con el Criterio 03/14, emitido por el Pleno del entonces Instituto Federal de Acceso a la Información y Protección de Datos, que establece lo siguiente:</w:t>
      </w:r>
    </w:p>
    <w:p w14:paraId="44C6EEAB"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1EBEDC7B" w14:textId="77777777" w:rsidR="00AC4DB0" w:rsidRPr="005A2C2C" w:rsidRDefault="00AC4DB0" w:rsidP="00AC4DB0">
      <w:pPr>
        <w:spacing w:after="0" w:line="360" w:lineRule="auto"/>
        <w:ind w:left="567" w:right="539"/>
        <w:contextualSpacing/>
        <w:jc w:val="both"/>
        <w:rPr>
          <w:rFonts w:ascii="Palatino Linotype" w:hAnsi="Palatino Linotype" w:cs="Tahoma"/>
          <w:sz w:val="24"/>
          <w:szCs w:val="24"/>
          <w:lang w:eastAsia="es-MX"/>
        </w:rPr>
      </w:pPr>
      <w:r w:rsidRPr="005A2C2C">
        <w:rPr>
          <w:rFonts w:ascii="Palatino Linotype" w:hAnsi="Palatino Linotype" w:cs="Tahoma"/>
          <w:b/>
          <w:i/>
          <w:sz w:val="24"/>
          <w:szCs w:val="24"/>
          <w:lang w:eastAsia="es-MX"/>
        </w:rPr>
        <w:t>Número de empleado, o su equivalente, si se integra con datos personales del trabajador o permite acceder a éstos sin necesidad de una contraseña, constituye información confidencial.</w:t>
      </w:r>
      <w:r w:rsidRPr="005A2C2C">
        <w:rPr>
          <w:rFonts w:ascii="Palatino Linotype" w:hAnsi="Palatino Linotype" w:cs="Tahoma"/>
          <w:i/>
          <w:sz w:val="24"/>
          <w:szCs w:val="24"/>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w:t>
      </w:r>
      <w:r w:rsidRPr="005A2C2C">
        <w:rPr>
          <w:rFonts w:ascii="Palatino Linotype" w:hAnsi="Palatino Linotype" w:cs="Tahoma"/>
          <w:i/>
          <w:sz w:val="24"/>
          <w:szCs w:val="24"/>
          <w:lang w:eastAsia="es-MX"/>
        </w:rPr>
        <w:lastRenderedPageBreak/>
        <w:t>el carácter de confidencial, ya que por sí solo no permite el acceso a los datos personales de los servidores públicos.</w:t>
      </w:r>
    </w:p>
    <w:p w14:paraId="1B1D23AB"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p>
    <w:p w14:paraId="47EE0773" w14:textId="77777777" w:rsidR="00AC4DB0" w:rsidRPr="005A2C2C" w:rsidRDefault="00AC4DB0" w:rsidP="00AC4DB0">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11A0A6B0" w14:textId="77777777" w:rsidR="00AC4DB0" w:rsidRPr="005A2C2C" w:rsidRDefault="00AC4DB0" w:rsidP="00AC4DB0">
      <w:pPr>
        <w:spacing w:after="0" w:line="360" w:lineRule="auto"/>
        <w:contextualSpacing/>
        <w:jc w:val="both"/>
        <w:rPr>
          <w:rFonts w:ascii="Palatino Linotype" w:hAnsi="Palatino Linotype" w:cs="Tahoma"/>
          <w:b/>
          <w:bCs/>
          <w:sz w:val="24"/>
          <w:szCs w:val="24"/>
          <w:lang w:eastAsia="es-MX"/>
        </w:rPr>
      </w:pPr>
    </w:p>
    <w:p w14:paraId="5B277498" w14:textId="77777777" w:rsidR="00AC4DB0" w:rsidRPr="005A2C2C" w:rsidRDefault="00AC4DB0" w:rsidP="00AC4DB0">
      <w:pPr>
        <w:spacing w:after="0" w:line="360" w:lineRule="auto"/>
        <w:contextualSpacing/>
        <w:jc w:val="both"/>
        <w:rPr>
          <w:rFonts w:ascii="Palatino Linotype" w:hAnsi="Palatino Linotype" w:cs="Tahoma"/>
          <w:bCs/>
          <w:sz w:val="24"/>
          <w:szCs w:val="24"/>
          <w:lang w:eastAsia="es-MX"/>
        </w:rPr>
      </w:pPr>
      <w:r w:rsidRPr="005A2C2C">
        <w:rPr>
          <w:rFonts w:ascii="Palatino Linotype" w:hAnsi="Palatino Linotype" w:cs="Tahoma"/>
          <w:bCs/>
          <w:sz w:val="24"/>
          <w:szCs w:val="24"/>
          <w:lang w:eastAsia="es-MX"/>
        </w:rPr>
        <w:t xml:space="preserve">De tales circunstancias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w:t>
      </w:r>
      <w:r w:rsidRPr="00155053">
        <w:rPr>
          <w:rFonts w:ascii="Palatino Linotype" w:hAnsi="Palatino Linotype" w:cs="Tahoma"/>
          <w:bCs/>
          <w:sz w:val="24"/>
          <w:szCs w:val="24"/>
          <w:lang w:eastAsia="es-MX"/>
        </w:rPr>
        <w:t>materia.</w:t>
      </w:r>
    </w:p>
    <w:p w14:paraId="13B0D013" w14:textId="77777777" w:rsidR="00AC4DB0" w:rsidRPr="00692461" w:rsidRDefault="00AC4DB0" w:rsidP="00D40922">
      <w:pPr>
        <w:autoSpaceDE w:val="0"/>
        <w:autoSpaceDN w:val="0"/>
        <w:adjustRightInd w:val="0"/>
        <w:spacing w:after="0" w:line="360" w:lineRule="auto"/>
        <w:jc w:val="both"/>
        <w:rPr>
          <w:rFonts w:ascii="Palatino Linotype" w:hAnsi="Palatino Linotype" w:cs="Arial"/>
          <w:sz w:val="24"/>
          <w:szCs w:val="24"/>
        </w:rPr>
      </w:pPr>
    </w:p>
    <w:p w14:paraId="012B2F1D" w14:textId="77777777" w:rsidR="007B6867" w:rsidRPr="00692461" w:rsidRDefault="007B6867" w:rsidP="007F65A4">
      <w:pPr>
        <w:spacing w:after="0" w:line="360" w:lineRule="auto"/>
        <w:ind w:right="51"/>
        <w:jc w:val="both"/>
        <w:rPr>
          <w:rFonts w:ascii="Palatino Linotype" w:hAnsi="Palatino Linotype" w:cs="Arial"/>
          <w:sz w:val="24"/>
          <w:szCs w:val="24"/>
        </w:rPr>
      </w:pPr>
      <w:r w:rsidRPr="00692461">
        <w:rPr>
          <w:rFonts w:ascii="Palatino Linotype" w:eastAsia="Arial Unicode MS" w:hAnsi="Palatino Linotype" w:cs="Arial"/>
          <w:sz w:val="24"/>
          <w:szCs w:val="24"/>
        </w:rPr>
        <w:t>En mérito de lo ex</w:t>
      </w:r>
      <w:r w:rsidRPr="00692461">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9461EC" w:rsidRPr="00692461">
        <w:rPr>
          <w:rFonts w:ascii="Palatino Linotype" w:hAnsi="Palatino Linotype" w:cs="Arial"/>
          <w:b/>
          <w:sz w:val="24"/>
          <w:szCs w:val="24"/>
        </w:rPr>
        <w:t>REVOCA</w:t>
      </w:r>
      <w:r w:rsidRPr="00692461">
        <w:rPr>
          <w:rFonts w:ascii="Palatino Linotype" w:hAnsi="Palatino Linotype" w:cs="Arial"/>
          <w:sz w:val="24"/>
          <w:szCs w:val="24"/>
        </w:rPr>
        <w:t xml:space="preserve"> la respuesta del sujeto obligado a la solicitud de información número </w:t>
      </w:r>
      <w:r w:rsidR="00954909">
        <w:rPr>
          <w:rFonts w:ascii="Palatino Linotype" w:hAnsi="Palatino Linotype" w:cs="Arial"/>
          <w:b/>
          <w:sz w:val="24"/>
          <w:szCs w:val="24"/>
        </w:rPr>
        <w:t>0007</w:t>
      </w:r>
      <w:r w:rsidR="00102262">
        <w:rPr>
          <w:rFonts w:ascii="Palatino Linotype" w:hAnsi="Palatino Linotype" w:cs="Arial"/>
          <w:b/>
          <w:sz w:val="24"/>
          <w:szCs w:val="24"/>
          <w:lang w:val="es-419"/>
        </w:rPr>
        <w:t>2</w:t>
      </w:r>
      <w:r w:rsidR="00954909">
        <w:rPr>
          <w:rFonts w:ascii="Palatino Linotype" w:hAnsi="Palatino Linotype" w:cs="Arial"/>
          <w:b/>
          <w:sz w:val="24"/>
          <w:szCs w:val="24"/>
        </w:rPr>
        <w:t>/TENANCIN/IP/2022</w:t>
      </w:r>
      <w:r w:rsidR="0003012B" w:rsidRPr="00692461">
        <w:rPr>
          <w:rFonts w:ascii="Palatino Linotype" w:hAnsi="Palatino Linotype" w:cs="Arial"/>
          <w:b/>
          <w:sz w:val="20"/>
          <w:szCs w:val="20"/>
        </w:rPr>
        <w:t xml:space="preserve">, </w:t>
      </w:r>
      <w:r w:rsidRPr="00692461">
        <w:rPr>
          <w:rFonts w:ascii="Palatino Linotype" w:hAnsi="Palatino Linotype" w:cs="Arial"/>
          <w:sz w:val="24"/>
          <w:szCs w:val="24"/>
        </w:rPr>
        <w:t>que han sido materia del presente fallo.</w:t>
      </w:r>
    </w:p>
    <w:p w14:paraId="70BB2693" w14:textId="77777777" w:rsidR="007B6867" w:rsidRPr="00692461" w:rsidRDefault="007B6867" w:rsidP="007B6867">
      <w:pPr>
        <w:spacing w:after="0" w:line="360" w:lineRule="auto"/>
        <w:ind w:right="51"/>
        <w:jc w:val="both"/>
        <w:rPr>
          <w:rFonts w:ascii="Palatino Linotype" w:hAnsi="Palatino Linotype" w:cs="Arial"/>
          <w:sz w:val="24"/>
          <w:szCs w:val="24"/>
        </w:rPr>
      </w:pPr>
    </w:p>
    <w:p w14:paraId="56C3DAB3" w14:textId="77777777" w:rsidR="007B6867" w:rsidRPr="00692461" w:rsidRDefault="007B6867" w:rsidP="007B6867">
      <w:pPr>
        <w:spacing w:after="0" w:line="360" w:lineRule="auto"/>
        <w:ind w:right="51"/>
        <w:jc w:val="both"/>
        <w:rPr>
          <w:rFonts w:ascii="Palatino Linotype" w:hAnsi="Palatino Linotype" w:cs="Arial"/>
          <w:sz w:val="24"/>
          <w:szCs w:val="24"/>
        </w:rPr>
      </w:pPr>
      <w:r w:rsidRPr="00692461">
        <w:rPr>
          <w:rFonts w:ascii="Palatino Linotype" w:hAnsi="Palatino Linotype" w:cs="Arial"/>
          <w:sz w:val="24"/>
          <w:szCs w:val="24"/>
        </w:rPr>
        <w:t>Por lo antes expuesto y fundado es de resolverse y;</w:t>
      </w:r>
    </w:p>
    <w:p w14:paraId="32A9EFCD" w14:textId="77777777" w:rsidR="003D0012" w:rsidRPr="00692461" w:rsidRDefault="003D0012" w:rsidP="007B6867">
      <w:pPr>
        <w:spacing w:after="0" w:line="360" w:lineRule="auto"/>
        <w:jc w:val="center"/>
        <w:rPr>
          <w:rFonts w:ascii="Palatino Linotype" w:hAnsi="Palatino Linotype"/>
          <w:b/>
          <w:bCs/>
          <w:spacing w:val="60"/>
          <w:sz w:val="24"/>
          <w:szCs w:val="24"/>
          <w:lang w:val="es-ES_tradnl"/>
        </w:rPr>
      </w:pPr>
    </w:p>
    <w:p w14:paraId="3C615F18" w14:textId="77777777" w:rsidR="007B6867" w:rsidRPr="00692461" w:rsidRDefault="007B6867" w:rsidP="007B6867">
      <w:pPr>
        <w:spacing w:after="0" w:line="360" w:lineRule="auto"/>
        <w:jc w:val="center"/>
        <w:rPr>
          <w:rFonts w:ascii="Palatino Linotype" w:hAnsi="Palatino Linotype"/>
          <w:b/>
          <w:bCs/>
          <w:spacing w:val="60"/>
          <w:sz w:val="24"/>
          <w:szCs w:val="24"/>
          <w:lang w:val="es-ES_tradnl"/>
        </w:rPr>
      </w:pPr>
      <w:r w:rsidRPr="00692461">
        <w:rPr>
          <w:rFonts w:ascii="Palatino Linotype" w:hAnsi="Palatino Linotype"/>
          <w:b/>
          <w:bCs/>
          <w:spacing w:val="60"/>
          <w:sz w:val="24"/>
          <w:szCs w:val="24"/>
          <w:lang w:val="es-ES_tradnl"/>
        </w:rPr>
        <w:t>SE    RESUELVE</w:t>
      </w:r>
    </w:p>
    <w:p w14:paraId="7E89EA77" w14:textId="77777777" w:rsidR="007B6867" w:rsidRPr="00692461" w:rsidRDefault="007B6867" w:rsidP="007B6867">
      <w:pPr>
        <w:spacing w:after="0" w:line="360" w:lineRule="auto"/>
        <w:jc w:val="both"/>
        <w:rPr>
          <w:rFonts w:ascii="Palatino Linotype" w:hAnsi="Palatino Linotype" w:cs="Arial"/>
          <w:sz w:val="24"/>
          <w:szCs w:val="24"/>
        </w:rPr>
      </w:pPr>
    </w:p>
    <w:p w14:paraId="0BF4D3C4" w14:textId="77777777" w:rsidR="007B6867" w:rsidRPr="00692461" w:rsidRDefault="007B6867" w:rsidP="007B686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lang w:val="es-ES_tradnl"/>
        </w:rPr>
        <w:t>PRIMERO.</w:t>
      </w:r>
      <w:r w:rsidRPr="00692461">
        <w:rPr>
          <w:rFonts w:ascii="Palatino Linotype" w:hAnsi="Palatino Linotype" w:cs="Arial"/>
          <w:sz w:val="24"/>
          <w:szCs w:val="24"/>
          <w:lang w:val="es-ES_tradnl"/>
        </w:rPr>
        <w:t xml:space="preserve"> </w:t>
      </w:r>
      <w:r w:rsidRPr="00692461">
        <w:rPr>
          <w:rFonts w:ascii="Palatino Linotype" w:eastAsia="Arial Unicode MS" w:hAnsi="Palatino Linotype" w:cs="Arial"/>
          <w:sz w:val="24"/>
          <w:szCs w:val="24"/>
        </w:rPr>
        <w:t>Se</w:t>
      </w:r>
      <w:r w:rsidRPr="00692461">
        <w:rPr>
          <w:rFonts w:ascii="Palatino Linotype" w:hAnsi="Palatino Linotype" w:cs="Arial"/>
          <w:sz w:val="24"/>
          <w:szCs w:val="24"/>
          <w:lang w:val="es-ES_tradnl"/>
        </w:rPr>
        <w:t xml:space="preserve"> </w:t>
      </w:r>
      <w:r w:rsidR="002F0173" w:rsidRPr="00692461">
        <w:rPr>
          <w:rFonts w:ascii="Palatino Linotype" w:hAnsi="Palatino Linotype" w:cs="Arial"/>
          <w:b/>
          <w:sz w:val="24"/>
          <w:szCs w:val="24"/>
          <w:lang w:val="es-ES_tradnl"/>
        </w:rPr>
        <w:t>REVOCA</w:t>
      </w:r>
      <w:r w:rsidRPr="00692461">
        <w:rPr>
          <w:rFonts w:ascii="Palatino Linotype" w:hAnsi="Palatino Linotype" w:cs="Arial"/>
          <w:sz w:val="24"/>
          <w:szCs w:val="24"/>
          <w:lang w:val="es-ES_tradnl"/>
        </w:rPr>
        <w:t xml:space="preserve"> </w:t>
      </w:r>
      <w:r w:rsidRPr="00692461">
        <w:rPr>
          <w:rFonts w:ascii="Palatino Linotype" w:eastAsia="Arial Unicode MS" w:hAnsi="Palatino Linotype" w:cs="Arial"/>
          <w:sz w:val="24"/>
          <w:szCs w:val="24"/>
        </w:rPr>
        <w:t>l</w:t>
      </w:r>
      <w:r w:rsidR="00954909">
        <w:rPr>
          <w:rFonts w:ascii="Palatino Linotype" w:eastAsia="Arial Unicode MS" w:hAnsi="Palatino Linotype" w:cs="Arial"/>
          <w:sz w:val="24"/>
          <w:szCs w:val="24"/>
          <w:lang w:val="es-419"/>
        </w:rPr>
        <w:t>a</w:t>
      </w:r>
      <w:r w:rsidRPr="00692461">
        <w:rPr>
          <w:rFonts w:ascii="Palatino Linotype" w:eastAsia="Arial Unicode MS" w:hAnsi="Palatino Linotype" w:cs="Arial"/>
          <w:sz w:val="24"/>
          <w:szCs w:val="24"/>
        </w:rPr>
        <w:t xml:space="preserve"> respuesta entregada por </w:t>
      </w:r>
      <w:r w:rsidRPr="00692461">
        <w:rPr>
          <w:rFonts w:ascii="Palatino Linotype" w:eastAsia="Arial Unicode MS" w:hAnsi="Palatino Linotype" w:cs="Arial"/>
          <w:b/>
          <w:sz w:val="24"/>
          <w:szCs w:val="24"/>
        </w:rPr>
        <w:t xml:space="preserve">el Sujeto Obligado </w:t>
      </w:r>
      <w:r w:rsidRPr="00692461">
        <w:rPr>
          <w:rFonts w:ascii="Palatino Linotype" w:eastAsia="Arial Unicode MS" w:hAnsi="Palatino Linotype" w:cs="Arial"/>
          <w:sz w:val="24"/>
          <w:szCs w:val="24"/>
        </w:rPr>
        <w:t>a la solicitud de información número</w:t>
      </w:r>
      <w:r w:rsidR="00C35DA7" w:rsidRPr="00692461">
        <w:rPr>
          <w:rFonts w:ascii="Palatino Linotype" w:eastAsia="Arial Unicode MS" w:hAnsi="Palatino Linotype" w:cs="Arial"/>
          <w:sz w:val="24"/>
          <w:szCs w:val="24"/>
        </w:rPr>
        <w:t xml:space="preserve"> </w:t>
      </w:r>
      <w:r w:rsidR="00102262">
        <w:rPr>
          <w:rFonts w:ascii="Palatino Linotype" w:hAnsi="Palatino Linotype" w:cs="Arial"/>
          <w:b/>
          <w:sz w:val="24"/>
          <w:szCs w:val="24"/>
        </w:rPr>
        <w:t>00072</w:t>
      </w:r>
      <w:r w:rsidR="00954909">
        <w:rPr>
          <w:rFonts w:ascii="Palatino Linotype" w:hAnsi="Palatino Linotype" w:cs="Arial"/>
          <w:b/>
          <w:sz w:val="24"/>
          <w:szCs w:val="24"/>
        </w:rPr>
        <w:t>/TENANCIN/IP/2022</w:t>
      </w:r>
      <w:r w:rsidRPr="00692461">
        <w:rPr>
          <w:rFonts w:ascii="Palatino Linotype" w:hAnsi="Palatino Linotype" w:cs="Arial"/>
          <w:sz w:val="24"/>
          <w:szCs w:val="24"/>
        </w:rPr>
        <w:t xml:space="preserve">, al resultar fundadas las razones o </w:t>
      </w:r>
      <w:r w:rsidRPr="00692461">
        <w:rPr>
          <w:rFonts w:ascii="Palatino Linotype" w:hAnsi="Palatino Linotype" w:cs="Arial"/>
          <w:sz w:val="24"/>
          <w:szCs w:val="24"/>
        </w:rPr>
        <w:lastRenderedPageBreak/>
        <w:t>motivos de inconformidad que manifestó l</w:t>
      </w:r>
      <w:r w:rsidR="007F65A4" w:rsidRPr="00692461">
        <w:rPr>
          <w:rFonts w:ascii="Palatino Linotype" w:hAnsi="Palatino Linotype" w:cs="Arial"/>
          <w:sz w:val="24"/>
          <w:szCs w:val="24"/>
        </w:rPr>
        <w:t>a</w:t>
      </w:r>
      <w:r w:rsidRPr="00692461">
        <w:rPr>
          <w:rFonts w:ascii="Palatino Linotype" w:hAnsi="Palatino Linotype" w:cs="Arial"/>
          <w:sz w:val="24"/>
          <w:szCs w:val="24"/>
        </w:rPr>
        <w:t xml:space="preserve"> recurrente, </w:t>
      </w:r>
      <w:r w:rsidRPr="00692461">
        <w:rPr>
          <w:rFonts w:ascii="Palatino Linotype" w:eastAsia="Arial Unicode MS" w:hAnsi="Palatino Linotype" w:cs="Arial"/>
          <w:sz w:val="24"/>
          <w:szCs w:val="24"/>
        </w:rPr>
        <w:t xml:space="preserve">en términos del </w:t>
      </w:r>
      <w:r w:rsidRPr="00692461">
        <w:rPr>
          <w:rFonts w:ascii="Palatino Linotype" w:hAnsi="Palatino Linotype" w:cs="Arial"/>
          <w:sz w:val="24"/>
          <w:szCs w:val="24"/>
        </w:rPr>
        <w:t xml:space="preserve">Considerando </w:t>
      </w:r>
      <w:r w:rsidR="00B05372">
        <w:rPr>
          <w:rFonts w:ascii="Palatino Linotype" w:hAnsi="Palatino Linotype" w:cs="Arial"/>
          <w:b/>
          <w:sz w:val="24"/>
          <w:szCs w:val="24"/>
          <w:lang w:val="es-419"/>
        </w:rPr>
        <w:t>QUINTO</w:t>
      </w:r>
      <w:r w:rsidRPr="00692461">
        <w:rPr>
          <w:rFonts w:ascii="Palatino Linotype" w:hAnsi="Palatino Linotype" w:cs="Arial"/>
          <w:sz w:val="24"/>
          <w:szCs w:val="24"/>
        </w:rPr>
        <w:t xml:space="preserve"> de la presente resolución.</w:t>
      </w:r>
    </w:p>
    <w:p w14:paraId="4A6CB57C" w14:textId="77777777" w:rsidR="007B6867" w:rsidRPr="00692461" w:rsidRDefault="007B6867" w:rsidP="007B6867">
      <w:pPr>
        <w:spacing w:after="0" w:line="360" w:lineRule="auto"/>
        <w:jc w:val="both"/>
        <w:rPr>
          <w:rFonts w:ascii="Palatino Linotype" w:hAnsi="Palatino Linotype" w:cs="Arial"/>
          <w:sz w:val="24"/>
          <w:szCs w:val="24"/>
        </w:rPr>
      </w:pPr>
    </w:p>
    <w:p w14:paraId="477B2120" w14:textId="77777777" w:rsidR="00337A3D" w:rsidRPr="00692461" w:rsidRDefault="007B6867" w:rsidP="007B6867">
      <w:pPr>
        <w:tabs>
          <w:tab w:val="left" w:pos="8647"/>
        </w:tabs>
        <w:spacing w:after="0" w:line="360" w:lineRule="auto"/>
        <w:ind w:right="51"/>
        <w:jc w:val="both"/>
        <w:rPr>
          <w:rFonts w:ascii="Palatino Linotype" w:hAnsi="Palatino Linotype" w:cs="Arial"/>
          <w:sz w:val="24"/>
          <w:szCs w:val="24"/>
        </w:rPr>
      </w:pPr>
      <w:r w:rsidRPr="00692461">
        <w:rPr>
          <w:rFonts w:ascii="Palatino Linotype" w:hAnsi="Palatino Linotype"/>
          <w:b/>
          <w:sz w:val="24"/>
          <w:szCs w:val="24"/>
        </w:rPr>
        <w:t>SEGUNDO.</w:t>
      </w:r>
      <w:r w:rsidRPr="00692461">
        <w:rPr>
          <w:rFonts w:ascii="Palatino Linotype" w:hAnsi="Palatino Linotype" w:cs="Arial"/>
          <w:sz w:val="24"/>
          <w:szCs w:val="24"/>
        </w:rPr>
        <w:t xml:space="preserve"> Se ordena al Sujeto Obligado, haga entrega a</w:t>
      </w:r>
      <w:r w:rsidR="007F65A4"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7F65A4" w:rsidRPr="00692461">
        <w:rPr>
          <w:rFonts w:ascii="Palatino Linotype" w:hAnsi="Palatino Linotype" w:cs="Arial"/>
          <w:sz w:val="24"/>
          <w:szCs w:val="24"/>
        </w:rPr>
        <w:t>a</w:t>
      </w:r>
      <w:r w:rsidRPr="00692461">
        <w:rPr>
          <w:rFonts w:ascii="Palatino Linotype" w:hAnsi="Palatino Linotype" w:cs="Arial"/>
          <w:sz w:val="24"/>
          <w:szCs w:val="24"/>
        </w:rPr>
        <w:t xml:space="preserve"> recurrente en términos del Considerando </w:t>
      </w:r>
      <w:r w:rsidR="00B05372">
        <w:rPr>
          <w:rFonts w:ascii="Palatino Linotype" w:hAnsi="Palatino Linotype" w:cs="Arial"/>
          <w:b/>
          <w:sz w:val="24"/>
          <w:szCs w:val="24"/>
          <w:lang w:val="es-419"/>
        </w:rPr>
        <w:t>QUINTO</w:t>
      </w:r>
      <w:r w:rsidRPr="00692461">
        <w:rPr>
          <w:rFonts w:ascii="Palatino Linotype" w:hAnsi="Palatino Linotype" w:cs="Arial"/>
          <w:sz w:val="24"/>
          <w:szCs w:val="24"/>
        </w:rPr>
        <w:t xml:space="preserve"> de la presente resolución, a través del </w:t>
      </w:r>
      <w:r w:rsidR="00753DCA" w:rsidRPr="00692461">
        <w:rPr>
          <w:rFonts w:ascii="Palatino Linotype" w:hAnsi="Palatino Linotype" w:cs="Arial"/>
          <w:sz w:val="24"/>
          <w:szCs w:val="24"/>
        </w:rPr>
        <w:t xml:space="preserve">Sistema de Acceso a la Información Mexiquense </w:t>
      </w:r>
      <w:r w:rsidR="00753DCA" w:rsidRPr="00692461">
        <w:rPr>
          <w:rFonts w:ascii="Palatino Linotype" w:hAnsi="Palatino Linotype" w:cs="Arial"/>
          <w:b/>
          <w:sz w:val="24"/>
          <w:szCs w:val="24"/>
        </w:rPr>
        <w:t>(</w:t>
      </w:r>
      <w:r w:rsidRPr="00692461">
        <w:rPr>
          <w:rFonts w:ascii="Palatino Linotype" w:hAnsi="Palatino Linotype" w:cs="Arial"/>
          <w:b/>
          <w:sz w:val="24"/>
          <w:szCs w:val="24"/>
        </w:rPr>
        <w:t>SAIMEX</w:t>
      </w:r>
      <w:r w:rsidR="00753DCA" w:rsidRPr="00692461">
        <w:rPr>
          <w:rFonts w:ascii="Palatino Linotype" w:hAnsi="Palatino Linotype" w:cs="Arial"/>
          <w:b/>
          <w:sz w:val="24"/>
          <w:szCs w:val="24"/>
        </w:rPr>
        <w:t>)</w:t>
      </w:r>
      <w:r w:rsidRPr="00692461">
        <w:rPr>
          <w:rFonts w:ascii="Palatino Linotype" w:hAnsi="Palatino Linotype" w:cs="Arial"/>
          <w:sz w:val="24"/>
          <w:szCs w:val="24"/>
        </w:rPr>
        <w:t xml:space="preserve">, </w:t>
      </w:r>
      <w:r w:rsidR="00C67932">
        <w:rPr>
          <w:rFonts w:ascii="Palatino Linotype" w:hAnsi="Palatino Linotype" w:cs="Arial"/>
          <w:sz w:val="24"/>
          <w:szCs w:val="24"/>
        </w:rPr>
        <w:t xml:space="preserve">de ser procedente en versión pública, </w:t>
      </w:r>
      <w:r w:rsidRPr="00692461">
        <w:rPr>
          <w:rFonts w:ascii="Palatino Linotype" w:hAnsi="Palatino Linotype" w:cs="Arial"/>
          <w:sz w:val="24"/>
          <w:szCs w:val="24"/>
        </w:rPr>
        <w:t>de lo siguiente:</w:t>
      </w:r>
    </w:p>
    <w:p w14:paraId="59B2A29D" w14:textId="77777777" w:rsidR="00426F16" w:rsidRPr="00954909" w:rsidRDefault="00426F16" w:rsidP="00954909">
      <w:pPr>
        <w:pStyle w:val="Prrafodelista"/>
        <w:tabs>
          <w:tab w:val="left" w:pos="8647"/>
        </w:tabs>
        <w:autoSpaceDE w:val="0"/>
        <w:autoSpaceDN w:val="0"/>
        <w:adjustRightInd w:val="0"/>
        <w:spacing w:line="360" w:lineRule="auto"/>
        <w:ind w:left="284" w:right="51"/>
        <w:jc w:val="both"/>
        <w:rPr>
          <w:rFonts w:ascii="Palatino Linotype" w:hAnsi="Palatino Linotype"/>
          <w:color w:val="000000"/>
          <w:lang w:val="es-419"/>
        </w:rPr>
      </w:pPr>
    </w:p>
    <w:p w14:paraId="351540A5" w14:textId="77777777" w:rsidR="00954909" w:rsidRPr="00C67932" w:rsidRDefault="00102262" w:rsidP="00102262">
      <w:pPr>
        <w:pStyle w:val="Prrafodelista"/>
        <w:numPr>
          <w:ilvl w:val="0"/>
          <w:numId w:val="23"/>
        </w:numPr>
        <w:tabs>
          <w:tab w:val="left" w:pos="8647"/>
        </w:tabs>
        <w:autoSpaceDE w:val="0"/>
        <w:autoSpaceDN w:val="0"/>
        <w:adjustRightInd w:val="0"/>
        <w:spacing w:line="360" w:lineRule="auto"/>
        <w:ind w:right="51"/>
        <w:jc w:val="both"/>
        <w:rPr>
          <w:rFonts w:ascii="Palatino Linotype" w:hAnsi="Palatino Linotype"/>
          <w:color w:val="000000"/>
          <w:lang w:val="es-419"/>
        </w:rPr>
      </w:pPr>
      <w:r w:rsidRPr="00102262">
        <w:rPr>
          <w:rFonts w:ascii="Palatino Linotype" w:hAnsi="Palatino Linotype" w:cs="Arial"/>
          <w:lang w:val="es-419"/>
        </w:rPr>
        <w:t>El documento o documentos donde consten los nombre</w:t>
      </w:r>
      <w:r>
        <w:rPr>
          <w:rFonts w:ascii="Palatino Linotype" w:hAnsi="Palatino Linotype" w:cs="Arial"/>
          <w:lang w:val="es-419"/>
        </w:rPr>
        <w:t>s</w:t>
      </w:r>
      <w:r w:rsidRPr="00102262">
        <w:rPr>
          <w:rFonts w:ascii="Palatino Linotype" w:hAnsi="Palatino Linotype" w:cs="Arial"/>
          <w:lang w:val="es-419"/>
        </w:rPr>
        <w:t xml:space="preserve"> de todos los trabajadores que causaron alta en la primera quincena de enero del año dos mil veintidós y el documento donde conste su área de trabajo.</w:t>
      </w:r>
    </w:p>
    <w:p w14:paraId="0B5DCB18" w14:textId="77777777" w:rsidR="00C67932" w:rsidRDefault="00C67932" w:rsidP="00C67932">
      <w:pPr>
        <w:pStyle w:val="Prrafodelista"/>
        <w:tabs>
          <w:tab w:val="left" w:pos="8647"/>
        </w:tabs>
        <w:autoSpaceDE w:val="0"/>
        <w:autoSpaceDN w:val="0"/>
        <w:adjustRightInd w:val="0"/>
        <w:spacing w:line="360" w:lineRule="auto"/>
        <w:ind w:left="644" w:right="51"/>
        <w:jc w:val="both"/>
        <w:rPr>
          <w:rFonts w:ascii="Palatino Linotype" w:hAnsi="Palatino Linotype" w:cs="Arial"/>
          <w:lang w:val="es-419"/>
        </w:rPr>
      </w:pPr>
    </w:p>
    <w:p w14:paraId="28450055" w14:textId="77777777" w:rsidR="00C67932" w:rsidRPr="00155053" w:rsidRDefault="00C67932" w:rsidP="00C67932">
      <w:pPr>
        <w:pStyle w:val="Prrafodelista"/>
        <w:tabs>
          <w:tab w:val="left" w:pos="8647"/>
        </w:tabs>
        <w:autoSpaceDE w:val="0"/>
        <w:autoSpaceDN w:val="0"/>
        <w:adjustRightInd w:val="0"/>
        <w:spacing w:line="360" w:lineRule="auto"/>
        <w:ind w:left="709" w:right="51"/>
        <w:jc w:val="both"/>
        <w:rPr>
          <w:rFonts w:ascii="Palatino Linotype" w:hAnsi="Palatino Linotype"/>
          <w:color w:val="000000"/>
          <w:lang w:val="es-419"/>
        </w:rPr>
      </w:pPr>
      <w:r w:rsidRPr="00155053">
        <w:rPr>
          <w:rFonts w:ascii="Palatino Linotype" w:eastAsia="Calibri" w:hAnsi="Palatino Linotype" w:cs="Tahoma"/>
          <w:iCs/>
          <w:lang w:eastAsia="es-ES_tradnl"/>
        </w:rPr>
        <w:t>Junto con la documentación se deberá entregar el Acuerdo del Comité de Transparencia mediante el cual se funde y motive la eliminación de los datos y documentos confidenciales, en términos de los artículos 49, fracciones II y VII, 143, fracción I y 149, de la Ley de Transparencia y Acceso a la Información Pública del Estado de México y Municipios.</w:t>
      </w:r>
    </w:p>
    <w:p w14:paraId="7A2A8196" w14:textId="77777777" w:rsidR="00C67932" w:rsidRPr="00102262" w:rsidRDefault="00C67932" w:rsidP="00C67932">
      <w:pPr>
        <w:pStyle w:val="Prrafodelista"/>
        <w:tabs>
          <w:tab w:val="left" w:pos="8647"/>
        </w:tabs>
        <w:autoSpaceDE w:val="0"/>
        <w:autoSpaceDN w:val="0"/>
        <w:adjustRightInd w:val="0"/>
        <w:spacing w:line="360" w:lineRule="auto"/>
        <w:ind w:left="644" w:right="51"/>
        <w:jc w:val="both"/>
        <w:rPr>
          <w:rFonts w:ascii="Palatino Linotype" w:hAnsi="Palatino Linotype"/>
          <w:color w:val="000000"/>
          <w:lang w:val="es-419"/>
        </w:rPr>
      </w:pPr>
    </w:p>
    <w:p w14:paraId="4BBA46FC" w14:textId="77777777" w:rsidR="00102262" w:rsidRPr="00954909" w:rsidRDefault="00102262" w:rsidP="00102262">
      <w:pPr>
        <w:pStyle w:val="Prrafodelista"/>
        <w:tabs>
          <w:tab w:val="left" w:pos="8647"/>
        </w:tabs>
        <w:autoSpaceDE w:val="0"/>
        <w:autoSpaceDN w:val="0"/>
        <w:adjustRightInd w:val="0"/>
        <w:spacing w:line="360" w:lineRule="auto"/>
        <w:ind w:left="644" w:right="51"/>
        <w:jc w:val="both"/>
        <w:rPr>
          <w:rFonts w:ascii="Palatino Linotype" w:hAnsi="Palatino Linotype"/>
          <w:color w:val="000000"/>
          <w:lang w:val="es-419"/>
        </w:rPr>
      </w:pPr>
    </w:p>
    <w:p w14:paraId="4442162D" w14:textId="77777777" w:rsidR="00337A3D" w:rsidRPr="00692461" w:rsidRDefault="00337A3D" w:rsidP="00337A3D">
      <w:pPr>
        <w:tabs>
          <w:tab w:val="left" w:pos="8647"/>
        </w:tabs>
        <w:spacing w:after="0" w:line="360" w:lineRule="auto"/>
        <w:ind w:right="51"/>
        <w:jc w:val="both"/>
        <w:rPr>
          <w:rFonts w:ascii="Palatino Linotype" w:hAnsi="Palatino Linotype" w:cs="Arial"/>
          <w:sz w:val="24"/>
          <w:szCs w:val="24"/>
        </w:rPr>
      </w:pPr>
      <w:r w:rsidRPr="00692461">
        <w:rPr>
          <w:rFonts w:ascii="Palatino Linotype" w:hAnsi="Palatino Linotype" w:cs="Arial"/>
          <w:b/>
          <w:sz w:val="28"/>
          <w:szCs w:val="24"/>
        </w:rPr>
        <w:t>TERCERO</w:t>
      </w:r>
      <w:r w:rsidRPr="00692461">
        <w:rPr>
          <w:rFonts w:ascii="Palatino Linotype" w:hAnsi="Palatino Linotype" w:cs="Arial"/>
          <w:b/>
          <w:sz w:val="24"/>
          <w:szCs w:val="24"/>
        </w:rPr>
        <w:t>.</w:t>
      </w:r>
      <w:r w:rsidRPr="00692461">
        <w:rPr>
          <w:rFonts w:ascii="Palatino Linotype" w:hAnsi="Palatino Linotype" w:cs="Arial"/>
          <w:sz w:val="24"/>
          <w:szCs w:val="24"/>
        </w:rPr>
        <w:t xml:space="preserve"> </w:t>
      </w:r>
      <w:r w:rsidRPr="00692461">
        <w:rPr>
          <w:rFonts w:ascii="Palatino Linotype" w:hAnsi="Palatino Linotype" w:cs="Arial"/>
          <w:b/>
          <w:sz w:val="24"/>
          <w:szCs w:val="24"/>
        </w:rPr>
        <w:t>Notifíquese</w:t>
      </w:r>
      <w:r w:rsidRPr="00692461">
        <w:rPr>
          <w:rFonts w:ascii="Palatino Linotype" w:hAnsi="Palatino Linotype" w:cs="Arial"/>
          <w:b/>
          <w:i/>
          <w:sz w:val="24"/>
          <w:szCs w:val="24"/>
        </w:rPr>
        <w:t xml:space="preserve"> </w:t>
      </w:r>
      <w:r w:rsidRPr="00692461">
        <w:rPr>
          <w:rFonts w:ascii="Palatino Linotype" w:hAnsi="Palatino Linotype" w:cs="Arial"/>
          <w:sz w:val="24"/>
          <w:szCs w:val="24"/>
        </w:rPr>
        <w:t>al Titular de la Unidad de Transparencia del</w:t>
      </w:r>
      <w:r w:rsidRPr="00692461">
        <w:rPr>
          <w:rFonts w:ascii="Palatino Linotype" w:hAnsi="Palatino Linotype" w:cs="Arial"/>
          <w:b/>
          <w:sz w:val="24"/>
          <w:szCs w:val="24"/>
        </w:rPr>
        <w:t xml:space="preserve"> Sujeto Obligado</w:t>
      </w:r>
      <w:r w:rsidRPr="00692461">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proofErr w:type="gramStart"/>
      <w:r w:rsidRPr="00692461">
        <w:rPr>
          <w:rFonts w:ascii="Palatino Linotype" w:hAnsi="Palatino Linotype" w:cs="Arial"/>
          <w:sz w:val="24"/>
          <w:szCs w:val="24"/>
        </w:rPr>
        <w:t>Municipios,</w:t>
      </w:r>
      <w:proofErr w:type="gramEnd"/>
      <w:r w:rsidRPr="00692461">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36599404" w14:textId="77777777" w:rsidR="00081381" w:rsidRPr="00692461" w:rsidRDefault="00081381" w:rsidP="00337A3D">
      <w:pPr>
        <w:tabs>
          <w:tab w:val="left" w:pos="8647"/>
        </w:tabs>
        <w:spacing w:after="0" w:line="360" w:lineRule="auto"/>
        <w:ind w:right="51"/>
        <w:jc w:val="both"/>
        <w:rPr>
          <w:rFonts w:ascii="Palatino Linotype" w:hAnsi="Palatino Linotype" w:cs="Arial"/>
          <w:sz w:val="24"/>
          <w:szCs w:val="24"/>
        </w:rPr>
      </w:pPr>
    </w:p>
    <w:p w14:paraId="259024DD" w14:textId="77777777" w:rsidR="00337A3D" w:rsidRPr="00692461" w:rsidRDefault="00337A3D" w:rsidP="00337A3D">
      <w:pPr>
        <w:spacing w:after="0" w:line="360" w:lineRule="auto"/>
        <w:jc w:val="both"/>
        <w:rPr>
          <w:rFonts w:ascii="Palatino Linotype" w:eastAsia="Calibri" w:hAnsi="Palatino Linotype" w:cs="Times New Roman"/>
          <w:sz w:val="24"/>
          <w:szCs w:val="24"/>
          <w:lang w:eastAsia="es-ES_tradnl"/>
        </w:rPr>
      </w:pPr>
      <w:r w:rsidRPr="00692461">
        <w:rPr>
          <w:rFonts w:ascii="Palatino Linotype" w:eastAsia="Times New Roman" w:hAnsi="Palatino Linotype" w:cs="Arial"/>
          <w:b/>
          <w:sz w:val="28"/>
          <w:szCs w:val="24"/>
          <w:lang w:val="es-ES" w:eastAsia="es-ES"/>
        </w:rPr>
        <w:t>CUARTO</w:t>
      </w:r>
      <w:r w:rsidRPr="00692461">
        <w:rPr>
          <w:rFonts w:ascii="Palatino Linotype" w:eastAsia="Times New Roman" w:hAnsi="Palatino Linotype" w:cs="Arial"/>
          <w:b/>
          <w:sz w:val="24"/>
          <w:szCs w:val="24"/>
          <w:lang w:val="es-ES" w:eastAsia="es-ES"/>
        </w:rPr>
        <w:t xml:space="preserve">. </w:t>
      </w:r>
      <w:r w:rsidR="004A0624" w:rsidRPr="0069246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692461">
        <w:rPr>
          <w:rFonts w:ascii="Palatino Linotype" w:eastAsia="Calibri" w:hAnsi="Palatino Linotype" w:cs="Times New Roman"/>
          <w:sz w:val="24"/>
          <w:szCs w:val="24"/>
          <w:lang w:eastAsia="es-ES_tradnl"/>
        </w:rPr>
        <w:t>.</w:t>
      </w:r>
    </w:p>
    <w:p w14:paraId="25E2E9BC"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D2D94A9"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hAnsi="Palatino Linotype"/>
          <w:b/>
          <w:sz w:val="28"/>
          <w:szCs w:val="28"/>
        </w:rPr>
        <w:t>QUINTO</w:t>
      </w:r>
      <w:r w:rsidRPr="00692461">
        <w:rPr>
          <w:rFonts w:ascii="Palatino Linotype" w:hAnsi="Palatino Linotype"/>
          <w:b/>
          <w:sz w:val="24"/>
          <w:szCs w:val="24"/>
        </w:rPr>
        <w:t xml:space="preserve">. </w:t>
      </w:r>
      <w:r w:rsidRPr="00692461">
        <w:rPr>
          <w:rFonts w:ascii="Palatino Linotype" w:eastAsia="Times New Roman" w:hAnsi="Palatino Linotype" w:cs="Arial"/>
          <w:b/>
          <w:sz w:val="24"/>
          <w:szCs w:val="24"/>
          <w:lang w:val="es-ES" w:eastAsia="es-ES"/>
        </w:rPr>
        <w:t>Notifíquese</w:t>
      </w:r>
      <w:r w:rsidRPr="00692461">
        <w:rPr>
          <w:rFonts w:ascii="Palatino Linotype" w:eastAsia="Times New Roman" w:hAnsi="Palatino Linotype" w:cs="Arial"/>
          <w:sz w:val="24"/>
          <w:szCs w:val="24"/>
          <w:lang w:val="es-ES" w:eastAsia="es-ES"/>
        </w:rPr>
        <w:t xml:space="preserve"> </w:t>
      </w:r>
      <w:r w:rsidRPr="00692461">
        <w:rPr>
          <w:rFonts w:ascii="Palatino Linotype" w:eastAsia="Times New Roman" w:hAnsi="Palatino Linotype" w:cs="Arial"/>
          <w:b/>
          <w:sz w:val="24"/>
          <w:szCs w:val="24"/>
          <w:lang w:val="es-ES" w:eastAsia="es-ES"/>
        </w:rPr>
        <w:t>a</w:t>
      </w:r>
      <w:r w:rsidR="00702210" w:rsidRPr="00692461">
        <w:rPr>
          <w:rFonts w:ascii="Palatino Linotype" w:eastAsia="Times New Roman" w:hAnsi="Palatino Linotype" w:cs="Arial"/>
          <w:b/>
          <w:sz w:val="24"/>
          <w:szCs w:val="24"/>
          <w:lang w:val="es-ES" w:eastAsia="es-ES"/>
        </w:rPr>
        <w:t xml:space="preserve"> </w:t>
      </w:r>
      <w:r w:rsidRPr="00692461">
        <w:rPr>
          <w:rFonts w:ascii="Palatino Linotype" w:eastAsia="Times New Roman" w:hAnsi="Palatino Linotype" w:cs="Arial"/>
          <w:b/>
          <w:sz w:val="24"/>
          <w:szCs w:val="24"/>
          <w:lang w:val="es-ES" w:eastAsia="es-ES"/>
        </w:rPr>
        <w:t>l</w:t>
      </w:r>
      <w:r w:rsidR="00702210" w:rsidRPr="00692461">
        <w:rPr>
          <w:rFonts w:ascii="Palatino Linotype" w:eastAsia="Times New Roman" w:hAnsi="Palatino Linotype" w:cs="Arial"/>
          <w:b/>
          <w:sz w:val="24"/>
          <w:szCs w:val="24"/>
          <w:lang w:val="es-ES" w:eastAsia="es-ES"/>
        </w:rPr>
        <w:t>a</w:t>
      </w:r>
      <w:r w:rsidRPr="00692461">
        <w:rPr>
          <w:rFonts w:ascii="Palatino Linotype" w:eastAsia="Times New Roman" w:hAnsi="Palatino Linotype" w:cs="Arial"/>
          <w:b/>
          <w:sz w:val="24"/>
          <w:szCs w:val="24"/>
          <w:lang w:val="es-ES" w:eastAsia="es-ES"/>
        </w:rPr>
        <w:t xml:space="preserve"> Recurrente</w:t>
      </w:r>
      <w:r w:rsidRPr="00692461">
        <w:rPr>
          <w:rFonts w:ascii="Palatino Linotype" w:eastAsia="Times New Roman" w:hAnsi="Palatino Linotype" w:cs="Arial"/>
          <w:sz w:val="24"/>
          <w:szCs w:val="24"/>
          <w:lang w:val="es-ES" w:eastAsia="es-ES"/>
        </w:rPr>
        <w:t xml:space="preserve"> la presente resolución</w:t>
      </w:r>
      <w:r w:rsidR="00EE6BFA" w:rsidRPr="00692461">
        <w:rPr>
          <w:rFonts w:ascii="Palatino Linotype" w:eastAsia="Times New Roman" w:hAnsi="Palatino Linotype" w:cs="Arial"/>
          <w:sz w:val="24"/>
          <w:szCs w:val="24"/>
          <w:lang w:val="es-ES" w:eastAsia="es-ES"/>
        </w:rPr>
        <w:t xml:space="preserve"> a través del </w:t>
      </w:r>
      <w:r w:rsidR="00EE6BFA" w:rsidRPr="00692461">
        <w:rPr>
          <w:rFonts w:ascii="Palatino Linotype" w:hAnsi="Palatino Linotype" w:cs="Arial"/>
          <w:sz w:val="24"/>
          <w:szCs w:val="24"/>
        </w:rPr>
        <w:t xml:space="preserve">Sistema de Acceso a la Información Mexiquense </w:t>
      </w:r>
      <w:r w:rsidR="00EE6BFA" w:rsidRPr="00692461">
        <w:rPr>
          <w:rFonts w:ascii="Palatino Linotype" w:hAnsi="Palatino Linotype" w:cs="Arial"/>
          <w:b/>
          <w:sz w:val="24"/>
          <w:szCs w:val="24"/>
        </w:rPr>
        <w:t>(SAIMEX)</w:t>
      </w:r>
      <w:r w:rsidRPr="00692461">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692461">
        <w:rPr>
          <w:rFonts w:ascii="Palatino Linotype" w:eastAsia="Times New Roman" w:hAnsi="Palatino Linotype" w:cs="Arial"/>
          <w:sz w:val="24"/>
          <w:szCs w:val="24"/>
          <w:lang w:val="es-ES" w:eastAsia="es-ES"/>
        </w:rPr>
        <w:t>con</w:t>
      </w:r>
      <w:r w:rsidRPr="00692461">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28ACD630" w14:textId="77777777" w:rsidR="00337A3D" w:rsidRPr="00692461" w:rsidRDefault="00337A3D" w:rsidP="00337A3D">
      <w:pPr>
        <w:spacing w:after="0" w:line="360" w:lineRule="auto"/>
        <w:jc w:val="both"/>
        <w:rPr>
          <w:rFonts w:ascii="Palatino Linotype" w:hAnsi="Palatino Linotype"/>
          <w:sz w:val="24"/>
          <w:szCs w:val="24"/>
          <w:lang w:eastAsia="es-ES_tradnl"/>
        </w:rPr>
      </w:pPr>
    </w:p>
    <w:p w14:paraId="09A1AB29" w14:textId="77777777"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ASÍ LO RESUELVE, POR UNANIMIDAD DE VOTOS EL PLENO DEL</w:t>
      </w:r>
      <w:r w:rsidRPr="006924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92461">
        <w:rPr>
          <w:rFonts w:ascii="Palatino Linotype" w:hAnsi="Palatino Linotype" w:cs="Arial"/>
          <w:sz w:val="24"/>
          <w:szCs w:val="24"/>
        </w:rPr>
        <w:t>, CONFORMADO POR LOS COMISIONADOS JOSÉ MARTÍNEZ VILCHIS, MARÍA DEL ROSARIO MEJÍA AYALA, SHARON CRISTINA MORALES MARTÍNEZ</w:t>
      </w:r>
      <w:r w:rsidR="00FC21BB">
        <w:rPr>
          <w:rFonts w:ascii="Palatino Linotype" w:hAnsi="Palatino Linotype" w:cs="Arial"/>
          <w:sz w:val="24"/>
          <w:szCs w:val="24"/>
        </w:rPr>
        <w:t xml:space="preserve"> (EMITIENDO VOTO EN CONTRA CON VOTO DISIDENTE)</w:t>
      </w:r>
      <w:r w:rsidRPr="00692461">
        <w:rPr>
          <w:rFonts w:ascii="Palatino Linotype" w:hAnsi="Palatino Linotype" w:cs="Arial"/>
          <w:sz w:val="24"/>
          <w:szCs w:val="24"/>
        </w:rPr>
        <w:t xml:space="preserve">, LUIS GUSTAVO PARRA NORIEGA Y GUADALUPE RAMÍREZ PEÑA, EN LA </w:t>
      </w:r>
      <w:r w:rsidR="002442B2" w:rsidRPr="00692461">
        <w:rPr>
          <w:rFonts w:ascii="Palatino Linotype" w:hAnsi="Palatino Linotype" w:cs="Arial"/>
          <w:sz w:val="24"/>
          <w:szCs w:val="24"/>
        </w:rPr>
        <w:t xml:space="preserve">DÉCIMA </w:t>
      </w:r>
      <w:r w:rsidR="00B05372">
        <w:rPr>
          <w:rFonts w:ascii="Palatino Linotype" w:hAnsi="Palatino Linotype" w:cs="Arial"/>
          <w:sz w:val="24"/>
          <w:szCs w:val="24"/>
          <w:lang w:val="es-419"/>
        </w:rPr>
        <w:t xml:space="preserve">OCTAVA </w:t>
      </w:r>
      <w:r w:rsidRPr="00692461">
        <w:rPr>
          <w:rFonts w:ascii="Palatino Linotype" w:hAnsi="Palatino Linotype" w:cs="Arial"/>
          <w:sz w:val="24"/>
          <w:szCs w:val="24"/>
        </w:rPr>
        <w:t xml:space="preserve">SESIÓN ORDINARIA CELEBRADA EL </w:t>
      </w:r>
      <w:r w:rsidR="00B05372">
        <w:rPr>
          <w:rFonts w:ascii="Palatino Linotype" w:hAnsi="Palatino Linotype" w:cs="Arial"/>
          <w:sz w:val="24"/>
          <w:szCs w:val="24"/>
          <w:lang w:val="es-419"/>
        </w:rPr>
        <w:t>DIECIOCHO</w:t>
      </w:r>
      <w:r w:rsidR="002442B2" w:rsidRPr="00692461">
        <w:rPr>
          <w:rFonts w:ascii="Palatino Linotype" w:hAnsi="Palatino Linotype" w:cs="Arial"/>
          <w:sz w:val="24"/>
          <w:szCs w:val="24"/>
        </w:rPr>
        <w:t xml:space="preserve"> </w:t>
      </w:r>
      <w:r w:rsidR="00081381" w:rsidRPr="00692461">
        <w:rPr>
          <w:rFonts w:ascii="Palatino Linotype" w:hAnsi="Palatino Linotype" w:cs="Arial"/>
          <w:sz w:val="24"/>
          <w:szCs w:val="24"/>
        </w:rPr>
        <w:t xml:space="preserve">DE </w:t>
      </w:r>
      <w:r w:rsidR="00B05372">
        <w:rPr>
          <w:rFonts w:ascii="Palatino Linotype" w:hAnsi="Palatino Linotype" w:cs="Arial"/>
          <w:sz w:val="24"/>
          <w:szCs w:val="24"/>
          <w:lang w:val="es-419"/>
        </w:rPr>
        <w:t>MAYO</w:t>
      </w:r>
      <w:r w:rsidR="00081381" w:rsidRPr="00692461">
        <w:rPr>
          <w:rFonts w:ascii="Palatino Linotype" w:hAnsi="Palatino Linotype" w:cs="Arial"/>
          <w:sz w:val="24"/>
          <w:szCs w:val="24"/>
        </w:rPr>
        <w:t xml:space="preserve"> </w:t>
      </w:r>
      <w:r w:rsidRPr="00692461">
        <w:rPr>
          <w:rFonts w:ascii="Palatino Linotype" w:hAnsi="Palatino Linotype" w:cs="Arial"/>
          <w:sz w:val="24"/>
          <w:szCs w:val="24"/>
        </w:rPr>
        <w:t>DE DOS MIL VEINTI</w:t>
      </w:r>
      <w:r w:rsidR="001E3B5B" w:rsidRPr="00692461">
        <w:rPr>
          <w:rFonts w:ascii="Palatino Linotype" w:hAnsi="Palatino Linotype" w:cs="Arial"/>
          <w:sz w:val="24"/>
          <w:szCs w:val="24"/>
        </w:rPr>
        <w:t>DÓS</w:t>
      </w:r>
      <w:r w:rsidRPr="00692461">
        <w:rPr>
          <w:rFonts w:ascii="Palatino Linotype" w:hAnsi="Palatino Linotype" w:cs="Arial"/>
          <w:sz w:val="24"/>
          <w:szCs w:val="24"/>
        </w:rPr>
        <w:t xml:space="preserve">, ANTE EL ANTE EL SECRETARIO TÉCNICO DEL PLENO, ALEXIS TAPIA RAMÍREZ. </w:t>
      </w:r>
      <w:r w:rsidR="00F714D3" w:rsidRPr="00692461">
        <w:rPr>
          <w:rFonts w:ascii="Palatino Linotype" w:hAnsi="Palatino Linotype" w:cs="Arial"/>
          <w:sz w:val="24"/>
          <w:szCs w:val="24"/>
        </w:rPr>
        <w:t>--------------------</w:t>
      </w:r>
      <w:r w:rsidRPr="00692461">
        <w:rPr>
          <w:rFonts w:ascii="Palatino Linotype" w:hAnsi="Palatino Linotype" w:cs="Arial"/>
          <w:sz w:val="24"/>
          <w:szCs w:val="24"/>
        </w:rPr>
        <w:t>-----------</w:t>
      </w:r>
      <w:r w:rsidR="00EC5B14" w:rsidRPr="00692461">
        <w:rPr>
          <w:rFonts w:ascii="Palatino Linotype" w:hAnsi="Palatino Linotype" w:cs="Arial"/>
          <w:sz w:val="24"/>
          <w:szCs w:val="24"/>
        </w:rPr>
        <w:t>--</w:t>
      </w:r>
      <w:r w:rsidR="00F82E74" w:rsidRPr="00692461">
        <w:rPr>
          <w:rFonts w:ascii="Palatino Linotype" w:hAnsi="Palatino Linotype" w:cs="Arial"/>
          <w:sz w:val="24"/>
          <w:szCs w:val="24"/>
        </w:rPr>
        <w:t>-----------------------------------</w:t>
      </w:r>
      <w:r w:rsidR="00EC5B14" w:rsidRPr="00692461">
        <w:rPr>
          <w:rFonts w:ascii="Palatino Linotype" w:hAnsi="Palatino Linotype" w:cs="Arial"/>
          <w:sz w:val="24"/>
          <w:szCs w:val="24"/>
        </w:rPr>
        <w:t>----------</w:t>
      </w:r>
      <w:r w:rsidR="003D0012" w:rsidRPr="00692461">
        <w:rPr>
          <w:rFonts w:ascii="Palatino Linotype" w:hAnsi="Palatino Linotype" w:cs="Arial"/>
          <w:sz w:val="24"/>
          <w:szCs w:val="24"/>
        </w:rPr>
        <w:t>-----------</w:t>
      </w:r>
      <w:r w:rsidR="00FC21BB">
        <w:rPr>
          <w:rFonts w:ascii="Palatino Linotype" w:hAnsi="Palatino Linotype" w:cs="Arial"/>
          <w:sz w:val="24"/>
          <w:szCs w:val="24"/>
        </w:rPr>
        <w:t>-----------------------------------------------</w:t>
      </w:r>
    </w:p>
    <w:p w14:paraId="1A2FEE75" w14:textId="77777777" w:rsidR="001F1998" w:rsidRPr="00692461" w:rsidRDefault="001F1998" w:rsidP="00FC21BB">
      <w:pPr>
        <w:spacing w:after="0" w:line="360" w:lineRule="auto"/>
        <w:jc w:val="both"/>
        <w:rPr>
          <w:rFonts w:ascii="Palatino Linotype" w:hAnsi="Palatino Linotype" w:cs="Arial"/>
          <w:sz w:val="20"/>
        </w:rPr>
      </w:pPr>
      <w:r w:rsidRPr="00692461">
        <w:rPr>
          <w:rFonts w:ascii="Palatino Linotype" w:hAnsi="Palatino Linotype" w:cs="Arial"/>
          <w:sz w:val="24"/>
          <w:szCs w:val="24"/>
        </w:rPr>
        <w:t>---------------------------------------------------------------------------------------</w:t>
      </w:r>
      <w:r w:rsidR="00FC21BB">
        <w:rPr>
          <w:rFonts w:ascii="Palatino Linotype" w:hAnsi="Palatino Linotype" w:cs="Arial"/>
          <w:sz w:val="24"/>
          <w:szCs w:val="24"/>
        </w:rPr>
        <w:t>----------------------------</w:t>
      </w:r>
    </w:p>
    <w:p w14:paraId="3BDBB893" w14:textId="77777777" w:rsidR="00337A3D" w:rsidRDefault="00E56783" w:rsidP="00337A3D">
      <w:pPr>
        <w:spacing w:after="0" w:line="360" w:lineRule="auto"/>
        <w:jc w:val="both"/>
        <w:rPr>
          <w:rFonts w:ascii="Palatino Linotype" w:hAnsi="Palatino Linotype" w:cs="Arial"/>
          <w:sz w:val="20"/>
        </w:rPr>
      </w:pPr>
      <w:r w:rsidRPr="00692461">
        <w:rPr>
          <w:rFonts w:ascii="Palatino Linotype" w:hAnsi="Palatino Linotype" w:cs="Arial"/>
          <w:sz w:val="20"/>
        </w:rPr>
        <w:t>JMV/</w:t>
      </w:r>
      <w:r w:rsidR="00337A3D" w:rsidRPr="00692461">
        <w:rPr>
          <w:rFonts w:ascii="Palatino Linotype" w:hAnsi="Palatino Linotype" w:cs="Arial"/>
          <w:sz w:val="20"/>
        </w:rPr>
        <w:t>CCR/</w:t>
      </w:r>
      <w:r w:rsidR="00B32C1A" w:rsidRPr="00692461">
        <w:rPr>
          <w:rFonts w:ascii="Palatino Linotype" w:hAnsi="Palatino Linotype" w:cs="Arial"/>
          <w:sz w:val="20"/>
        </w:rPr>
        <w:t>ROA</w:t>
      </w:r>
    </w:p>
    <w:p w14:paraId="7744B079" w14:textId="77777777" w:rsidR="00B32C1A" w:rsidRDefault="00B32C1A" w:rsidP="00337A3D">
      <w:pPr>
        <w:spacing w:after="0" w:line="360" w:lineRule="auto"/>
        <w:jc w:val="both"/>
        <w:rPr>
          <w:rFonts w:ascii="Palatino Linotype" w:hAnsi="Palatino Linotype" w:cs="Arial"/>
          <w:sz w:val="20"/>
        </w:rPr>
      </w:pPr>
    </w:p>
    <w:p w14:paraId="21330054" w14:textId="77777777" w:rsidR="00E30D49" w:rsidRDefault="00E30D49" w:rsidP="00337A3D">
      <w:pPr>
        <w:spacing w:after="0" w:line="360" w:lineRule="auto"/>
        <w:jc w:val="both"/>
        <w:rPr>
          <w:rFonts w:ascii="Palatino Linotype" w:hAnsi="Palatino Linotype" w:cs="Arial"/>
          <w:sz w:val="20"/>
        </w:rPr>
      </w:pPr>
    </w:p>
    <w:p w14:paraId="3CA05F6C" w14:textId="77777777" w:rsidR="00E30D49" w:rsidRDefault="00E30D49" w:rsidP="00337A3D">
      <w:pPr>
        <w:spacing w:after="0" w:line="360" w:lineRule="auto"/>
        <w:jc w:val="both"/>
        <w:rPr>
          <w:rFonts w:ascii="Palatino Linotype" w:hAnsi="Palatino Linotype" w:cs="Arial"/>
          <w:sz w:val="20"/>
        </w:rPr>
      </w:pPr>
    </w:p>
    <w:p w14:paraId="6F7981F5" w14:textId="77777777" w:rsidR="0088704B" w:rsidRDefault="0088704B" w:rsidP="00337A3D">
      <w:pPr>
        <w:spacing w:after="0" w:line="360" w:lineRule="auto"/>
        <w:jc w:val="both"/>
        <w:rPr>
          <w:rFonts w:ascii="Palatino Linotype" w:hAnsi="Palatino Linotype" w:cs="Arial"/>
          <w:sz w:val="20"/>
        </w:rPr>
      </w:pPr>
    </w:p>
    <w:p w14:paraId="237B7809" w14:textId="77777777" w:rsidR="0088704B" w:rsidRDefault="0088704B" w:rsidP="00337A3D">
      <w:pPr>
        <w:spacing w:after="0" w:line="360" w:lineRule="auto"/>
        <w:jc w:val="both"/>
        <w:rPr>
          <w:rFonts w:ascii="Palatino Linotype" w:hAnsi="Palatino Linotype" w:cs="Arial"/>
          <w:sz w:val="20"/>
        </w:rPr>
      </w:pPr>
    </w:p>
    <w:p w14:paraId="52B8B7A0" w14:textId="77777777" w:rsidR="00E30D49" w:rsidRDefault="00E30D49" w:rsidP="00337A3D">
      <w:pPr>
        <w:spacing w:after="0" w:line="360" w:lineRule="auto"/>
        <w:jc w:val="both"/>
        <w:rPr>
          <w:rFonts w:ascii="Palatino Linotype" w:hAnsi="Palatino Linotype" w:cs="Arial"/>
          <w:sz w:val="20"/>
        </w:rPr>
      </w:pPr>
    </w:p>
    <w:p w14:paraId="13696479" w14:textId="77777777" w:rsidR="00B32C1A" w:rsidRDefault="00B32C1A" w:rsidP="00337A3D">
      <w:pPr>
        <w:spacing w:after="0" w:line="360" w:lineRule="auto"/>
        <w:jc w:val="both"/>
        <w:rPr>
          <w:rFonts w:ascii="Palatino Linotype" w:hAnsi="Palatino Linotype" w:cs="Arial"/>
          <w:sz w:val="20"/>
        </w:rPr>
      </w:pPr>
    </w:p>
    <w:p w14:paraId="4D402649" w14:textId="77777777" w:rsidR="00B32C1A" w:rsidRDefault="00B32C1A" w:rsidP="00337A3D">
      <w:pPr>
        <w:spacing w:after="0" w:line="360" w:lineRule="auto"/>
        <w:jc w:val="both"/>
        <w:rPr>
          <w:rFonts w:ascii="Palatino Linotype" w:hAnsi="Palatino Linotype" w:cs="Arial"/>
          <w:sz w:val="20"/>
        </w:rPr>
      </w:pPr>
    </w:p>
    <w:p w14:paraId="31099E6E" w14:textId="77777777" w:rsidR="00B32C1A" w:rsidRDefault="00B32C1A" w:rsidP="00337A3D">
      <w:pPr>
        <w:spacing w:after="0" w:line="360" w:lineRule="auto"/>
        <w:jc w:val="both"/>
        <w:rPr>
          <w:rFonts w:ascii="Palatino Linotype" w:hAnsi="Palatino Linotype" w:cs="Arial"/>
          <w:sz w:val="20"/>
        </w:rPr>
      </w:pPr>
    </w:p>
    <w:p w14:paraId="590FA89E" w14:textId="77777777" w:rsidR="00B32C1A" w:rsidRDefault="00B32C1A" w:rsidP="00337A3D">
      <w:pPr>
        <w:spacing w:after="0" w:line="360" w:lineRule="auto"/>
        <w:jc w:val="both"/>
        <w:rPr>
          <w:rFonts w:ascii="Palatino Linotype" w:hAnsi="Palatino Linotype" w:cs="Arial"/>
          <w:sz w:val="20"/>
        </w:rPr>
      </w:pPr>
    </w:p>
    <w:p w14:paraId="48C49A40" w14:textId="77777777" w:rsidR="00B32C1A" w:rsidRDefault="00B32C1A" w:rsidP="00337A3D">
      <w:pPr>
        <w:spacing w:after="0" w:line="360" w:lineRule="auto"/>
        <w:jc w:val="both"/>
        <w:rPr>
          <w:rFonts w:ascii="Palatino Linotype" w:hAnsi="Palatino Linotype" w:cs="Arial"/>
          <w:sz w:val="20"/>
        </w:rPr>
      </w:pPr>
    </w:p>
    <w:p w14:paraId="395E75D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1"/>
      <w:footerReference w:type="default" r:id="rId12"/>
      <w:headerReference w:type="first" r:id="rId13"/>
      <w:footerReference w:type="first" r:id="rId14"/>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13CE3" w14:textId="77777777" w:rsidR="003F269E" w:rsidRDefault="003F269E" w:rsidP="00337A3D">
      <w:pPr>
        <w:spacing w:after="0" w:line="240" w:lineRule="auto"/>
      </w:pPr>
      <w:r>
        <w:separator/>
      </w:r>
    </w:p>
  </w:endnote>
  <w:endnote w:type="continuationSeparator" w:id="0">
    <w:p w14:paraId="36CF8859" w14:textId="77777777" w:rsidR="003F269E" w:rsidRDefault="003F269E"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CB60DE3" w14:textId="77777777" w:rsidR="001576A2" w:rsidRPr="002D6DD8" w:rsidRDefault="001576A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21BB">
              <w:rPr>
                <w:rFonts w:ascii="Palatino Linotype" w:hAnsi="Palatino Linotype"/>
                <w:bCs/>
                <w:noProof/>
                <w:sz w:val="20"/>
              </w:rPr>
              <w:t>55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C21BB">
              <w:rPr>
                <w:rFonts w:ascii="Palatino Linotype" w:hAnsi="Palatino Linotype"/>
                <w:bCs/>
                <w:noProof/>
                <w:sz w:val="20"/>
              </w:rPr>
              <w:t>56</w:t>
            </w:r>
            <w:r>
              <w:rPr>
                <w:rFonts w:ascii="Palatino Linotype" w:hAnsi="Palatino Linotype"/>
                <w:bCs/>
                <w:noProof/>
                <w:sz w:val="20"/>
              </w:rPr>
              <w:fldChar w:fldCharType="end"/>
            </w:r>
          </w:p>
        </w:sdtContent>
      </w:sdt>
    </w:sdtContent>
  </w:sdt>
  <w:p w14:paraId="3F3F7E21" w14:textId="77777777" w:rsidR="001576A2" w:rsidRDefault="001576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C137" w14:textId="77777777" w:rsidR="001576A2" w:rsidRPr="000B69FA" w:rsidRDefault="001576A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21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C21BB">
      <w:rPr>
        <w:rFonts w:ascii="Palatino Linotype" w:hAnsi="Palatino Linotype"/>
        <w:bCs/>
        <w:noProof/>
        <w:sz w:val="20"/>
      </w:rPr>
      <w:t>56</w:t>
    </w:r>
    <w:r>
      <w:rPr>
        <w:rFonts w:ascii="Palatino Linotype" w:hAnsi="Palatino Linotype"/>
        <w:bCs/>
        <w:noProof/>
        <w:sz w:val="20"/>
      </w:rPr>
      <w:fldChar w:fldCharType="end"/>
    </w:r>
  </w:p>
  <w:p w14:paraId="6CFE21A3" w14:textId="77777777" w:rsidR="001576A2" w:rsidRDefault="001576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27F7" w14:textId="77777777" w:rsidR="003F269E" w:rsidRDefault="003F269E" w:rsidP="00337A3D">
      <w:pPr>
        <w:spacing w:after="0" w:line="240" w:lineRule="auto"/>
      </w:pPr>
      <w:r>
        <w:separator/>
      </w:r>
    </w:p>
  </w:footnote>
  <w:footnote w:type="continuationSeparator" w:id="0">
    <w:p w14:paraId="3F505539" w14:textId="77777777" w:rsidR="003F269E" w:rsidRDefault="003F269E" w:rsidP="00337A3D">
      <w:pPr>
        <w:spacing w:after="0" w:line="240" w:lineRule="auto"/>
      </w:pPr>
      <w:r>
        <w:continuationSeparator/>
      </w:r>
    </w:p>
  </w:footnote>
  <w:footnote w:id="1">
    <w:p w14:paraId="4FD7C180" w14:textId="77777777" w:rsidR="001576A2" w:rsidRPr="00946E1F" w:rsidRDefault="001576A2"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272378" w14:textId="77777777" w:rsidR="001576A2" w:rsidRDefault="001576A2" w:rsidP="007C5B8D">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576A2" w:rsidRPr="00641471" w14:paraId="491BA941" w14:textId="77777777" w:rsidTr="009F5FEF">
      <w:trPr>
        <w:trHeight w:val="227"/>
      </w:trPr>
      <w:tc>
        <w:tcPr>
          <w:tcW w:w="6521" w:type="dxa"/>
          <w:vAlign w:val="center"/>
          <w:hideMark/>
        </w:tcPr>
        <w:p w14:paraId="02127AFD" w14:textId="77777777" w:rsidR="001576A2" w:rsidRPr="00641471" w:rsidRDefault="001576A2"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1A04E6EC" w14:textId="77777777" w:rsidR="001576A2" w:rsidRPr="00641471" w:rsidRDefault="001576A2" w:rsidP="0060755C">
          <w:pPr>
            <w:spacing w:after="0" w:line="240" w:lineRule="auto"/>
            <w:ind w:right="74"/>
            <w:rPr>
              <w:rFonts w:ascii="Palatino Linotype" w:hAnsi="Palatino Linotype" w:cs="Arial"/>
              <w:b/>
              <w:szCs w:val="20"/>
            </w:rPr>
          </w:pPr>
          <w:r>
            <w:rPr>
              <w:rFonts w:ascii="Palatino Linotype" w:hAnsi="Palatino Linotype" w:cs="Arial"/>
              <w:b/>
              <w:bCs/>
              <w:sz w:val="24"/>
              <w:lang w:eastAsia="es-MX"/>
            </w:rPr>
            <w:t>0</w:t>
          </w:r>
          <w:r w:rsidR="00EA24FA">
            <w:rPr>
              <w:rFonts w:ascii="Palatino Linotype" w:hAnsi="Palatino Linotype" w:cs="Arial"/>
              <w:b/>
              <w:bCs/>
              <w:sz w:val="24"/>
              <w:lang w:val="es-419" w:eastAsia="es-MX"/>
            </w:rPr>
            <w:t>187</w:t>
          </w:r>
          <w:r w:rsidR="0060755C">
            <w:rPr>
              <w:rFonts w:ascii="Palatino Linotype" w:hAnsi="Palatino Linotype" w:cs="Arial"/>
              <w:b/>
              <w:bCs/>
              <w:sz w:val="24"/>
              <w:lang w:val="es-419" w:eastAsia="es-MX"/>
            </w:rPr>
            <w:t>5</w:t>
          </w:r>
          <w:r>
            <w:rPr>
              <w:rFonts w:ascii="Palatino Linotype" w:hAnsi="Palatino Linotype" w:cs="Arial"/>
              <w:b/>
              <w:bCs/>
              <w:sz w:val="24"/>
              <w:lang w:eastAsia="es-MX"/>
            </w:rPr>
            <w:t>/INFOEM/IP/RR/2022</w:t>
          </w:r>
        </w:p>
      </w:tc>
    </w:tr>
    <w:tr w:rsidR="001576A2" w:rsidRPr="00262FBF" w14:paraId="11FE7F43" w14:textId="77777777" w:rsidTr="009F5FEF">
      <w:trPr>
        <w:trHeight w:val="242"/>
      </w:trPr>
      <w:tc>
        <w:tcPr>
          <w:tcW w:w="6521" w:type="dxa"/>
          <w:vAlign w:val="center"/>
          <w:hideMark/>
        </w:tcPr>
        <w:p w14:paraId="4538F1F6" w14:textId="77777777" w:rsidR="001576A2" w:rsidRPr="00641471" w:rsidRDefault="001576A2"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34A751EB" w14:textId="77777777" w:rsidR="001576A2" w:rsidRPr="00EA24FA" w:rsidRDefault="00EA24FA" w:rsidP="00262FBF">
          <w:pPr>
            <w:spacing w:after="0" w:line="240" w:lineRule="auto"/>
            <w:ind w:right="74"/>
            <w:rPr>
              <w:lang w:val="es-419"/>
            </w:rPr>
          </w:pPr>
          <w:r>
            <w:rPr>
              <w:rFonts w:ascii="Palatino Linotype" w:hAnsi="Palatino Linotype" w:cs="Arial"/>
              <w:b/>
              <w:bCs/>
              <w:sz w:val="24"/>
              <w:lang w:val="es-419" w:eastAsia="es-MX"/>
            </w:rPr>
            <w:t>Ayuntamiento de Tenancingo</w:t>
          </w:r>
        </w:p>
      </w:tc>
    </w:tr>
    <w:tr w:rsidR="001576A2" w:rsidRPr="00641471" w14:paraId="3F6E4592" w14:textId="77777777" w:rsidTr="009F5FEF">
      <w:trPr>
        <w:trHeight w:val="342"/>
      </w:trPr>
      <w:tc>
        <w:tcPr>
          <w:tcW w:w="6521" w:type="dxa"/>
        </w:tcPr>
        <w:p w14:paraId="6B64ED7A" w14:textId="77777777" w:rsidR="001576A2" w:rsidRPr="00641471" w:rsidRDefault="001576A2"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19F74DBF" w14:textId="77777777" w:rsidR="001576A2" w:rsidRPr="00641471" w:rsidRDefault="001576A2"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046FB9D3" w14:textId="77777777" w:rsidR="001576A2" w:rsidRPr="00AE046A" w:rsidRDefault="001576A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533DF9D" wp14:editId="52164155">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576A2" w14:paraId="06C4A267" w14:textId="77777777" w:rsidTr="00262FBF">
      <w:trPr>
        <w:trHeight w:val="227"/>
      </w:trPr>
      <w:tc>
        <w:tcPr>
          <w:tcW w:w="6521" w:type="dxa"/>
          <w:vAlign w:val="center"/>
          <w:hideMark/>
        </w:tcPr>
        <w:p w14:paraId="1E3DF3DB" w14:textId="77777777" w:rsidR="001576A2" w:rsidRPr="00641471" w:rsidRDefault="001576A2"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49C0DBFF" w14:textId="77777777" w:rsidR="001576A2" w:rsidRPr="00641471" w:rsidRDefault="001576A2" w:rsidP="0060755C">
          <w:pPr>
            <w:spacing w:after="0" w:line="240" w:lineRule="auto"/>
            <w:ind w:right="74"/>
            <w:rPr>
              <w:rFonts w:ascii="Palatino Linotype" w:hAnsi="Palatino Linotype" w:cs="Arial"/>
              <w:b/>
              <w:szCs w:val="20"/>
            </w:rPr>
          </w:pPr>
          <w:r>
            <w:rPr>
              <w:rFonts w:ascii="Palatino Linotype" w:hAnsi="Palatino Linotype" w:cs="Arial"/>
              <w:b/>
              <w:bCs/>
              <w:sz w:val="24"/>
              <w:lang w:eastAsia="es-MX"/>
            </w:rPr>
            <w:t>0</w:t>
          </w:r>
          <w:r w:rsidR="00EA24FA">
            <w:rPr>
              <w:rFonts w:ascii="Palatino Linotype" w:hAnsi="Palatino Linotype" w:cs="Arial"/>
              <w:b/>
              <w:bCs/>
              <w:sz w:val="24"/>
              <w:lang w:val="es-419" w:eastAsia="es-MX"/>
            </w:rPr>
            <w:t>187</w:t>
          </w:r>
          <w:r w:rsidR="0060755C">
            <w:rPr>
              <w:rFonts w:ascii="Palatino Linotype" w:hAnsi="Palatino Linotype" w:cs="Arial"/>
              <w:b/>
              <w:bCs/>
              <w:sz w:val="24"/>
              <w:lang w:val="es-419" w:eastAsia="es-MX"/>
            </w:rPr>
            <w:t>5</w:t>
          </w:r>
          <w:r>
            <w:rPr>
              <w:rFonts w:ascii="Palatino Linotype" w:hAnsi="Palatino Linotype" w:cs="Arial"/>
              <w:b/>
              <w:bCs/>
              <w:sz w:val="24"/>
              <w:lang w:eastAsia="es-MX"/>
            </w:rPr>
            <w:t>/INFOEM/IP/RR/2022</w:t>
          </w:r>
        </w:p>
      </w:tc>
    </w:tr>
    <w:tr w:rsidR="001576A2" w14:paraId="3EC9E0E4" w14:textId="77777777" w:rsidTr="00262FBF">
      <w:trPr>
        <w:trHeight w:val="242"/>
      </w:trPr>
      <w:tc>
        <w:tcPr>
          <w:tcW w:w="6521" w:type="dxa"/>
          <w:vAlign w:val="center"/>
          <w:hideMark/>
        </w:tcPr>
        <w:p w14:paraId="4096F7F3" w14:textId="77777777" w:rsidR="001576A2" w:rsidRPr="00641471" w:rsidRDefault="001576A2"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7AB2F765" w14:textId="77777777" w:rsidR="001576A2" w:rsidRPr="00262FBF" w:rsidRDefault="00EA24FA" w:rsidP="00EA24FA">
          <w:pPr>
            <w:spacing w:after="0" w:line="240" w:lineRule="auto"/>
            <w:ind w:right="74"/>
          </w:pPr>
          <w:r>
            <w:rPr>
              <w:rFonts w:ascii="Palatino Linotype" w:hAnsi="Palatino Linotype" w:cs="Arial"/>
              <w:b/>
              <w:bCs/>
              <w:sz w:val="24"/>
              <w:lang w:val="es-419" w:eastAsia="es-MX"/>
            </w:rPr>
            <w:t>Ayuntamiento de Tenancingo</w:t>
          </w:r>
        </w:p>
      </w:tc>
    </w:tr>
    <w:tr w:rsidR="001576A2" w14:paraId="576B6B13" w14:textId="77777777" w:rsidTr="00262FBF">
      <w:trPr>
        <w:trHeight w:val="342"/>
      </w:trPr>
      <w:tc>
        <w:tcPr>
          <w:tcW w:w="6521" w:type="dxa"/>
        </w:tcPr>
        <w:p w14:paraId="61C566C3" w14:textId="77777777" w:rsidR="001576A2" w:rsidRPr="00641471" w:rsidRDefault="001576A2"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6D04422B" w14:textId="6E2E4915" w:rsidR="001576A2" w:rsidRPr="00641471" w:rsidRDefault="00116574" w:rsidP="00262FBF">
          <w:pPr>
            <w:spacing w:after="120" w:line="256" w:lineRule="auto"/>
            <w:ind w:right="71"/>
            <w:rPr>
              <w:rFonts w:ascii="Palatino Linotype" w:hAnsi="Palatino Linotype" w:cs="Arial"/>
              <w:b/>
            </w:rPr>
          </w:pPr>
          <w:proofErr w:type="spellStart"/>
          <w:r>
            <w:rPr>
              <w:rFonts w:ascii="Palatino Linotype" w:hAnsi="Palatino Linotype" w:cs="Arial"/>
              <w:b/>
            </w:rPr>
            <w:t>xxxxxxxxxxxxxxxxxxxxxxx</w:t>
          </w:r>
          <w:proofErr w:type="spellEnd"/>
        </w:p>
      </w:tc>
    </w:tr>
    <w:tr w:rsidR="001576A2" w14:paraId="07B77697" w14:textId="77777777" w:rsidTr="00262FBF">
      <w:trPr>
        <w:trHeight w:val="342"/>
      </w:trPr>
      <w:tc>
        <w:tcPr>
          <w:tcW w:w="6521" w:type="dxa"/>
        </w:tcPr>
        <w:p w14:paraId="4EF790B1" w14:textId="77777777" w:rsidR="001576A2" w:rsidRPr="00641471" w:rsidRDefault="001576A2"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0A76B982" w14:textId="77777777" w:rsidR="001576A2" w:rsidRPr="00641471" w:rsidRDefault="001576A2"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244D2179" w14:textId="77777777" w:rsidR="001576A2" w:rsidRPr="00C222C0" w:rsidRDefault="001576A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AD535AB" wp14:editId="2078A828">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567F94"/>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9"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43E467A"/>
    <w:multiLevelType w:val="hybridMultilevel"/>
    <w:tmpl w:val="1152C314"/>
    <w:lvl w:ilvl="0" w:tplc="6A2C9EFE">
      <w:start w:val="1"/>
      <w:numFmt w:val="decimal"/>
      <w:lvlText w:val="%1."/>
      <w:lvlJc w:val="left"/>
      <w:pPr>
        <w:ind w:left="644" w:hanging="360"/>
      </w:pPr>
      <w:rPr>
        <w:rFonts w:cs="Arial" w:hint="default"/>
        <w:b/>
        <w:color w:val="auto"/>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2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7243639">
    <w:abstractNumId w:val="23"/>
  </w:num>
  <w:num w:numId="2" w16cid:durableId="1600872300">
    <w:abstractNumId w:val="1"/>
  </w:num>
  <w:num w:numId="3" w16cid:durableId="1972591914">
    <w:abstractNumId w:val="7"/>
  </w:num>
  <w:num w:numId="4" w16cid:durableId="1710259217">
    <w:abstractNumId w:val="3"/>
  </w:num>
  <w:num w:numId="5" w16cid:durableId="230624340">
    <w:abstractNumId w:val="18"/>
  </w:num>
  <w:num w:numId="6" w16cid:durableId="137965375">
    <w:abstractNumId w:val="14"/>
  </w:num>
  <w:num w:numId="7" w16cid:durableId="1863856257">
    <w:abstractNumId w:val="19"/>
  </w:num>
  <w:num w:numId="8" w16cid:durableId="1457455423">
    <w:abstractNumId w:val="5"/>
  </w:num>
  <w:num w:numId="9" w16cid:durableId="514273028">
    <w:abstractNumId w:val="0"/>
  </w:num>
  <w:num w:numId="10" w16cid:durableId="354775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1463300">
    <w:abstractNumId w:val="8"/>
  </w:num>
  <w:num w:numId="12" w16cid:durableId="218976819">
    <w:abstractNumId w:val="11"/>
  </w:num>
  <w:num w:numId="13" w16cid:durableId="252400060">
    <w:abstractNumId w:val="9"/>
  </w:num>
  <w:num w:numId="14" w16cid:durableId="921371033">
    <w:abstractNumId w:val="20"/>
  </w:num>
  <w:num w:numId="15" w16cid:durableId="807623188">
    <w:abstractNumId w:val="21"/>
  </w:num>
  <w:num w:numId="16" w16cid:durableId="1219441734">
    <w:abstractNumId w:val="6"/>
  </w:num>
  <w:num w:numId="17" w16cid:durableId="1151944265">
    <w:abstractNumId w:val="22"/>
  </w:num>
  <w:num w:numId="18" w16cid:durableId="1900627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3393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3669085">
    <w:abstractNumId w:val="4"/>
  </w:num>
  <w:num w:numId="21" w16cid:durableId="225803899">
    <w:abstractNumId w:val="17"/>
  </w:num>
  <w:num w:numId="22" w16cid:durableId="210507191">
    <w:abstractNumId w:val="13"/>
  </w:num>
  <w:num w:numId="23" w16cid:durableId="353071965">
    <w:abstractNumId w:val="24"/>
  </w:num>
  <w:num w:numId="24" w16cid:durableId="643463842">
    <w:abstractNumId w:val="25"/>
  </w:num>
  <w:num w:numId="25" w16cid:durableId="2138911109">
    <w:abstractNumId w:val="16"/>
  </w:num>
  <w:num w:numId="26" w16cid:durableId="185028547">
    <w:abstractNumId w:val="12"/>
  </w:num>
  <w:num w:numId="27" w16cid:durableId="302321736">
    <w:abstractNumId w:val="15"/>
  </w:num>
  <w:num w:numId="28" w16cid:durableId="1173690806">
    <w:abstractNumId w:val="2"/>
  </w:num>
  <w:num w:numId="29" w16cid:durableId="6333393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3CEF"/>
    <w:rsid w:val="00005A11"/>
    <w:rsid w:val="00007F88"/>
    <w:rsid w:val="00015608"/>
    <w:rsid w:val="0003012B"/>
    <w:rsid w:val="000358BA"/>
    <w:rsid w:val="00036F8B"/>
    <w:rsid w:val="00045D7D"/>
    <w:rsid w:val="00050AEB"/>
    <w:rsid w:val="000510BA"/>
    <w:rsid w:val="00063530"/>
    <w:rsid w:val="00064E75"/>
    <w:rsid w:val="00066174"/>
    <w:rsid w:val="000708A8"/>
    <w:rsid w:val="000765CE"/>
    <w:rsid w:val="00081381"/>
    <w:rsid w:val="00084319"/>
    <w:rsid w:val="00091170"/>
    <w:rsid w:val="00093414"/>
    <w:rsid w:val="000A7C9B"/>
    <w:rsid w:val="000C4ACF"/>
    <w:rsid w:val="000D1973"/>
    <w:rsid w:val="000D389D"/>
    <w:rsid w:val="000D5EF6"/>
    <w:rsid w:val="000E08A0"/>
    <w:rsid w:val="000E6F6E"/>
    <w:rsid w:val="000F78F3"/>
    <w:rsid w:val="00102262"/>
    <w:rsid w:val="00112676"/>
    <w:rsid w:val="001146BC"/>
    <w:rsid w:val="001148ED"/>
    <w:rsid w:val="0011490E"/>
    <w:rsid w:val="00116574"/>
    <w:rsid w:val="00121A8A"/>
    <w:rsid w:val="00121CFD"/>
    <w:rsid w:val="00123778"/>
    <w:rsid w:val="00123996"/>
    <w:rsid w:val="0012414D"/>
    <w:rsid w:val="001252B8"/>
    <w:rsid w:val="001339D7"/>
    <w:rsid w:val="00136DB5"/>
    <w:rsid w:val="00142307"/>
    <w:rsid w:val="00143A49"/>
    <w:rsid w:val="001460D8"/>
    <w:rsid w:val="00152AB6"/>
    <w:rsid w:val="001576A2"/>
    <w:rsid w:val="00157B7F"/>
    <w:rsid w:val="00163245"/>
    <w:rsid w:val="001654F9"/>
    <w:rsid w:val="001660FC"/>
    <w:rsid w:val="00172F6F"/>
    <w:rsid w:val="001743BA"/>
    <w:rsid w:val="00175759"/>
    <w:rsid w:val="00187603"/>
    <w:rsid w:val="00187D36"/>
    <w:rsid w:val="001A667D"/>
    <w:rsid w:val="001B0DEB"/>
    <w:rsid w:val="001B2FE9"/>
    <w:rsid w:val="001B6CB9"/>
    <w:rsid w:val="001C034C"/>
    <w:rsid w:val="001C485B"/>
    <w:rsid w:val="001D7C08"/>
    <w:rsid w:val="001E0966"/>
    <w:rsid w:val="001E28BA"/>
    <w:rsid w:val="001E3B5B"/>
    <w:rsid w:val="001E4511"/>
    <w:rsid w:val="001E50A6"/>
    <w:rsid w:val="001E7BD7"/>
    <w:rsid w:val="001F1998"/>
    <w:rsid w:val="001F1C38"/>
    <w:rsid w:val="001F3B02"/>
    <w:rsid w:val="002018B0"/>
    <w:rsid w:val="00216D33"/>
    <w:rsid w:val="00223048"/>
    <w:rsid w:val="0022502C"/>
    <w:rsid w:val="0022719C"/>
    <w:rsid w:val="00227562"/>
    <w:rsid w:val="00227DC3"/>
    <w:rsid w:val="00230A7A"/>
    <w:rsid w:val="00231C3D"/>
    <w:rsid w:val="00242F50"/>
    <w:rsid w:val="002442B2"/>
    <w:rsid w:val="002460D1"/>
    <w:rsid w:val="00262FBF"/>
    <w:rsid w:val="00267A25"/>
    <w:rsid w:val="00271585"/>
    <w:rsid w:val="002748BD"/>
    <w:rsid w:val="00277383"/>
    <w:rsid w:val="00285BF6"/>
    <w:rsid w:val="00285F96"/>
    <w:rsid w:val="00286B17"/>
    <w:rsid w:val="00290F21"/>
    <w:rsid w:val="00294F0C"/>
    <w:rsid w:val="002A0B67"/>
    <w:rsid w:val="002A160C"/>
    <w:rsid w:val="002A3BE3"/>
    <w:rsid w:val="002A6AE2"/>
    <w:rsid w:val="002A78CB"/>
    <w:rsid w:val="002B29CD"/>
    <w:rsid w:val="002B3A4F"/>
    <w:rsid w:val="002C5ECB"/>
    <w:rsid w:val="002D1A9D"/>
    <w:rsid w:val="002E11F2"/>
    <w:rsid w:val="002E15D9"/>
    <w:rsid w:val="002E2373"/>
    <w:rsid w:val="002F0173"/>
    <w:rsid w:val="002F0A5E"/>
    <w:rsid w:val="002F3D1A"/>
    <w:rsid w:val="00304035"/>
    <w:rsid w:val="00311140"/>
    <w:rsid w:val="00316D75"/>
    <w:rsid w:val="00317721"/>
    <w:rsid w:val="00320336"/>
    <w:rsid w:val="00327A14"/>
    <w:rsid w:val="00337A3D"/>
    <w:rsid w:val="003451D1"/>
    <w:rsid w:val="00345854"/>
    <w:rsid w:val="003539A0"/>
    <w:rsid w:val="00353CFA"/>
    <w:rsid w:val="00362049"/>
    <w:rsid w:val="00363067"/>
    <w:rsid w:val="00363E7E"/>
    <w:rsid w:val="00364B86"/>
    <w:rsid w:val="00374011"/>
    <w:rsid w:val="00380337"/>
    <w:rsid w:val="003910F2"/>
    <w:rsid w:val="00394C1D"/>
    <w:rsid w:val="003C1DD7"/>
    <w:rsid w:val="003C4239"/>
    <w:rsid w:val="003D0012"/>
    <w:rsid w:val="003D028D"/>
    <w:rsid w:val="003D5DB5"/>
    <w:rsid w:val="003E3631"/>
    <w:rsid w:val="003E39B6"/>
    <w:rsid w:val="003F0B45"/>
    <w:rsid w:val="003F269E"/>
    <w:rsid w:val="003F6136"/>
    <w:rsid w:val="00401215"/>
    <w:rsid w:val="0040212F"/>
    <w:rsid w:val="00423C39"/>
    <w:rsid w:val="00426F16"/>
    <w:rsid w:val="00427A76"/>
    <w:rsid w:val="004301E2"/>
    <w:rsid w:val="0043066E"/>
    <w:rsid w:val="004322AB"/>
    <w:rsid w:val="00447E2F"/>
    <w:rsid w:val="004714BC"/>
    <w:rsid w:val="00481523"/>
    <w:rsid w:val="00482CBF"/>
    <w:rsid w:val="0049295E"/>
    <w:rsid w:val="00495148"/>
    <w:rsid w:val="00495A9D"/>
    <w:rsid w:val="004978FB"/>
    <w:rsid w:val="004A0624"/>
    <w:rsid w:val="004B16DC"/>
    <w:rsid w:val="004C2D70"/>
    <w:rsid w:val="004C5AB9"/>
    <w:rsid w:val="004C7A02"/>
    <w:rsid w:val="004D5BEB"/>
    <w:rsid w:val="004E32A0"/>
    <w:rsid w:val="004E35FC"/>
    <w:rsid w:val="004F3932"/>
    <w:rsid w:val="004F4DE1"/>
    <w:rsid w:val="005148B8"/>
    <w:rsid w:val="00523934"/>
    <w:rsid w:val="00527A12"/>
    <w:rsid w:val="00527EBA"/>
    <w:rsid w:val="005514B5"/>
    <w:rsid w:val="00565479"/>
    <w:rsid w:val="005766BE"/>
    <w:rsid w:val="00592DB9"/>
    <w:rsid w:val="005A1680"/>
    <w:rsid w:val="005B11B8"/>
    <w:rsid w:val="005C41DF"/>
    <w:rsid w:val="005C5147"/>
    <w:rsid w:val="005D19FD"/>
    <w:rsid w:val="005D4361"/>
    <w:rsid w:val="005D6927"/>
    <w:rsid w:val="005E1D14"/>
    <w:rsid w:val="005E43B0"/>
    <w:rsid w:val="005E62D1"/>
    <w:rsid w:val="005F1B86"/>
    <w:rsid w:val="005F39DC"/>
    <w:rsid w:val="005F693B"/>
    <w:rsid w:val="0060755C"/>
    <w:rsid w:val="00621C53"/>
    <w:rsid w:val="00630254"/>
    <w:rsid w:val="00631A51"/>
    <w:rsid w:val="0063698A"/>
    <w:rsid w:val="006370F7"/>
    <w:rsid w:val="00642108"/>
    <w:rsid w:val="006471B1"/>
    <w:rsid w:val="00647AE3"/>
    <w:rsid w:val="00660E14"/>
    <w:rsid w:val="00677C90"/>
    <w:rsid w:val="0068298B"/>
    <w:rsid w:val="00692461"/>
    <w:rsid w:val="00692A2D"/>
    <w:rsid w:val="006976B1"/>
    <w:rsid w:val="00697D7F"/>
    <w:rsid w:val="006A2565"/>
    <w:rsid w:val="006A38F3"/>
    <w:rsid w:val="006A3EBD"/>
    <w:rsid w:val="006A78C7"/>
    <w:rsid w:val="006B3B05"/>
    <w:rsid w:val="006C2D4B"/>
    <w:rsid w:val="006C7B6C"/>
    <w:rsid w:val="006E261F"/>
    <w:rsid w:val="006E314D"/>
    <w:rsid w:val="006F3E4F"/>
    <w:rsid w:val="00702210"/>
    <w:rsid w:val="00705BBF"/>
    <w:rsid w:val="00736560"/>
    <w:rsid w:val="0074074E"/>
    <w:rsid w:val="00745BEB"/>
    <w:rsid w:val="00753DCA"/>
    <w:rsid w:val="007673C3"/>
    <w:rsid w:val="00777029"/>
    <w:rsid w:val="00791323"/>
    <w:rsid w:val="00793231"/>
    <w:rsid w:val="007941DD"/>
    <w:rsid w:val="00795B49"/>
    <w:rsid w:val="007A5121"/>
    <w:rsid w:val="007B6867"/>
    <w:rsid w:val="007C01EE"/>
    <w:rsid w:val="007C385E"/>
    <w:rsid w:val="007C5B8D"/>
    <w:rsid w:val="007D7122"/>
    <w:rsid w:val="007E0437"/>
    <w:rsid w:val="007E2ADF"/>
    <w:rsid w:val="007E36A8"/>
    <w:rsid w:val="007E4212"/>
    <w:rsid w:val="007F4CB9"/>
    <w:rsid w:val="007F65A4"/>
    <w:rsid w:val="00800417"/>
    <w:rsid w:val="00801ABC"/>
    <w:rsid w:val="008021C8"/>
    <w:rsid w:val="008035F5"/>
    <w:rsid w:val="008041A1"/>
    <w:rsid w:val="00806F7E"/>
    <w:rsid w:val="00825CE8"/>
    <w:rsid w:val="00827AB2"/>
    <w:rsid w:val="00834F57"/>
    <w:rsid w:val="0085199B"/>
    <w:rsid w:val="008520F2"/>
    <w:rsid w:val="00857253"/>
    <w:rsid w:val="00881A1F"/>
    <w:rsid w:val="0088704B"/>
    <w:rsid w:val="0088752D"/>
    <w:rsid w:val="00894B80"/>
    <w:rsid w:val="008A5984"/>
    <w:rsid w:val="008C4271"/>
    <w:rsid w:val="008C754D"/>
    <w:rsid w:val="008C7559"/>
    <w:rsid w:val="008D43A5"/>
    <w:rsid w:val="008E5168"/>
    <w:rsid w:val="008E5F00"/>
    <w:rsid w:val="008E6B52"/>
    <w:rsid w:val="00902888"/>
    <w:rsid w:val="009145EE"/>
    <w:rsid w:val="009146C3"/>
    <w:rsid w:val="00920AB5"/>
    <w:rsid w:val="00921DE5"/>
    <w:rsid w:val="00922301"/>
    <w:rsid w:val="009268B3"/>
    <w:rsid w:val="00934242"/>
    <w:rsid w:val="009403D0"/>
    <w:rsid w:val="00940652"/>
    <w:rsid w:val="00944190"/>
    <w:rsid w:val="009461EC"/>
    <w:rsid w:val="00954909"/>
    <w:rsid w:val="00957ADD"/>
    <w:rsid w:val="009612DF"/>
    <w:rsid w:val="00972404"/>
    <w:rsid w:val="00977343"/>
    <w:rsid w:val="009B115C"/>
    <w:rsid w:val="009B24F8"/>
    <w:rsid w:val="009B4A4A"/>
    <w:rsid w:val="009B71F2"/>
    <w:rsid w:val="009C22A9"/>
    <w:rsid w:val="009C6F89"/>
    <w:rsid w:val="009D1861"/>
    <w:rsid w:val="009D3C3F"/>
    <w:rsid w:val="009D4AC6"/>
    <w:rsid w:val="009D7F85"/>
    <w:rsid w:val="009F5FEF"/>
    <w:rsid w:val="009F6FF0"/>
    <w:rsid w:val="00A0111B"/>
    <w:rsid w:val="00A05367"/>
    <w:rsid w:val="00A13372"/>
    <w:rsid w:val="00A21099"/>
    <w:rsid w:val="00A3069D"/>
    <w:rsid w:val="00A41985"/>
    <w:rsid w:val="00A563AA"/>
    <w:rsid w:val="00A82A54"/>
    <w:rsid w:val="00A860A9"/>
    <w:rsid w:val="00A90D45"/>
    <w:rsid w:val="00AA5F38"/>
    <w:rsid w:val="00AC140B"/>
    <w:rsid w:val="00AC4DB0"/>
    <w:rsid w:val="00AC6126"/>
    <w:rsid w:val="00AC7503"/>
    <w:rsid w:val="00AD09FF"/>
    <w:rsid w:val="00AD26DB"/>
    <w:rsid w:val="00AD3A71"/>
    <w:rsid w:val="00AF47E9"/>
    <w:rsid w:val="00B0035C"/>
    <w:rsid w:val="00B05372"/>
    <w:rsid w:val="00B06988"/>
    <w:rsid w:val="00B1000E"/>
    <w:rsid w:val="00B2128A"/>
    <w:rsid w:val="00B32C1A"/>
    <w:rsid w:val="00B32D6A"/>
    <w:rsid w:val="00B40F1B"/>
    <w:rsid w:val="00B50FF0"/>
    <w:rsid w:val="00B57EEE"/>
    <w:rsid w:val="00B6071B"/>
    <w:rsid w:val="00B65EDB"/>
    <w:rsid w:val="00B723ED"/>
    <w:rsid w:val="00B8050B"/>
    <w:rsid w:val="00B8566C"/>
    <w:rsid w:val="00B865EC"/>
    <w:rsid w:val="00B87111"/>
    <w:rsid w:val="00B93DE8"/>
    <w:rsid w:val="00BA7396"/>
    <w:rsid w:val="00BB33E6"/>
    <w:rsid w:val="00BB707A"/>
    <w:rsid w:val="00BD1228"/>
    <w:rsid w:val="00BD18B7"/>
    <w:rsid w:val="00BE526D"/>
    <w:rsid w:val="00BF079C"/>
    <w:rsid w:val="00BF3E6B"/>
    <w:rsid w:val="00C0073A"/>
    <w:rsid w:val="00C12B45"/>
    <w:rsid w:val="00C14E67"/>
    <w:rsid w:val="00C175CF"/>
    <w:rsid w:val="00C20139"/>
    <w:rsid w:val="00C2249B"/>
    <w:rsid w:val="00C35DA7"/>
    <w:rsid w:val="00C43E9C"/>
    <w:rsid w:val="00C63E55"/>
    <w:rsid w:val="00C67932"/>
    <w:rsid w:val="00C75197"/>
    <w:rsid w:val="00C75A13"/>
    <w:rsid w:val="00C766F0"/>
    <w:rsid w:val="00C834B7"/>
    <w:rsid w:val="00C8758F"/>
    <w:rsid w:val="00C90728"/>
    <w:rsid w:val="00C934E6"/>
    <w:rsid w:val="00C95062"/>
    <w:rsid w:val="00CA169B"/>
    <w:rsid w:val="00CA39C2"/>
    <w:rsid w:val="00CB53AC"/>
    <w:rsid w:val="00CC03A5"/>
    <w:rsid w:val="00CC2479"/>
    <w:rsid w:val="00CD02FA"/>
    <w:rsid w:val="00CD669E"/>
    <w:rsid w:val="00CE0B89"/>
    <w:rsid w:val="00CE1D76"/>
    <w:rsid w:val="00CE3B88"/>
    <w:rsid w:val="00CE7F48"/>
    <w:rsid w:val="00CF0998"/>
    <w:rsid w:val="00CF3684"/>
    <w:rsid w:val="00CF6619"/>
    <w:rsid w:val="00D05306"/>
    <w:rsid w:val="00D05619"/>
    <w:rsid w:val="00D11221"/>
    <w:rsid w:val="00D13060"/>
    <w:rsid w:val="00D13425"/>
    <w:rsid w:val="00D1469F"/>
    <w:rsid w:val="00D33043"/>
    <w:rsid w:val="00D339F0"/>
    <w:rsid w:val="00D40922"/>
    <w:rsid w:val="00D41423"/>
    <w:rsid w:val="00D46A62"/>
    <w:rsid w:val="00D46B9A"/>
    <w:rsid w:val="00D547DA"/>
    <w:rsid w:val="00D577B4"/>
    <w:rsid w:val="00D6749A"/>
    <w:rsid w:val="00D74651"/>
    <w:rsid w:val="00D77C9A"/>
    <w:rsid w:val="00D90C53"/>
    <w:rsid w:val="00D91B28"/>
    <w:rsid w:val="00DA15F6"/>
    <w:rsid w:val="00DA16E7"/>
    <w:rsid w:val="00DA6D65"/>
    <w:rsid w:val="00DB3B51"/>
    <w:rsid w:val="00DC731A"/>
    <w:rsid w:val="00DD6589"/>
    <w:rsid w:val="00DE1DA3"/>
    <w:rsid w:val="00DE3C08"/>
    <w:rsid w:val="00DE5565"/>
    <w:rsid w:val="00DE5BD9"/>
    <w:rsid w:val="00E01436"/>
    <w:rsid w:val="00E0303D"/>
    <w:rsid w:val="00E039A9"/>
    <w:rsid w:val="00E127A2"/>
    <w:rsid w:val="00E16168"/>
    <w:rsid w:val="00E30D49"/>
    <w:rsid w:val="00E322BA"/>
    <w:rsid w:val="00E36701"/>
    <w:rsid w:val="00E525B3"/>
    <w:rsid w:val="00E536AE"/>
    <w:rsid w:val="00E550E0"/>
    <w:rsid w:val="00E56783"/>
    <w:rsid w:val="00E6167A"/>
    <w:rsid w:val="00E66889"/>
    <w:rsid w:val="00E71134"/>
    <w:rsid w:val="00E826A1"/>
    <w:rsid w:val="00E954BE"/>
    <w:rsid w:val="00EA24FA"/>
    <w:rsid w:val="00EB1430"/>
    <w:rsid w:val="00EC5B14"/>
    <w:rsid w:val="00EC73BE"/>
    <w:rsid w:val="00ED68A0"/>
    <w:rsid w:val="00ED697B"/>
    <w:rsid w:val="00EE1D8E"/>
    <w:rsid w:val="00EE3DD1"/>
    <w:rsid w:val="00EE6BFA"/>
    <w:rsid w:val="00EE79FD"/>
    <w:rsid w:val="00EF1123"/>
    <w:rsid w:val="00EF6870"/>
    <w:rsid w:val="00F00525"/>
    <w:rsid w:val="00F2138F"/>
    <w:rsid w:val="00F243AA"/>
    <w:rsid w:val="00F2572D"/>
    <w:rsid w:val="00F33D7B"/>
    <w:rsid w:val="00F3766A"/>
    <w:rsid w:val="00F43B74"/>
    <w:rsid w:val="00F455B2"/>
    <w:rsid w:val="00F45CB1"/>
    <w:rsid w:val="00F47255"/>
    <w:rsid w:val="00F479E7"/>
    <w:rsid w:val="00F53890"/>
    <w:rsid w:val="00F5686F"/>
    <w:rsid w:val="00F62AA8"/>
    <w:rsid w:val="00F64663"/>
    <w:rsid w:val="00F65792"/>
    <w:rsid w:val="00F7138B"/>
    <w:rsid w:val="00F714D3"/>
    <w:rsid w:val="00F740EC"/>
    <w:rsid w:val="00F82E74"/>
    <w:rsid w:val="00F85F51"/>
    <w:rsid w:val="00FA135B"/>
    <w:rsid w:val="00FA1A88"/>
    <w:rsid w:val="00FA70AD"/>
    <w:rsid w:val="00FB5CF2"/>
    <w:rsid w:val="00FB607B"/>
    <w:rsid w:val="00FC21BB"/>
    <w:rsid w:val="00FC3401"/>
    <w:rsid w:val="00FC641E"/>
    <w:rsid w:val="00FE038C"/>
    <w:rsid w:val="00FE0E26"/>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E193B"/>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B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98929955">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CAE2B-E0B6-4C23-8899-94729AE1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13105</Words>
  <Characters>72081</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2022-06-01T00:56:00Z</dcterms:created>
  <dcterms:modified xsi:type="dcterms:W3CDTF">2022-06-01T01:00:00Z</dcterms:modified>
</cp:coreProperties>
</file>