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FF4067" w:rsidP="00FF4067" w:rsidRDefault="00FF4067" w14:paraId="632A10FC" w14:textId="10379A21">
      <w:pPr>
        <w:spacing w:after="0" w:line="360" w:lineRule="auto"/>
        <w:rPr>
          <w:rFonts w:eastAsia="Times New Roman" w:cs="Tahoma"/>
          <w:bCs/>
          <w:color w:val="auto"/>
          <w:lang w:eastAsia="es-ES"/>
        </w:rPr>
      </w:pPr>
      <w:r w:rsidRPr="00B377FD">
        <w:rPr>
          <w:rFonts w:eastAsia="Calibri" w:cs="Tahoma"/>
          <w:bCs/>
          <w:color w:val="000000"/>
        </w:rPr>
        <w:t xml:space="preserve">Resolución del Pleno del Instituto de Transparencia, Acceso a la Información Pública y </w:t>
      </w:r>
      <w:r w:rsidRPr="00B377FD">
        <w:rPr>
          <w:rFonts w:eastAsia="Times New Roman" w:cs="Tahoma"/>
          <w:bCs/>
          <w:color w:val="auto"/>
          <w:lang w:eastAsia="es-ES"/>
        </w:rPr>
        <w:t xml:space="preserve">Protección de Datos Personales del Estado de México y Municipios, con domicilio en Metepec, Estado de México, de fecha </w:t>
      </w:r>
      <w:r w:rsidR="009A6223">
        <w:rPr>
          <w:rFonts w:eastAsia="Times New Roman" w:cs="Tahoma"/>
          <w:bCs/>
          <w:color w:val="auto"/>
          <w:lang w:eastAsia="es-ES"/>
        </w:rPr>
        <w:t>veintisiete</w:t>
      </w:r>
      <w:r w:rsidR="007A327B">
        <w:rPr>
          <w:rFonts w:eastAsia="Times New Roman" w:cs="Tahoma"/>
          <w:bCs/>
          <w:color w:val="auto"/>
          <w:lang w:eastAsia="es-ES"/>
        </w:rPr>
        <w:t xml:space="preserve"> </w:t>
      </w:r>
      <w:r>
        <w:rPr>
          <w:rFonts w:eastAsia="Times New Roman" w:cs="Tahoma"/>
          <w:bCs/>
          <w:color w:val="auto"/>
          <w:lang w:eastAsia="es-ES"/>
        </w:rPr>
        <w:t xml:space="preserve">de enero de dos mil veintidós. </w:t>
      </w:r>
    </w:p>
    <w:p w:rsidRPr="00B377FD" w:rsidR="00FF4067" w:rsidP="00FF4067" w:rsidRDefault="00FF4067" w14:paraId="632A10FD" w14:textId="77777777">
      <w:pPr>
        <w:spacing w:after="0" w:line="360" w:lineRule="auto"/>
        <w:rPr>
          <w:rFonts w:eastAsia="Times New Roman" w:cs="Tahoma"/>
          <w:bCs/>
          <w:color w:val="auto"/>
          <w:lang w:eastAsia="es-ES"/>
        </w:rPr>
      </w:pPr>
    </w:p>
    <w:p w:rsidRPr="00B377FD" w:rsidR="00FF4067" w:rsidP="00FF4067" w:rsidRDefault="00FF4067" w14:paraId="632A10FE" w14:textId="7697C76B">
      <w:pPr>
        <w:spacing w:after="0" w:line="360" w:lineRule="auto"/>
        <w:rPr>
          <w:rFonts w:eastAsia="Calibri" w:cs="Tahoma"/>
          <w:color w:val="0D0D0D"/>
        </w:rPr>
      </w:pPr>
      <w:r w:rsidRPr="391D960E" w:rsidR="391D960E">
        <w:rPr>
          <w:rFonts w:eastAsia="Times New Roman" w:cs="Tahoma"/>
          <w:b w:val="1"/>
          <w:bCs w:val="1"/>
          <w:color w:val="auto"/>
          <w:lang w:eastAsia="es-ES"/>
        </w:rPr>
        <w:t>VISTO</w:t>
      </w:r>
      <w:r w:rsidRPr="391D960E" w:rsidR="391D960E">
        <w:rPr>
          <w:rFonts w:eastAsia="Calibri" w:cs="Tahoma"/>
          <w:color w:val="0D0D0D" w:themeColor="text1" w:themeTint="F2" w:themeShade="FF"/>
        </w:rPr>
        <w:t xml:space="preserve"> el expediente conformado con motivo del Recurso de Revisión </w:t>
      </w:r>
      <w:r w:rsidRPr="391D960E" w:rsidR="391D960E">
        <w:rPr>
          <w:rFonts w:eastAsia="Calibri" w:cs="Tahoma"/>
          <w:color w:val="000000" w:themeColor="text1" w:themeTint="FF" w:themeShade="FF"/>
        </w:rPr>
        <w:t>05431/INFOEM/IP/RR/2021</w:t>
      </w:r>
      <w:r w:rsidRPr="391D960E" w:rsidR="391D960E">
        <w:rPr>
          <w:rFonts w:eastAsia="Calibri" w:cs="Tahoma"/>
          <w:color w:val="000000" w:themeColor="text1" w:themeTint="FF" w:themeShade="FF"/>
        </w:rPr>
        <w:t>,</w:t>
      </w:r>
      <w:r w:rsidRPr="391D960E" w:rsidR="391D960E">
        <w:rPr>
          <w:rFonts w:eastAsia="Calibri" w:cs="Tahoma"/>
          <w:color w:val="000000" w:themeColor="text1" w:themeTint="FF" w:themeShade="FF"/>
        </w:rPr>
        <w:t xml:space="preserve"> interpuesto por </w:t>
      </w:r>
      <w:r w:rsidRPr="391D960E" w:rsidR="391D960E">
        <w:rPr>
          <w:rFonts w:eastAsia="Calibri" w:cs="Tahoma"/>
          <w:color w:val="000000" w:themeColor="text1" w:themeTint="FF" w:themeShade="FF"/>
          <w:highlight w:val="black"/>
        </w:rPr>
        <w:t>XXXXXXXXXXXXXXXXXXXXXXXXX</w:t>
      </w:r>
      <w:r w:rsidRPr="391D960E" w:rsidR="391D960E">
        <w:rPr>
          <w:rFonts w:eastAsia="Calibri" w:cs="Tahoma"/>
          <w:color w:val="000000" w:themeColor="text1" w:themeTint="FF" w:themeShade="FF"/>
        </w:rPr>
        <w:t xml:space="preserve">, en lo sucesivo, el </w:t>
      </w:r>
      <w:r w:rsidRPr="391D960E" w:rsidR="391D960E">
        <w:rPr>
          <w:rFonts w:eastAsia="Calibri" w:cs="Tahoma"/>
          <w:color w:val="0D0D0D" w:themeColor="text1" w:themeTint="F2" w:themeShade="FF"/>
        </w:rPr>
        <w:t>Recurrente o Particular, en contra de la respuesta del Sujeto Obligado,</w:t>
      </w:r>
      <w:r w:rsidRPr="391D960E" w:rsidR="391D960E">
        <w:rPr>
          <w:rFonts w:eastAsia="Calibri" w:cs="Tahoma"/>
          <w:color w:val="000000" w:themeColor="text1" w:themeTint="FF" w:themeShade="FF"/>
        </w:rPr>
        <w:t xml:space="preserve"> Partido Movimiento Ciudadano, a la solicitud de acceso a la información 00030/PMCIU/IP/2021, se emite la presente Resolución, con base en los Antecedentes y Considerandos que se exponen a continuación:</w:t>
      </w:r>
    </w:p>
    <w:p w:rsidRPr="00B377FD" w:rsidR="00FF4067" w:rsidP="00FF4067" w:rsidRDefault="00FF4067" w14:paraId="632A10FF" w14:textId="77777777">
      <w:pPr>
        <w:spacing w:after="0" w:line="360" w:lineRule="auto"/>
        <w:rPr>
          <w:rFonts w:eastAsia="Calibri" w:cs="Tahoma"/>
          <w:color w:val="000000"/>
        </w:rPr>
      </w:pPr>
    </w:p>
    <w:p w:rsidRPr="00B377FD" w:rsidR="00FF4067" w:rsidP="00FF4067" w:rsidRDefault="00FF4067" w14:paraId="632A1100" w14:textId="77777777">
      <w:pPr>
        <w:tabs>
          <w:tab w:val="center" w:pos="4522"/>
          <w:tab w:val="left" w:pos="7245"/>
        </w:tabs>
        <w:spacing w:after="0" w:line="360" w:lineRule="auto"/>
        <w:jc w:val="center"/>
        <w:rPr>
          <w:rFonts w:eastAsia="Calibri" w:cs="Tahoma"/>
          <w:b/>
          <w:color w:val="000000"/>
        </w:rPr>
      </w:pPr>
      <w:r w:rsidRPr="00B377FD">
        <w:rPr>
          <w:rFonts w:eastAsia="Calibri" w:cs="Tahoma"/>
          <w:b/>
          <w:color w:val="000000"/>
        </w:rPr>
        <w:t>A N T E C E D E N T E S:</w:t>
      </w:r>
    </w:p>
    <w:p w:rsidRPr="00B377FD" w:rsidR="00FF4067" w:rsidP="00FF4067" w:rsidRDefault="00FF4067" w14:paraId="632A1101" w14:textId="77777777">
      <w:pPr>
        <w:spacing w:after="0" w:line="360" w:lineRule="auto"/>
      </w:pPr>
    </w:p>
    <w:p w:rsidRPr="00B377FD" w:rsidR="00FF4067" w:rsidP="00FF4067" w:rsidRDefault="00FF4067" w14:paraId="632A1102" w14:textId="77777777">
      <w:pPr>
        <w:tabs>
          <w:tab w:val="left" w:pos="567"/>
        </w:tabs>
        <w:spacing w:after="0" w:line="360" w:lineRule="auto"/>
        <w:rPr>
          <w:rFonts w:eastAsia="Times New Roman" w:cs="Tahoma"/>
          <w:b/>
          <w:color w:val="auto"/>
          <w:lang w:eastAsia="es-ES"/>
        </w:rPr>
      </w:pPr>
      <w:r w:rsidRPr="00B377FD">
        <w:rPr>
          <w:rFonts w:eastAsia="Times New Roman" w:cs="Tahoma"/>
          <w:b/>
          <w:color w:val="auto"/>
          <w:lang w:eastAsia="es-ES"/>
        </w:rPr>
        <w:t>I. Presentación de la solicitud de información:</w:t>
      </w:r>
    </w:p>
    <w:p w:rsidRPr="00B377FD" w:rsidR="00FF4067" w:rsidP="00FF4067" w:rsidRDefault="00FF4067" w14:paraId="632A1103" w14:textId="77777777">
      <w:pPr>
        <w:tabs>
          <w:tab w:val="left" w:pos="567"/>
        </w:tabs>
        <w:spacing w:after="0" w:line="360" w:lineRule="auto"/>
        <w:rPr>
          <w:rFonts w:eastAsia="Times New Roman" w:cs="Tahoma"/>
          <w:color w:val="auto"/>
          <w:lang w:eastAsia="es-ES"/>
        </w:rPr>
      </w:pPr>
    </w:p>
    <w:p w:rsidRPr="00BC2DAE" w:rsidR="00FF4067" w:rsidP="00FF4067" w:rsidRDefault="00FF4067" w14:paraId="632A1104" w14:textId="77777777">
      <w:pPr>
        <w:spacing w:after="0" w:line="360" w:lineRule="auto"/>
        <w:rPr>
          <w:rFonts w:eastAsia="Times New Roman" w:cs="Tahoma"/>
          <w:color w:val="auto"/>
          <w:lang w:eastAsia="es-ES"/>
        </w:rPr>
      </w:pPr>
      <w:r w:rsidRPr="00B377FD">
        <w:rPr>
          <w:rFonts w:eastAsia="Times New Roman" w:cs="Tahoma"/>
          <w:color w:val="auto"/>
          <w:lang w:eastAsia="es-ES"/>
        </w:rPr>
        <w:t>Con fecha</w:t>
      </w:r>
      <w:r>
        <w:rPr>
          <w:rFonts w:eastAsia="Times New Roman" w:cs="Tahoma"/>
          <w:color w:val="auto"/>
          <w:lang w:eastAsia="es-ES"/>
        </w:rPr>
        <w:t xml:space="preserve"> veintisiete de octubre de dos mil veintiuno, el</w:t>
      </w:r>
      <w:r w:rsidRPr="00B377FD">
        <w:rPr>
          <w:rFonts w:eastAsia="Times New Roman" w:cs="Tahoma"/>
          <w:color w:val="auto"/>
          <w:lang w:eastAsia="es-ES"/>
        </w:rPr>
        <w:t xml:space="preserve"> Particular presentó una solicitud de acceso a la información pública, a través del Sistema de Acceso a la Información Mexiquense (SAIMEX), ante el </w:t>
      </w:r>
      <w:r>
        <w:rPr>
          <w:rFonts w:eastAsia="Calibri" w:cs="Tahoma"/>
        </w:rPr>
        <w:t>Partido Movimiento Ciudadano,</w:t>
      </w:r>
      <w:r w:rsidRPr="00B377FD">
        <w:rPr>
          <w:rFonts w:eastAsia="Calibri" w:cs="Tahoma"/>
        </w:rPr>
        <w:t xml:space="preserve"> en los siguientes términos: </w:t>
      </w:r>
    </w:p>
    <w:p w:rsidRPr="00B377FD" w:rsidR="00FF4067" w:rsidP="00FF4067" w:rsidRDefault="00FF4067" w14:paraId="632A1105" w14:textId="77777777">
      <w:pPr>
        <w:spacing w:after="0" w:line="360" w:lineRule="auto"/>
        <w:rPr>
          <w:rFonts w:eastAsia="Calibri" w:cs="Tahoma"/>
        </w:rPr>
      </w:pPr>
    </w:p>
    <w:p w:rsidRPr="003D30B4" w:rsidR="00FF4067" w:rsidP="00FF4067" w:rsidRDefault="00FF4067" w14:paraId="632A1106" w14:textId="77777777">
      <w:pPr>
        <w:tabs>
          <w:tab w:val="left" w:pos="4667"/>
        </w:tabs>
        <w:spacing w:after="0" w:line="360" w:lineRule="auto"/>
        <w:ind w:left="567" w:right="567"/>
        <w:rPr>
          <w:rFonts w:eastAsia="Times New Roman" w:cs="Tahoma"/>
          <w:b/>
          <w:i/>
          <w:iCs/>
          <w:color w:val="auto"/>
          <w:sz w:val="20"/>
          <w:szCs w:val="20"/>
          <w:lang w:eastAsia="es-ES"/>
        </w:rPr>
      </w:pPr>
      <w:r w:rsidRPr="003D30B4">
        <w:rPr>
          <w:rFonts w:eastAsia="Times New Roman" w:cs="Tahoma"/>
          <w:b/>
          <w:i/>
          <w:iCs/>
          <w:color w:val="auto"/>
          <w:sz w:val="20"/>
          <w:szCs w:val="20"/>
          <w:lang w:eastAsia="es-ES"/>
        </w:rPr>
        <w:t>“DESCRIPCIÓN CLARA Y PRECISA DE LA INFORMACIÓN SOLICITADA.</w:t>
      </w:r>
    </w:p>
    <w:p w:rsidRPr="003D30B4" w:rsidR="00FF4067" w:rsidP="00FF4067" w:rsidRDefault="00FF4067" w14:paraId="632A1107" w14:textId="77777777">
      <w:pPr>
        <w:tabs>
          <w:tab w:val="left" w:pos="4667"/>
        </w:tabs>
        <w:spacing w:after="0" w:line="360" w:lineRule="auto"/>
        <w:ind w:left="567" w:right="567"/>
        <w:rPr>
          <w:rFonts w:eastAsia="Times New Roman" w:cs="Tahoma"/>
          <w:bCs/>
          <w:i/>
          <w:iCs/>
          <w:color w:val="auto"/>
          <w:sz w:val="20"/>
          <w:szCs w:val="20"/>
          <w:lang w:eastAsia="es-ES"/>
        </w:rPr>
      </w:pPr>
      <w:r w:rsidRPr="00FF4067">
        <w:rPr>
          <w:rFonts w:eastAsia="Times New Roman" w:cs="Tahoma"/>
          <w:bCs/>
          <w:i/>
          <w:iCs/>
          <w:color w:val="auto"/>
          <w:sz w:val="20"/>
          <w:szCs w:val="20"/>
          <w:lang w:eastAsia="es-ES"/>
        </w:rPr>
        <w:t xml:space="preserve">Del Partido Político Movimiento Ciudadano solicito: 1.- Versión publica de los comprobantes de sueldos, salarios, honorarios y/o cualquier otro tipo de retribución equivalente para dirigentes, empleados, empleadas, trabajadores o trabajadoras independientes que presten sus servicios; dichos comprobantes que cumplan con los requisitos fiscales para la materia del 1 de enero a la fecha de la presente solicitud. 2.- Cantidad total de financiamiento público para el sostenimiento de actividades ordinarias permanentes y actividades específicas; a partir del 04 de septiembre del año dos mil veintiunos a la fecha de solicitud, lo anterior desglosado por actividad, estructura, sueldos, salarios, honorarios y/o cualquier otro tipo de retribución, equivalentes para dirigentes, empleados, empleadas, trabajadores o trabajadoras independientes que presten servicio que cumplan con los requisitos </w:t>
      </w:r>
      <w:r w:rsidRPr="00FF4067">
        <w:rPr>
          <w:rFonts w:eastAsia="Times New Roman" w:cs="Tahoma"/>
          <w:bCs/>
          <w:i/>
          <w:iCs/>
          <w:color w:val="auto"/>
          <w:sz w:val="20"/>
          <w:szCs w:val="20"/>
          <w:lang w:eastAsia="es-ES"/>
        </w:rPr>
        <w:lastRenderedPageBreak/>
        <w:t>fiscales para la materia. 3.- Cantidad recibida desglosada en ministraciones acorde al calendario aprobado por el consejo general para el sostenimiento de actividades ordinarias y específicas lo anterior desglosado por actividad, estructura, sueldos, salarios, honorarios y/o cualquier otro tipo de retribución a partir del mes de septiembre del 2021 a la presente fecha.</w:t>
      </w:r>
      <w:r w:rsidRPr="003D30B4">
        <w:rPr>
          <w:rFonts w:eastAsia="Times New Roman" w:cs="Tahoma"/>
          <w:bCs/>
          <w:i/>
          <w:iCs/>
          <w:color w:val="auto"/>
          <w:sz w:val="20"/>
          <w:szCs w:val="20"/>
          <w:lang w:eastAsia="es-ES"/>
        </w:rPr>
        <w:t xml:space="preserve">” (Sic) </w:t>
      </w:r>
    </w:p>
    <w:p w:rsidRPr="003D30B4" w:rsidR="00FF4067" w:rsidP="00FF4067" w:rsidRDefault="00FF4067" w14:paraId="632A1108" w14:textId="77777777">
      <w:pPr>
        <w:tabs>
          <w:tab w:val="left" w:pos="4667"/>
        </w:tabs>
        <w:spacing w:after="0" w:line="360" w:lineRule="auto"/>
        <w:ind w:left="567" w:right="567"/>
        <w:rPr>
          <w:rFonts w:eastAsia="Times New Roman" w:cs="Tahoma"/>
          <w:b/>
          <w:bCs/>
          <w:i/>
          <w:iCs/>
          <w:color w:val="auto"/>
          <w:sz w:val="20"/>
          <w:lang w:eastAsia="es-ES"/>
        </w:rPr>
      </w:pPr>
    </w:p>
    <w:p w:rsidRPr="00B377FD" w:rsidR="00FF4067" w:rsidP="00FF4067" w:rsidRDefault="00FF4067" w14:paraId="632A1109" w14:textId="77777777">
      <w:pPr>
        <w:tabs>
          <w:tab w:val="left" w:pos="4667"/>
        </w:tabs>
        <w:spacing w:after="0" w:line="360" w:lineRule="auto"/>
        <w:ind w:left="567" w:right="567"/>
        <w:rPr>
          <w:rFonts w:eastAsia="Times New Roman" w:cs="Tahoma"/>
          <w:b/>
          <w:bCs/>
          <w:i/>
          <w:iCs/>
          <w:color w:val="auto"/>
          <w:sz w:val="20"/>
          <w:lang w:eastAsia="es-ES"/>
        </w:rPr>
      </w:pPr>
      <w:r w:rsidRPr="003D30B4">
        <w:rPr>
          <w:rFonts w:eastAsia="Times New Roman" w:cs="Tahoma"/>
          <w:b/>
          <w:bCs/>
          <w:i/>
          <w:iCs/>
          <w:color w:val="auto"/>
          <w:sz w:val="20"/>
          <w:lang w:eastAsia="es-ES"/>
        </w:rPr>
        <w:t>“MODALIDAD DE ENTREGA</w:t>
      </w:r>
    </w:p>
    <w:p w:rsidR="00FF4067" w:rsidP="00FF4067" w:rsidRDefault="00FF4067" w14:paraId="632A110A" w14:textId="77777777">
      <w:pPr>
        <w:spacing w:after="0" w:line="360" w:lineRule="auto"/>
        <w:ind w:left="567" w:right="567"/>
        <w:rPr>
          <w:rFonts w:eastAsia="Times New Roman" w:cs="Arial"/>
          <w:bCs/>
          <w:i/>
          <w:iCs/>
          <w:color w:val="auto"/>
          <w:sz w:val="20"/>
          <w:lang w:eastAsia="es-ES"/>
        </w:rPr>
      </w:pPr>
      <w:r w:rsidRPr="00B377FD">
        <w:rPr>
          <w:rFonts w:eastAsia="Times New Roman" w:cs="Arial"/>
          <w:bCs/>
          <w:i/>
          <w:iCs/>
          <w:color w:val="auto"/>
          <w:sz w:val="20"/>
          <w:lang w:eastAsia="es-ES"/>
        </w:rPr>
        <w:t>A través del SAIMEX”</w:t>
      </w:r>
    </w:p>
    <w:p w:rsidRPr="00682222" w:rsidR="00FF4067" w:rsidP="00FF4067" w:rsidRDefault="00FF4067" w14:paraId="632A110B" w14:textId="77777777">
      <w:pPr>
        <w:spacing w:after="0" w:line="360" w:lineRule="auto"/>
        <w:ind w:left="567" w:right="567"/>
        <w:rPr>
          <w:rFonts w:eastAsia="Times New Roman" w:cs="Arial"/>
          <w:bCs/>
          <w:i/>
          <w:iCs/>
          <w:color w:val="auto"/>
          <w:sz w:val="20"/>
          <w:lang w:eastAsia="es-ES"/>
        </w:rPr>
      </w:pPr>
    </w:p>
    <w:p w:rsidRPr="00B377FD" w:rsidR="00FF4067" w:rsidP="00FF4067" w:rsidRDefault="00FF4067" w14:paraId="632A110C" w14:textId="77777777">
      <w:pPr>
        <w:autoSpaceDE w:val="0"/>
        <w:autoSpaceDN w:val="0"/>
        <w:adjustRightInd w:val="0"/>
        <w:spacing w:after="0" w:line="360" w:lineRule="auto"/>
        <w:rPr>
          <w:b/>
          <w:bCs/>
        </w:rPr>
      </w:pPr>
      <w:r w:rsidRPr="00B377FD">
        <w:rPr>
          <w:rFonts w:cs="Tahoma"/>
          <w:b/>
        </w:rPr>
        <w:t>II.</w:t>
      </w:r>
      <w:r w:rsidRPr="00B377FD">
        <w:rPr>
          <w:b/>
          <w:bCs/>
        </w:rPr>
        <w:t xml:space="preserve"> Respuesta del Sujeto Obligado. </w:t>
      </w:r>
    </w:p>
    <w:p w:rsidRPr="00B377FD" w:rsidR="00FF4067" w:rsidP="00FF4067" w:rsidRDefault="00FF4067" w14:paraId="632A110D" w14:textId="77777777">
      <w:pPr>
        <w:spacing w:after="0" w:line="360" w:lineRule="auto"/>
      </w:pPr>
    </w:p>
    <w:p w:rsidR="002B63F0" w:rsidP="00FF4067" w:rsidRDefault="00FF4067" w14:paraId="632A110E" w14:textId="77777777">
      <w:pPr>
        <w:spacing w:after="0" w:line="360" w:lineRule="auto"/>
      </w:pPr>
      <w:r w:rsidRPr="00B377FD">
        <w:t>Con fecha</w:t>
      </w:r>
      <w:r w:rsidR="002B63F0">
        <w:t xml:space="preserve"> primero de noviembre de dos mil veintiuno, el Sujeto Obligado notifico, a </w:t>
      </w:r>
      <w:r w:rsidRPr="00B377FD" w:rsidR="002B63F0">
        <w:t>través del Sistema de Acceso a la Información Mexiquense (SAIMEX), la respuesta a la solicitud</w:t>
      </w:r>
      <w:r w:rsidR="002B63F0">
        <w:t xml:space="preserve"> de acceso a la información pública, mediante el oficio número: MOVCIU/UT-0064/2020, de fecha veintiocho de octubre de dos mil veintiuno, suscrito por  el Titular del Comité de Transparencia y, es dirigido al S</w:t>
      </w:r>
      <w:r w:rsidR="001140B4">
        <w:t>olicitante, de cuyo contenido s</w:t>
      </w:r>
      <w:r w:rsidR="002B63F0">
        <w:t xml:space="preserve">e desprende lo siguiente: </w:t>
      </w:r>
    </w:p>
    <w:p w:rsidR="002B63F0" w:rsidP="00FF4067" w:rsidRDefault="002B63F0" w14:paraId="632A110F" w14:textId="77777777">
      <w:pPr>
        <w:spacing w:after="0" w:line="360" w:lineRule="auto"/>
      </w:pPr>
    </w:p>
    <w:p w:rsidRPr="00F13D04" w:rsidR="002B63F0" w:rsidP="00F13D04" w:rsidRDefault="004D483B" w14:paraId="632A1110" w14:textId="77777777">
      <w:pPr>
        <w:spacing w:after="0" w:line="360" w:lineRule="auto"/>
        <w:ind w:left="567" w:right="567"/>
        <w:rPr>
          <w:i/>
          <w:sz w:val="20"/>
          <w:szCs w:val="20"/>
        </w:rPr>
      </w:pPr>
      <w:r w:rsidRPr="00F13D04">
        <w:rPr>
          <w:i/>
          <w:sz w:val="20"/>
          <w:szCs w:val="20"/>
        </w:rPr>
        <w:t>“…</w:t>
      </w:r>
    </w:p>
    <w:p w:rsidRPr="00F13D04" w:rsidR="004D483B" w:rsidP="00F13D04" w:rsidRDefault="004D483B" w14:paraId="632A1111" w14:textId="77777777">
      <w:pPr>
        <w:spacing w:after="0" w:line="360" w:lineRule="auto"/>
        <w:ind w:left="567" w:right="567"/>
        <w:rPr>
          <w:i/>
          <w:sz w:val="20"/>
          <w:szCs w:val="20"/>
        </w:rPr>
      </w:pPr>
      <w:r w:rsidRPr="00F13D04">
        <w:rPr>
          <w:i/>
          <w:sz w:val="20"/>
          <w:szCs w:val="20"/>
        </w:rPr>
        <w:t xml:space="preserve">Del análisis de la solicitud presentada se identifican 3 requerimientos de información los cuales consisten en lo siguiente: </w:t>
      </w:r>
    </w:p>
    <w:p w:rsidRPr="00F13D04" w:rsidR="004D483B" w:rsidP="00F13D04" w:rsidRDefault="004D483B" w14:paraId="632A1112" w14:textId="77777777">
      <w:pPr>
        <w:spacing w:after="0" w:line="360" w:lineRule="auto"/>
        <w:ind w:left="567" w:right="567"/>
        <w:rPr>
          <w:i/>
          <w:sz w:val="20"/>
          <w:szCs w:val="20"/>
        </w:rPr>
      </w:pPr>
    </w:p>
    <w:p w:rsidRPr="00F13D04" w:rsidR="004D483B" w:rsidP="00F13D04" w:rsidRDefault="004D483B" w14:paraId="632A1113" w14:textId="77777777">
      <w:pPr>
        <w:spacing w:after="0" w:line="360" w:lineRule="auto"/>
        <w:ind w:left="567" w:right="567"/>
        <w:rPr>
          <w:i/>
          <w:sz w:val="20"/>
          <w:szCs w:val="20"/>
        </w:rPr>
      </w:pPr>
      <w:r w:rsidRPr="00F13D04">
        <w:rPr>
          <w:i/>
          <w:sz w:val="20"/>
          <w:szCs w:val="20"/>
        </w:rPr>
        <w:t>1.</w:t>
      </w:r>
    </w:p>
    <w:p w:rsidRPr="00F13D04" w:rsidR="002B63F0" w:rsidP="00F13D04" w:rsidRDefault="004D483B" w14:paraId="632A1114" w14:textId="77777777">
      <w:pPr>
        <w:spacing w:after="0" w:line="360" w:lineRule="auto"/>
        <w:ind w:left="567" w:right="567"/>
        <w:rPr>
          <w:i/>
          <w:sz w:val="20"/>
          <w:szCs w:val="20"/>
        </w:rPr>
      </w:pPr>
      <w:r w:rsidRPr="00F13D04">
        <w:rPr>
          <w:i/>
          <w:sz w:val="20"/>
          <w:szCs w:val="20"/>
        </w:rPr>
        <w:t xml:space="preserve">En relación con el requerimiento identificado con el número 1, informo a Usted, que la Comisión Operativa Estatal de Movimiento Ciudadano en el Estado de México, no genera comprobantes de sueldos y salarios; en razón de que dirigentes, empleados, empleadas y trabajadores de Movimiento Ciudadano en la entidad, se encuentran bajo el régimen de subcontratación de servicios especializados; por lo que los pagos se realizan a través de un proveedor externo, quien emite los recibos correspondientes; mismo que celebra un contrato con la Comisión Operativa Estatal, a quien factura esta prestación de servicios. El documento jurídico antes citado, se encuentra disponible en las obligaciones de transparencia específicas de este instituto político a través del portal de </w:t>
      </w:r>
      <w:r w:rsidRPr="00F13D04">
        <w:rPr>
          <w:i/>
          <w:sz w:val="20"/>
          <w:szCs w:val="20"/>
        </w:rPr>
        <w:lastRenderedPageBreak/>
        <w:t xml:space="preserve">Información Pública de Oficio Mexiquense IPOMEX, en la fracción IV del artículo 100, misma que puede ser consultada en el siguiente hipervínculo: </w:t>
      </w:r>
    </w:p>
    <w:p w:rsidRPr="00F13D04" w:rsidR="004D483B" w:rsidP="00F13D04" w:rsidRDefault="004D483B" w14:paraId="632A1115" w14:textId="77777777">
      <w:pPr>
        <w:spacing w:after="0" w:line="360" w:lineRule="auto"/>
        <w:ind w:left="567" w:right="567"/>
        <w:rPr>
          <w:i/>
          <w:sz w:val="20"/>
          <w:szCs w:val="20"/>
        </w:rPr>
      </w:pPr>
    </w:p>
    <w:p w:rsidRPr="00F13D04" w:rsidR="004D483B" w:rsidP="00F13D04" w:rsidRDefault="00211FA7" w14:paraId="632A1116" w14:textId="77777777">
      <w:pPr>
        <w:spacing w:after="0" w:line="360" w:lineRule="auto"/>
        <w:ind w:left="567" w:right="567"/>
        <w:rPr>
          <w:i/>
          <w:sz w:val="20"/>
          <w:szCs w:val="20"/>
        </w:rPr>
      </w:pPr>
      <w:hyperlink w:history="1" r:id="rId7">
        <w:r w:rsidRPr="00F13D04" w:rsidR="004D483B">
          <w:rPr>
            <w:rStyle w:val="Hipervnculo"/>
            <w:i/>
            <w:sz w:val="20"/>
            <w:szCs w:val="20"/>
          </w:rPr>
          <w:t>https://www.ipomex.org.mx/ipo3/lgt/indice/PMCIU/art_100_iv/3.web</w:t>
        </w:r>
      </w:hyperlink>
      <w:r w:rsidRPr="00F13D04" w:rsidR="004D483B">
        <w:rPr>
          <w:i/>
          <w:sz w:val="20"/>
          <w:szCs w:val="20"/>
        </w:rPr>
        <w:t xml:space="preserve"> </w:t>
      </w:r>
    </w:p>
    <w:p w:rsidRPr="00F13D04" w:rsidR="002B63F0" w:rsidP="00F13D04" w:rsidRDefault="002B63F0" w14:paraId="632A1117" w14:textId="77777777">
      <w:pPr>
        <w:spacing w:after="0" w:line="360" w:lineRule="auto"/>
        <w:ind w:left="567" w:right="567"/>
        <w:rPr>
          <w:i/>
          <w:sz w:val="20"/>
          <w:szCs w:val="20"/>
        </w:rPr>
      </w:pPr>
    </w:p>
    <w:p w:rsidRPr="00F13D04" w:rsidR="002B63F0" w:rsidP="00F13D04" w:rsidRDefault="004D483B" w14:paraId="632A1118" w14:textId="77777777">
      <w:pPr>
        <w:spacing w:after="0" w:line="360" w:lineRule="auto"/>
        <w:ind w:left="567" w:right="567"/>
        <w:rPr>
          <w:i/>
          <w:sz w:val="20"/>
          <w:szCs w:val="20"/>
        </w:rPr>
      </w:pPr>
      <w:r w:rsidRPr="00F13D04">
        <w:rPr>
          <w:i/>
          <w:sz w:val="20"/>
          <w:szCs w:val="20"/>
        </w:rPr>
        <w:t>Por lo anterior expuesto, con fundamento en el criterio 18/13 del INAI, ahora IFAI, Respuesta igual a cero; hago de su conocimiento que Movimiento Ciudadano Estado de México, emitió 0 comprobantes de sueldos, salarios, honorarios y/o cualquier otro tipo de retribución equivalente para dirigentes, empleados, empleadas, trabajadores o trabajadoras independientes de enero de 2021 a la fecha.</w:t>
      </w:r>
    </w:p>
    <w:p w:rsidRPr="00F13D04" w:rsidR="002B63F0" w:rsidP="00F13D04" w:rsidRDefault="002B63F0" w14:paraId="632A1119" w14:textId="77777777">
      <w:pPr>
        <w:spacing w:after="0" w:line="360" w:lineRule="auto"/>
        <w:ind w:left="567" w:right="567"/>
        <w:rPr>
          <w:i/>
          <w:sz w:val="20"/>
          <w:szCs w:val="20"/>
        </w:rPr>
      </w:pPr>
    </w:p>
    <w:p w:rsidRPr="00F13D04" w:rsidR="002B63F0" w:rsidP="00F97336" w:rsidRDefault="004D483B" w14:paraId="632A111A" w14:textId="77777777">
      <w:pPr>
        <w:spacing w:after="0" w:line="360" w:lineRule="auto"/>
        <w:ind w:left="1134" w:right="1134"/>
        <w:rPr>
          <w:i/>
          <w:sz w:val="20"/>
          <w:szCs w:val="20"/>
        </w:rPr>
      </w:pPr>
      <w:r w:rsidRPr="00F13D04">
        <w:rPr>
          <w:i/>
          <w:sz w:val="20"/>
          <w:szCs w:val="20"/>
        </w:rPr>
        <w:t>“Respuesta igual a cero. No es necesario declarar formalmente la inexistencia. En los casos en que se requiere un dato estadístico o numérico, y el resultado de la búsqueda de la información sea cero, éste deberá entenderse como un dato que constituye un elemento numérico que atiende la solicitud, y no como la inexistencia de la información solicitada.”</w:t>
      </w:r>
    </w:p>
    <w:p w:rsidRPr="00F13D04" w:rsidR="002B63F0" w:rsidP="00F97336" w:rsidRDefault="002B63F0" w14:paraId="632A111B" w14:textId="77777777">
      <w:pPr>
        <w:spacing w:after="0" w:line="360" w:lineRule="auto"/>
        <w:ind w:right="567"/>
        <w:rPr>
          <w:i/>
          <w:sz w:val="20"/>
          <w:szCs w:val="20"/>
        </w:rPr>
      </w:pPr>
    </w:p>
    <w:p w:rsidRPr="00F13D04" w:rsidR="004D483B" w:rsidP="00F13D04" w:rsidRDefault="004D483B" w14:paraId="632A111C" w14:textId="77777777">
      <w:pPr>
        <w:spacing w:after="0" w:line="360" w:lineRule="auto"/>
        <w:ind w:left="567" w:right="567"/>
        <w:rPr>
          <w:i/>
          <w:sz w:val="20"/>
          <w:szCs w:val="20"/>
        </w:rPr>
      </w:pPr>
      <w:r w:rsidRPr="00F13D04">
        <w:rPr>
          <w:i/>
          <w:sz w:val="20"/>
          <w:szCs w:val="20"/>
        </w:rPr>
        <w:t>2.</w:t>
      </w:r>
    </w:p>
    <w:p w:rsidRPr="00F13D04" w:rsidR="002B63F0" w:rsidP="00F13D04" w:rsidRDefault="004D483B" w14:paraId="632A111D" w14:textId="77777777">
      <w:pPr>
        <w:spacing w:after="0" w:line="360" w:lineRule="auto"/>
        <w:ind w:left="567" w:right="567"/>
        <w:rPr>
          <w:i/>
          <w:sz w:val="20"/>
          <w:szCs w:val="20"/>
        </w:rPr>
      </w:pPr>
      <w:r w:rsidRPr="00F13D04">
        <w:rPr>
          <w:i/>
          <w:sz w:val="20"/>
          <w:szCs w:val="20"/>
        </w:rPr>
        <w:t>En relación con el requerimiento identificado con el número 2, hago de su conocimiento, que los montos que recibe la Comisión Operativa Estatal de Movimiento Ciudadano en el Estado de México, por concepto de financiamiento público para el sostenimiento de actividades ordinarias permanentes y actividades específicas, forman parte de las obligaciones de transparencia específicas que este instituto político, está vinculado a publicar de forma mensual; por lo anterior expuesto de conformidad con lo establecido en el artículo 161, de la Ley de Transparencia y Acceso a la Información Pública del Estado de México y Municipios, la cual a la letra señala:</w:t>
      </w:r>
    </w:p>
    <w:p w:rsidRPr="00F13D04" w:rsidR="002B63F0" w:rsidP="00F13D04" w:rsidRDefault="002B63F0" w14:paraId="632A111E" w14:textId="77777777">
      <w:pPr>
        <w:spacing w:after="0" w:line="360" w:lineRule="auto"/>
        <w:ind w:left="567" w:right="567"/>
        <w:rPr>
          <w:i/>
          <w:sz w:val="20"/>
          <w:szCs w:val="20"/>
        </w:rPr>
      </w:pPr>
    </w:p>
    <w:p w:rsidRPr="00F13D04" w:rsidR="002B63F0" w:rsidP="00F97336" w:rsidRDefault="004D483B" w14:paraId="632A111F" w14:textId="77777777">
      <w:pPr>
        <w:spacing w:after="0" w:line="360" w:lineRule="auto"/>
        <w:ind w:left="1134" w:right="1134"/>
        <w:rPr>
          <w:i/>
          <w:sz w:val="20"/>
          <w:szCs w:val="20"/>
        </w:rPr>
      </w:pPr>
      <w:r w:rsidRPr="00F13D04">
        <w:rPr>
          <w:i/>
          <w:sz w:val="20"/>
          <w:szCs w:val="20"/>
        </w:rPr>
        <w:t xml:space="preserve">“Artículo 161.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w:t>
      </w:r>
      <w:r w:rsidRPr="00F13D04">
        <w:rPr>
          <w:i/>
          <w:sz w:val="20"/>
          <w:szCs w:val="20"/>
        </w:rPr>
        <w:lastRenderedPageBreak/>
        <w:t xml:space="preserve">que puede consultar, reproducir o adquirir dicha información en un plazo no mayor a cinco días hábiles” </w:t>
      </w:r>
    </w:p>
    <w:p w:rsidRPr="00F13D04" w:rsidR="002B63F0" w:rsidP="00F13D04" w:rsidRDefault="002B63F0" w14:paraId="632A1120" w14:textId="77777777">
      <w:pPr>
        <w:spacing w:after="0" w:line="360" w:lineRule="auto"/>
        <w:ind w:left="567" w:right="567"/>
        <w:rPr>
          <w:i/>
          <w:sz w:val="20"/>
          <w:szCs w:val="20"/>
        </w:rPr>
      </w:pPr>
    </w:p>
    <w:p w:rsidRPr="00F13D04" w:rsidR="004D483B" w:rsidP="00F13D04" w:rsidRDefault="004D483B" w14:paraId="632A1121" w14:textId="77777777">
      <w:pPr>
        <w:spacing w:after="0" w:line="360" w:lineRule="auto"/>
        <w:ind w:left="567" w:right="567"/>
        <w:rPr>
          <w:i/>
          <w:sz w:val="20"/>
          <w:szCs w:val="20"/>
        </w:rPr>
      </w:pPr>
      <w:r w:rsidRPr="00F13D04">
        <w:rPr>
          <w:i/>
          <w:sz w:val="20"/>
          <w:szCs w:val="20"/>
        </w:rPr>
        <w:t>La información por Usted requerida se encuentra disponible de forma permanente para su consulta a través del portal de Información Pública de Oficio Mexiquense IPOMEX, en la fracción XXIV-A del artículo 100, misma que puede ser consultada en el siguiente hipervínculo:</w:t>
      </w:r>
    </w:p>
    <w:p w:rsidRPr="00F13D04" w:rsidR="002B63F0" w:rsidP="00F13D04" w:rsidRDefault="00211FA7" w14:paraId="632A1122" w14:textId="77777777">
      <w:pPr>
        <w:spacing w:after="0" w:line="360" w:lineRule="auto"/>
        <w:ind w:left="567" w:right="567"/>
        <w:rPr>
          <w:i/>
          <w:sz w:val="20"/>
          <w:szCs w:val="20"/>
        </w:rPr>
      </w:pPr>
      <w:hyperlink w:history="1" r:id="rId8">
        <w:r w:rsidRPr="00F13D04" w:rsidR="004D483B">
          <w:rPr>
            <w:rStyle w:val="Hipervnculo"/>
            <w:i/>
            <w:sz w:val="20"/>
            <w:szCs w:val="20"/>
          </w:rPr>
          <w:t>https://www.ipomex.org.mx/ipo3/lgt/indice/PMCIU/art_100_xxiv_a/3.web</w:t>
        </w:r>
      </w:hyperlink>
      <w:r w:rsidRPr="00F13D04" w:rsidR="004D483B">
        <w:rPr>
          <w:i/>
          <w:sz w:val="20"/>
          <w:szCs w:val="20"/>
        </w:rPr>
        <w:t xml:space="preserve"> </w:t>
      </w:r>
    </w:p>
    <w:p w:rsidRPr="00F13D04" w:rsidR="002B63F0" w:rsidP="00F13D04" w:rsidRDefault="002B63F0" w14:paraId="632A1123" w14:textId="77777777">
      <w:pPr>
        <w:spacing w:after="0" w:line="360" w:lineRule="auto"/>
        <w:ind w:left="567" w:right="567"/>
        <w:rPr>
          <w:i/>
          <w:sz w:val="20"/>
          <w:szCs w:val="20"/>
        </w:rPr>
      </w:pPr>
    </w:p>
    <w:p w:rsidRPr="00F13D04" w:rsidR="002B63F0" w:rsidP="00F13D04" w:rsidRDefault="004D483B" w14:paraId="632A1124" w14:textId="77777777">
      <w:pPr>
        <w:spacing w:after="0" w:line="360" w:lineRule="auto"/>
        <w:ind w:left="567" w:right="567"/>
        <w:rPr>
          <w:i/>
          <w:sz w:val="20"/>
          <w:szCs w:val="20"/>
        </w:rPr>
      </w:pPr>
      <w:r w:rsidRPr="00F13D04">
        <w:rPr>
          <w:i/>
          <w:sz w:val="20"/>
          <w:szCs w:val="20"/>
        </w:rPr>
        <w:t>En relación con la segunda parte de esta petición “desglosado por actividad, estructura, sueldos, salarios, honorarios y/o cualquier otro tipo de retribución, equivalentes para dirigentes, empleados, empleadas, trabajadores o trabajadoras independientes que presten servicio que cumplan con los requisitos fiscales para la materia”; es preciso mencionar que de conformidad con el artículo 12, párrafo segundo de la Ley de Transparencia y Acceso a la Información Pública del Estado de México y Municipios, los sujetos obligados no están obligados a entregar la información conforme al interés del solicitante; como a continuación se transcribe:</w:t>
      </w:r>
    </w:p>
    <w:p w:rsidRPr="00F13D04" w:rsidR="004D483B" w:rsidP="00F13D04" w:rsidRDefault="004D483B" w14:paraId="632A1125" w14:textId="77777777">
      <w:pPr>
        <w:spacing w:after="0" w:line="360" w:lineRule="auto"/>
        <w:ind w:left="567" w:right="567"/>
        <w:rPr>
          <w:i/>
          <w:sz w:val="20"/>
          <w:szCs w:val="20"/>
        </w:rPr>
      </w:pPr>
    </w:p>
    <w:p w:rsidRPr="00F13D04" w:rsidR="004D483B" w:rsidP="00F97336" w:rsidRDefault="004D483B" w14:paraId="632A1126" w14:textId="77777777">
      <w:pPr>
        <w:spacing w:after="0" w:line="360" w:lineRule="auto"/>
        <w:ind w:left="1134" w:right="1134"/>
        <w:rPr>
          <w:i/>
          <w:sz w:val="20"/>
          <w:szCs w:val="20"/>
        </w:rPr>
      </w:pPr>
      <w:r w:rsidRPr="00F13D04">
        <w:rPr>
          <w:i/>
          <w:sz w:val="20"/>
          <w:szCs w:val="20"/>
        </w:rPr>
        <w:t>“Artículo 12. ....</w:t>
      </w:r>
    </w:p>
    <w:p w:rsidRPr="00F13D04" w:rsidR="004D483B" w:rsidP="00F97336" w:rsidRDefault="004D483B" w14:paraId="632A1127" w14:textId="77777777">
      <w:pPr>
        <w:spacing w:after="0" w:line="360" w:lineRule="auto"/>
        <w:ind w:left="1134" w:right="1134"/>
        <w:rPr>
          <w:i/>
          <w:sz w:val="20"/>
          <w:szCs w:val="20"/>
        </w:rPr>
      </w:pPr>
      <w:r w:rsidRPr="00F13D04">
        <w:rPr>
          <w:i/>
          <w:sz w:val="20"/>
          <w:szCs w:val="2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Pr="00F13D04" w:rsidR="004D483B" w:rsidP="00F13D04" w:rsidRDefault="004D483B" w14:paraId="632A1128" w14:textId="77777777">
      <w:pPr>
        <w:spacing w:after="0" w:line="360" w:lineRule="auto"/>
        <w:ind w:left="567" w:right="567"/>
        <w:rPr>
          <w:i/>
          <w:sz w:val="20"/>
          <w:szCs w:val="20"/>
        </w:rPr>
      </w:pPr>
    </w:p>
    <w:p w:rsidRPr="00F13D04" w:rsidR="004D483B" w:rsidP="00F13D04" w:rsidRDefault="004D483B" w14:paraId="632A1129" w14:textId="77777777">
      <w:pPr>
        <w:spacing w:after="0" w:line="360" w:lineRule="auto"/>
        <w:ind w:left="567" w:right="567"/>
        <w:rPr>
          <w:i/>
          <w:sz w:val="20"/>
          <w:szCs w:val="20"/>
        </w:rPr>
      </w:pPr>
      <w:r w:rsidRPr="00F13D04">
        <w:rPr>
          <w:i/>
          <w:sz w:val="20"/>
          <w:szCs w:val="20"/>
        </w:rPr>
        <w:t xml:space="preserve">En este contexto, con la finalidad de garantizar su derecho al acceso a la información pública, hago de su conocimiento que el monto que Movimiento Ciudadano ha erogado por concepto de subcontratación de servicios especializados es de $7,026,000.00 de enero a la fecha de respuesta para lo cual se </w:t>
      </w:r>
      <w:r w:rsidRPr="00F13D04" w:rsidR="00F13D04">
        <w:rPr>
          <w:i/>
          <w:sz w:val="20"/>
          <w:szCs w:val="20"/>
        </w:rPr>
        <w:t>anexa balanza</w:t>
      </w:r>
      <w:r w:rsidRPr="00F13D04">
        <w:rPr>
          <w:i/>
          <w:sz w:val="20"/>
          <w:szCs w:val="20"/>
        </w:rPr>
        <w:t xml:space="preserve"> de comprobación del Sistema Integral de Fiscalización a la fecha de respuesta, en versión pública, donde se acredita la información reportada.</w:t>
      </w:r>
    </w:p>
    <w:p w:rsidRPr="00F13D04" w:rsidR="004D483B" w:rsidP="00F13D04" w:rsidRDefault="004D483B" w14:paraId="632A112A" w14:textId="77777777">
      <w:pPr>
        <w:spacing w:after="0" w:line="360" w:lineRule="auto"/>
        <w:ind w:left="567" w:right="567"/>
        <w:rPr>
          <w:i/>
          <w:sz w:val="20"/>
          <w:szCs w:val="20"/>
        </w:rPr>
      </w:pPr>
    </w:p>
    <w:p w:rsidRPr="00F13D04" w:rsidR="00F13D04" w:rsidP="00F13D04" w:rsidRDefault="00F13D04" w14:paraId="632A112B" w14:textId="77777777">
      <w:pPr>
        <w:spacing w:after="0" w:line="360" w:lineRule="auto"/>
        <w:ind w:left="567" w:right="567"/>
        <w:rPr>
          <w:i/>
          <w:sz w:val="20"/>
          <w:szCs w:val="20"/>
        </w:rPr>
      </w:pPr>
      <w:r w:rsidRPr="00F13D04">
        <w:rPr>
          <w:i/>
          <w:sz w:val="20"/>
          <w:szCs w:val="20"/>
        </w:rPr>
        <w:t>3.</w:t>
      </w:r>
    </w:p>
    <w:p w:rsidRPr="00F13D04" w:rsidR="004D483B" w:rsidP="00F13D04" w:rsidRDefault="00F13D04" w14:paraId="632A112C" w14:textId="77777777">
      <w:pPr>
        <w:spacing w:after="0" w:line="360" w:lineRule="auto"/>
        <w:ind w:left="567" w:right="567"/>
        <w:rPr>
          <w:i/>
          <w:sz w:val="20"/>
          <w:szCs w:val="20"/>
        </w:rPr>
      </w:pPr>
      <w:r w:rsidRPr="00F13D04">
        <w:rPr>
          <w:i/>
          <w:sz w:val="20"/>
          <w:szCs w:val="20"/>
        </w:rPr>
        <w:lastRenderedPageBreak/>
        <w:t>Finalmente, con respecto a su requerimiento de información identificado con el número 3, reitero a Usted, con fundamento en el artículo 161, de la Ley de Transparencia y Acceso a la Información Pública del Estado de México y Municipios; que esta se encuentra disponible de forma permanente para su consulta a través del portal de Información Pública de Oficio Mexiquense IPOMEX, en la fracción XXIV-A del artículo 100, misma que puede ser consultada en el siguiente hipervínculo:</w:t>
      </w:r>
    </w:p>
    <w:p w:rsidRPr="00F13D04" w:rsidR="004D483B" w:rsidP="00F13D04" w:rsidRDefault="004D483B" w14:paraId="632A112D" w14:textId="77777777">
      <w:pPr>
        <w:spacing w:after="0" w:line="360" w:lineRule="auto"/>
        <w:ind w:left="567" w:right="567"/>
        <w:rPr>
          <w:i/>
          <w:sz w:val="20"/>
          <w:szCs w:val="20"/>
        </w:rPr>
      </w:pPr>
    </w:p>
    <w:p w:rsidRPr="00F13D04" w:rsidR="004D483B" w:rsidP="00F13D04" w:rsidRDefault="00211FA7" w14:paraId="632A112E" w14:textId="77777777">
      <w:pPr>
        <w:spacing w:after="0" w:line="360" w:lineRule="auto"/>
        <w:ind w:left="567" w:right="567"/>
        <w:rPr>
          <w:i/>
          <w:sz w:val="20"/>
          <w:szCs w:val="20"/>
        </w:rPr>
      </w:pPr>
      <w:hyperlink w:history="1" r:id="rId9">
        <w:r w:rsidRPr="00F13D04" w:rsidR="00F13D04">
          <w:rPr>
            <w:rStyle w:val="Hipervnculo"/>
            <w:i/>
            <w:sz w:val="20"/>
            <w:szCs w:val="20"/>
          </w:rPr>
          <w:t>https://www.ipomex.org.mx/ipo3/lgt/indice/PMCIU/art_100_xxiv_a/3.web</w:t>
        </w:r>
      </w:hyperlink>
      <w:r w:rsidRPr="00F13D04" w:rsidR="00F13D04">
        <w:rPr>
          <w:i/>
          <w:sz w:val="20"/>
          <w:szCs w:val="20"/>
        </w:rPr>
        <w:t xml:space="preserve"> </w:t>
      </w:r>
    </w:p>
    <w:p w:rsidRPr="00F13D04" w:rsidR="004D483B" w:rsidP="00F13D04" w:rsidRDefault="004D483B" w14:paraId="632A112F" w14:textId="77777777">
      <w:pPr>
        <w:spacing w:after="0" w:line="360" w:lineRule="auto"/>
        <w:ind w:left="567" w:right="567"/>
        <w:rPr>
          <w:i/>
          <w:sz w:val="20"/>
          <w:szCs w:val="20"/>
        </w:rPr>
      </w:pPr>
    </w:p>
    <w:p w:rsidRPr="00F13D04" w:rsidR="004D483B" w:rsidP="00F13D04" w:rsidRDefault="00F13D04" w14:paraId="632A1130" w14:textId="77777777">
      <w:pPr>
        <w:spacing w:after="0" w:line="360" w:lineRule="auto"/>
        <w:ind w:left="567" w:right="567"/>
        <w:rPr>
          <w:i/>
          <w:sz w:val="20"/>
          <w:szCs w:val="20"/>
        </w:rPr>
      </w:pPr>
      <w:r w:rsidRPr="00F13D04">
        <w:rPr>
          <w:i/>
          <w:sz w:val="20"/>
          <w:szCs w:val="20"/>
        </w:rPr>
        <w:t>De la misma forma reitero que de conformidad con el artículo 12, párrafo segundo de la Ley de Transparencia y Acceso a la Información Pública del Estado de México y Municipios, los sujetos obligados no están obligados a entregar la información conforme al interés del solicitante; como a continuación se transcribe:</w:t>
      </w:r>
    </w:p>
    <w:p w:rsidRPr="00F13D04" w:rsidR="00F13D04" w:rsidP="00F13D04" w:rsidRDefault="00F13D04" w14:paraId="632A1131" w14:textId="77777777">
      <w:pPr>
        <w:spacing w:after="0" w:line="360" w:lineRule="auto"/>
        <w:ind w:left="567" w:right="567"/>
        <w:rPr>
          <w:i/>
          <w:sz w:val="20"/>
          <w:szCs w:val="20"/>
        </w:rPr>
      </w:pPr>
    </w:p>
    <w:p w:rsidRPr="00F13D04" w:rsidR="00F13D04" w:rsidP="00F13D04" w:rsidRDefault="00F13D04" w14:paraId="632A1132" w14:textId="77777777">
      <w:pPr>
        <w:spacing w:after="0" w:line="360" w:lineRule="auto"/>
        <w:ind w:left="567" w:right="567"/>
        <w:rPr>
          <w:i/>
          <w:sz w:val="20"/>
          <w:szCs w:val="20"/>
        </w:rPr>
      </w:pPr>
      <w:r w:rsidRPr="00F13D04">
        <w:rPr>
          <w:i/>
          <w:sz w:val="20"/>
          <w:szCs w:val="20"/>
        </w:rPr>
        <w:t>“Artículo 12. ....</w:t>
      </w:r>
    </w:p>
    <w:p w:rsidRPr="00F13D04" w:rsidR="00F13D04" w:rsidP="00F13D04" w:rsidRDefault="00F13D04" w14:paraId="632A1133" w14:textId="77777777">
      <w:pPr>
        <w:spacing w:after="0" w:line="360" w:lineRule="auto"/>
        <w:ind w:left="567" w:right="567"/>
        <w:rPr>
          <w:i/>
          <w:sz w:val="20"/>
          <w:szCs w:val="20"/>
        </w:rPr>
      </w:pPr>
      <w:r w:rsidRPr="00F13D04">
        <w:rPr>
          <w:i/>
          <w:sz w:val="20"/>
          <w:szCs w:val="2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Pr="00F13D04" w:rsidR="00F13D04" w:rsidP="00F13D04" w:rsidRDefault="00F13D04" w14:paraId="632A1134" w14:textId="77777777">
      <w:pPr>
        <w:spacing w:after="0" w:line="360" w:lineRule="auto"/>
        <w:ind w:left="567" w:right="567"/>
        <w:rPr>
          <w:i/>
          <w:sz w:val="20"/>
          <w:szCs w:val="20"/>
        </w:rPr>
      </w:pPr>
      <w:r w:rsidRPr="00F13D04">
        <w:rPr>
          <w:i/>
          <w:sz w:val="20"/>
          <w:szCs w:val="20"/>
        </w:rPr>
        <w:t xml:space="preserve">…” (Sic) </w:t>
      </w:r>
    </w:p>
    <w:p w:rsidR="00F13D04" w:rsidP="00FF4067" w:rsidRDefault="00F13D04" w14:paraId="632A1135" w14:textId="77777777">
      <w:pPr>
        <w:spacing w:after="0" w:line="360" w:lineRule="auto"/>
      </w:pPr>
    </w:p>
    <w:p w:rsidR="00FF4067" w:rsidP="001140B4" w:rsidRDefault="001140B4" w14:paraId="632A1136" w14:textId="77777777">
      <w:pPr>
        <w:spacing w:after="0" w:line="360" w:lineRule="auto"/>
        <w:rPr>
          <w:iCs/>
        </w:rPr>
      </w:pPr>
      <w:r>
        <w:t>A la respuesta previamente referida, el Sujeto O</w:t>
      </w:r>
      <w:r w:rsidR="00F7577D">
        <w:t>bligado</w:t>
      </w:r>
      <w:r>
        <w:t xml:space="preserve"> adjunto la digitalizaci</w:t>
      </w:r>
      <w:r w:rsidR="00F7577D">
        <w:t>ón</w:t>
      </w:r>
      <w:r w:rsidR="00515347">
        <w:t xml:space="preserve"> consistente en una foja de la “</w:t>
      </w:r>
      <w:r w:rsidR="00515347">
        <w:rPr>
          <w:iCs/>
        </w:rPr>
        <w:t>Balanza de Comprobación c</w:t>
      </w:r>
      <w:r w:rsidRPr="00515347" w:rsidR="00515347">
        <w:rPr>
          <w:iCs/>
        </w:rPr>
        <w:t>on Catálogos Auxiliares</w:t>
      </w:r>
      <w:r w:rsidR="00515347">
        <w:rPr>
          <w:iCs/>
        </w:rPr>
        <w:t xml:space="preserve">”, documento del cual para mayo referencia se inserta </w:t>
      </w:r>
      <w:r w:rsidR="00F7577D">
        <w:rPr>
          <w:iCs/>
        </w:rPr>
        <w:t xml:space="preserve">a continuación: </w:t>
      </w:r>
    </w:p>
    <w:p w:rsidR="00F7577D" w:rsidP="001140B4" w:rsidRDefault="00F7577D" w14:paraId="632A1137" w14:textId="77777777">
      <w:pPr>
        <w:spacing w:after="0" w:line="360" w:lineRule="auto"/>
        <w:rPr>
          <w:iCs/>
        </w:rPr>
      </w:pPr>
    </w:p>
    <w:p w:rsidR="00F7577D" w:rsidP="00F7577D" w:rsidRDefault="00F7577D" w14:paraId="632A1138" w14:textId="77777777">
      <w:pPr>
        <w:spacing w:after="0" w:line="360" w:lineRule="auto"/>
        <w:jc w:val="center"/>
        <w:rPr>
          <w:iCs/>
        </w:rPr>
      </w:pPr>
      <w:r>
        <w:rPr>
          <w:iCs/>
          <w:noProof/>
          <w:lang w:eastAsia="es-MX"/>
        </w:rPr>
        <w:drawing>
          <wp:inline distT="0" distB="0" distL="0" distR="0" wp14:anchorId="632A1370" wp14:editId="632A1371">
            <wp:extent cx="4699221" cy="1108214"/>
            <wp:effectExtent l="0" t="0" r="635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7049D.tmp"/>
                    <pic:cNvPicPr/>
                  </pic:nvPicPr>
                  <pic:blipFill>
                    <a:blip r:embed="rId10">
                      <a:extLst>
                        <a:ext uri="{28A0092B-C50C-407E-A947-70E740481C1C}">
                          <a14:useLocalDpi xmlns:a14="http://schemas.microsoft.com/office/drawing/2010/main" val="0"/>
                        </a:ext>
                      </a:extLst>
                    </a:blip>
                    <a:stretch>
                      <a:fillRect/>
                    </a:stretch>
                  </pic:blipFill>
                  <pic:spPr>
                    <a:xfrm>
                      <a:off x="0" y="0"/>
                      <a:ext cx="4716901" cy="1112384"/>
                    </a:xfrm>
                    <a:prstGeom prst="rect">
                      <a:avLst/>
                    </a:prstGeom>
                  </pic:spPr>
                </pic:pic>
              </a:graphicData>
            </a:graphic>
          </wp:inline>
        </w:drawing>
      </w:r>
    </w:p>
    <w:p w:rsidRPr="001140B4" w:rsidR="00515347" w:rsidP="001140B4" w:rsidRDefault="00515347" w14:paraId="632A1139" w14:textId="77777777">
      <w:pPr>
        <w:spacing w:after="0" w:line="360" w:lineRule="auto"/>
        <w:rPr>
          <w:iCs/>
        </w:rPr>
      </w:pPr>
    </w:p>
    <w:p w:rsidRPr="00B377FD" w:rsidR="00FF4067" w:rsidP="00FF4067" w:rsidRDefault="00FF4067" w14:paraId="632A113A" w14:textId="77777777">
      <w:pPr>
        <w:spacing w:after="0" w:line="360" w:lineRule="auto"/>
        <w:rPr>
          <w:b/>
        </w:rPr>
      </w:pPr>
      <w:r w:rsidRPr="00B377FD">
        <w:rPr>
          <w:b/>
        </w:rPr>
        <w:lastRenderedPageBreak/>
        <w:t xml:space="preserve">III. Interposición del Recurso de Revisión. </w:t>
      </w:r>
    </w:p>
    <w:p w:rsidRPr="00B377FD" w:rsidR="00FF4067" w:rsidP="00FF4067" w:rsidRDefault="00FF4067" w14:paraId="632A113B" w14:textId="77777777">
      <w:pPr>
        <w:spacing w:after="0" w:line="240" w:lineRule="auto"/>
        <w:rPr>
          <w:bCs/>
        </w:rPr>
      </w:pPr>
    </w:p>
    <w:p w:rsidRPr="00B377FD" w:rsidR="00FF4067" w:rsidP="00FF4067" w:rsidRDefault="00FF4067" w14:paraId="632A113C" w14:textId="77777777">
      <w:pPr>
        <w:spacing w:after="0" w:line="360" w:lineRule="auto"/>
        <w:rPr>
          <w:bCs/>
        </w:rPr>
      </w:pPr>
      <w:r w:rsidRPr="00B377FD">
        <w:rPr>
          <w:bCs/>
        </w:rPr>
        <w:t>Con fecha</w:t>
      </w:r>
      <w:r>
        <w:rPr>
          <w:bCs/>
        </w:rPr>
        <w:t xml:space="preserve"> </w:t>
      </w:r>
      <w:r w:rsidR="00F7577D">
        <w:rPr>
          <w:bCs/>
        </w:rPr>
        <w:t>ocho de noviembre de dos mil veintiuno</w:t>
      </w:r>
      <w:r w:rsidRPr="00B377FD">
        <w:rPr>
          <w:bCs/>
        </w:rPr>
        <w:t xml:space="preserve">, se recibió en este Instituto, a través del </w:t>
      </w:r>
      <w:r w:rsidRPr="00B377FD">
        <w:rPr>
          <w:bCs/>
          <w:lang w:val="es-ES"/>
        </w:rPr>
        <w:t>Sistema de Acceso a la Información Mexiquense (SAIMEX)</w:t>
      </w:r>
      <w:r w:rsidRPr="00B377FD">
        <w:rPr>
          <w:bCs/>
        </w:rPr>
        <w:t>, Recurso de Revisión interpuesto por la parte Recurrente, en contra de la respuesta por el Sujeto Obligado</w:t>
      </w:r>
      <w:r>
        <w:rPr>
          <w:bCs/>
        </w:rPr>
        <w:t>,</w:t>
      </w:r>
      <w:r w:rsidRPr="00B377FD">
        <w:rPr>
          <w:bCs/>
        </w:rPr>
        <w:t xml:space="preserve"> a la solicitud de información, en los siguientes términos:</w:t>
      </w:r>
    </w:p>
    <w:p w:rsidRPr="00B377FD" w:rsidR="00FF4067" w:rsidP="00FF4067" w:rsidRDefault="00FF4067" w14:paraId="632A113D" w14:textId="77777777">
      <w:pPr>
        <w:spacing w:after="0" w:line="360" w:lineRule="auto"/>
        <w:rPr>
          <w:bCs/>
        </w:rPr>
      </w:pPr>
    </w:p>
    <w:p w:rsidRPr="00B377FD" w:rsidR="00FF4067" w:rsidP="00FF4067" w:rsidRDefault="00FF4067" w14:paraId="632A113E" w14:textId="77777777">
      <w:pPr>
        <w:spacing w:after="0" w:line="360" w:lineRule="auto"/>
        <w:ind w:left="567" w:right="567"/>
        <w:rPr>
          <w:bCs/>
          <w:i/>
          <w:sz w:val="20"/>
          <w:szCs w:val="20"/>
        </w:rPr>
      </w:pPr>
      <w:r w:rsidRPr="00B377FD">
        <w:rPr>
          <w:b/>
          <w:bCs/>
          <w:i/>
          <w:sz w:val="20"/>
          <w:szCs w:val="20"/>
        </w:rPr>
        <w:t>“ACTO IMPUGNADO</w:t>
      </w:r>
    </w:p>
    <w:p w:rsidRPr="00B377FD" w:rsidR="00FF4067" w:rsidP="00FF4067" w:rsidRDefault="00F7577D" w14:paraId="632A113F" w14:textId="77777777">
      <w:pPr>
        <w:spacing w:after="0" w:line="360" w:lineRule="auto"/>
        <w:ind w:left="567" w:right="567"/>
        <w:rPr>
          <w:i/>
          <w:sz w:val="20"/>
          <w:szCs w:val="20"/>
        </w:rPr>
      </w:pPr>
      <w:r w:rsidRPr="00F7577D">
        <w:rPr>
          <w:i/>
          <w:sz w:val="20"/>
          <w:szCs w:val="20"/>
        </w:rPr>
        <w:t>La entrega de información que no corresponde con lo solicitado.</w:t>
      </w:r>
      <w:r w:rsidRPr="00B377FD" w:rsidR="00FF4067">
        <w:rPr>
          <w:i/>
          <w:sz w:val="20"/>
          <w:szCs w:val="20"/>
        </w:rPr>
        <w:t>” (Sic.)</w:t>
      </w:r>
    </w:p>
    <w:p w:rsidR="00FF4067" w:rsidP="00FF4067" w:rsidRDefault="00FF4067" w14:paraId="632A1140" w14:textId="77777777">
      <w:pPr>
        <w:spacing w:after="0" w:line="360" w:lineRule="auto"/>
        <w:ind w:left="567" w:right="567"/>
        <w:rPr>
          <w:i/>
          <w:sz w:val="20"/>
          <w:szCs w:val="20"/>
        </w:rPr>
      </w:pPr>
    </w:p>
    <w:p w:rsidRPr="00B377FD" w:rsidR="00FF4067" w:rsidP="00FF4067" w:rsidRDefault="00FF4067" w14:paraId="632A1141" w14:textId="77777777">
      <w:pPr>
        <w:spacing w:after="0" w:line="360" w:lineRule="auto"/>
        <w:ind w:left="567" w:right="567"/>
        <w:rPr>
          <w:b/>
          <w:i/>
          <w:sz w:val="20"/>
          <w:szCs w:val="20"/>
        </w:rPr>
      </w:pPr>
      <w:r w:rsidRPr="00B377FD">
        <w:rPr>
          <w:b/>
          <w:i/>
          <w:sz w:val="20"/>
          <w:szCs w:val="20"/>
        </w:rPr>
        <w:t>“RAZONES O MOTIVOS DE LA INCONFORMIDAD</w:t>
      </w:r>
    </w:p>
    <w:p w:rsidRPr="00B377FD" w:rsidR="00FF4067" w:rsidP="00FF4067" w:rsidRDefault="00F7577D" w14:paraId="632A1142" w14:textId="77777777">
      <w:pPr>
        <w:spacing w:after="0" w:line="360" w:lineRule="auto"/>
        <w:ind w:left="567" w:right="567"/>
        <w:rPr>
          <w:i/>
          <w:sz w:val="20"/>
          <w:szCs w:val="20"/>
        </w:rPr>
      </w:pPr>
      <w:r w:rsidRPr="00F7577D">
        <w:rPr>
          <w:i/>
          <w:sz w:val="20"/>
          <w:szCs w:val="20"/>
        </w:rPr>
        <w:t>En relación con el requerimiento identificado con el número 1, el Sujeto Obligado envía información que no corresponde con lo solicitado, ya que anexa un hipervínculo (https://www.ipomex.org.mx/ipo3/lgt/indice/PMCIU/art_100_iv/3.web) el cual nos lleva a la página de IPOMEX, donde el tema del contrato es: Propaganda Utilitaria y Servicios Operativos, se anexa el archivo PDF al presenta recurso. el Sujeto Obligado no transparenta los comprobantes que cumplan con los requisitos fiscales independientemente de la contratación y/o subcontratación laboral. En relación con el requerimiento identificado con el número 2, el Sujeto Obligado es omiso en informar y explicar de manera transparente y clara los montos, uso y destino de los recursos que utilizan para sus actividades, la entrega de información no corresponde con lo solicitado. En relación con el requerimiento identificado con el número 3, el Sujeto Obligado hace entrega de información que no corresponde con lo solicitado, ya que no transparenta los informes de origen y uso de recursos relativo al régimen finan</w:t>
      </w:r>
      <w:r>
        <w:rPr>
          <w:i/>
          <w:sz w:val="20"/>
          <w:szCs w:val="20"/>
        </w:rPr>
        <w:t>ciero de los partidos políticos</w:t>
      </w:r>
      <w:r w:rsidRPr="00B30B2A" w:rsidR="00FF4067">
        <w:rPr>
          <w:i/>
          <w:sz w:val="20"/>
          <w:szCs w:val="20"/>
        </w:rPr>
        <w:t>.” (Sic.)</w:t>
      </w:r>
    </w:p>
    <w:p w:rsidR="00FF4067" w:rsidP="00FF4067" w:rsidRDefault="00FF4067" w14:paraId="632A1143" w14:textId="77777777">
      <w:pPr>
        <w:spacing w:after="0" w:line="360" w:lineRule="auto"/>
      </w:pPr>
    </w:p>
    <w:p w:rsidR="00FF4067" w:rsidP="00FF4067" w:rsidRDefault="00077CC4" w14:paraId="632A1144" w14:textId="77777777">
      <w:pPr>
        <w:spacing w:after="0" w:line="360" w:lineRule="auto"/>
      </w:pPr>
      <w:r>
        <w:t>A la interposición del Recurso de Revisión el Particular adjunto la digitalización del convenio modificatorio al contrato de prestación de servicios que celebran por una parte la comisión operativa estatal en el Estado de México de Movimiento Ciudadano, representado por el C.P. Eric González Ramírez, en su carácter de tesorero y representante legal, y por la otra Comercializadora Betina, S.A. de C.V.</w:t>
      </w:r>
    </w:p>
    <w:p w:rsidRPr="00B377FD" w:rsidR="00FF4067" w:rsidP="00FF4067" w:rsidRDefault="00FF4067" w14:paraId="632A1145" w14:textId="77777777">
      <w:pPr>
        <w:spacing w:after="0" w:line="360" w:lineRule="auto"/>
      </w:pPr>
    </w:p>
    <w:p w:rsidRPr="00B377FD" w:rsidR="00FF4067" w:rsidP="00FF4067" w:rsidRDefault="00FF4067" w14:paraId="632A1146" w14:textId="77777777">
      <w:pPr>
        <w:spacing w:after="0" w:line="360" w:lineRule="auto"/>
        <w:rPr>
          <w:b/>
          <w:bCs/>
        </w:rPr>
      </w:pPr>
      <w:r w:rsidRPr="00B377FD">
        <w:rPr>
          <w:b/>
        </w:rPr>
        <w:t xml:space="preserve">IV. </w:t>
      </w:r>
      <w:r w:rsidRPr="00B377FD">
        <w:rPr>
          <w:b/>
          <w:bCs/>
        </w:rPr>
        <w:t xml:space="preserve">Trámite del </w:t>
      </w:r>
      <w:r w:rsidRPr="00B377FD">
        <w:rPr>
          <w:b/>
        </w:rPr>
        <w:t xml:space="preserve">Recurso de Revisión </w:t>
      </w:r>
      <w:r w:rsidRPr="00B377FD">
        <w:rPr>
          <w:b/>
          <w:bCs/>
        </w:rPr>
        <w:t>ante este Instituto.</w:t>
      </w:r>
    </w:p>
    <w:p w:rsidRPr="00B377FD" w:rsidR="00FF4067" w:rsidP="00FF4067" w:rsidRDefault="00FF4067" w14:paraId="632A1147" w14:textId="77777777">
      <w:pPr>
        <w:spacing w:after="0" w:line="360" w:lineRule="auto"/>
        <w:rPr>
          <w:b/>
          <w:bCs/>
        </w:rPr>
      </w:pPr>
    </w:p>
    <w:p w:rsidRPr="00B377FD" w:rsidR="00FF4067" w:rsidP="00FF4067" w:rsidRDefault="00FF4067" w14:paraId="632A1148" w14:textId="77777777">
      <w:pPr>
        <w:spacing w:after="0" w:line="360" w:lineRule="auto"/>
        <w:rPr>
          <w:b/>
          <w:bCs/>
        </w:rPr>
      </w:pPr>
      <w:r w:rsidRPr="00B377FD">
        <w:rPr>
          <w:b/>
          <w:bCs/>
        </w:rPr>
        <w:t xml:space="preserve">a) Turno del Medio de Impugnación. </w:t>
      </w:r>
      <w:r>
        <w:rPr>
          <w:bCs/>
        </w:rPr>
        <w:t xml:space="preserve">El </w:t>
      </w:r>
      <w:r w:rsidRPr="00077CC4" w:rsidR="00077CC4">
        <w:rPr>
          <w:bCs/>
        </w:rPr>
        <w:t>ocho de noviembre de dos mil veintiuno</w:t>
      </w:r>
      <w:r w:rsidRPr="00B377FD">
        <w:rPr>
          <w:bCs/>
        </w:rPr>
        <w:t xml:space="preserve">, el </w:t>
      </w:r>
      <w:r w:rsidRPr="00B377FD">
        <w:rPr>
          <w:lang w:val="es-ES"/>
        </w:rPr>
        <w:t>Sistema de Acceso a la Información Mexiquense (SAIMEX),</w:t>
      </w:r>
      <w:r w:rsidRPr="00B377FD">
        <w:rPr>
          <w:bCs/>
        </w:rPr>
        <w:t xml:space="preserve"> asignó el número de expediente </w:t>
      </w:r>
      <w:r>
        <w:rPr>
          <w:b/>
          <w:bCs/>
        </w:rPr>
        <w:t>05431/INFOEM/IP/RR/2021</w:t>
      </w:r>
      <w:r w:rsidRPr="00B377FD">
        <w:rPr>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B377FD" w:rsidR="00FF4067" w:rsidP="00FF4067" w:rsidRDefault="00FF4067" w14:paraId="632A1149" w14:textId="77777777">
      <w:pPr>
        <w:spacing w:after="0" w:line="360" w:lineRule="auto"/>
        <w:rPr>
          <w:bCs/>
        </w:rPr>
      </w:pPr>
    </w:p>
    <w:p w:rsidRPr="00B377FD" w:rsidR="00FF4067" w:rsidP="00FF4067" w:rsidRDefault="00FF4067" w14:paraId="632A114A" w14:textId="77777777">
      <w:pPr>
        <w:spacing w:after="0" w:line="360" w:lineRule="auto"/>
      </w:pPr>
      <w:r w:rsidRPr="00B377FD">
        <w:rPr>
          <w:b/>
          <w:bCs/>
        </w:rPr>
        <w:t>b) Admisión del Recurso de Revisión</w:t>
      </w:r>
      <w:r w:rsidRPr="00B377FD">
        <w:rPr>
          <w:b/>
          <w:bCs/>
          <w:lang w:val="es-ES_tradnl"/>
        </w:rPr>
        <w:t xml:space="preserve">. </w:t>
      </w:r>
      <w:r w:rsidRPr="00B377FD">
        <w:rPr>
          <w:bCs/>
          <w:lang w:val="es-ES_tradnl"/>
        </w:rPr>
        <w:t xml:space="preserve">El </w:t>
      </w:r>
      <w:r w:rsidRPr="00F61C05" w:rsidR="00F61C05">
        <w:rPr>
          <w:bCs/>
          <w:lang w:val="es-ES_tradnl"/>
        </w:rPr>
        <w:t>once de noviembre de dos mil veintiuno</w:t>
      </w:r>
      <w:r w:rsidRPr="00B377FD">
        <w:rPr>
          <w:bCs/>
          <w:lang w:val="es-ES_tradnl"/>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rsidRPr="00B377FD" w:rsidR="00FF4067" w:rsidP="00FF4067" w:rsidRDefault="00FF4067" w14:paraId="632A114B" w14:textId="77777777">
      <w:pPr>
        <w:spacing w:after="0" w:line="360" w:lineRule="auto"/>
      </w:pPr>
    </w:p>
    <w:p w:rsidR="00F61C05" w:rsidP="00FF4067" w:rsidRDefault="00FF4067" w14:paraId="632A114C" w14:textId="77777777">
      <w:pPr>
        <w:spacing w:after="0" w:line="360" w:lineRule="auto"/>
        <w:rPr>
          <w:bCs/>
        </w:rPr>
      </w:pPr>
      <w:r w:rsidRPr="0042422A">
        <w:rPr>
          <w:b/>
        </w:rPr>
        <w:t xml:space="preserve">c) Informe Justificado. </w:t>
      </w:r>
      <w:r w:rsidRPr="0042422A">
        <w:rPr>
          <w:bCs/>
        </w:rPr>
        <w:t xml:space="preserve">El </w:t>
      </w:r>
      <w:r w:rsidR="00F61C05">
        <w:rPr>
          <w:bCs/>
        </w:rPr>
        <w:t xml:space="preserve">veintitrés de noviembre de dos mil veintiuno, el Sujeto Obligado rindió su informe justificado por medio del oficio número: MOVCIU/UT-67/2021 de fecha dieciséis de noviembre de dos mil veintiuno, mismo que es suscrito por el Titular de la Unidad de Transparencia, por medio del cual manifiesta y expone: </w:t>
      </w:r>
    </w:p>
    <w:p w:rsidR="00F61C05" w:rsidP="00FF4067" w:rsidRDefault="00F61C05" w14:paraId="632A114D" w14:textId="77777777">
      <w:pPr>
        <w:spacing w:after="0" w:line="360" w:lineRule="auto"/>
        <w:rPr>
          <w:bCs/>
        </w:rPr>
      </w:pPr>
    </w:p>
    <w:p w:rsidRPr="00676CA2" w:rsidR="00F61C05" w:rsidP="00676CA2" w:rsidRDefault="00F61C05" w14:paraId="632A114E" w14:textId="77777777">
      <w:pPr>
        <w:spacing w:after="0" w:line="360" w:lineRule="auto"/>
        <w:ind w:left="567" w:right="567"/>
        <w:rPr>
          <w:bCs/>
          <w:i/>
          <w:sz w:val="20"/>
        </w:rPr>
      </w:pPr>
      <w:r w:rsidRPr="00676CA2">
        <w:rPr>
          <w:bCs/>
          <w:i/>
          <w:sz w:val="20"/>
        </w:rPr>
        <w:t>“…</w:t>
      </w:r>
    </w:p>
    <w:p w:rsidRPr="00694A19" w:rsidR="00F61C05" w:rsidP="00676CA2" w:rsidRDefault="00F61C05" w14:paraId="632A114F" w14:textId="77777777">
      <w:pPr>
        <w:spacing w:after="0" w:line="360" w:lineRule="auto"/>
        <w:ind w:left="567" w:right="567"/>
        <w:jc w:val="center"/>
        <w:rPr>
          <w:b/>
          <w:bCs/>
          <w:i/>
          <w:sz w:val="20"/>
        </w:rPr>
      </w:pPr>
      <w:r w:rsidRPr="00694A19">
        <w:rPr>
          <w:b/>
          <w:bCs/>
          <w:i/>
          <w:sz w:val="20"/>
        </w:rPr>
        <w:t>INFORME JUSTIFICADO</w:t>
      </w:r>
    </w:p>
    <w:p w:rsidRPr="00676CA2" w:rsidR="0017735B" w:rsidP="00676CA2" w:rsidRDefault="0017735B" w14:paraId="632A1150" w14:textId="77777777">
      <w:pPr>
        <w:spacing w:after="0" w:line="360" w:lineRule="auto"/>
        <w:ind w:left="567" w:right="567"/>
        <w:jc w:val="center"/>
        <w:rPr>
          <w:bCs/>
          <w:i/>
          <w:sz w:val="20"/>
        </w:rPr>
      </w:pPr>
    </w:p>
    <w:p w:rsidRPr="00676CA2" w:rsidR="00F61C05" w:rsidP="00676CA2" w:rsidRDefault="00F61C05" w14:paraId="632A1151" w14:textId="77777777">
      <w:pPr>
        <w:spacing w:after="0" w:line="360" w:lineRule="auto"/>
        <w:ind w:left="567" w:right="567"/>
        <w:rPr>
          <w:bCs/>
          <w:i/>
          <w:sz w:val="20"/>
        </w:rPr>
      </w:pPr>
      <w:r w:rsidRPr="00676CA2">
        <w:rPr>
          <w:bCs/>
          <w:i/>
          <w:sz w:val="20"/>
        </w:rPr>
        <w:t xml:space="preserve">El recurrente apela a la causal señalada en el artículo 179, fracción VI, de la Ley de Transparencia y Acceso a la Información Pública del Estado de México y Municipios, en razón de que a su valoración </w:t>
      </w:r>
      <w:r w:rsidRPr="00676CA2">
        <w:rPr>
          <w:bCs/>
          <w:i/>
          <w:sz w:val="20"/>
        </w:rPr>
        <w:lastRenderedPageBreak/>
        <w:t>de la respuesta otorgada por este sujeto obligado la entrega de información no corresponde con lo solicitado.</w:t>
      </w:r>
    </w:p>
    <w:p w:rsidRPr="00676CA2" w:rsidR="00F61C05" w:rsidP="00676CA2" w:rsidRDefault="00F61C05" w14:paraId="632A1152" w14:textId="77777777">
      <w:pPr>
        <w:spacing w:after="0" w:line="360" w:lineRule="auto"/>
        <w:ind w:left="567" w:right="567"/>
        <w:rPr>
          <w:bCs/>
          <w:i/>
          <w:sz w:val="20"/>
        </w:rPr>
      </w:pPr>
    </w:p>
    <w:p w:rsidRPr="00676CA2" w:rsidR="00F61C05" w:rsidP="00676CA2" w:rsidRDefault="00F61C05" w14:paraId="632A1153" w14:textId="77777777">
      <w:pPr>
        <w:spacing w:after="0" w:line="360" w:lineRule="auto"/>
        <w:ind w:left="567" w:right="567"/>
        <w:rPr>
          <w:bCs/>
          <w:i/>
          <w:sz w:val="20"/>
        </w:rPr>
      </w:pPr>
      <w:r w:rsidRPr="00676CA2">
        <w:rPr>
          <w:bCs/>
          <w:i/>
          <w:sz w:val="20"/>
        </w:rPr>
        <w:t>En esta tesitura es conveniente analizar exhaustivamente la solicitud del recurrente, la respuesta de este sujeto obligado y los argumentos de inconformidad:</w:t>
      </w:r>
    </w:p>
    <w:p w:rsidRPr="00676CA2" w:rsidR="00F61C05" w:rsidP="00676CA2" w:rsidRDefault="00F61C05" w14:paraId="632A1154" w14:textId="77777777">
      <w:pPr>
        <w:spacing w:after="0" w:line="360" w:lineRule="auto"/>
        <w:ind w:left="567" w:right="567"/>
        <w:rPr>
          <w:bCs/>
          <w:i/>
          <w:sz w:val="20"/>
        </w:rPr>
      </w:pPr>
    </w:p>
    <w:p w:rsidRPr="0017735B" w:rsidR="00F61C05" w:rsidP="00676CA2" w:rsidRDefault="00F61C05" w14:paraId="632A1155" w14:textId="77777777">
      <w:pPr>
        <w:spacing w:after="0" w:line="360" w:lineRule="auto"/>
        <w:ind w:left="567" w:right="567"/>
        <w:rPr>
          <w:b/>
          <w:bCs/>
          <w:i/>
          <w:sz w:val="20"/>
        </w:rPr>
      </w:pPr>
      <w:r w:rsidRPr="0017735B">
        <w:rPr>
          <w:b/>
          <w:bCs/>
          <w:i/>
          <w:sz w:val="20"/>
        </w:rPr>
        <w:t>REQUERIMIENTO 1</w:t>
      </w:r>
    </w:p>
    <w:p w:rsidRPr="00676CA2" w:rsidR="0017735B" w:rsidP="00676CA2" w:rsidRDefault="0017735B" w14:paraId="632A1156" w14:textId="77777777">
      <w:pPr>
        <w:spacing w:after="0" w:line="360" w:lineRule="auto"/>
        <w:ind w:left="567" w:right="567"/>
        <w:rPr>
          <w:bCs/>
          <w:i/>
          <w:sz w:val="20"/>
        </w:rPr>
      </w:pPr>
    </w:p>
    <w:p w:rsidRPr="00676CA2" w:rsidR="00F61C05" w:rsidP="00676CA2" w:rsidRDefault="00F61C05" w14:paraId="632A1157" w14:textId="77777777">
      <w:pPr>
        <w:spacing w:after="0" w:line="360" w:lineRule="auto"/>
        <w:ind w:left="567" w:right="567"/>
        <w:rPr>
          <w:bCs/>
          <w:i/>
          <w:sz w:val="20"/>
        </w:rPr>
      </w:pPr>
      <w:r w:rsidRPr="00676CA2">
        <w:rPr>
          <w:bCs/>
          <w:i/>
          <w:sz w:val="20"/>
        </w:rPr>
        <w:t>El solicitante requirió a este sujeto obligado lo siguiente</w:t>
      </w:r>
    </w:p>
    <w:p w:rsidRPr="00676CA2" w:rsidR="00F61C05" w:rsidP="00676CA2" w:rsidRDefault="00F61C05" w14:paraId="632A1158" w14:textId="77777777">
      <w:pPr>
        <w:spacing w:after="0" w:line="360" w:lineRule="auto"/>
        <w:ind w:left="567" w:right="567"/>
        <w:rPr>
          <w:bCs/>
          <w:i/>
          <w:sz w:val="20"/>
        </w:rPr>
      </w:pPr>
    </w:p>
    <w:p w:rsidRPr="00676CA2" w:rsidR="00F61C05" w:rsidP="0017735B" w:rsidRDefault="00F61C05" w14:paraId="632A1159" w14:textId="77777777">
      <w:pPr>
        <w:spacing w:after="0" w:line="360" w:lineRule="auto"/>
        <w:ind w:left="1134" w:right="1134"/>
        <w:rPr>
          <w:bCs/>
          <w:i/>
          <w:sz w:val="20"/>
        </w:rPr>
      </w:pPr>
      <w:r w:rsidRPr="00676CA2">
        <w:rPr>
          <w:bCs/>
          <w:i/>
          <w:sz w:val="20"/>
        </w:rPr>
        <w:t xml:space="preserve">1. Versión publica de los comprobantes de sueldos, salarios, honorarios y/o cualquier otro tipo de retribución equivalente para dirigentes, empleados, empleadas, trabajadores o trabajadoras independientes que presten sus servicios; dichos comprobantes que cumplan con los requisitos fiscales para la materia del 1 de enero a la fecha de la presente solicitud. </w:t>
      </w:r>
    </w:p>
    <w:p w:rsidRPr="00676CA2" w:rsidR="00F61C05" w:rsidP="00676CA2" w:rsidRDefault="00F61C05" w14:paraId="632A115A" w14:textId="77777777">
      <w:pPr>
        <w:spacing w:after="0" w:line="360" w:lineRule="auto"/>
        <w:ind w:left="567" w:right="567"/>
        <w:rPr>
          <w:bCs/>
          <w:i/>
          <w:sz w:val="20"/>
        </w:rPr>
      </w:pPr>
    </w:p>
    <w:p w:rsidRPr="00676CA2" w:rsidR="00F61C05" w:rsidP="00676CA2" w:rsidRDefault="00F61C05" w14:paraId="632A115B" w14:textId="77777777">
      <w:pPr>
        <w:spacing w:after="0" w:line="360" w:lineRule="auto"/>
        <w:ind w:left="567" w:right="567"/>
        <w:rPr>
          <w:bCs/>
          <w:i/>
          <w:sz w:val="20"/>
        </w:rPr>
      </w:pPr>
      <w:r w:rsidRPr="00676CA2">
        <w:rPr>
          <w:bCs/>
          <w:i/>
          <w:sz w:val="20"/>
        </w:rPr>
        <w:t>Movimiento Ciudadano respondió lo siguiente:</w:t>
      </w:r>
    </w:p>
    <w:p w:rsidRPr="00676CA2" w:rsidR="00F61C05" w:rsidP="00676CA2" w:rsidRDefault="00F61C05" w14:paraId="632A115C" w14:textId="77777777">
      <w:pPr>
        <w:spacing w:after="0" w:line="360" w:lineRule="auto"/>
        <w:ind w:left="567" w:right="567"/>
        <w:rPr>
          <w:bCs/>
          <w:i/>
          <w:sz w:val="20"/>
        </w:rPr>
      </w:pPr>
    </w:p>
    <w:p w:rsidRPr="00676CA2" w:rsidR="00F61C05" w:rsidP="0017735B" w:rsidRDefault="00F61C05" w14:paraId="632A115D" w14:textId="77777777">
      <w:pPr>
        <w:spacing w:after="0" w:line="360" w:lineRule="auto"/>
        <w:ind w:left="1134" w:right="1134"/>
        <w:rPr>
          <w:bCs/>
          <w:i/>
          <w:sz w:val="20"/>
        </w:rPr>
      </w:pPr>
      <w:r w:rsidRPr="00676CA2">
        <w:rPr>
          <w:bCs/>
          <w:i/>
          <w:sz w:val="20"/>
        </w:rPr>
        <w:t>“ ... la Comisión Operativa Estatal de Movimiento Ciudadano en el Estado de México, no genera comprobantes de sueldos y salarios; en razón de que dirigentes, empleados, empleadas y trabajadores de Movimiento Ciudadano en la entidad, se encuentran bajo el régimen de subcontratación de servicios especializados; por lo que los pagos se realizan a través de un proveedor externo, quien emite los recibos correspondientes; mismo que celebra un contrato con la Comisión Operativa Estatal, a quien factura esta prestación de servicios. El documento jurídico antes citado, se encuentra disponible en las obligaciones de transparencia específicas de este instituto político a través del portal de Información Pública de Oficio Mexiquense IPOMEX, en la fracción IV del artículo 100, misma que puede ser consultada en el siguiente</w:t>
      </w:r>
      <w:r w:rsidR="0017735B">
        <w:rPr>
          <w:bCs/>
          <w:i/>
          <w:sz w:val="20"/>
        </w:rPr>
        <w:t xml:space="preserve"> </w:t>
      </w:r>
      <w:r w:rsidRPr="00676CA2">
        <w:rPr>
          <w:bCs/>
          <w:i/>
          <w:sz w:val="20"/>
        </w:rPr>
        <w:t xml:space="preserve">hipervínculo: </w:t>
      </w:r>
    </w:p>
    <w:p w:rsidRPr="00676CA2" w:rsidR="00F61C05" w:rsidP="0017735B" w:rsidRDefault="00211FA7" w14:paraId="632A115E" w14:textId="77777777">
      <w:pPr>
        <w:spacing w:after="0" w:line="360" w:lineRule="auto"/>
        <w:ind w:left="1134" w:right="1134"/>
        <w:rPr>
          <w:bCs/>
          <w:i/>
          <w:sz w:val="20"/>
        </w:rPr>
      </w:pPr>
      <w:hyperlink w:history="1" r:id="rId11">
        <w:r w:rsidRPr="00676CA2" w:rsidR="00F61C05">
          <w:rPr>
            <w:rStyle w:val="Hipervnculo"/>
            <w:bCs/>
            <w:i/>
            <w:sz w:val="20"/>
          </w:rPr>
          <w:t>https://www.ipomex.org.mx/ipo3/lgt/indice/PMCIU/art_100_iv/3.web</w:t>
        </w:r>
      </w:hyperlink>
    </w:p>
    <w:p w:rsidRPr="00676CA2" w:rsidR="00F61C05" w:rsidP="0017735B" w:rsidRDefault="00F61C05" w14:paraId="632A115F" w14:textId="77777777">
      <w:pPr>
        <w:spacing w:after="0" w:line="360" w:lineRule="auto"/>
        <w:ind w:left="1134" w:right="1134"/>
        <w:rPr>
          <w:bCs/>
          <w:i/>
          <w:sz w:val="20"/>
        </w:rPr>
      </w:pPr>
    </w:p>
    <w:p w:rsidRPr="00676CA2" w:rsidR="00F61C05" w:rsidP="0017735B" w:rsidRDefault="00F61C05" w14:paraId="632A1160" w14:textId="77777777">
      <w:pPr>
        <w:spacing w:after="0" w:line="360" w:lineRule="auto"/>
        <w:ind w:left="1134" w:right="1134"/>
        <w:rPr>
          <w:bCs/>
          <w:i/>
          <w:sz w:val="20"/>
        </w:rPr>
      </w:pPr>
      <w:r w:rsidRPr="00676CA2">
        <w:rPr>
          <w:bCs/>
          <w:i/>
          <w:sz w:val="20"/>
        </w:rPr>
        <w:lastRenderedPageBreak/>
        <w:t xml:space="preserve">Por lo anterior expuesto, con fundamento en el criterio 18/13 del INAI, ahora IFAI, Respuesta igual a cero; hago de su conocimiento que Movimiento Ciudadano Estado de México, emitió 0 comprobantes de sueldos, salarios, honorarios y/o cualquier otro tipo de retribución equivalente para dirigentes, empleados, empleadas, trabajadores o trabajadoras independientes de enero de 2021 a la fecha. </w:t>
      </w:r>
    </w:p>
    <w:p w:rsidRPr="00676CA2" w:rsidR="00F61C05" w:rsidP="00676CA2" w:rsidRDefault="00F61C05" w14:paraId="632A1161" w14:textId="77777777">
      <w:pPr>
        <w:spacing w:after="0" w:line="360" w:lineRule="auto"/>
        <w:ind w:left="567" w:right="567"/>
        <w:rPr>
          <w:bCs/>
          <w:i/>
          <w:sz w:val="20"/>
        </w:rPr>
      </w:pPr>
    </w:p>
    <w:p w:rsidRPr="00676CA2" w:rsidR="00F61C05" w:rsidP="00676CA2" w:rsidRDefault="00F61C05" w14:paraId="632A1162" w14:textId="77777777">
      <w:pPr>
        <w:spacing w:after="0" w:line="360" w:lineRule="auto"/>
        <w:ind w:left="567" w:right="567"/>
        <w:rPr>
          <w:bCs/>
          <w:i/>
          <w:sz w:val="20"/>
        </w:rPr>
      </w:pPr>
      <w:r w:rsidRPr="00676CA2">
        <w:rPr>
          <w:bCs/>
          <w:i/>
          <w:sz w:val="20"/>
        </w:rPr>
        <w:t>En este contexto, con su respuesta Movimiento Ciudadano hizo del conocimiento del solicitante lo siguiente:</w:t>
      </w:r>
    </w:p>
    <w:p w:rsidRPr="00676CA2" w:rsidR="00F61C05" w:rsidP="00676CA2" w:rsidRDefault="00F61C05" w14:paraId="632A1163" w14:textId="77777777">
      <w:pPr>
        <w:spacing w:after="0" w:line="360" w:lineRule="auto"/>
        <w:ind w:left="567" w:right="567"/>
        <w:rPr>
          <w:bCs/>
          <w:i/>
          <w:sz w:val="20"/>
        </w:rPr>
      </w:pPr>
    </w:p>
    <w:p w:rsidRPr="00676CA2" w:rsidR="00676CA2" w:rsidP="00676CA2" w:rsidRDefault="00676CA2" w14:paraId="632A1164" w14:textId="77777777">
      <w:pPr>
        <w:spacing w:after="0" w:line="360" w:lineRule="auto"/>
        <w:ind w:left="567" w:right="567"/>
        <w:rPr>
          <w:bCs/>
          <w:i/>
          <w:sz w:val="20"/>
        </w:rPr>
      </w:pPr>
      <w:r w:rsidRPr="00676CA2">
        <w:rPr>
          <w:bCs/>
          <w:i/>
          <w:sz w:val="20"/>
        </w:rPr>
        <w:t xml:space="preserve">1. No genera comprobantes de sueldos y salarios </w:t>
      </w:r>
    </w:p>
    <w:p w:rsidRPr="00676CA2" w:rsidR="00676CA2" w:rsidP="00676CA2" w:rsidRDefault="00676CA2" w14:paraId="632A1165" w14:textId="77777777">
      <w:pPr>
        <w:spacing w:after="0" w:line="360" w:lineRule="auto"/>
        <w:ind w:left="567" w:right="567"/>
        <w:rPr>
          <w:bCs/>
          <w:i/>
          <w:sz w:val="20"/>
        </w:rPr>
      </w:pPr>
      <w:r w:rsidRPr="00676CA2">
        <w:rPr>
          <w:bCs/>
          <w:i/>
          <w:sz w:val="20"/>
        </w:rPr>
        <w:t xml:space="preserve">2. Utiliza el régimen de subcontratación de servicios especializados </w:t>
      </w:r>
    </w:p>
    <w:p w:rsidRPr="00676CA2" w:rsidR="00676CA2" w:rsidP="00676CA2" w:rsidRDefault="00676CA2" w14:paraId="632A1166" w14:textId="77777777">
      <w:pPr>
        <w:spacing w:after="0" w:line="360" w:lineRule="auto"/>
        <w:ind w:left="567" w:right="567"/>
        <w:rPr>
          <w:bCs/>
          <w:i/>
          <w:sz w:val="20"/>
        </w:rPr>
      </w:pPr>
      <w:r w:rsidRPr="00676CA2">
        <w:rPr>
          <w:bCs/>
          <w:i/>
          <w:sz w:val="20"/>
        </w:rPr>
        <w:t xml:space="preserve">3. Contrata a un proveedor externo, mismo que solo factura la prestación del servicio </w:t>
      </w:r>
    </w:p>
    <w:p w:rsidRPr="00676CA2" w:rsidR="00676CA2" w:rsidP="00676CA2" w:rsidRDefault="00676CA2" w14:paraId="632A1167" w14:textId="77777777">
      <w:pPr>
        <w:spacing w:after="0" w:line="360" w:lineRule="auto"/>
        <w:ind w:left="567" w:right="567"/>
        <w:rPr>
          <w:bCs/>
          <w:i/>
          <w:sz w:val="20"/>
        </w:rPr>
      </w:pPr>
      <w:r w:rsidRPr="00676CA2">
        <w:rPr>
          <w:bCs/>
          <w:i/>
          <w:sz w:val="20"/>
        </w:rPr>
        <w:t xml:space="preserve">4. El proveedor externo emite los recibos a sus empleados </w:t>
      </w:r>
    </w:p>
    <w:p w:rsidRPr="00676CA2" w:rsidR="00F61C05" w:rsidP="00676CA2" w:rsidRDefault="00676CA2" w14:paraId="632A1168" w14:textId="77777777">
      <w:pPr>
        <w:spacing w:after="0" w:line="360" w:lineRule="auto"/>
        <w:ind w:left="567" w:right="567"/>
        <w:rPr>
          <w:bCs/>
          <w:i/>
          <w:sz w:val="20"/>
        </w:rPr>
      </w:pPr>
      <w:r w:rsidRPr="00676CA2">
        <w:rPr>
          <w:bCs/>
          <w:i/>
          <w:sz w:val="20"/>
        </w:rPr>
        <w:t>5. El contrato entre Movimiento Ciudadano y el proveedor se encuentra disponible a través del</w:t>
      </w:r>
      <w:r w:rsidRPr="00676CA2">
        <w:rPr>
          <w:bCs/>
          <w:i/>
          <w:sz w:val="20"/>
        </w:rPr>
        <w:br/>
      </w:r>
      <w:r w:rsidRPr="00676CA2">
        <w:rPr>
          <w:bCs/>
          <w:i/>
          <w:sz w:val="20"/>
        </w:rPr>
        <w:t>IPOMEX</w:t>
      </w:r>
    </w:p>
    <w:p w:rsidRPr="00676CA2" w:rsidR="00F61C05" w:rsidP="00676CA2" w:rsidRDefault="00F61C05" w14:paraId="632A1169" w14:textId="77777777">
      <w:pPr>
        <w:spacing w:after="0" w:line="360" w:lineRule="auto"/>
        <w:ind w:left="567" w:right="567"/>
        <w:rPr>
          <w:bCs/>
          <w:i/>
          <w:sz w:val="20"/>
        </w:rPr>
      </w:pPr>
    </w:p>
    <w:p w:rsidRPr="00676CA2" w:rsidR="00F61C05" w:rsidP="00676CA2" w:rsidRDefault="00676CA2" w14:paraId="632A116A" w14:textId="77777777">
      <w:pPr>
        <w:spacing w:after="0" w:line="360" w:lineRule="auto"/>
        <w:ind w:left="567" w:right="567"/>
        <w:rPr>
          <w:bCs/>
          <w:i/>
          <w:sz w:val="20"/>
        </w:rPr>
      </w:pPr>
      <w:r w:rsidRPr="00676CA2">
        <w:rPr>
          <w:bCs/>
          <w:i/>
          <w:sz w:val="20"/>
        </w:rPr>
        <w:t>Ante la respuesta de esta Comisión Operativa Estatal, el solicitante, se inconforma por las razones que a continuación se señalan:</w:t>
      </w:r>
    </w:p>
    <w:p w:rsidRPr="00676CA2" w:rsidR="00F61C05" w:rsidP="00676CA2" w:rsidRDefault="00F61C05" w14:paraId="632A116B" w14:textId="77777777">
      <w:pPr>
        <w:spacing w:after="0" w:line="360" w:lineRule="auto"/>
        <w:ind w:left="567" w:right="567"/>
        <w:rPr>
          <w:bCs/>
          <w:i/>
          <w:sz w:val="20"/>
        </w:rPr>
      </w:pPr>
    </w:p>
    <w:p w:rsidRPr="00676CA2" w:rsidR="00F61C05" w:rsidP="0017735B" w:rsidRDefault="00676CA2" w14:paraId="632A116C" w14:textId="77777777">
      <w:pPr>
        <w:spacing w:after="0" w:line="360" w:lineRule="auto"/>
        <w:ind w:left="1134" w:right="1134"/>
        <w:rPr>
          <w:bCs/>
          <w:i/>
          <w:sz w:val="20"/>
        </w:rPr>
      </w:pPr>
      <w:r w:rsidRPr="00676CA2">
        <w:rPr>
          <w:bCs/>
          <w:i/>
          <w:sz w:val="20"/>
        </w:rPr>
        <w:t>“En relación con el requerimiento identificado con el número 1, el Sujeto Obligado envía información que no corresponde con lo solicitado, ya que anexa un hipervínculo (https://www.ipomex.org.mx/ipo3/lgt/indice/PMCIU/art_100_iv/3.web) el cual nos lleva a la página de IPOMEX, donde el tema del contrato es: Propaganda Utilitaria y Servicios Operativos, se anexa el archivo PDF al presenta recurso el Sujeto Obligado no transparenta los comprobantes que cumplan con los requisitos fiscales independientemente de la contratación y/o subcontratación laboral.”</w:t>
      </w:r>
    </w:p>
    <w:p w:rsidRPr="00676CA2" w:rsidR="00F61C05" w:rsidP="00676CA2" w:rsidRDefault="00F61C05" w14:paraId="632A116D" w14:textId="77777777">
      <w:pPr>
        <w:spacing w:after="0" w:line="360" w:lineRule="auto"/>
        <w:ind w:left="567" w:right="567"/>
        <w:rPr>
          <w:bCs/>
          <w:i/>
          <w:sz w:val="20"/>
        </w:rPr>
      </w:pPr>
    </w:p>
    <w:p w:rsidRPr="00676CA2" w:rsidR="00676CA2" w:rsidP="00676CA2" w:rsidRDefault="00676CA2" w14:paraId="632A116E" w14:textId="77777777">
      <w:pPr>
        <w:spacing w:after="0" w:line="360" w:lineRule="auto"/>
        <w:ind w:left="567" w:right="567"/>
        <w:rPr>
          <w:bCs/>
          <w:i/>
          <w:sz w:val="20"/>
        </w:rPr>
      </w:pPr>
      <w:r w:rsidRPr="00676CA2">
        <w:rPr>
          <w:bCs/>
          <w:i/>
          <w:sz w:val="20"/>
        </w:rPr>
        <w:t xml:space="preserve">En virtud de que Movimiento Ciudadano, hizo del conocimiento del solicitante que NO GENERÁ recibos de comprobantes de sueldos y salarios; se hizo del conocimiento al ciudadano, que la modalidad por la que se realizan los pagos de nómina es mediante “subcontratación de servicios </w:t>
      </w:r>
      <w:r w:rsidRPr="00676CA2">
        <w:rPr>
          <w:bCs/>
          <w:i/>
          <w:sz w:val="20"/>
        </w:rPr>
        <w:lastRenderedPageBreak/>
        <w:t>especializados”, razón por la cual se remitió a la plataforma IPOMEX, para consultar el documento jurídico en el que se establece está relación entre Movimiento Ciudadano y el prestador de servicios, en términos de lo establecido en el artículo 161, de la Ley de Transparencia y Acceso a la Información Pública del Estado de México y Municipios</w:t>
      </w:r>
      <w:r w:rsidR="0017735B">
        <w:rPr>
          <w:bCs/>
          <w:i/>
          <w:sz w:val="20"/>
        </w:rPr>
        <w:t>.</w:t>
      </w:r>
    </w:p>
    <w:p w:rsidRPr="00676CA2" w:rsidR="00676CA2" w:rsidP="00676CA2" w:rsidRDefault="00676CA2" w14:paraId="632A116F" w14:textId="77777777">
      <w:pPr>
        <w:spacing w:after="0" w:line="360" w:lineRule="auto"/>
        <w:ind w:left="567" w:right="567"/>
        <w:rPr>
          <w:bCs/>
          <w:i/>
          <w:sz w:val="20"/>
        </w:rPr>
      </w:pPr>
    </w:p>
    <w:p w:rsidRPr="00676CA2" w:rsidR="00676CA2" w:rsidP="00676CA2" w:rsidRDefault="00676CA2" w14:paraId="632A1170" w14:textId="77777777">
      <w:pPr>
        <w:spacing w:after="0" w:line="360" w:lineRule="auto"/>
        <w:ind w:left="567" w:right="567"/>
        <w:rPr>
          <w:bCs/>
          <w:i/>
          <w:sz w:val="20"/>
        </w:rPr>
      </w:pPr>
      <w:r w:rsidRPr="00676CA2">
        <w:rPr>
          <w:bCs/>
          <w:i/>
          <w:sz w:val="20"/>
        </w:rPr>
        <w:t>En el hipervínculo proporcionado por Movimiento Ciudadano existen 13 registros de los cuales, en el número 1, se encuentra el contrato que refiere el recurrente; se adjunta captura de pantalla:</w:t>
      </w:r>
    </w:p>
    <w:p w:rsidRPr="00676CA2" w:rsidR="00676CA2" w:rsidP="00676CA2" w:rsidRDefault="00676CA2" w14:paraId="632A1171" w14:textId="77777777">
      <w:pPr>
        <w:spacing w:after="0" w:line="360" w:lineRule="auto"/>
        <w:ind w:left="567" w:right="567"/>
        <w:rPr>
          <w:bCs/>
          <w:i/>
          <w:sz w:val="20"/>
        </w:rPr>
      </w:pPr>
    </w:p>
    <w:p w:rsidRPr="00676CA2" w:rsidR="00676CA2" w:rsidP="00676CA2" w:rsidRDefault="00676CA2" w14:paraId="632A1172" w14:textId="77777777">
      <w:pPr>
        <w:spacing w:after="0" w:line="360" w:lineRule="auto"/>
        <w:ind w:left="567" w:right="567"/>
        <w:jc w:val="center"/>
        <w:rPr>
          <w:bCs/>
          <w:i/>
          <w:sz w:val="20"/>
        </w:rPr>
      </w:pPr>
      <w:r w:rsidRPr="00676CA2">
        <w:rPr>
          <w:bCs/>
          <w:i/>
          <w:noProof/>
          <w:sz w:val="20"/>
          <w:lang w:eastAsia="es-MX"/>
        </w:rPr>
        <w:drawing>
          <wp:inline distT="0" distB="0" distL="0" distR="0" wp14:anchorId="632A1372" wp14:editId="632A1373">
            <wp:extent cx="2060952" cy="197192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7045EB2.tmp"/>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81611" cy="1991690"/>
                    </a:xfrm>
                    <a:prstGeom prst="rect">
                      <a:avLst/>
                    </a:prstGeom>
                  </pic:spPr>
                </pic:pic>
              </a:graphicData>
            </a:graphic>
          </wp:inline>
        </w:drawing>
      </w:r>
    </w:p>
    <w:p w:rsidRPr="00676CA2" w:rsidR="00676CA2" w:rsidP="00676CA2" w:rsidRDefault="00676CA2" w14:paraId="632A1173" w14:textId="77777777">
      <w:pPr>
        <w:spacing w:after="0" w:line="360" w:lineRule="auto"/>
        <w:ind w:left="567" w:right="567"/>
        <w:rPr>
          <w:bCs/>
          <w:i/>
          <w:sz w:val="20"/>
        </w:rPr>
      </w:pPr>
    </w:p>
    <w:p w:rsidRPr="00676CA2" w:rsidR="00676CA2" w:rsidP="00676CA2" w:rsidRDefault="00676CA2" w14:paraId="632A1174" w14:textId="77777777">
      <w:pPr>
        <w:spacing w:after="0" w:line="360" w:lineRule="auto"/>
        <w:ind w:left="567" w:right="567"/>
        <w:rPr>
          <w:bCs/>
          <w:i/>
          <w:sz w:val="20"/>
        </w:rPr>
      </w:pPr>
      <w:r w:rsidRPr="00676CA2">
        <w:rPr>
          <w:bCs/>
          <w:i/>
          <w:sz w:val="20"/>
        </w:rPr>
        <w:t xml:space="preserve">De los cuales en el número 13, se encuentra el contrato referido en la respuesta otorgada por la Unidad de Transparencia, se adjunta captura de pantalla. </w:t>
      </w:r>
    </w:p>
    <w:p w:rsidRPr="00676CA2" w:rsidR="00676CA2" w:rsidP="00676CA2" w:rsidRDefault="00676CA2" w14:paraId="632A1175" w14:textId="77777777">
      <w:pPr>
        <w:spacing w:after="0" w:line="360" w:lineRule="auto"/>
        <w:ind w:left="567" w:right="567"/>
        <w:rPr>
          <w:bCs/>
          <w:i/>
          <w:sz w:val="20"/>
        </w:rPr>
      </w:pPr>
    </w:p>
    <w:p w:rsidRPr="00676CA2" w:rsidR="00676CA2" w:rsidP="00676CA2" w:rsidRDefault="00676CA2" w14:paraId="632A1176" w14:textId="77777777">
      <w:pPr>
        <w:spacing w:after="0" w:line="360" w:lineRule="auto"/>
        <w:ind w:left="567" w:right="567"/>
        <w:jc w:val="center"/>
        <w:rPr>
          <w:bCs/>
          <w:i/>
          <w:sz w:val="20"/>
        </w:rPr>
      </w:pPr>
      <w:r w:rsidRPr="00676CA2">
        <w:rPr>
          <w:bCs/>
          <w:i/>
          <w:noProof/>
          <w:sz w:val="20"/>
          <w:lang w:eastAsia="es-MX"/>
        </w:rPr>
        <w:drawing>
          <wp:inline distT="0" distB="0" distL="0" distR="0" wp14:anchorId="632A1374" wp14:editId="632A1375">
            <wp:extent cx="2210463" cy="2004466"/>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704757.tmp"/>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37443" cy="2028932"/>
                    </a:xfrm>
                    <a:prstGeom prst="rect">
                      <a:avLst/>
                    </a:prstGeom>
                  </pic:spPr>
                </pic:pic>
              </a:graphicData>
            </a:graphic>
          </wp:inline>
        </w:drawing>
      </w:r>
    </w:p>
    <w:p w:rsidRPr="00676CA2" w:rsidR="00676CA2" w:rsidP="00676CA2" w:rsidRDefault="00676CA2" w14:paraId="632A1177" w14:textId="77777777">
      <w:pPr>
        <w:spacing w:after="0" w:line="360" w:lineRule="auto"/>
        <w:ind w:left="567" w:right="567"/>
        <w:rPr>
          <w:bCs/>
          <w:i/>
          <w:sz w:val="20"/>
        </w:rPr>
      </w:pPr>
    </w:p>
    <w:p w:rsidRPr="00676CA2" w:rsidR="00676CA2" w:rsidP="00676CA2" w:rsidRDefault="00676CA2" w14:paraId="632A1178" w14:textId="77777777">
      <w:pPr>
        <w:spacing w:after="0" w:line="360" w:lineRule="auto"/>
        <w:ind w:left="567" w:right="567"/>
        <w:rPr>
          <w:bCs/>
          <w:i/>
          <w:sz w:val="20"/>
        </w:rPr>
      </w:pPr>
      <w:r w:rsidRPr="00676CA2">
        <w:rPr>
          <w:bCs/>
          <w:i/>
          <w:sz w:val="20"/>
        </w:rPr>
        <w:lastRenderedPageBreak/>
        <w:t>Por lo anterior expuesto, se deduce que el recurrente, no realizo una revisión adecuada de la información contenida en la fracción IV, del artículo 100 denominada “Contratación y convenios de bienes y servicios”, situación que lo lleva a afirmar que “se entregó una información diferente a la solicitada”.</w:t>
      </w:r>
    </w:p>
    <w:p w:rsidRPr="006472FE" w:rsidR="00676CA2" w:rsidP="00676CA2" w:rsidRDefault="00676CA2" w14:paraId="632A1179" w14:textId="77777777">
      <w:pPr>
        <w:spacing w:after="0" w:line="360" w:lineRule="auto"/>
        <w:ind w:left="567" w:right="567"/>
        <w:rPr>
          <w:bCs/>
          <w:i/>
          <w:sz w:val="20"/>
          <w:szCs w:val="20"/>
        </w:rPr>
      </w:pPr>
    </w:p>
    <w:p w:rsidRPr="006472FE" w:rsidR="00676CA2" w:rsidP="00676CA2" w:rsidRDefault="00676CA2" w14:paraId="632A117A" w14:textId="77777777">
      <w:pPr>
        <w:spacing w:after="0" w:line="360" w:lineRule="auto"/>
        <w:ind w:left="567" w:right="567"/>
        <w:rPr>
          <w:bCs/>
          <w:i/>
          <w:sz w:val="20"/>
          <w:szCs w:val="20"/>
        </w:rPr>
      </w:pPr>
      <w:r w:rsidRPr="006472FE">
        <w:rPr>
          <w:bCs/>
          <w:i/>
          <w:sz w:val="20"/>
          <w:szCs w:val="20"/>
        </w:rPr>
        <w:t>Al quedar demostrado que Movimiento Ciudadano, puso a disposición del solicitando información suficiente para garantizar su derecho de acceso a la información pública, y que el argumento central de la inconformidad, obedece a un descuido imputable al recurrente, se actualiza el supuesto establecido en el artículo 191, fracción III, de la de la Ley de Transparencia y Acceso a la Información Pública del Estado de México y Municipios; por lo que el recurso de revisión debe ser declarado improcedente en lo relativo al requerimiento número 1</w:t>
      </w:r>
    </w:p>
    <w:p w:rsidRPr="006472FE" w:rsidR="006472FE" w:rsidP="006472FE" w:rsidRDefault="006472FE" w14:paraId="632A117B" w14:textId="77777777">
      <w:pPr>
        <w:spacing w:after="0" w:line="360" w:lineRule="auto"/>
        <w:ind w:left="567" w:right="567"/>
        <w:rPr>
          <w:bCs/>
          <w:i/>
          <w:sz w:val="20"/>
          <w:szCs w:val="20"/>
        </w:rPr>
      </w:pPr>
    </w:p>
    <w:p w:rsidRPr="006472FE" w:rsidR="006472FE" w:rsidP="006472FE" w:rsidRDefault="006472FE" w14:paraId="632A117C" w14:textId="77777777">
      <w:pPr>
        <w:spacing w:after="0" w:line="360" w:lineRule="auto"/>
        <w:ind w:left="567" w:right="567"/>
        <w:rPr>
          <w:b/>
          <w:bCs/>
          <w:i/>
          <w:sz w:val="20"/>
          <w:szCs w:val="20"/>
          <w:lang w:val="es-ES"/>
        </w:rPr>
      </w:pPr>
      <w:r w:rsidRPr="006472FE">
        <w:rPr>
          <w:b/>
          <w:bCs/>
          <w:i/>
          <w:sz w:val="20"/>
          <w:szCs w:val="20"/>
          <w:lang w:val="es-ES"/>
        </w:rPr>
        <w:t>REQUERIMIENTO 2</w:t>
      </w:r>
    </w:p>
    <w:p w:rsidRPr="006472FE" w:rsidR="006472FE" w:rsidP="006472FE" w:rsidRDefault="006472FE" w14:paraId="632A117D" w14:textId="77777777">
      <w:pPr>
        <w:spacing w:after="0" w:line="360" w:lineRule="auto"/>
        <w:ind w:left="567" w:right="567"/>
        <w:rPr>
          <w:b/>
          <w:bCs/>
          <w:i/>
          <w:iCs/>
          <w:sz w:val="20"/>
          <w:szCs w:val="20"/>
          <w:lang w:val="es-ES"/>
        </w:rPr>
      </w:pPr>
    </w:p>
    <w:p w:rsidRPr="006472FE" w:rsidR="006472FE" w:rsidP="006472FE" w:rsidRDefault="006472FE" w14:paraId="632A117E" w14:textId="77777777">
      <w:pPr>
        <w:spacing w:after="0" w:line="360" w:lineRule="auto"/>
        <w:ind w:left="567" w:right="567"/>
        <w:rPr>
          <w:bCs/>
          <w:i/>
          <w:sz w:val="20"/>
          <w:szCs w:val="20"/>
          <w:lang w:val="es-ES"/>
        </w:rPr>
      </w:pPr>
      <w:r w:rsidRPr="006472FE">
        <w:rPr>
          <w:bCs/>
          <w:i/>
          <w:sz w:val="20"/>
          <w:szCs w:val="20"/>
          <w:lang w:val="es-ES"/>
        </w:rPr>
        <w:t>El solicitante requirió a este sujeto obligado lo siguiente:</w:t>
      </w:r>
    </w:p>
    <w:p w:rsidRPr="006472FE" w:rsidR="006472FE" w:rsidP="006472FE" w:rsidRDefault="006472FE" w14:paraId="632A117F" w14:textId="77777777">
      <w:pPr>
        <w:spacing w:after="0" w:line="360" w:lineRule="auto"/>
        <w:ind w:left="567" w:right="567"/>
        <w:rPr>
          <w:bCs/>
          <w:i/>
          <w:iCs/>
          <w:sz w:val="20"/>
          <w:szCs w:val="20"/>
          <w:lang w:val="es-ES"/>
        </w:rPr>
      </w:pPr>
    </w:p>
    <w:p w:rsidRPr="0017735B" w:rsidR="006472FE" w:rsidP="0017735B" w:rsidRDefault="006472FE" w14:paraId="632A1180" w14:textId="77777777">
      <w:pPr>
        <w:spacing w:after="0" w:line="360" w:lineRule="auto"/>
        <w:ind w:left="1134" w:right="1134"/>
        <w:rPr>
          <w:bCs/>
          <w:i/>
          <w:sz w:val="20"/>
          <w:szCs w:val="20"/>
          <w:lang w:val="es-ES"/>
        </w:rPr>
      </w:pPr>
      <w:r w:rsidRPr="0017735B">
        <w:rPr>
          <w:bCs/>
          <w:i/>
          <w:sz w:val="20"/>
          <w:szCs w:val="20"/>
          <w:lang w:val="es-ES"/>
        </w:rPr>
        <w:t>2. Cantidad total de financiamiento público para el sostenimiento de actividades ordinarias permanentes y actividades específicas; a partir del 04 de septiembre del año dos mil veintiuno a la fecha de solicitud, lo anterior desglosado por actividad, estructura, sueldos, salarios, honorarios y/o cualquier otro tipo de retribución, equivalentes para dirigentes, empleados, empleadas, trabajadores o trabajadoras independientes que presten servicio que cumplan con los requisitos fiscales para la materia.</w:t>
      </w:r>
    </w:p>
    <w:p w:rsidRPr="006472FE" w:rsidR="006472FE" w:rsidP="006472FE" w:rsidRDefault="006472FE" w14:paraId="632A1181" w14:textId="77777777">
      <w:pPr>
        <w:spacing w:after="0" w:line="360" w:lineRule="auto"/>
        <w:ind w:left="567" w:right="567"/>
        <w:rPr>
          <w:bCs/>
          <w:i/>
          <w:iCs/>
          <w:sz w:val="20"/>
          <w:szCs w:val="20"/>
          <w:lang w:val="es-ES"/>
        </w:rPr>
      </w:pPr>
    </w:p>
    <w:p w:rsidRPr="006472FE" w:rsidR="006472FE" w:rsidP="006472FE" w:rsidRDefault="006472FE" w14:paraId="632A1182" w14:textId="77777777">
      <w:pPr>
        <w:spacing w:after="0" w:line="360" w:lineRule="auto"/>
        <w:ind w:left="567" w:right="567"/>
        <w:rPr>
          <w:bCs/>
          <w:i/>
          <w:sz w:val="20"/>
          <w:szCs w:val="20"/>
          <w:lang w:val="es-ES"/>
        </w:rPr>
      </w:pPr>
      <w:r w:rsidRPr="006472FE">
        <w:rPr>
          <w:bCs/>
          <w:i/>
          <w:sz w:val="20"/>
          <w:szCs w:val="20"/>
          <w:lang w:val="es-ES"/>
        </w:rPr>
        <w:t>Movimiento Ciudadano respondió lo siguiente:</w:t>
      </w:r>
    </w:p>
    <w:p w:rsidRPr="006472FE" w:rsidR="006472FE" w:rsidP="006472FE" w:rsidRDefault="006472FE" w14:paraId="632A1183" w14:textId="77777777">
      <w:pPr>
        <w:spacing w:after="0" w:line="360" w:lineRule="auto"/>
        <w:ind w:left="567" w:right="567"/>
        <w:rPr>
          <w:bCs/>
          <w:i/>
          <w:iCs/>
          <w:sz w:val="20"/>
          <w:szCs w:val="20"/>
          <w:lang w:val="es-ES"/>
        </w:rPr>
      </w:pPr>
    </w:p>
    <w:p w:rsidRPr="006472FE" w:rsidR="006472FE" w:rsidP="0017735B" w:rsidRDefault="006472FE" w14:paraId="632A1184" w14:textId="77777777">
      <w:pPr>
        <w:spacing w:after="0" w:line="360" w:lineRule="auto"/>
        <w:ind w:left="1134" w:right="1134"/>
        <w:rPr>
          <w:bCs/>
          <w:i/>
          <w:iCs/>
          <w:sz w:val="20"/>
          <w:szCs w:val="20"/>
          <w:lang w:val="es-ES"/>
        </w:rPr>
      </w:pPr>
      <w:r w:rsidRPr="006472FE">
        <w:rPr>
          <w:bCs/>
          <w:i/>
          <w:iCs/>
          <w:sz w:val="20"/>
          <w:szCs w:val="20"/>
          <w:lang w:val="es-ES"/>
        </w:rPr>
        <w:t xml:space="preserve">“los montos que recibe la Comisión Operativa Estatal de Movimiento Ciudadano en el Estado de México, por concepto de financiamiento público para el sostenimiento de actividades ordinarias permanentes y actividades específicas, forman parte de las obligaciones de transparencia específicas que este instituto político, está vinculado a </w:t>
      </w:r>
      <w:r w:rsidRPr="006472FE">
        <w:rPr>
          <w:bCs/>
          <w:i/>
          <w:iCs/>
          <w:sz w:val="20"/>
          <w:szCs w:val="20"/>
          <w:lang w:val="es-ES"/>
        </w:rPr>
        <w:lastRenderedPageBreak/>
        <w:t>publicar de forma mensual; por lo anterior expuesto de conformidad con lo establecido en el artículo 161, de la Ley de Transparencia y Acceso a la Información Pública del Estado de México y Municipios, …</w:t>
      </w:r>
    </w:p>
    <w:p w:rsidRPr="006472FE" w:rsidR="006472FE" w:rsidP="0017735B" w:rsidRDefault="006472FE" w14:paraId="632A1185" w14:textId="77777777">
      <w:pPr>
        <w:spacing w:after="0" w:line="360" w:lineRule="auto"/>
        <w:ind w:left="1134" w:right="1134"/>
        <w:rPr>
          <w:bCs/>
          <w:i/>
          <w:iCs/>
          <w:sz w:val="20"/>
          <w:szCs w:val="20"/>
          <w:lang w:val="es-ES"/>
        </w:rPr>
      </w:pPr>
    </w:p>
    <w:p w:rsidRPr="006472FE" w:rsidR="006472FE" w:rsidP="0017735B" w:rsidRDefault="006472FE" w14:paraId="632A1186" w14:textId="77777777">
      <w:pPr>
        <w:spacing w:after="0" w:line="360" w:lineRule="auto"/>
        <w:ind w:left="1134" w:right="1134"/>
        <w:rPr>
          <w:bCs/>
          <w:i/>
          <w:iCs/>
          <w:sz w:val="20"/>
          <w:szCs w:val="20"/>
          <w:lang w:val="es-ES"/>
        </w:rPr>
      </w:pPr>
      <w:r w:rsidRPr="006472FE">
        <w:rPr>
          <w:bCs/>
          <w:i/>
          <w:iCs/>
          <w:sz w:val="20"/>
          <w:szCs w:val="20"/>
          <w:lang w:val="es-ES"/>
        </w:rPr>
        <w:t>La información por Usted requerida se encuentra disponible de forma permanente para su consulta a través del portal de Información Pública de Oficio Mexiquense IPOMEX, en la fracción XXIV-A del artículo 100, misma que puede ser consultada en el siguiente hipervínculo:</w:t>
      </w:r>
    </w:p>
    <w:p w:rsidRPr="006472FE" w:rsidR="006472FE" w:rsidP="0017735B" w:rsidRDefault="006472FE" w14:paraId="632A1187" w14:textId="77777777">
      <w:pPr>
        <w:spacing w:after="0" w:line="360" w:lineRule="auto"/>
        <w:ind w:left="1134" w:right="1134"/>
        <w:rPr>
          <w:bCs/>
          <w:i/>
          <w:iCs/>
          <w:sz w:val="20"/>
          <w:szCs w:val="20"/>
          <w:lang w:val="es-ES"/>
        </w:rPr>
      </w:pPr>
    </w:p>
    <w:p w:rsidRPr="006472FE" w:rsidR="006472FE" w:rsidP="0017735B" w:rsidRDefault="00211FA7" w14:paraId="632A1188" w14:textId="77777777">
      <w:pPr>
        <w:spacing w:after="0" w:line="360" w:lineRule="auto"/>
        <w:ind w:left="1134" w:right="1134"/>
        <w:rPr>
          <w:bCs/>
          <w:i/>
          <w:iCs/>
          <w:sz w:val="20"/>
          <w:szCs w:val="20"/>
          <w:lang w:val="es-ES"/>
        </w:rPr>
      </w:pPr>
      <w:hyperlink r:id="rId14">
        <w:r w:rsidRPr="006472FE" w:rsidR="006472FE">
          <w:rPr>
            <w:rStyle w:val="Hipervnculo"/>
            <w:bCs/>
            <w:i/>
            <w:iCs/>
            <w:sz w:val="20"/>
            <w:szCs w:val="20"/>
            <w:lang w:val="es-ES"/>
          </w:rPr>
          <w:t>https://www.ipomex.org.mx/ipo3/lgt/indice/PMCIU/art_100_xxiv_a/3.web</w:t>
        </w:r>
      </w:hyperlink>
    </w:p>
    <w:p w:rsidRPr="006472FE" w:rsidR="006472FE" w:rsidP="0017735B" w:rsidRDefault="006472FE" w14:paraId="632A1189" w14:textId="77777777">
      <w:pPr>
        <w:spacing w:after="0" w:line="360" w:lineRule="auto"/>
        <w:ind w:left="1134" w:right="1134"/>
        <w:rPr>
          <w:bCs/>
          <w:i/>
          <w:iCs/>
          <w:sz w:val="20"/>
          <w:szCs w:val="20"/>
          <w:lang w:val="es-ES"/>
        </w:rPr>
      </w:pPr>
    </w:p>
    <w:p w:rsidRPr="006472FE" w:rsidR="006472FE" w:rsidP="0017735B" w:rsidRDefault="006472FE" w14:paraId="632A118A" w14:textId="77777777">
      <w:pPr>
        <w:spacing w:after="0" w:line="360" w:lineRule="auto"/>
        <w:ind w:left="1134" w:right="1134"/>
        <w:rPr>
          <w:bCs/>
          <w:i/>
          <w:iCs/>
          <w:sz w:val="20"/>
          <w:szCs w:val="20"/>
          <w:lang w:val="es-ES"/>
        </w:rPr>
      </w:pPr>
      <w:r w:rsidRPr="006472FE">
        <w:rPr>
          <w:bCs/>
          <w:i/>
          <w:iCs/>
          <w:sz w:val="20"/>
          <w:szCs w:val="20"/>
          <w:lang w:val="es-ES"/>
        </w:rPr>
        <w:t>En relación con la segunda parte de esta petición “desglosado por actividad, estructura, sueldos, salarios, honorarios y/o cualquier otro tipo de retribución, equivalentes para dirigentes, empleados, empleadas, trabajadores o trabajadoras independientes que presten servicio que cumplan con los requisitos fiscales para la materia”; es preciso mencionar que de conformidad con el artículo 12, párrafo segundo de la Ley de Transparencia y Acceso a la Información Pública del Estado de México y Municipios, los sujetos obligados no están obligados a entregar la información conforme al interés del solicitante; ….</w:t>
      </w:r>
    </w:p>
    <w:p w:rsidRPr="006472FE" w:rsidR="006472FE" w:rsidP="0017735B" w:rsidRDefault="006472FE" w14:paraId="632A118B" w14:textId="77777777">
      <w:pPr>
        <w:spacing w:after="0" w:line="360" w:lineRule="auto"/>
        <w:ind w:left="1134" w:right="1134"/>
        <w:rPr>
          <w:bCs/>
          <w:i/>
          <w:iCs/>
          <w:sz w:val="20"/>
          <w:szCs w:val="20"/>
          <w:lang w:val="es-ES"/>
        </w:rPr>
      </w:pPr>
    </w:p>
    <w:p w:rsidRPr="006472FE" w:rsidR="006472FE" w:rsidP="0017735B" w:rsidRDefault="006472FE" w14:paraId="632A118C" w14:textId="77777777">
      <w:pPr>
        <w:spacing w:after="0" w:line="360" w:lineRule="auto"/>
        <w:ind w:left="1134" w:right="1134"/>
        <w:rPr>
          <w:b/>
          <w:bCs/>
          <w:i/>
          <w:sz w:val="20"/>
          <w:szCs w:val="20"/>
          <w:lang w:val="es-ES"/>
        </w:rPr>
      </w:pPr>
      <w:r w:rsidRPr="006472FE">
        <w:rPr>
          <w:bCs/>
          <w:i/>
          <w:sz w:val="20"/>
          <w:szCs w:val="20"/>
          <w:lang w:val="es-ES"/>
        </w:rPr>
        <w:t xml:space="preserve">En este contexto, </w:t>
      </w:r>
      <w:r w:rsidRPr="00694A19">
        <w:rPr>
          <w:bCs/>
          <w:i/>
          <w:sz w:val="20"/>
          <w:szCs w:val="20"/>
          <w:lang w:val="es-ES"/>
        </w:rPr>
        <w:t>con la finalidad de garantizar su derecho al acceso a la información pública, hago de su conocimiento que el monto que Movimiento Ciudadano ha erogado por concepto de subcontratación de servicios especializados es $7,026,000.00 de enero a la fecha de respuesta para lo cual se anexa balanza de comprobación del Sistema Integral de Fiscalización a la fecha de respuesta, en versión pública, donde se acredita la información reportada.</w:t>
      </w:r>
    </w:p>
    <w:p w:rsidRPr="006472FE" w:rsidR="006472FE" w:rsidP="006472FE" w:rsidRDefault="006472FE" w14:paraId="632A118D" w14:textId="77777777">
      <w:pPr>
        <w:spacing w:after="0" w:line="360" w:lineRule="auto"/>
        <w:ind w:left="567" w:right="567"/>
        <w:rPr>
          <w:b/>
          <w:bCs/>
          <w:i/>
          <w:iCs/>
          <w:sz w:val="20"/>
          <w:szCs w:val="20"/>
          <w:lang w:val="es-ES"/>
        </w:rPr>
      </w:pPr>
    </w:p>
    <w:p w:rsidRPr="006472FE" w:rsidR="006472FE" w:rsidP="006472FE" w:rsidRDefault="006472FE" w14:paraId="632A118E" w14:textId="77777777">
      <w:pPr>
        <w:spacing w:after="0" w:line="360" w:lineRule="auto"/>
        <w:ind w:left="567" w:right="567"/>
        <w:rPr>
          <w:bCs/>
          <w:i/>
          <w:sz w:val="20"/>
          <w:szCs w:val="20"/>
          <w:lang w:val="es-ES"/>
        </w:rPr>
      </w:pPr>
      <w:r w:rsidRPr="006472FE">
        <w:rPr>
          <w:bCs/>
          <w:i/>
          <w:sz w:val="20"/>
          <w:szCs w:val="20"/>
          <w:lang w:val="es-ES"/>
        </w:rPr>
        <w:t>En su respuesta Movimiento Ciudadano, otorga al solicitante la siguiente información:</w:t>
      </w:r>
    </w:p>
    <w:p w:rsidRPr="006472FE" w:rsidR="006472FE" w:rsidP="006472FE" w:rsidRDefault="006472FE" w14:paraId="632A118F" w14:textId="77777777">
      <w:pPr>
        <w:spacing w:after="0" w:line="360" w:lineRule="auto"/>
        <w:ind w:left="567" w:right="567"/>
        <w:rPr>
          <w:bCs/>
          <w:i/>
          <w:iCs/>
          <w:sz w:val="20"/>
          <w:szCs w:val="20"/>
          <w:lang w:val="es-ES"/>
        </w:rPr>
      </w:pPr>
    </w:p>
    <w:p w:rsidRPr="006472FE" w:rsidR="006472FE" w:rsidP="006472FE" w:rsidRDefault="006472FE" w14:paraId="632A1190" w14:textId="77777777">
      <w:pPr>
        <w:pStyle w:val="Prrafodelista"/>
        <w:numPr>
          <w:ilvl w:val="0"/>
          <w:numId w:val="24"/>
        </w:numPr>
        <w:spacing w:line="360" w:lineRule="auto"/>
        <w:ind w:right="567"/>
        <w:rPr>
          <w:bCs/>
          <w:i/>
          <w:sz w:val="20"/>
          <w:szCs w:val="20"/>
          <w:lang w:val="es-ES"/>
        </w:rPr>
      </w:pPr>
      <w:r w:rsidRPr="006472FE">
        <w:rPr>
          <w:bCs/>
          <w:i/>
          <w:sz w:val="20"/>
          <w:szCs w:val="20"/>
          <w:lang w:val="es-ES"/>
        </w:rPr>
        <w:lastRenderedPageBreak/>
        <w:t>Montos mensuales de ingresos para el sostenimiento de actividades ordinarias</w:t>
      </w:r>
      <w:r w:rsidR="0017735B">
        <w:rPr>
          <w:bCs/>
          <w:i/>
          <w:sz w:val="20"/>
          <w:szCs w:val="20"/>
          <w:lang w:val="es-ES"/>
        </w:rPr>
        <w:t xml:space="preserve"> </w:t>
      </w:r>
      <w:r w:rsidRPr="006472FE">
        <w:rPr>
          <w:bCs/>
          <w:i/>
          <w:sz w:val="20"/>
          <w:szCs w:val="20"/>
          <w:lang w:val="es-ES"/>
        </w:rPr>
        <w:t>permanentes y actividades específicas a la fecha de la solicitud</w:t>
      </w:r>
    </w:p>
    <w:p w:rsidRPr="006472FE" w:rsidR="006472FE" w:rsidP="006472FE" w:rsidRDefault="006472FE" w14:paraId="632A1191" w14:textId="77777777">
      <w:pPr>
        <w:pStyle w:val="Prrafodelista"/>
        <w:numPr>
          <w:ilvl w:val="0"/>
          <w:numId w:val="24"/>
        </w:numPr>
        <w:spacing w:line="360" w:lineRule="auto"/>
        <w:ind w:right="567"/>
        <w:rPr>
          <w:bCs/>
          <w:i/>
          <w:sz w:val="20"/>
          <w:szCs w:val="20"/>
          <w:lang w:val="es-ES"/>
        </w:rPr>
      </w:pPr>
      <w:r w:rsidRPr="006472FE">
        <w:rPr>
          <w:bCs/>
          <w:i/>
          <w:sz w:val="20"/>
          <w:szCs w:val="20"/>
          <w:lang w:val="es-ES"/>
        </w:rPr>
        <w:t>El monto ejercido acorde a la balanza de comprobación en sueldos, salarios o equivalentes, a la fecha de la solicitud.</w:t>
      </w:r>
    </w:p>
    <w:p w:rsidRPr="006472FE" w:rsidR="006472FE" w:rsidP="006472FE" w:rsidRDefault="006472FE" w14:paraId="632A1192" w14:textId="77777777">
      <w:pPr>
        <w:pStyle w:val="Prrafodelista"/>
        <w:numPr>
          <w:ilvl w:val="0"/>
          <w:numId w:val="24"/>
        </w:numPr>
        <w:spacing w:line="360" w:lineRule="auto"/>
        <w:ind w:right="567"/>
        <w:rPr>
          <w:bCs/>
          <w:i/>
          <w:sz w:val="20"/>
          <w:szCs w:val="20"/>
          <w:lang w:val="es-ES"/>
        </w:rPr>
      </w:pPr>
      <w:r w:rsidRPr="006472FE">
        <w:rPr>
          <w:bCs/>
          <w:i/>
          <w:sz w:val="20"/>
          <w:szCs w:val="20"/>
          <w:lang w:val="es-ES"/>
        </w:rPr>
        <w:t>Balanza de comprobación correspondiente a Movimiento Ciudadano obtenida del Sistema Integral de Fiscalización del INE.</w:t>
      </w:r>
    </w:p>
    <w:p w:rsidRPr="006472FE" w:rsidR="006472FE" w:rsidP="006472FE" w:rsidRDefault="006472FE" w14:paraId="632A1193" w14:textId="77777777">
      <w:pPr>
        <w:spacing w:after="0" w:line="360" w:lineRule="auto"/>
        <w:ind w:left="567" w:right="567"/>
        <w:rPr>
          <w:bCs/>
          <w:i/>
          <w:iCs/>
          <w:sz w:val="20"/>
          <w:szCs w:val="20"/>
          <w:lang w:val="es-ES"/>
        </w:rPr>
      </w:pPr>
    </w:p>
    <w:p w:rsidRPr="006472FE" w:rsidR="006472FE" w:rsidP="006472FE" w:rsidRDefault="006472FE" w14:paraId="632A1194" w14:textId="77777777">
      <w:pPr>
        <w:spacing w:after="0" w:line="360" w:lineRule="auto"/>
        <w:ind w:left="567" w:right="567"/>
        <w:rPr>
          <w:bCs/>
          <w:i/>
          <w:sz w:val="20"/>
          <w:szCs w:val="20"/>
          <w:lang w:val="es-ES"/>
        </w:rPr>
      </w:pPr>
      <w:r w:rsidRPr="006472FE">
        <w:rPr>
          <w:bCs/>
          <w:i/>
          <w:sz w:val="20"/>
          <w:szCs w:val="20"/>
          <w:lang w:val="es-ES"/>
        </w:rPr>
        <w:t>Ante la respuesta de esta Comisión Operativa Estatal, el solicitante, se inconforma por las razones que a continuación se señalan:</w:t>
      </w:r>
    </w:p>
    <w:p w:rsidRPr="006472FE" w:rsidR="006472FE" w:rsidP="006472FE" w:rsidRDefault="006472FE" w14:paraId="632A1195" w14:textId="77777777">
      <w:pPr>
        <w:spacing w:after="0" w:line="360" w:lineRule="auto"/>
        <w:ind w:left="567" w:right="567"/>
        <w:rPr>
          <w:bCs/>
          <w:i/>
          <w:iCs/>
          <w:sz w:val="20"/>
          <w:szCs w:val="20"/>
          <w:lang w:val="es-ES"/>
        </w:rPr>
      </w:pPr>
    </w:p>
    <w:p w:rsidRPr="006472FE" w:rsidR="006472FE" w:rsidP="0017735B" w:rsidRDefault="006472FE" w14:paraId="632A1196" w14:textId="77777777">
      <w:pPr>
        <w:spacing w:after="0" w:line="360" w:lineRule="auto"/>
        <w:ind w:left="1134" w:right="1134"/>
        <w:rPr>
          <w:bCs/>
          <w:i/>
          <w:iCs/>
          <w:sz w:val="20"/>
          <w:szCs w:val="20"/>
          <w:lang w:val="es-ES"/>
        </w:rPr>
      </w:pPr>
      <w:r w:rsidRPr="006472FE">
        <w:rPr>
          <w:bCs/>
          <w:i/>
          <w:iCs/>
          <w:sz w:val="20"/>
          <w:szCs w:val="20"/>
          <w:lang w:val="es-ES"/>
        </w:rPr>
        <w:t>En relación con el requerimiento identificado con el número 2, el Sujeto Obligado es omiso en informar y explicar de manera transparente y clara los montos, uso y destino de los recursos que utilizan para sus actividades, la entrega de información no corresponde con lo solicitado.</w:t>
      </w:r>
    </w:p>
    <w:p w:rsidRPr="006472FE" w:rsidR="006472FE" w:rsidP="006472FE" w:rsidRDefault="006472FE" w14:paraId="632A1197" w14:textId="77777777">
      <w:pPr>
        <w:spacing w:after="0" w:line="360" w:lineRule="auto"/>
        <w:ind w:left="567" w:right="567"/>
        <w:rPr>
          <w:bCs/>
          <w:i/>
          <w:iCs/>
          <w:sz w:val="20"/>
          <w:szCs w:val="20"/>
          <w:lang w:val="es-ES"/>
        </w:rPr>
      </w:pPr>
    </w:p>
    <w:p w:rsidRPr="006472FE" w:rsidR="006472FE" w:rsidP="006472FE" w:rsidRDefault="006472FE" w14:paraId="632A1198" w14:textId="77777777">
      <w:pPr>
        <w:spacing w:after="0" w:line="360" w:lineRule="auto"/>
        <w:ind w:left="567" w:right="567"/>
        <w:rPr>
          <w:bCs/>
          <w:i/>
          <w:sz w:val="20"/>
          <w:szCs w:val="20"/>
          <w:lang w:val="es-ES"/>
        </w:rPr>
      </w:pPr>
      <w:r w:rsidRPr="006472FE">
        <w:rPr>
          <w:bCs/>
          <w:i/>
          <w:sz w:val="20"/>
          <w:szCs w:val="20"/>
          <w:lang w:val="es-ES"/>
        </w:rPr>
        <w:t>Como ha quedado demostrado, Movimiento Ciudadano, a través de su respuesta, otorgo al solicitante, la información solicitada, transparentando el origen y destino de los recursos en la materia de la solicitud por el planteada (sueldos, salarios y similares); en este contexto se actualiza el supuesto establecido en el artículo 191, fracción III, de la de la Ley de Transparencia y Acceso a la Información Pública del Estado de México y Municipios; por lo que el recurso de revisión debe ser declarado improcedente en lo relativo al requerimiento número 2.</w:t>
      </w:r>
    </w:p>
    <w:p w:rsidRPr="006472FE" w:rsidR="006472FE" w:rsidP="006472FE" w:rsidRDefault="006472FE" w14:paraId="632A1199" w14:textId="77777777">
      <w:pPr>
        <w:spacing w:after="0" w:line="360" w:lineRule="auto"/>
        <w:ind w:left="567" w:right="567"/>
        <w:rPr>
          <w:bCs/>
          <w:i/>
          <w:sz w:val="20"/>
          <w:szCs w:val="20"/>
          <w:lang w:val="es-ES"/>
        </w:rPr>
      </w:pPr>
    </w:p>
    <w:p w:rsidRPr="006472FE" w:rsidR="006472FE" w:rsidP="006472FE" w:rsidRDefault="006472FE" w14:paraId="632A119A" w14:textId="77777777">
      <w:pPr>
        <w:spacing w:after="0" w:line="360" w:lineRule="auto"/>
        <w:ind w:left="567" w:right="567"/>
        <w:rPr>
          <w:b/>
          <w:bCs/>
          <w:i/>
          <w:sz w:val="20"/>
          <w:szCs w:val="20"/>
          <w:lang w:val="es-ES"/>
        </w:rPr>
      </w:pPr>
      <w:r w:rsidRPr="006472FE">
        <w:rPr>
          <w:b/>
          <w:bCs/>
          <w:i/>
          <w:sz w:val="20"/>
          <w:szCs w:val="20"/>
          <w:lang w:val="es-ES"/>
        </w:rPr>
        <w:t>REQUERIMIENTO 3</w:t>
      </w:r>
    </w:p>
    <w:p w:rsidRPr="006472FE" w:rsidR="006472FE" w:rsidP="006472FE" w:rsidRDefault="006472FE" w14:paraId="632A119B" w14:textId="77777777">
      <w:pPr>
        <w:spacing w:after="0" w:line="360" w:lineRule="auto"/>
        <w:ind w:left="567" w:right="567"/>
        <w:rPr>
          <w:b/>
          <w:bCs/>
          <w:i/>
          <w:iCs/>
          <w:sz w:val="20"/>
          <w:szCs w:val="20"/>
          <w:lang w:val="es-ES"/>
        </w:rPr>
      </w:pPr>
    </w:p>
    <w:p w:rsidRPr="006472FE" w:rsidR="006472FE" w:rsidP="006472FE" w:rsidRDefault="006472FE" w14:paraId="632A119C" w14:textId="77777777">
      <w:pPr>
        <w:spacing w:after="0" w:line="360" w:lineRule="auto"/>
        <w:ind w:left="567" w:right="567"/>
        <w:rPr>
          <w:bCs/>
          <w:i/>
          <w:sz w:val="20"/>
          <w:szCs w:val="20"/>
          <w:lang w:val="es-ES"/>
        </w:rPr>
      </w:pPr>
      <w:r w:rsidRPr="006472FE">
        <w:rPr>
          <w:bCs/>
          <w:i/>
          <w:sz w:val="20"/>
          <w:szCs w:val="20"/>
          <w:lang w:val="es-ES"/>
        </w:rPr>
        <w:t>El solicitante requirió a este sujeto obligado lo siguiente:</w:t>
      </w:r>
    </w:p>
    <w:p w:rsidRPr="006472FE" w:rsidR="006472FE" w:rsidP="006472FE" w:rsidRDefault="006472FE" w14:paraId="632A119D" w14:textId="77777777">
      <w:pPr>
        <w:spacing w:after="0" w:line="360" w:lineRule="auto"/>
        <w:ind w:left="567" w:right="567"/>
        <w:rPr>
          <w:bCs/>
          <w:i/>
          <w:iCs/>
          <w:sz w:val="20"/>
          <w:szCs w:val="20"/>
          <w:lang w:val="es-ES"/>
        </w:rPr>
      </w:pPr>
    </w:p>
    <w:p w:rsidRPr="00694A19" w:rsidR="006472FE" w:rsidP="0017735B" w:rsidRDefault="006472FE" w14:paraId="632A119E" w14:textId="77777777">
      <w:pPr>
        <w:spacing w:after="0" w:line="360" w:lineRule="auto"/>
        <w:ind w:left="1134" w:right="1134"/>
        <w:rPr>
          <w:bCs/>
          <w:i/>
          <w:sz w:val="20"/>
          <w:szCs w:val="20"/>
          <w:lang w:val="es-ES"/>
        </w:rPr>
      </w:pPr>
      <w:r w:rsidRPr="00694A19">
        <w:rPr>
          <w:bCs/>
          <w:i/>
          <w:sz w:val="20"/>
          <w:szCs w:val="20"/>
          <w:lang w:val="es-ES"/>
        </w:rPr>
        <w:t>3. Cantidad recibida desglosada en ministraciones acorde al calendario aprobado por el consejo general para el sostenimiento de actividades ordinarias y específicas lo anterior desglosado por actividad, estructura, sueldos, salarios, honorarios y/o cualquier otro tipo de retribución a partir del mes de septiembre del 2021 a la presente fecha.</w:t>
      </w:r>
    </w:p>
    <w:p w:rsidRPr="006472FE" w:rsidR="006472FE" w:rsidP="006472FE" w:rsidRDefault="006472FE" w14:paraId="632A119F" w14:textId="77777777">
      <w:pPr>
        <w:spacing w:after="0" w:line="360" w:lineRule="auto"/>
        <w:ind w:left="567" w:right="567"/>
        <w:rPr>
          <w:bCs/>
          <w:i/>
          <w:iCs/>
          <w:sz w:val="20"/>
          <w:szCs w:val="20"/>
          <w:lang w:val="es-ES"/>
        </w:rPr>
      </w:pPr>
    </w:p>
    <w:p w:rsidRPr="006472FE" w:rsidR="006472FE" w:rsidP="006472FE" w:rsidRDefault="006472FE" w14:paraId="632A11A0" w14:textId="77777777">
      <w:pPr>
        <w:spacing w:after="0" w:line="360" w:lineRule="auto"/>
        <w:ind w:left="567" w:right="567"/>
        <w:rPr>
          <w:bCs/>
          <w:i/>
          <w:sz w:val="20"/>
          <w:szCs w:val="20"/>
          <w:lang w:val="es-ES"/>
        </w:rPr>
      </w:pPr>
      <w:r w:rsidRPr="006472FE">
        <w:rPr>
          <w:bCs/>
          <w:i/>
          <w:sz w:val="20"/>
          <w:szCs w:val="20"/>
          <w:lang w:val="es-ES"/>
        </w:rPr>
        <w:t>Movimiento Ciudadano respondió lo siguiente:</w:t>
      </w:r>
    </w:p>
    <w:p w:rsidRPr="006472FE" w:rsidR="006472FE" w:rsidP="006472FE" w:rsidRDefault="006472FE" w14:paraId="632A11A1" w14:textId="77777777">
      <w:pPr>
        <w:spacing w:after="0" w:line="360" w:lineRule="auto"/>
        <w:ind w:left="567" w:right="567"/>
        <w:rPr>
          <w:bCs/>
          <w:i/>
          <w:iCs/>
          <w:sz w:val="20"/>
          <w:szCs w:val="20"/>
          <w:lang w:val="es-ES"/>
        </w:rPr>
      </w:pPr>
    </w:p>
    <w:p w:rsidRPr="006472FE" w:rsidR="006472FE" w:rsidP="00694A19" w:rsidRDefault="006472FE" w14:paraId="632A11A2" w14:textId="77777777">
      <w:pPr>
        <w:spacing w:after="0" w:line="360" w:lineRule="auto"/>
        <w:ind w:left="1134" w:right="1134"/>
        <w:rPr>
          <w:bCs/>
          <w:i/>
          <w:iCs/>
          <w:sz w:val="20"/>
          <w:szCs w:val="20"/>
          <w:lang w:val="es-ES"/>
        </w:rPr>
      </w:pPr>
      <w:r w:rsidRPr="006472FE">
        <w:rPr>
          <w:bCs/>
          <w:i/>
          <w:iCs/>
          <w:sz w:val="20"/>
          <w:szCs w:val="20"/>
          <w:lang w:val="es-ES"/>
        </w:rPr>
        <w:t>Finalmente, con respecto a su requerimiento de información identificado con el número 3, reitero a Usted, con fundamento en el artículo 161, de la Ley de Transparencia y Acceso a la Información Pública del Estado de México y Municipios; que esta se encuentra disponible de forma permanente para su consulta</w:t>
      </w:r>
      <w:r>
        <w:rPr>
          <w:bCs/>
          <w:i/>
          <w:iCs/>
          <w:sz w:val="20"/>
          <w:szCs w:val="20"/>
          <w:lang w:val="es-ES"/>
        </w:rPr>
        <w:t xml:space="preserve"> </w:t>
      </w:r>
      <w:r w:rsidRPr="006472FE">
        <w:rPr>
          <w:bCs/>
          <w:i/>
          <w:iCs/>
          <w:sz w:val="20"/>
          <w:szCs w:val="20"/>
          <w:lang w:val="es-ES"/>
        </w:rPr>
        <w:t>a través del portal de Información Pública de Oficio Mexiquense IPOMEX, en la fracción XXIV-A del artículo 100, misma que puede ser consultada en el siguiente hipervínculo:</w:t>
      </w:r>
    </w:p>
    <w:p w:rsidRPr="006472FE" w:rsidR="006472FE" w:rsidP="00694A19" w:rsidRDefault="006472FE" w14:paraId="632A11A3" w14:textId="77777777">
      <w:pPr>
        <w:spacing w:after="0" w:line="360" w:lineRule="auto"/>
        <w:ind w:left="1134" w:right="1134"/>
        <w:rPr>
          <w:bCs/>
          <w:i/>
          <w:iCs/>
          <w:sz w:val="20"/>
          <w:szCs w:val="20"/>
          <w:lang w:val="es-ES"/>
        </w:rPr>
      </w:pPr>
    </w:p>
    <w:p w:rsidRPr="006472FE" w:rsidR="006472FE" w:rsidP="00694A19" w:rsidRDefault="00211FA7" w14:paraId="632A11A4" w14:textId="77777777">
      <w:pPr>
        <w:spacing w:after="0" w:line="360" w:lineRule="auto"/>
        <w:ind w:left="1134" w:right="1134"/>
        <w:rPr>
          <w:bCs/>
          <w:i/>
          <w:iCs/>
          <w:sz w:val="20"/>
          <w:szCs w:val="20"/>
          <w:lang w:val="es-ES"/>
        </w:rPr>
      </w:pPr>
      <w:hyperlink r:id="rId15">
        <w:r w:rsidRPr="006472FE" w:rsidR="006472FE">
          <w:rPr>
            <w:rStyle w:val="Hipervnculo"/>
            <w:bCs/>
            <w:i/>
            <w:iCs/>
            <w:sz w:val="20"/>
            <w:szCs w:val="20"/>
            <w:lang w:val="es-ES"/>
          </w:rPr>
          <w:t>https://www.ipomex.org.mx/ipo3/lgt/indice/PMCIU/art_100_xxiv_a/3.web</w:t>
        </w:r>
      </w:hyperlink>
    </w:p>
    <w:p w:rsidRPr="006472FE" w:rsidR="006472FE" w:rsidP="00694A19" w:rsidRDefault="006472FE" w14:paraId="632A11A5" w14:textId="77777777">
      <w:pPr>
        <w:spacing w:after="0" w:line="360" w:lineRule="auto"/>
        <w:ind w:left="1134" w:right="1134"/>
        <w:rPr>
          <w:bCs/>
          <w:i/>
          <w:iCs/>
          <w:sz w:val="20"/>
          <w:szCs w:val="20"/>
          <w:lang w:val="es-ES"/>
        </w:rPr>
      </w:pPr>
    </w:p>
    <w:p w:rsidRPr="006472FE" w:rsidR="006472FE" w:rsidP="00694A19" w:rsidRDefault="006472FE" w14:paraId="632A11A6" w14:textId="77777777">
      <w:pPr>
        <w:spacing w:after="0" w:line="360" w:lineRule="auto"/>
        <w:ind w:left="1134" w:right="1134"/>
        <w:rPr>
          <w:bCs/>
          <w:i/>
          <w:iCs/>
          <w:sz w:val="20"/>
          <w:szCs w:val="20"/>
          <w:lang w:val="es-ES"/>
        </w:rPr>
      </w:pPr>
      <w:r w:rsidRPr="006472FE">
        <w:rPr>
          <w:bCs/>
          <w:i/>
          <w:iCs/>
          <w:sz w:val="20"/>
          <w:szCs w:val="20"/>
          <w:lang w:val="es-ES"/>
        </w:rPr>
        <w:t>De la misma forma reitero que de conformidad con el artículo 12, párrafo segundo de la Ley de Transparencia y Acceso a la Información Pública del Estado de México y Municipios, los sujetos obligados no están obligados a entregar la información conforme al interés del solicitante.</w:t>
      </w:r>
    </w:p>
    <w:p w:rsidRPr="006472FE" w:rsidR="006472FE" w:rsidP="006472FE" w:rsidRDefault="006472FE" w14:paraId="632A11A7" w14:textId="77777777">
      <w:pPr>
        <w:spacing w:after="0" w:line="360" w:lineRule="auto"/>
        <w:ind w:left="567" w:right="567"/>
        <w:rPr>
          <w:bCs/>
          <w:i/>
          <w:iCs/>
          <w:sz w:val="20"/>
          <w:szCs w:val="20"/>
          <w:lang w:val="es-ES"/>
        </w:rPr>
      </w:pPr>
    </w:p>
    <w:p w:rsidRPr="006472FE" w:rsidR="006472FE" w:rsidP="006472FE" w:rsidRDefault="006472FE" w14:paraId="632A11A8" w14:textId="77777777">
      <w:pPr>
        <w:spacing w:after="0" w:line="360" w:lineRule="auto"/>
        <w:ind w:left="567" w:right="567"/>
        <w:rPr>
          <w:bCs/>
          <w:i/>
          <w:sz w:val="20"/>
          <w:szCs w:val="20"/>
          <w:lang w:val="es-ES"/>
        </w:rPr>
      </w:pPr>
      <w:r w:rsidRPr="006472FE">
        <w:rPr>
          <w:bCs/>
          <w:i/>
          <w:sz w:val="20"/>
          <w:szCs w:val="20"/>
          <w:lang w:val="es-ES"/>
        </w:rPr>
        <w:t>En su respuesta Movimiento Ciudadano, otorga al solicitante la siguiente información:</w:t>
      </w:r>
    </w:p>
    <w:p w:rsidRPr="006472FE" w:rsidR="006472FE" w:rsidP="006472FE" w:rsidRDefault="006472FE" w14:paraId="632A11A9" w14:textId="77777777">
      <w:pPr>
        <w:spacing w:after="0" w:line="360" w:lineRule="auto"/>
        <w:ind w:left="567" w:right="567"/>
        <w:rPr>
          <w:bCs/>
          <w:i/>
          <w:iCs/>
          <w:sz w:val="20"/>
          <w:szCs w:val="20"/>
          <w:lang w:val="es-ES"/>
        </w:rPr>
      </w:pPr>
    </w:p>
    <w:p w:rsidRPr="006472FE" w:rsidR="006472FE" w:rsidP="00694A19" w:rsidRDefault="006472FE" w14:paraId="632A11AA" w14:textId="77777777">
      <w:pPr>
        <w:spacing w:after="0" w:line="360" w:lineRule="auto"/>
        <w:ind w:left="1134" w:right="1134"/>
        <w:rPr>
          <w:bCs/>
          <w:i/>
          <w:sz w:val="20"/>
          <w:szCs w:val="20"/>
          <w:lang w:val="es-ES"/>
        </w:rPr>
      </w:pPr>
      <w:r w:rsidRPr="006472FE">
        <w:rPr>
          <w:bCs/>
          <w:i/>
          <w:sz w:val="20"/>
          <w:szCs w:val="20"/>
          <w:lang w:val="es-ES"/>
        </w:rPr>
        <w:t>1. Montos mensuales de ingresos para el sostenimiento de actividades ordinarias permanentes y actividades específicas a la fecha de la solicitud.</w:t>
      </w:r>
    </w:p>
    <w:p w:rsidRPr="006472FE" w:rsidR="006472FE" w:rsidP="006472FE" w:rsidRDefault="006472FE" w14:paraId="632A11AB" w14:textId="77777777">
      <w:pPr>
        <w:spacing w:after="0" w:line="360" w:lineRule="auto"/>
        <w:ind w:left="567" w:right="567"/>
        <w:rPr>
          <w:bCs/>
          <w:i/>
          <w:iCs/>
          <w:sz w:val="20"/>
          <w:szCs w:val="20"/>
          <w:lang w:val="es-ES"/>
        </w:rPr>
      </w:pPr>
    </w:p>
    <w:p w:rsidRPr="006472FE" w:rsidR="006472FE" w:rsidP="006472FE" w:rsidRDefault="006472FE" w14:paraId="632A11AC" w14:textId="77777777">
      <w:pPr>
        <w:spacing w:after="0" w:line="360" w:lineRule="auto"/>
        <w:ind w:left="567" w:right="567"/>
        <w:rPr>
          <w:bCs/>
          <w:i/>
          <w:sz w:val="20"/>
          <w:szCs w:val="20"/>
          <w:lang w:val="es-ES"/>
        </w:rPr>
      </w:pPr>
      <w:r w:rsidRPr="006472FE">
        <w:rPr>
          <w:bCs/>
          <w:i/>
          <w:sz w:val="20"/>
          <w:szCs w:val="20"/>
          <w:lang w:val="es-ES"/>
        </w:rPr>
        <w:t>No omito mencionar, que el requerimiento identificado con el número 3, es el mismo que el identificado con el número 2, por lo que con la respuesta otorgada en el requerimiento 2, en automático se da respuesta al requerimiento 3.</w:t>
      </w:r>
    </w:p>
    <w:p w:rsidRPr="006472FE" w:rsidR="006472FE" w:rsidP="006472FE" w:rsidRDefault="006472FE" w14:paraId="632A11AD" w14:textId="77777777">
      <w:pPr>
        <w:spacing w:after="0" w:line="360" w:lineRule="auto"/>
        <w:ind w:left="567" w:right="567"/>
        <w:rPr>
          <w:bCs/>
          <w:i/>
          <w:iCs/>
          <w:sz w:val="20"/>
          <w:szCs w:val="20"/>
          <w:lang w:val="es-ES"/>
        </w:rPr>
      </w:pPr>
    </w:p>
    <w:p w:rsidRPr="006472FE" w:rsidR="006472FE" w:rsidP="006472FE" w:rsidRDefault="006472FE" w14:paraId="632A11AE" w14:textId="77777777">
      <w:pPr>
        <w:spacing w:after="0" w:line="360" w:lineRule="auto"/>
        <w:ind w:left="567" w:right="567"/>
        <w:rPr>
          <w:bCs/>
          <w:i/>
          <w:sz w:val="20"/>
          <w:szCs w:val="20"/>
          <w:lang w:val="es-ES"/>
        </w:rPr>
      </w:pPr>
      <w:r w:rsidRPr="006472FE">
        <w:rPr>
          <w:bCs/>
          <w:i/>
          <w:sz w:val="20"/>
          <w:szCs w:val="20"/>
          <w:lang w:val="es-ES"/>
        </w:rPr>
        <w:t>Ante la respuesta de esta Comisión Operativa Estatal, el solicitante, se inconforma por las razones que a continuación se señalan:</w:t>
      </w:r>
    </w:p>
    <w:p w:rsidRPr="006472FE" w:rsidR="006472FE" w:rsidP="006472FE" w:rsidRDefault="006472FE" w14:paraId="632A11AF" w14:textId="77777777">
      <w:pPr>
        <w:spacing w:after="0" w:line="360" w:lineRule="auto"/>
        <w:ind w:left="567" w:right="567"/>
        <w:rPr>
          <w:bCs/>
          <w:i/>
          <w:iCs/>
          <w:sz w:val="20"/>
          <w:szCs w:val="20"/>
          <w:lang w:val="es-ES"/>
        </w:rPr>
      </w:pPr>
    </w:p>
    <w:p w:rsidRPr="006472FE" w:rsidR="006472FE" w:rsidP="00694A19" w:rsidRDefault="006472FE" w14:paraId="632A11B0" w14:textId="77777777">
      <w:pPr>
        <w:spacing w:after="0" w:line="360" w:lineRule="auto"/>
        <w:ind w:left="1134" w:right="1134"/>
        <w:rPr>
          <w:bCs/>
          <w:i/>
          <w:sz w:val="20"/>
          <w:szCs w:val="20"/>
          <w:lang w:val="es-ES"/>
        </w:rPr>
      </w:pPr>
      <w:r w:rsidRPr="006472FE">
        <w:rPr>
          <w:bCs/>
          <w:i/>
          <w:sz w:val="20"/>
          <w:szCs w:val="20"/>
          <w:lang w:val="es-ES"/>
        </w:rPr>
        <w:lastRenderedPageBreak/>
        <w:t xml:space="preserve">En relación con el requerimiento identificado con el número 3, el Sujeto Obligado hace entrega de información que no corresponde con lo solicitado, ya </w:t>
      </w:r>
      <w:r w:rsidRPr="00694A19">
        <w:rPr>
          <w:bCs/>
          <w:i/>
          <w:sz w:val="20"/>
          <w:szCs w:val="20"/>
          <w:lang w:val="es-ES"/>
        </w:rPr>
        <w:t>que no transparenta los informes de origen y uso de recursos relativo al régimen financiero de los partidos políticos.</w:t>
      </w:r>
    </w:p>
    <w:p w:rsidRPr="006472FE" w:rsidR="006472FE" w:rsidP="006472FE" w:rsidRDefault="006472FE" w14:paraId="632A11B1" w14:textId="77777777">
      <w:pPr>
        <w:spacing w:after="0" w:line="360" w:lineRule="auto"/>
        <w:ind w:left="567" w:right="567"/>
        <w:rPr>
          <w:bCs/>
          <w:i/>
          <w:iCs/>
          <w:sz w:val="20"/>
          <w:szCs w:val="20"/>
          <w:lang w:val="es-ES"/>
        </w:rPr>
      </w:pPr>
    </w:p>
    <w:p w:rsidRPr="006472FE" w:rsidR="006472FE" w:rsidP="006472FE" w:rsidRDefault="006472FE" w14:paraId="632A11B2" w14:textId="77777777">
      <w:pPr>
        <w:spacing w:after="0" w:line="360" w:lineRule="auto"/>
        <w:ind w:left="567" w:right="567"/>
        <w:rPr>
          <w:bCs/>
          <w:i/>
          <w:sz w:val="20"/>
          <w:szCs w:val="20"/>
          <w:lang w:val="es-ES"/>
        </w:rPr>
      </w:pPr>
      <w:r w:rsidRPr="006472FE">
        <w:rPr>
          <w:bCs/>
          <w:i/>
          <w:sz w:val="20"/>
          <w:szCs w:val="20"/>
          <w:lang w:val="es-ES"/>
        </w:rPr>
        <w:t>Del argumento de inconformidad presentado por el recurrente, se identifica una ampliación de la solicitud original, ya que su solicitud primigenia es relativa a las ministraciones para actividades ordinarias permanentes y actividades específicas, así como erogaciones en sueldos, salarios y similares; mientras que en la materia de inconformidad se pronuncia por la falta de “informes de origen y uso de recursos”; por lo que se actualiza el supuesto contemplado en el artículo 191, fracción VII, de la Ley de Transparencia y Acceso a la Información Pública del Estado de México y Municipios, por lo que la misma debe ser desechada. En lo relativo el requerimiento 3.</w:t>
      </w:r>
    </w:p>
    <w:p w:rsidRPr="006472FE" w:rsidR="006472FE" w:rsidP="006472FE" w:rsidRDefault="006472FE" w14:paraId="632A11B3" w14:textId="77777777">
      <w:pPr>
        <w:spacing w:after="0" w:line="360" w:lineRule="auto"/>
        <w:ind w:left="567" w:right="567"/>
        <w:rPr>
          <w:bCs/>
          <w:i/>
          <w:sz w:val="20"/>
          <w:szCs w:val="20"/>
        </w:rPr>
      </w:pPr>
      <w:r w:rsidRPr="006472FE">
        <w:rPr>
          <w:bCs/>
          <w:i/>
          <w:sz w:val="20"/>
          <w:szCs w:val="20"/>
        </w:rPr>
        <w:t xml:space="preserve">…” (Sic) </w:t>
      </w:r>
    </w:p>
    <w:p w:rsidR="00FF4067" w:rsidP="00FF4067" w:rsidRDefault="00FF4067" w14:paraId="632A11B4" w14:textId="77777777">
      <w:pPr>
        <w:spacing w:after="0" w:line="360" w:lineRule="auto"/>
      </w:pPr>
    </w:p>
    <w:p w:rsidRPr="004122A9" w:rsidR="004D34D8" w:rsidP="004D34D8" w:rsidRDefault="000575A3" w14:paraId="632A11B5" w14:textId="77777777">
      <w:pPr>
        <w:spacing w:after="0" w:line="360" w:lineRule="auto"/>
      </w:pPr>
      <w:r>
        <w:rPr>
          <w:rFonts w:cs="Tahoma"/>
          <w:b/>
          <w:bCs/>
        </w:rPr>
        <w:t>d</w:t>
      </w:r>
      <w:r w:rsidRPr="00897D57" w:rsidR="004D34D8">
        <w:rPr>
          <w:rFonts w:cs="Tahoma"/>
          <w:b/>
          <w:bCs/>
        </w:rPr>
        <w:t xml:space="preserve">) Vista del Informe Justificado: </w:t>
      </w:r>
      <w:r w:rsidRPr="00897D57" w:rsidR="004D34D8">
        <w:rPr>
          <w:rFonts w:cs="Tahoma"/>
        </w:rPr>
        <w:t>El</w:t>
      </w:r>
      <w:r w:rsidRPr="0033487D" w:rsidR="004D34D8">
        <w:rPr>
          <w:rFonts w:cs="Tahoma"/>
        </w:rPr>
        <w:t xml:space="preserve"> </w:t>
      </w:r>
      <w:r w:rsidR="004D34D8">
        <w:rPr>
          <w:rFonts w:cs="Tahoma"/>
        </w:rPr>
        <w:t>veinte de diciembre</w:t>
      </w:r>
      <w:r w:rsidRPr="0033487D" w:rsidR="004D34D8">
        <w:rPr>
          <w:rFonts w:cs="Tahoma"/>
        </w:rPr>
        <w:t xml:space="preserve"> de dos mil veintiuno, se dictó acuerdo, por medio del cual </w:t>
      </w:r>
      <w:r w:rsidRPr="0033487D" w:rsidR="004D34D8">
        <w:rPr>
          <w:rFonts w:cs="Tahoma"/>
          <w:b/>
        </w:rPr>
        <w:t>se pu</w:t>
      </w:r>
      <w:r w:rsidR="004D34D8">
        <w:rPr>
          <w:rFonts w:cs="Tahoma"/>
          <w:b/>
        </w:rPr>
        <w:t>s</w:t>
      </w:r>
      <w:r w:rsidRPr="0033487D" w:rsidR="004D34D8">
        <w:rPr>
          <w:rFonts w:cs="Tahoma"/>
          <w:b/>
        </w:rPr>
        <w:t xml:space="preserve">o a la vista del Recurrente el </w:t>
      </w:r>
      <w:r w:rsidR="00AA43C2">
        <w:rPr>
          <w:rFonts w:cs="Tahoma"/>
          <w:b/>
        </w:rPr>
        <w:t>Informe Justificado</w:t>
      </w:r>
      <w:r w:rsidRPr="0033487D" w:rsidR="004D34D8">
        <w:rPr>
          <w:rFonts w:cs="Tahoma"/>
        </w:rPr>
        <w:t>, entregados por el Sujeto Obligado, a fin de que en un término no mayor a tres días hábiles manifestará lo que a derecho corresponda, acto que fue notificado</w:t>
      </w:r>
      <w:r w:rsidRPr="004122A9" w:rsidR="004D34D8">
        <w:rPr>
          <w:rFonts w:eastAsia="Palatino Linotype" w:cs="Palatino Linotype"/>
          <w:lang w:val="es-ES"/>
        </w:rPr>
        <w:t xml:space="preserve"> </w:t>
      </w:r>
      <w:r w:rsidRPr="004109D6" w:rsidR="004D34D8">
        <w:rPr>
          <w:rFonts w:eastAsia="Palatino Linotype" w:cs="Palatino Linotype"/>
          <w:lang w:val="es-ES"/>
        </w:rPr>
        <w:t>mediante el Sistema de Acceso a la Información Mexiquense (SAIMEX</w:t>
      </w:r>
      <w:r w:rsidRPr="00D9260D" w:rsidR="004D34D8">
        <w:rPr>
          <w:rFonts w:eastAsia="Palatino Linotype" w:cs="Palatino Linotype"/>
          <w:lang w:val="es-ES"/>
        </w:rPr>
        <w:t>)</w:t>
      </w:r>
      <w:r w:rsidR="00AA43C2">
        <w:rPr>
          <w:rFonts w:eastAsia="Palatino Linotype" w:cs="Palatino Linotype"/>
          <w:lang w:val="es-ES"/>
        </w:rPr>
        <w:t xml:space="preserve">. </w:t>
      </w:r>
    </w:p>
    <w:p w:rsidR="004D34D8" w:rsidP="00FF4067" w:rsidRDefault="004D34D8" w14:paraId="632A11B6" w14:textId="77777777">
      <w:pPr>
        <w:spacing w:after="0" w:line="360" w:lineRule="auto"/>
      </w:pPr>
    </w:p>
    <w:p w:rsidRPr="00D83A70" w:rsidR="00D83A70" w:rsidP="00D83A70" w:rsidRDefault="00644F77" w14:paraId="31EF1248" w14:textId="334CB5E0">
      <w:pPr>
        <w:spacing w:after="0" w:line="360" w:lineRule="auto"/>
      </w:pPr>
      <w:r>
        <w:rPr>
          <w:b/>
          <w:bCs/>
          <w:lang w:val="es-ES"/>
        </w:rPr>
        <w:t>e</w:t>
      </w:r>
      <w:r w:rsidRPr="00D83A70" w:rsidR="00D83A70">
        <w:rPr>
          <w:b/>
          <w:bCs/>
          <w:lang w:val="es-ES"/>
        </w:rPr>
        <w:t xml:space="preserve">) Ampliación de plazo para resolver. </w:t>
      </w:r>
      <w:r w:rsidRPr="00D83A70" w:rsidR="00D83A70">
        <w:rPr>
          <w:lang w:val="es-ES"/>
        </w:rPr>
        <w:t xml:space="preserve">El </w:t>
      </w:r>
      <w:r w:rsidR="00915D55">
        <w:rPr>
          <w:lang w:val="es-ES"/>
        </w:rPr>
        <w:t>veintiuno de diciembre</w:t>
      </w:r>
      <w:r w:rsidRPr="00D83A70" w:rsidR="00D83A70">
        <w:rPr>
          <w:lang w:val="es-ES"/>
        </w:rPr>
        <w:t xml:space="preserve"> de dos mil veintiuno,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rsidR="00D83A70" w:rsidP="00FF4067" w:rsidRDefault="00D83A70" w14:paraId="19F04761" w14:textId="77777777">
      <w:pPr>
        <w:spacing w:after="0" w:line="360" w:lineRule="auto"/>
      </w:pPr>
    </w:p>
    <w:p w:rsidR="00377ADF" w:rsidP="00377ADF" w:rsidRDefault="00644F77" w14:paraId="216395ED" w14:textId="392E30C3">
      <w:pPr>
        <w:spacing w:after="0" w:line="360" w:lineRule="auto"/>
      </w:pPr>
      <w:r>
        <w:rPr>
          <w:b/>
        </w:rPr>
        <w:lastRenderedPageBreak/>
        <w:t>f</w:t>
      </w:r>
      <w:r w:rsidRPr="00EC5CF7" w:rsidR="00EC5CF7">
        <w:rPr>
          <w:b/>
        </w:rPr>
        <w:t>) Requerimiento de información adicional.</w:t>
      </w:r>
      <w:r w:rsidRPr="00EC5CF7" w:rsidR="00EC5CF7">
        <w:t xml:space="preserve"> </w:t>
      </w:r>
      <w:r w:rsidR="003F2307">
        <w:t xml:space="preserve">El diecisiete de enero de dos mil veintidós, se </w:t>
      </w:r>
      <w:r w:rsidR="00C0589E">
        <w:t xml:space="preserve">emitió un requerimiento de información adicional suscrito por el Comisionado Ponente </w:t>
      </w:r>
      <w:r w:rsidRPr="00EC5CF7" w:rsidR="00EC5CF7">
        <w:t xml:space="preserve">el cual es dirigido a la Titular de la Unidad de Transparencia del Sujeto Obligado, lo anterior de conformidad con </w:t>
      </w:r>
      <w:r w:rsidRPr="00EC5CF7" w:rsidR="00EC5CF7">
        <w:rPr>
          <w:lang w:val="es-ES_tradnl"/>
        </w:rPr>
        <w:t xml:space="preserve">los artículos 14, fracciones I, II, V y XVI, del Reglamento Interior del Instituto de Transparencia, Acceso a la Información Pública y Protección de Datos Personales del Estado de México y Municipios, mismo que fue notificado al </w:t>
      </w:r>
      <w:r w:rsidRPr="00C15887" w:rsidR="00C15887">
        <w:t>Partido Movimiento Ciudadano</w:t>
      </w:r>
      <w:r w:rsidRPr="00EC5CF7" w:rsidR="00EC5CF7">
        <w:t xml:space="preserve">, el </w:t>
      </w:r>
      <w:r w:rsidR="00C15887">
        <w:t>mismo día de mes y año</w:t>
      </w:r>
      <w:r w:rsidRPr="00EC5CF7" w:rsidR="00EC5CF7">
        <w:rPr>
          <w:lang w:val="es-ES_tradnl"/>
        </w:rPr>
        <w:t>, a través de correo electrónico y el Sistema de Acceso a la Información Mexiquense (SAIMEX), por medio del cual se le solicitó lo siguiente:</w:t>
      </w:r>
    </w:p>
    <w:p w:rsidRPr="00377ADF" w:rsidR="00C73B46" w:rsidP="00377ADF" w:rsidRDefault="00C73B46" w14:paraId="204B29BC" w14:textId="77777777">
      <w:pPr>
        <w:spacing w:after="0" w:line="360" w:lineRule="auto"/>
      </w:pPr>
    </w:p>
    <w:p w:rsidRPr="00377ADF" w:rsidR="00377ADF" w:rsidP="00377ADF" w:rsidRDefault="00377ADF" w14:paraId="047B6A7C" w14:textId="3DB534A4">
      <w:pPr>
        <w:spacing w:after="0" w:line="360" w:lineRule="auto"/>
        <w:ind w:left="567" w:right="567"/>
        <w:rPr>
          <w:i/>
          <w:iCs/>
          <w:sz w:val="20"/>
          <w:szCs w:val="20"/>
        </w:rPr>
      </w:pPr>
      <w:r w:rsidRPr="00377ADF">
        <w:rPr>
          <w:i/>
          <w:iCs/>
          <w:sz w:val="20"/>
          <w:szCs w:val="20"/>
        </w:rPr>
        <w:t xml:space="preserve">a) Precise, si todo el personal del Partido Movimiento Ciudadano (Dirigentes, Delegados, Secretarios, Auxiliares, entre otros), es contratado bajo el régimen de subcontratación de servicios especializados y, en su caso, quiénes no se encuentran dentro de dicho régimen y si se les paga alguna retribución por sus servicios; </w:t>
      </w:r>
    </w:p>
    <w:p w:rsidRPr="00377ADF" w:rsidR="00377ADF" w:rsidP="00377ADF" w:rsidRDefault="00377ADF" w14:paraId="0DB0D22B" w14:textId="77777777">
      <w:pPr>
        <w:spacing w:after="0" w:line="360" w:lineRule="auto"/>
        <w:ind w:left="567" w:right="567"/>
        <w:rPr>
          <w:i/>
          <w:iCs/>
          <w:sz w:val="20"/>
          <w:szCs w:val="20"/>
        </w:rPr>
      </w:pPr>
    </w:p>
    <w:p w:rsidRPr="00377ADF" w:rsidR="00377ADF" w:rsidP="00377ADF" w:rsidRDefault="00377ADF" w14:paraId="537B7B29" w14:textId="77777777">
      <w:pPr>
        <w:spacing w:after="0" w:line="360" w:lineRule="auto"/>
        <w:ind w:left="567" w:right="567"/>
        <w:rPr>
          <w:i/>
          <w:iCs/>
          <w:sz w:val="20"/>
          <w:szCs w:val="20"/>
        </w:rPr>
      </w:pPr>
      <w:r w:rsidRPr="00377ADF">
        <w:rPr>
          <w:i/>
          <w:iCs/>
          <w:sz w:val="20"/>
          <w:szCs w:val="20"/>
        </w:rPr>
        <w:t xml:space="preserve">b) Señale, si cuenta con algún documento en donde se establezcan las remuneraciones que tiene el personal subcontratado; </w:t>
      </w:r>
    </w:p>
    <w:p w:rsidRPr="00377ADF" w:rsidR="00377ADF" w:rsidP="00377ADF" w:rsidRDefault="00377ADF" w14:paraId="4330AEEF" w14:textId="77777777">
      <w:pPr>
        <w:spacing w:after="0" w:line="360" w:lineRule="auto"/>
        <w:ind w:left="567" w:right="567"/>
        <w:rPr>
          <w:i/>
          <w:iCs/>
          <w:sz w:val="20"/>
          <w:szCs w:val="20"/>
        </w:rPr>
      </w:pPr>
    </w:p>
    <w:p w:rsidRPr="00377ADF" w:rsidR="00377ADF" w:rsidP="00377ADF" w:rsidRDefault="00377ADF" w14:paraId="3DB3D4E6" w14:textId="77777777">
      <w:pPr>
        <w:spacing w:after="0" w:line="360" w:lineRule="auto"/>
        <w:ind w:left="567" w:right="567"/>
        <w:rPr>
          <w:i/>
          <w:iCs/>
          <w:sz w:val="20"/>
          <w:szCs w:val="20"/>
        </w:rPr>
      </w:pPr>
      <w:r w:rsidRPr="00377ADF">
        <w:rPr>
          <w:i/>
          <w:iCs/>
          <w:sz w:val="20"/>
          <w:szCs w:val="20"/>
        </w:rPr>
        <w:t xml:space="preserve">c) Indique, si el contrato señalado en respuesta, corresponde al “Contrato de Prestación de Servicios Profesionales que celebran Servicios de Inteligencia Corporativa S.R.L. de C.V. y Movimiento Ciudadano”, del diecisiete de febrero de dos mil veintiuno: </w:t>
      </w:r>
    </w:p>
    <w:p w:rsidRPr="00377ADF" w:rsidR="00377ADF" w:rsidP="00377ADF" w:rsidRDefault="00377ADF" w14:paraId="36FB5FBC" w14:textId="77777777">
      <w:pPr>
        <w:spacing w:after="0" w:line="360" w:lineRule="auto"/>
        <w:ind w:left="567" w:right="567"/>
        <w:rPr>
          <w:i/>
          <w:iCs/>
          <w:sz w:val="20"/>
          <w:szCs w:val="20"/>
        </w:rPr>
      </w:pPr>
    </w:p>
    <w:p w:rsidRPr="00377ADF" w:rsidR="00377ADF" w:rsidP="00C73B46" w:rsidRDefault="00377ADF" w14:paraId="64948384" w14:textId="77777777">
      <w:pPr>
        <w:spacing w:after="0" w:line="360" w:lineRule="auto"/>
        <w:ind w:left="567" w:right="567" w:firstLine="284"/>
        <w:rPr>
          <w:i/>
          <w:iCs/>
          <w:sz w:val="20"/>
          <w:szCs w:val="20"/>
        </w:rPr>
      </w:pPr>
      <w:r w:rsidRPr="00377ADF">
        <w:rPr>
          <w:i/>
          <w:iCs/>
          <w:sz w:val="20"/>
          <w:szCs w:val="20"/>
        </w:rPr>
        <w:t xml:space="preserve">• En caso afirmativo, proporcione los anexos al contrato, y </w:t>
      </w:r>
    </w:p>
    <w:p w:rsidRPr="00377ADF" w:rsidR="00377ADF" w:rsidP="00C73B46" w:rsidRDefault="00377ADF" w14:paraId="30863F16" w14:textId="77777777">
      <w:pPr>
        <w:spacing w:after="0" w:line="360" w:lineRule="auto"/>
        <w:ind w:left="851" w:right="567"/>
        <w:rPr>
          <w:i/>
          <w:iCs/>
          <w:sz w:val="20"/>
          <w:szCs w:val="20"/>
        </w:rPr>
      </w:pPr>
      <w:r w:rsidRPr="00377ADF">
        <w:rPr>
          <w:i/>
          <w:iCs/>
          <w:sz w:val="20"/>
          <w:szCs w:val="20"/>
        </w:rPr>
        <w:t xml:space="preserve">• En caso negativo, entregue el contrato que hace referencia en respuesta, junto con sus anexos. </w:t>
      </w:r>
    </w:p>
    <w:p w:rsidRPr="000074EC" w:rsidR="00377ADF" w:rsidP="000074EC" w:rsidRDefault="000074EC" w14:paraId="3C72FC77" w14:textId="05F65F87">
      <w:pPr>
        <w:spacing w:after="0" w:line="360" w:lineRule="auto"/>
        <w:ind w:left="567" w:right="567"/>
        <w:rPr>
          <w:i/>
          <w:iCs/>
          <w:sz w:val="20"/>
          <w:szCs w:val="20"/>
        </w:rPr>
      </w:pPr>
      <w:r w:rsidRPr="000074EC">
        <w:rPr>
          <w:i/>
          <w:iCs/>
          <w:sz w:val="20"/>
          <w:szCs w:val="20"/>
        </w:rPr>
        <w:t xml:space="preserve">…” (Sic) </w:t>
      </w:r>
    </w:p>
    <w:p w:rsidRPr="00EC5CF7" w:rsidR="00EC5CF7" w:rsidP="00EC5CF7" w:rsidRDefault="00EC5CF7" w14:paraId="4916D2CE" w14:textId="77777777">
      <w:pPr>
        <w:spacing w:after="0" w:line="360" w:lineRule="auto"/>
      </w:pPr>
    </w:p>
    <w:p w:rsidR="006363E8" w:rsidP="00EC5CF7" w:rsidRDefault="00644F77" w14:paraId="27594A2C" w14:textId="0816F277">
      <w:pPr>
        <w:spacing w:after="0" w:line="360" w:lineRule="auto"/>
        <w:rPr>
          <w:lang w:val="es-ES_tradnl"/>
        </w:rPr>
      </w:pPr>
      <w:r w:rsidRPr="00966E79">
        <w:rPr>
          <w:b/>
          <w:bCs/>
        </w:rPr>
        <w:t>g</w:t>
      </w:r>
      <w:r w:rsidRPr="00EC5CF7" w:rsidR="00EC5CF7">
        <w:rPr>
          <w:b/>
          <w:bCs/>
        </w:rPr>
        <w:t xml:space="preserve">) </w:t>
      </w:r>
      <w:r w:rsidRPr="00EC5CF7" w:rsidR="00EC5CF7">
        <w:rPr>
          <w:b/>
          <w:bCs/>
          <w:lang w:val="es-ES"/>
        </w:rPr>
        <w:t xml:space="preserve">Desahogo del </w:t>
      </w:r>
      <w:r w:rsidRPr="00EC5CF7" w:rsidR="00EC5CF7">
        <w:rPr>
          <w:b/>
        </w:rPr>
        <w:t>requerimiento de información adicional</w:t>
      </w:r>
      <w:r w:rsidRPr="00EC5CF7" w:rsidR="00EC5CF7">
        <w:rPr>
          <w:b/>
          <w:bCs/>
          <w:lang w:val="es-ES"/>
        </w:rPr>
        <w:t xml:space="preserve">. </w:t>
      </w:r>
      <w:r w:rsidR="00DC2989">
        <w:rPr>
          <w:lang w:val="es-ES"/>
        </w:rPr>
        <w:t xml:space="preserve">El dieciocho de enero de dos mil veintidós </w:t>
      </w:r>
      <w:r w:rsidR="00157B40">
        <w:rPr>
          <w:lang w:val="es-ES"/>
        </w:rPr>
        <w:t xml:space="preserve">se recibió, </w:t>
      </w:r>
      <w:r w:rsidRPr="00EC5CF7" w:rsidR="00157B40">
        <w:rPr>
          <w:lang w:val="es-ES_tradnl"/>
        </w:rPr>
        <w:t>a través de correo electrónico</w:t>
      </w:r>
      <w:r w:rsidR="00157B40">
        <w:rPr>
          <w:lang w:val="es-ES_tradnl"/>
        </w:rPr>
        <w:t xml:space="preserve"> institucional</w:t>
      </w:r>
      <w:r w:rsidRPr="00EC5CF7" w:rsidR="00157B40">
        <w:rPr>
          <w:lang w:val="es-ES_tradnl"/>
        </w:rPr>
        <w:t xml:space="preserve"> y el Sistema de Acceso a la Información Mexiquense (SAIMEX),</w:t>
      </w:r>
      <w:r w:rsidR="00157B40">
        <w:rPr>
          <w:lang w:val="es-ES_tradnl"/>
        </w:rPr>
        <w:t xml:space="preserve"> el </w:t>
      </w:r>
      <w:r w:rsidR="0097070A">
        <w:rPr>
          <w:lang w:val="es-ES_tradnl"/>
        </w:rPr>
        <w:t xml:space="preserve">desahogo del requerimiento de información adicional </w:t>
      </w:r>
      <w:r w:rsidR="00841F49">
        <w:rPr>
          <w:lang w:val="es-ES_tradnl"/>
        </w:rPr>
        <w:t xml:space="preserve">del Sujeto Obligado por medio del oficio número: </w:t>
      </w:r>
      <w:r w:rsidR="00511382">
        <w:rPr>
          <w:lang w:val="es-ES_tradnl"/>
        </w:rPr>
        <w:t>MOV</w:t>
      </w:r>
      <w:r w:rsidR="00B641E2">
        <w:rPr>
          <w:lang w:val="es-ES_tradnl"/>
        </w:rPr>
        <w:t xml:space="preserve">CIU/UT-001/2022, de fecha dieciocho </w:t>
      </w:r>
      <w:r w:rsidR="00B641E2">
        <w:rPr>
          <w:lang w:val="es-ES_tradnl"/>
        </w:rPr>
        <w:lastRenderedPageBreak/>
        <w:t>de enero del año en curso, suscrito por la Presi</w:t>
      </w:r>
      <w:r w:rsidR="004A58EA">
        <w:rPr>
          <w:lang w:val="es-ES_tradnl"/>
        </w:rPr>
        <w:t xml:space="preserve">denta del Comité de Transparencia y es dirigido al Comisionado Ponente, por medio del cual manifiesta y expone: </w:t>
      </w:r>
    </w:p>
    <w:p w:rsidR="004A58EA" w:rsidP="00EC5CF7" w:rsidRDefault="004A58EA" w14:paraId="585961B0" w14:textId="77777777">
      <w:pPr>
        <w:spacing w:after="0" w:line="360" w:lineRule="auto"/>
        <w:rPr>
          <w:lang w:val="es-ES_tradnl"/>
        </w:rPr>
      </w:pPr>
    </w:p>
    <w:p w:rsidRPr="00C37D47" w:rsidR="004A58EA" w:rsidP="00C37D47" w:rsidRDefault="00567A74" w14:paraId="0831195C" w14:textId="69B49158">
      <w:pPr>
        <w:spacing w:after="0" w:line="360" w:lineRule="auto"/>
        <w:ind w:left="567" w:right="567"/>
        <w:rPr>
          <w:i/>
          <w:iCs/>
          <w:sz w:val="20"/>
          <w:szCs w:val="20"/>
          <w:lang w:val="es-ES_tradnl"/>
        </w:rPr>
      </w:pPr>
      <w:r w:rsidRPr="00C37D47">
        <w:rPr>
          <w:i/>
          <w:iCs/>
          <w:sz w:val="20"/>
          <w:szCs w:val="20"/>
          <w:lang w:val="es-ES_tradnl"/>
        </w:rPr>
        <w:t>“…</w:t>
      </w:r>
    </w:p>
    <w:p w:rsidRPr="00C37D47" w:rsidR="00567A74" w:rsidP="00C37D47" w:rsidRDefault="00567A74" w14:paraId="524AA103" w14:textId="636F5989">
      <w:pPr>
        <w:spacing w:after="0" w:line="360" w:lineRule="auto"/>
        <w:ind w:left="567" w:right="567"/>
        <w:rPr>
          <w:i/>
          <w:iCs/>
          <w:sz w:val="20"/>
          <w:szCs w:val="20"/>
          <w:lang w:val="es-ES_tradnl"/>
        </w:rPr>
      </w:pPr>
      <w:r w:rsidRPr="00C37D47">
        <w:rPr>
          <w:i/>
          <w:iCs/>
          <w:sz w:val="20"/>
          <w:szCs w:val="20"/>
        </w:rPr>
        <w:t>Dando respuesta a su amable solicitud, respecto al inciso:</w:t>
      </w:r>
    </w:p>
    <w:p w:rsidRPr="00C37D47" w:rsidR="004A58EA" w:rsidP="00C37D47" w:rsidRDefault="004A58EA" w14:paraId="38B36528" w14:textId="77777777">
      <w:pPr>
        <w:spacing w:after="0" w:line="360" w:lineRule="auto"/>
        <w:ind w:left="567" w:right="567"/>
        <w:rPr>
          <w:i/>
          <w:iCs/>
          <w:sz w:val="20"/>
          <w:szCs w:val="20"/>
          <w:lang w:val="es-ES_tradnl"/>
        </w:rPr>
      </w:pPr>
    </w:p>
    <w:p w:rsidRPr="00C37D47" w:rsidR="004A58EA" w:rsidP="00C37D47" w:rsidRDefault="005435AD" w14:paraId="0D551FDC" w14:textId="0FA86092">
      <w:pPr>
        <w:spacing w:after="0" w:line="360" w:lineRule="auto"/>
        <w:ind w:left="567" w:right="567"/>
        <w:rPr>
          <w:i/>
          <w:iCs/>
          <w:sz w:val="20"/>
          <w:szCs w:val="20"/>
          <w:lang w:val="es-ES_tradnl"/>
        </w:rPr>
      </w:pPr>
      <w:r w:rsidRPr="00C37D47">
        <w:rPr>
          <w:i/>
          <w:iCs/>
          <w:sz w:val="20"/>
          <w:szCs w:val="20"/>
        </w:rPr>
        <w:t>a) Precise, si todo el personal del Partido Movimiento Ciudadano (Dirigentes, Delegados, Secretarios, Auxiliares, entre otros) es contratado bajo el régimen de subcontratación de servicios especializados y, en su caso, quiénes no se encuentran dentro de dicho régimen y si se les paga alguna retribución por sus servicios</w:t>
      </w:r>
    </w:p>
    <w:p w:rsidRPr="00C37D47" w:rsidR="004A58EA" w:rsidP="00C37D47" w:rsidRDefault="004A58EA" w14:paraId="35C46E96" w14:textId="77777777">
      <w:pPr>
        <w:spacing w:after="0" w:line="360" w:lineRule="auto"/>
        <w:ind w:left="567" w:right="567"/>
        <w:rPr>
          <w:i/>
          <w:iCs/>
          <w:sz w:val="20"/>
          <w:szCs w:val="20"/>
          <w:lang w:val="es-ES"/>
        </w:rPr>
      </w:pPr>
    </w:p>
    <w:p w:rsidRPr="00C37D47" w:rsidR="006363E8" w:rsidP="00C37D47" w:rsidRDefault="000F23C4" w14:paraId="57D9F8B0" w14:textId="05CA38D4">
      <w:pPr>
        <w:spacing w:after="0" w:line="360" w:lineRule="auto"/>
        <w:ind w:left="567" w:right="567"/>
        <w:rPr>
          <w:i/>
          <w:iCs/>
          <w:sz w:val="20"/>
          <w:szCs w:val="20"/>
          <w:lang w:val="es-ES"/>
        </w:rPr>
      </w:pPr>
      <w:r w:rsidRPr="0047418E">
        <w:rPr>
          <w:b/>
          <w:bCs/>
          <w:i/>
          <w:iCs/>
          <w:sz w:val="20"/>
          <w:szCs w:val="20"/>
        </w:rPr>
        <w:t>No, no todo el personal sólo el personal que labora por parte de la empresa prestadora del Servicio, son los que están contratados bajo el régimen de subcontratación de servicios especializados y perciben un sueldo</w:t>
      </w:r>
      <w:r w:rsidRPr="00C37D47">
        <w:rPr>
          <w:i/>
          <w:iCs/>
          <w:sz w:val="20"/>
          <w:szCs w:val="20"/>
        </w:rPr>
        <w:t xml:space="preserve"> y el demás personal es Honorifico, de acuerdo a las Relaciones con el personal con sueldos y salarios y el personal honorifico que se adjunta en (ANEXO 1) y (ANEXO 1-A), respectivamente</w:t>
      </w:r>
    </w:p>
    <w:p w:rsidRPr="00C37D47" w:rsidR="006363E8" w:rsidP="00C37D47" w:rsidRDefault="006363E8" w14:paraId="3D26E268" w14:textId="77777777">
      <w:pPr>
        <w:spacing w:after="0" w:line="360" w:lineRule="auto"/>
        <w:ind w:left="567" w:right="567"/>
        <w:rPr>
          <w:i/>
          <w:iCs/>
          <w:sz w:val="20"/>
          <w:szCs w:val="20"/>
          <w:lang w:val="es-ES"/>
        </w:rPr>
      </w:pPr>
    </w:p>
    <w:p w:rsidRPr="00C37D47" w:rsidR="006363E8" w:rsidP="00C37D47" w:rsidRDefault="00C36926" w14:paraId="0526157D" w14:textId="1E3E3876">
      <w:pPr>
        <w:spacing w:after="0" w:line="360" w:lineRule="auto"/>
        <w:ind w:left="567" w:right="567"/>
        <w:rPr>
          <w:i/>
          <w:iCs/>
          <w:sz w:val="20"/>
          <w:szCs w:val="20"/>
          <w:lang w:val="es-ES"/>
        </w:rPr>
      </w:pPr>
      <w:r w:rsidRPr="00C37D47">
        <w:rPr>
          <w:i/>
          <w:iCs/>
          <w:sz w:val="20"/>
          <w:szCs w:val="20"/>
        </w:rPr>
        <w:t xml:space="preserve">En cuanto al inciso: </w:t>
      </w:r>
    </w:p>
    <w:p w:rsidRPr="00C37D47" w:rsidR="006363E8" w:rsidP="00C37D47" w:rsidRDefault="006363E8" w14:paraId="70F3E48D" w14:textId="77777777">
      <w:pPr>
        <w:spacing w:after="0" w:line="360" w:lineRule="auto"/>
        <w:ind w:left="567" w:right="567"/>
        <w:rPr>
          <w:i/>
          <w:iCs/>
          <w:sz w:val="20"/>
          <w:szCs w:val="20"/>
          <w:lang w:val="es-ES"/>
        </w:rPr>
      </w:pPr>
    </w:p>
    <w:p w:rsidRPr="00C37D47" w:rsidR="006363E8" w:rsidP="00C37D47" w:rsidRDefault="00CE2323" w14:paraId="648D5FE1" w14:textId="49689D83">
      <w:pPr>
        <w:spacing w:after="0" w:line="360" w:lineRule="auto"/>
        <w:ind w:left="567" w:right="567"/>
        <w:rPr>
          <w:i/>
          <w:iCs/>
          <w:sz w:val="20"/>
          <w:szCs w:val="20"/>
          <w:lang w:val="es-ES"/>
        </w:rPr>
      </w:pPr>
      <w:r w:rsidRPr="00C37D47">
        <w:rPr>
          <w:i/>
          <w:iCs/>
          <w:sz w:val="20"/>
          <w:szCs w:val="20"/>
        </w:rPr>
        <w:t xml:space="preserve">b) Señale, si cuenta con algún </w:t>
      </w:r>
      <w:r w:rsidRPr="00AF7DA3">
        <w:rPr>
          <w:b/>
          <w:bCs/>
          <w:i/>
          <w:iCs/>
          <w:sz w:val="20"/>
          <w:szCs w:val="20"/>
        </w:rPr>
        <w:t>documento en donde se establezcan las remuneraciones</w:t>
      </w:r>
      <w:r w:rsidRPr="00C37D47">
        <w:rPr>
          <w:i/>
          <w:iCs/>
          <w:sz w:val="20"/>
          <w:szCs w:val="20"/>
        </w:rPr>
        <w:t xml:space="preserve"> que tiene el personal subcontratado;</w:t>
      </w:r>
    </w:p>
    <w:p w:rsidRPr="00C37D47" w:rsidR="006363E8" w:rsidP="00C37D47" w:rsidRDefault="00593D9A" w14:paraId="12EC49E3" w14:textId="12CC568C">
      <w:pPr>
        <w:spacing w:after="0" w:line="360" w:lineRule="auto"/>
        <w:ind w:left="567" w:right="567"/>
        <w:rPr>
          <w:i/>
          <w:iCs/>
          <w:sz w:val="20"/>
          <w:szCs w:val="20"/>
          <w:lang w:val="es-ES"/>
        </w:rPr>
      </w:pPr>
      <w:r>
        <w:rPr>
          <w:i/>
          <w:iCs/>
          <w:sz w:val="20"/>
          <w:szCs w:val="20"/>
          <w:lang w:val="es-ES"/>
        </w:rPr>
        <w:t>…</w:t>
      </w:r>
    </w:p>
    <w:p w:rsidRPr="00C37D47" w:rsidR="007D1BC8" w:rsidP="00C37D47" w:rsidRDefault="007D1BC8" w14:paraId="10C70374" w14:textId="0002D94E">
      <w:pPr>
        <w:spacing w:after="0" w:line="360" w:lineRule="auto"/>
        <w:ind w:left="567" w:right="567"/>
        <w:rPr>
          <w:i/>
          <w:iCs/>
          <w:sz w:val="20"/>
          <w:szCs w:val="20"/>
          <w:lang w:val="es-ES"/>
        </w:rPr>
      </w:pPr>
      <w:r w:rsidRPr="00C37D47">
        <w:rPr>
          <w:i/>
          <w:iCs/>
          <w:sz w:val="20"/>
          <w:szCs w:val="20"/>
        </w:rPr>
        <w:t>Respecto al inciso:</w:t>
      </w:r>
    </w:p>
    <w:p w:rsidRPr="00C37D47" w:rsidR="006363E8" w:rsidP="00C37D47" w:rsidRDefault="006363E8" w14:paraId="606FFB9B" w14:textId="77777777">
      <w:pPr>
        <w:spacing w:after="0" w:line="360" w:lineRule="auto"/>
        <w:ind w:left="567" w:right="567"/>
        <w:rPr>
          <w:i/>
          <w:iCs/>
          <w:sz w:val="20"/>
          <w:szCs w:val="20"/>
          <w:lang w:val="es-ES"/>
        </w:rPr>
      </w:pPr>
    </w:p>
    <w:p w:rsidRPr="00C37D47" w:rsidR="006363E8" w:rsidP="00C37D47" w:rsidRDefault="007D1BC8" w14:paraId="7D43C4BF" w14:textId="1CE7508F">
      <w:pPr>
        <w:spacing w:after="0" w:line="360" w:lineRule="auto"/>
        <w:ind w:left="567" w:right="567"/>
        <w:rPr>
          <w:i/>
          <w:iCs/>
          <w:sz w:val="20"/>
          <w:szCs w:val="20"/>
          <w:lang w:val="es-ES"/>
        </w:rPr>
      </w:pPr>
      <w:r w:rsidRPr="00C37D47">
        <w:rPr>
          <w:i/>
          <w:iCs/>
          <w:sz w:val="20"/>
          <w:szCs w:val="20"/>
        </w:rPr>
        <w:t>c) Indique, si el contrato señalado en respuesta, corresponde al “Contrato de Prestación de Servicios Profesionales que celebran Servicios de Inteligencia Corporativa S.R.L. de C.V. y Movimiento Ciudadano”, del diecisiete de febrero del dos mil veintiuno:</w:t>
      </w:r>
    </w:p>
    <w:p w:rsidRPr="00C37D47" w:rsidR="00DE3514" w:rsidP="00C37D47" w:rsidRDefault="00DE3514" w14:paraId="1FC6D9A5" w14:textId="77777777">
      <w:pPr>
        <w:spacing w:after="0" w:line="360" w:lineRule="auto"/>
        <w:ind w:left="567" w:right="567"/>
        <w:rPr>
          <w:i/>
          <w:iCs/>
          <w:sz w:val="20"/>
          <w:szCs w:val="20"/>
          <w:lang w:val="es-ES"/>
        </w:rPr>
      </w:pPr>
    </w:p>
    <w:p w:rsidRPr="00C37D47" w:rsidR="00DE3514" w:rsidP="00C37D47" w:rsidRDefault="00DE3514" w14:paraId="11CEBC4C" w14:textId="560E222B">
      <w:pPr>
        <w:spacing w:after="0" w:line="360" w:lineRule="auto"/>
        <w:ind w:left="567" w:right="567"/>
        <w:rPr>
          <w:i/>
          <w:iCs/>
          <w:sz w:val="20"/>
          <w:szCs w:val="20"/>
        </w:rPr>
      </w:pPr>
      <w:r w:rsidRPr="00C37D47">
        <w:rPr>
          <w:i/>
          <w:iCs/>
          <w:sz w:val="20"/>
          <w:szCs w:val="20"/>
        </w:rPr>
        <w:t xml:space="preserve">o En caso afirmativo, proporcione los anexos al contrato, y </w:t>
      </w:r>
    </w:p>
    <w:p w:rsidRPr="00C37D47" w:rsidR="006363E8" w:rsidP="00C37D47" w:rsidRDefault="00DE3514" w14:paraId="0D3F9BD9" w14:textId="61263511">
      <w:pPr>
        <w:spacing w:after="0" w:line="360" w:lineRule="auto"/>
        <w:ind w:left="567" w:right="567"/>
        <w:rPr>
          <w:i/>
          <w:iCs/>
          <w:sz w:val="20"/>
          <w:szCs w:val="20"/>
          <w:lang w:val="es-ES"/>
        </w:rPr>
      </w:pPr>
      <w:r w:rsidRPr="00C37D47">
        <w:rPr>
          <w:i/>
          <w:iCs/>
          <w:sz w:val="20"/>
          <w:szCs w:val="20"/>
        </w:rPr>
        <w:lastRenderedPageBreak/>
        <w:t>o En caso negativo, entregue el contrato que hace referencia en respuesta, junto con sus</w:t>
      </w:r>
      <w:r w:rsidRPr="00C37D47">
        <w:rPr>
          <w:i/>
          <w:iCs/>
          <w:sz w:val="20"/>
          <w:szCs w:val="20"/>
        </w:rPr>
        <w:br/>
      </w:r>
      <w:r w:rsidRPr="00C37D47">
        <w:rPr>
          <w:i/>
          <w:iCs/>
          <w:sz w:val="20"/>
          <w:szCs w:val="20"/>
        </w:rPr>
        <w:t>anexos</w:t>
      </w:r>
    </w:p>
    <w:p w:rsidRPr="00C37D47" w:rsidR="006363E8" w:rsidP="00C37D47" w:rsidRDefault="006363E8" w14:paraId="32A2EE75" w14:textId="77777777">
      <w:pPr>
        <w:spacing w:after="0" w:line="360" w:lineRule="auto"/>
        <w:ind w:left="567" w:right="567"/>
        <w:rPr>
          <w:i/>
          <w:iCs/>
          <w:sz w:val="20"/>
          <w:szCs w:val="20"/>
          <w:lang w:val="es-ES"/>
        </w:rPr>
      </w:pPr>
    </w:p>
    <w:p w:rsidRPr="00C37D47" w:rsidR="006363E8" w:rsidP="00C37D47" w:rsidRDefault="00DE3514" w14:paraId="14C87FDA" w14:textId="20C6B24E">
      <w:pPr>
        <w:spacing w:after="0" w:line="360" w:lineRule="auto"/>
        <w:ind w:left="567" w:right="567"/>
        <w:rPr>
          <w:i/>
          <w:iCs/>
          <w:sz w:val="20"/>
          <w:szCs w:val="20"/>
          <w:lang w:val="es-ES"/>
        </w:rPr>
      </w:pPr>
      <w:r w:rsidRPr="002B4E19">
        <w:rPr>
          <w:b/>
          <w:bCs/>
          <w:i/>
          <w:iCs/>
          <w:sz w:val="20"/>
          <w:szCs w:val="20"/>
        </w:rPr>
        <w:t>Si, el Contrato del Prestador de Servicios Especializados, corresponde con la Empresa Servicios de Inteligencia Corporativa S.R.L. de C.V. y Movimiento Ciudadano, de fecha del diecisiete de febrero del dos mil veintiuno: se proporciona el Contrato y los Anexos al Contrato</w:t>
      </w:r>
      <w:r w:rsidRPr="00C37D47">
        <w:rPr>
          <w:i/>
          <w:iCs/>
          <w:sz w:val="20"/>
          <w:szCs w:val="20"/>
        </w:rPr>
        <w:t xml:space="preserve"> (ANEXO 2).</w:t>
      </w:r>
    </w:p>
    <w:p w:rsidRPr="00C37D47" w:rsidR="006363E8" w:rsidP="00C37D47" w:rsidRDefault="00C37D47" w14:paraId="4F992B96" w14:textId="7B499221">
      <w:pPr>
        <w:spacing w:after="0" w:line="360" w:lineRule="auto"/>
        <w:ind w:left="567" w:right="567"/>
        <w:rPr>
          <w:i/>
          <w:iCs/>
          <w:sz w:val="20"/>
          <w:szCs w:val="20"/>
          <w:lang w:val="es-ES"/>
        </w:rPr>
      </w:pPr>
      <w:r w:rsidRPr="00C37D47">
        <w:rPr>
          <w:i/>
          <w:iCs/>
          <w:sz w:val="20"/>
          <w:szCs w:val="20"/>
          <w:lang w:val="es-ES"/>
        </w:rPr>
        <w:t xml:space="preserve">…” (Sic) </w:t>
      </w:r>
    </w:p>
    <w:p w:rsidR="006363E8" w:rsidP="00EC5CF7" w:rsidRDefault="006363E8" w14:paraId="5EA252F6" w14:textId="77777777">
      <w:pPr>
        <w:spacing w:after="0" w:line="360" w:lineRule="auto"/>
        <w:rPr>
          <w:lang w:val="es-ES"/>
        </w:rPr>
      </w:pPr>
    </w:p>
    <w:p w:rsidR="000B618C" w:rsidP="00FF4067" w:rsidRDefault="00F87ECA" w14:paraId="2233E32C" w14:textId="5449C605">
      <w:pPr>
        <w:spacing w:after="0" w:line="360" w:lineRule="auto"/>
        <w:rPr>
          <w:lang w:val="es-ES"/>
        </w:rPr>
      </w:pPr>
      <w:r>
        <w:rPr>
          <w:lang w:val="es-ES"/>
        </w:rPr>
        <w:t xml:space="preserve">Al </w:t>
      </w:r>
      <w:r w:rsidR="00E3630D">
        <w:rPr>
          <w:lang w:val="es-ES"/>
        </w:rPr>
        <w:t xml:space="preserve">desahogo del requerimiento de información adicional, el Sujeto Obligado, adjunto la digitalización de los siguientes documentos: </w:t>
      </w:r>
    </w:p>
    <w:p w:rsidR="00E3630D" w:rsidP="00FF4067" w:rsidRDefault="00E3630D" w14:paraId="524EB08E" w14:textId="77777777">
      <w:pPr>
        <w:spacing w:after="0" w:line="360" w:lineRule="auto"/>
        <w:rPr>
          <w:lang w:val="es-ES"/>
        </w:rPr>
      </w:pPr>
    </w:p>
    <w:p w:rsidR="00E3630D" w:rsidP="00FF4067" w:rsidRDefault="00E3630D" w14:paraId="130C8723" w14:textId="0F96A244">
      <w:pPr>
        <w:spacing w:after="0" w:line="360" w:lineRule="auto"/>
        <w:rPr>
          <w:lang w:val="es-ES"/>
        </w:rPr>
      </w:pPr>
      <w:r>
        <w:rPr>
          <w:lang w:val="es-ES"/>
        </w:rPr>
        <w:t xml:space="preserve">i) </w:t>
      </w:r>
      <w:r w:rsidR="00857285">
        <w:rPr>
          <w:lang w:val="es-ES"/>
        </w:rPr>
        <w:t xml:space="preserve">Documento denominado </w:t>
      </w:r>
      <w:r w:rsidRPr="005266F5" w:rsidR="00857285">
        <w:rPr>
          <w:i/>
          <w:iCs/>
          <w:lang w:val="es-ES"/>
        </w:rPr>
        <w:t>A</w:t>
      </w:r>
      <w:r w:rsidRPr="005266F5" w:rsidR="00781B7E">
        <w:rPr>
          <w:i/>
          <w:iCs/>
          <w:lang w:val="es-ES"/>
        </w:rPr>
        <w:t>NEXO 1.pdf</w:t>
      </w:r>
      <w:r w:rsidR="00781B7E">
        <w:rPr>
          <w:lang w:val="es-ES"/>
        </w:rPr>
        <w:t xml:space="preserve">, el cual contiene </w:t>
      </w:r>
      <w:r w:rsidR="00AE61B6">
        <w:rPr>
          <w:lang w:val="es-ES"/>
        </w:rPr>
        <w:t xml:space="preserve">un registro de la nómina de </w:t>
      </w:r>
      <w:r w:rsidR="00EA4AC7">
        <w:rPr>
          <w:lang w:val="es-ES"/>
        </w:rPr>
        <w:t>personal del primero al treinta y uno de marzo de dos mil veintiuno</w:t>
      </w:r>
      <w:r w:rsidR="009701CB">
        <w:rPr>
          <w:lang w:val="es-ES"/>
        </w:rPr>
        <w:t>.</w:t>
      </w:r>
    </w:p>
    <w:p w:rsidR="00B01A18" w:rsidP="00FF4067" w:rsidRDefault="00B01A18" w14:paraId="4A0BE467" w14:textId="77777777">
      <w:pPr>
        <w:spacing w:after="0" w:line="360" w:lineRule="auto"/>
        <w:rPr>
          <w:lang w:val="es-ES"/>
        </w:rPr>
      </w:pPr>
    </w:p>
    <w:p w:rsidR="0036424B" w:rsidP="00FF4067" w:rsidRDefault="005266F5" w14:paraId="246F34FE" w14:textId="60C03DB3">
      <w:pPr>
        <w:spacing w:after="0" w:line="360" w:lineRule="auto"/>
        <w:rPr>
          <w:lang w:val="es-ES"/>
        </w:rPr>
      </w:pPr>
      <w:proofErr w:type="spellStart"/>
      <w:r>
        <w:rPr>
          <w:lang w:val="es-ES"/>
        </w:rPr>
        <w:t>ii</w:t>
      </w:r>
      <w:proofErr w:type="spellEnd"/>
      <w:r>
        <w:rPr>
          <w:lang w:val="es-ES"/>
        </w:rPr>
        <w:t xml:space="preserve">) </w:t>
      </w:r>
      <w:r w:rsidR="00AA3C37">
        <w:rPr>
          <w:lang w:val="es-ES"/>
        </w:rPr>
        <w:t xml:space="preserve">Documento denominado </w:t>
      </w:r>
      <w:r w:rsidR="00633C0A">
        <w:rPr>
          <w:lang w:val="es-ES"/>
        </w:rPr>
        <w:t xml:space="preserve">ANEXO 1-A.xlsx, del cual se advierte </w:t>
      </w:r>
      <w:r w:rsidR="008A6D1F">
        <w:rPr>
          <w:lang w:val="es-ES"/>
        </w:rPr>
        <w:t xml:space="preserve">un listado de </w:t>
      </w:r>
      <w:r w:rsidR="00933E55">
        <w:rPr>
          <w:lang w:val="es-ES"/>
        </w:rPr>
        <w:t xml:space="preserve">siete </w:t>
      </w:r>
      <w:r w:rsidR="00452F98">
        <w:rPr>
          <w:lang w:val="es-ES"/>
        </w:rPr>
        <w:t xml:space="preserve">funcionarios </w:t>
      </w:r>
      <w:r w:rsidR="0036424B">
        <w:rPr>
          <w:lang w:val="es-ES"/>
        </w:rPr>
        <w:t>cuyos salarios</w:t>
      </w:r>
      <w:r w:rsidR="00452F98">
        <w:rPr>
          <w:lang w:val="es-ES"/>
        </w:rPr>
        <w:t xml:space="preserve"> </w:t>
      </w:r>
      <w:r w:rsidR="00813AA8">
        <w:rPr>
          <w:lang w:val="es-ES"/>
        </w:rPr>
        <w:t>son honoríficos.</w:t>
      </w:r>
    </w:p>
    <w:p w:rsidR="004961DD" w:rsidP="00FF4067" w:rsidRDefault="004961DD" w14:paraId="0FEE9A16" w14:textId="77777777">
      <w:pPr>
        <w:spacing w:after="0" w:line="360" w:lineRule="auto"/>
        <w:rPr>
          <w:lang w:val="es-ES"/>
        </w:rPr>
      </w:pPr>
    </w:p>
    <w:p w:rsidR="004961DD" w:rsidP="00FF4067" w:rsidRDefault="009301E7" w14:paraId="604CF4B4" w14:textId="5CEFE42F">
      <w:pPr>
        <w:spacing w:after="0" w:line="360" w:lineRule="auto"/>
        <w:rPr>
          <w:lang w:val="es-ES"/>
        </w:rPr>
      </w:pPr>
      <w:r>
        <w:rPr>
          <w:lang w:val="es-ES"/>
        </w:rPr>
        <w:t xml:space="preserve">iii) </w:t>
      </w:r>
      <w:r w:rsidR="00D9009D">
        <w:rPr>
          <w:lang w:val="es-ES"/>
        </w:rPr>
        <w:t xml:space="preserve">Contrato de prestación de servicios </w:t>
      </w:r>
      <w:r w:rsidR="0075014F">
        <w:rPr>
          <w:lang w:val="es-ES"/>
        </w:rPr>
        <w:t>profesionales</w:t>
      </w:r>
      <w:r w:rsidR="00DA7FDC">
        <w:rPr>
          <w:lang w:val="es-ES"/>
        </w:rPr>
        <w:t xml:space="preserve">, celebrado entre Servicios de Inteligencia Corporativa </w:t>
      </w:r>
      <w:r w:rsidR="000B04DE">
        <w:rPr>
          <w:lang w:val="es-ES"/>
        </w:rPr>
        <w:t xml:space="preserve">S.R.L. de C.V. y Movimiento Ciudadano. </w:t>
      </w:r>
    </w:p>
    <w:p w:rsidR="002963C1" w:rsidP="00FF4067" w:rsidRDefault="002963C1" w14:paraId="38D629E3" w14:textId="77777777">
      <w:pPr>
        <w:spacing w:after="0" w:line="360" w:lineRule="auto"/>
        <w:rPr>
          <w:lang w:val="es-ES"/>
        </w:rPr>
      </w:pPr>
    </w:p>
    <w:p w:rsidR="002963C1" w:rsidP="00FF4067" w:rsidRDefault="002963C1" w14:paraId="3FC9C3B0" w14:textId="419760D4">
      <w:pPr>
        <w:spacing w:after="0" w:line="360" w:lineRule="auto"/>
        <w:rPr>
          <w:lang w:val="es-ES"/>
        </w:rPr>
      </w:pPr>
      <w:proofErr w:type="spellStart"/>
      <w:r>
        <w:rPr>
          <w:lang w:val="es-ES"/>
        </w:rPr>
        <w:t>iv</w:t>
      </w:r>
      <w:proofErr w:type="spellEnd"/>
      <w:r>
        <w:rPr>
          <w:lang w:val="es-ES"/>
        </w:rPr>
        <w:t xml:space="preserve">) </w:t>
      </w:r>
      <w:r w:rsidR="002D040E">
        <w:rPr>
          <w:lang w:val="es-ES"/>
        </w:rPr>
        <w:t xml:space="preserve">Estado de </w:t>
      </w:r>
      <w:r w:rsidR="00D23FB7">
        <w:rPr>
          <w:lang w:val="es-ES"/>
        </w:rPr>
        <w:t xml:space="preserve">cuenta integral de Servicios de Inteligencia Corporativa S.R.L. de C.V. </w:t>
      </w:r>
    </w:p>
    <w:p w:rsidR="00D23FB7" w:rsidP="00FF4067" w:rsidRDefault="00D23FB7" w14:paraId="7A9A3459" w14:textId="77777777">
      <w:pPr>
        <w:spacing w:after="0" w:line="360" w:lineRule="auto"/>
        <w:rPr>
          <w:lang w:val="es-ES"/>
        </w:rPr>
      </w:pPr>
    </w:p>
    <w:p w:rsidR="00D23FB7" w:rsidP="00FF4067" w:rsidRDefault="00D23FB7" w14:paraId="453ADC84" w14:textId="0EEDFD17">
      <w:pPr>
        <w:spacing w:after="0" w:line="360" w:lineRule="auto"/>
        <w:rPr>
          <w:lang w:val="es-ES"/>
        </w:rPr>
      </w:pPr>
      <w:r>
        <w:rPr>
          <w:lang w:val="es-ES"/>
        </w:rPr>
        <w:t xml:space="preserve">v) </w:t>
      </w:r>
      <w:r w:rsidR="00196CC1">
        <w:rPr>
          <w:lang w:val="es-ES"/>
        </w:rPr>
        <w:t>Cedula de identificación fiscal</w:t>
      </w:r>
      <w:r w:rsidR="00E23510">
        <w:rPr>
          <w:lang w:val="es-ES"/>
        </w:rPr>
        <w:t xml:space="preserve"> de Servicios de Inteligencia Corporativa S.R.L. de C.V. </w:t>
      </w:r>
    </w:p>
    <w:p w:rsidR="0036424B" w:rsidP="00FF4067" w:rsidRDefault="0036424B" w14:paraId="0845AB26" w14:textId="77777777">
      <w:pPr>
        <w:spacing w:after="0" w:line="360" w:lineRule="auto"/>
        <w:rPr>
          <w:lang w:val="es-ES"/>
        </w:rPr>
      </w:pPr>
    </w:p>
    <w:p w:rsidR="0036424B" w:rsidP="00FF4067" w:rsidRDefault="003B6BC2" w14:paraId="2CB6E6D9" w14:textId="0B14E2B7">
      <w:pPr>
        <w:spacing w:after="0" w:line="360" w:lineRule="auto"/>
        <w:rPr>
          <w:lang w:val="es-ES"/>
        </w:rPr>
      </w:pPr>
      <w:r>
        <w:rPr>
          <w:lang w:val="es-ES"/>
        </w:rPr>
        <w:t xml:space="preserve">vi) Acta constitutiva </w:t>
      </w:r>
      <w:r w:rsidR="00EF4B06">
        <w:rPr>
          <w:lang w:val="es-ES"/>
        </w:rPr>
        <w:t>de Servicios de Inteligencia Corporativa S.R.L. de C.V.</w:t>
      </w:r>
    </w:p>
    <w:p w:rsidR="0036424B" w:rsidP="00FF4067" w:rsidRDefault="0036424B" w14:paraId="749F4CE9" w14:textId="77777777">
      <w:pPr>
        <w:spacing w:after="0" w:line="360" w:lineRule="auto"/>
        <w:rPr>
          <w:lang w:val="es-ES"/>
        </w:rPr>
      </w:pPr>
    </w:p>
    <w:p w:rsidR="0036424B" w:rsidP="00FF4067" w:rsidRDefault="00952476" w14:paraId="785D8621" w14:textId="0A976EE4">
      <w:pPr>
        <w:spacing w:after="0" w:line="360" w:lineRule="auto"/>
        <w:rPr>
          <w:lang w:val="es-ES"/>
        </w:rPr>
      </w:pPr>
      <w:proofErr w:type="spellStart"/>
      <w:r>
        <w:rPr>
          <w:lang w:val="es-ES"/>
        </w:rPr>
        <w:t>vii</w:t>
      </w:r>
      <w:proofErr w:type="spellEnd"/>
      <w:r>
        <w:rPr>
          <w:lang w:val="es-ES"/>
        </w:rPr>
        <w:t xml:space="preserve">) Registro nacional de proveedores </w:t>
      </w:r>
      <w:r w:rsidR="000A334A">
        <w:rPr>
          <w:lang w:val="es-ES"/>
        </w:rPr>
        <w:t xml:space="preserve">de Servicios de Inteligencia Corporativa S.R.L. de C.V. </w:t>
      </w:r>
    </w:p>
    <w:p w:rsidRPr="003E2830" w:rsidR="00F87ECA" w:rsidP="00FF4067" w:rsidRDefault="00F87ECA" w14:paraId="2321D985" w14:textId="0537732B">
      <w:pPr>
        <w:spacing w:after="0" w:line="360" w:lineRule="auto"/>
        <w:rPr>
          <w:lang w:val="es-ES"/>
        </w:rPr>
      </w:pPr>
    </w:p>
    <w:p w:rsidRPr="00966E79" w:rsidR="008120E8" w:rsidP="00FF4067" w:rsidRDefault="003E2830" w14:paraId="632A11B7" w14:textId="6CC038D8">
      <w:pPr>
        <w:spacing w:after="0" w:line="360" w:lineRule="auto"/>
      </w:pPr>
      <w:r>
        <w:rPr>
          <w:rFonts w:eastAsia="Times New Roman" w:cs="Tahoma"/>
          <w:b/>
          <w:color w:val="auto"/>
          <w:szCs w:val="24"/>
          <w:lang w:eastAsia="es-ES"/>
        </w:rPr>
        <w:t>h</w:t>
      </w:r>
      <w:r w:rsidRPr="00966E79" w:rsidR="008120E8">
        <w:rPr>
          <w:rFonts w:eastAsia="Times New Roman" w:cs="Tahoma"/>
          <w:b/>
          <w:color w:val="auto"/>
          <w:szCs w:val="24"/>
          <w:lang w:eastAsia="es-ES"/>
        </w:rPr>
        <w:t>) Cierre de instrucción.</w:t>
      </w:r>
      <w:r w:rsidRPr="00966E79" w:rsidR="008120E8">
        <w:rPr>
          <w:rFonts w:eastAsia="Times New Roman" w:cs="Tahoma"/>
          <w:color w:val="auto"/>
          <w:szCs w:val="24"/>
          <w:lang w:eastAsia="es-ES"/>
        </w:rPr>
        <w:t xml:space="preserve"> El </w:t>
      </w:r>
      <w:r w:rsidR="00B61F54">
        <w:rPr>
          <w:rFonts w:eastAsia="Times New Roman" w:cs="Tahoma"/>
          <w:color w:val="auto"/>
          <w:szCs w:val="24"/>
          <w:lang w:eastAsia="es-ES"/>
        </w:rPr>
        <w:t>veintiuno de enero de dos mil veintidós</w:t>
      </w:r>
      <w:r w:rsidRPr="00966E79" w:rsidR="008120E8">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Pr="00966E79" w:rsidR="008120E8">
        <w:rPr>
          <w:rFonts w:eastAsia="Palatino Linotype" w:cs="Palatino Linotype"/>
          <w:lang w:val="es-ES"/>
        </w:rPr>
        <w:t>acto que fue notificado a las partes</w:t>
      </w:r>
    </w:p>
    <w:p w:rsidRPr="00966E79" w:rsidR="00FF4067" w:rsidP="00FF4067" w:rsidRDefault="00FF4067" w14:paraId="632A11B8" w14:textId="77777777">
      <w:pPr>
        <w:spacing w:after="0" w:line="360" w:lineRule="auto"/>
        <w:rPr>
          <w:rFonts w:eastAsia="Times New Roman" w:cs="Tahoma"/>
          <w:color w:val="auto"/>
          <w:szCs w:val="24"/>
          <w:lang w:eastAsia="es-ES"/>
        </w:rPr>
      </w:pPr>
    </w:p>
    <w:p w:rsidRPr="00966E79" w:rsidR="00FF4067" w:rsidP="00FF4067" w:rsidRDefault="00FF4067" w14:paraId="632A11B9" w14:textId="77777777">
      <w:pPr>
        <w:spacing w:after="0" w:line="360" w:lineRule="auto"/>
        <w:rPr>
          <w:rFonts w:eastAsia="Times New Roman" w:cs="Tahoma"/>
          <w:color w:val="auto"/>
          <w:szCs w:val="24"/>
          <w:lang w:eastAsia="es-ES"/>
        </w:rPr>
      </w:pPr>
      <w:r w:rsidRPr="00966E79">
        <w:rPr>
          <w:rFonts w:eastAsia="Times New Roman" w:cs="Tahoma"/>
          <w:color w:val="auto"/>
          <w:szCs w:val="24"/>
          <w:lang w:eastAsia="es-ES"/>
        </w:rPr>
        <w:t xml:space="preserve">En razón de que fue debidamente sustanciado e integrado el expediente electrónico y no existe diligencia pendiente de desahogo, se emite la resolución que conforme a Derecho proceda, de acuerdo a los siguientes: </w:t>
      </w:r>
    </w:p>
    <w:p w:rsidRPr="00966E79" w:rsidR="00FF4067" w:rsidP="00FF4067" w:rsidRDefault="00FF4067" w14:paraId="632A11BA" w14:textId="77777777">
      <w:pPr>
        <w:spacing w:after="0" w:line="360" w:lineRule="auto"/>
        <w:rPr>
          <w:rFonts w:eastAsia="Times New Roman" w:cs="Tahoma"/>
          <w:bCs/>
          <w:iCs/>
          <w:color w:val="auto"/>
          <w:lang w:val="es-ES" w:eastAsia="es-ES"/>
        </w:rPr>
      </w:pPr>
    </w:p>
    <w:p w:rsidRPr="00B377FD" w:rsidR="00FF4067" w:rsidP="00FF4067" w:rsidRDefault="00FF4067" w14:paraId="632A11BB" w14:textId="77777777">
      <w:pPr>
        <w:spacing w:after="0" w:line="360" w:lineRule="auto"/>
        <w:jc w:val="center"/>
        <w:rPr>
          <w:rFonts w:eastAsia="Times New Roman" w:cs="Tahoma"/>
          <w:b/>
          <w:color w:val="auto"/>
          <w:lang w:val="es-ES" w:eastAsia="es-ES"/>
        </w:rPr>
      </w:pPr>
      <w:r w:rsidRPr="00966E79">
        <w:rPr>
          <w:rFonts w:eastAsia="Times New Roman" w:cs="Tahoma"/>
          <w:b/>
          <w:color w:val="auto"/>
          <w:lang w:val="es-ES" w:eastAsia="es-ES"/>
        </w:rPr>
        <w:t>C O N S I D E R A N D O S:</w:t>
      </w:r>
    </w:p>
    <w:p w:rsidRPr="00B377FD" w:rsidR="00FF4067" w:rsidP="00FF4067" w:rsidRDefault="00FF4067" w14:paraId="632A11BC" w14:textId="77777777">
      <w:pPr>
        <w:spacing w:after="0" w:line="360" w:lineRule="auto"/>
        <w:rPr>
          <w:b/>
        </w:rPr>
      </w:pPr>
    </w:p>
    <w:p w:rsidRPr="00B377FD" w:rsidR="00FF4067" w:rsidP="00FF4067" w:rsidRDefault="00FF4067" w14:paraId="632A11BD" w14:textId="77777777">
      <w:pPr>
        <w:autoSpaceDE w:val="0"/>
        <w:autoSpaceDN w:val="0"/>
        <w:adjustRightInd w:val="0"/>
        <w:spacing w:after="0" w:line="360" w:lineRule="auto"/>
        <w:rPr>
          <w:rFonts w:eastAsia="Times New Roman" w:cs="Tahoma"/>
          <w:b/>
          <w:color w:val="auto"/>
          <w:szCs w:val="24"/>
          <w:lang w:val="es-ES" w:eastAsia="es-ES"/>
        </w:rPr>
      </w:pPr>
      <w:r w:rsidRPr="00B377FD">
        <w:rPr>
          <w:rFonts w:eastAsia="Calibri" w:cs="Tahoma"/>
          <w:b/>
          <w:color w:val="000000"/>
          <w:szCs w:val="24"/>
          <w:lang w:val="es-ES" w:eastAsia="es-MX"/>
        </w:rPr>
        <w:t>PRIMERO</w:t>
      </w:r>
      <w:r w:rsidRPr="00B377FD">
        <w:rPr>
          <w:rFonts w:eastAsia="Calibri" w:cs="Tahoma"/>
          <w:color w:val="000000"/>
          <w:szCs w:val="24"/>
          <w:lang w:val="es-ES" w:eastAsia="es-MX"/>
        </w:rPr>
        <w:t xml:space="preserve">. </w:t>
      </w:r>
      <w:r w:rsidRPr="00B377FD">
        <w:rPr>
          <w:rFonts w:eastAsia="Times New Roman" w:cs="Tahoma"/>
          <w:b/>
          <w:color w:val="auto"/>
          <w:szCs w:val="24"/>
          <w:lang w:val="es-ES" w:eastAsia="es-ES"/>
        </w:rPr>
        <w:t>Competencia.</w:t>
      </w:r>
    </w:p>
    <w:p w:rsidRPr="00B377FD" w:rsidR="00FF4067" w:rsidP="00FF4067" w:rsidRDefault="00FF4067" w14:paraId="632A11BE" w14:textId="77777777">
      <w:pPr>
        <w:autoSpaceDE w:val="0"/>
        <w:autoSpaceDN w:val="0"/>
        <w:adjustRightInd w:val="0"/>
        <w:spacing w:after="0" w:line="360" w:lineRule="auto"/>
        <w:rPr>
          <w:rFonts w:eastAsia="Times New Roman" w:cs="Tahoma"/>
          <w:b/>
          <w:color w:val="auto"/>
          <w:szCs w:val="24"/>
          <w:lang w:val="es-ES" w:eastAsia="es-ES"/>
        </w:rPr>
      </w:pPr>
    </w:p>
    <w:p w:rsidRPr="00837E85" w:rsidR="00FF4067" w:rsidP="00FF4067" w:rsidRDefault="00FF4067" w14:paraId="632A11BF" w14:textId="77777777">
      <w:pPr>
        <w:spacing w:after="0" w:line="360" w:lineRule="auto"/>
        <w:rPr>
          <w:rFonts w:eastAsia="Times New Roman" w:cs="Tahoma"/>
          <w:bCs/>
          <w:color w:val="auto"/>
          <w:lang w:eastAsia="es-ES"/>
        </w:rPr>
      </w:pPr>
      <w:r w:rsidRPr="00837E85">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proofErr w:type="spellStart"/>
      <w:r>
        <w:rPr>
          <w:rFonts w:eastAsia="Times New Roman" w:cs="Tahoma"/>
          <w:bCs/>
          <w:color w:val="auto"/>
          <w:lang w:eastAsia="es-ES"/>
        </w:rPr>
        <w:t>trig</w:t>
      </w:r>
      <w:r>
        <w:rPr>
          <w:rFonts w:eastAsia="Times New Roman" w:cs="Tahoma"/>
          <w:bCs/>
          <w:color w:val="auto"/>
          <w:lang w:val="x-none" w:eastAsia="es-ES"/>
        </w:rPr>
        <w:t>ésimo</w:t>
      </w:r>
      <w:proofErr w:type="spellEnd"/>
      <w:r>
        <w:rPr>
          <w:rFonts w:eastAsia="Times New Roman" w:cs="Tahoma"/>
          <w:bCs/>
          <w:color w:val="auto"/>
          <w:lang w:val="x-none" w:eastAsia="es-ES"/>
        </w:rPr>
        <w:t>, trigésimo primero</w:t>
      </w:r>
      <w:r w:rsidRPr="00837E85">
        <w:rPr>
          <w:rFonts w:eastAsia="Times New Roman" w:cs="Tahoma"/>
          <w:bCs/>
          <w:color w:val="auto"/>
          <w:lang w:eastAsia="es-ES"/>
        </w:rPr>
        <w:t xml:space="preserve"> y trigésimo </w:t>
      </w:r>
      <w:r>
        <w:rPr>
          <w:rFonts w:eastAsia="Times New Roman" w:cs="Tahoma"/>
          <w:bCs/>
          <w:color w:val="auto"/>
          <w:lang w:eastAsia="es-ES"/>
        </w:rPr>
        <w:t>segundo</w:t>
      </w:r>
      <w:r w:rsidRPr="00837E85">
        <w:rPr>
          <w:rFonts w:eastAsia="Times New Roman" w:cs="Tahoma"/>
          <w:bCs/>
          <w:color w:val="auto"/>
          <w:lang w:eastAsia="es-ES"/>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837E85">
        <w:rPr>
          <w:rFonts w:eastAsia="Times New Roman" w:cs="Times New Roman"/>
          <w:bCs/>
          <w:color w:val="auto"/>
          <w:lang w:eastAsia="es-ES"/>
        </w:rPr>
        <w:t xml:space="preserve"> 7°, </w:t>
      </w:r>
      <w:r w:rsidRPr="00837E85">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p>
    <w:p w:rsidRPr="00B377FD" w:rsidR="00FF4067" w:rsidP="00FF4067" w:rsidRDefault="00FF4067" w14:paraId="632A11C0" w14:textId="77777777">
      <w:pPr>
        <w:spacing w:after="0" w:line="360" w:lineRule="auto"/>
        <w:rPr>
          <w:rFonts w:eastAsia="Times New Roman" w:cs="Tahoma"/>
          <w:bCs/>
          <w:color w:val="auto"/>
          <w:lang w:eastAsia="es-ES"/>
        </w:rPr>
      </w:pPr>
    </w:p>
    <w:p w:rsidRPr="00B377FD" w:rsidR="00FF4067" w:rsidP="00FF4067" w:rsidRDefault="00FF4067" w14:paraId="632A11C1" w14:textId="77777777">
      <w:pPr>
        <w:autoSpaceDE w:val="0"/>
        <w:autoSpaceDN w:val="0"/>
        <w:adjustRightInd w:val="0"/>
        <w:spacing w:after="0" w:line="360" w:lineRule="auto"/>
        <w:rPr>
          <w:rFonts w:eastAsia="Times New Roman" w:cs="Tahoma"/>
          <w:color w:val="auto"/>
          <w:szCs w:val="24"/>
          <w:lang w:val="es-ES" w:eastAsia="es-ES"/>
        </w:rPr>
      </w:pPr>
      <w:r w:rsidRPr="00B377FD">
        <w:rPr>
          <w:rFonts w:eastAsia="Calibri" w:cs="Tahoma"/>
          <w:b/>
          <w:color w:val="000000"/>
          <w:szCs w:val="24"/>
          <w:lang w:val="es-ES" w:eastAsia="es-MX"/>
        </w:rPr>
        <w:lastRenderedPageBreak/>
        <w:t>SEGUNDO</w:t>
      </w:r>
      <w:r w:rsidRPr="00B377FD">
        <w:rPr>
          <w:rFonts w:eastAsia="Calibri" w:cs="Tahoma"/>
          <w:color w:val="000000"/>
          <w:szCs w:val="24"/>
          <w:lang w:val="es-ES" w:eastAsia="es-MX"/>
        </w:rPr>
        <w:t xml:space="preserve">. </w:t>
      </w:r>
      <w:r w:rsidRPr="00B377FD">
        <w:rPr>
          <w:rFonts w:eastAsia="Times New Roman" w:cs="Tahoma"/>
          <w:b/>
          <w:color w:val="auto"/>
          <w:szCs w:val="24"/>
          <w:lang w:val="es-ES" w:eastAsia="es-ES"/>
        </w:rPr>
        <w:t>Causales de improcedencia y sobreseimiento.</w:t>
      </w:r>
      <w:r w:rsidRPr="00B377FD">
        <w:rPr>
          <w:rFonts w:eastAsia="Times New Roman" w:cs="Tahoma"/>
          <w:color w:val="auto"/>
          <w:szCs w:val="24"/>
          <w:lang w:val="es-ES" w:eastAsia="es-ES"/>
        </w:rPr>
        <w:t xml:space="preserve"> </w:t>
      </w:r>
    </w:p>
    <w:p w:rsidRPr="00B377FD" w:rsidR="00FF4067" w:rsidP="00FF4067" w:rsidRDefault="00FF4067" w14:paraId="632A11C2" w14:textId="77777777">
      <w:pPr>
        <w:autoSpaceDE w:val="0"/>
        <w:autoSpaceDN w:val="0"/>
        <w:adjustRightInd w:val="0"/>
        <w:spacing w:after="0" w:line="360" w:lineRule="auto"/>
        <w:rPr>
          <w:rFonts w:eastAsia="Times New Roman" w:cs="Tahoma"/>
          <w:color w:val="auto"/>
          <w:szCs w:val="24"/>
          <w:lang w:val="es-ES" w:eastAsia="es-ES"/>
        </w:rPr>
      </w:pPr>
    </w:p>
    <w:p w:rsidRPr="00B377FD" w:rsidR="00FF4067" w:rsidP="00FF4067" w:rsidRDefault="00FF4067" w14:paraId="632A11C3" w14:textId="77777777">
      <w:pPr>
        <w:autoSpaceDE w:val="0"/>
        <w:autoSpaceDN w:val="0"/>
        <w:adjustRightInd w:val="0"/>
        <w:spacing w:after="0" w:line="360" w:lineRule="auto"/>
        <w:rPr>
          <w:rFonts w:eastAsia="Times New Roman" w:cs="Tahoma"/>
          <w:color w:val="auto"/>
          <w:szCs w:val="24"/>
          <w:lang w:val="es-ES" w:eastAsia="es-ES"/>
        </w:rPr>
      </w:pPr>
      <w:r w:rsidRPr="00B377FD">
        <w:rPr>
          <w:rFonts w:eastAsia="Times New Roman" w:cs="Tahoma"/>
          <w:color w:val="auto"/>
          <w:szCs w:val="24"/>
          <w:lang w:val="es-ES" w:eastAsia="es-ES"/>
        </w:rPr>
        <w:t xml:space="preserve">De las constancias que forma parte del Recurso de Revisión que se analiza, se advierte que previo al estudio del fondo de la </w:t>
      </w:r>
      <w:r w:rsidRPr="00B377FD">
        <w:rPr>
          <w:rFonts w:eastAsia="Times New Roman" w:cs="Tahoma"/>
          <w:i/>
          <w:color w:val="auto"/>
          <w:szCs w:val="24"/>
          <w:lang w:val="es-ES" w:eastAsia="es-ES"/>
        </w:rPr>
        <w:t>litis</w:t>
      </w:r>
      <w:r w:rsidRPr="00B377FD">
        <w:rPr>
          <w:rFonts w:eastAsia="Times New Roman" w:cs="Tahoma"/>
          <w:color w:val="auto"/>
          <w:szCs w:val="24"/>
          <w:lang w:val="es-ES" w:eastAsia="es-ES"/>
        </w:rPr>
        <w:t>, es necesario estudiar las causales de improcedencia y sobreseimiento que se adviertan, para determinar lo que en Derecho proceda.</w:t>
      </w:r>
    </w:p>
    <w:p w:rsidRPr="00B377FD" w:rsidR="00FF4067" w:rsidP="00FF4067" w:rsidRDefault="00FF4067" w14:paraId="632A11C4" w14:textId="77777777">
      <w:pPr>
        <w:autoSpaceDE w:val="0"/>
        <w:autoSpaceDN w:val="0"/>
        <w:adjustRightInd w:val="0"/>
        <w:spacing w:after="0" w:line="360" w:lineRule="auto"/>
        <w:rPr>
          <w:rFonts w:eastAsia="Times New Roman" w:cs="Tahoma"/>
          <w:color w:val="auto"/>
          <w:szCs w:val="24"/>
          <w:lang w:val="es-ES" w:eastAsia="es-ES"/>
        </w:rPr>
      </w:pPr>
    </w:p>
    <w:p w:rsidRPr="00B377FD" w:rsidR="00FF4067" w:rsidP="00FF4067" w:rsidRDefault="00FF4067" w14:paraId="632A11C5" w14:textId="77777777">
      <w:pPr>
        <w:autoSpaceDE w:val="0"/>
        <w:autoSpaceDN w:val="0"/>
        <w:adjustRightInd w:val="0"/>
        <w:spacing w:after="0" w:line="360" w:lineRule="auto"/>
        <w:rPr>
          <w:rFonts w:eastAsia="Calibri" w:cs="Tahoma"/>
          <w:color w:val="000000"/>
          <w:szCs w:val="24"/>
          <w:lang w:val="es-ES" w:eastAsia="es-MX"/>
        </w:rPr>
      </w:pPr>
      <w:r w:rsidRPr="00B377FD">
        <w:rPr>
          <w:rFonts w:eastAsia="Calibri" w:cs="Tahoma"/>
          <w:b/>
          <w:color w:val="000000"/>
          <w:szCs w:val="24"/>
          <w:lang w:val="es-ES" w:eastAsia="es-MX"/>
        </w:rPr>
        <w:t>Causales de improcedencia.</w:t>
      </w:r>
      <w:r w:rsidRPr="00B377FD">
        <w:rPr>
          <w:rFonts w:eastAsia="Calibri" w:cs="Tahoma"/>
          <w:color w:val="000000"/>
          <w:szCs w:val="24"/>
          <w:lang w:val="es-ES" w:eastAsia="es-MX"/>
        </w:rPr>
        <w:t xml:space="preserve"> </w:t>
      </w:r>
    </w:p>
    <w:p w:rsidRPr="00B377FD" w:rsidR="00FF4067" w:rsidP="00FF4067" w:rsidRDefault="00FF4067" w14:paraId="632A11C6" w14:textId="77777777">
      <w:pPr>
        <w:autoSpaceDE w:val="0"/>
        <w:autoSpaceDN w:val="0"/>
        <w:adjustRightInd w:val="0"/>
        <w:spacing w:after="0" w:line="360" w:lineRule="auto"/>
        <w:rPr>
          <w:rFonts w:eastAsia="Calibri" w:cs="Tahoma"/>
          <w:color w:val="000000"/>
          <w:szCs w:val="24"/>
          <w:lang w:val="es-ES" w:eastAsia="es-MX"/>
        </w:rPr>
      </w:pPr>
    </w:p>
    <w:p w:rsidRPr="00B377FD" w:rsidR="00FF4067" w:rsidP="00FF4067" w:rsidRDefault="00FF4067" w14:paraId="632A11C7" w14:textId="77777777">
      <w:pPr>
        <w:autoSpaceDE w:val="0"/>
        <w:autoSpaceDN w:val="0"/>
        <w:adjustRightInd w:val="0"/>
        <w:spacing w:after="0" w:line="360" w:lineRule="auto"/>
        <w:rPr>
          <w:rFonts w:eastAsia="Calibri" w:cs="Tahoma"/>
          <w:color w:val="000000"/>
          <w:lang w:val="es-ES" w:eastAsia="es-MX"/>
        </w:rPr>
      </w:pPr>
      <w:r w:rsidRPr="00B377FD">
        <w:rPr>
          <w:rFonts w:eastAsia="Calibri" w:cs="Tahoma"/>
          <w:color w:val="000000"/>
          <w:lang w:eastAsia="es-MX"/>
        </w:rP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B377FD">
        <w:rPr>
          <w:rFonts w:eastAsia="Calibri" w:cs="Tahoma"/>
          <w:b/>
          <w:bCs/>
          <w:color w:val="000000"/>
          <w:lang w:eastAsia="es-MX"/>
        </w:rPr>
        <w:t xml:space="preserve"> </w:t>
      </w:r>
      <w:r w:rsidRPr="00B377FD">
        <w:rPr>
          <w:rFonts w:eastAsia="Calibri" w:cs="Tahoma"/>
          <w:color w:val="000000"/>
          <w:lang w:eastAsia="es-MX"/>
        </w:rPr>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rsidRPr="00B377FD" w:rsidR="00FF4067" w:rsidP="00FF4067" w:rsidRDefault="00FF4067" w14:paraId="632A11C8" w14:textId="77777777">
      <w:pPr>
        <w:autoSpaceDE w:val="0"/>
        <w:autoSpaceDN w:val="0"/>
        <w:adjustRightInd w:val="0"/>
        <w:spacing w:after="0" w:line="360" w:lineRule="auto"/>
        <w:rPr>
          <w:rFonts w:eastAsia="Calibri" w:cs="Tahoma"/>
          <w:color w:val="000000"/>
          <w:lang w:eastAsia="es-MX"/>
        </w:rPr>
      </w:pPr>
    </w:p>
    <w:p w:rsidRPr="00B377FD" w:rsidR="00FF4067" w:rsidP="00FF4067" w:rsidRDefault="00FF4067" w14:paraId="632A11C9" w14:textId="77777777">
      <w:pPr>
        <w:autoSpaceDE w:val="0"/>
        <w:autoSpaceDN w:val="0"/>
        <w:adjustRightInd w:val="0"/>
        <w:spacing w:after="0" w:line="360" w:lineRule="auto"/>
        <w:rPr>
          <w:rFonts w:eastAsia="Calibri" w:cs="Tahoma"/>
          <w:color w:val="000000"/>
          <w:lang w:eastAsia="es-MX"/>
        </w:rPr>
      </w:pPr>
      <w:r w:rsidRPr="00B377FD">
        <w:rPr>
          <w:rFonts w:eastAsia="Calibri" w:cs="Tahoma"/>
          <w:color w:val="000000"/>
          <w:lang w:eastAsia="es-MX"/>
        </w:rPr>
        <w:t xml:space="preserve">En el presente caso, </w:t>
      </w:r>
      <w:r w:rsidRPr="00B377FD">
        <w:rPr>
          <w:rFonts w:eastAsia="Calibri" w:cs="Tahoma"/>
          <w:b/>
          <w:color w:val="000000"/>
          <w:lang w:eastAsia="es-MX"/>
        </w:rPr>
        <w:t>no se actualiza ninguna de las causales de improcedencia</w:t>
      </w:r>
      <w:r w:rsidRPr="00B377FD">
        <w:rPr>
          <w:rFonts w:eastAsia="Calibri" w:cs="Tahoma"/>
          <w:color w:val="000000"/>
          <w:lang w:eastAsia="es-MX"/>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rsidRPr="00B377FD" w:rsidR="00FF4067" w:rsidP="00FF4067" w:rsidRDefault="00FF4067" w14:paraId="632A11CA" w14:textId="77777777">
      <w:pPr>
        <w:spacing w:after="0" w:line="360" w:lineRule="auto"/>
        <w:rPr>
          <w:rFonts w:eastAsia="Times New Roman" w:cs="Tahoma"/>
          <w:b/>
          <w:bCs/>
          <w:color w:val="auto"/>
          <w:lang w:eastAsia="es-ES"/>
        </w:rPr>
      </w:pPr>
    </w:p>
    <w:p w:rsidRPr="00DA6A00" w:rsidR="00FF4067" w:rsidP="00FF4067" w:rsidRDefault="00FF4067" w14:paraId="632A11CB" w14:textId="38F9FB89">
      <w:pPr>
        <w:spacing w:after="0" w:line="360" w:lineRule="auto"/>
        <w:rPr>
          <w:rFonts w:eastAsia="Times New Roman" w:cs="Tahoma"/>
          <w:color w:val="auto"/>
          <w:lang w:val="es-ES" w:eastAsia="es-ES"/>
        </w:rPr>
      </w:pPr>
      <w:r>
        <w:rPr>
          <w:rFonts w:eastAsia="Times New Roman" w:cs="Tahoma"/>
          <w:color w:val="auto"/>
          <w:lang w:eastAsia="es-ES"/>
        </w:rPr>
        <w:t xml:space="preserve">Asimismo, </w:t>
      </w:r>
      <w:r w:rsidRPr="00554471">
        <w:rPr>
          <w:rFonts w:eastAsia="Times New Roman" w:cs="Tahoma"/>
          <w:color w:val="auto"/>
          <w:lang w:eastAsia="es-ES"/>
        </w:rPr>
        <w:t>se actualiza la causal de procedencia del Recurso de Revisión señalada en el artículo 179, fracciones V</w:t>
      </w:r>
      <w:r w:rsidR="00DA6A00">
        <w:rPr>
          <w:rFonts w:eastAsia="Times New Roman" w:cs="Tahoma"/>
          <w:color w:val="auto"/>
          <w:lang w:eastAsia="es-ES"/>
        </w:rPr>
        <w:t>I</w:t>
      </w:r>
      <w:r>
        <w:rPr>
          <w:rFonts w:eastAsia="Times New Roman" w:cs="Tahoma"/>
          <w:color w:val="auto"/>
          <w:lang w:eastAsia="es-ES"/>
        </w:rPr>
        <w:t>,</w:t>
      </w:r>
      <w:r w:rsidRPr="00554471">
        <w:rPr>
          <w:rFonts w:eastAsia="Times New Roman" w:cs="Tahoma"/>
          <w:color w:val="auto"/>
          <w:lang w:eastAsia="es-ES"/>
        </w:rPr>
        <w:t xml:space="preserve"> de la Ley en cita, </w:t>
      </w:r>
      <w:r w:rsidRPr="00554471">
        <w:rPr>
          <w:rFonts w:eastAsia="Calibri" w:cs="Tahoma"/>
          <w:color w:val="000000"/>
          <w:lang w:eastAsia="es-MX"/>
        </w:rPr>
        <w:t xml:space="preserve">pues la Recurrente se inconformó </w:t>
      </w:r>
      <w:r w:rsidRPr="00554471">
        <w:rPr>
          <w:rFonts w:eastAsia="Times New Roman" w:cs="Tahoma"/>
          <w:color w:val="auto"/>
          <w:lang w:val="es-ES" w:eastAsia="es-ES"/>
        </w:rPr>
        <w:t xml:space="preserve">con la </w:t>
      </w:r>
      <w:r>
        <w:rPr>
          <w:rFonts w:eastAsia="Times New Roman" w:cs="Tahoma"/>
          <w:color w:val="auto"/>
          <w:lang w:val="es-ES" w:eastAsia="es-ES"/>
        </w:rPr>
        <w:t>entrega de información</w:t>
      </w:r>
      <w:r>
        <w:rPr>
          <w:rFonts w:eastAsia="Times New Roman" w:cs="Tahoma"/>
          <w:color w:val="auto"/>
          <w:lang w:val="x-none" w:eastAsia="es-ES"/>
        </w:rPr>
        <w:t xml:space="preserve"> </w:t>
      </w:r>
      <w:r w:rsidR="00DA6A00">
        <w:rPr>
          <w:rFonts w:eastAsia="Times New Roman" w:cs="Tahoma"/>
          <w:color w:val="auto"/>
          <w:lang w:val="es-ES" w:eastAsia="es-ES"/>
        </w:rPr>
        <w:t xml:space="preserve">que no corresponde con lo solicitado. </w:t>
      </w:r>
    </w:p>
    <w:p w:rsidRPr="00B377FD" w:rsidR="00FF4067" w:rsidP="00FF4067" w:rsidRDefault="00FF4067" w14:paraId="632A11CC" w14:textId="77777777">
      <w:pPr>
        <w:spacing w:after="0" w:line="360" w:lineRule="auto"/>
        <w:rPr>
          <w:rFonts w:eastAsia="Times New Roman" w:cs="Tahoma"/>
          <w:b/>
          <w:bCs/>
          <w:color w:val="auto"/>
          <w:lang w:eastAsia="es-ES"/>
        </w:rPr>
      </w:pPr>
    </w:p>
    <w:p w:rsidR="00FF4067" w:rsidP="00FF4067" w:rsidRDefault="00FF4067" w14:paraId="632A11CD" w14:textId="77777777">
      <w:pPr>
        <w:spacing w:after="0" w:line="360" w:lineRule="auto"/>
        <w:rPr>
          <w:rFonts w:eastAsia="Times New Roman" w:cs="Tahoma"/>
          <w:b/>
          <w:bCs/>
          <w:color w:val="auto"/>
          <w:lang w:eastAsia="es-ES"/>
        </w:rPr>
      </w:pPr>
      <w:r w:rsidRPr="00B377FD">
        <w:rPr>
          <w:rFonts w:eastAsia="Times New Roman" w:cs="Tahoma"/>
          <w:b/>
          <w:bCs/>
          <w:color w:val="auto"/>
          <w:lang w:eastAsia="es-ES"/>
        </w:rPr>
        <w:t>Causales de sobreseimiento.</w:t>
      </w:r>
    </w:p>
    <w:p w:rsidRPr="00B377FD" w:rsidR="00FF4067" w:rsidP="00FF4067" w:rsidRDefault="00FF4067" w14:paraId="632A11CE" w14:textId="77777777">
      <w:pPr>
        <w:spacing w:after="0" w:line="360" w:lineRule="auto"/>
        <w:rPr>
          <w:rFonts w:eastAsia="Times New Roman" w:cs="Tahoma"/>
          <w:b/>
          <w:bCs/>
          <w:color w:val="auto"/>
          <w:lang w:eastAsia="es-ES"/>
        </w:rPr>
      </w:pPr>
    </w:p>
    <w:p w:rsidRPr="00B377FD" w:rsidR="00FF4067" w:rsidP="00FF4067" w:rsidRDefault="00FF4067" w14:paraId="632A11CF" w14:textId="77777777">
      <w:pPr>
        <w:spacing w:after="0" w:line="360" w:lineRule="auto"/>
        <w:rPr>
          <w:rFonts w:eastAsia="Times New Roman" w:cs="Tahoma"/>
          <w:color w:val="auto"/>
          <w:szCs w:val="24"/>
          <w:lang w:eastAsia="es-ES"/>
        </w:rPr>
      </w:pPr>
      <w:r w:rsidRPr="00B377FD">
        <w:rPr>
          <w:rFonts w:eastAsia="Times New Roman" w:cs="Tahoma"/>
          <w:color w:val="auto"/>
          <w:szCs w:val="24"/>
          <w:lang w:eastAsia="es-ES"/>
        </w:rPr>
        <w:t>Por ser de previo y especial pronunciamiento, este Instituto analiza si se actualiza alguna causal de sobreseimiento.</w:t>
      </w:r>
    </w:p>
    <w:p w:rsidRPr="00B377FD" w:rsidR="00FF4067" w:rsidP="00FF4067" w:rsidRDefault="00FF4067" w14:paraId="632A11D0" w14:textId="77777777">
      <w:pPr>
        <w:spacing w:after="0" w:line="360" w:lineRule="auto"/>
        <w:rPr>
          <w:rFonts w:eastAsia="Times New Roman" w:cs="Tahoma"/>
          <w:color w:val="auto"/>
          <w:szCs w:val="24"/>
          <w:lang w:eastAsia="es-ES"/>
        </w:rPr>
      </w:pPr>
    </w:p>
    <w:p w:rsidRPr="00C82F79" w:rsidR="00C82F79" w:rsidP="00C82F79" w:rsidRDefault="00C82F79" w14:paraId="06AE9942" w14:textId="77777777">
      <w:pPr>
        <w:spacing w:after="0" w:line="360" w:lineRule="auto"/>
        <w:rPr>
          <w:rFonts w:eastAsia="Calibri" w:cs="Tahoma"/>
          <w:color w:val="auto"/>
          <w:lang w:eastAsia="es-ES_tradnl"/>
        </w:rPr>
      </w:pPr>
      <w:r w:rsidRPr="00C82F79">
        <w:rPr>
          <w:rFonts w:eastAsia="Times New Roman" w:cs="Tahoma"/>
          <w:color w:val="auto"/>
          <w:lang w:eastAsia="es-ES"/>
        </w:rPr>
        <w:t xml:space="preserve">El artículo 192 de la </w:t>
      </w:r>
      <w:r w:rsidRPr="00C82F79">
        <w:rPr>
          <w:rFonts w:eastAsia="Calibri" w:cs="Tahoma"/>
          <w:bCs/>
          <w:color w:val="auto"/>
          <w:lang w:eastAsia="es-ES_tradnl"/>
        </w:rPr>
        <w:t xml:space="preserve">Ley Transparencia y Acceso a la Información Pública del Estado de México y Municipios, señala las causales por las cuales se puede sobreseer en todo o en parte el Recurso de Revisión; así, </w:t>
      </w:r>
      <w:r w:rsidRPr="00C82F79">
        <w:rPr>
          <w:rFonts w:eastAsia="Calibri" w:cs="Tahoma"/>
          <w:color w:val="auto"/>
          <w:lang w:eastAsia="es-ES_tradnl"/>
        </w:rPr>
        <w:t>del análisis realizado por este Instituto, se advierte que</w:t>
      </w:r>
      <w:r w:rsidRPr="00C82F79">
        <w:rPr>
          <w:rFonts w:eastAsia="Calibri" w:cs="Tahoma"/>
          <w:b/>
          <w:color w:val="auto"/>
          <w:lang w:eastAsia="es-ES_tradnl"/>
        </w:rPr>
        <w:t xml:space="preserve"> no se configuran las causales establecidas en las fracciones I, II, III, y V, </w:t>
      </w:r>
      <w:r w:rsidRPr="00C82F79">
        <w:rPr>
          <w:rFonts w:eastAsia="Calibri" w:cs="Tahoma"/>
          <w:color w:val="auto"/>
          <w:lang w:eastAsia="es-ES_tradnl"/>
        </w:rPr>
        <w:t>toda vez que no hay constancias en el expediente en que se actúa, de que la Recurrente se haya desistido, fallecido, que el Sujeto Obligado hubiese modificado o revocado el acto impugnado o bien, haya quedado sin materia.</w:t>
      </w:r>
    </w:p>
    <w:p w:rsidRPr="00C82F79" w:rsidR="00C82F79" w:rsidP="00C82F79" w:rsidRDefault="00C82F79" w14:paraId="733A34D7" w14:textId="77777777">
      <w:pPr>
        <w:spacing w:after="0" w:line="360" w:lineRule="auto"/>
        <w:rPr>
          <w:rFonts w:eastAsia="Calibri" w:cs="Tahoma"/>
          <w:color w:val="auto"/>
          <w:lang w:eastAsia="es-ES_tradnl"/>
        </w:rPr>
      </w:pPr>
    </w:p>
    <w:p w:rsidRPr="00C82F79" w:rsidR="00C82F79" w:rsidP="00C82F79" w:rsidRDefault="00C82F79" w14:paraId="1B0A2155" w14:textId="77777777">
      <w:pPr>
        <w:spacing w:after="0" w:line="360" w:lineRule="auto"/>
        <w:rPr>
          <w:rFonts w:eastAsia="Calibri" w:cs="Tahoma"/>
          <w:bCs/>
          <w:color w:val="auto"/>
          <w:lang w:val="es-ES" w:eastAsia="es-ES_tradnl"/>
        </w:rPr>
      </w:pPr>
      <w:r w:rsidRPr="00C82F79">
        <w:rPr>
          <w:rFonts w:eastAsia="Calibri" w:cs="Tahoma"/>
          <w:color w:val="auto"/>
          <w:lang w:eastAsia="es-ES_tradnl"/>
        </w:rPr>
        <w:t xml:space="preserve">No obstante, por lo que hace a la hipótesis prevista en la fracción IV, a saber, que, una vez admitido el Recurso de Revisión, aparezca alguna causal de improcedencia en términos de la presente Ley, </w:t>
      </w:r>
      <w:r w:rsidRPr="00C82F79">
        <w:rPr>
          <w:rFonts w:eastAsia="Calibri" w:cs="Tahoma"/>
          <w:bCs/>
          <w:color w:val="auto"/>
          <w:lang w:eastAsia="es-ES_tradnl"/>
        </w:rPr>
        <w:t>resulta necesario traer a colación</w:t>
      </w:r>
      <w:r w:rsidRPr="00C82F79">
        <w:rPr>
          <w:rFonts w:eastAsia="Calibri" w:cs="Tahoma"/>
          <w:bCs/>
          <w:color w:val="auto"/>
          <w:lang w:val="es-ES" w:eastAsia="es-ES_tradnl"/>
        </w:rPr>
        <w:t xml:space="preserve"> el artículo 191, fracción VII, de dicho ordenamiento jurídico, que establece que el Recurso de Revisión será desechado por improcedente, cuando la parte Recurrente amplíe su solicitud en el Medio de Impugnación.</w:t>
      </w:r>
    </w:p>
    <w:p w:rsidRPr="00C82F79" w:rsidR="00C82F79" w:rsidP="00C82F79" w:rsidRDefault="00C82F79" w14:paraId="6EAD6BDB" w14:textId="77777777">
      <w:pPr>
        <w:spacing w:after="0" w:line="360" w:lineRule="auto"/>
        <w:rPr>
          <w:rFonts w:eastAsia="Calibri" w:cs="Tahoma"/>
          <w:bCs/>
          <w:color w:val="auto"/>
          <w:lang w:val="es-ES" w:eastAsia="es-ES_tradnl"/>
        </w:rPr>
      </w:pPr>
    </w:p>
    <w:p w:rsidRPr="00C82F79" w:rsidR="00C82F79" w:rsidP="00C82F79" w:rsidRDefault="00C82F79" w14:paraId="0E0F9052" w14:textId="6409B006">
      <w:pPr>
        <w:spacing w:after="0" w:line="360" w:lineRule="auto"/>
        <w:rPr>
          <w:rFonts w:eastAsia="Times New Roman" w:cs="Tahoma"/>
          <w:bCs/>
          <w:color w:val="000000"/>
        </w:rPr>
      </w:pPr>
      <w:r w:rsidRPr="00C82F79">
        <w:rPr>
          <w:rFonts w:eastAsia="Calibri" w:cs="Tahoma"/>
          <w:bCs/>
          <w:color w:val="auto"/>
          <w:lang w:val="es-ES" w:eastAsia="es-ES_tradnl"/>
        </w:rPr>
        <w:t xml:space="preserve">En ese orden de ideas, de las constancias que obran en el expediente respectivo, se colige que el Particular solicitó conocer </w:t>
      </w:r>
      <w:r w:rsidR="00B82A75">
        <w:rPr>
          <w:rFonts w:eastAsia="Calibri" w:cs="Tahoma"/>
          <w:bCs/>
          <w:color w:val="auto"/>
          <w:lang w:val="es-ES" w:eastAsia="es-ES_tradnl"/>
        </w:rPr>
        <w:t>entre otras codas, la cantidad de recursos que recibiría el Partido Político, conforme a lo establecido en el Calendario del Consejo General para el sostenimiento de actividades ordinarias y específicas, desglosado por actividad.</w:t>
      </w:r>
    </w:p>
    <w:p w:rsidRPr="00C82F79" w:rsidR="00C82F79" w:rsidP="00C82F79" w:rsidRDefault="00C82F79" w14:paraId="062052AA" w14:textId="77777777">
      <w:pPr>
        <w:spacing w:after="0" w:line="360" w:lineRule="auto"/>
        <w:rPr>
          <w:rFonts w:eastAsia="Calibri" w:cs="Tahoma"/>
          <w:bCs/>
          <w:color w:val="auto"/>
          <w:lang w:val="es-ES" w:eastAsia="es-ES_tradnl"/>
        </w:rPr>
      </w:pPr>
    </w:p>
    <w:p w:rsidRPr="00C82F79" w:rsidR="00C82F79" w:rsidP="00C82F79" w:rsidRDefault="00C82F79" w14:paraId="210FF211" w14:textId="525FD9E6">
      <w:pPr>
        <w:spacing w:after="0" w:line="360" w:lineRule="auto"/>
        <w:rPr>
          <w:rFonts w:eastAsia="Calibri" w:cs="Tahoma"/>
          <w:b/>
          <w:bCs/>
          <w:i/>
          <w:iCs/>
          <w:color w:val="auto"/>
          <w:lang w:val="es-ES" w:eastAsia="es-ES_tradnl"/>
        </w:rPr>
      </w:pPr>
      <w:r w:rsidRPr="00C82F79">
        <w:rPr>
          <w:rFonts w:eastAsia="Calibri" w:cs="Tahoma"/>
          <w:bCs/>
          <w:color w:val="auto"/>
          <w:lang w:val="es-ES" w:eastAsia="es-ES_tradnl"/>
        </w:rPr>
        <w:t xml:space="preserve">Ante tal requerimiento, el Solicitante interpuso Recurso de Revisión e indicó </w:t>
      </w:r>
      <w:r w:rsidRPr="00C82F79">
        <w:rPr>
          <w:rFonts w:eastAsia="Calibri" w:cs="Tahoma"/>
          <w:b/>
          <w:bCs/>
          <w:i/>
          <w:iCs/>
          <w:color w:val="auto"/>
          <w:lang w:val="es-ES" w:eastAsia="es-ES_tradnl"/>
        </w:rPr>
        <w:t>“</w:t>
      </w:r>
      <w:r w:rsidRPr="00C82F79">
        <w:rPr>
          <w:rFonts w:eastAsia="Calibri" w:cs="Tahoma"/>
          <w:b/>
          <w:bCs/>
          <w:i/>
          <w:iCs/>
          <w:color w:val="auto"/>
          <w:lang w:eastAsia="es-ES_tradnl"/>
        </w:rPr>
        <w:t>…</w:t>
      </w:r>
      <w:r w:rsidRPr="00B82A75" w:rsidR="00B82A75">
        <w:rPr>
          <w:rFonts w:eastAsia="Calibri" w:cs="Tahoma"/>
          <w:b/>
          <w:bCs/>
          <w:i/>
          <w:iCs/>
          <w:color w:val="auto"/>
          <w:lang w:eastAsia="es-ES_tradnl"/>
        </w:rPr>
        <w:t>ya que no transparenta los informes de origen y uso de recursos relativo al régimen financiero de los partidos políticos</w:t>
      </w:r>
      <w:r w:rsidRPr="00C82F79">
        <w:rPr>
          <w:rFonts w:eastAsia="Times New Roman" w:cs="Times New Roman"/>
          <w:b/>
          <w:i/>
          <w:iCs/>
          <w:color w:val="000000"/>
          <w:lang w:eastAsia="es-ES"/>
        </w:rPr>
        <w:t>” (Sic)</w:t>
      </w:r>
    </w:p>
    <w:p w:rsidRPr="00C82F79" w:rsidR="00C82F79" w:rsidP="00C82F79" w:rsidRDefault="00C82F79" w14:paraId="7BC63364" w14:textId="77777777">
      <w:pPr>
        <w:spacing w:after="0" w:line="360" w:lineRule="auto"/>
        <w:rPr>
          <w:rFonts w:eastAsia="Calibri" w:cs="Tahoma"/>
          <w:bCs/>
          <w:color w:val="auto"/>
          <w:lang w:val="es-ES" w:eastAsia="es-ES_tradnl"/>
        </w:rPr>
      </w:pPr>
    </w:p>
    <w:p w:rsidRPr="00C82F79" w:rsidR="00C82F79" w:rsidP="00C82F79" w:rsidRDefault="00C82F79" w14:paraId="7DAE6C86" w14:textId="3EC340E8">
      <w:pPr>
        <w:spacing w:after="0" w:line="360" w:lineRule="auto"/>
        <w:rPr>
          <w:rFonts w:eastAsia="Calibri" w:cs="Tahoma"/>
          <w:color w:val="auto"/>
          <w:lang w:eastAsia="es-ES_tradnl"/>
        </w:rPr>
      </w:pPr>
      <w:r w:rsidRPr="00C82F79">
        <w:rPr>
          <w:rFonts w:eastAsia="Calibri" w:cs="Tahoma"/>
          <w:color w:val="auto"/>
          <w:lang w:eastAsia="es-ES_tradnl"/>
        </w:rPr>
        <w:t xml:space="preserve">En ese sentido, del contraste entre el planteamiento formulado en la solicitud de información y las manifestaciones vertidas por el ahora Recurrente, a través de su escrito </w:t>
      </w:r>
      <w:proofErr w:type="spellStart"/>
      <w:r w:rsidRPr="00C82F79">
        <w:rPr>
          <w:rFonts w:eastAsia="Calibri" w:cs="Tahoma"/>
          <w:color w:val="auto"/>
          <w:lang w:eastAsia="es-ES_tradnl"/>
        </w:rPr>
        <w:t>recursal</w:t>
      </w:r>
      <w:proofErr w:type="spellEnd"/>
      <w:r w:rsidRPr="00C82F79">
        <w:rPr>
          <w:rFonts w:eastAsia="Calibri" w:cs="Tahoma"/>
          <w:color w:val="auto"/>
          <w:lang w:eastAsia="es-ES_tradnl"/>
        </w:rPr>
        <w:t xml:space="preserve">, se colige que a través de este pretende obtener información diversa a la inicialmente requerida, pues en primera instancia requirió </w:t>
      </w:r>
      <w:r w:rsidR="00B82A75">
        <w:rPr>
          <w:rFonts w:eastAsia="Calibri" w:cs="Tahoma"/>
          <w:color w:val="auto"/>
          <w:lang w:eastAsia="es-ES_tradnl"/>
        </w:rPr>
        <w:t>la cantidad recibida de recursos públicos, mientras que en el Recurso de Revisión pretende obtener los informes sobre el origen y uso de recursos.</w:t>
      </w:r>
    </w:p>
    <w:p w:rsidRPr="00C82F79" w:rsidR="00C82F79" w:rsidP="00C82F79" w:rsidRDefault="00C82F79" w14:paraId="278651C8" w14:textId="77777777">
      <w:pPr>
        <w:spacing w:after="0" w:line="360" w:lineRule="auto"/>
        <w:rPr>
          <w:rFonts w:eastAsia="Calibri" w:cs="Tahoma"/>
          <w:color w:val="auto"/>
          <w:lang w:eastAsia="es-ES_tradnl"/>
        </w:rPr>
      </w:pPr>
    </w:p>
    <w:p w:rsidRPr="00C82F79" w:rsidR="00C82F79" w:rsidP="00C82F79" w:rsidRDefault="00C82F79" w14:paraId="66FC3E4B" w14:textId="77777777">
      <w:pPr>
        <w:spacing w:after="0" w:line="360" w:lineRule="auto"/>
        <w:rPr>
          <w:rFonts w:eastAsia="Times New Roman" w:cs="Tahoma"/>
          <w:b/>
          <w:color w:val="auto"/>
          <w:lang w:val="es-ES" w:eastAsia="es-ES"/>
        </w:rPr>
      </w:pPr>
      <w:r w:rsidRPr="00C82F79">
        <w:rPr>
          <w:rFonts w:eastAsia="Times New Roman" w:cs="Tahoma"/>
          <w:color w:val="auto"/>
          <w:lang w:val="es-ES" w:eastAsia="es-ES"/>
        </w:rPr>
        <w:t>En ese orden de ideas, dicha situación no puede constituir materia de estudio del presente Recurso de Revisión, debido a que la solicitud de información debe ser apreciada en los términos en que fue planteada originalmente ante el Sujeto Obligado,</w:t>
      </w:r>
      <w:r w:rsidRPr="00C82F79">
        <w:rPr>
          <w:rFonts w:eastAsia="Times New Roman" w:cs="Tahoma"/>
          <w:b/>
          <w:color w:val="auto"/>
          <w:lang w:val="es-ES" w:eastAsia="es-ES"/>
        </w:rPr>
        <w:t xml:space="preserve"> sin variar en el fondo la controversia, ni constituir un nuevo requerimiento informativo.</w:t>
      </w:r>
    </w:p>
    <w:p w:rsidRPr="00C82F79" w:rsidR="00C82F79" w:rsidP="00C82F79" w:rsidRDefault="00C82F79" w14:paraId="75EEBEE0" w14:textId="77777777">
      <w:pPr>
        <w:spacing w:after="0" w:line="360" w:lineRule="auto"/>
        <w:rPr>
          <w:rFonts w:eastAsia="Times New Roman" w:cs="Tahoma"/>
          <w:color w:val="auto"/>
          <w:lang w:val="es-ES" w:eastAsia="es-ES"/>
        </w:rPr>
      </w:pPr>
    </w:p>
    <w:p w:rsidRPr="00C82F79" w:rsidR="00C82F79" w:rsidP="00C82F79" w:rsidRDefault="00C82F79" w14:paraId="631D8C56" w14:textId="77777777">
      <w:pPr>
        <w:shd w:val="clear" w:color="auto" w:fill="FFFFFF"/>
        <w:spacing w:after="0" w:line="360" w:lineRule="auto"/>
        <w:rPr>
          <w:rFonts w:eastAsia="Times New Roman" w:cs="Times New Roman"/>
          <w:color w:val="auto"/>
          <w:lang w:eastAsia="es-MX"/>
        </w:rPr>
      </w:pPr>
      <w:r w:rsidRPr="00C82F79">
        <w:rPr>
          <w:rFonts w:eastAsia="Times New Roman" w:cs="Times New Roman"/>
          <w:color w:val="auto"/>
          <w:lang w:eastAsia="es-MX"/>
        </w:rPr>
        <w:t>Al respecto, resulta pertinente citar, por analogía, el Criterio 01/17, emitido por el Instituto Nacional de Transparencia, Acceso a la Información y Protección de Datos Personales, el cual indica que no resulta procedente ampliar vía Recurso de Revisión, las solicitudes de información:</w:t>
      </w:r>
    </w:p>
    <w:p w:rsidRPr="00C82F79" w:rsidR="00C82F79" w:rsidP="00C82F79" w:rsidRDefault="00C82F79" w14:paraId="7F9DADE8" w14:textId="77777777">
      <w:pPr>
        <w:shd w:val="clear" w:color="auto" w:fill="FFFFFF"/>
        <w:spacing w:after="0" w:line="360" w:lineRule="auto"/>
        <w:rPr>
          <w:rFonts w:eastAsia="Times New Roman" w:cs="Times New Roman"/>
          <w:i/>
          <w:color w:val="auto"/>
          <w:sz w:val="20"/>
          <w:szCs w:val="20"/>
          <w:lang w:eastAsia="es-MX"/>
        </w:rPr>
      </w:pPr>
    </w:p>
    <w:p w:rsidRPr="00C82F79" w:rsidR="00C82F79" w:rsidP="00C82F79" w:rsidRDefault="00C82F79" w14:paraId="5F25A859" w14:textId="77777777">
      <w:pPr>
        <w:shd w:val="clear" w:color="auto" w:fill="FFFFFF"/>
        <w:spacing w:after="0" w:line="360" w:lineRule="auto"/>
        <w:ind w:left="567" w:right="567"/>
        <w:rPr>
          <w:rFonts w:eastAsia="Times New Roman" w:cs="Times New Roman"/>
          <w:i/>
          <w:color w:val="auto"/>
          <w:sz w:val="20"/>
          <w:szCs w:val="20"/>
          <w:lang w:eastAsia="es-MX"/>
        </w:rPr>
      </w:pPr>
      <w:r w:rsidRPr="00C82F79">
        <w:rPr>
          <w:rFonts w:eastAsia="Times New Roman" w:cs="Times New Roman"/>
          <w:i/>
          <w:color w:val="auto"/>
          <w:sz w:val="20"/>
          <w:szCs w:val="20"/>
          <w:lang w:eastAsia="es-MX"/>
        </w:rPr>
        <w:t>“</w:t>
      </w:r>
      <w:r w:rsidRPr="00C82F79">
        <w:rPr>
          <w:rFonts w:eastAsia="Times New Roman" w:cs="Times New Roman"/>
          <w:b/>
          <w:i/>
          <w:color w:val="auto"/>
          <w:sz w:val="20"/>
          <w:szCs w:val="20"/>
          <w:lang w:eastAsia="es-MX"/>
        </w:rPr>
        <w:t>Es improcedente ampliar las solicitudes de acceso a información, a través de la interposición del recurso de revisión.</w:t>
      </w:r>
      <w:r w:rsidRPr="00C82F79">
        <w:rPr>
          <w:rFonts w:eastAsia="Times New Roman" w:cs="Times New Roman"/>
          <w:i/>
          <w:color w:val="auto"/>
          <w:sz w:val="20"/>
          <w:szCs w:val="20"/>
          <w:lang w:eastAsia="es-MX"/>
        </w:rPr>
        <w:t xml:space="preserve"> 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rsidRPr="00C82F79" w:rsidR="00C82F79" w:rsidP="00C82F79" w:rsidRDefault="00C82F79" w14:paraId="42B83CF7" w14:textId="77777777">
      <w:pPr>
        <w:shd w:val="clear" w:color="auto" w:fill="FFFFFF"/>
        <w:spacing w:after="0" w:line="360" w:lineRule="auto"/>
        <w:rPr>
          <w:rFonts w:eastAsia="Times New Roman" w:cs="Times New Roman"/>
          <w:color w:val="auto"/>
          <w:lang w:eastAsia="es-MX"/>
        </w:rPr>
      </w:pPr>
    </w:p>
    <w:p w:rsidRPr="00C82F79" w:rsidR="00C82F79" w:rsidP="00C82F79" w:rsidRDefault="00C82F79" w14:paraId="3107B961" w14:textId="77777777">
      <w:pPr>
        <w:shd w:val="clear" w:color="auto" w:fill="FFFFFF"/>
        <w:spacing w:after="0" w:line="360" w:lineRule="auto"/>
        <w:rPr>
          <w:rFonts w:eastAsia="Times New Roman" w:cs="Tahoma"/>
          <w:color w:val="auto"/>
          <w:lang w:val="es-ES" w:eastAsia="es-ES"/>
        </w:rPr>
      </w:pPr>
      <w:r w:rsidRPr="00C82F79">
        <w:rPr>
          <w:rFonts w:eastAsia="Times New Roman" w:cs="Times New Roman"/>
          <w:color w:val="auto"/>
          <w:lang w:eastAsia="es-MX"/>
        </w:rPr>
        <w:t xml:space="preserve">Además, es importante señalar que el Recurso de Revisión no fue diseñado para impugnar cuestiones que no fueron objeto de la solicitud de información presentada inicialmente, pues </w:t>
      </w:r>
      <w:r w:rsidRPr="00C82F79">
        <w:rPr>
          <w:rFonts w:eastAsia="Times New Roman" w:cs="Times New Roman"/>
          <w:color w:val="auto"/>
          <w:lang w:eastAsia="es-MX"/>
        </w:rPr>
        <w:lastRenderedPageBreak/>
        <w:t xml:space="preserve">de lo contrario tendría que analizarse dicho recurso a la luz de argumentos que no fueron del conocimiento del Sujeto Obligado y, en consecuencia, no fueron comprendidos en la respuesta que se impugna. </w:t>
      </w:r>
    </w:p>
    <w:p w:rsidRPr="00C82F79" w:rsidR="00C82F79" w:rsidP="00C82F79" w:rsidRDefault="00C82F79" w14:paraId="105F9C6D" w14:textId="77777777">
      <w:pPr>
        <w:spacing w:after="0" w:line="360" w:lineRule="auto"/>
        <w:rPr>
          <w:rFonts w:eastAsia="Times New Roman" w:cs="Tahoma"/>
          <w:color w:val="auto"/>
          <w:lang w:val="es-ES" w:eastAsia="es-ES"/>
        </w:rPr>
      </w:pPr>
    </w:p>
    <w:p w:rsidRPr="00C82F79" w:rsidR="00C82F79" w:rsidP="00C82F79" w:rsidRDefault="00C82F79" w14:paraId="3F00C170" w14:textId="77777777">
      <w:pPr>
        <w:spacing w:after="0" w:line="360" w:lineRule="auto"/>
        <w:rPr>
          <w:rFonts w:eastAsia="Calibri" w:cs="Arial"/>
          <w:color w:val="auto"/>
          <w:lang w:val="es-ES"/>
        </w:rPr>
      </w:pPr>
      <w:r w:rsidRPr="00C82F79">
        <w:rPr>
          <w:rFonts w:eastAsia="Times New Roman" w:cs="Tahoma"/>
          <w:color w:val="auto"/>
          <w:lang w:val="es-ES" w:eastAsia="es-ES"/>
        </w:rPr>
        <w:t xml:space="preserve">Por lo tanto, dado que en el Medio de Impugnación, la parte Recurrente al plantear su inconformidad, </w:t>
      </w:r>
      <w:r w:rsidRPr="00C82F79">
        <w:rPr>
          <w:rFonts w:eastAsia="Times New Roman" w:cs="Tahoma"/>
          <w:color w:val="auto"/>
          <w:lang w:eastAsia="es-ES"/>
        </w:rPr>
        <w:t xml:space="preserve">amplió parte de su solicitud, al requerir información diversa a la peticionada inicialmente, </w:t>
      </w:r>
      <w:r w:rsidRPr="00C82F79">
        <w:rPr>
          <w:rFonts w:eastAsia="Times New Roman" w:cs="Tahoma"/>
          <w:color w:val="auto"/>
          <w:lang w:val="es-ES" w:eastAsia="es-ES"/>
        </w:rPr>
        <w:t xml:space="preserve">el Recurso de Revisión </w:t>
      </w:r>
      <w:r w:rsidRPr="00C82F79">
        <w:rPr>
          <w:rFonts w:eastAsia="Times New Roman" w:cs="Tahoma"/>
          <w:b/>
          <w:color w:val="auto"/>
          <w:lang w:val="es-ES" w:eastAsia="es-ES"/>
        </w:rPr>
        <w:t xml:space="preserve">actualiza la causal de </w:t>
      </w:r>
      <w:proofErr w:type="spellStart"/>
      <w:r w:rsidRPr="00C82F79">
        <w:rPr>
          <w:rFonts w:eastAsia="Times New Roman" w:cs="Tahoma"/>
          <w:b/>
          <w:color w:val="auto"/>
          <w:lang w:val="es-ES" w:eastAsia="es-ES"/>
        </w:rPr>
        <w:t>desechamiento</w:t>
      </w:r>
      <w:proofErr w:type="spellEnd"/>
      <w:r w:rsidRPr="00C82F79">
        <w:rPr>
          <w:rFonts w:eastAsia="Times New Roman" w:cs="Tahoma"/>
          <w:b/>
          <w:color w:val="auto"/>
          <w:lang w:val="es-ES" w:eastAsia="es-ES"/>
        </w:rPr>
        <w:t xml:space="preserve"> establecida en el artículo 191, fracción VII, de la Ley de Transparencia y Acceso a la Información Pública del Estado de México y Municipios, únicamente por lo que, hace a los nuevos requerimientos; </w:t>
      </w:r>
      <w:r w:rsidRPr="00C82F79">
        <w:rPr>
          <w:rFonts w:eastAsia="Times New Roman" w:cs="Tahoma"/>
          <w:color w:val="auto"/>
          <w:lang w:val="es-ES" w:eastAsia="es-ES"/>
        </w:rPr>
        <w:t xml:space="preserve"> no obstante toda vez que, fue necesario admitir el Recurso, en virtud de que la ahora Recurrente se inconformó con la respuesta otorgada por el Sujeto Obligado, al señalar que no le entregaron la información requerida, lo procedente es </w:t>
      </w:r>
      <w:r w:rsidRPr="00C82F79">
        <w:rPr>
          <w:rFonts w:eastAsia="Calibri" w:cs="Arial"/>
          <w:b/>
          <w:color w:val="auto"/>
          <w:lang w:val="es-ES"/>
        </w:rPr>
        <w:t xml:space="preserve">SOBRESEER PARCIALMENTE </w:t>
      </w:r>
      <w:r w:rsidRPr="00C82F79">
        <w:rPr>
          <w:rFonts w:eastAsia="Calibri" w:cs="Arial"/>
          <w:color w:val="auto"/>
          <w:lang w:val="es-ES"/>
        </w:rPr>
        <w:t>el presente Recurso de Revisión, al actualizarse el supuesto previsto en el artículo 192, fracción IV, en relación con el diverso 186, fracción I, de ese ordenamiento legal.</w:t>
      </w:r>
    </w:p>
    <w:p w:rsidRPr="00C82F79" w:rsidR="00C82F79" w:rsidP="00C82F79" w:rsidRDefault="00C82F79" w14:paraId="1B09B63D" w14:textId="77777777">
      <w:pPr>
        <w:spacing w:after="0" w:line="360" w:lineRule="auto"/>
        <w:rPr>
          <w:rFonts w:eastAsia="Times New Roman" w:cs="Tahoma"/>
          <w:b/>
          <w:color w:val="auto"/>
          <w:lang w:val="es-ES" w:eastAsia="es-ES"/>
        </w:rPr>
      </w:pPr>
    </w:p>
    <w:p w:rsidRPr="00C82F79" w:rsidR="00C82F79" w:rsidP="00C82F79" w:rsidRDefault="00C82F79" w14:paraId="5EA0FFC0" w14:textId="77777777">
      <w:pPr>
        <w:spacing w:after="0" w:line="360" w:lineRule="auto"/>
        <w:rPr>
          <w:rFonts w:eastAsia="Times New Roman" w:cs="Tahoma"/>
          <w:b/>
          <w:color w:val="auto"/>
          <w:lang w:val="es-ES" w:eastAsia="es-ES"/>
        </w:rPr>
      </w:pPr>
      <w:r w:rsidRPr="00C82F79">
        <w:rPr>
          <w:rFonts w:eastAsia="Times New Roman" w:cs="Tahoma"/>
          <w:color w:val="auto"/>
          <w:lang w:eastAsia="es-ES"/>
        </w:rPr>
        <w:t>En ese orden de ideas, toda vez que no ha quedado por completo sin materia el Recurso de Revisión, se considera procedente entrar al fondo del presente asunto, al no quedar sin materia.</w:t>
      </w:r>
    </w:p>
    <w:p w:rsidRPr="00B377FD" w:rsidR="00FF4067" w:rsidP="00FF4067" w:rsidRDefault="00FF4067" w14:paraId="632A11D4" w14:textId="77777777">
      <w:pPr>
        <w:spacing w:after="0" w:line="360" w:lineRule="auto"/>
      </w:pPr>
    </w:p>
    <w:p w:rsidRPr="00B377FD" w:rsidR="00FF4067" w:rsidP="00FF4067" w:rsidRDefault="00FF4067" w14:paraId="632A11D5" w14:textId="77777777">
      <w:pPr>
        <w:spacing w:after="0" w:line="360" w:lineRule="auto"/>
        <w:rPr>
          <w:rFonts w:eastAsia="Times New Roman" w:cs="Tahoma"/>
          <w:b/>
          <w:bCs/>
          <w:iCs/>
          <w:color w:val="auto"/>
          <w:lang w:val="es-ES" w:eastAsia="es-ES"/>
        </w:rPr>
      </w:pPr>
      <w:r w:rsidRPr="00B377FD">
        <w:rPr>
          <w:rFonts w:eastAsia="Times New Roman" w:cs="Tahoma"/>
          <w:b/>
          <w:bCs/>
          <w:iCs/>
          <w:color w:val="auto"/>
          <w:lang w:val="es-ES" w:eastAsia="es-ES"/>
        </w:rPr>
        <w:t xml:space="preserve">TERCERO. Determinación de la Controversia. </w:t>
      </w:r>
    </w:p>
    <w:p w:rsidR="00FF4067" w:rsidP="00FF4067" w:rsidRDefault="00FF4067" w14:paraId="632A11D6" w14:textId="77777777">
      <w:pPr>
        <w:autoSpaceDE w:val="0"/>
        <w:autoSpaceDN w:val="0"/>
        <w:adjustRightInd w:val="0"/>
        <w:spacing w:after="0" w:line="360" w:lineRule="auto"/>
        <w:rPr>
          <w:rFonts w:eastAsia="Calibri" w:cs="Tahoma"/>
          <w:color w:val="000000"/>
          <w:szCs w:val="24"/>
          <w:lang w:val="es-ES" w:eastAsia="es-MX"/>
        </w:rPr>
      </w:pPr>
    </w:p>
    <w:p w:rsidR="00C94257" w:rsidP="00FF4067" w:rsidRDefault="00C94257" w14:paraId="630F63F3" w14:textId="0B10A673">
      <w:pPr>
        <w:autoSpaceDE w:val="0"/>
        <w:autoSpaceDN w:val="0"/>
        <w:adjustRightInd w:val="0"/>
        <w:spacing w:after="0" w:line="360" w:lineRule="auto"/>
        <w:rPr>
          <w:rFonts w:eastAsia="Calibri" w:cs="Tahoma"/>
          <w:color w:val="000000"/>
          <w:szCs w:val="24"/>
          <w:lang w:val="es-ES" w:eastAsia="es-MX"/>
        </w:rPr>
      </w:pPr>
      <w:r>
        <w:rPr>
          <w:rFonts w:eastAsia="Calibri" w:cs="Tahoma"/>
          <w:color w:val="000000"/>
          <w:szCs w:val="24"/>
          <w:lang w:val="es-ES" w:eastAsia="es-MX"/>
        </w:rPr>
        <w:t xml:space="preserve">A fin de dar claridad </w:t>
      </w:r>
      <w:r w:rsidR="002F2784">
        <w:rPr>
          <w:rFonts w:eastAsia="Calibri" w:cs="Tahoma"/>
          <w:color w:val="000000"/>
          <w:szCs w:val="24"/>
          <w:lang w:val="es-ES" w:eastAsia="es-MX"/>
        </w:rPr>
        <w:t xml:space="preserve">y </w:t>
      </w:r>
      <w:r w:rsidR="004866D9">
        <w:rPr>
          <w:rFonts w:eastAsia="Calibri" w:cs="Tahoma"/>
          <w:color w:val="000000"/>
          <w:szCs w:val="24"/>
          <w:lang w:val="es-ES" w:eastAsia="es-MX"/>
        </w:rPr>
        <w:t xml:space="preserve">a las constancias que obran en el expediente electrónico en el que se actúa, se realiza </w:t>
      </w:r>
      <w:r w:rsidR="008A5A55">
        <w:rPr>
          <w:rFonts w:eastAsia="Calibri" w:cs="Tahoma"/>
          <w:color w:val="000000"/>
          <w:szCs w:val="24"/>
          <w:lang w:val="es-ES" w:eastAsia="es-MX"/>
        </w:rPr>
        <w:t xml:space="preserve">un cuadro de relación </w:t>
      </w:r>
      <w:r w:rsidR="00446B3C">
        <w:rPr>
          <w:rFonts w:eastAsia="Calibri" w:cs="Tahoma"/>
          <w:color w:val="000000"/>
          <w:szCs w:val="24"/>
          <w:lang w:val="es-ES" w:eastAsia="es-MX"/>
        </w:rPr>
        <w:t xml:space="preserve">entre la solicitud de información, la respuesta del Sujeto Obligado, </w:t>
      </w:r>
      <w:r w:rsidR="004F4B86">
        <w:rPr>
          <w:rFonts w:eastAsia="Calibri" w:cs="Tahoma"/>
          <w:color w:val="000000"/>
          <w:szCs w:val="24"/>
          <w:lang w:val="es-ES" w:eastAsia="es-MX"/>
        </w:rPr>
        <w:t xml:space="preserve">los agravios del Recurrente y </w:t>
      </w:r>
      <w:r w:rsidR="00446B3C">
        <w:rPr>
          <w:rFonts w:eastAsia="Calibri" w:cs="Tahoma"/>
          <w:color w:val="000000"/>
          <w:szCs w:val="24"/>
          <w:lang w:val="es-ES" w:eastAsia="es-MX"/>
        </w:rPr>
        <w:t xml:space="preserve">el Informe Justificado </w:t>
      </w:r>
      <w:r w:rsidR="0027776B">
        <w:rPr>
          <w:rFonts w:eastAsia="Calibri" w:cs="Tahoma"/>
          <w:color w:val="000000"/>
          <w:szCs w:val="24"/>
          <w:lang w:val="es-ES" w:eastAsia="es-MX"/>
        </w:rPr>
        <w:t>del Ente Recurrido</w:t>
      </w:r>
      <w:r w:rsidR="00813041">
        <w:rPr>
          <w:rFonts w:eastAsia="Calibri" w:cs="Tahoma"/>
          <w:color w:val="000000"/>
          <w:szCs w:val="24"/>
          <w:lang w:val="es-ES" w:eastAsia="es-MX"/>
        </w:rPr>
        <w:t xml:space="preserve">, en </w:t>
      </w:r>
      <w:r w:rsidR="00162316">
        <w:rPr>
          <w:rFonts w:eastAsia="Calibri" w:cs="Tahoma"/>
          <w:color w:val="000000"/>
          <w:szCs w:val="24"/>
          <w:lang w:val="es-ES" w:eastAsia="es-MX"/>
        </w:rPr>
        <w:t xml:space="preserve">ese sentido </w:t>
      </w:r>
      <w:r w:rsidR="003A553F">
        <w:rPr>
          <w:rFonts w:eastAsia="Calibri" w:cs="Tahoma"/>
          <w:color w:val="000000"/>
          <w:szCs w:val="24"/>
          <w:lang w:val="es-ES" w:eastAsia="es-MX"/>
        </w:rPr>
        <w:t xml:space="preserve">se desprende lo siguiente: </w:t>
      </w:r>
    </w:p>
    <w:p w:rsidR="003A553F" w:rsidP="00FF4067" w:rsidRDefault="003A553F" w14:paraId="398F899E" w14:textId="77777777">
      <w:pPr>
        <w:autoSpaceDE w:val="0"/>
        <w:autoSpaceDN w:val="0"/>
        <w:adjustRightInd w:val="0"/>
        <w:spacing w:after="0" w:line="360" w:lineRule="auto"/>
        <w:rPr>
          <w:rFonts w:eastAsia="Calibri" w:cs="Tahoma"/>
          <w:color w:val="000000"/>
          <w:szCs w:val="24"/>
          <w:lang w:val="es-ES" w:eastAsia="es-MX"/>
        </w:rPr>
      </w:pPr>
    </w:p>
    <w:tbl>
      <w:tblPr>
        <w:tblStyle w:val="Tablaconcuadrcula"/>
        <w:tblW w:w="0" w:type="auto"/>
        <w:tblLayout w:type="fixed"/>
        <w:tblLook w:val="04A0" w:firstRow="1" w:lastRow="0" w:firstColumn="1" w:lastColumn="0" w:noHBand="0" w:noVBand="1"/>
      </w:tblPr>
      <w:tblGrid>
        <w:gridCol w:w="2122"/>
        <w:gridCol w:w="2409"/>
        <w:gridCol w:w="2410"/>
        <w:gridCol w:w="2093"/>
      </w:tblGrid>
      <w:tr w:rsidRPr="00680522" w:rsidR="00ED0D9E" w:rsidTr="00ED0D9E" w14:paraId="32C06EF0" w14:textId="77777777">
        <w:tc>
          <w:tcPr>
            <w:tcW w:w="9034" w:type="dxa"/>
            <w:gridSpan w:val="4"/>
            <w:shd w:val="clear" w:color="auto" w:fill="BFBFBF" w:themeFill="background1" w:themeFillShade="BF"/>
            <w:vAlign w:val="center"/>
          </w:tcPr>
          <w:p w:rsidRPr="00680522" w:rsidR="00ED0D9E" w:rsidP="00041B4C" w:rsidRDefault="00ED0D9E" w14:paraId="0991A054" w14:textId="2B9EB128">
            <w:pPr>
              <w:spacing w:line="360" w:lineRule="auto"/>
              <w:jc w:val="center"/>
              <w:rPr>
                <w:rFonts w:cs="Tahoma"/>
                <w:b/>
                <w:iCs/>
                <w:sz w:val="18"/>
                <w:szCs w:val="18"/>
                <w:lang w:eastAsia="es-ES"/>
              </w:rPr>
            </w:pPr>
            <w:r w:rsidRPr="00680522">
              <w:rPr>
                <w:rFonts w:cs="Tahoma"/>
                <w:b/>
                <w:iCs/>
                <w:sz w:val="18"/>
                <w:szCs w:val="18"/>
                <w:lang w:val="es-MX" w:eastAsia="es-ES"/>
              </w:rPr>
              <w:t xml:space="preserve">Recurso de Revisión </w:t>
            </w:r>
            <w:r w:rsidRPr="00680522">
              <w:rPr>
                <w:rFonts w:cs="Tahoma"/>
                <w:b/>
                <w:bCs/>
                <w:iCs/>
                <w:sz w:val="18"/>
                <w:szCs w:val="18"/>
                <w:lang w:val="es-MX" w:eastAsia="es-ES"/>
              </w:rPr>
              <w:t>05431/INFOEM/IP/RR/2021</w:t>
            </w:r>
          </w:p>
        </w:tc>
      </w:tr>
      <w:tr w:rsidRPr="00680522" w:rsidR="00ED0D9E" w:rsidTr="007E2CA2" w14:paraId="5A55DCFA" w14:textId="77777777">
        <w:tc>
          <w:tcPr>
            <w:tcW w:w="2122" w:type="dxa"/>
            <w:shd w:val="clear" w:color="auto" w:fill="BFBFBF" w:themeFill="background1" w:themeFillShade="BF"/>
            <w:vAlign w:val="center"/>
          </w:tcPr>
          <w:p w:rsidRPr="00680522" w:rsidR="00ED0D9E" w:rsidP="00041B4C" w:rsidRDefault="00ED0D9E" w14:paraId="1B6CBE6A" w14:textId="77777777">
            <w:pPr>
              <w:spacing w:line="360" w:lineRule="auto"/>
              <w:jc w:val="center"/>
              <w:rPr>
                <w:rFonts w:cs="Tahoma"/>
                <w:b/>
                <w:iCs/>
                <w:sz w:val="18"/>
                <w:szCs w:val="18"/>
              </w:rPr>
            </w:pPr>
            <w:r w:rsidRPr="00680522">
              <w:rPr>
                <w:rFonts w:cs="Tahoma"/>
                <w:b/>
                <w:iCs/>
                <w:sz w:val="18"/>
                <w:szCs w:val="18"/>
              </w:rPr>
              <w:t>Solicitud</w:t>
            </w:r>
          </w:p>
        </w:tc>
        <w:tc>
          <w:tcPr>
            <w:tcW w:w="2409" w:type="dxa"/>
            <w:shd w:val="clear" w:color="auto" w:fill="BFBFBF" w:themeFill="background1" w:themeFillShade="BF"/>
            <w:vAlign w:val="center"/>
          </w:tcPr>
          <w:p w:rsidRPr="00680522" w:rsidR="00ED0D9E" w:rsidP="00041B4C" w:rsidRDefault="00ED0D9E" w14:paraId="35D19817" w14:textId="13DE97BD">
            <w:pPr>
              <w:spacing w:line="360" w:lineRule="auto"/>
              <w:jc w:val="center"/>
              <w:rPr>
                <w:rFonts w:cs="Tahoma"/>
                <w:b/>
                <w:iCs/>
                <w:sz w:val="18"/>
                <w:szCs w:val="18"/>
              </w:rPr>
            </w:pPr>
            <w:r w:rsidRPr="00680522">
              <w:rPr>
                <w:rFonts w:cs="Tahoma"/>
                <w:b/>
                <w:iCs/>
                <w:sz w:val="18"/>
                <w:szCs w:val="18"/>
              </w:rPr>
              <w:t xml:space="preserve">Respuesta </w:t>
            </w:r>
          </w:p>
        </w:tc>
        <w:tc>
          <w:tcPr>
            <w:tcW w:w="2410" w:type="dxa"/>
            <w:shd w:val="clear" w:color="auto" w:fill="BFBFBF" w:themeFill="background1" w:themeFillShade="BF"/>
            <w:vAlign w:val="center"/>
          </w:tcPr>
          <w:p w:rsidRPr="00680522" w:rsidR="00ED0D9E" w:rsidP="00041B4C" w:rsidRDefault="002820F4" w14:paraId="44C46AF2" w14:textId="694EC106">
            <w:pPr>
              <w:spacing w:line="360" w:lineRule="auto"/>
              <w:jc w:val="center"/>
              <w:rPr>
                <w:rFonts w:cs="Tahoma"/>
                <w:b/>
                <w:iCs/>
                <w:sz w:val="18"/>
                <w:szCs w:val="18"/>
              </w:rPr>
            </w:pPr>
            <w:r>
              <w:rPr>
                <w:rFonts w:cs="Tahoma"/>
                <w:b/>
                <w:iCs/>
                <w:sz w:val="18"/>
                <w:szCs w:val="18"/>
              </w:rPr>
              <w:t>Recurso de Revisión</w:t>
            </w:r>
          </w:p>
        </w:tc>
        <w:tc>
          <w:tcPr>
            <w:tcW w:w="2093" w:type="dxa"/>
            <w:shd w:val="clear" w:color="auto" w:fill="BFBFBF" w:themeFill="background1" w:themeFillShade="BF"/>
            <w:vAlign w:val="center"/>
          </w:tcPr>
          <w:p w:rsidRPr="00680522" w:rsidR="00ED0D9E" w:rsidP="00041B4C" w:rsidRDefault="00ED0D9E" w14:paraId="3E478F6B" w14:textId="77777777">
            <w:pPr>
              <w:spacing w:line="360" w:lineRule="auto"/>
              <w:jc w:val="center"/>
              <w:rPr>
                <w:rFonts w:cs="Tahoma"/>
                <w:b/>
                <w:iCs/>
                <w:sz w:val="18"/>
                <w:szCs w:val="18"/>
                <w:lang w:eastAsia="es-ES"/>
              </w:rPr>
            </w:pPr>
            <w:r w:rsidRPr="00680522">
              <w:rPr>
                <w:rFonts w:cs="Tahoma"/>
                <w:b/>
                <w:iCs/>
                <w:sz w:val="18"/>
                <w:szCs w:val="18"/>
                <w:lang w:eastAsia="es-ES"/>
              </w:rPr>
              <w:t>Informe Justificado</w:t>
            </w:r>
          </w:p>
        </w:tc>
      </w:tr>
      <w:tr w:rsidRPr="00680522" w:rsidR="00ED0D9E" w:rsidTr="007E2CA2" w14:paraId="42748584" w14:textId="77777777">
        <w:tc>
          <w:tcPr>
            <w:tcW w:w="2122" w:type="dxa"/>
          </w:tcPr>
          <w:p w:rsidRPr="00680522" w:rsidR="00ED0D9E" w:rsidP="00041B4C" w:rsidRDefault="009D76B1" w14:paraId="0E159D28" w14:textId="1A26EC97">
            <w:pPr>
              <w:spacing w:line="360" w:lineRule="auto"/>
              <w:rPr>
                <w:rFonts w:cs="Tahoma"/>
                <w:iCs/>
                <w:sz w:val="18"/>
                <w:szCs w:val="18"/>
                <w:lang w:eastAsia="es-ES"/>
              </w:rPr>
            </w:pPr>
            <w:r w:rsidRPr="00680522">
              <w:rPr>
                <w:rFonts w:cs="Tahoma"/>
                <w:iCs/>
                <w:sz w:val="18"/>
                <w:szCs w:val="18"/>
                <w:lang w:val="es-MX" w:eastAsia="es-ES"/>
              </w:rPr>
              <w:lastRenderedPageBreak/>
              <w:t xml:space="preserve">1.- </w:t>
            </w:r>
            <w:r w:rsidR="00593D9A">
              <w:rPr>
                <w:rFonts w:cs="Tahoma"/>
                <w:iCs/>
                <w:sz w:val="18"/>
                <w:szCs w:val="18"/>
                <w:lang w:val="es-MX" w:eastAsia="es-ES"/>
              </w:rPr>
              <w:t>L</w:t>
            </w:r>
            <w:r w:rsidRPr="00821B27">
              <w:rPr>
                <w:rFonts w:cs="Tahoma"/>
                <w:iCs/>
                <w:sz w:val="18"/>
                <w:szCs w:val="18"/>
                <w:lang w:val="es-MX" w:eastAsia="es-ES"/>
              </w:rPr>
              <w:t xml:space="preserve">os comprobantes de sueldos, salarios, honorarios o cualquier otro tipo de retribución equivalente para </w:t>
            </w:r>
            <w:r w:rsidR="00593D9A">
              <w:rPr>
                <w:rFonts w:cs="Tahoma"/>
                <w:iCs/>
                <w:sz w:val="18"/>
                <w:szCs w:val="18"/>
                <w:lang w:val="es-MX" w:eastAsia="es-ES"/>
              </w:rPr>
              <w:t>la persona que conforma al Sujeto Obligado,</w:t>
            </w:r>
            <w:r w:rsidRPr="00680522">
              <w:rPr>
                <w:rFonts w:cs="Tahoma"/>
                <w:iCs/>
                <w:sz w:val="18"/>
                <w:szCs w:val="18"/>
                <w:lang w:val="es-MX" w:eastAsia="es-ES"/>
              </w:rPr>
              <w:t xml:space="preserve"> del </w:t>
            </w:r>
            <w:r w:rsidR="00593D9A">
              <w:rPr>
                <w:rFonts w:cs="Tahoma"/>
                <w:iCs/>
                <w:sz w:val="18"/>
                <w:szCs w:val="18"/>
                <w:lang w:val="es-MX" w:eastAsia="es-ES"/>
              </w:rPr>
              <w:t>primero</w:t>
            </w:r>
            <w:r w:rsidRPr="00680522">
              <w:rPr>
                <w:rFonts w:cs="Tahoma"/>
                <w:iCs/>
                <w:sz w:val="18"/>
                <w:szCs w:val="18"/>
                <w:lang w:val="es-MX" w:eastAsia="es-ES"/>
              </w:rPr>
              <w:t xml:space="preserve"> de enero a</w:t>
            </w:r>
            <w:r w:rsidR="00593D9A">
              <w:rPr>
                <w:rFonts w:cs="Tahoma"/>
                <w:iCs/>
                <w:sz w:val="18"/>
                <w:szCs w:val="18"/>
                <w:lang w:val="es-MX" w:eastAsia="es-ES"/>
              </w:rPr>
              <w:t>l veintisiete de octubre de dos mil veintiuno.</w:t>
            </w:r>
          </w:p>
        </w:tc>
        <w:tc>
          <w:tcPr>
            <w:tcW w:w="2409" w:type="dxa"/>
          </w:tcPr>
          <w:p w:rsidRPr="009A137D" w:rsidR="00ED0D9E" w:rsidP="009A137D" w:rsidRDefault="00450C65" w14:paraId="752CD40E" w14:textId="45AB62C6">
            <w:pPr>
              <w:spacing w:line="360" w:lineRule="auto"/>
              <w:rPr>
                <w:rFonts w:cs="Tahoma"/>
                <w:iCs/>
                <w:sz w:val="18"/>
                <w:szCs w:val="18"/>
              </w:rPr>
            </w:pPr>
            <w:r>
              <w:rPr>
                <w:rFonts w:cs="Tahoma"/>
                <w:iCs/>
                <w:sz w:val="18"/>
                <w:szCs w:val="18"/>
              </w:rPr>
              <w:t>Precisó que el personal del Partido, se encontraba bajo el régimen de subcontratación de servicios especializados, por lo que, los pagos los realizaba un proveedor externo, por lo que, este era el único que emitía los recibos solicitados, por lo que, no contaba con los mismos.</w:t>
            </w:r>
          </w:p>
          <w:p w:rsidR="00450C65" w:rsidP="00450C65" w:rsidRDefault="00450C65" w14:paraId="57A8591D" w14:textId="77777777">
            <w:pPr>
              <w:spacing w:line="360" w:lineRule="auto"/>
              <w:rPr>
                <w:rFonts w:cs="Tahoma"/>
                <w:iCs/>
                <w:sz w:val="18"/>
                <w:szCs w:val="18"/>
                <w:lang w:val="es-MX"/>
              </w:rPr>
            </w:pPr>
          </w:p>
          <w:p w:rsidRPr="00450C65" w:rsidR="007C5050" w:rsidP="00450C65" w:rsidRDefault="00450C65" w14:paraId="6E3AB04A" w14:textId="659FB52D">
            <w:pPr>
              <w:spacing w:line="360" w:lineRule="auto"/>
              <w:rPr>
                <w:rFonts w:cs="Tahoma"/>
                <w:iCs/>
                <w:sz w:val="18"/>
                <w:szCs w:val="18"/>
              </w:rPr>
            </w:pPr>
            <w:r>
              <w:rPr>
                <w:rFonts w:cs="Tahoma"/>
                <w:iCs/>
                <w:sz w:val="18"/>
                <w:szCs w:val="18"/>
                <w:lang w:val="es-MX"/>
              </w:rPr>
              <w:t xml:space="preserve">Además, que el </w:t>
            </w:r>
            <w:r w:rsidRPr="00450C65" w:rsidR="007C5050">
              <w:rPr>
                <w:rFonts w:cs="Tahoma"/>
                <w:iCs/>
                <w:sz w:val="18"/>
                <w:szCs w:val="18"/>
                <w:lang w:val="es-MX"/>
              </w:rPr>
              <w:t>contrato</w:t>
            </w:r>
            <w:r w:rsidRPr="00450C65" w:rsidR="005A6D01">
              <w:rPr>
                <w:rFonts w:cs="Tahoma"/>
                <w:iCs/>
                <w:sz w:val="18"/>
                <w:szCs w:val="18"/>
                <w:lang w:val="es-MX"/>
              </w:rPr>
              <w:t xml:space="preserve"> con el proveedor externo</w:t>
            </w:r>
            <w:r w:rsidRPr="00450C65" w:rsidR="007C5050">
              <w:rPr>
                <w:rFonts w:cs="Tahoma"/>
                <w:iCs/>
                <w:sz w:val="18"/>
                <w:szCs w:val="18"/>
                <w:lang w:val="es-MX"/>
              </w:rPr>
              <w:t xml:space="preserve"> </w:t>
            </w:r>
            <w:r w:rsidRPr="00450C65">
              <w:rPr>
                <w:rFonts w:cs="Tahoma"/>
                <w:iCs/>
                <w:sz w:val="18"/>
                <w:szCs w:val="18"/>
                <w:lang w:val="es-MX"/>
              </w:rPr>
              <w:t>esta</w:t>
            </w:r>
            <w:r>
              <w:rPr>
                <w:rFonts w:cs="Tahoma"/>
                <w:iCs/>
                <w:sz w:val="18"/>
                <w:szCs w:val="18"/>
                <w:lang w:val="es-MX"/>
              </w:rPr>
              <w:t>ba</w:t>
            </w:r>
            <w:r w:rsidRPr="00450C65" w:rsidR="007C5050">
              <w:rPr>
                <w:rFonts w:cs="Tahoma"/>
                <w:iCs/>
                <w:sz w:val="18"/>
                <w:szCs w:val="18"/>
                <w:lang w:val="es-MX"/>
              </w:rPr>
              <w:t xml:space="preserve"> disponible en</w:t>
            </w:r>
            <w:r>
              <w:rPr>
                <w:rFonts w:cs="Tahoma"/>
                <w:iCs/>
                <w:sz w:val="18"/>
                <w:szCs w:val="18"/>
                <w:lang w:val="es-MX"/>
              </w:rPr>
              <w:t xml:space="preserve"> la liga</w:t>
            </w:r>
            <w:r w:rsidRPr="00450C65" w:rsidR="00077567">
              <w:rPr>
                <w:rFonts w:cs="Tahoma"/>
                <w:iCs/>
                <w:sz w:val="18"/>
                <w:szCs w:val="18"/>
                <w:lang w:val="es-MX"/>
              </w:rPr>
              <w:t xml:space="preserve"> </w:t>
            </w:r>
            <w:hyperlink w:history="1" r:id="rId16">
              <w:r w:rsidRPr="00450C65" w:rsidR="007C5050">
                <w:rPr>
                  <w:rStyle w:val="Hipervnculo"/>
                  <w:rFonts w:cs="Tahoma"/>
                  <w:iCs/>
                  <w:sz w:val="18"/>
                  <w:szCs w:val="18"/>
                  <w:lang w:val="es-MX"/>
                </w:rPr>
                <w:t>https://www.ipomex.org.mx/ipo3/lgt/indice/PMCIU/art_100_iv/3.web</w:t>
              </w:r>
            </w:hyperlink>
          </w:p>
        </w:tc>
        <w:tc>
          <w:tcPr>
            <w:tcW w:w="2410" w:type="dxa"/>
          </w:tcPr>
          <w:p w:rsidRPr="0023116A" w:rsidR="00ED0D9E" w:rsidP="0023116A" w:rsidRDefault="0023116A" w14:paraId="5C89FFE4" w14:textId="052E2EB1">
            <w:pPr>
              <w:tabs>
                <w:tab w:val="left" w:pos="324"/>
              </w:tabs>
              <w:spacing w:line="360" w:lineRule="auto"/>
              <w:rPr>
                <w:rFonts w:cs="Tahoma"/>
                <w:iCs/>
                <w:sz w:val="18"/>
                <w:szCs w:val="18"/>
              </w:rPr>
            </w:pPr>
            <w:r>
              <w:rPr>
                <w:rFonts w:cs="Tahoma"/>
                <w:iCs/>
                <w:sz w:val="18"/>
                <w:szCs w:val="18"/>
              </w:rPr>
              <w:t>El Particular se inconformó con la falta de entrega de los comprobantes fiscales, lo cual actualiza la causal de procedencia, establecida en el artículo 179, fracción VI, de la Ley de la materia.</w:t>
            </w:r>
          </w:p>
        </w:tc>
        <w:tc>
          <w:tcPr>
            <w:tcW w:w="2093" w:type="dxa"/>
          </w:tcPr>
          <w:p w:rsidRPr="00926C89" w:rsidR="00CF5F92" w:rsidP="00926C89" w:rsidRDefault="00926C89" w14:paraId="67262284" w14:textId="3F546737">
            <w:pPr>
              <w:spacing w:line="360" w:lineRule="auto"/>
              <w:rPr>
                <w:rFonts w:cs="Tahoma"/>
                <w:iCs/>
                <w:sz w:val="18"/>
                <w:szCs w:val="18"/>
              </w:rPr>
            </w:pPr>
            <w:r>
              <w:rPr>
                <w:rFonts w:cs="Tahoma"/>
                <w:iCs/>
                <w:sz w:val="18"/>
                <w:szCs w:val="18"/>
              </w:rPr>
              <w:t>Reiteró que no generaba los recibos de pago, al elaborarlos el proveedor; además, proporcionó el procedimiento para acceder al contrato referido en respuesta.</w:t>
            </w:r>
          </w:p>
          <w:p w:rsidRPr="00926C89" w:rsidR="00A46391" w:rsidP="00926C89" w:rsidRDefault="00A46391" w14:paraId="352AB528" w14:textId="2A0971E4">
            <w:pPr>
              <w:spacing w:line="360" w:lineRule="auto"/>
              <w:rPr>
                <w:rFonts w:cs="Tahoma"/>
                <w:iCs/>
                <w:sz w:val="18"/>
                <w:szCs w:val="18"/>
              </w:rPr>
            </w:pPr>
          </w:p>
        </w:tc>
      </w:tr>
      <w:tr w:rsidRPr="00680522" w:rsidR="009E77A0" w:rsidTr="007E2CA2" w14:paraId="778C60A8" w14:textId="77777777">
        <w:tc>
          <w:tcPr>
            <w:tcW w:w="2122" w:type="dxa"/>
          </w:tcPr>
          <w:p w:rsidRPr="00680522" w:rsidR="009E77A0" w:rsidP="00041B4C" w:rsidRDefault="008919A9" w14:paraId="2AA74D03" w14:textId="4D8BC404">
            <w:pPr>
              <w:spacing w:line="360" w:lineRule="auto"/>
              <w:rPr>
                <w:rFonts w:cs="Tahoma"/>
                <w:iCs/>
                <w:sz w:val="18"/>
                <w:szCs w:val="18"/>
                <w:lang w:eastAsia="es-ES"/>
              </w:rPr>
            </w:pPr>
            <w:r w:rsidRPr="00680522">
              <w:rPr>
                <w:rFonts w:cs="Tahoma"/>
                <w:iCs/>
                <w:sz w:val="18"/>
                <w:szCs w:val="18"/>
                <w:lang w:val="es-MX" w:eastAsia="es-ES"/>
              </w:rPr>
              <w:t xml:space="preserve">2.- </w:t>
            </w:r>
            <w:r w:rsidRPr="00821B27">
              <w:rPr>
                <w:rFonts w:cs="Tahoma"/>
                <w:iCs/>
                <w:sz w:val="18"/>
                <w:szCs w:val="18"/>
                <w:lang w:val="es-MX" w:eastAsia="es-ES"/>
              </w:rPr>
              <w:t>Cantidad total de financiamiento público</w:t>
            </w:r>
            <w:r w:rsidR="00593D9A">
              <w:rPr>
                <w:rFonts w:cs="Tahoma"/>
                <w:iCs/>
                <w:sz w:val="18"/>
                <w:szCs w:val="18"/>
                <w:lang w:val="es-MX" w:eastAsia="es-ES"/>
              </w:rPr>
              <w:t xml:space="preserve"> destinado</w:t>
            </w:r>
            <w:r w:rsidRPr="00821B27">
              <w:rPr>
                <w:rFonts w:cs="Tahoma"/>
                <w:iCs/>
                <w:sz w:val="18"/>
                <w:szCs w:val="18"/>
                <w:lang w:val="es-MX" w:eastAsia="es-ES"/>
              </w:rPr>
              <w:t xml:space="preserve"> para el sostenimiento de actividades ordinarias permanentes y actividades específicas</w:t>
            </w:r>
            <w:r w:rsidR="00593D9A">
              <w:rPr>
                <w:rFonts w:cs="Tahoma"/>
                <w:iCs/>
                <w:sz w:val="18"/>
                <w:szCs w:val="18"/>
                <w:lang w:val="es-MX" w:eastAsia="es-ES"/>
              </w:rPr>
              <w:t xml:space="preserve"> para actividades, estructura, sueldos, salarios, honorarios o cualquier otra retribución para personal del Partido Político</w:t>
            </w:r>
            <w:r w:rsidR="00450C65">
              <w:rPr>
                <w:rFonts w:cs="Tahoma"/>
                <w:iCs/>
                <w:sz w:val="18"/>
                <w:szCs w:val="18"/>
                <w:lang w:val="es-MX" w:eastAsia="es-ES"/>
              </w:rPr>
              <w:t xml:space="preserve">, del cuatro de </w:t>
            </w:r>
            <w:r w:rsidR="00450C65">
              <w:rPr>
                <w:rFonts w:cs="Tahoma"/>
                <w:iCs/>
                <w:sz w:val="18"/>
                <w:szCs w:val="18"/>
                <w:lang w:val="es-MX" w:eastAsia="es-ES"/>
              </w:rPr>
              <w:lastRenderedPageBreak/>
              <w:t>septiembre al veintisiete de octubre de dos mil veintiuno.</w:t>
            </w:r>
          </w:p>
        </w:tc>
        <w:tc>
          <w:tcPr>
            <w:tcW w:w="2409" w:type="dxa"/>
          </w:tcPr>
          <w:p w:rsidRPr="00450C65" w:rsidR="00BF253D" w:rsidP="00450C65" w:rsidRDefault="00DE2260" w14:paraId="4666AC76" w14:textId="2CDC8F2C">
            <w:pPr>
              <w:spacing w:line="360" w:lineRule="auto"/>
              <w:rPr>
                <w:rFonts w:cs="Tahoma"/>
                <w:iCs/>
                <w:sz w:val="18"/>
                <w:szCs w:val="18"/>
              </w:rPr>
            </w:pPr>
            <w:r w:rsidRPr="00450C65">
              <w:rPr>
                <w:rFonts w:cs="Tahoma"/>
                <w:iCs/>
                <w:sz w:val="18"/>
                <w:szCs w:val="18"/>
              </w:rPr>
              <w:lastRenderedPageBreak/>
              <w:t xml:space="preserve">La información </w:t>
            </w:r>
            <w:r w:rsidR="00450C65">
              <w:rPr>
                <w:rFonts w:cs="Tahoma"/>
                <w:iCs/>
                <w:sz w:val="18"/>
                <w:szCs w:val="18"/>
              </w:rPr>
              <w:t xml:space="preserve">se encontraba disponible en la liga </w:t>
            </w:r>
            <w:hyperlink w:history="1" r:id="rId17">
              <w:r w:rsidRPr="00450C65" w:rsidR="005F7666">
                <w:rPr>
                  <w:rStyle w:val="Hipervnculo"/>
                  <w:rFonts w:cs="Tahoma"/>
                  <w:iCs/>
                  <w:sz w:val="18"/>
                  <w:szCs w:val="18"/>
                </w:rPr>
                <w:t>https://www.ipomex.org.mx/ipo3/lgt/indice/PMCIU/art_100_xxiv_a/3.web</w:t>
              </w:r>
            </w:hyperlink>
            <w:r w:rsidRPr="00450C65" w:rsidR="005F7666">
              <w:rPr>
                <w:rFonts w:cs="Tahoma"/>
                <w:iCs/>
                <w:sz w:val="18"/>
                <w:szCs w:val="18"/>
              </w:rPr>
              <w:t xml:space="preserve">. </w:t>
            </w:r>
          </w:p>
          <w:p w:rsidR="00BF253D" w:rsidP="00BF253D" w:rsidRDefault="00BF253D" w14:paraId="67C5C5DE" w14:textId="77777777">
            <w:pPr>
              <w:pStyle w:val="Prrafodelista"/>
              <w:spacing w:line="360" w:lineRule="auto"/>
              <w:ind w:left="310"/>
              <w:rPr>
                <w:rFonts w:cs="Tahoma"/>
                <w:iCs/>
                <w:sz w:val="18"/>
                <w:szCs w:val="18"/>
              </w:rPr>
            </w:pPr>
          </w:p>
          <w:p w:rsidRPr="00450C65" w:rsidR="007E01FE" w:rsidP="00450C65" w:rsidRDefault="00450C65" w14:paraId="6F422B1A" w14:textId="58D64633">
            <w:pPr>
              <w:spacing w:line="360" w:lineRule="auto"/>
              <w:rPr>
                <w:rFonts w:cs="Tahoma"/>
                <w:iCs/>
                <w:sz w:val="18"/>
                <w:szCs w:val="18"/>
              </w:rPr>
            </w:pPr>
            <w:r>
              <w:rPr>
                <w:rFonts w:cs="Tahoma"/>
                <w:iCs/>
                <w:sz w:val="18"/>
                <w:szCs w:val="18"/>
                <w:lang w:val="es-MX"/>
              </w:rPr>
              <w:t xml:space="preserve">Precisó que el monto </w:t>
            </w:r>
            <w:r w:rsidRPr="00450C65" w:rsidR="007E01FE">
              <w:rPr>
                <w:rFonts w:cs="Tahoma"/>
                <w:iCs/>
                <w:sz w:val="18"/>
                <w:szCs w:val="18"/>
                <w:lang w:val="es-MX"/>
              </w:rPr>
              <w:t>erogado por concepto de subcontratación</w:t>
            </w:r>
            <w:r w:rsidRPr="00450C65" w:rsidR="007E01FE">
              <w:rPr>
                <w:rFonts w:cs="Tahoma"/>
                <w:iCs/>
                <w:sz w:val="18"/>
                <w:szCs w:val="18"/>
                <w:lang w:val="es-MX"/>
              </w:rPr>
              <w:br/>
            </w:r>
            <w:r w:rsidRPr="00450C65" w:rsidR="007E01FE">
              <w:rPr>
                <w:rFonts w:cs="Tahoma"/>
                <w:iCs/>
                <w:sz w:val="18"/>
                <w:szCs w:val="18"/>
                <w:lang w:val="es-MX"/>
              </w:rPr>
              <w:t>de servicios especializados es de $7,026,000.00</w:t>
            </w:r>
            <w:r>
              <w:rPr>
                <w:rFonts w:cs="Tahoma"/>
                <w:iCs/>
                <w:sz w:val="18"/>
                <w:szCs w:val="18"/>
                <w:lang w:val="es-MX"/>
              </w:rPr>
              <w:t xml:space="preserve">, del primero de enero al </w:t>
            </w:r>
            <w:r>
              <w:rPr>
                <w:rFonts w:cs="Tahoma"/>
                <w:iCs/>
                <w:sz w:val="18"/>
                <w:szCs w:val="18"/>
                <w:lang w:val="es-MX"/>
              </w:rPr>
              <w:lastRenderedPageBreak/>
              <w:t xml:space="preserve">primero de noviembre </w:t>
            </w:r>
            <w:r w:rsidR="0023116A">
              <w:rPr>
                <w:rFonts w:cs="Tahoma"/>
                <w:iCs/>
                <w:sz w:val="18"/>
                <w:szCs w:val="18"/>
                <w:lang w:val="es-MX"/>
              </w:rPr>
              <w:t>de dos mil veintiuno.</w:t>
            </w:r>
          </w:p>
        </w:tc>
        <w:tc>
          <w:tcPr>
            <w:tcW w:w="2410" w:type="dxa"/>
          </w:tcPr>
          <w:p w:rsidRPr="00926C89" w:rsidR="00D1669F" w:rsidP="00926C89" w:rsidRDefault="00764BD3" w14:paraId="587C7B6E" w14:textId="072D730E">
            <w:pPr>
              <w:spacing w:line="360" w:lineRule="auto"/>
              <w:rPr>
                <w:rFonts w:cs="Tahoma"/>
                <w:iCs/>
                <w:sz w:val="18"/>
                <w:szCs w:val="18"/>
              </w:rPr>
            </w:pPr>
            <w:r w:rsidRPr="00926C89">
              <w:rPr>
                <w:rFonts w:cs="Tahoma"/>
                <w:iCs/>
                <w:sz w:val="18"/>
                <w:szCs w:val="18"/>
                <w:lang w:val="es-MX"/>
              </w:rPr>
              <w:lastRenderedPageBreak/>
              <w:t xml:space="preserve">El </w:t>
            </w:r>
            <w:r w:rsidRPr="00926C89" w:rsidR="00AD034F">
              <w:rPr>
                <w:rFonts w:cs="Tahoma"/>
                <w:iCs/>
                <w:sz w:val="18"/>
                <w:szCs w:val="18"/>
                <w:lang w:val="es-MX"/>
              </w:rPr>
              <w:t>Sujeto Obligado es omiso en informar y explicar los montos de los recursos que utilizan para sus actividades</w:t>
            </w:r>
            <w:r w:rsidR="00926C89">
              <w:rPr>
                <w:rFonts w:cs="Tahoma"/>
                <w:iCs/>
                <w:sz w:val="18"/>
                <w:szCs w:val="18"/>
                <w:lang w:val="es-MX"/>
              </w:rPr>
              <w:t xml:space="preserve">, </w:t>
            </w:r>
            <w:r w:rsidR="00926C89">
              <w:rPr>
                <w:rFonts w:cs="Tahoma"/>
                <w:iCs/>
                <w:sz w:val="18"/>
                <w:szCs w:val="18"/>
              </w:rPr>
              <w:t>lo cual actualiza la causal de procedencia, establecida en el artículo 179, fracción VI, de la Ley de la materia.</w:t>
            </w:r>
          </w:p>
        </w:tc>
        <w:tc>
          <w:tcPr>
            <w:tcW w:w="2093" w:type="dxa"/>
          </w:tcPr>
          <w:p w:rsidRPr="001A7C93" w:rsidR="009E77A0" w:rsidP="00926C89" w:rsidRDefault="00926C89" w14:paraId="3A9815E2" w14:textId="687C3452">
            <w:pPr>
              <w:pStyle w:val="Prrafodelista"/>
              <w:spacing w:line="360" w:lineRule="auto"/>
              <w:ind w:left="39" w:right="-5"/>
              <w:rPr>
                <w:rFonts w:cs="Tahoma"/>
                <w:iCs/>
                <w:sz w:val="18"/>
                <w:szCs w:val="18"/>
              </w:rPr>
            </w:pPr>
            <w:r>
              <w:rPr>
                <w:rFonts w:cs="Tahoma"/>
                <w:iCs/>
                <w:sz w:val="18"/>
                <w:szCs w:val="18"/>
              </w:rPr>
              <w:t>Ratificó su respuesta inicial.</w:t>
            </w:r>
          </w:p>
        </w:tc>
      </w:tr>
      <w:tr w:rsidRPr="00680522" w:rsidR="009E77A0" w:rsidTr="007E2CA2" w14:paraId="51A76CA6" w14:textId="77777777">
        <w:tc>
          <w:tcPr>
            <w:tcW w:w="2122" w:type="dxa"/>
          </w:tcPr>
          <w:p w:rsidRPr="00680522" w:rsidR="009E77A0" w:rsidP="00041B4C" w:rsidRDefault="00944F68" w14:paraId="64DA83AF" w14:textId="4ACC043A">
            <w:pPr>
              <w:spacing w:line="360" w:lineRule="auto"/>
              <w:rPr>
                <w:rFonts w:cs="Tahoma"/>
                <w:iCs/>
                <w:sz w:val="18"/>
                <w:szCs w:val="18"/>
                <w:lang w:eastAsia="es-ES"/>
              </w:rPr>
            </w:pPr>
            <w:r w:rsidRPr="00680522">
              <w:rPr>
                <w:rFonts w:cs="Tahoma"/>
                <w:iCs/>
                <w:sz w:val="18"/>
                <w:szCs w:val="18"/>
                <w:lang w:eastAsia="es-ES"/>
              </w:rPr>
              <w:t xml:space="preserve">3.- </w:t>
            </w:r>
            <w:r w:rsidRPr="00821B27">
              <w:rPr>
                <w:rFonts w:cs="Tahoma"/>
                <w:iCs/>
                <w:sz w:val="18"/>
                <w:szCs w:val="18"/>
                <w:lang w:eastAsia="es-ES"/>
              </w:rPr>
              <w:t xml:space="preserve">Cantidad recibida desglosada en ministraciones acorde al calendario aprobado por el </w:t>
            </w:r>
            <w:r w:rsidR="00593D9A">
              <w:rPr>
                <w:rFonts w:cs="Tahoma"/>
                <w:iCs/>
                <w:sz w:val="18"/>
                <w:szCs w:val="18"/>
                <w:lang w:eastAsia="es-ES"/>
              </w:rPr>
              <w:t>C</w:t>
            </w:r>
            <w:r w:rsidRPr="00821B27">
              <w:rPr>
                <w:rFonts w:cs="Tahoma"/>
                <w:iCs/>
                <w:sz w:val="18"/>
                <w:szCs w:val="18"/>
                <w:lang w:eastAsia="es-ES"/>
              </w:rPr>
              <w:t xml:space="preserve">onsejo </w:t>
            </w:r>
            <w:r w:rsidR="00593D9A">
              <w:rPr>
                <w:rFonts w:cs="Tahoma"/>
                <w:iCs/>
                <w:sz w:val="18"/>
                <w:szCs w:val="18"/>
                <w:lang w:eastAsia="es-ES"/>
              </w:rPr>
              <w:t>G</w:t>
            </w:r>
            <w:r w:rsidRPr="00821B27">
              <w:rPr>
                <w:rFonts w:cs="Tahoma"/>
                <w:iCs/>
                <w:sz w:val="18"/>
                <w:szCs w:val="18"/>
                <w:lang w:eastAsia="es-ES"/>
              </w:rPr>
              <w:t>eneral para el sostenimiento</w:t>
            </w:r>
            <w:r w:rsidRPr="00680522">
              <w:rPr>
                <w:rFonts w:cs="Tahoma"/>
                <w:iCs/>
                <w:sz w:val="18"/>
                <w:szCs w:val="18"/>
                <w:lang w:eastAsia="es-ES"/>
              </w:rPr>
              <w:t xml:space="preserve"> de actividades ordinarias y específicas</w:t>
            </w:r>
            <w:r w:rsidR="00593D9A">
              <w:rPr>
                <w:rFonts w:cs="Tahoma"/>
                <w:iCs/>
                <w:sz w:val="18"/>
                <w:szCs w:val="18"/>
                <w:lang w:eastAsia="es-ES"/>
              </w:rPr>
              <w:t xml:space="preserve">, </w:t>
            </w:r>
            <w:r w:rsidRPr="00680522">
              <w:rPr>
                <w:rFonts w:cs="Tahoma"/>
                <w:iCs/>
                <w:sz w:val="18"/>
                <w:szCs w:val="18"/>
                <w:lang w:eastAsia="es-ES"/>
              </w:rPr>
              <w:t xml:space="preserve">desglosado por actividad, estructura, sueldos, salarios, honorarios </w:t>
            </w:r>
            <w:r w:rsidR="00450C65">
              <w:rPr>
                <w:rFonts w:cs="Tahoma"/>
                <w:iCs/>
                <w:sz w:val="18"/>
                <w:szCs w:val="18"/>
                <w:lang w:eastAsia="es-ES"/>
              </w:rPr>
              <w:t>o</w:t>
            </w:r>
            <w:r w:rsidRPr="00680522">
              <w:rPr>
                <w:rFonts w:cs="Tahoma"/>
                <w:iCs/>
                <w:sz w:val="18"/>
                <w:szCs w:val="18"/>
                <w:lang w:eastAsia="es-ES"/>
              </w:rPr>
              <w:t xml:space="preserve"> cualquier otro tipo de retribución a partir del </w:t>
            </w:r>
            <w:r w:rsidR="00450C65">
              <w:rPr>
                <w:rFonts w:cs="Tahoma"/>
                <w:iCs/>
                <w:sz w:val="18"/>
                <w:szCs w:val="18"/>
                <w:lang w:eastAsia="es-ES"/>
              </w:rPr>
              <w:t>primero de septiembre al veintisiete de octubre de dos mil veintiuno.</w:t>
            </w:r>
          </w:p>
        </w:tc>
        <w:tc>
          <w:tcPr>
            <w:tcW w:w="2409" w:type="dxa"/>
          </w:tcPr>
          <w:p w:rsidRPr="00450C65" w:rsidR="009E77A0" w:rsidP="00450C65" w:rsidRDefault="00845C93" w14:paraId="2DFAAF36" w14:textId="00E0C562">
            <w:pPr>
              <w:spacing w:line="360" w:lineRule="auto"/>
              <w:rPr>
                <w:rFonts w:cs="Tahoma"/>
                <w:iCs/>
                <w:sz w:val="18"/>
                <w:szCs w:val="18"/>
              </w:rPr>
            </w:pPr>
            <w:r w:rsidRPr="00450C65">
              <w:rPr>
                <w:rFonts w:cs="Tahoma"/>
                <w:iCs/>
                <w:sz w:val="18"/>
                <w:szCs w:val="18"/>
                <w:lang w:val="es-MX"/>
              </w:rPr>
              <w:t xml:space="preserve">La información </w:t>
            </w:r>
            <w:r w:rsidR="00450C65">
              <w:rPr>
                <w:rFonts w:cs="Tahoma"/>
                <w:iCs/>
                <w:sz w:val="18"/>
                <w:szCs w:val="18"/>
                <w:lang w:val="es-MX"/>
              </w:rPr>
              <w:t>se encontraba</w:t>
            </w:r>
            <w:r w:rsidRPr="00450C65">
              <w:rPr>
                <w:rFonts w:cs="Tahoma"/>
                <w:iCs/>
                <w:sz w:val="18"/>
                <w:szCs w:val="18"/>
                <w:lang w:val="es-MX"/>
              </w:rPr>
              <w:t xml:space="preserve"> disponible</w:t>
            </w:r>
            <w:r w:rsidRPr="00450C65" w:rsidR="009B27D3">
              <w:rPr>
                <w:rFonts w:cs="Tahoma"/>
                <w:iCs/>
                <w:sz w:val="18"/>
                <w:szCs w:val="18"/>
                <w:lang w:val="es-MX"/>
              </w:rPr>
              <w:t xml:space="preserve"> en</w:t>
            </w:r>
            <w:r w:rsidR="00450C65">
              <w:rPr>
                <w:rFonts w:cs="Tahoma"/>
                <w:iCs/>
                <w:sz w:val="18"/>
                <w:szCs w:val="18"/>
                <w:lang w:val="es-MX"/>
              </w:rPr>
              <w:t xml:space="preserve"> la liga</w:t>
            </w:r>
            <w:r w:rsidRPr="00450C65">
              <w:rPr>
                <w:rFonts w:cs="Tahoma"/>
                <w:iCs/>
                <w:sz w:val="18"/>
                <w:szCs w:val="18"/>
                <w:lang w:val="es-MX"/>
              </w:rPr>
              <w:br/>
            </w:r>
            <w:hyperlink w:history="1" r:id="rId18">
              <w:r w:rsidRPr="00450C65" w:rsidR="00855EA9">
                <w:rPr>
                  <w:rStyle w:val="Hipervnculo"/>
                  <w:rFonts w:cs="Tahoma"/>
                  <w:iCs/>
                  <w:sz w:val="18"/>
                  <w:szCs w:val="18"/>
                </w:rPr>
                <w:t>https://www.ipomex.org.mx/ipo3/lgt/indice/PMCIU/art_100_xxiv_a/3.web</w:t>
              </w:r>
            </w:hyperlink>
            <w:r w:rsidRPr="00450C65" w:rsidR="00855EA9">
              <w:rPr>
                <w:rFonts w:cs="Tahoma"/>
                <w:iCs/>
                <w:sz w:val="18"/>
                <w:szCs w:val="18"/>
                <w:lang w:val="es-MX"/>
              </w:rPr>
              <w:t xml:space="preserve">. </w:t>
            </w:r>
          </w:p>
        </w:tc>
        <w:tc>
          <w:tcPr>
            <w:tcW w:w="2410" w:type="dxa"/>
          </w:tcPr>
          <w:p w:rsidR="00EA7F17" w:rsidP="00EA7F17" w:rsidRDefault="00926C89" w14:paraId="65803769" w14:textId="29174F00">
            <w:pPr>
              <w:spacing w:line="360" w:lineRule="auto"/>
              <w:rPr>
                <w:rFonts w:cs="Tahoma"/>
                <w:iCs/>
                <w:sz w:val="18"/>
                <w:szCs w:val="18"/>
              </w:rPr>
            </w:pPr>
            <w:r>
              <w:rPr>
                <w:rFonts w:cs="Tahoma"/>
                <w:iCs/>
                <w:sz w:val="18"/>
                <w:szCs w:val="18"/>
              </w:rPr>
              <w:t>El Particular se inconformó por la entrega de información que no corresponde con lo solicitado, lo cual actualiza la causal de procedencia, establecida en el artículo 179, fracción VI, de la Ley de la materia.</w:t>
            </w:r>
          </w:p>
          <w:p w:rsidRPr="00EA7F17" w:rsidR="00EA7F17" w:rsidP="00285F33" w:rsidRDefault="00EA7F17" w14:paraId="05206DE8" w14:textId="77F71436">
            <w:pPr>
              <w:spacing w:line="360" w:lineRule="auto"/>
              <w:rPr>
                <w:rFonts w:cs="Tahoma"/>
                <w:iCs/>
                <w:sz w:val="18"/>
                <w:szCs w:val="18"/>
              </w:rPr>
            </w:pPr>
          </w:p>
        </w:tc>
        <w:tc>
          <w:tcPr>
            <w:tcW w:w="2093" w:type="dxa"/>
          </w:tcPr>
          <w:p w:rsidR="001C28E2" w:rsidP="001C28E2" w:rsidRDefault="001C28E2" w14:paraId="5D4F418E" w14:textId="4492C16C">
            <w:pPr>
              <w:pStyle w:val="Prrafodelista"/>
              <w:numPr>
                <w:ilvl w:val="0"/>
                <w:numId w:val="29"/>
              </w:numPr>
              <w:spacing w:line="360" w:lineRule="auto"/>
              <w:ind w:left="182" w:hanging="102"/>
              <w:rPr>
                <w:rFonts w:cs="Tahoma"/>
                <w:iCs/>
                <w:sz w:val="18"/>
                <w:szCs w:val="18"/>
              </w:rPr>
            </w:pPr>
            <w:r>
              <w:rPr>
                <w:rFonts w:cs="Tahoma"/>
                <w:iCs/>
                <w:sz w:val="18"/>
                <w:szCs w:val="18"/>
              </w:rPr>
              <w:t xml:space="preserve">Se advierte que </w:t>
            </w:r>
            <w:r w:rsidRPr="001C28E2" w:rsidR="00AE335B">
              <w:rPr>
                <w:rFonts w:cs="Tahoma"/>
                <w:iCs/>
                <w:sz w:val="18"/>
                <w:szCs w:val="18"/>
              </w:rPr>
              <w:t>el recurrente, ampliación de la solicitud original</w:t>
            </w:r>
            <w:r>
              <w:rPr>
                <w:rFonts w:cs="Tahoma"/>
                <w:iCs/>
                <w:sz w:val="18"/>
                <w:szCs w:val="18"/>
              </w:rPr>
              <w:t>.</w:t>
            </w:r>
          </w:p>
          <w:p w:rsidR="001C28E2" w:rsidP="001C28E2" w:rsidRDefault="001C28E2" w14:paraId="4BC3A4CF" w14:textId="77777777">
            <w:pPr>
              <w:pStyle w:val="Prrafodelista"/>
              <w:spacing w:line="360" w:lineRule="auto"/>
              <w:ind w:left="182"/>
              <w:rPr>
                <w:rFonts w:cs="Tahoma"/>
                <w:iCs/>
                <w:sz w:val="18"/>
                <w:szCs w:val="18"/>
              </w:rPr>
            </w:pPr>
          </w:p>
          <w:p w:rsidRPr="001C28E2" w:rsidR="009E77A0" w:rsidP="001C28E2" w:rsidRDefault="001C28E2" w14:paraId="4825151A" w14:textId="7692D4AD">
            <w:pPr>
              <w:pStyle w:val="Prrafodelista"/>
              <w:numPr>
                <w:ilvl w:val="0"/>
                <w:numId w:val="29"/>
              </w:numPr>
              <w:spacing w:line="360" w:lineRule="auto"/>
              <w:ind w:left="182" w:hanging="102"/>
              <w:rPr>
                <w:rFonts w:cs="Tahoma"/>
                <w:iCs/>
                <w:sz w:val="18"/>
                <w:szCs w:val="18"/>
              </w:rPr>
            </w:pPr>
            <w:r>
              <w:rPr>
                <w:rFonts w:cs="Tahoma"/>
                <w:iCs/>
                <w:sz w:val="18"/>
                <w:szCs w:val="18"/>
              </w:rPr>
              <w:t xml:space="preserve">Ratifica su respuesta inicial. </w:t>
            </w:r>
          </w:p>
        </w:tc>
      </w:tr>
    </w:tbl>
    <w:p w:rsidRPr="0056069F" w:rsidR="00FF4067" w:rsidP="00FF4067" w:rsidRDefault="00FF4067" w14:paraId="632A11ED" w14:textId="77777777">
      <w:pPr>
        <w:autoSpaceDE w:val="0"/>
        <w:autoSpaceDN w:val="0"/>
        <w:adjustRightInd w:val="0"/>
        <w:spacing w:after="0" w:line="360" w:lineRule="auto"/>
        <w:rPr>
          <w:rFonts w:eastAsia="Calibri" w:cs="Tahoma"/>
          <w:iCs/>
          <w:color w:val="auto"/>
          <w:lang w:val="es-ES" w:eastAsia="es-ES_tradnl"/>
        </w:rPr>
      </w:pPr>
    </w:p>
    <w:p w:rsidR="00E174E7" w:rsidP="00FF4067" w:rsidRDefault="00B171DD" w14:paraId="0F1B8481" w14:textId="00DA36A1">
      <w:pPr>
        <w:autoSpaceDE w:val="0"/>
        <w:autoSpaceDN w:val="0"/>
        <w:adjustRightInd w:val="0"/>
        <w:spacing w:after="0" w:line="360" w:lineRule="auto"/>
        <w:rPr>
          <w:rFonts w:eastAsia="Calibri" w:cs="Tahoma"/>
          <w:bCs/>
          <w:iCs/>
          <w:color w:val="auto"/>
          <w:lang w:eastAsia="es-ES_tradnl"/>
        </w:rPr>
      </w:pPr>
      <w:r w:rsidRPr="0051394F">
        <w:rPr>
          <w:rFonts w:eastAsia="Calibri" w:cs="Tahoma"/>
          <w:bCs/>
          <w:iCs/>
          <w:color w:val="auto"/>
          <w:lang w:eastAsia="es-ES_tradnl"/>
        </w:rPr>
        <w:t xml:space="preserve">Posteriormente mediante el desahogo de un requerimiento de información adicional, </w:t>
      </w:r>
      <w:r w:rsidRPr="0051394F" w:rsidR="0051394F">
        <w:rPr>
          <w:rFonts w:eastAsia="Calibri" w:cs="Tahoma"/>
          <w:bCs/>
          <w:iCs/>
          <w:color w:val="auto"/>
          <w:lang w:eastAsia="es-ES_tradnl"/>
        </w:rPr>
        <w:t>el Sujeto Obligado</w:t>
      </w:r>
      <w:r w:rsidR="00E174E7">
        <w:rPr>
          <w:rFonts w:eastAsia="Calibri" w:cs="Tahoma"/>
          <w:bCs/>
          <w:iCs/>
          <w:color w:val="auto"/>
          <w:lang w:eastAsia="es-ES_tradnl"/>
        </w:rPr>
        <w:t xml:space="preserve">, </w:t>
      </w:r>
      <w:r w:rsidR="00780D63">
        <w:rPr>
          <w:rFonts w:eastAsia="Calibri" w:cs="Tahoma"/>
          <w:bCs/>
          <w:iCs/>
          <w:color w:val="auto"/>
          <w:lang w:eastAsia="es-ES_tradnl"/>
        </w:rPr>
        <w:t>preciso lo siguiente:</w:t>
      </w:r>
      <w:r w:rsidR="00D35540">
        <w:rPr>
          <w:rFonts w:eastAsia="Calibri" w:cs="Tahoma"/>
          <w:bCs/>
          <w:iCs/>
          <w:color w:val="auto"/>
          <w:lang w:eastAsia="es-ES_tradnl"/>
        </w:rPr>
        <w:t xml:space="preserve"> </w:t>
      </w:r>
    </w:p>
    <w:p w:rsidR="0056069F" w:rsidP="00FF4067" w:rsidRDefault="0056069F" w14:paraId="6223F443" w14:textId="77777777">
      <w:pPr>
        <w:autoSpaceDE w:val="0"/>
        <w:autoSpaceDN w:val="0"/>
        <w:adjustRightInd w:val="0"/>
        <w:spacing w:after="0" w:line="360" w:lineRule="auto"/>
        <w:rPr>
          <w:rFonts w:eastAsia="Calibri" w:cs="Tahoma"/>
          <w:iCs/>
          <w:color w:val="auto"/>
          <w:lang w:val="es-ES" w:eastAsia="es-ES_tradnl"/>
        </w:rPr>
      </w:pPr>
    </w:p>
    <w:p w:rsidRPr="00E1033B" w:rsidR="0051394F" w:rsidP="00823CBD" w:rsidRDefault="007F2EF1" w14:paraId="3507F0E9" w14:textId="680BD346">
      <w:pPr>
        <w:pStyle w:val="Prrafodelista"/>
        <w:numPr>
          <w:ilvl w:val="0"/>
          <w:numId w:val="45"/>
        </w:numPr>
        <w:autoSpaceDE w:val="0"/>
        <w:autoSpaceDN w:val="0"/>
        <w:adjustRightInd w:val="0"/>
        <w:spacing w:line="360" w:lineRule="auto"/>
        <w:rPr>
          <w:rFonts w:eastAsia="Calibri" w:cs="Tahoma"/>
          <w:iCs/>
          <w:color w:val="auto"/>
          <w:lang w:val="es-ES" w:eastAsia="es-ES_tradnl"/>
        </w:rPr>
      </w:pPr>
      <w:r>
        <w:rPr>
          <w:rFonts w:eastAsia="Calibri" w:cs="Tahoma"/>
          <w:iCs/>
          <w:color w:val="auto"/>
          <w:lang w:val="es-ES" w:eastAsia="es-ES_tradnl"/>
        </w:rPr>
        <w:t xml:space="preserve">Que </w:t>
      </w:r>
      <w:r w:rsidR="002E38E2">
        <w:rPr>
          <w:rFonts w:eastAsia="Calibri" w:cs="Tahoma"/>
          <w:iCs/>
          <w:color w:val="auto"/>
          <w:lang w:val="es-ES" w:eastAsia="es-ES_tradnl"/>
        </w:rPr>
        <w:t>la</w:t>
      </w:r>
      <w:r w:rsidRPr="002E38E2" w:rsidR="002E38E2">
        <w:rPr>
          <w:rFonts w:eastAsia="Calibri" w:cs="Tahoma"/>
          <w:iCs/>
          <w:color w:val="auto"/>
          <w:lang w:eastAsia="es-ES_tradnl"/>
        </w:rPr>
        <w:t xml:space="preserve"> empresa prestadora de servicios </w:t>
      </w:r>
      <w:r w:rsidR="00926C89">
        <w:rPr>
          <w:rFonts w:eastAsia="Calibri" w:cs="Tahoma"/>
          <w:iCs/>
          <w:color w:val="auto"/>
          <w:lang w:eastAsia="es-ES_tradnl"/>
        </w:rPr>
        <w:t>era</w:t>
      </w:r>
      <w:r w:rsidR="002E38E2">
        <w:rPr>
          <w:rFonts w:eastAsia="Calibri" w:cs="Tahoma"/>
          <w:iCs/>
          <w:color w:val="auto"/>
          <w:lang w:eastAsia="es-ES_tradnl"/>
        </w:rPr>
        <w:t xml:space="preserve"> </w:t>
      </w:r>
      <w:r w:rsidRPr="002E38E2" w:rsidR="002E38E2">
        <w:rPr>
          <w:rFonts w:eastAsia="Calibri" w:cs="Tahoma"/>
          <w:bCs/>
          <w:iCs/>
          <w:color w:val="auto"/>
          <w:lang w:eastAsia="es-ES_tradnl"/>
        </w:rPr>
        <w:t>Servicios de Inteligencia Corporativa, S.R.L. de C.V</w:t>
      </w:r>
      <w:r w:rsidR="002E38E2">
        <w:rPr>
          <w:rFonts w:eastAsia="Calibri" w:cs="Tahoma"/>
          <w:bCs/>
          <w:iCs/>
          <w:color w:val="auto"/>
          <w:lang w:eastAsia="es-ES_tradnl"/>
        </w:rPr>
        <w:t xml:space="preserve">. </w:t>
      </w:r>
    </w:p>
    <w:p w:rsidRPr="00780D63" w:rsidR="00E1033B" w:rsidP="00E1033B" w:rsidRDefault="00E1033B" w14:paraId="6525839E" w14:textId="77777777">
      <w:pPr>
        <w:pStyle w:val="Prrafodelista"/>
        <w:autoSpaceDE w:val="0"/>
        <w:autoSpaceDN w:val="0"/>
        <w:adjustRightInd w:val="0"/>
        <w:spacing w:line="360" w:lineRule="auto"/>
        <w:rPr>
          <w:rFonts w:eastAsia="Calibri" w:cs="Tahoma"/>
          <w:iCs/>
          <w:color w:val="auto"/>
          <w:lang w:val="es-ES" w:eastAsia="es-ES_tradnl"/>
        </w:rPr>
      </w:pPr>
    </w:p>
    <w:p w:rsidRPr="000B0A93" w:rsidR="0051394F" w:rsidP="00234E78" w:rsidRDefault="00E1033B" w14:paraId="21E04C04" w14:textId="608258BB">
      <w:pPr>
        <w:pStyle w:val="Prrafodelista"/>
        <w:numPr>
          <w:ilvl w:val="0"/>
          <w:numId w:val="45"/>
        </w:numPr>
        <w:autoSpaceDE w:val="0"/>
        <w:autoSpaceDN w:val="0"/>
        <w:adjustRightInd w:val="0"/>
        <w:spacing w:line="360" w:lineRule="auto"/>
        <w:rPr>
          <w:rFonts w:eastAsia="Calibri" w:cs="Tahoma"/>
          <w:iCs/>
          <w:color w:val="auto"/>
          <w:lang w:val="es-ES" w:eastAsia="es-ES_tradnl"/>
        </w:rPr>
      </w:pPr>
      <w:r w:rsidRPr="000B0A93">
        <w:rPr>
          <w:rFonts w:eastAsia="Calibri" w:cs="Tahoma"/>
          <w:iCs/>
          <w:color w:val="auto"/>
          <w:lang w:val="es-ES" w:eastAsia="es-ES_tradnl"/>
        </w:rPr>
        <w:t>Que no todo el personal que labora</w:t>
      </w:r>
      <w:r w:rsidR="00926C89">
        <w:rPr>
          <w:rFonts w:eastAsia="Calibri" w:cs="Tahoma"/>
          <w:iCs/>
          <w:color w:val="auto"/>
          <w:lang w:val="es-ES" w:eastAsia="es-ES_tradnl"/>
        </w:rPr>
        <w:t>ba</w:t>
      </w:r>
      <w:r w:rsidRPr="000B0A93">
        <w:rPr>
          <w:rFonts w:eastAsia="Calibri" w:cs="Tahoma"/>
          <w:iCs/>
          <w:color w:val="auto"/>
          <w:lang w:val="es-ES" w:eastAsia="es-ES_tradnl"/>
        </w:rPr>
        <w:t xml:space="preserve"> en el Sujeto Obligado </w:t>
      </w:r>
      <w:r w:rsidR="00926C89">
        <w:rPr>
          <w:rFonts w:eastAsia="Calibri" w:cs="Tahoma"/>
          <w:iCs/>
          <w:color w:val="auto"/>
          <w:lang w:val="es-ES" w:eastAsia="es-ES_tradnl"/>
        </w:rPr>
        <w:t>era</w:t>
      </w:r>
      <w:r w:rsidRPr="000B0A93">
        <w:rPr>
          <w:rFonts w:eastAsia="Calibri" w:cs="Tahoma"/>
          <w:iCs/>
          <w:color w:val="auto"/>
          <w:lang w:val="es-ES" w:eastAsia="es-ES_tradnl"/>
        </w:rPr>
        <w:t xml:space="preserve"> contratado bajo el régimen </w:t>
      </w:r>
      <w:r w:rsidRPr="000B0A93">
        <w:rPr>
          <w:rFonts w:eastAsia="Calibri" w:cs="Tahoma"/>
          <w:iCs/>
          <w:color w:val="auto"/>
          <w:lang w:eastAsia="es-ES_tradnl"/>
        </w:rPr>
        <w:t>subcontratación de servicios especializados</w:t>
      </w:r>
      <w:r w:rsidR="00926C89">
        <w:rPr>
          <w:rFonts w:eastAsia="Calibri" w:cs="Tahoma"/>
          <w:iCs/>
          <w:color w:val="auto"/>
          <w:lang w:eastAsia="es-ES_tradnl"/>
        </w:rPr>
        <w:t>, pues sus puestos eran honoríficos;</w:t>
      </w:r>
    </w:p>
    <w:p w:rsidRPr="000B0A93" w:rsidR="000B0A93" w:rsidP="000B0A93" w:rsidRDefault="000B0A93" w14:paraId="7B6086FA" w14:textId="77777777">
      <w:pPr>
        <w:pStyle w:val="Prrafodelista"/>
        <w:rPr>
          <w:rFonts w:eastAsia="Calibri" w:cs="Tahoma"/>
          <w:iCs/>
          <w:color w:val="auto"/>
          <w:lang w:val="es-ES" w:eastAsia="es-ES_tradnl"/>
        </w:rPr>
      </w:pPr>
    </w:p>
    <w:p w:rsidRPr="000B0A93" w:rsidR="000B0A93" w:rsidP="00234E78" w:rsidRDefault="00926C89" w14:paraId="58B6E448" w14:textId="7D337DA0">
      <w:pPr>
        <w:pStyle w:val="Prrafodelista"/>
        <w:numPr>
          <w:ilvl w:val="0"/>
          <w:numId w:val="45"/>
        </w:numPr>
        <w:autoSpaceDE w:val="0"/>
        <w:autoSpaceDN w:val="0"/>
        <w:adjustRightInd w:val="0"/>
        <w:spacing w:line="360" w:lineRule="auto"/>
        <w:rPr>
          <w:rFonts w:eastAsia="Calibri" w:cs="Tahoma"/>
          <w:iCs/>
          <w:color w:val="auto"/>
          <w:lang w:val="es-ES" w:eastAsia="es-ES_tradnl"/>
        </w:rPr>
      </w:pPr>
      <w:r>
        <w:rPr>
          <w:rFonts w:eastAsia="Calibri" w:cs="Tahoma"/>
          <w:iCs/>
          <w:color w:val="auto"/>
          <w:lang w:val="es-ES" w:eastAsia="es-ES_tradnl"/>
        </w:rPr>
        <w:lastRenderedPageBreak/>
        <w:t xml:space="preserve">Proporcionó una relación con los puestos honoríficos </w:t>
      </w:r>
      <w:r w:rsidR="000F4529">
        <w:rPr>
          <w:rFonts w:eastAsia="Calibri" w:cs="Tahoma"/>
          <w:iCs/>
          <w:color w:val="auto"/>
          <w:lang w:val="es-ES" w:eastAsia="es-ES_tradnl"/>
        </w:rPr>
        <w:t>y el documento “Nómina Personal periodo del 1 al 31 de marzo de 2021”.</w:t>
      </w:r>
    </w:p>
    <w:p w:rsidR="00DA2335" w:rsidP="00FF4067" w:rsidRDefault="00DA2335" w14:paraId="2F1103D8" w14:textId="77777777">
      <w:pPr>
        <w:autoSpaceDE w:val="0"/>
        <w:autoSpaceDN w:val="0"/>
        <w:adjustRightInd w:val="0"/>
        <w:spacing w:after="0" w:line="360" w:lineRule="auto"/>
        <w:rPr>
          <w:rFonts w:eastAsia="Calibri" w:cs="Tahoma"/>
          <w:iCs/>
          <w:color w:val="auto"/>
          <w:lang w:val="es-ES" w:eastAsia="es-ES_tradnl"/>
        </w:rPr>
      </w:pPr>
    </w:p>
    <w:p w:rsidR="00FF4067" w:rsidP="00FF4067" w:rsidRDefault="00FF4067" w14:paraId="632A11EE" w14:textId="44039698">
      <w:pPr>
        <w:spacing w:after="0" w:line="360" w:lineRule="auto"/>
      </w:pPr>
      <w:r w:rsidRPr="00B377FD">
        <w:t xml:space="preserve">Lo anterior, se desprende de las documentales que obran en el expediente de referencia, materia de la presente Resolución, consistentes en: la solicitud de acceso a </w:t>
      </w:r>
      <w:r>
        <w:t xml:space="preserve">la información; la respuesta del Sujeto Obligado; </w:t>
      </w:r>
      <w:r w:rsidRPr="00B377FD">
        <w:rPr>
          <w:bCs/>
        </w:rPr>
        <w:t xml:space="preserve">el </w:t>
      </w:r>
      <w:r w:rsidRPr="00B377FD">
        <w:t xml:space="preserve">escrito </w:t>
      </w:r>
      <w:proofErr w:type="spellStart"/>
      <w:r w:rsidRPr="00B377FD">
        <w:t>recursal</w:t>
      </w:r>
      <w:proofErr w:type="spellEnd"/>
      <w:r>
        <w:t xml:space="preserve"> y</w:t>
      </w:r>
      <w:r w:rsidRPr="00B377FD">
        <w:t xml:space="preserve"> </w:t>
      </w:r>
      <w:r>
        <w:t xml:space="preserve">el Informe Justificado </w:t>
      </w:r>
      <w:r w:rsidRPr="00F66CE7" w:rsidR="00F66CE7">
        <w:rPr>
          <w:bCs/>
          <w:iCs/>
        </w:rPr>
        <w:t>y el desahogo del requerimiento de información adicional</w:t>
      </w:r>
      <w:r>
        <w:t xml:space="preserve">, </w:t>
      </w:r>
      <w:r w:rsidRPr="00B377FD">
        <w:t>instrumentales que se toman en cuenta a efecto de resolver el presente medio de impugnación, conforme a lo dispuesto por el artículo 185, fracción IV, de la Ley de Transparencia y Acceso a la Información Pública del Estado de México y Municipios.</w:t>
      </w:r>
    </w:p>
    <w:p w:rsidRPr="00B377FD" w:rsidR="00FF4067" w:rsidP="00FF4067" w:rsidRDefault="00FF4067" w14:paraId="632A11EF" w14:textId="77777777">
      <w:pPr>
        <w:spacing w:after="0" w:line="360" w:lineRule="auto"/>
      </w:pPr>
    </w:p>
    <w:p w:rsidRPr="00B377FD" w:rsidR="00FF4067" w:rsidP="00FF4067" w:rsidRDefault="00FF4067" w14:paraId="632A11F0" w14:textId="77777777">
      <w:pPr>
        <w:spacing w:after="0" w:line="360" w:lineRule="auto"/>
        <w:rPr>
          <w:rFonts w:eastAsia="Times New Roman" w:cs="Tahoma"/>
          <w:b/>
          <w:bCs/>
          <w:iCs/>
          <w:color w:val="auto"/>
          <w:lang w:eastAsia="es-ES"/>
        </w:rPr>
      </w:pPr>
      <w:r w:rsidRPr="00B377FD">
        <w:rPr>
          <w:rFonts w:eastAsia="Times New Roman" w:cs="Tahoma"/>
          <w:b/>
          <w:bCs/>
          <w:iCs/>
          <w:color w:val="auto"/>
          <w:lang w:val="es-ES" w:eastAsia="es-ES"/>
        </w:rPr>
        <w:t xml:space="preserve">CUARTO. </w:t>
      </w:r>
      <w:r w:rsidRPr="00B377FD">
        <w:rPr>
          <w:rFonts w:eastAsia="Times New Roman" w:cs="Tahoma"/>
          <w:b/>
          <w:bCs/>
          <w:iCs/>
          <w:color w:val="auto"/>
          <w:lang w:eastAsia="es-ES"/>
        </w:rPr>
        <w:t>Marco normativo aplicable en materia de transparencia y acceso a la información pública.</w:t>
      </w:r>
    </w:p>
    <w:p w:rsidRPr="00B377FD" w:rsidR="00FF4067" w:rsidP="00FF4067" w:rsidRDefault="00FF4067" w14:paraId="632A11F1" w14:textId="77777777">
      <w:pPr>
        <w:spacing w:after="0" w:line="360" w:lineRule="auto"/>
        <w:rPr>
          <w:rFonts w:eastAsia="Times New Roman" w:cs="Tahoma"/>
          <w:b/>
          <w:bCs/>
          <w:iCs/>
          <w:color w:val="auto"/>
          <w:lang w:eastAsia="es-ES"/>
        </w:rPr>
      </w:pPr>
    </w:p>
    <w:p w:rsidRPr="00B377FD" w:rsidR="00FF4067" w:rsidP="00FF4067" w:rsidRDefault="00FF4067" w14:paraId="632A11F2" w14:textId="77777777">
      <w:pPr>
        <w:spacing w:after="0" w:line="360" w:lineRule="auto"/>
        <w:rPr>
          <w:rFonts w:eastAsia="Times New Roman" w:cs="Tahoma"/>
          <w:bCs/>
          <w:iCs/>
          <w:color w:val="auto"/>
          <w:lang w:eastAsia="es-ES"/>
        </w:rPr>
      </w:pPr>
      <w:r w:rsidRPr="00B377FD">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B377FD" w:rsidR="00FF4067" w:rsidP="00FF4067" w:rsidRDefault="00FF4067" w14:paraId="632A11F3" w14:textId="77777777">
      <w:pPr>
        <w:spacing w:after="0" w:line="360" w:lineRule="auto"/>
        <w:rPr>
          <w:rFonts w:eastAsia="Times New Roman" w:cs="Tahoma"/>
          <w:bCs/>
          <w:iCs/>
          <w:color w:val="auto"/>
          <w:lang w:eastAsia="es-ES"/>
        </w:rPr>
      </w:pPr>
    </w:p>
    <w:p w:rsidRPr="00B377FD" w:rsidR="00FF4067" w:rsidP="00FF4067" w:rsidRDefault="00FF4067" w14:paraId="632A11F4" w14:textId="77777777">
      <w:pPr>
        <w:spacing w:after="0" w:line="360" w:lineRule="auto"/>
        <w:rPr>
          <w:rFonts w:eastAsia="Times New Roman" w:cs="Tahoma"/>
          <w:bCs/>
          <w:iCs/>
          <w:color w:val="auto"/>
          <w:lang w:eastAsia="es-ES"/>
        </w:rPr>
      </w:pPr>
      <w:r w:rsidRPr="00B377FD">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B377FD" w:rsidR="00FF4067" w:rsidP="00FF4067" w:rsidRDefault="00FF4067" w14:paraId="632A11F5" w14:textId="77777777">
      <w:pPr>
        <w:spacing w:after="0" w:line="360" w:lineRule="auto"/>
        <w:rPr>
          <w:rFonts w:eastAsia="Times New Roman" w:cs="Tahoma"/>
          <w:bCs/>
          <w:iCs/>
          <w:color w:val="auto"/>
          <w:lang w:eastAsia="es-ES"/>
        </w:rPr>
      </w:pPr>
    </w:p>
    <w:p w:rsidRPr="00B377FD" w:rsidR="00FF4067" w:rsidP="00FF4067" w:rsidRDefault="00FF4067" w14:paraId="632A11F6" w14:textId="77777777">
      <w:pPr>
        <w:spacing w:after="0" w:line="360" w:lineRule="auto"/>
        <w:rPr>
          <w:rFonts w:eastAsia="Times New Roman" w:cs="Tahoma"/>
          <w:bCs/>
          <w:iCs/>
          <w:color w:val="auto"/>
          <w:lang w:eastAsia="es-ES"/>
        </w:rPr>
      </w:pPr>
      <w:r w:rsidRPr="00B377FD">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B377FD" w:rsidR="00FF4067" w:rsidP="00FF4067" w:rsidRDefault="00FF4067" w14:paraId="632A11F7" w14:textId="77777777">
      <w:pPr>
        <w:spacing w:after="0" w:line="360" w:lineRule="auto"/>
        <w:rPr>
          <w:rFonts w:eastAsia="Times New Roman" w:cs="Tahoma"/>
          <w:bCs/>
          <w:iCs/>
          <w:color w:val="auto"/>
          <w:lang w:eastAsia="es-ES"/>
        </w:rPr>
      </w:pPr>
    </w:p>
    <w:p w:rsidRPr="00B377FD" w:rsidR="00FF4067" w:rsidP="00FF4067" w:rsidRDefault="00FF4067" w14:paraId="632A11F8" w14:textId="77777777">
      <w:pPr>
        <w:spacing w:after="0" w:line="360" w:lineRule="auto"/>
        <w:rPr>
          <w:rFonts w:eastAsia="Times New Roman" w:cs="Tahoma"/>
          <w:bCs/>
          <w:iCs/>
          <w:color w:val="auto"/>
          <w:lang w:eastAsia="es-ES"/>
        </w:rPr>
      </w:pPr>
      <w:r w:rsidRPr="00B377FD">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rsidRPr="00B377FD" w:rsidR="00FF4067" w:rsidP="00FF4067" w:rsidRDefault="00FF4067" w14:paraId="632A11F9" w14:textId="77777777">
      <w:pPr>
        <w:spacing w:after="0" w:line="360" w:lineRule="auto"/>
        <w:rPr>
          <w:rFonts w:eastAsia="Times New Roman" w:cs="Tahoma"/>
          <w:bCs/>
          <w:iCs/>
          <w:color w:val="auto"/>
          <w:lang w:eastAsia="es-ES"/>
        </w:rPr>
      </w:pPr>
    </w:p>
    <w:p w:rsidRPr="00B377FD" w:rsidR="00FF4067" w:rsidP="00FF4067" w:rsidRDefault="00FF4067" w14:paraId="632A11FA" w14:textId="77777777">
      <w:pPr>
        <w:spacing w:after="0" w:line="360" w:lineRule="auto"/>
        <w:rPr>
          <w:rFonts w:eastAsia="Times New Roman" w:cs="Tahoma"/>
          <w:bCs/>
          <w:iCs/>
          <w:color w:val="auto"/>
          <w:lang w:eastAsia="es-ES"/>
        </w:rPr>
      </w:pPr>
      <w:r w:rsidRPr="00B377FD">
        <w:rPr>
          <w:rFonts w:eastAsia="Times New Roman" w:cs="Tahoma"/>
          <w:bCs/>
          <w:iCs/>
          <w:color w:val="auto"/>
          <w:lang w:eastAsia="es-ES"/>
        </w:rPr>
        <w:t>El artículo 12, que, quienes generen, recopilen, administren, manejen, procesen, archiven o conserven información pública serán responsables de la misma.</w:t>
      </w:r>
    </w:p>
    <w:p w:rsidRPr="00B377FD" w:rsidR="00FF4067" w:rsidP="00FF4067" w:rsidRDefault="00FF4067" w14:paraId="632A11FB" w14:textId="77777777">
      <w:pPr>
        <w:spacing w:after="0" w:line="360" w:lineRule="auto"/>
        <w:rPr>
          <w:rFonts w:eastAsia="Times New Roman" w:cs="Tahoma"/>
          <w:bCs/>
          <w:iCs/>
          <w:color w:val="auto"/>
          <w:lang w:eastAsia="es-ES"/>
        </w:rPr>
      </w:pPr>
    </w:p>
    <w:p w:rsidRPr="00B377FD" w:rsidR="00FF4067" w:rsidP="00FF4067" w:rsidRDefault="00FF4067" w14:paraId="632A11FC" w14:textId="77777777">
      <w:pPr>
        <w:spacing w:after="0" w:line="360" w:lineRule="auto"/>
        <w:rPr>
          <w:rFonts w:eastAsia="Times New Roman" w:cs="Tahoma"/>
          <w:bCs/>
          <w:iCs/>
          <w:color w:val="auto"/>
          <w:lang w:eastAsia="es-ES"/>
        </w:rPr>
      </w:pPr>
      <w:r w:rsidRPr="00B377FD">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rsidRPr="00B377FD" w:rsidR="00FF4067" w:rsidP="00FF4067" w:rsidRDefault="00FF4067" w14:paraId="632A11FD" w14:textId="77777777">
      <w:pPr>
        <w:spacing w:after="0" w:line="360" w:lineRule="auto"/>
        <w:rPr>
          <w:rFonts w:eastAsia="Times New Roman" w:cs="Tahoma"/>
          <w:bCs/>
          <w:iCs/>
          <w:color w:val="auto"/>
          <w:lang w:eastAsia="es-ES"/>
        </w:rPr>
      </w:pPr>
    </w:p>
    <w:p w:rsidRPr="00B377FD" w:rsidR="00FF4067" w:rsidP="00FF4067" w:rsidRDefault="00FF4067" w14:paraId="632A11FE" w14:textId="77777777">
      <w:pPr>
        <w:spacing w:after="0" w:line="360" w:lineRule="auto"/>
        <w:rPr>
          <w:rFonts w:eastAsia="Times New Roman" w:cs="Tahoma"/>
          <w:bCs/>
          <w:iCs/>
          <w:color w:val="auto"/>
          <w:lang w:eastAsia="es-ES"/>
        </w:rPr>
      </w:pPr>
      <w:r w:rsidRPr="00B377FD">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B377FD" w:rsidR="00FF4067" w:rsidP="00FF4067" w:rsidRDefault="00FF4067" w14:paraId="632A1201" w14:textId="77777777">
      <w:pPr>
        <w:spacing w:after="0" w:line="360" w:lineRule="auto"/>
        <w:rPr>
          <w:rFonts w:eastAsia="Times New Roman" w:cs="Tahoma"/>
          <w:b/>
          <w:bCs/>
          <w:iCs/>
          <w:color w:val="auto"/>
          <w:lang w:val="es-ES" w:eastAsia="es-ES"/>
        </w:rPr>
      </w:pPr>
    </w:p>
    <w:p w:rsidR="00FF4067" w:rsidP="00FF4067" w:rsidRDefault="00FF4067" w14:paraId="632A1202" w14:textId="77777777">
      <w:pPr>
        <w:spacing w:after="0" w:line="360" w:lineRule="auto"/>
        <w:rPr>
          <w:rFonts w:eastAsia="Times New Roman" w:cs="Tahoma"/>
          <w:b/>
          <w:bCs/>
          <w:iCs/>
          <w:color w:val="auto"/>
          <w:lang w:val="es-ES" w:eastAsia="es-ES"/>
        </w:rPr>
      </w:pPr>
      <w:r w:rsidRPr="000F4529">
        <w:rPr>
          <w:rFonts w:eastAsia="Times New Roman" w:cs="Tahoma"/>
          <w:b/>
          <w:bCs/>
          <w:iCs/>
          <w:color w:val="auto"/>
          <w:lang w:val="es-ES" w:eastAsia="es-ES"/>
        </w:rPr>
        <w:t>Quinto. Estudio de Fondo.</w:t>
      </w:r>
    </w:p>
    <w:p w:rsidR="00FF4067" w:rsidP="00FF4067" w:rsidRDefault="00FF4067" w14:paraId="632A1203" w14:textId="77777777">
      <w:pPr>
        <w:spacing w:after="0" w:line="360" w:lineRule="auto"/>
        <w:rPr>
          <w:rFonts w:eastAsia="Times New Roman" w:cs="Tahoma"/>
          <w:iCs/>
          <w:color w:val="auto"/>
          <w:lang w:val="es-ES" w:eastAsia="es-ES"/>
        </w:rPr>
      </w:pPr>
    </w:p>
    <w:p w:rsidR="00797B48" w:rsidP="00797B48" w:rsidRDefault="00797B48" w14:paraId="774FECC0" w14:textId="64DFF46A">
      <w:pPr>
        <w:spacing w:after="0" w:line="360" w:lineRule="auto"/>
        <w:rPr>
          <w:rFonts w:eastAsia="Times New Roman" w:cs="Tahoma"/>
          <w:bCs/>
          <w:iCs/>
          <w:color w:val="auto"/>
          <w:lang w:eastAsia="es-ES"/>
        </w:rPr>
      </w:pPr>
      <w:r w:rsidRPr="00797B48">
        <w:rPr>
          <w:rFonts w:eastAsia="Times New Roman" w:cs="Tahoma"/>
          <w:bCs/>
          <w:iCs/>
          <w:color w:val="auto"/>
          <w:lang w:eastAsia="es-ES"/>
        </w:rPr>
        <w:t>Integradas las constancias que obran el expediente eléctrico de referencia y una vez expuestas las posturas de las partes, se procede a analizar los agravios hechos valer por el hoy Recurrente, referente a la entrega de información</w:t>
      </w:r>
      <w:r>
        <w:rPr>
          <w:rFonts w:eastAsia="Times New Roman" w:cs="Tahoma"/>
          <w:bCs/>
          <w:iCs/>
          <w:color w:val="auto"/>
          <w:lang w:eastAsia="es-ES"/>
        </w:rPr>
        <w:t xml:space="preserve"> que no corresponde con lo solicitado, </w:t>
      </w:r>
      <w:r w:rsidR="0059192A">
        <w:rPr>
          <w:rFonts w:eastAsia="Times New Roman" w:cs="Tahoma"/>
          <w:bCs/>
          <w:iCs/>
          <w:color w:val="auto"/>
          <w:lang w:eastAsia="es-ES"/>
        </w:rPr>
        <w:t xml:space="preserve">por lo </w:t>
      </w:r>
      <w:r w:rsidR="005E7D5F">
        <w:rPr>
          <w:rFonts w:eastAsia="Times New Roman" w:cs="Tahoma"/>
          <w:bCs/>
          <w:iCs/>
          <w:color w:val="auto"/>
          <w:lang w:eastAsia="es-ES"/>
        </w:rPr>
        <w:t>que se analizará la respuesta entregada por el Sujeto Obligado, por cada punto solicitado.</w:t>
      </w:r>
    </w:p>
    <w:p w:rsidR="00561F06" w:rsidP="00797B48" w:rsidRDefault="00561F06" w14:paraId="5201FC4C" w14:textId="77777777">
      <w:pPr>
        <w:spacing w:after="0" w:line="360" w:lineRule="auto"/>
        <w:rPr>
          <w:rFonts w:eastAsia="Times New Roman" w:cs="Tahoma"/>
          <w:bCs/>
          <w:iCs/>
          <w:color w:val="auto"/>
          <w:lang w:eastAsia="es-ES"/>
        </w:rPr>
      </w:pPr>
    </w:p>
    <w:p w:rsidR="00DB0866" w:rsidP="00797B48" w:rsidRDefault="00E163EC" w14:paraId="6722AE19" w14:textId="2F2A7461">
      <w:pPr>
        <w:pStyle w:val="Prrafodelista"/>
        <w:numPr>
          <w:ilvl w:val="0"/>
          <w:numId w:val="30"/>
        </w:numPr>
        <w:spacing w:line="360" w:lineRule="auto"/>
        <w:rPr>
          <w:rFonts w:cs="Tahoma"/>
          <w:iCs/>
          <w:color w:val="auto"/>
        </w:rPr>
      </w:pPr>
      <w:r w:rsidRPr="00D775B4">
        <w:rPr>
          <w:rFonts w:cs="Tahoma"/>
          <w:iCs/>
          <w:color w:val="auto"/>
        </w:rPr>
        <w:t>C</w:t>
      </w:r>
      <w:r w:rsidRPr="00D775B4" w:rsidR="00DB0866">
        <w:rPr>
          <w:rFonts w:cs="Tahoma"/>
          <w:iCs/>
          <w:color w:val="auto"/>
        </w:rPr>
        <w:t xml:space="preserve">omprobantes </w:t>
      </w:r>
      <w:r w:rsidR="005E7D5F">
        <w:rPr>
          <w:rFonts w:cs="Tahoma"/>
          <w:iCs/>
          <w:color w:val="auto"/>
        </w:rPr>
        <w:t>de remuneraciones</w:t>
      </w:r>
      <w:r w:rsidRPr="00D775B4" w:rsidR="00E028A4">
        <w:rPr>
          <w:rFonts w:cs="Tahoma"/>
          <w:iCs/>
          <w:color w:val="auto"/>
        </w:rPr>
        <w:t xml:space="preserve">, del primero de enero al </w:t>
      </w:r>
      <w:r w:rsidRPr="00D775B4" w:rsidR="00D775B4">
        <w:rPr>
          <w:rFonts w:cs="Tahoma"/>
          <w:iCs/>
          <w:color w:val="auto"/>
        </w:rPr>
        <w:t>veintisiete de octubre</w:t>
      </w:r>
      <w:r w:rsidR="005E7D5F">
        <w:rPr>
          <w:rFonts w:cs="Tahoma"/>
          <w:iCs/>
          <w:color w:val="auto"/>
        </w:rPr>
        <w:t xml:space="preserve"> </w:t>
      </w:r>
      <w:r w:rsidRPr="00D775B4" w:rsidR="00D775B4">
        <w:rPr>
          <w:rFonts w:cs="Tahoma"/>
          <w:iCs/>
          <w:color w:val="auto"/>
        </w:rPr>
        <w:t xml:space="preserve">de dos mil veintiuno. </w:t>
      </w:r>
    </w:p>
    <w:p w:rsidR="005137B6" w:rsidP="005137B6" w:rsidRDefault="005137B6" w14:paraId="783D8AEE" w14:textId="77777777">
      <w:pPr>
        <w:pStyle w:val="Prrafodelista"/>
        <w:spacing w:line="360" w:lineRule="auto"/>
        <w:rPr>
          <w:rFonts w:cs="Tahoma"/>
          <w:iCs/>
          <w:color w:val="auto"/>
        </w:rPr>
      </w:pPr>
    </w:p>
    <w:p w:rsidR="006A67C1" w:rsidP="005E7D5F" w:rsidRDefault="005E7D5F" w14:paraId="4D16804E" w14:textId="1DEB3644">
      <w:pPr>
        <w:pStyle w:val="Prrafodelista"/>
        <w:numPr>
          <w:ilvl w:val="0"/>
          <w:numId w:val="30"/>
        </w:numPr>
        <w:spacing w:line="360" w:lineRule="auto"/>
        <w:rPr>
          <w:rFonts w:cs="Tahoma"/>
          <w:iCs/>
          <w:color w:val="auto"/>
        </w:rPr>
      </w:pPr>
      <w:r>
        <w:rPr>
          <w:rFonts w:cs="Tahoma"/>
          <w:iCs/>
          <w:color w:val="auto"/>
        </w:rPr>
        <w:lastRenderedPageBreak/>
        <w:t>Monto</w:t>
      </w:r>
      <w:r w:rsidRPr="005E7D5F">
        <w:rPr>
          <w:rFonts w:cs="Tahoma"/>
          <w:iCs/>
          <w:color w:val="auto"/>
        </w:rPr>
        <w:t xml:space="preserve"> total de financiamiento público destinado para el sostenimiento de actividades ordinarias permanentes y actividades específicas para </w:t>
      </w:r>
      <w:r>
        <w:rPr>
          <w:rFonts w:cs="Tahoma"/>
          <w:iCs/>
          <w:color w:val="auto"/>
        </w:rPr>
        <w:t>el pago de</w:t>
      </w:r>
      <w:r w:rsidRPr="005E7D5F">
        <w:rPr>
          <w:rFonts w:cs="Tahoma"/>
          <w:iCs/>
          <w:color w:val="auto"/>
        </w:rPr>
        <w:t xml:space="preserve"> sueldos, salarios, honorarios o cualquier otra retribución para personal del Partido Político, del cuatro de septiembre al veintisiete de octubre de dos mil veintiuno.</w:t>
      </w:r>
    </w:p>
    <w:p w:rsidR="005E7D5F" w:rsidP="006A67C1" w:rsidRDefault="005E7D5F" w14:paraId="527E1F2F" w14:textId="77777777">
      <w:pPr>
        <w:pStyle w:val="Prrafodelista"/>
        <w:spacing w:line="360" w:lineRule="auto"/>
        <w:rPr>
          <w:rFonts w:cs="Tahoma"/>
          <w:iCs/>
          <w:color w:val="auto"/>
        </w:rPr>
      </w:pPr>
    </w:p>
    <w:p w:rsidRPr="005E7D5F" w:rsidR="005137B6" w:rsidP="005E7D5F" w:rsidRDefault="005E7D5F" w14:paraId="1B9E957F" w14:textId="7B380BB0">
      <w:pPr>
        <w:pStyle w:val="Prrafodelista"/>
        <w:numPr>
          <w:ilvl w:val="0"/>
          <w:numId w:val="30"/>
        </w:numPr>
        <w:spacing w:line="360" w:lineRule="auto"/>
        <w:rPr>
          <w:rFonts w:cs="Tahoma"/>
          <w:bCs/>
          <w:iCs/>
          <w:color w:val="auto"/>
        </w:rPr>
      </w:pPr>
      <w:r w:rsidRPr="005E7D5F">
        <w:rPr>
          <w:rFonts w:cs="Tahoma"/>
          <w:iCs/>
          <w:color w:val="auto"/>
        </w:rPr>
        <w:t xml:space="preserve">Cantidad recibida desglosada en ministraciones acorde al calendario aprobado por el Consejo General para el sostenimiento de actividades ordinarias y específicas, desglosado por </w:t>
      </w:r>
      <w:r>
        <w:rPr>
          <w:rFonts w:cs="Tahoma"/>
          <w:iCs/>
          <w:color w:val="auto"/>
        </w:rPr>
        <w:t>concepto de utilización,</w:t>
      </w:r>
      <w:r w:rsidRPr="005E7D5F">
        <w:rPr>
          <w:rFonts w:cs="Tahoma"/>
          <w:iCs/>
          <w:color w:val="auto"/>
        </w:rPr>
        <w:t xml:space="preserve"> a partir del primero de septiembre al veintisiete de octubre de dos mil veintiuno</w:t>
      </w:r>
      <w:r>
        <w:rPr>
          <w:rFonts w:cs="Tahoma"/>
          <w:iCs/>
          <w:color w:val="auto"/>
        </w:rPr>
        <w:t>.</w:t>
      </w:r>
    </w:p>
    <w:p w:rsidR="005E7D5F" w:rsidP="005E7D5F" w:rsidRDefault="005E7D5F" w14:paraId="143A4CD1" w14:textId="77777777">
      <w:pPr>
        <w:pStyle w:val="Prrafodelista"/>
        <w:spacing w:line="360" w:lineRule="auto"/>
        <w:rPr>
          <w:rFonts w:cs="Tahoma"/>
          <w:bCs/>
          <w:iCs/>
          <w:color w:val="auto"/>
        </w:rPr>
      </w:pPr>
    </w:p>
    <w:p w:rsidRPr="0045455B" w:rsidR="0045455B" w:rsidP="00F2315F" w:rsidRDefault="0045455B" w14:paraId="47A6445F" w14:textId="77777777">
      <w:pPr>
        <w:spacing w:after="0" w:line="360" w:lineRule="auto"/>
        <w:rPr>
          <w:rFonts w:cs="Tahoma"/>
          <w:b/>
          <w:bCs/>
          <w:iCs/>
          <w:color w:val="auto"/>
        </w:rPr>
      </w:pPr>
      <w:r w:rsidRPr="0045455B">
        <w:rPr>
          <w:rFonts w:cs="Tahoma"/>
          <w:b/>
          <w:bCs/>
          <w:iCs/>
          <w:color w:val="auto"/>
        </w:rPr>
        <w:t xml:space="preserve">Comprobantes de remuneraciones, del primero de enero al veintisiete de octubre de dos mil veintiuno. </w:t>
      </w:r>
    </w:p>
    <w:p w:rsidR="0045455B" w:rsidP="00D44A24" w:rsidRDefault="0045455B" w14:paraId="1404046A" w14:textId="77777777">
      <w:pPr>
        <w:spacing w:after="0" w:line="360" w:lineRule="auto"/>
        <w:rPr>
          <w:rFonts w:eastAsia="Times New Roman" w:cs="Tahoma"/>
          <w:bCs/>
          <w:iCs/>
          <w:color w:val="auto"/>
          <w:lang w:eastAsia="es-ES"/>
        </w:rPr>
      </w:pPr>
    </w:p>
    <w:p w:rsidR="0045455B" w:rsidP="00D44A24" w:rsidRDefault="0045455B" w14:paraId="5B49CBAD" w14:textId="5BC8CE8B">
      <w:pPr>
        <w:spacing w:after="0" w:line="360" w:lineRule="auto"/>
        <w:rPr>
          <w:rFonts w:eastAsia="Times New Roman" w:cs="Tahoma"/>
          <w:bCs/>
          <w:iCs/>
          <w:color w:val="auto"/>
          <w:lang w:eastAsia="es-ES"/>
        </w:rPr>
      </w:pPr>
      <w:r>
        <w:rPr>
          <w:rFonts w:eastAsia="Times New Roman" w:cs="Tahoma"/>
          <w:bCs/>
          <w:iCs/>
          <w:color w:val="auto"/>
          <w:lang w:eastAsia="es-ES"/>
        </w:rPr>
        <w:t>En principio, es de señalar que los Solicitante no son peritos en la materia, ni conocen a profundidad, la forma de funcionamiento de los Sujetos Obligados; por lo que, en el presente caso, se considera que la pretensión del ahora Recurrente es obtener el documento donde consten las remuneraciones que recibe el personal del Partido de Movimiento Ciudadano, del primero de enero al quince de octubre de dos mil veintiuno (última quincena pagada previo a la presentación de la solicitud).</w:t>
      </w:r>
    </w:p>
    <w:p w:rsidR="0045455B" w:rsidP="00D44A24" w:rsidRDefault="0045455B" w14:paraId="5944E205" w14:textId="77777777">
      <w:pPr>
        <w:spacing w:after="0" w:line="360" w:lineRule="auto"/>
        <w:rPr>
          <w:rFonts w:eastAsia="Times New Roman" w:cs="Tahoma"/>
          <w:bCs/>
          <w:iCs/>
          <w:color w:val="auto"/>
          <w:lang w:eastAsia="es-ES"/>
        </w:rPr>
      </w:pPr>
    </w:p>
    <w:p w:rsidRPr="004D0F96" w:rsidR="00F2315F" w:rsidP="00F2315F" w:rsidRDefault="00AC4C55" w14:paraId="64449188" w14:textId="2C589D62">
      <w:pPr>
        <w:spacing w:after="0" w:line="360" w:lineRule="auto"/>
        <w:rPr>
          <w:rFonts w:eastAsia="Times New Roman" w:cs="Tahoma"/>
          <w:bCs/>
          <w:iCs/>
          <w:color w:val="auto"/>
          <w:lang w:eastAsia="es-ES"/>
        </w:rPr>
      </w:pPr>
      <w:r>
        <w:rPr>
          <w:rFonts w:eastAsia="Times New Roman" w:cs="Tahoma"/>
          <w:bCs/>
          <w:iCs/>
          <w:color w:val="auto"/>
          <w:lang w:eastAsia="es-ES"/>
        </w:rPr>
        <w:t>En ese contexto, el Sujeto Obligado refirió, tanto en respuesta, como Informe Justificado que no contaba con los recibos de pago de remuneraciones, toda vez que el personal que recibía algún sueldo, estaba bajo el régimen de subcontratación y que la empresa prestadora del servido era quién les pagaba y quién emitía dicho documento</w:t>
      </w:r>
      <w:r w:rsidR="00F2315F">
        <w:rPr>
          <w:rFonts w:eastAsia="Times New Roman" w:cs="Tahoma"/>
          <w:bCs/>
          <w:iCs/>
          <w:color w:val="auto"/>
          <w:lang w:eastAsia="es-ES"/>
        </w:rPr>
        <w:t xml:space="preserve">; sobre dicho pronunciamiento, es necesario puntualizar </w:t>
      </w:r>
      <w:r w:rsidRPr="004D0F96" w:rsidR="00F2315F">
        <w:rPr>
          <w:rFonts w:eastAsia="Times New Roman" w:cs="Tahoma"/>
          <w:bCs/>
          <w:iCs/>
          <w:color w:val="auto"/>
          <w:lang w:eastAsia="es-ES"/>
        </w:rPr>
        <w:t xml:space="preserve">que este este Instituto, no tiene atribuciones para pronunciarse sobre la veracidad de la información, inclusive </w:t>
      </w:r>
      <w:r w:rsidR="00F2315F">
        <w:rPr>
          <w:rFonts w:eastAsia="Times New Roman" w:cs="Tahoma"/>
          <w:bCs/>
          <w:iCs/>
          <w:color w:val="auto"/>
          <w:lang w:eastAsia="es-ES"/>
        </w:rPr>
        <w:t xml:space="preserve">de la que se encuentra publicada de oficio por el Ente </w:t>
      </w:r>
      <w:r w:rsidR="00F2315F">
        <w:rPr>
          <w:rFonts w:eastAsia="Times New Roman" w:cs="Tahoma"/>
          <w:bCs/>
          <w:iCs/>
          <w:color w:val="auto"/>
          <w:lang w:eastAsia="es-ES"/>
        </w:rPr>
        <w:lastRenderedPageBreak/>
        <w:t>Recurrido,</w:t>
      </w:r>
      <w:r w:rsidRPr="004D0F96" w:rsidR="00F2315F">
        <w:rPr>
          <w:rFonts w:eastAsia="Times New Roman" w:cs="Tahoma"/>
          <w:bCs/>
          <w:iCs/>
          <w:color w:val="auto"/>
          <w:lang w:eastAsia="es-ES"/>
        </w:rPr>
        <w:t xml:space="preserve"> lo anterior, el Criterio histórico 31/10, emitido por el Pleno del entonces Instituto Federal de Acceso a la Información y Protección de Datos, que a continuación se cita:</w:t>
      </w:r>
    </w:p>
    <w:p w:rsidRPr="004D0F96" w:rsidR="00F2315F" w:rsidP="00F2315F" w:rsidRDefault="00F2315F" w14:paraId="35900C96" w14:textId="77777777">
      <w:pPr>
        <w:spacing w:after="0" w:line="360" w:lineRule="auto"/>
        <w:rPr>
          <w:rFonts w:eastAsia="Times New Roman" w:cs="Tahoma"/>
          <w:bCs/>
          <w:iCs/>
          <w:color w:val="auto"/>
          <w:lang w:eastAsia="es-ES"/>
        </w:rPr>
      </w:pPr>
    </w:p>
    <w:p w:rsidRPr="004D0F96" w:rsidR="00F2315F" w:rsidP="00F2315F" w:rsidRDefault="00F2315F" w14:paraId="723FABD5" w14:textId="77777777">
      <w:pPr>
        <w:spacing w:after="0" w:line="360" w:lineRule="auto"/>
        <w:ind w:left="567" w:right="567"/>
        <w:rPr>
          <w:rFonts w:eastAsia="Times New Roman" w:cs="Tahoma"/>
          <w:bCs/>
          <w:i/>
          <w:iCs/>
          <w:color w:val="auto"/>
          <w:sz w:val="20"/>
          <w:szCs w:val="20"/>
          <w:lang w:eastAsia="es-ES"/>
        </w:rPr>
      </w:pPr>
      <w:r w:rsidRPr="004D0F96">
        <w:rPr>
          <w:rFonts w:eastAsia="Times New Roman" w:cs="Tahoma"/>
          <w:b/>
          <w:bCs/>
          <w:i/>
          <w:iCs/>
          <w:color w:val="auto"/>
          <w:sz w:val="20"/>
          <w:szCs w:val="20"/>
          <w:lang w:eastAsia="es-ES"/>
        </w:rPr>
        <w:t>“El Instituto Federal de Acceso a la Información y Protección de Datos no cuenta con facultades para pronunciarse respecto de la veracidad de los documentos proporcionados por los sujetos obligados.</w:t>
      </w:r>
      <w:r w:rsidRPr="004D0F96">
        <w:rPr>
          <w:rFonts w:eastAsia="Times New Roman" w:cs="Tahoma"/>
          <w:bCs/>
          <w:i/>
          <w:iCs/>
          <w:color w:val="auto"/>
          <w:sz w:val="20"/>
          <w:szCs w:val="20"/>
          <w:lang w:eastAsia="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F2315F" w:rsidP="00F2315F" w:rsidRDefault="00F2315F" w14:paraId="0FB00650" w14:textId="77777777">
      <w:pPr>
        <w:spacing w:after="0" w:line="360" w:lineRule="auto"/>
        <w:rPr>
          <w:rFonts w:eastAsia="Times New Roman" w:cs="Tahoma"/>
          <w:bCs/>
          <w:iCs/>
          <w:color w:val="auto"/>
          <w:lang w:eastAsia="es-ES"/>
        </w:rPr>
      </w:pPr>
    </w:p>
    <w:p w:rsidR="00F2315F" w:rsidP="00D44A24" w:rsidRDefault="00F2315F" w14:paraId="18C8A3E7" w14:textId="77DA4AAF">
      <w:pPr>
        <w:spacing w:after="0" w:line="360" w:lineRule="auto"/>
        <w:rPr>
          <w:rFonts w:eastAsia="Times New Roman" w:cs="Tahoma"/>
          <w:bCs/>
          <w:iCs/>
          <w:color w:val="auto"/>
          <w:lang w:eastAsia="es-ES"/>
        </w:rPr>
      </w:pPr>
      <w:r>
        <w:rPr>
          <w:rFonts w:eastAsia="Times New Roman" w:cs="Tahoma"/>
          <w:bCs/>
          <w:iCs/>
          <w:color w:val="auto"/>
          <w:lang w:eastAsia="es-ES"/>
        </w:rPr>
        <w:t>En ese contexto, mediante el desahogo del requerimiento de información adicional, el Sujeto Obligado aclaró lo siguiente:</w:t>
      </w:r>
    </w:p>
    <w:p w:rsidR="00F2315F" w:rsidP="00D44A24" w:rsidRDefault="00F2315F" w14:paraId="0C701350" w14:textId="42A1A1BB">
      <w:pPr>
        <w:spacing w:after="0" w:line="360" w:lineRule="auto"/>
        <w:rPr>
          <w:rFonts w:eastAsia="Times New Roman" w:cs="Tahoma"/>
          <w:bCs/>
          <w:iCs/>
          <w:color w:val="auto"/>
          <w:lang w:eastAsia="es-ES"/>
        </w:rPr>
      </w:pPr>
    </w:p>
    <w:p w:rsidR="00F2315F" w:rsidP="00F2315F" w:rsidRDefault="00F2315F" w14:paraId="4DC64937" w14:textId="0DFDAECF">
      <w:pPr>
        <w:pStyle w:val="Prrafodelista"/>
        <w:numPr>
          <w:ilvl w:val="0"/>
          <w:numId w:val="46"/>
        </w:numPr>
        <w:spacing w:line="360" w:lineRule="auto"/>
        <w:rPr>
          <w:rFonts w:cs="Tahoma"/>
          <w:bCs/>
          <w:iCs/>
          <w:color w:val="auto"/>
        </w:rPr>
      </w:pPr>
      <w:r>
        <w:rPr>
          <w:rFonts w:cs="Tahoma"/>
          <w:bCs/>
          <w:iCs/>
          <w:color w:val="auto"/>
        </w:rPr>
        <w:t>Que no todo el personal que laboraba en el Partido, estaba subcontratado, pues había personas cuyo puesto era meramente honorífico</w:t>
      </w:r>
      <w:r w:rsidR="00835B3C">
        <w:rPr>
          <w:rFonts w:cs="Tahoma"/>
          <w:bCs/>
          <w:iCs/>
          <w:color w:val="auto"/>
        </w:rPr>
        <w:t xml:space="preserve"> y entregó el nombre de dichos servidores</w:t>
      </w:r>
      <w:r>
        <w:rPr>
          <w:rFonts w:cs="Tahoma"/>
          <w:bCs/>
          <w:iCs/>
          <w:color w:val="auto"/>
        </w:rPr>
        <w:t>, y</w:t>
      </w:r>
    </w:p>
    <w:p w:rsidR="00F2315F" w:rsidP="00F2315F" w:rsidRDefault="00F2315F" w14:paraId="6A1EC79B" w14:textId="77777777">
      <w:pPr>
        <w:pStyle w:val="Prrafodelista"/>
        <w:spacing w:line="360" w:lineRule="auto"/>
        <w:rPr>
          <w:rFonts w:cs="Tahoma"/>
          <w:bCs/>
          <w:iCs/>
          <w:color w:val="auto"/>
        </w:rPr>
      </w:pPr>
    </w:p>
    <w:p w:rsidR="00F2315F" w:rsidP="00F2315F" w:rsidRDefault="00F2315F" w14:paraId="5CE171C4" w14:textId="4EA38834">
      <w:pPr>
        <w:pStyle w:val="Prrafodelista"/>
        <w:numPr>
          <w:ilvl w:val="0"/>
          <w:numId w:val="46"/>
        </w:numPr>
        <w:spacing w:line="360" w:lineRule="auto"/>
        <w:rPr>
          <w:rFonts w:cs="Tahoma"/>
          <w:bCs/>
          <w:iCs/>
          <w:color w:val="auto"/>
        </w:rPr>
      </w:pPr>
      <w:r>
        <w:rPr>
          <w:rFonts w:cs="Tahoma"/>
          <w:bCs/>
          <w:iCs/>
          <w:color w:val="auto"/>
        </w:rPr>
        <w:t>Que las personas que laboraban en el Partido, por parte de la empresa prestadora de servicios, eran los únicos que recibían un sueldo, al estar en el régimen de subcontratación de servicios especializados.</w:t>
      </w:r>
    </w:p>
    <w:p w:rsidR="00AC4C55" w:rsidP="00D44A24" w:rsidRDefault="00AC4C55" w14:paraId="1638EEE0" w14:textId="72AD126C">
      <w:pPr>
        <w:spacing w:after="0" w:line="360" w:lineRule="auto"/>
        <w:rPr>
          <w:rFonts w:eastAsia="Times New Roman" w:cs="Tahoma"/>
          <w:bCs/>
          <w:iCs/>
          <w:color w:val="auto"/>
          <w:lang w:eastAsia="es-ES"/>
        </w:rPr>
      </w:pPr>
    </w:p>
    <w:p w:rsidR="00F2315F" w:rsidP="00D44A24" w:rsidRDefault="00835B3C" w14:paraId="74A8A9C6" w14:textId="5EF23F91">
      <w:pPr>
        <w:spacing w:after="0" w:line="360" w:lineRule="auto"/>
        <w:rPr>
          <w:rFonts w:eastAsia="Times New Roman" w:cs="Tahoma"/>
          <w:bCs/>
          <w:iCs/>
          <w:color w:val="auto"/>
          <w:lang w:eastAsia="es-ES"/>
        </w:rPr>
      </w:pPr>
      <w:r>
        <w:rPr>
          <w:rFonts w:eastAsia="Times New Roman" w:cs="Tahoma"/>
          <w:bCs/>
          <w:iCs/>
          <w:color w:val="auto"/>
          <w:lang w:eastAsia="es-ES"/>
        </w:rPr>
        <w:lastRenderedPageBreak/>
        <w:t>Además,</w:t>
      </w:r>
      <w:r w:rsidR="00F2315F">
        <w:rPr>
          <w:rFonts w:eastAsia="Times New Roman" w:cs="Tahoma"/>
          <w:bCs/>
          <w:iCs/>
          <w:color w:val="auto"/>
          <w:lang w:eastAsia="es-ES"/>
        </w:rPr>
        <w:t xml:space="preserve"> proporcionó el Contrato </w:t>
      </w:r>
      <w:r w:rsidR="008E0A22">
        <w:rPr>
          <w:rFonts w:eastAsia="Times New Roman" w:cs="Tahoma"/>
          <w:bCs/>
          <w:iCs/>
          <w:color w:val="auto"/>
          <w:lang w:eastAsia="es-ES"/>
        </w:rPr>
        <w:t>de Prestación de Servicios Profesionales que celebran Servicios de Inteligencia Corporativa S.R.L, de C.V. y el Partido Movimiento Ciudadano, de cuya clausula segunda y tercera, se desprende que la empresa prestadora de servicios, proporcionará al persona</w:t>
      </w:r>
      <w:r>
        <w:rPr>
          <w:rFonts w:eastAsia="Times New Roman" w:cs="Tahoma"/>
          <w:bCs/>
          <w:iCs/>
          <w:color w:val="auto"/>
          <w:lang w:eastAsia="es-ES"/>
        </w:rPr>
        <w:t>l</w:t>
      </w:r>
      <w:r w:rsidR="008E0A22">
        <w:rPr>
          <w:rFonts w:eastAsia="Times New Roman" w:cs="Tahoma"/>
          <w:bCs/>
          <w:iCs/>
          <w:color w:val="auto"/>
          <w:lang w:eastAsia="es-ES"/>
        </w:rPr>
        <w:t xml:space="preserve"> necesario para realizar las funciones del partido, a cambio de una remuneración fijada mediante factura, en atención al personal proporcionado.</w:t>
      </w:r>
    </w:p>
    <w:p w:rsidR="008E0A22" w:rsidP="00D44A24" w:rsidRDefault="008E0A22" w14:paraId="635E8B1F" w14:textId="3D0C0E49">
      <w:pPr>
        <w:spacing w:after="0" w:line="360" w:lineRule="auto"/>
        <w:rPr>
          <w:rFonts w:eastAsia="Times New Roman" w:cs="Tahoma"/>
          <w:bCs/>
          <w:iCs/>
          <w:color w:val="auto"/>
          <w:lang w:eastAsia="es-ES"/>
        </w:rPr>
      </w:pPr>
    </w:p>
    <w:p w:rsidRPr="001A21B7" w:rsidR="00835B3C" w:rsidP="00835B3C" w:rsidRDefault="00835B3C" w14:paraId="0DD70BB5" w14:textId="226E4CDE">
      <w:pPr>
        <w:spacing w:after="0" w:line="360" w:lineRule="auto"/>
        <w:rPr>
          <w:rFonts w:eastAsia="Times New Roman" w:cs="Tahoma"/>
          <w:bCs/>
          <w:iCs/>
          <w:color w:val="auto"/>
          <w:lang w:eastAsia="es-ES"/>
        </w:rPr>
      </w:pPr>
      <w:r>
        <w:rPr>
          <w:rFonts w:eastAsia="Times New Roman" w:cs="Tahoma"/>
          <w:bCs/>
          <w:iCs/>
          <w:color w:val="auto"/>
          <w:lang w:eastAsia="es-ES"/>
        </w:rPr>
        <w:t>Como se logra observar, el único personal del Partido que recibe un sueldo es el subcontratado por este y la empresa proveedora es la única que ve las cuestiones de las remuneraciones de dichos trabajadores, de ahí que el no contará con los recibos de pago</w:t>
      </w:r>
      <w:r w:rsidRPr="001A21B7">
        <w:rPr>
          <w:rFonts w:eastAsia="Times New Roman" w:cs="Tahoma"/>
          <w:bCs/>
          <w:iCs/>
          <w:color w:val="auto"/>
          <w:lang w:eastAsia="es-ES"/>
        </w:rPr>
        <w:t>; sobre dicha circunstancia, el Criterio 14/17, emitido por el Instituto Nacional de Transparencia, Acceso a la Información Pública y Protección de Datos Personales en el Estado de México y Municipios, señala lo siguiente:</w:t>
      </w:r>
    </w:p>
    <w:p w:rsidRPr="001A21B7" w:rsidR="00835B3C" w:rsidP="00835B3C" w:rsidRDefault="00835B3C" w14:paraId="0DE8D934" w14:textId="77777777">
      <w:pPr>
        <w:spacing w:after="0" w:line="360" w:lineRule="auto"/>
        <w:rPr>
          <w:rFonts w:eastAsia="Times New Roman" w:cs="Tahoma"/>
          <w:bCs/>
          <w:iCs/>
          <w:color w:val="auto"/>
          <w:lang w:eastAsia="es-ES"/>
        </w:rPr>
      </w:pPr>
    </w:p>
    <w:p w:rsidRPr="001A21B7" w:rsidR="00835B3C" w:rsidP="00835B3C" w:rsidRDefault="00835B3C" w14:paraId="38E14714" w14:textId="77777777">
      <w:pPr>
        <w:spacing w:after="0" w:line="360" w:lineRule="auto"/>
        <w:ind w:left="567" w:right="567"/>
        <w:rPr>
          <w:rFonts w:eastAsia="Times New Roman" w:cs="Tahoma"/>
          <w:bCs/>
          <w:i/>
          <w:iCs/>
          <w:color w:val="auto"/>
          <w:sz w:val="20"/>
          <w:szCs w:val="20"/>
          <w:lang w:val="es-ES" w:eastAsia="es-ES"/>
        </w:rPr>
      </w:pPr>
      <w:r w:rsidRPr="001A21B7">
        <w:rPr>
          <w:rFonts w:eastAsia="Times New Roman" w:cs="Tahoma"/>
          <w:bCs/>
          <w:i/>
          <w:iCs/>
          <w:color w:val="auto"/>
          <w:sz w:val="20"/>
          <w:szCs w:val="20"/>
          <w:lang w:val="es-ES" w:eastAsia="es-ES"/>
        </w:rPr>
        <w:t>“</w:t>
      </w:r>
      <w:r w:rsidRPr="001A21B7">
        <w:rPr>
          <w:rFonts w:eastAsia="Times New Roman" w:cs="Tahoma"/>
          <w:b/>
          <w:bCs/>
          <w:i/>
          <w:iCs/>
          <w:color w:val="auto"/>
          <w:sz w:val="20"/>
          <w:szCs w:val="20"/>
          <w:lang w:val="es-ES" w:eastAsia="es-ES"/>
        </w:rPr>
        <w:t xml:space="preserve">Inexistencia. </w:t>
      </w:r>
      <w:r w:rsidRPr="001A21B7">
        <w:rPr>
          <w:rFonts w:eastAsia="Times New Roman" w:cs="Tahoma"/>
          <w:bCs/>
          <w:i/>
          <w:iCs/>
          <w:color w:val="auto"/>
          <w:sz w:val="20"/>
          <w:szCs w:val="20"/>
          <w:lang w:val="es-ES" w:eastAsia="es-ES"/>
        </w:rPr>
        <w:t>La inexistencia es una cuestión de hecho que se atribuye a la información solicitada e implica que ésta no se encuentra en los archivos del sujeto obligado, no obstante que cuenta con facultades para poseerla.”</w:t>
      </w:r>
    </w:p>
    <w:p w:rsidRPr="001A21B7" w:rsidR="00835B3C" w:rsidP="00835B3C" w:rsidRDefault="00835B3C" w14:paraId="3570A408" w14:textId="77777777">
      <w:pPr>
        <w:spacing w:after="0" w:line="360" w:lineRule="auto"/>
        <w:rPr>
          <w:rFonts w:eastAsia="Times New Roman" w:cs="Tahoma"/>
          <w:bCs/>
          <w:iCs/>
          <w:color w:val="auto"/>
          <w:lang w:eastAsia="es-ES"/>
        </w:rPr>
      </w:pPr>
    </w:p>
    <w:p w:rsidRPr="001A21B7" w:rsidR="00835B3C" w:rsidP="00835B3C" w:rsidRDefault="00835B3C" w14:paraId="3D51919C" w14:textId="77777777">
      <w:pPr>
        <w:spacing w:after="0" w:line="360" w:lineRule="auto"/>
        <w:rPr>
          <w:rFonts w:eastAsia="Times New Roman" w:cs="Tahoma"/>
          <w:bCs/>
          <w:iCs/>
          <w:color w:val="auto"/>
          <w:lang w:eastAsia="es-ES"/>
        </w:rPr>
      </w:pPr>
      <w:r w:rsidRPr="001A21B7">
        <w:rPr>
          <w:rFonts w:eastAsia="Times New Roman" w:cs="Tahoma"/>
          <w:bCs/>
          <w:iCs/>
          <w:color w:val="auto"/>
          <w:lang w:eastAsia="es-ES"/>
        </w:rPr>
        <w:t>Del citado criterio, se desprende que la inexistencia de la información, es una cuestión de hecho que se le atribuye a la misma, cuando ésta no se encuentra en los archivos del sujeto obligado.</w:t>
      </w:r>
    </w:p>
    <w:p w:rsidRPr="001A21B7" w:rsidR="00835B3C" w:rsidP="00835B3C" w:rsidRDefault="00835B3C" w14:paraId="7D4BEB2E" w14:textId="77777777">
      <w:pPr>
        <w:spacing w:after="0" w:line="360" w:lineRule="auto"/>
        <w:rPr>
          <w:rFonts w:eastAsia="Times New Roman" w:cs="Tahoma"/>
          <w:bCs/>
          <w:iCs/>
          <w:color w:val="auto"/>
          <w:lang w:val="es-ES" w:eastAsia="es-ES"/>
        </w:rPr>
      </w:pPr>
    </w:p>
    <w:p w:rsidRPr="001A21B7" w:rsidR="00835B3C" w:rsidP="00835B3C" w:rsidRDefault="00835B3C" w14:paraId="648A37EC" w14:textId="77777777">
      <w:pPr>
        <w:spacing w:after="0" w:line="360" w:lineRule="auto"/>
        <w:rPr>
          <w:rFonts w:eastAsia="Times New Roman" w:cs="Tahoma"/>
          <w:bCs/>
          <w:iCs/>
          <w:color w:val="auto"/>
          <w:lang w:val="es-ES" w:eastAsia="es-ES"/>
        </w:rPr>
      </w:pPr>
      <w:r w:rsidRPr="001A21B7">
        <w:rPr>
          <w:rFonts w:eastAsia="Times New Roman" w:cs="Tahoma"/>
          <w:bCs/>
          <w:iCs/>
          <w:color w:val="auto"/>
          <w:lang w:val="es-ES" w:eastAsia="es-ES"/>
        </w:rPr>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rsidRPr="001A21B7" w:rsidR="00835B3C" w:rsidP="00835B3C" w:rsidRDefault="00835B3C" w14:paraId="25904E73" w14:textId="77777777">
      <w:pPr>
        <w:spacing w:after="0" w:line="360" w:lineRule="auto"/>
        <w:rPr>
          <w:rFonts w:eastAsia="Times New Roman" w:cs="Tahoma"/>
          <w:bCs/>
          <w:iCs/>
          <w:color w:val="auto"/>
          <w:lang w:val="es-ES" w:eastAsia="es-ES"/>
        </w:rPr>
      </w:pPr>
    </w:p>
    <w:p w:rsidRPr="001A21B7" w:rsidR="00835B3C" w:rsidP="00835B3C" w:rsidRDefault="00835B3C" w14:paraId="2C1E52F7" w14:textId="77777777">
      <w:pPr>
        <w:spacing w:after="0" w:line="360" w:lineRule="auto"/>
        <w:rPr>
          <w:rFonts w:eastAsia="Times New Roman" w:cs="Tahoma"/>
          <w:bCs/>
          <w:iCs/>
          <w:color w:val="auto"/>
          <w:lang w:eastAsia="es-ES"/>
        </w:rPr>
      </w:pPr>
      <w:r w:rsidRPr="001A21B7">
        <w:rPr>
          <w:rFonts w:eastAsia="Times New Roman" w:cs="Tahoma"/>
          <w:bCs/>
          <w:iCs/>
          <w:color w:val="auto"/>
          <w:lang w:val="es-ES" w:eastAsia="es-ES"/>
        </w:rPr>
        <w:t>Así</w:t>
      </w:r>
      <w:r w:rsidRPr="001A21B7">
        <w:rPr>
          <w:rFonts w:eastAsia="Times New Roman" w:cs="Tahoma"/>
          <w:bCs/>
          <w:iCs/>
          <w:color w:val="auto"/>
          <w:lang w:eastAsia="es-ES"/>
        </w:rPr>
        <w:t xml:space="preserve">, es posible concluir que la </w:t>
      </w:r>
      <w:r w:rsidRPr="001A21B7">
        <w:rPr>
          <w:rFonts w:eastAsia="Times New Roman" w:cs="Tahoma"/>
          <w:b/>
          <w:bCs/>
          <w:iCs/>
          <w:color w:val="auto"/>
          <w:lang w:eastAsia="es-ES"/>
        </w:rPr>
        <w:t>inexistencia</w:t>
      </w:r>
      <w:r w:rsidRPr="001A21B7">
        <w:rPr>
          <w:rFonts w:eastAsia="Times New Roman" w:cs="Tahoma"/>
          <w:bCs/>
          <w:iCs/>
          <w:color w:val="auto"/>
          <w:lang w:eastAsia="es-ES"/>
        </w:rPr>
        <w:t xml:space="preserve"> presupone la competencia del sujeto obligado para conocer de la información, pero por alguna circunstancia, la documentación solicitada no obra en sus archivos; sin embargo, no basta con que los sujetos obligados señalen dicha </w:t>
      </w:r>
      <w:r w:rsidRPr="001A21B7">
        <w:rPr>
          <w:rFonts w:eastAsia="Times New Roman" w:cs="Tahoma"/>
          <w:bCs/>
          <w:iCs/>
          <w:color w:val="auto"/>
          <w:lang w:eastAsia="es-ES"/>
        </w:rPr>
        <w:lastRenderedPageBreak/>
        <w:t>circunstancia, sino que también deben precisar las razones por las cuales no cuentan con lo peticionado, es decir, las circunstancias que dan lugar a la inexistencia.</w:t>
      </w:r>
    </w:p>
    <w:p w:rsidRPr="001A21B7" w:rsidR="00835B3C" w:rsidP="00835B3C" w:rsidRDefault="00835B3C" w14:paraId="2261A89F" w14:textId="77777777">
      <w:pPr>
        <w:spacing w:after="0" w:line="360" w:lineRule="auto"/>
        <w:rPr>
          <w:rFonts w:eastAsia="Times New Roman" w:cs="Tahoma"/>
          <w:bCs/>
          <w:iCs/>
          <w:color w:val="auto"/>
          <w:lang w:eastAsia="es-ES"/>
        </w:rPr>
      </w:pPr>
    </w:p>
    <w:p w:rsidRPr="00BE3840" w:rsidR="00835B3C" w:rsidP="005D279A" w:rsidRDefault="005D279A" w14:paraId="178E9BE7" w14:textId="53CFC17B">
      <w:pPr>
        <w:spacing w:after="0" w:line="360" w:lineRule="auto"/>
        <w:rPr>
          <w:rFonts w:eastAsia="Times New Roman" w:cs="Tahoma"/>
          <w:bCs/>
          <w:iCs/>
          <w:color w:val="auto"/>
          <w:lang w:val="es-ES" w:eastAsia="es-ES"/>
        </w:rPr>
      </w:pPr>
      <w:r>
        <w:rPr>
          <w:rFonts w:eastAsia="Times New Roman" w:cs="Tahoma"/>
          <w:bCs/>
          <w:iCs/>
          <w:color w:val="auto"/>
          <w:lang w:val="es-ES" w:eastAsia="es-ES"/>
        </w:rPr>
        <w:t xml:space="preserve">En el presente caso, el Sujeto Obligado señaló las razones por las cuales no contaba con los recibos, que únicamente le pagaba a la empresa proveedora la prestación de servicios y esta, era la que le pagaba a su personal, que prestaba al Partido para que funcionará; </w:t>
      </w:r>
      <w:r>
        <w:rPr>
          <w:rFonts w:eastAsia="Times New Roman" w:cs="Tahoma"/>
          <w:bCs/>
          <w:iCs/>
          <w:color w:val="auto"/>
          <w:lang w:eastAsia="es-ES"/>
        </w:rPr>
        <w:t>sobre esta situación, se trae a colación</w:t>
      </w:r>
      <w:r w:rsidRPr="00BE3840" w:rsidR="00835B3C">
        <w:rPr>
          <w:rFonts w:eastAsia="Times New Roman" w:cs="Tahoma"/>
          <w:bCs/>
          <w:iCs/>
          <w:color w:val="auto"/>
          <w:lang w:eastAsia="es-ES"/>
        </w:rPr>
        <w:t xml:space="preserve">, el </w:t>
      </w:r>
      <w:r w:rsidRPr="00BE3840" w:rsidR="00835B3C">
        <w:rPr>
          <w:rFonts w:eastAsia="Times New Roman" w:cs="Tahoma"/>
          <w:bCs/>
          <w:iCs/>
          <w:color w:val="auto"/>
          <w:lang w:val="es-ES" w:eastAsia="es-ES"/>
        </w:rPr>
        <w:t xml:space="preserve">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 </w:t>
      </w:r>
    </w:p>
    <w:p w:rsidRPr="00BE3840" w:rsidR="00835B3C" w:rsidP="00835B3C" w:rsidRDefault="00835B3C" w14:paraId="54FFB2FA" w14:textId="77777777">
      <w:pPr>
        <w:spacing w:after="0" w:line="360" w:lineRule="auto"/>
        <w:rPr>
          <w:rFonts w:eastAsia="Times New Roman" w:cs="Tahoma"/>
          <w:bCs/>
          <w:iCs/>
          <w:color w:val="auto"/>
          <w:lang w:val="es-ES" w:eastAsia="es-ES"/>
        </w:rPr>
      </w:pPr>
    </w:p>
    <w:p w:rsidRPr="00BE3840" w:rsidR="00835B3C" w:rsidP="00835B3C" w:rsidRDefault="00835B3C" w14:paraId="7081F44A" w14:textId="77777777">
      <w:pPr>
        <w:spacing w:after="0" w:line="360" w:lineRule="auto"/>
        <w:rPr>
          <w:rFonts w:eastAsia="Times New Roman" w:cs="Tahoma"/>
          <w:bCs/>
          <w:iCs/>
          <w:color w:val="auto"/>
          <w:lang w:eastAsia="es-ES"/>
        </w:rPr>
      </w:pPr>
      <w:r w:rsidRPr="00BE3840">
        <w:rPr>
          <w:rFonts w:eastAsia="Times New Roman" w:cs="Tahoma"/>
          <w:bCs/>
          <w:iCs/>
          <w:color w:val="auto"/>
          <w:lang w:val="es-ES" w:eastAsia="es-ES"/>
        </w:rPr>
        <w:t xml:space="preserve">De la misma manera, </w:t>
      </w:r>
      <w:r w:rsidRPr="00BE3840">
        <w:rPr>
          <w:rFonts w:eastAsia="Times New Roman" w:cs="Tahoma"/>
          <w:bCs/>
          <w:iCs/>
          <w:color w:val="auto"/>
          <w:lang w:eastAsia="es-ES"/>
        </w:rPr>
        <w:t>el Criterio 07/17, emitido por el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rsidR="00835B3C" w:rsidP="00835B3C" w:rsidRDefault="00835B3C" w14:paraId="4485A20F" w14:textId="77777777">
      <w:pPr>
        <w:spacing w:after="0" w:line="360" w:lineRule="auto"/>
        <w:rPr>
          <w:rFonts w:eastAsia="Times New Roman" w:cs="Tahoma"/>
          <w:bCs/>
          <w:iCs/>
          <w:color w:val="auto"/>
          <w:lang w:eastAsia="es-ES"/>
        </w:rPr>
      </w:pPr>
    </w:p>
    <w:p w:rsidR="00835B3C" w:rsidP="00835B3C" w:rsidRDefault="00835B3C" w14:paraId="55A6F7EF" w14:textId="48119FA1">
      <w:pPr>
        <w:spacing w:after="0" w:line="360" w:lineRule="auto"/>
        <w:rPr>
          <w:rFonts w:eastAsia="Times New Roman" w:cs="Tahoma"/>
          <w:bCs/>
          <w:iCs/>
          <w:color w:val="auto"/>
          <w:lang w:eastAsia="es-ES"/>
        </w:rPr>
      </w:pPr>
      <w:r>
        <w:rPr>
          <w:rFonts w:eastAsia="Times New Roman" w:cs="Tahoma"/>
          <w:bCs/>
          <w:iCs/>
          <w:color w:val="auto"/>
          <w:lang w:val="es-ES" w:eastAsia="es-ES"/>
        </w:rPr>
        <w:t xml:space="preserve">De tal suerte que en presente apartado, </w:t>
      </w:r>
      <w:r w:rsidRPr="0071535E">
        <w:rPr>
          <w:rFonts w:eastAsia="Times New Roman" w:cs="Tahoma"/>
          <w:bCs/>
          <w:iCs/>
          <w:color w:val="auto"/>
          <w:lang w:eastAsia="es-ES"/>
        </w:rPr>
        <w:t xml:space="preserve">dicho criterio aplica al caso en concreto, ya que, </w:t>
      </w:r>
      <w:r>
        <w:rPr>
          <w:rFonts w:eastAsia="Times New Roman" w:cs="Tahoma"/>
          <w:bCs/>
          <w:iCs/>
          <w:color w:val="auto"/>
          <w:lang w:eastAsia="es-ES"/>
        </w:rPr>
        <w:t>el Sujeto Obligado</w:t>
      </w:r>
      <w:r w:rsidRPr="00491582">
        <w:rPr>
          <w:rFonts w:eastAsia="Times New Roman" w:cs="Tahoma"/>
          <w:bCs/>
          <w:iCs/>
          <w:color w:val="auto"/>
          <w:lang w:eastAsia="es-ES"/>
        </w:rPr>
        <w:t xml:space="preserve"> señaló las razones por las cuales no contaba con lo requerido y cumplió con el segundo párrafo del artículo 19 de la Ley de Transparencia y Acceso a la Información Pública del Estado de México y Municipios.</w:t>
      </w:r>
      <w:r>
        <w:rPr>
          <w:rFonts w:eastAsia="Times New Roman" w:cs="Tahoma"/>
          <w:bCs/>
          <w:iCs/>
          <w:color w:val="auto"/>
          <w:lang w:eastAsia="es-ES"/>
        </w:rPr>
        <w:t xml:space="preserve"> </w:t>
      </w:r>
    </w:p>
    <w:p w:rsidR="005D279A" w:rsidP="00835B3C" w:rsidRDefault="005D279A" w14:paraId="6725B815" w14:textId="2D13DA3E">
      <w:pPr>
        <w:spacing w:after="0" w:line="360" w:lineRule="auto"/>
        <w:rPr>
          <w:rFonts w:eastAsia="Times New Roman" w:cs="Tahoma"/>
          <w:bCs/>
          <w:iCs/>
          <w:color w:val="auto"/>
          <w:lang w:eastAsia="es-ES"/>
        </w:rPr>
      </w:pPr>
    </w:p>
    <w:p w:rsidR="005D279A" w:rsidP="00835B3C" w:rsidRDefault="005D279A" w14:paraId="6DA8437A" w14:textId="617CDEE0">
      <w:pPr>
        <w:spacing w:after="0" w:line="360" w:lineRule="auto"/>
        <w:rPr>
          <w:rFonts w:eastAsia="Times New Roman" w:cs="Tahoma"/>
          <w:bCs/>
          <w:iCs/>
          <w:color w:val="auto"/>
          <w:lang w:eastAsia="es-ES"/>
        </w:rPr>
      </w:pPr>
      <w:r>
        <w:rPr>
          <w:rFonts w:eastAsia="Times New Roman" w:cs="Tahoma"/>
          <w:bCs/>
          <w:iCs/>
          <w:color w:val="auto"/>
          <w:lang w:eastAsia="es-ES"/>
        </w:rPr>
        <w:t>Sin menoscabar lo anterior, es necesario referir que si bien el Sujeto Obligado no cuenta con los recibos de pago, lo cierto es que, conforme al desahogo del requerimiento de información adicional, cuenta con un documento denominado Nómina Personal, que contiene el importe total pagado durante la primera y segunda quincena del cada mes y su pago global, del personal subcontratado</w:t>
      </w:r>
      <w:r w:rsidR="0002256B">
        <w:rPr>
          <w:rFonts w:eastAsia="Times New Roman" w:cs="Tahoma"/>
          <w:bCs/>
          <w:iCs/>
          <w:color w:val="auto"/>
          <w:lang w:eastAsia="es-ES"/>
        </w:rPr>
        <w:t>.</w:t>
      </w:r>
    </w:p>
    <w:p w:rsidRPr="00D44A24" w:rsidR="00D44A24" w:rsidP="00D44A24" w:rsidRDefault="0002256B" w14:paraId="06522003" w14:textId="5783D972">
      <w:pPr>
        <w:spacing w:after="0" w:line="360" w:lineRule="auto"/>
        <w:rPr>
          <w:rFonts w:eastAsia="Times New Roman" w:cs="Tahoma"/>
          <w:bCs/>
          <w:iCs/>
          <w:color w:val="auto"/>
          <w:lang w:eastAsia="es-ES"/>
        </w:rPr>
      </w:pPr>
      <w:r>
        <w:rPr>
          <w:rFonts w:eastAsia="Times New Roman" w:cs="Tahoma"/>
          <w:bCs/>
          <w:iCs/>
          <w:color w:val="auto"/>
          <w:lang w:eastAsia="es-ES"/>
        </w:rPr>
        <w:lastRenderedPageBreak/>
        <w:t xml:space="preserve">En ese sentido, es necesario señalar que los Sujetos Obligados únicamente se encuentran constreñidos a proporcionar la documentación que obre en sus archivos y de cuenta de lo solicitado; dicha situación toma sustento, en el </w:t>
      </w:r>
      <w:r w:rsidRPr="00D44A24" w:rsidR="00D44A24">
        <w:rPr>
          <w:rFonts w:eastAsia="Times New Roman" w:cs="Tahoma"/>
          <w:bCs/>
          <w:iCs/>
          <w:color w:val="auto"/>
          <w:lang w:eastAsia="es-ES"/>
        </w:rPr>
        <w:t>artículo 12 de la Ley de Transparencia y Acceso a la Información Pública del Estado de México y Municipios,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rsidRPr="00D44A24" w:rsidR="00D44A24" w:rsidP="00D44A24" w:rsidRDefault="00D44A24" w14:paraId="17A2C658" w14:textId="77777777">
      <w:pPr>
        <w:spacing w:after="0" w:line="360" w:lineRule="auto"/>
        <w:rPr>
          <w:rFonts w:eastAsia="Times New Roman" w:cs="Tahoma"/>
          <w:bCs/>
          <w:iCs/>
          <w:color w:val="auto"/>
          <w:lang w:eastAsia="es-ES"/>
        </w:rPr>
      </w:pPr>
    </w:p>
    <w:p w:rsidRPr="00D44A24" w:rsidR="00D44A24" w:rsidP="00D44A24" w:rsidRDefault="00D44A24" w14:paraId="5A9FDABC" w14:textId="77777777">
      <w:pPr>
        <w:spacing w:after="0" w:line="360" w:lineRule="auto"/>
        <w:rPr>
          <w:rFonts w:eastAsia="Times New Roman" w:cs="Tahoma"/>
          <w:bCs/>
          <w:iCs/>
          <w:color w:val="auto"/>
          <w:lang w:val="es-ES" w:eastAsia="es-ES"/>
        </w:rPr>
      </w:pPr>
      <w:r w:rsidRPr="00D44A24">
        <w:rPr>
          <w:rFonts w:eastAsia="Times New Roman" w:cs="Tahoma"/>
          <w:bCs/>
          <w:iCs/>
          <w:color w:val="auto"/>
          <w:lang w:eastAsia="es-ES"/>
        </w:rPr>
        <w:t xml:space="preserve">De esta manera, </w:t>
      </w:r>
      <w:r w:rsidRPr="00D44A24">
        <w:rPr>
          <w:rFonts w:eastAsia="Times New Roman" w:cs="Tahoma"/>
          <w:bCs/>
          <w:iCs/>
          <w:color w:val="auto"/>
          <w:lang w:val="es-ES" w:eastAsia="es-ES"/>
        </w:rPr>
        <w:t xml:space="preserve">el derecho de acceso a la información pública se satisface en aquellos casos en que se entregue el soporte documental en el que conste la información solicitada, sin necesidad de elaborar documentos </w:t>
      </w:r>
      <w:r w:rsidRPr="00D44A24">
        <w:rPr>
          <w:rFonts w:eastAsia="Times New Roman" w:cs="Tahoma"/>
          <w:bCs/>
          <w:i/>
          <w:iCs/>
          <w:color w:val="auto"/>
          <w:lang w:eastAsia="es-ES"/>
        </w:rPr>
        <w:t>ad hoc</w:t>
      </w:r>
      <w:r w:rsidRPr="00D44A24">
        <w:rPr>
          <w:rFonts w:eastAsia="Times New Roman" w:cs="Tahoma"/>
          <w:bCs/>
          <w:iCs/>
          <w:color w:val="auto"/>
          <w:lang w:eastAsia="es-ES"/>
        </w:rPr>
        <w:t xml:space="preserve">; lo cual, de conformidad con en el artículo 160 de la Ley de Transparencia y Acceso a la Información Pública del Estado de México y Municipios, el cual refiere que los sujetos obligados deberán entregar la información que obre en sus archivos. Además, resulta aplicable </w:t>
      </w:r>
      <w:r w:rsidRPr="00D44A24">
        <w:rPr>
          <w:rFonts w:eastAsia="Times New Roman" w:cs="Tahoma"/>
          <w:bCs/>
          <w:iCs/>
          <w:color w:val="auto"/>
          <w:lang w:val="es-ES" w:eastAsia="es-ES"/>
        </w:rPr>
        <w:t>el Criterio 03/17 del Instituto Nacional de Transparencia, Acceso a la Información y Protección de Datos Personales que a continuación se cita:</w:t>
      </w:r>
    </w:p>
    <w:p w:rsidRPr="00D44A24" w:rsidR="00D44A24" w:rsidP="00D44A24" w:rsidRDefault="00D44A24" w14:paraId="4197440D" w14:textId="77777777">
      <w:pPr>
        <w:spacing w:after="0" w:line="360" w:lineRule="auto"/>
        <w:rPr>
          <w:rFonts w:eastAsia="Times New Roman" w:cs="Tahoma"/>
          <w:b/>
          <w:bCs/>
          <w:iCs/>
          <w:color w:val="auto"/>
          <w:lang w:eastAsia="es-ES"/>
        </w:rPr>
      </w:pPr>
    </w:p>
    <w:p w:rsidRPr="00D44A24" w:rsidR="00D44A24" w:rsidP="00D44A24" w:rsidRDefault="00D44A24" w14:paraId="631A73D2" w14:textId="77777777">
      <w:pPr>
        <w:spacing w:after="0" w:line="360" w:lineRule="auto"/>
        <w:ind w:left="567" w:right="567"/>
        <w:rPr>
          <w:rFonts w:eastAsia="Times New Roman" w:cs="Tahoma"/>
          <w:bCs/>
          <w:i/>
          <w:iCs/>
          <w:color w:val="auto"/>
          <w:sz w:val="20"/>
          <w:szCs w:val="20"/>
          <w:lang w:eastAsia="es-ES"/>
        </w:rPr>
      </w:pPr>
      <w:r w:rsidRPr="00D44A24">
        <w:rPr>
          <w:rFonts w:eastAsia="Times New Roman" w:cs="Tahoma"/>
          <w:b/>
          <w:bCs/>
          <w:i/>
          <w:iCs/>
          <w:color w:val="auto"/>
          <w:sz w:val="20"/>
          <w:szCs w:val="20"/>
          <w:lang w:eastAsia="es-ES"/>
        </w:rPr>
        <w:t xml:space="preserve">“No existe obligación de elaborar documentos ad hoc para atender las solicitudes de acceso a la información. </w:t>
      </w:r>
      <w:r w:rsidRPr="00D44A24">
        <w:rPr>
          <w:rFonts w:eastAsia="Times New Roman" w:cs="Tahoma"/>
          <w:bCs/>
          <w:i/>
          <w:iCs/>
          <w:color w:val="auto"/>
          <w:sz w:val="20"/>
          <w:szCs w:val="20"/>
          <w:lang w:eastAsia="es-ES"/>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Pr="00D44A24" w:rsidR="00D44A24" w:rsidP="00D44A24" w:rsidRDefault="00D44A24" w14:paraId="08DA3BF9" w14:textId="77777777">
      <w:pPr>
        <w:spacing w:after="0" w:line="360" w:lineRule="auto"/>
        <w:rPr>
          <w:rFonts w:eastAsia="Times New Roman" w:cs="Tahoma"/>
          <w:bCs/>
          <w:iCs/>
          <w:color w:val="auto"/>
          <w:lang w:val="es-ES" w:eastAsia="es-ES"/>
        </w:rPr>
      </w:pPr>
    </w:p>
    <w:p w:rsidRPr="00D44A24" w:rsidR="00D44A24" w:rsidP="00D44A24" w:rsidRDefault="00D44A24" w14:paraId="373B7C86" w14:textId="4D2EAC59">
      <w:pPr>
        <w:spacing w:after="0" w:line="360" w:lineRule="auto"/>
        <w:rPr>
          <w:rFonts w:eastAsia="Times New Roman" w:cs="Tahoma"/>
          <w:bCs/>
          <w:iCs/>
          <w:color w:val="auto"/>
          <w:lang w:val="es-ES" w:eastAsia="es-ES"/>
        </w:rPr>
      </w:pPr>
      <w:r w:rsidRPr="00D44A24">
        <w:rPr>
          <w:rFonts w:eastAsia="Times New Roman" w:cs="Tahoma"/>
          <w:bCs/>
          <w:iCs/>
          <w:color w:val="auto"/>
          <w:lang w:val="es-ES" w:eastAsia="es-ES"/>
        </w:rPr>
        <w:t xml:space="preserve">De tales circunstancias, se concluye que los sujetos obligados únicamente se encuentran constreñidos a proporcionar los documentos que den cuenta de la información solicitada, como </w:t>
      </w:r>
      <w:r w:rsidRPr="00D44A24">
        <w:rPr>
          <w:rFonts w:eastAsia="Times New Roman" w:cs="Tahoma"/>
          <w:bCs/>
          <w:iCs/>
          <w:color w:val="auto"/>
          <w:lang w:val="es-ES" w:eastAsia="es-ES"/>
        </w:rPr>
        <w:lastRenderedPageBreak/>
        <w:t xml:space="preserve">obren en sus archivos, sin tener que elaborarlos a las necesidades del Recurrente; </w:t>
      </w:r>
      <w:r w:rsidR="0002256B">
        <w:rPr>
          <w:rFonts w:eastAsia="Times New Roman" w:cs="Tahoma"/>
          <w:bCs/>
          <w:iCs/>
          <w:color w:val="auto"/>
          <w:lang w:val="es-ES" w:eastAsia="es-ES"/>
        </w:rPr>
        <w:t>por lo que, en el presente caso, se considera que el Sujeto Obligado estaba en posibilidades de proporcionar la Nómina Personal, de la primera quincena de enero a la primera de octubre de dos mil veintiuno.</w:t>
      </w:r>
    </w:p>
    <w:p w:rsidR="00D44A24" w:rsidP="00D44A24" w:rsidRDefault="00D44A24" w14:paraId="0024FBF2" w14:textId="70E87BCF">
      <w:pPr>
        <w:spacing w:after="0" w:line="360" w:lineRule="auto"/>
        <w:rPr>
          <w:rFonts w:eastAsia="Times New Roman" w:cs="Tahoma"/>
          <w:bCs/>
          <w:iCs/>
          <w:color w:val="auto"/>
          <w:lang w:val="es-ES" w:eastAsia="es-ES"/>
        </w:rPr>
      </w:pPr>
    </w:p>
    <w:p w:rsidR="00835B3C" w:rsidP="00D44A24" w:rsidRDefault="0002256B" w14:paraId="21E29E13" w14:textId="48943C73">
      <w:pPr>
        <w:spacing w:after="0" w:line="360" w:lineRule="auto"/>
        <w:rPr>
          <w:rFonts w:eastAsia="Times New Roman" w:cs="Tahoma"/>
          <w:bCs/>
          <w:iCs/>
          <w:color w:val="auto"/>
          <w:lang w:val="es-ES" w:eastAsia="es-ES"/>
        </w:rPr>
      </w:pPr>
      <w:r>
        <w:rPr>
          <w:rFonts w:eastAsia="Times New Roman" w:cs="Tahoma"/>
          <w:bCs/>
          <w:iCs/>
          <w:color w:val="auto"/>
          <w:lang w:val="es-ES" w:eastAsia="es-ES"/>
        </w:rPr>
        <w:t>Ahora bien, no pasa desapercibido que dicho documento contine el Registro Federal de Contribuyentes de los trabajadores subcontratados, por lo que, es necesario analizar si dicho datos es confidencial o público.</w:t>
      </w:r>
    </w:p>
    <w:p w:rsidR="0002256B" w:rsidP="00D44A24" w:rsidRDefault="0002256B" w14:paraId="79DFE24A" w14:textId="1CF91AE9">
      <w:pPr>
        <w:spacing w:after="0" w:line="360" w:lineRule="auto"/>
        <w:rPr>
          <w:rFonts w:eastAsia="Times New Roman" w:cs="Tahoma"/>
          <w:bCs/>
          <w:iCs/>
          <w:color w:val="auto"/>
          <w:lang w:val="es-ES" w:eastAsia="es-ES"/>
        </w:rPr>
      </w:pPr>
    </w:p>
    <w:p w:rsidRPr="0002256B" w:rsidR="0002256B" w:rsidP="0084220C" w:rsidRDefault="0002256B" w14:paraId="5FA4A83C" w14:textId="77777777">
      <w:pPr>
        <w:spacing w:after="0" w:line="360" w:lineRule="auto"/>
        <w:rPr>
          <w:rFonts w:eastAsia="Times New Roman" w:cs="Tahoma"/>
          <w:bCs/>
          <w:iCs/>
          <w:color w:val="auto"/>
          <w:lang w:val="es-ES" w:eastAsia="es-ES"/>
        </w:rPr>
      </w:pPr>
      <w:r w:rsidRPr="0002256B">
        <w:rPr>
          <w:rFonts w:eastAsia="Times New Roman" w:cs="Tahoma"/>
          <w:bCs/>
          <w:iCs/>
          <w:color w:val="auto"/>
          <w:lang w:val="es-ES" w:eastAsia="es-ES"/>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rsidRPr="0002256B" w:rsidR="0002256B" w:rsidP="0084220C" w:rsidRDefault="0002256B" w14:paraId="4AD6FC7C" w14:textId="77777777">
      <w:pPr>
        <w:spacing w:after="0" w:line="360" w:lineRule="auto"/>
        <w:rPr>
          <w:rFonts w:eastAsia="Times New Roman" w:cs="Tahoma"/>
          <w:bCs/>
          <w:iCs/>
          <w:color w:val="auto"/>
          <w:lang w:val="es-ES" w:eastAsia="es-ES"/>
        </w:rPr>
      </w:pPr>
    </w:p>
    <w:p w:rsidRPr="0002256B" w:rsidR="0002256B" w:rsidP="0084220C" w:rsidRDefault="0002256B" w14:paraId="34A0F019" w14:textId="77777777">
      <w:pPr>
        <w:spacing w:after="0" w:line="360" w:lineRule="auto"/>
        <w:rPr>
          <w:rFonts w:eastAsia="Times New Roman" w:cs="Tahoma"/>
          <w:bCs/>
          <w:iCs/>
          <w:color w:val="auto"/>
          <w:lang w:val="es-ES" w:eastAsia="es-ES"/>
        </w:rPr>
      </w:pPr>
      <w:r w:rsidRPr="0002256B">
        <w:rPr>
          <w:rFonts w:eastAsia="Times New Roman" w:cs="Tahoma"/>
          <w:bCs/>
          <w:iCs/>
          <w:color w:val="auto"/>
          <w:lang w:val="es-ES" w:eastAsia="es-ES"/>
        </w:rPr>
        <w:t xml:space="preserve">De acuerdo a lo establecido en el artículo en comento, esta clave se compone de trece caracteres alfanuméricos, con datos obtenidos de los apellidos, nombre(s), fecha de nacimiento del titular, más una </w:t>
      </w:r>
      <w:proofErr w:type="spellStart"/>
      <w:r w:rsidRPr="0002256B">
        <w:rPr>
          <w:rFonts w:eastAsia="Times New Roman" w:cs="Tahoma"/>
          <w:bCs/>
          <w:iCs/>
          <w:color w:val="auto"/>
          <w:lang w:val="es-ES" w:eastAsia="es-ES"/>
        </w:rPr>
        <w:t>homoclave</w:t>
      </w:r>
      <w:proofErr w:type="spellEnd"/>
      <w:r w:rsidRPr="0002256B">
        <w:rPr>
          <w:rFonts w:eastAsia="Times New Roman" w:cs="Tahoma"/>
          <w:bCs/>
          <w:iCs/>
          <w:color w:val="auto"/>
          <w:lang w:val="es-ES" w:eastAsia="es-ES"/>
        </w:rPr>
        <w:t xml:space="preserve"> que establece el sistema automático del Servicio de Administración Tributaria.</w:t>
      </w:r>
    </w:p>
    <w:p w:rsidRPr="0002256B" w:rsidR="0002256B" w:rsidP="0084220C" w:rsidRDefault="0002256B" w14:paraId="1D27BAC3" w14:textId="77777777">
      <w:pPr>
        <w:spacing w:after="0" w:line="360" w:lineRule="auto"/>
        <w:rPr>
          <w:rFonts w:eastAsia="Times New Roman" w:cs="Tahoma"/>
          <w:bCs/>
          <w:iCs/>
          <w:color w:val="auto"/>
          <w:lang w:val="es-ES" w:eastAsia="es-ES"/>
        </w:rPr>
      </w:pPr>
    </w:p>
    <w:p w:rsidRPr="0002256B" w:rsidR="0002256B" w:rsidP="0084220C" w:rsidRDefault="0002256B" w14:paraId="18348FDA" w14:textId="77777777">
      <w:pPr>
        <w:spacing w:after="0" w:line="360" w:lineRule="auto"/>
        <w:rPr>
          <w:rFonts w:eastAsia="Times New Roman" w:cs="Tahoma"/>
          <w:bCs/>
          <w:iCs/>
          <w:color w:val="auto"/>
          <w:lang w:val="es-ES" w:eastAsia="es-ES"/>
        </w:rPr>
      </w:pPr>
      <w:r w:rsidRPr="0002256B">
        <w:rPr>
          <w:rFonts w:eastAsia="Times New Roman" w:cs="Tahoma"/>
          <w:bCs/>
          <w:iCs/>
          <w:color w:val="auto"/>
          <w:lang w:val="es-ES" w:eastAsia="es-ES"/>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Pr="0002256B" w:rsidR="0002256B" w:rsidP="0002256B" w:rsidRDefault="0002256B" w14:paraId="337F5CD6" w14:textId="77777777">
      <w:pPr>
        <w:shd w:val="clear" w:color="auto" w:fill="FFFFFF"/>
        <w:spacing w:after="0" w:line="360" w:lineRule="auto"/>
        <w:rPr>
          <w:rFonts w:eastAsia="Calibri" w:cs="Tahoma"/>
          <w:bCs/>
          <w:iCs/>
          <w:color w:val="auto"/>
        </w:rPr>
      </w:pPr>
    </w:p>
    <w:p w:rsidRPr="0002256B" w:rsidR="0002256B" w:rsidP="0002256B" w:rsidRDefault="0002256B" w14:paraId="381951E3" w14:textId="77777777">
      <w:pPr>
        <w:shd w:val="clear" w:color="auto" w:fill="FFFFFF"/>
        <w:spacing w:after="0" w:line="360" w:lineRule="auto"/>
        <w:rPr>
          <w:rFonts w:eastAsia="Calibri" w:cs="Tahoma"/>
          <w:bCs/>
          <w:iCs/>
          <w:color w:val="auto"/>
        </w:rPr>
      </w:pPr>
      <w:r w:rsidRPr="0002256B">
        <w:rPr>
          <w:rFonts w:eastAsia="Calibri" w:cs="Tahoma"/>
          <w:bCs/>
          <w:iCs/>
          <w:color w:val="auto"/>
        </w:rPr>
        <w:lastRenderedPageBreak/>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rsidRPr="0002256B" w:rsidR="0002256B" w:rsidP="0084220C" w:rsidRDefault="0002256B" w14:paraId="3E674AA1" w14:textId="77777777">
      <w:pPr>
        <w:spacing w:after="0" w:line="360" w:lineRule="auto"/>
        <w:rPr>
          <w:rFonts w:eastAsia="Calibri" w:cs="Tahoma"/>
          <w:bCs/>
          <w:iCs/>
          <w:color w:val="auto"/>
        </w:rPr>
      </w:pPr>
    </w:p>
    <w:p w:rsidRPr="0002256B" w:rsidR="0002256B" w:rsidP="0084220C" w:rsidRDefault="0002256B" w14:paraId="1BA6E22D" w14:textId="77777777">
      <w:pPr>
        <w:spacing w:after="0" w:line="360" w:lineRule="auto"/>
        <w:rPr>
          <w:rFonts w:eastAsia="Times New Roman" w:cs="Tahoma"/>
          <w:bCs/>
          <w:iCs/>
          <w:color w:val="auto"/>
          <w:lang w:val="es-ES" w:eastAsia="es-ES"/>
        </w:rPr>
      </w:pPr>
      <w:r w:rsidRPr="0002256B">
        <w:rPr>
          <w:rFonts w:eastAsia="Times New Roman" w:cs="Tahoma"/>
          <w:bCs/>
          <w:iCs/>
          <w:color w:val="auto"/>
          <w:lang w:val="es-ES" w:eastAsia="es-ES"/>
        </w:rPr>
        <w:t>Lo anterior, resulta congruente con el Criterio 19/17 emitido por el Instituto Nacional de Transparencia, Acceso a la Información y Protección de Datos Personales, en el cual se señala lo siguiente:</w:t>
      </w:r>
    </w:p>
    <w:p w:rsidRPr="0002256B" w:rsidR="0002256B" w:rsidP="0084220C" w:rsidRDefault="0002256B" w14:paraId="6C3F8A19" w14:textId="77777777">
      <w:pPr>
        <w:spacing w:after="0" w:line="360" w:lineRule="auto"/>
        <w:ind w:left="567" w:right="567"/>
        <w:rPr>
          <w:rFonts w:eastAsia="Times New Roman" w:cs="Tahoma"/>
          <w:bCs/>
          <w:i/>
          <w:color w:val="auto"/>
          <w:sz w:val="20"/>
          <w:szCs w:val="20"/>
          <w:lang w:val="es-ES" w:eastAsia="es-ES"/>
        </w:rPr>
      </w:pPr>
    </w:p>
    <w:p w:rsidRPr="0002256B" w:rsidR="0002256B" w:rsidP="0084220C" w:rsidRDefault="0002256B" w14:paraId="5CA1D24C" w14:textId="77777777">
      <w:pPr>
        <w:spacing w:after="0" w:line="360" w:lineRule="auto"/>
        <w:ind w:left="567" w:right="567"/>
        <w:rPr>
          <w:rFonts w:eastAsia="Times New Roman" w:cs="Tahoma"/>
          <w:bCs/>
          <w:i/>
          <w:color w:val="auto"/>
          <w:sz w:val="20"/>
          <w:szCs w:val="20"/>
          <w:lang w:val="es-ES" w:eastAsia="es-ES"/>
        </w:rPr>
      </w:pPr>
      <w:r w:rsidRPr="0002256B">
        <w:rPr>
          <w:rFonts w:eastAsia="Times New Roman" w:cs="Tahoma"/>
          <w:b/>
          <w:i/>
          <w:color w:val="auto"/>
          <w:sz w:val="20"/>
          <w:szCs w:val="20"/>
          <w:lang w:val="es-ES" w:eastAsia="es-ES"/>
        </w:rPr>
        <w:t xml:space="preserve">“Registro Federal de Contribuyentes (RFC) de personas físicas. </w:t>
      </w:r>
      <w:r w:rsidRPr="0002256B">
        <w:rPr>
          <w:rFonts w:eastAsia="Times New Roman" w:cs="Tahoma"/>
          <w:bCs/>
          <w:i/>
          <w:color w:val="auto"/>
          <w:sz w:val="20"/>
          <w:szCs w:val="20"/>
          <w:lang w:val="es-ES" w:eastAsia="es-ES"/>
        </w:rPr>
        <w:t>El RFC es una clave de carácter fiscal, única e irrepetible, que permite identificar al titular, su edad y fecha de nacimiento, por lo que es un dato personal de carácter confidencial.”</w:t>
      </w:r>
    </w:p>
    <w:p w:rsidRPr="0002256B" w:rsidR="0002256B" w:rsidP="0084220C" w:rsidRDefault="0002256B" w14:paraId="470D9922" w14:textId="77777777">
      <w:pPr>
        <w:spacing w:after="0" w:line="360" w:lineRule="auto"/>
        <w:ind w:left="567" w:right="567"/>
        <w:rPr>
          <w:rFonts w:eastAsia="Times New Roman" w:cs="Tahoma"/>
          <w:bCs/>
          <w:i/>
          <w:color w:val="auto"/>
          <w:sz w:val="20"/>
          <w:szCs w:val="20"/>
          <w:lang w:val="es-ES" w:eastAsia="es-ES"/>
        </w:rPr>
      </w:pPr>
    </w:p>
    <w:p w:rsidRPr="0002256B" w:rsidR="0002256B" w:rsidP="0084220C" w:rsidRDefault="0002256B" w14:paraId="6FB879ED" w14:textId="0CE6DE16">
      <w:pPr>
        <w:spacing w:after="0" w:line="360" w:lineRule="auto"/>
        <w:rPr>
          <w:rFonts w:eastAsia="Times New Roman" w:cs="Tahoma"/>
          <w:bCs/>
          <w:iCs/>
          <w:color w:val="auto"/>
          <w:lang w:val="es-ES" w:eastAsia="es-ES"/>
        </w:rPr>
      </w:pPr>
      <w:r w:rsidRPr="0002256B">
        <w:rPr>
          <w:rFonts w:eastAsia="Times New Roman" w:cs="Tahoma"/>
          <w:bCs/>
          <w:iCs/>
          <w:color w:val="auto"/>
          <w:lang w:val="es-ES" w:eastAsia="es-ES"/>
        </w:rPr>
        <w:t>De tal suerte, el Registro Federal de Contribuyentes de</w:t>
      </w:r>
      <w:r w:rsidRPr="0084220C">
        <w:rPr>
          <w:rFonts w:eastAsia="Times New Roman" w:cs="Tahoma"/>
          <w:bCs/>
          <w:iCs/>
          <w:color w:val="auto"/>
          <w:lang w:val="es-ES" w:eastAsia="es-ES"/>
        </w:rPr>
        <w:t>l personal que labora para el Partido Político no guarda</w:t>
      </w:r>
      <w:r w:rsidRPr="0002256B">
        <w:rPr>
          <w:rFonts w:eastAsia="Times New Roman" w:cs="Tahoma"/>
          <w:bCs/>
          <w:iCs/>
          <w:color w:val="auto"/>
          <w:lang w:val="es-ES" w:eastAsia="es-ES"/>
        </w:rPr>
        <w:t xml:space="preserve">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rsidRPr="00D44A24" w:rsidR="0002256B" w:rsidP="00D44A24" w:rsidRDefault="0002256B" w14:paraId="1B8A1106" w14:textId="77777777">
      <w:pPr>
        <w:spacing w:after="0" w:line="360" w:lineRule="auto"/>
        <w:rPr>
          <w:rFonts w:eastAsia="Times New Roman" w:cs="Tahoma"/>
          <w:bCs/>
          <w:iCs/>
          <w:color w:val="auto"/>
          <w:lang w:val="es-ES" w:eastAsia="es-ES"/>
        </w:rPr>
      </w:pPr>
    </w:p>
    <w:p w:rsidRPr="00A178E6" w:rsidR="00A178E6" w:rsidP="00A178E6" w:rsidRDefault="004B7B1E" w14:paraId="60F3AEF0" w14:textId="3800DBF1">
      <w:pPr>
        <w:spacing w:after="0" w:line="360" w:lineRule="auto"/>
        <w:rPr>
          <w:rFonts w:eastAsia="Times New Roman" w:cs="Tahoma"/>
          <w:bCs/>
          <w:iCs/>
          <w:color w:val="auto"/>
          <w:lang w:val="es-ES" w:eastAsia="es-ES"/>
        </w:rPr>
      </w:pPr>
      <w:r>
        <w:rPr>
          <w:rFonts w:eastAsia="Times New Roman" w:cs="Tahoma"/>
          <w:bCs/>
          <w:iCs/>
          <w:color w:val="auto"/>
          <w:lang w:val="es-ES" w:eastAsia="es-ES"/>
        </w:rPr>
        <w:t>Por lo anterior, se considera que el Sujeto Obligado deberá entregar los documentos, en versión pública</w:t>
      </w:r>
      <w:r w:rsidRPr="00A178E6" w:rsidR="00A178E6">
        <w:rPr>
          <w:rFonts w:eastAsia="Times New Roman" w:cs="Tahoma"/>
          <w:bCs/>
          <w:iCs/>
          <w:color w:val="auto"/>
          <w:lang w:val="es-ES" w:eastAsia="es-ES"/>
        </w:rPr>
        <w:t>; al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rsidRPr="00A178E6" w:rsidR="00A178E6" w:rsidP="00A178E6" w:rsidRDefault="00A178E6" w14:paraId="7F8B2764" w14:textId="77777777">
      <w:pPr>
        <w:spacing w:after="0" w:line="360" w:lineRule="auto"/>
        <w:rPr>
          <w:rFonts w:eastAsia="Times New Roman" w:cs="Tahoma"/>
          <w:bCs/>
          <w:iCs/>
          <w:color w:val="auto"/>
          <w:lang w:val="es-ES" w:eastAsia="es-ES"/>
        </w:rPr>
      </w:pPr>
    </w:p>
    <w:p w:rsidRPr="00A178E6" w:rsidR="00A178E6" w:rsidP="00A178E6" w:rsidRDefault="00A178E6" w14:paraId="18733159" w14:textId="77777777">
      <w:pPr>
        <w:spacing w:after="0" w:line="360" w:lineRule="auto"/>
        <w:rPr>
          <w:rFonts w:eastAsia="Times New Roman" w:cs="Tahoma"/>
          <w:bCs/>
          <w:iCs/>
          <w:color w:val="auto"/>
          <w:lang w:val="es-ES" w:eastAsia="es-ES"/>
        </w:rPr>
      </w:pPr>
      <w:r w:rsidRPr="00A178E6">
        <w:rPr>
          <w:rFonts w:eastAsia="Times New Roman" w:cs="Tahoma"/>
          <w:bCs/>
          <w:iCs/>
          <w:color w:val="auto"/>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 con el fin de dar cumplimiento a la normatividad aplicable.</w:t>
      </w:r>
    </w:p>
    <w:p w:rsidR="001677C5" w:rsidP="008912B6" w:rsidRDefault="001677C5" w14:paraId="34214BA3" w14:textId="140287E4">
      <w:pPr>
        <w:spacing w:after="0" w:line="360" w:lineRule="auto"/>
        <w:rPr>
          <w:rFonts w:eastAsia="Times New Roman" w:cs="Tahoma"/>
          <w:bCs/>
          <w:iCs/>
          <w:color w:val="auto"/>
          <w:lang w:val="es-ES" w:eastAsia="es-ES"/>
        </w:rPr>
      </w:pPr>
    </w:p>
    <w:p w:rsidRPr="004B7B1E" w:rsidR="004B7B1E" w:rsidP="008912B6" w:rsidRDefault="004B7B1E" w14:paraId="4023F96A" w14:textId="5CAD1901">
      <w:pPr>
        <w:spacing w:after="0" w:line="360" w:lineRule="auto"/>
        <w:rPr>
          <w:rFonts w:eastAsia="Times New Roman" w:cs="Tahoma"/>
          <w:b/>
          <w:iCs/>
          <w:color w:val="auto"/>
          <w:lang w:val="es-ES" w:eastAsia="es-ES"/>
        </w:rPr>
      </w:pPr>
      <w:r w:rsidRPr="004B7B1E">
        <w:rPr>
          <w:rFonts w:eastAsia="Times New Roman" w:cs="Tahoma"/>
          <w:b/>
          <w:iCs/>
          <w:color w:val="auto"/>
          <w:lang w:val="es-ES" w:eastAsia="es-ES"/>
        </w:rPr>
        <w:t>Monto total de financiamiento público destinado para el sostenimiento de actividades ordinarias permanentes y actividades específicas para el pago de sueldos, salarios, honorarios o cualquier otra retribución para personal del Partido Político</w:t>
      </w:r>
      <w:r w:rsidR="004F4FC6">
        <w:rPr>
          <w:rFonts w:eastAsia="Times New Roman" w:cs="Tahoma"/>
          <w:b/>
          <w:iCs/>
          <w:color w:val="auto"/>
          <w:lang w:val="es-ES" w:eastAsia="es-ES"/>
        </w:rPr>
        <w:t>.</w:t>
      </w:r>
    </w:p>
    <w:p w:rsidR="004B7B1E" w:rsidP="008912B6" w:rsidRDefault="004B7B1E" w14:paraId="699A3F9B" w14:textId="0D43E65E">
      <w:pPr>
        <w:spacing w:after="0" w:line="360" w:lineRule="auto"/>
        <w:rPr>
          <w:rFonts w:eastAsia="Times New Roman" w:cs="Tahoma"/>
          <w:bCs/>
          <w:iCs/>
          <w:color w:val="auto"/>
          <w:lang w:val="es-ES" w:eastAsia="es-ES"/>
        </w:rPr>
      </w:pPr>
    </w:p>
    <w:p w:rsidR="004B7B1E" w:rsidP="008912B6" w:rsidRDefault="00831872" w14:paraId="00E9621E" w14:textId="362DE5A9">
      <w:pPr>
        <w:spacing w:after="0" w:line="360" w:lineRule="auto"/>
        <w:rPr>
          <w:rFonts w:eastAsia="Times New Roman" w:cs="Tahoma"/>
          <w:bCs/>
          <w:iCs/>
          <w:color w:val="auto"/>
          <w:lang w:val="es-ES" w:eastAsia="es-ES"/>
        </w:rPr>
      </w:pPr>
      <w:r>
        <w:rPr>
          <w:rFonts w:eastAsia="Times New Roman" w:cs="Tahoma"/>
          <w:bCs/>
          <w:iCs/>
          <w:color w:val="auto"/>
          <w:lang w:val="es-ES" w:eastAsia="es-ES"/>
        </w:rPr>
        <w:t>En principio, es necesario señalar que conforme a los artículos 50 y 51, de la Ley General de Partidos Políticos, así como</w:t>
      </w:r>
      <w:r w:rsidR="00584A11">
        <w:rPr>
          <w:rFonts w:eastAsia="Times New Roman" w:cs="Tahoma"/>
          <w:bCs/>
          <w:iCs/>
          <w:color w:val="auto"/>
          <w:lang w:val="es-ES" w:eastAsia="es-ES"/>
        </w:rPr>
        <w:t>, 65, fracción I, 66, fracciones I y II, del Código Electoral del Estado de México, precisan que los Partidos Políticos, tienen derecho a recibir, para desarrollar sus actividades, financiamiento público para el ejercicio de sus actividades ordinarias y específicas.</w:t>
      </w:r>
    </w:p>
    <w:p w:rsidR="00584A11" w:rsidP="008912B6" w:rsidRDefault="00584A11" w14:paraId="31A0587E" w14:textId="45A6048B">
      <w:pPr>
        <w:spacing w:after="0" w:line="360" w:lineRule="auto"/>
        <w:rPr>
          <w:rFonts w:eastAsia="Times New Roman" w:cs="Tahoma"/>
          <w:bCs/>
          <w:iCs/>
          <w:color w:val="auto"/>
          <w:lang w:val="es-ES" w:eastAsia="es-ES"/>
        </w:rPr>
      </w:pPr>
    </w:p>
    <w:p w:rsidR="0020147B" w:rsidP="008912B6" w:rsidRDefault="0020147B" w14:paraId="0D093046" w14:textId="4805EC0A">
      <w:pPr>
        <w:spacing w:after="0" w:line="360" w:lineRule="auto"/>
        <w:rPr>
          <w:rFonts w:eastAsia="Times New Roman" w:cs="Tahoma"/>
          <w:bCs/>
          <w:iCs/>
          <w:color w:val="auto"/>
          <w:lang w:val="es-ES" w:eastAsia="es-ES"/>
        </w:rPr>
      </w:pPr>
      <w:r>
        <w:rPr>
          <w:rFonts w:eastAsia="Times New Roman" w:cs="Tahoma"/>
          <w:bCs/>
          <w:iCs/>
          <w:color w:val="auto"/>
          <w:lang w:val="es-ES" w:eastAsia="es-ES"/>
        </w:rPr>
        <w:t xml:space="preserve">En ese contexto, la página oficial del Instituto Electoral del Estado de México (consultada el diecinueve de enero de dos mil veintiuno, a las trece horas, en la liga electrónica </w:t>
      </w:r>
      <w:r w:rsidRPr="0020147B">
        <w:rPr>
          <w:rFonts w:eastAsia="Times New Roman" w:cs="Tahoma"/>
          <w:bCs/>
          <w:iCs/>
          <w:color w:val="auto"/>
          <w:lang w:val="es-ES" w:eastAsia="es-ES"/>
        </w:rPr>
        <w:t>https://www.ine.mx/actores-politicos/partidos-politicos-nacionales/financiamiento-publico/</w:t>
      </w:r>
      <w:r>
        <w:rPr>
          <w:rFonts w:eastAsia="Times New Roman" w:cs="Tahoma"/>
          <w:bCs/>
          <w:iCs/>
          <w:color w:val="auto"/>
          <w:lang w:val="es-ES" w:eastAsia="es-ES"/>
        </w:rPr>
        <w:t>), precisa lo siguiente:</w:t>
      </w:r>
    </w:p>
    <w:p w:rsidR="0020147B" w:rsidP="008912B6" w:rsidRDefault="0020147B" w14:paraId="263D1912" w14:textId="10F78E6D">
      <w:pPr>
        <w:spacing w:after="0" w:line="360" w:lineRule="auto"/>
        <w:rPr>
          <w:rFonts w:eastAsia="Times New Roman" w:cs="Tahoma"/>
          <w:bCs/>
          <w:iCs/>
          <w:color w:val="auto"/>
          <w:lang w:val="es-ES" w:eastAsia="es-ES"/>
        </w:rPr>
      </w:pPr>
    </w:p>
    <w:p w:rsidRPr="0020147B" w:rsidR="0020147B" w:rsidP="0020147B" w:rsidRDefault="0020147B" w14:paraId="041F98A2" w14:textId="621A47B2">
      <w:pPr>
        <w:pStyle w:val="Prrafodelista"/>
        <w:numPr>
          <w:ilvl w:val="0"/>
          <w:numId w:val="47"/>
        </w:numPr>
        <w:spacing w:line="360" w:lineRule="auto"/>
        <w:rPr>
          <w:rFonts w:cs="Tahoma"/>
          <w:b/>
          <w:iCs/>
          <w:color w:val="auto"/>
          <w:lang w:val="es-ES"/>
        </w:rPr>
      </w:pPr>
      <w:r w:rsidRPr="0020147B">
        <w:rPr>
          <w:rFonts w:cs="Tahoma"/>
          <w:b/>
          <w:iCs/>
          <w:color w:val="auto"/>
          <w:lang w:val="es-ES"/>
        </w:rPr>
        <w:t>Actividades Ordinarias:</w:t>
      </w:r>
      <w:r>
        <w:rPr>
          <w:rFonts w:cs="Tahoma"/>
          <w:b/>
          <w:iCs/>
          <w:color w:val="auto"/>
          <w:lang w:val="es-ES"/>
        </w:rPr>
        <w:t xml:space="preserve"> </w:t>
      </w:r>
      <w:r>
        <w:rPr>
          <w:rFonts w:cs="Tahoma"/>
          <w:bCs/>
          <w:iCs/>
          <w:color w:val="auto"/>
          <w:lang w:val="es-ES"/>
        </w:rPr>
        <w:t>Se compone de los gatos para conseguir la participación ciudadana, difusión de la cultura política y liderazgo político, el gasto de los procesos internos, sueldos y salarios, arrendamiento de muebles e inmuebles, papelería, energía eléctrica, combustible, viáticos, entre otros</w:t>
      </w:r>
      <w:r w:rsidR="002D114E">
        <w:rPr>
          <w:rFonts w:cs="Tahoma"/>
          <w:bCs/>
          <w:iCs/>
          <w:color w:val="auto"/>
          <w:lang w:val="es-ES"/>
        </w:rPr>
        <w:t>; el cual se aprueba de manera anual y se entrega de manera mensual.</w:t>
      </w:r>
    </w:p>
    <w:p w:rsidRPr="0020147B" w:rsidR="0020147B" w:rsidP="0020147B" w:rsidRDefault="0020147B" w14:paraId="4633354E" w14:textId="77777777">
      <w:pPr>
        <w:pStyle w:val="Prrafodelista"/>
        <w:spacing w:line="360" w:lineRule="auto"/>
        <w:rPr>
          <w:rFonts w:cs="Tahoma"/>
          <w:b/>
          <w:iCs/>
          <w:color w:val="auto"/>
          <w:lang w:val="es-ES"/>
        </w:rPr>
      </w:pPr>
    </w:p>
    <w:p w:rsidRPr="0020147B" w:rsidR="0020147B" w:rsidP="0020147B" w:rsidRDefault="0020147B" w14:paraId="05E960D0" w14:textId="6096340C">
      <w:pPr>
        <w:pStyle w:val="Prrafodelista"/>
        <w:numPr>
          <w:ilvl w:val="0"/>
          <w:numId w:val="47"/>
        </w:numPr>
        <w:spacing w:line="360" w:lineRule="auto"/>
        <w:rPr>
          <w:rFonts w:cs="Tahoma"/>
          <w:b/>
          <w:iCs/>
          <w:color w:val="auto"/>
          <w:lang w:val="es-ES"/>
        </w:rPr>
      </w:pPr>
      <w:r w:rsidRPr="0020147B">
        <w:rPr>
          <w:rFonts w:cs="Tahoma"/>
          <w:b/>
          <w:iCs/>
          <w:color w:val="auto"/>
          <w:lang w:val="es-ES"/>
        </w:rPr>
        <w:lastRenderedPageBreak/>
        <w:t>Actividades Específicas:</w:t>
      </w:r>
      <w:r>
        <w:rPr>
          <w:rFonts w:cs="Tahoma"/>
          <w:b/>
          <w:iCs/>
          <w:color w:val="auto"/>
          <w:lang w:val="es-ES"/>
        </w:rPr>
        <w:t xml:space="preserve"> </w:t>
      </w:r>
      <w:r>
        <w:rPr>
          <w:rFonts w:cs="Tahoma"/>
          <w:bCs/>
          <w:iCs/>
          <w:color w:val="auto"/>
          <w:lang w:val="es-ES"/>
        </w:rPr>
        <w:t>Se compone a los gastos destinados a acti</w:t>
      </w:r>
      <w:r w:rsidR="002D114E">
        <w:rPr>
          <w:rFonts w:cs="Tahoma"/>
          <w:bCs/>
          <w:iCs/>
          <w:color w:val="auto"/>
          <w:lang w:val="es-ES"/>
        </w:rPr>
        <w:t>vidades de educación, capacitación, investigación socioeconómica y política y tares editoriales, el cual se determina anualmente y se entrega mensualmente.</w:t>
      </w:r>
    </w:p>
    <w:p w:rsidR="0020147B" w:rsidP="008912B6" w:rsidRDefault="0020147B" w14:paraId="3BACF010" w14:textId="77777777">
      <w:pPr>
        <w:spacing w:after="0" w:line="360" w:lineRule="auto"/>
        <w:rPr>
          <w:rFonts w:eastAsia="Times New Roman" w:cs="Tahoma"/>
          <w:bCs/>
          <w:iCs/>
          <w:color w:val="auto"/>
          <w:lang w:val="es-ES" w:eastAsia="es-ES"/>
        </w:rPr>
      </w:pPr>
    </w:p>
    <w:p w:rsidR="00584A11" w:rsidP="008912B6" w:rsidRDefault="00584A11" w14:paraId="2AAC46D2" w14:textId="2F0342B0">
      <w:pPr>
        <w:spacing w:after="0" w:line="360" w:lineRule="auto"/>
        <w:rPr>
          <w:rFonts w:eastAsia="Times New Roman" w:cs="Tahoma"/>
          <w:b/>
          <w:iCs/>
          <w:color w:val="auto"/>
          <w:lang w:eastAsia="es-ES"/>
        </w:rPr>
      </w:pPr>
      <w:r>
        <w:rPr>
          <w:rFonts w:eastAsia="Times New Roman" w:cs="Tahoma"/>
          <w:bCs/>
          <w:iCs/>
          <w:color w:val="auto"/>
          <w:lang w:val="es-ES" w:eastAsia="es-ES"/>
        </w:rPr>
        <w:t>En ese orden de ideas, el artículo 61 de la Ley General referida, establece que los Partidos Políticos deberá llevar su con</w:t>
      </w:r>
      <w:proofErr w:type="spellStart"/>
      <w:r w:rsidRPr="00584A11">
        <w:rPr>
          <w:rFonts w:eastAsia="Times New Roman" w:cs="Tahoma"/>
          <w:bCs/>
          <w:iCs/>
          <w:color w:val="auto"/>
          <w:lang w:eastAsia="es-ES"/>
        </w:rPr>
        <w:t>tabilidad</w:t>
      </w:r>
      <w:proofErr w:type="spellEnd"/>
      <w:r w:rsidRPr="00584A11">
        <w:rPr>
          <w:rFonts w:eastAsia="Times New Roman" w:cs="Tahoma"/>
          <w:bCs/>
          <w:iCs/>
          <w:color w:val="auto"/>
          <w:lang w:eastAsia="es-ES"/>
        </w:rPr>
        <w:t xml:space="preserve"> mediante libros, sistemas, registros contables, estados de cuenta, cuentas especiales, papeles de trabajo, discos o cualquier medio procesable de almacenamiento de datos que les permitan facilitar el registro y la fiscalización de sus activos, pasivos, ingresos y gastos y, en general, contribuir a medir la eficacia, economía y eficiencia del gasto e ingresos y la administración de la deuda</w:t>
      </w:r>
      <w:r>
        <w:rPr>
          <w:rFonts w:eastAsia="Times New Roman" w:cs="Tahoma"/>
          <w:bCs/>
          <w:iCs/>
          <w:color w:val="auto"/>
          <w:lang w:eastAsia="es-ES"/>
        </w:rPr>
        <w:t xml:space="preserve">; además, que deberán realizar actividades de </w:t>
      </w:r>
      <w:r>
        <w:rPr>
          <w:rFonts w:eastAsia="Times New Roman" w:cs="Tahoma"/>
          <w:b/>
          <w:iCs/>
          <w:color w:val="auto"/>
          <w:lang w:eastAsia="es-ES"/>
        </w:rPr>
        <w:t>planeación financiera, control de recursos, análisis y fiscalización.</w:t>
      </w:r>
    </w:p>
    <w:p w:rsidR="00584A11" w:rsidP="008912B6" w:rsidRDefault="00584A11" w14:paraId="2B2223D2" w14:textId="57C4E683">
      <w:pPr>
        <w:spacing w:after="0" w:line="360" w:lineRule="auto"/>
        <w:rPr>
          <w:rFonts w:eastAsia="Times New Roman" w:cs="Tahoma"/>
          <w:b/>
          <w:iCs/>
          <w:color w:val="auto"/>
          <w:lang w:eastAsia="es-ES"/>
        </w:rPr>
      </w:pPr>
    </w:p>
    <w:p w:rsidR="00584A11" w:rsidP="008912B6" w:rsidRDefault="0020147B" w14:paraId="37CC0469" w14:textId="36F10DAD">
      <w:pPr>
        <w:spacing w:after="0" w:line="360" w:lineRule="auto"/>
        <w:rPr>
          <w:rFonts w:eastAsia="Times New Roman" w:cs="Tahoma"/>
          <w:bCs/>
          <w:iCs/>
          <w:color w:val="auto"/>
          <w:lang w:eastAsia="es-ES"/>
        </w:rPr>
      </w:pPr>
      <w:r>
        <w:rPr>
          <w:rFonts w:eastAsia="Times New Roman" w:cs="Tahoma"/>
          <w:bCs/>
          <w:iCs/>
          <w:color w:val="auto"/>
          <w:lang w:eastAsia="es-ES"/>
        </w:rPr>
        <w:t>Para lograr lo anterior, los Partidos Políticos deberán contar con un Órgano Interno encargado de la recepción y administración de sus recursos generales, así como de la presentación de los informes correspondientes.</w:t>
      </w:r>
    </w:p>
    <w:p w:rsidR="0020147B" w:rsidP="008912B6" w:rsidRDefault="0020147B" w14:paraId="58A677BE" w14:textId="054CA252">
      <w:pPr>
        <w:spacing w:after="0" w:line="360" w:lineRule="auto"/>
        <w:rPr>
          <w:rFonts w:eastAsia="Times New Roman" w:cs="Tahoma"/>
          <w:bCs/>
          <w:iCs/>
          <w:color w:val="auto"/>
          <w:lang w:eastAsia="es-ES"/>
        </w:rPr>
      </w:pPr>
    </w:p>
    <w:p w:rsidR="0020147B" w:rsidP="008912B6" w:rsidRDefault="002D114E" w14:paraId="67FBE5A6" w14:textId="346DA650">
      <w:pPr>
        <w:spacing w:after="0" w:line="360" w:lineRule="auto"/>
        <w:rPr>
          <w:rFonts w:eastAsia="Times New Roman" w:cs="Tahoma"/>
          <w:bCs/>
          <w:iCs/>
          <w:color w:val="auto"/>
          <w:lang w:val="es-ES" w:eastAsia="es-ES"/>
        </w:rPr>
      </w:pPr>
      <w:r>
        <w:rPr>
          <w:rFonts w:eastAsia="Times New Roman" w:cs="Tahoma"/>
          <w:bCs/>
          <w:iCs/>
          <w:color w:val="auto"/>
          <w:lang w:val="es-ES" w:eastAsia="es-ES"/>
        </w:rPr>
        <w:t>Conforme a lo anterior, en el presente caso, se logra vislumbrar que la pretensión del ahora Recurrente, es conocer el monto del financiamiento público que tiene planeado utilizar el Partido Político para el pago de sueldos y salarios de los trabajadores, durante el mes de septiembre y octubre de dos mil veintiuno, con el mayor grado de desagregación posible.</w:t>
      </w:r>
    </w:p>
    <w:p w:rsidR="002D114E" w:rsidP="008912B6" w:rsidRDefault="002D114E" w14:paraId="6D92213A" w14:textId="1A11A9EE">
      <w:pPr>
        <w:spacing w:after="0" w:line="360" w:lineRule="auto"/>
        <w:rPr>
          <w:rFonts w:eastAsia="Times New Roman" w:cs="Tahoma"/>
          <w:bCs/>
          <w:iCs/>
          <w:color w:val="auto"/>
          <w:lang w:val="es-ES" w:eastAsia="es-ES"/>
        </w:rPr>
      </w:pPr>
    </w:p>
    <w:p w:rsidR="002D114E" w:rsidP="008912B6" w:rsidRDefault="002D114E" w14:paraId="32B0CCAE" w14:textId="7BFA524E">
      <w:pPr>
        <w:spacing w:after="0" w:line="360" w:lineRule="auto"/>
        <w:rPr>
          <w:rFonts w:eastAsia="Times New Roman" w:cs="Tahoma"/>
          <w:bCs/>
          <w:iCs/>
          <w:color w:val="auto"/>
          <w:lang w:val="es-ES" w:eastAsia="es-ES"/>
        </w:rPr>
      </w:pPr>
      <w:r>
        <w:rPr>
          <w:rFonts w:eastAsia="Times New Roman" w:cs="Tahoma"/>
          <w:bCs/>
          <w:iCs/>
          <w:color w:val="auto"/>
          <w:lang w:val="es-ES" w:eastAsia="es-ES"/>
        </w:rPr>
        <w:t xml:space="preserve">Es decir, </w:t>
      </w:r>
      <w:r w:rsidR="00EE3450">
        <w:rPr>
          <w:rFonts w:eastAsia="Times New Roman" w:cs="Tahoma"/>
          <w:bCs/>
          <w:iCs/>
          <w:color w:val="auto"/>
          <w:lang w:val="es-ES" w:eastAsia="es-ES"/>
        </w:rPr>
        <w:t xml:space="preserve">el Solicitante </w:t>
      </w:r>
      <w:r>
        <w:rPr>
          <w:rFonts w:eastAsia="Times New Roman" w:cs="Tahoma"/>
          <w:bCs/>
          <w:iCs/>
          <w:color w:val="auto"/>
          <w:lang w:val="es-ES" w:eastAsia="es-ES"/>
        </w:rPr>
        <w:t xml:space="preserve">quiere obtener la estimación </w:t>
      </w:r>
      <w:r w:rsidR="00EE3450">
        <w:rPr>
          <w:rFonts w:eastAsia="Times New Roman" w:cs="Tahoma"/>
          <w:bCs/>
          <w:iCs/>
          <w:color w:val="auto"/>
          <w:lang w:val="es-ES" w:eastAsia="es-ES"/>
        </w:rPr>
        <w:t xml:space="preserve">de recursos (obtenidos de financiamiento público) </w:t>
      </w:r>
      <w:r>
        <w:rPr>
          <w:rFonts w:eastAsia="Times New Roman" w:cs="Tahoma"/>
          <w:bCs/>
          <w:iCs/>
          <w:color w:val="auto"/>
          <w:lang w:val="es-ES" w:eastAsia="es-ES"/>
        </w:rPr>
        <w:t xml:space="preserve">que el Partido de Movimiento Ciudadano planea utilizar </w:t>
      </w:r>
      <w:r w:rsidR="00EE3450">
        <w:rPr>
          <w:rFonts w:eastAsia="Times New Roman" w:cs="Tahoma"/>
          <w:bCs/>
          <w:iCs/>
          <w:color w:val="auto"/>
          <w:lang w:val="es-ES" w:eastAsia="es-ES"/>
        </w:rPr>
        <w:t>durante el mes de septiembre y octubre para el pago de remuneraciones de los trabajadores del partido.</w:t>
      </w:r>
    </w:p>
    <w:p w:rsidR="009A6223" w:rsidP="008912B6" w:rsidRDefault="009A6223" w14:paraId="4D347A63" w14:textId="77777777">
      <w:pPr>
        <w:spacing w:after="0" w:line="360" w:lineRule="auto"/>
        <w:rPr>
          <w:rFonts w:eastAsia="Times New Roman" w:cs="Tahoma"/>
          <w:bCs/>
          <w:iCs/>
          <w:color w:val="auto"/>
          <w:lang w:val="es-ES" w:eastAsia="es-ES"/>
        </w:rPr>
      </w:pPr>
    </w:p>
    <w:p w:rsidR="00EE3450" w:rsidP="008912B6" w:rsidRDefault="00EE3450" w14:paraId="0C8B2A79" w14:textId="303B3F75">
      <w:pPr>
        <w:spacing w:after="0" w:line="360" w:lineRule="auto"/>
        <w:rPr>
          <w:rFonts w:eastAsia="Times New Roman" w:cs="Tahoma"/>
          <w:bCs/>
          <w:iCs/>
          <w:color w:val="auto"/>
          <w:lang w:val="es-ES" w:eastAsia="es-ES"/>
        </w:rPr>
      </w:pPr>
      <w:r>
        <w:rPr>
          <w:rFonts w:eastAsia="Times New Roman" w:cs="Tahoma"/>
          <w:bCs/>
          <w:iCs/>
          <w:color w:val="auto"/>
          <w:lang w:val="es-ES" w:eastAsia="es-ES"/>
        </w:rPr>
        <w:t xml:space="preserve">Ahora bien, el Sujeto Obligado, tanto en respuesta, como Informe Justificado, señaló por una parte, que la información se localizaba en el Portal de Información Pública de Oficio </w:t>
      </w:r>
      <w:r>
        <w:rPr>
          <w:rFonts w:eastAsia="Times New Roman" w:cs="Tahoma"/>
          <w:bCs/>
          <w:iCs/>
          <w:color w:val="auto"/>
          <w:lang w:val="es-ES" w:eastAsia="es-ES"/>
        </w:rPr>
        <w:lastRenderedPageBreak/>
        <w:t xml:space="preserve">Mexiquense, en específico en la liga electrónica </w:t>
      </w:r>
      <w:r w:rsidRPr="009561CA" w:rsidR="009561CA">
        <w:rPr>
          <w:rFonts w:eastAsia="Times New Roman" w:cs="Tahoma"/>
          <w:bCs/>
          <w:iCs/>
          <w:color w:val="auto"/>
          <w:lang w:val="es-ES" w:eastAsia="es-ES"/>
        </w:rPr>
        <w:t>https://www.ipomex.org.mx/ipo3/lgt/indice/PMCIU/art_100_xxiv_a/3.web</w:t>
      </w:r>
      <w:r>
        <w:rPr>
          <w:rFonts w:eastAsia="Times New Roman" w:cs="Tahoma"/>
          <w:bCs/>
          <w:iCs/>
          <w:color w:val="auto"/>
          <w:lang w:val="es-ES" w:eastAsia="es-ES"/>
        </w:rPr>
        <w:t>, de cuya revisión, remite a</w:t>
      </w:r>
      <w:r w:rsidR="009561CA">
        <w:rPr>
          <w:rFonts w:eastAsia="Times New Roman" w:cs="Tahoma"/>
          <w:bCs/>
          <w:iCs/>
          <w:color w:val="auto"/>
          <w:lang w:val="es-ES" w:eastAsia="es-ES"/>
        </w:rPr>
        <w:t>l apartado de Financiamiento público y descuentos, el cual contiene los montos mensuales asignados para actividades permanentes y específicas, para el año dos mil veintiuno.</w:t>
      </w:r>
    </w:p>
    <w:p w:rsidR="009561CA" w:rsidP="008912B6" w:rsidRDefault="009561CA" w14:paraId="6BFE263F" w14:textId="100E2850">
      <w:pPr>
        <w:spacing w:after="0" w:line="360" w:lineRule="auto"/>
        <w:rPr>
          <w:rFonts w:eastAsia="Times New Roman" w:cs="Tahoma"/>
          <w:bCs/>
          <w:iCs/>
          <w:color w:val="auto"/>
          <w:lang w:val="es-ES" w:eastAsia="es-ES"/>
        </w:rPr>
      </w:pPr>
    </w:p>
    <w:p w:rsidR="009561CA" w:rsidP="008912B6" w:rsidRDefault="009561CA" w14:paraId="0A2D4E6C" w14:textId="2C2A9F69">
      <w:pPr>
        <w:spacing w:after="0" w:line="360" w:lineRule="auto"/>
        <w:rPr>
          <w:rFonts w:eastAsia="Times New Roman" w:cs="Tahoma"/>
          <w:bCs/>
          <w:iCs/>
          <w:color w:val="auto"/>
          <w:lang w:val="es-ES" w:eastAsia="es-ES"/>
        </w:rPr>
      </w:pPr>
      <w:r>
        <w:rPr>
          <w:rFonts w:eastAsia="Times New Roman" w:cs="Tahoma"/>
          <w:bCs/>
          <w:iCs/>
          <w:color w:val="auto"/>
          <w:lang w:val="es-ES" w:eastAsia="es-ES"/>
        </w:rPr>
        <w:t>Al respecto, cabe señalar que dicha información no corresponde con lo solicitado, pues el Particular, en el presente punto no quiere conocer de los montos que le asigna el Instituto Electoral del Estado de México, sino requiere conocer el monto planeó asignar el Sujeto Obligado, durante los meses de septiembre y octubre de dos mil veintiuno.</w:t>
      </w:r>
    </w:p>
    <w:p w:rsidR="002D114E" w:rsidP="008912B6" w:rsidRDefault="002D114E" w14:paraId="18CCE410" w14:textId="07560139">
      <w:pPr>
        <w:spacing w:after="0" w:line="360" w:lineRule="auto"/>
        <w:rPr>
          <w:rFonts w:eastAsia="Times New Roman" w:cs="Tahoma"/>
          <w:bCs/>
          <w:iCs/>
          <w:color w:val="auto"/>
          <w:lang w:val="es-ES" w:eastAsia="es-ES"/>
        </w:rPr>
      </w:pPr>
    </w:p>
    <w:p w:rsidR="002D114E" w:rsidP="008912B6" w:rsidRDefault="009561CA" w14:paraId="09799F28" w14:textId="23F17BB1">
      <w:pPr>
        <w:spacing w:after="0" w:line="360" w:lineRule="auto"/>
        <w:rPr>
          <w:rFonts w:eastAsia="Times New Roman" w:cs="Tahoma"/>
          <w:bCs/>
          <w:iCs/>
          <w:color w:val="auto"/>
          <w:lang w:val="es-ES" w:eastAsia="es-ES"/>
        </w:rPr>
      </w:pPr>
      <w:r>
        <w:rPr>
          <w:rFonts w:eastAsia="Times New Roman" w:cs="Tahoma"/>
          <w:bCs/>
          <w:iCs/>
          <w:color w:val="auto"/>
          <w:lang w:val="es-ES" w:eastAsia="es-ES"/>
        </w:rPr>
        <w:t>Por otra parte, señaló que el monto erogado del primero de enero al primero de noviembre de dos mil veintiuno, para el pago de remuneraciones, correspondía a la cantidad de siete millones veintiséis mil pesos, información que tampoco corresponde con lo peticionado, pues la pretensión del Recurrente, es obtener lo que haría a las veces del monto presupuestado, es decir, el planeado a ocupar a un determinado concepto.</w:t>
      </w:r>
    </w:p>
    <w:p w:rsidR="00B93AB6" w:rsidP="008912B6" w:rsidRDefault="00B93AB6" w14:paraId="02230062" w14:textId="13D2633B">
      <w:pPr>
        <w:spacing w:after="0" w:line="360" w:lineRule="auto"/>
        <w:rPr>
          <w:rFonts w:eastAsia="Times New Roman" w:cs="Tahoma"/>
          <w:bCs/>
          <w:iCs/>
          <w:color w:val="auto"/>
          <w:lang w:val="es-ES" w:eastAsia="es-ES"/>
        </w:rPr>
      </w:pPr>
    </w:p>
    <w:p w:rsidRPr="00B93AB6" w:rsidR="00B93AB6" w:rsidP="00B93AB6" w:rsidRDefault="00B93AB6" w14:paraId="579ABF34" w14:textId="375B39C8">
      <w:pPr>
        <w:spacing w:after="0" w:line="360" w:lineRule="auto"/>
        <w:rPr>
          <w:rFonts w:eastAsia="Times New Roman" w:cs="Tahoma"/>
          <w:bCs/>
          <w:iCs/>
          <w:color w:val="auto"/>
          <w:lang w:val="es-ES" w:eastAsia="es-ES"/>
        </w:rPr>
      </w:pPr>
      <w:r>
        <w:rPr>
          <w:rFonts w:eastAsia="Times New Roman" w:cs="Tahoma"/>
          <w:bCs/>
          <w:iCs/>
          <w:color w:val="auto"/>
          <w:lang w:val="es-ES" w:eastAsia="es-ES"/>
        </w:rPr>
        <w:t xml:space="preserve">Conforme a lo anterior, este Instituto considera que la información proporcionada por el Sujeto Obligado, no guarda relación con lo peticionado </w:t>
      </w:r>
      <w:r w:rsidR="009A6223">
        <w:rPr>
          <w:rFonts w:eastAsia="Times New Roman" w:cs="Tahoma"/>
          <w:bCs/>
          <w:iCs/>
          <w:color w:val="auto"/>
          <w:lang w:val="es-ES" w:eastAsia="es-ES"/>
        </w:rPr>
        <w:t>y,</w:t>
      </w:r>
      <w:r>
        <w:rPr>
          <w:rFonts w:eastAsia="Times New Roman" w:cs="Tahoma"/>
          <w:bCs/>
          <w:iCs/>
          <w:color w:val="auto"/>
          <w:lang w:val="es-ES" w:eastAsia="es-ES"/>
        </w:rPr>
        <w:t xml:space="preserve"> por lo tanto, es incongruente; </w:t>
      </w:r>
      <w:r w:rsidRPr="00B93AB6">
        <w:rPr>
          <w:rFonts w:eastAsia="Times New Roman" w:cs="Tahoma"/>
          <w:bCs/>
          <w:iCs/>
          <w:color w:val="auto"/>
          <w:lang w:val="es-ES" w:eastAsia="es-ES"/>
        </w:rPr>
        <w:t>sobre dicha situación, el artículo 1.8, fracción IX, del Código Administrativo del Estado de México, establece que para que un acto administrativo tenga validez, deberá guardar congruencia con lo solicitado.</w:t>
      </w:r>
    </w:p>
    <w:p w:rsidRPr="00B93AB6" w:rsidR="00B93AB6" w:rsidP="00B93AB6" w:rsidRDefault="00B93AB6" w14:paraId="66A62087" w14:textId="77777777">
      <w:pPr>
        <w:spacing w:after="0" w:line="360" w:lineRule="auto"/>
        <w:rPr>
          <w:rFonts w:eastAsia="Times New Roman" w:cs="Tahoma"/>
          <w:b/>
          <w:color w:val="auto"/>
          <w:lang w:val="es-ES" w:eastAsia="es-ES"/>
        </w:rPr>
      </w:pPr>
    </w:p>
    <w:p w:rsidRPr="00B93AB6" w:rsidR="00B93AB6" w:rsidP="00B93AB6" w:rsidRDefault="00B93AB6" w14:paraId="0E3AD7CD" w14:textId="77777777">
      <w:pPr>
        <w:spacing w:after="0" w:line="360" w:lineRule="auto"/>
        <w:rPr>
          <w:rFonts w:eastAsia="Calibri" w:cs="Tahoma"/>
          <w:bCs/>
          <w:color w:val="auto"/>
          <w:lang w:val="es-ES"/>
        </w:rPr>
      </w:pPr>
      <w:r w:rsidRPr="00B93AB6">
        <w:rPr>
          <w:rFonts w:eastAsia="Times New Roman" w:cs="Times New Roman"/>
          <w:color w:val="auto"/>
          <w:lang w:val="es-ES" w:eastAsia="es-ES"/>
        </w:rPr>
        <w:t>Asimismo,</w:t>
      </w:r>
      <w:r w:rsidRPr="00B93AB6">
        <w:rPr>
          <w:rFonts w:eastAsia="Times New Roman" w:cs="Tahoma"/>
          <w:color w:val="auto"/>
          <w:szCs w:val="20"/>
          <w:lang w:eastAsia="es-MX"/>
        </w:rPr>
        <w:t xml:space="preserve"> resulta necesario traer</w:t>
      </w:r>
      <w:r w:rsidRPr="00B93AB6">
        <w:rPr>
          <w:rFonts w:eastAsia="Calibri" w:cs="Tahoma"/>
          <w:bCs/>
          <w:color w:val="auto"/>
          <w:lang w:val="es-ES"/>
        </w:rPr>
        <w:t xml:space="preserve"> por analogía, el Criterio 02/17, emitido por el Instituto Nacional de Transparencia, Acceso a la Información y Protección de Datos Personales, que señala lo siguiente:</w:t>
      </w:r>
    </w:p>
    <w:p w:rsidRPr="00B93AB6" w:rsidR="00B93AB6" w:rsidP="00B93AB6" w:rsidRDefault="00B93AB6" w14:paraId="02759783" w14:textId="77777777">
      <w:pPr>
        <w:spacing w:after="0" w:line="360" w:lineRule="auto"/>
        <w:rPr>
          <w:rFonts w:eastAsia="Calibri" w:cs="Tahoma"/>
          <w:bCs/>
          <w:color w:val="auto"/>
          <w:lang w:val="es-ES"/>
        </w:rPr>
      </w:pPr>
    </w:p>
    <w:p w:rsidRPr="00B93AB6" w:rsidR="00B93AB6" w:rsidP="00B93AB6" w:rsidRDefault="00B93AB6" w14:paraId="74422D5E" w14:textId="77777777">
      <w:pPr>
        <w:spacing w:after="0" w:line="360" w:lineRule="auto"/>
        <w:ind w:left="567" w:right="567"/>
        <w:rPr>
          <w:rFonts w:eastAsia="Calibri" w:cs="Tahoma"/>
          <w:i/>
          <w:color w:val="auto"/>
          <w:sz w:val="20"/>
          <w:szCs w:val="20"/>
        </w:rPr>
      </w:pPr>
      <w:r w:rsidRPr="00B93AB6">
        <w:rPr>
          <w:rFonts w:eastAsia="Calibri" w:cs="Tahoma"/>
          <w:b/>
          <w:bCs/>
          <w:i/>
          <w:color w:val="auto"/>
          <w:sz w:val="20"/>
          <w:szCs w:val="20"/>
        </w:rPr>
        <w:lastRenderedPageBreak/>
        <w:t xml:space="preserve">“Congruencia y exhaustividad. Sus alcances para garantizar el derecho de acceso a la información. </w:t>
      </w:r>
      <w:r w:rsidRPr="00B93AB6">
        <w:rPr>
          <w:rFonts w:eastAsia="Calibri" w:cs="Tahoma"/>
          <w:bCs/>
          <w:i/>
          <w:color w:val="auto"/>
          <w:sz w:val="20"/>
          <w:szCs w:val="20"/>
        </w:rPr>
        <w:t xml:space="preserve">De conformidad con el artículo </w:t>
      </w:r>
      <w:r w:rsidRPr="00B93AB6">
        <w:rPr>
          <w:rFonts w:eastAsia="Calibri" w:cs="Tahoma"/>
          <w:bCs/>
          <w:i/>
          <w:color w:val="auto"/>
          <w:sz w:val="20"/>
          <w:szCs w:val="20"/>
          <w:lang w:val="es-ES_tradnl"/>
        </w:rPr>
        <w:t>3 de la Ley Federal de Procedimiento Administrativo</w:t>
      </w:r>
      <w:r w:rsidRPr="00B93AB6">
        <w:rPr>
          <w:rFonts w:eastAsia="Calibri" w:cs="Tahoma"/>
          <w:bCs/>
          <w:i/>
          <w:color w:val="auto"/>
          <w:sz w:val="20"/>
          <w:szCs w:val="20"/>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B93AB6">
        <w:rPr>
          <w:rFonts w:eastAsia="Calibri" w:cs="Tahoma"/>
          <w:i/>
          <w:color w:val="auto"/>
          <w:sz w:val="20"/>
          <w:szCs w:val="20"/>
        </w:rPr>
        <w:t>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Pr="00B93AB6" w:rsidR="00B93AB6" w:rsidP="00B93AB6" w:rsidRDefault="00B93AB6" w14:paraId="29D35282" w14:textId="77777777">
      <w:pPr>
        <w:spacing w:after="0" w:line="360" w:lineRule="auto"/>
        <w:rPr>
          <w:rFonts w:eastAsia="Times New Roman" w:cs="Times New Roman"/>
          <w:color w:val="auto"/>
          <w:lang w:val="es-ES" w:eastAsia="es-ES"/>
        </w:rPr>
      </w:pPr>
    </w:p>
    <w:p w:rsidRPr="00B93AB6" w:rsidR="00B93AB6" w:rsidP="00B93AB6" w:rsidRDefault="00B93AB6" w14:paraId="2B110A3D" w14:textId="7C07C79A">
      <w:pPr>
        <w:spacing w:after="0" w:line="360" w:lineRule="auto"/>
        <w:rPr>
          <w:rFonts w:eastAsia="Times New Roman" w:cs="Times New Roman"/>
          <w:b/>
          <w:color w:val="auto"/>
          <w:lang w:val="es-ES" w:eastAsia="es-ES"/>
        </w:rPr>
      </w:pPr>
      <w:r w:rsidRPr="00B93AB6">
        <w:rPr>
          <w:rFonts w:eastAsia="Times New Roman" w:cs="Times New Roman"/>
          <w:color w:val="auto"/>
          <w:lang w:eastAsia="es-ES"/>
        </w:rPr>
        <w:t xml:space="preserve">Del citado criterio, se desprende que </w:t>
      </w:r>
      <w:r w:rsidRPr="00B93AB6">
        <w:rPr>
          <w:rFonts w:eastAsia="Times New Roman" w:cs="Times New Roman"/>
          <w:bCs/>
          <w:color w:val="auto"/>
          <w:lang w:eastAsia="es-ES"/>
        </w:rPr>
        <w:t>todo acto administrativo debe apegarse al</w:t>
      </w:r>
      <w:r w:rsidRPr="00B93AB6">
        <w:rPr>
          <w:rFonts w:eastAsia="Times New Roman" w:cs="Times New Roman"/>
          <w:color w:val="auto"/>
          <w:lang w:val="es-ES" w:eastAsia="es-ES"/>
        </w:rPr>
        <w:t xml:space="preserve"> </w:t>
      </w:r>
      <w:r w:rsidRPr="00B93AB6">
        <w:rPr>
          <w:rFonts w:eastAsia="Times New Roman" w:cs="Times New Roman"/>
          <w:b/>
          <w:color w:val="auto"/>
          <w:lang w:val="es-ES" w:eastAsia="es-ES"/>
        </w:rPr>
        <w:t xml:space="preserve">Principio de Congruencia, </w:t>
      </w:r>
      <w:r w:rsidRPr="00B93AB6">
        <w:rPr>
          <w:rFonts w:eastAsia="Times New Roman" w:cs="Times New Roman"/>
          <w:color w:val="auto"/>
          <w:lang w:val="es-ES" w:eastAsia="es-ES"/>
        </w:rPr>
        <w:t>el cual</w:t>
      </w:r>
      <w:r w:rsidRPr="00B93AB6">
        <w:rPr>
          <w:rFonts w:eastAsia="Times New Roman" w:cs="Times New Roman"/>
          <w:b/>
          <w:color w:val="auto"/>
          <w:lang w:val="es-ES" w:eastAsia="es-ES"/>
        </w:rPr>
        <w:t xml:space="preserve"> </w:t>
      </w:r>
      <w:r w:rsidRPr="00B93AB6">
        <w:rPr>
          <w:rFonts w:eastAsia="Times New Roman" w:cs="Times New Roman"/>
          <w:color w:val="auto"/>
          <w:lang w:val="es-ES" w:eastAsia="es-ES"/>
        </w:rPr>
        <w:t>implica que exista concordancia entre el requerimiento formulado y la respuesta entregada; por tales consideraciones, al incumplir con dicho principio,</w:t>
      </w:r>
      <w:r w:rsidRPr="00B93AB6">
        <w:rPr>
          <w:rFonts w:eastAsia="Times New Roman" w:cs="Times New Roman"/>
          <w:b/>
          <w:color w:val="auto"/>
          <w:lang w:val="es-ES" w:eastAsia="es-ES"/>
        </w:rPr>
        <w:t xml:space="preserve"> </w:t>
      </w:r>
      <w:r w:rsidRPr="00B93AB6">
        <w:rPr>
          <w:rFonts w:eastAsia="Times New Roman" w:cs="Times New Roman"/>
          <w:color w:val="auto"/>
          <w:lang w:val="es-ES" w:eastAsia="es-ES"/>
        </w:rPr>
        <w:t xml:space="preserve">por parte </w:t>
      </w:r>
      <w:r>
        <w:rPr>
          <w:rFonts w:eastAsia="Times New Roman" w:cs="Times New Roman"/>
          <w:color w:val="auto"/>
          <w:lang w:val="es-ES" w:eastAsia="es-ES"/>
        </w:rPr>
        <w:t>del Partido Político</w:t>
      </w:r>
      <w:r w:rsidRPr="00B93AB6">
        <w:rPr>
          <w:rFonts w:eastAsia="Times New Roman" w:cs="Times New Roman"/>
          <w:color w:val="auto"/>
          <w:lang w:val="es-ES" w:eastAsia="es-ES"/>
        </w:rPr>
        <w:t xml:space="preserve">, no se puede validar la contestación realizada, dando como resultado que él agravio sea </w:t>
      </w:r>
      <w:r w:rsidRPr="00B93AB6">
        <w:rPr>
          <w:rFonts w:eastAsia="Times New Roman" w:cs="Times New Roman"/>
          <w:b/>
          <w:color w:val="auto"/>
          <w:lang w:val="es-ES" w:eastAsia="es-ES"/>
        </w:rPr>
        <w:t>FUNDADO</w:t>
      </w:r>
      <w:r w:rsidRPr="00B93AB6">
        <w:rPr>
          <w:rFonts w:eastAsia="Times New Roman" w:cs="Times New Roman"/>
          <w:color w:val="auto"/>
          <w:lang w:val="es-ES" w:eastAsia="es-ES"/>
        </w:rPr>
        <w:t>.</w:t>
      </w:r>
    </w:p>
    <w:p w:rsidRPr="0020147B" w:rsidR="00B93AB6" w:rsidP="008912B6" w:rsidRDefault="00B93AB6" w14:paraId="093587AF" w14:textId="47C284CD">
      <w:pPr>
        <w:spacing w:after="0" w:line="360" w:lineRule="auto"/>
        <w:rPr>
          <w:rFonts w:eastAsia="Times New Roman" w:cs="Tahoma"/>
          <w:bCs/>
          <w:iCs/>
          <w:color w:val="auto"/>
          <w:lang w:val="es-ES" w:eastAsia="es-ES"/>
        </w:rPr>
      </w:pPr>
    </w:p>
    <w:p w:rsidR="004B7B1E" w:rsidP="008912B6" w:rsidRDefault="00B93AB6" w14:paraId="26C53C22" w14:textId="20785C0E">
      <w:pPr>
        <w:spacing w:after="0" w:line="360" w:lineRule="auto"/>
        <w:rPr>
          <w:rFonts w:cs="Tahoma"/>
          <w:bCs/>
          <w:iCs/>
          <w:color w:val="auto"/>
        </w:rPr>
      </w:pPr>
      <w:r>
        <w:rPr>
          <w:rFonts w:eastAsia="Times New Roman" w:cs="Tahoma"/>
          <w:bCs/>
          <w:iCs/>
          <w:color w:val="auto"/>
          <w:lang w:val="es-ES" w:eastAsia="es-ES"/>
        </w:rPr>
        <w:t xml:space="preserve">Por tales circunstancias, se considera </w:t>
      </w:r>
      <w:r w:rsidR="009A6223">
        <w:rPr>
          <w:rFonts w:eastAsia="Times New Roman" w:cs="Tahoma"/>
          <w:bCs/>
          <w:iCs/>
          <w:color w:val="auto"/>
          <w:lang w:val="es-ES" w:eastAsia="es-ES"/>
        </w:rPr>
        <w:t>que,</w:t>
      </w:r>
      <w:r>
        <w:rPr>
          <w:rFonts w:eastAsia="Times New Roman" w:cs="Tahoma"/>
          <w:bCs/>
          <w:iCs/>
          <w:color w:val="auto"/>
          <w:lang w:val="es-ES" w:eastAsia="es-ES"/>
        </w:rPr>
        <w:t xml:space="preserve"> para atender el requerimiento de información, el Sujeto Obligado deberá realizar una búsqueda en sus archivos contables, a efecto de proporcionar el documento donde conste</w:t>
      </w:r>
      <w:r w:rsidR="00744269">
        <w:rPr>
          <w:rFonts w:eastAsia="Times New Roman" w:cs="Tahoma"/>
          <w:bCs/>
          <w:iCs/>
          <w:color w:val="auto"/>
          <w:lang w:val="es-ES" w:eastAsia="es-ES"/>
        </w:rPr>
        <w:t>n</w:t>
      </w:r>
      <w:r>
        <w:rPr>
          <w:rFonts w:eastAsia="Times New Roman" w:cs="Tahoma"/>
          <w:bCs/>
          <w:iCs/>
          <w:color w:val="auto"/>
          <w:lang w:val="es-ES" w:eastAsia="es-ES"/>
        </w:rPr>
        <w:t xml:space="preserve"> los recursos (obtenidos de financiamiento público) </w:t>
      </w:r>
      <w:r w:rsidR="00A107C6">
        <w:rPr>
          <w:rFonts w:cs="Tahoma"/>
          <w:bCs/>
          <w:iCs/>
          <w:color w:val="auto"/>
        </w:rPr>
        <w:t>programados para</w:t>
      </w:r>
      <w:r w:rsidRPr="009A6223" w:rsidR="00A107C6">
        <w:rPr>
          <w:rFonts w:cs="Tahoma"/>
          <w:bCs/>
          <w:iCs/>
          <w:color w:val="auto"/>
        </w:rPr>
        <w:t xml:space="preserve"> utilizar durante </w:t>
      </w:r>
      <w:r w:rsidR="00A107C6">
        <w:rPr>
          <w:rFonts w:cs="Tahoma"/>
          <w:bCs/>
          <w:iCs/>
          <w:color w:val="auto"/>
        </w:rPr>
        <w:t>los meses</w:t>
      </w:r>
      <w:r w:rsidRPr="009A6223" w:rsidR="00A107C6">
        <w:rPr>
          <w:rFonts w:cs="Tahoma"/>
          <w:bCs/>
          <w:iCs/>
          <w:color w:val="auto"/>
        </w:rPr>
        <w:t xml:space="preserve"> septiembre y octubre de dos mil veintiuno, para el pago de sueldos y salarios, con el mayor grado de desagregación posible.</w:t>
      </w:r>
    </w:p>
    <w:p w:rsidRPr="00A178E6" w:rsidR="00A107C6" w:rsidP="008912B6" w:rsidRDefault="00A107C6" w14:paraId="44705243" w14:textId="77777777">
      <w:pPr>
        <w:spacing w:after="0" w:line="360" w:lineRule="auto"/>
        <w:rPr>
          <w:rFonts w:eastAsia="Times New Roman" w:cs="Tahoma"/>
          <w:bCs/>
          <w:iCs/>
          <w:color w:val="auto"/>
          <w:lang w:val="es-ES" w:eastAsia="es-ES"/>
        </w:rPr>
      </w:pPr>
    </w:p>
    <w:p w:rsidR="00744269" w:rsidP="00744269" w:rsidRDefault="00744269" w14:paraId="53D89D13" w14:textId="0B98C33E">
      <w:pPr>
        <w:spacing w:line="360" w:lineRule="auto"/>
        <w:rPr>
          <w:rFonts w:cs="Tahoma"/>
          <w:b/>
          <w:bCs/>
          <w:iCs/>
          <w:color w:val="auto"/>
        </w:rPr>
      </w:pPr>
      <w:r w:rsidRPr="004F4FC6">
        <w:rPr>
          <w:rFonts w:cs="Tahoma"/>
          <w:b/>
          <w:bCs/>
          <w:iCs/>
          <w:color w:val="auto"/>
        </w:rPr>
        <w:t xml:space="preserve">Cantidad recibida desglosada en ministraciones </w:t>
      </w:r>
      <w:r w:rsidRPr="004F4FC6" w:rsidR="004F4FC6">
        <w:rPr>
          <w:rFonts w:cs="Tahoma"/>
          <w:b/>
          <w:bCs/>
          <w:iCs/>
          <w:color w:val="auto"/>
        </w:rPr>
        <w:t xml:space="preserve">conforme </w:t>
      </w:r>
      <w:r w:rsidRPr="004F4FC6">
        <w:rPr>
          <w:rFonts w:cs="Tahoma"/>
          <w:b/>
          <w:bCs/>
          <w:iCs/>
          <w:color w:val="auto"/>
        </w:rPr>
        <w:t>al calendario aprobado por el Consejo General para el sostenimiento de actividades ordinarias y específicas, desglosado por concepto de utilización</w:t>
      </w:r>
      <w:r w:rsidR="004F4FC6">
        <w:rPr>
          <w:rFonts w:cs="Tahoma"/>
          <w:b/>
          <w:bCs/>
          <w:iCs/>
          <w:color w:val="auto"/>
        </w:rPr>
        <w:t>.</w:t>
      </w:r>
    </w:p>
    <w:p w:rsidR="004F4FC6" w:rsidP="00744269" w:rsidRDefault="004F4FC6" w14:paraId="7E86DF1C" w14:textId="172A4137">
      <w:pPr>
        <w:spacing w:line="360" w:lineRule="auto"/>
        <w:rPr>
          <w:rFonts w:cs="Tahoma"/>
          <w:b/>
          <w:bCs/>
          <w:iCs/>
          <w:color w:val="auto"/>
        </w:rPr>
      </w:pPr>
    </w:p>
    <w:p w:rsidR="00744269" w:rsidP="008912B6" w:rsidRDefault="004F4FC6" w14:paraId="580BB2D6" w14:textId="60DAD878">
      <w:pPr>
        <w:spacing w:after="0" w:line="360" w:lineRule="auto"/>
        <w:rPr>
          <w:rFonts w:eastAsia="Times New Roman" w:cs="Tahoma"/>
          <w:bCs/>
          <w:iCs/>
          <w:color w:val="auto"/>
          <w:lang w:val="es-ES" w:eastAsia="es-ES"/>
        </w:rPr>
      </w:pPr>
      <w:r>
        <w:rPr>
          <w:rFonts w:cs="Tahoma"/>
          <w:iCs/>
          <w:color w:val="auto"/>
        </w:rPr>
        <w:lastRenderedPageBreak/>
        <w:t xml:space="preserve">Al respecto, caber recordar que el </w:t>
      </w:r>
      <w:r>
        <w:rPr>
          <w:rFonts w:eastAsia="Times New Roman" w:cs="Tahoma"/>
          <w:bCs/>
          <w:iCs/>
          <w:color w:val="auto"/>
          <w:lang w:val="es-ES" w:eastAsia="es-ES"/>
        </w:rPr>
        <w:t>Ley General de Partidos Político y el Código Electoral del Estado de México, establecen que los Partidos Políticos tienen derecho a recibir, para desarrollar sus actividades, financiamiento público para el ejercicio de sus actividades ordinarias y específicas.</w:t>
      </w:r>
    </w:p>
    <w:p w:rsidR="004F4FC6" w:rsidP="008912B6" w:rsidRDefault="004F4FC6" w14:paraId="46AF4F3B" w14:textId="4E7F69E4">
      <w:pPr>
        <w:spacing w:after="0" w:line="360" w:lineRule="auto"/>
        <w:rPr>
          <w:rFonts w:eastAsia="Times New Roman" w:cs="Tahoma"/>
          <w:bCs/>
          <w:iCs/>
          <w:color w:val="auto"/>
          <w:lang w:val="es-ES" w:eastAsia="es-ES"/>
        </w:rPr>
      </w:pPr>
    </w:p>
    <w:p w:rsidR="004F4FC6" w:rsidP="008912B6" w:rsidRDefault="004F4FC6" w14:paraId="090E3968" w14:textId="2DD7FACC">
      <w:pPr>
        <w:spacing w:after="0" w:line="360" w:lineRule="auto"/>
        <w:rPr>
          <w:rFonts w:eastAsia="Times New Roman" w:cs="Tahoma"/>
          <w:bCs/>
          <w:iCs/>
          <w:color w:val="auto"/>
          <w:lang w:val="es-ES" w:eastAsia="es-ES"/>
        </w:rPr>
      </w:pPr>
      <w:r>
        <w:rPr>
          <w:rFonts w:eastAsia="Times New Roman" w:cs="Tahoma"/>
          <w:bCs/>
          <w:iCs/>
          <w:color w:val="auto"/>
          <w:lang w:val="es-ES" w:eastAsia="es-ES"/>
        </w:rPr>
        <w:t>Para lo cual, de conformidad con el artículo 51, inciso 1, fracción III, de la Ley General, precisa que las cantidades otorgadas por financiamiento público, serán entregadas en ministraciones mensuales, conforme al calendario presupuestal que se apruebe anualmente; lo cual, se robustece con la página oficial del Instituto Nacional Electoral (</w:t>
      </w:r>
      <w:hyperlink w:history="1" r:id="rId19">
        <w:r w:rsidRPr="00105241">
          <w:rPr>
            <w:rStyle w:val="Hipervnculo"/>
            <w:rFonts w:eastAsia="Times New Roman" w:cs="Tahoma"/>
            <w:bCs/>
            <w:iCs/>
            <w:lang w:val="es-ES" w:eastAsia="es-ES"/>
          </w:rPr>
          <w:t>https://www.ine.mx/actores-politicos/partidos-politicos-nacionales/financiamiento-publico/</w:t>
        </w:r>
      </w:hyperlink>
      <w:r>
        <w:rPr>
          <w:rFonts w:eastAsia="Times New Roman" w:cs="Tahoma"/>
          <w:bCs/>
          <w:iCs/>
          <w:color w:val="auto"/>
          <w:lang w:val="es-ES" w:eastAsia="es-ES"/>
        </w:rPr>
        <w:t xml:space="preserve">), que precisa que los recursos derivados del financiamiento público destinados para actividades ordinarias y específicas, será </w:t>
      </w:r>
      <w:r w:rsidR="000B257E">
        <w:rPr>
          <w:rFonts w:eastAsia="Times New Roman" w:cs="Tahoma"/>
          <w:bCs/>
          <w:iCs/>
          <w:color w:val="auto"/>
          <w:lang w:val="es-ES" w:eastAsia="es-ES"/>
        </w:rPr>
        <w:t>determinado anualmente y entregado mensualmente.</w:t>
      </w:r>
    </w:p>
    <w:p w:rsidR="000B257E" w:rsidP="008912B6" w:rsidRDefault="000B257E" w14:paraId="51BD3196" w14:textId="62241A49">
      <w:pPr>
        <w:spacing w:after="0" w:line="360" w:lineRule="auto"/>
        <w:rPr>
          <w:rFonts w:eastAsia="Times New Roman" w:cs="Tahoma"/>
          <w:bCs/>
          <w:iCs/>
          <w:color w:val="auto"/>
          <w:lang w:val="es-ES" w:eastAsia="es-ES"/>
        </w:rPr>
      </w:pPr>
    </w:p>
    <w:p w:rsidR="00B63DB5" w:rsidP="00C432A4" w:rsidRDefault="000B257E" w14:paraId="700D1FA0" w14:textId="586C32BB">
      <w:pPr>
        <w:spacing w:after="0" w:line="360" w:lineRule="auto"/>
        <w:rPr>
          <w:rFonts w:eastAsia="Times New Roman" w:cs="Tahoma"/>
          <w:bCs/>
          <w:iCs/>
          <w:color w:val="auto"/>
          <w:lang w:val="es-ES" w:eastAsia="es-ES"/>
        </w:rPr>
      </w:pPr>
      <w:r>
        <w:rPr>
          <w:rFonts w:eastAsia="Times New Roman" w:cs="Tahoma"/>
          <w:bCs/>
          <w:iCs/>
          <w:color w:val="auto"/>
          <w:lang w:val="es-ES" w:eastAsia="es-ES"/>
        </w:rPr>
        <w:t>De tales circunstancias se logra vislumbrar que la pretensión del ahora Recurrente, es obtener el documento en donde consten el monto autorizado que le entregará el Instituto Electoral del Estado de México al Partido Movimiento Ciudadano, durante el mes de septiembre y octubre, para realizar sus actividades ordinaras y específicas, con el mayor grado de desagregación posible.</w:t>
      </w:r>
    </w:p>
    <w:p w:rsidR="000B257E" w:rsidP="00C432A4" w:rsidRDefault="000B257E" w14:paraId="49E3190F" w14:textId="28452839">
      <w:pPr>
        <w:spacing w:after="0" w:line="360" w:lineRule="auto"/>
        <w:rPr>
          <w:rFonts w:eastAsia="Times New Roman" w:cs="Tahoma"/>
          <w:bCs/>
          <w:iCs/>
          <w:color w:val="auto"/>
          <w:lang w:val="es-ES" w:eastAsia="es-ES"/>
        </w:rPr>
      </w:pPr>
    </w:p>
    <w:p w:rsidR="000B257E" w:rsidP="000B257E" w:rsidRDefault="000B257E" w14:paraId="643D4B09" w14:textId="184E9BFE">
      <w:pPr>
        <w:spacing w:after="0" w:line="360" w:lineRule="auto"/>
        <w:rPr>
          <w:rFonts w:eastAsia="Times New Roman" w:cs="Tahoma"/>
          <w:bCs/>
          <w:iCs/>
          <w:color w:val="auto"/>
          <w:lang w:val="es-ES" w:eastAsia="es-ES"/>
        </w:rPr>
      </w:pPr>
      <w:r>
        <w:rPr>
          <w:rFonts w:eastAsia="Times New Roman" w:cs="Tahoma"/>
          <w:bCs/>
          <w:iCs/>
          <w:color w:val="auto"/>
          <w:lang w:val="es-ES" w:eastAsia="es-ES"/>
        </w:rPr>
        <w:t xml:space="preserve">En ese contexto, el Sujeto Obligado señaló que la información que obraba en sus archivos y daba cuenta de lo solicitado, pues no estaba obligado a procesarla conforme a las necesidades del Recurrente, se encontraba en la página </w:t>
      </w:r>
      <w:hyperlink w:history="1" r:id="rId20">
        <w:r w:rsidRPr="000B257E">
          <w:rPr>
            <w:rStyle w:val="Hipervnculo"/>
            <w:rFonts w:eastAsia="Times New Roman" w:cs="Tahoma"/>
            <w:bCs/>
            <w:iCs/>
            <w:lang w:val="es-ES" w:eastAsia="es-ES"/>
          </w:rPr>
          <w:t>https://www.ipomex.org.mx/ipo3/lgt/indice/PMCIU/art_100_xxiv_a/3.web</w:t>
        </w:r>
      </w:hyperlink>
      <w:r>
        <w:rPr>
          <w:rFonts w:eastAsia="Times New Roman" w:cs="Tahoma"/>
          <w:bCs/>
          <w:iCs/>
          <w:color w:val="auto"/>
          <w:lang w:eastAsia="es-ES"/>
        </w:rPr>
        <w:t xml:space="preserve">, la cual contiene </w:t>
      </w:r>
      <w:r>
        <w:rPr>
          <w:rFonts w:eastAsia="Times New Roman" w:cs="Tahoma"/>
          <w:bCs/>
          <w:iCs/>
          <w:color w:val="auto"/>
          <w:lang w:val="es-ES" w:eastAsia="es-ES"/>
        </w:rPr>
        <w:t>los montos mensuales asignados para actividades permanentes y específicas, para el año dos mil veintiuno, tal como se muestra a continuación:</w:t>
      </w:r>
    </w:p>
    <w:p w:rsidR="000B257E" w:rsidP="000B257E" w:rsidRDefault="000B257E" w14:paraId="1AC312C0" w14:textId="48B3216C">
      <w:pPr>
        <w:spacing w:after="0" w:line="360" w:lineRule="auto"/>
        <w:rPr>
          <w:rFonts w:eastAsia="Times New Roman" w:cs="Tahoma"/>
          <w:bCs/>
          <w:iCs/>
          <w:color w:val="auto"/>
          <w:lang w:val="es-ES" w:eastAsia="es-ES"/>
        </w:rPr>
      </w:pPr>
    </w:p>
    <w:p w:rsidR="000B257E" w:rsidP="000B257E" w:rsidRDefault="000B257E" w14:paraId="1B1605A0" w14:textId="1F4B8F2D">
      <w:pPr>
        <w:spacing w:after="0" w:line="360" w:lineRule="auto"/>
        <w:jc w:val="center"/>
        <w:rPr>
          <w:rFonts w:eastAsia="Times New Roman" w:cs="Tahoma"/>
          <w:bCs/>
          <w:iCs/>
          <w:color w:val="auto"/>
          <w:lang w:val="es-ES" w:eastAsia="es-ES"/>
        </w:rPr>
      </w:pPr>
      <w:r>
        <w:rPr>
          <w:noProof/>
        </w:rPr>
        <w:lastRenderedPageBreak/>
        <w:drawing>
          <wp:inline distT="0" distB="0" distL="0" distR="0" wp14:anchorId="30C07C6D" wp14:editId="63723B96">
            <wp:extent cx="4667250" cy="12192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667250" cy="1219200"/>
                    </a:xfrm>
                    <a:prstGeom prst="rect">
                      <a:avLst/>
                    </a:prstGeom>
                  </pic:spPr>
                </pic:pic>
              </a:graphicData>
            </a:graphic>
          </wp:inline>
        </w:drawing>
      </w:r>
    </w:p>
    <w:p w:rsidR="000B257E" w:rsidP="00C432A4" w:rsidRDefault="000B257E" w14:paraId="0024C909" w14:textId="637BCDCB">
      <w:pPr>
        <w:spacing w:after="0" w:line="360" w:lineRule="auto"/>
        <w:rPr>
          <w:rFonts w:eastAsia="Times New Roman" w:cs="Tahoma"/>
          <w:bCs/>
          <w:iCs/>
          <w:color w:val="auto"/>
          <w:lang w:val="es-ES" w:eastAsia="es-ES"/>
        </w:rPr>
      </w:pPr>
    </w:p>
    <w:p w:rsidR="000B257E" w:rsidP="00C432A4" w:rsidRDefault="000B257E" w14:paraId="1F92CA6D" w14:textId="2200B879">
      <w:pPr>
        <w:spacing w:after="0" w:line="360" w:lineRule="auto"/>
      </w:pPr>
      <w:r>
        <w:rPr>
          <w:rFonts w:eastAsia="Times New Roman" w:cs="Tahoma"/>
          <w:bCs/>
          <w:iCs/>
          <w:color w:val="auto"/>
          <w:lang w:val="es-ES" w:eastAsia="es-ES"/>
        </w:rPr>
        <w:t>Además, da acceso al Acuerdo número IEEM/CG/30/2021</w:t>
      </w:r>
      <w:r w:rsidR="00D42C3F">
        <w:rPr>
          <w:rFonts w:eastAsia="Times New Roman" w:cs="Tahoma"/>
          <w:bCs/>
          <w:iCs/>
          <w:color w:val="auto"/>
          <w:lang w:val="es-ES" w:eastAsia="es-ES"/>
        </w:rPr>
        <w:t xml:space="preserve">, por el cual el Consejo General del Instituto Electoral del Estado de México, determina el </w:t>
      </w:r>
      <w:r w:rsidR="00D42C3F">
        <w:t>Financiamiento Público para Actividades Ordinarias y Específicas de los Partidos Políticos para el año 2021, así como para la Obtención del Voto de los Partidos Políticos y Candidaturas Independientes para el Proceso Electoral 2021 en el Estado de México, el cual contiene el Calendario de Ministraciones de Entrega de Financiamiento 2021, se muestra un extracto a continuación:</w:t>
      </w:r>
    </w:p>
    <w:p w:rsidR="00D42C3F" w:rsidP="00C432A4" w:rsidRDefault="00D42C3F" w14:paraId="10B1AFE9" w14:textId="0BB628BB">
      <w:pPr>
        <w:spacing w:after="0" w:line="360" w:lineRule="auto"/>
      </w:pPr>
    </w:p>
    <w:p w:rsidR="00D42C3F" w:rsidP="00C432A4" w:rsidRDefault="00D42C3F" w14:paraId="6645526B" w14:textId="1697CDBE">
      <w:pPr>
        <w:spacing w:after="0" w:line="360" w:lineRule="auto"/>
        <w:rPr>
          <w:rFonts w:eastAsia="Times New Roman" w:cs="Tahoma"/>
          <w:bCs/>
          <w:iCs/>
          <w:color w:val="auto"/>
          <w:lang w:val="es-ES" w:eastAsia="es-ES"/>
        </w:rPr>
      </w:pPr>
      <w:r>
        <w:rPr>
          <w:noProof/>
        </w:rPr>
        <w:drawing>
          <wp:inline distT="0" distB="0" distL="0" distR="0" wp14:anchorId="47EEECDD" wp14:editId="048FAACB">
            <wp:extent cx="5791835" cy="7048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91835" cy="704850"/>
                    </a:xfrm>
                    <a:prstGeom prst="rect">
                      <a:avLst/>
                    </a:prstGeom>
                  </pic:spPr>
                </pic:pic>
              </a:graphicData>
            </a:graphic>
          </wp:inline>
        </w:drawing>
      </w:r>
    </w:p>
    <w:p w:rsidR="00D42C3F" w:rsidP="00D42C3F" w:rsidRDefault="00D42C3F" w14:paraId="58BCBB01" w14:textId="7469609E">
      <w:pPr>
        <w:spacing w:after="0" w:line="360" w:lineRule="auto"/>
        <w:jc w:val="center"/>
        <w:rPr>
          <w:rFonts w:eastAsia="Times New Roman" w:cs="Tahoma"/>
          <w:bCs/>
          <w:iCs/>
          <w:color w:val="auto"/>
          <w:lang w:val="es-ES" w:eastAsia="es-ES"/>
        </w:rPr>
      </w:pPr>
      <w:r>
        <w:rPr>
          <w:rFonts w:eastAsia="Times New Roman" w:cs="Tahoma"/>
          <w:bCs/>
          <w:iCs/>
          <w:color w:val="auto"/>
          <w:lang w:val="es-ES" w:eastAsia="es-ES"/>
        </w:rPr>
        <w:t>…</w:t>
      </w:r>
    </w:p>
    <w:p w:rsidR="00D42C3F" w:rsidP="00D42C3F" w:rsidRDefault="00D42C3F" w14:paraId="09AC751A" w14:textId="4B30A447">
      <w:pPr>
        <w:spacing w:after="0" w:line="360" w:lineRule="auto"/>
        <w:jc w:val="center"/>
        <w:rPr>
          <w:rFonts w:eastAsia="Times New Roman" w:cs="Tahoma"/>
          <w:bCs/>
          <w:iCs/>
          <w:color w:val="auto"/>
          <w:lang w:val="es-ES" w:eastAsia="es-ES"/>
        </w:rPr>
      </w:pPr>
      <w:r>
        <w:rPr>
          <w:noProof/>
        </w:rPr>
        <w:drawing>
          <wp:inline distT="0" distB="0" distL="0" distR="0" wp14:anchorId="241B09B1" wp14:editId="7B60B0A3">
            <wp:extent cx="5791835" cy="1299210"/>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791835" cy="1299210"/>
                    </a:xfrm>
                    <a:prstGeom prst="rect">
                      <a:avLst/>
                    </a:prstGeom>
                  </pic:spPr>
                </pic:pic>
              </a:graphicData>
            </a:graphic>
          </wp:inline>
        </w:drawing>
      </w:r>
    </w:p>
    <w:p w:rsidR="000B257E" w:rsidP="00C432A4" w:rsidRDefault="000B257E" w14:paraId="6882AB7D" w14:textId="47654D9B">
      <w:pPr>
        <w:spacing w:after="0" w:line="360" w:lineRule="auto"/>
        <w:rPr>
          <w:rFonts w:eastAsia="Times New Roman" w:cs="Tahoma"/>
          <w:bCs/>
          <w:iCs/>
          <w:color w:val="auto"/>
          <w:lang w:val="es-ES" w:eastAsia="es-ES"/>
        </w:rPr>
      </w:pPr>
    </w:p>
    <w:p w:rsidR="00D42C3F" w:rsidP="00C432A4" w:rsidRDefault="00D42C3F" w14:paraId="145F1ED5" w14:textId="3773371E">
      <w:pPr>
        <w:spacing w:after="0" w:line="360" w:lineRule="auto"/>
        <w:rPr>
          <w:rFonts w:eastAsia="Times New Roman" w:cs="Tahoma"/>
          <w:bCs/>
          <w:iCs/>
          <w:color w:val="auto"/>
          <w:lang w:val="es-ES" w:eastAsia="es-ES"/>
        </w:rPr>
      </w:pPr>
      <w:r>
        <w:rPr>
          <w:rFonts w:eastAsia="Times New Roman" w:cs="Tahoma"/>
          <w:bCs/>
          <w:iCs/>
          <w:color w:val="auto"/>
          <w:lang w:val="es-ES" w:eastAsia="es-ES"/>
        </w:rPr>
        <w:t>Como se logra observar, el Sujeto Obligado dio acceso al monto que recibirá del Instituto Electoral del Estado de México, para la realización de actividades ordinarias y específicas; sin embargo, dicho documento únicamente desagrega los montos de manera general (tipo de actividad) y no al nivel de desglose que requiere el Particular.</w:t>
      </w:r>
    </w:p>
    <w:p w:rsidR="00D42C3F" w:rsidP="00C432A4" w:rsidRDefault="00D42C3F" w14:paraId="7F4C8FDD" w14:textId="37380A12">
      <w:pPr>
        <w:spacing w:after="0" w:line="360" w:lineRule="auto"/>
        <w:rPr>
          <w:rFonts w:eastAsia="Times New Roman" w:cs="Tahoma"/>
          <w:bCs/>
          <w:iCs/>
          <w:color w:val="auto"/>
          <w:lang w:val="es-ES" w:eastAsia="es-ES"/>
        </w:rPr>
      </w:pPr>
    </w:p>
    <w:p w:rsidR="00D42C3F" w:rsidP="00C432A4" w:rsidRDefault="00D42C3F" w14:paraId="7BE726E2" w14:textId="365B5B03">
      <w:pPr>
        <w:spacing w:after="0" w:line="360" w:lineRule="auto"/>
        <w:rPr>
          <w:rFonts w:eastAsia="Times New Roman" w:cs="Tahoma"/>
          <w:bCs/>
          <w:iCs/>
          <w:color w:val="auto"/>
          <w:lang w:val="es-ES" w:eastAsia="es-ES"/>
        </w:rPr>
      </w:pPr>
      <w:r>
        <w:rPr>
          <w:rFonts w:eastAsia="Times New Roman" w:cs="Tahoma"/>
          <w:bCs/>
          <w:iCs/>
          <w:color w:val="auto"/>
          <w:lang w:val="es-ES" w:eastAsia="es-ES"/>
        </w:rPr>
        <w:lastRenderedPageBreak/>
        <w:t>Sobre dicha situación, es necesario recordar que los Sujetos únicamente están constreñidos a proporcionar la información que obre en sus archivos, sin tenerla que procesar a las necesidades de los solicitantes</w:t>
      </w:r>
      <w:r w:rsidR="00F20AF1">
        <w:rPr>
          <w:rFonts w:eastAsia="Times New Roman" w:cs="Tahoma"/>
          <w:bCs/>
          <w:iCs/>
          <w:color w:val="auto"/>
          <w:lang w:val="es-ES" w:eastAsia="es-ES"/>
        </w:rPr>
        <w:t xml:space="preserve">; además, que se realizó una búsqueda tanto en el Código Electoral del Estado de México, en la Ley General de Partidos Políticos, en las páginas oficiales del Instituto Nacional Electoral y del Instituto Electoral del Estado de México (consultadas el diecinueve de enero de dos mil veintidós, a las dieciocho horas, en las páginas electrónicas </w:t>
      </w:r>
      <w:hyperlink w:history="1" r:id="rId24">
        <w:r w:rsidRPr="00105241" w:rsidR="00F20AF1">
          <w:rPr>
            <w:rStyle w:val="Hipervnculo"/>
            <w:rFonts w:eastAsia="Times New Roman" w:cs="Tahoma"/>
            <w:bCs/>
            <w:iCs/>
            <w:lang w:val="es-ES" w:eastAsia="es-ES"/>
          </w:rPr>
          <w:t>https://www.ine.mx/</w:t>
        </w:r>
      </w:hyperlink>
      <w:r w:rsidR="00F20AF1">
        <w:rPr>
          <w:rFonts w:eastAsia="Times New Roman" w:cs="Tahoma"/>
          <w:bCs/>
          <w:iCs/>
          <w:color w:val="auto"/>
          <w:lang w:val="es-ES" w:eastAsia="es-ES"/>
        </w:rPr>
        <w:t xml:space="preserve"> y </w:t>
      </w:r>
      <w:r w:rsidRPr="00F20AF1" w:rsidR="00F20AF1">
        <w:rPr>
          <w:rFonts w:eastAsia="Times New Roman" w:cs="Tahoma"/>
          <w:bCs/>
          <w:iCs/>
          <w:color w:val="auto"/>
          <w:lang w:val="es-ES" w:eastAsia="es-ES"/>
        </w:rPr>
        <w:t>https://www.ieem.org.mx/</w:t>
      </w:r>
      <w:r w:rsidR="00F20AF1">
        <w:rPr>
          <w:rFonts w:eastAsia="Times New Roman" w:cs="Tahoma"/>
          <w:bCs/>
          <w:iCs/>
          <w:color w:val="auto"/>
          <w:lang w:val="es-ES" w:eastAsia="es-ES"/>
        </w:rPr>
        <w:t>) y no se localizó alguna obligación normativa para que el Instituto Electoral del Estado de México, tenga que generar un Calendario de Ministraciones con un grado de desagregación mayor o le tenga que decir como debe de usar dichos recursos al Partido Político.</w:t>
      </w:r>
    </w:p>
    <w:p w:rsidR="00D42C3F" w:rsidP="00C432A4" w:rsidRDefault="00D42C3F" w14:paraId="376E8BE8" w14:textId="69BF5B54">
      <w:pPr>
        <w:spacing w:after="0" w:line="360" w:lineRule="auto"/>
        <w:rPr>
          <w:rFonts w:eastAsia="Times New Roman" w:cs="Tahoma"/>
          <w:bCs/>
          <w:iCs/>
          <w:color w:val="auto"/>
          <w:lang w:val="es-ES" w:eastAsia="es-ES"/>
        </w:rPr>
      </w:pPr>
    </w:p>
    <w:p w:rsidR="00F20AF1" w:rsidP="00C432A4" w:rsidRDefault="00F20AF1" w14:paraId="6D1F8C2A" w14:textId="24D290EC">
      <w:pPr>
        <w:spacing w:after="0" w:line="360" w:lineRule="auto"/>
        <w:rPr>
          <w:rFonts w:eastAsia="Times New Roman" w:cs="Tahoma"/>
          <w:bCs/>
          <w:iCs/>
          <w:color w:val="auto"/>
          <w:lang w:val="es-ES" w:eastAsia="es-ES"/>
        </w:rPr>
      </w:pPr>
      <w:r>
        <w:rPr>
          <w:rFonts w:eastAsia="Times New Roman" w:cs="Tahoma"/>
          <w:bCs/>
          <w:iCs/>
          <w:color w:val="auto"/>
          <w:lang w:val="es-ES" w:eastAsia="es-ES"/>
        </w:rPr>
        <w:t>Por lo que, en el presente caso, se considera que el Sujeto Obligado atendió de manera correcta el pedimento de información, pues proporcionó el documento que da cuenta de lo solicitado, tal como obraba en sus archivos, pues es el emitido por el propio Consejo General del Instituto Electoral del Estado de México y</w:t>
      </w:r>
      <w:r w:rsidR="0084220C">
        <w:rPr>
          <w:rFonts w:eastAsia="Times New Roman" w:cs="Tahoma"/>
          <w:bCs/>
          <w:iCs/>
          <w:color w:val="auto"/>
          <w:lang w:val="es-ES" w:eastAsia="es-ES"/>
        </w:rPr>
        <w:t xml:space="preserve">, </w:t>
      </w:r>
      <w:r>
        <w:rPr>
          <w:rFonts w:eastAsia="Times New Roman" w:cs="Tahoma"/>
          <w:bCs/>
          <w:iCs/>
          <w:color w:val="auto"/>
          <w:lang w:val="es-ES" w:eastAsia="es-ES"/>
        </w:rPr>
        <w:t xml:space="preserve">por lo tanto, cumplió con lo establecido en el artículo </w:t>
      </w:r>
      <w:r w:rsidR="0084220C">
        <w:rPr>
          <w:rFonts w:eastAsia="Times New Roman" w:cs="Tahoma"/>
          <w:bCs/>
          <w:iCs/>
          <w:color w:val="auto"/>
          <w:lang w:val="es-ES" w:eastAsia="es-ES"/>
        </w:rPr>
        <w:t>12, 160 y 162 de la Ley de Transparencia y Acceso a la Información Pública del Estado de México y Municipios.</w:t>
      </w:r>
    </w:p>
    <w:p w:rsidR="0084220C" w:rsidP="00C432A4" w:rsidRDefault="0084220C" w14:paraId="4EF3D6A5" w14:textId="7B7E4B55">
      <w:pPr>
        <w:spacing w:after="0" w:line="360" w:lineRule="auto"/>
        <w:rPr>
          <w:rFonts w:eastAsia="Times New Roman" w:cs="Tahoma"/>
          <w:bCs/>
          <w:iCs/>
          <w:color w:val="auto"/>
          <w:lang w:val="es-ES" w:eastAsia="es-ES"/>
        </w:rPr>
      </w:pPr>
    </w:p>
    <w:p w:rsidRPr="0084220C" w:rsidR="0084220C" w:rsidP="00C432A4" w:rsidRDefault="0084220C" w14:paraId="371D0273" w14:textId="1F2DBB16">
      <w:pPr>
        <w:spacing w:after="0" w:line="360" w:lineRule="auto"/>
        <w:rPr>
          <w:rFonts w:eastAsia="Times New Roman" w:cs="Tahoma"/>
          <w:bCs/>
          <w:iCs/>
          <w:color w:val="auto"/>
          <w:lang w:val="es-ES" w:eastAsia="es-ES"/>
        </w:rPr>
      </w:pPr>
      <w:r>
        <w:rPr>
          <w:rFonts w:eastAsia="Times New Roman" w:cs="Tahoma"/>
          <w:bCs/>
          <w:iCs/>
          <w:color w:val="auto"/>
          <w:lang w:val="es-ES" w:eastAsia="es-ES"/>
        </w:rPr>
        <w:t xml:space="preserve">Por lo tanto, se considera que el agravio realizado por el Recurrente resulta </w:t>
      </w:r>
      <w:r>
        <w:rPr>
          <w:rFonts w:eastAsia="Times New Roman" w:cs="Tahoma"/>
          <w:b/>
          <w:iCs/>
          <w:color w:val="auto"/>
          <w:lang w:val="es-ES" w:eastAsia="es-ES"/>
        </w:rPr>
        <w:t xml:space="preserve">PARCIALMENTE FUNDADO, </w:t>
      </w:r>
      <w:r>
        <w:rPr>
          <w:rFonts w:eastAsia="Times New Roman" w:cs="Tahoma"/>
          <w:bCs/>
          <w:iCs/>
          <w:color w:val="auto"/>
          <w:lang w:val="es-ES" w:eastAsia="es-ES"/>
        </w:rPr>
        <w:t>pues si bien no atendió de manera correcta dos puntos de la solicitud, al no proporcionar la información que daba cuenta de lo peticionado, lo cierto es que, atendió de manera correcta el punto tres, al entregar el documento que obraba en sus archivos.</w:t>
      </w:r>
    </w:p>
    <w:p w:rsidR="00D42C3F" w:rsidP="00C432A4" w:rsidRDefault="00D42C3F" w14:paraId="643EDFCD" w14:textId="77777777">
      <w:pPr>
        <w:spacing w:after="0" w:line="360" w:lineRule="auto"/>
        <w:rPr>
          <w:rFonts w:eastAsia="Times New Roman" w:cs="Tahoma"/>
          <w:bCs/>
          <w:iCs/>
          <w:color w:val="auto"/>
          <w:lang w:val="es-ES" w:eastAsia="es-ES"/>
        </w:rPr>
      </w:pPr>
    </w:p>
    <w:p w:rsidRPr="00D05FED" w:rsidR="00D05FED" w:rsidP="00D05FED" w:rsidRDefault="00D05FED" w14:paraId="266A83A1" w14:textId="77777777">
      <w:pPr>
        <w:spacing w:after="0" w:line="360" w:lineRule="auto"/>
        <w:rPr>
          <w:rFonts w:eastAsia="Times New Roman" w:cs="Tahoma"/>
          <w:b/>
          <w:bCs/>
          <w:iCs/>
          <w:color w:val="auto"/>
          <w:lang w:eastAsia="es-ES"/>
        </w:rPr>
      </w:pPr>
      <w:r w:rsidRPr="00D05FED">
        <w:rPr>
          <w:rFonts w:eastAsia="Times New Roman" w:cs="Tahoma"/>
          <w:b/>
          <w:bCs/>
          <w:iCs/>
          <w:color w:val="auto"/>
          <w:lang w:eastAsia="es-ES"/>
        </w:rPr>
        <w:t xml:space="preserve">SEXTO. Decisión. </w:t>
      </w:r>
    </w:p>
    <w:p w:rsidRPr="00D05FED" w:rsidR="00D05FED" w:rsidP="00D05FED" w:rsidRDefault="00D05FED" w14:paraId="5F487D8B" w14:textId="77777777">
      <w:pPr>
        <w:spacing w:after="0" w:line="360" w:lineRule="auto"/>
        <w:rPr>
          <w:rFonts w:eastAsia="Times New Roman" w:cs="Tahoma"/>
          <w:b/>
          <w:bCs/>
          <w:iCs/>
          <w:color w:val="auto"/>
          <w:lang w:eastAsia="es-ES"/>
        </w:rPr>
      </w:pPr>
    </w:p>
    <w:p w:rsidRPr="00D05FED" w:rsidR="00D05FED" w:rsidP="00D05FED" w:rsidRDefault="00D05FED" w14:paraId="7B053754" w14:textId="01AEA23C">
      <w:pPr>
        <w:spacing w:after="0" w:line="360" w:lineRule="auto"/>
        <w:rPr>
          <w:rFonts w:eastAsia="Times New Roman" w:cs="Tahoma"/>
          <w:bCs/>
          <w:iCs/>
          <w:color w:val="auto"/>
          <w:lang w:eastAsia="es-ES"/>
        </w:rPr>
      </w:pPr>
      <w:r w:rsidRPr="00D05FED">
        <w:rPr>
          <w:rFonts w:eastAsia="Times New Roman" w:cs="Tahoma"/>
          <w:bCs/>
          <w:iCs/>
          <w:color w:val="auto"/>
          <w:lang w:eastAsia="es-ES"/>
        </w:rPr>
        <w:t xml:space="preserve">Con fundamento en el artículo 186, fracción III, de la Ley de Transparencia y Acceso a la Información Pública del Estado de México y Municipios, este Instituto considera procedente </w:t>
      </w:r>
      <w:r w:rsidRPr="00D05FED">
        <w:rPr>
          <w:rFonts w:eastAsia="Times New Roman" w:cs="Tahoma"/>
          <w:b/>
          <w:bCs/>
          <w:iCs/>
          <w:color w:val="auto"/>
          <w:lang w:val="es-ES_tradnl" w:eastAsia="es-ES"/>
        </w:rPr>
        <w:lastRenderedPageBreak/>
        <w:t>MODIFICAR</w:t>
      </w:r>
      <w:r w:rsidRPr="00D05FED">
        <w:rPr>
          <w:rFonts w:eastAsia="Times New Roman" w:cs="Tahoma"/>
          <w:bCs/>
          <w:iCs/>
          <w:color w:val="auto"/>
          <w:lang w:val="es-ES_tradnl" w:eastAsia="es-ES"/>
        </w:rPr>
        <w:t xml:space="preserve"> </w:t>
      </w:r>
      <w:r w:rsidRPr="00D05FED">
        <w:rPr>
          <w:rFonts w:eastAsia="Times New Roman" w:cs="Tahoma"/>
          <w:bCs/>
          <w:iCs/>
          <w:color w:val="auto"/>
          <w:lang w:eastAsia="es-ES"/>
        </w:rPr>
        <w:t xml:space="preserve">la respuesta otorgada por el Ente Recurrido a la solicitud de acceso a la información con número </w:t>
      </w:r>
      <w:r w:rsidRPr="0084220C" w:rsidR="0084220C">
        <w:rPr>
          <w:rFonts w:eastAsia="Times New Roman" w:cs="Tahoma"/>
          <w:b/>
          <w:bCs/>
          <w:iCs/>
          <w:color w:val="auto"/>
          <w:lang w:eastAsia="es-ES"/>
        </w:rPr>
        <w:t>00030/PMCIU/IP/2021</w:t>
      </w:r>
      <w:r w:rsidRPr="00D05FED">
        <w:rPr>
          <w:rFonts w:eastAsia="Times New Roman" w:cs="Tahoma"/>
          <w:b/>
          <w:bCs/>
          <w:iCs/>
          <w:color w:val="auto"/>
          <w:lang w:eastAsia="es-ES"/>
        </w:rPr>
        <w:t xml:space="preserve">, </w:t>
      </w:r>
      <w:r w:rsidRPr="00D05FED">
        <w:rPr>
          <w:rFonts w:eastAsia="Times New Roman" w:cs="Tahoma"/>
          <w:bCs/>
          <w:iCs/>
          <w:color w:val="auto"/>
          <w:lang w:eastAsia="es-ES"/>
        </w:rPr>
        <w:t xml:space="preserve">e instruir al Sujeto Obligado, a efecto de que, </w:t>
      </w:r>
      <w:r w:rsidR="0084220C">
        <w:rPr>
          <w:rFonts w:eastAsia="Times New Roman" w:cs="Tahoma"/>
          <w:bCs/>
          <w:iCs/>
          <w:color w:val="auto"/>
          <w:lang w:eastAsia="es-ES"/>
        </w:rPr>
        <w:t xml:space="preserve">previa búsqueda exhaustiva y razonable en sus archivos, entregue, </w:t>
      </w:r>
      <w:r w:rsidRPr="00D05FED">
        <w:rPr>
          <w:rFonts w:eastAsia="Times New Roman" w:cs="Tahoma"/>
          <w:bCs/>
          <w:iCs/>
          <w:color w:val="auto"/>
          <w:lang w:eastAsia="es-ES"/>
        </w:rPr>
        <w:t xml:space="preserve">en su caso, en versión pública, lo siguiente: </w:t>
      </w:r>
    </w:p>
    <w:p w:rsidR="00D05FED" w:rsidP="00D05FED" w:rsidRDefault="00D05FED" w14:paraId="122878B2" w14:textId="77777777">
      <w:pPr>
        <w:spacing w:after="0" w:line="360" w:lineRule="auto"/>
        <w:rPr>
          <w:rFonts w:eastAsia="Times New Roman" w:cs="Tahoma"/>
          <w:bCs/>
          <w:iCs/>
          <w:color w:val="auto"/>
          <w:lang w:eastAsia="es-ES"/>
        </w:rPr>
      </w:pPr>
    </w:p>
    <w:p w:rsidR="00DD3C68" w:rsidP="0084220C" w:rsidRDefault="009A6223" w14:paraId="333D8A80" w14:textId="404396BB">
      <w:pPr>
        <w:pStyle w:val="Prrafodelista"/>
        <w:numPr>
          <w:ilvl w:val="0"/>
          <w:numId w:val="43"/>
        </w:numPr>
        <w:spacing w:line="360" w:lineRule="auto"/>
        <w:rPr>
          <w:rFonts w:cs="Tahoma"/>
          <w:bCs/>
          <w:iCs/>
          <w:color w:val="auto"/>
        </w:rPr>
      </w:pPr>
      <w:r>
        <w:rPr>
          <w:rFonts w:cs="Tahoma"/>
          <w:bCs/>
          <w:iCs/>
          <w:color w:val="auto"/>
        </w:rPr>
        <w:t>D</w:t>
      </w:r>
      <w:r w:rsidR="0084220C">
        <w:rPr>
          <w:rFonts w:cs="Tahoma"/>
          <w:bCs/>
          <w:iCs/>
          <w:color w:val="auto"/>
        </w:rPr>
        <w:t>ocumento denominado</w:t>
      </w:r>
      <w:r w:rsidRPr="0084220C" w:rsidR="0084220C">
        <w:rPr>
          <w:rFonts w:cs="Tahoma"/>
          <w:bCs/>
          <w:iCs/>
          <w:color w:val="auto"/>
        </w:rPr>
        <w:t xml:space="preserve"> </w:t>
      </w:r>
      <w:r w:rsidR="0084220C">
        <w:rPr>
          <w:rFonts w:cs="Tahoma"/>
          <w:bCs/>
          <w:iCs/>
          <w:color w:val="auto"/>
        </w:rPr>
        <w:t>“</w:t>
      </w:r>
      <w:r w:rsidRPr="0084220C" w:rsidR="0084220C">
        <w:rPr>
          <w:rFonts w:cs="Tahoma"/>
          <w:bCs/>
          <w:iCs/>
          <w:color w:val="auto"/>
        </w:rPr>
        <w:t>Nómina Personal</w:t>
      </w:r>
      <w:r w:rsidR="0084220C">
        <w:rPr>
          <w:rFonts w:cs="Tahoma"/>
          <w:bCs/>
          <w:iCs/>
          <w:color w:val="auto"/>
        </w:rPr>
        <w:t>”</w:t>
      </w:r>
      <w:r w:rsidRPr="0084220C" w:rsidR="0084220C">
        <w:rPr>
          <w:rFonts w:cs="Tahoma"/>
          <w:bCs/>
          <w:iCs/>
          <w:color w:val="auto"/>
        </w:rPr>
        <w:t>, de la primera quincena de enero a la primera de octubre de dos mil veintiuno.</w:t>
      </w:r>
    </w:p>
    <w:p w:rsidR="009A6223" w:rsidP="009A6223" w:rsidRDefault="009A6223" w14:paraId="1A2627CB" w14:textId="77777777">
      <w:pPr>
        <w:pStyle w:val="Prrafodelista"/>
        <w:spacing w:line="360" w:lineRule="auto"/>
        <w:rPr>
          <w:rFonts w:cs="Tahoma"/>
          <w:bCs/>
          <w:iCs/>
          <w:color w:val="auto"/>
        </w:rPr>
      </w:pPr>
    </w:p>
    <w:p w:rsidRPr="00173AED" w:rsidR="00A107C6" w:rsidP="00211FA7" w:rsidRDefault="00A107C6" w14:paraId="6DB83301" w14:textId="77777777">
      <w:pPr>
        <w:pStyle w:val="Prrafodelista"/>
        <w:numPr>
          <w:ilvl w:val="0"/>
          <w:numId w:val="43"/>
        </w:numPr>
        <w:spacing w:line="360" w:lineRule="auto"/>
        <w:rPr>
          <w:rFonts w:cs="Tahoma"/>
          <w:bCs/>
          <w:iCs/>
          <w:color w:val="auto"/>
        </w:rPr>
      </w:pPr>
      <w:r>
        <w:rPr>
          <w:rFonts w:cs="Tahoma"/>
          <w:bCs/>
          <w:iCs/>
          <w:color w:val="auto"/>
        </w:rPr>
        <w:t xml:space="preserve">Documentos </w:t>
      </w:r>
      <w:r w:rsidRPr="009A6223">
        <w:rPr>
          <w:rFonts w:cs="Tahoma"/>
          <w:bCs/>
          <w:iCs/>
          <w:color w:val="auto"/>
        </w:rPr>
        <w:t xml:space="preserve">donde consten los recursos (obtenidos de financiamiento público) </w:t>
      </w:r>
      <w:r>
        <w:rPr>
          <w:rFonts w:cs="Tahoma"/>
          <w:bCs/>
          <w:iCs/>
          <w:color w:val="auto"/>
        </w:rPr>
        <w:t>programados para</w:t>
      </w:r>
      <w:r w:rsidRPr="009A6223">
        <w:rPr>
          <w:rFonts w:cs="Tahoma"/>
          <w:bCs/>
          <w:iCs/>
          <w:color w:val="auto"/>
        </w:rPr>
        <w:t xml:space="preserve"> utilizar durante </w:t>
      </w:r>
      <w:r>
        <w:rPr>
          <w:rFonts w:cs="Tahoma"/>
          <w:bCs/>
          <w:iCs/>
          <w:color w:val="auto"/>
        </w:rPr>
        <w:t>los meses</w:t>
      </w:r>
      <w:r w:rsidRPr="009A6223">
        <w:rPr>
          <w:rFonts w:cs="Tahoma"/>
          <w:bCs/>
          <w:iCs/>
          <w:color w:val="auto"/>
        </w:rPr>
        <w:t xml:space="preserve"> septiembre y octubre de dos mil veintiuno, para el pago de sueldos y salarios, con el mayor grado de desagregación posible.</w:t>
      </w:r>
    </w:p>
    <w:p w:rsidRPr="00D05FED" w:rsidR="00D05FED" w:rsidP="00D05FED" w:rsidRDefault="00D05FED" w14:paraId="4622F267" w14:textId="77777777">
      <w:pPr>
        <w:spacing w:after="0" w:line="360" w:lineRule="auto"/>
        <w:rPr>
          <w:rFonts w:eastAsia="Times New Roman" w:cs="Tahoma"/>
          <w:bCs/>
          <w:iCs/>
          <w:color w:val="auto"/>
          <w:lang w:eastAsia="es-ES"/>
        </w:rPr>
      </w:pPr>
    </w:p>
    <w:p w:rsidRPr="009A6223" w:rsidR="009A6223" w:rsidP="009A6223" w:rsidRDefault="009A6223" w14:paraId="48D8B841" w14:textId="77777777">
      <w:pPr>
        <w:autoSpaceDE w:val="0"/>
        <w:autoSpaceDN w:val="0"/>
        <w:adjustRightInd w:val="0"/>
        <w:spacing w:after="0" w:line="360" w:lineRule="auto"/>
        <w:rPr>
          <w:rFonts w:eastAsia="Calibri" w:cs="Tahoma"/>
          <w:bCs/>
          <w:iCs/>
          <w:color w:val="000000"/>
        </w:rPr>
      </w:pPr>
      <w:r w:rsidRPr="009A6223">
        <w:rPr>
          <w:rFonts w:eastAsia="Calibri" w:cs="Tahoma"/>
          <w:bCs/>
          <w:iCs/>
          <w:color w:val="000000"/>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Pr="004B05CE" w:rsidR="00FF4067" w:rsidP="00FF4067" w:rsidRDefault="00FF4067" w14:paraId="632A134D" w14:textId="77777777">
      <w:pPr>
        <w:spacing w:after="0" w:line="360" w:lineRule="auto"/>
      </w:pPr>
    </w:p>
    <w:p w:rsidRPr="005B45DD" w:rsidR="00FF4067" w:rsidP="00FF4067" w:rsidRDefault="00FF4067" w14:paraId="632A1354" w14:textId="77777777">
      <w:pPr>
        <w:spacing w:after="0" w:line="360" w:lineRule="auto"/>
        <w:rPr>
          <w:b/>
          <w:bCs/>
        </w:rPr>
      </w:pPr>
      <w:r w:rsidRPr="005B45DD">
        <w:rPr>
          <w:b/>
          <w:bCs/>
        </w:rPr>
        <w:t>Términos de la Resolución.</w:t>
      </w:r>
    </w:p>
    <w:p w:rsidR="00FF4067" w:rsidP="00FF4067" w:rsidRDefault="00FF4067" w14:paraId="632A1355" w14:textId="77777777">
      <w:pPr>
        <w:spacing w:after="0" w:line="360" w:lineRule="auto"/>
      </w:pPr>
    </w:p>
    <w:p w:rsidR="00B77571" w:rsidP="00FF4067" w:rsidRDefault="00FF4067" w14:paraId="0EA0169C" w14:textId="3794EC81">
      <w:pPr>
        <w:spacing w:after="0" w:line="360" w:lineRule="auto"/>
        <w:ind w:right="-28"/>
        <w:rPr>
          <w:rFonts w:eastAsia="Times New Roman" w:cs="Times New Roman"/>
          <w:lang w:eastAsia="es-MX"/>
        </w:rPr>
      </w:pPr>
      <w:r w:rsidRPr="00313398">
        <w:rPr>
          <w:rFonts w:eastAsia="Times New Roman" w:cs="Times New Roman"/>
          <w:lang w:eastAsia="es-MX"/>
        </w:rPr>
        <w:t xml:space="preserve">Se le hace del conocimiento al Particular, que, en el presente caso, se le </w:t>
      </w:r>
      <w:r>
        <w:rPr>
          <w:rFonts w:eastAsia="Times New Roman" w:cs="Times New Roman"/>
          <w:lang w:eastAsia="es-MX"/>
        </w:rPr>
        <w:t>concede</w:t>
      </w:r>
      <w:r w:rsidR="00B77571">
        <w:rPr>
          <w:rFonts w:eastAsia="Times New Roman" w:cs="Times New Roman"/>
          <w:lang w:eastAsia="es-MX"/>
        </w:rPr>
        <w:t xml:space="preserve"> parcialmente la razón pues el Sujeto Obligado </w:t>
      </w:r>
      <w:r w:rsidR="0083487D">
        <w:rPr>
          <w:rFonts w:eastAsia="Times New Roman" w:cs="Times New Roman"/>
          <w:lang w:eastAsia="es-MX"/>
        </w:rPr>
        <w:t xml:space="preserve">atendió de manera parcial el requerimiento de información, </w:t>
      </w:r>
      <w:r w:rsidR="009A6223">
        <w:rPr>
          <w:rFonts w:eastAsia="Times New Roman" w:cs="Times New Roman"/>
          <w:lang w:eastAsia="es-MX"/>
        </w:rPr>
        <w:t>por lo que, deberá entregarla la información faltante, relacionada con el monto planeado y utilizado para el pago de remuneraciones de los trabajadores del Partido.</w:t>
      </w:r>
    </w:p>
    <w:p w:rsidR="00FF4067" w:rsidP="00FF4067" w:rsidRDefault="00FF4067" w14:paraId="632A1357" w14:textId="77777777">
      <w:pPr>
        <w:spacing w:after="0" w:line="360" w:lineRule="auto"/>
        <w:ind w:right="-28"/>
        <w:rPr>
          <w:rFonts w:eastAsia="Calibri" w:cs="Tahoma"/>
          <w:bCs/>
          <w:iCs/>
          <w:color w:val="auto"/>
        </w:rPr>
      </w:pPr>
    </w:p>
    <w:p w:rsidRPr="00682222" w:rsidR="00FF4067" w:rsidP="00FF4067" w:rsidRDefault="00FF4067" w14:paraId="632A1358" w14:textId="77777777">
      <w:pPr>
        <w:spacing w:after="0" w:line="360" w:lineRule="auto"/>
        <w:ind w:right="-28"/>
        <w:rPr>
          <w:rFonts w:eastAsia="Calibri" w:cs="Tahoma"/>
        </w:rPr>
      </w:pPr>
      <w:r w:rsidRPr="00313398">
        <w:rPr>
          <w:rFonts w:eastAsia="Calibri" w:cs="Tahoma"/>
          <w:bCs/>
          <w:iCs/>
          <w:color w:val="auto"/>
        </w:rPr>
        <w:t>Finalmente, la labor de este Instituto, es apoyar a la población a acceder a la información pública y garantizar la protección de los datos personales.</w:t>
      </w:r>
    </w:p>
    <w:p w:rsidR="00FF4067" w:rsidP="00FF4067" w:rsidRDefault="00FF4067" w14:paraId="632A1359" w14:textId="3672B412">
      <w:pPr>
        <w:spacing w:after="0" w:line="360" w:lineRule="auto"/>
      </w:pPr>
    </w:p>
    <w:p w:rsidRPr="00DA1662" w:rsidR="009A6223" w:rsidP="00FF4067" w:rsidRDefault="009A6223" w14:paraId="6972DF98" w14:textId="77777777">
      <w:pPr>
        <w:spacing w:after="0" w:line="360" w:lineRule="auto"/>
      </w:pPr>
    </w:p>
    <w:p w:rsidRPr="00B377FD" w:rsidR="00FF4067" w:rsidP="00FF4067" w:rsidRDefault="00FF4067" w14:paraId="632A135A" w14:textId="77777777">
      <w:pPr>
        <w:spacing w:after="0" w:line="360" w:lineRule="auto"/>
        <w:rPr>
          <w:rFonts w:eastAsia="Calibri" w:cs="Tahoma"/>
          <w:bCs/>
          <w:color w:val="auto"/>
        </w:rPr>
      </w:pPr>
      <w:r w:rsidRPr="00DA1662">
        <w:t>Por</w:t>
      </w:r>
      <w:r w:rsidRPr="00B377FD">
        <w:rPr>
          <w:rFonts w:eastAsia="Calibri" w:cs="Tahoma"/>
          <w:bCs/>
          <w:color w:val="auto"/>
        </w:rPr>
        <w:t xml:space="preserve"> lo expuesto y fundado, este Pleno:</w:t>
      </w:r>
    </w:p>
    <w:p w:rsidRPr="00B377FD" w:rsidR="00FF4067" w:rsidP="00FF4067" w:rsidRDefault="00FF4067" w14:paraId="632A135B" w14:textId="77777777">
      <w:pPr>
        <w:spacing w:after="0" w:line="360" w:lineRule="auto"/>
        <w:ind w:right="-28"/>
        <w:rPr>
          <w:rFonts w:eastAsia="Calibri" w:cs="Tahoma"/>
          <w:bCs/>
          <w:color w:val="auto"/>
        </w:rPr>
      </w:pPr>
    </w:p>
    <w:p w:rsidRPr="00B377FD" w:rsidR="00FF4067" w:rsidP="00FF4067" w:rsidRDefault="00FF4067" w14:paraId="632A135C" w14:textId="77777777">
      <w:pPr>
        <w:spacing w:after="0" w:line="360" w:lineRule="auto"/>
        <w:ind w:right="-28"/>
        <w:jc w:val="center"/>
        <w:rPr>
          <w:rFonts w:eastAsia="Calibri" w:cs="Tahoma"/>
          <w:b/>
          <w:bCs/>
          <w:color w:val="auto"/>
        </w:rPr>
      </w:pPr>
      <w:r w:rsidRPr="00A159E8">
        <w:rPr>
          <w:rFonts w:eastAsia="Calibri" w:cs="Tahoma"/>
          <w:b/>
          <w:bCs/>
          <w:color w:val="auto"/>
        </w:rPr>
        <w:t>R E S U E L V E:</w:t>
      </w:r>
    </w:p>
    <w:p w:rsidRPr="00B377FD" w:rsidR="00FF4067" w:rsidP="00FF4067" w:rsidRDefault="00FF4067" w14:paraId="632A135D" w14:textId="77777777">
      <w:pPr>
        <w:spacing w:after="0" w:line="360" w:lineRule="auto"/>
        <w:rPr>
          <w:lang w:val="es-ES" w:eastAsia="es-ES_tradnl"/>
        </w:rPr>
      </w:pPr>
    </w:p>
    <w:p w:rsidRPr="000D54C1" w:rsidR="00FF4067" w:rsidP="00FF4067" w:rsidRDefault="00FF4067" w14:paraId="632A135E" w14:textId="16025863">
      <w:pPr>
        <w:spacing w:after="0" w:line="360" w:lineRule="auto"/>
        <w:contextualSpacing/>
        <w:rPr>
          <w:rFonts w:eastAsia="Calibri" w:cs="Tahoma"/>
          <w:bCs/>
        </w:rPr>
      </w:pPr>
      <w:r w:rsidRPr="000D54C1">
        <w:rPr>
          <w:rFonts w:cs="Tahoma"/>
          <w:b/>
          <w:bCs/>
        </w:rPr>
        <w:t xml:space="preserve">PRIMERO. </w:t>
      </w:r>
      <w:r w:rsidRPr="000D54C1">
        <w:rPr>
          <w:rFonts w:cs="Tahoma"/>
          <w:bCs/>
        </w:rPr>
        <w:t xml:space="preserve">Se </w:t>
      </w:r>
      <w:r w:rsidRPr="000D54C1">
        <w:rPr>
          <w:rFonts w:cs="Tahoma"/>
          <w:b/>
          <w:bCs/>
        </w:rPr>
        <w:t>MODIFICA</w:t>
      </w:r>
      <w:r w:rsidRPr="000D54C1">
        <w:rPr>
          <w:rFonts w:cs="Tahoma"/>
          <w:bCs/>
        </w:rPr>
        <w:t xml:space="preserve"> la respuesta entregada por el </w:t>
      </w:r>
      <w:r>
        <w:rPr>
          <w:rFonts w:eastAsia="Calibri" w:cs="Tahoma"/>
        </w:rPr>
        <w:t>Partido Movimiento Ciudadano</w:t>
      </w:r>
      <w:r w:rsidRPr="000D54C1">
        <w:rPr>
          <w:rFonts w:cs="Tahoma"/>
          <w:bCs/>
        </w:rPr>
        <w:t xml:space="preserve"> a la solicitud de </w:t>
      </w:r>
      <w:r w:rsidRPr="00E92B4A">
        <w:rPr>
          <w:rFonts w:eastAsia="Calibri" w:cs="Tahoma"/>
        </w:rPr>
        <w:t xml:space="preserve">información </w:t>
      </w:r>
      <w:r>
        <w:rPr>
          <w:rFonts w:eastAsia="Calibri" w:cs="Tahoma"/>
          <w:b/>
          <w:bCs/>
        </w:rPr>
        <w:t>00030/PMCIU/IP/2021</w:t>
      </w:r>
      <w:r w:rsidRPr="00BF7F1A">
        <w:t xml:space="preserve"> por resultar </w:t>
      </w:r>
      <w:r w:rsidRPr="00CC08D1" w:rsidR="00CC08D1">
        <w:rPr>
          <w:b/>
          <w:bCs/>
        </w:rPr>
        <w:t xml:space="preserve">PARCIALMENTE </w:t>
      </w:r>
      <w:r w:rsidRPr="00CC08D1">
        <w:rPr>
          <w:b/>
          <w:bCs/>
        </w:rPr>
        <w:t>FUNDADAS</w:t>
      </w:r>
      <w:r w:rsidRPr="00BF7F1A">
        <w:rPr>
          <w:rFonts w:cs="Tahoma"/>
        </w:rPr>
        <w:t xml:space="preserve"> </w:t>
      </w:r>
      <w:r w:rsidRPr="00BF7F1A">
        <w:rPr>
          <w:rFonts w:eastAsia="Calibri" w:cs="Tahoma"/>
        </w:rPr>
        <w:t xml:space="preserve">las razones o motivos de inconformidad hechos valer por el </w:t>
      </w:r>
      <w:r>
        <w:rPr>
          <w:rFonts w:eastAsia="Calibri" w:cs="Tahoma"/>
        </w:rPr>
        <w:t>Particular</w:t>
      </w:r>
      <w:r w:rsidRPr="00BF7F1A">
        <w:rPr>
          <w:rFonts w:eastAsia="Calibri" w:cs="Tahoma"/>
        </w:rPr>
        <w:t>, en</w:t>
      </w:r>
      <w:r w:rsidRPr="000D54C1">
        <w:rPr>
          <w:rFonts w:eastAsia="Calibri" w:cs="Tahoma"/>
          <w:bCs/>
        </w:rPr>
        <w:t xml:space="preserve"> términos de los considerandos </w:t>
      </w:r>
      <w:r w:rsidRPr="000D54C1">
        <w:rPr>
          <w:rFonts w:eastAsia="Calibri" w:cs="Tahoma"/>
          <w:b/>
          <w:bCs/>
        </w:rPr>
        <w:t xml:space="preserve">QUINTO </w:t>
      </w:r>
      <w:r w:rsidRPr="00BF7F1A">
        <w:rPr>
          <w:rFonts w:eastAsia="Calibri" w:cs="Tahoma"/>
        </w:rPr>
        <w:t xml:space="preserve">y </w:t>
      </w:r>
      <w:r w:rsidRPr="000D54C1">
        <w:rPr>
          <w:rFonts w:eastAsia="Calibri" w:cs="Tahoma"/>
          <w:b/>
          <w:bCs/>
        </w:rPr>
        <w:t>SEXTO</w:t>
      </w:r>
      <w:r w:rsidRPr="000D54C1">
        <w:rPr>
          <w:rFonts w:eastAsia="Calibri" w:cs="Tahoma"/>
          <w:bCs/>
        </w:rPr>
        <w:t xml:space="preserve"> de la presente Resolución.</w:t>
      </w:r>
    </w:p>
    <w:p w:rsidRPr="000D54C1" w:rsidR="00FF4067" w:rsidP="00FF4067" w:rsidRDefault="00FF4067" w14:paraId="632A135F" w14:textId="77777777">
      <w:pPr>
        <w:spacing w:after="0" w:line="360" w:lineRule="auto"/>
        <w:contextualSpacing/>
        <w:rPr>
          <w:rFonts w:eastAsia="Calibri" w:cs="Tahoma"/>
          <w:bCs/>
        </w:rPr>
      </w:pPr>
    </w:p>
    <w:p w:rsidR="00FF4067" w:rsidP="00FF4067" w:rsidRDefault="00FF4067" w14:paraId="632A1360" w14:textId="35E76802">
      <w:pPr>
        <w:spacing w:after="0" w:line="360" w:lineRule="auto"/>
        <w:contextualSpacing/>
        <w:rPr>
          <w:rFonts w:cs="Tahoma"/>
        </w:rPr>
      </w:pPr>
      <w:r w:rsidRPr="000D54C1">
        <w:rPr>
          <w:rFonts w:cs="Tahoma"/>
          <w:b/>
          <w:bCs/>
        </w:rPr>
        <w:t xml:space="preserve">SEGUNDO. </w:t>
      </w:r>
      <w:r w:rsidRPr="000D54C1">
        <w:rPr>
          <w:rFonts w:cs="Tahoma"/>
        </w:rPr>
        <w:t xml:space="preserve">Se </w:t>
      </w:r>
      <w:r w:rsidRPr="000D54C1">
        <w:rPr>
          <w:rFonts w:cs="Tahoma"/>
          <w:b/>
        </w:rPr>
        <w:t xml:space="preserve">ORDENA </w:t>
      </w:r>
      <w:r w:rsidRPr="000D54C1">
        <w:rPr>
          <w:rFonts w:cs="Tahoma"/>
          <w:bCs/>
        </w:rPr>
        <w:t xml:space="preserve">al </w:t>
      </w:r>
      <w:r w:rsidRPr="00BF7F1A">
        <w:rPr>
          <w:rFonts w:cs="Tahoma"/>
        </w:rPr>
        <w:t>Ente Recurrido</w:t>
      </w:r>
      <w:r>
        <w:rPr>
          <w:rFonts w:cs="Tahoma"/>
        </w:rPr>
        <w:t>, a efecto de</w:t>
      </w:r>
      <w:r w:rsidRPr="000D54C1">
        <w:rPr>
          <w:rFonts w:eastAsia="Calibri" w:cs="Tahoma"/>
          <w:lang w:eastAsia="es-MX"/>
        </w:rPr>
        <w:t xml:space="preserve"> que</w:t>
      </w:r>
      <w:r w:rsidR="009A6223">
        <w:rPr>
          <w:rFonts w:eastAsia="Calibri" w:cs="Tahoma"/>
          <w:lang w:eastAsia="es-MX"/>
        </w:rPr>
        <w:t>, previa búsqueda exhaustiva y razonable, en todas las áreas competentes,</w:t>
      </w:r>
      <w:r w:rsidRPr="000D54C1">
        <w:rPr>
          <w:rFonts w:eastAsia="Calibri" w:cs="Tahoma"/>
          <w:lang w:eastAsia="es-MX"/>
        </w:rPr>
        <w:t xml:space="preserve"> entregue</w:t>
      </w:r>
      <w:r w:rsidRPr="000D54C1">
        <w:rPr>
          <w:rFonts w:cs="Tahoma"/>
        </w:rPr>
        <w:t xml:space="preserve">, a través del Sistema de Acceso a la Información Mexiquense (SAIMEX), </w:t>
      </w:r>
      <w:r>
        <w:rPr>
          <w:rFonts w:cs="Tahoma"/>
        </w:rPr>
        <w:t>lo siguiente:</w:t>
      </w:r>
    </w:p>
    <w:p w:rsidRPr="000D54C1" w:rsidR="00FF4067" w:rsidP="00FF4067" w:rsidRDefault="00FF4067" w14:paraId="632A1361" w14:textId="77777777">
      <w:pPr>
        <w:spacing w:after="0" w:line="360" w:lineRule="auto"/>
        <w:contextualSpacing/>
        <w:rPr>
          <w:rFonts w:cs="Tahoma"/>
        </w:rPr>
      </w:pPr>
    </w:p>
    <w:p w:rsidR="009A6223" w:rsidP="00824426" w:rsidRDefault="009A6223" w14:paraId="5DB03CA7" w14:textId="77777777">
      <w:pPr>
        <w:pStyle w:val="Prrafodelista"/>
        <w:numPr>
          <w:ilvl w:val="0"/>
          <w:numId w:val="50"/>
        </w:numPr>
        <w:spacing w:line="360" w:lineRule="auto"/>
        <w:rPr>
          <w:rFonts w:cs="Tahoma"/>
          <w:bCs/>
          <w:iCs/>
          <w:color w:val="auto"/>
        </w:rPr>
      </w:pPr>
      <w:r>
        <w:rPr>
          <w:rFonts w:cs="Tahoma"/>
          <w:bCs/>
          <w:iCs/>
          <w:color w:val="auto"/>
        </w:rPr>
        <w:t>Documento denominado</w:t>
      </w:r>
      <w:r w:rsidRPr="0084220C">
        <w:rPr>
          <w:rFonts w:cs="Tahoma"/>
          <w:bCs/>
          <w:iCs/>
          <w:color w:val="auto"/>
        </w:rPr>
        <w:t xml:space="preserve"> </w:t>
      </w:r>
      <w:r>
        <w:rPr>
          <w:rFonts w:cs="Tahoma"/>
          <w:bCs/>
          <w:iCs/>
          <w:color w:val="auto"/>
        </w:rPr>
        <w:t>“</w:t>
      </w:r>
      <w:r w:rsidRPr="0084220C">
        <w:rPr>
          <w:rFonts w:cs="Tahoma"/>
          <w:bCs/>
          <w:iCs/>
          <w:color w:val="auto"/>
        </w:rPr>
        <w:t>Nómina Personal</w:t>
      </w:r>
      <w:r>
        <w:rPr>
          <w:rFonts w:cs="Tahoma"/>
          <w:bCs/>
          <w:iCs/>
          <w:color w:val="auto"/>
        </w:rPr>
        <w:t>”</w:t>
      </w:r>
      <w:r w:rsidRPr="0084220C">
        <w:rPr>
          <w:rFonts w:cs="Tahoma"/>
          <w:bCs/>
          <w:iCs/>
          <w:color w:val="auto"/>
        </w:rPr>
        <w:t>, de la primera quincena de enero a la primera de octubre de dos mil veintiuno.</w:t>
      </w:r>
    </w:p>
    <w:p w:rsidR="009A6223" w:rsidP="009A6223" w:rsidRDefault="009A6223" w14:paraId="4D13B799" w14:textId="77777777">
      <w:pPr>
        <w:pStyle w:val="Prrafodelista"/>
        <w:spacing w:line="360" w:lineRule="auto"/>
        <w:rPr>
          <w:rFonts w:cs="Tahoma"/>
          <w:bCs/>
          <w:iCs/>
          <w:color w:val="auto"/>
        </w:rPr>
      </w:pPr>
    </w:p>
    <w:p w:rsidRPr="00173AED" w:rsidR="009A6223" w:rsidP="00824426" w:rsidRDefault="009A6223" w14:paraId="087735C3" w14:textId="458A661E">
      <w:pPr>
        <w:pStyle w:val="Prrafodelista"/>
        <w:numPr>
          <w:ilvl w:val="0"/>
          <w:numId w:val="50"/>
        </w:numPr>
        <w:spacing w:line="360" w:lineRule="auto"/>
        <w:rPr>
          <w:rFonts w:cs="Tahoma"/>
          <w:bCs/>
          <w:iCs/>
          <w:color w:val="auto"/>
        </w:rPr>
      </w:pPr>
      <w:r>
        <w:rPr>
          <w:rFonts w:cs="Tahoma"/>
          <w:bCs/>
          <w:iCs/>
          <w:color w:val="auto"/>
        </w:rPr>
        <w:t>Documento</w:t>
      </w:r>
      <w:r w:rsidR="00A107C6">
        <w:rPr>
          <w:rFonts w:cs="Tahoma"/>
          <w:bCs/>
          <w:iCs/>
          <w:color w:val="auto"/>
        </w:rPr>
        <w:t>s</w:t>
      </w:r>
      <w:r>
        <w:rPr>
          <w:rFonts w:cs="Tahoma"/>
          <w:bCs/>
          <w:iCs/>
          <w:color w:val="auto"/>
        </w:rPr>
        <w:t xml:space="preserve"> </w:t>
      </w:r>
      <w:r w:rsidRPr="009A6223">
        <w:rPr>
          <w:rFonts w:cs="Tahoma"/>
          <w:bCs/>
          <w:iCs/>
          <w:color w:val="auto"/>
        </w:rPr>
        <w:t xml:space="preserve">donde consten los recursos (obtenidos de financiamiento público) </w:t>
      </w:r>
      <w:r w:rsidR="00A107C6">
        <w:rPr>
          <w:rFonts w:cs="Tahoma"/>
          <w:bCs/>
          <w:iCs/>
          <w:color w:val="auto"/>
        </w:rPr>
        <w:t>programados para</w:t>
      </w:r>
      <w:r w:rsidRPr="009A6223">
        <w:rPr>
          <w:rFonts w:cs="Tahoma"/>
          <w:bCs/>
          <w:iCs/>
          <w:color w:val="auto"/>
        </w:rPr>
        <w:t xml:space="preserve"> utilizar durante </w:t>
      </w:r>
      <w:r w:rsidR="00A107C6">
        <w:rPr>
          <w:rFonts w:cs="Tahoma"/>
          <w:bCs/>
          <w:iCs/>
          <w:color w:val="auto"/>
        </w:rPr>
        <w:t>los meses</w:t>
      </w:r>
      <w:r w:rsidRPr="009A6223">
        <w:rPr>
          <w:rFonts w:cs="Tahoma"/>
          <w:bCs/>
          <w:iCs/>
          <w:color w:val="auto"/>
        </w:rPr>
        <w:t xml:space="preserve"> septiembre y octubre de dos mil veintiuno, para el pago de sueldos y salarios, con el mayor grado de desagregación posible.</w:t>
      </w:r>
    </w:p>
    <w:p w:rsidRPr="00D05FED" w:rsidR="008C59A2" w:rsidP="008C59A2" w:rsidRDefault="008C59A2" w14:paraId="0AA41851" w14:textId="77777777">
      <w:pPr>
        <w:spacing w:after="0" w:line="360" w:lineRule="auto"/>
        <w:rPr>
          <w:rFonts w:eastAsia="Times New Roman" w:cs="Tahoma"/>
          <w:bCs/>
          <w:iCs/>
          <w:color w:val="auto"/>
          <w:lang w:eastAsia="es-ES"/>
        </w:rPr>
      </w:pPr>
    </w:p>
    <w:p w:rsidRPr="009A6223" w:rsidR="009A6223" w:rsidP="009A6223" w:rsidRDefault="009A6223" w14:paraId="524BC54B" w14:textId="77777777">
      <w:pPr>
        <w:autoSpaceDE w:val="0"/>
        <w:autoSpaceDN w:val="0"/>
        <w:adjustRightInd w:val="0"/>
        <w:spacing w:after="0" w:line="360" w:lineRule="auto"/>
        <w:rPr>
          <w:rFonts w:eastAsia="Calibri" w:cs="Tahoma"/>
          <w:bCs/>
          <w:iCs/>
          <w:color w:val="000000"/>
        </w:rPr>
      </w:pPr>
      <w:r w:rsidRPr="009A6223">
        <w:rPr>
          <w:rFonts w:eastAsia="Calibri" w:cs="Tahoma"/>
          <w:bCs/>
          <w:iCs/>
          <w:color w:val="000000"/>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009A6223" w:rsidP="00FF4067" w:rsidRDefault="009A6223" w14:paraId="3C4D3E87" w14:textId="7A648826">
      <w:pPr>
        <w:spacing w:after="0" w:line="360" w:lineRule="auto"/>
        <w:rPr>
          <w:rFonts w:eastAsia="Times New Roman" w:cs="Tahoma"/>
          <w:bCs/>
          <w:color w:val="auto"/>
          <w:lang w:val="es-ES" w:eastAsia="es-ES"/>
        </w:rPr>
      </w:pPr>
    </w:p>
    <w:p w:rsidR="00FF4067" w:rsidP="00FF4067" w:rsidRDefault="00FF4067" w14:paraId="632A1366" w14:textId="77777777">
      <w:pPr>
        <w:spacing w:after="0" w:line="360" w:lineRule="auto"/>
        <w:rPr>
          <w:rFonts w:cs="Tahoma"/>
        </w:rPr>
      </w:pPr>
      <w:r w:rsidRPr="000D54C1">
        <w:rPr>
          <w:rFonts w:cs="Arial"/>
          <w:b/>
          <w:lang w:val="es-ES_tradnl"/>
        </w:rPr>
        <w:t>TERCERO.</w:t>
      </w:r>
      <w:r w:rsidRPr="000D54C1">
        <w:rPr>
          <w:rFonts w:cs="Tahoma"/>
          <w:b/>
        </w:rPr>
        <w:t xml:space="preserve"> NOTIFÍQUESE </w:t>
      </w:r>
      <w:r w:rsidRPr="000D54C1">
        <w:rPr>
          <w:rFonts w:cs="Tahoma"/>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FF4067" w:rsidP="00FF4067" w:rsidRDefault="00FF4067" w14:paraId="632A1367" w14:textId="77777777">
      <w:pPr>
        <w:spacing w:after="0" w:line="360" w:lineRule="auto"/>
        <w:rPr>
          <w:rFonts w:cs="Tahoma"/>
        </w:rPr>
      </w:pPr>
    </w:p>
    <w:p w:rsidRPr="00682222" w:rsidR="00FF4067" w:rsidP="00FF4067" w:rsidRDefault="00FF4067" w14:paraId="632A1368" w14:textId="77777777">
      <w:pPr>
        <w:spacing w:line="360" w:lineRule="auto"/>
        <w:contextualSpacing/>
        <w:rPr>
          <w:rFonts w:eastAsia="Calibri" w:cs="Tahoma"/>
          <w:iCs/>
        </w:rPr>
      </w:pPr>
      <w:bookmarkStart w:name="_Hlk61509110" w:id="0"/>
      <w:r w:rsidRPr="002E568E">
        <w:rPr>
          <w:rFonts w:eastAsia="Calibri" w:cs="Tahoma"/>
          <w:i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bookmarkEnd w:id="0"/>
    </w:p>
    <w:p w:rsidRPr="000D54C1" w:rsidR="00FF4067" w:rsidP="00FF4067" w:rsidRDefault="00FF4067" w14:paraId="632A1369" w14:textId="77777777">
      <w:pPr>
        <w:spacing w:after="0" w:line="360" w:lineRule="auto"/>
        <w:rPr>
          <w:rFonts w:cs="Tahoma"/>
        </w:rPr>
      </w:pPr>
    </w:p>
    <w:p w:rsidRPr="000D54C1" w:rsidR="00FF4067" w:rsidP="00FF4067" w:rsidRDefault="00FF4067" w14:paraId="632A136A" w14:textId="77777777">
      <w:pPr>
        <w:spacing w:after="0" w:line="360" w:lineRule="auto"/>
        <w:rPr>
          <w:rFonts w:cs="Tahoma"/>
        </w:rPr>
      </w:pPr>
      <w:r w:rsidRPr="000D54C1">
        <w:rPr>
          <w:rFonts w:cs="Tahoma"/>
          <w:b/>
        </w:rPr>
        <w:t>CUARTO. NOTIFÍQUESE</w:t>
      </w:r>
      <w:r w:rsidRPr="000D54C1">
        <w:rPr>
          <w:rFonts w:cs="Tahoma"/>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FF4067" w:rsidP="00FF4067" w:rsidRDefault="00FF4067" w14:paraId="632A136B" w14:textId="77777777">
      <w:pPr>
        <w:spacing w:after="0" w:line="360" w:lineRule="auto"/>
        <w:rPr>
          <w:rFonts w:eastAsia="Calibri" w:cs="Tahoma"/>
          <w:bCs/>
          <w:lang w:val="es-ES"/>
        </w:rPr>
      </w:pPr>
    </w:p>
    <w:p w:rsidR="00FF4067" w:rsidP="00FF4067" w:rsidRDefault="008A1C7C" w14:paraId="632A136C" w14:textId="4AC876B9">
      <w:pPr>
        <w:spacing w:after="0" w:line="360" w:lineRule="auto"/>
        <w:rPr>
          <w:rFonts w:eastAsia="Calibri" w:cs="Tahoma"/>
          <w:bCs/>
        </w:rPr>
      </w:pPr>
      <w:r w:rsidRPr="00BB7445">
        <w:rPr>
          <w:rFonts w:eastAsia="Calibri" w:cs="Tahoma"/>
          <w:bCs/>
        </w:rPr>
        <w:t xml:space="preserve">ASÍ LO RESUELVE, POR </w:t>
      </w:r>
      <w:r w:rsidRPr="00BB7445">
        <w:rPr>
          <w:rFonts w:eastAsia="Calibri" w:cs="Tahoma"/>
          <w:b/>
        </w:rPr>
        <w:t>UNANIMIDAD</w:t>
      </w:r>
      <w:r w:rsidRPr="00BB7445">
        <w:rPr>
          <w:rFonts w:eastAsia="Calibri" w:cs="Tahoma"/>
          <w:bCs/>
        </w:rPr>
        <w:t xml:space="preserve"> DE VOTOS EL PLENO DEL INSTITUTO DE TRANSPARENCIA, ACCESO A LA INFORMACIÓN PÚBLICA Y PROTECCIÓN DE DATOS PERSONALES DEL ESTADO DE MÉXICO Y MUNICIPIOS, CONFORMADO POR LOS COMISIONADOS JOSÉ MARTÍNEZ VILCHIS,</w:t>
      </w:r>
      <w:r>
        <w:rPr>
          <w:rFonts w:eastAsia="Calibri" w:cs="Tahoma"/>
          <w:bCs/>
        </w:rPr>
        <w:t xml:space="preserve"> </w:t>
      </w:r>
      <w:r w:rsidRPr="00BB7445">
        <w:rPr>
          <w:rFonts w:eastAsia="Calibri" w:cs="Tahoma"/>
          <w:bCs/>
        </w:rPr>
        <w:t>MARÍA DEL ROSARIO MEJÍA AYALA</w:t>
      </w:r>
      <w:r>
        <w:rPr>
          <w:rFonts w:eastAsia="Calibri" w:cs="Tahoma"/>
          <w:bCs/>
        </w:rPr>
        <w:t xml:space="preserve">, </w:t>
      </w:r>
      <w:r w:rsidRPr="00BB7445">
        <w:rPr>
          <w:rFonts w:eastAsia="Calibri" w:cs="Tahoma"/>
          <w:bCs/>
        </w:rPr>
        <w:t>SHARON CRISTINA MORALES MARTÍNEZ</w:t>
      </w:r>
      <w:r>
        <w:rPr>
          <w:rFonts w:eastAsia="Calibri" w:cs="Tahoma"/>
          <w:bCs/>
        </w:rPr>
        <w:t xml:space="preserve"> (CON AUSENCIA JUSTIFICADA), </w:t>
      </w:r>
      <w:r w:rsidRPr="00BB7445">
        <w:rPr>
          <w:rFonts w:eastAsia="Calibri" w:cs="Tahoma"/>
          <w:bCs/>
        </w:rPr>
        <w:t>LUIS GUSTAVO PARRA NORIEGA</w:t>
      </w:r>
      <w:r>
        <w:rPr>
          <w:rFonts w:eastAsia="Calibri" w:cs="Tahoma"/>
          <w:bCs/>
        </w:rPr>
        <w:t xml:space="preserve"> Y </w:t>
      </w:r>
      <w:r w:rsidRPr="00BB7445">
        <w:rPr>
          <w:rFonts w:eastAsia="Calibri" w:cs="Tahoma"/>
          <w:bCs/>
        </w:rPr>
        <w:t>GUADALUPE RAMÍREZ PEÑA</w:t>
      </w:r>
      <w:r>
        <w:rPr>
          <w:rFonts w:eastAsia="Calibri" w:cs="Tahoma"/>
          <w:bCs/>
        </w:rPr>
        <w:t xml:space="preserve">, </w:t>
      </w:r>
      <w:r w:rsidRPr="00BB7445">
        <w:rPr>
          <w:rFonts w:eastAsia="Calibri" w:cs="Tahoma"/>
          <w:bCs/>
        </w:rPr>
        <w:t xml:space="preserve">EN LA </w:t>
      </w:r>
      <w:r>
        <w:rPr>
          <w:rFonts w:eastAsia="Calibri" w:cs="Tahoma"/>
          <w:bCs/>
        </w:rPr>
        <w:t>TERCERA SESIÓN ORDINARIA, CELEBRADA EL VEINTISIETE DE ENERO DE DOS MIL VEINTIDÓS</w:t>
      </w:r>
      <w:r w:rsidRPr="00BB7445">
        <w:rPr>
          <w:rFonts w:eastAsia="Calibri" w:cs="Tahoma"/>
          <w:bCs/>
        </w:rPr>
        <w:t>, ANTE EL SECRETARIO TÉCNICO DEL PLENO, ALEXIS TAPIA RAMÍREZ.</w:t>
      </w:r>
    </w:p>
    <w:p w:rsidR="00FF4067" w:rsidP="00FF4067" w:rsidRDefault="00FF4067" w14:paraId="632A136D" w14:textId="77777777">
      <w:pPr>
        <w:jc w:val="left"/>
        <w:rPr>
          <w:rFonts w:eastAsia="Calibri" w:cs="Tahoma"/>
          <w:b/>
          <w:bCs/>
        </w:rPr>
      </w:pPr>
      <w:r>
        <w:rPr>
          <w:rFonts w:eastAsia="Calibri" w:cs="Tahoma"/>
          <w:b/>
          <w:bCs/>
        </w:rPr>
        <w:br w:type="page"/>
      </w:r>
    </w:p>
    <w:p w:rsidR="00FF4067" w:rsidP="00FF4067" w:rsidRDefault="00FF4067" w14:paraId="632A136E" w14:textId="77777777"/>
    <w:p w:rsidR="00FF4067" w:rsidRDefault="00FF4067" w14:paraId="632A136F" w14:textId="77777777"/>
    <w:sectPr w:rsidR="00FF4067" w:rsidSect="00FF4067">
      <w:headerReference w:type="even" r:id="rId25"/>
      <w:headerReference w:type="default" r:id="rId26"/>
      <w:footerReference w:type="even" r:id="rId27"/>
      <w:footerReference w:type="default" r:id="rId28"/>
      <w:headerReference w:type="first" r:id="rId29"/>
      <w:footerReference w:type="first" r:id="rId30"/>
      <w:pgSz w:w="12240" w:h="15840" w:orient="portrait"/>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A0039" w:rsidP="00FF4067" w:rsidRDefault="003A0039" w14:paraId="3408E458" w14:textId="77777777">
      <w:pPr>
        <w:spacing w:after="0" w:line="240" w:lineRule="auto"/>
      </w:pPr>
      <w:r>
        <w:separator/>
      </w:r>
    </w:p>
  </w:endnote>
  <w:endnote w:type="continuationSeparator" w:id="0">
    <w:p w:rsidR="003A0039" w:rsidP="00FF4067" w:rsidRDefault="003A0039" w14:paraId="547A8B9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18588"/>
      <w:docPartObj>
        <w:docPartGallery w:val="Page Numbers (Bottom of Page)"/>
        <w:docPartUnique/>
      </w:docPartObj>
    </w:sdtPr>
    <w:sdtEndPr/>
    <w:sdtContent>
      <w:sdt>
        <w:sdtPr>
          <w:id w:val="-1486162003"/>
          <w:docPartObj>
            <w:docPartGallery w:val="Page Numbers (Top of Page)"/>
            <w:docPartUnique/>
          </w:docPartObj>
        </w:sdtPr>
        <w:sdtEndPr/>
        <w:sdtContent>
          <w:p w:rsidR="00FF4067" w:rsidRDefault="00FF4067" w14:paraId="632A1397"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sdtContent>
  </w:sdt>
  <w:p w:rsidR="00FF4067" w:rsidRDefault="00FF4067" w14:paraId="632A1398"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rsidR="00FF4067" w:rsidRDefault="00FF4067" w14:paraId="632A1399"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27446">
              <w:rPr>
                <w:b/>
                <w:bCs/>
                <w:noProof/>
              </w:rPr>
              <w:t>25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27446">
              <w:rPr>
                <w:b/>
                <w:bCs/>
                <w:noProof/>
              </w:rPr>
              <w:t>56</w:t>
            </w:r>
            <w:r>
              <w:rPr>
                <w:b/>
                <w:bCs/>
                <w:sz w:val="24"/>
                <w:szCs w:val="24"/>
              </w:rPr>
              <w:fldChar w:fldCharType="end"/>
            </w:r>
          </w:p>
        </w:sdtContent>
      </w:sdt>
    </w:sdtContent>
  </w:sdt>
  <w:p w:rsidR="00FF4067" w:rsidRDefault="00FF4067" w14:paraId="632A139A"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6825420"/>
      <w:docPartObj>
        <w:docPartGallery w:val="Page Numbers (Bottom of Page)"/>
        <w:docPartUnique/>
      </w:docPartObj>
    </w:sdtPr>
    <w:sdtEndPr/>
    <w:sdtContent>
      <w:sdt>
        <w:sdtPr>
          <w:id w:val="-1769616900"/>
          <w:docPartObj>
            <w:docPartGallery w:val="Page Numbers (Top of Page)"/>
            <w:docPartUnique/>
          </w:docPartObj>
        </w:sdtPr>
        <w:sdtEndPr/>
        <w:sdtContent>
          <w:p w:rsidR="00FF4067" w:rsidRDefault="00FF4067" w14:paraId="632A13AC"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7735B">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7735B">
              <w:rPr>
                <w:b/>
                <w:bCs/>
                <w:noProof/>
              </w:rPr>
              <w:t>63</w:t>
            </w:r>
            <w:r>
              <w:rPr>
                <w:b/>
                <w:bCs/>
                <w:sz w:val="24"/>
                <w:szCs w:val="24"/>
              </w:rPr>
              <w:fldChar w:fldCharType="end"/>
            </w:r>
          </w:p>
        </w:sdtContent>
      </w:sdt>
    </w:sdtContent>
  </w:sdt>
  <w:p w:rsidR="00FF4067" w:rsidRDefault="00FF4067" w14:paraId="632A13AD"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A0039" w:rsidP="00FF4067" w:rsidRDefault="003A0039" w14:paraId="2A1626EE" w14:textId="77777777">
      <w:pPr>
        <w:spacing w:after="0" w:line="240" w:lineRule="auto"/>
      </w:pPr>
      <w:r>
        <w:separator/>
      </w:r>
    </w:p>
  </w:footnote>
  <w:footnote w:type="continuationSeparator" w:id="0">
    <w:p w:rsidR="003A0039" w:rsidP="00FF4067" w:rsidRDefault="003A0039" w14:paraId="6A024AB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991" w:type="dxa"/>
      <w:tblInd w:w="35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3587"/>
    </w:tblGrid>
    <w:tr w:rsidR="00FF4067" w:rsidTr="00FF4067" w14:paraId="632A1384" w14:textId="77777777">
      <w:trPr>
        <w:trHeight w:val="141"/>
      </w:trPr>
      <w:tc>
        <w:tcPr>
          <w:tcW w:w="2404" w:type="dxa"/>
        </w:tcPr>
        <w:p w:rsidRPr="001B5FB6" w:rsidR="00FF4067" w:rsidP="00FF4067" w:rsidRDefault="00FF4067" w14:paraId="632A1382" w14:textId="77777777">
          <w:pPr>
            <w:tabs>
              <w:tab w:val="right" w:pos="8838"/>
            </w:tabs>
            <w:ind w:right="-105"/>
            <w:rPr>
              <w:rFonts w:eastAsia="Calibri" w:cs="Tahoma"/>
              <w:b/>
              <w:lang w:val="es-MX"/>
            </w:rPr>
          </w:pPr>
          <w:r w:rsidRPr="001B5FB6">
            <w:rPr>
              <w:rFonts w:eastAsia="Calibri" w:cs="Tahoma"/>
              <w:b/>
              <w:lang w:val="es-MX"/>
            </w:rPr>
            <w:t>Recurso de Revisión:</w:t>
          </w:r>
        </w:p>
      </w:tc>
      <w:tc>
        <w:tcPr>
          <w:tcW w:w="3587" w:type="dxa"/>
        </w:tcPr>
        <w:p w:rsidRPr="00A8173F" w:rsidR="00FF4067" w:rsidP="00FF4067" w:rsidRDefault="00FF4067" w14:paraId="632A1383" w14:textId="77777777">
          <w:pPr>
            <w:tabs>
              <w:tab w:val="right" w:pos="8838"/>
            </w:tabs>
            <w:ind w:left="-28" w:right="683"/>
            <w:rPr>
              <w:rFonts w:eastAsia="Calibri" w:cs="Tahoma"/>
            </w:rPr>
          </w:pPr>
          <w:r w:rsidRPr="00A8173F">
            <w:rPr>
              <w:rFonts w:eastAsia="Calibri" w:cs="Tahoma"/>
              <w:lang w:val="es-MX"/>
            </w:rPr>
            <w:t>04196/INFOEM/IP/RR/2020</w:t>
          </w:r>
        </w:p>
      </w:tc>
    </w:tr>
    <w:tr w:rsidR="00FF4067" w:rsidTr="00FF4067" w14:paraId="632A1387" w14:textId="77777777">
      <w:trPr>
        <w:trHeight w:val="276"/>
      </w:trPr>
      <w:tc>
        <w:tcPr>
          <w:tcW w:w="2404" w:type="dxa"/>
        </w:tcPr>
        <w:p w:rsidRPr="001B5FB6" w:rsidR="00FF4067" w:rsidP="00FF4067" w:rsidRDefault="00FF4067" w14:paraId="632A1385" w14:textId="77777777">
          <w:pPr>
            <w:tabs>
              <w:tab w:val="right" w:pos="8838"/>
            </w:tabs>
            <w:ind w:right="-105"/>
            <w:rPr>
              <w:rFonts w:eastAsia="Calibri" w:cs="Tahoma"/>
              <w:b/>
              <w:lang w:val="es-MX"/>
            </w:rPr>
          </w:pPr>
          <w:r w:rsidRPr="001B5FB6">
            <w:rPr>
              <w:rFonts w:eastAsia="Calibri" w:cs="Tahoma"/>
              <w:b/>
              <w:lang w:val="es-MX"/>
            </w:rPr>
            <w:t>Sujeto Obligado:</w:t>
          </w:r>
        </w:p>
      </w:tc>
      <w:tc>
        <w:tcPr>
          <w:tcW w:w="3587" w:type="dxa"/>
        </w:tcPr>
        <w:p w:rsidRPr="00A8173F" w:rsidR="00FF4067" w:rsidP="00FF4067" w:rsidRDefault="00FF4067" w14:paraId="632A1386" w14:textId="77777777">
          <w:pPr>
            <w:tabs>
              <w:tab w:val="right" w:pos="8838"/>
            </w:tabs>
            <w:ind w:right="116"/>
            <w:rPr>
              <w:rFonts w:eastAsia="Calibri" w:cs="Tahoma"/>
              <w:lang w:val="es-MX"/>
            </w:rPr>
          </w:pPr>
          <w:r w:rsidRPr="00A8173F">
            <w:rPr>
              <w:rFonts w:eastAsia="Calibri" w:cs="Tahoma"/>
              <w:lang w:val="es-MX"/>
            </w:rPr>
            <w:t>Ayuntamiento de Chapultepec</w:t>
          </w:r>
        </w:p>
      </w:tc>
    </w:tr>
    <w:tr w:rsidR="00FF4067" w:rsidTr="00FF4067" w14:paraId="632A138A" w14:textId="77777777">
      <w:trPr>
        <w:trHeight w:val="276"/>
      </w:trPr>
      <w:tc>
        <w:tcPr>
          <w:tcW w:w="2404" w:type="dxa"/>
        </w:tcPr>
        <w:p w:rsidRPr="001B5FB6" w:rsidR="00FF4067" w:rsidP="00FF4067" w:rsidRDefault="00FF4067" w14:paraId="632A1388" w14:textId="77777777">
          <w:pPr>
            <w:tabs>
              <w:tab w:val="right" w:pos="8838"/>
            </w:tabs>
            <w:ind w:right="-105"/>
            <w:rPr>
              <w:rFonts w:eastAsia="Calibri" w:cs="Tahoma"/>
              <w:b/>
              <w:lang w:val="es-MX"/>
            </w:rPr>
          </w:pPr>
          <w:r w:rsidRPr="001B5FB6">
            <w:rPr>
              <w:rFonts w:eastAsia="Calibri" w:cs="Tahoma"/>
              <w:b/>
              <w:lang w:val="es-MX"/>
            </w:rPr>
            <w:t>Comisionado Ponente:</w:t>
          </w:r>
        </w:p>
      </w:tc>
      <w:tc>
        <w:tcPr>
          <w:tcW w:w="3587" w:type="dxa"/>
        </w:tcPr>
        <w:p w:rsidRPr="00A8173F" w:rsidR="00FF4067" w:rsidP="00FF4067" w:rsidRDefault="00FF4067" w14:paraId="632A1389" w14:textId="77777777">
          <w:pPr>
            <w:tabs>
              <w:tab w:val="right" w:pos="8838"/>
            </w:tabs>
            <w:ind w:right="-32"/>
            <w:rPr>
              <w:rFonts w:eastAsia="Calibri" w:cs="Tahoma"/>
              <w:lang w:val="es-MX"/>
            </w:rPr>
          </w:pPr>
          <w:r w:rsidRPr="00A8173F">
            <w:rPr>
              <w:rFonts w:eastAsia="Calibri" w:cs="Tahoma"/>
              <w:lang w:val="es-MX"/>
            </w:rPr>
            <w:t>Luis Gustavo Parra Noriega</w:t>
          </w:r>
        </w:p>
      </w:tc>
    </w:tr>
  </w:tbl>
  <w:p w:rsidR="00FF4067" w:rsidRDefault="00211FA7" w14:paraId="632A138B" w14:textId="77777777">
    <w:pPr>
      <w:pStyle w:val="Encabezado"/>
    </w:pPr>
    <w:r>
      <w:rPr>
        <w:noProof/>
      </w:rPr>
      <w:pict w14:anchorId="632A13A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2" style="position:absolute;left:0;text-align:left;margin-left:0;margin-top:0;width:663.5pt;height:12in;z-index:-251659776;mso-wrap-edited:f;mso-width-percent:0;mso-height-percent:0;mso-position-horizontal:center;mso-position-horizontal-relative:margin;mso-position-vertical:center;mso-position-vertical-relative:margin;mso-width-percent:0;mso-height-percent:0" alt="MARCA DE AGUA - HOJA RESOLUCIÓN" o:spid="_x0000_s1025"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A705D" w:rsidR="00FF4067" w:rsidRDefault="00FF4067" w14:paraId="632A138C" w14:textId="77777777">
    <w:pPr>
      <w:rPr>
        <w:sz w:val="18"/>
        <w:szCs w:val="18"/>
      </w:rPr>
    </w:pPr>
  </w:p>
  <w:tbl>
    <w:tblPr>
      <w:tblStyle w:val="Tablaconcuadrcula"/>
      <w:tblW w:w="6521" w:type="dxa"/>
      <w:tblInd w:w="32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4117"/>
    </w:tblGrid>
    <w:tr w:rsidR="00FF4067" w:rsidTr="00FF4067" w14:paraId="632A138F" w14:textId="77777777">
      <w:trPr>
        <w:trHeight w:val="141"/>
      </w:trPr>
      <w:tc>
        <w:tcPr>
          <w:tcW w:w="2404" w:type="dxa"/>
        </w:tcPr>
        <w:p w:rsidRPr="001B5FB6" w:rsidR="00FF4067" w:rsidP="00FF4067" w:rsidRDefault="00FF4067" w14:paraId="632A138D" w14:textId="77777777">
          <w:pPr>
            <w:tabs>
              <w:tab w:val="right" w:pos="8838"/>
            </w:tabs>
            <w:ind w:left="-395" w:right="-105" w:firstLine="395"/>
            <w:rPr>
              <w:rFonts w:eastAsia="Calibri" w:cs="Tahoma"/>
              <w:b/>
              <w:lang w:val="es-MX"/>
            </w:rPr>
          </w:pPr>
          <w:r w:rsidRPr="001B5FB6">
            <w:rPr>
              <w:rFonts w:eastAsia="Calibri" w:cs="Tahoma"/>
              <w:b/>
              <w:lang w:val="es-MX"/>
            </w:rPr>
            <w:t>Recurso de Revisión:</w:t>
          </w:r>
        </w:p>
      </w:tc>
      <w:tc>
        <w:tcPr>
          <w:tcW w:w="4117" w:type="dxa"/>
        </w:tcPr>
        <w:p w:rsidRPr="00C853D1" w:rsidR="00FF4067" w:rsidP="00FF4067" w:rsidRDefault="00FF4067" w14:paraId="632A138E" w14:textId="77777777">
          <w:pPr>
            <w:tabs>
              <w:tab w:val="right" w:pos="8838"/>
            </w:tabs>
            <w:ind w:left="-28" w:right="454"/>
            <w:rPr>
              <w:rFonts w:eastAsia="Calibri" w:cs="Tahoma"/>
            </w:rPr>
          </w:pPr>
          <w:r w:rsidRPr="00FF4067">
            <w:rPr>
              <w:rFonts w:eastAsia="Calibri" w:cs="Tahoma"/>
              <w:lang w:val="es-MX"/>
            </w:rPr>
            <w:t>05431/INFOEM/IP/RR/2021</w:t>
          </w:r>
        </w:p>
      </w:tc>
    </w:tr>
    <w:tr w:rsidR="00FF4067" w:rsidTr="00FF4067" w14:paraId="632A1392" w14:textId="77777777">
      <w:trPr>
        <w:trHeight w:val="276"/>
      </w:trPr>
      <w:tc>
        <w:tcPr>
          <w:tcW w:w="2404" w:type="dxa"/>
        </w:tcPr>
        <w:p w:rsidRPr="001B5FB6" w:rsidR="00FF4067" w:rsidP="00FF4067" w:rsidRDefault="00FF4067" w14:paraId="632A1390" w14:textId="77777777">
          <w:pPr>
            <w:tabs>
              <w:tab w:val="right" w:pos="8838"/>
            </w:tabs>
            <w:ind w:right="-105"/>
            <w:rPr>
              <w:rFonts w:eastAsia="Calibri" w:cs="Tahoma"/>
              <w:b/>
              <w:lang w:val="es-MX"/>
            </w:rPr>
          </w:pPr>
          <w:r w:rsidRPr="001B5FB6">
            <w:rPr>
              <w:rFonts w:eastAsia="Calibri" w:cs="Tahoma"/>
              <w:b/>
              <w:lang w:val="es-MX"/>
            </w:rPr>
            <w:t>Sujeto Obligado:</w:t>
          </w:r>
        </w:p>
      </w:tc>
      <w:tc>
        <w:tcPr>
          <w:tcW w:w="4117" w:type="dxa"/>
        </w:tcPr>
        <w:p w:rsidRPr="00A8173F" w:rsidR="00FF4067" w:rsidP="00FF4067" w:rsidRDefault="00FF4067" w14:paraId="632A1391" w14:textId="77777777">
          <w:pPr>
            <w:tabs>
              <w:tab w:val="right" w:pos="8838"/>
            </w:tabs>
            <w:ind w:right="454"/>
            <w:rPr>
              <w:rFonts w:eastAsia="Calibri" w:cs="Tahoma"/>
              <w:lang w:val="es-MX"/>
            </w:rPr>
          </w:pPr>
          <w:bookmarkStart w:name="_Hlk93412111" w:id="1"/>
          <w:r w:rsidRPr="00FF4067">
            <w:rPr>
              <w:rFonts w:eastAsia="Calibri" w:cs="Tahoma"/>
              <w:lang w:val="es-MX"/>
            </w:rPr>
            <w:t>Partido Movimiento Ciudadano</w:t>
          </w:r>
          <w:bookmarkEnd w:id="1"/>
        </w:p>
      </w:tc>
    </w:tr>
    <w:tr w:rsidR="00FF4067" w:rsidTr="00FF4067" w14:paraId="632A1395" w14:textId="77777777">
      <w:trPr>
        <w:trHeight w:val="276"/>
      </w:trPr>
      <w:tc>
        <w:tcPr>
          <w:tcW w:w="2404" w:type="dxa"/>
        </w:tcPr>
        <w:p w:rsidRPr="001B5FB6" w:rsidR="00FF4067" w:rsidP="00FF4067" w:rsidRDefault="00FF4067" w14:paraId="632A1393" w14:textId="77777777">
          <w:pPr>
            <w:tabs>
              <w:tab w:val="right" w:pos="8838"/>
            </w:tabs>
            <w:ind w:right="-105"/>
            <w:rPr>
              <w:rFonts w:eastAsia="Calibri" w:cs="Tahoma"/>
              <w:b/>
              <w:lang w:val="es-MX"/>
            </w:rPr>
          </w:pPr>
          <w:r w:rsidRPr="001B5FB6">
            <w:rPr>
              <w:rFonts w:eastAsia="Calibri" w:cs="Tahoma"/>
              <w:b/>
              <w:lang w:val="es-MX"/>
            </w:rPr>
            <w:t>Comisionado Ponente:</w:t>
          </w:r>
        </w:p>
      </w:tc>
      <w:tc>
        <w:tcPr>
          <w:tcW w:w="4117" w:type="dxa"/>
        </w:tcPr>
        <w:p w:rsidRPr="00A8173F" w:rsidR="00FF4067" w:rsidP="00FF4067" w:rsidRDefault="00FF4067" w14:paraId="632A1394" w14:textId="77777777">
          <w:pPr>
            <w:tabs>
              <w:tab w:val="right" w:pos="8838"/>
            </w:tabs>
            <w:ind w:right="454"/>
            <w:rPr>
              <w:rFonts w:eastAsia="Calibri" w:cs="Tahoma"/>
              <w:lang w:val="es-MX"/>
            </w:rPr>
          </w:pPr>
          <w:r w:rsidRPr="00A8173F">
            <w:rPr>
              <w:rFonts w:eastAsia="Calibri" w:cs="Tahoma"/>
              <w:lang w:val="es-MX"/>
            </w:rPr>
            <w:t>Luis Gustavo Parra Noriega</w:t>
          </w:r>
        </w:p>
      </w:tc>
    </w:tr>
  </w:tbl>
  <w:p w:rsidR="00FF4067" w:rsidRDefault="00211FA7" w14:paraId="632A1396" w14:textId="77777777">
    <w:pPr>
      <w:pStyle w:val="Encabezado"/>
    </w:pPr>
    <w:r>
      <w:rPr>
        <w:noProof/>
      </w:rPr>
      <w:pict w14:anchorId="632A13A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3" style="position:absolute;left:0;text-align:left;margin-left:0;margin-top:0;width:663.5pt;height:12in;z-index:-251658752;mso-wrap-edited:f;mso-width-percent:0;mso-height-percent:0;mso-position-horizontal:center;mso-position-horizontal-relative:margin;mso-position-vertical:center;mso-position-vertical-relative:margin;mso-width-percent:0;mso-height-percent:0" alt="MARCA DE AGUA - HOJA RESOLUCIÓN" o:spid="_x0000_s1026"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127"/>
      <w:gridCol w:w="6945"/>
    </w:tblGrid>
    <w:tr w:rsidRPr="005C106F" w:rsidR="00FF4067" w:rsidTr="391D960E" w14:paraId="632A13AA" w14:textId="77777777">
      <w:trPr>
        <w:trHeight w:val="1546"/>
      </w:trPr>
      <w:tc>
        <w:tcPr>
          <w:tcW w:w="2127" w:type="dxa"/>
          <w:shd w:val="clear" w:color="auto" w:fill="auto"/>
          <w:tcMar/>
        </w:tcPr>
        <w:p w:rsidRPr="005C106F" w:rsidR="00FF4067" w:rsidP="00FF4067" w:rsidRDefault="00FF4067" w14:paraId="632A139B" w14:textId="77777777">
          <w:pPr>
            <w:tabs>
              <w:tab w:val="right" w:pos="4273"/>
            </w:tabs>
            <w:rPr>
              <w:rFonts w:ascii="Garamond" w:hAnsi="Garamond" w:eastAsia="Calibri"/>
              <w:sz w:val="16"/>
              <w:szCs w:val="16"/>
            </w:rPr>
          </w:pPr>
        </w:p>
      </w:tc>
      <w:tc>
        <w:tcPr>
          <w:tcW w:w="6945" w:type="dxa"/>
          <w:shd w:val="clear" w:color="auto" w:fill="auto"/>
          <w:tcMar/>
        </w:tcPr>
        <w:tbl>
          <w:tblPr>
            <w:tblStyle w:val="Tablaconcuadrcula"/>
            <w:tblW w:w="6095" w:type="dxa"/>
            <w:tblInd w:w="7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3691"/>
          </w:tblGrid>
          <w:tr w:rsidR="00FF4067" w:rsidTr="391D960E" w14:paraId="632A139F" w14:textId="77777777">
            <w:trPr>
              <w:trHeight w:val="141"/>
            </w:trPr>
            <w:tc>
              <w:tcPr>
                <w:tcW w:w="2404" w:type="dxa"/>
                <w:tcMar/>
                <w:vAlign w:val="bottom"/>
              </w:tcPr>
              <w:p w:rsidRPr="001B5FB6" w:rsidR="00FF4067" w:rsidP="00FF4067" w:rsidRDefault="00FF4067" w14:paraId="632A139C" w14:textId="77777777">
                <w:pPr>
                  <w:tabs>
                    <w:tab w:val="right" w:pos="8838"/>
                  </w:tabs>
                  <w:ind w:right="-105"/>
                  <w:rPr>
                    <w:rFonts w:eastAsia="Calibri" w:cs="Tahoma"/>
                    <w:b/>
                    <w:lang w:val="es-MX"/>
                  </w:rPr>
                </w:pPr>
                <w:r w:rsidRPr="001B5FB6">
                  <w:rPr>
                    <w:rFonts w:eastAsia="Calibri" w:cs="Tahoma"/>
                    <w:b/>
                    <w:lang w:val="es-MX"/>
                  </w:rPr>
                  <w:t>Recurso de Revisión:</w:t>
                </w:r>
              </w:p>
            </w:tc>
            <w:tc>
              <w:tcPr>
                <w:tcW w:w="3691" w:type="dxa"/>
                <w:tcMar/>
              </w:tcPr>
              <w:p w:rsidR="00FF4067" w:rsidP="00FF4067" w:rsidRDefault="00FF4067" w14:paraId="632A139D" w14:textId="77777777">
                <w:pPr>
                  <w:tabs>
                    <w:tab w:val="right" w:pos="8838"/>
                  </w:tabs>
                  <w:ind w:left="-28" w:right="-107"/>
                  <w:rPr>
                    <w:rFonts w:eastAsia="Calibri" w:cs="Tahoma"/>
                    <w:lang w:val="es-MX"/>
                  </w:rPr>
                </w:pPr>
              </w:p>
              <w:p w:rsidRPr="00C853D1" w:rsidR="00FF4067" w:rsidP="00FF4067" w:rsidRDefault="00FF4067" w14:paraId="632A139E" w14:textId="77777777">
                <w:pPr>
                  <w:tabs>
                    <w:tab w:val="right" w:pos="8838"/>
                  </w:tabs>
                  <w:ind w:left="-28" w:right="-107"/>
                  <w:rPr>
                    <w:rFonts w:eastAsia="Calibri" w:cs="Tahoma"/>
                  </w:rPr>
                </w:pPr>
                <w:r w:rsidRPr="00FF4067">
                  <w:rPr>
                    <w:rFonts w:eastAsia="Calibri" w:cs="Tahoma"/>
                    <w:lang w:val="es-MX"/>
                  </w:rPr>
                  <w:t>05431/INFOEM/IP/RR/2021</w:t>
                </w:r>
              </w:p>
            </w:tc>
          </w:tr>
          <w:tr w:rsidR="00FF4067" w:rsidTr="391D960E" w14:paraId="632A13A2" w14:textId="77777777">
            <w:trPr>
              <w:trHeight w:val="141"/>
            </w:trPr>
            <w:tc>
              <w:tcPr>
                <w:tcW w:w="2404" w:type="dxa"/>
                <w:tcMar/>
              </w:tcPr>
              <w:p w:rsidRPr="001B5FB6" w:rsidR="00FF4067" w:rsidP="00FF4067" w:rsidRDefault="00FF4067" w14:paraId="632A13A0" w14:textId="77777777">
                <w:pPr>
                  <w:tabs>
                    <w:tab w:val="right" w:pos="8838"/>
                  </w:tabs>
                  <w:ind w:right="-105"/>
                  <w:rPr>
                    <w:rFonts w:eastAsia="Calibri" w:cs="Tahoma"/>
                    <w:b/>
                    <w:lang w:val="es-MX"/>
                  </w:rPr>
                </w:pPr>
                <w:r w:rsidRPr="001B5FB6">
                  <w:rPr>
                    <w:rFonts w:eastAsia="Calibri" w:cs="Tahoma"/>
                    <w:b/>
                    <w:lang w:val="es-MX"/>
                  </w:rPr>
                  <w:t>Recurrente:</w:t>
                </w:r>
              </w:p>
            </w:tc>
            <w:tc>
              <w:tcPr>
                <w:tcW w:w="3691" w:type="dxa"/>
                <w:tcMar/>
              </w:tcPr>
              <w:p w:rsidRPr="003405AF" w:rsidR="00FF4067" w:rsidP="391D960E" w:rsidRDefault="00FF4067" w14:paraId="632A13A1" w14:textId="5B1BA5AA">
                <w:pPr>
                  <w:pStyle w:val="Normal"/>
                  <w:tabs>
                    <w:tab w:val="right" w:leader="none" w:pos="8838"/>
                  </w:tabs>
                  <w:bidi w:val="0"/>
                  <w:spacing w:before="0" w:beforeAutospacing="off" w:after="0" w:afterAutospacing="off" w:line="259" w:lineRule="auto"/>
                  <w:ind w:left="0" w:right="-107"/>
                  <w:jc w:val="both"/>
                  <w:rPr>
                    <w:rFonts w:ascii="Palatino Linotype" w:hAnsi="Palatino Linotype" w:eastAsia="Calibri" w:cs=""/>
                    <w:color w:val="000000" w:themeColor="text1" w:themeTint="FF" w:themeShade="FF"/>
                    <w:highlight w:val="black"/>
                    <w:lang w:val="es-MX"/>
                  </w:rPr>
                </w:pPr>
                <w:r w:rsidRPr="391D960E" w:rsidR="391D960E">
                  <w:rPr>
                    <w:rFonts w:eastAsia="Calibri" w:cs="Tahoma"/>
                    <w:highlight w:val="black"/>
                    <w:lang w:val="es-MX"/>
                  </w:rPr>
                  <w:t>XXXXXXXXXXXXXXXXXXXXXXX</w:t>
                </w:r>
              </w:p>
            </w:tc>
          </w:tr>
          <w:tr w:rsidR="00FF4067" w:rsidTr="391D960E" w14:paraId="632A13A5" w14:textId="77777777">
            <w:trPr>
              <w:trHeight w:val="276"/>
            </w:trPr>
            <w:tc>
              <w:tcPr>
                <w:tcW w:w="2404" w:type="dxa"/>
                <w:tcMar/>
              </w:tcPr>
              <w:p w:rsidRPr="001B5FB6" w:rsidR="00FF4067" w:rsidP="00FF4067" w:rsidRDefault="00FF4067" w14:paraId="632A13A3" w14:textId="77777777">
                <w:pPr>
                  <w:tabs>
                    <w:tab w:val="right" w:pos="8838"/>
                  </w:tabs>
                  <w:ind w:right="-105"/>
                  <w:rPr>
                    <w:rFonts w:eastAsia="Calibri" w:cs="Tahoma"/>
                    <w:b/>
                    <w:lang w:val="es-MX"/>
                  </w:rPr>
                </w:pPr>
                <w:r w:rsidRPr="001B5FB6">
                  <w:rPr>
                    <w:rFonts w:eastAsia="Calibri" w:cs="Tahoma"/>
                    <w:b/>
                    <w:lang w:val="es-MX"/>
                  </w:rPr>
                  <w:t>Sujeto Obligado:</w:t>
                </w:r>
              </w:p>
            </w:tc>
            <w:tc>
              <w:tcPr>
                <w:tcW w:w="3691" w:type="dxa"/>
                <w:tcMar/>
              </w:tcPr>
              <w:p w:rsidRPr="00C853D1" w:rsidR="00FF4067" w:rsidP="00FF4067" w:rsidRDefault="00FF4067" w14:paraId="632A13A4" w14:textId="77777777">
                <w:pPr>
                  <w:tabs>
                    <w:tab w:val="right" w:pos="8838"/>
                  </w:tabs>
                  <w:ind w:right="-107"/>
                  <w:rPr>
                    <w:rFonts w:eastAsia="Calibri" w:cs="Tahoma"/>
                    <w:lang w:val="es-MX"/>
                  </w:rPr>
                </w:pPr>
                <w:r w:rsidRPr="00FF4067">
                  <w:rPr>
                    <w:rFonts w:eastAsia="Calibri" w:cs="Tahoma"/>
                    <w:lang w:val="es-MX"/>
                  </w:rPr>
                  <w:t>Partido Movimiento Ciudadano</w:t>
                </w:r>
              </w:p>
            </w:tc>
          </w:tr>
          <w:tr w:rsidR="00FF4067" w:rsidTr="391D960E" w14:paraId="632A13A8" w14:textId="77777777">
            <w:trPr>
              <w:trHeight w:val="276"/>
            </w:trPr>
            <w:tc>
              <w:tcPr>
                <w:tcW w:w="2404" w:type="dxa"/>
                <w:tcMar/>
              </w:tcPr>
              <w:p w:rsidRPr="001B5FB6" w:rsidR="00FF4067" w:rsidP="00FF4067" w:rsidRDefault="00FF4067" w14:paraId="632A13A6" w14:textId="77777777">
                <w:pPr>
                  <w:tabs>
                    <w:tab w:val="right" w:pos="8838"/>
                  </w:tabs>
                  <w:ind w:right="-105"/>
                  <w:rPr>
                    <w:rFonts w:eastAsia="Calibri" w:cs="Tahoma"/>
                    <w:b/>
                    <w:lang w:val="es-MX"/>
                  </w:rPr>
                </w:pPr>
                <w:r w:rsidRPr="001B5FB6">
                  <w:rPr>
                    <w:rFonts w:eastAsia="Calibri" w:cs="Tahoma"/>
                    <w:b/>
                    <w:lang w:val="es-MX"/>
                  </w:rPr>
                  <w:t>Comisionado Ponente:</w:t>
                </w:r>
              </w:p>
            </w:tc>
            <w:tc>
              <w:tcPr>
                <w:tcW w:w="3691" w:type="dxa"/>
                <w:tcMar/>
              </w:tcPr>
              <w:p w:rsidRPr="00A8173F" w:rsidR="00FF4067" w:rsidP="00FF4067" w:rsidRDefault="00FF4067" w14:paraId="632A13A7" w14:textId="77777777">
                <w:pPr>
                  <w:tabs>
                    <w:tab w:val="right" w:pos="8838"/>
                  </w:tabs>
                  <w:ind w:right="-107"/>
                  <w:rPr>
                    <w:rFonts w:eastAsia="Calibri" w:cs="Tahoma"/>
                    <w:lang w:val="es-MX"/>
                  </w:rPr>
                </w:pPr>
                <w:r w:rsidRPr="00A8173F">
                  <w:rPr>
                    <w:rFonts w:eastAsia="Calibri" w:cs="Tahoma"/>
                    <w:lang w:val="es-MX"/>
                  </w:rPr>
                  <w:t>Luis Gustavo Parra Noriega</w:t>
                </w:r>
              </w:p>
            </w:tc>
          </w:tr>
        </w:tbl>
        <w:p w:rsidRPr="005C106F" w:rsidR="00FF4067" w:rsidP="00FF4067" w:rsidRDefault="00FF4067" w14:paraId="632A13A9" w14:textId="77777777">
          <w:pPr>
            <w:tabs>
              <w:tab w:val="right" w:pos="8838"/>
            </w:tabs>
            <w:ind w:left="-28"/>
            <w:rPr>
              <w:rFonts w:ascii="Arial" w:hAnsi="Arial" w:eastAsia="Calibri" w:cs="Arial"/>
              <w:b/>
            </w:rPr>
          </w:pPr>
        </w:p>
      </w:tc>
    </w:tr>
  </w:tbl>
  <w:p w:rsidR="00FF4067" w:rsidRDefault="00211FA7" w14:paraId="632A13AB" w14:textId="77777777">
    <w:pPr>
      <w:pStyle w:val="Encabezado"/>
    </w:pPr>
    <w:r>
      <w:rPr>
        <w:noProof/>
      </w:rPr>
      <w:pict w14:anchorId="632A13B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1" style="position:absolute;left:0;text-align:left;margin-left:-97.1pt;margin-top:-127.6pt;width:663.5pt;height:12in;z-index:-251657728;mso-wrap-edited:f;mso-width-percent:0;mso-height-percent:0;mso-position-horizontal-relative:margin;mso-position-vertical-relative:margin;mso-width-percent:0;mso-height-percent:0" alt="MARCA DE AGUA - HOJA RESOLUCIÓN" o:spid="_x0000_s1027"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593C"/>
    <w:multiLevelType w:val="hybridMultilevel"/>
    <w:tmpl w:val="5A142CF0"/>
    <w:lvl w:ilvl="0" w:tplc="7AA0B6C0">
      <w:start w:val="1"/>
      <w:numFmt w:val="bullet"/>
      <w:lvlText w:val=""/>
      <w:lvlJc w:val="left"/>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04FC6E66"/>
    <w:multiLevelType w:val="hybridMultilevel"/>
    <w:tmpl w:val="2A8EE942"/>
    <w:lvl w:ilvl="0" w:tplc="2C7C1DE2">
      <w:start w:val="1"/>
      <w:numFmt w:val="decimal"/>
      <w:lvlText w:val="%1."/>
      <w:lvlJc w:val="left"/>
      <w:pPr>
        <w:ind w:left="833" w:hanging="360"/>
      </w:pPr>
      <w:rPr>
        <w:rFonts w:hint="default" w:ascii="Arial MT" w:hAnsi="Arial MT" w:eastAsia="Arial MT" w:cs="Arial MT"/>
        <w:spacing w:val="-1"/>
        <w:w w:val="100"/>
        <w:sz w:val="22"/>
        <w:szCs w:val="22"/>
        <w:lang w:val="es-ES" w:eastAsia="en-US" w:bidi="ar-SA"/>
      </w:rPr>
    </w:lvl>
    <w:lvl w:ilvl="1" w:tplc="BFA2469E">
      <w:numFmt w:val="bullet"/>
      <w:lvlText w:val="•"/>
      <w:lvlJc w:val="left"/>
      <w:pPr>
        <w:ind w:left="1776" w:hanging="360"/>
      </w:pPr>
      <w:rPr>
        <w:rFonts w:hint="default"/>
        <w:lang w:val="es-ES" w:eastAsia="en-US" w:bidi="ar-SA"/>
      </w:rPr>
    </w:lvl>
    <w:lvl w:ilvl="2" w:tplc="9BAEDC8E">
      <w:numFmt w:val="bullet"/>
      <w:lvlText w:val="•"/>
      <w:lvlJc w:val="left"/>
      <w:pPr>
        <w:ind w:left="2712" w:hanging="360"/>
      </w:pPr>
      <w:rPr>
        <w:rFonts w:hint="default"/>
        <w:lang w:val="es-ES" w:eastAsia="en-US" w:bidi="ar-SA"/>
      </w:rPr>
    </w:lvl>
    <w:lvl w:ilvl="3" w:tplc="E6829E22">
      <w:numFmt w:val="bullet"/>
      <w:lvlText w:val="•"/>
      <w:lvlJc w:val="left"/>
      <w:pPr>
        <w:ind w:left="3648" w:hanging="360"/>
      </w:pPr>
      <w:rPr>
        <w:rFonts w:hint="default"/>
        <w:lang w:val="es-ES" w:eastAsia="en-US" w:bidi="ar-SA"/>
      </w:rPr>
    </w:lvl>
    <w:lvl w:ilvl="4" w:tplc="F7D8CDAE">
      <w:numFmt w:val="bullet"/>
      <w:lvlText w:val="•"/>
      <w:lvlJc w:val="left"/>
      <w:pPr>
        <w:ind w:left="4584" w:hanging="360"/>
      </w:pPr>
      <w:rPr>
        <w:rFonts w:hint="default"/>
        <w:lang w:val="es-ES" w:eastAsia="en-US" w:bidi="ar-SA"/>
      </w:rPr>
    </w:lvl>
    <w:lvl w:ilvl="5" w:tplc="29227930">
      <w:numFmt w:val="bullet"/>
      <w:lvlText w:val="•"/>
      <w:lvlJc w:val="left"/>
      <w:pPr>
        <w:ind w:left="5520" w:hanging="360"/>
      </w:pPr>
      <w:rPr>
        <w:rFonts w:hint="default"/>
        <w:lang w:val="es-ES" w:eastAsia="en-US" w:bidi="ar-SA"/>
      </w:rPr>
    </w:lvl>
    <w:lvl w:ilvl="6" w:tplc="93C0C3A2">
      <w:numFmt w:val="bullet"/>
      <w:lvlText w:val="•"/>
      <w:lvlJc w:val="left"/>
      <w:pPr>
        <w:ind w:left="6456" w:hanging="360"/>
      </w:pPr>
      <w:rPr>
        <w:rFonts w:hint="default"/>
        <w:lang w:val="es-ES" w:eastAsia="en-US" w:bidi="ar-SA"/>
      </w:rPr>
    </w:lvl>
    <w:lvl w:ilvl="7" w:tplc="A68E1860">
      <w:numFmt w:val="bullet"/>
      <w:lvlText w:val="•"/>
      <w:lvlJc w:val="left"/>
      <w:pPr>
        <w:ind w:left="7392" w:hanging="360"/>
      </w:pPr>
      <w:rPr>
        <w:rFonts w:hint="default"/>
        <w:lang w:val="es-ES" w:eastAsia="en-US" w:bidi="ar-SA"/>
      </w:rPr>
    </w:lvl>
    <w:lvl w:ilvl="8" w:tplc="990610F4">
      <w:numFmt w:val="bullet"/>
      <w:lvlText w:val="•"/>
      <w:lvlJc w:val="left"/>
      <w:pPr>
        <w:ind w:left="8328" w:hanging="360"/>
      </w:pPr>
      <w:rPr>
        <w:rFonts w:hint="default"/>
        <w:lang w:val="es-ES" w:eastAsia="en-US" w:bidi="ar-SA"/>
      </w:rPr>
    </w:lvl>
  </w:abstractNum>
  <w:abstractNum w:abstractNumId="2" w15:restartNumberingAfterBreak="0">
    <w:nsid w:val="052912BF"/>
    <w:multiLevelType w:val="hybridMultilevel"/>
    <w:tmpl w:val="B93CCFC6"/>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3" w15:restartNumberingAfterBreak="0">
    <w:nsid w:val="07CD7B69"/>
    <w:multiLevelType w:val="hybridMultilevel"/>
    <w:tmpl w:val="5DCAA7E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09A22FCF"/>
    <w:multiLevelType w:val="hybridMultilevel"/>
    <w:tmpl w:val="FD6013D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221A60"/>
    <w:multiLevelType w:val="hybridMultilevel"/>
    <w:tmpl w:val="0F42CE5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0EDC356D"/>
    <w:multiLevelType w:val="hybridMultilevel"/>
    <w:tmpl w:val="9072DE92"/>
    <w:lvl w:ilvl="0" w:tplc="DA5A3ECE">
      <w:start w:val="1"/>
      <w:numFmt w:val="lowerRoman"/>
      <w:lvlText w:val="%1."/>
      <w:lvlJc w:val="left"/>
      <w:pPr>
        <w:ind w:left="720" w:hanging="360"/>
      </w:pPr>
      <w:rPr>
        <w:rFonts w:hint="default" w:ascii="Palatino Linotype" w:hAnsi="Palatino Linotype"/>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F586146"/>
    <w:multiLevelType w:val="hybridMultilevel"/>
    <w:tmpl w:val="8382A2C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03E46CC"/>
    <w:multiLevelType w:val="hybridMultilevel"/>
    <w:tmpl w:val="84B474E6"/>
    <w:lvl w:ilvl="0" w:tplc="DA5A3ECE">
      <w:start w:val="1"/>
      <w:numFmt w:val="lowerRoman"/>
      <w:lvlText w:val="%1."/>
      <w:lvlJc w:val="left"/>
      <w:pPr>
        <w:ind w:left="720" w:hanging="360"/>
      </w:pPr>
      <w:rPr>
        <w:rFonts w:hint="default" w:ascii="Palatino Linotype" w:hAnsi="Palatino Linotype"/>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18D0099"/>
    <w:multiLevelType w:val="hybridMultilevel"/>
    <w:tmpl w:val="33C0DC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BA60E1"/>
    <w:multiLevelType w:val="hybridMultilevel"/>
    <w:tmpl w:val="2A62481A"/>
    <w:lvl w:ilvl="0" w:tplc="087AAEF6">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2071369F"/>
    <w:multiLevelType w:val="hybridMultilevel"/>
    <w:tmpl w:val="59742F5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21CC422F"/>
    <w:multiLevelType w:val="hybridMultilevel"/>
    <w:tmpl w:val="8EB6763C"/>
    <w:lvl w:ilvl="0" w:tplc="9EB06EBC">
      <w:start w:val="1"/>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3" w15:restartNumberingAfterBreak="0">
    <w:nsid w:val="2AEA7DC7"/>
    <w:multiLevelType w:val="hybridMultilevel"/>
    <w:tmpl w:val="10B42C32"/>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4" w15:restartNumberingAfterBreak="0">
    <w:nsid w:val="2B627DD0"/>
    <w:multiLevelType w:val="hybridMultilevel"/>
    <w:tmpl w:val="A61AD216"/>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2C2D7764"/>
    <w:multiLevelType w:val="hybridMultilevel"/>
    <w:tmpl w:val="ECC624C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D431CDC"/>
    <w:multiLevelType w:val="hybridMultilevel"/>
    <w:tmpl w:val="006EBDE8"/>
    <w:lvl w:ilvl="0" w:tplc="CCBC011C">
      <w:start w:val="1"/>
      <w:numFmt w:val="bullet"/>
      <w:lvlText w:val=""/>
      <w:lvlJc w:val="left"/>
      <w:pPr>
        <w:ind w:left="0" w:firstLine="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7" w15:restartNumberingAfterBreak="0">
    <w:nsid w:val="303468F2"/>
    <w:multiLevelType w:val="hybridMultilevel"/>
    <w:tmpl w:val="D9727AD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36F929F8"/>
    <w:multiLevelType w:val="hybridMultilevel"/>
    <w:tmpl w:val="77AC6174"/>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9" w15:restartNumberingAfterBreak="0">
    <w:nsid w:val="390C4F3F"/>
    <w:multiLevelType w:val="hybridMultilevel"/>
    <w:tmpl w:val="FD6013D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DE24448"/>
    <w:multiLevelType w:val="hybridMultilevel"/>
    <w:tmpl w:val="ECC624C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EB57556"/>
    <w:multiLevelType w:val="hybridMultilevel"/>
    <w:tmpl w:val="0C7A1ED6"/>
    <w:lvl w:ilvl="0" w:tplc="7AA0B6C0">
      <w:start w:val="1"/>
      <w:numFmt w:val="bullet"/>
      <w:lvlText w:val=""/>
      <w:lvlJc w:val="left"/>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2" w15:restartNumberingAfterBreak="0">
    <w:nsid w:val="406E0EE2"/>
    <w:multiLevelType w:val="hybridMultilevel"/>
    <w:tmpl w:val="78469DE6"/>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3" w15:restartNumberingAfterBreak="0">
    <w:nsid w:val="433B01A7"/>
    <w:multiLevelType w:val="hybridMultilevel"/>
    <w:tmpl w:val="A40CE26A"/>
    <w:lvl w:ilvl="0" w:tplc="080A0017">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4" w15:restartNumberingAfterBreak="0">
    <w:nsid w:val="43777883"/>
    <w:multiLevelType w:val="hybridMultilevel"/>
    <w:tmpl w:val="F7E8021C"/>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25" w15:restartNumberingAfterBreak="0">
    <w:nsid w:val="46114E44"/>
    <w:multiLevelType w:val="hybridMultilevel"/>
    <w:tmpl w:val="9FCE3BE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6" w15:restartNumberingAfterBreak="0">
    <w:nsid w:val="47CD427C"/>
    <w:multiLevelType w:val="hybridMultilevel"/>
    <w:tmpl w:val="C83897F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7" w15:restartNumberingAfterBreak="0">
    <w:nsid w:val="47FB2207"/>
    <w:multiLevelType w:val="hybridMultilevel"/>
    <w:tmpl w:val="976EF07C"/>
    <w:lvl w:ilvl="0" w:tplc="080A0001">
      <w:start w:val="1"/>
      <w:numFmt w:val="bullet"/>
      <w:lvlText w:val=""/>
      <w:lvlJc w:val="left"/>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8" w15:restartNumberingAfterBreak="0">
    <w:nsid w:val="4AE60DDA"/>
    <w:multiLevelType w:val="hybridMultilevel"/>
    <w:tmpl w:val="25825C0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9" w15:restartNumberingAfterBreak="0">
    <w:nsid w:val="4AF30101"/>
    <w:multiLevelType w:val="hybridMultilevel"/>
    <w:tmpl w:val="6BD670B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0" w15:restartNumberingAfterBreak="0">
    <w:nsid w:val="4B2E6D9E"/>
    <w:multiLevelType w:val="hybridMultilevel"/>
    <w:tmpl w:val="083061F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1" w15:restartNumberingAfterBreak="0">
    <w:nsid w:val="4D1D1860"/>
    <w:multiLevelType w:val="hybridMultilevel"/>
    <w:tmpl w:val="9E8CDF1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2" w15:restartNumberingAfterBreak="0">
    <w:nsid w:val="4E0848BC"/>
    <w:multiLevelType w:val="hybridMultilevel"/>
    <w:tmpl w:val="FD6013D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0022902"/>
    <w:multiLevelType w:val="hybridMultilevel"/>
    <w:tmpl w:val="E1703A82"/>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4"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6EE2D28"/>
    <w:multiLevelType w:val="hybridMultilevel"/>
    <w:tmpl w:val="82D81098"/>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6" w15:restartNumberingAfterBreak="0">
    <w:nsid w:val="5C600FAB"/>
    <w:multiLevelType w:val="hybridMultilevel"/>
    <w:tmpl w:val="15580EB2"/>
    <w:lvl w:ilvl="0" w:tplc="080A0001">
      <w:start w:val="1"/>
      <w:numFmt w:val="bullet"/>
      <w:lvlText w:val=""/>
      <w:lvlJc w:val="left"/>
      <w:rPr>
        <w:rFonts w:hint="default" w:ascii="Symbol" w:hAnsi="Symbol"/>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37" w15:restartNumberingAfterBreak="0">
    <w:nsid w:val="5F480B7F"/>
    <w:multiLevelType w:val="hybridMultilevel"/>
    <w:tmpl w:val="AC0E0E06"/>
    <w:lvl w:ilvl="0" w:tplc="437EAEFC">
      <w:start w:val="1"/>
      <w:numFmt w:val="lowerLetter"/>
      <w:lvlText w:val="%1."/>
      <w:lvlJc w:val="left"/>
      <w:pPr>
        <w:ind w:left="720" w:hanging="360"/>
      </w:pPr>
      <w:rPr>
        <w:rFonts w:hint="default" w:ascii="Palatino Linotype" w:hAnsi="Palatino Linotyp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FC313A0"/>
    <w:multiLevelType w:val="hybridMultilevel"/>
    <w:tmpl w:val="4454BA6C"/>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9" w15:restartNumberingAfterBreak="0">
    <w:nsid w:val="652E5339"/>
    <w:multiLevelType w:val="hybridMultilevel"/>
    <w:tmpl w:val="EA9CE056"/>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40" w15:restartNumberingAfterBreak="0">
    <w:nsid w:val="6B653E5E"/>
    <w:multiLevelType w:val="hybridMultilevel"/>
    <w:tmpl w:val="A174730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1" w15:restartNumberingAfterBreak="0">
    <w:nsid w:val="6B725385"/>
    <w:multiLevelType w:val="hybridMultilevel"/>
    <w:tmpl w:val="E132F20C"/>
    <w:lvl w:ilvl="0" w:tplc="080A0017">
      <w:start w:val="1"/>
      <w:numFmt w:val="lowerLetter"/>
      <w:lvlText w:val="%1)"/>
      <w:lvlJc w:val="left"/>
      <w:pPr>
        <w:ind w:left="720" w:hanging="360"/>
      </w:pPr>
    </w:lvl>
    <w:lvl w:ilvl="1" w:tplc="080A0001">
      <w:start w:val="1"/>
      <w:numFmt w:val="bullet"/>
      <w:lvlText w:val=""/>
      <w:lvlJc w:val="left"/>
      <w:pPr>
        <w:ind w:left="1440" w:hanging="360"/>
      </w:pPr>
      <w:rPr>
        <w:rFonts w:hint="default" w:ascii="Symbol" w:hAnsi="Symbol"/>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B7531FB"/>
    <w:multiLevelType w:val="hybridMultilevel"/>
    <w:tmpl w:val="AC0E0E06"/>
    <w:lvl w:ilvl="0" w:tplc="437EAEFC">
      <w:start w:val="1"/>
      <w:numFmt w:val="lowerLetter"/>
      <w:lvlText w:val="%1."/>
      <w:lvlJc w:val="left"/>
      <w:pPr>
        <w:ind w:left="720" w:hanging="360"/>
      </w:pPr>
      <w:rPr>
        <w:rFonts w:hint="default" w:ascii="Palatino Linotype" w:hAnsi="Palatino Linotyp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C8E4E74"/>
    <w:multiLevelType w:val="hybridMultilevel"/>
    <w:tmpl w:val="EFD2153A"/>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44"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5" w15:restartNumberingAfterBreak="0">
    <w:nsid w:val="74756F8C"/>
    <w:multiLevelType w:val="hybridMultilevel"/>
    <w:tmpl w:val="D17AD208"/>
    <w:lvl w:ilvl="0" w:tplc="7AA0B6C0">
      <w:start w:val="1"/>
      <w:numFmt w:val="bullet"/>
      <w:lvlText w:val=""/>
      <w:lvlJc w:val="left"/>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6" w15:restartNumberingAfterBreak="0">
    <w:nsid w:val="75CC7057"/>
    <w:multiLevelType w:val="hybridMultilevel"/>
    <w:tmpl w:val="13DEB03E"/>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7" w15:restartNumberingAfterBreak="0">
    <w:nsid w:val="76D92C0A"/>
    <w:multiLevelType w:val="hybridMultilevel"/>
    <w:tmpl w:val="70F4CBA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8" w15:restartNumberingAfterBreak="0">
    <w:nsid w:val="7A2B1E09"/>
    <w:multiLevelType w:val="hybridMultilevel"/>
    <w:tmpl w:val="004829C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4"/>
  </w:num>
  <w:num w:numId="4">
    <w:abstractNumId w:val="22"/>
  </w:num>
  <w:num w:numId="5">
    <w:abstractNumId w:val="38"/>
  </w:num>
  <w:num w:numId="6">
    <w:abstractNumId w:val="35"/>
  </w:num>
  <w:num w:numId="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46"/>
  </w:num>
  <w:num w:numId="10">
    <w:abstractNumId w:val="12"/>
  </w:num>
  <w:num w:numId="11">
    <w:abstractNumId w:val="34"/>
  </w:num>
  <w:num w:numId="12">
    <w:abstractNumId w:val="25"/>
  </w:num>
  <w:num w:numId="13">
    <w:abstractNumId w:val="47"/>
  </w:num>
  <w:num w:numId="14">
    <w:abstractNumId w:val="37"/>
  </w:num>
  <w:num w:numId="15">
    <w:abstractNumId w:val="28"/>
  </w:num>
  <w:num w:numId="16">
    <w:abstractNumId w:val="42"/>
  </w:num>
  <w:num w:numId="17">
    <w:abstractNumId w:val="24"/>
  </w:num>
  <w:num w:numId="18">
    <w:abstractNumId w:val="43"/>
  </w:num>
  <w:num w:numId="19">
    <w:abstractNumId w:val="17"/>
  </w:num>
  <w:num w:numId="20">
    <w:abstractNumId w:val="2"/>
  </w:num>
  <w:num w:numId="21">
    <w:abstractNumId w:val="39"/>
  </w:num>
  <w:num w:numId="22">
    <w:abstractNumId w:val="18"/>
  </w:num>
  <w:num w:numId="23">
    <w:abstractNumId w:val="1"/>
  </w:num>
  <w:num w:numId="24">
    <w:abstractNumId w:val="13"/>
  </w:num>
  <w:num w:numId="25">
    <w:abstractNumId w:val="0"/>
  </w:num>
  <w:num w:numId="26">
    <w:abstractNumId w:val="16"/>
  </w:num>
  <w:num w:numId="27">
    <w:abstractNumId w:val="33"/>
  </w:num>
  <w:num w:numId="28">
    <w:abstractNumId w:val="45"/>
  </w:num>
  <w:num w:numId="29">
    <w:abstractNumId w:val="21"/>
  </w:num>
  <w:num w:numId="30">
    <w:abstractNumId w:val="15"/>
  </w:num>
  <w:num w:numId="31">
    <w:abstractNumId w:val="6"/>
  </w:num>
  <w:num w:numId="32">
    <w:abstractNumId w:val="11"/>
  </w:num>
  <w:num w:numId="33">
    <w:abstractNumId w:val="8"/>
  </w:num>
  <w:num w:numId="34">
    <w:abstractNumId w:val="31"/>
  </w:num>
  <w:num w:numId="35">
    <w:abstractNumId w:val="26"/>
  </w:num>
  <w:num w:numId="36">
    <w:abstractNumId w:val="3"/>
  </w:num>
  <w:num w:numId="37">
    <w:abstractNumId w:val="48"/>
  </w:num>
  <w:num w:numId="38">
    <w:abstractNumId w:val="36"/>
  </w:num>
  <w:num w:numId="39">
    <w:abstractNumId w:val="27"/>
  </w:num>
  <w:num w:numId="40">
    <w:abstractNumId w:val="41"/>
  </w:num>
  <w:num w:numId="41">
    <w:abstractNumId w:val="5"/>
  </w:num>
  <w:num w:numId="42">
    <w:abstractNumId w:val="23"/>
  </w:num>
  <w:num w:numId="43">
    <w:abstractNumId w:val="7"/>
  </w:num>
  <w:num w:numId="44">
    <w:abstractNumId w:val="4"/>
  </w:num>
  <w:num w:numId="45">
    <w:abstractNumId w:val="40"/>
  </w:num>
  <w:num w:numId="46">
    <w:abstractNumId w:val="29"/>
  </w:num>
  <w:num w:numId="47">
    <w:abstractNumId w:val="30"/>
  </w:num>
  <w:num w:numId="48">
    <w:abstractNumId w:val="20"/>
  </w:num>
  <w:num w:numId="49">
    <w:abstractNumId w:val="32"/>
  </w:num>
  <w:num w:numId="50">
    <w:abstractNumId w:val="1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067"/>
    <w:rsid w:val="00000528"/>
    <w:rsid w:val="00003F4C"/>
    <w:rsid w:val="000074EC"/>
    <w:rsid w:val="00007750"/>
    <w:rsid w:val="00014EF0"/>
    <w:rsid w:val="0002201D"/>
    <w:rsid w:val="0002256B"/>
    <w:rsid w:val="00023507"/>
    <w:rsid w:val="00025951"/>
    <w:rsid w:val="00030099"/>
    <w:rsid w:val="00037DB5"/>
    <w:rsid w:val="000401A8"/>
    <w:rsid w:val="00041680"/>
    <w:rsid w:val="000428F0"/>
    <w:rsid w:val="000446FE"/>
    <w:rsid w:val="00045EA4"/>
    <w:rsid w:val="00046A80"/>
    <w:rsid w:val="00054A47"/>
    <w:rsid w:val="00054CF5"/>
    <w:rsid w:val="000575A3"/>
    <w:rsid w:val="00057C4A"/>
    <w:rsid w:val="000648F7"/>
    <w:rsid w:val="00064FE5"/>
    <w:rsid w:val="00067A86"/>
    <w:rsid w:val="000716F4"/>
    <w:rsid w:val="00071EEA"/>
    <w:rsid w:val="00077567"/>
    <w:rsid w:val="00077CC4"/>
    <w:rsid w:val="000A334A"/>
    <w:rsid w:val="000A6F74"/>
    <w:rsid w:val="000A7AB0"/>
    <w:rsid w:val="000B04DE"/>
    <w:rsid w:val="000B0A93"/>
    <w:rsid w:val="000B257E"/>
    <w:rsid w:val="000B50D5"/>
    <w:rsid w:val="000B618C"/>
    <w:rsid w:val="000B732C"/>
    <w:rsid w:val="000B7442"/>
    <w:rsid w:val="000C1251"/>
    <w:rsid w:val="000C76CC"/>
    <w:rsid w:val="000D0347"/>
    <w:rsid w:val="000D061A"/>
    <w:rsid w:val="000D3C53"/>
    <w:rsid w:val="000D7AC3"/>
    <w:rsid w:val="000E2758"/>
    <w:rsid w:val="000E2B8A"/>
    <w:rsid w:val="000E4CA9"/>
    <w:rsid w:val="000E4E44"/>
    <w:rsid w:val="000E6ECF"/>
    <w:rsid w:val="000F23C4"/>
    <w:rsid w:val="000F4529"/>
    <w:rsid w:val="000F5CE4"/>
    <w:rsid w:val="001003D9"/>
    <w:rsid w:val="0010077B"/>
    <w:rsid w:val="0010292D"/>
    <w:rsid w:val="001140B4"/>
    <w:rsid w:val="00116E4A"/>
    <w:rsid w:val="00117EDC"/>
    <w:rsid w:val="00150A88"/>
    <w:rsid w:val="00150B6E"/>
    <w:rsid w:val="00152785"/>
    <w:rsid w:val="00153EFE"/>
    <w:rsid w:val="00154021"/>
    <w:rsid w:val="00155EEE"/>
    <w:rsid w:val="00157B40"/>
    <w:rsid w:val="00162316"/>
    <w:rsid w:val="00162EF1"/>
    <w:rsid w:val="00163D46"/>
    <w:rsid w:val="001677C5"/>
    <w:rsid w:val="00173AED"/>
    <w:rsid w:val="00176FBC"/>
    <w:rsid w:val="0017735B"/>
    <w:rsid w:val="00181DF7"/>
    <w:rsid w:val="001823DE"/>
    <w:rsid w:val="00185418"/>
    <w:rsid w:val="001912CA"/>
    <w:rsid w:val="00193E9F"/>
    <w:rsid w:val="00196CC1"/>
    <w:rsid w:val="001A21B7"/>
    <w:rsid w:val="001A393E"/>
    <w:rsid w:val="001A7C93"/>
    <w:rsid w:val="001B1A63"/>
    <w:rsid w:val="001B559B"/>
    <w:rsid w:val="001C01C2"/>
    <w:rsid w:val="001C173F"/>
    <w:rsid w:val="001C28E2"/>
    <w:rsid w:val="001C46B1"/>
    <w:rsid w:val="001C4E40"/>
    <w:rsid w:val="001C6241"/>
    <w:rsid w:val="001D40A6"/>
    <w:rsid w:val="001E39C9"/>
    <w:rsid w:val="001E7309"/>
    <w:rsid w:val="001F0667"/>
    <w:rsid w:val="001F273E"/>
    <w:rsid w:val="001F28FA"/>
    <w:rsid w:val="001F72CF"/>
    <w:rsid w:val="00200688"/>
    <w:rsid w:val="0020147B"/>
    <w:rsid w:val="002054E9"/>
    <w:rsid w:val="00211FA7"/>
    <w:rsid w:val="00212CBA"/>
    <w:rsid w:val="002137EF"/>
    <w:rsid w:val="00213E66"/>
    <w:rsid w:val="0022544F"/>
    <w:rsid w:val="0023116A"/>
    <w:rsid w:val="0023249A"/>
    <w:rsid w:val="002421F7"/>
    <w:rsid w:val="00244288"/>
    <w:rsid w:val="0024684F"/>
    <w:rsid w:val="00252467"/>
    <w:rsid w:val="00266434"/>
    <w:rsid w:val="002676EA"/>
    <w:rsid w:val="0027776B"/>
    <w:rsid w:val="002820F4"/>
    <w:rsid w:val="002855B5"/>
    <w:rsid w:val="00285F33"/>
    <w:rsid w:val="002963C1"/>
    <w:rsid w:val="00296CB8"/>
    <w:rsid w:val="002978DF"/>
    <w:rsid w:val="00297D9B"/>
    <w:rsid w:val="002B36FE"/>
    <w:rsid w:val="002B4E19"/>
    <w:rsid w:val="002B5936"/>
    <w:rsid w:val="002B63F0"/>
    <w:rsid w:val="002B7EA9"/>
    <w:rsid w:val="002C37B9"/>
    <w:rsid w:val="002C54D2"/>
    <w:rsid w:val="002D0015"/>
    <w:rsid w:val="002D040E"/>
    <w:rsid w:val="002D114E"/>
    <w:rsid w:val="002D153D"/>
    <w:rsid w:val="002D1B6B"/>
    <w:rsid w:val="002D3BFF"/>
    <w:rsid w:val="002E38E2"/>
    <w:rsid w:val="002F09A8"/>
    <w:rsid w:val="002F2784"/>
    <w:rsid w:val="002F76E2"/>
    <w:rsid w:val="00300355"/>
    <w:rsid w:val="003071A7"/>
    <w:rsid w:val="0031575A"/>
    <w:rsid w:val="00320B54"/>
    <w:rsid w:val="00326151"/>
    <w:rsid w:val="00327072"/>
    <w:rsid w:val="00330C92"/>
    <w:rsid w:val="00331DC2"/>
    <w:rsid w:val="00334435"/>
    <w:rsid w:val="00337929"/>
    <w:rsid w:val="00344A5D"/>
    <w:rsid w:val="00351F67"/>
    <w:rsid w:val="00355FBD"/>
    <w:rsid w:val="0036424B"/>
    <w:rsid w:val="003656CA"/>
    <w:rsid w:val="00367065"/>
    <w:rsid w:val="0037159E"/>
    <w:rsid w:val="00377AD8"/>
    <w:rsid w:val="00377ADF"/>
    <w:rsid w:val="003839A4"/>
    <w:rsid w:val="00393445"/>
    <w:rsid w:val="00393AA3"/>
    <w:rsid w:val="0039406D"/>
    <w:rsid w:val="003A0039"/>
    <w:rsid w:val="003A553F"/>
    <w:rsid w:val="003B0000"/>
    <w:rsid w:val="003B6BC2"/>
    <w:rsid w:val="003C06A0"/>
    <w:rsid w:val="003C5C3B"/>
    <w:rsid w:val="003E2830"/>
    <w:rsid w:val="003E3418"/>
    <w:rsid w:val="003E3664"/>
    <w:rsid w:val="003E5577"/>
    <w:rsid w:val="003F2307"/>
    <w:rsid w:val="0040280A"/>
    <w:rsid w:val="00404F6B"/>
    <w:rsid w:val="00406E98"/>
    <w:rsid w:val="00413823"/>
    <w:rsid w:val="0041429C"/>
    <w:rsid w:val="00414FD0"/>
    <w:rsid w:val="00421007"/>
    <w:rsid w:val="004259D2"/>
    <w:rsid w:val="00430C88"/>
    <w:rsid w:val="004327FF"/>
    <w:rsid w:val="0043663D"/>
    <w:rsid w:val="00436F97"/>
    <w:rsid w:val="00442DB8"/>
    <w:rsid w:val="00446B3C"/>
    <w:rsid w:val="00450C65"/>
    <w:rsid w:val="00450D8F"/>
    <w:rsid w:val="0045152F"/>
    <w:rsid w:val="00452F98"/>
    <w:rsid w:val="00453AAE"/>
    <w:rsid w:val="00453B4D"/>
    <w:rsid w:val="0045455B"/>
    <w:rsid w:val="004603C2"/>
    <w:rsid w:val="00460B64"/>
    <w:rsid w:val="00466ED3"/>
    <w:rsid w:val="004708F3"/>
    <w:rsid w:val="0047418E"/>
    <w:rsid w:val="004866D9"/>
    <w:rsid w:val="00491582"/>
    <w:rsid w:val="00494A88"/>
    <w:rsid w:val="004961DD"/>
    <w:rsid w:val="004A1573"/>
    <w:rsid w:val="004A58EA"/>
    <w:rsid w:val="004B7B1E"/>
    <w:rsid w:val="004C79EE"/>
    <w:rsid w:val="004D0F96"/>
    <w:rsid w:val="004D34D8"/>
    <w:rsid w:val="004D4492"/>
    <w:rsid w:val="004D483B"/>
    <w:rsid w:val="004D682D"/>
    <w:rsid w:val="004D7BC0"/>
    <w:rsid w:val="004E3B12"/>
    <w:rsid w:val="004F3CE0"/>
    <w:rsid w:val="004F4B86"/>
    <w:rsid w:val="004F4FC6"/>
    <w:rsid w:val="005001E9"/>
    <w:rsid w:val="00500E9F"/>
    <w:rsid w:val="00503710"/>
    <w:rsid w:val="00511382"/>
    <w:rsid w:val="005137B6"/>
    <w:rsid w:val="0051394F"/>
    <w:rsid w:val="00515347"/>
    <w:rsid w:val="005209B7"/>
    <w:rsid w:val="005266F5"/>
    <w:rsid w:val="00526FB8"/>
    <w:rsid w:val="00530532"/>
    <w:rsid w:val="00531B41"/>
    <w:rsid w:val="005340E2"/>
    <w:rsid w:val="00537268"/>
    <w:rsid w:val="00540C3D"/>
    <w:rsid w:val="00541180"/>
    <w:rsid w:val="00542F44"/>
    <w:rsid w:val="005435AD"/>
    <w:rsid w:val="00545A9E"/>
    <w:rsid w:val="005476A9"/>
    <w:rsid w:val="0055668C"/>
    <w:rsid w:val="0056069F"/>
    <w:rsid w:val="00561F06"/>
    <w:rsid w:val="00567A74"/>
    <w:rsid w:val="00571F5E"/>
    <w:rsid w:val="0057620A"/>
    <w:rsid w:val="005818CF"/>
    <w:rsid w:val="00584A11"/>
    <w:rsid w:val="0059192A"/>
    <w:rsid w:val="00593D9A"/>
    <w:rsid w:val="005A086F"/>
    <w:rsid w:val="005A225C"/>
    <w:rsid w:val="005A5B16"/>
    <w:rsid w:val="005A6D01"/>
    <w:rsid w:val="005B039F"/>
    <w:rsid w:val="005B26C2"/>
    <w:rsid w:val="005C5D77"/>
    <w:rsid w:val="005C5F75"/>
    <w:rsid w:val="005D0448"/>
    <w:rsid w:val="005D279A"/>
    <w:rsid w:val="005D5090"/>
    <w:rsid w:val="005D7B86"/>
    <w:rsid w:val="005E1C2D"/>
    <w:rsid w:val="005E7D5F"/>
    <w:rsid w:val="005F12CB"/>
    <w:rsid w:val="005F7666"/>
    <w:rsid w:val="00603F69"/>
    <w:rsid w:val="00605217"/>
    <w:rsid w:val="00606D37"/>
    <w:rsid w:val="00606EC6"/>
    <w:rsid w:val="00633C0A"/>
    <w:rsid w:val="0063402B"/>
    <w:rsid w:val="006363E8"/>
    <w:rsid w:val="00644F77"/>
    <w:rsid w:val="006472FE"/>
    <w:rsid w:val="00654A9D"/>
    <w:rsid w:val="0065653D"/>
    <w:rsid w:val="00662B8D"/>
    <w:rsid w:val="00676CA2"/>
    <w:rsid w:val="00680522"/>
    <w:rsid w:val="0068148F"/>
    <w:rsid w:val="00681A4C"/>
    <w:rsid w:val="00690588"/>
    <w:rsid w:val="00691B87"/>
    <w:rsid w:val="006932E8"/>
    <w:rsid w:val="00694721"/>
    <w:rsid w:val="00694A19"/>
    <w:rsid w:val="00694D20"/>
    <w:rsid w:val="006A6318"/>
    <w:rsid w:val="006A67C1"/>
    <w:rsid w:val="006B559D"/>
    <w:rsid w:val="006C0172"/>
    <w:rsid w:val="006C1C5D"/>
    <w:rsid w:val="006C42A1"/>
    <w:rsid w:val="006C5C64"/>
    <w:rsid w:val="006C620C"/>
    <w:rsid w:val="006D7641"/>
    <w:rsid w:val="006D7AB4"/>
    <w:rsid w:val="006E1DE2"/>
    <w:rsid w:val="006E4536"/>
    <w:rsid w:val="006E5DD3"/>
    <w:rsid w:val="006E7526"/>
    <w:rsid w:val="006F1E02"/>
    <w:rsid w:val="0070081B"/>
    <w:rsid w:val="00705BCD"/>
    <w:rsid w:val="00706311"/>
    <w:rsid w:val="00706B0C"/>
    <w:rsid w:val="0071078F"/>
    <w:rsid w:val="007119D9"/>
    <w:rsid w:val="00711BEC"/>
    <w:rsid w:val="00713F53"/>
    <w:rsid w:val="0071497F"/>
    <w:rsid w:val="00714D4D"/>
    <w:rsid w:val="0071535E"/>
    <w:rsid w:val="007154AF"/>
    <w:rsid w:val="0072153A"/>
    <w:rsid w:val="00722F8C"/>
    <w:rsid w:val="00725021"/>
    <w:rsid w:val="00726DFC"/>
    <w:rsid w:val="00727B73"/>
    <w:rsid w:val="00734D95"/>
    <w:rsid w:val="00744269"/>
    <w:rsid w:val="0075014F"/>
    <w:rsid w:val="007629F4"/>
    <w:rsid w:val="00762E62"/>
    <w:rsid w:val="00763FAF"/>
    <w:rsid w:val="00764BD3"/>
    <w:rsid w:val="00764E3F"/>
    <w:rsid w:val="00766683"/>
    <w:rsid w:val="00767497"/>
    <w:rsid w:val="007731EB"/>
    <w:rsid w:val="00773394"/>
    <w:rsid w:val="0077788A"/>
    <w:rsid w:val="00780D63"/>
    <w:rsid w:val="0078173F"/>
    <w:rsid w:val="00781B7E"/>
    <w:rsid w:val="00791121"/>
    <w:rsid w:val="00796463"/>
    <w:rsid w:val="00797176"/>
    <w:rsid w:val="00797B48"/>
    <w:rsid w:val="00797E33"/>
    <w:rsid w:val="007A327B"/>
    <w:rsid w:val="007A54F4"/>
    <w:rsid w:val="007A5E46"/>
    <w:rsid w:val="007B2D15"/>
    <w:rsid w:val="007B583E"/>
    <w:rsid w:val="007B75C7"/>
    <w:rsid w:val="007C0AC0"/>
    <w:rsid w:val="007C5050"/>
    <w:rsid w:val="007D0331"/>
    <w:rsid w:val="007D1BC8"/>
    <w:rsid w:val="007D5A7D"/>
    <w:rsid w:val="007E01FE"/>
    <w:rsid w:val="007E2CA2"/>
    <w:rsid w:val="007E6234"/>
    <w:rsid w:val="007F01EF"/>
    <w:rsid w:val="007F0FEC"/>
    <w:rsid w:val="007F2EF1"/>
    <w:rsid w:val="007F5A8A"/>
    <w:rsid w:val="00801CCB"/>
    <w:rsid w:val="00804AFF"/>
    <w:rsid w:val="008120E8"/>
    <w:rsid w:val="00813041"/>
    <w:rsid w:val="0081313B"/>
    <w:rsid w:val="00813AA8"/>
    <w:rsid w:val="00814115"/>
    <w:rsid w:val="008144C8"/>
    <w:rsid w:val="008163E4"/>
    <w:rsid w:val="0082013B"/>
    <w:rsid w:val="008218D7"/>
    <w:rsid w:val="00821B27"/>
    <w:rsid w:val="00823CBD"/>
    <w:rsid w:val="00824426"/>
    <w:rsid w:val="00825D26"/>
    <w:rsid w:val="00827DE0"/>
    <w:rsid w:val="00831872"/>
    <w:rsid w:val="0083487D"/>
    <w:rsid w:val="00835B3C"/>
    <w:rsid w:val="00836990"/>
    <w:rsid w:val="00841F49"/>
    <w:rsid w:val="0084220C"/>
    <w:rsid w:val="00845C93"/>
    <w:rsid w:val="00851C24"/>
    <w:rsid w:val="00855EA9"/>
    <w:rsid w:val="00857285"/>
    <w:rsid w:val="00861120"/>
    <w:rsid w:val="008623DA"/>
    <w:rsid w:val="008656FA"/>
    <w:rsid w:val="008737F2"/>
    <w:rsid w:val="0087425C"/>
    <w:rsid w:val="00883908"/>
    <w:rsid w:val="008851E7"/>
    <w:rsid w:val="008912B6"/>
    <w:rsid w:val="008919A9"/>
    <w:rsid w:val="008A1C7C"/>
    <w:rsid w:val="008A2FDC"/>
    <w:rsid w:val="008A5A55"/>
    <w:rsid w:val="008A6D1F"/>
    <w:rsid w:val="008C2CAC"/>
    <w:rsid w:val="008C59A2"/>
    <w:rsid w:val="008D1EF1"/>
    <w:rsid w:val="008D3592"/>
    <w:rsid w:val="008D4338"/>
    <w:rsid w:val="008E0A22"/>
    <w:rsid w:val="008E49EE"/>
    <w:rsid w:val="008F1CCF"/>
    <w:rsid w:val="008F713C"/>
    <w:rsid w:val="00903EFA"/>
    <w:rsid w:val="00905759"/>
    <w:rsid w:val="009068C5"/>
    <w:rsid w:val="0090741A"/>
    <w:rsid w:val="00915D55"/>
    <w:rsid w:val="00917F37"/>
    <w:rsid w:val="00922C94"/>
    <w:rsid w:val="0092661C"/>
    <w:rsid w:val="00926C89"/>
    <w:rsid w:val="0092745F"/>
    <w:rsid w:val="009301E7"/>
    <w:rsid w:val="00933E55"/>
    <w:rsid w:val="00944DAA"/>
    <w:rsid w:val="00944F68"/>
    <w:rsid w:val="00945C33"/>
    <w:rsid w:val="00952476"/>
    <w:rsid w:val="009561CA"/>
    <w:rsid w:val="009563F8"/>
    <w:rsid w:val="00956E6A"/>
    <w:rsid w:val="00956EE1"/>
    <w:rsid w:val="00965C79"/>
    <w:rsid w:val="00965DE5"/>
    <w:rsid w:val="00966E79"/>
    <w:rsid w:val="0096741F"/>
    <w:rsid w:val="009701CB"/>
    <w:rsid w:val="0097070A"/>
    <w:rsid w:val="00982515"/>
    <w:rsid w:val="0099120C"/>
    <w:rsid w:val="00995DBC"/>
    <w:rsid w:val="00995FBC"/>
    <w:rsid w:val="009A0BEE"/>
    <w:rsid w:val="009A137D"/>
    <w:rsid w:val="009A249A"/>
    <w:rsid w:val="009A6223"/>
    <w:rsid w:val="009B0342"/>
    <w:rsid w:val="009B27D3"/>
    <w:rsid w:val="009B3111"/>
    <w:rsid w:val="009C45C5"/>
    <w:rsid w:val="009C53DD"/>
    <w:rsid w:val="009D049C"/>
    <w:rsid w:val="009D3971"/>
    <w:rsid w:val="009D76B1"/>
    <w:rsid w:val="009E2EC7"/>
    <w:rsid w:val="009E44DC"/>
    <w:rsid w:val="009E77A0"/>
    <w:rsid w:val="00A07FA0"/>
    <w:rsid w:val="00A107C6"/>
    <w:rsid w:val="00A1095D"/>
    <w:rsid w:val="00A178E6"/>
    <w:rsid w:val="00A26881"/>
    <w:rsid w:val="00A31DCB"/>
    <w:rsid w:val="00A3362E"/>
    <w:rsid w:val="00A33701"/>
    <w:rsid w:val="00A46391"/>
    <w:rsid w:val="00A536BF"/>
    <w:rsid w:val="00A66007"/>
    <w:rsid w:val="00A67F57"/>
    <w:rsid w:val="00A703C9"/>
    <w:rsid w:val="00A7224E"/>
    <w:rsid w:val="00A81B5B"/>
    <w:rsid w:val="00A831AE"/>
    <w:rsid w:val="00A86D1D"/>
    <w:rsid w:val="00A928FF"/>
    <w:rsid w:val="00A93FC1"/>
    <w:rsid w:val="00A96B6D"/>
    <w:rsid w:val="00A96E03"/>
    <w:rsid w:val="00AA3107"/>
    <w:rsid w:val="00AA3C37"/>
    <w:rsid w:val="00AA43C2"/>
    <w:rsid w:val="00AA670A"/>
    <w:rsid w:val="00AB04ED"/>
    <w:rsid w:val="00AC33B9"/>
    <w:rsid w:val="00AC4C55"/>
    <w:rsid w:val="00AC553D"/>
    <w:rsid w:val="00AC66DA"/>
    <w:rsid w:val="00AD034F"/>
    <w:rsid w:val="00AD3B4A"/>
    <w:rsid w:val="00AE335B"/>
    <w:rsid w:val="00AE4056"/>
    <w:rsid w:val="00AE61B6"/>
    <w:rsid w:val="00AF0FC1"/>
    <w:rsid w:val="00AF5616"/>
    <w:rsid w:val="00AF7DA3"/>
    <w:rsid w:val="00B0005D"/>
    <w:rsid w:val="00B01A18"/>
    <w:rsid w:val="00B041FA"/>
    <w:rsid w:val="00B171DD"/>
    <w:rsid w:val="00B24875"/>
    <w:rsid w:val="00B27446"/>
    <w:rsid w:val="00B33C17"/>
    <w:rsid w:val="00B345B9"/>
    <w:rsid w:val="00B51229"/>
    <w:rsid w:val="00B53F73"/>
    <w:rsid w:val="00B61BCF"/>
    <w:rsid w:val="00B61F54"/>
    <w:rsid w:val="00B63DB5"/>
    <w:rsid w:val="00B641E2"/>
    <w:rsid w:val="00B7122D"/>
    <w:rsid w:val="00B71A8E"/>
    <w:rsid w:val="00B76467"/>
    <w:rsid w:val="00B77571"/>
    <w:rsid w:val="00B82A75"/>
    <w:rsid w:val="00B90989"/>
    <w:rsid w:val="00B92A79"/>
    <w:rsid w:val="00B930EC"/>
    <w:rsid w:val="00B93AB6"/>
    <w:rsid w:val="00B958B9"/>
    <w:rsid w:val="00B97997"/>
    <w:rsid w:val="00BA0B38"/>
    <w:rsid w:val="00BA1365"/>
    <w:rsid w:val="00BA322E"/>
    <w:rsid w:val="00BA49F6"/>
    <w:rsid w:val="00BA7763"/>
    <w:rsid w:val="00BB09F5"/>
    <w:rsid w:val="00BB63B0"/>
    <w:rsid w:val="00BC5033"/>
    <w:rsid w:val="00BE3840"/>
    <w:rsid w:val="00BF253D"/>
    <w:rsid w:val="00BF4FB6"/>
    <w:rsid w:val="00C000DA"/>
    <w:rsid w:val="00C0589E"/>
    <w:rsid w:val="00C15887"/>
    <w:rsid w:val="00C1737D"/>
    <w:rsid w:val="00C21C4C"/>
    <w:rsid w:val="00C26FC0"/>
    <w:rsid w:val="00C27DB3"/>
    <w:rsid w:val="00C3129F"/>
    <w:rsid w:val="00C33411"/>
    <w:rsid w:val="00C36926"/>
    <w:rsid w:val="00C37D47"/>
    <w:rsid w:val="00C432A4"/>
    <w:rsid w:val="00C45BE1"/>
    <w:rsid w:val="00C475A2"/>
    <w:rsid w:val="00C53958"/>
    <w:rsid w:val="00C55E7F"/>
    <w:rsid w:val="00C57A2D"/>
    <w:rsid w:val="00C63F23"/>
    <w:rsid w:val="00C6795A"/>
    <w:rsid w:val="00C720B6"/>
    <w:rsid w:val="00C73B46"/>
    <w:rsid w:val="00C741E5"/>
    <w:rsid w:val="00C815A5"/>
    <w:rsid w:val="00C82F79"/>
    <w:rsid w:val="00C84A05"/>
    <w:rsid w:val="00C93771"/>
    <w:rsid w:val="00C94257"/>
    <w:rsid w:val="00CA3612"/>
    <w:rsid w:val="00CA5DE8"/>
    <w:rsid w:val="00CB0A68"/>
    <w:rsid w:val="00CB2FB5"/>
    <w:rsid w:val="00CC08D1"/>
    <w:rsid w:val="00CC174E"/>
    <w:rsid w:val="00CC2BF7"/>
    <w:rsid w:val="00CC3220"/>
    <w:rsid w:val="00CC32CD"/>
    <w:rsid w:val="00CC6FC5"/>
    <w:rsid w:val="00CC77C4"/>
    <w:rsid w:val="00CC7BF5"/>
    <w:rsid w:val="00CD2093"/>
    <w:rsid w:val="00CD79B1"/>
    <w:rsid w:val="00CE2323"/>
    <w:rsid w:val="00CE3FD9"/>
    <w:rsid w:val="00CF5F92"/>
    <w:rsid w:val="00CF655B"/>
    <w:rsid w:val="00D003DF"/>
    <w:rsid w:val="00D05FED"/>
    <w:rsid w:val="00D123BF"/>
    <w:rsid w:val="00D15055"/>
    <w:rsid w:val="00D15533"/>
    <w:rsid w:val="00D1669F"/>
    <w:rsid w:val="00D22420"/>
    <w:rsid w:val="00D23490"/>
    <w:rsid w:val="00D23FB7"/>
    <w:rsid w:val="00D32770"/>
    <w:rsid w:val="00D35540"/>
    <w:rsid w:val="00D4148D"/>
    <w:rsid w:val="00D42C3F"/>
    <w:rsid w:val="00D44A24"/>
    <w:rsid w:val="00D52E4D"/>
    <w:rsid w:val="00D532E0"/>
    <w:rsid w:val="00D533DA"/>
    <w:rsid w:val="00D539C0"/>
    <w:rsid w:val="00D54C2C"/>
    <w:rsid w:val="00D61D25"/>
    <w:rsid w:val="00D65E36"/>
    <w:rsid w:val="00D775B4"/>
    <w:rsid w:val="00D83A70"/>
    <w:rsid w:val="00D85453"/>
    <w:rsid w:val="00D87931"/>
    <w:rsid w:val="00D9009D"/>
    <w:rsid w:val="00D93174"/>
    <w:rsid w:val="00DA2335"/>
    <w:rsid w:val="00DA286A"/>
    <w:rsid w:val="00DA29FA"/>
    <w:rsid w:val="00DA3AD6"/>
    <w:rsid w:val="00DA4881"/>
    <w:rsid w:val="00DA6A00"/>
    <w:rsid w:val="00DA7FDC"/>
    <w:rsid w:val="00DB0866"/>
    <w:rsid w:val="00DC2989"/>
    <w:rsid w:val="00DD1C5D"/>
    <w:rsid w:val="00DD3C68"/>
    <w:rsid w:val="00DD50F0"/>
    <w:rsid w:val="00DE0A01"/>
    <w:rsid w:val="00DE2260"/>
    <w:rsid w:val="00DE3514"/>
    <w:rsid w:val="00DF3CA0"/>
    <w:rsid w:val="00E028A4"/>
    <w:rsid w:val="00E05317"/>
    <w:rsid w:val="00E1033B"/>
    <w:rsid w:val="00E163EC"/>
    <w:rsid w:val="00E174E7"/>
    <w:rsid w:val="00E21372"/>
    <w:rsid w:val="00E23510"/>
    <w:rsid w:val="00E23987"/>
    <w:rsid w:val="00E3630D"/>
    <w:rsid w:val="00E3722B"/>
    <w:rsid w:val="00E42D22"/>
    <w:rsid w:val="00E43772"/>
    <w:rsid w:val="00E44C5F"/>
    <w:rsid w:val="00E504A0"/>
    <w:rsid w:val="00E5590E"/>
    <w:rsid w:val="00E6219C"/>
    <w:rsid w:val="00E658D3"/>
    <w:rsid w:val="00E90BE3"/>
    <w:rsid w:val="00E90CD9"/>
    <w:rsid w:val="00E94F9C"/>
    <w:rsid w:val="00EA141A"/>
    <w:rsid w:val="00EA4AC7"/>
    <w:rsid w:val="00EA5624"/>
    <w:rsid w:val="00EA7C14"/>
    <w:rsid w:val="00EA7F17"/>
    <w:rsid w:val="00EB6C5C"/>
    <w:rsid w:val="00EB6D27"/>
    <w:rsid w:val="00EC24DA"/>
    <w:rsid w:val="00EC3B87"/>
    <w:rsid w:val="00EC4AD7"/>
    <w:rsid w:val="00EC5720"/>
    <w:rsid w:val="00EC5CF7"/>
    <w:rsid w:val="00EC6DD2"/>
    <w:rsid w:val="00ED0D9E"/>
    <w:rsid w:val="00ED1326"/>
    <w:rsid w:val="00ED6A29"/>
    <w:rsid w:val="00EE3450"/>
    <w:rsid w:val="00EE51F8"/>
    <w:rsid w:val="00EE7448"/>
    <w:rsid w:val="00EF2109"/>
    <w:rsid w:val="00EF215D"/>
    <w:rsid w:val="00EF4B06"/>
    <w:rsid w:val="00EF5258"/>
    <w:rsid w:val="00F04279"/>
    <w:rsid w:val="00F05F76"/>
    <w:rsid w:val="00F13D04"/>
    <w:rsid w:val="00F20AF1"/>
    <w:rsid w:val="00F23022"/>
    <w:rsid w:val="00F2315F"/>
    <w:rsid w:val="00F31724"/>
    <w:rsid w:val="00F33A34"/>
    <w:rsid w:val="00F34CA0"/>
    <w:rsid w:val="00F4166E"/>
    <w:rsid w:val="00F45422"/>
    <w:rsid w:val="00F47BFC"/>
    <w:rsid w:val="00F51C2D"/>
    <w:rsid w:val="00F53CE6"/>
    <w:rsid w:val="00F54A0C"/>
    <w:rsid w:val="00F55072"/>
    <w:rsid w:val="00F61C05"/>
    <w:rsid w:val="00F64732"/>
    <w:rsid w:val="00F65E34"/>
    <w:rsid w:val="00F66CE7"/>
    <w:rsid w:val="00F75101"/>
    <w:rsid w:val="00F7577D"/>
    <w:rsid w:val="00F7745B"/>
    <w:rsid w:val="00F85FDE"/>
    <w:rsid w:val="00F87ECA"/>
    <w:rsid w:val="00F9537B"/>
    <w:rsid w:val="00F96515"/>
    <w:rsid w:val="00F97336"/>
    <w:rsid w:val="00FA0B13"/>
    <w:rsid w:val="00FA1834"/>
    <w:rsid w:val="00FA1B0D"/>
    <w:rsid w:val="00FA2FF1"/>
    <w:rsid w:val="00FA3E2C"/>
    <w:rsid w:val="00FB58D1"/>
    <w:rsid w:val="00FC7112"/>
    <w:rsid w:val="00FD2554"/>
    <w:rsid w:val="00FE39B6"/>
    <w:rsid w:val="00FF1701"/>
    <w:rsid w:val="00FF30D8"/>
    <w:rsid w:val="00FF3839"/>
    <w:rsid w:val="00FF4067"/>
    <w:rsid w:val="00FF4EFF"/>
    <w:rsid w:val="00FF750A"/>
    <w:rsid w:val="391D96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A10FC"/>
  <w15:chartTrackingRefBased/>
  <w15:docId w15:val="{59FE1CF4-9B20-4855-A337-833B712954B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A6223"/>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FF4067"/>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FF4067"/>
    <w:rPr>
      <w:rFonts w:ascii="Palatino Linotype" w:hAnsi="Palatino Linotype"/>
      <w:color w:val="000000" w:themeColor="text1"/>
    </w:rPr>
  </w:style>
  <w:style w:type="paragraph" w:styleId="Piedepgina">
    <w:name w:val="footer"/>
    <w:basedOn w:val="Normal"/>
    <w:link w:val="PiedepginaCar"/>
    <w:uiPriority w:val="99"/>
    <w:unhideWhenUsed/>
    <w:rsid w:val="00FF4067"/>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FF4067"/>
    <w:rPr>
      <w:rFonts w:ascii="Palatino Linotype" w:hAnsi="Palatino Linotype"/>
      <w:color w:val="000000" w:themeColor="text1"/>
    </w:rPr>
  </w:style>
  <w:style w:type="table" w:styleId="Tablaconcuadrcula">
    <w:name w:val="Table Grid"/>
    <w:basedOn w:val="Tablanormal"/>
    <w:uiPriority w:val="39"/>
    <w:qFormat/>
    <w:rsid w:val="00FF4067"/>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vnculo">
    <w:name w:val="Hyperlink"/>
    <w:aliases w:val="Hipervínculo1,Hipervínculo11,Hipervínculo12,Hipervínculo13,Hipervínculo14,Hipervínculo15"/>
    <w:basedOn w:val="Fuentedeprrafopredeter"/>
    <w:uiPriority w:val="99"/>
    <w:unhideWhenUsed/>
    <w:rsid w:val="00FF4067"/>
    <w:rPr>
      <w:color w:val="0563C1" w:themeColor="hyperlink"/>
      <w:u w:val="single"/>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E163EC"/>
    <w:rPr>
      <w:rFonts w:ascii="Palatino Linotype" w:hAnsi="Palatino Linotype"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63EC"/>
    <w:pPr>
      <w:spacing w:after="0" w:line="240" w:lineRule="auto"/>
      <w:ind w:left="720"/>
      <w:contextualSpacing/>
    </w:pPr>
    <w:rPr>
      <w:rFonts w:eastAsia="Times New Roman" w:cs="Times New Roman"/>
      <w:szCs w:val="24"/>
      <w:lang w:eastAsia="es-ES"/>
    </w:rPr>
  </w:style>
  <w:style w:type="character" w:styleId="dp6" w:customStyle="1">
    <w:name w:val="dp6"/>
    <w:basedOn w:val="Fuentedeprrafopredeter"/>
    <w:rsid w:val="00FF4067"/>
  </w:style>
  <w:style w:type="paragraph" w:styleId="Textosinformato">
    <w:name w:val="Plain Text"/>
    <w:basedOn w:val="Normal"/>
    <w:link w:val="TextosinformatoCar"/>
    <w:rsid w:val="00FF4067"/>
    <w:pPr>
      <w:spacing w:after="0" w:line="240" w:lineRule="auto"/>
      <w:jc w:val="left"/>
    </w:pPr>
    <w:rPr>
      <w:rFonts w:ascii="Courier New" w:hAnsi="Courier New" w:eastAsia="Times New Roman" w:cs="Times New Roman"/>
      <w:color w:val="auto"/>
      <w:sz w:val="20"/>
      <w:szCs w:val="20"/>
      <w:lang w:val="x-none" w:eastAsia="es-ES"/>
    </w:rPr>
  </w:style>
  <w:style w:type="character" w:styleId="TextosinformatoCar" w:customStyle="1">
    <w:name w:val="Texto sin formato Car"/>
    <w:basedOn w:val="Fuentedeprrafopredeter"/>
    <w:link w:val="Textosinformato"/>
    <w:rsid w:val="00FF4067"/>
    <w:rPr>
      <w:rFonts w:ascii="Courier New" w:hAnsi="Courier New" w:eastAsia="Times New Roman" w:cs="Times New Roman"/>
      <w:sz w:val="20"/>
      <w:szCs w:val="20"/>
      <w:lang w:val="x-none" w:eastAsia="es-ES"/>
    </w:rPr>
  </w:style>
  <w:style w:type="paragraph" w:styleId="Texto" w:customStyle="1">
    <w:name w:val="Texto"/>
    <w:basedOn w:val="Normal"/>
    <w:link w:val="TextoCar"/>
    <w:rsid w:val="00FF4067"/>
    <w:pPr>
      <w:spacing w:after="101" w:line="216" w:lineRule="exact"/>
      <w:ind w:firstLine="288"/>
    </w:pPr>
    <w:rPr>
      <w:rFonts w:ascii="Arial" w:hAnsi="Arial" w:eastAsia="Times New Roman" w:cs="Times New Roman"/>
      <w:color w:val="auto"/>
      <w:sz w:val="18"/>
      <w:szCs w:val="18"/>
      <w:lang w:val="es-ES" w:eastAsia="es-ES"/>
    </w:rPr>
  </w:style>
  <w:style w:type="character" w:styleId="TextoCar" w:customStyle="1">
    <w:name w:val="Texto Car"/>
    <w:link w:val="Texto"/>
    <w:locked/>
    <w:rsid w:val="00FF4067"/>
    <w:rPr>
      <w:rFonts w:ascii="Arial" w:hAnsi="Arial" w:eastAsia="Times New Roman" w:cs="Times New Roman"/>
      <w:sz w:val="18"/>
      <w:szCs w:val="18"/>
      <w:lang w:val="es-ES" w:eastAsia="es-ES"/>
    </w:rPr>
  </w:style>
  <w:style w:type="character" w:styleId="markedcontent" w:customStyle="1">
    <w:name w:val="markedcontent"/>
    <w:basedOn w:val="Fuentedeprrafopredeter"/>
    <w:rsid w:val="00FF4067"/>
  </w:style>
  <w:style w:type="character" w:styleId="apple-converted-space" w:customStyle="1">
    <w:name w:val="apple-converted-space"/>
    <w:basedOn w:val="Fuentedeprrafopredeter"/>
    <w:rsid w:val="00FF4067"/>
  </w:style>
  <w:style w:type="character" w:styleId="Mencinsinresolver">
    <w:name w:val="Unresolved Mention"/>
    <w:basedOn w:val="Fuentedeprrafopredeter"/>
    <w:uiPriority w:val="99"/>
    <w:semiHidden/>
    <w:unhideWhenUsed/>
    <w:rsid w:val="007C5050"/>
    <w:rPr>
      <w:color w:val="605E5C"/>
      <w:shd w:val="clear" w:color="auto" w:fill="E1DFDD"/>
    </w:rPr>
  </w:style>
  <w:style w:type="character" w:styleId="Hipervnculovisitado">
    <w:name w:val="FollowedHyperlink"/>
    <w:basedOn w:val="Fuentedeprrafopredeter"/>
    <w:uiPriority w:val="99"/>
    <w:semiHidden/>
    <w:unhideWhenUsed/>
    <w:rsid w:val="007C50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96384">
      <w:bodyDiv w:val="1"/>
      <w:marLeft w:val="0"/>
      <w:marRight w:val="0"/>
      <w:marTop w:val="0"/>
      <w:marBottom w:val="0"/>
      <w:divBdr>
        <w:top w:val="none" w:sz="0" w:space="0" w:color="auto"/>
        <w:left w:val="none" w:sz="0" w:space="0" w:color="auto"/>
        <w:bottom w:val="none" w:sz="0" w:space="0" w:color="auto"/>
        <w:right w:val="none" w:sz="0" w:space="0" w:color="auto"/>
      </w:divBdr>
    </w:div>
    <w:div w:id="389235399">
      <w:bodyDiv w:val="1"/>
      <w:marLeft w:val="0"/>
      <w:marRight w:val="0"/>
      <w:marTop w:val="0"/>
      <w:marBottom w:val="0"/>
      <w:divBdr>
        <w:top w:val="none" w:sz="0" w:space="0" w:color="auto"/>
        <w:left w:val="none" w:sz="0" w:space="0" w:color="auto"/>
        <w:bottom w:val="none" w:sz="0" w:space="0" w:color="auto"/>
        <w:right w:val="none" w:sz="0" w:space="0" w:color="auto"/>
      </w:divBdr>
    </w:div>
    <w:div w:id="438766221">
      <w:bodyDiv w:val="1"/>
      <w:marLeft w:val="0"/>
      <w:marRight w:val="0"/>
      <w:marTop w:val="0"/>
      <w:marBottom w:val="0"/>
      <w:divBdr>
        <w:top w:val="none" w:sz="0" w:space="0" w:color="auto"/>
        <w:left w:val="none" w:sz="0" w:space="0" w:color="auto"/>
        <w:bottom w:val="none" w:sz="0" w:space="0" w:color="auto"/>
        <w:right w:val="none" w:sz="0" w:space="0" w:color="auto"/>
      </w:divBdr>
    </w:div>
    <w:div w:id="563639154">
      <w:bodyDiv w:val="1"/>
      <w:marLeft w:val="0"/>
      <w:marRight w:val="0"/>
      <w:marTop w:val="0"/>
      <w:marBottom w:val="0"/>
      <w:divBdr>
        <w:top w:val="none" w:sz="0" w:space="0" w:color="auto"/>
        <w:left w:val="none" w:sz="0" w:space="0" w:color="auto"/>
        <w:bottom w:val="none" w:sz="0" w:space="0" w:color="auto"/>
        <w:right w:val="none" w:sz="0" w:space="0" w:color="auto"/>
      </w:divBdr>
    </w:div>
    <w:div w:id="726879444">
      <w:bodyDiv w:val="1"/>
      <w:marLeft w:val="0"/>
      <w:marRight w:val="0"/>
      <w:marTop w:val="0"/>
      <w:marBottom w:val="0"/>
      <w:divBdr>
        <w:top w:val="none" w:sz="0" w:space="0" w:color="auto"/>
        <w:left w:val="none" w:sz="0" w:space="0" w:color="auto"/>
        <w:bottom w:val="none" w:sz="0" w:space="0" w:color="auto"/>
        <w:right w:val="none" w:sz="0" w:space="0" w:color="auto"/>
      </w:divBdr>
    </w:div>
    <w:div w:id="815146767">
      <w:bodyDiv w:val="1"/>
      <w:marLeft w:val="0"/>
      <w:marRight w:val="0"/>
      <w:marTop w:val="0"/>
      <w:marBottom w:val="0"/>
      <w:divBdr>
        <w:top w:val="none" w:sz="0" w:space="0" w:color="auto"/>
        <w:left w:val="none" w:sz="0" w:space="0" w:color="auto"/>
        <w:bottom w:val="none" w:sz="0" w:space="0" w:color="auto"/>
        <w:right w:val="none" w:sz="0" w:space="0" w:color="auto"/>
      </w:divBdr>
    </w:div>
    <w:div w:id="951286365">
      <w:bodyDiv w:val="1"/>
      <w:marLeft w:val="0"/>
      <w:marRight w:val="0"/>
      <w:marTop w:val="0"/>
      <w:marBottom w:val="0"/>
      <w:divBdr>
        <w:top w:val="none" w:sz="0" w:space="0" w:color="auto"/>
        <w:left w:val="none" w:sz="0" w:space="0" w:color="auto"/>
        <w:bottom w:val="none" w:sz="0" w:space="0" w:color="auto"/>
        <w:right w:val="none" w:sz="0" w:space="0" w:color="auto"/>
      </w:divBdr>
    </w:div>
    <w:div w:id="1137912658">
      <w:bodyDiv w:val="1"/>
      <w:marLeft w:val="0"/>
      <w:marRight w:val="0"/>
      <w:marTop w:val="0"/>
      <w:marBottom w:val="0"/>
      <w:divBdr>
        <w:top w:val="none" w:sz="0" w:space="0" w:color="auto"/>
        <w:left w:val="none" w:sz="0" w:space="0" w:color="auto"/>
        <w:bottom w:val="none" w:sz="0" w:space="0" w:color="auto"/>
        <w:right w:val="none" w:sz="0" w:space="0" w:color="auto"/>
      </w:divBdr>
    </w:div>
    <w:div w:id="1824738230">
      <w:bodyDiv w:val="1"/>
      <w:marLeft w:val="0"/>
      <w:marRight w:val="0"/>
      <w:marTop w:val="0"/>
      <w:marBottom w:val="0"/>
      <w:divBdr>
        <w:top w:val="none" w:sz="0" w:space="0" w:color="auto"/>
        <w:left w:val="none" w:sz="0" w:space="0" w:color="auto"/>
        <w:bottom w:val="none" w:sz="0" w:space="0" w:color="auto"/>
        <w:right w:val="none" w:sz="0" w:space="0" w:color="auto"/>
      </w:divBdr>
    </w:div>
    <w:div w:id="1837724807">
      <w:bodyDiv w:val="1"/>
      <w:marLeft w:val="0"/>
      <w:marRight w:val="0"/>
      <w:marTop w:val="0"/>
      <w:marBottom w:val="0"/>
      <w:divBdr>
        <w:top w:val="none" w:sz="0" w:space="0" w:color="auto"/>
        <w:left w:val="none" w:sz="0" w:space="0" w:color="auto"/>
        <w:bottom w:val="none" w:sz="0" w:space="0" w:color="auto"/>
        <w:right w:val="none" w:sz="0" w:space="0" w:color="auto"/>
      </w:divBdr>
    </w:div>
    <w:div w:id="1896156805">
      <w:bodyDiv w:val="1"/>
      <w:marLeft w:val="0"/>
      <w:marRight w:val="0"/>
      <w:marTop w:val="0"/>
      <w:marBottom w:val="0"/>
      <w:divBdr>
        <w:top w:val="none" w:sz="0" w:space="0" w:color="auto"/>
        <w:left w:val="none" w:sz="0" w:space="0" w:color="auto"/>
        <w:bottom w:val="none" w:sz="0" w:space="0" w:color="auto"/>
        <w:right w:val="none" w:sz="0" w:space="0" w:color="auto"/>
      </w:divBdr>
    </w:div>
    <w:div w:id="206078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ipomex.org.mx/ipo3/lgt/indice/PMCIU/art_100_xxiv_a/3.web" TargetMode="External" Id="rId8" /><Relationship Type="http://schemas.openxmlformats.org/officeDocument/2006/relationships/image" Target="media/image3.png" Id="rId13" /><Relationship Type="http://schemas.openxmlformats.org/officeDocument/2006/relationships/hyperlink" Target="https://www.ipomex.org.mx/ipo3/lgt/indice/PMCIU/art_100_xxiv_a/3.web" TargetMode="External" Id="rId18" /><Relationship Type="http://schemas.openxmlformats.org/officeDocument/2006/relationships/header" Target="header2.xml" Id="rId26" /><Relationship Type="http://schemas.openxmlformats.org/officeDocument/2006/relationships/settings" Target="settings.xml" Id="rId3" /><Relationship Type="http://schemas.openxmlformats.org/officeDocument/2006/relationships/image" Target="media/image4.png" Id="rId21" /><Relationship Type="http://schemas.openxmlformats.org/officeDocument/2006/relationships/hyperlink" Target="https://www.ipomex.org.mx/ipo3/lgt/indice/PMCIU/art_100_iv/3.web" TargetMode="External" Id="rId7" /><Relationship Type="http://schemas.openxmlformats.org/officeDocument/2006/relationships/image" Target="media/image2.png" Id="rId12" /><Relationship Type="http://schemas.openxmlformats.org/officeDocument/2006/relationships/hyperlink" Target="https://www.ipomex.org.mx/ipo3/lgt/indice/PMCIU/art_100_xxiv_a/3.web" TargetMode="External" Id="rId17" /><Relationship Type="http://schemas.openxmlformats.org/officeDocument/2006/relationships/header" Target="header1.xml" Id="rId25" /><Relationship Type="http://schemas.openxmlformats.org/officeDocument/2006/relationships/styles" Target="styles.xml" Id="rId2" /><Relationship Type="http://schemas.openxmlformats.org/officeDocument/2006/relationships/hyperlink" Target="https://www.ipomex.org.mx/ipo3/lgt/indice/PMCIU/art_100_iv/3.web" TargetMode="External" Id="rId16" /><Relationship Type="http://schemas.openxmlformats.org/officeDocument/2006/relationships/hyperlink" Target="https://www.ipomex.org.mx/ipo3/lgt/indice/PMCIU/art_100_xxiv_a/3.web" TargetMode="External" Id="rId20" /><Relationship Type="http://schemas.openxmlformats.org/officeDocument/2006/relationships/header" Target="header3.xml" Id="rId29"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ipomex.org.mx/ipo3/lgt/indice/PMCIU/art_100_iv/3.web" TargetMode="External" Id="rId11" /><Relationship Type="http://schemas.openxmlformats.org/officeDocument/2006/relationships/hyperlink" Target="https://www.ine.mx/" TargetMode="External" Id="rId24" /><Relationship Type="http://schemas.openxmlformats.org/officeDocument/2006/relationships/theme" Target="theme/theme1.xml" Id="rId32" /><Relationship Type="http://schemas.openxmlformats.org/officeDocument/2006/relationships/footnotes" Target="footnotes.xml" Id="rId5" /><Relationship Type="http://schemas.openxmlformats.org/officeDocument/2006/relationships/hyperlink" Target="https://www.ipomex.org.mx/ipo3/lgt/indice/PMCIU/art_100_xxiv_a/3.web" TargetMode="External" Id="rId15" /><Relationship Type="http://schemas.openxmlformats.org/officeDocument/2006/relationships/image" Target="media/image6.png" Id="rId23" /><Relationship Type="http://schemas.openxmlformats.org/officeDocument/2006/relationships/footer" Target="footer2.xml" Id="rId28" /><Relationship Type="http://schemas.openxmlformats.org/officeDocument/2006/relationships/image" Target="media/image1.tmp" Id="rId10" /><Relationship Type="http://schemas.openxmlformats.org/officeDocument/2006/relationships/hyperlink" Target="https://www.ine.mx/actores-politicos/partidos-politicos-nacionales/financiamiento-publico/" TargetMode="External" Id="rId19" /><Relationship Type="http://schemas.openxmlformats.org/officeDocument/2006/relationships/fontTable" Target="fontTable.xml" Id="rId31" /><Relationship Type="http://schemas.openxmlformats.org/officeDocument/2006/relationships/webSettings" Target="webSettings.xml" Id="rId4" /><Relationship Type="http://schemas.openxmlformats.org/officeDocument/2006/relationships/hyperlink" Target="https://www.ipomex.org.mx/ipo3/lgt/indice/PMCIU/art_100_xxiv_a/3.web" TargetMode="External" Id="rId9" /><Relationship Type="http://schemas.openxmlformats.org/officeDocument/2006/relationships/hyperlink" Target="https://www.ipomex.org.mx/ipo3/lgt/indice/PMCIU/art_100_xxiv_a/3.web" TargetMode="External" Id="rId14" /><Relationship Type="http://schemas.openxmlformats.org/officeDocument/2006/relationships/image" Target="media/image5.png" Id="rId22" /><Relationship Type="http://schemas.openxmlformats.org/officeDocument/2006/relationships/footer" Target="footer1.xml" Id="rId27" /><Relationship Type="http://schemas.openxmlformats.org/officeDocument/2006/relationships/footer" Target="footer3.xml" Id="rId30" /><Relationship Type="http://schemas.openxmlformats.org/officeDocument/2006/relationships/glossaryDocument" Target="glossary/document.xml" Id="Ra33d032f54624789" /></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0dbeae2-b82f-4d95-b661-217340473638}"/>
      </w:docPartPr>
      <w:docPartBody>
        <w:p w14:paraId="0B304356">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Cuenta Microsoft</dc:creator>
  <keywords/>
  <dc:description/>
  <lastModifiedBy>Usuario invitado</lastModifiedBy>
  <revision>8</revision>
  <lastPrinted>2022-01-20T04:21:00.0000000Z</lastPrinted>
  <dcterms:created xsi:type="dcterms:W3CDTF">2022-01-21T06:10:00.0000000Z</dcterms:created>
  <dcterms:modified xsi:type="dcterms:W3CDTF">2022-02-23T18:31:22.4574289Z</dcterms:modified>
</coreProperties>
</file>