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86319">
        <w:rPr>
          <w:rFonts w:ascii="Palatino Linotype" w:hAnsi="Palatino Linotype"/>
        </w:rPr>
        <w:t>veintinueve</w:t>
      </w:r>
      <w:r w:rsidR="006A04B6">
        <w:rPr>
          <w:rFonts w:ascii="Palatino Linotype" w:hAnsi="Palatino Linotype"/>
        </w:rPr>
        <w:t xml:space="preserve"> (</w:t>
      </w:r>
      <w:r w:rsidR="00086319">
        <w:rPr>
          <w:rFonts w:ascii="Palatino Linotype" w:hAnsi="Palatino Linotype"/>
        </w:rPr>
        <w:t>29</w:t>
      </w:r>
      <w:r w:rsidRPr="00485ED8">
        <w:rPr>
          <w:rFonts w:ascii="Palatino Linotype" w:hAnsi="Palatino Linotype"/>
        </w:rPr>
        <w:t xml:space="preserve">) de </w:t>
      </w:r>
      <w:r w:rsidR="00652937">
        <w:rPr>
          <w:rFonts w:ascii="Palatino Linotype" w:hAnsi="Palatino Linotype"/>
        </w:rPr>
        <w:t>juni</w:t>
      </w:r>
      <w:r w:rsidR="00DE2F5A">
        <w:rPr>
          <w:rFonts w:ascii="Palatino Linotype" w:hAnsi="Palatino Linotype"/>
        </w:rPr>
        <w:t>o</w:t>
      </w:r>
      <w:r w:rsidR="00E61C13">
        <w:rPr>
          <w:rFonts w:ascii="Palatino Linotype" w:hAnsi="Palatino Linotype"/>
        </w:rPr>
        <w:t xml:space="preserve"> de dos mil veintidós</w:t>
      </w:r>
      <w:r w:rsidRPr="00485ED8">
        <w:rPr>
          <w:rFonts w:ascii="Palatino Linotype" w:hAnsi="Palatino Linotype"/>
        </w:rPr>
        <w:t>.</w:t>
      </w:r>
    </w:p>
    <w:p w:rsidR="009F09BC" w:rsidRPr="00D707F7" w:rsidRDefault="009F09BC" w:rsidP="003D0CC0">
      <w:pPr>
        <w:spacing w:line="360" w:lineRule="auto"/>
        <w:jc w:val="both"/>
        <w:rPr>
          <w:rFonts w:ascii="Palatino Linotype" w:hAnsi="Palatino Linotype"/>
          <w:b/>
        </w:rPr>
      </w:pPr>
      <w:r w:rsidRPr="00D707F7">
        <w:rPr>
          <w:rFonts w:ascii="Palatino Linotype" w:hAnsi="Palatino Linotype"/>
          <w:b/>
        </w:rPr>
        <w:t>VISTO</w:t>
      </w:r>
      <w:r>
        <w:rPr>
          <w:rFonts w:ascii="Palatino Linotype" w:hAnsi="Palatino Linotype"/>
        </w:rPr>
        <w:t xml:space="preserve"> </w:t>
      </w:r>
      <w:r w:rsidR="008A699B">
        <w:rPr>
          <w:rFonts w:ascii="Palatino Linotype" w:hAnsi="Palatino Linotype"/>
        </w:rPr>
        <w:t>e</w:t>
      </w:r>
      <w:r w:rsidRPr="00D707F7">
        <w:rPr>
          <w:rFonts w:ascii="Palatino Linotype" w:hAnsi="Palatino Linotype"/>
        </w:rPr>
        <w:t xml:space="preserve">l expediente electrónico formado con motivo del recurso de revisión </w:t>
      </w:r>
      <w:r w:rsidR="003204E5">
        <w:rPr>
          <w:rFonts w:ascii="Palatino Linotype" w:hAnsi="Palatino Linotype"/>
          <w:b/>
        </w:rPr>
        <w:t>00863/INFOEM/IP/RR/2022</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 xml:space="preserve">promovido por </w:t>
      </w:r>
      <w:r w:rsidR="00D142C4">
        <w:rPr>
          <w:rFonts w:ascii="Palatino Linotype" w:hAnsi="Palatino Linotype"/>
          <w:b/>
        </w:rPr>
        <w:t xml:space="preserve">XXXXXXX XXX XXXXXXXX XXXXXXX </w:t>
      </w:r>
      <w:proofErr w:type="spellStart"/>
      <w:r w:rsidR="00D142C4">
        <w:rPr>
          <w:rFonts w:ascii="Palatino Linotype" w:hAnsi="Palatino Linotype"/>
          <w:b/>
        </w:rPr>
        <w:t>XXXXXXX</w:t>
      </w:r>
      <w:proofErr w:type="spellEnd"/>
      <w:r w:rsidRPr="00D707F7">
        <w:rPr>
          <w:rFonts w:ascii="Palatino Linotype" w:hAnsi="Palatino Linotype"/>
        </w:rPr>
        <w:t xml:space="preserve">, a quien en lo sucesivo se le identificará como </w:t>
      </w:r>
      <w:r w:rsidRPr="006A04B6">
        <w:rPr>
          <w:rFonts w:ascii="Palatino Linotype" w:hAnsi="Palatino Linotype"/>
          <w:b/>
        </w:rPr>
        <w:t>EL RECURRENTE</w:t>
      </w:r>
      <w:r w:rsidRPr="00D707F7">
        <w:rPr>
          <w:rFonts w:ascii="Palatino Linotype" w:hAnsi="Palatino Linotype" w:cs="Arial"/>
        </w:rPr>
        <w:t xml:space="preserve">, en contra de la respuesta </w:t>
      </w:r>
      <w:r w:rsidR="00652937">
        <w:rPr>
          <w:rFonts w:ascii="Palatino Linotype" w:hAnsi="Palatino Linotype" w:cs="Arial"/>
        </w:rPr>
        <w:t xml:space="preserve">del </w:t>
      </w:r>
      <w:r w:rsidR="00652937" w:rsidRPr="00652937">
        <w:rPr>
          <w:rFonts w:ascii="Palatino Linotype" w:hAnsi="Palatino Linotype" w:cs="Arial"/>
          <w:b/>
        </w:rPr>
        <w:t xml:space="preserve">Ayuntamiento de </w:t>
      </w:r>
      <w:r w:rsidR="003204E5">
        <w:rPr>
          <w:rFonts w:ascii="Palatino Linotype" w:hAnsi="Palatino Linotype" w:cs="Arial"/>
          <w:b/>
        </w:rPr>
        <w:t>Ecatepec de Morelos</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Default="009F09BC" w:rsidP="003D0CC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F09BC">
        <w:rPr>
          <w:rFonts w:ascii="Palatino Linotype" w:hAnsi="Palatino Linotype"/>
          <w:b/>
          <w:color w:val="000000" w:themeColor="text1"/>
          <w:sz w:val="24"/>
          <w:szCs w:val="24"/>
        </w:rPr>
        <w:t>ANTECEDENTES</w:t>
      </w:r>
      <w:bookmarkEnd w:id="0"/>
      <w:bookmarkEnd w:id="1"/>
      <w:bookmarkEnd w:id="2"/>
    </w:p>
    <w:p w:rsidR="003D0CC0" w:rsidRPr="003D0CC0" w:rsidRDefault="003D0CC0" w:rsidP="003D0CC0"/>
    <w:p w:rsidR="009F09BC" w:rsidRDefault="009F09BC" w:rsidP="003D0CC0">
      <w:pPr>
        <w:pStyle w:val="Prrafodelista"/>
        <w:numPr>
          <w:ilvl w:val="0"/>
          <w:numId w:val="15"/>
        </w:numPr>
        <w:spacing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sidR="003204E5">
        <w:rPr>
          <w:rFonts w:ascii="Palatino Linotype" w:eastAsia="Calibri" w:hAnsi="Palatino Linotype" w:cs="Arial"/>
          <w:lang w:val="es-ES"/>
        </w:rPr>
        <w:t>quince</w:t>
      </w:r>
      <w:r w:rsidRPr="005078EC">
        <w:rPr>
          <w:rFonts w:ascii="Palatino Linotype" w:eastAsia="Calibri" w:hAnsi="Palatino Linotype" w:cs="Arial"/>
          <w:lang w:val="es-ES"/>
        </w:rPr>
        <w:t xml:space="preserve"> (</w:t>
      </w:r>
      <w:r w:rsidR="003204E5">
        <w:rPr>
          <w:rFonts w:ascii="Palatino Linotype" w:eastAsia="Calibri" w:hAnsi="Palatino Linotype" w:cs="Arial"/>
          <w:lang w:val="es-ES"/>
        </w:rPr>
        <w:t>15</w:t>
      </w:r>
      <w:r w:rsidRPr="005078EC">
        <w:rPr>
          <w:rFonts w:ascii="Palatino Linotype" w:eastAsia="Calibri" w:hAnsi="Palatino Linotype" w:cs="Arial"/>
          <w:lang w:val="es-ES"/>
        </w:rPr>
        <w:t xml:space="preserve">) de </w:t>
      </w:r>
      <w:r w:rsidR="003204E5">
        <w:rPr>
          <w:rFonts w:ascii="Palatino Linotype" w:eastAsia="Calibri" w:hAnsi="Palatino Linotype" w:cs="Arial"/>
          <w:lang w:val="es-ES"/>
        </w:rPr>
        <w:t>diciembre de dos mil veintiuno</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008A699B">
        <w:rPr>
          <w:rFonts w:ascii="Palatino Linotype" w:eastAsia="Calibri" w:hAnsi="Palatino Linotype" w:cs="Arial"/>
          <w:lang w:val="es-ES"/>
        </w:rPr>
        <w:t>SAIMEX, la solicitud</w:t>
      </w:r>
      <w:r w:rsidRPr="005078EC">
        <w:rPr>
          <w:rFonts w:ascii="Palatino Linotype" w:eastAsia="Calibri" w:hAnsi="Palatino Linotype" w:cs="Arial"/>
          <w:lang w:val="es-ES"/>
        </w:rPr>
        <w:t xml:space="preserve"> de información pública</w:t>
      </w:r>
      <w:r w:rsidR="008A699B">
        <w:rPr>
          <w:rFonts w:ascii="Palatino Linotype" w:eastAsia="Calibri" w:hAnsi="Palatino Linotype" w:cs="Arial"/>
          <w:lang w:val="es-ES"/>
        </w:rPr>
        <w:t xml:space="preserve"> registrada</w:t>
      </w:r>
      <w:r w:rsidRPr="005078EC">
        <w:rPr>
          <w:rFonts w:ascii="Palatino Linotype" w:eastAsia="Calibri" w:hAnsi="Palatino Linotype" w:cs="Arial"/>
          <w:lang w:val="es-ES"/>
        </w:rPr>
        <w:t xml:space="preserve"> con </w:t>
      </w:r>
      <w:r w:rsidR="008A699B">
        <w:rPr>
          <w:rFonts w:ascii="Palatino Linotype" w:eastAsia="Calibri" w:hAnsi="Palatino Linotype" w:cs="Arial"/>
          <w:lang w:val="es-ES"/>
        </w:rPr>
        <w:t xml:space="preserve">el </w:t>
      </w:r>
      <w:r w:rsidRPr="005078EC">
        <w:rPr>
          <w:rFonts w:ascii="Palatino Linotype" w:eastAsia="Calibri" w:hAnsi="Palatino Linotype" w:cs="Arial"/>
          <w:lang w:val="es-ES"/>
        </w:rPr>
        <w:t>número</w:t>
      </w:r>
      <w:r w:rsidRPr="005078EC">
        <w:rPr>
          <w:rFonts w:ascii="Palatino Linotype" w:hAnsi="Palatino Linotype"/>
          <w:b/>
          <w:bCs/>
          <w:color w:val="000000" w:themeColor="text1"/>
        </w:rPr>
        <w:t xml:space="preserve"> </w:t>
      </w:r>
      <w:r w:rsidR="003204E5">
        <w:rPr>
          <w:rFonts w:ascii="Palatino Linotype" w:hAnsi="Palatino Linotype"/>
          <w:b/>
          <w:bCs/>
          <w:color w:val="000000" w:themeColor="text1"/>
        </w:rPr>
        <w:t>01009/ECATEPEC/IP/2021</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 cual se solicitó la siguiente información:</w:t>
      </w:r>
    </w:p>
    <w:p w:rsidR="008A699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8A699B" w:rsidRDefault="008A699B" w:rsidP="008A699B">
      <w:pPr>
        <w:pStyle w:val="Prrafodelista"/>
        <w:spacing w:line="360" w:lineRule="auto"/>
        <w:ind w:left="426" w:right="474"/>
        <w:jc w:val="both"/>
        <w:rPr>
          <w:rFonts w:ascii="Palatino Linotype" w:hAnsi="Palatino Linotype"/>
          <w:i/>
        </w:rPr>
      </w:pPr>
      <w:r w:rsidRPr="008A699B">
        <w:rPr>
          <w:rFonts w:ascii="Palatino Linotype" w:hAnsi="Palatino Linotype"/>
          <w:i/>
        </w:rPr>
        <w:t>“</w:t>
      </w:r>
      <w:r w:rsidR="003204E5" w:rsidRPr="003204E5">
        <w:rPr>
          <w:rFonts w:ascii="Palatino Linotype" w:hAnsi="Palatino Linotype"/>
          <w:i/>
        </w:rPr>
        <w:t xml:space="preserve">Solicito a la Dirección de Desarrollo Económico del Gobierno de Ecatepec de Morelos información sobre el programa 02020601 Modernización de los Servicios Comunales, en específico del proyecto con terminación 0201 "Abasto Social de Productos Básicos. Requiero la evidencia fotográfica de los Espacios Públicos que fueron adoptados durante 2019, 2020 y 2021, tal y como lo establece la ficha de </w:t>
      </w:r>
      <w:r w:rsidR="003204E5" w:rsidRPr="003204E5">
        <w:rPr>
          <w:rFonts w:ascii="Palatino Linotype" w:hAnsi="Palatino Linotype"/>
          <w:i/>
        </w:rPr>
        <w:lastRenderedPageBreak/>
        <w:t>diseño de indicadores del respectivo proyecto (con nombres de los lugares para identificar los espacios públicos intervenidos). Agradezco la atención.</w:t>
      </w:r>
      <w:r w:rsidRPr="008A699B">
        <w:rPr>
          <w:rFonts w:ascii="Palatino Linotype" w:hAnsi="Palatino Linotype"/>
          <w:i/>
        </w:rPr>
        <w:t>”</w:t>
      </w:r>
    </w:p>
    <w:p w:rsidR="008A699B" w:rsidRPr="00AA4EC2" w:rsidRDefault="008A699B" w:rsidP="009F09BC">
      <w:pPr>
        <w:pStyle w:val="Prrafodelista"/>
        <w:spacing w:line="360" w:lineRule="auto"/>
        <w:ind w:left="851" w:right="34"/>
        <w:jc w:val="both"/>
        <w:rPr>
          <w:rFonts w:ascii="Palatino Linotype" w:hAnsi="Palatino Linotype"/>
        </w:rPr>
      </w:pPr>
    </w:p>
    <w:p w:rsidR="003204E5" w:rsidRDefault="003204E5" w:rsidP="009F09BC">
      <w:pPr>
        <w:pStyle w:val="Prrafodelista"/>
        <w:numPr>
          <w:ilvl w:val="0"/>
          <w:numId w:val="23"/>
        </w:numPr>
        <w:spacing w:line="360" w:lineRule="auto"/>
        <w:ind w:left="851" w:right="34"/>
        <w:jc w:val="both"/>
        <w:rPr>
          <w:rFonts w:ascii="Palatino Linotype" w:hAnsi="Palatino Linotype"/>
        </w:rPr>
      </w:pPr>
      <w:r>
        <w:rPr>
          <w:rFonts w:ascii="Palatino Linotype" w:hAnsi="Palatino Linotype"/>
        </w:rPr>
        <w:t>Asimismo, adjuntó el siguiente anexo:</w:t>
      </w:r>
    </w:p>
    <w:p w:rsidR="003204E5" w:rsidRDefault="003204E5" w:rsidP="003204E5">
      <w:pPr>
        <w:spacing w:line="360" w:lineRule="auto"/>
        <w:ind w:right="34"/>
        <w:jc w:val="center"/>
        <w:rPr>
          <w:rFonts w:ascii="Palatino Linotype" w:hAnsi="Palatino Linotype"/>
        </w:rPr>
      </w:pPr>
      <w:r>
        <w:rPr>
          <w:noProof/>
          <w:lang w:val="es-ES"/>
        </w:rPr>
        <w:drawing>
          <wp:inline distT="0" distB="0" distL="0" distR="0">
            <wp:extent cx="5138382" cy="2988324"/>
            <wp:effectExtent l="19050" t="19050" r="24765" b="215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843" cy="2991500"/>
                    </a:xfrm>
                    <a:prstGeom prst="rect">
                      <a:avLst/>
                    </a:prstGeom>
                    <a:noFill/>
                    <a:ln>
                      <a:solidFill>
                        <a:schemeClr val="tx1"/>
                      </a:solidFill>
                    </a:ln>
                  </pic:spPr>
                </pic:pic>
              </a:graphicData>
            </a:graphic>
          </wp:inline>
        </w:drawing>
      </w:r>
    </w:p>
    <w:p w:rsidR="003204E5" w:rsidRPr="003204E5" w:rsidRDefault="003204E5" w:rsidP="003204E5">
      <w:pPr>
        <w:spacing w:line="360" w:lineRule="auto"/>
        <w:ind w:right="34"/>
        <w:jc w:val="both"/>
        <w:rPr>
          <w:rFonts w:ascii="Palatino Linotype" w:hAnsi="Palatino Linotype"/>
        </w:rPr>
      </w:pPr>
    </w:p>
    <w:p w:rsidR="009F09BC" w:rsidRPr="003204E5"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 xml:space="preserve">A través del </w:t>
      </w:r>
      <w:r w:rsidRPr="0057514F">
        <w:rPr>
          <w:rFonts w:ascii="Palatino Linotype" w:hAnsi="Palatino Linotype"/>
          <w:b/>
        </w:rPr>
        <w:t>SAIMEX</w:t>
      </w:r>
    </w:p>
    <w:p w:rsidR="00804DAA" w:rsidRPr="00652937" w:rsidRDefault="00804DAA" w:rsidP="00652937">
      <w:pPr>
        <w:pStyle w:val="Prrafodelista"/>
        <w:tabs>
          <w:tab w:val="left" w:pos="0"/>
        </w:tabs>
        <w:spacing w:line="360" w:lineRule="auto"/>
        <w:ind w:left="0" w:right="51"/>
        <w:jc w:val="center"/>
        <w:rPr>
          <w:rFonts w:ascii="Palatino Linotype" w:hAnsi="Palatino Linotype" w:cs="Arial"/>
          <w:color w:val="000000" w:themeColor="text1"/>
        </w:rPr>
      </w:pP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E</w:t>
      </w:r>
      <w:r w:rsidR="002C4997">
        <w:rPr>
          <w:rFonts w:ascii="Palatino Linotype" w:eastAsia="Times New Roman" w:hAnsi="Palatino Linotype" w:cs="Arial"/>
          <w:color w:val="000000" w:themeColor="text1"/>
          <w:lang w:val="es-ES"/>
        </w:rPr>
        <w:t xml:space="preserve">l </w:t>
      </w:r>
      <w:r w:rsidR="0014424F">
        <w:rPr>
          <w:rFonts w:ascii="Palatino Linotype" w:eastAsia="Times New Roman" w:hAnsi="Palatino Linotype" w:cs="Arial"/>
          <w:color w:val="000000" w:themeColor="text1"/>
          <w:lang w:val="es-ES"/>
        </w:rPr>
        <w:t>quince</w:t>
      </w:r>
      <w:r w:rsidR="002C4997">
        <w:rPr>
          <w:rFonts w:ascii="Palatino Linotype" w:eastAsia="Times New Roman" w:hAnsi="Palatino Linotype" w:cs="Arial"/>
          <w:color w:val="000000" w:themeColor="text1"/>
          <w:lang w:val="es-ES"/>
        </w:rPr>
        <w:t xml:space="preserve"> </w:t>
      </w:r>
      <w:r w:rsidRPr="00D707F7">
        <w:rPr>
          <w:rFonts w:ascii="Palatino Linotype" w:eastAsia="Times New Roman" w:hAnsi="Palatino Linotype" w:cs="Arial"/>
          <w:color w:val="000000" w:themeColor="text1"/>
          <w:lang w:val="es-ES"/>
        </w:rPr>
        <w:t>(</w:t>
      </w:r>
      <w:r w:rsidR="0014424F">
        <w:rPr>
          <w:rFonts w:ascii="Palatino Linotype" w:eastAsia="Times New Roman" w:hAnsi="Palatino Linotype" w:cs="Arial"/>
          <w:color w:val="000000" w:themeColor="text1"/>
          <w:lang w:val="es-ES"/>
        </w:rPr>
        <w:t>15</w:t>
      </w:r>
      <w:r>
        <w:rPr>
          <w:rFonts w:ascii="Palatino Linotype" w:eastAsia="Times New Roman" w:hAnsi="Palatino Linotype" w:cs="Arial"/>
          <w:color w:val="000000" w:themeColor="text1"/>
          <w:lang w:val="es-ES"/>
        </w:rPr>
        <w:t xml:space="preserve">) de </w:t>
      </w:r>
      <w:r w:rsidR="002650A0">
        <w:rPr>
          <w:rFonts w:ascii="Palatino Linotype" w:eastAsia="Times New Roman" w:hAnsi="Palatino Linotype" w:cs="Arial"/>
          <w:color w:val="000000" w:themeColor="text1"/>
          <w:lang w:val="es-ES"/>
        </w:rPr>
        <w:t>febrer</w:t>
      </w:r>
      <w:r>
        <w:rPr>
          <w:rFonts w:ascii="Palatino Linotype" w:eastAsia="Times New Roman" w:hAnsi="Palatino Linotype" w:cs="Arial"/>
          <w:color w:val="000000" w:themeColor="text1"/>
          <w:lang w:val="es-ES"/>
        </w:rPr>
        <w:t>o</w:t>
      </w:r>
      <w:r w:rsidRPr="00D707F7">
        <w:rPr>
          <w:rFonts w:ascii="Palatino Linotype" w:eastAsia="Times New Roman" w:hAnsi="Palatino Linotype" w:cs="Arial"/>
          <w:color w:val="000000" w:themeColor="text1"/>
          <w:lang w:val="es-ES"/>
        </w:rPr>
        <w:t xml:space="preserve"> de </w:t>
      </w:r>
      <w:r w:rsidR="00025C53">
        <w:rPr>
          <w:rFonts w:ascii="Palatino Linotype" w:eastAsia="Times New Roman" w:hAnsi="Palatino Linotype" w:cs="Arial"/>
          <w:color w:val="000000" w:themeColor="text1"/>
          <w:lang w:val="es-ES"/>
        </w:rPr>
        <w:t>dos mil veintidós</w:t>
      </w:r>
      <w:r>
        <w:rPr>
          <w:rFonts w:ascii="Palatino Linotype" w:eastAsia="Times New Roman" w:hAnsi="Palatino Linotype" w:cs="Arial"/>
          <w:color w:val="000000" w:themeColor="text1"/>
          <w:lang w:val="es-ES"/>
        </w:rPr>
        <w:t xml:space="preserve">, el particular interpuso </w:t>
      </w:r>
      <w:r w:rsidR="002C4997">
        <w:rPr>
          <w:rFonts w:ascii="Palatino Linotype" w:eastAsia="Times New Roman" w:hAnsi="Palatino Linotype" w:cs="Arial"/>
          <w:color w:val="000000" w:themeColor="text1"/>
          <w:lang w:val="es-ES"/>
        </w:rPr>
        <w:t>e</w:t>
      </w:r>
      <w:r w:rsidRPr="00D707F7">
        <w:rPr>
          <w:rFonts w:ascii="Palatino Linotype" w:eastAsia="Times New Roman" w:hAnsi="Palatino Linotype" w:cs="Arial"/>
          <w:color w:val="000000" w:themeColor="text1"/>
          <w:lang w:val="es-ES"/>
        </w:rPr>
        <w:t xml:space="preserve">l recurso de revisión en contra de la </w:t>
      </w:r>
      <w:r w:rsidR="0014424F">
        <w:rPr>
          <w:rFonts w:ascii="Palatino Linotype" w:eastAsia="Times New Roman" w:hAnsi="Palatino Linotype" w:cs="Arial"/>
          <w:color w:val="000000" w:themeColor="text1"/>
          <w:lang w:val="es-ES"/>
        </w:rPr>
        <w:t xml:space="preserve">falta de </w:t>
      </w:r>
      <w:r w:rsidRPr="00D707F7">
        <w:rPr>
          <w:rFonts w:ascii="Palatino Linotype" w:eastAsia="Times New Roman" w:hAnsi="Palatino Linotype" w:cs="Arial"/>
          <w:color w:val="000000" w:themeColor="text1"/>
          <w:lang w:val="es-ES"/>
        </w:rPr>
        <w:t>respuesta</w:t>
      </w:r>
      <w:r>
        <w:rPr>
          <w:rFonts w:ascii="Palatino Linotype" w:eastAsia="Times New Roman" w:hAnsi="Palatino Linotype" w:cs="Arial"/>
          <w:color w:val="000000" w:themeColor="text1"/>
          <w:lang w:val="es-ES"/>
        </w:rPr>
        <w:t>,</w:t>
      </w:r>
      <w:r w:rsidRPr="002C4997">
        <w:rPr>
          <w:rFonts w:ascii="Palatino Linotype" w:eastAsia="Times New Roman" w:hAnsi="Palatino Linotype" w:cs="Arial"/>
          <w:color w:val="000000" w:themeColor="text1"/>
          <w:lang w:val="es-ES"/>
        </w:rPr>
        <w:t xml:space="preserve"> manifestando l</w:t>
      </w:r>
      <w:r w:rsidR="002C4997" w:rsidRPr="002C4997">
        <w:rPr>
          <w:rFonts w:ascii="Palatino Linotype" w:eastAsia="Times New Roman" w:hAnsi="Palatino Linotype" w:cs="Arial"/>
          <w:color w:val="000000" w:themeColor="text1"/>
          <w:lang w:val="es-ES"/>
        </w:rPr>
        <w:t>a</w:t>
      </w:r>
      <w:r w:rsidRPr="002C4997">
        <w:rPr>
          <w:rFonts w:ascii="Palatino Linotype" w:eastAsia="Times New Roman" w:hAnsi="Palatino Linotype" w:cs="Arial"/>
          <w:color w:val="000000" w:themeColor="text1"/>
          <w:lang w:val="es-ES"/>
        </w:rPr>
        <w:t xml:space="preserve">s </w:t>
      </w:r>
      <w:r w:rsidR="002C4997" w:rsidRPr="002C4997">
        <w:rPr>
          <w:rFonts w:ascii="Palatino Linotype" w:eastAsia="Times New Roman" w:hAnsi="Palatino Linotype" w:cs="Arial"/>
          <w:color w:val="000000" w:themeColor="text1"/>
          <w:lang w:val="es-ES"/>
        </w:rPr>
        <w:t>siguientes</w:t>
      </w:r>
      <w:r w:rsidRPr="002C4997">
        <w:rPr>
          <w:rFonts w:ascii="Palatino Linotype" w:eastAsia="Times New Roman" w:hAnsi="Palatino Linotype" w:cs="Arial"/>
          <w:color w:val="000000" w:themeColor="text1"/>
          <w:lang w:val="es-ES"/>
        </w:rPr>
        <w:t xml:space="preserve"> razones o motivos de inconformidad</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03BA3" w:rsidRDefault="009F09BC" w:rsidP="0014424F">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03BA3">
        <w:rPr>
          <w:rStyle w:val="Ttulo2Car"/>
          <w:rFonts w:ascii="Palatino Linotype" w:hAnsi="Palatino Linotype"/>
          <w:b/>
          <w:color w:val="auto"/>
          <w:sz w:val="24"/>
          <w:szCs w:val="24"/>
        </w:rPr>
        <w:t>Acto impugnado</w:t>
      </w:r>
      <w:bookmarkEnd w:id="3"/>
      <w:r w:rsidRPr="00C03BA3">
        <w:rPr>
          <w:rStyle w:val="Ttulo2Car"/>
          <w:rFonts w:ascii="Palatino Linotype" w:hAnsi="Palatino Linotype"/>
          <w:b/>
          <w:color w:val="000000" w:themeColor="text1"/>
          <w:sz w:val="24"/>
          <w:szCs w:val="24"/>
        </w:rPr>
        <w:t xml:space="preserve">: </w:t>
      </w:r>
      <w:r w:rsidRPr="00C03BA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4424F" w:rsidRPr="0014424F">
        <w:rPr>
          <w:rStyle w:val="Ttulo2Car"/>
          <w:rFonts w:ascii="Palatino Linotype" w:hAnsi="Palatino Linotype"/>
          <w:i/>
          <w:color w:val="000000" w:themeColor="text1"/>
          <w:sz w:val="24"/>
          <w:szCs w:val="24"/>
        </w:rPr>
        <w:t xml:space="preserve">Se interpone el recurso de revisión con base en el artículo 179 de la Ley de Transparencia y Acceso a la Información Pública del Estado de México </w:t>
      </w:r>
      <w:r w:rsidR="0014424F" w:rsidRPr="0014424F">
        <w:rPr>
          <w:rStyle w:val="Ttulo2Car"/>
          <w:rFonts w:ascii="Palatino Linotype" w:hAnsi="Palatino Linotype"/>
          <w:i/>
          <w:color w:val="000000" w:themeColor="text1"/>
          <w:sz w:val="24"/>
          <w:szCs w:val="24"/>
        </w:rPr>
        <w:lastRenderedPageBreak/>
        <w:t>y sus Municipios debido a la falta de respuesta de la información solicitada en los plazos establecidos.</w:t>
      </w:r>
      <w:r w:rsidR="00652937" w:rsidRPr="00652937">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C03BA3" w:rsidRDefault="009F09BC" w:rsidP="002650A0">
      <w:pPr>
        <w:spacing w:line="360" w:lineRule="auto"/>
        <w:jc w:val="both"/>
        <w:rPr>
          <w:rFonts w:ascii="Palatino Linotype" w:hAnsi="Palatino Linotype"/>
          <w:i/>
          <w:color w:val="000000" w:themeColor="text1"/>
        </w:rPr>
      </w:pPr>
    </w:p>
    <w:p w:rsidR="009F09BC" w:rsidRDefault="009F09BC" w:rsidP="0014424F">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03BA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C03BA3">
        <w:rPr>
          <w:rFonts w:ascii="Palatino Linotype" w:hAnsi="Palatino Linotype"/>
          <w:b/>
          <w:color w:val="000000" w:themeColor="text1"/>
        </w:rPr>
        <w:t xml:space="preserve"> </w:t>
      </w:r>
      <w:r w:rsidRPr="00C03BA3">
        <w:rPr>
          <w:rFonts w:ascii="Palatino Linotype" w:hAnsi="Palatino Linotype"/>
          <w:i/>
          <w:color w:val="000000" w:themeColor="text1"/>
        </w:rPr>
        <w:t>“</w:t>
      </w:r>
      <w:r w:rsidR="0014424F" w:rsidRPr="0014424F">
        <w:rPr>
          <w:rFonts w:ascii="Palatino Linotype" w:hAnsi="Palatino Linotype"/>
          <w:i/>
          <w:color w:val="000000" w:themeColor="text1"/>
        </w:rPr>
        <w:t>De la solicitud de la evidencia fotográfica de los Espacios Públicos que fueron adoptados durante 2019, 2020 y 2021 del programa 02020601 Modernización de los Servicios Comunales, en específico del proyecto con terminación 0201 "Abasto Social de Productos Básicos.</w:t>
      </w:r>
      <w:r w:rsidRPr="00C03BA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82142B" w:rsidRDefault="0082142B" w:rsidP="0082142B">
      <w:pPr>
        <w:pStyle w:val="Prrafodelista"/>
        <w:rPr>
          <w:rFonts w:ascii="Palatino Linotype" w:hAnsi="Palatino Linotype"/>
          <w:i/>
          <w:color w:val="000000" w:themeColor="text1"/>
        </w:rPr>
      </w:pPr>
    </w:p>
    <w:p w:rsidR="009F09BC" w:rsidRPr="00D707F7" w:rsidRDefault="00CC5B2F"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del acuerdo de admisión de fecha</w:t>
      </w:r>
      <w:r w:rsidR="009F09BC">
        <w:rPr>
          <w:rFonts w:ascii="Palatino Linotype" w:eastAsia="Calibri" w:hAnsi="Palatino Linotype" w:cs="Arial"/>
          <w:lang w:val="es-ES"/>
        </w:rPr>
        <w:t xml:space="preserve"> </w:t>
      </w:r>
      <w:r w:rsidR="00804DAA">
        <w:rPr>
          <w:rFonts w:ascii="Palatino Linotype" w:eastAsia="Calibri" w:hAnsi="Palatino Linotype" w:cs="Arial"/>
          <w:lang w:val="es-ES"/>
        </w:rPr>
        <w:t>veinti</w:t>
      </w:r>
      <w:r w:rsidR="0014424F">
        <w:rPr>
          <w:rFonts w:ascii="Palatino Linotype" w:eastAsia="Calibri" w:hAnsi="Palatino Linotype" w:cs="Arial"/>
          <w:lang w:val="es-ES"/>
        </w:rPr>
        <w:t>uno</w:t>
      </w:r>
      <w:r w:rsidR="009F09BC" w:rsidRPr="00D707F7">
        <w:rPr>
          <w:rFonts w:ascii="Palatino Linotype" w:eastAsia="Calibri" w:hAnsi="Palatino Linotype" w:cs="Arial"/>
          <w:lang w:val="es-ES"/>
        </w:rPr>
        <w:t xml:space="preserve"> (</w:t>
      </w:r>
      <w:r w:rsidR="00804DAA">
        <w:rPr>
          <w:rFonts w:ascii="Palatino Linotype" w:eastAsia="Calibri" w:hAnsi="Palatino Linotype" w:cs="Arial"/>
          <w:lang w:val="es-ES"/>
        </w:rPr>
        <w:t>2</w:t>
      </w:r>
      <w:r w:rsidR="0014424F">
        <w:rPr>
          <w:rFonts w:ascii="Palatino Linotype" w:eastAsia="Calibri" w:hAnsi="Palatino Linotype" w:cs="Arial"/>
          <w:lang w:val="es-ES"/>
        </w:rPr>
        <w:t>1</w:t>
      </w:r>
      <w:r w:rsidR="009F09BC" w:rsidRPr="00D707F7">
        <w:rPr>
          <w:rFonts w:ascii="Palatino Linotype" w:eastAsia="Calibri" w:hAnsi="Palatino Linotype" w:cs="Arial"/>
          <w:lang w:val="es-ES"/>
        </w:rPr>
        <w:t xml:space="preserve">) de </w:t>
      </w:r>
      <w:r w:rsidR="003933C4">
        <w:rPr>
          <w:rFonts w:ascii="Palatino Linotype" w:eastAsia="Calibri" w:hAnsi="Palatino Linotype" w:cs="Arial"/>
          <w:lang w:val="es-ES"/>
        </w:rPr>
        <w:t>febre</w:t>
      </w:r>
      <w:r w:rsidR="002C4997">
        <w:rPr>
          <w:rFonts w:ascii="Palatino Linotype" w:eastAsia="Calibri" w:hAnsi="Palatino Linotype" w:cs="Arial"/>
          <w:lang w:val="es-ES"/>
        </w:rPr>
        <w:t>r</w:t>
      </w:r>
      <w:r w:rsidR="009F09BC">
        <w:rPr>
          <w:rFonts w:ascii="Palatino Linotype" w:eastAsia="Calibri" w:hAnsi="Palatino Linotype" w:cs="Arial"/>
          <w:lang w:val="es-ES"/>
        </w:rPr>
        <w:t>o</w:t>
      </w:r>
      <w:r w:rsidR="009F09BC" w:rsidRPr="00D707F7">
        <w:rPr>
          <w:rFonts w:ascii="Palatino Linotype" w:eastAsia="Calibri" w:hAnsi="Palatino Linotype" w:cs="Arial"/>
          <w:lang w:val="es-ES"/>
        </w:rPr>
        <w:t xml:space="preserve"> del año en curso,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rsidR="009F09BC" w:rsidRPr="00C0715F" w:rsidRDefault="009F09BC" w:rsidP="009F09BC">
      <w:pPr>
        <w:pStyle w:val="Prrafodelista"/>
        <w:spacing w:before="240" w:after="240" w:line="360" w:lineRule="auto"/>
        <w:ind w:left="0"/>
        <w:jc w:val="both"/>
        <w:rPr>
          <w:rFonts w:ascii="Palatino Linotype" w:hAnsi="Palatino Linotype"/>
        </w:rPr>
      </w:pPr>
    </w:p>
    <w:p w:rsidR="009F09BC" w:rsidRPr="002C4997" w:rsidRDefault="0014424F" w:rsidP="006672E1">
      <w:pPr>
        <w:pStyle w:val="Prrafodelista"/>
        <w:numPr>
          <w:ilvl w:val="0"/>
          <w:numId w:val="15"/>
        </w:numPr>
        <w:spacing w:before="240" w:after="240" w:line="360" w:lineRule="auto"/>
        <w:ind w:left="0" w:firstLine="0"/>
        <w:jc w:val="both"/>
        <w:rPr>
          <w:rFonts w:ascii="Palatino Linotype" w:hAnsi="Palatino Linotype"/>
        </w:rPr>
      </w:pPr>
      <w:r>
        <w:rPr>
          <w:rFonts w:ascii="Palatino Linotype" w:hAnsi="Palatino Linotype"/>
          <w:color w:val="000000"/>
        </w:rPr>
        <w:t xml:space="preserve">El dieciocho (18) de marzo de dos mil </w:t>
      </w:r>
      <w:r w:rsidR="00C07DC4">
        <w:rPr>
          <w:rFonts w:ascii="Palatino Linotype" w:hAnsi="Palatino Linotype"/>
          <w:color w:val="000000"/>
        </w:rPr>
        <w:t xml:space="preserve">veintidós el </w:t>
      </w:r>
      <w:r w:rsidR="00C07DC4">
        <w:rPr>
          <w:rFonts w:ascii="Palatino Linotype" w:hAnsi="Palatino Linotype"/>
          <w:b/>
          <w:color w:val="000000"/>
        </w:rPr>
        <w:t>SUJETO OBLIGADO</w:t>
      </w:r>
      <w:r w:rsidR="00C07DC4">
        <w:rPr>
          <w:rFonts w:ascii="Palatino Linotype" w:hAnsi="Palatino Linotype"/>
          <w:color w:val="000000"/>
        </w:rPr>
        <w:t xml:space="preserve"> rindió su informe justificado, </w:t>
      </w:r>
      <w:r w:rsidR="00086319">
        <w:rPr>
          <w:rFonts w:ascii="Palatino Linotype" w:hAnsi="Palatino Linotype"/>
          <w:color w:val="000000"/>
        </w:rPr>
        <w:t xml:space="preserve">mismo que fue puesto a la vista del hoy </w:t>
      </w:r>
      <w:r w:rsidR="00086319">
        <w:rPr>
          <w:rFonts w:ascii="Palatino Linotype" w:hAnsi="Palatino Linotype"/>
          <w:b/>
          <w:color w:val="000000"/>
        </w:rPr>
        <w:t xml:space="preserve">RECURRENTE </w:t>
      </w:r>
      <w:r w:rsidR="00086319">
        <w:rPr>
          <w:rFonts w:ascii="Palatino Linotype" w:hAnsi="Palatino Linotype"/>
          <w:color w:val="000000"/>
        </w:rPr>
        <w:t>mediante acuerdo de fecha veintidós (22) de junio del año en curso a efecto de que manifestara lo que a su derecho conviniera y asistiera; no obstante</w:t>
      </w:r>
      <w:r w:rsidR="009F09BC" w:rsidRPr="002C4997">
        <w:rPr>
          <w:rFonts w:ascii="Palatino Linotype" w:hAnsi="Palatino Linotype"/>
          <w:color w:val="000000"/>
        </w:rPr>
        <w:t xml:space="preserve"> </w:t>
      </w:r>
      <w:r w:rsidR="009F09BC" w:rsidRPr="002C4997">
        <w:rPr>
          <w:rFonts w:ascii="Palatino Linotype" w:hAnsi="Palatino Linotype"/>
          <w:b/>
          <w:color w:val="000000"/>
        </w:rPr>
        <w:t xml:space="preserve">EL PARTICULAR </w:t>
      </w:r>
      <w:r w:rsidR="00A305ED">
        <w:rPr>
          <w:rFonts w:ascii="Palatino Linotype" w:hAnsi="Palatino Linotype"/>
          <w:color w:val="000000"/>
        </w:rPr>
        <w:t>dejó de realizar manifestacio</w:t>
      </w:r>
      <w:bookmarkStart w:id="133" w:name="_GoBack"/>
      <w:bookmarkEnd w:id="133"/>
      <w:r w:rsidR="00A305ED">
        <w:rPr>
          <w:rFonts w:ascii="Palatino Linotype" w:hAnsi="Palatino Linotype"/>
          <w:color w:val="000000"/>
        </w:rPr>
        <w:t>nes que a su derecho conviniera y asistiera</w:t>
      </w:r>
      <w:r w:rsidR="009F09BC" w:rsidRPr="002C4997">
        <w:rPr>
          <w:rFonts w:ascii="Palatino Linotype" w:hAnsi="Palatino Linotype"/>
          <w:color w:val="000000"/>
        </w:rPr>
        <w:t>.</w:t>
      </w:r>
    </w:p>
    <w:p w:rsidR="00ED6E75" w:rsidRPr="00AE1FDD" w:rsidRDefault="00ED6E75" w:rsidP="00ED6E75">
      <w:pPr>
        <w:pStyle w:val="Prrafodelista"/>
        <w:spacing w:before="240" w:after="240" w:line="360" w:lineRule="auto"/>
        <w:ind w:left="0"/>
        <w:jc w:val="both"/>
        <w:rPr>
          <w:rFonts w:ascii="Palatino Linotype" w:hAnsi="Palatino Linotype"/>
        </w:rPr>
      </w:pPr>
    </w:p>
    <w:p w:rsidR="00D57EE3" w:rsidRPr="00D57EE3" w:rsidRDefault="00A305ED"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Pr>
          <w:rFonts w:ascii="Palatino Linotype" w:hAnsi="Palatino Linotype"/>
        </w:rPr>
        <w:lastRenderedPageBreak/>
        <w:t>M</w:t>
      </w:r>
      <w:r w:rsidR="006672E1" w:rsidRPr="00A305ED">
        <w:rPr>
          <w:rFonts w:ascii="Palatino Linotype" w:hAnsi="Palatino Linotype"/>
        </w:rPr>
        <w:t xml:space="preserve">ediante </w:t>
      </w:r>
      <w:r w:rsidR="006672E1" w:rsidRPr="00A305ED">
        <w:rPr>
          <w:rFonts w:ascii="Palatino Linotype" w:hAnsi="Palatino Linotype"/>
          <w:color w:val="000000"/>
        </w:rPr>
        <w:t>acuerdos</w:t>
      </w:r>
      <w:r w:rsidR="006672E1" w:rsidRPr="00A305ED">
        <w:rPr>
          <w:rFonts w:ascii="Palatino Linotype" w:hAnsi="Palatino Linotype"/>
        </w:rPr>
        <w:t xml:space="preserve"> de fecha </w:t>
      </w:r>
      <w:r w:rsidR="00C07DC4">
        <w:rPr>
          <w:rFonts w:ascii="Palatino Linotype" w:hAnsi="Palatino Linotype"/>
        </w:rPr>
        <w:t>siete (07</w:t>
      </w:r>
      <w:r w:rsidR="0001674C" w:rsidRPr="00A305ED">
        <w:rPr>
          <w:rFonts w:ascii="Palatino Linotype" w:hAnsi="Palatino Linotype"/>
        </w:rPr>
        <w:t xml:space="preserve">) de </w:t>
      </w:r>
      <w:r w:rsidR="00C07DC4">
        <w:rPr>
          <w:rFonts w:ascii="Palatino Linotype" w:hAnsi="Palatino Linotype"/>
        </w:rPr>
        <w:t>juni</w:t>
      </w:r>
      <w:r w:rsidR="0001674C" w:rsidRPr="00A305ED">
        <w:rPr>
          <w:rFonts w:ascii="Palatino Linotype" w:hAnsi="Palatino Linotype"/>
        </w:rPr>
        <w:t xml:space="preserve">o del año en curso, </w:t>
      </w:r>
      <w:r w:rsidR="006672E1" w:rsidRPr="00A305ED">
        <w:rPr>
          <w:rFonts w:ascii="Palatino Linotype" w:hAnsi="Palatino Linotype"/>
        </w:rPr>
        <w:t xml:space="preserve">amplió el termino para resolver y posteriormente </w:t>
      </w:r>
      <w:r w:rsidR="0001674C" w:rsidRPr="00A305ED">
        <w:rPr>
          <w:rFonts w:ascii="Palatino Linotype" w:hAnsi="Palatino Linotype"/>
        </w:rPr>
        <w:t>se d</w:t>
      </w:r>
      <w:r w:rsidR="006672E1" w:rsidRPr="00A305ED">
        <w:rPr>
          <w:rFonts w:ascii="Palatino Linotype" w:hAnsi="Palatino Linotype"/>
        </w:rPr>
        <w:t>ecretó el cierre de instrucción</w:t>
      </w:r>
      <w:bookmarkStart w:id="134" w:name="_Toc491791302"/>
      <w:bookmarkStart w:id="135" w:name="_Toc83128578"/>
      <w:r w:rsidR="00B33255">
        <w:rPr>
          <w:rFonts w:ascii="Palatino Linotype" w:hAnsi="Palatino Linotype"/>
        </w:rPr>
        <w:t>.</w:t>
      </w:r>
    </w:p>
    <w:p w:rsidR="00D57EE3" w:rsidRPr="00D57EE3"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 xml:space="preserve">En ese sentido, el legislador fijó los términos procesales en las leyes, de manera general, sin que pudiera prever la variada gama de casos que son resueltos </w:t>
      </w:r>
      <w:r w:rsidRPr="00D142C4">
        <w:rPr>
          <w:rFonts w:ascii="Palatino Linotype" w:hAnsi="Palatino Linotype"/>
        </w:rPr>
        <w:lastRenderedPageBreak/>
        <w:t>por los órganos jurisdiccionales o cuasi jurisdiccionales, tanto por la complejidad de los hechos, como por el número de casos que conocen.</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D57EE3" w:rsidRPr="00D142C4" w:rsidRDefault="00D57EE3" w:rsidP="00D57EE3">
      <w:pPr>
        <w:pStyle w:val="Prrafodelista"/>
        <w:rPr>
          <w:rFonts w:ascii="Palatino Linotype" w:hAnsi="Palatino Linotype"/>
        </w:rPr>
      </w:pPr>
    </w:p>
    <w:p w:rsidR="00D57EE3" w:rsidRPr="00D142C4" w:rsidRDefault="00D57EE3" w:rsidP="00D57EE3">
      <w:pPr>
        <w:spacing w:before="240" w:after="240" w:line="360" w:lineRule="auto"/>
        <w:jc w:val="both"/>
        <w:rPr>
          <w:rFonts w:ascii="Palatino Linotype" w:hAnsi="Palatino Linotype"/>
        </w:rPr>
      </w:pPr>
      <w:r w:rsidRPr="00D142C4">
        <w:rPr>
          <w:rFonts w:ascii="Palatino Linotype" w:hAnsi="Palatino Linotype"/>
        </w:rPr>
        <w:t>a)      Complejidad del asunto: La complejidad de la prueba, la pluralidad de sujetos procesales, el tiempo transcurrido, las características y contexto del recurso.</w:t>
      </w:r>
    </w:p>
    <w:p w:rsidR="00D57EE3" w:rsidRPr="00D142C4" w:rsidRDefault="00D57EE3" w:rsidP="00D57EE3">
      <w:pPr>
        <w:spacing w:before="240" w:after="240" w:line="360" w:lineRule="auto"/>
        <w:jc w:val="both"/>
        <w:rPr>
          <w:rFonts w:ascii="Palatino Linotype" w:hAnsi="Palatino Linotype"/>
        </w:rPr>
      </w:pPr>
      <w:r w:rsidRPr="00D142C4">
        <w:rPr>
          <w:rFonts w:ascii="Palatino Linotype" w:hAnsi="Palatino Linotype"/>
        </w:rPr>
        <w:t>b)     Actividad Procesal del interesado: Acciones u omisiones del interesado.</w:t>
      </w:r>
    </w:p>
    <w:p w:rsidR="00D57EE3" w:rsidRPr="00D142C4" w:rsidRDefault="00D57EE3" w:rsidP="00D57EE3">
      <w:pPr>
        <w:spacing w:before="240" w:after="240" w:line="360" w:lineRule="auto"/>
        <w:jc w:val="both"/>
        <w:rPr>
          <w:rFonts w:ascii="Palatino Linotype" w:hAnsi="Palatino Linotype"/>
        </w:rPr>
      </w:pPr>
      <w:r w:rsidRPr="00D142C4">
        <w:rPr>
          <w:rFonts w:ascii="Palatino Linotype" w:hAnsi="Palatino Linotype"/>
        </w:rPr>
        <w:t>c)      Conducta de la Autoridad: Las Acciones u omisiones realizadas en el procedimiento. Así como si la autoridad actuó con la debida diligencia.</w:t>
      </w:r>
    </w:p>
    <w:p w:rsidR="00D57EE3" w:rsidRPr="00D142C4" w:rsidRDefault="00D57EE3" w:rsidP="00D57EE3">
      <w:pPr>
        <w:spacing w:before="240" w:after="240" w:line="360" w:lineRule="auto"/>
        <w:jc w:val="both"/>
        <w:rPr>
          <w:rFonts w:ascii="Palatino Linotype" w:hAnsi="Palatino Linotype"/>
        </w:rPr>
      </w:pPr>
      <w:r w:rsidRPr="00D142C4">
        <w:rPr>
          <w:rFonts w:ascii="Palatino Linotype" w:hAnsi="Palatino Linotype"/>
        </w:rPr>
        <w:t xml:space="preserve">d) La afectación generada en la situación jurídica de la persona involucrada en el proceso: Violación a sus derechos humanos.  </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57EE3" w:rsidRPr="00D142C4" w:rsidRDefault="00D57EE3" w:rsidP="00D57EE3">
      <w:pPr>
        <w:pStyle w:val="Prrafodelista"/>
        <w:spacing w:before="240" w:after="240" w:line="360" w:lineRule="auto"/>
        <w:ind w:left="0"/>
        <w:jc w:val="both"/>
        <w:rPr>
          <w:rFonts w:ascii="Palatino Linotype" w:hAnsi="Palatino Linotype"/>
          <w:b/>
          <w:color w:val="000000" w:themeColor="text1"/>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57EE3" w:rsidRPr="00D142C4" w:rsidRDefault="00D57EE3" w:rsidP="00D57EE3">
      <w:pPr>
        <w:pStyle w:val="Prrafodelista"/>
        <w:rPr>
          <w:rFonts w:ascii="Palatino Linotype" w:hAnsi="Palatino Linotype"/>
        </w:rPr>
      </w:pPr>
    </w:p>
    <w:p w:rsidR="00D57EE3" w:rsidRPr="00D142C4" w:rsidRDefault="00D57EE3" w:rsidP="00D57EE3">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142C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D57EE3" w:rsidRPr="00D142C4" w:rsidRDefault="00D57EE3" w:rsidP="00D57EE3">
      <w:pPr>
        <w:spacing w:before="240" w:after="240" w:line="360" w:lineRule="auto"/>
        <w:ind w:left="708"/>
        <w:jc w:val="both"/>
        <w:rPr>
          <w:rFonts w:ascii="Palatino Linotype" w:hAnsi="Palatino Linotype"/>
        </w:rPr>
      </w:pPr>
      <w:r w:rsidRPr="00D142C4">
        <w:rPr>
          <w:rFonts w:ascii="Palatino Linotype" w:hAnsi="Palatino Linotype"/>
        </w:rPr>
        <w:t xml:space="preserve">“PLAZO RAZONABLE PARA RESOLVER. DIMENSIÓN Y EFECTOS DE ESTE CONCEPTO CUANDO SE ADUCE EXCESIVA CARGA DE </w:t>
      </w:r>
      <w:r w:rsidRPr="00D142C4">
        <w:rPr>
          <w:rFonts w:ascii="Palatino Linotype" w:hAnsi="Palatino Linotype"/>
        </w:rPr>
        <w:lastRenderedPageBreak/>
        <w:t>TRABAJO.” consultable en el Seminario Judicial de la Federación y su gaceta, con el registro digital 2002351.</w:t>
      </w:r>
    </w:p>
    <w:p w:rsidR="00D57EE3" w:rsidRPr="00D142C4" w:rsidRDefault="00D57EE3" w:rsidP="00D57EE3">
      <w:pPr>
        <w:spacing w:before="240" w:after="240" w:line="360" w:lineRule="auto"/>
        <w:ind w:left="708"/>
        <w:jc w:val="both"/>
        <w:rPr>
          <w:rFonts w:ascii="Palatino Linotype" w:hAnsi="Palatino Linotype"/>
        </w:rPr>
      </w:pPr>
      <w:r w:rsidRPr="00D142C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D57EE3" w:rsidRPr="00D142C4" w:rsidRDefault="00D57EE3" w:rsidP="00D57EE3">
      <w:pPr>
        <w:pStyle w:val="Prrafodelista"/>
        <w:numPr>
          <w:ilvl w:val="0"/>
          <w:numId w:val="15"/>
        </w:numPr>
        <w:spacing w:before="240" w:after="240" w:line="360" w:lineRule="auto"/>
        <w:jc w:val="both"/>
        <w:rPr>
          <w:rFonts w:ascii="Palatino Linotype" w:hAnsi="Palatino Linotype"/>
        </w:rPr>
      </w:pPr>
      <w:r w:rsidRPr="00D142C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33255" w:rsidRPr="00C07DC4" w:rsidRDefault="00B33255" w:rsidP="00B33255">
      <w:pPr>
        <w:pStyle w:val="Prrafodelista"/>
        <w:spacing w:before="240" w:after="240" w:line="360" w:lineRule="auto"/>
        <w:ind w:left="0"/>
        <w:jc w:val="both"/>
        <w:rPr>
          <w:rFonts w:ascii="Palatino Linotype" w:hAnsi="Palatino Linotype"/>
          <w:b/>
          <w:color w:val="000000" w:themeColor="text1"/>
        </w:rPr>
      </w:pPr>
    </w:p>
    <w:p w:rsidR="00C07DC4" w:rsidRPr="00C07DC4" w:rsidRDefault="00C07DC4" w:rsidP="00C07DC4">
      <w:pPr>
        <w:pStyle w:val="Prrafodelista"/>
        <w:rPr>
          <w:rFonts w:ascii="Palatino Linotype" w:hAnsi="Palatino Linotype"/>
          <w:b/>
          <w:color w:val="000000" w:themeColor="text1"/>
        </w:rPr>
      </w:pPr>
    </w:p>
    <w:p w:rsidR="009F09BC" w:rsidRPr="00A305ED" w:rsidRDefault="009F09BC" w:rsidP="00A305ED">
      <w:pPr>
        <w:pStyle w:val="Prrafodelista"/>
        <w:spacing w:before="240" w:after="240" w:line="360" w:lineRule="auto"/>
        <w:ind w:left="0"/>
        <w:jc w:val="center"/>
        <w:rPr>
          <w:rFonts w:ascii="Palatino Linotype" w:hAnsi="Palatino Linotype"/>
          <w:b/>
          <w:color w:val="000000" w:themeColor="text1"/>
        </w:rPr>
      </w:pPr>
      <w:r w:rsidRPr="00A305ED">
        <w:rPr>
          <w:rFonts w:ascii="Palatino Linotype" w:hAnsi="Palatino Linotype"/>
          <w:b/>
          <w:color w:val="000000" w:themeColor="text1"/>
        </w:rPr>
        <w:t>CONSIDERANDO</w:t>
      </w:r>
      <w:bookmarkEnd w:id="134"/>
      <w:bookmarkEnd w:id="135"/>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6" w:name="_Toc491791303"/>
      <w:bookmarkStart w:id="137" w:name="_Toc83128579"/>
      <w:r w:rsidRPr="00D707F7">
        <w:rPr>
          <w:rFonts w:ascii="Palatino Linotype" w:hAnsi="Palatino Linotype"/>
          <w:b/>
          <w:color w:val="auto"/>
          <w:sz w:val="24"/>
          <w:szCs w:val="24"/>
        </w:rPr>
        <w:t>PRIMERO. De la competencia</w:t>
      </w:r>
      <w:bookmarkEnd w:id="136"/>
      <w:bookmarkEnd w:id="137"/>
    </w:p>
    <w:p w:rsidR="009F09BC" w:rsidRPr="00D707F7" w:rsidRDefault="009F09BC" w:rsidP="009F09BC">
      <w:pPr>
        <w:rPr>
          <w:rFonts w:ascii="Palatino Linotype" w:hAnsi="Palatino Linotype"/>
          <w:lang w:val="es-MX" w:eastAsia="en-US"/>
        </w:rPr>
      </w:pPr>
    </w:p>
    <w:p w:rsidR="00353F1D" w:rsidRPr="009E6B17"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w:t>
      </w:r>
      <w:r w:rsidRPr="009E6B17">
        <w:rPr>
          <w:rFonts w:ascii="Palatino Linotype" w:hAnsi="Palatino Linotype"/>
          <w:color w:val="000000" w:themeColor="text1"/>
        </w:rPr>
        <w:lastRenderedPageBreak/>
        <w:t>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C936E7" w:rsidRDefault="009F09BC" w:rsidP="00353F1D">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8" w:name="_Toc491791304"/>
      <w:bookmarkStart w:id="139" w:name="_Toc83128580"/>
      <w:r w:rsidRPr="00CA1063">
        <w:rPr>
          <w:rFonts w:ascii="Palatino Linotype" w:hAnsi="Palatino Linotype"/>
          <w:b/>
          <w:color w:val="auto"/>
          <w:sz w:val="24"/>
          <w:szCs w:val="24"/>
        </w:rPr>
        <w:t>SEGUNDO. De la oportunidad y procedencia.</w:t>
      </w:r>
      <w:bookmarkEnd w:id="138"/>
      <w:bookmarkEnd w:id="139"/>
    </w:p>
    <w:p w:rsidR="009F09BC" w:rsidRPr="002D58F8" w:rsidRDefault="009F09BC" w:rsidP="009F09BC">
      <w:pPr>
        <w:rPr>
          <w:lang w:val="es-MX" w:eastAsia="en-US"/>
        </w:rPr>
      </w:pPr>
    </w:p>
    <w:p w:rsidR="00C07DC4" w:rsidRPr="00DE26A6" w:rsidRDefault="00C07DC4" w:rsidP="00C07DC4">
      <w:pPr>
        <w:numPr>
          <w:ilvl w:val="0"/>
          <w:numId w:val="15"/>
        </w:numPr>
        <w:spacing w:line="360" w:lineRule="auto"/>
        <w:ind w:left="0" w:firstLine="0"/>
        <w:contextualSpacing/>
        <w:jc w:val="both"/>
        <w:rPr>
          <w:rFonts w:ascii="Palatino Linotype" w:hAnsi="Palatino Linotype" w:cs="Arial"/>
        </w:rPr>
      </w:pPr>
      <w:r w:rsidRPr="00745D07">
        <w:rPr>
          <w:rFonts w:ascii="Palatino Linotype" w:eastAsia="Calibri" w:hAnsi="Palatino Linotype" w:cs="Arial"/>
          <w:lang w:val="es-ES"/>
        </w:rPr>
        <w:t>Es de precisar, que la Ley de Transparencia y Acceso a la Información Pública del Estado de México y Municipios, en el artículo 178 describe la proc</w:t>
      </w:r>
      <w:r>
        <w:rPr>
          <w:rFonts w:ascii="Palatino Linotype" w:eastAsia="Calibri" w:hAnsi="Palatino Linotype" w:cs="Arial"/>
          <w:lang w:val="es-ES"/>
        </w:rPr>
        <w:t>edencia del recurso de revisión;</w:t>
      </w:r>
      <w:r w:rsidRPr="00745D07">
        <w:rPr>
          <w:rFonts w:ascii="Palatino Linotype" w:eastAsia="Calibri" w:hAnsi="Palatino Linotype" w:cs="Arial"/>
          <w:lang w:val="es-ES"/>
        </w:rPr>
        <w:t xml:space="preserve"> asimismo señala que el plazo del </w:t>
      </w:r>
      <w:r w:rsidRPr="00745D07">
        <w:rPr>
          <w:rFonts w:ascii="Palatino Linotype" w:eastAsia="Calibri" w:hAnsi="Palatino Linotype" w:cs="Arial"/>
          <w:b/>
          <w:lang w:val="es-ES"/>
        </w:rPr>
        <w:t>SUJETO OBLIGADO</w:t>
      </w:r>
      <w:r w:rsidRPr="00745D07">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C07DC4" w:rsidRPr="00745D07" w:rsidRDefault="00C07DC4" w:rsidP="00C07DC4">
      <w:pPr>
        <w:spacing w:line="360" w:lineRule="auto"/>
        <w:contextualSpacing/>
        <w:jc w:val="both"/>
        <w:rPr>
          <w:rFonts w:ascii="Palatino Linotype" w:hAnsi="Palatino Linotype" w:cs="Arial"/>
        </w:rPr>
      </w:pPr>
    </w:p>
    <w:p w:rsidR="00C07DC4" w:rsidRPr="00745D07" w:rsidRDefault="00C07DC4" w:rsidP="00C07DC4">
      <w:pPr>
        <w:numPr>
          <w:ilvl w:val="0"/>
          <w:numId w:val="15"/>
        </w:numPr>
        <w:spacing w:line="360" w:lineRule="auto"/>
        <w:ind w:left="0" w:firstLine="0"/>
        <w:contextualSpacing/>
        <w:jc w:val="both"/>
        <w:rPr>
          <w:rFonts w:ascii="Palatino Linotype" w:hAnsi="Palatino Linotype" w:cs="Arial"/>
        </w:rPr>
      </w:pPr>
      <w:r w:rsidRPr="00745D07">
        <w:rPr>
          <w:rFonts w:ascii="Palatino Linotype" w:eastAsia="Calibri" w:hAnsi="Palatino Linotype" w:cs="Arial"/>
          <w:lang w:val="es-ES"/>
        </w:rPr>
        <w:t xml:space="preserve">Por ende, se constituye la figura jurídica de la </w:t>
      </w:r>
      <w:r w:rsidRPr="00745D07">
        <w:rPr>
          <w:rFonts w:ascii="Palatino Linotype" w:eastAsia="Calibri" w:hAnsi="Palatino Linotype" w:cs="Arial"/>
          <w:i/>
          <w:lang w:val="es-ES"/>
        </w:rPr>
        <w:t>negativa ficta</w:t>
      </w:r>
      <w:r w:rsidRPr="00745D07">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745D07">
        <w:rPr>
          <w:rFonts w:ascii="Palatino Linotype" w:eastAsia="Calibri" w:hAnsi="Palatino Linotype" w:cs="Arial"/>
          <w:b/>
          <w:lang w:val="es-ES"/>
        </w:rPr>
        <w:t>178</w:t>
      </w:r>
      <w:r w:rsidRPr="00745D07">
        <w:rPr>
          <w:rFonts w:ascii="Palatino Linotype" w:eastAsia="Calibri" w:hAnsi="Palatino Linotype" w:cs="Arial"/>
          <w:lang w:val="es-ES"/>
        </w:rPr>
        <w:t xml:space="preserve"> segundo párrafo de </w:t>
      </w:r>
      <w:r w:rsidRPr="00745D07">
        <w:rPr>
          <w:rFonts w:ascii="Palatino Linotype" w:eastAsia="Calibri" w:hAnsi="Palatino Linotype" w:cs="Arial"/>
          <w:b/>
          <w:lang w:val="es-ES"/>
        </w:rPr>
        <w:t>Ley de Transparencia y Acceso a la Información Pública del Estado de México y Municipios</w:t>
      </w:r>
      <w:r w:rsidRPr="00745D07">
        <w:rPr>
          <w:rFonts w:ascii="Palatino Linotype" w:eastAsia="Calibri" w:hAnsi="Palatino Linotype"/>
          <w:shd w:val="clear" w:color="auto" w:fill="FFFFFF"/>
        </w:rPr>
        <w:t xml:space="preserve">, que dispone; ante la falta de respuesta del </w:t>
      </w:r>
      <w:r w:rsidRPr="00745D07">
        <w:rPr>
          <w:rFonts w:ascii="Palatino Linotype" w:eastAsia="Calibri" w:hAnsi="Palatino Linotype"/>
          <w:b/>
          <w:shd w:val="clear" w:color="auto" w:fill="FFFFFF"/>
        </w:rPr>
        <w:t>SUJETO OBLIGADO,</w:t>
      </w:r>
      <w:r w:rsidRPr="00745D07">
        <w:rPr>
          <w:rFonts w:ascii="Palatino Linotype" w:eastAsia="Calibri" w:hAnsi="Palatino Linotype"/>
          <w:shd w:val="clear" w:color="auto" w:fill="FFFFFF"/>
        </w:rPr>
        <w:t xml:space="preserve"> dentro de los plazos establecidos en esta Ley, a una solicitud de acceso a la información pública, el recurso </w:t>
      </w:r>
      <w:r w:rsidRPr="00745D07">
        <w:rPr>
          <w:rFonts w:ascii="Palatino Linotype" w:eastAsia="Calibri" w:hAnsi="Palatino Linotype"/>
          <w:b/>
          <w:shd w:val="clear" w:color="auto" w:fill="FFFFFF"/>
        </w:rPr>
        <w:t xml:space="preserve">podrá ser interpuesto en cualquier momento. </w:t>
      </w:r>
    </w:p>
    <w:p w:rsidR="00C07DC4" w:rsidRPr="00745D07" w:rsidRDefault="00C07DC4" w:rsidP="00C07DC4">
      <w:pPr>
        <w:spacing w:line="360" w:lineRule="auto"/>
        <w:ind w:left="284"/>
        <w:contextualSpacing/>
        <w:rPr>
          <w:rFonts w:ascii="Palatino Linotype" w:hAnsi="Palatino Linotype" w:cs="Arial"/>
        </w:rPr>
      </w:pPr>
    </w:p>
    <w:p w:rsidR="00C07DC4" w:rsidRPr="00745D07" w:rsidRDefault="00C07DC4" w:rsidP="00C07DC4">
      <w:pPr>
        <w:numPr>
          <w:ilvl w:val="0"/>
          <w:numId w:val="15"/>
        </w:numPr>
        <w:spacing w:line="360" w:lineRule="auto"/>
        <w:ind w:left="0" w:firstLine="0"/>
        <w:contextualSpacing/>
        <w:jc w:val="both"/>
        <w:rPr>
          <w:rFonts w:ascii="Palatino Linotype" w:hAnsi="Palatino Linotype" w:cs="Arial"/>
        </w:rPr>
      </w:pPr>
      <w:r w:rsidRPr="00745D07">
        <w:rPr>
          <w:rFonts w:ascii="Palatino Linotype" w:eastAsia="Calibri" w:hAnsi="Palatino Linotype" w:cs="Arial"/>
          <w:lang w:val="es-ES"/>
        </w:rPr>
        <w:lastRenderedPageBreak/>
        <w:t xml:space="preserve">Por lo que, tratándose de la </w:t>
      </w:r>
      <w:r w:rsidRPr="00745D07">
        <w:rPr>
          <w:rFonts w:ascii="Palatino Linotype" w:eastAsia="Calibri" w:hAnsi="Palatino Linotype" w:cs="Arial"/>
          <w:i/>
          <w:lang w:val="es-ES"/>
        </w:rPr>
        <w:t>negativa ficta</w:t>
      </w:r>
      <w:r w:rsidRPr="00745D07">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Pr>
          <w:rFonts w:ascii="Palatino Linotype" w:eastAsia="Calibri" w:hAnsi="Palatino Linotype" w:cs="Arial"/>
          <w:lang w:val="es-ES"/>
        </w:rPr>
        <w:t xml:space="preserve">(23) </w:t>
      </w:r>
      <w:r w:rsidRPr="00745D07">
        <w:rPr>
          <w:rFonts w:ascii="Palatino Linotype" w:eastAsia="Calibri" w:hAnsi="Palatino Linotype" w:cs="Arial"/>
          <w:lang w:val="es-ES"/>
        </w:rPr>
        <w:t xml:space="preserve">de abril de dos mil quince, relativo a la interposición del recurso de revisión en cualquier tiempo cuando exista </w:t>
      </w:r>
      <w:r w:rsidRPr="00745D07">
        <w:rPr>
          <w:rFonts w:ascii="Palatino Linotype" w:eastAsia="Calibri" w:hAnsi="Palatino Linotype" w:cs="Arial"/>
          <w:i/>
          <w:lang w:val="es-ES"/>
        </w:rPr>
        <w:t>negativa ficta</w:t>
      </w:r>
      <w:r w:rsidRPr="00745D07">
        <w:rPr>
          <w:rFonts w:ascii="Palatino Linotype" w:eastAsia="Calibri" w:hAnsi="Palatino Linotype" w:cs="Arial"/>
          <w:lang w:val="es-ES"/>
        </w:rPr>
        <w:t>, que señala:</w:t>
      </w:r>
    </w:p>
    <w:p w:rsidR="00C07DC4" w:rsidRPr="00745D07" w:rsidRDefault="00C07DC4" w:rsidP="00C07DC4">
      <w:pPr>
        <w:spacing w:line="360" w:lineRule="auto"/>
        <w:contextualSpacing/>
        <w:jc w:val="both"/>
        <w:rPr>
          <w:rFonts w:ascii="Palatino Linotype" w:hAnsi="Palatino Linotype" w:cs="Arial"/>
        </w:rPr>
      </w:pPr>
    </w:p>
    <w:p w:rsidR="00C07DC4" w:rsidRPr="00745D07" w:rsidRDefault="00C07DC4" w:rsidP="00C07DC4">
      <w:pPr>
        <w:tabs>
          <w:tab w:val="left" w:pos="7655"/>
        </w:tabs>
        <w:spacing w:line="360" w:lineRule="auto"/>
        <w:ind w:left="567" w:right="567"/>
        <w:jc w:val="center"/>
        <w:rPr>
          <w:rFonts w:ascii="Palatino Linotype" w:eastAsia="Calibri" w:hAnsi="Palatino Linotype" w:cs="Arial"/>
          <w:b/>
          <w:lang w:val="es-ES"/>
        </w:rPr>
      </w:pPr>
      <w:r w:rsidRPr="00745D07">
        <w:rPr>
          <w:rFonts w:ascii="Palatino Linotype" w:eastAsia="Calibri" w:hAnsi="Palatino Linotype" w:cs="Arial"/>
          <w:b/>
          <w:lang w:val="es-ES"/>
        </w:rPr>
        <w:t>Criterio 0001-15</w:t>
      </w:r>
    </w:p>
    <w:p w:rsidR="00C07DC4" w:rsidRPr="00745D07" w:rsidRDefault="00C07DC4" w:rsidP="00C07DC4">
      <w:pPr>
        <w:tabs>
          <w:tab w:val="left" w:pos="7655"/>
        </w:tabs>
        <w:spacing w:line="360" w:lineRule="auto"/>
        <w:ind w:left="567" w:right="567"/>
        <w:jc w:val="both"/>
        <w:rPr>
          <w:rFonts w:ascii="Palatino Linotype" w:eastAsia="Calibri" w:hAnsi="Palatino Linotype" w:cs="Arial"/>
          <w:i/>
          <w:lang w:val="es-ES"/>
        </w:rPr>
      </w:pPr>
      <w:r w:rsidRPr="00745D07">
        <w:rPr>
          <w:rFonts w:ascii="Palatino Linotype" w:eastAsia="Calibri" w:hAnsi="Palatino Linotype" w:cs="Arial"/>
          <w:b/>
          <w:i/>
          <w:lang w:val="es-ES"/>
        </w:rPr>
        <w:t>NEGATIVA FICTA. PLAZO PARA INTERPONER EL RECURSO DE REVISIÓN TRATÁNDOSE DE.</w:t>
      </w:r>
      <w:r w:rsidRPr="00745D07">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w:t>
      </w:r>
      <w:r w:rsidRPr="00745D07">
        <w:rPr>
          <w:rFonts w:ascii="Palatino Linotype" w:eastAsia="Calibri" w:hAnsi="Palatino Linotype" w:cs="Arial"/>
          <w:i/>
          <w:lang w:val="es-ES"/>
        </w:rPr>
        <w:lastRenderedPageBreak/>
        <w:t>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C07DC4" w:rsidRPr="00745D07" w:rsidRDefault="00C07DC4" w:rsidP="00C07DC4">
      <w:pPr>
        <w:tabs>
          <w:tab w:val="left" w:pos="7655"/>
        </w:tabs>
        <w:spacing w:line="360" w:lineRule="auto"/>
        <w:ind w:left="567" w:right="567"/>
        <w:jc w:val="both"/>
        <w:rPr>
          <w:rFonts w:ascii="Palatino Linotype" w:eastAsia="Calibri" w:hAnsi="Palatino Linotype" w:cs="Arial"/>
          <w:i/>
          <w:lang w:val="es-ES"/>
        </w:rPr>
      </w:pPr>
    </w:p>
    <w:p w:rsidR="00C07DC4" w:rsidRPr="00745D07" w:rsidRDefault="00C07DC4" w:rsidP="00C07DC4">
      <w:pPr>
        <w:numPr>
          <w:ilvl w:val="0"/>
          <w:numId w:val="15"/>
        </w:numPr>
        <w:spacing w:line="360" w:lineRule="auto"/>
        <w:ind w:left="0" w:firstLine="0"/>
        <w:contextualSpacing/>
        <w:jc w:val="both"/>
        <w:rPr>
          <w:rFonts w:ascii="Palatino Linotype" w:hAnsi="Palatino Linotype" w:cs="Arial"/>
          <w:lang w:val="es-ES" w:eastAsia="es-MX"/>
        </w:rPr>
      </w:pPr>
      <w:r w:rsidRPr="00745D07">
        <w:rPr>
          <w:rFonts w:ascii="Palatino Linotype" w:hAnsi="Palatino Linotype" w:cs="Arial"/>
          <w:lang w:val="es-ES" w:eastAsia="es-MX"/>
        </w:rPr>
        <w:t xml:space="preserve">Lo anterior, se explica porque la </w:t>
      </w:r>
      <w:r w:rsidRPr="00745D07">
        <w:rPr>
          <w:rFonts w:ascii="Palatino Linotype" w:hAnsi="Palatino Linotype" w:cs="Arial"/>
          <w:b/>
          <w:u w:val="single"/>
          <w:lang w:val="es-ES" w:eastAsia="es-MX"/>
        </w:rPr>
        <w:t>posible ausencia</w:t>
      </w:r>
      <w:r w:rsidRPr="00745D07">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745D07">
        <w:rPr>
          <w:rFonts w:ascii="Palatino Linotype" w:hAnsi="Palatino Linotype" w:cs="Arial"/>
          <w:b/>
          <w:lang w:val="es-ES" w:eastAsia="es-MX"/>
        </w:rPr>
        <w:t>SUJETO OBLIGADO</w:t>
      </w:r>
      <w:r w:rsidRPr="00745D07">
        <w:rPr>
          <w:rFonts w:ascii="Palatino Linotype" w:hAnsi="Palatino Linotype" w:cs="Arial"/>
          <w:lang w:val="es-ES" w:eastAsia="es-MX"/>
        </w:rPr>
        <w:t>.</w:t>
      </w:r>
    </w:p>
    <w:p w:rsidR="00C07DC4" w:rsidRPr="00745D07" w:rsidRDefault="00C07DC4" w:rsidP="00C07DC4">
      <w:pPr>
        <w:spacing w:line="360" w:lineRule="auto"/>
        <w:contextualSpacing/>
        <w:rPr>
          <w:rFonts w:ascii="Palatino Linotype" w:hAnsi="Palatino Linotype" w:cs="Arial"/>
          <w:lang w:val="es-ES" w:eastAsia="es-MX"/>
        </w:rPr>
      </w:pPr>
    </w:p>
    <w:p w:rsidR="00C07DC4" w:rsidRPr="00B34159" w:rsidRDefault="00EB1DB3" w:rsidP="00C07DC4">
      <w:pPr>
        <w:numPr>
          <w:ilvl w:val="0"/>
          <w:numId w:val="15"/>
        </w:numPr>
        <w:spacing w:line="360" w:lineRule="auto"/>
        <w:ind w:left="0" w:right="49" w:firstLine="0"/>
        <w:contextualSpacing/>
        <w:jc w:val="both"/>
        <w:rPr>
          <w:rFonts w:ascii="Palatino Linotype" w:hAnsi="Palatino Linotype" w:cs="Arial"/>
          <w:b/>
        </w:rPr>
      </w:pPr>
      <w:r>
        <w:rPr>
          <w:rFonts w:ascii="Palatino Linotype" w:eastAsia="Calibri" w:hAnsi="Palatino Linotype" w:cs="Arial"/>
        </w:rPr>
        <w:t>Asimismo</w:t>
      </w:r>
      <w:r w:rsidR="00C07DC4" w:rsidRPr="00745D0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07DC4" w:rsidRPr="00C07DC4" w:rsidRDefault="00C07DC4" w:rsidP="00C07DC4">
      <w:pPr>
        <w:pStyle w:val="Prrafodelista"/>
        <w:spacing w:line="360" w:lineRule="auto"/>
        <w:ind w:left="0"/>
        <w:jc w:val="both"/>
        <w:rPr>
          <w:rFonts w:ascii="Palatino Linotype" w:hAnsi="Palatino Linotype"/>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Pr>
          <w:rFonts w:ascii="Palatino Linotype" w:hAnsi="Palatino Linotype"/>
        </w:rPr>
        <w:t xml:space="preserve">Por otro lado, </w:t>
      </w:r>
      <w:r w:rsidRPr="007C3761">
        <w:rPr>
          <w:rFonts w:ascii="Palatino Linotype" w:eastAsia="Calibri" w:hAnsi="Palatino Linotype" w:cs="Arial"/>
        </w:rPr>
        <w:t>es</w:t>
      </w:r>
      <w:r w:rsidRPr="00AB76AB">
        <w:rPr>
          <w:rFonts w:ascii="Palatino Linotype" w:eastAsia="Palatino Linotype" w:hAnsi="Palatino Linotype" w:cs="Palatino Linotype"/>
        </w:rPr>
        <w:t xml:space="preserve"> de suma importancia señalar que la parte recurrente </w:t>
      </w:r>
      <w:r>
        <w:rPr>
          <w:rFonts w:ascii="Palatino Linotype" w:eastAsia="Palatino Linotype" w:hAnsi="Palatino Linotype" w:cs="Palatino Linotype"/>
        </w:rPr>
        <w:t xml:space="preserve">no proporciona un nombre </w:t>
      </w:r>
      <w:r w:rsidR="00EB1DB3">
        <w:rPr>
          <w:rFonts w:ascii="Palatino Linotype" w:eastAsia="Palatino Linotype" w:hAnsi="Palatino Linotype" w:cs="Palatino Linotype"/>
        </w:rPr>
        <w:t xml:space="preserve">completo </w:t>
      </w:r>
      <w:r>
        <w:rPr>
          <w:rFonts w:ascii="Palatino Linotype" w:eastAsia="Palatino Linotype" w:hAnsi="Palatino Linotype" w:cs="Palatino Linotype"/>
        </w:rPr>
        <w:t xml:space="preserve">o datos de identificación </w:t>
      </w:r>
      <w:r w:rsidRPr="00AB76AB">
        <w:rPr>
          <w:rFonts w:ascii="Palatino Linotype" w:eastAsia="Palatino Linotype" w:hAnsi="Palatino Linotype" w:cs="Palatino Linotype"/>
        </w:rPr>
        <w:t>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2142B" w:rsidRPr="0082142B" w:rsidRDefault="0082142B" w:rsidP="0082142B">
      <w:pPr>
        <w:pStyle w:val="Prrafodelista"/>
        <w:rPr>
          <w:rFonts w:ascii="Palatino Linotype" w:eastAsia="Palatino Linotype" w:hAnsi="Palatino Linotype" w:cs="Palatino Linotype"/>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w:t>
      </w:r>
      <w:r w:rsidRPr="00AB76AB">
        <w:rPr>
          <w:rFonts w:ascii="Palatino Linotype" w:eastAsia="Palatino Linotype" w:hAnsi="Palatino Linotype" w:cs="Palatino Linotype"/>
          <w:b/>
          <w:i/>
        </w:rPr>
        <w:t>Las solicitudes anónimas</w:t>
      </w:r>
      <w:r w:rsidRPr="00AB76AB">
        <w:rPr>
          <w:rFonts w:ascii="Palatino Linotype" w:eastAsia="Palatino Linotype" w:hAnsi="Palatino Linotype" w:cs="Palatino Linotype"/>
          <w:i/>
        </w:rPr>
        <w:t xml:space="preserve">, con nombre incompleto o seudónimo </w:t>
      </w:r>
      <w:r w:rsidRPr="00AB76AB">
        <w:rPr>
          <w:rFonts w:ascii="Palatino Linotype" w:eastAsia="Palatino Linotype" w:hAnsi="Palatino Linotype" w:cs="Palatino Linotype"/>
          <w:b/>
          <w:i/>
        </w:rPr>
        <w:t>serán procedentes para su trámite por parte del sujeto obligado ante quien se presente</w:t>
      </w:r>
      <w:r w:rsidRPr="00AB76AB">
        <w:rPr>
          <w:rFonts w:ascii="Palatino Linotype" w:eastAsia="Palatino Linotype" w:hAnsi="Palatino Linotype" w:cs="Palatino Linotype"/>
          <w:i/>
        </w:rPr>
        <w:t>. No podrá requerirse información adicional con motivo del nombre proporcionado por el solicitante."</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112D7E">
        <w:rPr>
          <w:rFonts w:ascii="Palatino Linotype" w:hAnsi="Palatino Linotype"/>
        </w:rPr>
        <w:t>Robusteciendo</w:t>
      </w:r>
      <w:r w:rsidRPr="00AB76AB">
        <w:rPr>
          <w:rFonts w:ascii="Palatino Linotype" w:eastAsia="Palatino Linotype" w:hAnsi="Palatino Linotype" w:cs="Palatino Linotype"/>
        </w:rPr>
        <w:t xml:space="preserve"> lo anterior se encuentra lo dispuesto en el artículo 6, Apartado A, </w:t>
      </w:r>
      <w:r w:rsidRPr="00AB76AB">
        <w:rPr>
          <w:rFonts w:ascii="Palatino Linotype" w:eastAsia="Palatino Linotype" w:hAnsi="Palatino Linotype" w:cs="Palatino Linotype"/>
          <w:color w:val="000000"/>
        </w:rPr>
        <w:t>fracciones</w:t>
      </w:r>
      <w:r w:rsidRPr="00AB76AB">
        <w:rPr>
          <w:rFonts w:ascii="Palatino Linotype" w:eastAsia="Palatino Linotype" w:hAnsi="Palatino Linotype" w:cs="Palatino Linotype"/>
        </w:rPr>
        <w:t xml:space="preserve"> III de la Constitución Política de los Estados Unidos Mexicanos que establece:</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6.-</w:t>
      </w:r>
      <w:r w:rsidRPr="00AB76A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efectos de lo dispuesto en el presente artículo se observará lo siguiente:</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74110E" w:rsidRPr="00AB76AB" w:rsidRDefault="0074110E" w:rsidP="0074110E">
      <w:pPr>
        <w:pStyle w:val="Prrafodelista"/>
        <w:spacing w:line="360" w:lineRule="auto"/>
        <w:ind w:left="0"/>
        <w:jc w:val="both"/>
        <w:rPr>
          <w:rFonts w:ascii="Palatino Linotype" w:eastAsia="Palatino Linotype" w:hAnsi="Palatino Linotype" w:cs="Palatino Linotype"/>
        </w:rPr>
      </w:pP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5.-</w:t>
      </w:r>
      <w:r w:rsidRPr="00AB76A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Por otra parte, del contenido del artículo 1 de la Constitución Política de los Estados</w:t>
      </w:r>
      <w:r>
        <w:rPr>
          <w:rFonts w:ascii="Palatino Linotype" w:eastAsia="Palatino Linotype" w:hAnsi="Palatino Linotype" w:cs="Palatino Linotype"/>
        </w:rPr>
        <w:t xml:space="preserve"> </w:t>
      </w:r>
      <w:r w:rsidRPr="00AB76AB">
        <w:rPr>
          <w:rFonts w:ascii="Palatino Linotype" w:eastAsia="Palatino Linotype" w:hAnsi="Palatino Linotype" w:cs="Palatino Linotype"/>
        </w:rPr>
        <w:t>Unidos mexicanos, se destaca lo siguiente:</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1</w:t>
      </w:r>
      <w:r w:rsidRPr="00AB76A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82142B">
        <w:rPr>
          <w:rFonts w:ascii="Palatino Linotype" w:eastAsia="Palatino Linotype" w:hAnsi="Palatino Linotype" w:cs="Palatino Linotype"/>
          <w:i/>
        </w:rPr>
        <w:t xml:space="preserve"> </w:t>
      </w:r>
      <w:r w:rsidRPr="0082142B">
        <w:rPr>
          <w:rFonts w:ascii="Palatino Linotype" w:eastAsia="Palatino Linotype" w:hAnsi="Palatino Linotype" w:cs="Palatino Linotype"/>
        </w:rPr>
        <w:t>(Sic)</w:t>
      </w:r>
    </w:p>
    <w:p w:rsidR="0082142B" w:rsidRPr="00AB76AB" w:rsidRDefault="0082142B" w:rsidP="0074110E">
      <w:pPr>
        <w:spacing w:line="360" w:lineRule="auto"/>
        <w:ind w:left="426" w:right="474"/>
        <w:jc w:val="both"/>
        <w:rPr>
          <w:rFonts w:ascii="Palatino Linotype" w:eastAsia="Palatino Linotype" w:hAnsi="Palatino Linotype" w:cs="Palatino Linotype"/>
          <w:i/>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AB76AB">
        <w:rPr>
          <w:rFonts w:ascii="Palatino Linotype" w:eastAsia="Palatino Linotype" w:hAnsi="Palatino Linotype" w:cs="Palatino Linotype"/>
          <w:i/>
        </w:rPr>
        <w:t>derecho fundamental exime a quien lo ejerce</w:t>
      </w:r>
      <w:r w:rsidRPr="00AB76A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07DC4" w:rsidRPr="00AB76AB" w:rsidRDefault="00C07DC4" w:rsidP="00C07DC4">
      <w:pPr>
        <w:pStyle w:val="Prrafodelista"/>
        <w:spacing w:line="360" w:lineRule="auto"/>
        <w:ind w:left="0"/>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053FB7">
      <w:pPr>
        <w:spacing w:line="360" w:lineRule="auto"/>
        <w:ind w:left="567" w:right="616"/>
        <w:jc w:val="both"/>
        <w:rPr>
          <w:rFonts w:ascii="Palatino Linotype" w:eastAsia="Palatino Linotype" w:hAnsi="Palatino Linotype" w:cs="Palatino Linotype"/>
          <w:i/>
        </w:rPr>
      </w:pPr>
      <w:r w:rsidRPr="00AB76AB">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w:t>
      </w:r>
      <w:r w:rsidRPr="00AB76AB">
        <w:rPr>
          <w:rFonts w:ascii="Palatino Linotype" w:eastAsia="Palatino Linotype" w:hAnsi="Palatino Linotype" w:cs="Palatino Linotype"/>
          <w:i/>
        </w:rPr>
        <w:lastRenderedPageBreak/>
        <w:t>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En consecuencia, dado lo expuesto y fundado con anterioridad, se estima que el requisito relativo al nombre del </w:t>
      </w:r>
      <w:r w:rsidRPr="00AB76AB">
        <w:rPr>
          <w:rFonts w:ascii="Palatino Linotype" w:eastAsia="Palatino Linotype" w:hAnsi="Palatino Linotype" w:cs="Palatino Linotype"/>
          <w:b/>
        </w:rPr>
        <w:t>RECURRENTE</w:t>
      </w:r>
      <w:r w:rsidRPr="00AB76A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74110E" w:rsidRDefault="0074110E" w:rsidP="0074110E">
      <w:pPr>
        <w:pStyle w:val="Prrafodelista"/>
        <w:rPr>
          <w:rFonts w:ascii="Palatino Linotype" w:eastAsia="Calibri" w:hAnsi="Palatino Linotype" w:cs="Arial"/>
        </w:rPr>
      </w:pPr>
    </w:p>
    <w:p w:rsidR="009F09BC" w:rsidRPr="00CF0D2B" w:rsidRDefault="009F09BC" w:rsidP="00CF0D2B">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00CF0D2B">
        <w:rPr>
          <w:rFonts w:ascii="Palatino Linotype" w:eastAsia="Calibri" w:hAnsi="Palatino Linotype" w:cs="Arial"/>
        </w:rPr>
        <w:t>e</w:t>
      </w:r>
      <w:r w:rsidRPr="00D707F7">
        <w:rPr>
          <w:rFonts w:ascii="Palatino Linotype" w:eastAsia="Calibri" w:hAnsi="Palatino Linotype" w:cs="Arial"/>
        </w:rPr>
        <w:t xml:space="preserve">l escrito contiene las formalidades previstas por el artículo 180 último párrafo de la Ley de la materia actual, por lo que es procedente que este Instituto de Transparencia, Acceso a la Información Pública y Protección de Datos </w:t>
      </w:r>
      <w:r w:rsidRPr="00D707F7">
        <w:rPr>
          <w:rFonts w:ascii="Palatino Linotype" w:eastAsia="Calibri" w:hAnsi="Palatino Linotype" w:cs="Arial"/>
        </w:rPr>
        <w:lastRenderedPageBreak/>
        <w:t>Personales del Estado de México y Municipios, conozca y resuelva el presente recurso.</w:t>
      </w:r>
    </w:p>
    <w:p w:rsidR="00CF0D2B" w:rsidRPr="007142AB" w:rsidRDefault="00CF0D2B" w:rsidP="007142AB">
      <w:pPr>
        <w:rPr>
          <w:rFonts w:ascii="Palatino Linotype" w:hAnsi="Palatino Linotype"/>
        </w:rPr>
      </w:pPr>
    </w:p>
    <w:p w:rsidR="009F09BC" w:rsidRPr="009F09BC" w:rsidRDefault="009F09BC" w:rsidP="00CF0D2B">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9F09BC">
        <w:rPr>
          <w:rFonts w:ascii="Palatino Linotype" w:hAnsi="Palatino Linotype"/>
          <w:b/>
          <w:color w:val="000000" w:themeColor="text1"/>
          <w:sz w:val="24"/>
          <w:szCs w:val="24"/>
        </w:rPr>
        <w:t xml:space="preserve">TERCERO. </w:t>
      </w:r>
      <w:bookmarkStart w:id="144"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40"/>
      <w:bookmarkEnd w:id="141"/>
      <w:bookmarkEnd w:id="142"/>
      <w:bookmarkEnd w:id="143"/>
      <w:bookmarkEnd w:id="144"/>
    </w:p>
    <w:p w:rsidR="009F09BC" w:rsidRPr="00D707F7" w:rsidRDefault="009F09BC" w:rsidP="009F09BC">
      <w:pPr>
        <w:rPr>
          <w:lang w:val="es-MX" w:eastAsia="en-US"/>
        </w:rPr>
      </w:pPr>
    </w:p>
    <w:p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sidR="00AD63B4">
        <w:rPr>
          <w:rFonts w:ascii="Palatino Linotype" w:hAnsi="Palatino Linotype" w:cs="Arial"/>
        </w:rPr>
        <w:t xml:space="preserve">tener acceso, a la </w:t>
      </w:r>
      <w:r>
        <w:rPr>
          <w:rFonts w:ascii="Palatino Linotype" w:hAnsi="Palatino Linotype" w:cs="Arial"/>
        </w:rPr>
        <w:t>información que a continuación se desagrega:</w:t>
      </w:r>
    </w:p>
    <w:p w:rsidR="009F09BC" w:rsidRDefault="009F09BC" w:rsidP="009F09BC">
      <w:pPr>
        <w:pStyle w:val="Prrafodelista"/>
        <w:spacing w:line="360" w:lineRule="auto"/>
        <w:ind w:left="0"/>
        <w:jc w:val="both"/>
        <w:rPr>
          <w:rFonts w:ascii="Palatino Linotype" w:hAnsi="Palatino Linotype" w:cs="Arial"/>
        </w:rPr>
      </w:pPr>
    </w:p>
    <w:p w:rsidR="00EB1DB3" w:rsidRPr="00EB1DB3" w:rsidRDefault="00EB1DB3" w:rsidP="00EB1DB3">
      <w:pPr>
        <w:pStyle w:val="Prrafodelista"/>
        <w:numPr>
          <w:ilvl w:val="1"/>
          <w:numId w:val="27"/>
        </w:numPr>
        <w:spacing w:line="360" w:lineRule="auto"/>
        <w:ind w:left="709"/>
        <w:jc w:val="both"/>
        <w:rPr>
          <w:rFonts w:ascii="Palatino Linotype" w:hAnsi="Palatino Linotype" w:cs="Arial"/>
        </w:rPr>
      </w:pPr>
      <w:r>
        <w:rPr>
          <w:rFonts w:ascii="Palatino Linotype" w:hAnsi="Palatino Linotype" w:cs="Arial"/>
          <w:b/>
        </w:rPr>
        <w:t>D</w:t>
      </w:r>
      <w:r w:rsidRPr="00EB1DB3">
        <w:rPr>
          <w:rFonts w:ascii="Palatino Linotype" w:hAnsi="Palatino Linotype" w:cs="Arial"/>
          <w:b/>
        </w:rPr>
        <w:t>el programa 02020601 Modernización de los Servicios Comunales, en específico del proyecto con terminación 0201 "Abasto Social de Productos Básicos</w:t>
      </w:r>
      <w:r>
        <w:rPr>
          <w:rFonts w:ascii="Palatino Linotype" w:hAnsi="Palatino Linotype" w:cs="Arial"/>
          <w:b/>
        </w:rPr>
        <w:t>, la siguiente información:</w:t>
      </w:r>
      <w:r w:rsidRPr="00EB1DB3">
        <w:rPr>
          <w:rFonts w:ascii="Palatino Linotype" w:hAnsi="Palatino Linotype" w:cs="Arial"/>
          <w:b/>
        </w:rPr>
        <w:t xml:space="preserve"> </w:t>
      </w:r>
      <w:r w:rsidR="00D34651">
        <w:rPr>
          <w:rFonts w:ascii="Palatino Linotype" w:hAnsi="Palatino Linotype" w:cs="Arial"/>
          <w:b/>
        </w:rPr>
        <w:t xml:space="preserve">nombre del lugar y </w:t>
      </w:r>
      <w:r w:rsidRPr="00EB1DB3">
        <w:rPr>
          <w:rFonts w:ascii="Palatino Linotype" w:hAnsi="Palatino Linotype" w:cs="Arial"/>
          <w:b/>
        </w:rPr>
        <w:t xml:space="preserve">evidencia fotográfica de los </w:t>
      </w:r>
      <w:r>
        <w:rPr>
          <w:rFonts w:ascii="Palatino Linotype" w:hAnsi="Palatino Linotype" w:cs="Arial"/>
          <w:b/>
        </w:rPr>
        <w:t>e</w:t>
      </w:r>
      <w:r w:rsidRPr="00EB1DB3">
        <w:rPr>
          <w:rFonts w:ascii="Palatino Linotype" w:hAnsi="Palatino Linotype" w:cs="Arial"/>
          <w:b/>
        </w:rPr>
        <w:t xml:space="preserve">spacios </w:t>
      </w:r>
      <w:r>
        <w:rPr>
          <w:rFonts w:ascii="Palatino Linotype" w:hAnsi="Palatino Linotype" w:cs="Arial"/>
          <w:b/>
        </w:rPr>
        <w:t>p</w:t>
      </w:r>
      <w:r w:rsidRPr="00EB1DB3">
        <w:rPr>
          <w:rFonts w:ascii="Palatino Linotype" w:hAnsi="Palatino Linotype" w:cs="Arial"/>
          <w:b/>
        </w:rPr>
        <w:t xml:space="preserve">úblicos adoptados </w:t>
      </w:r>
      <w:r w:rsidR="00D34651">
        <w:rPr>
          <w:rFonts w:ascii="Palatino Linotype" w:hAnsi="Palatino Linotype" w:cs="Arial"/>
          <w:b/>
        </w:rPr>
        <w:t xml:space="preserve">de </w:t>
      </w:r>
      <w:r>
        <w:rPr>
          <w:rFonts w:ascii="Palatino Linotype" w:hAnsi="Palatino Linotype" w:cs="Arial"/>
          <w:b/>
        </w:rPr>
        <w:t>los años</w:t>
      </w:r>
      <w:r w:rsidRPr="00EB1DB3">
        <w:rPr>
          <w:rFonts w:ascii="Palatino Linotype" w:hAnsi="Palatino Linotype" w:cs="Arial"/>
          <w:b/>
        </w:rPr>
        <w:t xml:space="preserve"> 2019</w:t>
      </w:r>
      <w:r>
        <w:rPr>
          <w:rFonts w:ascii="Palatino Linotype" w:hAnsi="Palatino Linotype" w:cs="Arial"/>
          <w:b/>
        </w:rPr>
        <w:t xml:space="preserve"> a</w:t>
      </w:r>
      <w:r w:rsidRPr="00EB1DB3">
        <w:rPr>
          <w:rFonts w:ascii="Palatino Linotype" w:hAnsi="Palatino Linotype" w:cs="Arial"/>
          <w:b/>
        </w:rPr>
        <w:t xml:space="preserve"> 2021</w:t>
      </w:r>
      <w:r>
        <w:rPr>
          <w:rFonts w:ascii="Palatino Linotype" w:hAnsi="Palatino Linotype" w:cs="Arial"/>
          <w:b/>
        </w:rPr>
        <w:t>;</w:t>
      </w:r>
    </w:p>
    <w:p w:rsidR="007142D6" w:rsidRPr="001352F1" w:rsidRDefault="007142D6" w:rsidP="007142D6">
      <w:pPr>
        <w:pStyle w:val="Prrafodelista"/>
        <w:spacing w:line="360" w:lineRule="auto"/>
        <w:ind w:left="709"/>
        <w:jc w:val="both"/>
        <w:rPr>
          <w:rFonts w:ascii="Palatino Linotype" w:hAnsi="Palatino Linotype" w:cs="Arial"/>
        </w:rPr>
      </w:pPr>
    </w:p>
    <w:p w:rsidR="009F09BC" w:rsidRDefault="00D34651"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E</w:t>
      </w:r>
      <w:r w:rsidR="000F1081">
        <w:rPr>
          <w:rFonts w:ascii="Palatino Linotype" w:hAnsi="Palatino Linotype" w:cs="Arial"/>
        </w:rPr>
        <w:t xml:space="preserve">l </w:t>
      </w:r>
      <w:r w:rsidR="000F1081">
        <w:rPr>
          <w:rFonts w:ascii="Palatino Linotype" w:hAnsi="Palatino Linotype" w:cs="Arial"/>
          <w:b/>
        </w:rPr>
        <w:t xml:space="preserve">SUJETO OBLIGADO </w:t>
      </w:r>
      <w:r>
        <w:rPr>
          <w:rFonts w:ascii="Palatino Linotype" w:hAnsi="Palatino Linotype" w:cs="Arial"/>
        </w:rPr>
        <w:t xml:space="preserve">fue omiso en responder la solicitud de información, inconforme con la falta de respuesta, </w:t>
      </w:r>
      <w:r w:rsidR="009F09BC">
        <w:rPr>
          <w:rFonts w:ascii="Palatino Linotype" w:hAnsi="Palatino Linotype" w:cs="Arial"/>
          <w:b/>
        </w:rPr>
        <w:t>EL</w:t>
      </w:r>
      <w:r w:rsidR="009F09BC" w:rsidRPr="001C0EB3">
        <w:rPr>
          <w:rFonts w:ascii="Palatino Linotype" w:hAnsi="Palatino Linotype" w:cs="Arial"/>
          <w:b/>
        </w:rPr>
        <w:t xml:space="preserve"> PARTICULAR</w:t>
      </w:r>
      <w:r w:rsidR="009F09BC" w:rsidRPr="00B538F7">
        <w:rPr>
          <w:rFonts w:ascii="Palatino Linotype" w:hAnsi="Palatino Linotype" w:cs="Arial"/>
          <w:b/>
        </w:rPr>
        <w:t xml:space="preserve"> </w:t>
      </w:r>
      <w:r>
        <w:rPr>
          <w:rFonts w:ascii="Palatino Linotype" w:hAnsi="Palatino Linotype" w:cs="Arial"/>
        </w:rPr>
        <w:t>interpuso recurso de revisión, en el que</w:t>
      </w:r>
      <w:r w:rsidR="009F09BC" w:rsidRPr="00B538F7">
        <w:rPr>
          <w:rFonts w:ascii="Palatino Linotype" w:hAnsi="Palatino Linotype" w:cs="Arial"/>
        </w:rPr>
        <w:t xml:space="preserve"> </w:t>
      </w:r>
      <w:r w:rsidR="00CF0D2B" w:rsidRPr="00CF0D2B">
        <w:rPr>
          <w:rFonts w:ascii="Palatino Linotype" w:hAnsi="Palatino Linotype" w:cs="Arial"/>
          <w:i/>
        </w:rPr>
        <w:t>grosso modo</w:t>
      </w:r>
      <w:r w:rsidR="00CF0D2B">
        <w:rPr>
          <w:rFonts w:ascii="Palatino Linotype" w:hAnsi="Palatino Linotype" w:cs="Arial"/>
        </w:rPr>
        <w:t xml:space="preserve"> </w:t>
      </w:r>
      <w:r>
        <w:rPr>
          <w:rFonts w:ascii="Palatino Linotype" w:hAnsi="Palatino Linotype" w:cs="Arial"/>
        </w:rPr>
        <w:t>expuso como motivo de inconformidad, la falta de respuesta</w:t>
      </w:r>
      <w:r w:rsidR="00C41E57">
        <w:rPr>
          <w:rFonts w:ascii="Palatino Linotype" w:hAnsi="Palatino Linotype" w:cs="Arial"/>
        </w:rPr>
        <w:t>.</w:t>
      </w:r>
    </w:p>
    <w:p w:rsidR="0074110E" w:rsidRPr="00E80900" w:rsidRDefault="0074110E" w:rsidP="0074110E">
      <w:pPr>
        <w:spacing w:line="360" w:lineRule="auto"/>
        <w:contextualSpacing/>
        <w:jc w:val="both"/>
        <w:rPr>
          <w:rFonts w:ascii="Palatino Linotype" w:hAnsi="Palatino Linotype" w:cs="Arial"/>
        </w:rPr>
      </w:pPr>
    </w:p>
    <w:p w:rsidR="00D34651" w:rsidRPr="00043763" w:rsidRDefault="009F09BC" w:rsidP="00D34651">
      <w:pPr>
        <w:numPr>
          <w:ilvl w:val="0"/>
          <w:numId w:val="15"/>
        </w:numPr>
        <w:tabs>
          <w:tab w:val="left" w:pos="426"/>
        </w:tabs>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007142AB">
        <w:rPr>
          <w:rFonts w:ascii="Palatino Linotype" w:eastAsia="MS Mincho" w:hAnsi="Palatino Linotype" w:cs="Arial"/>
        </w:rPr>
        <w:t>se actualiza</w:t>
      </w:r>
      <w:r w:rsidRPr="00B0510D">
        <w:rPr>
          <w:rFonts w:ascii="Palatino Linotype" w:eastAsia="MS Mincho" w:hAnsi="Palatino Linotype" w:cs="Arial"/>
        </w:rPr>
        <w:t xml:space="preserve"> la causal de procedencia prevista en el artículo 179, </w:t>
      </w:r>
      <w:r w:rsidRPr="005B6702">
        <w:rPr>
          <w:rFonts w:ascii="Palatino Linotype" w:eastAsia="MS Mincho" w:hAnsi="Palatino Linotype" w:cs="Arial"/>
          <w:b/>
        </w:rPr>
        <w:t xml:space="preserve">fracción </w:t>
      </w:r>
      <w:r w:rsidR="007142AB" w:rsidRPr="005B6702">
        <w:rPr>
          <w:rFonts w:ascii="Palatino Linotype" w:eastAsia="MS Mincho" w:hAnsi="Palatino Linotype" w:cs="Arial"/>
          <w:b/>
        </w:rPr>
        <w:t>V</w:t>
      </w:r>
      <w:r w:rsidR="00C41E57">
        <w:rPr>
          <w:rFonts w:ascii="Palatino Linotype" w:eastAsia="MS Mincho" w:hAnsi="Palatino Linotype" w:cs="Arial"/>
          <w:b/>
        </w:rPr>
        <w:t>I</w:t>
      </w:r>
      <w:r w:rsidR="00D34651">
        <w:rPr>
          <w:rFonts w:ascii="Palatino Linotype" w:eastAsia="MS Mincho" w:hAnsi="Palatino Linotype" w:cs="Arial"/>
          <w:b/>
        </w:rPr>
        <w:t>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00D34651" w:rsidRPr="00676142">
        <w:rPr>
          <w:rFonts w:ascii="Palatino Linotype" w:hAnsi="Palatino Linotype" w:cs="Arial"/>
          <w:color w:val="000000" w:themeColor="text1"/>
          <w:lang w:val="es-ES"/>
        </w:rPr>
        <w:t xml:space="preserve">fracción que determina la hipótesis jurídica relativa a la falta de respuesta a una solicitud de acceso a la información; </w:t>
      </w:r>
      <w:r w:rsidR="00D34651">
        <w:rPr>
          <w:rFonts w:ascii="Palatino Linotype" w:eastAsia="MS Mincho" w:hAnsi="Palatino Linotype" w:cs="Arial"/>
        </w:rPr>
        <w:t xml:space="preserve">contexto del cual se dolió </w:t>
      </w:r>
      <w:r w:rsidR="009C6601" w:rsidRPr="00086319">
        <w:rPr>
          <w:rFonts w:ascii="Palatino Linotype" w:eastAsia="MS Mincho" w:hAnsi="Palatino Linotype" w:cs="Arial"/>
          <w:b/>
        </w:rPr>
        <w:t>EL RECURRENTE</w:t>
      </w:r>
      <w:r w:rsidR="00D34651" w:rsidRPr="00676142">
        <w:rPr>
          <w:rFonts w:ascii="Palatino Linotype" w:eastAsia="MS Mincho" w:hAnsi="Palatino Linotype" w:cs="Arial"/>
        </w:rPr>
        <w:t xml:space="preserve"> al momento de interp</w:t>
      </w:r>
      <w:r w:rsidR="00D34651">
        <w:rPr>
          <w:rFonts w:ascii="Palatino Linotype" w:eastAsia="MS Mincho" w:hAnsi="Palatino Linotype" w:cs="Arial"/>
        </w:rPr>
        <w:t xml:space="preserve">oner </w:t>
      </w:r>
      <w:r w:rsidR="00D34651" w:rsidRPr="00676142">
        <w:rPr>
          <w:rFonts w:ascii="Palatino Linotype" w:eastAsia="MS Mincho" w:hAnsi="Palatino Linotype" w:cs="Arial"/>
        </w:rPr>
        <w:t>s</w:t>
      </w:r>
      <w:r w:rsidR="00D34651">
        <w:rPr>
          <w:rFonts w:ascii="Palatino Linotype" w:eastAsia="MS Mincho" w:hAnsi="Palatino Linotype" w:cs="Arial"/>
        </w:rPr>
        <w:t>u recurso</w:t>
      </w:r>
      <w:r w:rsidR="00D34651" w:rsidRPr="00676142">
        <w:rPr>
          <w:rFonts w:ascii="Palatino Linotype" w:eastAsia="MS Mincho" w:hAnsi="Palatino Linotype" w:cs="Arial"/>
        </w:rPr>
        <w:t xml:space="preserve"> de revisión</w:t>
      </w:r>
      <w:r w:rsidR="00D34651" w:rsidRPr="00676142">
        <w:rPr>
          <w:rFonts w:ascii="Palatino Linotype" w:hAnsi="Palatino Linotype" w:cs="Arial"/>
          <w:color w:val="000000" w:themeColor="text1"/>
          <w:lang w:val="es-ES"/>
        </w:rPr>
        <w:t>; asimismo, determinar si se vulnera el derecho de acceso a la información d</w:t>
      </w:r>
      <w:r w:rsidR="00D34651">
        <w:rPr>
          <w:rFonts w:ascii="Palatino Linotype" w:hAnsi="Palatino Linotype" w:cs="Arial"/>
          <w:color w:val="000000" w:themeColor="text1"/>
          <w:lang w:val="es-ES"/>
        </w:rPr>
        <w:t>e la particular</w:t>
      </w:r>
      <w:r w:rsidR="00D34651" w:rsidRPr="00676142">
        <w:rPr>
          <w:rFonts w:ascii="Palatino Linotype" w:hAnsi="Palatino Linotype" w:cs="Arial"/>
          <w:color w:val="000000" w:themeColor="text1"/>
          <w:lang w:val="es-ES"/>
        </w:rPr>
        <w:t xml:space="preserve"> por la inobservancia a los principios contenidos en el artículo 11 de </w:t>
      </w:r>
      <w:r w:rsidR="00D34651" w:rsidRPr="00676142">
        <w:rPr>
          <w:rFonts w:ascii="Palatino Linotype" w:hAnsi="Palatino Linotype" w:cs="Arial"/>
          <w:color w:val="000000" w:themeColor="text1"/>
          <w:lang w:val="es-ES"/>
        </w:rPr>
        <w:lastRenderedPageBreak/>
        <w:t xml:space="preserve">la Ley de Transparencia y Acceso a la Información Pública del Estado de México y Municipios, los cuales señala entre otros, que en la generación y entrega de información se deberá garantizar que sea oportuna, </w:t>
      </w:r>
      <w:r w:rsidR="00D34651">
        <w:rPr>
          <w:rFonts w:ascii="Palatino Linotype" w:hAnsi="Palatino Linotype" w:cs="Arial"/>
          <w:color w:val="000000" w:themeColor="text1"/>
          <w:lang w:val="es-ES"/>
        </w:rPr>
        <w:t xml:space="preserve">expedita, </w:t>
      </w:r>
      <w:r w:rsidR="00D34651" w:rsidRPr="00676142">
        <w:rPr>
          <w:rFonts w:ascii="Palatino Linotype" w:hAnsi="Palatino Linotype" w:cs="Arial"/>
          <w:color w:val="000000" w:themeColor="text1"/>
          <w:lang w:val="es-ES"/>
        </w:rPr>
        <w:t>completa e integral.</w:t>
      </w:r>
    </w:p>
    <w:p w:rsidR="009F09BC" w:rsidRPr="00D34651" w:rsidRDefault="009F09BC" w:rsidP="00D34651">
      <w:pPr>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1B0CE4">
        <w:rPr>
          <w:rFonts w:ascii="Palatino Linotype" w:hAnsi="Palatino Linotype"/>
          <w:b/>
          <w:color w:val="000000" w:themeColor="text1"/>
          <w:sz w:val="24"/>
          <w:szCs w:val="24"/>
        </w:rPr>
        <w:t>CUARTO. Del estudio y resolución del asunto.</w:t>
      </w:r>
      <w:bookmarkEnd w:id="145"/>
      <w:bookmarkEnd w:id="146"/>
      <w:bookmarkEnd w:id="147"/>
      <w:bookmarkEnd w:id="148"/>
      <w:bookmarkEnd w:id="149"/>
    </w:p>
    <w:p w:rsidR="009F09BC" w:rsidRDefault="009F09BC" w:rsidP="009F09BC">
      <w:pPr>
        <w:spacing w:line="360" w:lineRule="auto"/>
        <w:rPr>
          <w:rFonts w:ascii="Palatino Linotype" w:hAnsi="Palatino Linotype"/>
          <w:lang w:val="es-MX" w:eastAsia="en-US"/>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Acotada la </w:t>
      </w:r>
      <w:r w:rsidRPr="005B6702">
        <w:rPr>
          <w:rFonts w:ascii="Palatino Linotype" w:hAnsi="Palatino Linotype"/>
          <w:i/>
          <w:color w:val="000000" w:themeColor="text1"/>
        </w:rPr>
        <w:t>Litis</w:t>
      </w:r>
      <w:r>
        <w:rPr>
          <w:rFonts w:ascii="Palatino Linotype" w:hAnsi="Palatino Linotype"/>
          <w:color w:val="000000" w:themeColor="text1"/>
        </w:rPr>
        <w:t xml:space="preserve"> del presente asunto, 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w:t>
      </w:r>
      <w:r w:rsidRPr="005B6702">
        <w:rPr>
          <w:rFonts w:ascii="Palatino Linotype" w:hAnsi="Palatino Linotype"/>
          <w:lang w:val="es-MX" w:eastAsia="en-US"/>
        </w:rPr>
        <w:t>Convención</w:t>
      </w:r>
      <w:r w:rsidRPr="00DA2D95">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rsidR="005B6702" w:rsidRPr="0055159A" w:rsidRDefault="005B6702" w:rsidP="005B6702">
      <w:pPr>
        <w:pStyle w:val="Prrafodelista"/>
        <w:spacing w:line="360" w:lineRule="auto"/>
        <w:ind w:left="0"/>
        <w:jc w:val="both"/>
        <w:rPr>
          <w:rFonts w:ascii="Palatino Linotype" w:hAnsi="Palatino Linotype"/>
          <w:color w:val="000000" w:themeColor="text1"/>
        </w:rPr>
      </w:pPr>
    </w:p>
    <w:p w:rsidR="005B6702" w:rsidRPr="0037157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w:t>
      </w:r>
      <w:r w:rsidRPr="005B6702">
        <w:rPr>
          <w:rFonts w:ascii="Palatino Linotype" w:hAnsi="Palatino Linotype"/>
          <w:color w:val="000000" w:themeColor="text1"/>
        </w:rPr>
        <w:t>consecuencia</w:t>
      </w:r>
      <w:r w:rsidRPr="00DA2D95">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901F7F" w:rsidRDefault="0037157C" w:rsidP="00901F7F">
      <w:pPr>
        <w:rPr>
          <w:rFonts w:ascii="Palatino Linotype" w:hAnsi="Palatino Linotype"/>
          <w:color w:val="000000" w:themeColor="text1"/>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 xml:space="preserve">en posesión de </w:t>
      </w:r>
      <w:r w:rsidRPr="005B6702">
        <w:rPr>
          <w:rFonts w:ascii="Palatino Linotype" w:hAnsi="Palatino Linotype"/>
          <w:color w:val="000000" w:themeColor="text1"/>
        </w:rPr>
        <w:t>cualquier</w:t>
      </w:r>
      <w:r w:rsidRPr="00DA2D95">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736D1C" w:rsidRDefault="005B6702" w:rsidP="005B6702">
      <w:pPr>
        <w:pStyle w:val="Prrafodelista"/>
        <w:rPr>
          <w:rFonts w:ascii="Palatino Linotype" w:hAnsi="Palatino Linotype"/>
          <w:color w:val="000000" w:themeColor="text1"/>
        </w:rPr>
      </w:pPr>
    </w:p>
    <w:p w:rsidR="005B6702" w:rsidRPr="005B6702"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w:t>
      </w:r>
      <w:r w:rsidRPr="0055159A">
        <w:rPr>
          <w:rFonts w:ascii="Palatino Linotype" w:hAnsi="Palatino Linotype"/>
          <w:color w:val="000000" w:themeColor="text1"/>
          <w:lang w:val="es-MX"/>
        </w:rPr>
        <w:lastRenderedPageBreak/>
        <w:t>posible afectación y, de ser el caso, ordenar la reparación a la violación del derecho en cuestión.</w:t>
      </w:r>
    </w:p>
    <w:p w:rsidR="005B6702" w:rsidRDefault="005B6702" w:rsidP="005B6702">
      <w:pPr>
        <w:pStyle w:val="Prrafodelista"/>
        <w:rPr>
          <w:rFonts w:ascii="Palatino Linotype" w:hAnsi="Palatino Linotype"/>
          <w:color w:val="000000" w:themeColor="text1"/>
        </w:rPr>
      </w:pPr>
    </w:p>
    <w:p w:rsidR="00122A89" w:rsidRPr="00122A89" w:rsidRDefault="005B6702" w:rsidP="00122A89">
      <w:pPr>
        <w:numPr>
          <w:ilvl w:val="0"/>
          <w:numId w:val="15"/>
        </w:numPr>
        <w:spacing w:line="360" w:lineRule="auto"/>
        <w:ind w:left="0" w:firstLine="0"/>
        <w:contextualSpacing/>
        <w:jc w:val="both"/>
        <w:rPr>
          <w:rFonts w:ascii="Times New Roman" w:eastAsia="Times New Roman" w:hAnsi="Times New Roman" w:cs="Times New Roman"/>
          <w:lang w:val="es-ES"/>
        </w:rPr>
      </w:pPr>
      <w:r w:rsidRPr="002B37D1">
        <w:rPr>
          <w:rFonts w:ascii="Palatino Linotype" w:hAnsi="Palatino Linotype"/>
          <w:color w:val="000000" w:themeColor="text1"/>
        </w:rPr>
        <w:t xml:space="preserve">Ahora bien, recordar que </w:t>
      </w:r>
      <w:r w:rsidR="002453DA" w:rsidRPr="002B37D1">
        <w:rPr>
          <w:rFonts w:ascii="Palatino Linotype" w:hAnsi="Palatino Linotype"/>
          <w:color w:val="000000" w:themeColor="text1"/>
        </w:rPr>
        <w:t>el Ayuntamiento</w:t>
      </w:r>
      <w:r w:rsidR="00652937" w:rsidRPr="002B37D1">
        <w:rPr>
          <w:rFonts w:ascii="Palatino Linotype" w:hAnsi="Palatino Linotype"/>
          <w:color w:val="000000" w:themeColor="text1"/>
        </w:rPr>
        <w:t xml:space="preserve"> de </w:t>
      </w:r>
      <w:r w:rsidR="003204E5" w:rsidRPr="002B37D1">
        <w:rPr>
          <w:rFonts w:ascii="Palatino Linotype" w:hAnsi="Palatino Linotype"/>
          <w:color w:val="000000" w:themeColor="text1"/>
        </w:rPr>
        <w:t>Ecatepec de Morelos</w:t>
      </w:r>
      <w:r w:rsidRPr="002B37D1">
        <w:rPr>
          <w:rFonts w:ascii="Palatino Linotype" w:hAnsi="Palatino Linotype"/>
          <w:color w:val="000000" w:themeColor="text1"/>
        </w:rPr>
        <w:t xml:space="preserve">, </w:t>
      </w:r>
      <w:r w:rsidR="00047B78" w:rsidRPr="002B37D1">
        <w:rPr>
          <w:rFonts w:ascii="Palatino Linotype" w:hAnsi="Palatino Linotype"/>
          <w:color w:val="000000" w:themeColor="text1"/>
        </w:rPr>
        <w:t>fue omiso</w:t>
      </w:r>
      <w:r w:rsidR="00047B78">
        <w:rPr>
          <w:rFonts w:ascii="Palatino Linotype" w:hAnsi="Palatino Linotype"/>
          <w:color w:val="000000" w:themeColor="text1"/>
        </w:rPr>
        <w:t xml:space="preserve"> en emitir una respuesta a la solicitud de información</w:t>
      </w:r>
      <w:r w:rsidR="00122A89" w:rsidRPr="0090251A">
        <w:rPr>
          <w:rFonts w:ascii="Palatino Linotype" w:eastAsia="Times New Roman" w:hAnsi="Palatino Linotype" w:cs="Arial"/>
          <w:lang w:eastAsia="es-MX"/>
        </w:rPr>
        <w:t xml:space="preserve">, por lo que se advierte que los motivos aducidos por el recurrente, resultan fundados pues efectivamente transcurrió el plazo para dar respuesta determinado por la Ley de la Materia, sin que el Sujeto Obligado atendiera la solicitud de información; por lo tanto, es evidente que se vulneró su derecho constitucional de acceso a la información pública </w:t>
      </w:r>
      <w:r w:rsidR="00122A89" w:rsidRPr="0090251A">
        <w:rPr>
          <w:rFonts w:ascii="Palatino Linotype" w:eastAsia="Times New Roman" w:hAnsi="Palatino Linotype" w:cs="Times New Roman"/>
          <w:lang w:eastAsia="es-MX"/>
        </w:rPr>
        <w:t>previsto en el artículo 6 de la Constitución Política de los Estados Unidos Mexicanos y el artículo 5 de la Constitución Política del Estado Libre y Soberano de México</w:t>
      </w:r>
      <w:r w:rsidR="00122A89" w:rsidRPr="0090251A">
        <w:rPr>
          <w:rFonts w:ascii="Palatino Linotype" w:eastAsia="Times New Roman" w:hAnsi="Palatino Linotype" w:cs="Arial"/>
          <w:lang w:eastAsia="es-MX"/>
        </w:rPr>
        <w:t>.</w:t>
      </w:r>
    </w:p>
    <w:p w:rsidR="00122A89" w:rsidRDefault="00122A89" w:rsidP="00122A89">
      <w:pPr>
        <w:pStyle w:val="Prrafodelista"/>
        <w:rPr>
          <w:rFonts w:ascii="Times New Roman" w:eastAsia="Times New Roman" w:hAnsi="Times New Roman" w:cs="Times New Roman"/>
          <w:lang w:val="es-ES"/>
        </w:rPr>
      </w:pPr>
    </w:p>
    <w:p w:rsidR="00122A89" w:rsidRDefault="00122A89" w:rsidP="00CB66B0">
      <w:pPr>
        <w:numPr>
          <w:ilvl w:val="0"/>
          <w:numId w:val="15"/>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Times New Roman"/>
          <w:lang w:eastAsia="es-MX"/>
        </w:rPr>
        <w:t>Ahora bien, d</w:t>
      </w:r>
      <w:r w:rsidRPr="00A530DB">
        <w:rPr>
          <w:rFonts w:ascii="Palatino Linotype" w:eastAsia="Times New Roman" w:hAnsi="Palatino Linotype" w:cs="Times New Roman"/>
          <w:lang w:eastAsia="es-MX"/>
        </w:rPr>
        <w:t xml:space="preserve">e la revisión a las constancias </w:t>
      </w:r>
      <w:r w:rsidRPr="00A530DB">
        <w:rPr>
          <w:rFonts w:ascii="Palatino Linotype" w:eastAsia="Times New Roman" w:hAnsi="Palatino Linotype" w:cs="Arial"/>
          <w:lang w:eastAsia="es-MX"/>
        </w:rPr>
        <w:t xml:space="preserve">que integran el expediente electrónico del </w:t>
      </w:r>
      <w:r w:rsidRPr="00122A89">
        <w:rPr>
          <w:rFonts w:ascii="Palatino Linotype" w:eastAsia="Times New Roman" w:hAnsi="Palatino Linotype" w:cs="Arial"/>
          <w:b/>
          <w:lang w:eastAsia="es-MX"/>
        </w:rPr>
        <w:t>SAIMEX</w:t>
      </w:r>
      <w:r w:rsidRPr="00A530DB">
        <w:rPr>
          <w:rFonts w:ascii="Palatino Linotype" w:eastAsia="Times New Roman" w:hAnsi="Palatino Linotype" w:cs="Arial"/>
          <w:lang w:eastAsia="es-MX"/>
        </w:rPr>
        <w:t>, s</w:t>
      </w:r>
      <w:r>
        <w:rPr>
          <w:rFonts w:ascii="Palatino Linotype" w:eastAsia="Times New Roman" w:hAnsi="Palatino Linotype" w:cs="Arial"/>
          <w:lang w:eastAsia="es-MX"/>
        </w:rPr>
        <w:t>i bien ya se</w:t>
      </w:r>
      <w:r w:rsidRPr="00A530DB">
        <w:rPr>
          <w:rFonts w:ascii="Palatino Linotype" w:eastAsia="Times New Roman" w:hAnsi="Palatino Linotype" w:cs="Arial"/>
          <w:lang w:eastAsia="es-MX"/>
        </w:rPr>
        <w:t xml:space="preserve"> acredit</w:t>
      </w:r>
      <w:r>
        <w:rPr>
          <w:rFonts w:ascii="Palatino Linotype" w:eastAsia="Times New Roman" w:hAnsi="Palatino Linotype" w:cs="Arial"/>
          <w:lang w:eastAsia="es-MX"/>
        </w:rPr>
        <w:t>ó</w:t>
      </w:r>
      <w:r w:rsidRPr="00A530DB">
        <w:rPr>
          <w:rFonts w:ascii="Palatino Linotype" w:eastAsia="Times New Roman" w:hAnsi="Palatino Linotype" w:cs="Arial"/>
          <w:lang w:eastAsia="es-MX"/>
        </w:rPr>
        <w:t xml:space="preserve"> la falta de respuesta a la solicitud de </w:t>
      </w:r>
      <w:r w:rsidRPr="002B37D1">
        <w:rPr>
          <w:rFonts w:ascii="Palatino Linotype" w:hAnsi="Palatino Linotype"/>
          <w:color w:val="000000" w:themeColor="text1"/>
        </w:rPr>
        <w:t>información</w:t>
      </w:r>
      <w:r w:rsidRPr="002B37D1">
        <w:rPr>
          <w:rFonts w:ascii="Palatino Linotype" w:eastAsia="Times New Roman" w:hAnsi="Palatino Linotype" w:cs="Arial"/>
          <w:lang w:eastAsia="es-MX"/>
        </w:rPr>
        <w:t>,</w:t>
      </w:r>
      <w:r w:rsidRPr="00A530DB">
        <w:rPr>
          <w:rFonts w:ascii="Palatino Linotype" w:eastAsia="Times New Roman" w:hAnsi="Palatino Linotype" w:cs="Arial"/>
          <w:lang w:eastAsia="es-MX"/>
        </w:rPr>
        <w:t xml:space="preserve"> acción inconstitucional que vulnera el derecho de acceso </w:t>
      </w:r>
      <w:r>
        <w:rPr>
          <w:rFonts w:ascii="Palatino Linotype" w:eastAsia="Times New Roman" w:hAnsi="Palatino Linotype" w:cs="Arial"/>
          <w:lang w:eastAsia="es-MX"/>
        </w:rPr>
        <w:t xml:space="preserve">a la información del particular; también lo es que en un hecho posterior a la interposición del recurso de revisión como lo es la presentación del informe justificado, el </w:t>
      </w:r>
      <w:r>
        <w:rPr>
          <w:rFonts w:ascii="Palatino Linotype" w:eastAsia="Times New Roman" w:hAnsi="Palatino Linotype" w:cs="Arial"/>
          <w:b/>
          <w:lang w:eastAsia="es-MX"/>
        </w:rPr>
        <w:t>SUJETO OBLIGADO</w:t>
      </w:r>
      <w:r>
        <w:rPr>
          <w:rFonts w:ascii="Palatino Linotype" w:eastAsia="Times New Roman" w:hAnsi="Palatino Linotype" w:cs="Arial"/>
          <w:lang w:eastAsia="es-MX"/>
        </w:rPr>
        <w:t xml:space="preserve">, interrumpió su silencio administrativo, remitiendo </w:t>
      </w:r>
      <w:r w:rsidR="00CB66B0">
        <w:rPr>
          <w:rFonts w:ascii="Palatino Linotype" w:eastAsia="Times New Roman" w:hAnsi="Palatino Linotype" w:cs="Arial"/>
          <w:lang w:eastAsia="es-MX"/>
        </w:rPr>
        <w:t xml:space="preserve">dos escritos contenidos a su vez en el archivo electrónico denominado, </w:t>
      </w:r>
      <w:r w:rsidR="00CB66B0" w:rsidRPr="00CB66B0">
        <w:rPr>
          <w:rFonts w:ascii="Palatino Linotype" w:eastAsia="Times New Roman" w:hAnsi="Palatino Linotype" w:cs="Arial"/>
          <w:b/>
          <w:lang w:eastAsia="es-MX"/>
        </w:rPr>
        <w:t>RR.0863-2022.pdf</w:t>
      </w:r>
      <w:r w:rsidR="00CB66B0">
        <w:rPr>
          <w:rFonts w:ascii="Palatino Linotype" w:eastAsia="Times New Roman" w:hAnsi="Palatino Linotype" w:cs="Arial"/>
          <w:lang w:eastAsia="es-MX"/>
        </w:rPr>
        <w:t>, uno de ellos en los siguientes términos:</w:t>
      </w:r>
    </w:p>
    <w:p w:rsidR="00CB66B0" w:rsidRDefault="00D142C4" w:rsidP="00CB66B0">
      <w:pPr>
        <w:pStyle w:val="Prrafodelista"/>
        <w:rPr>
          <w:rFonts w:ascii="Palatino Linotype" w:eastAsia="Times New Roman" w:hAnsi="Palatino Linotype" w:cs="Arial"/>
          <w:lang w:eastAsia="es-MX"/>
        </w:rPr>
      </w:pPr>
      <w:r>
        <w:rPr>
          <w:rFonts w:ascii="Palatino Linotype" w:eastAsia="Times New Roman" w:hAnsi="Palatino Linotype" w:cs="Arial"/>
          <w:noProof/>
          <w:lang w:val="es-ES"/>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161925</wp:posOffset>
                </wp:positionV>
                <wp:extent cx="5531485" cy="1140460"/>
                <wp:effectExtent l="0" t="0" r="31115" b="21590"/>
                <wp:wrapNone/>
                <wp:docPr id="7" name="Conector recto 7"/>
                <wp:cNvGraphicFramePr/>
                <a:graphic xmlns:a="http://schemas.openxmlformats.org/drawingml/2006/main">
                  <a:graphicData uri="http://schemas.microsoft.com/office/word/2010/wordprocessingShape">
                    <wps:wsp>
                      <wps:cNvCnPr/>
                      <wps:spPr>
                        <a:xfrm>
                          <a:off x="0" y="0"/>
                          <a:ext cx="5531485" cy="11404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55300" id="Conector recto 7" o:spid="_x0000_s1026"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435.5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" strokecolor="black [3200]" strokeweight="1.5pt">
                <v:stroke joinstyle="miter"/>
                <w10:wrap anchorx="margin"/>
              </v:line>
            </w:pict>
          </mc:Fallback>
        </mc:AlternateContent>
      </w:r>
    </w:p>
    <w:p w:rsidR="00CB66B0" w:rsidRDefault="00086319" w:rsidP="00CB66B0">
      <w:pPr>
        <w:spacing w:line="360" w:lineRule="auto"/>
        <w:contextualSpacing/>
        <w:jc w:val="center"/>
        <w:rPr>
          <w:rFonts w:ascii="Palatino Linotype" w:eastAsia="Times New Roman" w:hAnsi="Palatino Linotype" w:cs="Arial"/>
          <w:lang w:eastAsia="es-MX"/>
        </w:rPr>
      </w:pPr>
      <w:r>
        <w:rPr>
          <w:rFonts w:ascii="Palatino Linotype" w:eastAsia="Times New Roman" w:hAnsi="Palatino Linotype" w:cs="Arial"/>
          <w:noProof/>
          <w:lang w:val="es-ES"/>
        </w:rPr>
        <w:lastRenderedPageBreak/>
        <w:drawing>
          <wp:inline distT="0" distB="0" distL="0" distR="0">
            <wp:extent cx="5329451" cy="5647420"/>
            <wp:effectExtent l="19050" t="19050" r="2413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724" cy="5653007"/>
                    </a:xfrm>
                    <a:prstGeom prst="rect">
                      <a:avLst/>
                    </a:prstGeom>
                    <a:noFill/>
                    <a:ln>
                      <a:solidFill>
                        <a:schemeClr val="tx1"/>
                      </a:solidFill>
                    </a:ln>
                  </pic:spPr>
                </pic:pic>
              </a:graphicData>
            </a:graphic>
          </wp:inline>
        </w:drawing>
      </w:r>
    </w:p>
    <w:p w:rsidR="00122A89" w:rsidRDefault="00122A89" w:rsidP="00122A89">
      <w:pPr>
        <w:pStyle w:val="Prrafodelista"/>
        <w:rPr>
          <w:rFonts w:ascii="Palatino Linotype" w:eastAsia="Times New Roman" w:hAnsi="Palatino Linotype" w:cs="Arial"/>
          <w:lang w:eastAsia="es-MX"/>
        </w:rPr>
      </w:pPr>
    </w:p>
    <w:p w:rsidR="00717097" w:rsidRDefault="00717097" w:rsidP="00717097">
      <w:pPr>
        <w:numPr>
          <w:ilvl w:val="0"/>
          <w:numId w:val="15"/>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Arial"/>
          <w:lang w:eastAsia="es-MX"/>
        </w:rPr>
        <w:t xml:space="preserve">De lo anterior se advierte que </w:t>
      </w:r>
      <w:r w:rsidRPr="005229D3">
        <w:rPr>
          <w:rFonts w:ascii="Palatino Linotype" w:eastAsia="Times New Roman" w:hAnsi="Palatino Linotype" w:cs="Arial"/>
          <w:lang w:eastAsia="es-MX"/>
        </w:rPr>
        <w:t>la Directora de Desarrollo Econó</w:t>
      </w:r>
      <w:r w:rsidRPr="005229D3">
        <w:rPr>
          <w:rFonts w:ascii="Palatino Linotype" w:eastAsia="Times New Roman" w:hAnsi="Palatino Linotype" w:cs="Times New Roman"/>
          <w:lang w:eastAsia="es-MX"/>
        </w:rPr>
        <w:t>m</w:t>
      </w:r>
      <w:r w:rsidRPr="005229D3">
        <w:rPr>
          <w:rFonts w:ascii="Palatino Linotype" w:eastAsia="Times New Roman" w:hAnsi="Palatino Linotype" w:cs="Arial"/>
          <w:lang w:eastAsia="es-MX"/>
        </w:rPr>
        <w:t xml:space="preserve">ico en su carácter de servidora pública habilitada, entrega un hipervínculo del portal </w:t>
      </w:r>
      <w:r>
        <w:rPr>
          <w:rFonts w:ascii="Palatino Linotype" w:eastAsia="Times New Roman" w:hAnsi="Palatino Linotype" w:cs="Arial"/>
          <w:lang w:eastAsia="es-MX"/>
        </w:rPr>
        <w:t>de información pública de oficio</w:t>
      </w:r>
      <w:r w:rsidRPr="005229D3">
        <w:rPr>
          <w:rFonts w:ascii="Palatino Linotype" w:eastAsia="Times New Roman" w:hAnsi="Palatino Linotype" w:cs="Arial"/>
          <w:lang w:eastAsia="es-MX"/>
        </w:rPr>
        <w:t xml:space="preserve"> del Ayuntamiento de Ec</w:t>
      </w:r>
      <w:r>
        <w:rPr>
          <w:rFonts w:ascii="Palatino Linotype" w:eastAsia="Times New Roman" w:hAnsi="Palatino Linotype" w:cs="Arial"/>
          <w:lang w:eastAsia="es-MX"/>
        </w:rPr>
        <w:t>atepec dentro de la plataforma</w:t>
      </w:r>
      <w:r w:rsidRPr="005229D3">
        <w:rPr>
          <w:rFonts w:ascii="Palatino Linotype" w:eastAsia="Times New Roman" w:hAnsi="Palatino Linotype" w:cs="Arial"/>
          <w:lang w:eastAsia="es-MX"/>
        </w:rPr>
        <w:t xml:space="preserve"> en el apartado de Convenios de Coordinación, de concertación con el sector social o </w:t>
      </w:r>
      <w:r w:rsidRPr="005229D3">
        <w:rPr>
          <w:rFonts w:ascii="Palatino Linotype" w:eastAsia="Times New Roman" w:hAnsi="Palatino Linotype" w:cs="Arial"/>
          <w:lang w:eastAsia="es-MX"/>
        </w:rPr>
        <w:lastRenderedPageBreak/>
        <w:t>privado, donde señala que se encuentran los convenios de colaboración firmados durante el periodo 2019-2021, al tiempo que señala números de registro específicos.</w:t>
      </w:r>
    </w:p>
    <w:p w:rsidR="00717097" w:rsidRPr="00A530DB" w:rsidRDefault="00717097" w:rsidP="00717097">
      <w:pPr>
        <w:spacing w:line="360" w:lineRule="auto"/>
        <w:contextualSpacing/>
        <w:jc w:val="both"/>
        <w:rPr>
          <w:rFonts w:ascii="Palatino Linotype" w:eastAsia="Times New Roman" w:hAnsi="Palatino Linotype" w:cs="Arial"/>
          <w:lang w:eastAsia="es-MX"/>
        </w:rPr>
      </w:pPr>
    </w:p>
    <w:p w:rsidR="00717097"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9B0889">
        <w:rPr>
          <w:rFonts w:ascii="Palatino Linotype" w:hAnsi="Palatino Linotype"/>
          <w:color w:val="000000" w:themeColor="text1"/>
        </w:rPr>
        <w:t xml:space="preserve">Atento a lo anterior, esta Ponencia que resuelve, ingresó al análisis de los registros señalados por el </w:t>
      </w:r>
      <w:r w:rsidRPr="009B0889">
        <w:rPr>
          <w:rFonts w:ascii="Palatino Linotype" w:hAnsi="Palatino Linotype"/>
          <w:b/>
          <w:color w:val="000000" w:themeColor="text1"/>
        </w:rPr>
        <w:t>SUJETO OBLIGADO</w:t>
      </w:r>
      <w:r w:rsidRPr="009B0889">
        <w:rPr>
          <w:rFonts w:ascii="Palatino Linotype" w:hAnsi="Palatino Linotype"/>
          <w:color w:val="000000" w:themeColor="text1"/>
        </w:rPr>
        <w:t xml:space="preserve">, encontrando que ciertamente se tratan de convenios de colaboración firmados entre el Municipio de Ecatepec con organismos privados, de lo anterior se colige que </w:t>
      </w:r>
      <w:r>
        <w:rPr>
          <w:rFonts w:ascii="Palatino Linotype" w:hAnsi="Palatino Linotype"/>
          <w:color w:val="000000" w:themeColor="text1"/>
        </w:rPr>
        <w:t xml:space="preserve">si bien ese no fue el soporte documental requerido, el </w:t>
      </w:r>
      <w:r>
        <w:rPr>
          <w:rFonts w:ascii="Palatino Linotype" w:hAnsi="Palatino Linotype"/>
          <w:b/>
          <w:color w:val="000000" w:themeColor="text1"/>
        </w:rPr>
        <w:t>SUJETO OBLIGADO</w:t>
      </w:r>
      <w:r>
        <w:rPr>
          <w:rFonts w:ascii="Palatino Linotype" w:hAnsi="Palatino Linotype"/>
          <w:color w:val="000000" w:themeColor="text1"/>
        </w:rPr>
        <w:t xml:space="preserve"> acepta que genera, posee y administra la información requerida, tan es así que en el multicitado escrito remitido, </w:t>
      </w:r>
      <w:r w:rsidRPr="009601CF">
        <w:rPr>
          <w:rFonts w:ascii="Palatino Linotype" w:hAnsi="Palatino Linotype"/>
          <w:color w:val="000000" w:themeColor="text1"/>
        </w:rPr>
        <w:t>de manera expresa se informa que se remiten los convenios de colaboración firmados en el periodo 2019-2021</w:t>
      </w:r>
      <w:r>
        <w:rPr>
          <w:rFonts w:ascii="Palatino Linotype" w:hAnsi="Palatino Linotype"/>
          <w:color w:val="000000" w:themeColor="text1"/>
        </w:rPr>
        <w:t>.</w:t>
      </w:r>
    </w:p>
    <w:p w:rsidR="00717097" w:rsidRDefault="00717097" w:rsidP="00717097">
      <w:pPr>
        <w:spacing w:line="360" w:lineRule="auto"/>
        <w:contextualSpacing/>
        <w:jc w:val="both"/>
        <w:rPr>
          <w:rFonts w:ascii="Palatino Linotype" w:hAnsi="Palatino Linotype"/>
          <w:color w:val="000000" w:themeColor="text1"/>
        </w:rPr>
      </w:pPr>
    </w:p>
    <w:p w:rsidR="00717097" w:rsidRPr="00717097" w:rsidRDefault="00717097" w:rsidP="00717097">
      <w:pPr>
        <w:numPr>
          <w:ilvl w:val="0"/>
          <w:numId w:val="15"/>
        </w:numPr>
        <w:spacing w:line="360" w:lineRule="auto"/>
        <w:ind w:left="0" w:firstLine="0"/>
        <w:contextualSpacing/>
        <w:jc w:val="both"/>
        <w:rPr>
          <w:rFonts w:ascii="Palatino Linotype" w:hAnsi="Palatino Linotype"/>
          <w:b/>
        </w:rPr>
      </w:pPr>
      <w:r>
        <w:rPr>
          <w:rFonts w:ascii="Palatino Linotype" w:hAnsi="Palatino Linotype"/>
        </w:rPr>
        <w:t>Del hecho anterior, es que se considera dable obviar un estudio pormenorizado de la fuente obligacional del</w:t>
      </w:r>
      <w:r w:rsidRPr="00B66F80">
        <w:rPr>
          <w:rFonts w:ascii="Palatino Linotype" w:hAnsi="Palatino Linotype"/>
          <w:b/>
        </w:rPr>
        <w:t xml:space="preserve"> </w:t>
      </w:r>
      <w:r w:rsidRPr="00B66F80">
        <w:rPr>
          <w:rFonts w:ascii="Palatino Linotype" w:hAnsi="Palatino Linotype"/>
          <w:b/>
          <w:color w:val="000000" w:themeColor="text1"/>
        </w:rPr>
        <w:t>SUJETO</w:t>
      </w:r>
      <w:r>
        <w:rPr>
          <w:rFonts w:ascii="Palatino Linotype" w:hAnsi="Palatino Linotype"/>
          <w:b/>
        </w:rPr>
        <w:t xml:space="preserve"> OBLIGADO</w:t>
      </w:r>
      <w:r>
        <w:rPr>
          <w:rFonts w:ascii="Palatino Linotype" w:hAnsi="Palatino Linotype"/>
        </w:rPr>
        <w:t xml:space="preserve"> para determinar si genera, posee o administra la información, en virtud de que –se insiste- el Ayuntamiento asumió expresamente que cuenta con ella.</w:t>
      </w:r>
    </w:p>
    <w:p w:rsidR="00717097" w:rsidRDefault="00717097" w:rsidP="00717097">
      <w:pPr>
        <w:pStyle w:val="Prrafodelista"/>
        <w:rPr>
          <w:rFonts w:ascii="Palatino Linotype" w:hAnsi="Palatino Linotype"/>
          <w:b/>
        </w:rPr>
      </w:pPr>
    </w:p>
    <w:p w:rsidR="00717097" w:rsidRPr="00527AA4" w:rsidRDefault="00717097" w:rsidP="00717097">
      <w:pPr>
        <w:numPr>
          <w:ilvl w:val="0"/>
          <w:numId w:val="15"/>
        </w:numPr>
        <w:spacing w:line="360" w:lineRule="auto"/>
        <w:ind w:left="0" w:firstLine="0"/>
        <w:contextualSpacing/>
        <w:jc w:val="both"/>
        <w:rPr>
          <w:rFonts w:ascii="Palatino Linotype" w:hAnsi="Palatino Linotype"/>
          <w:color w:val="222222"/>
        </w:rPr>
      </w:pPr>
      <w:r w:rsidRPr="00527AA4">
        <w:rPr>
          <w:rFonts w:ascii="Palatino Linotype" w:hAnsi="Palatino Linotype"/>
          <w:color w:val="222222"/>
        </w:rPr>
        <w:t xml:space="preserve">Por lo que, el hecho de que </w:t>
      </w:r>
      <w:r w:rsidRPr="00527AA4">
        <w:rPr>
          <w:rFonts w:ascii="Palatino Linotype" w:hAnsi="Palatino Linotype"/>
          <w:b/>
          <w:bCs/>
          <w:color w:val="222222"/>
        </w:rPr>
        <w:t>EL SUJETO OBLIGADO</w:t>
      </w:r>
      <w:r w:rsidRPr="00527AA4">
        <w:rPr>
          <w:rFonts w:ascii="Palatino Linotype" w:hAnsi="Palatino Linotype"/>
          <w:color w:val="222222"/>
        </w:rPr>
        <w:t xml:space="preserve"> haya asumido contar con la </w:t>
      </w:r>
      <w:r w:rsidRPr="00B66F80">
        <w:rPr>
          <w:rFonts w:ascii="Palatino Linotype" w:hAnsi="Palatino Linotype"/>
        </w:rPr>
        <w:t>información</w:t>
      </w:r>
      <w:r w:rsidRPr="00527AA4">
        <w:rPr>
          <w:rFonts w:ascii="Palatino Linotype" w:hAnsi="Palatino Linotype"/>
          <w:color w:val="222222"/>
        </w:rPr>
        <w:t xml:space="preserve"> pública solicitada en el ejercicio de sus funciones de derecho público, se actualiza el supuesto jurídico, previsto en el artículo 12 de la Ley de Transparencia y Acceso a la Información Pública del Estado de México y Municipios, que a la letra señala:</w:t>
      </w:r>
    </w:p>
    <w:p w:rsidR="00717097" w:rsidRPr="00527AA4" w:rsidRDefault="00717097" w:rsidP="00717097">
      <w:pPr>
        <w:pStyle w:val="Prrafodelista"/>
        <w:ind w:left="502"/>
        <w:jc w:val="both"/>
        <w:rPr>
          <w:rFonts w:ascii="Palatino Linotype" w:hAnsi="Palatino Linotype"/>
          <w:color w:val="222222"/>
        </w:rPr>
      </w:pPr>
    </w:p>
    <w:p w:rsidR="00717097" w:rsidRPr="009725F8" w:rsidRDefault="00717097" w:rsidP="00717097">
      <w:pPr>
        <w:pStyle w:val="Prrafodelista"/>
        <w:shd w:val="clear" w:color="auto" w:fill="FFFFFF"/>
        <w:spacing w:line="360" w:lineRule="auto"/>
        <w:ind w:left="502" w:right="902"/>
        <w:jc w:val="both"/>
        <w:rPr>
          <w:rFonts w:ascii="Palatino Linotype" w:hAnsi="Palatino Linotype"/>
          <w:color w:val="222222"/>
          <w:sz w:val="28"/>
        </w:rPr>
      </w:pPr>
      <w:r w:rsidRPr="009725F8">
        <w:rPr>
          <w:rFonts w:ascii="Palatino Linotype" w:hAnsi="Palatino Linotype"/>
          <w:i/>
          <w:iCs/>
          <w:color w:val="222222"/>
          <w:szCs w:val="22"/>
        </w:rPr>
        <w:lastRenderedPageBreak/>
        <w:t>“</w:t>
      </w:r>
      <w:r w:rsidRPr="009725F8">
        <w:rPr>
          <w:rFonts w:ascii="Palatino Linotype" w:hAnsi="Palatino Linotype"/>
          <w:b/>
          <w:bCs/>
          <w:i/>
          <w:iCs/>
          <w:color w:val="222222"/>
          <w:szCs w:val="22"/>
        </w:rPr>
        <w:t>Artículo 12.</w:t>
      </w:r>
      <w:r w:rsidRPr="009725F8">
        <w:rPr>
          <w:rFonts w:ascii="Palatino Linotype" w:hAnsi="Palatino Linotype"/>
          <w:i/>
          <w:iCs/>
          <w:color w:val="222222"/>
          <w:szCs w:val="22"/>
        </w:rPr>
        <w:t> Quienes generen, recopilen, administren, manejen, procesen, archiven o conserven información pública serán responsables de la misma en los términos de las disposiciones jurídicas aplicables.</w:t>
      </w:r>
    </w:p>
    <w:p w:rsidR="00717097" w:rsidRPr="009725F8" w:rsidRDefault="00717097" w:rsidP="00717097">
      <w:pPr>
        <w:pStyle w:val="Prrafodelista"/>
        <w:shd w:val="clear" w:color="auto" w:fill="FFFFFF"/>
        <w:spacing w:line="360" w:lineRule="auto"/>
        <w:ind w:left="505" w:right="902"/>
        <w:jc w:val="both"/>
        <w:rPr>
          <w:rFonts w:ascii="Palatino Linotype" w:hAnsi="Palatino Linotype"/>
          <w:i/>
          <w:iCs/>
          <w:color w:val="222222"/>
          <w:szCs w:val="22"/>
        </w:rPr>
      </w:pPr>
      <w:r w:rsidRPr="009725F8">
        <w:rPr>
          <w:rFonts w:ascii="Palatino Linotype" w:hAnsi="Palatino Linotype"/>
          <w:i/>
          <w:iCs/>
          <w:color w:val="2222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17097" w:rsidRPr="00B06789" w:rsidRDefault="00717097" w:rsidP="00717097">
      <w:pPr>
        <w:shd w:val="clear" w:color="auto" w:fill="FFFFFF"/>
        <w:spacing w:line="360" w:lineRule="auto"/>
        <w:ind w:right="902"/>
        <w:jc w:val="both"/>
        <w:rPr>
          <w:rFonts w:ascii="Palatino Linotype" w:hAnsi="Palatino Linotype"/>
          <w:i/>
          <w:iCs/>
          <w:color w:val="222222"/>
          <w:sz w:val="22"/>
          <w:szCs w:val="22"/>
        </w:rPr>
      </w:pPr>
    </w:p>
    <w:p w:rsidR="00717097" w:rsidRPr="00527AA4" w:rsidRDefault="00717097" w:rsidP="00717097">
      <w:pPr>
        <w:numPr>
          <w:ilvl w:val="0"/>
          <w:numId w:val="15"/>
        </w:numPr>
        <w:spacing w:line="360" w:lineRule="auto"/>
        <w:ind w:left="0" w:firstLine="0"/>
        <w:contextualSpacing/>
        <w:jc w:val="both"/>
        <w:rPr>
          <w:rFonts w:ascii="Palatino Linotype" w:hAnsi="Palatino Linotype"/>
          <w:color w:val="222222"/>
        </w:rPr>
      </w:pPr>
      <w:r w:rsidRPr="00527AA4">
        <w:rPr>
          <w:rFonts w:ascii="Palatino Linotype" w:hAnsi="Palatino Linotype"/>
          <w:color w:val="222222"/>
        </w:rPr>
        <w:t xml:space="preserve">En atención a lo anterior, el estudio de la naturaleza jurídica de la información pública solicitada, tiene por objeto determinar si </w:t>
      </w:r>
      <w:r w:rsidRPr="00527AA4">
        <w:rPr>
          <w:rFonts w:ascii="Palatino Linotype" w:hAnsi="Palatino Linotype"/>
          <w:b/>
          <w:color w:val="222222"/>
        </w:rPr>
        <w:t xml:space="preserve">EL SUJETO OBLIGADO </w:t>
      </w:r>
      <w:r w:rsidRPr="00527AA4">
        <w:rPr>
          <w:rFonts w:ascii="Palatino Linotype" w:hAnsi="Palatino Linotype"/>
          <w:color w:val="222222"/>
        </w:rPr>
        <w:t>la</w:t>
      </w:r>
      <w:r w:rsidRPr="00527AA4">
        <w:rPr>
          <w:rFonts w:ascii="Palatino Linotype" w:hAnsi="Palatino Linotype"/>
          <w:b/>
          <w:color w:val="222222"/>
        </w:rPr>
        <w:t xml:space="preserve"> </w:t>
      </w:r>
      <w:r w:rsidRPr="00527AA4">
        <w:rPr>
          <w:rFonts w:ascii="Palatino Linotype" w:hAnsi="Palatino Linotype"/>
          <w:color w:val="222222"/>
        </w:rPr>
        <w:t xml:space="preserve">genera, posee o administra; sin embargo, </w:t>
      </w:r>
      <w:r>
        <w:rPr>
          <w:rFonts w:ascii="Palatino Linotype" w:hAnsi="Palatino Linotype"/>
          <w:color w:val="222222"/>
        </w:rPr>
        <w:t xml:space="preserve">-reiterando- que </w:t>
      </w:r>
      <w:r w:rsidRPr="00527AA4">
        <w:rPr>
          <w:rFonts w:ascii="Palatino Linotype" w:hAnsi="Palatino Linotype"/>
          <w:color w:val="222222"/>
        </w:rPr>
        <w:t>en aquellos casos en que éste la asume,</w:t>
      </w:r>
      <w:r>
        <w:rPr>
          <w:rFonts w:ascii="Palatino Linotype" w:hAnsi="Palatino Linotype"/>
          <w:color w:val="222222"/>
        </w:rPr>
        <w:t xml:space="preserve"> </w:t>
      </w:r>
      <w:r w:rsidRPr="00527AA4">
        <w:rPr>
          <w:rFonts w:ascii="Palatino Linotype" w:hAnsi="Palatino Linotype"/>
          <w:color w:val="222222"/>
        </w:rPr>
        <w:t xml:space="preserve">a nada práctico nos conduciría su estudio, ya que como se observa de la respuesta vertida por </w:t>
      </w:r>
      <w:r w:rsidRPr="00527AA4">
        <w:rPr>
          <w:rFonts w:ascii="Palatino Linotype" w:hAnsi="Palatino Linotype"/>
          <w:b/>
          <w:color w:val="222222"/>
        </w:rPr>
        <w:t>EL SUJETO OBLIGADO</w:t>
      </w:r>
      <w:r w:rsidRPr="00527AA4">
        <w:rPr>
          <w:rFonts w:ascii="Palatino Linotype" w:hAnsi="Palatino Linotype"/>
          <w:color w:val="222222"/>
        </w:rPr>
        <w:t xml:space="preserve">, dicha información, fue admitida por el mismo; actualizándose </w:t>
      </w:r>
      <w:r>
        <w:rPr>
          <w:rFonts w:ascii="Palatino Linotype" w:hAnsi="Palatino Linotype"/>
          <w:color w:val="222222"/>
        </w:rPr>
        <w:t>d</w:t>
      </w:r>
      <w:r w:rsidRPr="00527AA4">
        <w:rPr>
          <w:rFonts w:ascii="Palatino Linotype" w:hAnsi="Palatino Linotype"/>
          <w:color w:val="222222"/>
        </w:rPr>
        <w:t xml:space="preserve">el supuesto artículo 12 de la Ley de la </w:t>
      </w:r>
      <w:r>
        <w:rPr>
          <w:rFonts w:ascii="Palatino Linotype" w:hAnsi="Palatino Linotype"/>
          <w:color w:val="222222"/>
        </w:rPr>
        <w:t>materia, anteriormente referido.</w:t>
      </w:r>
    </w:p>
    <w:p w:rsidR="00717097" w:rsidRDefault="00717097" w:rsidP="00717097">
      <w:pPr>
        <w:spacing w:line="360" w:lineRule="auto"/>
        <w:contextualSpacing/>
        <w:jc w:val="both"/>
        <w:rPr>
          <w:rFonts w:ascii="Palatino Linotype" w:hAnsi="Palatino Linotype"/>
          <w:color w:val="000000" w:themeColor="text1"/>
        </w:rPr>
      </w:pPr>
    </w:p>
    <w:p w:rsidR="00717097" w:rsidRDefault="00717097" w:rsidP="00717097">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mencionar que el programa de referencia corresponde a </w:t>
      </w:r>
      <w:r w:rsidRPr="00967C33">
        <w:rPr>
          <w:rFonts w:ascii="Palatino Linotype" w:eastAsia="Palatino Linotype" w:hAnsi="Palatino Linotype" w:cs="Palatino Linotype"/>
        </w:rPr>
        <w:t>acciones que se llevan a cabo para la modernización y rehabilitación de plazas, jardines públicos, centros comerciales y demás infraestructura en donde se presten servicios comunales, contando con la participación de los diferentes niveles de gobier</w:t>
      </w:r>
      <w:r>
        <w:rPr>
          <w:rFonts w:ascii="Palatino Linotype" w:eastAsia="Palatino Linotype" w:hAnsi="Palatino Linotype" w:cs="Palatino Linotype"/>
        </w:rPr>
        <w:t>no, como se aprecia de la siguiente Matriz de Indicadores para R</w:t>
      </w:r>
      <w:r w:rsidRPr="00967C33">
        <w:rPr>
          <w:rFonts w:ascii="Palatino Linotype" w:eastAsia="Palatino Linotype" w:hAnsi="Palatino Linotype" w:cs="Palatino Linotype"/>
        </w:rPr>
        <w:t>esultados 2019, por programa presupuestario y dependencia general</w:t>
      </w:r>
      <w:r>
        <w:rPr>
          <w:rFonts w:ascii="Palatino Linotype" w:eastAsia="Palatino Linotype" w:hAnsi="Palatino Linotype" w:cs="Palatino Linotype"/>
        </w:rPr>
        <w:t>:</w:t>
      </w:r>
    </w:p>
    <w:p w:rsidR="00717097" w:rsidRDefault="00717097" w:rsidP="00717097">
      <w:pPr>
        <w:spacing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noProof/>
          <w:lang w:val="es-ES"/>
        </w:rPr>
        <w:lastRenderedPageBreak/>
        <mc:AlternateContent>
          <mc:Choice Requires="wps">
            <w:drawing>
              <wp:anchor distT="0" distB="0" distL="114300" distR="114300" simplePos="0" relativeHeight="251679744" behindDoc="0" locked="0" layoutInCell="1" allowOverlap="1" wp14:anchorId="1F88188B" wp14:editId="4322594C">
                <wp:simplePos x="0" y="0"/>
                <wp:positionH relativeFrom="margin">
                  <wp:align>right</wp:align>
                </wp:positionH>
                <wp:positionV relativeFrom="paragraph">
                  <wp:posOffset>4420961</wp:posOffset>
                </wp:positionV>
                <wp:extent cx="5586825" cy="2907052"/>
                <wp:effectExtent l="0" t="0" r="33020" b="26670"/>
                <wp:wrapNone/>
                <wp:docPr id="6" name="Conector recto 6"/>
                <wp:cNvGraphicFramePr/>
                <a:graphic xmlns:a="http://schemas.openxmlformats.org/drawingml/2006/main">
                  <a:graphicData uri="http://schemas.microsoft.com/office/word/2010/wordprocessingShape">
                    <wps:wsp>
                      <wps:cNvCnPr/>
                      <wps:spPr>
                        <a:xfrm>
                          <a:off x="0" y="0"/>
                          <a:ext cx="5586825" cy="29070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49973" id="Conector recto 6"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pt,348.1pt" to="828.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" strokecolor="black [3200]" strokeweight="1.5pt">
                <v:stroke joinstyle="miter"/>
                <w10:wrap anchorx="margin"/>
              </v:line>
            </w:pict>
          </mc:Fallback>
        </mc:AlternateContent>
      </w:r>
      <w:r>
        <w:rPr>
          <w:rFonts w:ascii="Palatino Linotype" w:eastAsia="Palatino Linotype" w:hAnsi="Palatino Linotype" w:cs="Palatino Linotype"/>
          <w:noProof/>
          <w:lang w:val="es-ES"/>
        </w:rPr>
        <w:drawing>
          <wp:inline distT="0" distB="0" distL="0" distR="0" wp14:anchorId="17C8996B" wp14:editId="05B26B6D">
            <wp:extent cx="5433545" cy="4080547"/>
            <wp:effectExtent l="19050" t="19050" r="1524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7900" cy="4083818"/>
                    </a:xfrm>
                    <a:prstGeom prst="rect">
                      <a:avLst/>
                    </a:prstGeom>
                    <a:noFill/>
                    <a:ln>
                      <a:solidFill>
                        <a:schemeClr val="tx1"/>
                      </a:solidFill>
                    </a:ln>
                  </pic:spPr>
                </pic:pic>
              </a:graphicData>
            </a:graphic>
          </wp:inline>
        </w:drawing>
      </w:r>
    </w:p>
    <w:p w:rsidR="00717097" w:rsidRDefault="00717097" w:rsidP="00717097">
      <w:pPr>
        <w:spacing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noProof/>
          <w:lang w:val="es-ES"/>
        </w:rPr>
        <w:lastRenderedPageBreak/>
        <w:drawing>
          <wp:inline distT="0" distB="0" distL="0" distR="0" wp14:anchorId="28CFE800" wp14:editId="4B0412B4">
            <wp:extent cx="5602605" cy="3684270"/>
            <wp:effectExtent l="19050" t="19050" r="17145"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3684270"/>
                    </a:xfrm>
                    <a:prstGeom prst="rect">
                      <a:avLst/>
                    </a:prstGeom>
                    <a:noFill/>
                    <a:ln>
                      <a:solidFill>
                        <a:schemeClr val="tx1"/>
                      </a:solidFill>
                    </a:ln>
                  </pic:spPr>
                </pic:pic>
              </a:graphicData>
            </a:graphic>
          </wp:inline>
        </w:drawing>
      </w:r>
    </w:p>
    <w:p w:rsidR="00717097" w:rsidRPr="009601CF" w:rsidRDefault="00717097" w:rsidP="00717097">
      <w:pPr>
        <w:spacing w:line="360" w:lineRule="auto"/>
        <w:contextualSpacing/>
        <w:jc w:val="both"/>
        <w:rPr>
          <w:rFonts w:ascii="Palatino Linotype" w:eastAsia="Palatino Linotype" w:hAnsi="Palatino Linotype" w:cs="Palatino Linotype"/>
        </w:rPr>
      </w:pPr>
    </w:p>
    <w:p w:rsidR="00717097" w:rsidRDefault="00717097" w:rsidP="00717097">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Así las cosas, el objetivo de dicho programa corresponde a i</w:t>
      </w:r>
      <w:r w:rsidRPr="006F7442">
        <w:rPr>
          <w:rFonts w:ascii="Palatino Linotype" w:eastAsia="Palatino Linotype" w:hAnsi="Palatino Linotype" w:cs="Palatino Linotype"/>
        </w:rPr>
        <w:t>ncrementar la calidad y suficiencia de servicios comunales, mediante una adecuada gestión, el desarrollo de infraestructura moderna, la modernización del comercio tradicional, así como la vinculación entre productores y comerciantes y las compras consolidadas que mejoren el comercio regional.</w:t>
      </w:r>
    </w:p>
    <w:p w:rsidR="00717097" w:rsidRPr="00F966DF" w:rsidRDefault="00717097" w:rsidP="00717097">
      <w:pPr>
        <w:spacing w:line="360" w:lineRule="auto"/>
        <w:contextualSpacing/>
        <w:jc w:val="both"/>
        <w:rPr>
          <w:rFonts w:ascii="Palatino Linotype" w:eastAsia="Palatino Linotype" w:hAnsi="Palatino Linotype" w:cs="Palatino Linotype"/>
        </w:rPr>
      </w:pPr>
    </w:p>
    <w:p w:rsidR="00717097" w:rsidRPr="0032498E" w:rsidRDefault="00717097" w:rsidP="00717097">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hAnsi="Palatino Linotype"/>
          <w:color w:val="000000" w:themeColor="text1"/>
        </w:rPr>
        <w:t xml:space="preserve">Ahora bien, no es óbice para señalar que además de los nombres de los espacios públicos adoptados, se solicitó puntualmente evidencia fotografía de los espacios como lo establece </w:t>
      </w:r>
      <w:r w:rsidRPr="0032498E">
        <w:rPr>
          <w:rFonts w:ascii="Palatino Linotype" w:hAnsi="Palatino Linotype"/>
          <w:color w:val="000000" w:themeColor="text1"/>
        </w:rPr>
        <w:t>la ficha de diseño de indicadores del respectivo proyecto</w:t>
      </w:r>
      <w:r>
        <w:rPr>
          <w:rFonts w:ascii="Palatino Linotype" w:hAnsi="Palatino Linotype"/>
          <w:color w:val="000000" w:themeColor="text1"/>
        </w:rPr>
        <w:t>, a saber:</w:t>
      </w:r>
    </w:p>
    <w:p w:rsidR="00717097" w:rsidRDefault="00717097" w:rsidP="00717097">
      <w:pPr>
        <w:pStyle w:val="Prrafodelista"/>
        <w:rPr>
          <w:rFonts w:ascii="Palatino Linotype" w:eastAsia="Palatino Linotype" w:hAnsi="Palatino Linotype" w:cs="Palatino Linotype"/>
        </w:rPr>
      </w:pPr>
    </w:p>
    <w:p w:rsidR="00717097" w:rsidRPr="009601CF" w:rsidRDefault="00717097" w:rsidP="00717097">
      <w:pPr>
        <w:spacing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noProof/>
          <w:lang w:val="es-ES"/>
        </w:rPr>
        <w:lastRenderedPageBreak/>
        <w:drawing>
          <wp:inline distT="0" distB="0" distL="0" distR="0" wp14:anchorId="764E60E6" wp14:editId="37E84BC5">
            <wp:extent cx="4578913" cy="2668138"/>
            <wp:effectExtent l="19050" t="19050" r="1270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4565" cy="2677259"/>
                    </a:xfrm>
                    <a:prstGeom prst="rect">
                      <a:avLst/>
                    </a:prstGeom>
                    <a:noFill/>
                    <a:ln>
                      <a:solidFill>
                        <a:schemeClr val="tx1"/>
                      </a:solidFill>
                    </a:ln>
                  </pic:spPr>
                </pic:pic>
              </a:graphicData>
            </a:graphic>
          </wp:inline>
        </w:drawing>
      </w:r>
    </w:p>
    <w:p w:rsidR="00717097" w:rsidRDefault="00717097" w:rsidP="00717097">
      <w:pPr>
        <w:spacing w:line="360" w:lineRule="auto"/>
        <w:contextualSpacing/>
        <w:jc w:val="both"/>
        <w:rPr>
          <w:rFonts w:ascii="Palatino Linotype" w:eastAsia="Palatino Linotype" w:hAnsi="Palatino Linotype" w:cs="Palatino Linotype"/>
        </w:rPr>
      </w:pPr>
    </w:p>
    <w:p w:rsidR="00717097" w:rsidRDefault="00717097" w:rsidP="00717097">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Sin embargo, la ficha de referencia corresponde a espacios públicos adoptados siendo que requirió e</w:t>
      </w:r>
      <w:r w:rsidRPr="00B52DA0">
        <w:rPr>
          <w:rFonts w:ascii="Palatino Linotype" w:eastAsia="Palatino Linotype" w:hAnsi="Palatino Linotype" w:cs="Palatino Linotype"/>
        </w:rPr>
        <w:t>n específico del proyecto con terminación 0201 "Abasto Social de Productos Básicos</w:t>
      </w:r>
      <w:r>
        <w:rPr>
          <w:rFonts w:ascii="Palatino Linotype" w:eastAsia="Palatino Linotype" w:hAnsi="Palatino Linotype" w:cs="Palatino Linotype"/>
        </w:rPr>
        <w:t>”, dicho programa con clave c</w:t>
      </w:r>
      <w:r w:rsidRPr="00B52DA0">
        <w:rPr>
          <w:rFonts w:ascii="Palatino Linotype" w:eastAsia="Palatino Linotype" w:hAnsi="Palatino Linotype" w:cs="Palatino Linotype"/>
        </w:rPr>
        <w:t>ontempla las acciones de aseguramiento del suministro de productos básicos a precios accesibles, en apoyo a la economía de las familias de escasos recursos para elevar la disponibilidad de produc</w:t>
      </w:r>
      <w:r>
        <w:rPr>
          <w:rFonts w:ascii="Palatino Linotype" w:eastAsia="Palatino Linotype" w:hAnsi="Palatino Linotype" w:cs="Palatino Linotype"/>
        </w:rPr>
        <w:t>tos principalmente alimenticios, tal como lo establece el Manual p</w:t>
      </w:r>
      <w:r w:rsidRPr="00600536">
        <w:rPr>
          <w:rFonts w:ascii="Palatino Linotype" w:eastAsia="Palatino Linotype" w:hAnsi="Palatino Linotype" w:cs="Palatino Linotype"/>
        </w:rPr>
        <w:t xml:space="preserve">ara </w:t>
      </w:r>
      <w:r>
        <w:rPr>
          <w:rFonts w:ascii="Palatino Linotype" w:eastAsia="Palatino Linotype" w:hAnsi="Palatino Linotype" w:cs="Palatino Linotype"/>
        </w:rPr>
        <w:t>la Planeación, Programación y Presupuesto d</w:t>
      </w:r>
      <w:r w:rsidRPr="00600536">
        <w:rPr>
          <w:rFonts w:ascii="Palatino Linotype" w:eastAsia="Palatino Linotype" w:hAnsi="Palatino Linotype" w:cs="Palatino Linotype"/>
        </w:rPr>
        <w:t xml:space="preserve">e Egresos Municipal </w:t>
      </w:r>
      <w:r>
        <w:rPr>
          <w:rFonts w:ascii="Palatino Linotype" w:eastAsia="Palatino Linotype" w:hAnsi="Palatino Linotype" w:cs="Palatino Linotype"/>
        </w:rPr>
        <w:t>p</w:t>
      </w:r>
      <w:r w:rsidRPr="00600536">
        <w:rPr>
          <w:rFonts w:ascii="Palatino Linotype" w:eastAsia="Palatino Linotype" w:hAnsi="Palatino Linotype" w:cs="Palatino Linotype"/>
        </w:rPr>
        <w:t xml:space="preserve">ara </w:t>
      </w:r>
      <w:r>
        <w:rPr>
          <w:rFonts w:ascii="Palatino Linotype" w:eastAsia="Palatino Linotype" w:hAnsi="Palatino Linotype" w:cs="Palatino Linotype"/>
        </w:rPr>
        <w:t>e</w:t>
      </w:r>
      <w:r w:rsidRPr="00600536">
        <w:rPr>
          <w:rFonts w:ascii="Palatino Linotype" w:eastAsia="Palatino Linotype" w:hAnsi="Palatino Linotype" w:cs="Palatino Linotype"/>
        </w:rPr>
        <w:t>l Ejercicio Fiscal 2021</w:t>
      </w:r>
      <w:r>
        <w:rPr>
          <w:rFonts w:ascii="Palatino Linotype" w:eastAsia="Palatino Linotype" w:hAnsi="Palatino Linotype" w:cs="Palatino Linotype"/>
        </w:rPr>
        <w:t>, uno de los ejercicios fiscales de los cuales se requirió la información.</w:t>
      </w:r>
    </w:p>
    <w:p w:rsidR="00717097" w:rsidRPr="00B52DA0" w:rsidRDefault="00717097" w:rsidP="00717097">
      <w:pPr>
        <w:spacing w:line="360" w:lineRule="auto"/>
        <w:contextualSpacing/>
        <w:jc w:val="both"/>
        <w:rPr>
          <w:rFonts w:ascii="Palatino Linotype" w:eastAsia="Palatino Linotype" w:hAnsi="Palatino Linotype" w:cs="Palatino Linotype"/>
        </w:rPr>
      </w:pPr>
    </w:p>
    <w:p w:rsidR="00717097" w:rsidRPr="0037157C"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olor w:val="000000" w:themeColor="text1"/>
        </w:rPr>
        <w:t>Así las cosas</w:t>
      </w:r>
      <w:r w:rsidRPr="00F245BA">
        <w:rPr>
          <w:rFonts w:ascii="Palatino Linotype" w:hAnsi="Palatino Linotype" w:cs="Arial"/>
        </w:rPr>
        <w:t>,</w:t>
      </w:r>
      <w:r>
        <w:rPr>
          <w:rFonts w:ascii="Palatino Linotype" w:hAnsi="Palatino Linotype" w:cs="Arial"/>
        </w:rPr>
        <w:t xml:space="preserve"> resulta dable ordenar la entrega de la información pues</w:t>
      </w:r>
      <w:r w:rsidRPr="00F245BA">
        <w:rPr>
          <w:rFonts w:ascii="Palatino Linotype" w:hAnsi="Palatino Linotype" w:cs="Arial"/>
        </w:rPr>
        <w:t xml:space="preserve"> </w:t>
      </w:r>
      <w:r>
        <w:rPr>
          <w:rFonts w:ascii="Palatino Linotype" w:hAnsi="Palatino Linotype" w:cs="Arial"/>
        </w:rPr>
        <w:t xml:space="preserve">como ya se mencionó, sumado a que asumió que genera, posee y administra la información, </w:t>
      </w:r>
      <w:r w:rsidRPr="00F245BA">
        <w:rPr>
          <w:rFonts w:ascii="Palatino Linotype" w:hAnsi="Palatino Linotype" w:cs="Arial"/>
        </w:rPr>
        <w:t xml:space="preserve">cuenta con atribuciones para generar, administrar poseer la información solicitada, de conformidad con lo previsto en los artículos </w:t>
      </w:r>
      <w:r w:rsidRPr="00F245BA">
        <w:rPr>
          <w:rFonts w:ascii="Palatino Linotype" w:hAnsi="Palatino Linotype"/>
        </w:rPr>
        <w:t xml:space="preserve">18 y 19 de la </w:t>
      </w:r>
      <w:r w:rsidRPr="00F245BA">
        <w:rPr>
          <w:rFonts w:ascii="Palatino Linotype" w:hAnsi="Palatino Linotype"/>
        </w:rPr>
        <w:lastRenderedPageBreak/>
        <w:t xml:space="preserve">Ley de Transparencia y Acceso a la Información Pública del </w:t>
      </w:r>
      <w:r w:rsidRPr="0037157C">
        <w:rPr>
          <w:rFonts w:ascii="Palatino Linotype" w:hAnsi="Palatino Linotype" w:cs="Arial"/>
        </w:rPr>
        <w:t>Estado</w:t>
      </w:r>
      <w:r w:rsidRPr="00F245BA">
        <w:rPr>
          <w:rFonts w:ascii="Palatino Linotype" w:hAnsi="Palatino Linotype"/>
        </w:rPr>
        <w:t xml:space="preserve"> de México y Municipios, que disponen lo siguiente:</w:t>
      </w:r>
    </w:p>
    <w:p w:rsidR="00717097" w:rsidRPr="00F245BA" w:rsidRDefault="00717097" w:rsidP="00717097">
      <w:pPr>
        <w:spacing w:line="360" w:lineRule="auto"/>
        <w:contextualSpacing/>
        <w:jc w:val="both"/>
        <w:rPr>
          <w:rFonts w:ascii="Palatino Linotype" w:hAnsi="Palatino Linotype" w:cs="Arial"/>
        </w:rPr>
      </w:pPr>
    </w:p>
    <w:p w:rsidR="00717097" w:rsidRDefault="00717097" w:rsidP="00717097">
      <w:pPr>
        <w:spacing w:line="360" w:lineRule="auto"/>
        <w:ind w:left="567" w:right="618"/>
        <w:jc w:val="both"/>
        <w:rPr>
          <w:rFonts w:ascii="Palatino Linotype" w:hAnsi="Palatino Linotype"/>
          <w:i/>
        </w:rPr>
      </w:pPr>
      <w:r w:rsidRPr="002278CF">
        <w:rPr>
          <w:rFonts w:ascii="Palatino Linotype" w:hAnsi="Palatino Linotype"/>
          <w:b/>
          <w:i/>
        </w:rPr>
        <w:t>“Artículo 18.</w:t>
      </w:r>
      <w:r w:rsidRPr="002278CF">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717097" w:rsidRPr="002278CF" w:rsidRDefault="00717097" w:rsidP="00717097">
      <w:pPr>
        <w:spacing w:line="360" w:lineRule="auto"/>
        <w:ind w:left="567" w:right="618"/>
        <w:jc w:val="both"/>
        <w:rPr>
          <w:rFonts w:ascii="Palatino Linotype" w:hAnsi="Palatino Linotype"/>
          <w:i/>
        </w:rPr>
      </w:pPr>
    </w:p>
    <w:p w:rsidR="00717097" w:rsidRPr="002278CF" w:rsidRDefault="00717097" w:rsidP="00717097">
      <w:pPr>
        <w:spacing w:line="360" w:lineRule="auto"/>
        <w:ind w:left="567" w:right="618"/>
        <w:jc w:val="both"/>
        <w:rPr>
          <w:rFonts w:ascii="Palatino Linotype" w:hAnsi="Palatino Linotype"/>
          <w:i/>
        </w:rPr>
      </w:pPr>
      <w:r w:rsidRPr="002278CF">
        <w:rPr>
          <w:rFonts w:ascii="Palatino Linotype" w:hAnsi="Palatino Linotype"/>
          <w:b/>
          <w:i/>
        </w:rPr>
        <w:t>Artículo 19.</w:t>
      </w:r>
      <w:r w:rsidRPr="002278CF">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717097" w:rsidRDefault="00717097" w:rsidP="00717097">
      <w:pPr>
        <w:spacing w:line="360" w:lineRule="auto"/>
        <w:ind w:left="567" w:right="618"/>
        <w:jc w:val="both"/>
        <w:rPr>
          <w:rFonts w:ascii="Palatino Linotype" w:hAnsi="Palatino Linotype"/>
          <w:i/>
        </w:rPr>
      </w:pPr>
      <w:r w:rsidRPr="002278CF">
        <w:rPr>
          <w:rFonts w:ascii="Palatino Linotype" w:hAnsi="Palatino Linotype"/>
          <w:i/>
        </w:rPr>
        <w:t>En los casos en que ciertas facultades, competencias o funciones no se hayan ejercido, se debe motivar la respuesta en función de las causas que motiven tal circunstancia…”</w:t>
      </w:r>
    </w:p>
    <w:p w:rsidR="00717097" w:rsidRPr="00B1222E" w:rsidRDefault="00717097" w:rsidP="00717097">
      <w:pPr>
        <w:spacing w:line="360" w:lineRule="auto"/>
        <w:ind w:right="618"/>
        <w:jc w:val="both"/>
        <w:rPr>
          <w:rFonts w:ascii="Palatino Linotype" w:hAnsi="Palatino Linotype"/>
        </w:rPr>
      </w:pPr>
    </w:p>
    <w:p w:rsidR="00717097" w:rsidRDefault="00717097" w:rsidP="00717097">
      <w:pPr>
        <w:numPr>
          <w:ilvl w:val="0"/>
          <w:numId w:val="15"/>
        </w:numPr>
        <w:spacing w:line="360" w:lineRule="auto"/>
        <w:ind w:left="0" w:firstLine="0"/>
        <w:contextualSpacing/>
        <w:jc w:val="both"/>
        <w:rPr>
          <w:rFonts w:ascii="Palatino Linotype" w:hAnsi="Palatino Linotype" w:cs="Arial"/>
        </w:rPr>
      </w:pPr>
      <w:r w:rsidRPr="00FC7E81">
        <w:rPr>
          <w:rFonts w:ascii="Palatino Linotype" w:hAnsi="Palatino Linotype" w:cs="Arial"/>
        </w:rPr>
        <w:t xml:space="preserve">Dicho de otro modo, se actualizan los principios de presunción de existencia y el principio de documentar que corresponde a los sujetos obligados cuando se refiere a las facultades, competencias o funciones que tienen encomendadas, así como a la obligatoriedad que tienen los funcionarios de documentar el ejercicio de sus atribuciones y funciones. </w:t>
      </w:r>
    </w:p>
    <w:p w:rsidR="00717097" w:rsidRPr="00B1222E" w:rsidRDefault="00717097" w:rsidP="00717097">
      <w:pPr>
        <w:spacing w:line="360" w:lineRule="auto"/>
        <w:ind w:right="142"/>
        <w:jc w:val="both"/>
        <w:rPr>
          <w:rFonts w:ascii="Palatino Linotype" w:hAnsi="Palatino Linotype" w:cs="Arial"/>
        </w:rPr>
      </w:pPr>
    </w:p>
    <w:p w:rsidR="00717097" w:rsidRPr="00002446" w:rsidRDefault="00717097" w:rsidP="00717097">
      <w:pPr>
        <w:numPr>
          <w:ilvl w:val="0"/>
          <w:numId w:val="15"/>
        </w:numPr>
        <w:spacing w:line="360" w:lineRule="auto"/>
        <w:ind w:left="0" w:firstLine="0"/>
        <w:contextualSpacing/>
        <w:jc w:val="both"/>
        <w:rPr>
          <w:rFonts w:ascii="Palatino Linotype" w:eastAsia="Times New Roman" w:hAnsi="Palatino Linotype" w:cs="Arial"/>
          <w:lang w:val="es-ES" w:eastAsia="es-MX"/>
        </w:rPr>
      </w:pPr>
      <w:r w:rsidRPr="008B00F7">
        <w:rPr>
          <w:rFonts w:ascii="Palatino Linotype" w:eastAsia="Times New Roman" w:hAnsi="Palatino Linotype" w:cs="Arial"/>
          <w:lang w:val="es-ES" w:eastAsia="es-MX"/>
        </w:rPr>
        <w:t xml:space="preserve">De la misma forma, </w:t>
      </w:r>
      <w:r w:rsidRPr="008B00F7">
        <w:rPr>
          <w:rFonts w:ascii="Palatino Linotype" w:eastAsia="MS Mincho" w:hAnsi="Palatino Linotype" w:cs="Times New Roman"/>
        </w:rPr>
        <w:t>de acuerdo al contenido del artículo 160</w:t>
      </w:r>
      <w:r w:rsidRPr="008B00F7">
        <w:rPr>
          <w:rFonts w:ascii="Palatino Linotype" w:eastAsia="Times New Roman" w:hAnsi="Palatino Linotype" w:cs="Arial"/>
        </w:rPr>
        <w:t xml:space="preserve"> de la Ley </w:t>
      </w:r>
      <w:r w:rsidRPr="008B00F7">
        <w:rPr>
          <w:rFonts w:ascii="Palatino Linotype" w:eastAsia="MS Mincho" w:hAnsi="Palatino Linotype" w:cs="Tahoma"/>
        </w:rPr>
        <w:t xml:space="preserve">General de </w:t>
      </w:r>
      <w:r w:rsidRPr="00002446">
        <w:rPr>
          <w:rFonts w:ascii="Palatino Linotype" w:hAnsi="Palatino Linotype" w:cs="Arial"/>
        </w:rPr>
        <w:t>Transparencia</w:t>
      </w:r>
      <w:r w:rsidRPr="008B00F7">
        <w:rPr>
          <w:rFonts w:ascii="Palatino Linotype" w:eastAsia="MS Mincho" w:hAnsi="Palatino Linotype" w:cs="Tahoma"/>
        </w:rPr>
        <w:t xml:space="preserve"> y Acceso a la Información Pública que a la letra dispone:</w:t>
      </w:r>
    </w:p>
    <w:p w:rsidR="00717097" w:rsidRDefault="00717097" w:rsidP="00717097">
      <w:pPr>
        <w:pStyle w:val="Prrafodelista"/>
        <w:rPr>
          <w:rFonts w:ascii="Palatino Linotype" w:eastAsia="Times New Roman" w:hAnsi="Palatino Linotype" w:cs="Arial"/>
          <w:lang w:val="es-ES" w:eastAsia="es-MX"/>
        </w:rPr>
      </w:pPr>
    </w:p>
    <w:p w:rsidR="00717097" w:rsidRDefault="00717097" w:rsidP="00717097">
      <w:pPr>
        <w:spacing w:line="360" w:lineRule="auto"/>
        <w:ind w:left="709" w:right="616"/>
        <w:contextualSpacing/>
        <w:jc w:val="both"/>
        <w:rPr>
          <w:rFonts w:ascii="Palatino Linotype" w:eastAsia="Times New Roman" w:hAnsi="Palatino Linotype" w:cs="Arial"/>
          <w:i/>
          <w:lang w:eastAsia="gl-ES"/>
        </w:rPr>
      </w:pPr>
      <w:r w:rsidRPr="00FC7E81">
        <w:rPr>
          <w:rFonts w:ascii="Palatino Linotype" w:eastAsia="Times New Roman" w:hAnsi="Palatino Linotype" w:cs="Arial"/>
          <w:b/>
          <w:i/>
          <w:lang w:eastAsia="gl-ES"/>
        </w:rPr>
        <w:t>Artículo 160</w:t>
      </w:r>
      <w:r w:rsidRPr="00FC7E81">
        <w:rPr>
          <w:rFonts w:ascii="Palatino Linotype" w:eastAsia="Times New Roman" w:hAnsi="Palatino Linotype" w:cs="Arial"/>
          <w:i/>
          <w:lang w:eastAsia="gl-ES"/>
        </w:rPr>
        <w:t xml:space="preserve">. Los sujetos obligados deberán otorgar acceso a los documentos que se encuentren en sus archivos o que estén obligados a documentar de </w:t>
      </w:r>
      <w:r w:rsidRPr="00FC7E81">
        <w:rPr>
          <w:rFonts w:ascii="Palatino Linotype" w:eastAsia="Times New Roman" w:hAnsi="Palatino Linotype" w:cs="Arial"/>
          <w:i/>
          <w:lang w:eastAsia="gl-ES"/>
        </w:rPr>
        <w:lastRenderedPageBreak/>
        <w:t>acuerdo con sus facultades, competencias o funciones en el formato que el solicitante manifieste, de entre aquellos formatos existentes, conforme a las características físicas de la información o del lugar donde se encuentre así lo permita.</w:t>
      </w:r>
    </w:p>
    <w:p w:rsidR="00717097" w:rsidRPr="00B1222E" w:rsidRDefault="00717097" w:rsidP="00717097">
      <w:pPr>
        <w:spacing w:line="360" w:lineRule="auto"/>
        <w:ind w:right="616"/>
        <w:contextualSpacing/>
        <w:jc w:val="both"/>
        <w:rPr>
          <w:rFonts w:ascii="Palatino Linotype" w:eastAsia="Times New Roman" w:hAnsi="Palatino Linotype" w:cs="Arial"/>
          <w:lang w:eastAsia="gl-ES"/>
        </w:rPr>
      </w:pPr>
    </w:p>
    <w:p w:rsidR="00717097" w:rsidRDefault="00717097" w:rsidP="00717097">
      <w:pPr>
        <w:numPr>
          <w:ilvl w:val="0"/>
          <w:numId w:val="15"/>
        </w:numPr>
        <w:spacing w:line="360" w:lineRule="auto"/>
        <w:ind w:left="0" w:firstLine="0"/>
        <w:contextualSpacing/>
        <w:jc w:val="both"/>
        <w:rPr>
          <w:rFonts w:ascii="Palatino Linotype" w:eastAsia="Calibri" w:hAnsi="Palatino Linotype" w:cs="Arial"/>
        </w:rPr>
      </w:pPr>
      <w:r w:rsidRPr="007238F4">
        <w:rPr>
          <w:rFonts w:ascii="Palatino Linotype" w:eastAsia="Calibri" w:hAnsi="Palatino Linotype" w:cs="Arial"/>
        </w:rPr>
        <w:t xml:space="preserve">Como se puede advertir el derecho del particular de acceder a los documentos que obran en posesión del Sujeto Obligado se encuentra limitado, en virtud de que </w:t>
      </w:r>
      <w:r>
        <w:rPr>
          <w:rFonts w:ascii="Palatino Linotype" w:eastAsia="Calibri" w:hAnsi="Palatino Linotype" w:cs="Arial"/>
        </w:rPr>
        <w:t>no le fue entregada la información;</w:t>
      </w:r>
      <w:r w:rsidRPr="007238F4">
        <w:rPr>
          <w:rFonts w:ascii="Palatino Linotype" w:eastAsia="Calibri" w:hAnsi="Palatino Linotype" w:cs="Arial"/>
        </w:rPr>
        <w:t xml:space="preserve"> incumpliendo así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w:t>
      </w:r>
      <w:r w:rsidRPr="001D5E13">
        <w:rPr>
          <w:rFonts w:ascii="Palatino Linotype" w:eastAsia="Calibri" w:hAnsi="Palatino Linotype" w:cs="Arial"/>
        </w:rPr>
        <w:t>reconocerse como un derecho fundamental es que todo Sujeto Obligado debe ceñir su actuar a la conservación patrimonial de sus archivos documentales y posteriormente el acceso de la información pública.</w:t>
      </w:r>
    </w:p>
    <w:p w:rsidR="00717097" w:rsidRPr="00002446" w:rsidRDefault="00717097" w:rsidP="00717097">
      <w:pPr>
        <w:spacing w:line="360" w:lineRule="auto"/>
        <w:contextualSpacing/>
        <w:jc w:val="both"/>
        <w:rPr>
          <w:rFonts w:ascii="Palatino Linotype" w:hAnsi="Palatino Linotype" w:cs="Arial"/>
        </w:rPr>
      </w:pPr>
    </w:p>
    <w:p w:rsidR="00717097" w:rsidRDefault="00717097" w:rsidP="00717097">
      <w:pPr>
        <w:numPr>
          <w:ilvl w:val="0"/>
          <w:numId w:val="15"/>
        </w:numPr>
        <w:spacing w:line="360" w:lineRule="auto"/>
        <w:ind w:left="0" w:firstLine="0"/>
        <w:contextualSpacing/>
        <w:jc w:val="both"/>
        <w:rPr>
          <w:rFonts w:ascii="Palatino Linotype" w:hAnsi="Palatino Linotype" w:cs="Arial"/>
        </w:rPr>
      </w:pPr>
      <w:r w:rsidRPr="00002446">
        <w:rPr>
          <w:rFonts w:ascii="Palatino Linotype" w:eastAsia="Calibri" w:hAnsi="Palatino Linotype" w:cs="Arial"/>
        </w:rPr>
        <w:t>Consecuentemente</w:t>
      </w:r>
      <w:r w:rsidRPr="007238F4">
        <w:rPr>
          <w:rFonts w:ascii="Palatino Linotype" w:hAnsi="Palatino Linotype"/>
        </w:rPr>
        <w:t xml:space="preserve">, no </w:t>
      </w:r>
      <w:r>
        <w:rPr>
          <w:rFonts w:ascii="Palatino Linotype" w:hAnsi="Palatino Linotype"/>
        </w:rPr>
        <w:t>fue</w:t>
      </w:r>
      <w:r w:rsidRPr="007238F4">
        <w:rPr>
          <w:rFonts w:ascii="Palatino Linotype" w:hAnsi="Palatino Linotype"/>
        </w:rPr>
        <w:t xml:space="preserve"> posible tener por satisfecho el derecho de acceso a la información del hoy recurrente</w:t>
      </w:r>
      <w:r w:rsidRPr="007238F4">
        <w:rPr>
          <w:rFonts w:ascii="Palatino Linotype" w:hAnsi="Palatino Linotype"/>
          <w:b/>
          <w:i/>
        </w:rPr>
        <w:t xml:space="preserve"> </w:t>
      </w:r>
      <w:r w:rsidRPr="007238F4">
        <w:rPr>
          <w:rFonts w:ascii="Palatino Linotype" w:hAnsi="Palatino Linotype"/>
        </w:rPr>
        <w:t xml:space="preserve">en virtud de que </w:t>
      </w:r>
      <w:r>
        <w:rPr>
          <w:rFonts w:ascii="Palatino Linotype" w:hAnsi="Palatino Linotype"/>
        </w:rPr>
        <w:t>en</w:t>
      </w:r>
      <w:r w:rsidRPr="001D5E13">
        <w:rPr>
          <w:rFonts w:ascii="Palatino Linotype" w:hAnsi="Palatino Linotype" w:cs="Arial"/>
        </w:rPr>
        <w:t xml:space="preserve"> primer término es preciso referir que estamos ante el escenario de documentos los cuales son </w:t>
      </w:r>
      <w:r>
        <w:rPr>
          <w:rFonts w:ascii="Palatino Linotype" w:hAnsi="Palatino Linotype" w:cs="Arial"/>
        </w:rPr>
        <w:t xml:space="preserve">considerados </w:t>
      </w:r>
      <w:r>
        <w:rPr>
          <w:rFonts w:ascii="Palatino Linotype" w:hAnsi="Palatino Linotype" w:cs="Arial"/>
        </w:rPr>
        <w:lastRenderedPageBreak/>
        <w:t>públicos, es decir</w:t>
      </w:r>
      <w:r w:rsidRPr="001D5E13">
        <w:rPr>
          <w:rFonts w:ascii="Palatino Linotype" w:hAnsi="Palatino Linotype" w:cs="Arial"/>
        </w:rPr>
        <w:t>, la naturaleza de los oficios y de los asuntos que</w:t>
      </w:r>
      <w:r>
        <w:rPr>
          <w:rFonts w:ascii="Palatino Linotype" w:hAnsi="Palatino Linotype" w:cs="Arial"/>
        </w:rPr>
        <w:t xml:space="preserve"> se traten</w:t>
      </w:r>
      <w:r w:rsidRPr="001D5E13">
        <w:rPr>
          <w:rFonts w:ascii="Palatino Linotype" w:hAnsi="Palatino Linotype" w:cs="Arial"/>
        </w:rPr>
        <w:t>, sirve de referencia los artículos 1, 2, 5 y 6 de la Ley de Documentos Administrativos e Históricos del Estado de México que a continuación se trascriben:</w:t>
      </w:r>
    </w:p>
    <w:p w:rsidR="00717097" w:rsidRDefault="00717097" w:rsidP="00717097">
      <w:pPr>
        <w:pStyle w:val="Prrafodelista"/>
        <w:rPr>
          <w:rFonts w:ascii="Palatino Linotype" w:hAnsi="Palatino Linotype" w:cs="Arial"/>
        </w:rPr>
      </w:pPr>
    </w:p>
    <w:p w:rsidR="00717097" w:rsidRDefault="00717097" w:rsidP="00717097">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1. La presente Ley, </w:t>
      </w:r>
      <w:r w:rsidRPr="001D5E13">
        <w:rPr>
          <w:rFonts w:ascii="Palatino Linotype" w:hAnsi="Palatino Linotype" w:cs="Arial"/>
          <w:b/>
          <w:i/>
          <w:u w:val="single"/>
        </w:rPr>
        <w:t xml:space="preserve">es de orden público e interés social y tiene por objeto normar y regular la administración de documentos administrativos </w:t>
      </w:r>
      <w:r w:rsidRPr="00943C74">
        <w:rPr>
          <w:rFonts w:ascii="Palatino Linotype" w:hAnsi="Palatino Linotype" w:cs="Arial"/>
          <w:i/>
        </w:rPr>
        <w:t>e históricos</w:t>
      </w:r>
      <w:r w:rsidRPr="001D5E13">
        <w:rPr>
          <w:rFonts w:ascii="Palatino Linotype" w:hAnsi="Palatino Linotype" w:cs="Arial"/>
          <w:b/>
          <w:i/>
          <w:u w:val="single"/>
        </w:rPr>
        <w:t xml:space="preserve"> de las autoridades del Estado</w:t>
      </w:r>
      <w:r w:rsidRPr="001D5E13">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717097" w:rsidRPr="001D5E13" w:rsidRDefault="00717097" w:rsidP="00717097">
      <w:pPr>
        <w:spacing w:line="360" w:lineRule="auto"/>
        <w:ind w:left="567" w:right="616"/>
        <w:jc w:val="both"/>
        <w:rPr>
          <w:rFonts w:ascii="Palatino Linotype" w:hAnsi="Palatino Linotype" w:cs="Arial"/>
          <w:i/>
        </w:rPr>
      </w:pPr>
    </w:p>
    <w:p w:rsidR="00717097" w:rsidRPr="001D5E13" w:rsidRDefault="00717097" w:rsidP="00717097">
      <w:pPr>
        <w:spacing w:line="360" w:lineRule="auto"/>
        <w:ind w:left="567" w:right="616"/>
        <w:jc w:val="both"/>
        <w:rPr>
          <w:rFonts w:ascii="Palatino Linotype" w:hAnsi="Palatino Linotype" w:cs="Arial"/>
          <w:b/>
          <w:i/>
          <w:u w:val="single"/>
        </w:rPr>
      </w:pPr>
      <w:r w:rsidRPr="001D5E13">
        <w:rPr>
          <w:rFonts w:ascii="Palatino Linotype" w:hAnsi="Palatino Linotype" w:cs="Arial"/>
          <w:i/>
        </w:rPr>
        <w:t xml:space="preserve">“Artículo 2.- Para los efectos de esta Ley, </w:t>
      </w:r>
      <w:r w:rsidRPr="001D5E13">
        <w:rPr>
          <w:rFonts w:ascii="Palatino Linotype" w:hAnsi="Palatino Linotype" w:cs="Arial"/>
          <w:b/>
          <w:i/>
          <w:u w:val="single"/>
        </w:rPr>
        <w:t xml:space="preserve">se entiende por Administración de Documentos: </w:t>
      </w:r>
    </w:p>
    <w:p w:rsidR="00717097" w:rsidRPr="001D5E13" w:rsidRDefault="00717097" w:rsidP="00717097">
      <w:pPr>
        <w:spacing w:line="360" w:lineRule="auto"/>
        <w:ind w:left="567" w:right="616"/>
        <w:jc w:val="both"/>
        <w:rPr>
          <w:rFonts w:ascii="Palatino Linotype" w:hAnsi="Palatino Linotype" w:cs="Arial"/>
          <w:i/>
        </w:rPr>
      </w:pPr>
      <w:r w:rsidRPr="001D5E13">
        <w:rPr>
          <w:rFonts w:ascii="Palatino Linotype" w:hAnsi="Palatino Linotype" w:cs="Arial"/>
          <w:i/>
        </w:rPr>
        <w:t xml:space="preserve">a) </w:t>
      </w:r>
      <w:r w:rsidRPr="001D5E13">
        <w:rPr>
          <w:rFonts w:ascii="Palatino Linotype" w:hAnsi="Palatino Linotype" w:cs="Arial"/>
          <w:b/>
          <w:i/>
          <w:u w:val="single"/>
        </w:rPr>
        <w:t>Los actos tendientes a inventariar, regular, coordinar y dinamizar el funcionamiento y uso de los documentos existentes</w:t>
      </w:r>
      <w:r w:rsidRPr="001D5E13">
        <w:rPr>
          <w:rFonts w:ascii="Palatino Linotype" w:hAnsi="Palatino Linotype" w:cs="Arial"/>
          <w:i/>
        </w:rPr>
        <w:t xml:space="preserve"> en los Archivos Administrativos e Históricos de los Poderes del Estado, Municipios y Organismos Auxiliares y en su caso, los que posean particulares.</w:t>
      </w:r>
    </w:p>
    <w:p w:rsidR="00717097" w:rsidRDefault="00717097" w:rsidP="00717097">
      <w:pPr>
        <w:spacing w:line="360" w:lineRule="auto"/>
        <w:ind w:left="567" w:right="616"/>
        <w:jc w:val="both"/>
        <w:rPr>
          <w:rFonts w:ascii="Palatino Linotype" w:hAnsi="Palatino Linotype" w:cs="Arial"/>
          <w:i/>
        </w:rPr>
      </w:pPr>
      <w:r w:rsidRPr="001D5E13">
        <w:rPr>
          <w:rFonts w:ascii="Palatino Linotype" w:hAnsi="Palatino Linotype" w:cs="Arial"/>
          <w:i/>
        </w:rPr>
        <w:t xml:space="preserve">b) </w:t>
      </w:r>
      <w:r w:rsidRPr="001D5E13">
        <w:rPr>
          <w:rFonts w:ascii="Palatino Linotype" w:hAnsi="Palatino Linotype" w:cs="Arial"/>
          <w:b/>
          <w:i/>
          <w:u w:val="single"/>
        </w:rPr>
        <w:t>Los actos que se realicen para generar, recibir, mantener, custodiar, reconstruir, depurar o destruir Documentos Administrativos</w:t>
      </w:r>
      <w:r w:rsidRPr="001D5E13">
        <w:rPr>
          <w:rFonts w:ascii="Palatino Linotype" w:hAnsi="Palatino Linotype" w:cs="Arial"/>
          <w:i/>
        </w:rPr>
        <w:t xml:space="preserve"> o Históricos, que por su importancia sean fuentes esenciales de información acerca del pasado y presente de la vida institucional del Estado.”</w:t>
      </w:r>
    </w:p>
    <w:p w:rsidR="00717097" w:rsidRPr="001D5E13" w:rsidRDefault="00717097" w:rsidP="00717097">
      <w:pPr>
        <w:spacing w:line="360" w:lineRule="auto"/>
        <w:ind w:left="567" w:right="616"/>
        <w:jc w:val="both"/>
        <w:rPr>
          <w:rFonts w:ascii="Palatino Linotype" w:hAnsi="Palatino Linotype" w:cs="Arial"/>
          <w:i/>
        </w:rPr>
      </w:pPr>
    </w:p>
    <w:p w:rsidR="00717097" w:rsidRDefault="00717097" w:rsidP="00717097">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3.- Los sujetos públicos encargados de realizar los actos a que se refiere el artículo anterior, son los Poderes del Estado, Municipios y Organismos </w:t>
      </w:r>
      <w:r w:rsidRPr="001D5E13">
        <w:rPr>
          <w:rFonts w:ascii="Palatino Linotype" w:hAnsi="Palatino Linotype" w:cs="Arial"/>
          <w:i/>
        </w:rPr>
        <w:lastRenderedPageBreak/>
        <w:t>Auxiliares. Los usuarios, son aquellas personas, que reciben el beneficio del uso temporal y controlado de los Documentos que obran en los Archivos.”</w:t>
      </w:r>
    </w:p>
    <w:p w:rsidR="00717097" w:rsidRDefault="00717097" w:rsidP="00717097">
      <w:pPr>
        <w:spacing w:line="360" w:lineRule="auto"/>
        <w:ind w:left="567" w:right="616"/>
        <w:jc w:val="both"/>
        <w:rPr>
          <w:rFonts w:ascii="Palatino Linotype" w:hAnsi="Palatino Linotype" w:cs="Arial"/>
          <w:b/>
          <w:i/>
          <w:u w:val="single"/>
        </w:rPr>
      </w:pPr>
      <w:r w:rsidRPr="001D5E13">
        <w:rPr>
          <w:rFonts w:ascii="Palatino Linotype" w:hAnsi="Palatino Linotype" w:cs="Arial"/>
          <w:i/>
        </w:rPr>
        <w:t xml:space="preserve">“Artículo 5.- </w:t>
      </w:r>
      <w:r w:rsidRPr="001D5E13">
        <w:rPr>
          <w:rFonts w:ascii="Palatino Linotype" w:hAnsi="Palatino Linotype" w:cs="Arial"/>
          <w:b/>
          <w:i/>
          <w:u w:val="single"/>
        </w:rPr>
        <w:t>El servidor público, encargado de recibir documentos, los registrará en el acto de su recepción, indicando el destino que deba darse a cada uno</w:t>
      </w:r>
    </w:p>
    <w:p w:rsidR="00717097" w:rsidRPr="001D5E13" w:rsidRDefault="00717097" w:rsidP="00717097">
      <w:pPr>
        <w:spacing w:line="360" w:lineRule="auto"/>
        <w:ind w:left="567" w:right="616"/>
        <w:jc w:val="both"/>
        <w:rPr>
          <w:rFonts w:ascii="Palatino Linotype" w:hAnsi="Palatino Linotype" w:cs="Arial"/>
          <w:i/>
        </w:rPr>
      </w:pPr>
    </w:p>
    <w:p w:rsidR="00717097" w:rsidRDefault="00717097" w:rsidP="00717097">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6.- </w:t>
      </w:r>
      <w:r w:rsidRPr="001D5E13">
        <w:rPr>
          <w:rFonts w:ascii="Palatino Linotype" w:hAnsi="Palatino Linotype" w:cs="Arial"/>
          <w:b/>
          <w:i/>
          <w:u w:val="single"/>
        </w:rPr>
        <w:t>Los usuarios tendrán acceso a la información de los documentos, conforme a lo dispuesto por la ley de la materia</w:t>
      </w:r>
      <w:r w:rsidRPr="001D5E13">
        <w:rPr>
          <w:rFonts w:ascii="Palatino Linotype" w:hAnsi="Palatino Linotype" w:cs="Arial"/>
          <w:i/>
        </w:rPr>
        <w:t>.”</w:t>
      </w:r>
    </w:p>
    <w:p w:rsidR="00717097" w:rsidRDefault="00717097" w:rsidP="00717097">
      <w:pPr>
        <w:spacing w:line="360" w:lineRule="auto"/>
        <w:ind w:left="567" w:right="851"/>
        <w:jc w:val="both"/>
        <w:rPr>
          <w:rFonts w:ascii="Palatino Linotype" w:hAnsi="Palatino Linotype" w:cs="Arial"/>
        </w:rPr>
      </w:pPr>
      <w:r w:rsidRPr="00002446">
        <w:rPr>
          <w:rFonts w:ascii="Palatino Linotype" w:hAnsi="Palatino Linotype" w:cs="Arial"/>
        </w:rPr>
        <w:t>(Énfasis añadido)</w:t>
      </w:r>
    </w:p>
    <w:p w:rsidR="00717097" w:rsidRDefault="00717097" w:rsidP="00717097">
      <w:pPr>
        <w:spacing w:line="360" w:lineRule="auto"/>
        <w:ind w:left="851" w:right="851"/>
        <w:jc w:val="both"/>
        <w:rPr>
          <w:rFonts w:ascii="Palatino Linotype" w:hAnsi="Palatino Linotype" w:cs="Arial"/>
        </w:rPr>
      </w:pPr>
    </w:p>
    <w:p w:rsidR="00717097" w:rsidRDefault="00717097" w:rsidP="00717097">
      <w:pPr>
        <w:numPr>
          <w:ilvl w:val="0"/>
          <w:numId w:val="15"/>
        </w:numPr>
        <w:spacing w:before="240" w:after="240" w:line="360" w:lineRule="auto"/>
        <w:ind w:left="0" w:right="49" w:firstLine="0"/>
        <w:contextualSpacing/>
        <w:jc w:val="both"/>
        <w:rPr>
          <w:rFonts w:ascii="Palatino Linotype" w:hAnsi="Palatino Linotype"/>
        </w:rPr>
      </w:pPr>
      <w:r w:rsidRPr="00002446">
        <w:rPr>
          <w:rFonts w:ascii="Palatino Linotype" w:hAnsi="Palatino Linotype"/>
        </w:rPr>
        <w:t xml:space="preserve">De los preceptos jurídicos invocados con anterioridad se desprende que la Ley que regula los documentos en el Estado indica que es de orden público e interés social, es </w:t>
      </w:r>
      <w:r w:rsidRPr="00002446">
        <w:rPr>
          <w:rFonts w:ascii="Palatino Linotype" w:eastAsia="Calibri" w:hAnsi="Palatino Linotype" w:cs="Arial"/>
        </w:rPr>
        <w:t>decir</w:t>
      </w:r>
      <w:r w:rsidRPr="00002446">
        <w:rPr>
          <w:rFonts w:ascii="Palatino Linotype" w:hAnsi="Palatino Linotype"/>
        </w:rPr>
        <w:t xml:space="preserve">, tiene efectos </w:t>
      </w:r>
      <w:r w:rsidRPr="00002446">
        <w:rPr>
          <w:rFonts w:ascii="Palatino Linotype" w:hAnsi="Palatino Linotype"/>
          <w:i/>
        </w:rPr>
        <w:t>erga omnes</w:t>
      </w:r>
      <w:r w:rsidRPr="00002446">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rsidR="00717097" w:rsidRPr="00002446" w:rsidRDefault="00717097" w:rsidP="00717097">
      <w:pPr>
        <w:spacing w:before="240" w:after="240" w:line="360" w:lineRule="auto"/>
        <w:ind w:left="284" w:right="49"/>
        <w:contextualSpacing/>
        <w:jc w:val="both"/>
        <w:rPr>
          <w:rFonts w:ascii="Palatino Linotype" w:hAnsi="Palatino Linotype"/>
        </w:rPr>
      </w:pPr>
    </w:p>
    <w:p w:rsidR="00717097" w:rsidRPr="001D5E13" w:rsidRDefault="00717097" w:rsidP="00717097">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 xml:space="preserve">Por otro lado, las instituciones encargadas de la administración de documentos y que a su vez en </w:t>
      </w:r>
      <w:r w:rsidRPr="00002446">
        <w:rPr>
          <w:rFonts w:ascii="Palatino Linotype" w:hAnsi="Palatino Linotype"/>
        </w:rPr>
        <w:t>relación</w:t>
      </w:r>
      <w:r w:rsidRPr="001D5E13">
        <w:rPr>
          <w:rFonts w:ascii="Palatino Linotype" w:hAnsi="Palatino Linotype" w:cs="Arial"/>
        </w:rPr>
        <w:t xml:space="preserve"> con lo anterior realizan actos de autoridad, deben llevar una correcta administración de los documentos que</w:t>
      </w:r>
      <w:r>
        <w:rPr>
          <w:rFonts w:ascii="Palatino Linotype" w:hAnsi="Palatino Linotype" w:cs="Arial"/>
        </w:rPr>
        <w:t xml:space="preserve"> generan</w:t>
      </w:r>
      <w:r w:rsidRPr="001D5E13">
        <w:rPr>
          <w:rFonts w:ascii="Palatino Linotype" w:hAnsi="Palatino Linotype" w:cs="Arial"/>
        </w:rPr>
        <w:t xml:space="preserve"> y reciben, en el entendido que la administración no solo lleva el resguardo de los documentos </w:t>
      </w:r>
      <w:r w:rsidRPr="001D5E13">
        <w:rPr>
          <w:rFonts w:ascii="Palatino Linotype" w:hAnsi="Palatino Linotype" w:cs="Arial"/>
        </w:rPr>
        <w:lastRenderedPageBreak/>
        <w:t>sino también el inventario, regulación, coordinación y dinamización en el funcionamiento y uso de estos.</w:t>
      </w:r>
    </w:p>
    <w:p w:rsidR="00717097" w:rsidRPr="001D5E13" w:rsidRDefault="00717097" w:rsidP="00717097">
      <w:pPr>
        <w:pStyle w:val="Prrafodelista"/>
        <w:rPr>
          <w:rFonts w:ascii="Palatino Linotype" w:hAnsi="Palatino Linotype" w:cs="Arial"/>
        </w:rPr>
      </w:pPr>
    </w:p>
    <w:p w:rsidR="00717097" w:rsidRPr="00D31FC8" w:rsidRDefault="00717097" w:rsidP="00717097">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As</w:t>
      </w:r>
      <w:r>
        <w:rPr>
          <w:rFonts w:ascii="Palatino Linotype" w:hAnsi="Palatino Linotype" w:cs="Arial"/>
        </w:rPr>
        <w:t>i</w:t>
      </w:r>
      <w:r w:rsidRPr="001D5E13">
        <w:rPr>
          <w:rFonts w:ascii="Palatino Linotype" w:hAnsi="Palatino Linotype" w:cs="Arial"/>
        </w:rPr>
        <w:t xml:space="preserve">mismo, los documentos generados </w:t>
      </w:r>
      <w:r w:rsidRPr="00F26C18">
        <w:rPr>
          <w:rFonts w:ascii="Palatino Linotype" w:hAnsi="Palatino Linotype" w:cs="Arial"/>
        </w:rPr>
        <w:t xml:space="preserve">por las instituciones en este caso por </w:t>
      </w:r>
      <w:r>
        <w:rPr>
          <w:rFonts w:ascii="Palatino Linotype" w:hAnsi="Palatino Linotype" w:cs="Arial"/>
        </w:rPr>
        <w:t>el Ayuntamiento de Ecatepec de Morelos</w:t>
      </w:r>
      <w:r w:rsidRPr="001D5E13">
        <w:rPr>
          <w:rFonts w:ascii="Palatino Linotype" w:hAnsi="Palatino Linotype" w:cs="Arial"/>
        </w:rPr>
        <w:t>, debieron ser registrados en el acto de su generación o recepción, indicando en todo momento el destino de estos, para un control de específico</w:t>
      </w:r>
      <w:r>
        <w:rPr>
          <w:rFonts w:ascii="Palatino Linotype" w:hAnsi="Palatino Linotype" w:cs="Arial"/>
        </w:rPr>
        <w:t xml:space="preserve"> y puntual de dichos documentos</w:t>
      </w:r>
      <w:r w:rsidRPr="009013BD">
        <w:rPr>
          <w:rFonts w:ascii="Palatino Linotype" w:hAnsi="Palatino Linotype" w:cs="Arial"/>
        </w:rPr>
        <w:t>, también es importante hacer ver que el marco jurídico antes citado establece las bases mínimas para concentrar y administrar el material documental y dicha ley es el instrumento jurídico que norma el archivo y la administración de los documentos.</w:t>
      </w:r>
    </w:p>
    <w:p w:rsidR="00717097" w:rsidRDefault="00717097" w:rsidP="00717097">
      <w:pPr>
        <w:rPr>
          <w:rFonts w:ascii="Palatino Linotype" w:hAnsi="Palatino Linotype"/>
        </w:rPr>
      </w:pPr>
    </w:p>
    <w:p w:rsidR="00717097" w:rsidRPr="00486BDF" w:rsidRDefault="00717097" w:rsidP="00717097">
      <w:pPr>
        <w:keepNext/>
        <w:keepLines/>
        <w:spacing w:line="360" w:lineRule="auto"/>
        <w:outlineLvl w:val="0"/>
        <w:rPr>
          <w:rFonts w:ascii="Palatino Linotype" w:eastAsia="MS Gothic" w:hAnsi="Palatino Linotype" w:cstheme="majorBidi"/>
          <w:b/>
        </w:rPr>
      </w:pPr>
      <w:bookmarkStart w:id="150" w:name="_Toc487739452"/>
      <w:bookmarkStart w:id="151" w:name="_Toc524344196"/>
      <w:bookmarkStart w:id="152" w:name="_Toc526271201"/>
      <w:bookmarkStart w:id="153" w:name="_Toc536106975"/>
      <w:bookmarkStart w:id="154" w:name="_Toc70536304"/>
      <w:r>
        <w:rPr>
          <w:rFonts w:ascii="Palatino Linotype" w:eastAsia="MS Gothic" w:hAnsi="Palatino Linotype" w:cstheme="majorBidi"/>
          <w:b/>
        </w:rPr>
        <w:t>QUINTO</w:t>
      </w:r>
      <w:r w:rsidRPr="00486BDF">
        <w:rPr>
          <w:rFonts w:ascii="Palatino Linotype" w:eastAsia="MS Gothic" w:hAnsi="Palatino Linotype" w:cstheme="majorBidi"/>
          <w:b/>
        </w:rPr>
        <w:t xml:space="preserve">. </w:t>
      </w:r>
      <w:r>
        <w:rPr>
          <w:rFonts w:ascii="Palatino Linotype" w:eastAsia="MS Gothic" w:hAnsi="Palatino Linotype" w:cstheme="majorBidi"/>
          <w:b/>
        </w:rPr>
        <w:t>De la v</w:t>
      </w:r>
      <w:r w:rsidRPr="00486BDF">
        <w:rPr>
          <w:rFonts w:ascii="Palatino Linotype" w:eastAsia="MS Gothic" w:hAnsi="Palatino Linotype" w:cstheme="majorBidi"/>
          <w:b/>
        </w:rPr>
        <w:t>ista al</w:t>
      </w:r>
      <w:r>
        <w:rPr>
          <w:rFonts w:ascii="Palatino Linotype" w:eastAsia="MS Gothic" w:hAnsi="Palatino Linotype" w:cstheme="majorBidi"/>
          <w:b/>
        </w:rPr>
        <w:t xml:space="preserve"> </w:t>
      </w:r>
      <w:r w:rsidRPr="00486BDF">
        <w:rPr>
          <w:rFonts w:ascii="Palatino Linotype" w:eastAsia="MS Gothic" w:hAnsi="Palatino Linotype" w:cstheme="majorBidi"/>
          <w:b/>
        </w:rPr>
        <w:t>Órgano</w:t>
      </w:r>
      <w:r>
        <w:rPr>
          <w:rFonts w:ascii="Palatino Linotype" w:eastAsia="MS Gothic" w:hAnsi="Palatino Linotype" w:cstheme="majorBidi"/>
          <w:b/>
        </w:rPr>
        <w:t xml:space="preserve"> d</w:t>
      </w:r>
      <w:r w:rsidRPr="00486BDF">
        <w:rPr>
          <w:rFonts w:ascii="Palatino Linotype" w:eastAsia="MS Gothic" w:hAnsi="Palatino Linotype" w:cstheme="majorBidi"/>
          <w:b/>
        </w:rPr>
        <w:t>e Control Interno</w:t>
      </w:r>
      <w:bookmarkEnd w:id="150"/>
      <w:bookmarkEnd w:id="151"/>
      <w:bookmarkEnd w:id="152"/>
      <w:bookmarkEnd w:id="153"/>
      <w:bookmarkEnd w:id="154"/>
      <w:r>
        <w:rPr>
          <w:rFonts w:ascii="Palatino Linotype" w:eastAsia="MS Gothic" w:hAnsi="Palatino Linotype" w:cstheme="majorBidi"/>
          <w:b/>
        </w:rPr>
        <w:t>.</w:t>
      </w:r>
    </w:p>
    <w:p w:rsidR="00717097" w:rsidRPr="00486BDF" w:rsidRDefault="00717097" w:rsidP="00717097"/>
    <w:p w:rsidR="00717097" w:rsidRDefault="00717097" w:rsidP="00717097">
      <w:pPr>
        <w:numPr>
          <w:ilvl w:val="0"/>
          <w:numId w:val="15"/>
        </w:numPr>
        <w:spacing w:line="360" w:lineRule="auto"/>
        <w:ind w:left="0" w:firstLine="0"/>
        <w:contextualSpacing/>
        <w:jc w:val="both"/>
        <w:rPr>
          <w:rFonts w:ascii="Palatino Linotype" w:hAnsi="Palatino Linotype"/>
        </w:rPr>
      </w:pPr>
      <w:bookmarkStart w:id="155" w:name="_Toc531859120"/>
      <w:bookmarkStart w:id="156" w:name="_Toc2871952"/>
      <w:bookmarkStart w:id="157" w:name="_Toc20246253"/>
      <w:bookmarkStart w:id="158" w:name="_Toc24023250"/>
      <w:bookmarkStart w:id="159" w:name="_Toc26461369"/>
      <w:bookmarkStart w:id="160" w:name="_Toc29481474"/>
      <w:bookmarkStart w:id="161" w:name="_Toc36648201"/>
      <w:bookmarkStart w:id="162" w:name="_Toc36732268"/>
      <w:bookmarkStart w:id="163" w:name="_Toc38560292"/>
      <w:bookmarkStart w:id="164" w:name="_Toc83128590"/>
      <w:bookmarkStart w:id="165" w:name="_Toc473799824"/>
      <w:bookmarkStart w:id="166" w:name="_Toc487025370"/>
      <w:bookmarkStart w:id="167" w:name="_Toc493790438"/>
      <w:bookmarkStart w:id="168" w:name="_Toc495606558"/>
      <w:bookmarkStart w:id="169" w:name="_Toc497297048"/>
      <w:bookmarkStart w:id="170" w:name="_Toc498503756"/>
      <w:bookmarkStart w:id="171" w:name="_Toc499201876"/>
      <w:bookmarkStart w:id="172" w:name="_Toc524000321"/>
      <w:r w:rsidRPr="00745D07">
        <w:rPr>
          <w:rFonts w:ascii="Palatino Linotype" w:hAnsi="Palatino Linotype"/>
        </w:rPr>
        <w:t>Con fundamento en el artículo 222 de la Ley de Transparencia y Acceso a la Información Pública del Estado de México y Municipios, son causas de responsabilidad administrativas las siguientes:</w:t>
      </w:r>
    </w:p>
    <w:p w:rsidR="00717097" w:rsidRPr="00745D07" w:rsidRDefault="00717097" w:rsidP="00717097">
      <w:pPr>
        <w:spacing w:line="360" w:lineRule="auto"/>
        <w:contextualSpacing/>
        <w:jc w:val="both"/>
        <w:rPr>
          <w:rFonts w:ascii="Palatino Linotype" w:hAnsi="Palatino Linotype"/>
        </w:rPr>
      </w:pPr>
    </w:p>
    <w:p w:rsidR="00717097" w:rsidRPr="00745D07" w:rsidRDefault="00717097" w:rsidP="0071709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“Artículo 222.</w:t>
      </w:r>
      <w:r w:rsidRPr="00745D07">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717097" w:rsidRPr="00745D07" w:rsidRDefault="00717097" w:rsidP="0071709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rsidR="00717097" w:rsidRPr="00745D07" w:rsidRDefault="00717097" w:rsidP="0071709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 Cualquier acto u omisión que provoque la suspensión o deficiencia en la atención de las solicitudes de información</w:t>
      </w:r>
      <w:r w:rsidRPr="00745D07">
        <w:rPr>
          <w:rFonts w:ascii="Palatino Linotype" w:eastAsia="Times New Roman" w:hAnsi="Palatino Linotype" w:cs="Times New Roman"/>
          <w:i/>
        </w:rPr>
        <w:t>;</w:t>
      </w:r>
    </w:p>
    <w:p w:rsidR="00717097" w:rsidRPr="00745D07" w:rsidRDefault="00717097" w:rsidP="0071709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II. La falta de respuesta a las solicitudes de información en los plazos señalados en la normatividad aplicable</w:t>
      </w:r>
      <w:r w:rsidRPr="00745D07">
        <w:rPr>
          <w:rFonts w:ascii="Palatino Linotype" w:eastAsia="Times New Roman" w:hAnsi="Palatino Linotype" w:cs="Times New Roman"/>
          <w:i/>
        </w:rPr>
        <w:t>;</w:t>
      </w:r>
    </w:p>
    <w:p w:rsidR="00717097" w:rsidRPr="00745D07" w:rsidRDefault="00717097" w:rsidP="0071709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lastRenderedPageBreak/>
        <w:t>(…)”</w:t>
      </w:r>
    </w:p>
    <w:p w:rsidR="00717097" w:rsidRDefault="00717097" w:rsidP="00717097">
      <w:pPr>
        <w:pStyle w:val="Prrafodelista"/>
        <w:spacing w:line="360" w:lineRule="auto"/>
        <w:ind w:left="567" w:right="567"/>
        <w:jc w:val="both"/>
        <w:rPr>
          <w:rFonts w:ascii="Palatino Linotype" w:eastAsia="Times New Roman" w:hAnsi="Palatino Linotype" w:cs="Times New Roman"/>
        </w:rPr>
      </w:pPr>
      <w:r w:rsidRPr="003E19A1">
        <w:rPr>
          <w:rFonts w:ascii="Palatino Linotype" w:eastAsia="Times New Roman" w:hAnsi="Palatino Linotype" w:cs="Times New Roman"/>
        </w:rPr>
        <w:t>(Énfasis Añadido)</w:t>
      </w:r>
    </w:p>
    <w:p w:rsidR="00717097" w:rsidRPr="003E19A1" w:rsidRDefault="00717097" w:rsidP="00717097">
      <w:pPr>
        <w:pStyle w:val="Prrafodelista"/>
        <w:spacing w:line="360" w:lineRule="auto"/>
        <w:ind w:left="567" w:right="567"/>
        <w:jc w:val="both"/>
        <w:rPr>
          <w:rFonts w:ascii="Palatino Linotype" w:eastAsia="Times New Roman" w:hAnsi="Palatino Linotype" w:cs="Times New Roman"/>
        </w:rPr>
      </w:pPr>
    </w:p>
    <w:p w:rsidR="00717097" w:rsidRPr="00745D07" w:rsidRDefault="00717097" w:rsidP="00717097">
      <w:pPr>
        <w:numPr>
          <w:ilvl w:val="0"/>
          <w:numId w:val="15"/>
        </w:numPr>
        <w:spacing w:line="360" w:lineRule="auto"/>
        <w:ind w:left="0" w:firstLine="0"/>
        <w:contextualSpacing/>
        <w:jc w:val="both"/>
        <w:rPr>
          <w:rFonts w:ascii="Palatino Linotype" w:hAnsi="Palatino Linotype"/>
        </w:rPr>
      </w:pPr>
      <w:r w:rsidRPr="00745D07">
        <w:rPr>
          <w:rFonts w:ascii="Palatino Linotype" w:hAnsi="Palatino Linotype"/>
        </w:rPr>
        <w:t>Es necesario señalar que, aunque se turnó la solicitud de información al servidor público habilitado, el cual como se refirió en el estudio no dio respuesta, tampoco existe registro de que el titular de la unidad de transparencia hubiera realizado alguna otra actuación para dar respuesta a la solicitud de información.</w:t>
      </w:r>
    </w:p>
    <w:p w:rsidR="00717097" w:rsidRPr="00745D07" w:rsidRDefault="00717097" w:rsidP="00717097">
      <w:pPr>
        <w:spacing w:line="360" w:lineRule="auto"/>
        <w:contextualSpacing/>
        <w:jc w:val="both"/>
        <w:rPr>
          <w:rFonts w:ascii="Palatino Linotype" w:hAnsi="Palatino Linotype"/>
        </w:rPr>
      </w:pPr>
    </w:p>
    <w:p w:rsidR="00717097" w:rsidRPr="00745D07" w:rsidRDefault="00717097" w:rsidP="00717097">
      <w:pPr>
        <w:numPr>
          <w:ilvl w:val="0"/>
          <w:numId w:val="15"/>
        </w:numPr>
        <w:spacing w:line="360" w:lineRule="auto"/>
        <w:ind w:left="0" w:firstLine="0"/>
        <w:contextualSpacing/>
        <w:jc w:val="both"/>
        <w:rPr>
          <w:rFonts w:ascii="Palatino Linotype" w:hAnsi="Palatino Linotype"/>
        </w:rPr>
      </w:pPr>
      <w:r w:rsidRPr="00745D07">
        <w:rPr>
          <w:rFonts w:ascii="Palatino Linotype" w:hAnsi="Palatino Linotype"/>
        </w:rPr>
        <w:t>Así, la falta de respuesta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rsidR="00717097" w:rsidRPr="00745D07" w:rsidRDefault="00717097" w:rsidP="00717097">
      <w:pPr>
        <w:spacing w:line="360" w:lineRule="auto"/>
        <w:contextualSpacing/>
        <w:jc w:val="both"/>
        <w:rPr>
          <w:rFonts w:ascii="Palatino Linotype" w:hAnsi="Palatino Linotype"/>
        </w:rPr>
      </w:pPr>
    </w:p>
    <w:p w:rsidR="00717097" w:rsidRPr="00745D07" w:rsidRDefault="00717097" w:rsidP="00717097">
      <w:pPr>
        <w:numPr>
          <w:ilvl w:val="0"/>
          <w:numId w:val="15"/>
        </w:numPr>
        <w:spacing w:line="360" w:lineRule="auto"/>
        <w:ind w:left="0" w:firstLine="0"/>
        <w:contextualSpacing/>
        <w:jc w:val="both"/>
        <w:rPr>
          <w:rFonts w:ascii="Palatino Linotype" w:hAnsi="Palatino Linotype"/>
        </w:rPr>
      </w:pPr>
      <w:r w:rsidRPr="00745D07">
        <w:rPr>
          <w:rFonts w:ascii="Palatino Linotype" w:hAnsi="Palatino Linotype"/>
        </w:rPr>
        <w:t>Es conveniente señalar la fracción X, del artículo 36, de la Ley de Transparencia y Acceso a la Información Pública del Estado de México y Municipios, que establece:</w:t>
      </w:r>
    </w:p>
    <w:p w:rsidR="00717097" w:rsidRPr="00745D07" w:rsidRDefault="00717097" w:rsidP="00717097">
      <w:pPr>
        <w:spacing w:line="360" w:lineRule="auto"/>
        <w:contextualSpacing/>
        <w:jc w:val="both"/>
        <w:rPr>
          <w:rFonts w:ascii="Palatino Linotype" w:hAnsi="Palatino Linotype"/>
        </w:rPr>
      </w:pPr>
    </w:p>
    <w:p w:rsidR="00717097" w:rsidRPr="00745D0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w:t>
      </w:r>
      <w:r w:rsidRPr="00745D07">
        <w:rPr>
          <w:rFonts w:ascii="Palatino Linotype" w:hAnsi="Palatino Linotype"/>
          <w:b/>
          <w:i/>
        </w:rPr>
        <w:t>Artículo 36.</w:t>
      </w:r>
      <w:r w:rsidRPr="00745D07">
        <w:rPr>
          <w:rFonts w:ascii="Palatino Linotype" w:hAnsi="Palatino Linotype"/>
          <w:i/>
        </w:rPr>
        <w:t xml:space="preserve"> El Instituto tendrá, en el ámbito de su competencia, las siguientes atribuciones:</w:t>
      </w:r>
    </w:p>
    <w:p w:rsidR="00717097" w:rsidRPr="00745D0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w:t>
      </w:r>
    </w:p>
    <w:p w:rsidR="00717097" w:rsidRPr="00745D0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X. Hacer del conocimiento del órgano de control interno o equivalente de cada Sujeto Obligado las infracciones a esta Ley; “</w:t>
      </w:r>
    </w:p>
    <w:p w:rsidR="00717097" w:rsidRPr="00745D0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w:t>
      </w:r>
    </w:p>
    <w:p w:rsidR="00717097" w:rsidRPr="003E19A1" w:rsidRDefault="00717097" w:rsidP="00717097">
      <w:pPr>
        <w:spacing w:line="360" w:lineRule="auto"/>
        <w:ind w:left="567" w:right="567"/>
        <w:contextualSpacing/>
        <w:jc w:val="both"/>
        <w:rPr>
          <w:rFonts w:ascii="Palatino Linotype" w:hAnsi="Palatino Linotype"/>
        </w:rPr>
      </w:pPr>
      <w:r w:rsidRPr="003E19A1">
        <w:rPr>
          <w:rFonts w:ascii="Palatino Linotype" w:hAnsi="Palatino Linotype"/>
        </w:rPr>
        <w:lastRenderedPageBreak/>
        <w:t>(Énfasis Añadido)</w:t>
      </w:r>
    </w:p>
    <w:p w:rsidR="00717097" w:rsidRPr="00745D07" w:rsidRDefault="00717097" w:rsidP="00717097">
      <w:pPr>
        <w:spacing w:line="360" w:lineRule="auto"/>
        <w:contextualSpacing/>
        <w:jc w:val="both"/>
        <w:rPr>
          <w:rFonts w:ascii="Palatino Linotype" w:eastAsia="MS Mincho" w:hAnsi="Palatino Linotype" w:cs="Arial"/>
        </w:rPr>
      </w:pPr>
    </w:p>
    <w:p w:rsidR="00717097" w:rsidRPr="00745D07" w:rsidRDefault="00717097" w:rsidP="00717097">
      <w:pPr>
        <w:numPr>
          <w:ilvl w:val="0"/>
          <w:numId w:val="15"/>
        </w:numPr>
        <w:spacing w:line="360" w:lineRule="auto"/>
        <w:ind w:left="0" w:firstLine="0"/>
        <w:contextualSpacing/>
        <w:jc w:val="both"/>
        <w:rPr>
          <w:rFonts w:ascii="Palatino Linotype" w:eastAsia="MS Mincho" w:hAnsi="Palatino Linotype" w:cs="Arial"/>
        </w:rPr>
      </w:pPr>
      <w:r w:rsidRPr="00745D07">
        <w:rPr>
          <w:rFonts w:ascii="Palatino Linotype" w:hAnsi="Palatino Linotype"/>
        </w:rPr>
        <w:t xml:space="preserve">Asimismo, este Pleno hará del conocimiento del órgano de control de este Instituto de las infracciones en que el </w:t>
      </w:r>
      <w:r w:rsidRPr="00745D07">
        <w:rPr>
          <w:rFonts w:ascii="Palatino Linotype" w:hAnsi="Palatino Linotype"/>
          <w:b/>
        </w:rPr>
        <w:t>SUJETO OBLIGADO</w:t>
      </w:r>
      <w:r w:rsidRPr="00745D07">
        <w:rPr>
          <w:rFonts w:ascii="Palatino Linotype" w:hAnsi="Palatino Linotype"/>
        </w:rPr>
        <w:t xml:space="preserve"> incurrió, lo cual se encuentra previsto </w:t>
      </w:r>
      <w:r w:rsidRPr="00745D07">
        <w:rPr>
          <w:rFonts w:ascii="Palatino Linotype" w:eastAsia="MS Mincho" w:hAnsi="Palatino Linotype" w:cs="Arial"/>
        </w:rPr>
        <w:t>en la Ley de Transparencia Acceso a la Información Pública del Estado de México y Municipios específicamente en sus artículos 190 y 223 que señalan lo siguiente:</w:t>
      </w:r>
    </w:p>
    <w:p w:rsidR="00717097" w:rsidRPr="00745D07" w:rsidRDefault="00717097" w:rsidP="00717097">
      <w:pPr>
        <w:spacing w:line="360" w:lineRule="auto"/>
        <w:contextualSpacing/>
        <w:jc w:val="both"/>
        <w:rPr>
          <w:rFonts w:ascii="Palatino Linotype" w:eastAsia="MS Mincho" w:hAnsi="Palatino Linotype" w:cs="Arial"/>
        </w:rPr>
      </w:pPr>
    </w:p>
    <w:p w:rsidR="0071709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w:t>
      </w:r>
      <w:r w:rsidRPr="00745D07">
        <w:rPr>
          <w:rFonts w:ascii="Palatino Linotype" w:hAnsi="Palatino Linotype"/>
          <w:b/>
          <w:i/>
        </w:rPr>
        <w:t>Artículo 190.</w:t>
      </w:r>
      <w:r w:rsidRPr="00745D07">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17097" w:rsidRPr="00745D07" w:rsidRDefault="00717097" w:rsidP="00717097">
      <w:pPr>
        <w:spacing w:line="360" w:lineRule="auto"/>
        <w:ind w:left="567" w:right="567"/>
        <w:contextualSpacing/>
        <w:jc w:val="both"/>
        <w:rPr>
          <w:rFonts w:ascii="Palatino Linotype" w:hAnsi="Palatino Linotype"/>
          <w:i/>
        </w:rPr>
      </w:pPr>
    </w:p>
    <w:p w:rsidR="00717097" w:rsidRPr="00745D07" w:rsidRDefault="00717097" w:rsidP="00717097">
      <w:pPr>
        <w:spacing w:line="360" w:lineRule="auto"/>
        <w:ind w:left="567" w:right="567"/>
        <w:contextualSpacing/>
        <w:jc w:val="both"/>
        <w:rPr>
          <w:rFonts w:ascii="Palatino Linotype" w:hAnsi="Palatino Linotype"/>
          <w:i/>
        </w:rPr>
      </w:pPr>
      <w:r w:rsidRPr="00AE18A4">
        <w:rPr>
          <w:rFonts w:ascii="Palatino Linotype" w:hAnsi="Palatino Linotype"/>
          <w:b/>
          <w:i/>
        </w:rPr>
        <w:t>Artículo 223.</w:t>
      </w:r>
      <w:r w:rsidRPr="00745D07">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(De Acuerdo al Decreto N°207, Publicado el 30 de mayo de 2017)</w:t>
      </w:r>
    </w:p>
    <w:p w:rsidR="00717097" w:rsidRPr="00745D07" w:rsidRDefault="00717097" w:rsidP="00717097">
      <w:pPr>
        <w:spacing w:line="360" w:lineRule="auto"/>
        <w:ind w:left="567" w:right="567"/>
        <w:contextualSpacing/>
        <w:jc w:val="both"/>
        <w:rPr>
          <w:rFonts w:ascii="Palatino Linotype" w:hAnsi="Palatino Linotype"/>
          <w:i/>
        </w:rPr>
      </w:pPr>
      <w:r w:rsidRPr="00745D07">
        <w:rPr>
          <w:rFonts w:ascii="Palatino Linotype" w:hAnsi="Palatino Linotype"/>
          <w:i/>
        </w:rPr>
        <w:t>(…)”</w:t>
      </w:r>
    </w:p>
    <w:p w:rsidR="00717097" w:rsidRDefault="00717097" w:rsidP="00717097">
      <w:pPr>
        <w:spacing w:line="360" w:lineRule="auto"/>
        <w:ind w:left="567" w:right="567"/>
        <w:contextualSpacing/>
        <w:jc w:val="both"/>
        <w:rPr>
          <w:rFonts w:ascii="Palatino Linotype" w:hAnsi="Palatino Linotype"/>
        </w:rPr>
      </w:pPr>
      <w:r w:rsidRPr="003E19A1">
        <w:rPr>
          <w:rFonts w:ascii="Palatino Linotype" w:hAnsi="Palatino Linotype"/>
        </w:rPr>
        <w:t>(Énfasis Añadido)</w:t>
      </w:r>
    </w:p>
    <w:p w:rsidR="00717097" w:rsidRPr="003E19A1" w:rsidRDefault="00717097" w:rsidP="00717097">
      <w:pPr>
        <w:spacing w:line="360" w:lineRule="auto"/>
        <w:ind w:left="567" w:right="567"/>
        <w:contextualSpacing/>
        <w:jc w:val="both"/>
        <w:rPr>
          <w:rFonts w:ascii="Palatino Linotype" w:hAnsi="Palatino Linotype"/>
        </w:rPr>
      </w:pPr>
    </w:p>
    <w:p w:rsidR="00717097" w:rsidRDefault="00717097" w:rsidP="00717097">
      <w:pPr>
        <w:numPr>
          <w:ilvl w:val="0"/>
          <w:numId w:val="15"/>
        </w:numPr>
        <w:spacing w:line="360" w:lineRule="auto"/>
        <w:ind w:left="0" w:right="49" w:firstLine="0"/>
        <w:contextualSpacing/>
        <w:jc w:val="both"/>
        <w:rPr>
          <w:rFonts w:ascii="Palatino Linotype" w:hAnsi="Palatino Linotype" w:cs="Arial"/>
        </w:rPr>
      </w:pPr>
      <w:r w:rsidRPr="00745D07">
        <w:rPr>
          <w:rFonts w:ascii="Palatino Linotype" w:hAnsi="Palatino Linotype" w:cs="Arial"/>
        </w:rPr>
        <w:lastRenderedPageBreak/>
        <w:t>En consecuencia el recurso de revisión consiste en una garantía secundaria</w:t>
      </w:r>
      <w:r w:rsidRPr="00745D07">
        <w:rPr>
          <w:rFonts w:ascii="Palatino Linotype" w:hAnsi="Palatino Linotype" w:cs="Arial"/>
          <w:i/>
        </w:rPr>
        <w:t xml:space="preserve"> de la anulabilidad de los actos inválidos y de la responsabilidad de los actos ilícitos, que constituyen las desobediencias de sus garantías primarias</w:t>
      </w:r>
      <w:r w:rsidRPr="00745D07">
        <w:rPr>
          <w:rFonts w:ascii="Palatino Linotype" w:hAnsi="Palatino Linotype" w:cs="Arial"/>
          <w:vertAlign w:val="superscript"/>
        </w:rPr>
        <w:footnoteReference w:id="5"/>
      </w:r>
      <w:r w:rsidRPr="00745D07">
        <w:rPr>
          <w:rFonts w:ascii="Palatino Linotype" w:hAnsi="Palatino Linotype" w:cs="Arial"/>
        </w:rPr>
        <w:t xml:space="preserve"> , esto refiere que, ante la falta de respuesta por parte del </w:t>
      </w:r>
      <w:r w:rsidRPr="00745D07">
        <w:rPr>
          <w:rFonts w:ascii="Palatino Linotype" w:hAnsi="Palatino Linotype" w:cs="Arial"/>
          <w:b/>
        </w:rPr>
        <w:t>SUJETO OBLIGADO</w:t>
      </w:r>
      <w:r w:rsidRPr="00745D07">
        <w:rPr>
          <w:rFonts w:ascii="Palatino Linotype" w:hAnsi="Palatino Linotype" w:cs="Arial"/>
        </w:rPr>
        <w:t xml:space="preserve">, </w:t>
      </w:r>
      <w:r>
        <w:rPr>
          <w:rFonts w:ascii="Palatino Linotype" w:hAnsi="Palatino Linotype" w:cs="Arial"/>
          <w:b/>
        </w:rPr>
        <w:t>EL RECURRENTE</w:t>
      </w:r>
      <w:r w:rsidRPr="00745D07">
        <w:rPr>
          <w:rFonts w:ascii="Palatino Linotype" w:hAnsi="Palatino Linotype" w:cs="Arial"/>
        </w:rPr>
        <w:t xml:space="preserve"> interpuso el recurso de revisión con el objeto de que este órgano garante determine si existió una violación al derecho de acceso a la información pública y que esta violación sea reparada por la autoridad competente. </w:t>
      </w:r>
    </w:p>
    <w:p w:rsidR="00717097" w:rsidRDefault="00717097" w:rsidP="00717097">
      <w:pPr>
        <w:spacing w:line="360" w:lineRule="auto"/>
        <w:ind w:right="49"/>
        <w:contextualSpacing/>
        <w:jc w:val="both"/>
        <w:rPr>
          <w:rFonts w:ascii="Palatino Linotype" w:hAnsi="Palatino Linotype" w:cs="Arial"/>
        </w:rPr>
      </w:pPr>
    </w:p>
    <w:p w:rsidR="00717097" w:rsidRDefault="00717097" w:rsidP="00717097">
      <w:pPr>
        <w:keepNext/>
        <w:keepLines/>
        <w:spacing w:line="360" w:lineRule="auto"/>
        <w:outlineLvl w:val="0"/>
        <w:rPr>
          <w:rFonts w:ascii="Palatino Linotype" w:hAnsi="Palatino Linotype" w:cstheme="majorBidi"/>
          <w:b/>
        </w:rPr>
      </w:pPr>
      <w:bookmarkStart w:id="173" w:name="_Toc524344195"/>
      <w:bookmarkStart w:id="174" w:name="_Toc526271200"/>
      <w:bookmarkStart w:id="175" w:name="_Toc536106974"/>
      <w:bookmarkStart w:id="176" w:name="_Toc71234383"/>
      <w:bookmarkStart w:id="177" w:name="_Toc83901401"/>
      <w:r>
        <w:rPr>
          <w:rFonts w:ascii="Palatino Linotype" w:hAnsi="Palatino Linotype" w:cstheme="majorBidi"/>
          <w:b/>
        </w:rPr>
        <w:t>SEX</w:t>
      </w:r>
      <w:r w:rsidRPr="00745D07">
        <w:rPr>
          <w:rFonts w:ascii="Palatino Linotype" w:hAnsi="Palatino Linotype" w:cstheme="majorBidi"/>
          <w:b/>
        </w:rPr>
        <w:t>TO. El cumplimiento a esta resolución es susceptible de ser impugnado</w:t>
      </w:r>
      <w:bookmarkEnd w:id="173"/>
      <w:bookmarkEnd w:id="174"/>
      <w:r w:rsidRPr="00745D07">
        <w:rPr>
          <w:rFonts w:ascii="Palatino Linotype" w:hAnsi="Palatino Linotype" w:cstheme="majorBidi"/>
          <w:b/>
        </w:rPr>
        <w:t>.</w:t>
      </w:r>
      <w:bookmarkEnd w:id="175"/>
      <w:bookmarkEnd w:id="176"/>
      <w:bookmarkEnd w:id="177"/>
    </w:p>
    <w:p w:rsidR="00717097" w:rsidRDefault="00717097" w:rsidP="00717097">
      <w:pPr>
        <w:keepNext/>
        <w:keepLines/>
        <w:spacing w:line="360" w:lineRule="auto"/>
        <w:outlineLvl w:val="0"/>
        <w:rPr>
          <w:rFonts w:ascii="Palatino Linotype" w:hAnsi="Palatino Linotype" w:cstheme="majorBidi"/>
          <w:b/>
        </w:rPr>
      </w:pPr>
    </w:p>
    <w:p w:rsidR="00717097" w:rsidRPr="00745D07" w:rsidRDefault="00717097" w:rsidP="00717097">
      <w:pPr>
        <w:numPr>
          <w:ilvl w:val="0"/>
          <w:numId w:val="15"/>
        </w:numPr>
        <w:spacing w:line="360" w:lineRule="auto"/>
        <w:ind w:left="0" w:right="49" w:firstLine="0"/>
        <w:contextualSpacing/>
        <w:jc w:val="both"/>
        <w:rPr>
          <w:rFonts w:ascii="Palatino Linotype" w:hAnsi="Palatino Linotype" w:cs="Arial"/>
        </w:rPr>
      </w:pPr>
      <w:r w:rsidRPr="006B63EC">
        <w:rPr>
          <w:rFonts w:ascii="Palatino Linotype" w:eastAsia="MS Gothic" w:hAnsi="Palatino Linotype"/>
          <w:szCs w:val="26"/>
        </w:rPr>
        <w:t>Cabe</w:t>
      </w:r>
      <w:r w:rsidRPr="00745D07">
        <w:rPr>
          <w:rFonts w:ascii="Palatino Linotype" w:hAnsi="Palatino Linotype" w:cs="Arial"/>
        </w:rPr>
        <w:t xml:space="preserv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717097" w:rsidRDefault="00717097" w:rsidP="00717097">
      <w:pPr>
        <w:spacing w:line="360" w:lineRule="auto"/>
        <w:ind w:left="567" w:right="567"/>
        <w:contextualSpacing/>
        <w:jc w:val="both"/>
        <w:rPr>
          <w:rFonts w:ascii="Palatino Linotype" w:hAnsi="Palatino Linotype" w:cs="Arial"/>
          <w:i/>
        </w:rPr>
      </w:pP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i/>
        </w:rPr>
        <w:t>“(…)</w:t>
      </w: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b/>
          <w:i/>
        </w:rPr>
        <w:t xml:space="preserve">La respuesta que den los sujetos obligados derivada </w:t>
      </w:r>
      <w:r w:rsidRPr="00745D07">
        <w:rPr>
          <w:rFonts w:ascii="Palatino Linotype" w:hAnsi="Palatino Linotype" w:cs="Arial"/>
          <w:b/>
          <w:i/>
          <w:u w:val="single"/>
        </w:rPr>
        <w:t>de la resolución</w:t>
      </w:r>
      <w:r w:rsidRPr="00745D07">
        <w:rPr>
          <w:rFonts w:ascii="Palatino Linotype" w:hAnsi="Palatino Linotype" w:cs="Arial"/>
          <w:i/>
        </w:rPr>
        <w:t xml:space="preserve"> a un recurso de revisión que proceda por las causales señaladas en las fracciones </w:t>
      </w:r>
      <w:r w:rsidRPr="00745D07">
        <w:rPr>
          <w:rFonts w:ascii="Palatino Linotype" w:hAnsi="Palatino Linotype" w:cs="Arial"/>
          <w:i/>
          <w:u w:val="single"/>
        </w:rPr>
        <w:t xml:space="preserve">IV, VII, IX, X, XI y XII </w:t>
      </w:r>
      <w:r w:rsidRPr="00745D07">
        <w:rPr>
          <w:rFonts w:ascii="Palatino Linotype" w:hAnsi="Palatino Linotype" w:cs="Arial"/>
          <w:i/>
        </w:rPr>
        <w:t xml:space="preserve">es </w:t>
      </w:r>
      <w:r w:rsidRPr="00745D07">
        <w:rPr>
          <w:rFonts w:ascii="Palatino Linotype" w:hAnsi="Palatino Linotype" w:cs="Arial"/>
          <w:i/>
          <w:u w:val="single"/>
        </w:rPr>
        <w:t>susceptible de ser impugnada</w:t>
      </w:r>
      <w:r w:rsidRPr="00745D07">
        <w:rPr>
          <w:rFonts w:ascii="Palatino Linotype" w:hAnsi="Palatino Linotype" w:cs="Arial"/>
          <w:i/>
        </w:rPr>
        <w:t xml:space="preserve"> de nueva cuenta, mediante recurso de revisión, ante el Instituto. “</w:t>
      </w:r>
    </w:p>
    <w:p w:rsidR="00717097" w:rsidRPr="00745D07" w:rsidRDefault="00717097" w:rsidP="00717097">
      <w:pPr>
        <w:spacing w:line="360" w:lineRule="auto"/>
        <w:ind w:left="360"/>
        <w:contextualSpacing/>
        <w:jc w:val="both"/>
        <w:rPr>
          <w:rFonts w:ascii="Palatino Linotype" w:hAnsi="Palatino Linotype" w:cs="Arial"/>
        </w:rPr>
      </w:pPr>
    </w:p>
    <w:p w:rsidR="00717097" w:rsidRDefault="00717097" w:rsidP="00717097">
      <w:pPr>
        <w:numPr>
          <w:ilvl w:val="0"/>
          <w:numId w:val="15"/>
        </w:numPr>
        <w:spacing w:line="360" w:lineRule="auto"/>
        <w:ind w:left="0" w:firstLine="0"/>
        <w:contextualSpacing/>
        <w:jc w:val="both"/>
        <w:rPr>
          <w:rFonts w:ascii="Palatino Linotype" w:hAnsi="Palatino Linotype" w:cs="Arial"/>
        </w:rPr>
      </w:pPr>
      <w:r w:rsidRPr="00745D07">
        <w:rPr>
          <w:rFonts w:ascii="Palatino Linotype" w:hAnsi="Palatino Linotype" w:cs="Arial"/>
        </w:rPr>
        <w:lastRenderedPageBreak/>
        <w:t xml:space="preserve"> Es así que en este asunto en el que se está ante la presencia de una falta de respuesta y una falta de trámite a la solicitud de información por parte del </w:t>
      </w:r>
      <w:r w:rsidRPr="00745D07">
        <w:rPr>
          <w:rFonts w:ascii="Palatino Linotype" w:hAnsi="Palatino Linotype" w:cs="Arial"/>
          <w:b/>
        </w:rPr>
        <w:t>SUJETO OBLIGADO</w:t>
      </w:r>
      <w:r w:rsidRPr="00745D07">
        <w:rPr>
          <w:rFonts w:ascii="Palatino Linotype" w:hAnsi="Palatino Linotype" w:cs="Arial"/>
        </w:rPr>
        <w:t>, se encuadra en los supuestos que contempla el artículo 179 en sus fracciones VII y XI, mismas que señalan lo siguiente:</w:t>
      </w:r>
    </w:p>
    <w:p w:rsidR="00717097" w:rsidRPr="00745D07" w:rsidRDefault="00717097" w:rsidP="00717097">
      <w:pPr>
        <w:spacing w:line="360" w:lineRule="auto"/>
        <w:contextualSpacing/>
        <w:jc w:val="both"/>
        <w:rPr>
          <w:rFonts w:ascii="Palatino Linotype" w:hAnsi="Palatino Linotype" w:cs="Arial"/>
        </w:rPr>
      </w:pP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b/>
          <w:i/>
        </w:rPr>
        <w:t>“Artículo 179.</w:t>
      </w:r>
      <w:r w:rsidRPr="00745D07">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i/>
        </w:rPr>
        <w:t>(...)</w:t>
      </w:r>
    </w:p>
    <w:p w:rsidR="00717097" w:rsidRPr="00745D07" w:rsidRDefault="00717097" w:rsidP="00717097">
      <w:pPr>
        <w:spacing w:line="360" w:lineRule="auto"/>
        <w:ind w:left="567" w:right="567"/>
        <w:contextualSpacing/>
        <w:jc w:val="both"/>
        <w:rPr>
          <w:rFonts w:ascii="Palatino Linotype" w:hAnsi="Palatino Linotype" w:cs="Arial"/>
          <w:b/>
          <w:i/>
        </w:rPr>
      </w:pPr>
      <w:r w:rsidRPr="00745D07">
        <w:rPr>
          <w:rFonts w:ascii="Palatino Linotype" w:hAnsi="Palatino Linotype" w:cs="Arial"/>
          <w:b/>
          <w:i/>
        </w:rPr>
        <w:t>VII. La falta de respuesta a una solicitud de acceso a la información;</w:t>
      </w: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i/>
        </w:rPr>
        <w:t>…</w:t>
      </w:r>
    </w:p>
    <w:p w:rsidR="00717097" w:rsidRPr="00745D07" w:rsidRDefault="00717097" w:rsidP="00717097">
      <w:pPr>
        <w:spacing w:line="360" w:lineRule="auto"/>
        <w:ind w:left="567" w:right="567"/>
        <w:contextualSpacing/>
        <w:jc w:val="both"/>
        <w:rPr>
          <w:rFonts w:ascii="Palatino Linotype" w:hAnsi="Palatino Linotype" w:cs="Arial"/>
          <w:b/>
          <w:i/>
        </w:rPr>
      </w:pPr>
      <w:r w:rsidRPr="00745D07">
        <w:rPr>
          <w:rFonts w:ascii="Palatino Linotype" w:hAnsi="Palatino Linotype" w:cs="Arial"/>
          <w:b/>
          <w:i/>
        </w:rPr>
        <w:t>XI. La falta de trámite a una solicitud;</w:t>
      </w:r>
    </w:p>
    <w:p w:rsidR="00717097" w:rsidRPr="00745D07" w:rsidRDefault="00717097" w:rsidP="00717097">
      <w:pPr>
        <w:spacing w:line="360" w:lineRule="auto"/>
        <w:ind w:left="567" w:right="567"/>
        <w:contextualSpacing/>
        <w:jc w:val="both"/>
        <w:rPr>
          <w:rFonts w:ascii="Palatino Linotype" w:hAnsi="Palatino Linotype" w:cs="Arial"/>
          <w:i/>
        </w:rPr>
      </w:pPr>
      <w:r w:rsidRPr="00745D07">
        <w:rPr>
          <w:rFonts w:ascii="Palatino Linotype" w:hAnsi="Palatino Linotype" w:cs="Arial"/>
          <w:i/>
        </w:rPr>
        <w:t>(…)”</w:t>
      </w:r>
    </w:p>
    <w:p w:rsidR="00717097" w:rsidRPr="00AC3D42" w:rsidRDefault="00717097" w:rsidP="00717097">
      <w:pPr>
        <w:spacing w:line="360" w:lineRule="auto"/>
        <w:ind w:left="567" w:right="567"/>
        <w:contextualSpacing/>
        <w:jc w:val="both"/>
        <w:rPr>
          <w:rFonts w:ascii="Palatino Linotype" w:hAnsi="Palatino Linotype" w:cs="Arial"/>
        </w:rPr>
      </w:pPr>
      <w:r w:rsidRPr="00AC3D42">
        <w:rPr>
          <w:rFonts w:ascii="Palatino Linotype" w:hAnsi="Palatino Linotype" w:cs="Arial"/>
        </w:rPr>
        <w:t>(Énfasis Añadido)</w:t>
      </w:r>
    </w:p>
    <w:p w:rsidR="00717097" w:rsidRPr="00745D07" w:rsidRDefault="00717097" w:rsidP="00717097">
      <w:pPr>
        <w:spacing w:line="360" w:lineRule="auto"/>
        <w:contextualSpacing/>
        <w:jc w:val="both"/>
        <w:rPr>
          <w:rFonts w:ascii="Palatino Linotype" w:hAnsi="Palatino Linotype" w:cs="Arial"/>
        </w:rPr>
      </w:pPr>
    </w:p>
    <w:p w:rsidR="00717097" w:rsidRPr="00745D07" w:rsidRDefault="00717097" w:rsidP="00717097">
      <w:pPr>
        <w:numPr>
          <w:ilvl w:val="0"/>
          <w:numId w:val="15"/>
        </w:numPr>
        <w:spacing w:line="360" w:lineRule="auto"/>
        <w:ind w:left="0" w:firstLine="0"/>
        <w:contextualSpacing/>
        <w:jc w:val="both"/>
        <w:rPr>
          <w:rFonts w:ascii="Palatino Linotype" w:hAnsi="Palatino Linotype" w:cs="Arial"/>
        </w:rPr>
      </w:pPr>
      <w:r w:rsidRPr="00745D07">
        <w:rPr>
          <w:rFonts w:ascii="Palatino Linotype" w:hAnsi="Palatino Linotype" w:cs="Arial"/>
        </w:rPr>
        <w:t xml:space="preserve">En ese tenor, en el asunto particular derivado de la negativa por parte del </w:t>
      </w:r>
      <w:r w:rsidRPr="00745D07">
        <w:rPr>
          <w:rFonts w:ascii="Palatino Linotype" w:hAnsi="Palatino Linotype" w:cs="Arial"/>
          <w:b/>
        </w:rPr>
        <w:t>SUJETO OBLIGADO</w:t>
      </w:r>
      <w:r w:rsidRPr="00745D07">
        <w:rPr>
          <w:rFonts w:ascii="Palatino Linotype" w:hAnsi="Palatino Linotype" w:cs="Arial"/>
        </w:rPr>
        <w:t xml:space="preserve"> a dar trámite a la solicitud por parte del Titular de la Unidad de Transparencia,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17097" w:rsidRPr="00745D07" w:rsidRDefault="00717097" w:rsidP="00717097">
      <w:pPr>
        <w:spacing w:line="360" w:lineRule="auto"/>
        <w:contextualSpacing/>
        <w:jc w:val="both"/>
        <w:rPr>
          <w:rFonts w:ascii="Palatino Linotype" w:hAnsi="Palatino Linotype" w:cs="Arial"/>
        </w:rPr>
      </w:pPr>
    </w:p>
    <w:p w:rsidR="00717097" w:rsidRPr="00745D07" w:rsidRDefault="00717097" w:rsidP="00717097">
      <w:pPr>
        <w:numPr>
          <w:ilvl w:val="0"/>
          <w:numId w:val="15"/>
        </w:numPr>
        <w:spacing w:line="360" w:lineRule="auto"/>
        <w:ind w:left="0" w:firstLine="0"/>
        <w:contextualSpacing/>
        <w:jc w:val="both"/>
        <w:rPr>
          <w:rFonts w:ascii="Palatino Linotype" w:hAnsi="Palatino Linotype" w:cs="Arial"/>
        </w:rPr>
      </w:pPr>
      <w:r w:rsidRPr="00745D07">
        <w:rPr>
          <w:rFonts w:ascii="Palatino Linotype" w:hAnsi="Palatino Linotype" w:cs="Arial"/>
        </w:rPr>
        <w:lastRenderedPageBreak/>
        <w:t xml:space="preserve">El último párrafo del artículo 179 de la ley de la materia, se configura entonces en aquellos casos en donde los </w:t>
      </w:r>
      <w:r w:rsidRPr="00745D07">
        <w:rPr>
          <w:rFonts w:ascii="Palatino Linotype" w:hAnsi="Palatino Linotype" w:cs="Arial"/>
          <w:b/>
          <w:u w:val="single"/>
        </w:rPr>
        <w:t>sujetos obligados emiten respuesta derivada de una resolución a un recurso de revisión que proceda por la causal prevista en las fracciones VII y XI de la Ley en cita como es este el caso</w:t>
      </w:r>
      <w:r w:rsidRPr="00745D07">
        <w:rPr>
          <w:rFonts w:ascii="Palatino Linotype" w:hAnsi="Palatino Linotype" w:cs="Arial"/>
        </w:rPr>
        <w:t xml:space="preserve">, dicha respuesta es susceptible de ser impugnada de nueva cuenta, mediante recurso de revisión ante el Instituto. Esto es, que el acto que genere el </w:t>
      </w:r>
      <w:r w:rsidRPr="00745D07">
        <w:rPr>
          <w:rFonts w:ascii="Palatino Linotype" w:hAnsi="Palatino Linotype" w:cs="Arial"/>
          <w:b/>
        </w:rPr>
        <w:t>SUJETO OBLIGADO</w:t>
      </w:r>
      <w:r w:rsidRPr="00745D07">
        <w:rPr>
          <w:rFonts w:ascii="Palatino Linotype" w:hAnsi="Palatino Linotype" w:cs="Aria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745D07">
        <w:rPr>
          <w:rFonts w:ascii="Palatino Linotype" w:hAnsi="Palatino Linotype" w:cs="Arial"/>
          <w:b/>
        </w:rPr>
        <w:t>queda al alcance de la persona la interposición de un nuevo recurso de revisión</w:t>
      </w:r>
      <w:r w:rsidRPr="00745D07">
        <w:rPr>
          <w:rFonts w:ascii="Palatino Linotype" w:hAnsi="Palatino Linotype" w:cs="Arial"/>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717097" w:rsidRPr="0032498E" w:rsidRDefault="00717097" w:rsidP="00717097"/>
    <w:p w:rsidR="00717097" w:rsidRDefault="00717097" w:rsidP="00717097">
      <w:pPr>
        <w:pStyle w:val="Ttulo2"/>
        <w:rPr>
          <w:rFonts w:ascii="Palatino Linotype" w:hAnsi="Palatino Linotype"/>
          <w:b/>
          <w:color w:val="auto"/>
          <w:sz w:val="24"/>
        </w:rPr>
      </w:pPr>
      <w:r>
        <w:rPr>
          <w:rFonts w:ascii="Palatino Linotype" w:hAnsi="Palatino Linotype"/>
          <w:b/>
          <w:color w:val="auto"/>
          <w:sz w:val="24"/>
        </w:rPr>
        <w:t>SÉPTIMO</w:t>
      </w:r>
      <w:r w:rsidRPr="00DA7DC1">
        <w:rPr>
          <w:rFonts w:ascii="Palatino Linotype" w:hAnsi="Palatino Linotype"/>
          <w:b/>
          <w:color w:val="auto"/>
          <w:sz w:val="24"/>
        </w:rPr>
        <w:t xml:space="preserve">. De la </w:t>
      </w:r>
      <w:bookmarkEnd w:id="155"/>
      <w:bookmarkEnd w:id="156"/>
      <w:r w:rsidRPr="00DA7DC1">
        <w:rPr>
          <w:rFonts w:ascii="Palatino Linotype" w:hAnsi="Palatino Linotype"/>
          <w:b/>
          <w:color w:val="auto"/>
          <w:sz w:val="24"/>
        </w:rPr>
        <w:t>versión pública</w:t>
      </w:r>
      <w:bookmarkEnd w:id="157"/>
      <w:bookmarkEnd w:id="158"/>
      <w:bookmarkEnd w:id="159"/>
      <w:bookmarkEnd w:id="160"/>
      <w:bookmarkEnd w:id="161"/>
      <w:bookmarkEnd w:id="162"/>
      <w:bookmarkEnd w:id="163"/>
      <w:bookmarkEnd w:id="164"/>
    </w:p>
    <w:p w:rsidR="00717097" w:rsidRPr="00993610" w:rsidRDefault="00717097" w:rsidP="00717097">
      <w:pPr>
        <w:rPr>
          <w:lang w:val="es-MX" w:eastAsia="en-US"/>
        </w:rPr>
      </w:pPr>
    </w:p>
    <w:bookmarkEnd w:id="165"/>
    <w:bookmarkEnd w:id="166"/>
    <w:bookmarkEnd w:id="167"/>
    <w:bookmarkEnd w:id="168"/>
    <w:bookmarkEnd w:id="169"/>
    <w:bookmarkEnd w:id="170"/>
    <w:bookmarkEnd w:id="171"/>
    <w:bookmarkEnd w:id="172"/>
    <w:p w:rsidR="00717097" w:rsidRDefault="00717097" w:rsidP="00717097">
      <w:pPr>
        <w:numPr>
          <w:ilvl w:val="0"/>
          <w:numId w:val="15"/>
        </w:numPr>
        <w:spacing w:line="360" w:lineRule="auto"/>
        <w:ind w:left="0" w:firstLine="0"/>
        <w:contextualSpacing/>
        <w:jc w:val="both"/>
        <w:rPr>
          <w:rFonts w:ascii="Palatino Linotype" w:hAnsi="Palatino Linotype"/>
        </w:rPr>
      </w:pPr>
      <w:r w:rsidRPr="00CB2ECA">
        <w:rPr>
          <w:rFonts w:ascii="Palatino Linotype" w:hAnsi="Palatino Linotype"/>
        </w:rPr>
        <w:t xml:space="preserve">Debe </w:t>
      </w:r>
      <w:r w:rsidRPr="00002446">
        <w:rPr>
          <w:rFonts w:ascii="Palatino Linotype" w:hAnsi="Palatino Linotype" w:cs="Arial"/>
        </w:rPr>
        <w:t>destacarse</w:t>
      </w:r>
      <w:r w:rsidRPr="00CB2ECA">
        <w:rPr>
          <w:rFonts w:ascii="Palatino Linotype" w:hAnsi="Palatino Linotype"/>
        </w:rPr>
        <w:t xml:space="preserve"> </w:t>
      </w:r>
      <w:r>
        <w:rPr>
          <w:rFonts w:ascii="Palatino Linotype" w:hAnsi="Palatino Linotype"/>
        </w:rPr>
        <w:t xml:space="preserve">que la información que se ha tenido a bien ordenar </w:t>
      </w:r>
      <w:r w:rsidRPr="00E16B05">
        <w:rPr>
          <w:rFonts w:ascii="Palatino Linotype" w:hAnsi="Palatino Linotype"/>
          <w:b/>
        </w:rPr>
        <w:t xml:space="preserve">específicamente las </w:t>
      </w:r>
      <w:r w:rsidRPr="00E16B05">
        <w:rPr>
          <w:rFonts w:ascii="Palatino Linotype" w:hAnsi="Palatino Linotype"/>
          <w:b/>
          <w:u w:val="single"/>
        </w:rPr>
        <w:t>fotografías</w:t>
      </w:r>
      <w:r>
        <w:rPr>
          <w:rFonts w:ascii="Palatino Linotype" w:hAnsi="Palatino Linotype"/>
        </w:rPr>
        <w:t xml:space="preserve">, dada su propia y especial </w:t>
      </w:r>
      <w:r w:rsidRPr="00FB6D42">
        <w:rPr>
          <w:rFonts w:ascii="Palatino Linotype" w:eastAsia="MS Mincho" w:hAnsi="Palatino Linotype" w:cs="Arial"/>
        </w:rPr>
        <w:t>naturaleza</w:t>
      </w:r>
      <w:r>
        <w:rPr>
          <w:rFonts w:ascii="Palatino Linotype" w:hAnsi="Palatino Linotype"/>
        </w:rPr>
        <w:t xml:space="preserve">, eventualmente </w:t>
      </w:r>
      <w:r w:rsidRPr="009E68D3">
        <w:rPr>
          <w:rFonts w:ascii="Palatino Linotype" w:hAnsi="Palatino Linotype"/>
          <w:b/>
        </w:rPr>
        <w:t>contiene datos personales susceptibles de ser protegidos mediante una versión pública</w:t>
      </w:r>
      <w:r>
        <w:rPr>
          <w:rFonts w:ascii="Palatino Linotype" w:hAnsi="Palatino Linotype"/>
        </w:rPr>
        <w:t xml:space="preserve">, la cual deberá estar soportada por el Acta del Comité de Transparencia que se emita para tal efecto, debiéndola poner a disposición del hoy </w:t>
      </w:r>
      <w:r>
        <w:rPr>
          <w:rFonts w:ascii="Palatino Linotype" w:hAnsi="Palatino Linotype"/>
          <w:b/>
        </w:rPr>
        <w:t>RECURRENTE</w:t>
      </w:r>
      <w:r>
        <w:rPr>
          <w:rFonts w:ascii="Palatino Linotype" w:hAnsi="Palatino Linotype"/>
        </w:rPr>
        <w:t>.</w:t>
      </w:r>
    </w:p>
    <w:p w:rsidR="00717097" w:rsidRDefault="00717097" w:rsidP="00717097">
      <w:pPr>
        <w:spacing w:line="360" w:lineRule="auto"/>
        <w:contextualSpacing/>
        <w:jc w:val="both"/>
        <w:rPr>
          <w:rFonts w:ascii="Palatino Linotype" w:hAnsi="Palatino Linotype"/>
        </w:rPr>
      </w:pPr>
    </w:p>
    <w:p w:rsidR="00717097"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En esa tesitura, no puede perderse de vista que </w:t>
      </w:r>
      <w:r w:rsidRPr="003529DE">
        <w:rPr>
          <w:rFonts w:ascii="Palatino Linotype" w:hAnsi="Palatino Linotype"/>
          <w:color w:val="000000" w:themeColor="text1"/>
        </w:rPr>
        <w:t xml:space="preserve">las fotografías </w:t>
      </w:r>
      <w:r>
        <w:rPr>
          <w:rFonts w:ascii="Palatino Linotype" w:hAnsi="Palatino Linotype"/>
          <w:color w:val="000000" w:themeColor="text1"/>
        </w:rPr>
        <w:t>pueden constar de manera</w:t>
      </w:r>
      <w:r w:rsidRPr="003529DE">
        <w:rPr>
          <w:rFonts w:ascii="Palatino Linotype" w:hAnsi="Palatino Linotype"/>
          <w:color w:val="000000" w:themeColor="text1"/>
        </w:rPr>
        <w:t xml:space="preserve"> </w:t>
      </w:r>
      <w:r w:rsidRPr="003529DE">
        <w:rPr>
          <w:rFonts w:ascii="Palatino Linotype" w:hAnsi="Palatino Linotype"/>
          <w:b/>
          <w:color w:val="000000" w:themeColor="text1"/>
        </w:rPr>
        <w:t>ANONIMIZADA</w:t>
      </w:r>
      <w:r>
        <w:rPr>
          <w:rFonts w:ascii="Palatino Linotype" w:hAnsi="Palatino Linotype"/>
          <w:color w:val="000000" w:themeColor="text1"/>
        </w:rPr>
        <w:t xml:space="preserve">, lo cual </w:t>
      </w:r>
      <w:r w:rsidRPr="00CC1389">
        <w:rPr>
          <w:rFonts w:ascii="Palatino Linotype" w:hAnsi="Palatino Linotype"/>
          <w:color w:val="000000" w:themeColor="text1"/>
          <w:u w:val="single"/>
        </w:rPr>
        <w:t>no implica que se deba generar una versión pública</w:t>
      </w:r>
      <w:r>
        <w:rPr>
          <w:rFonts w:ascii="Palatino Linotype" w:hAnsi="Palatino Linotype"/>
          <w:color w:val="000000" w:themeColor="text1"/>
        </w:rPr>
        <w:t>.</w:t>
      </w:r>
    </w:p>
    <w:p w:rsidR="00717097" w:rsidRDefault="00717097" w:rsidP="00717097">
      <w:pPr>
        <w:pStyle w:val="Prrafodelista"/>
        <w:rPr>
          <w:rFonts w:ascii="Palatino Linotype" w:hAnsi="Palatino Linotype"/>
          <w:color w:val="000000" w:themeColor="text1"/>
        </w:rPr>
      </w:pPr>
    </w:p>
    <w:p w:rsidR="00717097"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En ese sentido, </w:t>
      </w:r>
      <w:r w:rsidRPr="00DF3E8F">
        <w:rPr>
          <w:rFonts w:ascii="Palatino Linotype" w:hAnsi="Palatino Linotype"/>
          <w:b/>
          <w:color w:val="000000" w:themeColor="text1"/>
        </w:rPr>
        <w:t>los principios de protección de datos personales no pueden aplicarse a la información anónima</w:t>
      </w:r>
      <w:r w:rsidRPr="003529DE">
        <w:rPr>
          <w:rFonts w:ascii="Palatino Linotype" w:hAnsi="Palatino Linotype"/>
          <w:color w:val="000000" w:themeColor="text1"/>
        </w:rPr>
        <w:t>, que no guarda relación con una persona física identificada o identificable ni a los datos anonimizados de forma que el interesado no sea identificable o deje de serlo.</w:t>
      </w:r>
    </w:p>
    <w:p w:rsidR="00717097" w:rsidRDefault="00717097" w:rsidP="00717097">
      <w:pPr>
        <w:pStyle w:val="Prrafodelista"/>
        <w:rPr>
          <w:rFonts w:ascii="Palatino Linotype" w:hAnsi="Palatino Linotype"/>
          <w:color w:val="000000" w:themeColor="text1"/>
        </w:rPr>
      </w:pPr>
    </w:p>
    <w:p w:rsidR="00717097" w:rsidRPr="003529DE"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Los datos </w:t>
      </w:r>
      <w:proofErr w:type="spellStart"/>
      <w:r w:rsidRPr="003529DE">
        <w:rPr>
          <w:rFonts w:ascii="Palatino Linotype" w:hAnsi="Palatino Linotype"/>
          <w:color w:val="000000" w:themeColor="text1"/>
        </w:rPr>
        <w:t>seudo</w:t>
      </w:r>
      <w:proofErr w:type="spellEnd"/>
      <w:r w:rsidRPr="003529DE">
        <w:rPr>
          <w:rFonts w:ascii="Palatino Linotype" w:hAnsi="Palatino Linotype"/>
          <w:color w:val="000000" w:themeColor="text1"/>
        </w:rPr>
        <w:t xml:space="preserve"> anonimizados son aquellos que se podrían atribuir a una persona física mediante la utilización de información adicional, deben considerarse información de una persona física identificable.</w:t>
      </w:r>
    </w:p>
    <w:p w:rsidR="00717097" w:rsidRPr="003529DE" w:rsidRDefault="00717097" w:rsidP="00717097">
      <w:pPr>
        <w:pStyle w:val="Prrafodelista"/>
        <w:rPr>
          <w:rFonts w:ascii="Palatino Linotype" w:hAnsi="Palatino Linotype"/>
          <w:color w:val="000000" w:themeColor="text1"/>
        </w:rPr>
      </w:pPr>
    </w:p>
    <w:p w:rsidR="00717097" w:rsidRPr="003529DE"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La </w:t>
      </w:r>
      <w:proofErr w:type="spellStart"/>
      <w:r w:rsidRPr="003529DE">
        <w:rPr>
          <w:rFonts w:ascii="Palatino Linotype" w:hAnsi="Palatino Linotype"/>
          <w:color w:val="000000" w:themeColor="text1"/>
        </w:rPr>
        <w:t>seudo</w:t>
      </w:r>
      <w:proofErr w:type="spellEnd"/>
      <w:r w:rsidRPr="003529DE">
        <w:rPr>
          <w:rFonts w:ascii="Palatino Linotype" w:hAnsi="Palatino Linotype"/>
          <w:color w:val="000000" w:themeColor="text1"/>
        </w:rPr>
        <w:t xml:space="preserve"> </w:t>
      </w:r>
      <w:proofErr w:type="spellStart"/>
      <w:r w:rsidRPr="003529DE">
        <w:rPr>
          <w:rFonts w:ascii="Palatino Linotype" w:hAnsi="Palatino Linotype"/>
          <w:color w:val="000000" w:themeColor="text1"/>
        </w:rPr>
        <w:t>anonimización</w:t>
      </w:r>
      <w:proofErr w:type="spellEnd"/>
      <w:r w:rsidRPr="003529DE">
        <w:rPr>
          <w:rFonts w:ascii="Palatino Linotype" w:hAnsi="Palatino Linotype"/>
          <w:color w:val="000000" w:themeColor="text1"/>
        </w:rPr>
        <w:t xml:space="preserve"> puede reducir los riesgos para los interesados afectados y ayudar a los responsables del tratamiento a cumplir sus obligaciones en materia de datos. Esta figura, en el Reglamento Europeo no excluye otras medidas de protección de datos</w:t>
      </w:r>
      <w:r>
        <w:rPr>
          <w:rFonts w:ascii="Palatino Linotype" w:hAnsi="Palatino Linotype"/>
          <w:color w:val="000000" w:themeColor="text1"/>
        </w:rPr>
        <w:t>.</w:t>
      </w:r>
    </w:p>
    <w:p w:rsidR="00717097" w:rsidRPr="003529DE" w:rsidRDefault="00717097" w:rsidP="00717097">
      <w:pPr>
        <w:pStyle w:val="Prrafodelista"/>
        <w:rPr>
          <w:rFonts w:ascii="Palatino Linotype" w:hAnsi="Palatino Linotype"/>
          <w:color w:val="000000" w:themeColor="text1"/>
        </w:rPr>
      </w:pPr>
    </w:p>
    <w:p w:rsidR="00717097" w:rsidRPr="003529DE"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Por otro lado, no se puede perder de vista que estamos en una materia de contenido técnico, por lo tanto, debe atenderse a la definición del término “disociación”, establecida por la Ley General de Protección de Datos Personales en Posesión de Sujetos Obligados:</w:t>
      </w:r>
    </w:p>
    <w:p w:rsidR="00717097" w:rsidRPr="003529DE" w:rsidRDefault="00717097" w:rsidP="00717097">
      <w:pPr>
        <w:pStyle w:val="Prrafodelista"/>
        <w:rPr>
          <w:rFonts w:ascii="Palatino Linotype" w:hAnsi="Palatino Linotype"/>
          <w:color w:val="000000" w:themeColor="text1"/>
        </w:rPr>
      </w:pPr>
    </w:p>
    <w:p w:rsidR="00717097" w:rsidRPr="007B5042" w:rsidRDefault="00717097" w:rsidP="0081198A">
      <w:pPr>
        <w:spacing w:line="360" w:lineRule="auto"/>
        <w:ind w:left="360" w:right="474"/>
        <w:contextualSpacing/>
        <w:jc w:val="both"/>
        <w:rPr>
          <w:rFonts w:ascii="Palatino Linotype" w:hAnsi="Palatino Linotype"/>
          <w:i/>
          <w:color w:val="000000" w:themeColor="text1"/>
        </w:rPr>
      </w:pPr>
      <w:r w:rsidRPr="007B5042">
        <w:rPr>
          <w:rFonts w:ascii="Palatino Linotype" w:hAnsi="Palatino Linotype"/>
          <w:i/>
          <w:color w:val="000000" w:themeColor="text1"/>
        </w:rPr>
        <w:t>XIII. Disociación: El procedimiento mediante el cual los datos personales no pueden asociarse al titular ni permitir, por su estructura, contenido o grado de desagregación, la identificación del mismo.</w:t>
      </w:r>
    </w:p>
    <w:p w:rsidR="00717097" w:rsidRDefault="00717097" w:rsidP="00717097">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lastRenderedPageBreak/>
        <w:t xml:space="preserve">En </w:t>
      </w:r>
      <w:r w:rsidRPr="003529DE">
        <w:rPr>
          <w:rFonts w:ascii="Palatino Linotype" w:hAnsi="Palatino Linotype"/>
          <w:color w:val="000000" w:themeColor="text1"/>
        </w:rPr>
        <w:t>relación</w:t>
      </w:r>
      <w:r w:rsidRPr="003529DE">
        <w:rPr>
          <w:rFonts w:ascii="Palatino Linotype" w:hAnsi="Palatino Linotype"/>
        </w:rPr>
        <w:t xml:space="preserve"> directa con lo anterior, el artículo 52 de la Ley de Transparencia y Acceso a la Información Pública del Estado de México y Municipios, hace referencia al proceso de disociación, bajo el siguiente texto:</w:t>
      </w:r>
    </w:p>
    <w:p w:rsidR="00717097" w:rsidRPr="003529DE" w:rsidRDefault="00717097" w:rsidP="00717097">
      <w:pPr>
        <w:spacing w:line="360" w:lineRule="auto"/>
        <w:contextualSpacing/>
        <w:jc w:val="both"/>
        <w:rPr>
          <w:rFonts w:ascii="Palatino Linotype" w:hAnsi="Palatino Linotype"/>
        </w:rPr>
      </w:pPr>
    </w:p>
    <w:p w:rsidR="00717097" w:rsidRPr="003529DE" w:rsidRDefault="00717097" w:rsidP="0081198A">
      <w:pPr>
        <w:pStyle w:val="Prrafodelista"/>
        <w:spacing w:after="120" w:line="360" w:lineRule="auto"/>
        <w:ind w:left="357" w:right="333"/>
        <w:jc w:val="both"/>
        <w:rPr>
          <w:rFonts w:ascii="Palatino Linotype" w:hAnsi="Palatino Linotype"/>
          <w:i/>
        </w:rPr>
      </w:pPr>
      <w:r w:rsidRPr="003529DE">
        <w:rPr>
          <w:rFonts w:ascii="Palatino Linotype" w:hAnsi="Palatino Linotype"/>
          <w:b/>
          <w:i/>
        </w:rPr>
        <w:t>“Artículo 52.</w:t>
      </w:r>
      <w:r w:rsidRPr="003529DE">
        <w:rPr>
          <w:rFonts w:ascii="Palatino Linotype" w:hAnsi="Palatino Linotype"/>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717097" w:rsidRPr="003529DE" w:rsidRDefault="00717097" w:rsidP="00717097">
      <w:pPr>
        <w:pStyle w:val="Prrafodelista"/>
        <w:spacing w:after="120"/>
        <w:ind w:left="360" w:right="992"/>
        <w:jc w:val="both"/>
        <w:rPr>
          <w:rFonts w:ascii="Palatino Linotype" w:hAnsi="Palatino Linotype"/>
          <w:i/>
        </w:rPr>
      </w:pPr>
    </w:p>
    <w:p w:rsidR="00717097" w:rsidRDefault="00717097" w:rsidP="00717097">
      <w:pPr>
        <w:numPr>
          <w:ilvl w:val="0"/>
          <w:numId w:val="15"/>
        </w:numPr>
        <w:spacing w:line="360" w:lineRule="auto"/>
        <w:ind w:left="0" w:firstLine="0"/>
        <w:contextualSpacing/>
        <w:jc w:val="both"/>
        <w:rPr>
          <w:rFonts w:ascii="Palatino Linotype" w:hAnsi="Palatino Linotype"/>
          <w:i/>
        </w:rPr>
      </w:pPr>
      <w:r w:rsidRPr="003529DE">
        <w:rPr>
          <w:rFonts w:ascii="Palatino Linotype" w:hAnsi="Palatino Linotype"/>
        </w:rPr>
        <w:t xml:space="preserve">El cual fue definido en la Ley General de Protección de Datos Personales en Posesión de Sujetos Obligados y por la Ley de Protección de Datos Personales en Posesión de Sujetos Obligados del Estado de México y Municipios, como el </w:t>
      </w:r>
      <w:r w:rsidRPr="003529DE">
        <w:rPr>
          <w:rFonts w:ascii="Palatino Linotype" w:hAnsi="Palatino Linotype"/>
          <w:i/>
        </w:rPr>
        <w:t>procedimiento por el que los datos personales no pueden asociarse a la o el titular, ni permitir por su estructura, contenido o grado de desagregación, la identificación individual del mismo.</w:t>
      </w:r>
    </w:p>
    <w:p w:rsidR="00717097" w:rsidRPr="003529DE" w:rsidRDefault="00717097" w:rsidP="00717097">
      <w:pPr>
        <w:spacing w:line="360" w:lineRule="auto"/>
        <w:contextualSpacing/>
        <w:jc w:val="both"/>
        <w:rPr>
          <w:rFonts w:ascii="Palatino Linotype" w:hAnsi="Palatino Linotype"/>
          <w:i/>
        </w:rPr>
      </w:pPr>
    </w:p>
    <w:p w:rsidR="00717097" w:rsidRDefault="00717097" w:rsidP="00717097">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t xml:space="preserve">Proceso que no es otra cosa, que la técnica de </w:t>
      </w:r>
      <w:proofErr w:type="spellStart"/>
      <w:r w:rsidRPr="003529DE">
        <w:rPr>
          <w:rFonts w:ascii="Palatino Linotype" w:hAnsi="Palatino Linotype"/>
        </w:rPr>
        <w:t>anonimización</w:t>
      </w:r>
      <w:proofErr w:type="spellEnd"/>
      <w:r w:rsidRPr="003529DE">
        <w:rPr>
          <w:rFonts w:ascii="Palatino Linotype" w:hAnsi="Palatino Linotype"/>
        </w:rPr>
        <w:t xml:space="preserve"> que surgió en España como una herramienta para mitigar los riesgos que representan la obtención y tratamiento masivo de datos de carácter personal, a través de un proceso que permite delimitar y suprimir información sensible contenida en los documentos, permitiendo su divulgación, sin que ello implique vulnerar el derecho a la protección de datos personales, en razón de que permite eliminar de forma irreversible la posibilidad de identificación cuando los datos sean reutilizados.</w:t>
      </w:r>
    </w:p>
    <w:p w:rsidR="00717097" w:rsidRDefault="00717097" w:rsidP="00717097">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lastRenderedPageBreak/>
        <w:t xml:space="preserve">La finalidad del proceso </w:t>
      </w:r>
      <w:proofErr w:type="spellStart"/>
      <w:r w:rsidRPr="003529DE">
        <w:rPr>
          <w:rFonts w:ascii="Palatino Linotype" w:hAnsi="Palatino Linotype"/>
        </w:rPr>
        <w:t>anonimización</w:t>
      </w:r>
      <w:proofErr w:type="spellEnd"/>
      <w:r w:rsidRPr="003529DE">
        <w:rPr>
          <w:rFonts w:ascii="Palatino Linotype" w:hAnsi="Palatino Linotype"/>
        </w:rPr>
        <w:t xml:space="preserve"> es </w:t>
      </w:r>
      <w:r w:rsidRPr="003529DE">
        <w:rPr>
          <w:rFonts w:ascii="Palatino Linotype" w:hAnsi="Palatino Linotype"/>
          <w:i/>
        </w:rPr>
        <w:t xml:space="preserve">eliminar o reducir al mínimo los riesgos de </w:t>
      </w:r>
      <w:proofErr w:type="spellStart"/>
      <w:r w:rsidRPr="003529DE">
        <w:rPr>
          <w:rFonts w:ascii="Palatino Linotype" w:hAnsi="Palatino Linotype"/>
          <w:i/>
        </w:rPr>
        <w:t>reidentificación</w:t>
      </w:r>
      <w:proofErr w:type="spellEnd"/>
      <w:r w:rsidRPr="003529DE">
        <w:rPr>
          <w:rFonts w:ascii="Palatino Linotype" w:hAnsi="Palatino Linotype"/>
          <w:i/>
        </w:rPr>
        <w:t xml:space="preserve"> de los datos anonimizados manteniendo la veracidad de los resultados del tratamiento de los mismos, es decir, además de evitar la identificación de las personas, los datos anonimizados deben garantizar que cualquier operación o tratamiento que pueda ser realizado con posterioridad a la </w:t>
      </w:r>
      <w:proofErr w:type="spellStart"/>
      <w:r w:rsidRPr="003529DE">
        <w:rPr>
          <w:rFonts w:ascii="Palatino Linotype" w:hAnsi="Palatino Linotype"/>
          <w:i/>
        </w:rPr>
        <w:t>anonimización</w:t>
      </w:r>
      <w:proofErr w:type="spellEnd"/>
      <w:r w:rsidRPr="003529DE">
        <w:rPr>
          <w:rFonts w:ascii="Palatino Linotype" w:hAnsi="Palatino Linotype"/>
          <w:i/>
        </w:rPr>
        <w:t xml:space="preserve"> no conlleva una distorsión de los datos reales. Un análisis masivo de los datos o </w:t>
      </w:r>
      <w:proofErr w:type="spellStart"/>
      <w:r w:rsidRPr="003529DE">
        <w:rPr>
          <w:rFonts w:ascii="Palatino Linotype" w:hAnsi="Palatino Linotype"/>
          <w:i/>
        </w:rPr>
        <w:t>macrodatos</w:t>
      </w:r>
      <w:proofErr w:type="spellEnd"/>
      <w:r w:rsidRPr="003529DE">
        <w:rPr>
          <w:rFonts w:ascii="Palatino Linotype" w:hAnsi="Palatino Linotype"/>
          <w:i/>
        </w:rPr>
        <w:t xml:space="preserve"> que puedan derivar de los datos anonimizados no debería diferir del análisis que pudiera obtenerse si hubiera sido realizado con datos no anonimizados</w:t>
      </w:r>
      <w:r w:rsidRPr="003529DE">
        <w:rPr>
          <w:rStyle w:val="Refdenotaalpie"/>
          <w:rFonts w:ascii="Palatino Linotype" w:hAnsi="Palatino Linotype"/>
          <w:i/>
        </w:rPr>
        <w:footnoteReference w:id="6"/>
      </w:r>
      <w:r w:rsidRPr="003529DE">
        <w:rPr>
          <w:rFonts w:ascii="Palatino Linotype" w:hAnsi="Palatino Linotype"/>
        </w:rPr>
        <w:t>.</w:t>
      </w:r>
    </w:p>
    <w:p w:rsidR="00717097" w:rsidRDefault="00717097" w:rsidP="00717097">
      <w:pPr>
        <w:pStyle w:val="Prrafodelista"/>
        <w:rPr>
          <w:rFonts w:ascii="Palatino Linotype" w:hAnsi="Palatino Linotype"/>
        </w:rPr>
      </w:pPr>
    </w:p>
    <w:p w:rsidR="00717097" w:rsidRDefault="00717097" w:rsidP="00717097">
      <w:pPr>
        <w:numPr>
          <w:ilvl w:val="0"/>
          <w:numId w:val="15"/>
        </w:numPr>
        <w:spacing w:line="360" w:lineRule="auto"/>
        <w:ind w:left="0" w:firstLine="0"/>
        <w:contextualSpacing/>
        <w:jc w:val="both"/>
        <w:rPr>
          <w:rFonts w:ascii="Palatino Linotype" w:hAnsi="Palatino Linotype" w:cs="Arial"/>
          <w:shd w:val="clear" w:color="auto" w:fill="FFFFFF"/>
        </w:rPr>
      </w:pPr>
      <w:r w:rsidRPr="003529DE">
        <w:rPr>
          <w:rFonts w:ascii="Palatino Linotype" w:hAnsi="Palatino Linotype"/>
        </w:rPr>
        <w:t xml:space="preserve">El Grupo de Trabajo del artículo 29 de Protección de Datos personales, señala que la </w:t>
      </w:r>
      <w:proofErr w:type="spellStart"/>
      <w:r w:rsidRPr="003529DE">
        <w:rPr>
          <w:rFonts w:ascii="Palatino Linotype" w:hAnsi="Palatino Linotype"/>
        </w:rPr>
        <w:t>a</w:t>
      </w:r>
      <w:r w:rsidRPr="003529DE">
        <w:rPr>
          <w:rFonts w:ascii="Palatino Linotype" w:hAnsi="Palatino Linotype" w:cs="Arial"/>
          <w:shd w:val="clear" w:color="auto" w:fill="FFFFFF"/>
        </w:rPr>
        <w:t>nonimización</w:t>
      </w:r>
      <w:proofErr w:type="spellEnd"/>
      <w:r w:rsidRPr="003529DE">
        <w:rPr>
          <w:rFonts w:ascii="Palatino Linotype" w:hAnsi="Palatino Linotype" w:cs="Arial"/>
          <w:shd w:val="clear" w:color="auto" w:fill="FFFFFF"/>
        </w:rPr>
        <w:t xml:space="preserve"> tiene relevancia en un contexto </w:t>
      </w:r>
      <w:r w:rsidRPr="003529DE">
        <w:rPr>
          <w:rFonts w:ascii="Palatino Linotype" w:hAnsi="Palatino Linotype" w:cs="Arial"/>
          <w:i/>
          <w:iCs/>
          <w:bdr w:val="none" w:sz="0" w:space="0" w:color="auto" w:frame="1"/>
          <w:shd w:val="clear" w:color="auto" w:fill="FFFFFF"/>
        </w:rPr>
        <w:t>Open Data</w:t>
      </w:r>
      <w:r w:rsidRPr="003529DE">
        <w:rPr>
          <w:rFonts w:ascii="Palatino Linotype" w:hAnsi="Palatino Linotype" w:cs="Arial"/>
          <w:shd w:val="clear" w:color="auto" w:fill="FFFFFF"/>
        </w:rPr>
        <w:t>, donde es necesaria la reutilización de los datos, considerando que la legislación vigente en materia de protección de datos establece que, los datos anónimos quedan fuera de su ámbito de aplicación; toda vez que la anonimizarían supone que no será posible identificar a la persona con datos o información de diversas fuentes. Asimismo, en su Dictamen sobre el principio de finalidad (WP 203) establece los siguientes criterios para el tratamiento posterior de datos personales con finalidades adicionales a la finalidad original:</w:t>
      </w:r>
    </w:p>
    <w:p w:rsidR="00717097" w:rsidRDefault="00717097" w:rsidP="00717097">
      <w:pPr>
        <w:pStyle w:val="Prrafodelista"/>
        <w:rPr>
          <w:rFonts w:ascii="Palatino Linotype" w:hAnsi="Palatino Linotype" w:cs="Arial"/>
          <w:shd w:val="clear" w:color="auto" w:fill="FFFFFF"/>
        </w:rPr>
      </w:pPr>
    </w:p>
    <w:p w:rsidR="00717097" w:rsidRPr="003529DE" w:rsidRDefault="00717097" w:rsidP="00717097">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 existir una relación entre la finalidad original y la finalidad o finalidades ulteriores. </w:t>
      </w:r>
    </w:p>
    <w:p w:rsidR="00717097" w:rsidRPr="003529DE" w:rsidRDefault="00717097" w:rsidP="00717097">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-El tratamiento ulterior debe encontrarse dentro de las expectativas razonables del interesado. </w:t>
      </w:r>
    </w:p>
    <w:p w:rsidR="00717097" w:rsidRPr="003529DE" w:rsidRDefault="00717097" w:rsidP="00717097">
      <w:pPr>
        <w:pStyle w:val="Prrafodelista"/>
        <w:spacing w:line="360" w:lineRule="auto"/>
        <w:ind w:left="357" w:right="333"/>
        <w:jc w:val="both"/>
        <w:rPr>
          <w:rFonts w:ascii="Palatino Linotype" w:hAnsi="Palatino Linotype"/>
          <w:i/>
        </w:rPr>
      </w:pPr>
      <w:r w:rsidRPr="003529DE">
        <w:rPr>
          <w:rFonts w:ascii="Palatino Linotype" w:hAnsi="Palatino Linotype"/>
          <w:i/>
        </w:rPr>
        <w:lastRenderedPageBreak/>
        <w:t xml:space="preserve">-Debe tenerse en cuenta la naturaleza de los datos objeto de tratamiento y la sensibilidad de los mismos. </w:t>
      </w:r>
    </w:p>
    <w:p w:rsidR="00717097" w:rsidRPr="003529DE" w:rsidRDefault="00717097" w:rsidP="00717097">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 considerarse el impacto que este tratamiento va a tener en los interesados. </w:t>
      </w:r>
    </w:p>
    <w:p w:rsidR="00717097" w:rsidRDefault="00717097" w:rsidP="00717097">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-Deben considerarse las medidas de protección que el responsable del tratamiento establece, en particular las medidas técnicas y organizativas: encriptación, </w:t>
      </w:r>
      <w:proofErr w:type="spellStart"/>
      <w:r w:rsidRPr="003529DE">
        <w:rPr>
          <w:rFonts w:ascii="Palatino Linotype" w:hAnsi="Palatino Linotype"/>
          <w:i/>
        </w:rPr>
        <w:t>seudonimización</w:t>
      </w:r>
      <w:proofErr w:type="spellEnd"/>
      <w:r w:rsidRPr="003529DE">
        <w:rPr>
          <w:rFonts w:ascii="Palatino Linotype" w:hAnsi="Palatino Linotype"/>
          <w:i/>
        </w:rPr>
        <w:t>, separación funcional, transparencia, oposición al tratamiento.</w:t>
      </w:r>
    </w:p>
    <w:p w:rsidR="00717097" w:rsidRDefault="00717097" w:rsidP="00717097">
      <w:pPr>
        <w:pStyle w:val="Prrafodelista"/>
        <w:spacing w:line="360" w:lineRule="auto"/>
        <w:ind w:left="357" w:right="333"/>
        <w:jc w:val="both"/>
        <w:rPr>
          <w:rFonts w:ascii="Palatino Linotype" w:hAnsi="Palatino Linotype"/>
          <w:i/>
        </w:rPr>
      </w:pPr>
    </w:p>
    <w:p w:rsidR="00717097" w:rsidRDefault="00717097" w:rsidP="00717097">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t xml:space="preserve">Cabe decir, que la Ley General de Protección de Datos no hizo referencia al proceso de </w:t>
      </w:r>
      <w:proofErr w:type="spellStart"/>
      <w:r w:rsidRPr="003529DE">
        <w:rPr>
          <w:rFonts w:ascii="Palatino Linotype" w:hAnsi="Palatino Linotype"/>
        </w:rPr>
        <w:t>anonimización</w:t>
      </w:r>
      <w:proofErr w:type="spellEnd"/>
      <w:r w:rsidRPr="003529DE">
        <w:rPr>
          <w:rFonts w:ascii="Palatino Linotype" w:hAnsi="Palatino Linotype"/>
        </w:rPr>
        <w:t>, pero sí reconoció el proceso de disociación</w:t>
      </w:r>
      <w:r w:rsidRPr="003529DE">
        <w:rPr>
          <w:rFonts w:ascii="Palatino Linotype" w:hAnsi="Palatino Linotype"/>
          <w:i/>
        </w:rPr>
        <w:t xml:space="preserve"> </w:t>
      </w:r>
      <w:r w:rsidRPr="003529DE">
        <w:rPr>
          <w:rFonts w:ascii="Palatino Linotype" w:hAnsi="Palatino Linotype"/>
        </w:rPr>
        <w:t xml:space="preserve">como el procedimiento que permite aislar o eliminar datos que identifiquen a un individuo y desvincular datos referentes a una misma persona, mientras que la Ley de Protección de Datos Personales en Posesión de Sujetos Obligados de la entidad, en su artículo 21 fracciones VIII y IX señala que cuando se adviertan datos personales en fuentes de acceso público serán sometidos al procedimiento de </w:t>
      </w:r>
      <w:proofErr w:type="spellStart"/>
      <w:r w:rsidRPr="003529DE">
        <w:rPr>
          <w:rFonts w:ascii="Palatino Linotype" w:hAnsi="Palatino Linotype"/>
        </w:rPr>
        <w:t>anonimización</w:t>
      </w:r>
      <w:proofErr w:type="spellEnd"/>
      <w:r w:rsidRPr="003529DE">
        <w:rPr>
          <w:rFonts w:ascii="Palatino Linotype" w:hAnsi="Palatino Linotype"/>
        </w:rPr>
        <w:t xml:space="preserve">, disociación o </w:t>
      </w:r>
      <w:proofErr w:type="spellStart"/>
      <w:r w:rsidRPr="003529DE">
        <w:rPr>
          <w:rFonts w:ascii="Palatino Linotype" w:hAnsi="Palatino Linotype"/>
        </w:rPr>
        <w:t>seudonimización</w:t>
      </w:r>
      <w:proofErr w:type="spellEnd"/>
      <w:r w:rsidRPr="003529DE">
        <w:rPr>
          <w:rFonts w:ascii="Palatino Linotype" w:hAnsi="Palatino Linotype"/>
        </w:rPr>
        <w:t>, tendientes a evitar la asociación de los datos personales con su titular.</w:t>
      </w:r>
    </w:p>
    <w:p w:rsidR="00717097" w:rsidRPr="00E16B05" w:rsidRDefault="00717097" w:rsidP="00717097">
      <w:pPr>
        <w:spacing w:line="360" w:lineRule="auto"/>
        <w:contextualSpacing/>
        <w:jc w:val="both"/>
        <w:rPr>
          <w:rFonts w:ascii="Palatino Linotype" w:hAnsi="Palatino Linotype" w:cs="Arial"/>
        </w:rPr>
      </w:pPr>
    </w:p>
    <w:p w:rsidR="00717097" w:rsidRPr="00053FB7"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szCs w:val="26"/>
        </w:rPr>
        <w:t>Ahora bien, l</w:t>
      </w:r>
      <w:r w:rsidRPr="008C0982">
        <w:rPr>
          <w:rFonts w:ascii="Palatino Linotype" w:eastAsia="MS Gothic" w:hAnsi="Palatino Linotype" w:cs="Times New Roman"/>
          <w:szCs w:val="26"/>
        </w:rPr>
        <w:t xml:space="preserve">a clasificación total o parcial de la información requerida, mediante solicitud de acceso a la </w:t>
      </w:r>
      <w:r w:rsidRPr="00002446">
        <w:rPr>
          <w:rFonts w:ascii="Palatino Linotype" w:hAnsi="Palatino Linotype"/>
        </w:rPr>
        <w:t>información</w:t>
      </w:r>
      <w:r w:rsidRPr="008C0982">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7"/>
      </w:r>
      <w:r w:rsidRPr="008C0982">
        <w:rPr>
          <w:rFonts w:ascii="Palatino Linotype" w:eastAsia="MS Gothic" w:hAnsi="Palatino Linotype" w:cs="Times New Roman"/>
          <w:szCs w:val="26"/>
        </w:rPr>
        <w:t xml:space="preserve"> aunque cualquier </w:t>
      </w:r>
      <w:r w:rsidRPr="008C0982">
        <w:rPr>
          <w:rFonts w:ascii="Palatino Linotype" w:eastAsia="MS Gothic" w:hAnsi="Palatino Linotype" w:cs="Times New Roman"/>
          <w:szCs w:val="26"/>
        </w:rPr>
        <w:lastRenderedPageBreak/>
        <w:t>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8"/>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717097" w:rsidRDefault="00717097" w:rsidP="00717097">
      <w:pPr>
        <w:pStyle w:val="Prrafodelista"/>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Default="00717097" w:rsidP="00717097">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8" w:name="_Toc51863315"/>
      <w:bookmarkStart w:id="179" w:name="_Toc52444649"/>
      <w:bookmarkStart w:id="180" w:name="_Toc57154368"/>
      <w:bookmarkStart w:id="181" w:name="_Toc65170174"/>
      <w:bookmarkStart w:id="182" w:name="_Toc66371800"/>
      <w:bookmarkStart w:id="183" w:name="_Toc67584835"/>
      <w:bookmarkStart w:id="184" w:name="_Toc70070911"/>
      <w:bookmarkStart w:id="185" w:name="_Toc70593358"/>
      <w:bookmarkStart w:id="186" w:name="_Toc71290717"/>
      <w:bookmarkStart w:id="187" w:name="_Toc71291223"/>
      <w:bookmarkStart w:id="188" w:name="_Toc71674122"/>
      <w:bookmarkStart w:id="189" w:name="_Toc83128591"/>
      <w:r w:rsidRPr="008C0982">
        <w:rPr>
          <w:rFonts w:ascii="Palatino Linotype" w:hAnsi="Palatino Linotype" w:cs="Arial"/>
          <w:b/>
        </w:rPr>
        <w:t>Requisitos previos.</w:t>
      </w:r>
      <w:bookmarkEnd w:id="178"/>
      <w:bookmarkEnd w:id="179"/>
      <w:bookmarkEnd w:id="180"/>
      <w:bookmarkEnd w:id="181"/>
      <w:bookmarkEnd w:id="182"/>
      <w:bookmarkEnd w:id="183"/>
      <w:bookmarkEnd w:id="184"/>
      <w:bookmarkEnd w:id="185"/>
      <w:bookmarkEnd w:id="186"/>
      <w:bookmarkEnd w:id="187"/>
      <w:bookmarkEnd w:id="188"/>
      <w:bookmarkEnd w:id="189"/>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DC1963"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17097" w:rsidRPr="00DC1963" w:rsidRDefault="00717097" w:rsidP="00717097">
      <w:pPr>
        <w:pStyle w:val="Prrafodelista"/>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no se puede hacer un acuerdo para clasificar de manera general todos los documentos de un expediente o área</w:t>
      </w:r>
      <w:r w:rsidRPr="00437672">
        <w:rPr>
          <w:rFonts w:ascii="Palatino Linotype" w:eastAsia="MS Gothic" w:hAnsi="Palatino Linotype" w:cs="Times New Roman"/>
          <w:b/>
          <w:szCs w:val="26"/>
        </w:rPr>
        <w:t xml:space="preserve">,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Default="00717097" w:rsidP="00717097">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0" w:name="_Toc51863316"/>
      <w:bookmarkStart w:id="191" w:name="_Toc52444650"/>
      <w:bookmarkStart w:id="192" w:name="_Toc57154369"/>
      <w:bookmarkStart w:id="193" w:name="_Toc65170175"/>
      <w:bookmarkStart w:id="194" w:name="_Toc66371801"/>
      <w:bookmarkStart w:id="195" w:name="_Toc67584836"/>
      <w:bookmarkStart w:id="196" w:name="_Toc70070912"/>
      <w:bookmarkStart w:id="197" w:name="_Toc70593359"/>
      <w:bookmarkStart w:id="198" w:name="_Toc71290718"/>
      <w:bookmarkStart w:id="199" w:name="_Toc71291224"/>
      <w:bookmarkStart w:id="200" w:name="_Toc71674123"/>
      <w:bookmarkStart w:id="201" w:name="_Toc83128592"/>
      <w:r w:rsidRPr="008C0982">
        <w:rPr>
          <w:rFonts w:ascii="Palatino Linotype" w:hAnsi="Palatino Linotype" w:cs="Arial"/>
          <w:b/>
        </w:rPr>
        <w:lastRenderedPageBreak/>
        <w:t>Supuestos de clasificación.</w:t>
      </w:r>
      <w:bookmarkEnd w:id="190"/>
      <w:bookmarkEnd w:id="191"/>
      <w:bookmarkEnd w:id="192"/>
      <w:bookmarkEnd w:id="193"/>
      <w:bookmarkEnd w:id="194"/>
      <w:bookmarkEnd w:id="195"/>
      <w:bookmarkEnd w:id="196"/>
      <w:bookmarkEnd w:id="197"/>
      <w:bookmarkEnd w:id="198"/>
      <w:bookmarkEnd w:id="199"/>
      <w:bookmarkEnd w:id="200"/>
      <w:bookmarkEnd w:id="201"/>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717097" w:rsidRPr="008C0982"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717097" w:rsidRPr="008C0982"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17097" w:rsidRPr="008C0982"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717097" w:rsidRPr="008C0982"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717097"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717097" w:rsidRPr="008C0982" w:rsidRDefault="00717097" w:rsidP="00717097">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717097" w:rsidRPr="00053FB7"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17097" w:rsidRPr="00977884" w:rsidRDefault="00717097" w:rsidP="00717097">
      <w:pPr>
        <w:spacing w:line="360" w:lineRule="auto"/>
        <w:contextualSpacing/>
        <w:jc w:val="both"/>
        <w:rPr>
          <w:rFonts w:ascii="Palatino Linotype" w:hAnsi="Palatino Linotype" w:cs="Arial"/>
        </w:rPr>
      </w:pPr>
    </w:p>
    <w:p w:rsidR="00717097" w:rsidRPr="006C41B7"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lastRenderedPageBreak/>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9"/>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717097" w:rsidRPr="006C41B7" w:rsidRDefault="00717097" w:rsidP="00717097">
      <w:pPr>
        <w:pStyle w:val="Prrafodelista"/>
        <w:rPr>
          <w:rFonts w:ascii="Palatino Linotype" w:hAnsi="Palatino Linotype" w:cs="Arial"/>
        </w:rPr>
      </w:pPr>
    </w:p>
    <w:p w:rsidR="00717097" w:rsidRPr="009A2251"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717097" w:rsidRPr="009A2251" w:rsidRDefault="00717097" w:rsidP="00717097">
      <w:pPr>
        <w:pStyle w:val="Prrafodelista"/>
        <w:rPr>
          <w:rFonts w:ascii="Palatino Linotype" w:hAnsi="Palatino Linotype" w:cs="Arial"/>
        </w:rPr>
      </w:pPr>
    </w:p>
    <w:p w:rsidR="00717097"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lastRenderedPageBreak/>
        <w:t>II. El nombre del área;</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717097" w:rsidRPr="008C0982" w:rsidRDefault="00717097" w:rsidP="00717097">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717097" w:rsidRPr="008C0982" w:rsidRDefault="00717097" w:rsidP="00717097">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ES"/>
        </w:rPr>
        <w:drawing>
          <wp:inline distT="0" distB="0" distL="0" distR="0" wp14:anchorId="65AF93EA" wp14:editId="1BCA5F9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7097" w:rsidRPr="00977884"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rsidR="00717097" w:rsidRPr="008C0982" w:rsidRDefault="00717097" w:rsidP="00717097">
      <w:pPr>
        <w:pStyle w:val="Prrafodelista"/>
        <w:tabs>
          <w:tab w:val="left" w:pos="142"/>
          <w:tab w:val="left" w:pos="284"/>
          <w:tab w:val="left" w:pos="426"/>
        </w:tabs>
        <w:spacing w:after="160" w:line="360" w:lineRule="auto"/>
        <w:ind w:left="0"/>
        <w:jc w:val="both"/>
        <w:rPr>
          <w:rFonts w:ascii="Palatino Linotype" w:hAnsi="Palatino Linotype" w:cs="Arial"/>
        </w:rPr>
      </w:pPr>
    </w:p>
    <w:p w:rsidR="00717097" w:rsidRPr="008C0982" w:rsidRDefault="00717097" w:rsidP="0071709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2" w:name="_Toc51863317"/>
      <w:bookmarkStart w:id="203" w:name="_Toc52444651"/>
      <w:bookmarkStart w:id="204" w:name="_Toc57154370"/>
      <w:bookmarkStart w:id="205" w:name="_Toc65170176"/>
      <w:bookmarkStart w:id="206" w:name="_Toc66371802"/>
      <w:bookmarkStart w:id="207" w:name="_Toc67584837"/>
      <w:bookmarkStart w:id="208" w:name="_Toc70070913"/>
      <w:bookmarkStart w:id="209" w:name="_Toc70593360"/>
      <w:bookmarkStart w:id="210" w:name="_Toc71290719"/>
      <w:bookmarkStart w:id="211" w:name="_Toc71291225"/>
      <w:bookmarkStart w:id="212" w:name="_Toc71674124"/>
      <w:bookmarkStart w:id="213" w:name="_Toc83128593"/>
      <w:r w:rsidRPr="008C0982">
        <w:rPr>
          <w:rFonts w:ascii="Palatino Linotype" w:hAnsi="Palatino Linotype" w:cs="Arial"/>
          <w:b/>
        </w:rPr>
        <w:t>III. La intervención del Comité de Transparencia.</w:t>
      </w:r>
      <w:bookmarkEnd w:id="202"/>
      <w:bookmarkEnd w:id="203"/>
      <w:bookmarkEnd w:id="204"/>
      <w:bookmarkEnd w:id="205"/>
      <w:bookmarkEnd w:id="206"/>
      <w:bookmarkEnd w:id="207"/>
      <w:bookmarkEnd w:id="208"/>
      <w:bookmarkEnd w:id="209"/>
      <w:bookmarkEnd w:id="210"/>
      <w:bookmarkEnd w:id="211"/>
      <w:bookmarkEnd w:id="212"/>
      <w:bookmarkEnd w:id="213"/>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6D15D0"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w:t>
      </w:r>
      <w:r w:rsidRPr="00053FB7">
        <w:rPr>
          <w:rFonts w:ascii="Palatino Linotype" w:eastAsia="MS Gothic" w:hAnsi="Palatino Linotype" w:cs="Times New Roman"/>
          <w:szCs w:val="26"/>
        </w:rPr>
        <w:t>puede</w:t>
      </w:r>
      <w:r w:rsidRPr="008C0982">
        <w:rPr>
          <w:rFonts w:ascii="Palatino Linotype" w:eastAsia="MS Gothic" w:hAnsi="Palatino Linotype" w:cs="Times New Roman"/>
          <w:szCs w:val="26"/>
        </w:rPr>
        <w:t xml:space="preserv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8C0982">
        <w:rPr>
          <w:rFonts w:ascii="Palatino Linotype" w:eastAsia="MS Gothic" w:hAnsi="Palatino Linotype" w:cs="Times New Roman"/>
          <w:szCs w:val="26"/>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17097" w:rsidRPr="006D15D0" w:rsidRDefault="00717097" w:rsidP="00717097">
      <w:pPr>
        <w:pStyle w:val="Prrafodelista"/>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Default="00717097" w:rsidP="00717097">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717097" w:rsidRPr="00103D15"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717097" w:rsidRPr="008C0982" w:rsidRDefault="00717097" w:rsidP="00717097">
      <w:pPr>
        <w:pStyle w:val="Prrafodelista"/>
        <w:tabs>
          <w:tab w:val="left" w:pos="142"/>
          <w:tab w:val="left" w:pos="284"/>
          <w:tab w:val="left" w:pos="426"/>
        </w:tabs>
        <w:spacing w:after="160" w:line="360" w:lineRule="auto"/>
        <w:ind w:left="0"/>
        <w:jc w:val="both"/>
        <w:rPr>
          <w:rFonts w:ascii="Palatino Linotype" w:hAnsi="Palatino Linotype" w:cs="Arial"/>
        </w:rPr>
      </w:pPr>
    </w:p>
    <w:p w:rsidR="00717097" w:rsidRPr="00C5331A"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17097" w:rsidRPr="00C5331A" w:rsidRDefault="00717097" w:rsidP="00717097">
      <w:pPr>
        <w:pStyle w:val="Prrafodelista"/>
        <w:rPr>
          <w:rFonts w:ascii="Palatino Linotype" w:hAnsi="Palatino Linotype" w:cs="Arial"/>
        </w:rPr>
      </w:pPr>
    </w:p>
    <w:p w:rsidR="00717097" w:rsidRPr="00EE2A79" w:rsidRDefault="00717097" w:rsidP="0071709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10"/>
      </w:r>
    </w:p>
    <w:p w:rsidR="00717097" w:rsidRPr="00EE2A79" w:rsidRDefault="00717097" w:rsidP="00717097">
      <w:pPr>
        <w:pStyle w:val="Prrafodelista"/>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8C0982" w:rsidRDefault="00717097" w:rsidP="00717097">
      <w:pPr>
        <w:spacing w:line="276" w:lineRule="auto"/>
        <w:ind w:left="567" w:right="618"/>
        <w:contextualSpacing/>
        <w:jc w:val="both"/>
        <w:rPr>
          <w:rFonts w:ascii="Palatino Linotype" w:hAnsi="Palatino Linotype" w:cs="Arial"/>
          <w:i/>
          <w:color w:val="000000"/>
        </w:rPr>
      </w:pPr>
      <w:r>
        <w:rPr>
          <w:rFonts w:ascii="Palatino Linotype" w:hAnsi="Palatino Linotype" w:cs="Arial"/>
          <w:b/>
          <w:i/>
          <w:color w:val="000000"/>
        </w:rPr>
        <w:lastRenderedPageBreak/>
        <w:t>“</w:t>
      </w: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rsidR="00717097" w:rsidRPr="008C0982"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rsidR="00717097" w:rsidRPr="008C0982"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717097" w:rsidRPr="008C0982"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8C0982">
        <w:rPr>
          <w:rFonts w:ascii="Palatino Linotype" w:hAnsi="Palatino Linotype" w:cs="Arial"/>
          <w:i/>
          <w:color w:val="000000"/>
        </w:rPr>
        <w:t>Esponda</w:t>
      </w:r>
      <w:proofErr w:type="spellEnd"/>
      <w:r w:rsidRPr="008C0982">
        <w:rPr>
          <w:rFonts w:ascii="Palatino Linotype" w:hAnsi="Palatino Linotype" w:cs="Arial"/>
          <w:i/>
          <w:color w:val="000000"/>
        </w:rPr>
        <w:t xml:space="preserve"> Rincón.</w:t>
      </w:r>
    </w:p>
    <w:p w:rsidR="00717097" w:rsidRPr="008C0982"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333/88. </w:t>
      </w:r>
      <w:proofErr w:type="spellStart"/>
      <w:r w:rsidRPr="008C0982">
        <w:rPr>
          <w:rFonts w:ascii="Palatino Linotype" w:hAnsi="Palatino Linotype" w:cs="Arial"/>
          <w:i/>
          <w:color w:val="000000"/>
        </w:rPr>
        <w:t>Adilia</w:t>
      </w:r>
      <w:proofErr w:type="spellEnd"/>
      <w:r w:rsidRPr="008C0982">
        <w:rPr>
          <w:rFonts w:ascii="Palatino Linotype" w:hAnsi="Palatino Linotype" w:cs="Arial"/>
          <w:i/>
          <w:color w:val="000000"/>
        </w:rPr>
        <w:t xml:space="preserve"> Romero. 26 de octubre de 1988. Unanimidad de votos. Ponente: Arnoldo Nájera Virgen. Secretario: Enrique Crispín Campos Ramírez.</w:t>
      </w:r>
    </w:p>
    <w:p w:rsidR="00717097" w:rsidRPr="008C0982"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C0982">
        <w:rPr>
          <w:rFonts w:ascii="Palatino Linotype" w:hAnsi="Palatino Linotype" w:cs="Arial"/>
          <w:i/>
          <w:color w:val="000000"/>
        </w:rPr>
        <w:t>Goyzueta</w:t>
      </w:r>
      <w:proofErr w:type="spellEnd"/>
      <w:r w:rsidRPr="008C0982">
        <w:rPr>
          <w:rFonts w:ascii="Palatino Linotype" w:hAnsi="Palatino Linotype" w:cs="Arial"/>
          <w:i/>
          <w:color w:val="000000"/>
        </w:rPr>
        <w:t>. Secretario: Gonzalo Carrera Molina.</w:t>
      </w:r>
    </w:p>
    <w:p w:rsidR="00717097" w:rsidRDefault="00717097" w:rsidP="00717097">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r>
        <w:rPr>
          <w:rFonts w:ascii="Palatino Linotype" w:hAnsi="Palatino Linotype" w:cs="Arial"/>
          <w:i/>
          <w:color w:val="000000"/>
        </w:rPr>
        <w:t>”</w:t>
      </w:r>
    </w:p>
    <w:p w:rsidR="00717097" w:rsidRPr="008C0982" w:rsidRDefault="00717097" w:rsidP="00717097">
      <w:pPr>
        <w:spacing w:line="360" w:lineRule="auto"/>
        <w:ind w:left="851" w:right="618"/>
        <w:contextualSpacing/>
        <w:jc w:val="both"/>
        <w:rPr>
          <w:rFonts w:ascii="Palatino Linotype" w:hAnsi="Palatino Linotype" w:cs="Arial"/>
          <w:i/>
          <w:color w:val="000000"/>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053FB7">
        <w:rPr>
          <w:rFonts w:ascii="Palatino Linotype" w:hAnsi="Palatino Linotype" w:cs="Arial"/>
        </w:rPr>
        <w:t>Así</w:t>
      </w:r>
      <w:r w:rsidRPr="008C0982">
        <w:rPr>
          <w:rFonts w:ascii="Palatino Linotype" w:eastAsia="MS Gothic" w:hAnsi="Palatino Linotype" w:cs="Times New Roman"/>
        </w:rPr>
        <w:t xml:space="preserve">, en un acto de autoridad se cumple con la debida fundamentación cuando se cita el precepto legal aplicable al caso concreto y la debida motivación </w:t>
      </w:r>
      <w:r w:rsidRPr="008C0982">
        <w:rPr>
          <w:rFonts w:ascii="Palatino Linotype" w:eastAsia="MS Gothic" w:hAnsi="Palatino Linotype" w:cs="Times New Roman"/>
        </w:rPr>
        <w:lastRenderedPageBreak/>
        <w:t>cuando se expresan las razones, motivos o circunstancias que tomó en cuenta la autoridad para adecuar el hecho a los fundamentos de derecho.</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8C0982"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consecuencia, la fundamentación y motivación implica que, en el acto de autoridad, además de contenerse los supuestos jurídicos aplicables se expliquen </w:t>
      </w:r>
      <w:r w:rsidRPr="00053FB7">
        <w:rPr>
          <w:rFonts w:ascii="Palatino Linotype" w:hAnsi="Palatino Linotype" w:cs="Arial"/>
        </w:rPr>
        <w:t>claramente</w:t>
      </w:r>
      <w:r w:rsidRPr="008C0982">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717097" w:rsidRPr="008C0982" w:rsidRDefault="00717097" w:rsidP="00717097">
      <w:pPr>
        <w:pStyle w:val="Prrafodelista"/>
        <w:tabs>
          <w:tab w:val="left" w:pos="142"/>
          <w:tab w:val="left" w:pos="284"/>
          <w:tab w:val="left" w:pos="426"/>
        </w:tabs>
        <w:spacing w:line="360" w:lineRule="auto"/>
        <w:ind w:left="0"/>
        <w:jc w:val="both"/>
        <w:rPr>
          <w:rFonts w:ascii="Palatino Linotype" w:hAnsi="Palatino Linotype" w:cs="Arial"/>
        </w:rPr>
      </w:pPr>
    </w:p>
    <w:p w:rsidR="00717097" w:rsidRPr="0081198A" w:rsidRDefault="00717097" w:rsidP="0071709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ese mismo sentido, el numeral trigésimo tercero fracción V de los </w:t>
      </w:r>
      <w:r w:rsidRPr="00053FB7">
        <w:rPr>
          <w:rFonts w:ascii="Palatino Linotype" w:hAnsi="Palatino Linotype" w:cs="Arial"/>
        </w:rPr>
        <w:t>Lineamientos</w:t>
      </w:r>
      <w:r w:rsidRPr="008C0982">
        <w:rPr>
          <w:rFonts w:ascii="Palatino Linotype" w:eastAsia="MS Gothic" w:hAnsi="Palatino Linotype" w:cs="Times New Roman"/>
        </w:rPr>
        <w:t xml:space="preserve"> Generales, precisa que para motivar la clasificación se deben acreditar las circunstancias de tiempo, modo y lugar.</w:t>
      </w:r>
    </w:p>
    <w:p w:rsidR="0081198A" w:rsidRDefault="0081198A" w:rsidP="0081198A">
      <w:pPr>
        <w:pStyle w:val="Prrafodelista"/>
        <w:rPr>
          <w:rFonts w:ascii="Palatino Linotype" w:hAnsi="Palatino Linotype" w:cs="Arial"/>
        </w:rPr>
      </w:pPr>
    </w:p>
    <w:p w:rsidR="00717097" w:rsidRDefault="00717097" w:rsidP="00717097">
      <w:pPr>
        <w:pStyle w:val="Ttulo2"/>
        <w:numPr>
          <w:ilvl w:val="0"/>
          <w:numId w:val="25"/>
        </w:numPr>
        <w:spacing w:line="259" w:lineRule="auto"/>
        <w:rPr>
          <w:rFonts w:ascii="Palatino Linotype" w:hAnsi="Palatino Linotype"/>
          <w:b/>
          <w:color w:val="000000" w:themeColor="text1"/>
          <w:sz w:val="24"/>
        </w:rPr>
      </w:pPr>
      <w:bookmarkStart w:id="214" w:name="_Toc70082953"/>
      <w:bookmarkStart w:id="215" w:name="_Toc70593361"/>
      <w:bookmarkStart w:id="216" w:name="_Toc71674125"/>
      <w:bookmarkStart w:id="217" w:name="_Toc83128594"/>
      <w:r w:rsidRPr="00733123">
        <w:rPr>
          <w:rFonts w:ascii="Palatino Linotype" w:hAnsi="Palatino Linotype"/>
          <w:b/>
          <w:color w:val="000000" w:themeColor="text1"/>
          <w:sz w:val="24"/>
        </w:rPr>
        <w:t>Determinación</w:t>
      </w:r>
      <w:bookmarkEnd w:id="214"/>
      <w:bookmarkEnd w:id="215"/>
      <w:bookmarkEnd w:id="216"/>
      <w:bookmarkEnd w:id="217"/>
    </w:p>
    <w:p w:rsidR="00717097" w:rsidRPr="00733123" w:rsidRDefault="00717097" w:rsidP="00717097">
      <w:pPr>
        <w:rPr>
          <w:lang w:val="es-MX" w:eastAsia="en-US"/>
        </w:rPr>
      </w:pPr>
    </w:p>
    <w:p w:rsidR="00717097" w:rsidRDefault="00717097" w:rsidP="00717097">
      <w:pPr>
        <w:numPr>
          <w:ilvl w:val="0"/>
          <w:numId w:val="15"/>
        </w:numPr>
        <w:spacing w:line="360" w:lineRule="auto"/>
        <w:ind w:left="0" w:firstLine="0"/>
        <w:contextualSpacing/>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w:t>
      </w:r>
      <w:r w:rsidRPr="000D3320">
        <w:rPr>
          <w:rFonts w:ascii="Palatino Linotype" w:hAnsi="Palatino Linotype"/>
        </w:rPr>
        <w:t xml:space="preserve">fundadas </w:t>
      </w:r>
      <w:r w:rsidRPr="00053FB7">
        <w:rPr>
          <w:rFonts w:ascii="Palatino Linotype" w:eastAsia="MS Gothic" w:hAnsi="Palatino Linotype" w:cs="Times New Roman"/>
        </w:rPr>
        <w:t>las</w:t>
      </w:r>
      <w:r w:rsidRPr="000D3320">
        <w:rPr>
          <w:rFonts w:ascii="Palatino Linotype" w:hAnsi="Palatino Linotype"/>
        </w:rPr>
        <w:t xml:space="preserve"> razones o motivo</w:t>
      </w:r>
      <w:r>
        <w:rPr>
          <w:rFonts w:ascii="Palatino Linotype" w:hAnsi="Palatino Linotype"/>
        </w:rPr>
        <w:t>s de inconformidad que plantea e</w:t>
      </w:r>
      <w:r w:rsidRPr="000D3320">
        <w:rPr>
          <w:rFonts w:ascii="Palatino Linotype" w:hAnsi="Palatino Linotype"/>
        </w:rPr>
        <w:t>l</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717097" w:rsidRDefault="00717097" w:rsidP="00717097">
      <w:pPr>
        <w:spacing w:line="360" w:lineRule="auto"/>
        <w:contextualSpacing/>
        <w:jc w:val="both"/>
        <w:rPr>
          <w:rFonts w:ascii="Palatino Linotype" w:eastAsia="Calibri" w:hAnsi="Palatino Linotype" w:cs="Times New Roman"/>
        </w:rPr>
      </w:pPr>
    </w:p>
    <w:p w:rsidR="00717097" w:rsidRDefault="00717097" w:rsidP="00717097">
      <w:pPr>
        <w:pStyle w:val="Ttulo1"/>
        <w:spacing w:before="0" w:line="360" w:lineRule="auto"/>
        <w:jc w:val="center"/>
        <w:rPr>
          <w:rFonts w:ascii="Palatino Linotype" w:eastAsia="Calibri" w:hAnsi="Palatino Linotype"/>
          <w:b/>
          <w:color w:val="000000" w:themeColor="text1"/>
          <w:sz w:val="24"/>
          <w:szCs w:val="24"/>
          <w:lang w:val="es-ES"/>
        </w:rPr>
      </w:pPr>
      <w:bookmarkStart w:id="218" w:name="_Toc504500693"/>
      <w:bookmarkStart w:id="219" w:name="_Toc534742545"/>
      <w:bookmarkStart w:id="220" w:name="_Toc2248738"/>
      <w:bookmarkStart w:id="221" w:name="_Toc34819440"/>
      <w:bookmarkStart w:id="222" w:name="_Toc51259595"/>
      <w:bookmarkStart w:id="223" w:name="_Toc83128595"/>
      <w:r w:rsidRPr="009F09BC">
        <w:rPr>
          <w:rFonts w:ascii="Palatino Linotype" w:eastAsia="Calibri" w:hAnsi="Palatino Linotype"/>
          <w:b/>
          <w:color w:val="000000" w:themeColor="text1"/>
          <w:sz w:val="24"/>
          <w:szCs w:val="24"/>
          <w:lang w:val="es-ES"/>
        </w:rPr>
        <w:lastRenderedPageBreak/>
        <w:t>R E S O L U T I V O S</w:t>
      </w:r>
      <w:bookmarkEnd w:id="218"/>
      <w:bookmarkEnd w:id="219"/>
      <w:bookmarkEnd w:id="220"/>
      <w:bookmarkEnd w:id="221"/>
      <w:bookmarkEnd w:id="222"/>
      <w:bookmarkEnd w:id="223"/>
    </w:p>
    <w:p w:rsidR="00717097" w:rsidRPr="00CE7B83" w:rsidRDefault="00717097" w:rsidP="00717097">
      <w:pPr>
        <w:rPr>
          <w:lang w:val="es-ES"/>
        </w:rPr>
      </w:pPr>
    </w:p>
    <w:p w:rsidR="00717097" w:rsidRDefault="00717097" w:rsidP="00717097">
      <w:pPr>
        <w:spacing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Pr>
          <w:rFonts w:ascii="Palatino Linotype" w:eastAsia="Times New Roman" w:hAnsi="Palatino Linotype" w:cs="Arial"/>
          <w:lang w:val="es-ES"/>
        </w:rPr>
        <w:t xml:space="preserve"> el R</w:t>
      </w:r>
      <w:r w:rsidRPr="003171A7">
        <w:rPr>
          <w:rFonts w:ascii="Palatino Linotype" w:eastAsia="Times New Roman" w:hAnsi="Palatino Linotype" w:cs="Arial"/>
          <w:lang w:val="es-ES"/>
        </w:rPr>
        <w:t>ecurso</w:t>
      </w:r>
      <w:r>
        <w:rPr>
          <w:rFonts w:ascii="Palatino Linotype" w:eastAsia="Times New Roman" w:hAnsi="Palatino Linotype" w:cs="Arial"/>
          <w:lang w:val="es-ES"/>
        </w:rPr>
        <w:t xml:space="preserve"> de R</w:t>
      </w:r>
      <w:r w:rsidRPr="003171A7">
        <w:rPr>
          <w:rFonts w:ascii="Palatino Linotype" w:eastAsia="Times New Roman" w:hAnsi="Palatino Linotype" w:cs="Arial"/>
          <w:lang w:val="es-ES"/>
        </w:rPr>
        <w:t xml:space="preserve">evisión </w:t>
      </w:r>
      <w:r>
        <w:rPr>
          <w:rFonts w:ascii="Palatino Linotype" w:hAnsi="Palatino Linotype"/>
          <w:b/>
        </w:rPr>
        <w:t>00863/INFOEM/IP/RR/2022</w:t>
      </w:r>
      <w:r>
        <w:rPr>
          <w:rFonts w:ascii="Palatino Linotype" w:hAnsi="Palatino Linotype"/>
        </w:rPr>
        <w:t>,</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w:t>
      </w:r>
      <w:r>
        <w:rPr>
          <w:rFonts w:ascii="Palatino Linotype" w:eastAsia="Times New Roman" w:hAnsi="Palatino Linotype" w:cs="Arial"/>
          <w:b/>
          <w:lang w:val="es-ES"/>
        </w:rPr>
        <w:t>SÉPTIMO</w:t>
      </w:r>
      <w:r w:rsidRPr="003171A7">
        <w:rPr>
          <w:rFonts w:ascii="Palatino Linotype" w:eastAsia="Times New Roman" w:hAnsi="Palatino Linotype" w:cs="Arial"/>
          <w:b/>
          <w:lang w:val="es-ES"/>
        </w:rPr>
        <w:t xml:space="preserve"> </w:t>
      </w:r>
      <w:r w:rsidRPr="003171A7">
        <w:rPr>
          <w:rFonts w:ascii="Palatino Linotype" w:eastAsia="Times New Roman" w:hAnsi="Palatino Linotype" w:cs="Arial"/>
          <w:lang w:val="es-ES"/>
        </w:rPr>
        <w:t xml:space="preserve">de la presente resolución. </w:t>
      </w:r>
    </w:p>
    <w:p w:rsidR="00717097" w:rsidRPr="003171A7" w:rsidRDefault="00717097" w:rsidP="00717097">
      <w:pPr>
        <w:spacing w:line="360" w:lineRule="auto"/>
        <w:jc w:val="both"/>
        <w:rPr>
          <w:rFonts w:ascii="Palatino Linotype" w:eastAsia="Times New Roman" w:hAnsi="Palatino Linotype" w:cs="Arial"/>
          <w:lang w:val="es-ES"/>
        </w:rPr>
      </w:pPr>
    </w:p>
    <w:p w:rsidR="00717097" w:rsidRDefault="00717097" w:rsidP="00717097">
      <w:pPr>
        <w:spacing w:line="360" w:lineRule="auto"/>
        <w:jc w:val="both"/>
        <w:rPr>
          <w:rFonts w:ascii="Palatino Linotype" w:eastAsia="MS Mincho" w:hAnsi="Palatino Linotype" w:cs="Times New Roman"/>
          <w:color w:val="000000" w:themeColor="text1"/>
        </w:rPr>
      </w:pPr>
      <w:bookmarkStart w:id="224" w:name="_Toc503891607"/>
      <w:bookmarkStart w:id="225" w:name="_Toc511647757"/>
      <w:bookmarkStart w:id="226" w:name="_Toc511647818"/>
      <w:bookmarkStart w:id="227" w:name="_Toc477891768"/>
      <w:bookmarkStart w:id="228" w:name="_Toc477891858"/>
      <w:bookmarkStart w:id="229" w:name="_Toc481576259"/>
      <w:bookmarkStart w:id="230" w:name="_Toc492590391"/>
      <w:bookmarkStart w:id="231" w:name="_Toc462653937"/>
      <w:bookmarkStart w:id="232" w:name="_Toc453696502"/>
      <w:bookmarkStart w:id="233" w:name="_Toc454301155"/>
      <w:r w:rsidRPr="003171A7">
        <w:rPr>
          <w:rFonts w:ascii="Palatino Linotype" w:eastAsia="Times New Roman" w:hAnsi="Palatino Linotype" w:cs="Times New Roman"/>
          <w:b/>
        </w:rPr>
        <w:t>SEGUNDO.</w:t>
      </w:r>
      <w:bookmarkEnd w:id="224"/>
      <w:bookmarkEnd w:id="225"/>
      <w:bookmarkEnd w:id="226"/>
      <w:r w:rsidRPr="003171A7">
        <w:rPr>
          <w:rFonts w:ascii="Palatino Linotype" w:eastAsia="Times New Roman" w:hAnsi="Palatino Linotype" w:cs="Times New Roman"/>
          <w:b/>
        </w:rPr>
        <w:t xml:space="preserve"> </w:t>
      </w:r>
      <w:bookmarkEnd w:id="227"/>
      <w:bookmarkEnd w:id="228"/>
      <w:bookmarkEnd w:id="229"/>
      <w:bookmarkEnd w:id="230"/>
      <w:bookmarkEnd w:id="231"/>
      <w:bookmarkEnd w:id="232"/>
      <w:bookmarkEnd w:id="233"/>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ORDENA</w:t>
      </w:r>
      <w:r w:rsidRPr="00D90769">
        <w:rPr>
          <w:rFonts w:ascii="Palatino Linotype" w:eastAsia="MS Mincho" w:hAnsi="Palatino Linotype" w:cs="Times New Roman"/>
          <w:b/>
          <w:color w:val="000000" w:themeColor="text1"/>
        </w:rPr>
        <w:t xml:space="preserve"> </w:t>
      </w:r>
      <w:r>
        <w:rPr>
          <w:rFonts w:ascii="Palatino Linotype" w:eastAsia="MS Mincho" w:hAnsi="Palatino Linotype" w:cs="Times New Roman"/>
          <w:color w:val="000000" w:themeColor="text1"/>
        </w:rPr>
        <w:t xml:space="preserve">al </w:t>
      </w:r>
      <w:r w:rsidRPr="009E68D3">
        <w:rPr>
          <w:rFonts w:ascii="Palatino Linotype" w:eastAsia="MS Mincho" w:hAnsi="Palatino Linotype" w:cs="Times New Roman"/>
          <w:b/>
          <w:color w:val="000000" w:themeColor="text1"/>
        </w:rPr>
        <w:t>Ayuntamiento</w:t>
      </w:r>
      <w:r w:rsidRPr="009E68D3">
        <w:rPr>
          <w:rFonts w:ascii="Palatino Linotype" w:hAnsi="Palatino Linotype"/>
          <w:b/>
          <w:bCs/>
          <w:color w:val="000000"/>
        </w:rPr>
        <w:t xml:space="preserve"> </w:t>
      </w:r>
      <w:r>
        <w:rPr>
          <w:rFonts w:ascii="Palatino Linotype" w:hAnsi="Palatino Linotype"/>
          <w:b/>
          <w:bCs/>
          <w:color w:val="000000"/>
        </w:rPr>
        <w:t>de Ecatepec de Morelos</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sidRPr="00E83E79">
        <w:rPr>
          <w:rFonts w:ascii="Palatino Linotype" w:eastAsia="MS Mincho" w:hAnsi="Palatino Linotype" w:cs="Times New Roman"/>
          <w:color w:val="000000" w:themeColor="text1"/>
        </w:rPr>
        <w:t xml:space="preserve">, </w:t>
      </w:r>
      <w:r>
        <w:rPr>
          <w:rFonts w:ascii="Palatino Linotype" w:eastAsia="MS Mincho" w:hAnsi="Palatino Linotype" w:cs="Times New Roman"/>
          <w:color w:val="000000" w:themeColor="text1"/>
        </w:rPr>
        <w:t xml:space="preserve">de ser el caso en versión pública </w:t>
      </w:r>
      <w:r w:rsidRPr="00CE7B83">
        <w:rPr>
          <w:rFonts w:ascii="Palatino Linotype" w:eastAsia="MS Mincho" w:hAnsi="Palatino Linotype" w:cs="Times New Roman"/>
          <w:color w:val="000000" w:themeColor="text1"/>
        </w:rPr>
        <w:t>la</w:t>
      </w:r>
      <w:r>
        <w:rPr>
          <w:rFonts w:ascii="Palatino Linotype" w:eastAsia="MS Mincho" w:hAnsi="Palatino Linotype" w:cs="Times New Roman"/>
          <w:color w:val="000000" w:themeColor="text1"/>
        </w:rPr>
        <w:t xml:space="preserve"> siguiente información </w:t>
      </w:r>
      <w:r w:rsidRPr="009E68D3">
        <w:rPr>
          <w:rFonts w:ascii="Palatino Linotype" w:eastAsia="MS Mincho" w:hAnsi="Palatino Linotype" w:cs="Times New Roman"/>
          <w:color w:val="000000" w:themeColor="text1"/>
        </w:rPr>
        <w:t>de los años 2019 a 2021</w:t>
      </w:r>
      <w:r>
        <w:rPr>
          <w:rFonts w:ascii="Palatino Linotype" w:eastAsia="MS Mincho" w:hAnsi="Palatino Linotype" w:cs="Times New Roman"/>
          <w:color w:val="000000" w:themeColor="text1"/>
        </w:rPr>
        <w:t>:</w:t>
      </w:r>
    </w:p>
    <w:p w:rsidR="00717097" w:rsidRDefault="00717097" w:rsidP="00717097">
      <w:pPr>
        <w:spacing w:line="360" w:lineRule="auto"/>
        <w:jc w:val="both"/>
        <w:rPr>
          <w:rFonts w:ascii="Palatino Linotype" w:eastAsia="MS Mincho" w:hAnsi="Palatino Linotype" w:cs="Times New Roman"/>
          <w:color w:val="000000" w:themeColor="text1"/>
        </w:rPr>
      </w:pPr>
    </w:p>
    <w:p w:rsidR="00717097" w:rsidRDefault="00717097" w:rsidP="00717097">
      <w:pPr>
        <w:pStyle w:val="Prrafodelista"/>
        <w:numPr>
          <w:ilvl w:val="0"/>
          <w:numId w:val="35"/>
        </w:numPr>
        <w:spacing w:line="360" w:lineRule="auto"/>
        <w:ind w:left="851" w:hanging="142"/>
        <w:jc w:val="both"/>
        <w:rPr>
          <w:rFonts w:ascii="Palatino Linotype" w:hAnsi="Palatino Linotype" w:cs="Arial"/>
          <w:b/>
        </w:rPr>
      </w:pPr>
      <w:bookmarkStart w:id="234" w:name="_Toc503891610"/>
      <w:bookmarkStart w:id="235" w:name="_Toc453696503"/>
      <w:bookmarkStart w:id="236" w:name="_Toc454301156"/>
      <w:bookmarkStart w:id="237" w:name="_Toc462653938"/>
      <w:bookmarkStart w:id="238" w:name="_Toc477891769"/>
      <w:bookmarkStart w:id="239" w:name="_Toc477891859"/>
      <w:bookmarkStart w:id="240" w:name="_Toc481576260"/>
      <w:bookmarkStart w:id="241" w:name="_Toc492590392"/>
      <w:r>
        <w:rPr>
          <w:rFonts w:ascii="Palatino Linotype" w:hAnsi="Palatino Linotype" w:cs="Arial"/>
          <w:b/>
        </w:rPr>
        <w:t>Del P</w:t>
      </w:r>
      <w:r w:rsidRPr="006A393A">
        <w:rPr>
          <w:rFonts w:ascii="Palatino Linotype" w:hAnsi="Palatino Linotype" w:cs="Arial"/>
          <w:b/>
        </w:rPr>
        <w:t>rograma 02020601</w:t>
      </w:r>
      <w:r>
        <w:rPr>
          <w:rFonts w:ascii="Palatino Linotype" w:hAnsi="Palatino Linotype" w:cs="Arial"/>
          <w:b/>
        </w:rPr>
        <w:t xml:space="preserve"> -</w:t>
      </w:r>
      <w:r w:rsidRPr="006A393A">
        <w:rPr>
          <w:rFonts w:ascii="Palatino Linotype" w:hAnsi="Palatino Linotype" w:cs="Arial"/>
          <w:b/>
        </w:rPr>
        <w:t xml:space="preserve"> Modernizac</w:t>
      </w:r>
      <w:r>
        <w:rPr>
          <w:rFonts w:ascii="Palatino Linotype" w:hAnsi="Palatino Linotype" w:cs="Arial"/>
          <w:b/>
        </w:rPr>
        <w:t>ión de los Servicios Comunales</w:t>
      </w:r>
    </w:p>
    <w:p w:rsidR="00717097" w:rsidRDefault="00717097" w:rsidP="00717097">
      <w:pPr>
        <w:pStyle w:val="Prrafodelista"/>
        <w:numPr>
          <w:ilvl w:val="1"/>
          <w:numId w:val="42"/>
        </w:numPr>
        <w:spacing w:line="360" w:lineRule="auto"/>
        <w:ind w:left="1276"/>
        <w:jc w:val="both"/>
        <w:rPr>
          <w:rFonts w:ascii="Palatino Linotype" w:hAnsi="Palatino Linotype" w:cs="Arial"/>
          <w:b/>
        </w:rPr>
      </w:pPr>
      <w:r>
        <w:rPr>
          <w:rFonts w:ascii="Palatino Linotype" w:hAnsi="Palatino Linotype" w:cs="Arial"/>
          <w:b/>
        </w:rPr>
        <w:t>Nombre de los espacios públicos; y</w:t>
      </w:r>
    </w:p>
    <w:p w:rsidR="00717097" w:rsidRDefault="00717097" w:rsidP="00717097">
      <w:pPr>
        <w:pStyle w:val="Prrafodelista"/>
        <w:numPr>
          <w:ilvl w:val="1"/>
          <w:numId w:val="42"/>
        </w:numPr>
        <w:spacing w:line="360" w:lineRule="auto"/>
        <w:ind w:left="1276"/>
        <w:jc w:val="both"/>
        <w:rPr>
          <w:rFonts w:ascii="Palatino Linotype" w:hAnsi="Palatino Linotype" w:cs="Arial"/>
          <w:b/>
        </w:rPr>
      </w:pPr>
      <w:r>
        <w:rPr>
          <w:rFonts w:ascii="Palatino Linotype" w:hAnsi="Palatino Linotype" w:cs="Arial"/>
          <w:b/>
        </w:rPr>
        <w:t>Evidencia fotográfica</w:t>
      </w:r>
    </w:p>
    <w:p w:rsidR="00717097" w:rsidRPr="006A393A" w:rsidRDefault="00717097" w:rsidP="00717097">
      <w:pPr>
        <w:pStyle w:val="Prrafodelista"/>
        <w:spacing w:line="360" w:lineRule="auto"/>
        <w:ind w:left="851"/>
        <w:jc w:val="both"/>
        <w:rPr>
          <w:rFonts w:ascii="Palatino Linotype" w:hAnsi="Palatino Linotype" w:cs="Arial"/>
          <w:b/>
        </w:rPr>
      </w:pPr>
    </w:p>
    <w:p w:rsidR="00717097" w:rsidRDefault="00717097" w:rsidP="00717097">
      <w:pPr>
        <w:pStyle w:val="Prrafodelista"/>
        <w:numPr>
          <w:ilvl w:val="0"/>
          <w:numId w:val="35"/>
        </w:numPr>
        <w:spacing w:line="360" w:lineRule="auto"/>
        <w:ind w:left="851" w:hanging="142"/>
        <w:jc w:val="both"/>
        <w:rPr>
          <w:rFonts w:ascii="Palatino Linotype" w:hAnsi="Palatino Linotype" w:cs="Arial"/>
          <w:b/>
        </w:rPr>
      </w:pPr>
      <w:r>
        <w:rPr>
          <w:rFonts w:ascii="Palatino Linotype" w:hAnsi="Palatino Linotype" w:cs="Arial"/>
          <w:b/>
        </w:rPr>
        <w:t>D</w:t>
      </w:r>
      <w:r w:rsidRPr="006A393A">
        <w:rPr>
          <w:rFonts w:ascii="Palatino Linotype" w:hAnsi="Palatino Linotype" w:cs="Arial"/>
          <w:b/>
        </w:rPr>
        <w:t xml:space="preserve">el </w:t>
      </w:r>
      <w:r>
        <w:rPr>
          <w:rFonts w:ascii="Palatino Linotype" w:hAnsi="Palatino Linotype" w:cs="Arial"/>
          <w:b/>
        </w:rPr>
        <w:t>P</w:t>
      </w:r>
      <w:r w:rsidRPr="006A393A">
        <w:rPr>
          <w:rFonts w:ascii="Palatino Linotype" w:hAnsi="Palatino Linotype" w:cs="Arial"/>
          <w:b/>
        </w:rPr>
        <w:t>royecto 020206010201</w:t>
      </w:r>
      <w:r>
        <w:rPr>
          <w:rFonts w:ascii="Palatino Linotype" w:hAnsi="Palatino Linotype" w:cs="Arial"/>
          <w:b/>
        </w:rPr>
        <w:t xml:space="preserve"> - </w:t>
      </w:r>
      <w:r w:rsidRPr="006A393A">
        <w:rPr>
          <w:rFonts w:ascii="Palatino Linotype" w:hAnsi="Palatino Linotype" w:cs="Arial"/>
          <w:b/>
        </w:rPr>
        <w:t>Abasto Social de Productos Básicos</w:t>
      </w:r>
    </w:p>
    <w:p w:rsidR="00717097" w:rsidRDefault="00717097" w:rsidP="00717097">
      <w:pPr>
        <w:pStyle w:val="Prrafodelista"/>
        <w:numPr>
          <w:ilvl w:val="1"/>
          <w:numId w:val="35"/>
        </w:numPr>
        <w:spacing w:line="360" w:lineRule="auto"/>
        <w:ind w:left="1276"/>
        <w:jc w:val="both"/>
        <w:rPr>
          <w:rFonts w:ascii="Palatino Linotype" w:hAnsi="Palatino Linotype" w:cs="Arial"/>
          <w:b/>
        </w:rPr>
      </w:pPr>
      <w:r>
        <w:rPr>
          <w:rFonts w:ascii="Palatino Linotype" w:hAnsi="Palatino Linotype" w:cs="Arial"/>
          <w:b/>
        </w:rPr>
        <w:t>Evidencia fotográfica</w:t>
      </w:r>
    </w:p>
    <w:p w:rsidR="00717097" w:rsidRPr="00CE7B83" w:rsidRDefault="00717097" w:rsidP="00717097">
      <w:pPr>
        <w:spacing w:line="360" w:lineRule="auto"/>
        <w:jc w:val="both"/>
        <w:rPr>
          <w:rFonts w:ascii="Palatino Linotype" w:hAnsi="Palatino Linotype" w:cs="Arial"/>
          <w:b/>
        </w:rPr>
      </w:pPr>
    </w:p>
    <w:p w:rsidR="00717097" w:rsidRDefault="00717097" w:rsidP="00717097">
      <w:pPr>
        <w:spacing w:line="360" w:lineRule="auto"/>
        <w:jc w:val="both"/>
        <w:rPr>
          <w:rFonts w:ascii="Palatino Linotype" w:eastAsia="Calibri" w:hAnsi="Palatino Linotype" w:cs="Arial"/>
          <w:b/>
        </w:rPr>
      </w:pPr>
      <w:r w:rsidRPr="003171A7">
        <w:rPr>
          <w:rFonts w:ascii="Palatino Linotype" w:eastAsia="Calibri" w:hAnsi="Palatino Linotype" w:cs="Arial"/>
        </w:rPr>
        <w:t xml:space="preserve">Para efectos de lo anterior, se deberá emitir el Acuerdo del Comité de Transparencia </w:t>
      </w:r>
      <w:r w:rsidRPr="009C6601">
        <w:rPr>
          <w:rFonts w:ascii="Palatino Linotype" w:eastAsia="Calibri" w:hAnsi="Palatino Linotype" w:cs="Arial"/>
        </w:rPr>
        <w:t xml:space="preserve">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9C6601">
        <w:rPr>
          <w:rFonts w:ascii="Palatino Linotype" w:eastAsia="Calibri" w:hAnsi="Palatino Linotype" w:cs="Arial"/>
          <w:b/>
        </w:rPr>
        <w:t>EL RECURRENTE</w:t>
      </w:r>
      <w:r w:rsidRPr="009C6601">
        <w:rPr>
          <w:rFonts w:ascii="Palatino Linotype" w:eastAsia="Calibri" w:hAnsi="Palatino Linotype" w:cs="Arial"/>
        </w:rPr>
        <w:t>.</w:t>
      </w:r>
    </w:p>
    <w:p w:rsidR="00717097" w:rsidRDefault="00717097" w:rsidP="00717097">
      <w:pPr>
        <w:spacing w:line="360" w:lineRule="auto"/>
        <w:jc w:val="both"/>
        <w:rPr>
          <w:rFonts w:ascii="Palatino Linotype" w:eastAsia="Calibri" w:hAnsi="Palatino Linotype" w:cs="Arial"/>
          <w:b/>
        </w:rPr>
      </w:pPr>
    </w:p>
    <w:p w:rsidR="00717097" w:rsidRDefault="00717097" w:rsidP="00717097">
      <w:pPr>
        <w:tabs>
          <w:tab w:val="left" w:pos="8080"/>
        </w:tabs>
        <w:spacing w:line="360" w:lineRule="auto"/>
        <w:ind w:right="49"/>
        <w:jc w:val="both"/>
        <w:rPr>
          <w:rFonts w:ascii="Palatino Linotype" w:eastAsia="Times New Roman" w:hAnsi="Palatino Linotype" w:cs="Times New Roman"/>
          <w:shd w:val="clear" w:color="auto" w:fill="FFFFFF"/>
        </w:rPr>
      </w:pPr>
      <w:bookmarkStart w:id="242" w:name="_Toc511647758"/>
      <w:bookmarkStart w:id="243" w:name="_Toc511647819"/>
      <w:r w:rsidRPr="003171A7">
        <w:rPr>
          <w:rFonts w:ascii="Palatino Linotype" w:eastAsia="Times New Roman" w:hAnsi="Palatino Linotype" w:cs="Times New Roman"/>
          <w:b/>
        </w:rPr>
        <w:lastRenderedPageBreak/>
        <w:t>TERCERO.</w:t>
      </w:r>
      <w:bookmarkEnd w:id="234"/>
      <w:bookmarkEnd w:id="242"/>
      <w:bookmarkEnd w:id="243"/>
      <w:r w:rsidRPr="003171A7">
        <w:rPr>
          <w:rFonts w:ascii="Palatino Linotype" w:eastAsia="Times New Roman" w:hAnsi="Palatino Linotype" w:cs="Times New Roman"/>
          <w:b/>
        </w:rPr>
        <w:t xml:space="preserve"> </w:t>
      </w:r>
      <w:bookmarkEnd w:id="235"/>
      <w:bookmarkEnd w:id="236"/>
      <w:bookmarkEnd w:id="237"/>
      <w:bookmarkEnd w:id="238"/>
      <w:bookmarkEnd w:id="239"/>
      <w:bookmarkEnd w:id="240"/>
      <w:bookmarkEnd w:id="241"/>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CE7B83">
        <w:rPr>
          <w:rFonts w:ascii="Palatino Linotype" w:eastAsia="Palatino Linotype" w:hAnsi="Palatino Linotype" w:cs="Palatino Linotype"/>
        </w:rPr>
        <w:t>vía SAIMEX</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Pr>
          <w:rFonts w:ascii="Palatino Linotype" w:eastAsia="Times New Roman" w:hAnsi="Palatino Linotype" w:cs="Times New Roman"/>
          <w:b/>
          <w:shd w:val="clear" w:color="auto" w:fill="FFFFFF"/>
        </w:rPr>
        <w:t>diez</w:t>
      </w:r>
      <w:r w:rsidRPr="002524C2">
        <w:rPr>
          <w:rFonts w:ascii="Palatino Linotype" w:eastAsia="Times New Roman" w:hAnsi="Palatino Linotype" w:cs="Times New Roman"/>
          <w:b/>
          <w:shd w:val="clear" w:color="auto" w:fill="FFFFFF"/>
        </w:rPr>
        <w:t xml:space="preserv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717097" w:rsidRPr="0057514F" w:rsidRDefault="00717097" w:rsidP="00717097">
      <w:pPr>
        <w:spacing w:line="360" w:lineRule="auto"/>
        <w:jc w:val="both"/>
        <w:rPr>
          <w:rFonts w:ascii="Palatino Linotype" w:hAnsi="Palatino Linotype" w:cs="Arial"/>
          <w:b/>
          <w:sz w:val="20"/>
        </w:rPr>
      </w:pPr>
    </w:p>
    <w:p w:rsidR="00717097" w:rsidRPr="00745D07" w:rsidRDefault="00717097" w:rsidP="00072C23">
      <w:pPr>
        <w:shd w:val="clear" w:color="auto" w:fill="FFFFFF"/>
        <w:spacing w:before="240" w:after="360" w:line="360" w:lineRule="auto"/>
        <w:ind w:right="49"/>
        <w:jc w:val="both"/>
        <w:rPr>
          <w:rFonts w:ascii="Palatino Linotype" w:eastAsia="MS Mincho" w:hAnsi="Palatino Linotype"/>
        </w:rPr>
      </w:pPr>
      <w:r w:rsidRPr="00745D07">
        <w:rPr>
          <w:rFonts w:ascii="Palatino Linotype" w:hAnsi="Palatino Linotype" w:cs="Arial"/>
          <w:b/>
        </w:rPr>
        <w:t xml:space="preserve">CUARTO. </w:t>
      </w:r>
      <w:r w:rsidR="00707DFE">
        <w:rPr>
          <w:rFonts w:ascii="Palatino Linotype" w:hAnsi="Palatino Linotype"/>
          <w:bCs/>
          <w:lang w:val="es-ES"/>
        </w:rPr>
        <w:t xml:space="preserve"> </w:t>
      </w:r>
      <w:r w:rsidRPr="00745D07">
        <w:rPr>
          <w:rFonts w:ascii="Palatino Linotype" w:hAnsi="Palatino Linotype"/>
          <w:bCs/>
          <w:lang w:val="es-ES"/>
        </w:rPr>
        <w:t>Notifíquese a</w:t>
      </w:r>
      <w:r w:rsidRPr="00AE18A4">
        <w:rPr>
          <w:rFonts w:ascii="Palatino Linotype" w:hAnsi="Palatino Linotype"/>
          <w:b/>
          <w:bCs/>
          <w:lang w:val="es-ES"/>
        </w:rPr>
        <w:t xml:space="preserve"> </w:t>
      </w:r>
      <w:r>
        <w:rPr>
          <w:rFonts w:ascii="Palatino Linotype" w:hAnsi="Palatino Linotype"/>
          <w:b/>
          <w:bCs/>
          <w:lang w:val="es-ES"/>
        </w:rPr>
        <w:t>EL RECURRENTE</w:t>
      </w:r>
      <w:r w:rsidRPr="00745D07">
        <w:rPr>
          <w:rFonts w:ascii="Palatino Linotype" w:hAnsi="Palatino Linotype"/>
          <w:b/>
        </w:rPr>
        <w:t xml:space="preserve"> </w:t>
      </w:r>
      <w:r w:rsidRPr="00745D07">
        <w:rPr>
          <w:rFonts w:ascii="Palatino Linotype" w:hAnsi="Palatino Linotype"/>
        </w:rPr>
        <w:t>la presente resolución</w:t>
      </w:r>
      <w:r>
        <w:rPr>
          <w:rFonts w:ascii="Palatino Linotype" w:hAnsi="Palatino Linotype"/>
        </w:rPr>
        <w:t xml:space="preserve">, </w:t>
      </w:r>
      <w:r w:rsidRPr="00930AAE">
        <w:rPr>
          <w:rFonts w:ascii="Palatino Linotype" w:eastAsia="Palatino Linotype" w:hAnsi="Palatino Linotype" w:cs="Palatino Linotype"/>
        </w:rPr>
        <w:t>vía</w:t>
      </w:r>
      <w:r>
        <w:rPr>
          <w:rFonts w:ascii="Palatino Linotype" w:eastAsia="Palatino Linotype" w:hAnsi="Palatino Linotype" w:cs="Palatino Linotype"/>
          <w:b/>
        </w:rPr>
        <w:t xml:space="preserve"> SAIMEX</w:t>
      </w:r>
      <w:r w:rsidRPr="00745D07">
        <w:rPr>
          <w:rFonts w:ascii="Palatino Linotype" w:eastAsia="MS Mincho" w:hAnsi="Palatino Linotype"/>
        </w:rPr>
        <w:t>.</w:t>
      </w:r>
    </w:p>
    <w:p w:rsidR="00717097" w:rsidRDefault="00072C23" w:rsidP="00717097">
      <w:pPr>
        <w:shd w:val="clear" w:color="auto" w:fill="FFFFFF"/>
        <w:spacing w:line="360" w:lineRule="auto"/>
        <w:jc w:val="both"/>
        <w:rPr>
          <w:rFonts w:ascii="Palatino Linotype" w:eastAsia="MS Mincho" w:hAnsi="Palatino Linotype"/>
          <w:lang w:val="es-ES"/>
        </w:rPr>
      </w:pPr>
      <w:r>
        <w:rPr>
          <w:rFonts w:ascii="Palatino Linotype" w:eastAsia="MS Mincho" w:hAnsi="Palatino Linotype"/>
          <w:b/>
        </w:rPr>
        <w:t xml:space="preserve">QUINTO. </w:t>
      </w:r>
      <w:r w:rsidR="00717097" w:rsidRPr="00745D07">
        <w:rPr>
          <w:rFonts w:ascii="Palatino Linotype" w:eastAsia="MS Mincho" w:hAnsi="Palatino Linotype"/>
          <w:lang w:val="es-ES"/>
        </w:rPr>
        <w:t>Se hace del conocimiento d</w:t>
      </w:r>
      <w:r w:rsidR="00717097">
        <w:rPr>
          <w:rFonts w:ascii="Palatino Linotype" w:eastAsia="MS Mincho" w:hAnsi="Palatino Linotype"/>
          <w:lang w:val="es-ES"/>
        </w:rPr>
        <w:t xml:space="preserve">e </w:t>
      </w:r>
      <w:r w:rsidR="00717097">
        <w:rPr>
          <w:rFonts w:ascii="Palatino Linotype" w:eastAsia="MS Mincho" w:hAnsi="Palatino Linotype"/>
          <w:b/>
          <w:lang w:val="es-ES"/>
        </w:rPr>
        <w:t>EL RECURRENTE</w:t>
      </w:r>
      <w:r w:rsidR="00717097" w:rsidRPr="00AE18A4">
        <w:rPr>
          <w:rFonts w:ascii="Palatino Linotype" w:hAnsi="Palatino Linotype"/>
          <w:b/>
        </w:rPr>
        <w:t xml:space="preserve"> </w:t>
      </w:r>
      <w:r w:rsidR="00717097" w:rsidRPr="00745D07">
        <w:rPr>
          <w:rFonts w:ascii="Palatino Linotype" w:hAnsi="Palatino Linotype"/>
        </w:rPr>
        <w:t>q</w:t>
      </w:r>
      <w:proofErr w:type="spellStart"/>
      <w:r w:rsidR="00717097" w:rsidRPr="00745D07">
        <w:rPr>
          <w:rFonts w:ascii="Palatino Linotype" w:eastAsia="MS Mincho" w:hAnsi="Palatino Linotype"/>
          <w:lang w:val="es-ES"/>
        </w:rPr>
        <w:t>ue</w:t>
      </w:r>
      <w:proofErr w:type="spellEnd"/>
      <w:r w:rsidR="00717097" w:rsidRPr="00745D07">
        <w:rPr>
          <w:rFonts w:ascii="Palatino Linotype" w:eastAsia="MS Mincho" w:hAnsi="Palatino Linotype"/>
          <w:lang w:val="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00717097" w:rsidRPr="00745D07">
        <w:rPr>
          <w:rFonts w:ascii="Palatino Linotype" w:eastAsia="MS Mincho" w:hAnsi="Palatino Linotype"/>
          <w:bCs/>
          <w:lang w:val="es-ES"/>
        </w:rPr>
        <w:t>vía juicio de amparo</w:t>
      </w:r>
      <w:r w:rsidR="00717097" w:rsidRPr="00745D07">
        <w:rPr>
          <w:rFonts w:ascii="Palatino Linotype" w:eastAsia="MS Mincho" w:hAnsi="Palatino Linotype"/>
          <w:lang w:val="es-ES"/>
        </w:rPr>
        <w:t> en los términos de las leyes aplicables.</w:t>
      </w:r>
    </w:p>
    <w:p w:rsidR="0081198A" w:rsidRDefault="0081198A" w:rsidP="00717097">
      <w:pPr>
        <w:shd w:val="clear" w:color="auto" w:fill="FFFFFF"/>
        <w:spacing w:line="360" w:lineRule="auto"/>
        <w:jc w:val="both"/>
        <w:rPr>
          <w:rFonts w:ascii="Palatino Linotype" w:eastAsia="MS Mincho" w:hAnsi="Palatino Linotype"/>
          <w:lang w:val="es-ES"/>
        </w:rPr>
      </w:pPr>
    </w:p>
    <w:p w:rsidR="00717097" w:rsidRPr="00745D07" w:rsidRDefault="00072C23" w:rsidP="00717097">
      <w:pPr>
        <w:spacing w:line="360" w:lineRule="auto"/>
        <w:jc w:val="both"/>
        <w:rPr>
          <w:rFonts w:ascii="Palatino Linotype" w:eastAsia="MS Mincho" w:hAnsi="Palatino Linotype"/>
          <w:lang w:val="es-ES"/>
        </w:rPr>
      </w:pPr>
      <w:r>
        <w:rPr>
          <w:rFonts w:ascii="Palatino Linotype" w:eastAsia="MS Mincho" w:hAnsi="Palatino Linotype"/>
          <w:b/>
        </w:rPr>
        <w:t>SEXTO.</w:t>
      </w:r>
      <w:r w:rsidR="00717097" w:rsidRPr="00745D07">
        <w:rPr>
          <w:rFonts w:ascii="Palatino Linotype" w:eastAsia="MS Mincho" w:hAnsi="Palatino Linotype"/>
          <w:b/>
        </w:rPr>
        <w:t xml:space="preserve"> </w:t>
      </w:r>
      <w:r w:rsidR="00717097" w:rsidRPr="00745D07">
        <w:rPr>
          <w:rFonts w:ascii="Palatino Linotype" w:eastAsia="MS Mincho" w:hAnsi="Palatino Linotype"/>
          <w:lang w:val="es-ES"/>
        </w:rPr>
        <w:t xml:space="preserve">Hágase del conocimiento </w:t>
      </w:r>
      <w:r w:rsidR="00717097">
        <w:rPr>
          <w:rFonts w:ascii="Palatino Linotype" w:eastAsia="MS Mincho" w:hAnsi="Palatino Linotype"/>
          <w:lang w:val="es-ES"/>
        </w:rPr>
        <w:t xml:space="preserve">de </w:t>
      </w:r>
      <w:r w:rsidR="00717097">
        <w:rPr>
          <w:rFonts w:ascii="Palatino Linotype" w:eastAsia="MS Mincho" w:hAnsi="Palatino Linotype"/>
          <w:b/>
          <w:lang w:val="es-ES"/>
        </w:rPr>
        <w:t>EL RECURRENTE</w:t>
      </w:r>
      <w:r w:rsidR="00717097" w:rsidRPr="00745D07">
        <w:rPr>
          <w:rFonts w:ascii="Palatino Linotype" w:eastAsia="MS Mincho" w:hAnsi="Palatino Linotype"/>
          <w:lang w:val="es-ES"/>
        </w:rPr>
        <w:t xml:space="preserve"> que la respuesta que dé el</w:t>
      </w:r>
      <w:r w:rsidR="00717097" w:rsidRPr="00745D07">
        <w:rPr>
          <w:rFonts w:ascii="Palatino Linotype" w:eastAsia="MS Mincho" w:hAnsi="Palatino Linotype"/>
          <w:b/>
          <w:lang w:val="es-ES"/>
        </w:rPr>
        <w:t xml:space="preserve"> SUJETO OBLIGADO</w:t>
      </w:r>
      <w:r w:rsidR="00717097" w:rsidRPr="00745D07">
        <w:rPr>
          <w:rFonts w:ascii="Palatino Linotype" w:eastAsia="MS Mincho" w:hAnsi="Palatino Linotype"/>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717097" w:rsidRDefault="00717097" w:rsidP="00717097">
      <w:pPr>
        <w:spacing w:line="360" w:lineRule="auto"/>
        <w:jc w:val="both"/>
        <w:rPr>
          <w:rFonts w:ascii="Palatino Linotype" w:eastAsia="MS Mincho" w:hAnsi="Palatino Linotype"/>
          <w:b/>
        </w:rPr>
      </w:pPr>
    </w:p>
    <w:p w:rsidR="00717097" w:rsidRDefault="00072C23" w:rsidP="00717097">
      <w:pPr>
        <w:shd w:val="clear" w:color="auto" w:fill="FFFFFF"/>
        <w:spacing w:line="360" w:lineRule="auto"/>
        <w:jc w:val="both"/>
        <w:rPr>
          <w:rFonts w:ascii="Palatino Linotype" w:eastAsia="MS Mincho" w:hAnsi="Palatino Linotype"/>
        </w:rPr>
      </w:pPr>
      <w:r>
        <w:rPr>
          <w:rFonts w:ascii="Palatino Linotype" w:eastAsia="MS Mincho" w:hAnsi="Palatino Linotype"/>
          <w:b/>
        </w:rPr>
        <w:t>SEPTIMO</w:t>
      </w:r>
      <w:r w:rsidR="00707DFE">
        <w:rPr>
          <w:rFonts w:ascii="Palatino Linotype" w:eastAsia="MS Mincho" w:hAnsi="Palatino Linotype"/>
          <w:b/>
        </w:rPr>
        <w:t xml:space="preserve">. </w:t>
      </w:r>
      <w:r w:rsidR="00717097" w:rsidRPr="005A5645">
        <w:rPr>
          <w:rFonts w:ascii="Palatino Linotype" w:eastAsia="MS Mincho" w:hAnsi="Palatino Linotype"/>
          <w:b/>
        </w:rPr>
        <w:t xml:space="preserve"> </w:t>
      </w:r>
      <w:r w:rsidR="00717097" w:rsidRPr="005A5645">
        <w:rPr>
          <w:rFonts w:ascii="Palatino Linotype" w:eastAsia="MS Mincho" w:hAnsi="Palatino Linotype"/>
        </w:rPr>
        <w:t xml:space="preserve">Con fundamento en el artículo 198 de la Ley de Transparencia y Acceso a la Información Pública del Estado de México y Municipios, se apercibe al </w:t>
      </w:r>
      <w:r w:rsidR="00717097" w:rsidRPr="00AC3D42">
        <w:rPr>
          <w:rFonts w:ascii="Palatino Linotype" w:eastAsia="MS Mincho" w:hAnsi="Palatino Linotype"/>
          <w:b/>
        </w:rPr>
        <w:t>SUJETO OBLIGADO</w:t>
      </w:r>
      <w:r w:rsidR="00717097" w:rsidRPr="005A5645">
        <w:rPr>
          <w:rFonts w:ascii="Palatino Linotype" w:eastAsia="MS Mincho" w:hAnsi="Palatino Linotype"/>
        </w:rPr>
        <w:t xml:space="preserve"> de que, en caso de incumplimiento total o parcial de la presente </w:t>
      </w:r>
      <w:r w:rsidR="00717097" w:rsidRPr="005A5645">
        <w:rPr>
          <w:rFonts w:ascii="Palatino Linotype" w:eastAsia="MS Mincho" w:hAnsi="Palatino Linotype"/>
        </w:rPr>
        <w:lastRenderedPageBreak/>
        <w:t>resolución, se actuará de conformidad con lo dispuesto en los artículos 213, 214, 215, 216 y 217 de la ley en cita.</w:t>
      </w:r>
      <w:r w:rsidR="00717097" w:rsidRPr="005A5645">
        <w:rPr>
          <w:rFonts w:ascii="Palatino Linotype" w:eastAsia="MS Mincho" w:hAnsi="Palatino Linotype"/>
        </w:rPr>
        <w:cr/>
      </w:r>
    </w:p>
    <w:p w:rsidR="00717097" w:rsidRDefault="00072C23" w:rsidP="00717097">
      <w:pPr>
        <w:shd w:val="clear" w:color="auto" w:fill="FFFFFF"/>
        <w:spacing w:line="360" w:lineRule="auto"/>
        <w:jc w:val="both"/>
        <w:rPr>
          <w:rFonts w:ascii="Palatino Linotype" w:hAnsi="Palatino Linotype"/>
          <w:bCs/>
          <w:color w:val="000000"/>
          <w:lang w:val="es-ES"/>
        </w:rPr>
      </w:pPr>
      <w:r>
        <w:rPr>
          <w:rFonts w:ascii="Palatino Linotype" w:hAnsi="Palatino Linotype"/>
          <w:b/>
          <w:bCs/>
          <w:color w:val="000000"/>
          <w:lang w:val="es-ES"/>
        </w:rPr>
        <w:t>OCTAV</w:t>
      </w:r>
      <w:r w:rsidR="00707DFE">
        <w:rPr>
          <w:rFonts w:ascii="Palatino Linotype" w:hAnsi="Palatino Linotype"/>
          <w:b/>
          <w:bCs/>
          <w:color w:val="000000"/>
          <w:lang w:val="es-ES"/>
        </w:rPr>
        <w:t>O</w:t>
      </w:r>
      <w:r w:rsidR="00717097" w:rsidRPr="007F0A6C">
        <w:rPr>
          <w:rFonts w:ascii="Palatino Linotype" w:hAnsi="Palatino Linotype"/>
          <w:bCs/>
          <w:color w:val="000000"/>
          <w:lang w:val="es-ES"/>
        </w:rPr>
        <w:t xml:space="preserve">. </w:t>
      </w:r>
      <w:r w:rsidR="00717097" w:rsidRPr="00486BDF">
        <w:rPr>
          <w:rFonts w:ascii="Palatino Linotype" w:eastAsia="MS Mincho" w:hAnsi="Palatino Linotype"/>
        </w:rPr>
        <w:t xml:space="preserve">Gírese oficio al </w:t>
      </w:r>
      <w:r w:rsidR="00717097">
        <w:rPr>
          <w:rFonts w:ascii="Palatino Linotype" w:eastAsia="MS Mincho" w:hAnsi="Palatino Linotype"/>
        </w:rPr>
        <w:t>Titular de la Contraloría Interna</w:t>
      </w:r>
      <w:r w:rsidR="00717097" w:rsidRPr="00486BDF">
        <w:rPr>
          <w:rFonts w:ascii="Palatino Linotype" w:eastAsia="MS Mincho" w:hAnsi="Palatino Linotype"/>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w:t>
      </w:r>
      <w:r w:rsidR="00717097">
        <w:rPr>
          <w:rFonts w:ascii="Palatino Linotype" w:eastAsia="MS Mincho" w:hAnsi="Palatino Linotype"/>
        </w:rPr>
        <w:t xml:space="preserve"> de aplicación supletoria</w:t>
      </w:r>
      <w:r w:rsidR="00717097" w:rsidRPr="00486BDF">
        <w:rPr>
          <w:rFonts w:ascii="Palatino Linotype" w:eastAsia="MS Mincho" w:hAnsi="Palatino Linotype"/>
        </w:rPr>
        <w:t xml:space="preserve">, </w:t>
      </w:r>
      <w:r w:rsidR="00717097">
        <w:rPr>
          <w:rFonts w:ascii="Palatino Linotype" w:eastAsia="MS Mincho" w:hAnsi="Palatino Linotype"/>
        </w:rPr>
        <w:t xml:space="preserve">a efecto de que </w:t>
      </w:r>
      <w:r w:rsidR="00717097" w:rsidRPr="00486BDF">
        <w:rPr>
          <w:rFonts w:ascii="Palatino Linotype" w:eastAsia="MS Mincho" w:hAnsi="Palatino Linotype"/>
        </w:rPr>
        <w:t xml:space="preserve">determine lo conducente en términos del </w:t>
      </w:r>
      <w:r w:rsidR="00717097" w:rsidRPr="00486BDF">
        <w:rPr>
          <w:rFonts w:ascii="Palatino Linotype" w:eastAsia="MS Mincho" w:hAnsi="Palatino Linotype"/>
          <w:b/>
        </w:rPr>
        <w:t xml:space="preserve">Considerando </w:t>
      </w:r>
      <w:r w:rsidR="00717097">
        <w:rPr>
          <w:rFonts w:ascii="Palatino Linotype" w:eastAsia="MS Mincho" w:hAnsi="Palatino Linotype"/>
          <w:b/>
        </w:rPr>
        <w:t>QUINTO</w:t>
      </w:r>
      <w:r w:rsidR="00717097" w:rsidRPr="007F0A6C">
        <w:rPr>
          <w:rFonts w:ascii="Palatino Linotype" w:hAnsi="Palatino Linotype"/>
          <w:bCs/>
          <w:color w:val="000000"/>
          <w:lang w:val="es-ES"/>
        </w:rPr>
        <w:t>.</w:t>
      </w:r>
    </w:p>
    <w:p w:rsidR="00717097" w:rsidRDefault="00717097" w:rsidP="00717097">
      <w:pPr>
        <w:spacing w:line="360" w:lineRule="auto"/>
        <w:jc w:val="both"/>
        <w:rPr>
          <w:rFonts w:ascii="Palatino Linotype" w:hAnsi="Palatino Linotype"/>
        </w:rPr>
      </w:pPr>
    </w:p>
    <w:p w:rsidR="00144402" w:rsidRDefault="00144402" w:rsidP="00144402">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C5FD6">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rsidR="00717097" w:rsidRDefault="00717097" w:rsidP="00717097">
      <w:pPr>
        <w:spacing w:line="360" w:lineRule="auto"/>
        <w:jc w:val="both"/>
        <w:rPr>
          <w:rFonts w:ascii="Palatino Linotype" w:hAnsi="Palatino Linotype"/>
        </w:rPr>
      </w:pPr>
    </w:p>
    <w:p w:rsidR="00717097" w:rsidRDefault="00717097" w:rsidP="00717097">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648" w:rsidRDefault="00BF6648" w:rsidP="003B7751">
      <w:r>
        <w:separator/>
      </w:r>
    </w:p>
  </w:endnote>
  <w:endnote w:type="continuationSeparator" w:id="0">
    <w:p w:rsidR="00BF6648" w:rsidRDefault="00BF664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52DA0" w:rsidRPr="002D6DD8" w:rsidRDefault="00B52DA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42C4">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42C4">
              <w:rPr>
                <w:rFonts w:ascii="Palatino Linotype" w:hAnsi="Palatino Linotype"/>
                <w:bCs/>
                <w:noProof/>
                <w:sz w:val="20"/>
              </w:rPr>
              <w:t>53</w:t>
            </w:r>
            <w:r>
              <w:rPr>
                <w:rFonts w:ascii="Palatino Linotype" w:hAnsi="Palatino Linotype"/>
                <w:bCs/>
                <w:noProof/>
                <w:sz w:val="20"/>
              </w:rPr>
              <w:fldChar w:fldCharType="end"/>
            </w:r>
          </w:p>
        </w:sdtContent>
      </w:sdt>
    </w:sdtContent>
  </w:sdt>
  <w:p w:rsidR="00B52DA0" w:rsidRDefault="00B52D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DA0" w:rsidRPr="000B69FA" w:rsidRDefault="00B52DA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42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42C4">
      <w:rPr>
        <w:rFonts w:ascii="Palatino Linotype" w:hAnsi="Palatino Linotype"/>
        <w:bCs/>
        <w:noProof/>
        <w:sz w:val="20"/>
      </w:rPr>
      <w:t>53</w:t>
    </w:r>
    <w:r>
      <w:rPr>
        <w:rFonts w:ascii="Palatino Linotype" w:hAnsi="Palatino Linotype"/>
        <w:bCs/>
        <w:noProof/>
        <w:sz w:val="20"/>
      </w:rPr>
      <w:fldChar w:fldCharType="end"/>
    </w:r>
  </w:p>
  <w:p w:rsidR="00B52DA0" w:rsidRDefault="00B52D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648" w:rsidRDefault="00BF6648" w:rsidP="003B7751">
      <w:r>
        <w:separator/>
      </w:r>
    </w:p>
  </w:footnote>
  <w:footnote w:type="continuationSeparator" w:id="0">
    <w:p w:rsidR="00BF6648" w:rsidRDefault="00BF6648" w:rsidP="003B7751">
      <w:r>
        <w:continuationSeparator/>
      </w:r>
    </w:p>
  </w:footnote>
  <w:footnote w:id="1">
    <w:p w:rsidR="00B52DA0" w:rsidRPr="009C43C2" w:rsidRDefault="00B52DA0"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B52DA0" w:rsidRPr="009C43C2" w:rsidRDefault="00B52DA0"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B52DA0" w:rsidRPr="009C43C2" w:rsidRDefault="00B52DA0"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B52DA0" w:rsidRDefault="00B52DA0"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717097" w:rsidRDefault="00717097" w:rsidP="00717097">
      <w:pPr>
        <w:pStyle w:val="Textonotapie"/>
      </w:pPr>
      <w:r>
        <w:rPr>
          <w:rStyle w:val="Refdenotaalpie"/>
        </w:rPr>
        <w:footnoteRef/>
      </w:r>
      <w:r>
        <w:t xml:space="preserve"> </w:t>
      </w:r>
      <w:proofErr w:type="spellStart"/>
      <w:r>
        <w:t>Ferrajoli</w:t>
      </w:r>
      <w:proofErr w:type="spellEnd"/>
      <w:r>
        <w:t xml:space="preserve">, </w:t>
      </w:r>
      <w:proofErr w:type="gramStart"/>
      <w:r>
        <w:t>Luigi.(</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xml:space="preserve">. </w:t>
      </w:r>
      <w:proofErr w:type="gramStart"/>
      <w:r>
        <w:t>Madrid:Trotta</w:t>
      </w:r>
      <w:proofErr w:type="gramEnd"/>
      <w:r>
        <w:t xml:space="preserve">,676 páginas. </w:t>
      </w:r>
    </w:p>
  </w:footnote>
  <w:footnote w:id="6">
    <w:p w:rsidR="00717097" w:rsidRPr="00AF5B63" w:rsidRDefault="00717097" w:rsidP="00717097">
      <w:pPr>
        <w:pStyle w:val="Textonotapie"/>
        <w:rPr>
          <w:sz w:val="16"/>
          <w:szCs w:val="16"/>
        </w:rPr>
      </w:pPr>
      <w:r>
        <w:rPr>
          <w:rStyle w:val="Refdenotaalpie"/>
        </w:rPr>
        <w:footnoteRef/>
      </w:r>
      <w:r>
        <w:t xml:space="preserve"> </w:t>
      </w:r>
      <w:r>
        <w:rPr>
          <w:i/>
          <w:sz w:val="16"/>
          <w:szCs w:val="16"/>
        </w:rPr>
        <w:t xml:space="preserve">“Orientaciones y garantías en los Procedimientos de ANONIMIZACIÓN de datos personales”, </w:t>
      </w:r>
      <w:r>
        <w:rPr>
          <w:sz w:val="16"/>
          <w:szCs w:val="16"/>
        </w:rPr>
        <w:t>Agencia Española de Protección de Datos Personales, 2016, Pág. 2</w:t>
      </w:r>
    </w:p>
  </w:footnote>
  <w:footnote w:id="7">
    <w:p w:rsidR="00717097" w:rsidRDefault="00717097" w:rsidP="00717097">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717097" w:rsidRDefault="00717097" w:rsidP="00717097">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rsidR="00717097" w:rsidRDefault="00717097" w:rsidP="00717097">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717097" w:rsidRDefault="00717097" w:rsidP="00717097">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17097" w:rsidRDefault="00717097" w:rsidP="00717097">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17097" w:rsidRDefault="00717097" w:rsidP="00717097">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rsidR="00717097" w:rsidRDefault="00717097" w:rsidP="00717097">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DA0" w:rsidRDefault="00BF664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B52DA0" w:rsidTr="006A04B6">
      <w:trPr>
        <w:trHeight w:val="227"/>
      </w:trPr>
      <w:tc>
        <w:tcPr>
          <w:tcW w:w="2976" w:type="dxa"/>
          <w:vAlign w:val="center"/>
          <w:hideMark/>
        </w:tcPr>
        <w:p w:rsidR="00B52DA0" w:rsidRPr="00674A46" w:rsidRDefault="00B52DA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B52DA0" w:rsidRPr="00485ED8" w:rsidRDefault="00B52DA0" w:rsidP="002650A0">
          <w:pPr>
            <w:pStyle w:val="Encabezado"/>
            <w:rPr>
              <w:rFonts w:ascii="Palatino Linotype" w:hAnsi="Palatino Linotype"/>
              <w:b/>
              <w:sz w:val="22"/>
              <w:szCs w:val="22"/>
            </w:rPr>
          </w:pPr>
          <w:r>
            <w:rPr>
              <w:rFonts w:ascii="Palatino Linotype" w:hAnsi="Palatino Linotype" w:cs="Arial"/>
              <w:b/>
              <w:bCs/>
              <w:sz w:val="22"/>
              <w:szCs w:val="22"/>
              <w:lang w:eastAsia="es-MX"/>
            </w:rPr>
            <w:t>00863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B52DA0" w:rsidTr="006A04B6">
      <w:trPr>
        <w:trHeight w:val="242"/>
      </w:trPr>
      <w:tc>
        <w:tcPr>
          <w:tcW w:w="2976" w:type="dxa"/>
          <w:vAlign w:val="center"/>
          <w:hideMark/>
        </w:tcPr>
        <w:p w:rsidR="00B52DA0" w:rsidRPr="00674A46" w:rsidRDefault="00B52DA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B52DA0" w:rsidRPr="00485ED8" w:rsidRDefault="00B52DA0" w:rsidP="00A95D2C">
          <w:pPr>
            <w:pStyle w:val="Encabezado"/>
            <w:ind w:right="354"/>
            <w:jc w:val="both"/>
            <w:rPr>
              <w:rFonts w:ascii="Palatino Linotype" w:hAnsi="Palatino Linotype"/>
              <w:b/>
              <w:sz w:val="22"/>
              <w:szCs w:val="22"/>
            </w:rPr>
          </w:pPr>
          <w:r w:rsidRPr="003204E5">
            <w:rPr>
              <w:rFonts w:ascii="Palatino Linotype" w:hAnsi="Palatino Linotype"/>
              <w:b/>
              <w:bCs/>
              <w:color w:val="000000"/>
              <w:sz w:val="22"/>
              <w:szCs w:val="22"/>
            </w:rPr>
            <w:t>Ayuntamiento de Ecatepec de Morelos</w:t>
          </w:r>
        </w:p>
      </w:tc>
    </w:tr>
    <w:tr w:rsidR="00B52DA0" w:rsidTr="006A04B6">
      <w:trPr>
        <w:trHeight w:val="342"/>
      </w:trPr>
      <w:tc>
        <w:tcPr>
          <w:tcW w:w="2976" w:type="dxa"/>
          <w:vAlign w:val="center"/>
          <w:hideMark/>
        </w:tcPr>
        <w:p w:rsidR="00B52DA0" w:rsidRPr="00674A46" w:rsidRDefault="00B52DA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B52DA0" w:rsidRPr="00485ED8" w:rsidRDefault="00B52DA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B52DA0" w:rsidRPr="00AE046A" w:rsidRDefault="00BF6648"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52DA0" w:rsidTr="006A04B6">
      <w:trPr>
        <w:trHeight w:val="227"/>
      </w:trPr>
      <w:tc>
        <w:tcPr>
          <w:tcW w:w="2977" w:type="dxa"/>
          <w:vAlign w:val="center"/>
          <w:hideMark/>
        </w:tcPr>
        <w:p w:rsidR="00B52DA0" w:rsidRPr="00674A46" w:rsidRDefault="00B52DA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B52DA0" w:rsidRPr="00485ED8" w:rsidRDefault="00B52DA0" w:rsidP="003204E5">
          <w:pPr>
            <w:pStyle w:val="Encabezado"/>
            <w:rPr>
              <w:rFonts w:ascii="Palatino Linotype" w:hAnsi="Palatino Linotype"/>
              <w:b/>
              <w:sz w:val="22"/>
              <w:szCs w:val="22"/>
            </w:rPr>
          </w:pPr>
          <w:r>
            <w:rPr>
              <w:rFonts w:ascii="Palatino Linotype" w:hAnsi="Palatino Linotype" w:cs="Arial"/>
              <w:b/>
              <w:bCs/>
              <w:sz w:val="22"/>
              <w:szCs w:val="22"/>
              <w:lang w:eastAsia="es-MX"/>
            </w:rPr>
            <w:t>00863</w:t>
          </w:r>
          <w:r w:rsidRPr="00DE2F5A">
            <w:rPr>
              <w:rFonts w:ascii="Palatino Linotype" w:hAnsi="Palatino Linotype" w:cs="Arial"/>
              <w:b/>
              <w:bCs/>
              <w:sz w:val="22"/>
              <w:szCs w:val="22"/>
              <w:lang w:eastAsia="es-MX"/>
            </w:rPr>
            <w:t>/INFOEM/IP/RR/2022</w:t>
          </w:r>
        </w:p>
      </w:tc>
    </w:tr>
    <w:tr w:rsidR="00B52DA0" w:rsidTr="00652937">
      <w:trPr>
        <w:trHeight w:val="242"/>
      </w:trPr>
      <w:tc>
        <w:tcPr>
          <w:tcW w:w="2977" w:type="dxa"/>
          <w:vAlign w:val="center"/>
          <w:hideMark/>
        </w:tcPr>
        <w:p w:rsidR="00B52DA0" w:rsidRPr="00674A46" w:rsidRDefault="00B52DA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B52DA0" w:rsidRPr="00B75F20" w:rsidRDefault="00D142C4" w:rsidP="009F09BC">
          <w:pPr>
            <w:pStyle w:val="Encabezado"/>
            <w:tabs>
              <w:tab w:val="left" w:pos="521"/>
            </w:tabs>
            <w:rPr>
              <w:rFonts w:ascii="Palatino Linotype" w:hAnsi="Palatino Linotype"/>
              <w:b/>
              <w:sz w:val="22"/>
              <w:szCs w:val="22"/>
            </w:rPr>
          </w:pPr>
          <w:r>
            <w:rPr>
              <w:rFonts w:ascii="Palatino Linotype" w:hAnsi="Palatino Linotype"/>
              <w:b/>
              <w:sz w:val="22"/>
              <w:szCs w:val="22"/>
            </w:rPr>
            <w:t>XXXXX XX XXXXXXX XXXXXXXXXX</w:t>
          </w:r>
        </w:p>
      </w:tc>
    </w:tr>
    <w:tr w:rsidR="00B52DA0" w:rsidTr="006A04B6">
      <w:trPr>
        <w:trHeight w:val="342"/>
      </w:trPr>
      <w:tc>
        <w:tcPr>
          <w:tcW w:w="2977" w:type="dxa"/>
          <w:vAlign w:val="center"/>
        </w:tcPr>
        <w:p w:rsidR="00B52DA0" w:rsidRPr="00674A46" w:rsidRDefault="00B52DA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B52DA0" w:rsidRPr="00674A46" w:rsidRDefault="00B52DA0" w:rsidP="009F09BC">
          <w:pPr>
            <w:pStyle w:val="Encabezado"/>
            <w:jc w:val="both"/>
            <w:rPr>
              <w:rFonts w:ascii="Palatino Linotype" w:hAnsi="Palatino Linotype"/>
              <w:b/>
              <w:sz w:val="22"/>
              <w:szCs w:val="22"/>
            </w:rPr>
          </w:pPr>
          <w:r w:rsidRPr="003204E5">
            <w:rPr>
              <w:rFonts w:ascii="Palatino Linotype" w:hAnsi="Palatino Linotype"/>
              <w:b/>
              <w:bCs/>
              <w:color w:val="000000"/>
              <w:sz w:val="22"/>
              <w:szCs w:val="22"/>
            </w:rPr>
            <w:t>Ayuntamiento de Ecatepec de Morelos</w:t>
          </w:r>
        </w:p>
      </w:tc>
    </w:tr>
    <w:tr w:rsidR="00B52DA0" w:rsidTr="006A04B6">
      <w:trPr>
        <w:trHeight w:val="342"/>
      </w:trPr>
      <w:tc>
        <w:tcPr>
          <w:tcW w:w="2977" w:type="dxa"/>
          <w:vAlign w:val="center"/>
        </w:tcPr>
        <w:p w:rsidR="00B52DA0" w:rsidRPr="00674A46" w:rsidRDefault="00B52DA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B52DA0" w:rsidRPr="00674A46" w:rsidRDefault="00B52DA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B52DA0" w:rsidRPr="00C222C0" w:rsidRDefault="00BF664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68203206"/>
    <w:lvl w:ilvl="0" w:tplc="080A0013">
      <w:start w:val="1"/>
      <w:numFmt w:val="upperRoman"/>
      <w:lvlText w:val="%1."/>
      <w:lvlJc w:val="right"/>
      <w:pPr>
        <w:ind w:left="1440" w:hanging="360"/>
      </w:pPr>
      <w:rPr>
        <w:rFonts w:hint="default"/>
        <w:b/>
        <w:i w:val="0"/>
        <w:u w:val="none"/>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39EE3212"/>
    <w:multiLevelType w:val="hybridMultilevel"/>
    <w:tmpl w:val="49F23DB6"/>
    <w:lvl w:ilvl="0" w:tplc="231EBC7C">
      <w:start w:val="1"/>
      <w:numFmt w:val="lowerRoman"/>
      <w:lvlText w:val="%1.i"/>
      <w:lvlJc w:val="right"/>
      <w:pPr>
        <w:ind w:left="1571" w:hanging="360"/>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301D08"/>
    <w:multiLevelType w:val="hybridMultilevel"/>
    <w:tmpl w:val="D1A8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4"/>
  </w:num>
  <w:num w:numId="10">
    <w:abstractNumId w:val="20"/>
  </w:num>
  <w:num w:numId="11">
    <w:abstractNumId w:val="14"/>
  </w:num>
  <w:num w:numId="12">
    <w:abstractNumId w:val="26"/>
  </w:num>
  <w:num w:numId="13">
    <w:abstractNumId w:val="35"/>
  </w:num>
  <w:num w:numId="14">
    <w:abstractNumId w:val="5"/>
  </w:num>
  <w:num w:numId="15">
    <w:abstractNumId w:val="17"/>
  </w:num>
  <w:num w:numId="16">
    <w:abstractNumId w:val="31"/>
  </w:num>
  <w:num w:numId="17">
    <w:abstractNumId w:val="10"/>
  </w:num>
  <w:num w:numId="18">
    <w:abstractNumId w:val="28"/>
  </w:num>
  <w:num w:numId="19">
    <w:abstractNumId w:val="36"/>
  </w:num>
  <w:num w:numId="20">
    <w:abstractNumId w:val="18"/>
  </w:num>
  <w:num w:numId="21">
    <w:abstractNumId w:val="25"/>
  </w:num>
  <w:num w:numId="22">
    <w:abstractNumId w:val="15"/>
  </w:num>
  <w:num w:numId="23">
    <w:abstractNumId w:val="39"/>
  </w:num>
  <w:num w:numId="24">
    <w:abstractNumId w:val="8"/>
  </w:num>
  <w:num w:numId="25">
    <w:abstractNumId w:val="32"/>
  </w:num>
  <w:num w:numId="26">
    <w:abstractNumId w:val="23"/>
  </w:num>
  <w:num w:numId="27">
    <w:abstractNumId w:val="6"/>
  </w:num>
  <w:num w:numId="28">
    <w:abstractNumId w:val="33"/>
  </w:num>
  <w:num w:numId="29">
    <w:abstractNumId w:val="30"/>
  </w:num>
  <w:num w:numId="30">
    <w:abstractNumId w:val="27"/>
  </w:num>
  <w:num w:numId="31">
    <w:abstractNumId w:val="38"/>
  </w:num>
  <w:num w:numId="32">
    <w:abstractNumId w:val="19"/>
  </w:num>
  <w:num w:numId="33">
    <w:abstractNumId w:val="9"/>
  </w:num>
  <w:num w:numId="34">
    <w:abstractNumId w:val="13"/>
  </w:num>
  <w:num w:numId="35">
    <w:abstractNumId w:val="7"/>
  </w:num>
  <w:num w:numId="36">
    <w:abstractNumId w:val="37"/>
  </w:num>
  <w:num w:numId="37">
    <w:abstractNumId w:val="29"/>
  </w:num>
  <w:num w:numId="38">
    <w:abstractNumId w:val="22"/>
  </w:num>
  <w:num w:numId="39">
    <w:abstractNumId w:val="1"/>
  </w:num>
  <w:num w:numId="40">
    <w:abstractNumId w:val="2"/>
  </w:num>
  <w:num w:numId="41">
    <w:abstractNumId w:val="24"/>
  </w:num>
  <w:num w:numId="42">
    <w:abstractNumId w:val="21"/>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4713"/>
    <w:rsid w:val="0001674C"/>
    <w:rsid w:val="00020780"/>
    <w:rsid w:val="00025C53"/>
    <w:rsid w:val="00030FBC"/>
    <w:rsid w:val="00036137"/>
    <w:rsid w:val="000373F6"/>
    <w:rsid w:val="00047B78"/>
    <w:rsid w:val="00051287"/>
    <w:rsid w:val="00053FB7"/>
    <w:rsid w:val="00072C23"/>
    <w:rsid w:val="000803F7"/>
    <w:rsid w:val="0008243D"/>
    <w:rsid w:val="00086319"/>
    <w:rsid w:val="000E1A02"/>
    <w:rsid w:val="000E4891"/>
    <w:rsid w:val="000F1081"/>
    <w:rsid w:val="00110F03"/>
    <w:rsid w:val="00114502"/>
    <w:rsid w:val="00122A89"/>
    <w:rsid w:val="00124FD1"/>
    <w:rsid w:val="001352F5"/>
    <w:rsid w:val="0014424F"/>
    <w:rsid w:val="00144402"/>
    <w:rsid w:val="00170D82"/>
    <w:rsid w:val="00173F2B"/>
    <w:rsid w:val="001A18E7"/>
    <w:rsid w:val="001C4290"/>
    <w:rsid w:val="001C6657"/>
    <w:rsid w:val="001D23C1"/>
    <w:rsid w:val="001D373F"/>
    <w:rsid w:val="001D5404"/>
    <w:rsid w:val="001D630C"/>
    <w:rsid w:val="001E755B"/>
    <w:rsid w:val="00220982"/>
    <w:rsid w:val="00223C06"/>
    <w:rsid w:val="00237FA4"/>
    <w:rsid w:val="002453DA"/>
    <w:rsid w:val="00264C9A"/>
    <w:rsid w:val="002650A0"/>
    <w:rsid w:val="00272CA2"/>
    <w:rsid w:val="00277FAC"/>
    <w:rsid w:val="002901F4"/>
    <w:rsid w:val="00291500"/>
    <w:rsid w:val="002A3B71"/>
    <w:rsid w:val="002B37D1"/>
    <w:rsid w:val="002C0D3C"/>
    <w:rsid w:val="002C3821"/>
    <w:rsid w:val="002C4997"/>
    <w:rsid w:val="002D294C"/>
    <w:rsid w:val="0030094A"/>
    <w:rsid w:val="00312281"/>
    <w:rsid w:val="003204E5"/>
    <w:rsid w:val="003212E8"/>
    <w:rsid w:val="00323FFD"/>
    <w:rsid w:val="0032498E"/>
    <w:rsid w:val="003437D9"/>
    <w:rsid w:val="00353F1D"/>
    <w:rsid w:val="0037157C"/>
    <w:rsid w:val="003833B3"/>
    <w:rsid w:val="003933C4"/>
    <w:rsid w:val="003A15C8"/>
    <w:rsid w:val="003B7751"/>
    <w:rsid w:val="003C13F1"/>
    <w:rsid w:val="003D0CC0"/>
    <w:rsid w:val="003E66D2"/>
    <w:rsid w:val="003F6E38"/>
    <w:rsid w:val="00403D64"/>
    <w:rsid w:val="00407FDA"/>
    <w:rsid w:val="004118FA"/>
    <w:rsid w:val="00425842"/>
    <w:rsid w:val="00437672"/>
    <w:rsid w:val="00456CFF"/>
    <w:rsid w:val="004B6E53"/>
    <w:rsid w:val="004E4EE6"/>
    <w:rsid w:val="004E6CE4"/>
    <w:rsid w:val="004F34D1"/>
    <w:rsid w:val="0050702D"/>
    <w:rsid w:val="0051715A"/>
    <w:rsid w:val="005229D3"/>
    <w:rsid w:val="005331D8"/>
    <w:rsid w:val="00541549"/>
    <w:rsid w:val="005432D0"/>
    <w:rsid w:val="00546076"/>
    <w:rsid w:val="00547ACE"/>
    <w:rsid w:val="005507B0"/>
    <w:rsid w:val="00554A21"/>
    <w:rsid w:val="00556E0A"/>
    <w:rsid w:val="00563F2E"/>
    <w:rsid w:val="0057514F"/>
    <w:rsid w:val="00575E75"/>
    <w:rsid w:val="00583A39"/>
    <w:rsid w:val="005B076D"/>
    <w:rsid w:val="005B6702"/>
    <w:rsid w:val="005C5021"/>
    <w:rsid w:val="005D2F1C"/>
    <w:rsid w:val="005D4C57"/>
    <w:rsid w:val="005E5905"/>
    <w:rsid w:val="00600536"/>
    <w:rsid w:val="0062406B"/>
    <w:rsid w:val="00647F7C"/>
    <w:rsid w:val="00652937"/>
    <w:rsid w:val="00657639"/>
    <w:rsid w:val="006672E1"/>
    <w:rsid w:val="00680C93"/>
    <w:rsid w:val="006919DE"/>
    <w:rsid w:val="006A04B6"/>
    <w:rsid w:val="006A393A"/>
    <w:rsid w:val="006A6390"/>
    <w:rsid w:val="006B63EC"/>
    <w:rsid w:val="006C4E27"/>
    <w:rsid w:val="006C5FD6"/>
    <w:rsid w:val="006D15D0"/>
    <w:rsid w:val="006D6CC1"/>
    <w:rsid w:val="006E7397"/>
    <w:rsid w:val="006E7C94"/>
    <w:rsid w:val="006F7442"/>
    <w:rsid w:val="00707DFE"/>
    <w:rsid w:val="00711062"/>
    <w:rsid w:val="007142AB"/>
    <w:rsid w:val="007142D6"/>
    <w:rsid w:val="00716BCA"/>
    <w:rsid w:val="00717097"/>
    <w:rsid w:val="00717597"/>
    <w:rsid w:val="00720371"/>
    <w:rsid w:val="0074110E"/>
    <w:rsid w:val="00742823"/>
    <w:rsid w:val="00775EB2"/>
    <w:rsid w:val="00782A12"/>
    <w:rsid w:val="007851DB"/>
    <w:rsid w:val="007A33A8"/>
    <w:rsid w:val="007A460E"/>
    <w:rsid w:val="007A6A1A"/>
    <w:rsid w:val="00804DAA"/>
    <w:rsid w:val="0081198A"/>
    <w:rsid w:val="0082142B"/>
    <w:rsid w:val="008227A9"/>
    <w:rsid w:val="008468BF"/>
    <w:rsid w:val="00847DB0"/>
    <w:rsid w:val="008526F4"/>
    <w:rsid w:val="008563C8"/>
    <w:rsid w:val="008573BF"/>
    <w:rsid w:val="0086792A"/>
    <w:rsid w:val="00873EB6"/>
    <w:rsid w:val="008A699B"/>
    <w:rsid w:val="008B0637"/>
    <w:rsid w:val="008C1ED7"/>
    <w:rsid w:val="008E330F"/>
    <w:rsid w:val="008E6574"/>
    <w:rsid w:val="008F5B26"/>
    <w:rsid w:val="008F6998"/>
    <w:rsid w:val="008F6D18"/>
    <w:rsid w:val="00901F7F"/>
    <w:rsid w:val="00911A75"/>
    <w:rsid w:val="009126F1"/>
    <w:rsid w:val="009335F9"/>
    <w:rsid w:val="00945135"/>
    <w:rsid w:val="009601CF"/>
    <w:rsid w:val="009665E3"/>
    <w:rsid w:val="00967C33"/>
    <w:rsid w:val="009972BB"/>
    <w:rsid w:val="009A2251"/>
    <w:rsid w:val="009C6601"/>
    <w:rsid w:val="009D5A32"/>
    <w:rsid w:val="009E68D3"/>
    <w:rsid w:val="009F09BC"/>
    <w:rsid w:val="00A00851"/>
    <w:rsid w:val="00A23E82"/>
    <w:rsid w:val="00A305ED"/>
    <w:rsid w:val="00A626EB"/>
    <w:rsid w:val="00A81AC8"/>
    <w:rsid w:val="00A95D2C"/>
    <w:rsid w:val="00AB1954"/>
    <w:rsid w:val="00AD316E"/>
    <w:rsid w:val="00AD63B4"/>
    <w:rsid w:val="00AF4BBC"/>
    <w:rsid w:val="00B0465F"/>
    <w:rsid w:val="00B06789"/>
    <w:rsid w:val="00B07BF8"/>
    <w:rsid w:val="00B11CDD"/>
    <w:rsid w:val="00B1222E"/>
    <w:rsid w:val="00B33255"/>
    <w:rsid w:val="00B52DA0"/>
    <w:rsid w:val="00B530E8"/>
    <w:rsid w:val="00B73789"/>
    <w:rsid w:val="00B8261B"/>
    <w:rsid w:val="00B86242"/>
    <w:rsid w:val="00BA4537"/>
    <w:rsid w:val="00BF3FB5"/>
    <w:rsid w:val="00BF6648"/>
    <w:rsid w:val="00C03BA3"/>
    <w:rsid w:val="00C0715F"/>
    <w:rsid w:val="00C07DC4"/>
    <w:rsid w:val="00C105CC"/>
    <w:rsid w:val="00C1085F"/>
    <w:rsid w:val="00C14F2A"/>
    <w:rsid w:val="00C21FAE"/>
    <w:rsid w:val="00C242A7"/>
    <w:rsid w:val="00C41B2B"/>
    <w:rsid w:val="00C41E57"/>
    <w:rsid w:val="00C47C3D"/>
    <w:rsid w:val="00C54D99"/>
    <w:rsid w:val="00C85E64"/>
    <w:rsid w:val="00C87396"/>
    <w:rsid w:val="00C90814"/>
    <w:rsid w:val="00C91F0F"/>
    <w:rsid w:val="00CA1063"/>
    <w:rsid w:val="00CB66B0"/>
    <w:rsid w:val="00CB757D"/>
    <w:rsid w:val="00CC1389"/>
    <w:rsid w:val="00CC5B2F"/>
    <w:rsid w:val="00CE7B83"/>
    <w:rsid w:val="00CF0D2B"/>
    <w:rsid w:val="00D021A5"/>
    <w:rsid w:val="00D142C4"/>
    <w:rsid w:val="00D16FC7"/>
    <w:rsid w:val="00D25F65"/>
    <w:rsid w:val="00D31FC8"/>
    <w:rsid w:val="00D34651"/>
    <w:rsid w:val="00D41237"/>
    <w:rsid w:val="00D47231"/>
    <w:rsid w:val="00D510C7"/>
    <w:rsid w:val="00D57EE3"/>
    <w:rsid w:val="00D6224B"/>
    <w:rsid w:val="00D81329"/>
    <w:rsid w:val="00D84DEA"/>
    <w:rsid w:val="00D96104"/>
    <w:rsid w:val="00DA6D37"/>
    <w:rsid w:val="00DB753F"/>
    <w:rsid w:val="00DE2F5A"/>
    <w:rsid w:val="00DF03A5"/>
    <w:rsid w:val="00E118BA"/>
    <w:rsid w:val="00E16B05"/>
    <w:rsid w:val="00E17429"/>
    <w:rsid w:val="00E56172"/>
    <w:rsid w:val="00E5636B"/>
    <w:rsid w:val="00E566C9"/>
    <w:rsid w:val="00E61C13"/>
    <w:rsid w:val="00E61DA9"/>
    <w:rsid w:val="00E636AA"/>
    <w:rsid w:val="00E92E04"/>
    <w:rsid w:val="00EB1DB3"/>
    <w:rsid w:val="00ED1D6B"/>
    <w:rsid w:val="00ED3A35"/>
    <w:rsid w:val="00ED6E75"/>
    <w:rsid w:val="00F24A04"/>
    <w:rsid w:val="00F35B0C"/>
    <w:rsid w:val="00F42ADB"/>
    <w:rsid w:val="00F52E40"/>
    <w:rsid w:val="00F72588"/>
    <w:rsid w:val="00F7371C"/>
    <w:rsid w:val="00F946B5"/>
    <w:rsid w:val="00F966DF"/>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43F10"/>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C666E-18FB-4106-9AFE-C024AA2A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53</Pages>
  <Words>10589</Words>
  <Characters>58242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23</cp:revision>
  <dcterms:created xsi:type="dcterms:W3CDTF">2022-05-25T17:55:00Z</dcterms:created>
  <dcterms:modified xsi:type="dcterms:W3CDTF">2022-07-12T06:47:00Z</dcterms:modified>
</cp:coreProperties>
</file>