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808C" w14:textId="77777777"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C33886">
        <w:rPr>
          <w:rFonts w:ascii="Palatino Linotype" w:hAnsi="Palatino Linotype" w:cs="Tahoma"/>
          <w:bCs/>
          <w:sz w:val="22"/>
          <w:szCs w:val="22"/>
        </w:rPr>
        <w:t xml:space="preserve">veinte de abril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750A4124" w14:textId="77777777" w:rsidR="00E35DF9" w:rsidRPr="00C33886" w:rsidRDefault="00E35DF9" w:rsidP="00147516">
      <w:pPr>
        <w:spacing w:line="360" w:lineRule="auto"/>
        <w:contextualSpacing/>
        <w:rPr>
          <w:rFonts w:ascii="Palatino Linotype" w:hAnsi="Palatino Linotype" w:cs="Tahoma"/>
          <w:bCs/>
          <w:sz w:val="22"/>
          <w:szCs w:val="22"/>
        </w:rPr>
      </w:pPr>
    </w:p>
    <w:p w14:paraId="2571EA75" w14:textId="77777777" w:rsidR="00E35DF9" w:rsidRPr="00243777" w:rsidRDefault="00E35DF9" w:rsidP="00147516">
      <w:pPr>
        <w:spacing w:line="360" w:lineRule="auto"/>
        <w:contextualSpacing/>
        <w:jc w:val="both"/>
        <w:rPr>
          <w:rFonts w:ascii="Palatino Linotype" w:hAnsi="Palatino Linotype" w:cs="Tahoma"/>
          <w:bCs/>
          <w:color w:val="0D0D0D" w:themeColor="text1" w:themeTint="F2"/>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DF5CF5">
        <w:rPr>
          <w:rFonts w:ascii="Palatino Linotype" w:hAnsi="Palatino Linotype" w:cs="Tahoma"/>
          <w:b/>
          <w:bCs/>
          <w:color w:val="0D0D0D" w:themeColor="text1" w:themeTint="F2"/>
          <w:sz w:val="22"/>
          <w:szCs w:val="22"/>
        </w:rPr>
        <w:t>02</w:t>
      </w:r>
      <w:r w:rsidR="0027275A">
        <w:rPr>
          <w:rFonts w:ascii="Palatino Linotype" w:hAnsi="Palatino Linotype" w:cs="Tahoma"/>
          <w:b/>
          <w:bCs/>
          <w:color w:val="0D0D0D" w:themeColor="text1" w:themeTint="F2"/>
          <w:sz w:val="22"/>
          <w:szCs w:val="22"/>
        </w:rPr>
        <w:t>251</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r w:rsidR="00DF5CF5">
        <w:rPr>
          <w:rFonts w:ascii="Palatino Linotype" w:hAnsi="Palatino Linotype" w:cs="Tahoma"/>
          <w:bCs/>
          <w:color w:val="0D0D0D" w:themeColor="text1" w:themeTint="F2"/>
          <w:sz w:val="22"/>
          <w:szCs w:val="22"/>
        </w:rPr>
        <w:t>un</w:t>
      </w:r>
      <w:r w:rsidR="00477AD3">
        <w:rPr>
          <w:rFonts w:ascii="Palatino Linotype" w:hAnsi="Palatino Linotype" w:cs="Tahoma"/>
          <w:bCs/>
          <w:color w:val="0D0D0D" w:themeColor="text1" w:themeTint="F2"/>
          <w:sz w:val="22"/>
          <w:szCs w:val="22"/>
        </w:rPr>
        <w:t xml:space="preserve">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DF5CF5">
        <w:rPr>
          <w:rFonts w:ascii="Palatino Linotype" w:eastAsia="Calibri" w:hAnsi="Palatino Linotype" w:cs="Tahoma"/>
          <w:b/>
          <w:bCs/>
          <w:sz w:val="22"/>
          <w:szCs w:val="22"/>
          <w:lang w:eastAsia="en-US"/>
        </w:rPr>
        <w:t>Ayuntamiento de Metepec</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1E3C3F08"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084AD60C"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3A02506B" w14:textId="77777777" w:rsidR="00E35DF9" w:rsidRPr="00C33886"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05D3EC58"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2E1EACC8"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69D75310" w14:textId="7777777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DF5CF5">
        <w:rPr>
          <w:rFonts w:ascii="Palatino Linotype" w:hAnsi="Palatino Linotype" w:cs="Tahoma"/>
          <w:sz w:val="22"/>
          <w:szCs w:val="22"/>
        </w:rPr>
        <w:t>diez</w:t>
      </w:r>
      <w:r w:rsidR="00477AD3">
        <w:rPr>
          <w:rFonts w:ascii="Palatino Linotype" w:hAnsi="Palatino Linotype" w:cs="Tahoma"/>
          <w:sz w:val="22"/>
          <w:szCs w:val="22"/>
        </w:rPr>
        <w:t xml:space="preserve"> 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DF5CF5">
        <w:rPr>
          <w:rFonts w:ascii="Palatino Linotype" w:hAnsi="Palatino Linotype" w:cs="Tahoma"/>
          <w:b/>
          <w:bCs/>
          <w:sz w:val="22"/>
          <w:szCs w:val="22"/>
        </w:rPr>
        <w:t>Ayuntamiento de Metepec</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DF5CF5" w:rsidRPr="00DF5CF5">
        <w:rPr>
          <w:rFonts w:ascii="Palatino Linotype" w:hAnsi="Palatino Linotype" w:cs="Tahoma"/>
          <w:b/>
          <w:bCs/>
          <w:sz w:val="22"/>
          <w:szCs w:val="22"/>
        </w:rPr>
        <w:t>00</w:t>
      </w:r>
      <w:r w:rsidR="0027275A">
        <w:rPr>
          <w:rFonts w:ascii="Palatino Linotype" w:hAnsi="Palatino Linotype" w:cs="Tahoma"/>
          <w:b/>
          <w:bCs/>
          <w:sz w:val="22"/>
          <w:szCs w:val="22"/>
        </w:rPr>
        <w:t>328</w:t>
      </w:r>
      <w:r w:rsidR="00DF5CF5" w:rsidRPr="00DF5CF5">
        <w:rPr>
          <w:rFonts w:ascii="Palatino Linotype" w:hAnsi="Palatino Linotype" w:cs="Tahoma"/>
          <w:b/>
          <w:bCs/>
          <w:sz w:val="22"/>
          <w:szCs w:val="22"/>
        </w:rPr>
        <w:t>/METEPEC/IP/2022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049A87EC" w14:textId="77777777" w:rsidR="00D807FB" w:rsidRPr="00C33886" w:rsidRDefault="00D807FB" w:rsidP="00147516">
      <w:pPr>
        <w:tabs>
          <w:tab w:val="left" w:pos="567"/>
        </w:tabs>
        <w:spacing w:line="360" w:lineRule="auto"/>
        <w:contextualSpacing/>
        <w:jc w:val="both"/>
        <w:rPr>
          <w:rFonts w:ascii="Palatino Linotype" w:hAnsi="Palatino Linotype" w:cs="Tahoma"/>
          <w:sz w:val="22"/>
        </w:rPr>
      </w:pPr>
    </w:p>
    <w:p w14:paraId="375D2CEC"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0C911874" w14:textId="77777777"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27275A" w:rsidRPr="0027275A">
        <w:rPr>
          <w:rFonts w:ascii="Palatino Linotype" w:hAnsi="Palatino Linotype"/>
          <w:i/>
          <w:iCs/>
          <w:color w:val="000000"/>
          <w:sz w:val="20"/>
          <w:szCs w:val="20"/>
        </w:rPr>
        <w:t>Tomando como referencia el artículo 5.195, fracción I del Código de Reglamentación Municipal de Metepec, se requiere los documentos que acrediten que se dió aviso a la Contraloría y a la Consejería Jurídica, cuando los daños de algún v puedan atribuirse al mal uso o negligencia del usuario por parte de la Dirección de Administración o dependencia responsable en los ejercicios 2016, 2017 y 2018.</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3563CEE4"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5104D5DF"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418DAC12"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730F0321" w14:textId="77777777" w:rsidR="00A01EB6" w:rsidRPr="00A650C6" w:rsidRDefault="00A01EB6" w:rsidP="00147516">
      <w:pPr>
        <w:pStyle w:val="Prrafodelista"/>
        <w:tabs>
          <w:tab w:val="left" w:pos="567"/>
        </w:tabs>
        <w:spacing w:line="360" w:lineRule="auto"/>
        <w:ind w:left="0"/>
        <w:jc w:val="both"/>
        <w:rPr>
          <w:rFonts w:ascii="Palatino Linotype" w:hAnsi="Palatino Linotype" w:cs="Tahoma"/>
          <w:b/>
          <w:sz w:val="20"/>
          <w:szCs w:val="20"/>
        </w:rPr>
      </w:pPr>
    </w:p>
    <w:p w14:paraId="21F80BF7" w14:textId="77777777" w:rsidR="001872B5" w:rsidRDefault="00A01EB6" w:rsidP="001872B5">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lastRenderedPageBreak/>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1872B5">
        <w:rPr>
          <w:rFonts w:ascii="Palatino Linotype" w:hAnsi="Palatino Linotype" w:cs="Tahoma"/>
          <w:b/>
          <w:szCs w:val="22"/>
        </w:rPr>
        <w:t>Prórroga.</w:t>
      </w:r>
    </w:p>
    <w:p w14:paraId="43EFC9B0" w14:textId="77777777" w:rsidR="001872B5" w:rsidRDefault="001872B5" w:rsidP="001872B5">
      <w:pPr>
        <w:pStyle w:val="Prrafodelista"/>
        <w:tabs>
          <w:tab w:val="left" w:pos="567"/>
        </w:tabs>
        <w:spacing w:line="360" w:lineRule="auto"/>
        <w:ind w:left="0"/>
        <w:jc w:val="both"/>
        <w:rPr>
          <w:rFonts w:ascii="Palatino Linotype" w:hAnsi="Palatino Linotype" w:cs="Tahoma"/>
          <w:b/>
          <w:szCs w:val="22"/>
        </w:rPr>
      </w:pPr>
    </w:p>
    <w:p w14:paraId="61193F4D" w14:textId="77777777" w:rsidR="001872B5" w:rsidRDefault="001872B5" w:rsidP="001872B5">
      <w:pPr>
        <w:tabs>
          <w:tab w:val="left" w:pos="567"/>
        </w:tabs>
        <w:spacing w:line="360" w:lineRule="auto"/>
        <w:ind w:right="-28"/>
        <w:jc w:val="both"/>
        <w:rPr>
          <w:rFonts w:ascii="Palatino Linotype" w:hAnsi="Palatino Linotype" w:cs="Tahoma"/>
          <w:iCs/>
          <w:sz w:val="22"/>
          <w:szCs w:val="22"/>
        </w:rPr>
      </w:pPr>
      <w:r w:rsidRPr="002161C6">
        <w:rPr>
          <w:rFonts w:ascii="Palatino Linotype" w:hAnsi="Palatino Linotype" w:cs="Tahoma"/>
          <w:iCs/>
          <w:sz w:val="22"/>
          <w:szCs w:val="22"/>
        </w:rPr>
        <w:t xml:space="preserve">En fecha </w:t>
      </w:r>
      <w:r>
        <w:rPr>
          <w:rFonts w:ascii="Palatino Linotype" w:hAnsi="Palatino Linotype" w:cs="Tahoma"/>
          <w:iCs/>
          <w:sz w:val="22"/>
          <w:szCs w:val="22"/>
        </w:rPr>
        <w:t xml:space="preserve">veintinueve de </w:t>
      </w:r>
      <w:r w:rsidR="0022786C">
        <w:rPr>
          <w:rFonts w:ascii="Palatino Linotype" w:hAnsi="Palatino Linotype" w:cs="Tahoma"/>
          <w:iCs/>
          <w:sz w:val="22"/>
          <w:szCs w:val="22"/>
        </w:rPr>
        <w:t>enero</w:t>
      </w:r>
      <w:r>
        <w:rPr>
          <w:rFonts w:ascii="Palatino Linotype" w:hAnsi="Palatino Linotype" w:cs="Tahoma"/>
          <w:iCs/>
          <w:sz w:val="22"/>
          <w:szCs w:val="22"/>
        </w:rPr>
        <w:t xml:space="preserve"> </w:t>
      </w:r>
      <w:r w:rsidRPr="002161C6">
        <w:rPr>
          <w:rFonts w:ascii="Palatino Linotype" w:hAnsi="Palatino Linotype" w:cs="Tahoma"/>
          <w:iCs/>
          <w:sz w:val="22"/>
          <w:szCs w:val="22"/>
        </w:rPr>
        <w:t xml:space="preserve">de dos mil </w:t>
      </w:r>
      <w:r>
        <w:rPr>
          <w:rFonts w:ascii="Palatino Linotype" w:hAnsi="Palatino Linotype" w:cs="Tahoma"/>
          <w:iCs/>
          <w:sz w:val="22"/>
          <w:szCs w:val="22"/>
        </w:rPr>
        <w:t>veintidós</w:t>
      </w:r>
      <w:r w:rsidRPr="002161C6">
        <w:rPr>
          <w:rFonts w:ascii="Palatino Linotype" w:hAnsi="Palatino Linotype" w:cs="Tahoma"/>
          <w:iCs/>
          <w:sz w:val="22"/>
          <w:szCs w:val="22"/>
        </w:rPr>
        <w:t>, el Sujeto Obligado, notificó al Solicitante,</w:t>
      </w:r>
      <w:r>
        <w:rPr>
          <w:rFonts w:ascii="Palatino Linotype" w:hAnsi="Palatino Linotype" w:cs="Tahoma"/>
          <w:iCs/>
          <w:sz w:val="22"/>
          <w:szCs w:val="22"/>
        </w:rPr>
        <w:t xml:space="preserve"> </w:t>
      </w:r>
      <w:r w:rsidRPr="002161C6">
        <w:rPr>
          <w:rFonts w:ascii="Palatino Linotype" w:hAnsi="Palatino Linotype" w:cs="Tahoma"/>
          <w:iCs/>
          <w:sz w:val="22"/>
          <w:szCs w:val="22"/>
        </w:rPr>
        <w:t xml:space="preserve">mediante el Sistema de Acceso a la Información Mexiquense (SAIMEX), </w:t>
      </w:r>
      <w:r>
        <w:rPr>
          <w:rFonts w:ascii="Palatino Linotype" w:hAnsi="Palatino Linotype" w:cs="Tahoma"/>
          <w:iCs/>
          <w:sz w:val="22"/>
          <w:szCs w:val="22"/>
        </w:rPr>
        <w:t>la</w:t>
      </w:r>
      <w:r w:rsidRPr="002161C6">
        <w:rPr>
          <w:rFonts w:ascii="Palatino Linotype" w:hAnsi="Palatino Linotype" w:cs="Tahoma"/>
          <w:iCs/>
          <w:sz w:val="22"/>
          <w:szCs w:val="22"/>
        </w:rPr>
        <w:t xml:space="preserve"> prórroga para atender la solicitud</w:t>
      </w:r>
      <w:r>
        <w:rPr>
          <w:rFonts w:ascii="Palatino Linotype" w:hAnsi="Palatino Linotype" w:cs="Tahoma"/>
          <w:iCs/>
          <w:sz w:val="22"/>
          <w:szCs w:val="22"/>
        </w:rPr>
        <w:t xml:space="preserve"> de información, </w:t>
      </w:r>
      <w:r w:rsidRPr="002161C6">
        <w:rPr>
          <w:rFonts w:ascii="Palatino Linotype" w:hAnsi="Palatino Linotype" w:cs="Tahoma"/>
          <w:iCs/>
          <w:sz w:val="22"/>
          <w:szCs w:val="22"/>
        </w:rPr>
        <w:t>en los siguientes términos:</w:t>
      </w:r>
    </w:p>
    <w:p w14:paraId="209E4910" w14:textId="77777777" w:rsidR="001872B5" w:rsidRDefault="001872B5" w:rsidP="001872B5">
      <w:pPr>
        <w:tabs>
          <w:tab w:val="left" w:pos="567"/>
        </w:tabs>
        <w:spacing w:line="360" w:lineRule="auto"/>
        <w:ind w:left="567" w:right="539"/>
        <w:jc w:val="both"/>
        <w:rPr>
          <w:rFonts w:ascii="Palatino Linotype" w:hAnsi="Palatino Linotype" w:cs="Tahoma"/>
          <w:i/>
        </w:rPr>
      </w:pPr>
    </w:p>
    <w:p w14:paraId="7365A75A" w14:textId="77777777" w:rsidR="001872B5" w:rsidRDefault="001872B5" w:rsidP="001872B5">
      <w:pPr>
        <w:tabs>
          <w:tab w:val="left" w:pos="567"/>
        </w:tabs>
        <w:spacing w:line="360" w:lineRule="auto"/>
        <w:ind w:left="567" w:right="539"/>
        <w:jc w:val="both"/>
        <w:rPr>
          <w:rFonts w:ascii="Palatino Linotype" w:hAnsi="Palatino Linotype" w:cs="Tahoma"/>
          <w:i/>
        </w:rPr>
      </w:pPr>
      <w:r>
        <w:rPr>
          <w:rFonts w:ascii="Palatino Linotype" w:hAnsi="Palatino Linotype" w:cs="Tahoma"/>
          <w:i/>
        </w:rPr>
        <w:t>“</w:t>
      </w:r>
      <w:r w:rsidR="002F594D" w:rsidRPr="002F594D">
        <w:rPr>
          <w:rFonts w:ascii="Palatino Linotype" w:hAnsi="Palatino Linotype" w:cs="Tahoma"/>
          <w:i/>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1DD21EE9" w14:textId="77777777" w:rsidR="001872B5" w:rsidRDefault="001872B5" w:rsidP="001872B5">
      <w:pPr>
        <w:tabs>
          <w:tab w:val="left" w:pos="567"/>
        </w:tabs>
        <w:spacing w:line="360" w:lineRule="auto"/>
        <w:ind w:left="567" w:right="539"/>
        <w:jc w:val="both"/>
        <w:rPr>
          <w:rFonts w:ascii="Palatino Linotype" w:hAnsi="Palatino Linotype" w:cs="Tahoma"/>
          <w:i/>
        </w:rPr>
      </w:pPr>
      <w:r>
        <w:rPr>
          <w:rFonts w:ascii="Palatino Linotype" w:hAnsi="Palatino Linotype" w:cs="Tahoma"/>
          <w:i/>
        </w:rPr>
        <w:t>...”</w:t>
      </w:r>
    </w:p>
    <w:p w14:paraId="20F883D3" w14:textId="77777777" w:rsidR="001872B5" w:rsidRDefault="001872B5" w:rsidP="001872B5">
      <w:pPr>
        <w:tabs>
          <w:tab w:val="left" w:pos="567"/>
        </w:tabs>
        <w:spacing w:line="360" w:lineRule="auto"/>
        <w:ind w:right="539"/>
        <w:jc w:val="both"/>
        <w:rPr>
          <w:rFonts w:ascii="Palatino Linotype" w:hAnsi="Palatino Linotype" w:cs="Tahoma"/>
        </w:rPr>
      </w:pPr>
    </w:p>
    <w:p w14:paraId="78E5EB73" w14:textId="77777777" w:rsidR="001872B5" w:rsidRPr="00D919FA" w:rsidRDefault="001872B5" w:rsidP="001872B5">
      <w:pPr>
        <w:tabs>
          <w:tab w:val="left" w:pos="567"/>
        </w:tabs>
        <w:spacing w:line="360" w:lineRule="auto"/>
        <w:ind w:right="-28"/>
        <w:jc w:val="both"/>
        <w:rPr>
          <w:rFonts w:ascii="Palatino Linotype" w:hAnsi="Palatino Linotype" w:cs="Tahoma"/>
          <w:iCs/>
          <w:sz w:val="22"/>
          <w:szCs w:val="22"/>
        </w:rPr>
      </w:pPr>
      <w:r w:rsidRPr="00D919FA">
        <w:rPr>
          <w:rFonts w:ascii="Palatino Linotype" w:hAnsi="Palatino Linotype" w:cs="Tahoma"/>
          <w:iCs/>
          <w:sz w:val="22"/>
          <w:szCs w:val="22"/>
        </w:rPr>
        <w:t xml:space="preserve">Es de precisar que </w:t>
      </w:r>
      <w:r>
        <w:rPr>
          <w:rFonts w:ascii="Palatino Linotype" w:hAnsi="Palatino Linotype" w:cs="Tahoma"/>
          <w:iCs/>
          <w:sz w:val="22"/>
          <w:szCs w:val="22"/>
        </w:rPr>
        <w:t xml:space="preserve">el Sujeto Obligado adjuntó el acta correspondiente, por la que amplió el termino para atender la solicitud de acceso a la información en términos del artículo 49, fracción II de la Ley de </w:t>
      </w:r>
      <w:r w:rsidR="00036C3A">
        <w:rPr>
          <w:rFonts w:ascii="Palatino Linotype" w:hAnsi="Palatino Linotype" w:cs="Tahoma"/>
          <w:iCs/>
          <w:sz w:val="22"/>
          <w:szCs w:val="22"/>
        </w:rPr>
        <w:t xml:space="preserve">Transparencia </w:t>
      </w:r>
      <w:r>
        <w:rPr>
          <w:rFonts w:ascii="Palatino Linotype" w:hAnsi="Palatino Linotype" w:cs="Tahoma"/>
          <w:iCs/>
          <w:sz w:val="22"/>
          <w:szCs w:val="22"/>
        </w:rPr>
        <w:t xml:space="preserve">y Acceso a la Información Pública del estado de México y Municipios. </w:t>
      </w:r>
    </w:p>
    <w:p w14:paraId="278684A7" w14:textId="77777777" w:rsidR="00E5267D" w:rsidRDefault="00E5267D" w:rsidP="00147516">
      <w:pPr>
        <w:pStyle w:val="Prrafodelista"/>
        <w:tabs>
          <w:tab w:val="left" w:pos="567"/>
        </w:tabs>
        <w:spacing w:line="360" w:lineRule="auto"/>
        <w:ind w:left="0"/>
        <w:jc w:val="both"/>
        <w:rPr>
          <w:rFonts w:ascii="Palatino Linotype" w:hAnsi="Palatino Linotype" w:cs="Tahoma"/>
          <w:b/>
          <w:szCs w:val="22"/>
        </w:rPr>
      </w:pPr>
    </w:p>
    <w:p w14:paraId="6E9BC778" w14:textId="77777777" w:rsidR="00681D84" w:rsidRDefault="00E5267D" w:rsidP="00147516">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III. </w:t>
      </w:r>
      <w:r w:rsidR="00681D84" w:rsidRPr="00A650C6">
        <w:rPr>
          <w:rFonts w:ascii="Palatino Linotype" w:hAnsi="Palatino Linotype" w:cs="Tahoma"/>
          <w:b/>
          <w:szCs w:val="22"/>
        </w:rPr>
        <w:t>Respuesta del Sujeto Obligado.</w:t>
      </w:r>
    </w:p>
    <w:p w14:paraId="69402766"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5D3467F8" w14:textId="77777777" w:rsidR="00B50512"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2F594D">
        <w:rPr>
          <w:rFonts w:ascii="Palatino Linotype" w:hAnsi="Palatino Linotype" w:cs="Tahoma"/>
          <w:sz w:val="22"/>
          <w:szCs w:val="22"/>
        </w:rPr>
        <w:t>nueve</w:t>
      </w:r>
      <w:r w:rsidR="00477AD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adjuntó </w:t>
      </w:r>
      <w:r w:rsidR="00E5267D">
        <w:rPr>
          <w:rFonts w:ascii="Palatino Linotype" w:hAnsi="Palatino Linotype" w:cs="Tahoma"/>
          <w:sz w:val="22"/>
          <w:szCs w:val="22"/>
        </w:rPr>
        <w:t>los siguientes archivos</w:t>
      </w:r>
      <w:r w:rsidR="00477AD3">
        <w:rPr>
          <w:rFonts w:ascii="Palatino Linotype" w:hAnsi="Palatino Linotype" w:cs="Tahoma"/>
          <w:sz w:val="22"/>
          <w:szCs w:val="22"/>
        </w:rPr>
        <w:t>:</w:t>
      </w:r>
    </w:p>
    <w:p w14:paraId="3E856EDC" w14:textId="77777777" w:rsidR="002F594D" w:rsidRDefault="002F594D" w:rsidP="002F594D">
      <w:pPr>
        <w:autoSpaceDE w:val="0"/>
        <w:autoSpaceDN w:val="0"/>
        <w:adjustRightInd w:val="0"/>
        <w:spacing w:line="360" w:lineRule="auto"/>
        <w:contextualSpacing/>
        <w:jc w:val="both"/>
        <w:rPr>
          <w:rFonts w:ascii="Palatino Linotype" w:hAnsi="Palatino Linotype" w:cs="Tahoma"/>
          <w:b/>
          <w:i/>
          <w:sz w:val="22"/>
          <w:szCs w:val="22"/>
        </w:rPr>
      </w:pPr>
    </w:p>
    <w:p w14:paraId="1FFAB8A1" w14:textId="77777777" w:rsidR="002F594D" w:rsidRPr="002F594D" w:rsidRDefault="002F594D" w:rsidP="002F594D">
      <w:pPr>
        <w:pStyle w:val="Prrafodelista"/>
        <w:numPr>
          <w:ilvl w:val="0"/>
          <w:numId w:val="13"/>
        </w:numPr>
        <w:autoSpaceDE w:val="0"/>
        <w:autoSpaceDN w:val="0"/>
        <w:adjustRightInd w:val="0"/>
        <w:spacing w:line="360" w:lineRule="auto"/>
        <w:jc w:val="both"/>
        <w:rPr>
          <w:rFonts w:ascii="Palatino Linotype" w:hAnsi="Palatino Linotype" w:cs="Tahoma"/>
          <w:b/>
          <w:i/>
          <w:szCs w:val="22"/>
        </w:rPr>
      </w:pPr>
      <w:r w:rsidRPr="002F594D">
        <w:rPr>
          <w:rFonts w:ascii="Palatino Linotype" w:hAnsi="Palatino Linotype" w:cs="Tahoma"/>
          <w:b/>
          <w:i/>
          <w:szCs w:val="22"/>
        </w:rPr>
        <w:lastRenderedPageBreak/>
        <w:t>respuesta folio 328.pdf:</w:t>
      </w:r>
      <w:r w:rsidRPr="002F594D">
        <w:rPr>
          <w:rFonts w:ascii="Palatino Linotype" w:hAnsi="Palatino Linotype" w:cs="Tahoma"/>
          <w:szCs w:val="22"/>
        </w:rPr>
        <w:t xml:space="preserve"> Consiste en un oficio suscrito por el </w:t>
      </w:r>
      <w:r>
        <w:rPr>
          <w:rFonts w:ascii="Palatino Linotype" w:hAnsi="Palatino Linotype" w:cs="Tahoma"/>
          <w:szCs w:val="22"/>
        </w:rPr>
        <w:t xml:space="preserve">Consejero Jurídico </w:t>
      </w:r>
      <w:r w:rsidRPr="002F594D">
        <w:rPr>
          <w:rFonts w:ascii="Palatino Linotype" w:hAnsi="Palatino Linotype" w:cs="Tahoma"/>
          <w:szCs w:val="22"/>
        </w:rPr>
        <w:t>en el que en su parte medular manifestó lo siguiente:</w:t>
      </w:r>
    </w:p>
    <w:p w14:paraId="7089AFA2" w14:textId="77777777" w:rsidR="002F594D" w:rsidRPr="00243777" w:rsidRDefault="002F594D" w:rsidP="002F594D">
      <w:pPr>
        <w:pStyle w:val="Prrafodelista"/>
        <w:autoSpaceDE w:val="0"/>
        <w:autoSpaceDN w:val="0"/>
        <w:adjustRightInd w:val="0"/>
        <w:spacing w:line="360" w:lineRule="auto"/>
        <w:jc w:val="both"/>
        <w:rPr>
          <w:rFonts w:ascii="Palatino Linotype" w:hAnsi="Palatino Linotype" w:cs="Tahoma"/>
          <w:b/>
          <w:i/>
          <w:sz w:val="18"/>
          <w:szCs w:val="22"/>
        </w:rPr>
      </w:pPr>
    </w:p>
    <w:p w14:paraId="6D23CE10" w14:textId="77777777" w:rsidR="002F594D" w:rsidRPr="00E5267D" w:rsidRDefault="002F594D" w:rsidP="002F594D">
      <w:pPr>
        <w:autoSpaceDE w:val="0"/>
        <w:autoSpaceDN w:val="0"/>
        <w:adjustRightInd w:val="0"/>
        <w:spacing w:line="360" w:lineRule="auto"/>
        <w:ind w:left="567" w:right="539"/>
        <w:contextualSpacing/>
        <w:jc w:val="both"/>
        <w:rPr>
          <w:rFonts w:ascii="Palatino Linotype" w:hAnsi="Palatino Linotype" w:cs="Tahoma"/>
          <w:i/>
          <w:szCs w:val="22"/>
        </w:rPr>
      </w:pPr>
      <w:r w:rsidRPr="00E5267D">
        <w:rPr>
          <w:rFonts w:ascii="Palatino Linotype" w:hAnsi="Palatino Linotype" w:cs="Tahoma"/>
          <w:i/>
          <w:szCs w:val="22"/>
        </w:rPr>
        <w:t xml:space="preserve">“… </w:t>
      </w:r>
      <w:r>
        <w:rPr>
          <w:rFonts w:ascii="Palatino Linotype" w:hAnsi="Palatino Linotype" w:cs="Tahoma"/>
          <w:i/>
          <w:szCs w:val="22"/>
        </w:rPr>
        <w:t>al respecto me permito informar que de conformidad con lo que establece el numeral 5.195 fracción IV, del código de Reglamentación Municipal, de Metepec, Estado de México la Dirección de Administración es la encargada de dar aviso la Contraloría y a la Consejería Jurídica, cuando los daños de algún vehículo puedan atribuirse al mal uso o negligencia del usuario.</w:t>
      </w:r>
    </w:p>
    <w:p w14:paraId="11A53187" w14:textId="77777777" w:rsidR="002F594D" w:rsidRDefault="002F594D" w:rsidP="002F594D">
      <w:pPr>
        <w:autoSpaceDE w:val="0"/>
        <w:autoSpaceDN w:val="0"/>
        <w:adjustRightInd w:val="0"/>
        <w:spacing w:line="360" w:lineRule="auto"/>
        <w:ind w:left="567" w:right="539"/>
        <w:contextualSpacing/>
        <w:jc w:val="both"/>
        <w:rPr>
          <w:rFonts w:ascii="Palatino Linotype" w:hAnsi="Palatino Linotype" w:cs="Tahoma"/>
          <w:i/>
          <w:szCs w:val="22"/>
        </w:rPr>
      </w:pPr>
      <w:r w:rsidRPr="00E5267D">
        <w:rPr>
          <w:rFonts w:ascii="Palatino Linotype" w:hAnsi="Palatino Linotype" w:cs="Tahoma"/>
          <w:i/>
          <w:szCs w:val="22"/>
        </w:rPr>
        <w:t>…”</w:t>
      </w:r>
    </w:p>
    <w:p w14:paraId="0969C94F" w14:textId="77777777" w:rsidR="002F594D" w:rsidRPr="00243777" w:rsidRDefault="002F594D" w:rsidP="002F594D">
      <w:pPr>
        <w:pStyle w:val="Prrafodelista"/>
        <w:autoSpaceDE w:val="0"/>
        <w:autoSpaceDN w:val="0"/>
        <w:adjustRightInd w:val="0"/>
        <w:spacing w:line="360" w:lineRule="auto"/>
        <w:jc w:val="both"/>
        <w:rPr>
          <w:rFonts w:ascii="Palatino Linotype" w:hAnsi="Palatino Linotype" w:cs="Tahoma"/>
          <w:b/>
          <w:i/>
          <w:sz w:val="18"/>
          <w:szCs w:val="22"/>
        </w:rPr>
      </w:pPr>
    </w:p>
    <w:p w14:paraId="3A5C9731" w14:textId="77777777" w:rsidR="00E5267D" w:rsidRPr="002F594D" w:rsidRDefault="002F594D" w:rsidP="002F594D">
      <w:pPr>
        <w:pStyle w:val="Prrafodelista"/>
        <w:numPr>
          <w:ilvl w:val="0"/>
          <w:numId w:val="13"/>
        </w:numPr>
        <w:autoSpaceDE w:val="0"/>
        <w:autoSpaceDN w:val="0"/>
        <w:adjustRightInd w:val="0"/>
        <w:spacing w:line="360" w:lineRule="auto"/>
        <w:jc w:val="both"/>
        <w:rPr>
          <w:rFonts w:ascii="Palatino Linotype" w:hAnsi="Palatino Linotype" w:cs="Tahoma"/>
          <w:b/>
          <w:i/>
          <w:szCs w:val="22"/>
        </w:rPr>
      </w:pPr>
      <w:r w:rsidRPr="002F594D">
        <w:rPr>
          <w:rFonts w:ascii="Palatino Linotype" w:hAnsi="Palatino Linotype" w:cs="Tahoma"/>
          <w:b/>
          <w:i/>
          <w:szCs w:val="22"/>
        </w:rPr>
        <w:t>CIM CI 106 2022.pdf:</w:t>
      </w:r>
      <w:r w:rsidRPr="002F594D">
        <w:rPr>
          <w:rFonts w:ascii="Palatino Linotype" w:hAnsi="Palatino Linotype" w:cs="Tahoma"/>
          <w:szCs w:val="22"/>
        </w:rPr>
        <w:t xml:space="preserve"> El archivo corresponde a un oficio suscrito por el </w:t>
      </w:r>
      <w:r>
        <w:rPr>
          <w:rFonts w:ascii="Palatino Linotype" w:hAnsi="Palatino Linotype" w:cs="Tahoma"/>
          <w:szCs w:val="22"/>
        </w:rPr>
        <w:t xml:space="preserve">Contralor Interno Municipal </w:t>
      </w:r>
      <w:r w:rsidRPr="002F594D">
        <w:rPr>
          <w:rFonts w:ascii="Palatino Linotype" w:hAnsi="Palatino Linotype" w:cs="Tahoma"/>
          <w:szCs w:val="22"/>
        </w:rPr>
        <w:t xml:space="preserve">en el que manifestó </w:t>
      </w:r>
      <w:r>
        <w:rPr>
          <w:rFonts w:ascii="Palatino Linotype" w:hAnsi="Palatino Linotype" w:cs="Tahoma"/>
          <w:szCs w:val="22"/>
        </w:rPr>
        <w:t>lo siguiente:</w:t>
      </w:r>
    </w:p>
    <w:p w14:paraId="0D21152F" w14:textId="77777777" w:rsidR="002F594D" w:rsidRPr="00243777" w:rsidRDefault="002F594D" w:rsidP="002F594D">
      <w:pPr>
        <w:pStyle w:val="Prrafodelista"/>
        <w:autoSpaceDE w:val="0"/>
        <w:autoSpaceDN w:val="0"/>
        <w:adjustRightInd w:val="0"/>
        <w:spacing w:line="360" w:lineRule="auto"/>
        <w:ind w:right="539"/>
        <w:jc w:val="both"/>
        <w:rPr>
          <w:rFonts w:ascii="Palatino Linotype" w:hAnsi="Palatino Linotype" w:cs="Tahoma"/>
          <w:i/>
          <w:sz w:val="18"/>
          <w:szCs w:val="22"/>
        </w:rPr>
      </w:pPr>
    </w:p>
    <w:p w14:paraId="49367282" w14:textId="77777777" w:rsidR="002F594D" w:rsidRPr="002F594D" w:rsidRDefault="002F594D" w:rsidP="00D6399C">
      <w:pPr>
        <w:pStyle w:val="Prrafodelista"/>
        <w:autoSpaceDE w:val="0"/>
        <w:autoSpaceDN w:val="0"/>
        <w:adjustRightInd w:val="0"/>
        <w:spacing w:line="360" w:lineRule="auto"/>
        <w:ind w:right="539"/>
        <w:jc w:val="both"/>
        <w:rPr>
          <w:rFonts w:ascii="Palatino Linotype" w:hAnsi="Palatino Linotype" w:cs="Tahoma"/>
          <w:i/>
          <w:sz w:val="18"/>
          <w:szCs w:val="22"/>
        </w:rPr>
      </w:pPr>
      <w:r w:rsidRPr="002F594D">
        <w:rPr>
          <w:rFonts w:ascii="Palatino Linotype" w:hAnsi="Palatino Linotype" w:cs="Tahoma"/>
          <w:i/>
          <w:sz w:val="20"/>
          <w:szCs w:val="22"/>
        </w:rPr>
        <w:t xml:space="preserve">“… </w:t>
      </w:r>
      <w:r>
        <w:rPr>
          <w:rFonts w:ascii="Palatino Linotype" w:hAnsi="Palatino Linotype" w:cs="Tahoma"/>
          <w:i/>
          <w:sz w:val="20"/>
          <w:szCs w:val="22"/>
        </w:rPr>
        <w:t xml:space="preserve">me permito hacer del conocimiento del solicitante que en los archivos de este Órgano de Control después de una búsqueda exhaustiva se localizó el siguiente oficio </w:t>
      </w:r>
      <w:r w:rsidR="00D6399C">
        <w:rPr>
          <w:rFonts w:ascii="Palatino Linotype" w:hAnsi="Palatino Linotype" w:cs="Tahoma"/>
          <w:b/>
          <w:i/>
          <w:sz w:val="20"/>
          <w:szCs w:val="22"/>
        </w:rPr>
        <w:t>CJM/846/2016</w:t>
      </w:r>
      <w:r>
        <w:rPr>
          <w:rFonts w:ascii="Palatino Linotype" w:hAnsi="Palatino Linotype" w:cs="Tahoma"/>
          <w:i/>
          <w:sz w:val="20"/>
          <w:szCs w:val="22"/>
        </w:rPr>
        <w:t xml:space="preserve"> documento que pongo a su </w:t>
      </w:r>
      <w:r w:rsidR="00D6399C">
        <w:rPr>
          <w:rFonts w:ascii="Palatino Linotype" w:hAnsi="Palatino Linotype" w:cs="Tahoma"/>
          <w:i/>
          <w:sz w:val="20"/>
          <w:szCs w:val="22"/>
        </w:rPr>
        <w:t>disposición</w:t>
      </w:r>
    </w:p>
    <w:p w14:paraId="48D3B52D" w14:textId="77777777" w:rsidR="002F594D" w:rsidRPr="002F594D" w:rsidRDefault="002F594D" w:rsidP="002F594D">
      <w:pPr>
        <w:pStyle w:val="Prrafodelista"/>
        <w:autoSpaceDE w:val="0"/>
        <w:autoSpaceDN w:val="0"/>
        <w:adjustRightInd w:val="0"/>
        <w:spacing w:line="360" w:lineRule="auto"/>
        <w:ind w:right="539"/>
        <w:jc w:val="both"/>
        <w:rPr>
          <w:rFonts w:ascii="Palatino Linotype" w:hAnsi="Palatino Linotype" w:cs="Tahoma"/>
          <w:i/>
          <w:sz w:val="20"/>
          <w:szCs w:val="22"/>
        </w:rPr>
      </w:pPr>
      <w:r w:rsidRPr="002F594D">
        <w:rPr>
          <w:rFonts w:ascii="Palatino Linotype" w:hAnsi="Palatino Linotype" w:cs="Tahoma"/>
          <w:i/>
          <w:sz w:val="20"/>
          <w:szCs w:val="22"/>
        </w:rPr>
        <w:t>…”</w:t>
      </w:r>
    </w:p>
    <w:p w14:paraId="7CDA51EA" w14:textId="77777777" w:rsidR="00E5267D" w:rsidRPr="00243777" w:rsidRDefault="00E5267D" w:rsidP="00E5267D">
      <w:pPr>
        <w:autoSpaceDE w:val="0"/>
        <w:autoSpaceDN w:val="0"/>
        <w:adjustRightInd w:val="0"/>
        <w:spacing w:line="360" w:lineRule="auto"/>
        <w:ind w:left="567" w:right="539"/>
        <w:contextualSpacing/>
        <w:jc w:val="both"/>
        <w:rPr>
          <w:rFonts w:ascii="Palatino Linotype" w:hAnsi="Palatino Linotype" w:cs="Tahoma"/>
          <w:i/>
          <w:sz w:val="18"/>
          <w:szCs w:val="22"/>
        </w:rPr>
      </w:pPr>
    </w:p>
    <w:bookmarkEnd w:id="0"/>
    <w:p w14:paraId="5E8584A7" w14:textId="77777777"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433EE43E" w14:textId="77777777" w:rsidR="00F87649" w:rsidRPr="00243777" w:rsidRDefault="00F87649" w:rsidP="00147516">
      <w:pPr>
        <w:autoSpaceDE w:val="0"/>
        <w:autoSpaceDN w:val="0"/>
        <w:adjustRightInd w:val="0"/>
        <w:spacing w:line="360" w:lineRule="auto"/>
        <w:contextualSpacing/>
        <w:jc w:val="both"/>
        <w:rPr>
          <w:rFonts w:ascii="Palatino Linotype" w:hAnsi="Palatino Linotype" w:cs="Tahoma"/>
          <w:b/>
          <w:sz w:val="16"/>
          <w:szCs w:val="22"/>
        </w:rPr>
      </w:pPr>
    </w:p>
    <w:p w14:paraId="5EC6F5BD" w14:textId="7777777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DF5CF5">
        <w:rPr>
          <w:rFonts w:ascii="Palatino Linotype" w:hAnsi="Palatino Linotype" w:cs="Tahoma"/>
          <w:sz w:val="22"/>
          <w:szCs w:val="22"/>
        </w:rPr>
        <w:t>veintiocho</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11CE3DFD" w14:textId="77777777" w:rsidR="00AB6595" w:rsidRPr="00243777" w:rsidRDefault="00AB6595" w:rsidP="00147516">
      <w:pPr>
        <w:tabs>
          <w:tab w:val="left" w:pos="3122"/>
        </w:tabs>
        <w:spacing w:line="360" w:lineRule="auto"/>
        <w:contextualSpacing/>
        <w:jc w:val="both"/>
        <w:rPr>
          <w:rFonts w:ascii="Palatino Linotype" w:hAnsi="Palatino Linotype" w:cs="Tahoma"/>
          <w:sz w:val="18"/>
          <w:szCs w:val="22"/>
        </w:rPr>
      </w:pPr>
    </w:p>
    <w:p w14:paraId="302CBCB9"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3F50C652"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DF5CF5" w:rsidRPr="00DF5CF5">
        <w:rPr>
          <w:rFonts w:ascii="Palatino Linotype" w:hAnsi="Palatino Linotype" w:cs="Tahoma"/>
          <w:bCs/>
          <w:i/>
          <w:szCs w:val="22"/>
        </w:rPr>
        <w:t>La respuesta proporcionada por el Sujeto Obligado.</w:t>
      </w:r>
      <w:r w:rsidR="00E55401">
        <w:rPr>
          <w:rFonts w:ascii="Palatino Linotype" w:hAnsi="Palatino Linotype" w:cs="Tahoma"/>
          <w:bCs/>
          <w:i/>
          <w:szCs w:val="22"/>
        </w:rPr>
        <w:t>"</w:t>
      </w:r>
    </w:p>
    <w:p w14:paraId="18D50BB6" w14:textId="77777777" w:rsidR="007E4927" w:rsidRPr="00243777" w:rsidRDefault="007E4927" w:rsidP="00147516">
      <w:pPr>
        <w:spacing w:line="360" w:lineRule="auto"/>
        <w:ind w:left="567" w:right="539"/>
        <w:contextualSpacing/>
        <w:jc w:val="both"/>
        <w:rPr>
          <w:rFonts w:ascii="Palatino Linotype" w:hAnsi="Palatino Linotype" w:cs="Tahoma"/>
          <w:bCs/>
          <w:i/>
          <w:sz w:val="16"/>
          <w:szCs w:val="22"/>
        </w:rPr>
      </w:pPr>
    </w:p>
    <w:p w14:paraId="402F0961"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678793EB" w14:textId="77777777"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D6399C" w:rsidRPr="00D6399C">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w:t>
      </w:r>
      <w:r w:rsidR="00D6399C" w:rsidRPr="00D6399C">
        <w:rPr>
          <w:rFonts w:ascii="Palatino Linotype" w:hAnsi="Palatino Linotype" w:cs="Tahoma"/>
          <w:i/>
          <w:iCs/>
        </w:rPr>
        <w:lastRenderedPageBreak/>
        <w:t xml:space="preserve">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w:t>
      </w:r>
      <w:r w:rsidR="00D6399C" w:rsidRPr="00D6399C">
        <w:rPr>
          <w:rFonts w:ascii="Palatino Linotype" w:hAnsi="Palatino Linotype" w:cs="Tahoma"/>
          <w:i/>
          <w:iCs/>
        </w:rPr>
        <w:lastRenderedPageBreak/>
        <w:t>informar a los interesados el derecho y plazo que tienen para promover recurso de revisión, de acuerdo a lo señalado por el artículo 177 de la ley en mención.</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57429BBA" w14:textId="77777777" w:rsidR="007E4927" w:rsidRPr="00243777" w:rsidRDefault="007E4927" w:rsidP="00147516">
      <w:pPr>
        <w:spacing w:line="360" w:lineRule="auto"/>
        <w:contextualSpacing/>
        <w:jc w:val="both"/>
        <w:rPr>
          <w:rFonts w:ascii="Palatino Linotype" w:hAnsi="Palatino Linotype" w:cs="Tahoma"/>
          <w:b/>
          <w:szCs w:val="22"/>
        </w:rPr>
      </w:pPr>
    </w:p>
    <w:p w14:paraId="315D03FD" w14:textId="77777777" w:rsidR="009A7587" w:rsidRPr="008E3507" w:rsidRDefault="00C90C46"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586EDD72" w14:textId="77777777" w:rsidR="007E4927" w:rsidRPr="00243777" w:rsidRDefault="007E4927" w:rsidP="00147516">
      <w:pPr>
        <w:spacing w:line="360" w:lineRule="auto"/>
        <w:contextualSpacing/>
        <w:jc w:val="both"/>
        <w:rPr>
          <w:rFonts w:ascii="Palatino Linotype" w:eastAsia="Batang" w:hAnsi="Palatino Linotype" w:cs="Tahoma"/>
          <w:b/>
          <w:bCs/>
          <w:sz w:val="18"/>
          <w:szCs w:val="22"/>
        </w:rPr>
      </w:pPr>
    </w:p>
    <w:p w14:paraId="303244C4" w14:textId="77777777"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C33886">
        <w:rPr>
          <w:rFonts w:ascii="Palatino Linotype" w:eastAsia="Batang" w:hAnsi="Palatino Linotype" w:cs="Tahoma"/>
          <w:bCs/>
          <w:sz w:val="22"/>
          <w:szCs w:val="22"/>
        </w:rPr>
        <w:t>veinti</w:t>
      </w:r>
      <w:r w:rsidR="0020024D">
        <w:rPr>
          <w:rFonts w:ascii="Palatino Linotype" w:eastAsia="Batang" w:hAnsi="Palatino Linotype" w:cs="Tahoma"/>
          <w:bCs/>
          <w:sz w:val="22"/>
          <w:szCs w:val="22"/>
        </w:rPr>
        <w:t>ocho</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20024D">
        <w:rPr>
          <w:rFonts w:ascii="Palatino Linotype" w:eastAsia="Batang" w:hAnsi="Palatino Linotype" w:cs="Tahoma"/>
          <w:b/>
          <w:bCs/>
          <w:sz w:val="22"/>
          <w:szCs w:val="22"/>
        </w:rPr>
        <w:t>02</w:t>
      </w:r>
      <w:r w:rsidR="00D6399C">
        <w:rPr>
          <w:rFonts w:ascii="Palatino Linotype" w:eastAsia="Batang" w:hAnsi="Palatino Linotype" w:cs="Tahoma"/>
          <w:b/>
          <w:bCs/>
          <w:sz w:val="22"/>
          <w:szCs w:val="22"/>
        </w:rPr>
        <w:t>251</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384F1B1" w14:textId="77777777" w:rsidR="00D5699B" w:rsidRPr="00243777" w:rsidRDefault="00D5699B" w:rsidP="00147516">
      <w:pPr>
        <w:spacing w:line="360" w:lineRule="auto"/>
        <w:contextualSpacing/>
        <w:jc w:val="both"/>
        <w:rPr>
          <w:rFonts w:ascii="Palatino Linotype" w:eastAsia="Batang" w:hAnsi="Palatino Linotype" w:cs="Tahoma"/>
          <w:b/>
          <w:bCs/>
          <w:szCs w:val="22"/>
        </w:rPr>
      </w:pPr>
    </w:p>
    <w:p w14:paraId="6E38C8A6" w14:textId="77777777" w:rsidR="00C33886" w:rsidRPr="00477AD3" w:rsidRDefault="009A7587" w:rsidP="00147516">
      <w:pPr>
        <w:spacing w:line="360" w:lineRule="auto"/>
        <w:contextualSpacing/>
        <w:jc w:val="both"/>
        <w:rPr>
          <w:rFonts w:ascii="Palatino Linotype" w:hAnsi="Palatino Linotype" w:cs="Tahoma"/>
          <w:b/>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20024D">
        <w:rPr>
          <w:rFonts w:ascii="Palatino Linotype" w:hAnsi="Palatino Linotype" w:cs="Tahoma"/>
          <w:bCs/>
          <w:sz w:val="22"/>
          <w:szCs w:val="22"/>
        </w:rPr>
        <w:t>siete</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477AD3">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14:paraId="13766EBC" w14:textId="77777777" w:rsidR="00C33886" w:rsidRPr="00243777" w:rsidRDefault="00C33886" w:rsidP="00147516">
      <w:pPr>
        <w:spacing w:line="360" w:lineRule="auto"/>
        <w:contextualSpacing/>
        <w:jc w:val="both"/>
        <w:rPr>
          <w:rFonts w:ascii="Palatino Linotype" w:hAnsi="Palatino Linotype" w:cs="Tahoma"/>
          <w:bCs/>
          <w:szCs w:val="22"/>
          <w:lang w:val="es-ES_tradnl"/>
        </w:rPr>
      </w:pPr>
    </w:p>
    <w:p w14:paraId="4182E176" w14:textId="77777777" w:rsidR="00ED5DF5" w:rsidRPr="008E3507" w:rsidRDefault="00C33886"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c</w:t>
      </w:r>
      <w:r w:rsidR="00147516">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Pr>
          <w:rFonts w:ascii="Palatino Linotype" w:hAnsi="Palatino Linotype" w:cs="Tahoma"/>
          <w:sz w:val="22"/>
          <w:szCs w:val="22"/>
        </w:rPr>
        <w:t xml:space="preserve">ocho de abril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00ED5DF5" w:rsidRPr="008E3507">
        <w:rPr>
          <w:rFonts w:ascii="Palatino Linotype" w:hAnsi="Palatino Linotype" w:cs="Tahoma"/>
          <w:sz w:val="22"/>
          <w:szCs w:val="22"/>
        </w:rPr>
        <w:lastRenderedPageBreak/>
        <w:t xml:space="preserve">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55104A6D"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6D041A47"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5170F819"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75EABCE8"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495E0AB7"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37CDE0D4"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7036F064"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06B12232"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54798100"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5456B69D"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1DA8882B"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57C9902"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06D530"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2D8F1E"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3D85555"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3D4E52C7"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00CA7F47"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7381783E"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48EEDE3B"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lastRenderedPageBreak/>
        <w:t xml:space="preserve">TERCERO. Determinación de la Controversia. </w:t>
      </w:r>
    </w:p>
    <w:p w14:paraId="0ED05E9E"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6ACA9D6D" w14:textId="77777777" w:rsidR="00054B9E" w:rsidRDefault="00CE0B4C" w:rsidP="00024A48">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DF5CF5">
        <w:rPr>
          <w:rFonts w:ascii="Palatino Linotype" w:eastAsia="Calibri" w:hAnsi="Palatino Linotype" w:cs="Tahoma"/>
          <w:iCs/>
          <w:sz w:val="22"/>
          <w:szCs w:val="22"/>
          <w:lang w:val="es-ES" w:eastAsia="es-ES_tradnl"/>
        </w:rPr>
        <w:t>Ayuntamiento de Metepec</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054B9E" w:rsidRPr="00054B9E">
        <w:rPr>
          <w:rFonts w:ascii="Palatino Linotype" w:eastAsia="Calibri" w:hAnsi="Palatino Linotype" w:cs="Tahoma"/>
          <w:iCs/>
          <w:sz w:val="22"/>
          <w:szCs w:val="22"/>
          <w:lang w:val="es-ES" w:eastAsia="es-ES_tradnl"/>
        </w:rPr>
        <w:t>los documentos que acrediten que se dio aviso a la Contraloría y a la Consejería Jurídica, cuando los daños de algún v</w:t>
      </w:r>
      <w:r w:rsidR="00054B9E">
        <w:rPr>
          <w:rFonts w:ascii="Palatino Linotype" w:eastAsia="Calibri" w:hAnsi="Palatino Linotype" w:cs="Tahoma"/>
          <w:iCs/>
          <w:sz w:val="22"/>
          <w:szCs w:val="22"/>
          <w:lang w:val="es-ES" w:eastAsia="es-ES_tradnl"/>
        </w:rPr>
        <w:t>ehículo</w:t>
      </w:r>
      <w:r w:rsidR="00054B9E" w:rsidRPr="00054B9E">
        <w:rPr>
          <w:rFonts w:ascii="Palatino Linotype" w:eastAsia="Calibri" w:hAnsi="Palatino Linotype" w:cs="Tahoma"/>
          <w:iCs/>
          <w:sz w:val="22"/>
          <w:szCs w:val="22"/>
          <w:lang w:val="es-ES" w:eastAsia="es-ES_tradnl"/>
        </w:rPr>
        <w:t xml:space="preserve"> puedan atribuirse al mal uso o negligencia del usuario por parte de la Dirección de Administración o dependencia responsable en los ejercicios 2016, 2017 y 2018</w:t>
      </w:r>
      <w:r w:rsidR="00054B9E">
        <w:rPr>
          <w:rFonts w:ascii="Palatino Linotype" w:eastAsia="Calibri" w:hAnsi="Palatino Linotype" w:cs="Tahoma"/>
          <w:iCs/>
          <w:sz w:val="22"/>
          <w:szCs w:val="22"/>
          <w:lang w:val="es-ES" w:eastAsia="es-ES_tradnl"/>
        </w:rPr>
        <w:t>.</w:t>
      </w:r>
    </w:p>
    <w:p w14:paraId="7A064A1E" w14:textId="77777777" w:rsidR="00054B9E" w:rsidRDefault="00054B9E" w:rsidP="00024A48">
      <w:pPr>
        <w:tabs>
          <w:tab w:val="left" w:pos="4962"/>
        </w:tabs>
        <w:spacing w:line="360" w:lineRule="auto"/>
        <w:jc w:val="both"/>
        <w:rPr>
          <w:rFonts w:ascii="Palatino Linotype" w:eastAsia="Calibri" w:hAnsi="Palatino Linotype" w:cs="Tahoma"/>
          <w:iCs/>
          <w:sz w:val="22"/>
          <w:szCs w:val="22"/>
          <w:lang w:val="es-ES" w:eastAsia="es-ES_tradnl"/>
        </w:rPr>
      </w:pPr>
    </w:p>
    <w:p w14:paraId="5E5653E9" w14:textId="77777777" w:rsidR="00054B9E" w:rsidRPr="00F64430" w:rsidRDefault="00054B9E" w:rsidP="00054B9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 Sujeto Obligado, a través del Contralor Interno Municipal proporcionó un oficio por el cual se informa respecto lo solicitado por el Particular, no obstante, este se inconformo al considerar que su solicitud no fue atendida de manera adecuada</w:t>
      </w:r>
      <w:r w:rsidRPr="005207A6">
        <w:rPr>
          <w:rFonts w:ascii="Palatino Linotype" w:eastAsia="Calibri" w:hAnsi="Palatino Linotype" w:cs="Tahoma"/>
          <w:bCs/>
          <w:sz w:val="22"/>
          <w:szCs w:val="22"/>
          <w:lang w:val="es-ES_tradnl" w:eastAsia="en-US"/>
        </w:rPr>
        <w:t xml:space="preserve">, </w:t>
      </w:r>
      <w:r w:rsidRPr="00624712">
        <w:rPr>
          <w:rFonts w:ascii="Palatino Linotype" w:eastAsia="Calibri" w:hAnsi="Palatino Linotype" w:cs="Tahoma"/>
          <w:bCs/>
          <w:sz w:val="22"/>
          <w:szCs w:val="22"/>
          <w:lang w:val="es-ES_tradnl" w:eastAsia="en-US"/>
        </w:rPr>
        <w:t xml:space="preserve">por lo que </w:t>
      </w:r>
      <w:r w:rsidRPr="00624712">
        <w:rPr>
          <w:rFonts w:ascii="Palatino Linotype" w:eastAsia="Calibri" w:hAnsi="Palatino Linotype" w:cs="Tahoma"/>
          <w:color w:val="000000"/>
          <w:sz w:val="22"/>
          <w:szCs w:val="22"/>
        </w:rPr>
        <w:t xml:space="preserve">en el asunto que nos ocupa se actualiza la causal de procedencia señalada en </w:t>
      </w:r>
      <w:r w:rsidRPr="00A917E6">
        <w:rPr>
          <w:rFonts w:ascii="Palatino Linotype" w:eastAsia="Calibri" w:hAnsi="Palatino Linotype" w:cs="Tahoma"/>
          <w:color w:val="000000"/>
          <w:sz w:val="22"/>
          <w:szCs w:val="22"/>
        </w:rPr>
        <w:t xml:space="preserve">el </w:t>
      </w:r>
      <w:r w:rsidRPr="00A917E6">
        <w:rPr>
          <w:rFonts w:ascii="Palatino Linotype" w:eastAsia="Calibri" w:hAnsi="Palatino Linotype" w:cs="Tahoma"/>
          <w:sz w:val="22"/>
          <w:szCs w:val="22"/>
        </w:rPr>
        <w:t xml:space="preserve">artículo 179, </w:t>
      </w:r>
      <w:r>
        <w:rPr>
          <w:rFonts w:ascii="Palatino Linotype" w:eastAsia="Calibri" w:hAnsi="Palatino Linotype" w:cs="Tahoma"/>
          <w:sz w:val="22"/>
          <w:szCs w:val="22"/>
        </w:rPr>
        <w:t xml:space="preserve">fracción I </w:t>
      </w:r>
      <w:r w:rsidRPr="00A917E6">
        <w:rPr>
          <w:rFonts w:ascii="Palatino Linotype" w:eastAsia="Calibri" w:hAnsi="Palatino Linotype" w:cs="Tahoma"/>
          <w:sz w:val="22"/>
          <w:szCs w:val="22"/>
        </w:rPr>
        <w:t>de la L</w:t>
      </w:r>
      <w:r w:rsidRPr="00624712">
        <w:rPr>
          <w:rFonts w:ascii="Palatino Linotype" w:eastAsia="Calibri" w:hAnsi="Palatino Linotype" w:cs="Tahoma"/>
          <w:sz w:val="22"/>
          <w:szCs w:val="22"/>
        </w:rPr>
        <w:t>ey de la materia</w:t>
      </w:r>
      <w:r w:rsidRPr="00624712">
        <w:rPr>
          <w:rFonts w:ascii="Palatino Linotype" w:eastAsia="Calibri" w:hAnsi="Palatino Linotype" w:cs="Tahoma"/>
          <w:bCs/>
          <w:sz w:val="22"/>
          <w:szCs w:val="22"/>
        </w:rPr>
        <w:t>.</w:t>
      </w:r>
    </w:p>
    <w:p w14:paraId="30DE0AF4"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51570F67"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3F6B751"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7AE34A2E"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7CA1C9E8" w14:textId="77777777" w:rsidR="00CE0B4C" w:rsidRPr="007C0B21" w:rsidRDefault="00CE0B4C" w:rsidP="00147516">
      <w:pPr>
        <w:spacing w:line="360" w:lineRule="auto"/>
        <w:contextualSpacing/>
        <w:jc w:val="both"/>
        <w:rPr>
          <w:rFonts w:ascii="Palatino Linotype" w:hAnsi="Palatino Linotype" w:cs="Tahoma"/>
          <w:sz w:val="22"/>
          <w:szCs w:val="22"/>
        </w:rPr>
      </w:pPr>
    </w:p>
    <w:p w14:paraId="65CBCB94" w14:textId="77777777"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564DE82C" w14:textId="77777777" w:rsidR="00CE0B4C" w:rsidRPr="007C0B21" w:rsidRDefault="00CE0B4C" w:rsidP="00147516">
      <w:pPr>
        <w:spacing w:line="360" w:lineRule="auto"/>
        <w:contextualSpacing/>
        <w:jc w:val="both"/>
        <w:rPr>
          <w:rFonts w:ascii="Palatino Linotype" w:hAnsi="Palatino Linotype" w:cs="Tahoma"/>
          <w:sz w:val="22"/>
          <w:szCs w:val="22"/>
        </w:rPr>
      </w:pPr>
    </w:p>
    <w:p w14:paraId="05D0C00C"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4643A97" w14:textId="77777777" w:rsidR="00CE0B4C" w:rsidRPr="007C0B21" w:rsidRDefault="00CE0B4C" w:rsidP="00147516">
      <w:pPr>
        <w:spacing w:line="360" w:lineRule="auto"/>
        <w:jc w:val="both"/>
        <w:rPr>
          <w:rFonts w:ascii="Palatino Linotype" w:hAnsi="Palatino Linotype" w:cs="Tahoma"/>
          <w:sz w:val="22"/>
          <w:szCs w:val="22"/>
        </w:rPr>
      </w:pPr>
    </w:p>
    <w:p w14:paraId="04288F79"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314B58E" w14:textId="77777777" w:rsidR="00CE0B4C" w:rsidRPr="007C0B21" w:rsidRDefault="00CE0B4C" w:rsidP="00147516">
      <w:pPr>
        <w:spacing w:line="360" w:lineRule="auto"/>
        <w:jc w:val="both"/>
        <w:rPr>
          <w:rFonts w:ascii="Palatino Linotype" w:hAnsi="Palatino Linotype" w:cs="Tahoma"/>
          <w:sz w:val="22"/>
          <w:szCs w:val="22"/>
        </w:rPr>
      </w:pPr>
    </w:p>
    <w:p w14:paraId="6C85BC95"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A0A294" w14:textId="77777777" w:rsidR="00CE0B4C" w:rsidRPr="007C0B21" w:rsidRDefault="00CE0B4C" w:rsidP="00147516">
      <w:pPr>
        <w:spacing w:line="360" w:lineRule="auto"/>
        <w:jc w:val="both"/>
        <w:rPr>
          <w:rFonts w:ascii="Palatino Linotype" w:hAnsi="Palatino Linotype" w:cs="Tahoma"/>
          <w:sz w:val="22"/>
          <w:szCs w:val="22"/>
        </w:rPr>
      </w:pPr>
    </w:p>
    <w:p w14:paraId="6A89EABE"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7FF7934" w14:textId="77777777" w:rsidR="00CE0B4C" w:rsidRPr="007C0B21" w:rsidRDefault="00CE0B4C" w:rsidP="00147516">
      <w:pPr>
        <w:spacing w:line="360" w:lineRule="auto"/>
        <w:jc w:val="both"/>
        <w:rPr>
          <w:rFonts w:ascii="Palatino Linotype" w:hAnsi="Palatino Linotype" w:cs="Tahoma"/>
          <w:sz w:val="22"/>
          <w:szCs w:val="22"/>
        </w:rPr>
      </w:pPr>
    </w:p>
    <w:p w14:paraId="2ED9953C"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6C3EF45D" w14:textId="77777777" w:rsidR="00EF5683" w:rsidRPr="007C0B21" w:rsidRDefault="00EF5683" w:rsidP="00147516">
      <w:pPr>
        <w:spacing w:line="360" w:lineRule="auto"/>
        <w:jc w:val="both"/>
        <w:rPr>
          <w:rFonts w:ascii="Palatino Linotype" w:hAnsi="Palatino Linotype" w:cs="Tahoma"/>
          <w:sz w:val="22"/>
          <w:szCs w:val="22"/>
        </w:rPr>
      </w:pPr>
    </w:p>
    <w:p w14:paraId="46317E42"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3C58829" w14:textId="77777777" w:rsidR="00CE0B4C" w:rsidRPr="007C0B21" w:rsidRDefault="00CE0B4C" w:rsidP="00147516">
      <w:pPr>
        <w:spacing w:line="360" w:lineRule="auto"/>
        <w:jc w:val="both"/>
        <w:rPr>
          <w:rFonts w:ascii="Palatino Linotype" w:hAnsi="Palatino Linotype" w:cs="Tahoma"/>
          <w:sz w:val="22"/>
          <w:szCs w:val="22"/>
        </w:rPr>
      </w:pPr>
    </w:p>
    <w:p w14:paraId="7C057318"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81D56A0"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18914285"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17B1AEAD" w14:textId="77777777" w:rsidR="00CE0B4C" w:rsidRPr="007C0B21" w:rsidRDefault="00CE0B4C" w:rsidP="00147516">
      <w:pPr>
        <w:spacing w:line="360" w:lineRule="auto"/>
        <w:jc w:val="both"/>
        <w:rPr>
          <w:rFonts w:ascii="Palatino Linotype" w:hAnsi="Palatino Linotype" w:cs="Tahoma"/>
          <w:sz w:val="22"/>
          <w:szCs w:val="22"/>
          <w:lang w:val="es-ES"/>
        </w:rPr>
      </w:pPr>
    </w:p>
    <w:p w14:paraId="1686EBD5"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111FAB5" w14:textId="77777777" w:rsidR="00CE0B4C" w:rsidRPr="007C0B21" w:rsidRDefault="00CE0B4C" w:rsidP="00147516">
      <w:pPr>
        <w:spacing w:line="360" w:lineRule="auto"/>
        <w:jc w:val="both"/>
        <w:rPr>
          <w:rFonts w:ascii="Palatino Linotype" w:hAnsi="Palatino Linotype" w:cs="Tahoma"/>
          <w:sz w:val="22"/>
          <w:szCs w:val="22"/>
        </w:rPr>
      </w:pPr>
    </w:p>
    <w:p w14:paraId="39CBD1AA"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B372D6A"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6ED6205C"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27A455FF"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6683D2C1"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A391C03"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2BF4A07E"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BDCFD9"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26DB9C03" w14:textId="77777777" w:rsidR="001E75D6" w:rsidRDefault="001E75D6" w:rsidP="001E75D6">
      <w:pPr>
        <w:spacing w:line="360" w:lineRule="auto"/>
        <w:jc w:val="both"/>
        <w:rPr>
          <w:rFonts w:ascii="Palatino Linotype" w:hAnsi="Palatino Linotype" w:cs="Tahoma"/>
          <w:sz w:val="22"/>
          <w:szCs w:val="22"/>
          <w:lang w:val="es-ES"/>
        </w:rPr>
      </w:pPr>
      <w:r w:rsidRPr="007C5905">
        <w:rPr>
          <w:rFonts w:ascii="Palatino Linotype" w:hAnsi="Palatino Linotype" w:cs="Tahoma"/>
          <w:sz w:val="22"/>
          <w:szCs w:val="22"/>
          <w:lang w:val="es-ES"/>
        </w:rPr>
        <w:t xml:space="preserve">Una vez establecido lo anterior, </w:t>
      </w:r>
      <w:r>
        <w:rPr>
          <w:rFonts w:ascii="Palatino Linotype" w:hAnsi="Palatino Linotype" w:cs="Tahoma"/>
          <w:sz w:val="22"/>
          <w:szCs w:val="22"/>
          <w:lang w:val="es-ES"/>
        </w:rPr>
        <w:t>es de recordar que el Particular al momento de ingresar su solicitud señaló que requería los documentos que acreditaran que se dio vista a la Contraloría y a la Consejería Jurídica cuando los daños de un “</w:t>
      </w:r>
      <w:r w:rsidRPr="001E75D6">
        <w:rPr>
          <w:rFonts w:ascii="Palatino Linotype" w:hAnsi="Palatino Linotype" w:cs="Tahoma"/>
          <w:i/>
          <w:sz w:val="22"/>
          <w:szCs w:val="22"/>
          <w:lang w:val="es-ES"/>
        </w:rPr>
        <w:t>v”</w:t>
      </w:r>
      <w:r>
        <w:rPr>
          <w:rFonts w:ascii="Palatino Linotype" w:hAnsi="Palatino Linotype" w:cs="Tahoma"/>
          <w:sz w:val="22"/>
          <w:szCs w:val="22"/>
          <w:lang w:val="es-ES"/>
        </w:rPr>
        <w:t>, sin embargo, de la revisión de la normatividad que el mismo citó es decir el artículo 5.195 del Código de Reglamentación Municipal de Metepec, se advierte que requiere la información de vehículos ya que dicho artículo establece lo siguiente:</w:t>
      </w:r>
    </w:p>
    <w:p w14:paraId="51FCF34F" w14:textId="77777777" w:rsidR="001E75D6" w:rsidRDefault="001E75D6" w:rsidP="001E75D6">
      <w:pPr>
        <w:spacing w:line="360" w:lineRule="auto"/>
        <w:jc w:val="both"/>
        <w:rPr>
          <w:rFonts w:ascii="Palatino Linotype" w:hAnsi="Palatino Linotype" w:cs="Tahoma"/>
          <w:sz w:val="22"/>
          <w:szCs w:val="22"/>
          <w:lang w:val="es-ES"/>
        </w:rPr>
      </w:pPr>
    </w:p>
    <w:p w14:paraId="700EFDD4" w14:textId="77777777" w:rsidR="001E75D6" w:rsidRPr="001E75D6" w:rsidRDefault="001E75D6" w:rsidP="001E75D6">
      <w:pPr>
        <w:spacing w:line="360" w:lineRule="auto"/>
        <w:ind w:left="567" w:right="539"/>
        <w:jc w:val="both"/>
        <w:rPr>
          <w:rFonts w:ascii="Palatino Linotype" w:hAnsi="Palatino Linotype" w:cs="Tahoma"/>
          <w:i/>
          <w:szCs w:val="22"/>
        </w:rPr>
      </w:pPr>
      <w:r w:rsidRPr="001E75D6">
        <w:rPr>
          <w:rFonts w:ascii="Palatino Linotype" w:hAnsi="Palatino Linotype" w:cs="Tahoma"/>
          <w:b/>
          <w:i/>
          <w:szCs w:val="22"/>
        </w:rPr>
        <w:t>Artículo 5.195.</w:t>
      </w:r>
      <w:r w:rsidRPr="001E75D6">
        <w:rPr>
          <w:rFonts w:ascii="Palatino Linotype" w:hAnsi="Palatino Linotype" w:cs="Tahoma"/>
          <w:i/>
          <w:szCs w:val="22"/>
        </w:rPr>
        <w:t>- Son obligaciones de la Dirección de Administración en materia de vehículos:</w:t>
      </w:r>
    </w:p>
    <w:p w14:paraId="0A2CAFF2" w14:textId="77777777" w:rsidR="001E75D6" w:rsidRDefault="001E75D6" w:rsidP="001E75D6">
      <w:pPr>
        <w:spacing w:line="360" w:lineRule="auto"/>
        <w:ind w:left="567" w:right="539"/>
        <w:jc w:val="both"/>
        <w:rPr>
          <w:rFonts w:ascii="Palatino Linotype" w:hAnsi="Palatino Linotype" w:cs="Tahoma"/>
          <w:i/>
          <w:szCs w:val="22"/>
        </w:rPr>
      </w:pPr>
      <w:r w:rsidRPr="001E75D6">
        <w:rPr>
          <w:rFonts w:ascii="Palatino Linotype" w:hAnsi="Palatino Linotype" w:cs="Tahoma"/>
          <w:i/>
          <w:szCs w:val="22"/>
        </w:rPr>
        <w:t>I. Elaborar y actualizar el programa de uso de vehículos;</w:t>
      </w:r>
    </w:p>
    <w:p w14:paraId="6F668930" w14:textId="77777777" w:rsidR="001E75D6" w:rsidRDefault="001E75D6" w:rsidP="001E75D6">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II a VI…</w:t>
      </w:r>
    </w:p>
    <w:p w14:paraId="4BA9F212" w14:textId="77777777" w:rsidR="001E75D6" w:rsidRPr="001E75D6" w:rsidRDefault="001E75D6" w:rsidP="001E75D6">
      <w:pPr>
        <w:spacing w:line="360" w:lineRule="auto"/>
        <w:ind w:left="567" w:right="539"/>
        <w:jc w:val="both"/>
        <w:rPr>
          <w:rFonts w:ascii="Palatino Linotype" w:hAnsi="Palatino Linotype" w:cs="Tahoma"/>
          <w:i/>
          <w:szCs w:val="22"/>
          <w:lang w:val="es-ES"/>
        </w:rPr>
      </w:pPr>
    </w:p>
    <w:p w14:paraId="51B86B4A" w14:textId="77777777" w:rsidR="00E02B06" w:rsidRDefault="00E02B06" w:rsidP="001E75D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Derivado de lo anterior, </w:t>
      </w:r>
      <w:r w:rsidR="001E75D6">
        <w:rPr>
          <w:rFonts w:ascii="Palatino Linotype" w:hAnsi="Palatino Linotype" w:cs="Tahoma"/>
          <w:sz w:val="22"/>
          <w:szCs w:val="22"/>
          <w:lang w:val="es-ES"/>
        </w:rPr>
        <w:t xml:space="preserve">el </w:t>
      </w:r>
      <w:r>
        <w:rPr>
          <w:rFonts w:ascii="Palatino Linotype" w:hAnsi="Palatino Linotype" w:cs="Tahoma"/>
          <w:sz w:val="22"/>
          <w:szCs w:val="22"/>
          <w:lang w:val="es-ES"/>
        </w:rPr>
        <w:t xml:space="preserve">Contralor Interno Municipal manifestó que después de realizar una búsqueda exhaustiva localizó el oficio CJM/846/2016, en el cual se hace del conocimiento a la </w:t>
      </w:r>
      <w:r>
        <w:rPr>
          <w:rFonts w:ascii="Palatino Linotype" w:hAnsi="Palatino Linotype" w:cs="Tahoma"/>
          <w:sz w:val="22"/>
          <w:szCs w:val="22"/>
          <w:lang w:val="es-ES"/>
        </w:rPr>
        <w:lastRenderedPageBreak/>
        <w:t>entonces Contralora respecto un percance vehicular, oficio que da cuenta de lo solicitado por el ahora Recurrente.</w:t>
      </w:r>
    </w:p>
    <w:p w14:paraId="2AF8CC0D" w14:textId="77777777" w:rsidR="001E75D6" w:rsidRDefault="001E75D6" w:rsidP="001E75D6">
      <w:pPr>
        <w:spacing w:line="360" w:lineRule="auto"/>
        <w:jc w:val="both"/>
        <w:rPr>
          <w:rFonts w:ascii="Palatino Linotype" w:hAnsi="Palatino Linotype" w:cs="Tahoma"/>
          <w:sz w:val="22"/>
          <w:szCs w:val="22"/>
          <w:lang w:val="es-ES"/>
        </w:rPr>
      </w:pPr>
    </w:p>
    <w:p w14:paraId="25B8E438" w14:textId="77777777" w:rsidR="001E75D6" w:rsidRPr="00C55D8B" w:rsidRDefault="00E02B06" w:rsidP="001E75D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Además</w:t>
      </w:r>
      <w:r w:rsidR="001E75D6" w:rsidRPr="00033B8E">
        <w:rPr>
          <w:rFonts w:ascii="Palatino Linotype" w:hAnsi="Palatino Linotype" w:cs="Tahoma"/>
          <w:bCs/>
          <w:iCs/>
          <w:sz w:val="22"/>
          <w:szCs w:val="22"/>
        </w:rPr>
        <w:t xml:space="preserve">, se colige que el Ente Recurrido, </w:t>
      </w:r>
      <w:r w:rsidR="001E75D6">
        <w:rPr>
          <w:rFonts w:ascii="Palatino Linotype" w:hAnsi="Palatino Linotype" w:cs="Tahoma"/>
          <w:bCs/>
          <w:iCs/>
          <w:sz w:val="22"/>
          <w:szCs w:val="22"/>
        </w:rPr>
        <w:t xml:space="preserve">turno la solicitud de acceso a la información a la unidad </w:t>
      </w:r>
      <w:r>
        <w:rPr>
          <w:rFonts w:ascii="Palatino Linotype" w:hAnsi="Palatino Linotype" w:cs="Tahoma"/>
          <w:bCs/>
          <w:iCs/>
          <w:sz w:val="22"/>
          <w:szCs w:val="22"/>
        </w:rPr>
        <w:t xml:space="preserve">administrativa </w:t>
      </w:r>
      <w:r w:rsidR="001E75D6">
        <w:rPr>
          <w:rFonts w:ascii="Palatino Linotype" w:hAnsi="Palatino Linotype" w:cs="Tahoma"/>
          <w:bCs/>
          <w:iCs/>
          <w:sz w:val="22"/>
          <w:szCs w:val="22"/>
        </w:rPr>
        <w:t>que pudiera haber contado con la información solicitada</w:t>
      </w:r>
      <w:r w:rsidR="001E75D6" w:rsidRPr="00033B8E">
        <w:rPr>
          <w:rFonts w:ascii="Palatino Linotype" w:hAnsi="Palatino Linotype" w:cs="Tahoma"/>
          <w:bCs/>
          <w:iCs/>
          <w:sz w:val="22"/>
          <w:szCs w:val="22"/>
        </w:rPr>
        <w:t xml:space="preserve">, </w:t>
      </w:r>
      <w:r w:rsidR="001E75D6">
        <w:rPr>
          <w:rFonts w:ascii="Palatino Linotype" w:hAnsi="Palatino Linotype" w:cs="Tahoma"/>
          <w:bCs/>
          <w:iCs/>
          <w:sz w:val="22"/>
          <w:szCs w:val="22"/>
        </w:rPr>
        <w:t>ya que el</w:t>
      </w:r>
      <w:r>
        <w:rPr>
          <w:rFonts w:ascii="Palatino Linotype" w:hAnsi="Palatino Linotype" w:cs="Tahoma"/>
          <w:bCs/>
          <w:iCs/>
          <w:sz w:val="22"/>
          <w:szCs w:val="22"/>
        </w:rPr>
        <w:t xml:space="preserve"> propio Particular requirió los oficios por medio de los cuales se le hizo del conocimiento el mal uso o negligencia de daños a un vehículo por parte de la Dirección de Administración o cualquier unidad administrativa,</w:t>
      </w:r>
      <w:r w:rsidR="001E75D6">
        <w:rPr>
          <w:rFonts w:ascii="Palatino Linotype" w:hAnsi="Palatino Linotype" w:cs="Tahoma"/>
          <w:bCs/>
          <w:iCs/>
          <w:sz w:val="22"/>
          <w:szCs w:val="22"/>
        </w:rPr>
        <w:t xml:space="preserve"> </w:t>
      </w:r>
      <w:r>
        <w:rPr>
          <w:rFonts w:ascii="Palatino Linotype" w:hAnsi="Palatino Linotype" w:cs="Tahoma"/>
          <w:bCs/>
          <w:iCs/>
          <w:sz w:val="22"/>
          <w:szCs w:val="22"/>
        </w:rPr>
        <w:t xml:space="preserve">además de que el </w:t>
      </w:r>
      <w:r w:rsidR="001E75D6">
        <w:rPr>
          <w:rFonts w:ascii="Palatino Linotype" w:hAnsi="Palatino Linotype" w:cs="Tahoma"/>
          <w:bCs/>
          <w:iCs/>
          <w:sz w:val="22"/>
          <w:szCs w:val="22"/>
        </w:rPr>
        <w:t xml:space="preserve">artículo </w:t>
      </w:r>
      <w:r>
        <w:rPr>
          <w:rFonts w:ascii="Palatino Linotype" w:hAnsi="Palatino Linotype" w:cs="Tahoma"/>
          <w:bCs/>
          <w:iCs/>
          <w:sz w:val="22"/>
          <w:szCs w:val="22"/>
        </w:rPr>
        <w:t xml:space="preserve">3.63 del Código Reglamentario Municipal de Metepec señala que la contraloría Municipal tiene a su cargo </w:t>
      </w:r>
      <w:r w:rsidR="00C55D8B" w:rsidRPr="00C55D8B">
        <w:rPr>
          <w:rFonts w:ascii="Palatino Linotype" w:hAnsi="Palatino Linotype" w:cs="Tahoma"/>
          <w:bCs/>
          <w:iCs/>
          <w:sz w:val="22"/>
          <w:szCs w:val="22"/>
        </w:rPr>
        <w:t>el control y evaluación de la administración pública municipal; y lo relativo a las obligaciones y conductas de los servidores públicos que la integran conforme a las disposiciones jurídico administrativas aplicables</w:t>
      </w:r>
      <w:r w:rsidR="001E75D6">
        <w:rPr>
          <w:rFonts w:ascii="Palatino Linotype" w:hAnsi="Palatino Linotype" w:cs="Tahoma"/>
          <w:bCs/>
          <w:iCs/>
          <w:sz w:val="22"/>
          <w:szCs w:val="22"/>
        </w:rPr>
        <w:t xml:space="preserve">, además de las manifestaciones realizadas por el Sujeto Obligado </w:t>
      </w:r>
      <w:r w:rsidR="001E75D6" w:rsidRPr="005B3636">
        <w:rPr>
          <w:rFonts w:ascii="Palatino Linotype" w:hAnsi="Palatino Linotype" w:cs="Tahoma"/>
          <w:sz w:val="22"/>
          <w:szCs w:val="24"/>
        </w:rPr>
        <w:t>este Órgano Garante no está facultado para manifestarse sobre la veracidad de lo afirmado pues no existe precepto legal alguno en la Ley de la materia que lo faculte para ello</w:t>
      </w:r>
      <w:r w:rsidR="001E75D6">
        <w:rPr>
          <w:rFonts w:ascii="Palatino Linotype" w:hAnsi="Palatino Linotype" w:cs="Tahoma"/>
          <w:sz w:val="22"/>
          <w:szCs w:val="24"/>
        </w:rPr>
        <w:t xml:space="preserve">, situación que </w:t>
      </w:r>
      <w:r w:rsidR="001E75D6"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117F57C" w14:textId="77777777" w:rsidR="001E75D6" w:rsidRPr="005B3636" w:rsidRDefault="001E75D6" w:rsidP="001E75D6">
      <w:pPr>
        <w:spacing w:line="360" w:lineRule="auto"/>
        <w:jc w:val="both"/>
        <w:rPr>
          <w:rFonts w:ascii="Palatino Linotype" w:hAnsi="Palatino Linotype" w:cs="Tahoma"/>
          <w:sz w:val="22"/>
          <w:szCs w:val="24"/>
        </w:rPr>
      </w:pPr>
    </w:p>
    <w:p w14:paraId="4F317847" w14:textId="77777777" w:rsidR="001E75D6" w:rsidRPr="000C748E" w:rsidRDefault="001E75D6" w:rsidP="001E75D6">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w:t>
      </w:r>
      <w:r w:rsidRPr="000C748E">
        <w:rPr>
          <w:rFonts w:ascii="Palatino Linotype" w:hAnsi="Palatino Linotype" w:cs="Tahoma"/>
          <w:i/>
          <w:szCs w:val="24"/>
        </w:rPr>
        <w:lastRenderedPageBreak/>
        <w:t>Federal de Transparencia y Acceso a la Información Pública Gubernamental no se prevé una causal que permita al Instituto Federal de Acceso a la Información y Protección de Datos conocer, vía recurso revisión, al respecto.”</w:t>
      </w:r>
    </w:p>
    <w:p w14:paraId="37E01AA7" w14:textId="77777777" w:rsidR="001E75D6" w:rsidRDefault="001E75D6" w:rsidP="001E75D6">
      <w:pPr>
        <w:spacing w:line="360" w:lineRule="auto"/>
        <w:ind w:right="-93"/>
        <w:jc w:val="both"/>
        <w:rPr>
          <w:rFonts w:ascii="Palatino Linotype" w:hAnsi="Palatino Linotype" w:cs="Tahoma"/>
          <w:bCs/>
          <w:iCs/>
          <w:sz w:val="22"/>
          <w:szCs w:val="22"/>
        </w:rPr>
      </w:pPr>
    </w:p>
    <w:p w14:paraId="2B6B50DC" w14:textId="77777777" w:rsidR="001E75D6" w:rsidRPr="00401946" w:rsidRDefault="001E75D6" w:rsidP="001E75D6">
      <w:pPr>
        <w:spacing w:line="360" w:lineRule="auto"/>
        <w:ind w:right="-93"/>
        <w:jc w:val="both"/>
        <w:rPr>
          <w:rFonts w:ascii="Palatino Linotype" w:eastAsia="Calibri" w:hAnsi="Palatino Linotype" w:cs="Tahoma"/>
          <w:iCs/>
          <w:sz w:val="22"/>
          <w:szCs w:val="22"/>
          <w:lang w:val="es-ES" w:eastAsia="es-ES_tradnl"/>
        </w:rPr>
      </w:pPr>
      <w:r>
        <w:rPr>
          <w:rFonts w:ascii="Palatino Linotype" w:hAnsi="Palatino Linotype" w:cs="Tahoma"/>
          <w:bCs/>
          <w:iCs/>
          <w:sz w:val="22"/>
          <w:szCs w:val="22"/>
        </w:rPr>
        <w:t xml:space="preserve">Aunado a lo anterior, </w:t>
      </w:r>
      <w:r w:rsidRPr="00401946">
        <w:rPr>
          <w:rFonts w:ascii="Palatino Linotype" w:eastAsia="Calibri" w:hAnsi="Palatino Linotype" w:cs="Tahoma"/>
          <w:iCs/>
          <w:sz w:val="22"/>
          <w:szCs w:val="22"/>
          <w:lang w:val="es-ES" w:eastAsia="es-ES_tradnl"/>
        </w:rPr>
        <w:t xml:space="preserve">se colige que los sujetos obligados únicamente están constreñidos a proporcionar la documentación que obre en sus archivos; por lo que, no están obligados a generar o elaborar documentos </w:t>
      </w:r>
      <w:r w:rsidRPr="00401946">
        <w:rPr>
          <w:rFonts w:ascii="Palatino Linotype" w:eastAsia="Calibri" w:hAnsi="Palatino Linotype" w:cs="Tahoma"/>
          <w:i/>
          <w:iCs/>
          <w:sz w:val="22"/>
          <w:szCs w:val="22"/>
          <w:lang w:val="es-ES" w:eastAsia="es-ES_tradnl"/>
        </w:rPr>
        <w:t>Ad hoc,</w:t>
      </w:r>
      <w:r w:rsidRPr="00401946">
        <w:rPr>
          <w:rFonts w:ascii="Palatino Linotype" w:eastAsia="Calibri" w:hAnsi="Palatino Linotype" w:cs="Tahoma"/>
          <w:iCs/>
          <w:sz w:val="22"/>
          <w:szCs w:val="22"/>
          <w:lang w:val="es-ES" w:eastAsia="es-ES_tradnl"/>
        </w:rPr>
        <w:t xml:space="preserve"> robustece lo anterior el Criterio 3/17 del Instituto Nacional de Transparencia, Acceso a la Información y Protección de Datos Personales que a continuación se cita:</w:t>
      </w:r>
    </w:p>
    <w:p w14:paraId="4F09D9BE" w14:textId="77777777" w:rsidR="001E75D6" w:rsidRPr="00401946" w:rsidRDefault="001E75D6" w:rsidP="001E75D6">
      <w:pPr>
        <w:tabs>
          <w:tab w:val="left" w:pos="4962"/>
        </w:tabs>
        <w:spacing w:line="360" w:lineRule="auto"/>
        <w:jc w:val="both"/>
        <w:rPr>
          <w:rFonts w:ascii="Palatino Linotype" w:eastAsia="Calibri" w:hAnsi="Palatino Linotype" w:cs="Tahoma"/>
          <w:iCs/>
          <w:sz w:val="22"/>
          <w:szCs w:val="22"/>
          <w:lang w:val="es-ES" w:eastAsia="es-ES_tradnl"/>
        </w:rPr>
      </w:pPr>
    </w:p>
    <w:p w14:paraId="47F33559" w14:textId="77777777" w:rsidR="001E75D6" w:rsidRPr="00401946" w:rsidRDefault="001E75D6" w:rsidP="001E75D6">
      <w:pPr>
        <w:spacing w:line="360" w:lineRule="auto"/>
        <w:ind w:left="567" w:right="567"/>
        <w:jc w:val="both"/>
        <w:rPr>
          <w:rFonts w:ascii="Palatino Linotype" w:eastAsia="Arial" w:hAnsi="Palatino Linotype" w:cs="Arial"/>
          <w:i/>
          <w:szCs w:val="22"/>
        </w:rPr>
      </w:pPr>
      <w:r w:rsidRPr="00401946">
        <w:rPr>
          <w:rFonts w:ascii="Palatino Linotype" w:eastAsia="Arial" w:hAnsi="Palatino Linotype" w:cs="Arial"/>
          <w:b/>
          <w:i/>
          <w:szCs w:val="22"/>
        </w:rPr>
        <w:t xml:space="preserve">No existe obligación de elaborar </w:t>
      </w:r>
      <w:r w:rsidRPr="00401946">
        <w:rPr>
          <w:rFonts w:ascii="Palatino Linotype" w:eastAsia="Arial" w:hAnsi="Palatino Linotype" w:cs="Arial"/>
          <w:b/>
          <w:i/>
          <w:spacing w:val="-3"/>
          <w:szCs w:val="22"/>
        </w:rPr>
        <w:t>d</w:t>
      </w:r>
      <w:r w:rsidRPr="00401946">
        <w:rPr>
          <w:rFonts w:ascii="Palatino Linotype" w:eastAsia="Arial" w:hAnsi="Palatino Linotype" w:cs="Arial"/>
          <w:b/>
          <w:i/>
          <w:szCs w:val="22"/>
        </w:rPr>
        <w:t>ocum</w:t>
      </w:r>
      <w:r w:rsidRPr="00401946">
        <w:rPr>
          <w:rFonts w:ascii="Palatino Linotype" w:eastAsia="Arial" w:hAnsi="Palatino Linotype" w:cs="Arial"/>
          <w:b/>
          <w:i/>
          <w:spacing w:val="1"/>
          <w:szCs w:val="22"/>
        </w:rPr>
        <w:t>e</w:t>
      </w:r>
      <w:r w:rsidRPr="00401946">
        <w:rPr>
          <w:rFonts w:ascii="Palatino Linotype" w:eastAsia="Arial" w:hAnsi="Palatino Linotype" w:cs="Arial"/>
          <w:b/>
          <w:i/>
          <w:szCs w:val="22"/>
        </w:rPr>
        <w:t>n</w:t>
      </w:r>
      <w:r w:rsidRPr="00401946">
        <w:rPr>
          <w:rFonts w:ascii="Palatino Linotype" w:eastAsia="Arial" w:hAnsi="Palatino Linotype" w:cs="Arial"/>
          <w:b/>
          <w:i/>
          <w:spacing w:val="-1"/>
          <w:szCs w:val="22"/>
        </w:rPr>
        <w:t>t</w:t>
      </w:r>
      <w:r w:rsidRPr="00401946">
        <w:rPr>
          <w:rFonts w:ascii="Palatino Linotype" w:eastAsia="Arial" w:hAnsi="Palatino Linotype" w:cs="Arial"/>
          <w:b/>
          <w:i/>
          <w:szCs w:val="22"/>
        </w:rPr>
        <w:t xml:space="preserve">os </w:t>
      </w:r>
      <w:r w:rsidRPr="00401946">
        <w:rPr>
          <w:rFonts w:ascii="Palatino Linotype" w:eastAsia="Arial" w:hAnsi="Palatino Linotype" w:cs="Arial"/>
          <w:b/>
          <w:i/>
          <w:spacing w:val="-1"/>
          <w:szCs w:val="22"/>
        </w:rPr>
        <w:t xml:space="preserve">ad </w:t>
      </w:r>
      <w:r w:rsidRPr="00401946">
        <w:rPr>
          <w:rFonts w:ascii="Palatino Linotype" w:eastAsia="Arial" w:hAnsi="Palatino Linotype" w:cs="Arial"/>
          <w:b/>
          <w:i/>
          <w:szCs w:val="22"/>
        </w:rPr>
        <w:t>hoc para atender las sol</w:t>
      </w:r>
      <w:r w:rsidRPr="00401946">
        <w:rPr>
          <w:rFonts w:ascii="Palatino Linotype" w:eastAsia="Arial" w:hAnsi="Palatino Linotype" w:cs="Arial"/>
          <w:b/>
          <w:i/>
          <w:spacing w:val="-2"/>
          <w:szCs w:val="22"/>
        </w:rPr>
        <w:t>i</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 xml:space="preserve">itudes de </w:t>
      </w:r>
      <w:r w:rsidRPr="00401946">
        <w:rPr>
          <w:rFonts w:ascii="Palatino Linotype" w:eastAsia="Arial" w:hAnsi="Palatino Linotype" w:cs="Arial"/>
          <w:b/>
          <w:i/>
          <w:spacing w:val="1"/>
          <w:szCs w:val="22"/>
        </w:rPr>
        <w:t>ac</w:t>
      </w:r>
      <w:r w:rsidRPr="00401946">
        <w:rPr>
          <w:rFonts w:ascii="Palatino Linotype" w:eastAsia="Arial" w:hAnsi="Palatino Linotype" w:cs="Arial"/>
          <w:b/>
          <w:i/>
          <w:spacing w:val="-1"/>
          <w:szCs w:val="22"/>
        </w:rPr>
        <w:t>c</w:t>
      </w:r>
      <w:r w:rsidRPr="00401946">
        <w:rPr>
          <w:rFonts w:ascii="Palatino Linotype" w:eastAsia="Arial" w:hAnsi="Palatino Linotype" w:cs="Arial"/>
          <w:b/>
          <w:i/>
          <w:spacing w:val="1"/>
          <w:szCs w:val="22"/>
        </w:rPr>
        <w:t>es</w:t>
      </w:r>
      <w:r w:rsidRPr="00401946">
        <w:rPr>
          <w:rFonts w:ascii="Palatino Linotype" w:eastAsia="Arial" w:hAnsi="Palatino Linotype" w:cs="Arial"/>
          <w:b/>
          <w:i/>
          <w:szCs w:val="22"/>
        </w:rPr>
        <w:t>o a la informa</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ió</w:t>
      </w:r>
      <w:r w:rsidRPr="00401946">
        <w:rPr>
          <w:rFonts w:ascii="Palatino Linotype" w:eastAsia="Arial" w:hAnsi="Palatino Linotype" w:cs="Arial"/>
          <w:b/>
          <w:i/>
          <w:spacing w:val="-2"/>
          <w:szCs w:val="22"/>
        </w:rPr>
        <w:t>n</w:t>
      </w:r>
      <w:r w:rsidRPr="00401946">
        <w:rPr>
          <w:rFonts w:ascii="Palatino Linotype" w:eastAsia="Arial" w:hAnsi="Palatino Linotype" w:cs="Arial"/>
          <w:b/>
          <w:i/>
          <w:szCs w:val="22"/>
        </w:rPr>
        <w:t xml:space="preserve">. </w:t>
      </w:r>
      <w:r w:rsidRPr="00401946">
        <w:rPr>
          <w:rFonts w:ascii="Palatino Linotype" w:eastAsia="Arial" w:hAnsi="Palatino Linotype" w:cs="Arial"/>
          <w:i/>
          <w:spacing w:val="18"/>
          <w:szCs w:val="22"/>
        </w:rPr>
        <w:t>L</w:t>
      </w:r>
      <w:r w:rsidRPr="00401946">
        <w:rPr>
          <w:rFonts w:ascii="Palatino Linotype" w:eastAsia="Arial" w:hAnsi="Palatino Linotype" w:cs="Arial"/>
          <w:i/>
          <w:spacing w:val="-1"/>
          <w:szCs w:val="22"/>
        </w:rPr>
        <w:t xml:space="preserve">os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rt</w:t>
      </w:r>
      <w:r w:rsidRPr="00401946">
        <w:rPr>
          <w:rFonts w:ascii="Palatino Linotype" w:eastAsia="Arial" w:hAnsi="Palatino Linotype" w:cs="Arial"/>
          <w:i/>
          <w:spacing w:val="-2"/>
          <w:szCs w:val="22"/>
        </w:rPr>
        <w:t>í</w:t>
      </w:r>
      <w:r w:rsidRPr="00401946">
        <w:rPr>
          <w:rFonts w:ascii="Palatino Linotype" w:eastAsia="Arial" w:hAnsi="Palatino Linotype" w:cs="Arial"/>
          <w:i/>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los</w:t>
      </w:r>
      <w:r w:rsidRPr="00401946">
        <w:rPr>
          <w:rFonts w:ascii="Palatino Linotype" w:eastAsia="Arial" w:hAnsi="Palatino Linotype" w:cs="Arial"/>
          <w:i/>
          <w:spacing w:val="8"/>
          <w:szCs w:val="22"/>
        </w:rPr>
        <w:t xml:space="preserve"> 129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 xml:space="preserve">y General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y </w:t>
      </w:r>
      <w:r w:rsidRPr="00401946">
        <w:rPr>
          <w:rFonts w:ascii="Palatino Linotype" w:eastAsia="Arial" w:hAnsi="Palatino Linotype" w:cs="Arial"/>
          <w:i/>
          <w:spacing w:val="8"/>
          <w:szCs w:val="22"/>
        </w:rPr>
        <w:t xml:space="preserve">130, párrafo cuarto,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y Fe</w:t>
      </w:r>
      <w:r w:rsidRPr="00401946">
        <w:rPr>
          <w:rFonts w:ascii="Palatino Linotype" w:eastAsia="Arial" w:hAnsi="Palatino Linotype" w:cs="Arial"/>
          <w:i/>
          <w:spacing w:val="1"/>
          <w:szCs w:val="22"/>
        </w:rPr>
        <w:t>de</w:t>
      </w:r>
      <w:r w:rsidRPr="00401946">
        <w:rPr>
          <w:rFonts w:ascii="Palatino Linotype" w:eastAsia="Arial" w:hAnsi="Palatino Linotype" w:cs="Arial"/>
          <w:i/>
          <w:szCs w:val="22"/>
        </w:rPr>
        <w:t xml:space="preserv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w:t>
      </w:r>
      <w:r w:rsidRPr="00401946">
        <w:rPr>
          <w:rFonts w:ascii="Palatino Linotype" w:eastAsia="Arial" w:hAnsi="Palatino Linotype" w:cs="Arial"/>
          <w:i/>
          <w:spacing w:val="-1"/>
          <w:szCs w:val="22"/>
        </w:rPr>
        <w:t>señalan q</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eastAsia="Arial" w:hAnsi="Palatino Linotype" w:cs="Arial"/>
          <w:i/>
          <w:spacing w:val="-1"/>
          <w:szCs w:val="22"/>
        </w:rPr>
        <w:t xml:space="preserve"> sin necesidad de</w:t>
      </w:r>
      <w:r w:rsidRPr="00401946">
        <w:rPr>
          <w:rFonts w:ascii="Palatino Linotype" w:eastAsia="Arial" w:hAnsi="Palatino Linotype" w:cs="Arial"/>
          <w:i/>
          <w:spacing w:val="1"/>
          <w:szCs w:val="22"/>
        </w:rPr>
        <w:t xml:space="preserve"> e</w:t>
      </w:r>
      <w:r w:rsidRPr="00401946">
        <w:rPr>
          <w:rFonts w:ascii="Palatino Linotype" w:eastAsia="Arial" w:hAnsi="Palatino Linotype" w:cs="Arial"/>
          <w:i/>
          <w:szCs w:val="22"/>
        </w:rPr>
        <w:t>la</w:t>
      </w:r>
      <w:r w:rsidRPr="00401946">
        <w:rPr>
          <w:rFonts w:ascii="Palatino Linotype" w:eastAsia="Arial" w:hAnsi="Palatino Linotype" w:cs="Arial"/>
          <w:i/>
          <w:spacing w:val="1"/>
          <w:szCs w:val="22"/>
        </w:rPr>
        <w:t>bo</w:t>
      </w:r>
      <w:r w:rsidRPr="00401946">
        <w:rPr>
          <w:rFonts w:ascii="Palatino Linotype" w:eastAsia="Arial" w:hAnsi="Palatino Linotype" w:cs="Arial"/>
          <w:i/>
          <w:szCs w:val="22"/>
        </w:rPr>
        <w:t xml:space="preserve">rar </w:t>
      </w:r>
      <w:r w:rsidRPr="00401946">
        <w:rPr>
          <w:rFonts w:ascii="Palatino Linotype" w:eastAsia="Arial" w:hAnsi="Palatino Linotype" w:cs="Arial"/>
          <w:i/>
          <w:spacing w:val="1"/>
          <w:szCs w:val="22"/>
        </w:rPr>
        <w:t>do</w:t>
      </w:r>
      <w:r w:rsidRPr="00401946">
        <w:rPr>
          <w:rFonts w:ascii="Palatino Linotype" w:eastAsia="Arial" w:hAnsi="Palatino Linotype" w:cs="Arial"/>
          <w:i/>
          <w:spacing w:val="-2"/>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en</w:t>
      </w:r>
      <w:r w:rsidRPr="00401946">
        <w:rPr>
          <w:rFonts w:ascii="Palatino Linotype" w:eastAsia="Arial" w:hAnsi="Palatino Linotype" w:cs="Arial"/>
          <w:i/>
          <w:spacing w:val="-2"/>
          <w:szCs w:val="22"/>
        </w:rPr>
        <w:t>t</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d</w:t>
      </w:r>
      <w:r w:rsidRPr="00401946">
        <w:rPr>
          <w:rFonts w:ascii="Palatino Linotype" w:eastAsia="Arial" w:hAnsi="Palatino Linotype" w:cs="Arial"/>
          <w:i/>
          <w:spacing w:val="1"/>
          <w:szCs w:val="22"/>
        </w:rPr>
        <w:t xml:space="preserve"> ho</w:t>
      </w:r>
      <w:r w:rsidRPr="00401946">
        <w:rPr>
          <w:rFonts w:ascii="Palatino Linotype" w:eastAsia="Arial" w:hAnsi="Palatino Linotype" w:cs="Arial"/>
          <w:i/>
          <w:szCs w:val="22"/>
        </w:rPr>
        <w:t xml:space="preserve">c </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 xml:space="preserve">ra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t</w:t>
      </w:r>
      <w:r w:rsidRPr="00401946">
        <w:rPr>
          <w:rFonts w:ascii="Palatino Linotype" w:eastAsia="Arial" w:hAnsi="Palatino Linotype" w:cs="Arial"/>
          <w:i/>
          <w:spacing w:val="-1"/>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pacing w:val="-1"/>
          <w:szCs w:val="22"/>
        </w:rPr>
        <w:t>d</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r l</w:t>
      </w:r>
      <w:r w:rsidRPr="00401946">
        <w:rPr>
          <w:rFonts w:ascii="Palatino Linotype" w:eastAsia="Arial" w:hAnsi="Palatino Linotype" w:cs="Arial"/>
          <w:i/>
          <w:spacing w:val="-2"/>
          <w:szCs w:val="22"/>
        </w:rPr>
        <w:t>a</w:t>
      </w:r>
      <w:r w:rsidRPr="00401946">
        <w:rPr>
          <w:rFonts w:ascii="Palatino Linotype" w:eastAsia="Arial" w:hAnsi="Palatino Linotype" w:cs="Arial"/>
          <w:i/>
          <w:szCs w:val="22"/>
        </w:rPr>
        <w:t>s s</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cit</w:t>
      </w:r>
      <w:r w:rsidRPr="00401946">
        <w:rPr>
          <w:rFonts w:ascii="Palatino Linotype" w:eastAsia="Arial" w:hAnsi="Palatino Linotype" w:cs="Arial"/>
          <w:i/>
          <w:spacing w:val="1"/>
          <w:szCs w:val="22"/>
        </w:rPr>
        <w:t>ude</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e i</w:t>
      </w:r>
      <w:r w:rsidRPr="00401946">
        <w:rPr>
          <w:rFonts w:ascii="Palatino Linotype" w:eastAsia="Arial" w:hAnsi="Palatino Linotype" w:cs="Arial"/>
          <w:i/>
          <w:spacing w:val="-2"/>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r</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ció</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w:t>
      </w:r>
    </w:p>
    <w:p w14:paraId="585283AD" w14:textId="77777777" w:rsidR="001E75D6" w:rsidRPr="00401946" w:rsidRDefault="001E75D6" w:rsidP="001E75D6">
      <w:pPr>
        <w:spacing w:line="360" w:lineRule="auto"/>
        <w:jc w:val="both"/>
        <w:rPr>
          <w:rFonts w:ascii="Palatino Linotype" w:eastAsia="Calibri" w:hAnsi="Palatino Linotype" w:cs="Tahoma"/>
          <w:sz w:val="22"/>
          <w:szCs w:val="22"/>
          <w:lang w:eastAsia="es-ES_tradnl"/>
        </w:rPr>
      </w:pPr>
    </w:p>
    <w:p w14:paraId="709276B6" w14:textId="77777777" w:rsidR="001E75D6" w:rsidRPr="00CB112F" w:rsidRDefault="001E75D6" w:rsidP="001E75D6">
      <w:pPr>
        <w:spacing w:line="360" w:lineRule="auto"/>
        <w:jc w:val="both"/>
        <w:rPr>
          <w:rFonts w:ascii="Palatino Linotype" w:hAnsi="Palatino Linotype" w:cs="Tahoma"/>
          <w:sz w:val="22"/>
          <w:szCs w:val="22"/>
        </w:rPr>
      </w:pPr>
      <w:r>
        <w:rPr>
          <w:rFonts w:ascii="Palatino Linotype" w:hAnsi="Palatino Linotype" w:cs="Tahoma"/>
          <w:sz w:val="22"/>
          <w:szCs w:val="22"/>
          <w:lang w:val="es-ES"/>
        </w:rPr>
        <w:t>Por lo que, los sujetos obligados únicamente proporcionan los documentos que den cuenta de la información solicitada, como obren en sus archivos, sin tener que elaborarlos a las necesidades del Recurrente, de</w:t>
      </w:r>
      <w:r w:rsidRPr="00CB112F">
        <w:rPr>
          <w:rFonts w:ascii="Palatino Linotype" w:hAnsi="Palatino Linotype" w:cs="Tahoma"/>
          <w:sz w:val="22"/>
          <w:szCs w:val="22"/>
        </w:rPr>
        <w:t xml:space="preserve"> tal suerte, se advierte que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w:t>
      </w:r>
      <w:r w:rsidRPr="00CB112F">
        <w:rPr>
          <w:rFonts w:ascii="Palatino Linotype" w:hAnsi="Palatino Linotype" w:cs="Tahoma"/>
          <w:sz w:val="22"/>
          <w:szCs w:val="22"/>
        </w:rPr>
        <w:lastRenderedPageBreak/>
        <w:t>de transparencia deberán garantizar que las solicitudes se turnen a todas las áreas competentes.</w:t>
      </w:r>
    </w:p>
    <w:p w14:paraId="3DE10F6A" w14:textId="77777777" w:rsidR="001E75D6" w:rsidRDefault="001E75D6" w:rsidP="001E75D6">
      <w:pPr>
        <w:spacing w:line="360" w:lineRule="auto"/>
        <w:ind w:right="-93"/>
        <w:jc w:val="both"/>
        <w:rPr>
          <w:rFonts w:ascii="Palatino Linotype" w:hAnsi="Palatino Linotype" w:cs="Tahoma"/>
          <w:sz w:val="22"/>
          <w:szCs w:val="22"/>
        </w:rPr>
      </w:pPr>
    </w:p>
    <w:p w14:paraId="7E19338A" w14:textId="77777777" w:rsidR="001E75D6" w:rsidRDefault="001E75D6" w:rsidP="001E75D6">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Es necesario aclarar, que los motivos de inconformidad por parte del Recurrente versan en que su solicitud no fue atendida en términos del Título Sexto y Séptimo, de la Ley de Transparencia y Acceso a la Información Pública del Estado de México y Municipios, sin embargo, como ya se señaló el Ayuntamiento atendió de manera correcta su solicitud al turnarla al servidor público que pudiera haber contado con la información, además de que no era necesario clasificarla por no contener datos personales ni encuadrar en algún supuesto de reserva. </w:t>
      </w:r>
      <w:r w:rsidRPr="00CB112F">
        <w:rPr>
          <w:rFonts w:ascii="Palatino Linotype" w:hAnsi="Palatino Linotype" w:cs="Tahoma"/>
          <w:sz w:val="22"/>
          <w:szCs w:val="22"/>
        </w:rPr>
        <w:t xml:space="preserve">En relación con lo anterior, se entiende que el Sujeto Obligado </w:t>
      </w:r>
      <w:r>
        <w:rPr>
          <w:rFonts w:ascii="Palatino Linotype" w:hAnsi="Palatino Linotype" w:cs="Tahoma"/>
          <w:sz w:val="22"/>
          <w:szCs w:val="22"/>
        </w:rPr>
        <w:t>atendió la solicitud de acceso a la información</w:t>
      </w:r>
      <w:r w:rsidRPr="00CB112F">
        <w:rPr>
          <w:rFonts w:ascii="Palatino Linotype" w:hAnsi="Palatino Linotype" w:cs="Tahoma"/>
          <w:sz w:val="22"/>
          <w:szCs w:val="22"/>
        </w:rPr>
        <w:t>,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27DB33C3" w14:textId="77777777" w:rsidR="001E75D6" w:rsidRPr="00CF2B2C" w:rsidRDefault="001E75D6" w:rsidP="001E75D6">
      <w:pPr>
        <w:spacing w:line="360" w:lineRule="auto"/>
        <w:ind w:right="-93"/>
        <w:jc w:val="both"/>
        <w:rPr>
          <w:rFonts w:ascii="Palatino Linotype" w:hAnsi="Palatino Linotype" w:cs="Tahoma"/>
          <w:b/>
          <w:sz w:val="22"/>
          <w:szCs w:val="22"/>
        </w:rPr>
      </w:pPr>
    </w:p>
    <w:p w14:paraId="1F5D98C8" w14:textId="77777777" w:rsidR="001E75D6" w:rsidRDefault="001E75D6" w:rsidP="001E75D6">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64BAFB6F" w14:textId="77777777" w:rsidR="001E75D6" w:rsidRPr="00CB26C0" w:rsidRDefault="001E75D6" w:rsidP="001E75D6">
      <w:pPr>
        <w:spacing w:line="360" w:lineRule="auto"/>
        <w:jc w:val="both"/>
        <w:rPr>
          <w:rFonts w:ascii="Palatino Linotype" w:hAnsi="Palatino Linotype" w:cs="Tahoma"/>
          <w:b/>
          <w:sz w:val="22"/>
          <w:szCs w:val="22"/>
          <w:lang w:val="es-ES"/>
        </w:rPr>
      </w:pPr>
    </w:p>
    <w:p w14:paraId="744CB5CD" w14:textId="77777777" w:rsidR="001E75D6" w:rsidRDefault="001E75D6" w:rsidP="001E75D6">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14:paraId="3DE76991" w14:textId="77777777" w:rsidR="000C0396" w:rsidRDefault="000C0396" w:rsidP="000C0396">
      <w:pPr>
        <w:spacing w:line="360" w:lineRule="auto"/>
        <w:ind w:right="-93"/>
        <w:jc w:val="both"/>
        <w:rPr>
          <w:rFonts w:ascii="Palatino Linotype" w:eastAsia="Palatino Linotype" w:hAnsi="Palatino Linotype" w:cs="Palatino Linotype"/>
          <w:sz w:val="22"/>
          <w:szCs w:val="22"/>
        </w:rPr>
      </w:pPr>
    </w:p>
    <w:p w14:paraId="71C9AF52" w14:textId="77777777" w:rsidR="000C0396" w:rsidRPr="00282260" w:rsidRDefault="000C0396" w:rsidP="000C0396">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6157E036" w14:textId="77777777" w:rsidR="00243777" w:rsidRDefault="00243777" w:rsidP="000C0396">
      <w:pPr>
        <w:spacing w:line="360" w:lineRule="auto"/>
        <w:contextualSpacing/>
        <w:jc w:val="both"/>
        <w:rPr>
          <w:rFonts w:ascii="Palatino Linotype" w:eastAsia="Calibri" w:hAnsi="Palatino Linotype" w:cs="Tahoma"/>
          <w:iCs/>
          <w:sz w:val="22"/>
          <w:szCs w:val="22"/>
          <w:lang w:val="es-ES" w:eastAsia="es-ES_tradnl"/>
        </w:rPr>
      </w:pPr>
    </w:p>
    <w:p w14:paraId="0341688A" w14:textId="77777777" w:rsidR="000C0396" w:rsidRDefault="000C0396" w:rsidP="000C0396">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sidRPr="006731B4">
        <w:rPr>
          <w:rFonts w:ascii="Palatino Linotype" w:eastAsia="Calibri" w:hAnsi="Palatino Linotype" w:cs="Tahoma"/>
          <w:b/>
          <w:iCs/>
          <w:sz w:val="22"/>
          <w:szCs w:val="22"/>
          <w:lang w:val="es-ES" w:eastAsia="es-ES_tradnl"/>
        </w:rPr>
        <w:t>confirmar</w:t>
      </w:r>
      <w:r>
        <w:rPr>
          <w:rFonts w:ascii="Palatino Linotype" w:eastAsia="Calibri" w:hAnsi="Palatino Linotype" w:cs="Tahoma"/>
          <w:iCs/>
          <w:sz w:val="22"/>
          <w:szCs w:val="22"/>
          <w:lang w:val="es-ES" w:eastAsia="es-ES_tradnl"/>
        </w:rPr>
        <w:t xml:space="preserve"> la respuesta que le entregó el </w:t>
      </w:r>
      <w:r w:rsidR="00DF5CF5">
        <w:rPr>
          <w:rFonts w:ascii="Palatino Linotype" w:eastAsia="Calibri" w:hAnsi="Palatino Linotype" w:cs="Tahoma"/>
          <w:iCs/>
          <w:sz w:val="22"/>
          <w:szCs w:val="22"/>
          <w:lang w:val="es-ES" w:eastAsia="es-ES_tradnl"/>
        </w:rPr>
        <w:t>Ayuntamiento de Metepec</w:t>
      </w:r>
      <w:r>
        <w:rPr>
          <w:rFonts w:ascii="Palatino Linotype" w:eastAsia="Calibri" w:hAnsi="Palatino Linotype" w:cs="Tahoma"/>
          <w:iCs/>
          <w:sz w:val="22"/>
          <w:szCs w:val="22"/>
          <w:lang w:val="es-ES" w:eastAsia="es-ES_tradnl"/>
        </w:rPr>
        <w:t xml:space="preserve"> a su solicitud de acceso, toda vez que se le hizo saber </w:t>
      </w:r>
      <w:r w:rsidR="008209BE">
        <w:rPr>
          <w:rFonts w:ascii="Palatino Linotype" w:eastAsia="Calibri" w:hAnsi="Palatino Linotype" w:cs="Tahoma"/>
          <w:iCs/>
          <w:sz w:val="22"/>
          <w:szCs w:val="22"/>
          <w:lang w:val="es-ES" w:eastAsia="es-ES_tradnl"/>
        </w:rPr>
        <w:t>la información proporcionada por el ahora correspondiente</w:t>
      </w:r>
      <w:r>
        <w:rPr>
          <w:rFonts w:ascii="Palatino Linotype" w:eastAsia="Calibri" w:hAnsi="Palatino Linotype" w:cs="Tahoma"/>
          <w:iCs/>
          <w:sz w:val="22"/>
          <w:szCs w:val="22"/>
          <w:lang w:val="es-ES" w:eastAsia="es-ES_tradnl"/>
        </w:rPr>
        <w:t>, dentro de los términos que marca la Ley de Transparencia y Acceso a la Información Pública del Estado de México y Municipios.</w:t>
      </w:r>
    </w:p>
    <w:p w14:paraId="7F541F57" w14:textId="77777777" w:rsidR="000C0396" w:rsidRDefault="000C0396" w:rsidP="000C0396">
      <w:pPr>
        <w:spacing w:line="360" w:lineRule="auto"/>
        <w:contextualSpacing/>
        <w:jc w:val="both"/>
        <w:rPr>
          <w:rFonts w:ascii="Palatino Linotype" w:eastAsia="Calibri" w:hAnsi="Palatino Linotype" w:cs="Tahoma"/>
          <w:iCs/>
          <w:sz w:val="22"/>
          <w:szCs w:val="22"/>
          <w:lang w:val="es-ES" w:eastAsia="es-ES_tradnl"/>
        </w:rPr>
      </w:pPr>
    </w:p>
    <w:p w14:paraId="59434910" w14:textId="77777777" w:rsidR="000C0396" w:rsidRPr="007C0B21" w:rsidRDefault="000C0396" w:rsidP="000C0396">
      <w:pPr>
        <w:spacing w:line="360" w:lineRule="auto"/>
        <w:contextualSpacing/>
        <w:jc w:val="both"/>
        <w:rPr>
          <w:rFonts w:ascii="Palatino Linotype" w:eastAsia="Calibri" w:hAnsi="Palatino Linotype" w:cs="Tahoma"/>
          <w:bCs/>
          <w:sz w:val="22"/>
          <w:lang w:eastAsia="en-US"/>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Instituto de Transparencia Acceso a la Información Pública y Protección de Datos Personales del Estado de México y Municipios</w:t>
      </w:r>
      <w:r w:rsidRPr="00282260">
        <w:rPr>
          <w:rFonts w:ascii="Palatino Linotype" w:eastAsia="Calibri" w:hAnsi="Palatino Linotype" w:cs="Tahoma"/>
          <w:iCs/>
          <w:sz w:val="22"/>
          <w:szCs w:val="22"/>
          <w:lang w:val="es-ES" w:eastAsia="es-ES_tradnl"/>
        </w:rPr>
        <w:t>, es apoyar a la población para acceder a la información pública y garantizar la protección de sus datos personales.</w:t>
      </w:r>
      <w:r>
        <w:rPr>
          <w:rFonts w:ascii="Palatino Linotype" w:eastAsia="Calibri" w:hAnsi="Palatino Linotype" w:cs="Tahoma"/>
          <w:iCs/>
          <w:sz w:val="22"/>
          <w:szCs w:val="22"/>
          <w:lang w:val="es-ES" w:eastAsia="es-ES_tradnl"/>
        </w:rPr>
        <w:t xml:space="preserve"> </w:t>
      </w:r>
      <w:r w:rsidRPr="007C0B21">
        <w:rPr>
          <w:rFonts w:ascii="Palatino Linotype" w:eastAsia="Calibri" w:hAnsi="Palatino Linotype" w:cs="Tahoma"/>
          <w:bCs/>
          <w:sz w:val="22"/>
          <w:lang w:eastAsia="en-US"/>
        </w:rPr>
        <w:t>Por lo expuesto y fundado, este Pleno:</w:t>
      </w:r>
    </w:p>
    <w:p w14:paraId="0556D058" w14:textId="77777777" w:rsidR="000C0396" w:rsidRPr="007C0B21" w:rsidRDefault="000C0396" w:rsidP="000C0396">
      <w:pPr>
        <w:spacing w:line="360" w:lineRule="auto"/>
        <w:ind w:right="-93"/>
        <w:jc w:val="both"/>
        <w:rPr>
          <w:rFonts w:ascii="Palatino Linotype" w:hAnsi="Palatino Linotype" w:cs="Tahoma"/>
          <w:sz w:val="22"/>
          <w:szCs w:val="22"/>
        </w:rPr>
      </w:pPr>
    </w:p>
    <w:p w14:paraId="6E83782A" w14:textId="77777777" w:rsidR="000C0396" w:rsidRPr="007C0B21" w:rsidRDefault="000C0396" w:rsidP="000C0396">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44A5C5F0" w14:textId="77777777" w:rsidR="000C0396" w:rsidRPr="007C0B21" w:rsidRDefault="000C0396" w:rsidP="000C0396">
      <w:pPr>
        <w:spacing w:line="360" w:lineRule="auto"/>
        <w:jc w:val="center"/>
        <w:rPr>
          <w:rFonts w:ascii="Palatino Linotype" w:hAnsi="Palatino Linotype" w:cs="Tahoma"/>
          <w:b/>
          <w:bCs/>
          <w:sz w:val="22"/>
          <w:szCs w:val="22"/>
        </w:rPr>
      </w:pPr>
    </w:p>
    <w:p w14:paraId="26A76A92" w14:textId="77777777" w:rsidR="000C0396" w:rsidRDefault="000C0396" w:rsidP="000C0396">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sidRPr="007271A0">
        <w:rPr>
          <w:rFonts w:ascii="Palatino Linotype" w:eastAsia="Calibri" w:hAnsi="Palatino Linotype" w:cs="Tahoma"/>
          <w:b/>
          <w:bCs/>
          <w:iCs/>
          <w:sz w:val="22"/>
          <w:szCs w:val="22"/>
          <w:lang w:eastAsia="en-US"/>
        </w:rPr>
        <w:t>CONFIRMA</w:t>
      </w:r>
      <w:r w:rsidRPr="007271A0">
        <w:rPr>
          <w:rFonts w:ascii="Palatino Linotype" w:eastAsia="Calibri" w:hAnsi="Palatino Linotype" w:cs="Tahoma"/>
          <w:bCs/>
          <w:iCs/>
          <w:sz w:val="22"/>
          <w:szCs w:val="22"/>
          <w:lang w:eastAsia="en-US"/>
        </w:rPr>
        <w:t xml:space="preserve"> la respuesta del Sujeto Obligado</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 xml:space="preserve">a la solicitud de información </w:t>
      </w:r>
      <w:r w:rsidR="00C55D8B" w:rsidRPr="00C55D8B">
        <w:rPr>
          <w:rFonts w:ascii="Palatino Linotype" w:hAnsi="Palatino Linotype"/>
          <w:b/>
          <w:color w:val="000000"/>
          <w:sz w:val="22"/>
          <w:szCs w:val="22"/>
        </w:rPr>
        <w:t>00328/METEPEC/IP/2022</w:t>
      </w:r>
      <w:r w:rsidRPr="001F6F63">
        <w:rPr>
          <w:rFonts w:ascii="Palatino Linotype" w:eastAsia="Calibri" w:hAnsi="Palatino Linotype"/>
          <w:color w:val="000000"/>
          <w:sz w:val="22"/>
          <w:szCs w:val="22"/>
        </w:rPr>
        <w:t>,</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por resultar infundadas las razones o motivos de inconformidad hechos valer por el Recurrente</w:t>
      </w:r>
      <w:r>
        <w:rPr>
          <w:rFonts w:ascii="Palatino Linotype" w:eastAsia="Calibri" w:hAnsi="Palatino Linotype" w:cs="Tahoma"/>
          <w:bCs/>
          <w:iCs/>
          <w:sz w:val="22"/>
          <w:szCs w:val="22"/>
          <w:lang w:eastAsia="en-US"/>
        </w:rPr>
        <w:t xml:space="preserve"> en el Recurso de Revisión </w:t>
      </w:r>
      <w:r w:rsidR="00C55D8B">
        <w:rPr>
          <w:rFonts w:ascii="Palatino Linotype" w:eastAsia="Calibri" w:hAnsi="Palatino Linotype" w:cs="Tahoma"/>
          <w:b/>
          <w:bCs/>
          <w:iCs/>
          <w:sz w:val="22"/>
          <w:szCs w:val="22"/>
          <w:lang w:eastAsia="en-US"/>
        </w:rPr>
        <w:t>02251</w:t>
      </w:r>
      <w:r w:rsidRPr="000824B5">
        <w:rPr>
          <w:rFonts w:ascii="Palatino Linotype" w:eastAsia="Calibri" w:hAnsi="Palatino Linotype" w:cs="Tahoma"/>
          <w:b/>
          <w:bCs/>
          <w:iCs/>
          <w:sz w:val="22"/>
          <w:szCs w:val="22"/>
          <w:lang w:eastAsia="en-US"/>
        </w:rPr>
        <w:t>/INFOEM/IP/RR/202</w:t>
      </w:r>
      <w:r>
        <w:rPr>
          <w:rFonts w:ascii="Palatino Linotype" w:eastAsia="Calibri" w:hAnsi="Palatino Linotype" w:cs="Tahoma"/>
          <w:b/>
          <w:bCs/>
          <w:iCs/>
          <w:sz w:val="22"/>
          <w:szCs w:val="22"/>
          <w:lang w:eastAsia="en-US"/>
        </w:rPr>
        <w:t>2</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w:t>
      </w:r>
      <w:r>
        <w:rPr>
          <w:rFonts w:ascii="Palatino Linotype" w:eastAsia="Calibri" w:hAnsi="Palatino Linotype" w:cs="Tahoma"/>
          <w:bCs/>
          <w:iCs/>
          <w:sz w:val="22"/>
          <w:szCs w:val="22"/>
          <w:lang w:eastAsia="en-US"/>
        </w:rPr>
        <w:t xml:space="preserve"> los</w:t>
      </w:r>
      <w:r w:rsidRPr="007271A0">
        <w:rPr>
          <w:rFonts w:ascii="Palatino Linotype" w:eastAsia="Calibri" w:hAnsi="Palatino Linotype" w:cs="Tahoma"/>
          <w:bCs/>
          <w:iCs/>
          <w:sz w:val="22"/>
          <w:szCs w:val="22"/>
          <w:lang w:eastAsia="en-US"/>
        </w:rPr>
        <w:t xml:space="preserve"> Considerando</w:t>
      </w:r>
      <w:r>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
          <w:bCs/>
          <w:iCs/>
          <w:sz w:val="22"/>
          <w:szCs w:val="22"/>
          <w:lang w:eastAsia="en-US"/>
        </w:rPr>
        <w:t>QUINTO</w:t>
      </w:r>
      <w:r>
        <w:rPr>
          <w:rFonts w:ascii="Palatino Linotype" w:eastAsia="Calibri" w:hAnsi="Palatino Linotype" w:cs="Tahoma"/>
          <w:b/>
          <w:bCs/>
          <w:iCs/>
          <w:sz w:val="22"/>
          <w:szCs w:val="22"/>
          <w:lang w:eastAsia="en-US"/>
        </w:rPr>
        <w:t xml:space="preserve"> y SEXTO </w:t>
      </w:r>
      <w:r w:rsidRPr="007271A0">
        <w:rPr>
          <w:rFonts w:ascii="Palatino Linotype" w:eastAsia="Calibri" w:hAnsi="Palatino Linotype" w:cs="Tahoma"/>
          <w:bCs/>
          <w:iCs/>
          <w:sz w:val="22"/>
          <w:szCs w:val="22"/>
          <w:lang w:eastAsia="en-US"/>
        </w:rPr>
        <w:t>de esta Resolución.</w:t>
      </w:r>
      <w:r>
        <w:rPr>
          <w:rFonts w:ascii="Palatino Linotype" w:eastAsia="Calibri" w:hAnsi="Palatino Linotype" w:cs="Tahoma"/>
          <w:bCs/>
          <w:iCs/>
          <w:sz w:val="22"/>
          <w:szCs w:val="22"/>
          <w:lang w:eastAsia="en-US"/>
        </w:rPr>
        <w:t xml:space="preserve">  </w:t>
      </w:r>
    </w:p>
    <w:p w14:paraId="7FB02978" w14:textId="77777777" w:rsidR="000C0396" w:rsidRPr="007271A0" w:rsidRDefault="000C0396" w:rsidP="000C0396">
      <w:pPr>
        <w:spacing w:line="360" w:lineRule="auto"/>
        <w:contextualSpacing/>
        <w:jc w:val="both"/>
        <w:rPr>
          <w:rFonts w:ascii="Palatino Linotype" w:eastAsia="Calibri" w:hAnsi="Palatino Linotype" w:cs="Tahoma"/>
          <w:bCs/>
          <w:iCs/>
          <w:sz w:val="22"/>
          <w:szCs w:val="22"/>
          <w:lang w:eastAsia="en-US"/>
        </w:rPr>
      </w:pPr>
    </w:p>
    <w:p w14:paraId="2433D6E8" w14:textId="77777777" w:rsidR="000C0396" w:rsidRPr="007271A0" w:rsidRDefault="000C0396" w:rsidP="000C0396">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 xml:space="preserve">SEGUNDO. NOTIFÍQUESE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73C854ED" w14:textId="77777777" w:rsidR="000C0396" w:rsidRPr="007271A0" w:rsidRDefault="000C0396" w:rsidP="000C0396">
      <w:pPr>
        <w:spacing w:line="360" w:lineRule="auto"/>
        <w:contextualSpacing/>
        <w:jc w:val="both"/>
        <w:rPr>
          <w:rFonts w:ascii="Palatino Linotype" w:eastAsia="Calibri" w:hAnsi="Palatino Linotype" w:cs="Tahoma"/>
          <w:bCs/>
          <w:iCs/>
          <w:sz w:val="22"/>
          <w:szCs w:val="22"/>
          <w:lang w:eastAsia="en-US"/>
        </w:rPr>
      </w:pPr>
    </w:p>
    <w:p w14:paraId="676EEF59" w14:textId="77777777" w:rsidR="000C0396" w:rsidRDefault="000C0396" w:rsidP="000C0396">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TERCERO. NOTIFÍQUESE</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5E10EDD" w14:textId="77777777" w:rsidR="000C0396" w:rsidRDefault="000C0396" w:rsidP="00147516">
      <w:pPr>
        <w:spacing w:line="360" w:lineRule="auto"/>
        <w:contextualSpacing/>
        <w:jc w:val="both"/>
        <w:rPr>
          <w:rFonts w:ascii="Palatino Linotype" w:hAnsi="Palatino Linotype" w:cs="Tahoma"/>
          <w:color w:val="000000" w:themeColor="text1"/>
          <w:sz w:val="22"/>
          <w:szCs w:val="22"/>
        </w:rPr>
      </w:pPr>
    </w:p>
    <w:p w14:paraId="4603EC7B" w14:textId="77777777" w:rsidR="00733CE0" w:rsidRDefault="00C92916"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C55D8B">
        <w:rPr>
          <w:rFonts w:ascii="Palatino Linotype" w:hAnsi="Palatino Linotype" w:cs="Tahoma"/>
          <w:sz w:val="22"/>
          <w:szCs w:val="22"/>
          <w:lang w:eastAsia="es-MX"/>
        </w:rPr>
        <w:t>CUARTA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w:t>
      </w:r>
      <w:r w:rsidRPr="00C92916">
        <w:rPr>
          <w:rFonts w:ascii="Palatino Linotype" w:hAnsi="Palatino Linotype" w:cs="Tahoma"/>
          <w:sz w:val="22"/>
          <w:szCs w:val="22"/>
          <w:lang w:eastAsia="es-MX"/>
        </w:rPr>
        <w:lastRenderedPageBreak/>
        <w:t xml:space="preserve">CELEBRADA EL </w:t>
      </w:r>
      <w:r w:rsidR="008939CF">
        <w:rPr>
          <w:rFonts w:ascii="Palatino Linotype" w:hAnsi="Palatino Linotype" w:cs="Tahoma"/>
          <w:sz w:val="22"/>
          <w:szCs w:val="22"/>
          <w:lang w:eastAsia="es-MX"/>
        </w:rPr>
        <w:t>VEINT</w:t>
      </w:r>
      <w:r w:rsidR="00C55D8B">
        <w:rPr>
          <w:rFonts w:ascii="Palatino Linotype" w:hAnsi="Palatino Linotype" w:cs="Tahoma"/>
          <w:sz w:val="22"/>
          <w:szCs w:val="22"/>
          <w:lang w:eastAsia="es-MX"/>
        </w:rPr>
        <w:t xml:space="preserve">E </w:t>
      </w:r>
      <w:r w:rsidR="00F23B0A">
        <w:rPr>
          <w:rFonts w:ascii="Palatino Linotype" w:hAnsi="Palatino Linotype" w:cs="Tahoma"/>
          <w:sz w:val="22"/>
          <w:szCs w:val="22"/>
          <w:lang w:eastAsia="es-MX"/>
        </w:rPr>
        <w:t xml:space="preserve">DE </w:t>
      </w:r>
      <w:r w:rsidR="00C55D8B">
        <w:rPr>
          <w:rFonts w:ascii="Palatino Linotype" w:hAnsi="Palatino Linotype" w:cs="Tahoma"/>
          <w:sz w:val="22"/>
          <w:szCs w:val="22"/>
          <w:lang w:eastAsia="es-MX"/>
        </w:rPr>
        <w:t>ABRIL</w:t>
      </w:r>
      <w:r w:rsidR="00F23B0A">
        <w:rPr>
          <w:rFonts w:ascii="Palatino Linotype" w:hAnsi="Palatino Linotype" w:cs="Tahoma"/>
          <w:sz w:val="22"/>
          <w:szCs w:val="22"/>
          <w:lang w:eastAsia="es-MX"/>
        </w:rPr>
        <w:t xml:space="preserve">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2C1AABFC" w14:textId="6EB0DDC7" w:rsidR="00AB4D47" w:rsidRDefault="00AB4D47">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12391FD8"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690C" w14:textId="77777777" w:rsidR="00C60A65" w:rsidRDefault="00C60A65" w:rsidP="00B31222">
      <w:r>
        <w:separator/>
      </w:r>
    </w:p>
  </w:endnote>
  <w:endnote w:type="continuationSeparator" w:id="0">
    <w:p w14:paraId="3EA7C01F" w14:textId="77777777" w:rsidR="00C60A65" w:rsidRDefault="00C60A65" w:rsidP="00B31222">
      <w:r>
        <w:continuationSeparator/>
      </w:r>
    </w:p>
  </w:endnote>
  <w:endnote w:type="continuationNotice" w:id="1">
    <w:p w14:paraId="50BC1CA5" w14:textId="77777777" w:rsidR="00C60A65" w:rsidRDefault="00C60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1C85409"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6C3A">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6C3A">
              <w:rPr>
                <w:b/>
                <w:bCs/>
                <w:noProof/>
              </w:rPr>
              <w:t>17</w:t>
            </w:r>
            <w:r>
              <w:rPr>
                <w:b/>
                <w:bCs/>
                <w:sz w:val="24"/>
                <w:szCs w:val="24"/>
              </w:rPr>
              <w:fldChar w:fldCharType="end"/>
            </w:r>
          </w:p>
        </w:sdtContent>
      </w:sdt>
    </w:sdtContent>
  </w:sdt>
  <w:p w14:paraId="4D4CA8B9" w14:textId="77777777" w:rsidR="00343B91" w:rsidRDefault="00343B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233E87B7"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6C3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6C3A">
              <w:rPr>
                <w:b/>
                <w:bCs/>
                <w:noProof/>
              </w:rPr>
              <w:t>17</w:t>
            </w:r>
            <w:r>
              <w:rPr>
                <w:b/>
                <w:bCs/>
                <w:sz w:val="24"/>
                <w:szCs w:val="24"/>
              </w:rPr>
              <w:fldChar w:fldCharType="end"/>
            </w:r>
          </w:p>
        </w:sdtContent>
      </w:sdt>
    </w:sdtContent>
  </w:sdt>
  <w:p w14:paraId="30E92C75" w14:textId="77777777" w:rsidR="00343B91" w:rsidRDefault="00343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9C9A" w14:textId="77777777" w:rsidR="00C60A65" w:rsidRDefault="00C60A65" w:rsidP="00B31222">
      <w:r>
        <w:separator/>
      </w:r>
    </w:p>
  </w:footnote>
  <w:footnote w:type="continuationSeparator" w:id="0">
    <w:p w14:paraId="71954284" w14:textId="77777777" w:rsidR="00C60A65" w:rsidRDefault="00C60A65" w:rsidP="00B31222">
      <w:r>
        <w:continuationSeparator/>
      </w:r>
    </w:p>
  </w:footnote>
  <w:footnote w:type="continuationNotice" w:id="1">
    <w:p w14:paraId="6DA277CC" w14:textId="77777777" w:rsidR="00C60A65" w:rsidRDefault="00C60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D00B" w14:textId="77777777" w:rsidR="00343B91" w:rsidRDefault="00C60A65">
    <w:pPr>
      <w:pStyle w:val="Encabezado"/>
    </w:pPr>
    <w:r>
      <w:rPr>
        <w:noProof/>
        <w:lang w:eastAsia="es-MX"/>
      </w:rPr>
      <w:pict w14:anchorId="1A2FB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5C106F" w14:paraId="77341869" w14:textId="77777777" w:rsidTr="00202DB8">
      <w:trPr>
        <w:trHeight w:val="1435"/>
      </w:trPr>
      <w:tc>
        <w:tcPr>
          <w:tcW w:w="2835" w:type="dxa"/>
          <w:shd w:val="clear" w:color="auto" w:fill="auto"/>
        </w:tcPr>
        <w:p w14:paraId="17393D88" w14:textId="77777777" w:rsidR="00343B91" w:rsidRPr="005C106F" w:rsidRDefault="00343B9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4ACA6F8" wp14:editId="5E8E49D7">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9FA39EA" w14:textId="77777777" w:rsidR="00343B91" w:rsidRDefault="00343B9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14:paraId="72E26644" w14:textId="77777777" w:rsidTr="00DF3BE8">
            <w:trPr>
              <w:trHeight w:val="144"/>
            </w:trPr>
            <w:tc>
              <w:tcPr>
                <w:tcW w:w="2589" w:type="dxa"/>
              </w:tcPr>
              <w:p w14:paraId="5F8C7FA0"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C09111E" w14:textId="77777777" w:rsidR="00343B91" w:rsidRPr="00431A70" w:rsidRDefault="00477AD3" w:rsidP="0027275A">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DF5CF5">
                  <w:rPr>
                    <w:rFonts w:ascii="Palatino Linotype" w:eastAsia="Calibri" w:hAnsi="Palatino Linotype" w:cs="Tahoma"/>
                    <w:b/>
                    <w:bCs/>
                    <w:sz w:val="22"/>
                    <w:szCs w:val="22"/>
                    <w:lang w:val="es-MX" w:eastAsia="en-US"/>
                  </w:rPr>
                  <w:t>2</w:t>
                </w:r>
                <w:r w:rsidR="0027275A">
                  <w:rPr>
                    <w:rFonts w:ascii="Palatino Linotype" w:eastAsia="Calibri" w:hAnsi="Palatino Linotype" w:cs="Tahoma"/>
                    <w:b/>
                    <w:bCs/>
                    <w:sz w:val="22"/>
                    <w:szCs w:val="22"/>
                    <w:lang w:val="es-MX" w:eastAsia="en-US"/>
                  </w:rPr>
                  <w:t>251</w:t>
                </w:r>
                <w:r w:rsidR="00343B91" w:rsidRPr="001A412B">
                  <w:rPr>
                    <w:rFonts w:ascii="Palatino Linotype" w:eastAsia="Calibri" w:hAnsi="Palatino Linotype" w:cs="Tahoma"/>
                    <w:b/>
                    <w:bCs/>
                    <w:sz w:val="22"/>
                    <w:szCs w:val="22"/>
                    <w:lang w:val="es-MX" w:eastAsia="en-US"/>
                  </w:rPr>
                  <w:t>/INFOEM/IP/RR/202</w:t>
                </w:r>
                <w:r w:rsidR="00343B91">
                  <w:rPr>
                    <w:rFonts w:ascii="Palatino Linotype" w:eastAsia="Calibri" w:hAnsi="Palatino Linotype" w:cs="Tahoma"/>
                    <w:b/>
                    <w:bCs/>
                    <w:sz w:val="22"/>
                    <w:szCs w:val="22"/>
                    <w:lang w:val="es-MX" w:eastAsia="en-US"/>
                  </w:rPr>
                  <w:t>2</w:t>
                </w:r>
              </w:p>
            </w:tc>
          </w:tr>
          <w:tr w:rsidR="00343B91" w14:paraId="3AAEAAF2" w14:textId="77777777" w:rsidTr="00DF3BE8">
            <w:trPr>
              <w:trHeight w:val="283"/>
            </w:trPr>
            <w:tc>
              <w:tcPr>
                <w:tcW w:w="2589" w:type="dxa"/>
              </w:tcPr>
              <w:p w14:paraId="727A2BA5"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3E95D57" w14:textId="77777777" w:rsidR="00343B91" w:rsidRPr="005F13CF" w:rsidRDefault="00DF5CF5" w:rsidP="005F13CF">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343B91" w14:paraId="2A4F65C6" w14:textId="77777777" w:rsidTr="00DF3BE8">
            <w:trPr>
              <w:trHeight w:val="283"/>
            </w:trPr>
            <w:tc>
              <w:tcPr>
                <w:tcW w:w="2589" w:type="dxa"/>
              </w:tcPr>
              <w:p w14:paraId="59E0E5AC"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3D7D692" w14:textId="77777777" w:rsidR="00343B91" w:rsidRPr="00431A70" w:rsidRDefault="00343B91"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3002263" w14:textId="77777777" w:rsidR="00343B91" w:rsidRPr="005C106F" w:rsidRDefault="00343B91" w:rsidP="005743D2">
          <w:pPr>
            <w:tabs>
              <w:tab w:val="right" w:pos="8838"/>
            </w:tabs>
            <w:ind w:left="-28"/>
            <w:jc w:val="both"/>
            <w:rPr>
              <w:rFonts w:ascii="Arial" w:eastAsia="Calibri" w:hAnsi="Arial" w:cs="Arial"/>
              <w:b/>
              <w:sz w:val="22"/>
              <w:szCs w:val="22"/>
              <w:lang w:eastAsia="en-US"/>
            </w:rPr>
          </w:pPr>
        </w:p>
      </w:tc>
    </w:tr>
  </w:tbl>
  <w:p w14:paraId="24997C4B" w14:textId="77777777" w:rsidR="00343B91" w:rsidRPr="00A25151" w:rsidRDefault="00343B9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330DA7" w14:paraId="29B61A60" w14:textId="77777777" w:rsidTr="003B165A">
      <w:trPr>
        <w:trHeight w:val="1435"/>
      </w:trPr>
      <w:tc>
        <w:tcPr>
          <w:tcW w:w="2835" w:type="dxa"/>
          <w:shd w:val="clear" w:color="auto" w:fill="auto"/>
        </w:tcPr>
        <w:p w14:paraId="1F5492DA" w14:textId="77777777" w:rsidR="00343B91" w:rsidRPr="00330DA7" w:rsidRDefault="00343B9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3B39D77" wp14:editId="6CACA85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rsidRPr="00431A70" w14:paraId="082FDBE5" w14:textId="77777777" w:rsidTr="00DF3BE8">
            <w:trPr>
              <w:trHeight w:val="144"/>
            </w:trPr>
            <w:tc>
              <w:tcPr>
                <w:tcW w:w="2589" w:type="dxa"/>
              </w:tcPr>
              <w:p w14:paraId="0A928838" w14:textId="77777777" w:rsidR="00343B91" w:rsidRPr="00431A70" w:rsidRDefault="00343B9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28089B6" w14:textId="77777777" w:rsidR="00343B91" w:rsidRPr="00431A70" w:rsidRDefault="0027275A" w:rsidP="0027275A">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02251</w:t>
                </w:r>
                <w:r w:rsidR="00343B91">
                  <w:rPr>
                    <w:rFonts w:ascii="Palatino Linotype" w:eastAsia="Calibri" w:hAnsi="Palatino Linotype" w:cs="Tahoma"/>
                    <w:b/>
                    <w:bCs/>
                    <w:sz w:val="22"/>
                    <w:szCs w:val="22"/>
                    <w:lang w:val="es-MX" w:eastAsia="en-US"/>
                  </w:rPr>
                  <w:t xml:space="preserve">/INFOEM/IP/RR/2022 </w:t>
                </w:r>
              </w:p>
            </w:tc>
          </w:tr>
          <w:tr w:rsidR="00343B91" w:rsidRPr="00286D0C" w14:paraId="0CD933DB" w14:textId="77777777" w:rsidTr="00DF3BE8">
            <w:trPr>
              <w:trHeight w:val="144"/>
            </w:trPr>
            <w:tc>
              <w:tcPr>
                <w:tcW w:w="2589" w:type="dxa"/>
              </w:tcPr>
              <w:p w14:paraId="2F138C53"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BFB2578" w14:textId="77777777" w:rsidR="00343B91" w:rsidRPr="00286D0C" w:rsidRDefault="00343B91"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343B91" w:rsidRPr="00431A70" w14:paraId="6501A17B" w14:textId="77777777" w:rsidTr="00DF3BE8">
            <w:trPr>
              <w:trHeight w:val="283"/>
            </w:trPr>
            <w:tc>
              <w:tcPr>
                <w:tcW w:w="2589" w:type="dxa"/>
              </w:tcPr>
              <w:p w14:paraId="03A70213"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9073824" w14:textId="77777777" w:rsidR="00343B91" w:rsidRPr="005F13CF" w:rsidRDefault="00DF5CF5"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343B91" w:rsidRPr="00431A70" w14:paraId="45D5F2C8" w14:textId="77777777" w:rsidTr="00DF3BE8">
            <w:trPr>
              <w:trHeight w:val="283"/>
            </w:trPr>
            <w:tc>
              <w:tcPr>
                <w:tcW w:w="2589" w:type="dxa"/>
              </w:tcPr>
              <w:p w14:paraId="0A9CD4D0"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D9CDCF8" w14:textId="77777777" w:rsidR="00343B91" w:rsidRPr="00431A70" w:rsidRDefault="00343B9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BCFB095" w14:textId="77777777" w:rsidR="00343B91" w:rsidRPr="00330DA7" w:rsidRDefault="00343B91" w:rsidP="00DB7E5F">
          <w:pPr>
            <w:tabs>
              <w:tab w:val="right" w:pos="8838"/>
            </w:tabs>
            <w:ind w:left="-28"/>
            <w:jc w:val="both"/>
            <w:rPr>
              <w:rFonts w:ascii="Arial" w:eastAsia="Calibri" w:hAnsi="Arial" w:cs="Arial"/>
              <w:b/>
              <w:sz w:val="22"/>
              <w:szCs w:val="22"/>
              <w:lang w:eastAsia="en-US"/>
            </w:rPr>
          </w:pPr>
        </w:p>
      </w:tc>
    </w:tr>
  </w:tbl>
  <w:p w14:paraId="4A1E8AF9" w14:textId="77777777" w:rsidR="00343B91" w:rsidRPr="00330DA7" w:rsidRDefault="00343B9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772AC6"/>
    <w:multiLevelType w:val="hybridMultilevel"/>
    <w:tmpl w:val="565A2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5B919EE"/>
    <w:multiLevelType w:val="hybridMultilevel"/>
    <w:tmpl w:val="DF961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2007423">
    <w:abstractNumId w:val="0"/>
  </w:num>
  <w:num w:numId="2" w16cid:durableId="1471167057">
    <w:abstractNumId w:val="10"/>
  </w:num>
  <w:num w:numId="3" w16cid:durableId="1008674775">
    <w:abstractNumId w:val="9"/>
  </w:num>
  <w:num w:numId="4" w16cid:durableId="303854452">
    <w:abstractNumId w:val="6"/>
  </w:num>
  <w:num w:numId="5" w16cid:durableId="1320353837">
    <w:abstractNumId w:val="4"/>
  </w:num>
  <w:num w:numId="6" w16cid:durableId="727218358">
    <w:abstractNumId w:val="1"/>
  </w:num>
  <w:num w:numId="7" w16cid:durableId="1849909158">
    <w:abstractNumId w:val="3"/>
  </w:num>
  <w:num w:numId="8" w16cid:durableId="1369837839">
    <w:abstractNumId w:val="5"/>
  </w:num>
  <w:num w:numId="9" w16cid:durableId="1488790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733636">
    <w:abstractNumId w:val="2"/>
  </w:num>
  <w:num w:numId="11" w16cid:durableId="780033682">
    <w:abstractNumId w:val="7"/>
  </w:num>
  <w:num w:numId="12" w16cid:durableId="993416903">
    <w:abstractNumId w:val="8"/>
  </w:num>
  <w:num w:numId="13" w16cid:durableId="131599207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6C3A"/>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4B9E"/>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E75D6"/>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2786C"/>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3777"/>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5A"/>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594D"/>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91"/>
    <w:rsid w:val="004E43D5"/>
    <w:rsid w:val="004E5BB8"/>
    <w:rsid w:val="004E660C"/>
    <w:rsid w:val="004E7603"/>
    <w:rsid w:val="004E7759"/>
    <w:rsid w:val="004E7842"/>
    <w:rsid w:val="004E7C22"/>
    <w:rsid w:val="004E7DB7"/>
    <w:rsid w:val="004F0223"/>
    <w:rsid w:val="004F26C4"/>
    <w:rsid w:val="004F2C69"/>
    <w:rsid w:val="004F2D88"/>
    <w:rsid w:val="004F2E49"/>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2FB"/>
    <w:rsid w:val="005F48F1"/>
    <w:rsid w:val="005F52F4"/>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199"/>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0E73"/>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ADC"/>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99D"/>
    <w:rsid w:val="00AA6EFD"/>
    <w:rsid w:val="00AA7F48"/>
    <w:rsid w:val="00AB010D"/>
    <w:rsid w:val="00AB0749"/>
    <w:rsid w:val="00AB2617"/>
    <w:rsid w:val="00AB2C53"/>
    <w:rsid w:val="00AB37BE"/>
    <w:rsid w:val="00AB4D47"/>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5D8B"/>
    <w:rsid w:val="00C560FA"/>
    <w:rsid w:val="00C56772"/>
    <w:rsid w:val="00C576D2"/>
    <w:rsid w:val="00C577C1"/>
    <w:rsid w:val="00C57FF9"/>
    <w:rsid w:val="00C60A65"/>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399C"/>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1B71"/>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B06"/>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0D"/>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17FF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E163-E668-4194-80D2-CC6D3902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4200</Words>
  <Characters>23106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Oswaldo Hernández</cp:lastModifiedBy>
  <cp:revision>5</cp:revision>
  <cp:lastPrinted>2020-01-16T18:20:00Z</cp:lastPrinted>
  <dcterms:created xsi:type="dcterms:W3CDTF">2022-04-07T00:12:00Z</dcterms:created>
  <dcterms:modified xsi:type="dcterms:W3CDTF">2022-04-21T19:55:00Z</dcterms:modified>
</cp:coreProperties>
</file>