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EC2B3B" w14:textId="77777777" w:rsidR="002F6C66" w:rsidRDefault="00746DBC">
      <w:pPr>
        <w:spacing w:before="240" w:after="240"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once de mayo del dos mil veintidós</w:t>
      </w:r>
      <w:r>
        <w:rPr>
          <w:rFonts w:ascii="Palatino Linotype" w:eastAsia="Palatino Linotype" w:hAnsi="Palatino Linotype" w:cs="Palatino Linotype"/>
        </w:rPr>
        <w:t>.</w:t>
      </w:r>
    </w:p>
    <w:p w14:paraId="1043499B" w14:textId="77777777" w:rsidR="002F6C66" w:rsidRDefault="00746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02129/INFOEM/IP/RR/2022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de manera anónima</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Metepec,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006B8A9E" w14:textId="77777777" w:rsidR="002F6C66" w:rsidRDefault="00746DBC">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14:paraId="38B17191" w14:textId="77777777" w:rsidR="002F6C66" w:rsidRDefault="00746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diez de enero de dos mil veintidós, 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w:t>
      </w:r>
      <w:r>
        <w:rPr>
          <w:rFonts w:ascii="Palatino Linotype" w:eastAsia="Palatino Linotype" w:hAnsi="Palatino Linotype" w:cs="Palatino Linotype"/>
        </w:rPr>
        <w:t>de folio</w:t>
      </w:r>
      <w:r>
        <w:rPr>
          <w:rFonts w:ascii="Palatino Linotype" w:eastAsia="Palatino Linotype" w:hAnsi="Palatino Linotype" w:cs="Palatino Linotype"/>
          <w:b/>
        </w:rPr>
        <w:t xml:space="preserve"> 00489/METEPEC/IP/2022, </w:t>
      </w:r>
      <w:r>
        <w:rPr>
          <w:rFonts w:ascii="Palatino Linotype" w:eastAsia="Palatino Linotype" w:hAnsi="Palatino Linotype" w:cs="Palatino Linotype"/>
        </w:rPr>
        <w:t xml:space="preserve">mediante la cual requirió la información siguiente: </w:t>
      </w:r>
    </w:p>
    <w:p w14:paraId="0A5E9AED" w14:textId="77777777" w:rsidR="002F6C66" w:rsidRDefault="00746DBC">
      <w:pPr>
        <w:spacing w:before="240"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“Se solicita </w:t>
      </w:r>
      <w:r>
        <w:rPr>
          <w:rFonts w:ascii="Palatino Linotype" w:eastAsia="Palatino Linotype" w:hAnsi="Palatino Linotype" w:cs="Palatino Linotype"/>
          <w:b/>
          <w:i/>
          <w:sz w:val="22"/>
          <w:szCs w:val="22"/>
          <w:u w:val="single"/>
        </w:rPr>
        <w:t>conocer cuales fueron las medidas sanitarias para el ingreso de tantas personas al Palacio Municipal de Metepe</w:t>
      </w:r>
      <w:r>
        <w:rPr>
          <w:rFonts w:ascii="Palatino Linotype" w:eastAsia="Palatino Linotype" w:hAnsi="Palatino Linotype" w:cs="Palatino Linotype"/>
          <w:i/>
          <w:sz w:val="22"/>
          <w:szCs w:val="22"/>
        </w:rPr>
        <w:t>c. El Presidente nos prometió que existirían todas las medidas para evitar la propagación del COVID, pero estaba sin cubrebocas, a menos de un metro de distancia de menores y adultos mayores comiendo unas papas. Se requiere soporte documental de lo que manifieste el Ayuntamiento en su respuesta.” (Sic) (Énfasis añadido)</w:t>
      </w:r>
    </w:p>
    <w:p w14:paraId="6A6A2D78" w14:textId="77777777" w:rsidR="002F6C66" w:rsidRDefault="00746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t xml:space="preserve"> </w:t>
      </w:r>
    </w:p>
    <w:p w14:paraId="065F375A" w14:textId="77777777" w:rsidR="002F6C66" w:rsidRDefault="00746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Prórroga.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veintinueve de enero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al particular la prórroga para atender su solicitud de información, medularmente en los siguientes términos: </w:t>
      </w:r>
    </w:p>
    <w:p w14:paraId="0DDB3A9C" w14:textId="77777777" w:rsidR="002F6C66" w:rsidRDefault="00746DB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E642E04" w14:textId="77777777" w:rsidR="002F6C66" w:rsidRDefault="00746DB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14:paraId="544623E5" w14:textId="77777777" w:rsidR="002F6C66" w:rsidRDefault="00746DB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Gerardo Arturo Ozuna Martínez</w:t>
      </w:r>
    </w:p>
    <w:p w14:paraId="21DBFD3B" w14:textId="77777777" w:rsidR="002F6C66" w:rsidRDefault="00746DB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Responsable de la Unidad de Transparencia”</w:t>
      </w:r>
    </w:p>
    <w:p w14:paraId="0F8E8FA3" w14:textId="77777777" w:rsidR="002F6C66" w:rsidRDefault="00746DBC">
      <w:pPr>
        <w:spacing w:before="240" w:after="240" w:line="276" w:lineRule="auto"/>
        <w:ind w:left="567"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Archivos adjuntos: </w:t>
      </w:r>
    </w:p>
    <w:p w14:paraId="6B291377" w14:textId="77777777" w:rsidR="002F6C66" w:rsidRDefault="00746DBC">
      <w:pPr>
        <w:spacing w:before="240" w:after="240" w:line="360"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“acta primera sesion extraordinaria.pdf”: </w:t>
      </w:r>
      <w:r>
        <w:rPr>
          <w:rFonts w:ascii="Palatino Linotype" w:eastAsia="Palatino Linotype" w:hAnsi="Palatino Linotype" w:cs="Palatino Linotype"/>
          <w:sz w:val="22"/>
          <w:szCs w:val="22"/>
        </w:rPr>
        <w:t xml:space="preserve">Consistente en el acta de la Primera Sesión Extraordinaria del Comité de Transparencia del Ayuntamiento de Metepec, Estado de México, celebrada el 21 de enero de 2022, mediante la cual se aprobó la ampliación de un plazo de 7 días para la atención de la solicitud de información a la que recayó el presente recurso de revisión: </w:t>
      </w:r>
    </w:p>
    <w:p w14:paraId="21DC9F5D" w14:textId="77777777" w:rsidR="002F6C66" w:rsidRDefault="00746DBC">
      <w:pPr>
        <w:spacing w:before="240" w:after="240" w:line="360" w:lineRule="auto"/>
        <w:ind w:right="49"/>
        <w:jc w:val="both"/>
        <w:rPr>
          <w:rFonts w:ascii="Palatino Linotype" w:eastAsia="Palatino Linotype" w:hAnsi="Palatino Linotype" w:cs="Palatino Linotype"/>
          <w:b/>
        </w:rPr>
      </w:pPr>
      <w:r>
        <w:object w:dxaOrig="8400" w:dyaOrig="11430" w14:anchorId="2442D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571.5pt" o:ole="">
            <v:imagedata r:id="rId8" o:title=""/>
          </v:shape>
          <o:OLEObject Type="Embed" ProgID="Paint.Picture.1" ShapeID="_x0000_i1025" DrawAspect="Content" ObjectID="_1716106851" r:id="rId9"/>
        </w:object>
      </w:r>
    </w:p>
    <w:p w14:paraId="27DA7240" w14:textId="77777777" w:rsidR="002F6C66" w:rsidRDefault="00746DBC">
      <w:pPr>
        <w:spacing w:before="240" w:after="240" w:line="360" w:lineRule="auto"/>
        <w:ind w:right="49"/>
        <w:jc w:val="both"/>
      </w:pPr>
      <w:r>
        <w:object w:dxaOrig="8280" w:dyaOrig="11220" w14:anchorId="33011BF8">
          <v:shape id="_x0000_i1026" type="#_x0000_t75" style="width:414pt;height:561pt" o:ole="">
            <v:imagedata r:id="rId10" o:title=""/>
          </v:shape>
          <o:OLEObject Type="Embed" ProgID="Paint.Picture.1" ShapeID="_x0000_i1026" DrawAspect="Content" ObjectID="_1716106852" r:id="rId11"/>
        </w:object>
      </w:r>
    </w:p>
    <w:p w14:paraId="025DD553" w14:textId="77777777" w:rsidR="002F6C66" w:rsidRDefault="00746DBC">
      <w:pPr>
        <w:spacing w:before="240" w:after="240" w:line="360" w:lineRule="auto"/>
        <w:ind w:right="49"/>
        <w:jc w:val="both"/>
        <w:rPr>
          <w:rFonts w:ascii="Palatino Linotype" w:eastAsia="Palatino Linotype" w:hAnsi="Palatino Linotype" w:cs="Palatino Linotype"/>
          <w:b/>
        </w:rPr>
      </w:pPr>
      <w:r>
        <w:object w:dxaOrig="8340" w:dyaOrig="10290" w14:anchorId="4C9ACD3D">
          <v:shape id="_x0000_i1027" type="#_x0000_t75" style="width:417pt;height:514.5pt" o:ole="">
            <v:imagedata r:id="rId12" o:title=""/>
          </v:shape>
          <o:OLEObject Type="Embed" ProgID="Paint.Picture.1" ShapeID="_x0000_i1027" DrawAspect="Content" ObjectID="_1716106853" r:id="rId13"/>
        </w:object>
      </w:r>
    </w:p>
    <w:p w14:paraId="64CD7CFC" w14:textId="77777777" w:rsidR="002F6C66" w:rsidRDefault="002F6C66">
      <w:pPr>
        <w:spacing w:before="240" w:after="240" w:line="360" w:lineRule="auto"/>
        <w:ind w:right="49"/>
        <w:jc w:val="both"/>
        <w:rPr>
          <w:rFonts w:ascii="Palatino Linotype" w:eastAsia="Palatino Linotype" w:hAnsi="Palatino Linotype" w:cs="Palatino Linotype"/>
          <w:b/>
        </w:rPr>
      </w:pPr>
    </w:p>
    <w:p w14:paraId="3A40B35B" w14:textId="77777777" w:rsidR="002F6C66" w:rsidRDefault="002F6C66">
      <w:pPr>
        <w:spacing w:before="240" w:after="240" w:line="360" w:lineRule="auto"/>
        <w:ind w:right="49"/>
        <w:jc w:val="both"/>
        <w:rPr>
          <w:rFonts w:ascii="Palatino Linotype" w:eastAsia="Palatino Linotype" w:hAnsi="Palatino Linotype" w:cs="Palatino Linotype"/>
          <w:b/>
        </w:rPr>
      </w:pPr>
    </w:p>
    <w:p w14:paraId="5F2D7270" w14:textId="77777777" w:rsidR="002F6C66" w:rsidRDefault="00746DBC">
      <w:pPr>
        <w:spacing w:before="240" w:after="240" w:line="360" w:lineRule="auto"/>
        <w:ind w:right="49"/>
        <w:jc w:val="both"/>
        <w:rPr>
          <w:rFonts w:ascii="Palatino Linotype" w:eastAsia="Palatino Linotype" w:hAnsi="Palatino Linotype" w:cs="Palatino Linotype"/>
          <w:b/>
        </w:rPr>
      </w:pPr>
      <w:r>
        <w:object w:dxaOrig="8310" w:dyaOrig="10545" w14:anchorId="69C07653">
          <v:shape id="_x0000_i1028" type="#_x0000_t75" style="width:415.5pt;height:527.25pt" o:ole="">
            <v:imagedata r:id="rId14" o:title=""/>
          </v:shape>
          <o:OLEObject Type="Embed" ProgID="Paint.Picture.1" ShapeID="_x0000_i1028" DrawAspect="Content" ObjectID="_1716106854" r:id="rId15"/>
        </w:object>
      </w:r>
      <w:r>
        <w:rPr>
          <w:noProof/>
          <w:lang w:val="es-MX"/>
        </w:rPr>
        <mc:AlternateContent>
          <mc:Choice Requires="wps">
            <w:drawing>
              <wp:anchor distT="0" distB="0" distL="114300" distR="114300" simplePos="0" relativeHeight="251658240" behindDoc="0" locked="0" layoutInCell="1" hidden="0" allowOverlap="1" wp14:anchorId="17882DD7" wp14:editId="5E5342DB">
                <wp:simplePos x="0" y="0"/>
                <wp:positionH relativeFrom="column">
                  <wp:posOffset>152400</wp:posOffset>
                </wp:positionH>
                <wp:positionV relativeFrom="paragraph">
                  <wp:posOffset>2628900</wp:posOffset>
                </wp:positionV>
                <wp:extent cx="1209675" cy="180975"/>
                <wp:effectExtent l="0" t="0" r="0" b="0"/>
                <wp:wrapNone/>
                <wp:docPr id="75" name="Rectángulo 75"/>
                <wp:cNvGraphicFramePr/>
                <a:graphic xmlns:a="http://schemas.openxmlformats.org/drawingml/2006/main">
                  <a:graphicData uri="http://schemas.microsoft.com/office/word/2010/wordprocessingShape">
                    <wps:wsp>
                      <wps:cNvSpPr/>
                      <wps:spPr>
                        <a:xfrm>
                          <a:off x="4769738" y="3718088"/>
                          <a:ext cx="1152525" cy="123825"/>
                        </a:xfrm>
                        <a:prstGeom prst="rect">
                          <a:avLst/>
                        </a:prstGeom>
                        <a:noFill/>
                        <a:ln w="28575" cap="flat" cmpd="sng">
                          <a:solidFill>
                            <a:srgbClr val="002060"/>
                          </a:solidFill>
                          <a:prstDash val="solid"/>
                          <a:round/>
                          <a:headEnd type="none" w="sm" len="sm"/>
                          <a:tailEnd type="none" w="sm" len="sm"/>
                        </a:ln>
                      </wps:spPr>
                      <wps:txbx>
                        <w:txbxContent>
                          <w:p w14:paraId="1084B3B7" w14:textId="77777777" w:rsidR="002F6C66" w:rsidRDefault="002F6C66">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882DD7" id="Rectángulo 75" o:spid="_x0000_s1026" style="position:absolute;left:0;text-align:left;margin-left:12pt;margin-top:207pt;width:95.25pt;height:14.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" filled="f" strokecolor="#002060" strokeweight="2.25pt">
                <v:stroke startarrowwidth="narrow" startarrowlength="short" endarrowwidth="narrow" endarrowlength="short" joinstyle="round"/>
                <v:textbox inset="2.53958mm,2.53958mm,2.53958mm,2.53958mm">
                  <w:txbxContent>
                    <w:p w14:paraId="1084B3B7" w14:textId="77777777" w:rsidR="002F6C66" w:rsidRDefault="002F6C66">
                      <w:pPr>
                        <w:textDirection w:val="btLr"/>
                      </w:pPr>
                    </w:p>
                  </w:txbxContent>
                </v:textbox>
              </v:rect>
            </w:pict>
          </mc:Fallback>
        </mc:AlternateContent>
      </w:r>
    </w:p>
    <w:p w14:paraId="6D8C1E5B" w14:textId="77777777" w:rsidR="002F6C66" w:rsidRDefault="002F6C66">
      <w:pPr>
        <w:spacing w:before="240" w:after="240" w:line="360" w:lineRule="auto"/>
        <w:ind w:right="49"/>
        <w:jc w:val="both"/>
        <w:rPr>
          <w:rFonts w:ascii="Palatino Linotype" w:eastAsia="Palatino Linotype" w:hAnsi="Palatino Linotype" w:cs="Palatino Linotype"/>
          <w:b/>
        </w:rPr>
      </w:pPr>
    </w:p>
    <w:p w14:paraId="337589F0" w14:textId="77777777" w:rsidR="002F6C66" w:rsidRDefault="00746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En fecha</w:t>
      </w:r>
      <w:r>
        <w:rPr>
          <w:rFonts w:ascii="Palatino Linotype" w:eastAsia="Palatino Linotype" w:hAnsi="Palatino Linotype" w:cs="Palatino Linotype"/>
          <w:b/>
        </w:rPr>
        <w:t xml:space="preserve"> diez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su respuesta a la solicitud de información sustancialmente en los siguientes términos: </w:t>
      </w:r>
    </w:p>
    <w:p w14:paraId="3F397FD9" w14:textId="77777777" w:rsidR="002F6C66" w:rsidRDefault="00746DBC">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BEA827F" w14:textId="77777777" w:rsidR="002F6C66" w:rsidRDefault="00746DBC">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SOLICITANTE P R E S E N T E. En respuesta a la solicitud número 00489/METEPEC/IP/2022,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14:paraId="0E9D13BD" w14:textId="77777777" w:rsidR="002F6C66" w:rsidRDefault="00746DBC">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3B0AE5B8" w14:textId="77777777" w:rsidR="002F6C66" w:rsidRDefault="00746DBC">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Gerardo Arturo Ozuna Martínez”</w:t>
      </w:r>
    </w:p>
    <w:p w14:paraId="2C1B9631" w14:textId="77777777" w:rsidR="002F6C66" w:rsidRDefault="00746DBC">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(Sic) </w:t>
      </w:r>
    </w:p>
    <w:p w14:paraId="395DA12E" w14:textId="77777777" w:rsidR="002F6C66" w:rsidRDefault="00746DBC">
      <w:pPr>
        <w:spacing w:before="240" w:after="240"/>
        <w:ind w:left="567"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 adjunto: </w:t>
      </w:r>
    </w:p>
    <w:p w14:paraId="57FD3135" w14:textId="77777777" w:rsidR="002F6C66" w:rsidRDefault="00746DBC">
      <w:pPr>
        <w:spacing w:before="240" w:after="240" w:line="360" w:lineRule="auto"/>
        <w:ind w:left="567"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“TRANSP-6.pdf”: </w:t>
      </w:r>
      <w:r>
        <w:rPr>
          <w:rFonts w:ascii="Palatino Linotype" w:eastAsia="Palatino Linotype" w:hAnsi="Palatino Linotype" w:cs="Palatino Linotype"/>
          <w:sz w:val="22"/>
          <w:szCs w:val="22"/>
        </w:rPr>
        <w:t xml:space="preserve">Consiste en el oficio </w:t>
      </w:r>
      <w:r>
        <w:rPr>
          <w:rFonts w:ascii="Palatino Linotype" w:eastAsia="Palatino Linotype" w:hAnsi="Palatino Linotype" w:cs="Palatino Linotype"/>
          <w:b/>
          <w:sz w:val="22"/>
          <w:szCs w:val="22"/>
        </w:rPr>
        <w:t xml:space="preserve">CPCyB/075/2022, </w:t>
      </w:r>
      <w:r>
        <w:rPr>
          <w:rFonts w:ascii="Palatino Linotype" w:eastAsia="Palatino Linotype" w:hAnsi="Palatino Linotype" w:cs="Palatino Linotype"/>
          <w:sz w:val="22"/>
          <w:szCs w:val="22"/>
        </w:rPr>
        <w:t>mediante el cual, el Coordinador de Protección Civil y Bomberos manifestó que no organizó el ingreso de las personas al Palacio Municipal de Metepec, por lo que no cuenta con las medidas al respecto.</w:t>
      </w:r>
    </w:p>
    <w:p w14:paraId="2755B3BE" w14:textId="77777777" w:rsidR="002F6C66" w:rsidRDefault="00746DBC">
      <w:pPr>
        <w:spacing w:before="240" w:after="240" w:line="360" w:lineRule="auto"/>
        <w:ind w:left="567" w:right="902"/>
        <w:jc w:val="center"/>
        <w:rPr>
          <w:rFonts w:ascii="Palatino Linotype" w:eastAsia="Palatino Linotype" w:hAnsi="Palatino Linotype" w:cs="Palatino Linotype"/>
          <w:sz w:val="22"/>
          <w:szCs w:val="22"/>
        </w:rPr>
      </w:pPr>
      <w:r>
        <w:object w:dxaOrig="8790" w:dyaOrig="11115" w14:anchorId="3B38BCC7">
          <v:shape id="_x0000_i1029" type="#_x0000_t75" style="width:439.5pt;height:555.75pt" o:ole="">
            <v:imagedata r:id="rId16" o:title=""/>
          </v:shape>
          <o:OLEObject Type="Embed" ProgID="Paint.Picture.1" ShapeID="_x0000_i1029" DrawAspect="Content" ObjectID="_1716106855" r:id="rId17"/>
        </w:object>
      </w:r>
    </w:p>
    <w:p w14:paraId="1DDD52AC" w14:textId="77777777" w:rsidR="002F6C66" w:rsidRDefault="00746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interpuso el recurso de revisión materia del presente estudio el día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14:paraId="4EB9515F" w14:textId="77777777" w:rsidR="002F6C66" w:rsidRDefault="00746DBC">
      <w:pPr>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14:paraId="36738EE4" w14:textId="77777777" w:rsidR="002F6C66" w:rsidRDefault="002F6C66">
      <w:pPr>
        <w:ind w:right="567"/>
        <w:jc w:val="both"/>
        <w:rPr>
          <w:rFonts w:ascii="Palatino Linotype" w:eastAsia="Palatino Linotype" w:hAnsi="Palatino Linotype" w:cs="Palatino Linotype"/>
          <w:i/>
          <w:sz w:val="22"/>
          <w:szCs w:val="22"/>
        </w:rPr>
      </w:pPr>
    </w:p>
    <w:p w14:paraId="0A3D9174" w14:textId="77777777" w:rsidR="002F6C66" w:rsidRDefault="00746DBC">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proporcionada por el Sujeto Obligado.” (Sic)</w:t>
      </w:r>
    </w:p>
    <w:p w14:paraId="7701D3B2" w14:textId="77777777" w:rsidR="002F6C66" w:rsidRDefault="002F6C66">
      <w:pPr>
        <w:ind w:left="567" w:right="567"/>
        <w:jc w:val="both"/>
        <w:rPr>
          <w:rFonts w:ascii="Palatino Linotype" w:eastAsia="Palatino Linotype" w:hAnsi="Palatino Linotype" w:cs="Palatino Linotype"/>
          <w:i/>
          <w:sz w:val="22"/>
          <w:szCs w:val="22"/>
        </w:rPr>
      </w:pPr>
    </w:p>
    <w:p w14:paraId="1C235B96" w14:textId="77777777" w:rsidR="002F6C66" w:rsidRDefault="00746DBC">
      <w:pPr>
        <w:spacing w:before="240" w:after="240"/>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14:paraId="137D5027" w14:textId="77777777" w:rsidR="002F6C66" w:rsidRDefault="00746DBC">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La respuesta proporcionada por el sujeto obligado está repleta de deficiencias al incumplir con diversas disposiciones explícitamente señaladas por la Ley de Transparencia y Acceso a la Información Pública</w:t>
      </w:r>
      <w:r>
        <w:rPr>
          <w:rFonts w:ascii="Palatino Linotype" w:eastAsia="Palatino Linotype" w:hAnsi="Palatino Linotype" w:cs="Palatino Linotype"/>
          <w:i/>
          <w:sz w:val="22"/>
          <w:szCs w:val="22"/>
        </w:rPr>
        <w:t xml:space="preserv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w:t>
      </w:r>
      <w:r>
        <w:rPr>
          <w:rFonts w:ascii="Palatino Linotype" w:eastAsia="Palatino Linotype" w:hAnsi="Palatino Linotype" w:cs="Palatino Linotype"/>
          <w:b/>
          <w:i/>
          <w:sz w:val="22"/>
          <w:szCs w:val="22"/>
          <w:u w:val="single"/>
        </w:rPr>
        <w:t>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w:t>
      </w:r>
      <w:r>
        <w:rPr>
          <w:rFonts w:ascii="Palatino Linotype" w:eastAsia="Palatino Linotype" w:hAnsi="Palatino Linotype" w:cs="Palatino Linotype"/>
          <w:i/>
          <w:sz w:val="22"/>
          <w:szCs w:val="22"/>
        </w:rPr>
        <w:t xml:space="preserve">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w:t>
      </w:r>
      <w:r>
        <w:rPr>
          <w:rFonts w:ascii="Palatino Linotype" w:eastAsia="Palatino Linotype" w:hAnsi="Palatino Linotype" w:cs="Palatino Linotype"/>
          <w:i/>
          <w:sz w:val="22"/>
          <w:szCs w:val="22"/>
        </w:rPr>
        <w:lastRenderedPageBreak/>
        <w:t>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 (Énfasis añadido)</w:t>
      </w:r>
    </w:p>
    <w:p w14:paraId="4978A6A8" w14:textId="77777777" w:rsidR="002F6C66" w:rsidRDefault="002F6C66">
      <w:pPr>
        <w:ind w:right="49"/>
        <w:jc w:val="both"/>
        <w:rPr>
          <w:rFonts w:ascii="Palatino Linotype" w:eastAsia="Palatino Linotype" w:hAnsi="Palatino Linotype" w:cs="Palatino Linotype"/>
          <w:i/>
          <w:sz w:val="22"/>
          <w:szCs w:val="22"/>
        </w:rPr>
      </w:pPr>
    </w:p>
    <w:p w14:paraId="349E679A" w14:textId="77777777" w:rsidR="002F6C66" w:rsidRDefault="00746DBC">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14:paraId="3BF9605A" w14:textId="77777777" w:rsidR="002F6C66" w:rsidRDefault="002F6C66">
      <w:pPr>
        <w:widowControl w:val="0"/>
        <w:spacing w:line="360" w:lineRule="auto"/>
        <w:ind w:right="49"/>
        <w:jc w:val="both"/>
        <w:rPr>
          <w:rFonts w:ascii="Palatino Linotype" w:eastAsia="Palatino Linotype" w:hAnsi="Palatino Linotype" w:cs="Palatino Linotype"/>
        </w:rPr>
      </w:pPr>
    </w:p>
    <w:p w14:paraId="68F23BA1" w14:textId="77777777" w:rsidR="002F6C66" w:rsidRDefault="00746DBC">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Pr>
          <w:rFonts w:ascii="Palatino Linotype" w:eastAsia="Palatino Linotype" w:hAnsi="Palatino Linotype" w:cs="Palatino Linotype"/>
          <w:b/>
        </w:rPr>
        <w:t xml:space="preserve"> cuatro de marzo de dos mil veintidós </w:t>
      </w:r>
      <w:r>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14:paraId="2FE66EA6" w14:textId="77777777" w:rsidR="002F6C66" w:rsidRDefault="002F6C66">
      <w:pPr>
        <w:widowControl w:val="0"/>
        <w:spacing w:line="360" w:lineRule="auto"/>
        <w:ind w:right="49"/>
        <w:jc w:val="both"/>
        <w:rPr>
          <w:rFonts w:ascii="Palatino Linotype" w:eastAsia="Palatino Linotype" w:hAnsi="Palatino Linotype" w:cs="Palatino Linotype"/>
        </w:rPr>
      </w:pPr>
    </w:p>
    <w:p w14:paraId="362FA402" w14:textId="77777777" w:rsidR="002F6C66" w:rsidRDefault="00746DBC">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informe justificado, </w:t>
      </w:r>
      <w:r>
        <w:rPr>
          <w:rFonts w:ascii="Palatino Linotype" w:eastAsia="Palatino Linotype" w:hAnsi="Palatino Linotype" w:cs="Palatino Linotype"/>
        </w:rPr>
        <w:lastRenderedPageBreak/>
        <w:t xml:space="preserve">asimismo cabe señalar que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fue omisa en emitir pronunciamientos, ofrecer pruebas o alegatos, por lo que se tiene por precluido su derecho.</w:t>
      </w:r>
    </w:p>
    <w:p w14:paraId="5CB3A210" w14:textId="77777777" w:rsidR="002F6C66" w:rsidRDefault="00746DBC">
      <w:pPr>
        <w:widowControl w:val="0"/>
        <w:spacing w:line="360" w:lineRule="auto"/>
        <w:ind w:right="49"/>
        <w:jc w:val="both"/>
        <w:rPr>
          <w:rFonts w:ascii="Palatino Linotype" w:eastAsia="Palatino Linotype" w:hAnsi="Palatino Linotype" w:cs="Palatino Linotype"/>
        </w:rPr>
      </w:pPr>
      <w:r>
        <w:object w:dxaOrig="8790" w:dyaOrig="1395" w14:anchorId="0AAEE361">
          <v:shape id="_x0000_i1030" type="#_x0000_t75" style="width:439.5pt;height:69.75pt" o:ole="">
            <v:imagedata r:id="rId18" o:title=""/>
          </v:shape>
          <o:OLEObject Type="Embed" ProgID="Paint.Picture.1" ShapeID="_x0000_i1030" DrawAspect="Content" ObjectID="_1716106856" r:id="rId19"/>
        </w:object>
      </w:r>
    </w:p>
    <w:p w14:paraId="725D28A2" w14:textId="77777777" w:rsidR="002F6C66" w:rsidRDefault="00746DBC">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tres de mayo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a fin de aminorar los efectos que conlleva.</w:t>
      </w:r>
    </w:p>
    <w:p w14:paraId="7AECD379" w14:textId="77777777" w:rsidR="002F6C66" w:rsidRDefault="00746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Pr>
          <w:rFonts w:ascii="Palatino Linotype" w:eastAsia="Palatino Linotype" w:hAnsi="Palatino Linotype" w:cs="Palatino Linotype"/>
          <w:b/>
        </w:rPr>
        <w:t>diez</w:t>
      </w:r>
      <w:r>
        <w:rPr>
          <w:rFonts w:ascii="Palatino Linotype" w:eastAsia="Palatino Linotype" w:hAnsi="Palatino Linotype" w:cs="Palatino Linotype"/>
          <w:b/>
          <w:color w:val="000000"/>
        </w:rPr>
        <w:t xml:space="preserve"> de mayo </w:t>
      </w:r>
      <w:r>
        <w:rPr>
          <w:rFonts w:ascii="Palatino Linotype" w:eastAsia="Palatino Linotype" w:hAnsi="Palatino Linotype" w:cs="Palatino Linotype"/>
          <w:b/>
        </w:rPr>
        <w:t>de dos mil veintidós</w:t>
      </w:r>
      <w:r>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14:paraId="6A79B646" w14:textId="77777777" w:rsidR="002F6C66" w:rsidRDefault="00746DBC">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14:paraId="5A529C3B" w14:textId="77777777" w:rsidR="002F6C66" w:rsidRDefault="00746DBC">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highlight w:val="white"/>
        </w:rPr>
        <w:lastRenderedPageBreak/>
        <w:t>la parte recurrente,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E40667D" w14:textId="77777777" w:rsidR="002F6C66" w:rsidRDefault="00746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 xml:space="preserve">De conformidad con los requisitos de oportunidad que debe reunir el recurso de revisión interpuesto, previsto en el artículo 178, párrafo primero de la Ley de Transparencia y Acceso a la Información Pública del Estado de México y Municipios vigente, en la especie se advierte que el presente medio de impugnación fue interpuesto dentro del plazo de quince días previsto en el dispositivo referido,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el día </w:t>
      </w:r>
      <w:r>
        <w:rPr>
          <w:rFonts w:ascii="Palatino Linotype" w:eastAsia="Palatino Linotype" w:hAnsi="Palatino Linotype" w:cs="Palatino Linotype"/>
          <w:b/>
        </w:rPr>
        <w:t>diez de febrero de dos mil veintidós</w:t>
      </w:r>
      <w:r>
        <w:rPr>
          <w:rFonts w:ascii="Palatino Linotype" w:eastAsia="Palatino Linotype" w:hAnsi="Palatino Linotype" w:cs="Palatino Linotype"/>
        </w:rPr>
        <w:t xml:space="preserve">, mientras que el solicitante presentó su recurso de revisión el día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décimo segundo día hábil</w:t>
      </w:r>
      <w:r>
        <w:rPr>
          <w:rFonts w:ascii="Palatino Linotype" w:eastAsia="Palatino Linotype" w:hAnsi="Palatino Linotype" w:cs="Palatino Linotype"/>
        </w:rPr>
        <w:t xml:space="preserve"> siguiente en que tuvo conocimiento de la respuesta impugnada, de tal forma, se considera que la interposición del presente medio de impugnación se encuentra dentro de los márgenes temporales previstos en el citado precepto legal.</w:t>
      </w:r>
    </w:p>
    <w:p w14:paraId="77A8A831" w14:textId="77777777" w:rsidR="002F6C66" w:rsidRDefault="00746DB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por cuanto hace a la procedibilidad del recurso de revisión,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no señaló nombre o seudónimo con el cual desee ser identificado, como se advierte en el detalle de seguimiento del </w:t>
      </w:r>
      <w:r>
        <w:rPr>
          <w:rFonts w:ascii="Palatino Linotype" w:eastAsia="Palatino Linotype" w:hAnsi="Palatino Linotype" w:cs="Palatino Linotype"/>
          <w:color w:val="000000"/>
        </w:rPr>
        <w:lastRenderedPageBreak/>
        <w:t>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C495764" w14:textId="77777777" w:rsidR="002F6C66" w:rsidRDefault="00746DBC">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44AA46E8" w14:textId="77777777" w:rsidR="002F6C66" w:rsidRDefault="00746DBC">
      <w:pPr>
        <w:spacing w:before="240" w:after="240" w:line="360" w:lineRule="auto"/>
        <w:ind w:right="49"/>
        <w:jc w:val="both"/>
        <w:rPr>
          <w:rFonts w:ascii="Quattrocento Sans" w:eastAsia="Quattrocento Sans" w:hAnsi="Quattrocento Sans" w:cs="Quattrocento Sans"/>
        </w:rPr>
      </w:pPr>
      <w:r>
        <w:rPr>
          <w:rFonts w:ascii="Palatino Linotype" w:eastAsia="Palatino Linotype" w:hAnsi="Palatino Linotype" w:cs="Palatino Linotype"/>
        </w:rPr>
        <w:t xml:space="preserve">Así las cosas,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 al actualizarse lo dispuesto en los artículos 176 y 179 fracción </w:t>
      </w:r>
      <w:r>
        <w:rPr>
          <w:rFonts w:ascii="Palatino Linotype" w:eastAsia="Palatino Linotype" w:hAnsi="Palatino Linotype" w:cs="Palatino Linotype"/>
          <w:b/>
        </w:rPr>
        <w:t xml:space="preserve">I </w:t>
      </w:r>
      <w:r>
        <w:rPr>
          <w:rFonts w:ascii="Palatino Linotype" w:eastAsia="Palatino Linotype" w:hAnsi="Palatino Linotype" w:cs="Palatino Linotype"/>
        </w:rPr>
        <w:t>del ordenamiento legal citado, que establecen los supuestos en que puede interponerse el recurso de revisión:</w:t>
      </w:r>
    </w:p>
    <w:p w14:paraId="536F193B" w14:textId="77777777" w:rsidR="002F6C66" w:rsidRDefault="00746DBC">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176.</w:t>
      </w:r>
      <w:r>
        <w:rPr>
          <w:rFonts w:ascii="Palatino Linotype" w:eastAsia="Palatino Linotype" w:hAnsi="Palatino Linotype" w:cs="Palatino Linotype"/>
          <w:i/>
          <w:sz w:val="22"/>
          <w:szCs w:val="22"/>
        </w:rPr>
        <w:t xml:space="preserve"> El recurso de revisión es la garantía secundaria mediante la cual se pretende reparar cualquier posible afectación al derecho de acceso a la información pública en términos del presente y del siguiente Capítulo.</w:t>
      </w:r>
    </w:p>
    <w:p w14:paraId="6827DC4D" w14:textId="77777777" w:rsidR="002F6C66" w:rsidRDefault="00746DBC">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5C3B5714" w14:textId="77777777" w:rsidR="002F6C66" w:rsidRDefault="00746DBC">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p>
    <w:p w14:paraId="6B8883B0" w14:textId="77777777" w:rsidR="002F6C66" w:rsidRDefault="00746DBC">
      <w:pPr>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 ” </w:t>
      </w:r>
    </w:p>
    <w:p w14:paraId="6F30E694" w14:textId="77777777" w:rsidR="002F6C66" w:rsidRDefault="00746DBC">
      <w:pPr>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14:paraId="420AAE7B" w14:textId="77777777" w:rsidR="002F6C66" w:rsidRDefault="00746DBC">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w:t>
      </w:r>
      <w:r>
        <w:rPr>
          <w:rFonts w:ascii="Palatino Linotype" w:eastAsia="Palatino Linotype" w:hAnsi="Palatino Linotype" w:cs="Palatino Linotype"/>
        </w:rPr>
        <w:lastRenderedPageBreak/>
        <w:t xml:space="preserve">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14:paraId="2ED4821F" w14:textId="77777777" w:rsidR="002F6C66" w:rsidRDefault="00746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990A625" w14:textId="77777777" w:rsidR="002F6C66" w:rsidRDefault="00746DBC">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D42ACD7" w14:textId="77777777" w:rsidR="002F6C66" w:rsidRDefault="00746DBC">
      <w:pPr>
        <w:tabs>
          <w:tab w:val="left" w:pos="709"/>
        </w:tabs>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1ED6DF3" w14:textId="77777777" w:rsidR="002F6C66" w:rsidRDefault="00746DBC">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C9FE5CF" w14:textId="77777777" w:rsidR="002F6C66" w:rsidRDefault="00746DBC">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D400AA4" w14:textId="77777777" w:rsidR="002F6C66" w:rsidRDefault="00746DBC">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7CE52A9D" w14:textId="77777777" w:rsidR="002F6C66" w:rsidRDefault="00746DBC">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EA0BE98" w14:textId="77777777" w:rsidR="002F6C66" w:rsidRDefault="00746DB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77BCCD45" w14:textId="77777777" w:rsidR="002F6C66" w:rsidRDefault="00746DB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211BBA3E" w14:textId="77777777" w:rsidR="002F6C66" w:rsidRDefault="00746DB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w:t>
      </w:r>
      <w:r>
        <w:rPr>
          <w:rFonts w:ascii="Palatino Linotype" w:eastAsia="Palatino Linotype" w:hAnsi="Palatino Linotype" w:cs="Palatino Linotype"/>
          <w:b/>
          <w:i/>
          <w:sz w:val="22"/>
          <w:szCs w:val="22"/>
        </w:rPr>
        <w:t xml:space="preserve">ámbito </w:t>
      </w:r>
      <w:r>
        <w:rPr>
          <w:rFonts w:ascii="Palatino Linotype" w:eastAsia="Palatino Linotype" w:hAnsi="Palatino Linotype" w:cs="Palatino Linotype"/>
          <w:i/>
          <w:sz w:val="22"/>
          <w:szCs w:val="22"/>
        </w:rPr>
        <w:t xml:space="preserve">federal, estatal y </w:t>
      </w:r>
      <w:r>
        <w:rPr>
          <w:rFonts w:ascii="Palatino Linotype" w:eastAsia="Palatino Linotype" w:hAnsi="Palatino Linotype" w:cs="Palatino Linotype"/>
          <w:b/>
          <w:i/>
          <w:sz w:val="22"/>
          <w:szCs w:val="22"/>
        </w:rPr>
        <w:t>municipal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FC49ED6" w14:textId="77777777" w:rsidR="002F6C66" w:rsidRDefault="00746DB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750E4810" w14:textId="77777777" w:rsidR="002F6C66" w:rsidRDefault="00746DBC">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FEF833A" w14:textId="77777777" w:rsidR="002F6C66" w:rsidRDefault="00746DB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628A13D2" w14:textId="77777777" w:rsidR="002F6C66" w:rsidRDefault="00746DB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662751A1" w14:textId="77777777" w:rsidR="002F6C66" w:rsidRDefault="00746DB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0D736E60" w14:textId="77777777" w:rsidR="002F6C66" w:rsidRDefault="00746DB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05E0708" w14:textId="77777777" w:rsidR="002F6C66" w:rsidRDefault="002F6C66">
      <w:pPr>
        <w:ind w:left="851" w:right="851"/>
        <w:jc w:val="both"/>
        <w:rPr>
          <w:rFonts w:ascii="Palatino Linotype" w:eastAsia="Palatino Linotype" w:hAnsi="Palatino Linotype" w:cs="Palatino Linotype"/>
          <w:i/>
          <w:sz w:val="22"/>
          <w:szCs w:val="22"/>
        </w:rPr>
      </w:pPr>
    </w:p>
    <w:p w14:paraId="5240938C" w14:textId="77777777" w:rsidR="002F6C66" w:rsidRDefault="00746DB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269534E" w14:textId="77777777" w:rsidR="002F6C66" w:rsidRDefault="00746DB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6DAD8AF6" w14:textId="77777777" w:rsidR="002F6C66" w:rsidRDefault="00746DB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5B8DEFA" w14:textId="77777777" w:rsidR="002F6C66" w:rsidRDefault="00746DB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104EEDF9" w14:textId="77777777" w:rsidR="002F6C66" w:rsidRDefault="00746DB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F0C1212" w14:textId="77777777" w:rsidR="002F6C66" w:rsidRDefault="002F6C66">
      <w:pPr>
        <w:ind w:right="851"/>
        <w:jc w:val="both"/>
        <w:rPr>
          <w:rFonts w:ascii="Palatino Linotype" w:eastAsia="Palatino Linotype" w:hAnsi="Palatino Linotype" w:cs="Palatino Linotype"/>
          <w:i/>
          <w:sz w:val="22"/>
          <w:szCs w:val="22"/>
        </w:rPr>
      </w:pPr>
    </w:p>
    <w:p w14:paraId="4D1E013F" w14:textId="77777777" w:rsidR="002F6C66" w:rsidRDefault="00746DBC">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dichos dispositivos legales.</w:t>
      </w:r>
    </w:p>
    <w:p w14:paraId="1322BD62" w14:textId="77777777" w:rsidR="002F6C66" w:rsidRDefault="00746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6C816DE" w14:textId="77777777" w:rsidR="002F6C66" w:rsidRDefault="00746DBC">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5221A51" w14:textId="77777777" w:rsidR="002F6C66" w:rsidRDefault="00746DBC">
      <w:pPr>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w:t>
      </w:r>
      <w:r>
        <w:rPr>
          <w:rFonts w:ascii="Palatino Linotype" w:eastAsia="Palatino Linotype" w:hAnsi="Palatino Linotype" w:cs="Palatino Linotype"/>
          <w:b/>
          <w:i/>
          <w:sz w:val="22"/>
          <w:szCs w:val="22"/>
        </w:rPr>
        <w:lastRenderedPageBreak/>
        <w:t>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8585CD4" w14:textId="77777777" w:rsidR="002F6C66" w:rsidRDefault="00746DBC">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70EE3530" w14:textId="77777777" w:rsidR="002F6C66" w:rsidRDefault="002F6C66">
      <w:pPr>
        <w:spacing w:line="360" w:lineRule="auto"/>
        <w:jc w:val="both"/>
        <w:rPr>
          <w:rFonts w:ascii="Palatino Linotype" w:eastAsia="Palatino Linotype" w:hAnsi="Palatino Linotype" w:cs="Palatino Linotype"/>
        </w:rPr>
      </w:pPr>
    </w:p>
    <w:p w14:paraId="7D7B5C28" w14:textId="77777777" w:rsidR="002F6C66" w:rsidRDefault="00746DB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Pr>
          <w:rFonts w:ascii="Palatino Linotype" w:eastAsia="Palatino Linotype" w:hAnsi="Palatino Linotype" w:cs="Palatino Linotype"/>
          <w:b/>
        </w:rPr>
        <w:t>artículo 12</w:t>
      </w:r>
      <w:r>
        <w:rPr>
          <w:rFonts w:ascii="Palatino Linotype" w:eastAsia="Palatino Linotype" w:hAnsi="Palatino Linotype" w:cs="Palatino Linotype"/>
        </w:rPr>
        <w:t xml:space="preserve"> de la Ley de Transparencia y Acceso a la Información Pública del Estado de México y Municipios, el cual a la letra dice:</w:t>
      </w:r>
    </w:p>
    <w:p w14:paraId="008B7620" w14:textId="77777777" w:rsidR="002F6C66" w:rsidRDefault="002F6C66">
      <w:pPr>
        <w:spacing w:line="360" w:lineRule="auto"/>
        <w:jc w:val="both"/>
        <w:rPr>
          <w:rFonts w:ascii="Palatino Linotype" w:eastAsia="Palatino Linotype" w:hAnsi="Palatino Linotype" w:cs="Palatino Linotype"/>
        </w:rPr>
      </w:pPr>
    </w:p>
    <w:p w14:paraId="013F6C64" w14:textId="77777777" w:rsidR="002F6C66" w:rsidRDefault="00746DB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92DE5BC" w14:textId="77777777" w:rsidR="002F6C66" w:rsidRDefault="002F6C66">
      <w:pPr>
        <w:ind w:left="851" w:right="851"/>
        <w:jc w:val="both"/>
        <w:rPr>
          <w:rFonts w:ascii="Palatino Linotype" w:eastAsia="Palatino Linotype" w:hAnsi="Palatino Linotype" w:cs="Palatino Linotype"/>
          <w:i/>
          <w:sz w:val="22"/>
          <w:szCs w:val="22"/>
        </w:rPr>
      </w:pPr>
    </w:p>
    <w:p w14:paraId="70D3457B" w14:textId="77777777" w:rsidR="002F6C66" w:rsidRDefault="00746DB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741D6BA7" w14:textId="77777777" w:rsidR="002F6C66" w:rsidRDefault="002F6C66">
      <w:pPr>
        <w:spacing w:line="360" w:lineRule="auto"/>
        <w:jc w:val="both"/>
        <w:rPr>
          <w:rFonts w:ascii="Palatino Linotype" w:eastAsia="Palatino Linotype" w:hAnsi="Palatino Linotype" w:cs="Palatino Linotype"/>
        </w:rPr>
      </w:pPr>
    </w:p>
    <w:p w14:paraId="27B7DC22" w14:textId="77777777" w:rsidR="002F6C66" w:rsidRDefault="00746DB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xml:space="preserve">, para satisfacer el derecho de acceso a la información pública, como así lo establece el criterio 03/17 emitidos por el Instituto </w:t>
      </w:r>
      <w:r>
        <w:rPr>
          <w:rFonts w:ascii="Palatino Linotype" w:eastAsia="Palatino Linotype" w:hAnsi="Palatino Linotype" w:cs="Palatino Linotype"/>
        </w:rPr>
        <w:lastRenderedPageBreak/>
        <w:t>Nacional de Transparencia, Acceso a la Información Pública y Protección de Datos Personales, los cuales señalan lo siguiente:</w:t>
      </w:r>
    </w:p>
    <w:p w14:paraId="5384BE92" w14:textId="77777777" w:rsidR="002F6C66" w:rsidRDefault="002F6C66">
      <w:pPr>
        <w:ind w:left="851" w:right="851"/>
        <w:jc w:val="both"/>
        <w:rPr>
          <w:rFonts w:ascii="Palatino Linotype" w:eastAsia="Palatino Linotype" w:hAnsi="Palatino Linotype" w:cs="Palatino Linotype"/>
          <w:b/>
          <w:i/>
          <w:sz w:val="22"/>
          <w:szCs w:val="22"/>
        </w:rPr>
      </w:pPr>
    </w:p>
    <w:p w14:paraId="268FC60D" w14:textId="77777777" w:rsidR="002F6C66" w:rsidRDefault="00746DBC">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74ADA07C" w14:textId="77777777" w:rsidR="002F6C66" w:rsidRDefault="00746DBC">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 ACIÓN.</w:t>
      </w:r>
    </w:p>
    <w:p w14:paraId="43F2A4FD" w14:textId="77777777" w:rsidR="002F6C66" w:rsidRDefault="00746DB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EB06623" w14:textId="77777777" w:rsidR="002F6C66" w:rsidRDefault="002F6C66">
      <w:pPr>
        <w:spacing w:line="360" w:lineRule="auto"/>
        <w:jc w:val="both"/>
        <w:rPr>
          <w:rFonts w:ascii="Palatino Linotype" w:eastAsia="Palatino Linotype" w:hAnsi="Palatino Linotype" w:cs="Palatino Linotype"/>
        </w:rPr>
      </w:pPr>
    </w:p>
    <w:p w14:paraId="604B1997" w14:textId="77777777" w:rsidR="002F6C66" w:rsidRDefault="00746DB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14:paraId="3C219DA2" w14:textId="77777777" w:rsidR="002F6C66" w:rsidRDefault="00746DB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14:paraId="70A91947" w14:textId="77777777" w:rsidR="002F6C66" w:rsidRDefault="002F6C66">
      <w:pPr>
        <w:ind w:left="851" w:right="851"/>
        <w:jc w:val="both"/>
        <w:rPr>
          <w:rFonts w:ascii="Palatino Linotype" w:eastAsia="Palatino Linotype" w:hAnsi="Palatino Linotype" w:cs="Palatino Linotype"/>
          <w:b/>
          <w:i/>
          <w:sz w:val="22"/>
          <w:szCs w:val="22"/>
        </w:rPr>
      </w:pPr>
    </w:p>
    <w:p w14:paraId="223BB94C" w14:textId="77777777" w:rsidR="002F6C66" w:rsidRDefault="00746DB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14:paraId="68405FDD" w14:textId="77777777" w:rsidR="002F6C66" w:rsidRDefault="002F6C66">
      <w:pPr>
        <w:ind w:left="851" w:right="851"/>
        <w:jc w:val="both"/>
        <w:rPr>
          <w:rFonts w:ascii="Palatino Linotype" w:eastAsia="Palatino Linotype" w:hAnsi="Palatino Linotype" w:cs="Palatino Linotype"/>
          <w:i/>
          <w:sz w:val="22"/>
          <w:szCs w:val="22"/>
        </w:rPr>
      </w:pPr>
    </w:p>
    <w:p w14:paraId="08AA9787" w14:textId="77777777" w:rsidR="002F6C66" w:rsidRDefault="00746DB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1383BB49" w14:textId="77777777" w:rsidR="002F6C66" w:rsidRDefault="002F6C66">
      <w:pPr>
        <w:ind w:left="851" w:right="851"/>
        <w:jc w:val="both"/>
        <w:rPr>
          <w:rFonts w:ascii="Palatino Linotype" w:eastAsia="Palatino Linotype" w:hAnsi="Palatino Linotype" w:cs="Palatino Linotype"/>
          <w:i/>
          <w:sz w:val="22"/>
          <w:szCs w:val="22"/>
        </w:rPr>
      </w:pPr>
    </w:p>
    <w:p w14:paraId="3FB49D8F" w14:textId="77777777" w:rsidR="002F6C66" w:rsidRDefault="00746DB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Si el sujeto obligado, en el ejercicio de sus atribuciones, debía generar, poseer o administrar la información, pero ésta no se encuentra, el Comité de transparencia </w:t>
      </w:r>
      <w:r>
        <w:rPr>
          <w:rFonts w:ascii="Palatino Linotype" w:eastAsia="Palatino Linotype" w:hAnsi="Palatino Linotype" w:cs="Palatino Linotype"/>
          <w:i/>
          <w:sz w:val="22"/>
          <w:szCs w:val="22"/>
        </w:rPr>
        <w:lastRenderedPageBreak/>
        <w:t>deberá emitir un acuerdo de inexistencia, debidamente fundado y motivado, en el que detalle las razones del por qué no obra en sus archivos.</w:t>
      </w:r>
    </w:p>
    <w:p w14:paraId="0F0D6014" w14:textId="77777777" w:rsidR="002F6C66" w:rsidRDefault="002F6C66">
      <w:pPr>
        <w:ind w:left="851" w:right="851"/>
        <w:jc w:val="both"/>
        <w:rPr>
          <w:rFonts w:ascii="Palatino Linotype" w:eastAsia="Palatino Linotype" w:hAnsi="Palatino Linotype" w:cs="Palatino Linotype"/>
          <w:i/>
          <w:sz w:val="22"/>
          <w:szCs w:val="22"/>
        </w:rPr>
      </w:pPr>
    </w:p>
    <w:p w14:paraId="0F2B8CAD" w14:textId="77777777" w:rsidR="002F6C66" w:rsidRDefault="00746DB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14C07F2C" w14:textId="77777777" w:rsidR="002F6C66" w:rsidRDefault="00746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37DB88E9" w14:textId="77777777" w:rsidR="002F6C66" w:rsidRDefault="00746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rPr>
        <w:t>cualquier otro registro que documente el ejercicio de las facultades, funciones, obligaciones y competencias de los Sujetos Obligados</w:t>
      </w:r>
      <w:r>
        <w:rPr>
          <w:rFonts w:ascii="Palatino Linotype" w:eastAsia="Palatino Linotype" w:hAnsi="Palatino Linotype" w:cs="Palatino Linotype"/>
        </w:rPr>
        <w:t xml:space="preserve">; </w:t>
      </w:r>
      <w:r>
        <w:rPr>
          <w:rFonts w:ascii="Palatino Linotype" w:eastAsia="Palatino Linotype" w:hAnsi="Palatino Linotype" w:cs="Palatino Linotype"/>
          <w:b/>
        </w:rPr>
        <w:t>los que, podrán estar en cualquier medio</w:t>
      </w:r>
      <w:r>
        <w:rPr>
          <w:rFonts w:ascii="Palatino Linotype" w:eastAsia="Palatino Linotype" w:hAnsi="Palatino Linotype" w:cs="Palatino Linotype"/>
        </w:rPr>
        <w:t xml:space="preserve">, sea escrito, impreso, sonoro, visual, </w:t>
      </w:r>
      <w:r>
        <w:rPr>
          <w:rFonts w:ascii="Palatino Linotype" w:eastAsia="Palatino Linotype" w:hAnsi="Palatino Linotype" w:cs="Palatino Linotype"/>
          <w:b/>
        </w:rPr>
        <w:t>electrónico</w:t>
      </w:r>
      <w:r>
        <w:rPr>
          <w:rFonts w:ascii="Palatino Linotype" w:eastAsia="Palatino Linotype" w:hAnsi="Palatino Linotype" w:cs="Palatino Linotype"/>
        </w:rPr>
        <w:t xml:space="preserve">, informático u holográfico, esto es, </w:t>
      </w:r>
      <w:r>
        <w:rPr>
          <w:rFonts w:ascii="Palatino Linotype" w:eastAsia="Palatino Linotype" w:hAnsi="Palatino Linotype" w:cs="Palatino Linotype"/>
          <w:b/>
        </w:rPr>
        <w:t xml:space="preserve">el derecho de acceso a la información pública, se define en cuanto a su alcance y resultado material, el acceso a los archivos, registros y documentos públicos, administrados, generados o en posesión de los órganos u organismos públicos, en virtud del ejercicio de sus </w:t>
      </w:r>
      <w:r>
        <w:rPr>
          <w:rFonts w:ascii="Palatino Linotype" w:eastAsia="Palatino Linotype" w:hAnsi="Palatino Linotype" w:cs="Palatino Linotype"/>
          <w:b/>
        </w:rPr>
        <w:lastRenderedPageBreak/>
        <w:t>funciones de derecho público, sin importar su fuente, soporte o fecha de elaboración.</w:t>
      </w:r>
    </w:p>
    <w:p w14:paraId="7C2028E2" w14:textId="77777777" w:rsidR="002F6C66" w:rsidRDefault="00746DBC">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78CD68EC" w14:textId="77777777" w:rsidR="002F6C66" w:rsidRDefault="00746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previo al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14:paraId="7B3F2BA1" w14:textId="77777777" w:rsidR="002F6C66" w:rsidRDefault="00746DBC">
      <w:pPr>
        <w:numPr>
          <w:ilvl w:val="0"/>
          <w:numId w:val="6"/>
        </w:numPr>
        <w:pBdr>
          <w:top w:val="nil"/>
          <w:left w:val="nil"/>
          <w:bottom w:val="nil"/>
          <w:right w:val="nil"/>
          <w:between w:val="nil"/>
        </w:pBdr>
        <w:tabs>
          <w:tab w:val="left" w:pos="7513"/>
        </w:tabs>
        <w:spacing w:line="360" w:lineRule="auto"/>
        <w:ind w:right="8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Cuáles fueron las medidas sanitarias para el ingreso de tantas personas al Palacio Municipal de Metepec. </w:t>
      </w:r>
    </w:p>
    <w:p w14:paraId="4179B01B" w14:textId="77777777" w:rsidR="002F6C66" w:rsidRDefault="002F6C66">
      <w:pPr>
        <w:pBdr>
          <w:top w:val="nil"/>
          <w:left w:val="nil"/>
          <w:bottom w:val="nil"/>
          <w:right w:val="nil"/>
          <w:between w:val="nil"/>
        </w:pBdr>
        <w:tabs>
          <w:tab w:val="left" w:pos="7513"/>
        </w:tabs>
        <w:spacing w:line="360" w:lineRule="auto"/>
        <w:ind w:left="720" w:right="851"/>
        <w:jc w:val="both"/>
        <w:rPr>
          <w:rFonts w:ascii="Palatino Linotype" w:eastAsia="Palatino Linotype" w:hAnsi="Palatino Linotype" w:cs="Palatino Linotype"/>
        </w:rPr>
      </w:pPr>
    </w:p>
    <w:p w14:paraId="7465D5F2" w14:textId="77777777" w:rsidR="002F6C66" w:rsidRDefault="00746DBC">
      <w:pPr>
        <w:tabs>
          <w:tab w:val="left" w:pos="751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las cosas, el </w:t>
      </w:r>
      <w:r>
        <w:rPr>
          <w:rFonts w:ascii="Palatino Linotype" w:eastAsia="Palatino Linotype" w:hAnsi="Palatino Linotype" w:cs="Palatino Linotype"/>
          <w:b/>
        </w:rPr>
        <w:t>Sujeto Obligado</w:t>
      </w:r>
      <w:r>
        <w:rPr>
          <w:rFonts w:ascii="Palatino Linotype" w:eastAsia="Palatino Linotype" w:hAnsi="Palatino Linotype" w:cs="Palatino Linotype"/>
        </w:rPr>
        <w:t>, manifestó en respuesta, por conducto del Coordinador de Protección Civil y Bomberos manifestó que no organizó el ingreso de las personas al Palacio Municipal de Metepec, por lo que no cuenta con las medidas al respecto.</w:t>
      </w:r>
    </w:p>
    <w:p w14:paraId="01CD9277" w14:textId="77777777" w:rsidR="002F6C66" w:rsidRDefault="002F6C66">
      <w:pPr>
        <w:tabs>
          <w:tab w:val="left" w:pos="7513"/>
        </w:tabs>
        <w:spacing w:line="360" w:lineRule="auto"/>
        <w:ind w:right="49"/>
        <w:jc w:val="both"/>
        <w:rPr>
          <w:rFonts w:ascii="Palatino Linotype" w:eastAsia="Palatino Linotype" w:hAnsi="Palatino Linotype" w:cs="Palatino Linotype"/>
        </w:rPr>
      </w:pPr>
    </w:p>
    <w:p w14:paraId="467881EC" w14:textId="77777777" w:rsidR="002F6C66" w:rsidRDefault="00746DBC">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Expuesto lo anterior, es de suma importancia destacar que del análisis a las constancias que obran en el expediente electrónico, en el formato de interposición del recurso de revisión que nos ocupa, específicamente en lo vertido en el acto impugnado </w:t>
      </w:r>
      <w:r>
        <w:rPr>
          <w:rFonts w:ascii="Palatino Linotype" w:eastAsia="Palatino Linotype" w:hAnsi="Palatino Linotype" w:cs="Palatino Linotype"/>
          <w:i/>
        </w:rPr>
        <w:t>“…</w:t>
      </w:r>
      <w:r>
        <w:rPr>
          <w:rFonts w:ascii="Palatino Linotype" w:eastAsia="Palatino Linotype" w:hAnsi="Palatino Linotype" w:cs="Palatino Linotype"/>
          <w:b/>
          <w:i/>
        </w:rPr>
        <w:t>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w:t>
      </w:r>
      <w:r>
        <w:rPr>
          <w:rFonts w:ascii="Palatino Linotype" w:eastAsia="Palatino Linotype" w:hAnsi="Palatino Linotype" w:cs="Palatino Linotype"/>
          <w:i/>
        </w:rPr>
        <w:t>”</w:t>
      </w:r>
      <w:r>
        <w:rPr>
          <w:rFonts w:ascii="Palatino Linotype" w:eastAsia="Palatino Linotype" w:hAnsi="Palatino Linotype" w:cs="Palatino Linotype"/>
        </w:rPr>
        <w:t xml:space="preserve"> </w:t>
      </w:r>
      <w:r>
        <w:rPr>
          <w:rFonts w:ascii="Palatino Linotype" w:eastAsia="Palatino Linotype" w:hAnsi="Palatino Linotype" w:cs="Palatino Linotype"/>
          <w:i/>
        </w:rPr>
        <w:t>(Sic) (Énfasis añadido)</w:t>
      </w:r>
    </w:p>
    <w:p w14:paraId="181D1866" w14:textId="77777777" w:rsidR="002F6C66" w:rsidRDefault="002F6C66">
      <w:pPr>
        <w:spacing w:line="360" w:lineRule="auto"/>
        <w:jc w:val="both"/>
        <w:rPr>
          <w:rFonts w:ascii="Palatino Linotype" w:eastAsia="Palatino Linotype" w:hAnsi="Palatino Linotype" w:cs="Palatino Linotype"/>
        </w:rPr>
      </w:pPr>
    </w:p>
    <w:p w14:paraId="2F3DCD7C" w14:textId="77777777" w:rsidR="002F6C66" w:rsidRDefault="00746DB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Debe precisarse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fue omiso en remitir su informe justificado, asimismo el particular no emitió sus alegatos, manifestaciones o cualquier argumento que a su derecho convenga, por lo cual debemos remitirnos al estudio de lo siguiente: </w:t>
      </w:r>
    </w:p>
    <w:p w14:paraId="7100CC03" w14:textId="77777777" w:rsidR="002F6C66" w:rsidRDefault="002F6C66">
      <w:pPr>
        <w:spacing w:line="360" w:lineRule="auto"/>
        <w:jc w:val="both"/>
        <w:rPr>
          <w:rFonts w:ascii="Palatino Linotype" w:eastAsia="Palatino Linotype" w:hAnsi="Palatino Linotype" w:cs="Palatino Linotype"/>
        </w:rPr>
      </w:pPr>
    </w:p>
    <w:p w14:paraId="469F713F" w14:textId="77777777" w:rsidR="002F6C66" w:rsidRDefault="00746DBC">
      <w:pPr>
        <w:tabs>
          <w:tab w:val="left" w:pos="751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primera instancia, conviene precisar que el particular peticionó de forma específica le sea entregado el documento en donde consten</w:t>
      </w:r>
      <w:r>
        <w:t xml:space="preserve"> </w:t>
      </w:r>
      <w:r>
        <w:rPr>
          <w:rFonts w:ascii="Palatino Linotype" w:eastAsia="Palatino Linotype" w:hAnsi="Palatino Linotype" w:cs="Palatino Linotype"/>
        </w:rPr>
        <w:t xml:space="preserve">las medidas sanitarias para el ingreso de tantas personas al Palacio Municipal de Metepec, del Coordinador de Protección Civil y Bomberos manifestó que no organizó el ingreso </w:t>
      </w:r>
      <w:r>
        <w:rPr>
          <w:rFonts w:ascii="Palatino Linotype" w:eastAsia="Palatino Linotype" w:hAnsi="Palatino Linotype" w:cs="Palatino Linotype"/>
        </w:rPr>
        <w:lastRenderedPageBreak/>
        <w:t>de las personas al Palacio Municipal de Metepec, por lo que no cuenta con las medidas al respecto.</w:t>
      </w:r>
    </w:p>
    <w:p w14:paraId="6DC855ED" w14:textId="77777777" w:rsidR="002F6C66" w:rsidRDefault="002F6C66">
      <w:pPr>
        <w:tabs>
          <w:tab w:val="left" w:pos="7513"/>
        </w:tabs>
        <w:spacing w:line="360" w:lineRule="auto"/>
        <w:ind w:right="49"/>
        <w:jc w:val="both"/>
        <w:rPr>
          <w:rFonts w:ascii="Palatino Linotype" w:eastAsia="Palatino Linotype" w:hAnsi="Palatino Linotype" w:cs="Palatino Linotype"/>
        </w:rPr>
      </w:pPr>
    </w:p>
    <w:p w14:paraId="39954F59" w14:textId="77777777" w:rsidR="002F6C66" w:rsidRDefault="00746DBC">
      <w:pPr>
        <w:tabs>
          <w:tab w:val="left" w:pos="751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y toda vez que el área a la que se turnó la solicitud de información se declaró incompetente para generar, poseer o administrar la información, el Sujeto Obligado deberá turnar a las áreas encargadas de generar, poseer o administrar en su caso la información relacionada con los protocolos sanitarios implementados por el ayuntamiento para evitar la propagación del </w:t>
      </w:r>
      <w:r>
        <w:rPr>
          <w:rFonts w:ascii="Palatino Linotype" w:eastAsia="Palatino Linotype" w:hAnsi="Palatino Linotype" w:cs="Palatino Linotype"/>
          <w:color w:val="000000"/>
        </w:rPr>
        <w:t>coronavirus SARS-Cov-2</w:t>
      </w:r>
      <w:r>
        <w:rPr>
          <w:rFonts w:ascii="Palatino Linotype" w:eastAsia="Palatino Linotype" w:hAnsi="Palatino Linotype" w:cs="Palatino Linotype"/>
        </w:rPr>
        <w:t xml:space="preserve">, para cualquier evento o actividad que se llevé a cabo en el palacio municipal. </w:t>
      </w:r>
    </w:p>
    <w:p w14:paraId="3011D2B0" w14:textId="77777777" w:rsidR="002F6C66" w:rsidRDefault="002F6C66">
      <w:pPr>
        <w:tabs>
          <w:tab w:val="left" w:pos="7513"/>
        </w:tabs>
        <w:spacing w:line="360" w:lineRule="auto"/>
        <w:ind w:right="49"/>
        <w:jc w:val="both"/>
        <w:rPr>
          <w:rFonts w:ascii="Palatino Linotype" w:eastAsia="Palatino Linotype" w:hAnsi="Palatino Linotype" w:cs="Palatino Linotype"/>
          <w:highlight w:val="yellow"/>
        </w:rPr>
      </w:pPr>
    </w:p>
    <w:p w14:paraId="36CC7D1C" w14:textId="77777777" w:rsidR="002F6C66" w:rsidRDefault="00746DBC">
      <w:pPr>
        <w:tabs>
          <w:tab w:val="left" w:pos="7513"/>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como es sabido, en marzo de 2020 en México se adoptaron las primeras medidas para la prevención de contagios del </w:t>
      </w:r>
      <w:r>
        <w:rPr>
          <w:rFonts w:ascii="Palatino Linotype" w:eastAsia="Palatino Linotype" w:hAnsi="Palatino Linotype" w:cs="Palatino Linotype"/>
          <w:color w:val="000000"/>
        </w:rPr>
        <w:t>coronavirus SARS-Cov-2, entre ellas la emisión de protocolos que fueron dictados a nivel federal para la protección de todas y todos sus trabajadores a nivel nacional y público usuario, de igual manera a nivel estatal se emitieron una serie de acuerdos y protocolos.</w:t>
      </w:r>
    </w:p>
    <w:p w14:paraId="5DE86679" w14:textId="77777777" w:rsidR="002F6C66" w:rsidRDefault="002F6C66">
      <w:pPr>
        <w:tabs>
          <w:tab w:val="left" w:pos="7513"/>
        </w:tabs>
        <w:spacing w:line="360" w:lineRule="auto"/>
        <w:ind w:right="49"/>
        <w:jc w:val="both"/>
        <w:rPr>
          <w:rFonts w:ascii="Palatino Linotype" w:eastAsia="Palatino Linotype" w:hAnsi="Palatino Linotype" w:cs="Palatino Linotype"/>
          <w:color w:val="000000"/>
        </w:rPr>
      </w:pPr>
    </w:p>
    <w:p w14:paraId="37B01EDA" w14:textId="77777777" w:rsidR="002F6C66" w:rsidRDefault="00746DBC">
      <w:pPr>
        <w:tabs>
          <w:tab w:val="left" w:pos="7513"/>
        </w:tabs>
        <w:spacing w:line="360" w:lineRule="auto"/>
        <w:ind w:right="49"/>
        <w:jc w:val="both"/>
        <w:rPr>
          <w:rFonts w:ascii="Montserrat" w:eastAsia="Montserrat" w:hAnsi="Montserrat" w:cs="Montserrat"/>
          <w:color w:val="4D4D4D"/>
          <w:sz w:val="27"/>
          <w:szCs w:val="27"/>
          <w:highlight w:val="yellow"/>
        </w:rPr>
      </w:pPr>
      <w:r>
        <w:rPr>
          <w:rFonts w:ascii="Montserrat" w:eastAsia="Montserrat" w:hAnsi="Montserrat" w:cs="Montserrat"/>
          <w:color w:val="4D4D4D"/>
          <w:sz w:val="27"/>
          <w:szCs w:val="27"/>
        </w:rPr>
        <w:t xml:space="preserve"> </w:t>
      </w:r>
      <w:r>
        <w:rPr>
          <w:rFonts w:ascii="Palatino Linotype" w:eastAsia="Palatino Linotype" w:hAnsi="Palatino Linotype" w:cs="Palatino Linotype"/>
        </w:rPr>
        <w:t xml:space="preserve">En ese sentido,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debió tomar las medidas sanitarias ante la Contingencia Sanitaria provocada por el Virus COVID-19, que fueron implementadas por el Gobierno del Estado de México, a través del Acuerdo por el que se establece el Plan para regreso seguro a las Actividades Económicas, Sociales, Gubernamentales y Educativas con motivo del virus Sars -cov-2 (covid 19), publicado en el periódico oficial Gaceta de Gobierno de fecha 3 de julio de 2020, el cual puede ser consultado en: </w:t>
      </w:r>
      <w:hyperlink r:id="rId20">
        <w:r>
          <w:rPr>
            <w:rFonts w:ascii="Palatino Linotype" w:eastAsia="Palatino Linotype" w:hAnsi="Palatino Linotype" w:cs="Palatino Linotype"/>
            <w:color w:val="0000FF"/>
            <w:u w:val="single"/>
          </w:rPr>
          <w:t>http://legislacion.edomex.gob.mx/sites/legislacion.edomex.gob.mx/files/files/pdf/gct/2020/jul033.pdf</w:t>
        </w:r>
      </w:hyperlink>
      <w:r>
        <w:rPr>
          <w:rFonts w:ascii="Palatino Linotype" w:eastAsia="Palatino Linotype" w:hAnsi="Palatino Linotype" w:cs="Palatino Linotype"/>
        </w:rPr>
        <w:t>, mismo que al ser consultado se advirtió lo siguiente:</w:t>
      </w:r>
    </w:p>
    <w:p w14:paraId="7A9C6470" w14:textId="77777777" w:rsidR="002F6C66" w:rsidRDefault="002F6C6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5CC61552" w14:textId="77777777" w:rsidR="002F6C66" w:rsidRDefault="00746DBC">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Acuerdo en estudio tiene por objeto establecer el Plan para el regreso seguro, gradual y ordenado a las actividades económicas, sociales, </w:t>
      </w:r>
      <w:r>
        <w:rPr>
          <w:rFonts w:ascii="Palatino Linotype" w:eastAsia="Palatino Linotype" w:hAnsi="Palatino Linotype" w:cs="Palatino Linotype"/>
          <w:b/>
          <w:color w:val="000000"/>
        </w:rPr>
        <w:t>gubernamentales</w:t>
      </w:r>
      <w:r>
        <w:rPr>
          <w:rFonts w:ascii="Palatino Linotype" w:eastAsia="Palatino Linotype" w:hAnsi="Palatino Linotype" w:cs="Palatino Linotype"/>
          <w:color w:val="000000"/>
        </w:rPr>
        <w:t xml:space="preserve"> y educativas en el Estado de México. Para el regreso a las actividades referidas en el presente Acuerdo, se deberán tomar en consideración: </w:t>
      </w:r>
    </w:p>
    <w:p w14:paraId="362CD5B6" w14:textId="77777777" w:rsidR="002F6C66" w:rsidRDefault="002F6C6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710F88AC" w14:textId="77777777" w:rsidR="002F6C66" w:rsidRDefault="00746DBC">
      <w:pPr>
        <w:numPr>
          <w:ilvl w:val="0"/>
          <w:numId w:val="1"/>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sistema de semáforos establecido por la Secretaría de Salud del Gobierno Federal, mediante los Acuerdos publicados en el Diario Oficial de la Federación los días 14 y 15 de mayo de 2020;</w:t>
      </w:r>
    </w:p>
    <w:p w14:paraId="7BFB1B5A" w14:textId="77777777" w:rsidR="002F6C66" w:rsidRDefault="00746DBC">
      <w:pPr>
        <w:numPr>
          <w:ilvl w:val="0"/>
          <w:numId w:val="1"/>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“Acuerdo por el que se fortalecen las medidas preventivas y de seguridad para la mitigación y control de los riesgos para la salud que implica la enfermedad por el virus (COVID-19), en el Estado de México y se establece un programa de verificación para su cumplimiento”, expedido por la Secretaría de Salud y la Comisión para la Protección Contra Riesgos Sanitarios del Estado de México, publicado con fecha 22 de abril de 2020, en el Periódico Oficial “Gaceta del Gobierno”, el cual continuará vigente y será aplicable en todo lo que no contravenga al Acuerdo;</w:t>
      </w:r>
    </w:p>
    <w:p w14:paraId="6B55490C" w14:textId="77777777" w:rsidR="002F6C66" w:rsidRDefault="00746DBC">
      <w:pPr>
        <w:numPr>
          <w:ilvl w:val="0"/>
          <w:numId w:val="1"/>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evolución del riesgo sanitario en las cuatro regiones que comprenden el Estado de México:</w:t>
      </w:r>
    </w:p>
    <w:p w14:paraId="41E04D37" w14:textId="77777777" w:rsidR="002F6C66" w:rsidRDefault="00746DBC">
      <w:pPr>
        <w:numPr>
          <w:ilvl w:val="0"/>
          <w:numId w:val="3"/>
        </w:numPr>
        <w:pBdr>
          <w:top w:val="nil"/>
          <w:left w:val="nil"/>
          <w:bottom w:val="nil"/>
          <w:right w:val="nil"/>
          <w:between w:val="nil"/>
        </w:pBdr>
        <w:tabs>
          <w:tab w:val="left" w:pos="0"/>
        </w:tabs>
        <w:spacing w:line="360" w:lineRule="auto"/>
        <w:ind w:left="567" w:right="49" w:hanging="283"/>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Municipios de la Zona Metropolitana Valle de México:</w:t>
      </w:r>
      <w:r>
        <w:rPr>
          <w:rFonts w:ascii="Palatino Linotype" w:eastAsia="Palatino Linotype" w:hAnsi="Palatino Linotype" w:cs="Palatino Linotype"/>
          <w:color w:val="000000"/>
        </w:rPr>
        <w:t xml:space="preserve"> Acolman, Amecameca, Apaxco, Atenco, Atizapán de Zaragoza, Atlautla, Axapusco, Ayapango, Coacalco de Berriozábal, Cocotitlán, Coyotepec, Cuautitlán, </w:t>
      </w:r>
      <w:r>
        <w:rPr>
          <w:rFonts w:ascii="Palatino Linotype" w:eastAsia="Palatino Linotype" w:hAnsi="Palatino Linotype" w:cs="Palatino Linotype"/>
          <w:color w:val="000000"/>
        </w:rPr>
        <w:lastRenderedPageBreak/>
        <w:t>Cuautitlán Izcalli, Chalco, Chiautla, Chicoloapan, Chiconcuac, Chimalhuacán, Ecatepec de Morelos, Ecatzingo, Huehuetoca, Hueypoxtla, Huixquilucan, Isidro Fabela, Ixtapaluca, Jaltenco, Jilotzingo, Juchitepec, La Paz, Melchor Ocampo, Naucalpan de Juárez, Nextlalpan, Nezahualcóyotl, Nicolás Romero, Nopaltepec, Otumba, Ozumba, Papalotla, San Martín de las Pirámides, Tecámac, Temamatla, Temascalapa, Tenango del Aire, Teoloyucan, Teotihuacán, Tepetlaoxtoc, Tepetlixpa, Tepotzotlán, Tequixquiac, Texcoco, Tezoyuca, Tlalmanalco, Tlalnepantla de Baz, Tonanitla, Tultepec, Tultitlán, Valle de Chalco Solidaridad, Villa del Carbón y Zumpango.</w:t>
      </w:r>
    </w:p>
    <w:p w14:paraId="54FF1A8F" w14:textId="77777777" w:rsidR="002F6C66" w:rsidRDefault="00746DBC">
      <w:pPr>
        <w:numPr>
          <w:ilvl w:val="0"/>
          <w:numId w:val="3"/>
        </w:numPr>
        <w:pBdr>
          <w:top w:val="nil"/>
          <w:left w:val="nil"/>
          <w:bottom w:val="nil"/>
          <w:right w:val="nil"/>
          <w:between w:val="nil"/>
        </w:pBdr>
        <w:tabs>
          <w:tab w:val="left" w:pos="0"/>
        </w:tabs>
        <w:spacing w:line="360" w:lineRule="auto"/>
        <w:ind w:left="567" w:right="49" w:hanging="283"/>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Municipios del Valle de Toluca:</w:t>
      </w:r>
      <w:r>
        <w:rPr>
          <w:rFonts w:ascii="Palatino Linotype" w:eastAsia="Palatino Linotype" w:hAnsi="Palatino Linotype" w:cs="Palatino Linotype"/>
          <w:color w:val="000000"/>
        </w:rPr>
        <w:t xml:space="preserve"> Almoloya de Juárez, Almoloya del Río, Atizapán, Calimaya, Capulhuac, Chapultepec, Lerma, </w:t>
      </w:r>
      <w:r>
        <w:rPr>
          <w:rFonts w:ascii="Palatino Linotype" w:eastAsia="Palatino Linotype" w:hAnsi="Palatino Linotype" w:cs="Palatino Linotype"/>
          <w:b/>
          <w:color w:val="000000"/>
          <w:u w:val="single"/>
        </w:rPr>
        <w:t>Metepec</w:t>
      </w:r>
      <w:r>
        <w:rPr>
          <w:rFonts w:ascii="Palatino Linotype" w:eastAsia="Palatino Linotype" w:hAnsi="Palatino Linotype" w:cs="Palatino Linotype"/>
          <w:color w:val="000000"/>
        </w:rPr>
        <w:t>, Mexicaltzingo, Ocoyoacac, Otzolotepec, Rayón, San Antonio la Isla, San Mateo Atenco, Temoaya, Tenango del Valle, Texcalyacac, Tianguistenco, Toluca, Xalatlaco, Xonacatlán y Zinacantepec.</w:t>
      </w:r>
    </w:p>
    <w:p w14:paraId="59AAC926" w14:textId="77777777" w:rsidR="002F6C66" w:rsidRDefault="00746DBC">
      <w:pPr>
        <w:numPr>
          <w:ilvl w:val="0"/>
          <w:numId w:val="3"/>
        </w:numPr>
        <w:pBdr>
          <w:top w:val="nil"/>
          <w:left w:val="nil"/>
          <w:bottom w:val="nil"/>
          <w:right w:val="nil"/>
          <w:between w:val="nil"/>
        </w:pBdr>
        <w:tabs>
          <w:tab w:val="left" w:pos="0"/>
        </w:tabs>
        <w:spacing w:line="360" w:lineRule="auto"/>
        <w:ind w:left="567" w:right="49" w:hanging="14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Municipios de la Zona Norte:</w:t>
      </w:r>
      <w:r>
        <w:rPr>
          <w:rFonts w:ascii="Palatino Linotype" w:eastAsia="Palatino Linotype" w:hAnsi="Palatino Linotype" w:cs="Palatino Linotype"/>
          <w:color w:val="000000"/>
        </w:rPr>
        <w:t xml:space="preserve"> Ixtlahuaca, San Felipe del Progreso, El Oro, Atlacomulco, Jiquipilco, Jocotitlán, San José del Rincón, Acambay de Ruíz Castañeda, Jilotepec, Soyaniquilpan de Juárez, Aculco, Morelos, Temascalcingo, Timilpan, Polotitlán y Chapa de Mota.</w:t>
      </w:r>
    </w:p>
    <w:p w14:paraId="07F3918C" w14:textId="77777777" w:rsidR="002F6C66" w:rsidRDefault="00746DBC">
      <w:pPr>
        <w:numPr>
          <w:ilvl w:val="0"/>
          <w:numId w:val="3"/>
        </w:numPr>
        <w:pBdr>
          <w:top w:val="nil"/>
          <w:left w:val="nil"/>
          <w:bottom w:val="nil"/>
          <w:right w:val="nil"/>
          <w:between w:val="nil"/>
        </w:pBdr>
        <w:tabs>
          <w:tab w:val="left" w:pos="0"/>
        </w:tabs>
        <w:spacing w:line="360" w:lineRule="auto"/>
        <w:ind w:left="567" w:right="49" w:hanging="14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Municipios de la Zona Sur:</w:t>
      </w:r>
      <w:r>
        <w:rPr>
          <w:rFonts w:ascii="Palatino Linotype" w:eastAsia="Palatino Linotype" w:hAnsi="Palatino Linotype" w:cs="Palatino Linotype"/>
          <w:color w:val="000000"/>
        </w:rPr>
        <w:t xml:space="preserve"> Almoloya de Alquisiras, Amanalco, Amatepec, Coatepec Harinas, Donato Guerra, Ixtapan de la Sal, Ixtapan del Oro, Joquicingo, Malinalco, Ocuilan, Otzoloapan, San Simón de Guerrero, Santo Tomás, Sultepec, Tejupilco, Temascaltepec, </w:t>
      </w:r>
      <w:r>
        <w:rPr>
          <w:rFonts w:ascii="Palatino Linotype" w:eastAsia="Palatino Linotype" w:hAnsi="Palatino Linotype" w:cs="Palatino Linotype"/>
          <w:color w:val="000000"/>
          <w:u w:val="single"/>
        </w:rPr>
        <w:t>Tenancingo</w:t>
      </w:r>
      <w:r>
        <w:rPr>
          <w:rFonts w:ascii="Palatino Linotype" w:eastAsia="Palatino Linotype" w:hAnsi="Palatino Linotype" w:cs="Palatino Linotype"/>
          <w:color w:val="000000"/>
        </w:rPr>
        <w:t xml:space="preserve">, Texcaltitlán, </w:t>
      </w:r>
      <w:r>
        <w:rPr>
          <w:rFonts w:ascii="Palatino Linotype" w:eastAsia="Palatino Linotype" w:hAnsi="Palatino Linotype" w:cs="Palatino Linotype"/>
          <w:color w:val="000000"/>
        </w:rPr>
        <w:lastRenderedPageBreak/>
        <w:t>Tlatlaya, Tonatico, Valle de Bravo, Villa de Allende, Villa Guerrero, Villa Victoria, Luvianos, Zacazonapan, Zacualpan y Zumpahuacán.</w:t>
      </w:r>
    </w:p>
    <w:p w14:paraId="26235A10" w14:textId="77777777" w:rsidR="002F6C66" w:rsidRDefault="00746DBC">
      <w:pPr>
        <w:numPr>
          <w:ilvl w:val="0"/>
          <w:numId w:val="1"/>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mantenimiento de las medidas de prevención e higiene emitidas por las Autoridades Sanitarias.</w:t>
      </w:r>
    </w:p>
    <w:p w14:paraId="3542E61D" w14:textId="77777777" w:rsidR="002F6C66" w:rsidRDefault="002F6C6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6282B941" w14:textId="77777777" w:rsidR="002F6C66" w:rsidRDefault="00746DBC">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pertinente referir que la reapertura de actividades en el Estado de México se llevará a cabo a partir de cinco dimensiones:</w:t>
      </w:r>
    </w:p>
    <w:p w14:paraId="4C09E0D5" w14:textId="77777777" w:rsidR="002F6C66" w:rsidRDefault="002F6C6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32032CA3" w14:textId="77777777" w:rsidR="002F6C66" w:rsidRDefault="00746DBC">
      <w:pPr>
        <w:numPr>
          <w:ilvl w:val="0"/>
          <w:numId w:val="7"/>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Economía;</w:t>
      </w:r>
    </w:p>
    <w:p w14:paraId="3ED43A36" w14:textId="77777777" w:rsidR="002F6C66" w:rsidRDefault="00746DBC">
      <w:pPr>
        <w:numPr>
          <w:ilvl w:val="0"/>
          <w:numId w:val="7"/>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Espacios Públicos;</w:t>
      </w:r>
    </w:p>
    <w:p w14:paraId="6ECA1104" w14:textId="77777777" w:rsidR="002F6C66" w:rsidRDefault="00746DBC">
      <w:pPr>
        <w:numPr>
          <w:ilvl w:val="0"/>
          <w:numId w:val="7"/>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Población Vulnerable;</w:t>
      </w:r>
    </w:p>
    <w:p w14:paraId="58FBB9C4" w14:textId="77777777" w:rsidR="002F6C66" w:rsidRDefault="00746DBC">
      <w:pPr>
        <w:numPr>
          <w:ilvl w:val="0"/>
          <w:numId w:val="7"/>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Actividades Gubernamentales, y </w:t>
      </w:r>
    </w:p>
    <w:p w14:paraId="4C128306" w14:textId="77777777" w:rsidR="002F6C66" w:rsidRDefault="00746DBC">
      <w:pPr>
        <w:numPr>
          <w:ilvl w:val="0"/>
          <w:numId w:val="7"/>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Educación.</w:t>
      </w:r>
    </w:p>
    <w:p w14:paraId="7D394974" w14:textId="77777777" w:rsidR="002F6C66" w:rsidRDefault="002F6C66">
      <w:pPr>
        <w:tabs>
          <w:tab w:val="left" w:pos="0"/>
        </w:tabs>
        <w:spacing w:line="360" w:lineRule="auto"/>
        <w:ind w:right="51"/>
        <w:jc w:val="both"/>
        <w:rPr>
          <w:rFonts w:ascii="Palatino Linotype" w:eastAsia="Palatino Linotype" w:hAnsi="Palatino Linotype" w:cs="Palatino Linotype"/>
        </w:rPr>
      </w:pPr>
    </w:p>
    <w:p w14:paraId="19C3E3E6" w14:textId="77777777" w:rsidR="002F6C66" w:rsidRDefault="00746DBC">
      <w:pPr>
        <w:tabs>
          <w:tab w:val="left" w:pos="0"/>
        </w:tabs>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que se refiere al regreso gradual a las actividades no esenciales se determinará por: a) región; b) contribución a la economía de las familias mexiquenses, y c) el nivel de riesgo sanitario que determine la autoridad sanitaria, de conformidad con el sistema de semáforos siguiente:</w:t>
      </w:r>
    </w:p>
    <w:p w14:paraId="0B0AB2AB" w14:textId="77777777" w:rsidR="002F6C66" w:rsidRDefault="002F6C66">
      <w:pPr>
        <w:tabs>
          <w:tab w:val="left" w:pos="0"/>
        </w:tabs>
        <w:spacing w:line="360" w:lineRule="auto"/>
        <w:ind w:right="49"/>
        <w:jc w:val="both"/>
      </w:pPr>
    </w:p>
    <w:p w14:paraId="347501DE" w14:textId="77777777" w:rsidR="002F6C66" w:rsidRDefault="00746DBC">
      <w:pPr>
        <w:tabs>
          <w:tab w:val="left" w:pos="0"/>
        </w:tabs>
        <w:spacing w:line="360" w:lineRule="auto"/>
        <w:ind w:right="49"/>
        <w:jc w:val="both"/>
        <w:rPr>
          <w:rFonts w:ascii="Palatino Linotype" w:eastAsia="Palatino Linotype" w:hAnsi="Palatino Linotype" w:cs="Palatino Linotype"/>
        </w:rPr>
      </w:pPr>
      <w:r>
        <w:rPr>
          <w:noProof/>
          <w:lang w:val="es-MX"/>
        </w:rPr>
        <w:drawing>
          <wp:inline distT="0" distB="0" distL="0" distR="0" wp14:anchorId="7255C5D8" wp14:editId="5F93E5DB">
            <wp:extent cx="5486400" cy="1438275"/>
            <wp:effectExtent l="0" t="0" r="0" b="0"/>
            <wp:docPr id="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l="7638" t="42587" r="57909" b="46289"/>
                    <a:stretch>
                      <a:fillRect/>
                    </a:stretch>
                  </pic:blipFill>
                  <pic:spPr>
                    <a:xfrm>
                      <a:off x="0" y="0"/>
                      <a:ext cx="5486400" cy="1438275"/>
                    </a:xfrm>
                    <a:prstGeom prst="rect">
                      <a:avLst/>
                    </a:prstGeom>
                    <a:ln/>
                  </pic:spPr>
                </pic:pic>
              </a:graphicData>
            </a:graphic>
          </wp:inline>
        </w:drawing>
      </w:r>
    </w:p>
    <w:p w14:paraId="07D580E3" w14:textId="77777777" w:rsidR="002F6C66" w:rsidRDefault="00746DBC">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 Estableciendo en los artículos cuarto, quinto sexto y séptimo las actividades permitidas durante el semáforo, atendiendo al nivel de riesgo epidemiológico, así como el nivel de riesgo sanitario determinado por la autoridad sanitaria competente, en atención a las actividades gubernamentales, el acuerdo en comento establece:</w:t>
      </w:r>
    </w:p>
    <w:p w14:paraId="24BE32C6"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“CUARTO. Actividades permitidas durante la etapa de Riesgo Máximo. (ROJO) I. Las actividades determinadas como “esenciales” continuarán rigiendo su funcionamiento conforme al “Acuerdo por el que se fortalecen las medidas preventivas y de seguridad para la mitigación y control de los riesgos para la salud que implica la enfermedad por el virus (COVID-19), en el Estado de México y se establece un programa de verificación para su cumplimiento”, expedido por la Secretaría de Salud y la Comisión para la Protección Contra Riesgos Sanitarios del Estado de México, publicado con fecha 22 de abril de 2020, en el Periódico Oficial “Gaceta del Gobierno”. </w:t>
      </w:r>
    </w:p>
    <w:p w14:paraId="2FAE9326"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Las “nuevas actividades esenciales” -industria de la construcción, minería y fabricación de equipo de transporte-, podrán realizar actividades, siempre y cuando cumplan con lo previsto en los “Lineamientos de Seguridad Sanitaria en el Entorno Laboral”, emitidos por el Gobierno Federal: (</w:t>
      </w:r>
      <w:hyperlink r:id="rId22">
        <w:r>
          <w:rPr>
            <w:rFonts w:ascii="Palatino Linotype" w:eastAsia="Palatino Linotype" w:hAnsi="Palatino Linotype" w:cs="Palatino Linotype"/>
            <w:i/>
            <w:color w:val="0000FF"/>
            <w:sz w:val="22"/>
            <w:szCs w:val="22"/>
            <w:u w:val="single"/>
          </w:rPr>
          <w:t>https://www.gob.mx/cms/uploads/attachment/file/552550/Lineamientos_de_Seguridad_Sanitaria_F.pdf</w:t>
        </w:r>
      </w:hyperlink>
      <w:r>
        <w:rPr>
          <w:rFonts w:ascii="Palatino Linotype" w:eastAsia="Palatino Linotype" w:hAnsi="Palatino Linotype" w:cs="Palatino Linotype"/>
          <w:i/>
          <w:color w:val="000000"/>
          <w:sz w:val="22"/>
          <w:szCs w:val="22"/>
        </w:rPr>
        <w:t xml:space="preserve">) </w:t>
      </w:r>
    </w:p>
    <w:p w14:paraId="574FDBA4"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 igual forma, en su operación deberán observar las siguientes medidas:</w:t>
      </w:r>
    </w:p>
    <w:p w14:paraId="2DA9FD51"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a) Industria de la construcción y minería: </w:t>
      </w:r>
    </w:p>
    <w:p w14:paraId="6D67E4FD"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 Instalar un punto de desinfección y toma de temperatura por cada 15 trabajadores y contratistas en los turnos que se manejen; </w:t>
      </w:r>
    </w:p>
    <w:p w14:paraId="45C8B293"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2. Desinfectar herramientas y maquinaria de uso común al menos dos veces al día;</w:t>
      </w:r>
    </w:p>
    <w:p w14:paraId="3F778433"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3. Evitar concentraciones de más de 10 trabajadores en un mismo espacio; </w:t>
      </w:r>
    </w:p>
    <w:p w14:paraId="6717675A"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4. Llevar un estricto control de asistencia y acceso de los trabajadores y evitar el ingreso de personas ajenas a las obras; </w:t>
      </w:r>
    </w:p>
    <w:p w14:paraId="07E4C4D6"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5. Uso obligatorio de cubre bocas; </w:t>
      </w:r>
    </w:p>
    <w:p w14:paraId="6E5FF0C0"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6. En obras con más de 50 trabajadores, establecer horarios escalonados de entrada y salida; </w:t>
      </w:r>
    </w:p>
    <w:p w14:paraId="71A3D9A0"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7. Continuar con el uso de guantes y lentes de seguridad. </w:t>
      </w:r>
    </w:p>
    <w:p w14:paraId="35E0D446"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b) Fabricación de equipo de transporte: </w:t>
      </w:r>
    </w:p>
    <w:p w14:paraId="0D3C52BB"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1. Establecer barreras físicas en las líneas de producción y áreas de trabajo para mantener la sana distancia entre trabajadores; </w:t>
      </w:r>
    </w:p>
    <w:p w14:paraId="5E3E867B"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 Contar con protocolos de seguridad sanitaria para el transporte de personal, así́como para las áreas de carga, entrada y salida de transportistas; </w:t>
      </w:r>
    </w:p>
    <w:p w14:paraId="1FB9FF84"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3. Impulsar estrategia de puertas abiertas para incrementar los flujos de aire natural; </w:t>
      </w:r>
    </w:p>
    <w:p w14:paraId="3D8C34D5"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4. Implementar horarios escalonados de entrada y salida que eviten aglomeraciones en el transporte público; </w:t>
      </w:r>
    </w:p>
    <w:p w14:paraId="46D3ACF7"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5. En el caso de grandes empresas (ancla), se encargarán de que su cadena de proveeduría cumpla con los “Lineamientos Técnicos de Seguridad Sanitaria en el Entorno Laboral” emitidos por el Gobierno Federal. </w:t>
      </w:r>
    </w:p>
    <w:p w14:paraId="419F548D"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Apertura de unidades económicas de bajo impacto o pequeños negocios, tales como papelerías, tiendas de ropa, jugueterías, mueblerías, refaccionarias, tiendas de artículos electrónicos, así como comercios al por menor y al por mayor, cuidando, en todo momento, que no se generen aglomeraciones al interior de sus establecimientos. </w:t>
      </w:r>
    </w:p>
    <w:p w14:paraId="187B7061"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Industrias manufactureras, observando en todo momento las medidas previstas en el presente Acuerdo y demás disposiciones sanitarias aplicables. </w:t>
      </w:r>
    </w:p>
    <w:p w14:paraId="5292F3D5"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Las siguientes actividades podrán iniciar operaciones, limitando en todos los casos su aforo a un 30% de su capacidad: </w:t>
      </w:r>
    </w:p>
    <w:p w14:paraId="6AA10DDD"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 Actividades relacionadas con servicios personales como peluquerías, tintorerías, talleres, locales de reparación de electrodomésticos y mantenimiento en general; </w:t>
      </w:r>
    </w:p>
    <w:p w14:paraId="3F9DCF2C"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b) Restaurantes y establecimientos de venta de alimentos preparados y bebidas en espacios cerrados; exceptuando bares, cantinas y demás establecimientos análogos previstos en el artículo Séptimo del presente Acuerdo; </w:t>
      </w:r>
    </w:p>
    <w:p w14:paraId="24219670"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 Servicio de hospedaje al público en general (adicional al aforo previsto para actividades esenciales); </w:t>
      </w:r>
    </w:p>
    <w:p w14:paraId="37951D28"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 Estacionamientos; </w:t>
      </w:r>
    </w:p>
    <w:p w14:paraId="6E8C5288"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 Tiendas departamentales, centros y plazas comerciales, y </w:t>
      </w:r>
    </w:p>
    <w:p w14:paraId="184724CB"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f) Espacios públicos, parques, zoológicos, áreas naturales, actividades acuáticas y campos deportivos, así como todas las actividades físicas y recreativas al aire libre. VI. Las siguientes actividades podrán iniciar operaciones, limitando en todos los casos su aforo a un 40% de su capacidad: </w:t>
      </w:r>
    </w:p>
    <w:p w14:paraId="7C5B3D1C"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 Restaurantes y establecimientos de venta de alimentos preparados y bebidas en espacios abiertos; sin que se pueda exceder dicho porcentaje sumando espacios cerrados y abiertos. Se exceptúan bares, cantinas y demás establecimientos análogos previstos en el artículo Séptimo del presente Acuerdo. </w:t>
      </w:r>
    </w:p>
    <w:p w14:paraId="5344524F"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 Se permitirá la reanudación de servicios varios, profesionales, científicos o técnicos, que estén directamente relacionados con las actividades o las necesidades para la reapertura en esta etapa, privilegiando y facilitando el trabajo a distancia. Se exceptuará de lo anterior los servicios relacionados con la organización de eventos sociales y análogos. </w:t>
      </w:r>
    </w:p>
    <w:p w14:paraId="7F167357"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t>VIII. Actividades gubernamentales, en términos del artículo Décimo Primero del presente Acuerdo.</w:t>
      </w:r>
    </w:p>
    <w:p w14:paraId="1B53DE39" w14:textId="77777777" w:rsidR="002F6C66" w:rsidRDefault="002F6C66">
      <w:pPr>
        <w:pBdr>
          <w:top w:val="nil"/>
          <w:left w:val="nil"/>
          <w:bottom w:val="nil"/>
          <w:right w:val="nil"/>
          <w:between w:val="nil"/>
        </w:pBdr>
        <w:tabs>
          <w:tab w:val="left" w:pos="709"/>
        </w:tabs>
        <w:ind w:left="567" w:right="474"/>
        <w:jc w:val="both"/>
        <w:rPr>
          <w:rFonts w:ascii="Palatino Linotype" w:eastAsia="Palatino Linotype" w:hAnsi="Palatino Linotype" w:cs="Palatino Linotype"/>
          <w:b/>
          <w:i/>
          <w:color w:val="000000"/>
          <w:sz w:val="22"/>
          <w:szCs w:val="22"/>
          <w:u w:val="single"/>
        </w:rPr>
      </w:pPr>
    </w:p>
    <w:p w14:paraId="7B80EFDE"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QUINTO. Actividades permitidas durante la etapa de Riesgo Alto. (NARANJA)</w:t>
      </w:r>
    </w:p>
    <w:p w14:paraId="1C7F1C93" w14:textId="77777777" w:rsidR="002F6C66" w:rsidRDefault="00746DBC">
      <w:pPr>
        <w:numPr>
          <w:ilvl w:val="0"/>
          <w:numId w:val="2"/>
        </w:numPr>
        <w:pBdr>
          <w:top w:val="nil"/>
          <w:left w:val="nil"/>
          <w:bottom w:val="nil"/>
          <w:right w:val="nil"/>
          <w:between w:val="nil"/>
        </w:pBdr>
        <w:tabs>
          <w:tab w:val="left" w:pos="709"/>
        </w:tabs>
        <w:ind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actividades esenciales y nuevas esenciales continuarán su funcionamiento conforme a lo previsto en el artículo Cuarto del presente Acuerdo.</w:t>
      </w:r>
    </w:p>
    <w:p w14:paraId="5377EFDE" w14:textId="77777777" w:rsidR="002F6C66" w:rsidRDefault="00746DBC">
      <w:pPr>
        <w:tabs>
          <w:tab w:val="left" w:pos="709"/>
        </w:tabs>
        <w:ind w:left="62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Las actividades previstas en las fracciones III a VIII del artículo Cuarto del presente Acuerdo, continuarán su funcionamiento en los términos previstos en el mismo. </w:t>
      </w:r>
    </w:p>
    <w:p w14:paraId="3B3A07E4" w14:textId="77777777" w:rsidR="002F6C66" w:rsidRDefault="00746DBC">
      <w:pPr>
        <w:tabs>
          <w:tab w:val="left" w:pos="709"/>
        </w:tabs>
        <w:ind w:left="62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Las siguientes actividades podrán iniciar operaciones, limitando en todos los casos su aforo a un 30% de su capacidad: </w:t>
      </w:r>
    </w:p>
    <w:p w14:paraId="3C4D936A" w14:textId="77777777" w:rsidR="002F6C66" w:rsidRDefault="00746DBC">
      <w:pPr>
        <w:numPr>
          <w:ilvl w:val="0"/>
          <w:numId w:val="4"/>
        </w:numPr>
        <w:pBdr>
          <w:top w:val="nil"/>
          <w:left w:val="nil"/>
          <w:bottom w:val="nil"/>
          <w:right w:val="nil"/>
          <w:between w:val="nil"/>
        </w:pBdr>
        <w:tabs>
          <w:tab w:val="left" w:pos="709"/>
        </w:tabs>
        <w:ind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Servicios religiosos. </w:t>
      </w:r>
    </w:p>
    <w:p w14:paraId="071D1E55" w14:textId="77777777" w:rsidR="002F6C66" w:rsidRDefault="002F6C66">
      <w:pPr>
        <w:pBdr>
          <w:top w:val="nil"/>
          <w:left w:val="nil"/>
          <w:bottom w:val="nil"/>
          <w:right w:val="nil"/>
          <w:between w:val="nil"/>
        </w:pBdr>
        <w:tabs>
          <w:tab w:val="left" w:pos="709"/>
        </w:tabs>
        <w:ind w:left="987" w:right="474"/>
        <w:jc w:val="both"/>
        <w:rPr>
          <w:rFonts w:ascii="Palatino Linotype" w:eastAsia="Palatino Linotype" w:hAnsi="Palatino Linotype" w:cs="Palatino Linotype"/>
          <w:i/>
          <w:color w:val="000000"/>
          <w:sz w:val="22"/>
          <w:szCs w:val="22"/>
        </w:rPr>
      </w:pPr>
    </w:p>
    <w:p w14:paraId="032147AC" w14:textId="77777777" w:rsidR="002F6C66" w:rsidRDefault="00746DBC">
      <w:pPr>
        <w:tabs>
          <w:tab w:val="left" w:pos="709"/>
        </w:tabs>
        <w:ind w:left="627" w:right="47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SEXTO. Actividades permitidas durante la etapa de Riesgo Intermedio. (AMARILLO) </w:t>
      </w:r>
    </w:p>
    <w:p w14:paraId="2EC74C14" w14:textId="77777777" w:rsidR="002F6C66" w:rsidRDefault="00746DBC">
      <w:pPr>
        <w:tabs>
          <w:tab w:val="left" w:pos="709"/>
        </w:tabs>
        <w:ind w:left="62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Las actividades esenciales y nuevas esenciales continuarán su funcionamiento conforme a lo previsto en el artículo Cuarto del presente Acuerdo. </w:t>
      </w:r>
    </w:p>
    <w:p w14:paraId="2EBE76C2" w14:textId="77777777" w:rsidR="002F6C66" w:rsidRDefault="00746DBC">
      <w:pPr>
        <w:tabs>
          <w:tab w:val="left" w:pos="709"/>
        </w:tabs>
        <w:ind w:left="62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Las actividades previstas en las fracciones III, IV, VII y VIII del artículo Cuarto del presente Acuerdo continuarán su operación conforme lo previsto en el mismo. III. Las actividades previstas en las fracciones V y VI del artículo Cuarto y fracción III del artículo Quinto del presente Acuerdo, podrán aumentar su aforo al 60% de su capacidad. </w:t>
      </w:r>
    </w:p>
    <w:p w14:paraId="5BDEB2A3" w14:textId="77777777" w:rsidR="002F6C66" w:rsidRDefault="00746DBC">
      <w:pPr>
        <w:tabs>
          <w:tab w:val="left" w:pos="709"/>
        </w:tabs>
        <w:ind w:left="62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Las siguientes actividades podrán iniciar operaciones, limitando en todos los casos su aforo al 60% de su capacidad: </w:t>
      </w:r>
    </w:p>
    <w:p w14:paraId="0977FFF8" w14:textId="77777777" w:rsidR="002F6C66" w:rsidRDefault="00746DBC">
      <w:pPr>
        <w:tabs>
          <w:tab w:val="left" w:pos="709"/>
        </w:tabs>
        <w:ind w:left="62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Servicios profesionales, científicos y técnicos distintos a los previstos en el artículo Cuarto, corporativos, organizaciones civiles y políticas, privilegiando y facilitando el trabajo a distancia; </w:t>
      </w:r>
    </w:p>
    <w:p w14:paraId="5BA37E05" w14:textId="77777777" w:rsidR="002F6C66" w:rsidRDefault="00746DBC">
      <w:pPr>
        <w:tabs>
          <w:tab w:val="left" w:pos="709"/>
        </w:tabs>
        <w:ind w:left="62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Museos, cines y teatros. </w:t>
      </w:r>
    </w:p>
    <w:p w14:paraId="2A26771C" w14:textId="77777777" w:rsidR="002F6C66" w:rsidRDefault="00746DBC">
      <w:pPr>
        <w:tabs>
          <w:tab w:val="left" w:pos="709"/>
        </w:tabs>
        <w:ind w:left="62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Se reanudarán los eventos deportivos sin público, observando las medidas sanitarias y las pruebas correspondientes para asegurar la salud de los atletas. SÉPTIMO. Actividades permitidas durante la etapa de Riesgo Bajo. (VERDE) </w:t>
      </w:r>
    </w:p>
    <w:p w14:paraId="20B4393A" w14:textId="77777777" w:rsidR="002F6C66" w:rsidRDefault="00746DBC">
      <w:pPr>
        <w:tabs>
          <w:tab w:val="left" w:pos="709"/>
        </w:tabs>
        <w:ind w:left="62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Las actividades previstas en los artículos Cuarto, Quinto y Sexto del presente Acuerdo podrán operar sin limitación de aforo. </w:t>
      </w:r>
    </w:p>
    <w:p w14:paraId="3D04278F" w14:textId="77777777" w:rsidR="002F6C66" w:rsidRDefault="00746DBC">
      <w:pPr>
        <w:tabs>
          <w:tab w:val="left" w:pos="709"/>
        </w:tabs>
        <w:ind w:left="62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El resto de las actividades no contempladas en los artículos anteriores podrán reiniciar operaciones sin restricción de aforo, tales como: locales o espacios destinados a actividades culturales, auditorios, foros y palenques, gimnasios, balnearios, albercas públicas, boliches, baños públicos, vapores y spas, bares, cantinas, discotecas y videobares, centros nocturnos, centros botaneros y cerveceros, salas de sorteos de números, centros de apuestas remotas (casinos), billares y establecimientos para venta de bebidas alcohólicas para su consumo inmediato y/o al copeo. Se deberán observar las medidas de prevención e higiene que determine la autoridad sanitaria. </w:t>
      </w:r>
    </w:p>
    <w:p w14:paraId="636E6958" w14:textId="77777777" w:rsidR="002F6C66" w:rsidRDefault="00746DBC">
      <w:pPr>
        <w:tabs>
          <w:tab w:val="left" w:pos="709"/>
        </w:tabs>
        <w:ind w:left="62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Cuando así lo determinen las autoridades educativas y sanitarias correspondientes, durante esta etapa, se podrán reanudar las actividades educativas.</w:t>
      </w:r>
    </w:p>
    <w:p w14:paraId="1DCC515A"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b/>
          <w:i/>
          <w:color w:val="000000"/>
          <w:sz w:val="22"/>
          <w:szCs w:val="22"/>
          <w:u w:val="single"/>
        </w:rPr>
        <w:lastRenderedPageBreak/>
        <w:t>….</w:t>
      </w:r>
    </w:p>
    <w:p w14:paraId="4259B141"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DÉCIMO PRIMERO. Actividades gubernamentales. </w:t>
      </w:r>
    </w:p>
    <w:p w14:paraId="05F1D000"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Las actividades gubernamentales que se encuentran suspendidas se reanudarán sin perjuicio de lo previsto en el artículo Noveno del presente Acuerdo y, de ser el caso, conforme a los Acuerdos que sobre el particular expidan las dependencias e instituciones públicas competentes.</w:t>
      </w:r>
      <w:r>
        <w:rPr>
          <w:rFonts w:ascii="Palatino Linotype" w:eastAsia="Palatino Linotype" w:hAnsi="Palatino Linotype" w:cs="Palatino Linotype"/>
          <w:i/>
          <w:color w:val="000000"/>
          <w:sz w:val="22"/>
          <w:szCs w:val="22"/>
        </w:rPr>
        <w:t xml:space="preserve"> </w:t>
      </w:r>
    </w:p>
    <w:p w14:paraId="28C54B1F"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Las instituciones públicas deberán garantizar las medidas de prevención e higiene emitidas por las autoridades sanitarias. </w:t>
      </w:r>
    </w:p>
    <w:p w14:paraId="33DFA3CD" w14:textId="77777777" w:rsidR="002F6C66" w:rsidRDefault="00746DBC">
      <w:pPr>
        <w:pBdr>
          <w:top w:val="nil"/>
          <w:left w:val="nil"/>
          <w:bottom w:val="nil"/>
          <w:right w:val="nil"/>
          <w:between w:val="nil"/>
        </w:pBdr>
        <w:tabs>
          <w:tab w:val="left" w:pos="709"/>
        </w:tabs>
        <w:ind w:left="567" w:right="474"/>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Las actividades jurisdiccionales se reanudarán en términos de los Acuerdos que expidan para tal efecto las autoridades competentes.” (Sic)</w:t>
      </w:r>
    </w:p>
    <w:p w14:paraId="259BCA83" w14:textId="77777777" w:rsidR="002F6C66" w:rsidRDefault="002F6C66">
      <w:pPr>
        <w:pBdr>
          <w:top w:val="nil"/>
          <w:left w:val="nil"/>
          <w:bottom w:val="nil"/>
          <w:right w:val="nil"/>
          <w:between w:val="nil"/>
        </w:pBdr>
        <w:tabs>
          <w:tab w:val="left" w:pos="0"/>
        </w:tabs>
        <w:spacing w:line="360" w:lineRule="auto"/>
        <w:ind w:right="49" w:hanging="142"/>
        <w:jc w:val="both"/>
        <w:rPr>
          <w:rFonts w:ascii="Palatino Linotype" w:eastAsia="Palatino Linotype" w:hAnsi="Palatino Linotype" w:cs="Palatino Linotype"/>
          <w:i/>
          <w:color w:val="000000"/>
        </w:rPr>
      </w:pPr>
    </w:p>
    <w:p w14:paraId="64B4D1AA" w14:textId="77777777" w:rsidR="002F6C66" w:rsidRDefault="00746DBC">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los dispositivos legales en comento se aprecia cuáles son las actividades permitidas durante la etapa de riesgo máximo (rojo), alto (naranja), intermedio (amarillo) y bajo (Verde).</w:t>
      </w:r>
    </w:p>
    <w:p w14:paraId="07DC4AF1" w14:textId="77777777" w:rsidR="002F6C66" w:rsidRDefault="002F6C6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2933AD69" w14:textId="77777777" w:rsidR="002F6C66" w:rsidRDefault="00746DBC">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bookmarkStart w:id="1" w:name="_heading=h.gjdgxs" w:colFirst="0" w:colLast="0"/>
      <w:bookmarkEnd w:id="1"/>
      <w:r>
        <w:rPr>
          <w:rFonts w:ascii="Palatino Linotype" w:eastAsia="Palatino Linotype" w:hAnsi="Palatino Linotype" w:cs="Palatino Linotype"/>
          <w:color w:val="000000"/>
        </w:rPr>
        <w:t>Luego entonces las actividades gubernamentales se reanudarán en términos de los acuerdos que expidan para tal efecto las autoridades competentes, en este caso el Ayuntamiento de Metepec, debió emitir y</w:t>
      </w:r>
      <w:r>
        <w:rPr>
          <w:rFonts w:ascii="Palatino Linotype" w:eastAsia="Palatino Linotype" w:hAnsi="Palatino Linotype" w:cs="Palatino Linotype"/>
        </w:rPr>
        <w:t xml:space="preserve">/o </w:t>
      </w:r>
      <w:r>
        <w:rPr>
          <w:rFonts w:ascii="Palatino Linotype" w:eastAsia="Palatino Linotype" w:hAnsi="Palatino Linotype" w:cs="Palatino Linotype"/>
          <w:color w:val="000000"/>
        </w:rPr>
        <w:t>atender los acuerdos correspondientes a los semáforo rojo, naranja, amarillo y verde, así como garantizar las medidas de prevención e higiene; respectivamente, con la finalidad de la mitigación y control de los riesgos para la salud que implica la enfermedad por el virus (COVID-19).</w:t>
      </w:r>
    </w:p>
    <w:p w14:paraId="3E904EEA" w14:textId="77777777" w:rsidR="002F6C66" w:rsidRDefault="002F6C6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41304292" w14:textId="77777777" w:rsidR="002F6C66" w:rsidRDefault="00746DBC">
      <w:pPr>
        <w:tabs>
          <w:tab w:val="left" w:pos="751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Aunado a lo anterior, debe precisarse que conformidad con el artículo 120 del Bando Municipal de Metepec es atribución del Ayuntamiento contribuir a mejorar la salud entre las comunidades, coadyuvando a elevar su calidad de vida, promover y desarrollar programas de prevención y educación para la salud en coordinación con otros sectores competentes en la materia, debiendo llevar a cabo las siguientes acciones para alcanzar dicho objetivo:</w:t>
      </w:r>
    </w:p>
    <w:p w14:paraId="7376B387" w14:textId="77777777" w:rsidR="002F6C66" w:rsidRDefault="00746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Para alcanzar el objetivo, realizará las siguientes acciones:</w:t>
      </w:r>
    </w:p>
    <w:p w14:paraId="2BD22FBD" w14:textId="77777777" w:rsidR="002F6C66" w:rsidRDefault="00746DBC">
      <w:pPr>
        <w:spacing w:before="240" w:after="240" w:line="276" w:lineRule="auto"/>
        <w:ind w:left="284"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I. Colaborar con las autoridades federales y estatales, así como instituciones privadas, en la ejecución de planes y programas de salud, a fin de mejorar el nivel de vida de las y los habitantes del municipio; </w:t>
      </w:r>
    </w:p>
    <w:p w14:paraId="397E3C81" w14:textId="77777777" w:rsidR="002F6C66" w:rsidRDefault="00746DBC">
      <w:pPr>
        <w:spacing w:before="240" w:after="240" w:line="276"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b/>
        </w:rPr>
        <w:t>II. Promover programas de prevención de enfermedades</w:t>
      </w:r>
      <w:r>
        <w:rPr>
          <w:rFonts w:ascii="Palatino Linotype" w:eastAsia="Palatino Linotype" w:hAnsi="Palatino Linotype" w:cs="Palatino Linotype"/>
        </w:rPr>
        <w:t xml:space="preserve">, así como de educación para la salud entre las y los habitantes del municipio, </w:t>
      </w:r>
      <w:r>
        <w:rPr>
          <w:rFonts w:ascii="Palatino Linotype" w:eastAsia="Palatino Linotype" w:hAnsi="Palatino Linotype" w:cs="Palatino Linotype"/>
          <w:b/>
        </w:rPr>
        <w:t xml:space="preserve">focalizándolo a los grupos vulnerables del municipio, </w:t>
      </w:r>
      <w:r>
        <w:rPr>
          <w:rFonts w:ascii="Palatino Linotype" w:eastAsia="Palatino Linotype" w:hAnsi="Palatino Linotype" w:cs="Palatino Linotype"/>
        </w:rPr>
        <w:t xml:space="preserve">con el objetivo de elevar su calidad de vida, así como brindarles atención médica básica; </w:t>
      </w:r>
    </w:p>
    <w:p w14:paraId="3AE3E858" w14:textId="77777777" w:rsidR="002F6C66" w:rsidRDefault="00746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Asimismo, se precisa que, además la Coordinación de Protección Civil y Bomberos, que tiene entre otras, las siguientes las atribuciones en su parte conducente:</w:t>
      </w:r>
    </w:p>
    <w:p w14:paraId="54555CBF" w14:textId="77777777" w:rsidR="002F6C66" w:rsidRDefault="00746DBC">
      <w:pPr>
        <w:numPr>
          <w:ilvl w:val="0"/>
          <w:numId w:val="5"/>
        </w:numPr>
        <w:spacing w:before="240" w:line="360" w:lineRule="auto"/>
        <w:ind w:left="426" w:right="49"/>
        <w:jc w:val="both"/>
        <w:rPr>
          <w:rFonts w:ascii="Palatino Linotype" w:eastAsia="Palatino Linotype" w:hAnsi="Palatino Linotype" w:cs="Palatino Linotype"/>
        </w:rPr>
      </w:pPr>
      <w:r>
        <w:rPr>
          <w:rFonts w:ascii="Palatino Linotype" w:eastAsia="Palatino Linotype" w:hAnsi="Palatino Linotype" w:cs="Palatino Linotype"/>
          <w:b/>
        </w:rPr>
        <w:t>Realizar evaluaciones de riesgo en espacios públicos y privados, cuando esté en riesgo la seguridad de la población o por solicitud ciudadana, para que a partir de la gestión integral de riesgos y el resultado de la evaluación, se apliquen las medidas y acciones necesarias para salvaguardar la vida, la integridad y la salud de la población;</w:t>
      </w:r>
      <w:r>
        <w:rPr>
          <w:rFonts w:ascii="Palatino Linotype" w:eastAsia="Palatino Linotype" w:hAnsi="Palatino Linotype" w:cs="Palatino Linotype"/>
        </w:rPr>
        <w:t xml:space="preserve"> así como sus bienes, la infraestructura y el medio ambiente; </w:t>
      </w:r>
    </w:p>
    <w:p w14:paraId="69D3F0FD" w14:textId="77777777" w:rsidR="002F6C66" w:rsidRDefault="00746DBC">
      <w:pPr>
        <w:numPr>
          <w:ilvl w:val="0"/>
          <w:numId w:val="5"/>
        </w:numPr>
        <w:spacing w:line="360" w:lineRule="auto"/>
        <w:ind w:left="426" w:right="49"/>
        <w:jc w:val="both"/>
        <w:rPr>
          <w:rFonts w:ascii="Palatino Linotype" w:eastAsia="Palatino Linotype" w:hAnsi="Palatino Linotype" w:cs="Palatino Linotype"/>
        </w:rPr>
      </w:pPr>
      <w:r>
        <w:rPr>
          <w:rFonts w:ascii="Palatino Linotype" w:eastAsia="Palatino Linotype" w:hAnsi="Palatino Linotype" w:cs="Palatino Linotype"/>
          <w:b/>
        </w:rPr>
        <w:t>Promover programas de capacitación en materia de protección civil para</w:t>
      </w:r>
      <w:r>
        <w:rPr>
          <w:rFonts w:ascii="Palatino Linotype" w:eastAsia="Palatino Linotype" w:hAnsi="Palatino Linotype" w:cs="Palatino Linotype"/>
        </w:rPr>
        <w:t xml:space="preserve"> las y los habitantes del municipio y </w:t>
      </w:r>
      <w:r>
        <w:rPr>
          <w:rFonts w:ascii="Palatino Linotype" w:eastAsia="Palatino Linotype" w:hAnsi="Palatino Linotype" w:cs="Palatino Linotype"/>
          <w:b/>
        </w:rPr>
        <w:t>servidoras y servidores públicos</w:t>
      </w:r>
      <w:r>
        <w:rPr>
          <w:rFonts w:ascii="Palatino Linotype" w:eastAsia="Palatino Linotype" w:hAnsi="Palatino Linotype" w:cs="Palatino Linotype"/>
        </w:rPr>
        <w:t xml:space="preserve"> del mismo; </w:t>
      </w:r>
    </w:p>
    <w:p w14:paraId="02D0FF71" w14:textId="77777777" w:rsidR="002F6C66" w:rsidRDefault="00746DBC">
      <w:pPr>
        <w:numPr>
          <w:ilvl w:val="0"/>
          <w:numId w:val="5"/>
        </w:numPr>
        <w:spacing w:line="360" w:lineRule="auto"/>
        <w:ind w:left="426" w:right="49"/>
        <w:jc w:val="both"/>
        <w:rPr>
          <w:rFonts w:ascii="Palatino Linotype" w:eastAsia="Palatino Linotype" w:hAnsi="Palatino Linotype" w:cs="Palatino Linotype"/>
        </w:rPr>
      </w:pPr>
      <w:r>
        <w:rPr>
          <w:rFonts w:ascii="Palatino Linotype" w:eastAsia="Palatino Linotype" w:hAnsi="Palatino Linotype" w:cs="Palatino Linotype"/>
        </w:rPr>
        <w:t>Emitir las disposiciones relativas a la regulación de protección civil en el territorio municipal;</w:t>
      </w:r>
    </w:p>
    <w:p w14:paraId="26E44A40" w14:textId="77777777" w:rsidR="002F6C66" w:rsidRDefault="00746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este línea de pensamiento resulta importante señalar que si bien es cierto, se manifestó el servidor público habilitado competente para dar respuesta, no menos cierto es que no se colmó a cabalidad el derecho de acceso a la información pública, </w:t>
      </w:r>
      <w:r>
        <w:rPr>
          <w:rFonts w:ascii="Palatino Linotype" w:eastAsia="Palatino Linotype" w:hAnsi="Palatino Linotype" w:cs="Palatino Linotype"/>
        </w:rPr>
        <w:lastRenderedPageBreak/>
        <w:t xml:space="preserve">toda vez que se limitó a pronunciar que no organizó el ingreso de las personas al Palacio Municipal de Metepec, por lo que no cuenta con las medidas al respecto, sin que obre un pronunciamiento respecto de las medidas sanitarias vigentes al diez de enero de dos mil veintidós, con las que cuenta el </w:t>
      </w:r>
      <w:r>
        <w:rPr>
          <w:rFonts w:ascii="Palatino Linotype" w:eastAsia="Palatino Linotype" w:hAnsi="Palatino Linotype" w:cs="Palatino Linotype"/>
          <w:b/>
        </w:rPr>
        <w:t>Sujeto Obligado</w:t>
      </w:r>
      <w:r>
        <w:rPr>
          <w:rFonts w:ascii="Palatino Linotype" w:eastAsia="Palatino Linotype" w:hAnsi="Palatino Linotype" w:cs="Palatino Linotype"/>
        </w:rPr>
        <w:t>,  por lo que se concluye que estos pronunciamientos del Sujeto Obligado carecen de congruencia y exhaustividad, sirve como refuerzo de lo anterior, traer a colación el Criterio 02/17, emitido por el Pleno del Instituto Nacional de Transparencia y Acceso a la Información y Protección de Datos Personales, de título y texto siguientes:</w:t>
      </w:r>
    </w:p>
    <w:p w14:paraId="1F013592" w14:textId="77777777" w:rsidR="002F6C66" w:rsidRDefault="00746DBC">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Congruencia y exhaustividad</w:t>
      </w:r>
      <w:r>
        <w:rPr>
          <w:rFonts w:ascii="Palatino Linotype" w:eastAsia="Palatino Linotype" w:hAnsi="Palatino Linotype" w:cs="Palatino Linotype"/>
          <w:i/>
          <w:sz w:val="22"/>
          <w:szCs w:val="22"/>
        </w:rPr>
        <w:t>.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C70F4FD" w14:textId="77777777" w:rsidR="002F6C66" w:rsidRDefault="00746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hasta aquí expuesto, es evidente que el derecho de acceso a la información del particular no puede tenerse por atendido, en consecuencia, lo procedente es ordenar, se haga entrega del soporte documental en el que consten los protocolos del Ayuntamiento para evitar la propagación del coronavirus SARS-CoV2, vigentes al diez de enero de dos mil veintidós, en razón 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encuentra constreñido a documentar todo acto que derive del ejercicio sus </w:t>
      </w:r>
      <w:r>
        <w:rPr>
          <w:rFonts w:ascii="Palatino Linotype" w:eastAsia="Palatino Linotype" w:hAnsi="Palatino Linotype" w:cs="Palatino Linotype"/>
        </w:rPr>
        <w:lastRenderedPageBreak/>
        <w:t>facultades, competencias o funciones, considerando desde su origen la eventual publicidad y reutilización de la información que generen, según lo dispuesto en los artículos 18, 24 fracción XXII y 160 párrafo primero de la Ley de la Materia, que son del tenor literal siguiente:</w:t>
      </w:r>
    </w:p>
    <w:p w14:paraId="6473444E" w14:textId="77777777" w:rsidR="002F6C66" w:rsidRDefault="00746DB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Los sujetos obligados deberán documentar todo acto que derive del ejercicio de sus facultades, competencias o funciones, considerando desde su origen la eventual publicidad y reutilización de la información que generen.</w:t>
      </w:r>
    </w:p>
    <w:p w14:paraId="35105F98" w14:textId="77777777" w:rsidR="002F6C66" w:rsidRDefault="00746DB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0301C57" w14:textId="77777777" w:rsidR="002F6C66" w:rsidRDefault="00746DB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24.</w:t>
      </w:r>
      <w:r>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w:t>
      </w:r>
    </w:p>
    <w:p w14:paraId="60BC1271" w14:textId="77777777" w:rsidR="002F6C66" w:rsidRDefault="00746DBC">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XXII.</w:t>
      </w:r>
      <w:r>
        <w:rPr>
          <w:rFonts w:ascii="Palatino Linotype" w:eastAsia="Palatino Linotype" w:hAnsi="Palatino Linotype" w:cs="Palatino Linotype"/>
          <w:i/>
          <w:sz w:val="22"/>
          <w:szCs w:val="22"/>
        </w:rPr>
        <w:t xml:space="preserve"> Documentar todo acto que derive del ejercicio de sus facultades, competencias o funciones y abstenerse de destruirlos u ocultarlos, dentro de los que destacan los procesos deliberativos y de decisión definitiva;</w:t>
      </w:r>
    </w:p>
    <w:p w14:paraId="2A1C54EA" w14:textId="77777777" w:rsidR="002F6C66" w:rsidRDefault="00746DBC">
      <w:pPr>
        <w:spacing w:before="120" w:after="120"/>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1BF26303" w14:textId="77777777" w:rsidR="002F6C66" w:rsidRDefault="00746DBC">
      <w:pPr>
        <w:spacing w:before="120" w:after="120"/>
        <w:ind w:left="567" w:right="902"/>
        <w:jc w:val="both"/>
        <w:rPr>
          <w:rFonts w:ascii="Palatino Linotype" w:eastAsia="Palatino Linotype" w:hAnsi="Palatino Linotype" w:cs="Palatino Linotype"/>
          <w:i/>
          <w:sz w:val="36"/>
          <w:szCs w:val="36"/>
        </w:rPr>
      </w:pPr>
      <w:r>
        <w:rPr>
          <w:rFonts w:ascii="Palatino Linotype" w:eastAsia="Palatino Linotype" w:hAnsi="Palatino Linotype" w:cs="Palatino Linotype"/>
          <w:b/>
          <w:i/>
          <w:sz w:val="22"/>
          <w:szCs w:val="22"/>
        </w:rPr>
        <w:t>Artículo 160</w:t>
      </w:r>
      <w:r>
        <w:rPr>
          <w:rFonts w:ascii="Palatino Linotype" w:eastAsia="Palatino Linotype" w:hAnsi="Palatino Linotype" w:cs="Palatino Linotype"/>
          <w:i/>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CCD20F0" w14:textId="77777777" w:rsidR="002F6C66" w:rsidRDefault="00746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no escapa de la óptica de este Órgano Garante que el particular, a través de su recurso de revisión, solicitó a este Instituto, se le diera vista a la Contraloría Interna y Órgano de Control y Vigilancia en términos de la Ley de Responsabilidades de los Servidores Públicos del Estado y Municipios, a efectos de que dicho Órgano determinara el grado de responsabilidad, al considerar posibles causas de responsabilidad administrativa por el incumplimiento a las disposiciones previstas en los artículos 161, 163 segundo párrafo y 177 de la Ley de Transparencia y Acceso a la Información Pública del Estado de México y Municipios, sin embargo, </w:t>
      </w:r>
      <w:r>
        <w:rPr>
          <w:rFonts w:ascii="Palatino Linotype" w:eastAsia="Palatino Linotype" w:hAnsi="Palatino Linotype" w:cs="Palatino Linotype"/>
        </w:rPr>
        <w:lastRenderedPageBreak/>
        <w:t>es preciso hacer de su conocimiento que el recurso de revisión no es la vía para instaurar procedimientos de responsabilidad administrativa, no obstante, se dejan a salvo sus derechos para que en caso de considerarlo oportuno a sus intereses, ejerza dicha acción ante las instancias correspondientes.</w:t>
      </w:r>
    </w:p>
    <w:p w14:paraId="24756F88" w14:textId="77777777" w:rsidR="002F6C66" w:rsidRDefault="00746DBC">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48446DCD" w14:textId="77777777" w:rsidR="002F6C66" w:rsidRDefault="00746DBC">
      <w:pPr>
        <w:spacing w:before="280" w:after="280" w:line="360" w:lineRule="auto"/>
        <w:ind w:left="284"/>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04353090" w14:textId="77777777" w:rsidR="002F6C66" w:rsidRDefault="00746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parcialmente</w:t>
      </w:r>
      <w:r>
        <w:rPr>
          <w:rFonts w:ascii="Palatino Linotype" w:eastAsia="Palatino Linotype" w:hAnsi="Palatino Linotype" w:cs="Palatino Linotype"/>
        </w:rPr>
        <w:t xml:space="preserve"> </w:t>
      </w:r>
      <w:r>
        <w:rPr>
          <w:rFonts w:ascii="Palatino Linotype" w:eastAsia="Palatino Linotype" w:hAnsi="Palatino Linotype" w:cs="Palatino Linotype"/>
          <w:b/>
        </w:rPr>
        <w:t>fundados</w:t>
      </w:r>
      <w:r>
        <w:rPr>
          <w:rFonts w:ascii="Palatino Linotype" w:eastAsia="Palatino Linotype" w:hAnsi="Palatino Linotype" w:cs="Palatino Linotype"/>
        </w:rPr>
        <w:t xml:space="preserve"> los motivos de inconformidad hechos valer por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02129/INFOEM/IP/RR/2022</w:t>
      </w:r>
      <w:r>
        <w:rPr>
          <w:rFonts w:ascii="Palatino Linotype" w:eastAsia="Palatino Linotype" w:hAnsi="Palatino Linotype" w:cs="Palatino Linotype"/>
        </w:rPr>
        <w:t>, por lo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 se </w:t>
      </w:r>
      <w:r>
        <w:rPr>
          <w:rFonts w:ascii="Palatino Linotype" w:eastAsia="Palatino Linotype" w:hAnsi="Palatino Linotype" w:cs="Palatino Linotype"/>
          <w:b/>
        </w:rPr>
        <w:t>REVOCA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rPr>
        <w:t>Sujeto Obligado.</w:t>
      </w:r>
    </w:p>
    <w:p w14:paraId="0794A4AF" w14:textId="77777777" w:rsidR="002F6C66" w:rsidRDefault="00746DBC">
      <w:pPr>
        <w:spacing w:before="240" w:after="240" w:line="360" w:lineRule="auto"/>
        <w:jc w:val="both"/>
        <w:rPr>
          <w:rFonts w:ascii="Palatino Linotype" w:eastAsia="Palatino Linotype" w:hAnsi="Palatino Linotype" w:cs="Palatino Linotype"/>
        </w:rPr>
      </w:pPr>
      <w:bookmarkStart w:id="2" w:name="_heading=h.tyjcwt" w:colFirst="0" w:colLast="0"/>
      <w:bookmarkEnd w:id="2"/>
      <w:r>
        <w:rPr>
          <w:rFonts w:ascii="Palatino Linotype" w:eastAsia="Palatino Linotype" w:hAnsi="Palatino Linotype" w:cs="Palatino Linotype"/>
          <w:b/>
        </w:rPr>
        <w:t>Segundo.</w:t>
      </w:r>
      <w:r>
        <w:rPr>
          <w:rFonts w:ascii="Palatino Linotype" w:eastAsia="Palatino Linotype" w:hAnsi="Palatino Linotype" w:cs="Palatino Linotype"/>
        </w:rPr>
        <w:t xml:space="preserve"> 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w:t>
      </w:r>
      <w:r>
        <w:rPr>
          <w:rFonts w:ascii="Palatino Linotype" w:eastAsia="Palatino Linotype" w:hAnsi="Palatino Linotype" w:cs="Palatino Linotype"/>
          <w:b/>
        </w:rPr>
        <w:t>previa búsqueda exhaustiva y razonable</w:t>
      </w:r>
      <w:r>
        <w:rPr>
          <w:rFonts w:ascii="Palatino Linotype" w:eastAsia="Palatino Linotype" w:hAnsi="Palatino Linotype" w:cs="Palatino Linotype"/>
        </w:rPr>
        <w:t xml:space="preserve">, haga entrega 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de esta resolución,</w:t>
      </w:r>
      <w:r>
        <w:rPr>
          <w:rFonts w:ascii="Palatino Linotype" w:eastAsia="Palatino Linotype" w:hAnsi="Palatino Linotype" w:cs="Palatino Linotype"/>
          <w:b/>
        </w:rPr>
        <w:t xml:space="preserve"> </w:t>
      </w:r>
      <w:r>
        <w:rPr>
          <w:rFonts w:ascii="Palatino Linotype" w:eastAsia="Palatino Linotype" w:hAnsi="Palatino Linotype" w:cs="Palatino Linotype"/>
        </w:rPr>
        <w:t>de</w:t>
      </w:r>
      <w:r>
        <w:rPr>
          <w:rFonts w:ascii="Palatino Linotype" w:eastAsia="Palatino Linotype" w:hAnsi="Palatino Linotype" w:cs="Palatino Linotype"/>
          <w:b/>
        </w:rPr>
        <w:t xml:space="preserve"> </w:t>
      </w:r>
      <w:r>
        <w:rPr>
          <w:rFonts w:ascii="Palatino Linotype" w:eastAsia="Palatino Linotype" w:hAnsi="Palatino Linotype" w:cs="Palatino Linotype"/>
        </w:rPr>
        <w:t>lo siguiente:</w:t>
      </w:r>
    </w:p>
    <w:p w14:paraId="6C7E9308" w14:textId="77777777" w:rsidR="002F6C66" w:rsidRDefault="00746DBC">
      <w:pPr>
        <w:numPr>
          <w:ilvl w:val="0"/>
          <w:numId w:val="6"/>
        </w:numPr>
        <w:pBdr>
          <w:top w:val="nil"/>
          <w:left w:val="nil"/>
          <w:bottom w:val="nil"/>
          <w:right w:val="nil"/>
          <w:between w:val="nil"/>
        </w:pBdr>
        <w:ind w:left="567" w:right="851"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Documento en el que consten </w:t>
      </w:r>
      <w:r>
        <w:rPr>
          <w:rFonts w:ascii="Palatino Linotype" w:eastAsia="Palatino Linotype" w:hAnsi="Palatino Linotype" w:cs="Palatino Linotype"/>
          <w:i/>
          <w:sz w:val="22"/>
          <w:szCs w:val="22"/>
        </w:rPr>
        <w:t xml:space="preserve">los protocolos o medidas sanitarias </w:t>
      </w:r>
      <w:r>
        <w:rPr>
          <w:rFonts w:ascii="Palatino Linotype" w:eastAsia="Palatino Linotype" w:hAnsi="Palatino Linotype" w:cs="Palatino Linotype"/>
          <w:i/>
          <w:color w:val="000000"/>
          <w:sz w:val="22"/>
          <w:szCs w:val="22"/>
        </w:rPr>
        <w:t>del Ayuntamiento para evitar la propagación del coronavirus SARS-CoV2, vigentes al diez de enero de dos mil veintidós.</w:t>
      </w:r>
    </w:p>
    <w:p w14:paraId="4EDB825B" w14:textId="77777777" w:rsidR="002F6C66" w:rsidRDefault="00746DB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Tercero. Notifíquese vía Sistema de Acceso a la Información Mexiquense (SAIMEX),</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al Responsable de la Unidad de Transparencia del Sujeto Obligado la </w:t>
      </w:r>
      <w:r>
        <w:rPr>
          <w:rFonts w:ascii="Palatino Linotype" w:eastAsia="Palatino Linotype" w:hAnsi="Palatino Linotype" w:cs="Palatino Linotype"/>
        </w:rPr>
        <w:lastRenderedPageBreak/>
        <w:t xml:space="preserve">presente resolución, para que conforme a los artículo 186, último párrafo y 189, párrafo segundo de la Ley de Transparencia y Acceso a la Información Pública del Estado de México y Municipios dé cumplimiento a lo ordenado dentro del plazo de </w:t>
      </w:r>
      <w:r>
        <w:rPr>
          <w:rFonts w:ascii="Palatino Linotype" w:eastAsia="Palatino Linotype" w:hAnsi="Palatino Linotype" w:cs="Palatino Linotype"/>
          <w:b/>
        </w:rPr>
        <w:t>diez días hábiles</w:t>
      </w:r>
      <w:r>
        <w:rPr>
          <w:rFonts w:ascii="Palatino Linotype" w:eastAsia="Palatino Linotype" w:hAnsi="Palatino Linotype" w:cs="Palatino Linotype"/>
        </w:rPr>
        <w:t>, debiendo informar a este Instituto en un plazo de tres días hábiles siguientes sobre el cumplimiento dado a la misma</w:t>
      </w:r>
      <w:r>
        <w:rPr>
          <w:rFonts w:ascii="Palatino Linotype" w:eastAsia="Palatino Linotype" w:hAnsi="Palatino Linotype" w:cs="Palatino Linotype"/>
          <w:b/>
        </w:rPr>
        <w:t>.</w:t>
      </w:r>
    </w:p>
    <w:p w14:paraId="5624BEFD" w14:textId="77777777" w:rsidR="002F6C66" w:rsidRDefault="00746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ABFD942" w14:textId="77777777" w:rsidR="002F6C66" w:rsidRDefault="00746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 xml:space="preserve">al recurrente </w:t>
      </w:r>
      <w:r>
        <w:rPr>
          <w:rFonts w:ascii="Palatino Linotype" w:eastAsia="Palatino Linotype" w:hAnsi="Palatino Linotype" w:cs="Palatino Linotype"/>
          <w:b/>
        </w:rPr>
        <w:t>vía Sistema de Acceso a la Información Mexiquense (SAIMEX),</w:t>
      </w:r>
      <w:r>
        <w:rPr>
          <w:rFonts w:ascii="Palatino Linotype" w:eastAsia="Palatino Linotype" w:hAnsi="Palatino Linotype" w:cs="Palatino Linotype"/>
        </w:rPr>
        <w:t xml:space="preserve"> </w:t>
      </w:r>
      <w:r>
        <w:rPr>
          <w:rFonts w:ascii="Palatino Linotype" w:eastAsia="Palatino Linotype" w:hAnsi="Palatino Linotype" w:cs="Palatino Linotype"/>
          <w:highlight w:val="white"/>
        </w:rPr>
        <w:t xml:space="preserve">la presente resolución, </w:t>
      </w:r>
      <w:r>
        <w:rPr>
          <w:rFonts w:ascii="Palatino Linotype" w:eastAsia="Palatino Linotype" w:hAnsi="Palatino Linotype" w:cs="Palatino Linotype"/>
        </w:rPr>
        <w:t xml:space="preserve">así como, que de conformidad con lo establecido en el artículo 196 de la Ley de Transparencia y Acceso a la Información Pública del Estado de México y Municipios, en caso de que considere que le causa algún perjuicio podrá impugnarla </w:t>
      </w:r>
      <w:r>
        <w:rPr>
          <w:rFonts w:ascii="Palatino Linotype" w:eastAsia="Palatino Linotype" w:hAnsi="Palatino Linotype" w:cs="Palatino Linotype"/>
          <w:b/>
        </w:rPr>
        <w:t>vía Juicio de Amparo</w:t>
      </w:r>
      <w:r>
        <w:rPr>
          <w:rFonts w:ascii="Palatino Linotype" w:eastAsia="Palatino Linotype" w:hAnsi="Palatino Linotype" w:cs="Palatino Linotype"/>
        </w:rPr>
        <w:t xml:space="preserve"> en los términos de las leyes aplicables.</w:t>
      </w:r>
    </w:p>
    <w:p w14:paraId="0CFEA1A8" w14:textId="4760C6B0" w:rsidR="002F6C66" w:rsidRDefault="00746DBC">
      <w:pPr>
        <w:spacing w:before="240" w:after="240" w:line="360" w:lineRule="auto"/>
        <w:jc w:val="both"/>
        <w:rPr>
          <w:rFonts w:ascii="Palatino Linotype" w:eastAsia="Palatino Linotype" w:hAnsi="Palatino Linotype" w:cs="Palatino Linotype"/>
        </w:rPr>
        <w:sectPr w:rsidR="002F6C66">
          <w:headerReference w:type="default" r:id="rId23"/>
          <w:footerReference w:type="default" r:id="rId24"/>
          <w:headerReference w:type="first" r:id="rId25"/>
          <w:footerReference w:type="first" r:id="rId26"/>
          <w:pgSz w:w="12240" w:h="15840"/>
          <w:pgMar w:top="1417" w:right="1750" w:bottom="1417" w:left="1701" w:header="708" w:footer="708" w:gutter="0"/>
          <w:pgNumType w:start="1"/>
          <w:cols w:space="720"/>
          <w:titlePg/>
        </w:sectPr>
      </w:pPr>
      <w:bookmarkStart w:id="3" w:name="_heading=h.30j0zll" w:colFirst="0" w:colLast="0"/>
      <w:bookmarkEnd w:id="3"/>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0D0527">
        <w:rPr>
          <w:rFonts w:ascii="Palatino Linotype" w:eastAsia="Palatino Linotype" w:hAnsi="Palatino Linotype" w:cs="Palatino Linotype"/>
        </w:rPr>
        <w:t xml:space="preserve">SHARON CRISTINA MORALES MARTÍNEZ, </w:t>
      </w:r>
      <w:r>
        <w:rPr>
          <w:rFonts w:ascii="Palatino Linotype" w:eastAsia="Palatino Linotype" w:hAnsi="Palatino Linotype" w:cs="Palatino Linotype"/>
        </w:rPr>
        <w:t xml:space="preserve">LUIS GUSTAVO PARRA NORIEGA Y GUADALUPE RAMÍREZ PEÑA; EN LA DÉCIMO SÉPTIMA SESIÓN ORDINARIA CELEBRADA </w:t>
      </w:r>
      <w:r>
        <w:rPr>
          <w:rFonts w:ascii="Palatino Linotype" w:eastAsia="Palatino Linotype" w:hAnsi="Palatino Linotype" w:cs="Palatino Linotype"/>
        </w:rPr>
        <w:lastRenderedPageBreak/>
        <w:t xml:space="preserve">EL ONCE DE MAYO DEL DOS MIL VEINTIDÓS, ANTE EL SECRETARIO TÉCNICO DEL </w:t>
      </w: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47E5DC19" wp14:editId="5839873E">
                <wp:simplePos x="0" y="0"/>
                <wp:positionH relativeFrom="column">
                  <wp:posOffset>91440</wp:posOffset>
                </wp:positionH>
                <wp:positionV relativeFrom="paragraph">
                  <wp:posOffset>517525</wp:posOffset>
                </wp:positionV>
                <wp:extent cx="5372100" cy="69246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372100" cy="6924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882F52"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40.75pt" to="430.2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" strokecolor="black [3040]"/>
            </w:pict>
          </mc:Fallback>
        </mc:AlternateContent>
      </w:r>
      <w:r>
        <w:rPr>
          <w:rFonts w:ascii="Palatino Linotype" w:eastAsia="Palatino Linotype" w:hAnsi="Palatino Linotype" w:cs="Palatino Linotype"/>
        </w:rPr>
        <w:t>PLENO, ALEXIS TAPIA RAMÍREZ.</w:t>
      </w:r>
    </w:p>
    <w:p w14:paraId="1F8C53FE" w14:textId="77777777" w:rsidR="002F6C66" w:rsidRDefault="002F6C6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657F0652" w14:textId="77777777" w:rsidR="002F6C66" w:rsidRDefault="002F6C6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552269D4" w14:textId="77777777" w:rsidR="002F6C66" w:rsidRDefault="002F6C6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2F6C66">
      <w:headerReference w:type="first" r:id="rId27"/>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F4CF73" w14:textId="77777777" w:rsidR="004D34ED" w:rsidRDefault="004D34ED">
      <w:r>
        <w:separator/>
      </w:r>
    </w:p>
  </w:endnote>
  <w:endnote w:type="continuationSeparator" w:id="0">
    <w:p w14:paraId="0751D69C" w14:textId="77777777" w:rsidR="004D34ED" w:rsidRDefault="004D3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Quattrocento Sans">
    <w:altName w:val="Times New Roman"/>
    <w:charset w:val="00"/>
    <w:family w:val="auto"/>
    <w:pitch w:val="default"/>
  </w:font>
  <w:font w:name="Montserrat">
    <w:altName w:val="Times New Roman"/>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A7C54" w14:textId="77777777" w:rsidR="002F6C66" w:rsidRDefault="00746DB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052AB">
      <w:rPr>
        <w:rFonts w:ascii="Arial" w:eastAsia="Arial" w:hAnsi="Arial" w:cs="Arial"/>
        <w:b/>
        <w:noProof/>
        <w:color w:val="000000"/>
        <w:sz w:val="20"/>
        <w:szCs w:val="20"/>
      </w:rPr>
      <w:t>35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052AB">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14:paraId="637092C2" w14:textId="77777777" w:rsidR="002F6C66" w:rsidRDefault="002F6C66">
    <w:pPr>
      <w:pBdr>
        <w:top w:val="nil"/>
        <w:left w:val="nil"/>
        <w:bottom w:val="nil"/>
        <w:right w:val="nil"/>
        <w:between w:val="nil"/>
      </w:pBdr>
      <w:tabs>
        <w:tab w:val="center" w:pos="4252"/>
        <w:tab w:val="right" w:pos="8504"/>
      </w:tabs>
      <w:rPr>
        <w:color w:val="000000"/>
      </w:rPr>
    </w:pPr>
  </w:p>
  <w:p w14:paraId="70BAFA36" w14:textId="77777777" w:rsidR="002F6C66" w:rsidRDefault="002F6C6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AFD60" w14:textId="77777777" w:rsidR="002F6C66" w:rsidRDefault="00746DB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052AB">
      <w:rPr>
        <w:rFonts w:ascii="Arial" w:eastAsia="Arial" w:hAnsi="Arial" w:cs="Arial"/>
        <w:b/>
        <w:noProof/>
        <w:color w:val="000000"/>
        <w:sz w:val="20"/>
        <w:szCs w:val="20"/>
      </w:rPr>
      <w:t>36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052AB">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14:paraId="12275153" w14:textId="77777777" w:rsidR="002F6C66" w:rsidRDefault="002F6C6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DB9B90" w14:textId="77777777" w:rsidR="004D34ED" w:rsidRDefault="004D34ED">
      <w:r>
        <w:separator/>
      </w:r>
    </w:p>
  </w:footnote>
  <w:footnote w:type="continuationSeparator" w:id="0">
    <w:p w14:paraId="48AACB06" w14:textId="77777777" w:rsidR="004D34ED" w:rsidRDefault="004D34ED">
      <w:r>
        <w:continuationSeparator/>
      </w:r>
    </w:p>
  </w:footnote>
  <w:footnote w:id="1">
    <w:p w14:paraId="6442CC31" w14:textId="77777777" w:rsidR="002F6C66" w:rsidRDefault="00746DBC">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1A069BC" w14:textId="77777777" w:rsidR="002F6C66" w:rsidRDefault="00746DB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21EA6" w14:textId="77777777" w:rsidR="002F6C66" w:rsidRDefault="00746DBC">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5F083EB" wp14:editId="3701B6D2">
          <wp:simplePos x="0" y="0"/>
          <wp:positionH relativeFrom="column">
            <wp:posOffset>-1080131</wp:posOffset>
          </wp:positionH>
          <wp:positionV relativeFrom="paragraph">
            <wp:posOffset>-356866</wp:posOffset>
          </wp:positionV>
          <wp:extent cx="7635600" cy="9943200"/>
          <wp:effectExtent l="0" t="0" r="0" b="0"/>
          <wp:wrapNone/>
          <wp:docPr id="7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8"/>
      <w:tblW w:w="6240" w:type="dxa"/>
      <w:tblInd w:w="3746" w:type="dxa"/>
      <w:tblLayout w:type="fixed"/>
      <w:tblLook w:val="0400" w:firstRow="0" w:lastRow="0" w:firstColumn="0" w:lastColumn="0" w:noHBand="0" w:noVBand="1"/>
    </w:tblPr>
    <w:tblGrid>
      <w:gridCol w:w="2553"/>
      <w:gridCol w:w="3687"/>
    </w:tblGrid>
    <w:tr w:rsidR="002F6C66" w14:paraId="6ACF3CAF" w14:textId="77777777">
      <w:tc>
        <w:tcPr>
          <w:tcW w:w="2553" w:type="dxa"/>
          <w:vAlign w:val="center"/>
        </w:tcPr>
        <w:p w14:paraId="04BE9AD4" w14:textId="77777777" w:rsidR="002F6C66" w:rsidRDefault="00746D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1F46664C" w14:textId="77777777" w:rsidR="002F6C66" w:rsidRDefault="00746D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02129/INFOEM/IP/RR/2022</w:t>
          </w:r>
        </w:p>
      </w:tc>
    </w:tr>
    <w:tr w:rsidR="002F6C66" w14:paraId="693DB4C5" w14:textId="77777777">
      <w:trPr>
        <w:trHeight w:val="228"/>
      </w:trPr>
      <w:tc>
        <w:tcPr>
          <w:tcW w:w="2553" w:type="dxa"/>
          <w:vAlign w:val="center"/>
        </w:tcPr>
        <w:p w14:paraId="2B5805EE" w14:textId="77777777" w:rsidR="002F6C66" w:rsidRDefault="00746D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6AE834C7" w14:textId="77777777" w:rsidR="002F6C66" w:rsidRDefault="00746DBC">
          <w:pPr>
            <w:ind w:right="6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2F6C66" w14:paraId="2DC6CF91" w14:textId="77777777">
      <w:tc>
        <w:tcPr>
          <w:tcW w:w="2553" w:type="dxa"/>
          <w:vAlign w:val="center"/>
        </w:tcPr>
        <w:p w14:paraId="7F4CDAC8" w14:textId="77777777" w:rsidR="002F6C66" w:rsidRDefault="00746D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4272161B" w14:textId="77777777" w:rsidR="002F6C66" w:rsidRDefault="00746DBC">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F15CBA3" w14:textId="77777777" w:rsidR="002F6C66" w:rsidRDefault="00746DBC">
    <w:pPr>
      <w:rPr>
        <w:rFonts w:ascii="Cambria" w:eastAsia="Cambria" w:hAnsi="Cambria" w:cs="Cambria"/>
        <w:color w:val="000000"/>
      </w:rPr>
    </w:pPr>
    <w:r>
      <w:rPr>
        <w:rFonts w:ascii="Cambria" w:eastAsia="Cambria" w:hAnsi="Cambria" w:cs="Cambria"/>
        <w:color w:val="000000"/>
      </w:rPr>
      <w:tab/>
    </w:r>
  </w:p>
  <w:p w14:paraId="4231FD83" w14:textId="77777777" w:rsidR="002F6C66" w:rsidRDefault="002F6C66">
    <w:pPr>
      <w:pBdr>
        <w:top w:val="nil"/>
        <w:left w:val="nil"/>
        <w:bottom w:val="nil"/>
        <w:right w:val="nil"/>
        <w:between w:val="nil"/>
      </w:pBdr>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641F0" w14:textId="77777777" w:rsidR="002F6C66" w:rsidRDefault="00746DBC">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57CF7812" wp14:editId="4D3E25F3">
          <wp:simplePos x="0" y="0"/>
          <wp:positionH relativeFrom="column">
            <wp:posOffset>-983612</wp:posOffset>
          </wp:positionH>
          <wp:positionV relativeFrom="paragraph">
            <wp:posOffset>-342263</wp:posOffset>
          </wp:positionV>
          <wp:extent cx="7635600" cy="9943200"/>
          <wp:effectExtent l="0" t="0" r="0" b="0"/>
          <wp:wrapNone/>
          <wp:docPr id="7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7"/>
      <w:tblW w:w="6240" w:type="dxa"/>
      <w:tblInd w:w="3685" w:type="dxa"/>
      <w:tblLayout w:type="fixed"/>
      <w:tblLook w:val="0400" w:firstRow="0" w:lastRow="0" w:firstColumn="0" w:lastColumn="0" w:noHBand="0" w:noVBand="1"/>
    </w:tblPr>
    <w:tblGrid>
      <w:gridCol w:w="2553"/>
      <w:gridCol w:w="3687"/>
    </w:tblGrid>
    <w:tr w:rsidR="002F6C66" w14:paraId="3EC1B189" w14:textId="77777777">
      <w:tc>
        <w:tcPr>
          <w:tcW w:w="2553" w:type="dxa"/>
          <w:vAlign w:val="center"/>
        </w:tcPr>
        <w:p w14:paraId="168C5D78" w14:textId="77777777" w:rsidR="002F6C66" w:rsidRDefault="00746D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21EA90CC" w14:textId="77777777" w:rsidR="002F6C66" w:rsidRDefault="00746D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02129/INFOEM/IP/RR/2022</w:t>
          </w:r>
        </w:p>
      </w:tc>
    </w:tr>
    <w:tr w:rsidR="002F6C66" w14:paraId="6DA53329" w14:textId="77777777">
      <w:tc>
        <w:tcPr>
          <w:tcW w:w="2553" w:type="dxa"/>
          <w:vAlign w:val="center"/>
        </w:tcPr>
        <w:p w14:paraId="27C49CED" w14:textId="77777777" w:rsidR="002F6C66" w:rsidRDefault="00746D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3CC506DD" w14:textId="77777777" w:rsidR="002F6C66" w:rsidRDefault="002F6C66">
          <w:pPr>
            <w:rPr>
              <w:rFonts w:ascii="Palatino Linotype" w:eastAsia="Palatino Linotype" w:hAnsi="Palatino Linotype" w:cs="Palatino Linotype"/>
              <w:b/>
              <w:sz w:val="22"/>
              <w:szCs w:val="22"/>
            </w:rPr>
          </w:pPr>
        </w:p>
      </w:tc>
    </w:tr>
    <w:tr w:rsidR="002F6C66" w14:paraId="2A6E7D95" w14:textId="77777777">
      <w:trPr>
        <w:trHeight w:val="228"/>
      </w:trPr>
      <w:tc>
        <w:tcPr>
          <w:tcW w:w="2553" w:type="dxa"/>
          <w:vAlign w:val="center"/>
        </w:tcPr>
        <w:p w14:paraId="75A894CB" w14:textId="77777777" w:rsidR="002F6C66" w:rsidRDefault="00746D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5F6114F9" w14:textId="77777777" w:rsidR="002F6C66" w:rsidRDefault="00746DBC">
          <w:pPr>
            <w:ind w:right="7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2F6C66" w14:paraId="09F4AC87" w14:textId="77777777">
      <w:tc>
        <w:tcPr>
          <w:tcW w:w="2553" w:type="dxa"/>
          <w:vAlign w:val="center"/>
        </w:tcPr>
        <w:p w14:paraId="6BD490E5" w14:textId="77777777" w:rsidR="002F6C66" w:rsidRDefault="00746D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54C7A43D" w14:textId="77777777" w:rsidR="002F6C66" w:rsidRDefault="00746DBC">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A8B6DE5" w14:textId="77777777" w:rsidR="002F6C66" w:rsidRDefault="002F6C66">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9E0CB" w14:textId="77777777" w:rsidR="002F6C66" w:rsidRDefault="00746DBC">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5E01B013" w14:textId="77777777" w:rsidR="002F6C66" w:rsidRDefault="002F6C6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24562"/>
    <w:multiLevelType w:val="multilevel"/>
    <w:tmpl w:val="06E02DC0"/>
    <w:lvl w:ilvl="0">
      <w:start w:val="1"/>
      <w:numFmt w:val="upperRoman"/>
      <w:lvlText w:val="%1."/>
      <w:lvlJc w:val="left"/>
      <w:pPr>
        <w:ind w:left="1347" w:hanging="720"/>
      </w:pPr>
    </w:lvl>
    <w:lvl w:ilvl="1">
      <w:start w:val="1"/>
      <w:numFmt w:val="lowerLetter"/>
      <w:lvlText w:val="%2."/>
      <w:lvlJc w:val="left"/>
      <w:pPr>
        <w:ind w:left="1707" w:hanging="360"/>
      </w:pPr>
    </w:lvl>
    <w:lvl w:ilvl="2">
      <w:start w:val="1"/>
      <w:numFmt w:val="lowerRoman"/>
      <w:lvlText w:val="%3."/>
      <w:lvlJc w:val="right"/>
      <w:pPr>
        <w:ind w:left="2427" w:hanging="180"/>
      </w:p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1">
    <w:nsid w:val="4A7073E4"/>
    <w:multiLevelType w:val="multilevel"/>
    <w:tmpl w:val="8D30141C"/>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544D53F2"/>
    <w:multiLevelType w:val="multilevel"/>
    <w:tmpl w:val="4BFED6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D747485"/>
    <w:multiLevelType w:val="multilevel"/>
    <w:tmpl w:val="D8A23F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81775AD"/>
    <w:multiLevelType w:val="multilevel"/>
    <w:tmpl w:val="72F8EEF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7050030C"/>
    <w:multiLevelType w:val="multilevel"/>
    <w:tmpl w:val="1EB6761E"/>
    <w:lvl w:ilvl="0">
      <w:start w:val="1"/>
      <w:numFmt w:val="lowerLetter"/>
      <w:lvlText w:val="%1)"/>
      <w:lvlJc w:val="left"/>
      <w:pPr>
        <w:ind w:left="987" w:hanging="360"/>
      </w:pPr>
    </w:lvl>
    <w:lvl w:ilvl="1">
      <w:start w:val="1"/>
      <w:numFmt w:val="lowerLetter"/>
      <w:lvlText w:val="%2."/>
      <w:lvlJc w:val="left"/>
      <w:pPr>
        <w:ind w:left="1707" w:hanging="360"/>
      </w:pPr>
    </w:lvl>
    <w:lvl w:ilvl="2">
      <w:start w:val="1"/>
      <w:numFmt w:val="lowerRoman"/>
      <w:lvlText w:val="%3."/>
      <w:lvlJc w:val="right"/>
      <w:pPr>
        <w:ind w:left="2427" w:hanging="180"/>
      </w:p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6">
    <w:nsid w:val="72463254"/>
    <w:multiLevelType w:val="multilevel"/>
    <w:tmpl w:val="F1889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0"/>
  </w:num>
  <w:num w:numId="3">
    <w:abstractNumId w:val="1"/>
  </w:num>
  <w:num w:numId="4">
    <w:abstractNumId w:val="5"/>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66"/>
    <w:rsid w:val="000D0527"/>
    <w:rsid w:val="002F6C66"/>
    <w:rsid w:val="004D34ED"/>
    <w:rsid w:val="00746DBC"/>
    <w:rsid w:val="00A01254"/>
    <w:rsid w:val="00AE05FD"/>
    <w:rsid w:val="00B052AB"/>
    <w:rsid w:val="00D46F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A2EB3"/>
  <w15:docId w15:val="{DB7803E9-0A34-4997-BC91-E03281AA9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3"/>
    <w:tblPr>
      <w:tblStyleRowBandSize w:val="1"/>
      <w:tblStyleColBandSize w:val="1"/>
      <w:tblCellMar>
        <w:top w:w="0" w:type="dxa"/>
        <w:left w:w="108" w:type="dxa"/>
        <w:bottom w:w="0" w:type="dxa"/>
        <w:right w:w="108" w:type="dxa"/>
      </w:tblCellMar>
    </w:tblPr>
  </w:style>
  <w:style w:type="table" w:customStyle="1" w:styleId="2">
    <w:name w:val="2"/>
    <w:basedOn w:val="TableNormal3"/>
    <w:tblPr>
      <w:tblStyleRowBandSize w:val="1"/>
      <w:tblStyleColBandSize w:val="1"/>
      <w:tblCellMar>
        <w:top w:w="0" w:type="dxa"/>
        <w:left w:w="115" w:type="dxa"/>
        <w:bottom w:w="0" w:type="dxa"/>
        <w:right w:w="115" w:type="dxa"/>
      </w:tblCellMar>
    </w:tblPr>
  </w:style>
  <w:style w:type="table" w:customStyle="1" w:styleId="1">
    <w:name w:val="1"/>
    <w:basedOn w:val="TableNormal3"/>
    <w:tblPr>
      <w:tblStyleRowBandSize w:val="1"/>
      <w:tblStyleColBandSize w:val="1"/>
      <w:tblCellMar>
        <w:top w:w="0" w:type="dxa"/>
        <w:left w:w="115" w:type="dxa"/>
        <w:bottom w:w="0" w:type="dxa"/>
        <w:right w:w="115" w:type="dxa"/>
      </w:tblCellMar>
    </w:tblPr>
  </w:style>
  <w:style w:type="table" w:customStyle="1" w:styleId="a">
    <w:basedOn w:val="TableNormal3"/>
    <w:tblPr>
      <w:tblStyleRowBandSize w:val="1"/>
      <w:tblStyleColBandSize w:val="1"/>
      <w:tblCellMar>
        <w:top w:w="0" w:type="dxa"/>
        <w:left w:w="115" w:type="dxa"/>
        <w:bottom w:w="0" w:type="dxa"/>
        <w:right w:w="115" w:type="dxa"/>
      </w:tblCellMar>
    </w:tbl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a1">
    <w:basedOn w:val="TableNormal3"/>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legislacion.edomex.gob.mx/sites/legislacion.edomex.gob.mx/files/files/pdf/gct/2020/jul033.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yperlink" Target="https://www.gob.mx/cms/uploads/attachment/file/552550/Lineamientos_de_Seguridad_Sanitaria_F.pdf"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JQS3o1f/Aa6OyHDe+1duy/W8KQ==">AMUW2mUxQ4doTMxXq5ydOxGA+SrdessgMeJ7vrX0GxUd/OyrqypwrF0R4RG5T/oqbfBOdSfJMefxfR/aJ2K+wl7uhyQZ1EJ6x0KD8kxxyjkeP0jufPm1QsDqbAOFIKiZ3N3V5ePrnpz30DywI1pjBX8IsH7DmeL6Kw==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8108</Words>
  <Characters>44599</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2022-05-16T05:48:00Z</cp:lastPrinted>
  <dcterms:created xsi:type="dcterms:W3CDTF">2022-06-07T16:34:00Z</dcterms:created>
  <dcterms:modified xsi:type="dcterms:W3CDTF">2022-06-07T16:34:00Z</dcterms:modified>
</cp:coreProperties>
</file>