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 fecha veintinueve de junio de dos mil veintidós. </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Vistos</w:t>
      </w:r>
      <w:r w:rsidRPr="00AB4405">
        <w:rPr>
          <w:rFonts w:ascii="Palatino Linotype" w:eastAsia="Palatino Linotype" w:hAnsi="Palatino Linotype" w:cs="Palatino Linotype"/>
        </w:rPr>
        <w:t xml:space="preserve"> los expedientes relativos a los recursos de revisión </w:t>
      </w:r>
      <w:r w:rsidRPr="00AB4405">
        <w:rPr>
          <w:rFonts w:ascii="Palatino Linotype" w:eastAsia="Palatino Linotype" w:hAnsi="Palatino Linotype" w:cs="Palatino Linotype"/>
          <w:b/>
        </w:rPr>
        <w:t>03539/INFOEM/IP/RR/2022</w:t>
      </w:r>
      <w:r w:rsidR="00E20A9E" w:rsidRPr="00AB4405">
        <w:rPr>
          <w:rFonts w:ascii="Palatino Linotype" w:eastAsia="Palatino Linotype" w:hAnsi="Palatino Linotype" w:cs="Palatino Linotype"/>
        </w:rPr>
        <w:t xml:space="preserve"> y </w:t>
      </w:r>
      <w:r w:rsidRPr="00AB4405">
        <w:rPr>
          <w:rFonts w:ascii="Palatino Linotype" w:eastAsia="Palatino Linotype" w:hAnsi="Palatino Linotype" w:cs="Palatino Linotype"/>
          <w:b/>
        </w:rPr>
        <w:t xml:space="preserve">03540/INFOEM/IP/RR/2022, </w:t>
      </w:r>
      <w:r w:rsidRPr="00AB4405">
        <w:rPr>
          <w:rFonts w:ascii="Palatino Linotype" w:eastAsia="Palatino Linotype" w:hAnsi="Palatino Linotype" w:cs="Palatino Linotype"/>
        </w:rPr>
        <w:t xml:space="preserve">interpuestos por </w:t>
      </w:r>
      <w:r w:rsidR="001F5B7E">
        <w:rPr>
          <w:rFonts w:ascii="Palatino Linotype" w:eastAsia="Palatino Linotype" w:hAnsi="Palatino Linotype" w:cs="Palatino Linotype"/>
          <w:b/>
        </w:rPr>
        <w:t>XXXX XXXX</w:t>
      </w:r>
      <w:r w:rsidRPr="00AB4405">
        <w:rPr>
          <w:rFonts w:ascii="Palatino Linotype" w:eastAsia="Palatino Linotype" w:hAnsi="Palatino Linotype" w:cs="Palatino Linotype"/>
        </w:rPr>
        <w:t xml:space="preserve">, a quien se le denominada el </w:t>
      </w:r>
      <w:r w:rsidRPr="00AB4405">
        <w:rPr>
          <w:rFonts w:ascii="Palatino Linotype" w:eastAsia="Palatino Linotype" w:hAnsi="Palatino Linotype" w:cs="Palatino Linotype"/>
          <w:b/>
        </w:rPr>
        <w:t>RECURRENTE</w:t>
      </w:r>
      <w:r w:rsidRPr="00AB4405">
        <w:rPr>
          <w:rFonts w:ascii="Palatino Linotype" w:eastAsia="Palatino Linotype" w:hAnsi="Palatino Linotype" w:cs="Palatino Linotype"/>
        </w:rPr>
        <w:t xml:space="preserve"> en contra de las respuestas a sus solicitudes de información con número de folio </w:t>
      </w:r>
      <w:r w:rsidRPr="00AB4405">
        <w:rPr>
          <w:rFonts w:ascii="Palatino Linotype" w:eastAsia="Palatino Linotype" w:hAnsi="Palatino Linotype" w:cs="Palatino Linotype"/>
          <w:b/>
        </w:rPr>
        <w:t>00075/SMOV/IP/2022 y 00074/SMOV/IP/2022</w:t>
      </w:r>
      <w:r w:rsidRPr="00AB4405">
        <w:rPr>
          <w:rFonts w:ascii="Verdana" w:eastAsia="Verdana" w:hAnsi="Verdana" w:cs="Verdana"/>
          <w:b/>
          <w:color w:val="FF0000"/>
        </w:rPr>
        <w:t xml:space="preserve"> </w:t>
      </w:r>
      <w:r w:rsidRPr="00AB4405">
        <w:rPr>
          <w:rFonts w:ascii="Palatino Linotype" w:eastAsia="Palatino Linotype" w:hAnsi="Palatino Linotype" w:cs="Palatino Linotype"/>
        </w:rPr>
        <w:t>por parte de la</w:t>
      </w:r>
      <w:r w:rsidRPr="00AB4405">
        <w:rPr>
          <w:rFonts w:ascii="Palatino Linotype" w:eastAsia="Palatino Linotype" w:hAnsi="Palatino Linotype" w:cs="Palatino Linotype"/>
          <w:b/>
        </w:rPr>
        <w:t xml:space="preserve"> Secretaría de Movilidad,</w:t>
      </w:r>
      <w:r w:rsidRPr="00AB4405">
        <w:rPr>
          <w:rFonts w:ascii="Palatino Linotype" w:eastAsia="Palatino Linotype" w:hAnsi="Palatino Linotype" w:cs="Palatino Linotype"/>
        </w:rPr>
        <w:t xml:space="preserve"> en lo sucesivo el </w:t>
      </w:r>
      <w:r w:rsidRPr="00AB4405">
        <w:rPr>
          <w:rFonts w:ascii="Palatino Linotype" w:eastAsia="Palatino Linotype" w:hAnsi="Palatino Linotype" w:cs="Palatino Linotype"/>
          <w:b/>
        </w:rPr>
        <w:t xml:space="preserve">SUJETO OBLIGADO; </w:t>
      </w:r>
      <w:r w:rsidRPr="00AB4405">
        <w:rPr>
          <w:rFonts w:ascii="Palatino Linotype" w:eastAsia="Palatino Linotype" w:hAnsi="Palatino Linotype" w:cs="Palatino Linotype"/>
        </w:rPr>
        <w:t>se procede a dictar la presente resolución, con base en los siguientes:</w:t>
      </w:r>
      <w:bookmarkStart w:id="0" w:name="_GoBack"/>
      <w:bookmarkEnd w:id="0"/>
    </w:p>
    <w:p w:rsidR="00C258E0" w:rsidRPr="00AB4405" w:rsidRDefault="00C93C7E">
      <w:pPr>
        <w:numPr>
          <w:ilvl w:val="0"/>
          <w:numId w:val="1"/>
        </w:numPr>
        <w:pBdr>
          <w:top w:val="nil"/>
          <w:left w:val="nil"/>
          <w:bottom w:val="nil"/>
          <w:right w:val="nil"/>
          <w:between w:val="nil"/>
        </w:pBdr>
        <w:spacing w:before="240" w:after="240" w:line="360" w:lineRule="auto"/>
        <w:ind w:left="1077"/>
        <w:jc w:val="center"/>
        <w:rPr>
          <w:rFonts w:ascii="Palatino Linotype" w:eastAsia="Palatino Linotype" w:hAnsi="Palatino Linotype" w:cs="Palatino Linotype"/>
          <w:b/>
          <w:color w:val="000000"/>
          <w:sz w:val="22"/>
          <w:szCs w:val="22"/>
        </w:rPr>
      </w:pPr>
      <w:r w:rsidRPr="00AB4405">
        <w:rPr>
          <w:rFonts w:ascii="Palatino Linotype" w:eastAsia="Palatino Linotype" w:hAnsi="Palatino Linotype" w:cs="Palatino Linotype"/>
          <w:b/>
          <w:color w:val="000000"/>
          <w:sz w:val="22"/>
          <w:szCs w:val="22"/>
        </w:rPr>
        <w:t>A N T E C E D E N T E S:</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1. Solicitudes de acceso a la información. </w:t>
      </w:r>
      <w:r w:rsidRPr="00AB4405">
        <w:rPr>
          <w:rFonts w:ascii="Palatino Linotype" w:eastAsia="Palatino Linotype" w:hAnsi="Palatino Linotype" w:cs="Palatino Linotype"/>
        </w:rPr>
        <w:t xml:space="preserve">Con fecha tres de febrero del dos mil veintidós, la parte </w:t>
      </w:r>
      <w:r w:rsidRPr="00AB4405">
        <w:rPr>
          <w:rFonts w:ascii="Palatino Linotype" w:eastAsia="Palatino Linotype" w:hAnsi="Palatino Linotype" w:cs="Palatino Linotype"/>
          <w:b/>
        </w:rPr>
        <w:t>RECURRENTE</w:t>
      </w:r>
      <w:r w:rsidRPr="00AB4405">
        <w:rPr>
          <w:rFonts w:ascii="Palatino Linotype" w:eastAsia="Palatino Linotype" w:hAnsi="Palatino Linotype" w:cs="Palatino Linotype"/>
        </w:rPr>
        <w:t xml:space="preserve"> formuló solicitudes de acceso a información pública al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a través del Sistema de Acceso a la Información Mexiquense, en adelante </w:t>
      </w:r>
      <w:r w:rsidRPr="00AB4405">
        <w:rPr>
          <w:rFonts w:ascii="Palatino Linotype" w:eastAsia="Palatino Linotype" w:hAnsi="Palatino Linotype" w:cs="Palatino Linotype"/>
          <w:b/>
        </w:rPr>
        <w:t>SAIMEX,</w:t>
      </w:r>
      <w:r w:rsidRPr="00AB4405">
        <w:rPr>
          <w:rFonts w:ascii="Palatino Linotype" w:eastAsia="Palatino Linotype" w:hAnsi="Palatino Linotype" w:cs="Palatino Linotype"/>
        </w:rPr>
        <w:t xml:space="preserve"> requiriéndole lo siguiente:</w:t>
      </w:r>
    </w:p>
    <w:p w:rsidR="00C258E0" w:rsidRPr="00AB4405" w:rsidRDefault="00C93C7E">
      <w:pPr>
        <w:spacing w:before="240" w:after="240"/>
        <w:ind w:right="900"/>
        <w:jc w:val="both"/>
        <w:rPr>
          <w:rFonts w:ascii="Palatino Linotype" w:eastAsia="Palatino Linotype" w:hAnsi="Palatino Linotype" w:cs="Palatino Linotype"/>
          <w:b/>
        </w:rPr>
      </w:pPr>
      <w:r w:rsidRPr="00AB4405">
        <w:rPr>
          <w:rFonts w:ascii="Palatino Linotype" w:eastAsia="Palatino Linotype" w:hAnsi="Palatino Linotype" w:cs="Palatino Linotype"/>
          <w:b/>
        </w:rPr>
        <w:t>Solicitud 00075/SMOV/IP/2022:</w:t>
      </w:r>
    </w:p>
    <w:p w:rsidR="00C258E0" w:rsidRPr="00AB4405" w:rsidRDefault="00C93C7E">
      <w:pPr>
        <w:spacing w:before="240" w:after="240"/>
        <w:ind w:left="850" w:right="900"/>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“Por este medio requiero se me entregue copia de todas las autorizaciones de bases y derroteros y sitios autorizadas a las empresas o Asociaciones Civiles de transporte público de los año 1990 al año 2022 y que operan en el estado de México.” (Sic)</w:t>
      </w:r>
    </w:p>
    <w:p w:rsidR="00C258E0" w:rsidRPr="00AB4405" w:rsidRDefault="00C93C7E">
      <w:pPr>
        <w:spacing w:before="240" w:after="240"/>
        <w:ind w:right="900"/>
        <w:jc w:val="both"/>
        <w:rPr>
          <w:rFonts w:ascii="Palatino Linotype" w:eastAsia="Palatino Linotype" w:hAnsi="Palatino Linotype" w:cs="Palatino Linotype"/>
          <w:b/>
        </w:rPr>
      </w:pPr>
      <w:r w:rsidRPr="00AB4405">
        <w:rPr>
          <w:rFonts w:ascii="Palatino Linotype" w:eastAsia="Palatino Linotype" w:hAnsi="Palatino Linotype" w:cs="Palatino Linotype"/>
          <w:b/>
        </w:rPr>
        <w:t>Solicitud 00074/SMOV/IP/2022:</w:t>
      </w:r>
    </w:p>
    <w:p w:rsidR="00C258E0" w:rsidRPr="00AB4405" w:rsidRDefault="00C93C7E">
      <w:pPr>
        <w:spacing w:before="240" w:after="240"/>
        <w:ind w:left="566" w:right="900"/>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lastRenderedPageBreak/>
        <w:t>“Por este medio requiero se me entregue copia de todas las autorizaciones de bases y derroteros y sitios autorizadas a las empresas o Asociaciones Civiles de transporte público de los año 1990 al año 2022 y que operan en el estado de México.” (Sic)</w:t>
      </w: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Modalidad elegida para la entrega de la información en ambas solicitudes: </w:t>
      </w:r>
      <w:r w:rsidRPr="00AB4405">
        <w:rPr>
          <w:rFonts w:ascii="Palatino Linotype" w:eastAsia="Palatino Linotype" w:hAnsi="Palatino Linotype" w:cs="Palatino Linotype"/>
        </w:rPr>
        <w:t xml:space="preserve">a través del </w:t>
      </w:r>
      <w:r w:rsidRPr="00AB4405">
        <w:rPr>
          <w:rFonts w:ascii="Palatino Linotype" w:eastAsia="Palatino Linotype" w:hAnsi="Palatino Linotype" w:cs="Palatino Linotype"/>
          <w:b/>
        </w:rPr>
        <w:t>SAIMEX</w:t>
      </w:r>
      <w:r w:rsidRPr="00AB4405">
        <w:rPr>
          <w:rFonts w:ascii="Palatino Linotype" w:eastAsia="Palatino Linotype" w:hAnsi="Palatino Linotype" w:cs="Palatino Linotype"/>
        </w:rPr>
        <w:t>.</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2. Respuestas. </w:t>
      </w:r>
      <w:r w:rsidRPr="00AB4405">
        <w:rPr>
          <w:rFonts w:ascii="Palatino Linotype" w:eastAsia="Palatino Linotype" w:hAnsi="Palatino Linotype" w:cs="Palatino Linotype"/>
        </w:rPr>
        <w:t xml:space="preserve">Con fecha veinticinco de febrero de dos mil veintidós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envió sus respuestas a las solicitudes de acceso a la información a través del SAIMEX, en los siguientes términos:</w:t>
      </w:r>
    </w:p>
    <w:p w:rsidR="00C258E0" w:rsidRPr="00AB4405" w:rsidRDefault="00C93C7E">
      <w:pPr>
        <w:spacing w:after="240" w:line="360" w:lineRule="auto"/>
        <w:jc w:val="both"/>
        <w:rPr>
          <w:rFonts w:ascii="Palatino Linotype" w:eastAsia="Palatino Linotype" w:hAnsi="Palatino Linotype" w:cs="Palatino Linotype"/>
          <w:b/>
        </w:rPr>
      </w:pPr>
      <w:r w:rsidRPr="00AB4405">
        <w:rPr>
          <w:rFonts w:ascii="Palatino Linotype" w:eastAsia="Palatino Linotype" w:hAnsi="Palatino Linotype" w:cs="Palatino Linotype"/>
          <w:b/>
        </w:rPr>
        <w:t>Solicitud 00075/SMOV/IP/2022:</w:t>
      </w:r>
    </w:p>
    <w:p w:rsidR="00C258E0" w:rsidRPr="00AB4405" w:rsidRDefault="00C93C7E">
      <w:pPr>
        <w:spacing w:before="240"/>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 xml:space="preserve">C. Solicitante: En atención a la solicitud de acceso a la información identificada con el número de folio 00075/SMOV/IP/2022, anexo al presente se remiten las respuestas proporcionadas por las áreas involucradas. Con fundamento en lo dispuesto por los artículos 1, 8, 6, 14 y 16 de la Constitución Política de los Estados Unidos Mexicanos; 5 de la Constitución Política del Estado Libre y Soberano de México; 100, 101, 104 y 113 fracción XIII de la Ley General de Transparencia y Acceso a la Información Pública del Estado de México; 5 de la Ley General del Sistema Nacional Anticorrupción; 3 fracción XXXIII, 49 fracción VIII, 125, 128, 129, 131, 140 fracciones I, VII X y 141 de la Ley de Transparencia y Acceso a la Información Pública del Estado de México y Municipios; solicito que de no existir inconveniente alguno, se lleve a cabo Sesión del Comité de Información de Transparencia, para efectos de que </w:t>
      </w:r>
      <w:r w:rsidRPr="00AB4405">
        <w:rPr>
          <w:rFonts w:ascii="Palatino Linotype" w:eastAsia="Palatino Linotype" w:hAnsi="Palatino Linotype" w:cs="Palatino Linotype"/>
          <w:b/>
          <w:i/>
          <w:color w:val="000000"/>
          <w:sz w:val="22"/>
          <w:szCs w:val="22"/>
          <w:u w:val="single"/>
        </w:rPr>
        <w:t>se clasifique como RESERVADA la información consistente en los estudios técnicos de transporte público que obran en el archivos de esta Unidad Administrativa,</w:t>
      </w:r>
      <w:r w:rsidRPr="00AB4405">
        <w:rPr>
          <w:rFonts w:ascii="Palatino Linotype" w:eastAsia="Palatino Linotype" w:hAnsi="Palatino Linotype" w:cs="Palatino Linotype"/>
          <w:i/>
          <w:color w:val="000000"/>
          <w:sz w:val="22"/>
          <w:szCs w:val="22"/>
        </w:rPr>
        <w:t xml:space="preserve"> por las siguientes cuestiones de hecho y de derecho que expongo en los siguientes términos: PRUEBA DE DAÑO FUNDAMENTO LEGAL Con fundamento en lo dispuesto por los artículos 1, 100, 101, 104, 106 y 113 fracción I, VIII, XIII de la Ley General de Transparencia y Acceso a la Información Pública del Estado de México; en relación con los Capítulos Décimo </w:t>
      </w:r>
      <w:r w:rsidRPr="00AB4405">
        <w:rPr>
          <w:rFonts w:ascii="Palatino Linotype" w:eastAsia="Palatino Linotype" w:hAnsi="Palatino Linotype" w:cs="Palatino Linotype"/>
          <w:i/>
          <w:color w:val="000000"/>
          <w:sz w:val="22"/>
          <w:szCs w:val="22"/>
        </w:rPr>
        <w:lastRenderedPageBreak/>
        <w:t>Séptimo, fracción VIII, y Vigésimo Séptimo, fracción IV de los Lineamientos Generales en Materia de Clasificación y Desclasificación de la Información; así como en los Lineamientos para la Elaboración de Versiones Públicas; 3 fracción XXXIII, 128, 129 fracción I, 131, 140 fracciones VII y X, segundo párrafo, y 141 de la Ley de Transparencia y Acceso a la Información Pública del Estado de México y Municipios. Es de menester importancia precisar q</w:t>
      </w:r>
      <w:r w:rsidRPr="00AB4405">
        <w:rPr>
          <w:rFonts w:ascii="Palatino Linotype" w:eastAsia="Palatino Linotype" w:hAnsi="Palatino Linotype" w:cs="Palatino Linotype"/>
          <w:b/>
          <w:i/>
          <w:color w:val="000000"/>
          <w:sz w:val="22"/>
          <w:szCs w:val="22"/>
        </w:rPr>
        <w:t xml:space="preserve">ue la divulgación de las autorizaciones de bases y derroteros , causa un daño al interés del Estado, debido a que las disposiciones legales que regulan la materia, son de orden público e interés general, mismas que están siempre, por encima del interés particular. </w:t>
      </w:r>
      <w:r w:rsidRPr="00AB4405">
        <w:rPr>
          <w:rFonts w:ascii="Palatino Linotype" w:eastAsia="Palatino Linotype" w:hAnsi="Palatino Linotype" w:cs="Palatino Linotype"/>
          <w:i/>
          <w:color w:val="000000"/>
          <w:sz w:val="22"/>
          <w:szCs w:val="22"/>
        </w:rPr>
        <w:t xml:space="preserve">En efecto, lo anterior es así, debido a que </w:t>
      </w:r>
      <w:r w:rsidRPr="00AB4405">
        <w:rPr>
          <w:rFonts w:ascii="Palatino Linotype" w:eastAsia="Palatino Linotype" w:hAnsi="Palatino Linotype" w:cs="Palatino Linotype"/>
          <w:b/>
          <w:i/>
          <w:color w:val="000000"/>
          <w:sz w:val="22"/>
          <w:szCs w:val="22"/>
          <w:u w:val="single"/>
        </w:rPr>
        <w:t>éstas Autoridades, continúan con la implementación del Programa del Ordenamiento Integral del Transporte Público,</w:t>
      </w:r>
      <w:r w:rsidRPr="00AB4405">
        <w:rPr>
          <w:rFonts w:ascii="Palatino Linotype" w:eastAsia="Palatino Linotype" w:hAnsi="Palatino Linotype" w:cs="Palatino Linotype"/>
          <w:i/>
          <w:color w:val="000000"/>
          <w:sz w:val="22"/>
          <w:szCs w:val="22"/>
        </w:rPr>
        <w:t xml:space="preserve"> con el objeto de generar condiciones que garanticen a los mexiquenses el derecho a la debida movilidad, desplazándose por el territorio estatal de manera eficiente, e</w:t>
      </w:r>
      <w:r w:rsidRPr="00AB4405">
        <w:rPr>
          <w:rFonts w:ascii="Palatino Linotype" w:eastAsia="Palatino Linotype" w:hAnsi="Palatino Linotype" w:cs="Palatino Linotype"/>
          <w:b/>
          <w:i/>
          <w:color w:val="000000"/>
          <w:sz w:val="22"/>
          <w:szCs w:val="22"/>
          <w:u w:val="single"/>
        </w:rPr>
        <w:t>stableciendo plazos para actualizar concesiones y autorizaciones de derroteros,</w:t>
      </w:r>
      <w:r w:rsidRPr="00AB4405">
        <w:rPr>
          <w:rFonts w:ascii="Palatino Linotype" w:eastAsia="Palatino Linotype" w:hAnsi="Palatino Linotype" w:cs="Palatino Linotype"/>
          <w:i/>
          <w:color w:val="000000"/>
          <w:sz w:val="22"/>
          <w:szCs w:val="22"/>
        </w:rPr>
        <w:t xml:space="preserve"> entre otros, como lo estableció el “ACUERDO DEL SECRETARIO DE MOVILIDAD POR EL QUE SE AUTORIZA POR TIEMPO DETERMINADO LA CULMINACIÓN DE LOS TRÁMITES DE OTORGAMIENTO DE CONCESIONES, AUTORIZACIONES DE BASES, TERMINALES, DERROTEROS, LANZADERAS, ALARGAMIENTOS Y MODIFICACIONES DE DERROTEROS QUE SE HAYAN INICIADO Y NO CONCLUIDO, ASÍ MISMO RESPECTO DE LAS CONCESIONES VENCIDAS QUE NO FUERON PRORROGADAS EN TIEMPO Y FORMA” publicado en el Órgano de Difusión Estatal “Gaceta del Gobierno” el veinte de marzo del dos mil dieciocho, lo que implica que</w:t>
      </w:r>
      <w:r w:rsidRPr="00AB4405">
        <w:rPr>
          <w:rFonts w:ascii="Palatino Linotype" w:eastAsia="Palatino Linotype" w:hAnsi="Palatino Linotype" w:cs="Palatino Linotype"/>
          <w:b/>
          <w:i/>
          <w:color w:val="000000"/>
          <w:sz w:val="22"/>
          <w:szCs w:val="22"/>
          <w:u w:val="single"/>
        </w:rPr>
        <w:t xml:space="preserve"> se están llevando a cabo diversas acciones, programas y proyectos que mejoren la movilidad de los usuario</w:t>
      </w:r>
      <w:r w:rsidRPr="00AB4405">
        <w:rPr>
          <w:rFonts w:ascii="Palatino Linotype" w:eastAsia="Palatino Linotype" w:hAnsi="Palatino Linotype" w:cs="Palatino Linotype"/>
          <w:i/>
          <w:color w:val="000000"/>
          <w:sz w:val="22"/>
          <w:szCs w:val="22"/>
        </w:rPr>
        <w:t xml:space="preserve">s, es decir, </w:t>
      </w:r>
      <w:r w:rsidRPr="00AB4405">
        <w:rPr>
          <w:rFonts w:ascii="Palatino Linotype" w:eastAsia="Palatino Linotype" w:hAnsi="Palatino Linotype" w:cs="Palatino Linotype"/>
          <w:b/>
          <w:i/>
          <w:color w:val="000000"/>
          <w:sz w:val="22"/>
          <w:szCs w:val="22"/>
          <w:u w:val="single"/>
        </w:rPr>
        <w:t>se están analizando los derroteros que habrán de materializarse,</w:t>
      </w:r>
      <w:r w:rsidRPr="00AB4405">
        <w:rPr>
          <w:rFonts w:ascii="Palatino Linotype" w:eastAsia="Palatino Linotype" w:hAnsi="Palatino Linotype" w:cs="Palatino Linotype"/>
          <w:i/>
          <w:color w:val="000000"/>
          <w:sz w:val="22"/>
          <w:szCs w:val="22"/>
        </w:rPr>
        <w:t xml:space="preserve"> así como los alargamientos de los mismos c</w:t>
      </w:r>
      <w:r w:rsidRPr="00AB4405">
        <w:rPr>
          <w:rFonts w:ascii="Palatino Linotype" w:eastAsia="Palatino Linotype" w:hAnsi="Palatino Linotype" w:cs="Palatino Linotype"/>
          <w:b/>
          <w:i/>
          <w:color w:val="000000"/>
          <w:sz w:val="22"/>
          <w:szCs w:val="22"/>
          <w:u w:val="single"/>
        </w:rPr>
        <w:t>omo parte del mencionado Programa</w:t>
      </w:r>
      <w:r w:rsidRPr="00AB4405">
        <w:rPr>
          <w:rFonts w:ascii="Palatino Linotype" w:eastAsia="Palatino Linotype" w:hAnsi="Palatino Linotype" w:cs="Palatino Linotype"/>
          <w:i/>
          <w:color w:val="000000"/>
          <w:sz w:val="22"/>
          <w:szCs w:val="22"/>
        </w:rPr>
        <w:t>, máxime que no ha sido declarado como concluido, además de que no ha arrojado los resultados de los que se pueda determinar que las rutas o derroteros ya no sufrirán modificación alguna, pues e</w:t>
      </w:r>
      <w:r w:rsidRPr="00AB4405">
        <w:rPr>
          <w:rFonts w:ascii="Palatino Linotype" w:eastAsia="Palatino Linotype" w:hAnsi="Palatino Linotype" w:cs="Palatino Linotype"/>
          <w:b/>
          <w:i/>
          <w:color w:val="000000"/>
          <w:sz w:val="22"/>
          <w:szCs w:val="22"/>
          <w:u w:val="single"/>
        </w:rPr>
        <w:t>s necesario analizar, modificar y ordenar los derroteros que actualmente se encuentran operando</w:t>
      </w:r>
      <w:r w:rsidRPr="00AB4405">
        <w:rPr>
          <w:rFonts w:ascii="Palatino Linotype" w:eastAsia="Palatino Linotype" w:hAnsi="Palatino Linotype" w:cs="Palatino Linotype"/>
          <w:i/>
          <w:color w:val="000000"/>
          <w:sz w:val="22"/>
          <w:szCs w:val="22"/>
        </w:rPr>
        <w:t xml:space="preserve">, ya que </w:t>
      </w:r>
      <w:r w:rsidRPr="00AB4405">
        <w:rPr>
          <w:rFonts w:ascii="Palatino Linotype" w:eastAsia="Palatino Linotype" w:hAnsi="Palatino Linotype" w:cs="Palatino Linotype"/>
          <w:b/>
          <w:i/>
          <w:color w:val="000000"/>
          <w:sz w:val="22"/>
          <w:szCs w:val="22"/>
          <w:u w:val="single"/>
        </w:rPr>
        <w:t>no se han definido las rutas o derroteros que operarán como alimentadoras para los futuros Sistemas</w:t>
      </w:r>
      <w:r w:rsidRPr="00AB4405">
        <w:rPr>
          <w:rFonts w:ascii="Palatino Linotype" w:eastAsia="Palatino Linotype" w:hAnsi="Palatino Linotype" w:cs="Palatino Linotype"/>
          <w:i/>
          <w:color w:val="000000"/>
          <w:sz w:val="22"/>
          <w:szCs w:val="22"/>
        </w:rPr>
        <w:t xml:space="preserve"> de Transporte Masivo que se implementarán. Aunado a lo anterior, es de establecer que para la actualización de las autorizaciones de bases y derroteros, derivado de la implementación de nuevos Sistemas Integrales de Transporte Público, así como de Programas y Proyectos tendientes a mejorar la movilidad urbana, están siendo constantemente modificados y actualizados, </w:t>
      </w:r>
      <w:r w:rsidRPr="00AB4405">
        <w:rPr>
          <w:rFonts w:ascii="Palatino Linotype" w:eastAsia="Palatino Linotype" w:hAnsi="Palatino Linotype" w:cs="Palatino Linotype"/>
          <w:b/>
          <w:i/>
          <w:color w:val="000000"/>
          <w:sz w:val="22"/>
          <w:szCs w:val="22"/>
          <w:u w:val="single"/>
        </w:rPr>
        <w:t xml:space="preserve">lo que implica que de exhibirla, </w:t>
      </w:r>
      <w:r w:rsidRPr="00AB4405">
        <w:rPr>
          <w:rFonts w:ascii="Palatino Linotype" w:eastAsia="Palatino Linotype" w:hAnsi="Palatino Linotype" w:cs="Palatino Linotype"/>
          <w:b/>
          <w:i/>
          <w:color w:val="000000"/>
          <w:sz w:val="22"/>
          <w:szCs w:val="22"/>
          <w:u w:val="single"/>
        </w:rPr>
        <w:lastRenderedPageBreak/>
        <w:t>no se generaría certeza jurídica al hacerla públic</w:t>
      </w:r>
      <w:r w:rsidRPr="00AB4405">
        <w:rPr>
          <w:rFonts w:ascii="Palatino Linotype" w:eastAsia="Palatino Linotype" w:hAnsi="Palatino Linotype" w:cs="Palatino Linotype"/>
          <w:i/>
          <w:color w:val="000000"/>
          <w:sz w:val="22"/>
          <w:szCs w:val="22"/>
        </w:rPr>
        <w:t xml:space="preserve">a, además de poner en riesgo la ejecución de los mencionados proyectos y programas que se encuentran en vías de implementación, ya que se deberá llevar a cabo la determinación de adecuación de rutas, ello en términos de lo dispuesto por los artículos 113 fracción XIII y 140 fracciones VII y X de la Ley General de Transparencia y Acceso a la Información Pública del Estado y Municipios, reserva de la información por un periodo de cinco años. Atento a sus solicitud con número de folio 00075/SMOV/IP/2022, presentada ante el Instituto de Transparencia, Acceso a la Información Pública y Protección de Datos Personales del Estado de México (INFOEM); mediante la cual solicita: “….Por este medio requiero se me entregue copia de todas las autorizaciones de bases y derroteros y sitios autorizadas a las empresas o Asociaciones Civiles de transporte público de los año 1990 al año 2022 y que operan en el estado de México.. ” (sic) En esa virtud, con fundamento en lo dispuesto por los artículos 6, 8 y 35 fracción V de la Constitución Política de los Estados Unidos Mexicanos; 5 de la Constitución Política del Estado Libre y Soberano de México; 1, 2 fracción II, 3 fracción VIII, 4, 12 segundo párrafo, 15 y 24 último párrafo de la Ley de Transparencia y Acceso a la Información Pública del Estado de México y Municipios; esta dirección General de Movilidad Zona II, emite respuesta en los siguientes términos. Respecto a que solicita “…requiero se me entregue copia de todas las autorizaciones de bases y derroteros y sitios autorizadas a las empresas o Asociaciones Civiles de transporte público”…(sic), se manifiesta que esta Dirección General de Movilidad Zona II, determinó solicitar al Comité de Transparencia, que la información sea RESERVADA, en virtud de la prueba de daño que ha sido manifiesta en dicha solicitud, misma que se expone en archivo adjunto. Por lo anteriormente expuesto y en virtud de la necesidad de mantener esta información RESERVADA, por el momento, no podría ser atendida favorablemente su petición. Sin más por el momento, le envío un cordial saludo. Envío un cordial saludo, a su vez, por instrucciones del Mtro. Carlos Preza Millán, Subsecretario de Movilidad; de conformidad con lo dispuesto por los artículos 8 y 16 de la Constitución Política de los Estados Unidos Mexicanos; 78 y 143 de la Constitución Política del Estado Libre y Soberano de México; 32 de la Ley Orgánica de la Administración Pública del Estado de México; 1, 2, 3, 8, 11 y 12 del Reglamento Interior de la Secretaría de Movilidad; así como, las facultades establecidas en el Manual General de Organización de esta Secretaría; en atención a la solicitud de información con número 0075/SMOV/IP/2022, respectivamente, en el Sistema de Acceso a la Información Mexiquense (SAIMEX); mediante el cual señala: “Por este medio requiero se me entregue copia de todas las autorizaciones de bases y derroteros y sitios autorizadas a las empresas o Asociaciones Civiles de transporte público de </w:t>
      </w:r>
      <w:r w:rsidRPr="00AB4405">
        <w:rPr>
          <w:rFonts w:ascii="Palatino Linotype" w:eastAsia="Palatino Linotype" w:hAnsi="Palatino Linotype" w:cs="Palatino Linotype"/>
          <w:i/>
          <w:color w:val="000000"/>
          <w:sz w:val="22"/>
          <w:szCs w:val="22"/>
        </w:rPr>
        <w:lastRenderedPageBreak/>
        <w:t xml:space="preserve">los año 1990 al año 2022 y que operan en el estado de México.”(sic); le informo que, de conformidad con los artículos 143 de la Constitución Política del estado Libre y Soberano de México; 7 y 186 fracción II de la Ley de Transparencia y Acceso a la Información Pública del Estado de México y Municipios; artículo 16 fracción I del Reglamento de Transporte Público y Servicios Conexos, que a letra dice las concesiones solo se podrán otorgar a personas morales mexicanas constituidas en forma de sociedad mercantil, que reúnan los requisitos que establece el Código Administrativo del Estado de México y Reglamento de Transporte Público y Servicios Conexos, por tal motivo las Asociaciones Civiles quedan excluidas de dichos otorgamientos, así mismo, de acuerdo al artículo 24 y 25 fracción I del Reglamento Interior de la Secretaría de Movilidad, todas las concesiones, permisos y autorizaciones deberán ser inscritas y materializadas ante el Registro Estatal de Transporte Público, y solo una consulta en éste podría dar certeza de las autorizaciones otorgadas. Sin más por el momento, me reitero a sus apreciables órdenes. Ecatepec de Morelos; Estado de México, a 21 de febrero del 2022 En respuesta a la solicitud con número de folio 00075/SMOV/IP/2022, interpuesta través del Sistema de Acceso a la Información Mexiquense (SAIMEX), que a la letra dice, le informo lo siguiente: “…Por este medio requiero se me entregue copia de todas las autorizaciones de bases y derroteros y sitios autorizadas a las empresas o Asociaciones Civiles de transporte público de los año 1990 al año 2022 y que operan en el estado de México. …” (Sic). En esa virtud; con fundamento en lo dispuesto por los artículos 1 y 6 de la Constitución Política de los Estados Unidos Mexicanos; 5 de la Constitución Política del Estado Libre y Soberano de México; 100, 101, 104 y 113 fracción XIII de la Ley General de Transparencia y Acceso a la Información Pública; 5 de la Ley General del Sistema Nacional Anticorrupción; 3 fracción XXXIII, 49 fracción VIII, 125, 128, 129, 131, 140 fracciones VII y X y 141 de la Ley de Transparencia y Acceso a la Información Pública del Estado de México y Municipios. Atento a lo anterior, esta Dirección General de Movilidad Zona III, llevará a cabo una Sesión de Comité de Información, con la finalidad de clasificar la misma como RESERVADA. Sin otro particular, le envió un saludo. Mtro. José Alberto González Aguilar Director General de Movilidad Zona III Toluca, Estado de México; a 23 de febrero de 2022. Atento a su solicitud con número de folio 00075/SMOV/IP/2022, presentada ante el Instituto de Transparencia, Acceso a la Información Pública y Protección de Datos Personales del Estado de México (INFOEM), mediante la cual solicita: “Por este medio requiero se me entregue copia de todas las autorizaciones de bases y derroteros y sitios autorizadas a las empresas o Asociaciones Civiles de transporte público de los años 1990 al año 2022 y que operan en el estado de México.” (sic). En esa virtud, con fundamento </w:t>
      </w:r>
      <w:r w:rsidRPr="00AB4405">
        <w:rPr>
          <w:rFonts w:ascii="Palatino Linotype" w:eastAsia="Palatino Linotype" w:hAnsi="Palatino Linotype" w:cs="Palatino Linotype"/>
          <w:i/>
          <w:color w:val="000000"/>
          <w:sz w:val="22"/>
          <w:szCs w:val="22"/>
        </w:rPr>
        <w:lastRenderedPageBreak/>
        <w:t>en lo dispuesto por los artículos 6, 8 y 35 fracción V de la Constitución Política de los Estados Unidos Mexicanos; 5 de la Constitución Política del Estado Libre y Soberano de México; 1, 2 fracción II, 3 fracción VIII, 4, 12 segundo párrafo, 15, 24 último párrafo y 122 de la Ley de Transparencia y Acceso a la Información Pública del Estado de México y Municipios; esta dirección General de Movilidad Zona I, emite respuesta en los siguientes términos: Se informa que en fecha diecisiete de febrero del año dos mil veintidós mediante oficio número 22001001A000000/2022/0129, el suscrito solicitó a la Unidad de Transparencia, llevar a cabo Sesión de Comité de Información de Transparencia, con la finalidad de clasificar como RESERVADA la información requerida consistente en todas las autorizaciones de bases y derroteros autorizadas a las empresas o Asociaciones Civiles de transporte público de los años 1990 al año 2022 que se encuentran en los archivos físicos de esta Dirección General de Movilidad Zona I. Atinente a lo anterior, no es procedente acordar de manera favorable su solicitud. No omitiendo informar, que dentro del citado oficio se realizó la siguiente aclaración: “… de conformidad a lo señalado por el artículo 81 del Reglamento del Transporte Público y Servicios Conexos se entiende por sitio a la base autorizada para la contratación del servicio discrecional individual en automóvil de alquiler, en el que deben estar los vehículos concesionados afectos al mismo.”</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ATENTAMENTE</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Lic. Luis Gustavo Mondragón Duarte” (Sic)</w:t>
      </w:r>
    </w:p>
    <w:p w:rsidR="00C258E0" w:rsidRPr="00AB4405" w:rsidRDefault="00C258E0">
      <w:pPr>
        <w:ind w:left="851" w:right="902"/>
        <w:jc w:val="both"/>
        <w:rPr>
          <w:rFonts w:ascii="Palatino Linotype" w:eastAsia="Palatino Linotype" w:hAnsi="Palatino Linotype" w:cs="Palatino Linotype"/>
          <w:i/>
          <w:sz w:val="22"/>
          <w:szCs w:val="22"/>
        </w:rPr>
      </w:pP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El</w:t>
      </w:r>
      <w:r w:rsidRPr="00AB4405">
        <w:rPr>
          <w:rFonts w:ascii="Palatino Linotype" w:eastAsia="Palatino Linotype" w:hAnsi="Palatino Linotype" w:cs="Palatino Linotype"/>
          <w:b/>
        </w:rPr>
        <w:t xml:space="preserve"> SUJETO OBLIGADO, </w:t>
      </w:r>
      <w:r w:rsidRPr="00AB4405">
        <w:rPr>
          <w:rFonts w:ascii="Palatino Linotype" w:eastAsia="Palatino Linotype" w:hAnsi="Palatino Linotype" w:cs="Palatino Linotype"/>
        </w:rPr>
        <w:t>adjuntó a su respuesta los archivos electrónicos siguientes:</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i/>
        </w:rPr>
        <w:t>“</w:t>
      </w:r>
      <w:hyperlink r:id="rId8">
        <w:r w:rsidRPr="00AB4405">
          <w:rPr>
            <w:rFonts w:ascii="Palatino Linotype" w:eastAsia="Palatino Linotype" w:hAnsi="Palatino Linotype" w:cs="Palatino Linotype"/>
            <w:b/>
            <w:i/>
          </w:rPr>
          <w:t>Oficio 0134.pdf</w:t>
        </w:r>
      </w:hyperlink>
      <w:r w:rsidRPr="00AB4405">
        <w:rPr>
          <w:rFonts w:ascii="Palatino Linotype" w:eastAsia="Palatino Linotype" w:hAnsi="Palatino Linotype" w:cs="Palatino Linotype"/>
          <w:b/>
          <w:i/>
        </w:rPr>
        <w:t>”</w:t>
      </w:r>
      <w:r w:rsidRPr="00AB4405">
        <w:rPr>
          <w:rFonts w:ascii="Palatino Linotype" w:eastAsia="Palatino Linotype" w:hAnsi="Palatino Linotype" w:cs="Palatino Linotype"/>
        </w:rPr>
        <w:t xml:space="preserve">, el cual contiene el oficio número 22001002000000T/0134/2022, por medio del cual el Director General de Movilidad Zona II, solicitó al Titular de la Unidad de Transparencia, ambos de la Secretaría de Movilidad, clasificar como reservada la información consistente en todas las autorizaciones de bases, derroteros y sitios autorizadas de transporte público, que obren en los archivos de dicha Dirección. </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i/>
        </w:rPr>
        <w:t>“</w:t>
      </w:r>
      <w:hyperlink r:id="rId9">
        <w:r w:rsidRPr="00AB4405">
          <w:rPr>
            <w:rFonts w:ascii="Palatino Linotype" w:eastAsia="Palatino Linotype" w:hAnsi="Palatino Linotype" w:cs="Palatino Linotype"/>
            <w:b/>
            <w:i/>
          </w:rPr>
          <w:t>Scan_2022_02_23_22_32_56_419.pdf</w:t>
        </w:r>
      </w:hyperlink>
      <w:r w:rsidRPr="00AB4405">
        <w:rPr>
          <w:rFonts w:ascii="Palatino Linotype" w:eastAsia="Palatino Linotype" w:hAnsi="Palatino Linotype" w:cs="Palatino Linotype"/>
          <w:b/>
          <w:i/>
        </w:rPr>
        <w:t>”,</w:t>
      </w:r>
      <w:r w:rsidRPr="00AB4405">
        <w:rPr>
          <w:rFonts w:ascii="Palatino Linotype" w:eastAsia="Palatino Linotype" w:hAnsi="Palatino Linotype" w:cs="Palatino Linotype"/>
        </w:rPr>
        <w:t xml:space="preserve"> el cual contiene el oficio número 22001003T/186/2022, por medio del cual el Director General de Movilidad Zona III, </w:t>
      </w:r>
      <w:r w:rsidRPr="00AB4405">
        <w:rPr>
          <w:rFonts w:ascii="Palatino Linotype" w:eastAsia="Palatino Linotype" w:hAnsi="Palatino Linotype" w:cs="Palatino Linotype"/>
        </w:rPr>
        <w:lastRenderedPageBreak/>
        <w:t>solicitó al Titular de la Unidad de Transparencia, ambos de la Secretaría de Movilidad, clasificar como reservada la información consistente en todas las autorizaciones de bases, derroteros y sitios autorizadas a las empresas o asociaciones civiles de transporte público de los años 1990 al año 2022 y que operan en el Estado de México.</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i/>
        </w:rPr>
        <w:t>“</w:t>
      </w:r>
      <w:hyperlink r:id="rId10">
        <w:r w:rsidRPr="00AB4405">
          <w:rPr>
            <w:rFonts w:ascii="Palatino Linotype" w:eastAsia="Palatino Linotype" w:hAnsi="Palatino Linotype" w:cs="Palatino Linotype"/>
            <w:b/>
            <w:i/>
          </w:rPr>
          <w:t>solicitud_reserva_bases.pdf</w:t>
        </w:r>
      </w:hyperlink>
      <w:r w:rsidRPr="00AB4405">
        <w:rPr>
          <w:rFonts w:ascii="Palatino Linotype" w:eastAsia="Palatino Linotype" w:hAnsi="Palatino Linotype" w:cs="Palatino Linotype"/>
          <w:b/>
          <w:i/>
        </w:rPr>
        <w:t>”</w:t>
      </w:r>
      <w:r w:rsidRPr="00AB4405">
        <w:rPr>
          <w:rFonts w:ascii="Palatino Linotype" w:eastAsia="Palatino Linotype" w:hAnsi="Palatino Linotype" w:cs="Palatino Linotype"/>
        </w:rPr>
        <w:t>, el cual contiene el oficio número 22001001A 000000/2022/0129, por medio del cual el Director General de Movilidad Zona I, solicitó al Titular de la Unidad de Transparencia, ambos de la Secretaría de Movilidad, clasificar como reservada la información consistente en todas las autorizaciones de bases, derroteros y sitios autorizadas a las empresas o asociaciones civiles de transporte público de los años 1990 al año 2022 que se encuentran en los archivos físicos de dicha Dirección y que operan en el Estado de México.</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i/>
        </w:rPr>
        <w:t>“</w:t>
      </w:r>
      <w:hyperlink r:id="rId11">
        <w:r w:rsidRPr="00AB4405">
          <w:rPr>
            <w:rFonts w:ascii="Palatino Linotype" w:eastAsia="Palatino Linotype" w:hAnsi="Palatino Linotype" w:cs="Palatino Linotype"/>
            <w:b/>
            <w:i/>
          </w:rPr>
          <w:t>Acta 31a Extraord Solic 00075 (Reserva).pdf</w:t>
        </w:r>
      </w:hyperlink>
      <w:r w:rsidRPr="00AB4405">
        <w:rPr>
          <w:rFonts w:ascii="Palatino Linotype" w:eastAsia="Palatino Linotype" w:hAnsi="Palatino Linotype" w:cs="Palatino Linotype"/>
          <w:b/>
          <w:i/>
        </w:rPr>
        <w:t xml:space="preserve">”, </w:t>
      </w:r>
      <w:r w:rsidRPr="00AB4405">
        <w:rPr>
          <w:rFonts w:ascii="Palatino Linotype" w:eastAsia="Palatino Linotype" w:hAnsi="Palatino Linotype" w:cs="Palatino Linotype"/>
        </w:rPr>
        <w:t xml:space="preserve">el cual contiene el acta trigésima primera sesión extraordinaria del Comité de Transparencia de la Secretaría de Movilidad, a través del cual se aprobó el acuerdo número CT/SM/A/01/2022, por medio del cual se reservó la información requerida en la solicitud  </w:t>
      </w:r>
      <w:r w:rsidRPr="00AB4405">
        <w:rPr>
          <w:rFonts w:ascii="Palatino Linotype" w:eastAsia="Palatino Linotype" w:hAnsi="Palatino Linotype" w:cs="Palatino Linotype"/>
          <w:b/>
        </w:rPr>
        <w:t>00075/SMOV/IP/2022.</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i/>
        </w:rPr>
        <w:t>“</w:t>
      </w:r>
      <w:hyperlink r:id="rId12">
        <w:r w:rsidRPr="00AB4405">
          <w:rPr>
            <w:rFonts w:ascii="Palatino Linotype" w:eastAsia="Palatino Linotype" w:hAnsi="Palatino Linotype" w:cs="Palatino Linotype"/>
            <w:b/>
            <w:i/>
          </w:rPr>
          <w:t>Respuesta UT Solicitud 00075.pdf</w:t>
        </w:r>
      </w:hyperlink>
      <w:r w:rsidRPr="00AB4405">
        <w:rPr>
          <w:rFonts w:ascii="Palatino Linotype" w:eastAsia="Palatino Linotype" w:hAnsi="Palatino Linotype" w:cs="Palatino Linotype"/>
          <w:b/>
          <w:i/>
        </w:rPr>
        <w:t>”</w:t>
      </w:r>
      <w:r w:rsidRPr="00AB4405">
        <w:rPr>
          <w:rFonts w:ascii="Palatino Linotype" w:eastAsia="Palatino Linotype" w:hAnsi="Palatino Linotype" w:cs="Palatino Linotype"/>
        </w:rPr>
        <w:t xml:space="preserve">, el cual contiene la respuesta otorgada al solicitante por parte de la Unidad de Transparencia del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en donde le informó que mediante comunicados de las Direcciones Generales de Movilidad Zonas I, II, III y IV, se reservó la información solicitada, mediante el acta </w:t>
      </w:r>
      <w:r w:rsidRPr="00AB4405">
        <w:rPr>
          <w:rFonts w:ascii="Palatino Linotype" w:eastAsia="Palatino Linotype" w:hAnsi="Palatino Linotype" w:cs="Palatino Linotype"/>
        </w:rPr>
        <w:lastRenderedPageBreak/>
        <w:t>de la trigésima primera sesión extraordinaria del Comité de Transparencia de la Secretaría de Movilidad.</w:t>
      </w:r>
    </w:p>
    <w:p w:rsidR="00C258E0" w:rsidRPr="00AB4405" w:rsidRDefault="00C93C7E">
      <w:pPr>
        <w:spacing w:after="240" w:line="360" w:lineRule="auto"/>
        <w:jc w:val="both"/>
        <w:rPr>
          <w:rFonts w:ascii="Palatino Linotype" w:eastAsia="Palatino Linotype" w:hAnsi="Palatino Linotype" w:cs="Palatino Linotype"/>
          <w:b/>
        </w:rPr>
      </w:pPr>
      <w:r w:rsidRPr="00AB4405">
        <w:rPr>
          <w:rFonts w:ascii="Palatino Linotype" w:eastAsia="Palatino Linotype" w:hAnsi="Palatino Linotype" w:cs="Palatino Linotype"/>
          <w:b/>
        </w:rPr>
        <w:t>Solicitud 00074/SMOV/IP/2022:</w:t>
      </w:r>
    </w:p>
    <w:p w:rsidR="00C258E0" w:rsidRPr="00AB4405" w:rsidRDefault="00C93C7E">
      <w:pPr>
        <w:spacing w:before="240"/>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 xml:space="preserve">C. Solicitante: En atención a la solicitud de acceso a la información identificada con el número de folio 00074/SMOV/IP/2022, anexo al presente se remiten las respuestas proporcionadas por las áreas involucradas. Con fundamento en lo dispuesto por los artículos 1, 8, 6, 14 y 16 de la Constitución Política de los Estados Unidos Mexicanos; 5 de la Constitución Política del Estado Libre y Soberano de México; 100, 101, 104 y 113 fracción XIII de la Ley General de Transparencia y Acceso a la Información Pública del Estado de México; 5 de la Ley General del Sistema Nacional Anticorrupción; 3 fracción XXXIII, 49 fracción VIII, 125, 128, 129, 131, 140 fracciones I, VII X y 141 de la Ley de Transparencia y Acceso a la Información Pública del Estado de México y Municipios; la información de mérito debe ser clasificada como RESERVADA, por las siguientes cuestiones de hecho y de derecho que expongo en los siguientes términos: PRUEBA DE DAÑO FUNDAMENTO LEGAL Con fundamento en lo dispuesto por los artículos 1, 100, 101, 104, 106 y 113 fracción I, VIII, XIII de la Ley General de Transparencia y Acceso a la Información Pública del Estado de México; en relación con los Capítulos Décimo Séptimo, fracción VIII, y Vigésimo Séptimo, fracción IV de los Lineamientos Generales en Materia de Clasificación y Desclasificación de la Información; así como en los Lineamientos para la Elaboración de Versiones Públicas; 3 fracción XXXIII, 128, 129 fracción I, 131, 140 fracciones VII y X, segundo párrafo, y 141 de la Ley de Transparencia y Acceso a la Información Pública del Estado de México y Municipios. Es de menester importancia precisar que la divulgación de las autorizaciones de bases y derroteros , causa un daño al interés del Estado, debido a que las disposiciones legales que regulan la materia, son de orden público e interés general, mismas que están siempre, por encima del interés particular. En efecto, lo anterior es así, debido a que éstas Autoridades, continúan con la implementación del Programa del Ordenamiento Integral del Transporte Público, con el objeto de generar condiciones que garanticen a los mexiquenses el derecho a la debida movilidad, </w:t>
      </w:r>
      <w:r w:rsidRPr="00AB4405">
        <w:rPr>
          <w:rFonts w:ascii="Palatino Linotype" w:eastAsia="Palatino Linotype" w:hAnsi="Palatino Linotype" w:cs="Palatino Linotype"/>
          <w:i/>
          <w:color w:val="000000"/>
          <w:sz w:val="22"/>
          <w:szCs w:val="22"/>
        </w:rPr>
        <w:lastRenderedPageBreak/>
        <w:t xml:space="preserve">desplazándose por el territorio estatal de manera eficiente, estableciendo plazos para actualizar concesiones y autorizaciones de derroteros, entre otros, como lo estableció el “ACUERDO DEL SECRETARIO DE MOVILIDAD POR EL QUE SE AUTORIZA POR TIEMPO DETERMINADO LA CULMINACIÓN DE LOS TRÁMITES DE OTORGAMIENTO DE CONCESIONES, AUTORIZACIONES DE BASES, TERMINALES, DERROTEROS, LANZADERAS, ALARGAMIENTOS Y MODIFICACIONES DE DERROTEROS QUE SE HAYAN INICIADO Y NO CONCLUIDO, ASÍ MISMO RESPECTO DE LAS CONCESIONES VENCIDAS QUE NO FUERON PRORROGADAS EN TIEMPO Y FORMA” publicado en el Órgano de Difusión Estatal “Gaceta del Gobierno” el veinte de marzo del dos mil dieciocho, lo que implica que se están llevando a cabo diversas acciones, procesos y procedimientos administrativos programas y proyectos que mejoren la movilidad de los usuarios, es decir, se están analizando los derroteros que habrán de materializarse, así como los alargamientos de los mismos como parte del mencionado Programa, máxime que no ha sido declarado como concluido dicho proceso o procedimientos, además de que no ha arrojado los resultados de los que se pueda determinar que las rutas o derroteros ya no sufrirán modificación alguna, pues es necesario analizar, modificar y ordenar los derroteros que actualmente se encuentran operando, ya que no se han definido las rutas o derroteros que operarán como alimentadoras para los futuros Sistemas de Transporte Masivo que se implementarán. Aunado a lo anterior, es de establecer que para la actualización de las autorizaciones de bases y derroteros, derivado de la implementación de nuevos Sistemas Integrales de Transporte Público, así como de Programas y Proyectos tendientes a mejorar la movilidad urbana, están siendo constantemente modificados y actualizados, lo que implica que de exhibirla, no se generaría certeza jurídica al hacerla pública, además de poner en riesgo la ejecución de los mencionados proyectos y programas que se encuentran en vías de implementación, ya que se deberá llevar a cabo la determinación de adecuación de rutas, ello en términos de lo dispuesto por los artículos 113 fracción XIII y 140 fracciones VII y X de la Ley General de Transparencia y Acceso a la Información Pública del Estado y Municipios Atento a sus solicitud con número de folio 00074/SMOV/IP/2022, presentada ante el Instituto de Transparencia, Acceso a la Información Pública y Protección de Datos Personales del Estado de México (INFOEM); mediante la cual solicita: “….Por este medio requiero se me entregue copia de todas las autorizaciones de bases y derroteros y sitios autorizadas a las empresas o Asociaciones Civiles de transporte público de los año 1990 al año 2022 y que operan en el estado de México.. ” (sic) En esa virtud, con fundamento en lo dispuesto por los artículos 6, 8 y 35 fracción V de la Constitución Política de los </w:t>
      </w:r>
      <w:r w:rsidRPr="00AB4405">
        <w:rPr>
          <w:rFonts w:ascii="Palatino Linotype" w:eastAsia="Palatino Linotype" w:hAnsi="Palatino Linotype" w:cs="Palatino Linotype"/>
          <w:i/>
          <w:color w:val="000000"/>
          <w:sz w:val="22"/>
          <w:szCs w:val="22"/>
        </w:rPr>
        <w:lastRenderedPageBreak/>
        <w:t xml:space="preserve">Estados Unidos Mexicanos; 5 de la Constitución Política del Estado Libre y Soberano de México; 1, 2 fracción II, 3 fracción VIII, 4, 12 segundo párrafo, 15 y 24 último párrafo de la Ley de Transparencia y Acceso a la Información Pública del Estado de México y Municipios; esta dirección General de Movilidad Zona II, emite respuesta en los siguientes términos. Respecto a que solicita “…requiero se me entregue copia de todas las autorizaciones de bases y derroteros y sitios autorizadas a las empresas o Asociaciones Civiles de transporte público”…(sic), se manifiesta que esta Dirección General de Movilidad Zona II, determinó solicitar al Comité de Transparencia, que la información sea RESERVADA, en virtud de la prueba de daño que ha sido manifiesta en dicha solicitud, misma que se expone en archivo adjunto. Por lo anteriormente expuesto y en virtud de la necesidad de mantener esta información RESERVADA, no podría ser atendida favorablemente su petición por el momento. Sin más por el momento, le envío un cordial saludo. Envío un cordial saludo, a su vez, por instrucciones del Mtro. Carlos Preza Millán, Subsecretario de Movilidad; de conformidad con lo dispuesto por los artículos 8 y 16 de la Constitución Política de los Estados Unidos Mexicanos; 78 y 143 de la Constitución Política del Estado Libre y Soberano de México; 32 de la Ley Orgánica de la Administración Pública del Estado de México; 1, 2, 3, 8, 11 y 12 del Reglamento Interior de la Secretaría de Movilidad; así como, las facultades establecidas en el Manual General de Organización de esta Secretaría; en atención a la solicitud de información con número 0074/SMOV/IP/2022, respectivamente, en el Sistema de Acceso a la Información Mexiquense (SAIMEX); mediante el cual señala: “Por este medio requiero se me entregue copia de todas las autorizaciones de bases y derroteros y sitios autorizadas a las empresas o Asociaciones Civiles de transporte público de los año 1990 al año 2022 y que operan en el estado de México.”(sic); le informo que, de conformidad con los artículos 143 de la Constitución Política del estado Libre y Soberano de México; 7 y 186 fracción II de la Ley de Transparencia y Acceso a la Información Pública del Estado de México y Municipios; artículo 16 fracción I del Reglamento de Transporte Público y Servicios Conexos, que a letra dice las concesiones solo se podrán otorgar a personas morales mexicanas constituidas en forma de sociedad mercantil, que reúnan los requisitos que establece el Código Administrativo del Estado de México y Reglamento de Transporte Público y Servicios Conexos, por tal motivo las Asociaciones Civiles quedan excluidas de dichos otorgamientos, así mismo, de acuerdo al artículo 24 y 25 fracción I del Reglamento Interior de la Secretaría de Movilidad, todas las concesiones, permisos y autorizaciones deberán ser inscritas y materializadas ante el Registro Estatal de Transporte Público, y solo una consulta en éste podría dar certeza de las autorizaciones otorgadas. Sin más por el momento, me reitero </w:t>
      </w:r>
      <w:r w:rsidRPr="00AB4405">
        <w:rPr>
          <w:rFonts w:ascii="Palatino Linotype" w:eastAsia="Palatino Linotype" w:hAnsi="Palatino Linotype" w:cs="Palatino Linotype"/>
          <w:i/>
          <w:color w:val="000000"/>
          <w:sz w:val="22"/>
          <w:szCs w:val="22"/>
        </w:rPr>
        <w:lastRenderedPageBreak/>
        <w:t xml:space="preserve">a sus apreciables órdenes. Ecatepec de Morelos; Estado de México, a 21 de febrero del 2022 En respuesta a la solicitud con número de folio 00074/SMOV/IP/2022, interpuesta través del Sistema de Acceso a la Información Mexiquense (SAIMEX), que a la letra dice, le informo lo siguiente: “…Por este medio requiero se me entregue copia de todas las autorizaciones de bases y derroteros y sitios autorizadas a las empresas o Asociaciones Civiles de transporte público de los año 1990 al año 2022 y que operan en el estado de México. …” (Sic). En esa virtud; con fundamento en lo dispuesto por los artículos 1 y 6 de la Constitución Política de los Estados Unidos Mexicanos; 5 de la Constitución Política del Estado Libre y Soberano de México; 100, 101, 104 y 113 fracción XIII de la Ley General de Transparencia y Acceso a la Información Pública; 5 de la Ley General del Sistema Nacional Anticorrupción; 3 fracción XXXIII, 49 fracción VIII, 125, 128, 129, 131, 140 fracciones VII y X y 141 de la Ley de Transparencia y Acceso a la Información Pública del Estado de México y Municipios. Atento a lo anterior, esta Dirección General de Movilidad Zona III, llevará a cabo una Sesión de Comité de Información, con la finalidad de clasificar la misma como RESERVADA. Sin otro particular, le envió un saludo. Mtro. José Alberto González Aguilar Director General de Movilidad Zona III Toluca, Estado de México; a 23 de febrero de 2022. Atento a su solicitud con número de folio 00074/SMOV/IP/2022, presentada ante el Instituto de Transparencia, Acceso a la Información Pública y Protección de Datos Personales del Estado de México (INFOEM), mediante la cual solicita: “Por este medio requiero se me entregue copia de todas las autorizaciones de bases y derroteros y sitios autorizadas a las empresas o Asociaciones Civiles de transporte público de los años 1990 al año 2022 y que operan en el estado de México.” (sic). En esa virtud, con fundamento en lo dispuesto por los artículos 6, 8 y 35 fracción V de la Constitución Política de los Estados Unidos Mexicanos; 5 de la Constitución Política del Estado Libre y Soberano de México; 1, 2 fracción II, 3 fracción VIII, 4, 12 segundo párrafo, 15, 24 último párrafo y 122 de la Ley de Transparencia y Acceso a la Información Pública del Estado de México y Municipios; esta dirección General de Movilidad Zona I, emite respuesta en los siguientes términos: Se informa que en fecha diecisiete de febrero del año dos mil veintidós mediante oficio número 22001001A000000/2022/0129, el suscrito solicitó a la Unidad de Transparencia, llevar a cabo Sesión de Comité de Información de Transparencia, con la finalidad de clasificar como RESERVADA la información requerida consistente en todas las autorizaciones de bases y derroteros autorizadas a las empresas o Asociaciones Civiles de transporte público de los años 1990 al año 2022 que se encuentran en los archivos físicos de esta Dirección General de Movilidad Zona I. Atinente a lo anterior, no es procedente acordar de manera favorable su solicitud. No omitiendo </w:t>
      </w:r>
      <w:r w:rsidRPr="00AB4405">
        <w:rPr>
          <w:rFonts w:ascii="Palatino Linotype" w:eastAsia="Palatino Linotype" w:hAnsi="Palatino Linotype" w:cs="Palatino Linotype"/>
          <w:i/>
          <w:color w:val="000000"/>
          <w:sz w:val="22"/>
          <w:szCs w:val="22"/>
        </w:rPr>
        <w:lastRenderedPageBreak/>
        <w:t>informar, que dentro del citado oficio se realizó la siguiente aclaración: “… de conformidad a lo señalado por el artículo 81 del Reglamento del Transporte Público y Servicios Conexos se entiende por sitio a la base autorizada para la contratación del servicio discrecional individual en automóvil de alquiler, en el que deben estar los vehículos concesionados afectos al mismo.”</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ATENTAMENTE</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Lic. Luis Gustavo Mondragón Duarte” (Sic)</w:t>
      </w:r>
    </w:p>
    <w:p w:rsidR="00C258E0" w:rsidRPr="00AB4405" w:rsidRDefault="00C258E0">
      <w:pPr>
        <w:ind w:left="851" w:right="902"/>
        <w:jc w:val="both"/>
        <w:rPr>
          <w:rFonts w:ascii="Palatino Linotype" w:eastAsia="Palatino Linotype" w:hAnsi="Palatino Linotype" w:cs="Palatino Linotype"/>
          <w:i/>
          <w:sz w:val="22"/>
          <w:szCs w:val="22"/>
        </w:rPr>
      </w:pP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El</w:t>
      </w:r>
      <w:r w:rsidRPr="00AB4405">
        <w:rPr>
          <w:rFonts w:ascii="Palatino Linotype" w:eastAsia="Palatino Linotype" w:hAnsi="Palatino Linotype" w:cs="Palatino Linotype"/>
          <w:b/>
        </w:rPr>
        <w:t xml:space="preserve"> SUJETO OBLIGADO, </w:t>
      </w:r>
      <w:r w:rsidRPr="00AB4405">
        <w:rPr>
          <w:rFonts w:ascii="Palatino Linotype" w:eastAsia="Palatino Linotype" w:hAnsi="Palatino Linotype" w:cs="Palatino Linotype"/>
        </w:rPr>
        <w:t>adjuntó a su respuesta los archivos electrónicos siguientes:</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u w:val="single"/>
        </w:rPr>
        <w:t>“</w:t>
      </w:r>
      <w:hyperlink r:id="rId13">
        <w:r w:rsidRPr="00AB4405">
          <w:rPr>
            <w:rFonts w:ascii="Palatino Linotype" w:eastAsia="Palatino Linotype" w:hAnsi="Palatino Linotype" w:cs="Palatino Linotype"/>
            <w:b/>
            <w:u w:val="single"/>
          </w:rPr>
          <w:t>Oficio 0127.pdf</w:t>
        </w:r>
      </w:hyperlink>
      <w:r w:rsidRPr="00AB4405">
        <w:rPr>
          <w:rFonts w:ascii="Palatino Linotype" w:eastAsia="Palatino Linotype" w:hAnsi="Palatino Linotype" w:cs="Palatino Linotype"/>
          <w:b/>
          <w:u w:val="single"/>
        </w:rPr>
        <w:t>”,</w:t>
      </w:r>
      <w:r w:rsidRPr="00AB4405">
        <w:rPr>
          <w:rFonts w:ascii="Palatino Linotype" w:eastAsia="Palatino Linotype" w:hAnsi="Palatino Linotype" w:cs="Palatino Linotype"/>
        </w:rPr>
        <w:t xml:space="preserve"> el cual contiene el oficio número 22001002000000T/0127/2022, por medio del cual el Director General de Movilidad Zona II, solicitó al Titular de la Unidad de Transparencia, ambos de la Secretaría de Movilidad, clasificar como reservada la información consistente en todas las autorizaciones de bases, derroteros y sitios autorizadas de transporte público, que obren en los archivos de dicha Dirección. </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i/>
          <w:u w:val="single"/>
        </w:rPr>
        <w:t>“</w:t>
      </w:r>
      <w:hyperlink r:id="rId14">
        <w:r w:rsidRPr="00AB4405">
          <w:rPr>
            <w:rFonts w:ascii="Palatino Linotype" w:eastAsia="Palatino Linotype" w:hAnsi="Palatino Linotype" w:cs="Palatino Linotype"/>
            <w:b/>
            <w:i/>
            <w:u w:val="single"/>
          </w:rPr>
          <w:t>Scan_2022_02_23_22_27_08_091.pdf</w:t>
        </w:r>
      </w:hyperlink>
      <w:r w:rsidRPr="00AB4405">
        <w:rPr>
          <w:rFonts w:ascii="Palatino Linotype" w:eastAsia="Palatino Linotype" w:hAnsi="Palatino Linotype" w:cs="Palatino Linotype"/>
          <w:b/>
          <w:i/>
          <w:u w:val="single"/>
        </w:rPr>
        <w:t>”,</w:t>
      </w:r>
      <w:r w:rsidRPr="00AB4405">
        <w:rPr>
          <w:rFonts w:ascii="Palatino Linotype" w:eastAsia="Palatino Linotype" w:hAnsi="Palatino Linotype" w:cs="Palatino Linotype"/>
        </w:rPr>
        <w:t xml:space="preserve"> el cual contiene el oficio número 22001003T/180/2022, por medio del cual el Director General de Movilidad Zona III, solicitó al Titular de la Unidad de Transparencia, ambos de la Secretaría de Movilidad, clasificar como reservada la información consistente en todas las autorizaciones de bases, derroteros y sitios autorizadas a las empresas o asociaciones civiles de transporte público de los años 1990 al año 2022 y que operan en el Estado de México.</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i/>
        </w:rPr>
        <w:t>“</w:t>
      </w:r>
      <w:hyperlink r:id="rId15">
        <w:r w:rsidRPr="00AB4405">
          <w:rPr>
            <w:rFonts w:ascii="Palatino Linotype" w:eastAsia="Palatino Linotype" w:hAnsi="Palatino Linotype" w:cs="Palatino Linotype"/>
            <w:b/>
            <w:i/>
          </w:rPr>
          <w:t>solicitud_reserva_bases.pdf</w:t>
        </w:r>
      </w:hyperlink>
      <w:r w:rsidRPr="00AB4405">
        <w:rPr>
          <w:rFonts w:ascii="Palatino Linotype" w:eastAsia="Palatino Linotype" w:hAnsi="Palatino Linotype" w:cs="Palatino Linotype"/>
        </w:rPr>
        <w:t xml:space="preserve">” el cual contiene el oficio número 22001001A 000000/2022/0129, por medio del cual el Director General de Movilidad Zona I, solicitó al Titular de la Unidad de Transparencia, ambos de la Secretaría de </w:t>
      </w:r>
      <w:r w:rsidRPr="00AB4405">
        <w:rPr>
          <w:rFonts w:ascii="Palatino Linotype" w:eastAsia="Palatino Linotype" w:hAnsi="Palatino Linotype" w:cs="Palatino Linotype"/>
        </w:rPr>
        <w:lastRenderedPageBreak/>
        <w:t>Movilidad, clasificar como reservada la información consistente en todas las autorizaciones de bases, derroteros y sitios autorizadas a las empresas o asociaciones civiles de transporte público de los años 1990 al año 2022 que se encuentran en los archivos físicos de dicha Dirección y que operan en el Estado de México.</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u w:val="single"/>
        </w:rPr>
        <w:t>“</w:t>
      </w:r>
      <w:hyperlink r:id="rId16">
        <w:r w:rsidRPr="00AB4405">
          <w:rPr>
            <w:rFonts w:ascii="Palatino Linotype" w:eastAsia="Palatino Linotype" w:hAnsi="Palatino Linotype" w:cs="Palatino Linotype"/>
            <w:b/>
            <w:u w:val="single"/>
          </w:rPr>
          <w:t>Acta 30a Extraord Solic 00074 (Reserva).pdf</w:t>
        </w:r>
      </w:hyperlink>
      <w:r w:rsidRPr="00AB4405">
        <w:rPr>
          <w:rFonts w:ascii="Palatino Linotype" w:eastAsia="Palatino Linotype" w:hAnsi="Palatino Linotype" w:cs="Palatino Linotype"/>
          <w:b/>
          <w:u w:val="single"/>
        </w:rPr>
        <w:t>”</w:t>
      </w:r>
      <w:r w:rsidRPr="00AB4405">
        <w:rPr>
          <w:rFonts w:ascii="Palatino Linotype" w:eastAsia="Palatino Linotype" w:hAnsi="Palatino Linotype" w:cs="Palatino Linotype"/>
        </w:rPr>
        <w:t xml:space="preserve">, el cual contiene el acta de la trigésima sesión extraordinaria del comité de Transparencia de la Secretaría de Movilidad, a través del cual se aprobó el acuerdo número CT/SM/A/01/2022, por medio del cual se reservó la información requerida en la solicitud  </w:t>
      </w:r>
      <w:r w:rsidRPr="00AB4405">
        <w:rPr>
          <w:rFonts w:ascii="Palatino Linotype" w:eastAsia="Palatino Linotype" w:hAnsi="Palatino Linotype" w:cs="Palatino Linotype"/>
          <w:b/>
        </w:rPr>
        <w:t>00074/SMOV/IP/2022</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i/>
        </w:rPr>
        <w:t>“</w:t>
      </w:r>
      <w:hyperlink r:id="rId17">
        <w:r w:rsidRPr="00AB4405">
          <w:rPr>
            <w:rFonts w:ascii="Palatino Linotype" w:eastAsia="Palatino Linotype" w:hAnsi="Palatino Linotype" w:cs="Palatino Linotype"/>
            <w:b/>
            <w:i/>
          </w:rPr>
          <w:t>Respuesta UT Solicitud 00074.pdf</w:t>
        </w:r>
      </w:hyperlink>
      <w:r w:rsidRPr="00AB4405">
        <w:rPr>
          <w:rFonts w:ascii="Palatino Linotype" w:eastAsia="Palatino Linotype" w:hAnsi="Palatino Linotype" w:cs="Palatino Linotype"/>
          <w:b/>
          <w:i/>
        </w:rPr>
        <w:t>”</w:t>
      </w:r>
      <w:r w:rsidRPr="00AB4405">
        <w:rPr>
          <w:rFonts w:ascii="Palatino Linotype" w:eastAsia="Palatino Linotype" w:hAnsi="Palatino Linotype" w:cs="Palatino Linotype"/>
        </w:rPr>
        <w:t xml:space="preserve">, el cual contiene la respuesta otorgada al solicitante por parte de la Unidad de Transparencia del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en donde le informó que mediante comunicados de las Direcciones Generales de Movilidad Zonas I, II, III y IV, se reservó la información solicitada, mediante el acta de la trigésima primera sesión extraordinaria del Comité de Transparencia de la Secretaría de Movilidad.</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3. Interposición de los recursos de revisión. </w:t>
      </w:r>
      <w:r w:rsidRPr="00AB4405">
        <w:rPr>
          <w:rFonts w:ascii="Palatino Linotype" w:eastAsia="Palatino Linotype" w:hAnsi="Palatino Linotype" w:cs="Palatino Linotype"/>
        </w:rPr>
        <w:t xml:space="preserve">Inconforme el solicitante con las respuestas del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interpuso los recursos de revisión a través del SAIMEX en fecha ocho de marzo de dos mil veintidós, a través de los cuales expresó lo siguiente, en ambos recursos de revisión:</w:t>
      </w:r>
    </w:p>
    <w:p w:rsidR="00C258E0" w:rsidRPr="00AB4405" w:rsidRDefault="00C93C7E">
      <w:pPr>
        <w:tabs>
          <w:tab w:val="left" w:pos="5592"/>
        </w:tabs>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Recurso de revisión </w:t>
      </w:r>
      <w:r w:rsidRPr="00AB4405">
        <w:rPr>
          <w:rFonts w:ascii="Palatino Linotype" w:eastAsia="Palatino Linotype" w:hAnsi="Palatino Linotype" w:cs="Palatino Linotype"/>
          <w:b/>
        </w:rPr>
        <w:t>03539/INFOEM/IP/RR/2022:</w:t>
      </w:r>
      <w:r w:rsidRPr="00AB4405">
        <w:rPr>
          <w:rFonts w:ascii="Palatino Linotype" w:eastAsia="Palatino Linotype" w:hAnsi="Palatino Linotype" w:cs="Palatino Linotype"/>
          <w:b/>
        </w:rPr>
        <w:tab/>
      </w:r>
    </w:p>
    <w:p w:rsidR="00C258E0" w:rsidRPr="00AB4405" w:rsidRDefault="00C93C7E">
      <w:pPr>
        <w:spacing w:after="240" w:line="360" w:lineRule="auto"/>
        <w:jc w:val="both"/>
        <w:rPr>
          <w:rFonts w:ascii="Palatino Linotype" w:eastAsia="Palatino Linotype" w:hAnsi="Palatino Linotype" w:cs="Palatino Linotype"/>
          <w:b/>
        </w:rPr>
      </w:pPr>
      <w:r w:rsidRPr="00AB4405">
        <w:rPr>
          <w:rFonts w:ascii="Palatino Linotype" w:eastAsia="Palatino Linotype" w:hAnsi="Palatino Linotype" w:cs="Palatino Linotype"/>
          <w:b/>
        </w:rPr>
        <w:t>a) Acto impugnado.</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lastRenderedPageBreak/>
        <w:t>“No se entregó la información cuando la misma es de interés público y es un derecho saber que autorizaciones de bases, sitios y lanzaderas existen autorizadas por la seguridad de nosotros los usuarios y verificar que no son piratas las que tomamos, a demás de entregar una acta son validez ya que carece de las firmas” (Sic)</w:t>
      </w:r>
    </w:p>
    <w:p w:rsidR="00C258E0" w:rsidRPr="00AB4405" w:rsidRDefault="00C258E0">
      <w:pPr>
        <w:ind w:left="851" w:right="902"/>
        <w:jc w:val="both"/>
        <w:rPr>
          <w:rFonts w:ascii="Palatino Linotype" w:eastAsia="Palatino Linotype" w:hAnsi="Palatino Linotype" w:cs="Palatino Linotype"/>
          <w:i/>
          <w:color w:val="000000"/>
          <w:sz w:val="22"/>
          <w:szCs w:val="22"/>
        </w:rPr>
      </w:pPr>
    </w:p>
    <w:p w:rsidR="00C258E0" w:rsidRPr="00AB4405" w:rsidRDefault="00C93C7E">
      <w:pPr>
        <w:spacing w:line="360" w:lineRule="auto"/>
        <w:jc w:val="both"/>
        <w:rPr>
          <w:rFonts w:ascii="Palatino Linotype" w:eastAsia="Palatino Linotype" w:hAnsi="Palatino Linotype" w:cs="Palatino Linotype"/>
          <w:b/>
        </w:rPr>
      </w:pPr>
      <w:r w:rsidRPr="00AB4405">
        <w:rPr>
          <w:rFonts w:ascii="Palatino Linotype" w:eastAsia="Palatino Linotype" w:hAnsi="Palatino Linotype" w:cs="Palatino Linotype"/>
          <w:b/>
        </w:rPr>
        <w:t>b) Motivos de inconformidad.</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“No me entregan la información solicitada y carece de firmas por lo que no es valido su acuerdo pero ademas es una información de interés público.” (Sic)</w:t>
      </w:r>
    </w:p>
    <w:p w:rsidR="00C258E0" w:rsidRPr="00AB4405" w:rsidRDefault="00C258E0">
      <w:pPr>
        <w:spacing w:line="360" w:lineRule="auto"/>
        <w:jc w:val="both"/>
        <w:rPr>
          <w:rFonts w:ascii="Palatino Linotype" w:eastAsia="Palatino Linotype" w:hAnsi="Palatino Linotype" w:cs="Palatino Linotype"/>
          <w:b/>
        </w:rPr>
      </w:pPr>
    </w:p>
    <w:p w:rsidR="00C258E0" w:rsidRPr="00AB4405" w:rsidRDefault="00C93C7E">
      <w:pPr>
        <w:tabs>
          <w:tab w:val="left" w:pos="5592"/>
        </w:tabs>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Recurso de revisión </w:t>
      </w:r>
      <w:r w:rsidRPr="00AB4405">
        <w:rPr>
          <w:rFonts w:ascii="Palatino Linotype" w:eastAsia="Palatino Linotype" w:hAnsi="Palatino Linotype" w:cs="Palatino Linotype"/>
          <w:b/>
        </w:rPr>
        <w:t>03540/INFOEM/IP/RR/2022:</w:t>
      </w:r>
      <w:r w:rsidRPr="00AB4405">
        <w:rPr>
          <w:rFonts w:ascii="Palatino Linotype" w:eastAsia="Palatino Linotype" w:hAnsi="Palatino Linotype" w:cs="Palatino Linotype"/>
          <w:b/>
        </w:rPr>
        <w:tab/>
      </w:r>
    </w:p>
    <w:p w:rsidR="00C258E0" w:rsidRPr="00AB4405" w:rsidRDefault="00C93C7E">
      <w:pPr>
        <w:spacing w:after="240" w:line="360" w:lineRule="auto"/>
        <w:jc w:val="both"/>
        <w:rPr>
          <w:rFonts w:ascii="Palatino Linotype" w:eastAsia="Palatino Linotype" w:hAnsi="Palatino Linotype" w:cs="Palatino Linotype"/>
          <w:b/>
        </w:rPr>
      </w:pPr>
      <w:r w:rsidRPr="00AB4405">
        <w:rPr>
          <w:rFonts w:ascii="Palatino Linotype" w:eastAsia="Palatino Linotype" w:hAnsi="Palatino Linotype" w:cs="Palatino Linotype"/>
          <w:b/>
        </w:rPr>
        <w:t>a) Acto impugnado.</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“No se entregó la información cuando la misma es de interés público y es un derecho saber que autorizaciones de bases, sitios y lanzaderas existen autorizadas por la seguridad de nosotros los usuarios y verificar que no son piratas las que tomamos, a demás de entregar una acta son validez ya que carece de las firmas.” (Sic)</w:t>
      </w:r>
    </w:p>
    <w:p w:rsidR="00C258E0" w:rsidRPr="00AB4405" w:rsidRDefault="00C258E0">
      <w:pPr>
        <w:ind w:left="851" w:right="902"/>
        <w:jc w:val="both"/>
        <w:rPr>
          <w:rFonts w:ascii="Palatino Linotype" w:eastAsia="Palatino Linotype" w:hAnsi="Palatino Linotype" w:cs="Palatino Linotype"/>
          <w:i/>
          <w:color w:val="000000"/>
          <w:sz w:val="22"/>
          <w:szCs w:val="22"/>
        </w:rPr>
      </w:pPr>
    </w:p>
    <w:p w:rsidR="00C258E0" w:rsidRPr="00AB4405" w:rsidRDefault="00C93C7E">
      <w:pPr>
        <w:spacing w:line="360" w:lineRule="auto"/>
        <w:jc w:val="both"/>
        <w:rPr>
          <w:rFonts w:ascii="Palatino Linotype" w:eastAsia="Palatino Linotype" w:hAnsi="Palatino Linotype" w:cs="Palatino Linotype"/>
          <w:b/>
        </w:rPr>
      </w:pPr>
      <w:r w:rsidRPr="00AB4405">
        <w:rPr>
          <w:rFonts w:ascii="Palatino Linotype" w:eastAsia="Palatino Linotype" w:hAnsi="Palatino Linotype" w:cs="Palatino Linotype"/>
          <w:b/>
        </w:rPr>
        <w:t>b) Motivos de inconformidad.</w:t>
      </w:r>
    </w:p>
    <w:p w:rsidR="00C258E0" w:rsidRPr="00AB4405" w:rsidRDefault="00C93C7E">
      <w:pPr>
        <w:ind w:left="851"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“No me entregan la información solicitada y su razones son son suficiente para negar la información ya que es un derecho de acceder a la información pública.” (Sic)</w:t>
      </w:r>
    </w:p>
    <w:p w:rsidR="00C258E0" w:rsidRPr="00AB4405" w:rsidRDefault="00C258E0">
      <w:pPr>
        <w:ind w:left="851" w:right="902"/>
        <w:jc w:val="both"/>
        <w:rPr>
          <w:rFonts w:ascii="Palatino Linotype" w:eastAsia="Palatino Linotype" w:hAnsi="Palatino Linotype" w:cs="Palatino Linotype"/>
          <w:i/>
          <w:color w:val="000000"/>
          <w:sz w:val="22"/>
          <w:szCs w:val="22"/>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4. Turno. </w:t>
      </w:r>
      <w:r w:rsidRPr="00AB4405">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el recurso de revisión número </w:t>
      </w:r>
      <w:r w:rsidRPr="00AB4405">
        <w:rPr>
          <w:rFonts w:ascii="Palatino Linotype" w:eastAsia="Palatino Linotype" w:hAnsi="Palatino Linotype" w:cs="Palatino Linotype"/>
          <w:b/>
        </w:rPr>
        <w:t xml:space="preserve">03539/INFOEM/IP/RR/2022, </w:t>
      </w:r>
      <w:r w:rsidRPr="00AB4405">
        <w:rPr>
          <w:rFonts w:ascii="Palatino Linotype" w:eastAsia="Palatino Linotype" w:hAnsi="Palatino Linotype" w:cs="Palatino Linotype"/>
        </w:rPr>
        <w:t xml:space="preserve">se turnó por el sistema electrónico del Instituto de Transparencia, Acceso a la Información Pública y Protección de Datos Personales del Estado de México y Municipios, a la Comisionada </w:t>
      </w:r>
      <w:r w:rsidRPr="00AB4405">
        <w:rPr>
          <w:rFonts w:ascii="Palatino Linotype" w:eastAsia="Palatino Linotype" w:hAnsi="Palatino Linotype" w:cs="Palatino Linotype"/>
          <w:b/>
        </w:rPr>
        <w:t>Guadalupe Ramírez Peña</w:t>
      </w:r>
      <w:r w:rsidRPr="00AB4405">
        <w:rPr>
          <w:rFonts w:ascii="Palatino Linotype" w:eastAsia="Palatino Linotype" w:hAnsi="Palatino Linotype" w:cs="Palatino Linotype"/>
        </w:rPr>
        <w:t xml:space="preserve"> y el recurso de revisión número </w:t>
      </w:r>
      <w:r w:rsidRPr="00AB4405">
        <w:rPr>
          <w:rFonts w:ascii="Palatino Linotype" w:eastAsia="Palatino Linotype" w:hAnsi="Palatino Linotype" w:cs="Palatino Linotype"/>
          <w:b/>
        </w:rPr>
        <w:t xml:space="preserve">03540/INFOEM/IP/RR/2021, </w:t>
      </w:r>
      <w:r w:rsidRPr="00AB4405">
        <w:rPr>
          <w:rFonts w:ascii="Palatino Linotype" w:eastAsia="Palatino Linotype" w:hAnsi="Palatino Linotype" w:cs="Palatino Linotype"/>
        </w:rPr>
        <w:t xml:space="preserve">se turnó por el sistema electrónico del Instituto de Transparencia, Acceso a la Información </w:t>
      </w:r>
      <w:r w:rsidRPr="00AB4405">
        <w:rPr>
          <w:rFonts w:ascii="Palatino Linotype" w:eastAsia="Palatino Linotype" w:hAnsi="Palatino Linotype" w:cs="Palatino Linotype"/>
        </w:rPr>
        <w:lastRenderedPageBreak/>
        <w:t xml:space="preserve">Pública y Protección de Datos Personales del Estado de México y Municipios, al  Comisionado </w:t>
      </w:r>
      <w:r w:rsidRPr="00AB4405">
        <w:rPr>
          <w:rFonts w:ascii="Palatino Linotype" w:eastAsia="Palatino Linotype" w:hAnsi="Palatino Linotype" w:cs="Palatino Linotype"/>
          <w:b/>
        </w:rPr>
        <w:t>José Martínez Vilchis</w:t>
      </w:r>
      <w:r w:rsidRPr="00AB4405">
        <w:rPr>
          <w:rFonts w:ascii="Palatino Linotype" w:eastAsia="Palatino Linotype" w:hAnsi="Palatino Linotype" w:cs="Palatino Linotype"/>
        </w:rPr>
        <w:t>, para su análisis, estudio, elaboración del proyecto y presentación ante el Pleno de este Instituto.</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before="40" w:after="280" w:line="360" w:lineRule="auto"/>
        <w:ind w:right="49"/>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5. Acumulación, </w:t>
      </w:r>
      <w:r w:rsidRPr="00AB4405">
        <w:rPr>
          <w:rFonts w:ascii="Palatino Linotype" w:eastAsia="Palatino Linotype" w:hAnsi="Palatino Linotype" w:cs="Palatino Linotype"/>
        </w:rPr>
        <w:t xml:space="preserve">en la Décima Primera Sesión Ordinaria del Pleno de este Instituto de Transparencia, Acceso a la Información Pública y Protección de Datos Personales del Estado de México y Municipios, celebrada en fecha veinticuatro de marzo del dos mil veintidós, al advertir la conexidad de causa y con la finalidad de evitar que se dicten resoluciones contradictorias, se acordó la acumulación de los recursos señalados en este fallo; determinando que fuera Ponente, la Comisionada </w:t>
      </w:r>
      <w:r w:rsidRPr="00AB4405">
        <w:rPr>
          <w:rFonts w:ascii="Palatino Linotype" w:eastAsia="Palatino Linotype" w:hAnsi="Palatino Linotype" w:cs="Palatino Linotype"/>
          <w:b/>
        </w:rPr>
        <w:t xml:space="preserve">Guadalupe Ramírez Peña; </w:t>
      </w:r>
      <w:r w:rsidRPr="00AB4405">
        <w:rPr>
          <w:rFonts w:ascii="Palatino Linotype" w:eastAsia="Palatino Linotype" w:hAnsi="Palatino Linotype" w:cs="Palatino Linotype"/>
        </w:rPr>
        <w:t>lo anterior de conformidad con el artículo 195 de la Ley de Transparencia y Acceso a la Información Pública del Estado de México y Municipios, y artículo 18 del Código de Procedimientos Administrativos del Estado de México de manera supletoria; los cuales a la letra establecen:</w:t>
      </w:r>
    </w:p>
    <w:p w:rsidR="00C258E0" w:rsidRPr="00AB4405" w:rsidRDefault="00C93C7E">
      <w:pPr>
        <w:spacing w:before="280"/>
        <w:ind w:left="1134" w:right="1325"/>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“Artículo 195.- En la tramitación del recurso de revisión se aplicarán supletoriamente las disposiciones contenidas en el Código de Procedimientos Administrativos del Estado de México.” (Sic)</w:t>
      </w:r>
    </w:p>
    <w:p w:rsidR="00C258E0" w:rsidRPr="00AB4405" w:rsidRDefault="00C258E0">
      <w:pPr>
        <w:ind w:right="1325"/>
        <w:jc w:val="both"/>
        <w:rPr>
          <w:rFonts w:ascii="Palatino Linotype" w:eastAsia="Palatino Linotype" w:hAnsi="Palatino Linotype" w:cs="Palatino Linotype"/>
          <w:i/>
          <w:sz w:val="22"/>
          <w:szCs w:val="22"/>
        </w:rPr>
      </w:pPr>
    </w:p>
    <w:p w:rsidR="00C258E0" w:rsidRPr="00AB4405" w:rsidRDefault="00C93C7E">
      <w:pPr>
        <w:ind w:left="1134" w:right="1327"/>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“Artículo 18.- La autoridad administrativa o el Tribunal acordarán la acumulación de los expedientes del procedimiento y proceso administrativo que ante ellos se sigan, de oficio o a petición de parte, cuando las partes o los actos administrativos sean iguales, se trate de actos conexos o resulte conveniente el trámite unificado de los asuntos, para evitar la emisión de resoluciones contradictorias. La misma regla se aplicará, en lo conducente, para la separación de los expedientes. (Sic)</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6. Admisión de los recursos de revisión: </w:t>
      </w:r>
      <w:r w:rsidRPr="00AB4405">
        <w:rPr>
          <w:rFonts w:ascii="Palatino Linotype" w:eastAsia="Palatino Linotype" w:hAnsi="Palatino Linotype" w:cs="Palatino Linotype"/>
        </w:rPr>
        <w:t xml:space="preserve">En fechas once y catorce de marzo del dos mil veintidós, se admitieron a trámite los recursos de revisión que ahora se </w:t>
      </w:r>
      <w:r w:rsidRPr="00AB4405">
        <w:rPr>
          <w:rFonts w:ascii="Palatino Linotype" w:eastAsia="Palatino Linotype" w:hAnsi="Palatino Linotype" w:cs="Palatino Linotype"/>
        </w:rPr>
        <w:lastRenderedPageBreak/>
        <w:t xml:space="preserve">resuelven, dando un plazo máximo de siete días hábiles para que las partes manifestaran lo que a su derecho resultara conveniente, ofrecieran pruebas, formularan alegatos y el Sujeto Obligado presentara su informe justificado. </w:t>
      </w:r>
    </w:p>
    <w:p w:rsidR="00C258E0" w:rsidRPr="00AB4405" w:rsidRDefault="00C93C7E">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color w:val="000000"/>
        </w:rPr>
      </w:pPr>
      <w:r w:rsidRPr="00AB4405">
        <w:rPr>
          <w:rFonts w:ascii="Palatino Linotype" w:eastAsia="Palatino Linotype" w:hAnsi="Palatino Linotype" w:cs="Palatino Linotype"/>
          <w:b/>
          <w:color w:val="000000"/>
        </w:rPr>
        <w:t>7. Manifestaciones</w:t>
      </w:r>
      <w:r w:rsidRPr="00AB4405">
        <w:rPr>
          <w:rFonts w:ascii="Palatino Linotype" w:eastAsia="Palatino Linotype" w:hAnsi="Palatino Linotype" w:cs="Palatino Linotype"/>
          <w:color w:val="000000"/>
        </w:rPr>
        <w:t xml:space="preserve">: De las constancias que integran los expedientes en que se actúa se advierte que el </w:t>
      </w:r>
      <w:r w:rsidRPr="00AB4405">
        <w:rPr>
          <w:rFonts w:ascii="Palatino Linotype" w:eastAsia="Palatino Linotype" w:hAnsi="Palatino Linotype" w:cs="Palatino Linotype"/>
          <w:b/>
          <w:color w:val="000000"/>
        </w:rPr>
        <w:t>RECURRENTE</w:t>
      </w:r>
      <w:r w:rsidRPr="00AB4405">
        <w:rPr>
          <w:rFonts w:ascii="Palatino Linotype" w:eastAsia="Palatino Linotype" w:hAnsi="Palatino Linotype" w:cs="Palatino Linotype"/>
          <w:color w:val="000000"/>
        </w:rPr>
        <w:t xml:space="preserve"> fue omis</w:t>
      </w:r>
      <w:r w:rsidRPr="00AB4405">
        <w:rPr>
          <w:rFonts w:ascii="Palatino Linotype" w:eastAsia="Palatino Linotype" w:hAnsi="Palatino Linotype" w:cs="Palatino Linotype"/>
        </w:rPr>
        <w:t>o</w:t>
      </w:r>
      <w:r w:rsidRPr="00AB4405">
        <w:rPr>
          <w:rFonts w:ascii="Palatino Linotype" w:eastAsia="Palatino Linotype" w:hAnsi="Palatino Linotype" w:cs="Palatino Linotype"/>
          <w:color w:val="000000"/>
        </w:rPr>
        <w:t xml:space="preserve"> en ofrecer pruebas o expresar alegatos; en términos del artículo 185 fracciones II de la ley que nos ocupa. </w:t>
      </w: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Por su parte, el </w:t>
      </w:r>
      <w:r w:rsidRPr="00AB4405">
        <w:rPr>
          <w:rFonts w:ascii="Palatino Linotype" w:eastAsia="Palatino Linotype" w:hAnsi="Palatino Linotype" w:cs="Palatino Linotype"/>
          <w:b/>
        </w:rPr>
        <w:t xml:space="preserve">SUJETO OBLIGADO, </w:t>
      </w:r>
      <w:r w:rsidRPr="00AB4405">
        <w:rPr>
          <w:rFonts w:ascii="Palatino Linotype" w:eastAsia="Palatino Linotype" w:hAnsi="Palatino Linotype" w:cs="Palatino Linotype"/>
        </w:rPr>
        <w:t>en fecha treinta de marzo del año dos mil veintidós, adjuntó los archivos electrónicos denominados “</w:t>
      </w:r>
      <w:hyperlink r:id="rId18">
        <w:r w:rsidRPr="00AB4405">
          <w:rPr>
            <w:rFonts w:ascii="Palatino Linotype" w:eastAsia="Palatino Linotype" w:hAnsi="Palatino Linotype" w:cs="Palatino Linotype"/>
          </w:rPr>
          <w:t>Acta 31a Sesión Extraordinaria Solicitud 00075.pdf</w:t>
        </w:r>
      </w:hyperlink>
      <w:r w:rsidRPr="00AB4405">
        <w:rPr>
          <w:rFonts w:ascii="Palatino Linotype" w:eastAsia="Palatino Linotype" w:hAnsi="Palatino Linotype" w:cs="Palatino Linotype"/>
        </w:rPr>
        <w:t>”, “</w:t>
      </w:r>
      <w:hyperlink r:id="rId19">
        <w:r w:rsidRPr="00AB4405">
          <w:rPr>
            <w:rFonts w:ascii="Palatino Linotype" w:eastAsia="Palatino Linotype" w:hAnsi="Palatino Linotype" w:cs="Palatino Linotype"/>
          </w:rPr>
          <w:br/>
          <w:t>Informe Justificado RR 03539.pdf</w:t>
        </w:r>
      </w:hyperlink>
      <w:r w:rsidRPr="00AB4405">
        <w:rPr>
          <w:rFonts w:ascii="Palatino Linotype" w:eastAsia="Palatino Linotype" w:hAnsi="Palatino Linotype" w:cs="Palatino Linotype"/>
        </w:rPr>
        <w:t>”, “</w:t>
      </w:r>
      <w:hyperlink r:id="rId20">
        <w:r w:rsidRPr="00AB4405">
          <w:rPr>
            <w:rFonts w:ascii="Palatino Linotype" w:eastAsia="Palatino Linotype" w:hAnsi="Palatino Linotype" w:cs="Palatino Linotype"/>
          </w:rPr>
          <w:t>Acta 30a Sesión Extraordinaria Solicitud 00074.pdf</w:t>
        </w:r>
      </w:hyperlink>
      <w:r w:rsidRPr="00AB4405">
        <w:rPr>
          <w:rFonts w:ascii="Palatino Linotype" w:eastAsia="Palatino Linotype" w:hAnsi="Palatino Linotype" w:cs="Palatino Linotype"/>
        </w:rPr>
        <w:t>” y “</w:t>
      </w:r>
      <w:hyperlink r:id="rId21">
        <w:r w:rsidRPr="00AB4405">
          <w:rPr>
            <w:rFonts w:ascii="Palatino Linotype" w:eastAsia="Palatino Linotype" w:hAnsi="Palatino Linotype" w:cs="Palatino Linotype"/>
          </w:rPr>
          <w:t>Informe Justficado RR 03540.pdf</w:t>
        </w:r>
      </w:hyperlink>
      <w:r w:rsidRPr="00AB4405">
        <w:rPr>
          <w:rFonts w:ascii="Palatino Linotype" w:eastAsia="Palatino Linotype" w:hAnsi="Palatino Linotype" w:cs="Palatino Linotype"/>
        </w:rPr>
        <w:t xml:space="preserve">”, a través de los cuales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ratificó sus respuestas iniciales </w:t>
      </w:r>
    </w:p>
    <w:p w:rsidR="00C258E0" w:rsidRPr="00AB4405" w:rsidRDefault="00C258E0">
      <w:pPr>
        <w:spacing w:line="360" w:lineRule="auto"/>
        <w:jc w:val="both"/>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Archivos electrónicos que se pusieron a la vista del RECURRENTE, en términos de la fracción III del artículo 185 de la Ley de Transparencia y Acceso a la Información Pública del Estado de México y Municipios; para que en el término de tres días manifestara lo que a su derecho convenga; sin que el </w:t>
      </w:r>
      <w:r w:rsidRPr="00AB4405">
        <w:rPr>
          <w:rFonts w:ascii="Palatino Linotype" w:eastAsia="Palatino Linotype" w:hAnsi="Palatino Linotype" w:cs="Palatino Linotype"/>
          <w:b/>
        </w:rPr>
        <w:t>RECURRENTE</w:t>
      </w:r>
      <w:r w:rsidRPr="00AB4405">
        <w:rPr>
          <w:rFonts w:ascii="Palatino Linotype" w:eastAsia="Palatino Linotype" w:hAnsi="Palatino Linotype" w:cs="Palatino Linotype"/>
        </w:rPr>
        <w:t xml:space="preserve"> hiciera manifestación alguna.</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widowControl w:val="0"/>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8.- Ampliaciones del plazo.</w:t>
      </w:r>
      <w:r w:rsidRPr="00AB4405">
        <w:rPr>
          <w:rFonts w:ascii="Palatino Linotype" w:eastAsia="Palatino Linotype" w:hAnsi="Palatino Linotype" w:cs="Palatino Linotype"/>
        </w:rPr>
        <w:t xml:space="preserve"> En fecha primero de junio del año dos mil veintidós, con fundamento en el artículo 181, párrafo tercero de la Ley de Transparencia y Acceso a la Información Pública del Estado de México y Municipios, se acordó la ampliación del plazo para su resolución.</w:t>
      </w: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lang w:val="es-MX" w:eastAsia="en-US"/>
        </w:rPr>
        <w:lastRenderedPageBreak/>
        <w:t>Este organismo garante no pasa por alto justificar, que el plazo pare emitir la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lang w:val="es-MX" w:eastAsia="en-US"/>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lang w:val="es-MX" w:eastAsia="en-US"/>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lang w:val="es-MX" w:eastAsia="en-US"/>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strike/>
          <w:color w:val="FF0000"/>
          <w:lang w:val="es-MX" w:eastAsia="en-US"/>
        </w:rPr>
      </w:pPr>
      <w:r w:rsidRPr="00AB4405">
        <w:rPr>
          <w:rFonts w:ascii="Palatino Linotype" w:eastAsia="Calibri" w:hAnsi="Palatino Linotype"/>
          <w:lang w:val="es-MX" w:eastAsia="en-US"/>
        </w:rPr>
        <w:t xml:space="preserve">Por ello, excepcionalmente, si un asunto es resuelto con posterioridad a los plazos señalados por la norma debe analizarse la razonabilidad del tiempo necesario para su resolución atentos a los siguientes criterios: </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numPr>
          <w:ilvl w:val="0"/>
          <w:numId w:val="7"/>
        </w:numPr>
        <w:spacing w:after="160" w:line="360" w:lineRule="auto"/>
        <w:contextualSpacing/>
        <w:jc w:val="both"/>
        <w:rPr>
          <w:rFonts w:ascii="Palatino Linotype" w:hAnsi="Palatino Linotype"/>
        </w:rPr>
      </w:pPr>
      <w:r w:rsidRPr="00AB4405">
        <w:rPr>
          <w:rFonts w:ascii="Palatino Linotype" w:hAnsi="Palatino Linotype"/>
        </w:rPr>
        <w:t xml:space="preserve">Complejidad del Asunto: La complejidad de la prueba, la pluralidad de sujetos procesales, el tiempo transcurrido, las características y contexto del recurso. </w:t>
      </w:r>
    </w:p>
    <w:p w:rsidR="00E20A9E" w:rsidRPr="00AB4405" w:rsidRDefault="00E20A9E" w:rsidP="00E20A9E">
      <w:pPr>
        <w:spacing w:line="360" w:lineRule="auto"/>
        <w:ind w:left="927"/>
        <w:jc w:val="both"/>
        <w:rPr>
          <w:rFonts w:ascii="Palatino Linotype" w:hAnsi="Palatino Linotype"/>
        </w:rPr>
      </w:pPr>
    </w:p>
    <w:p w:rsidR="00E20A9E" w:rsidRPr="00AB4405" w:rsidRDefault="00E20A9E" w:rsidP="00E20A9E">
      <w:pPr>
        <w:numPr>
          <w:ilvl w:val="0"/>
          <w:numId w:val="7"/>
        </w:numPr>
        <w:spacing w:after="160" w:line="360" w:lineRule="auto"/>
        <w:contextualSpacing/>
        <w:jc w:val="both"/>
        <w:rPr>
          <w:rFonts w:ascii="Palatino Linotype" w:hAnsi="Palatino Linotype"/>
        </w:rPr>
      </w:pPr>
      <w:r w:rsidRPr="00AB4405">
        <w:rPr>
          <w:rFonts w:ascii="Palatino Linotype" w:hAnsi="Palatino Linotype"/>
        </w:rPr>
        <w:t>Actividad Procesal del interesado. Acciones u omisiones del interesado.</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numPr>
          <w:ilvl w:val="0"/>
          <w:numId w:val="7"/>
        </w:numPr>
        <w:spacing w:after="160" w:line="360" w:lineRule="auto"/>
        <w:contextualSpacing/>
        <w:jc w:val="both"/>
        <w:rPr>
          <w:rFonts w:ascii="Palatino Linotype" w:hAnsi="Palatino Linotype"/>
        </w:rPr>
      </w:pPr>
      <w:r w:rsidRPr="00AB4405">
        <w:rPr>
          <w:rFonts w:ascii="Palatino Linotype" w:hAnsi="Palatino Linotype"/>
        </w:rPr>
        <w:t>Conducta de la Autoridad: Las Acciones u omisiones realizadas en el procedimiento. Así como si la autoridad actuó con la debida diligencia.</w:t>
      </w:r>
    </w:p>
    <w:p w:rsidR="00E20A9E" w:rsidRPr="00AB4405" w:rsidRDefault="00E20A9E" w:rsidP="00E20A9E">
      <w:pPr>
        <w:spacing w:line="360" w:lineRule="auto"/>
        <w:ind w:left="708"/>
        <w:rPr>
          <w:rFonts w:ascii="Palatino Linotype" w:hAnsi="Palatino Linotype"/>
        </w:rPr>
      </w:pPr>
    </w:p>
    <w:p w:rsidR="00E20A9E" w:rsidRPr="00AB4405" w:rsidRDefault="00E20A9E" w:rsidP="00E20A9E">
      <w:pPr>
        <w:spacing w:line="360" w:lineRule="auto"/>
        <w:ind w:left="567"/>
        <w:jc w:val="both"/>
        <w:rPr>
          <w:rFonts w:ascii="Palatino Linotype" w:eastAsia="Calibri" w:hAnsi="Palatino Linotype"/>
          <w:lang w:val="es-MX" w:eastAsia="en-US"/>
        </w:rPr>
      </w:pPr>
      <w:r w:rsidRPr="00AB4405">
        <w:rPr>
          <w:rFonts w:ascii="Palatino Linotype" w:eastAsia="Calibri" w:hAnsi="Palatino Linotype"/>
          <w:lang w:val="es-MX" w:eastAsia="en-US"/>
        </w:rPr>
        <w:t>d) La afectación generada en la situación jurídica de la persona involucrada en el proceso: Violación a sus derechos humanos.</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lang w:val="es-MX" w:eastAsia="en-US"/>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b/>
          <w:lang w:val="es-MX" w:eastAsia="en-US"/>
        </w:rPr>
      </w:pPr>
      <w:r w:rsidRPr="00AB4405">
        <w:rPr>
          <w:rFonts w:ascii="Palatino Linotype" w:eastAsia="Calibri" w:hAnsi="Palatino Linotype"/>
          <w:lang w:val="es-MX" w:eastAsia="en-US"/>
        </w:rPr>
        <w:lastRenderedPageBreak/>
        <w:t xml:space="preserve">Argumento que encuentra sustento en la jurisprudencia P./J. 32/92 emitida por el Pleno de la Suprema Corte de Justicia de la Nación de rubro </w:t>
      </w:r>
      <w:r w:rsidRPr="00AB4405">
        <w:rPr>
          <w:rFonts w:ascii="Palatino Linotype" w:eastAsia="Calibri" w:hAnsi="Palatino Linotype"/>
          <w:i/>
          <w:lang w:val="es-MX" w:eastAsia="en-US"/>
        </w:rPr>
        <w:t>“TÉRMINOS PROCESALES. PARA DETERMINAR SI UN FUNCIONARIO JUDICIAL ACTUÓ INDEBIDAMENTE POR NO RESPETARLOS SE DEBE ATENDER AL PRESUPUESTO QUE CONSIDERÓ EL LEGISLADOR AL FIJARLOS Y LAS CARACTERÍSTICAS DEL CASO.”</w:t>
      </w:r>
      <w:r w:rsidRPr="00AB4405">
        <w:rPr>
          <w:rFonts w:ascii="Palatino Linotype" w:eastAsia="Calibri" w:hAnsi="Palatino Linotype"/>
          <w:lang w:val="es-MX" w:eastAsia="en-US"/>
        </w:rPr>
        <w:t>, visible en la Gaceta del Seminario Judicial de la Federación con el registro digital 205635.</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lang w:val="es-MX" w:eastAsia="en-US"/>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lang w:val="es-MX" w:eastAsia="en-US"/>
        </w:rPr>
        <w:t>Al respecto, también son de considerar los criterios sostenidos por el Cuarto Tribunal Colegiado en Materia Administrativa del Primer Circuito, cuyos rubros y datos de identificación son los siguientes:</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lang w:val="es-MX" w:eastAsia="en-US"/>
        </w:rPr>
        <w:lastRenderedPageBreak/>
        <w:t xml:space="preserve"> </w:t>
      </w:r>
      <w:r w:rsidRPr="00AB4405">
        <w:rPr>
          <w:rFonts w:ascii="Palatino Linotype" w:eastAsia="Calibri" w:hAnsi="Palatino Linotype"/>
          <w:i/>
          <w:lang w:val="es-MX" w:eastAsia="en-US"/>
        </w:rPr>
        <w:t>“PLAZO RAZONABLE PARA RESOLVER. DIMENSIÓN Y EFECTOS DE ESTE CONCEPTO CUANDO SE ADUCE EXCESIVA CARGA DE TRABAJO.”</w:t>
      </w:r>
      <w:r w:rsidRPr="00AB4405">
        <w:rPr>
          <w:rFonts w:ascii="Palatino Linotype" w:eastAsia="Calibri" w:hAnsi="Palatino Linotype"/>
          <w:lang w:val="es-MX" w:eastAsia="en-US"/>
        </w:rPr>
        <w:t xml:space="preserve"> consultable en el Seminario Judicial de la Federación y su gaceta, con el registro digital 2002351.</w:t>
      </w:r>
    </w:p>
    <w:p w:rsidR="00E20A9E" w:rsidRPr="00AB4405" w:rsidRDefault="00E20A9E" w:rsidP="00E20A9E">
      <w:pPr>
        <w:spacing w:line="360" w:lineRule="auto"/>
        <w:jc w:val="both"/>
        <w:rPr>
          <w:rFonts w:ascii="Palatino Linotype" w:eastAsia="Calibri" w:hAnsi="Palatino Linotype"/>
          <w:b/>
          <w:lang w:val="es-MX" w:eastAsia="en-US"/>
        </w:rPr>
      </w:pP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i/>
          <w:lang w:val="es-MX" w:eastAsia="en-US"/>
        </w:rPr>
        <w:t>“PLAZO RAZONABLE PARA RESOLVER. CONCEPTO Y ELEMENTOS QUE LO INTEGRAN A LA LUZ DEL DERECHO INTERNACIONAL DE LOS DERECHOS HUMANOS.”</w:t>
      </w:r>
      <w:r w:rsidRPr="00AB4405">
        <w:rPr>
          <w:rFonts w:ascii="Palatino Linotype" w:eastAsia="Calibri" w:hAnsi="Palatino Linotype"/>
          <w:lang w:val="es-MX" w:eastAsia="en-US"/>
        </w:rPr>
        <w:t>, visible en el Seminario Judicial de la Federación y su gaceta, con el registro digital 2002350.</w:t>
      </w:r>
    </w:p>
    <w:p w:rsidR="00E20A9E" w:rsidRPr="00AB4405" w:rsidRDefault="00E20A9E" w:rsidP="00E20A9E">
      <w:pPr>
        <w:spacing w:line="360" w:lineRule="auto"/>
        <w:jc w:val="both"/>
        <w:rPr>
          <w:rFonts w:ascii="Palatino Linotype" w:eastAsia="Calibri" w:hAnsi="Palatino Linotype"/>
          <w:lang w:val="es-MX" w:eastAsia="en-US"/>
        </w:rPr>
      </w:pPr>
    </w:p>
    <w:p w:rsidR="00E20A9E" w:rsidRPr="00AB4405" w:rsidRDefault="00E20A9E" w:rsidP="00E20A9E">
      <w:pPr>
        <w:spacing w:line="360" w:lineRule="auto"/>
        <w:jc w:val="both"/>
        <w:rPr>
          <w:rFonts w:ascii="Palatino Linotype" w:eastAsia="Calibri" w:hAnsi="Palatino Linotype"/>
          <w:lang w:val="es-MX" w:eastAsia="en-US"/>
        </w:rPr>
      </w:pPr>
      <w:r w:rsidRPr="00AB4405">
        <w:rPr>
          <w:rFonts w:ascii="Palatino Linotype" w:eastAsia="Calibri" w:hAnsi="Palatino Linotype"/>
          <w:lang w:val="es-MX" w:eastAsia="en-US"/>
        </w:rPr>
        <w:t>Por ello, este organismo garante comprometido con la tutela de los derechos humanos confiados, señala que este plazo legal para resolver el presente asunto, resulta de carácter excepcional.</w:t>
      </w:r>
    </w:p>
    <w:p w:rsidR="00C258E0" w:rsidRPr="00AB4405" w:rsidRDefault="00C93C7E">
      <w:pPr>
        <w:widowControl w:val="0"/>
        <w:spacing w:before="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9.-</w:t>
      </w:r>
      <w:r w:rsidRPr="00AB4405">
        <w:rPr>
          <w:rFonts w:ascii="Palatino Linotype" w:eastAsia="Palatino Linotype" w:hAnsi="Palatino Linotype" w:cs="Palatino Linotype"/>
        </w:rPr>
        <w:t xml:space="preserve"> </w:t>
      </w:r>
      <w:r w:rsidRPr="00AB4405">
        <w:rPr>
          <w:rFonts w:ascii="Palatino Linotype" w:eastAsia="Palatino Linotype" w:hAnsi="Palatino Linotype" w:cs="Palatino Linotype"/>
          <w:b/>
        </w:rPr>
        <w:t xml:space="preserve">Cierres de instrucción. </w:t>
      </w:r>
      <w:r w:rsidRPr="00AB4405">
        <w:rPr>
          <w:rFonts w:ascii="Palatino Linotype" w:eastAsia="Palatino Linotype" w:hAnsi="Palatino Linotype" w:cs="Palatino Linotype"/>
        </w:rPr>
        <w:t>En fecha veintiuno de junio del año en curso, la Comisionada ponente notificó los cierres de instrucción en términos de la fracción VI del artículo 185 de la Ley de Transparencia y Acceso a la Información Pública del Estado de México y Municipios.</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En razón de que fueron debidamente sustanciados los expedientes electrónicos y no existe diligencia pendiente de desahogo, se emite la Resolución que conforme a Derecho proceda, de acuerdo con los siguientes: </w:t>
      </w:r>
    </w:p>
    <w:p w:rsidR="00C258E0" w:rsidRPr="00AB4405" w:rsidRDefault="00C93C7E">
      <w:pPr>
        <w:numPr>
          <w:ilvl w:val="0"/>
          <w:numId w:val="1"/>
        </w:numPr>
        <w:pBdr>
          <w:top w:val="nil"/>
          <w:left w:val="nil"/>
          <w:bottom w:val="nil"/>
          <w:right w:val="nil"/>
          <w:between w:val="nil"/>
        </w:pBdr>
        <w:spacing w:before="240" w:after="240" w:line="360" w:lineRule="auto"/>
        <w:ind w:left="720"/>
        <w:jc w:val="center"/>
        <w:rPr>
          <w:rFonts w:ascii="Palatino Linotype" w:eastAsia="Palatino Linotype" w:hAnsi="Palatino Linotype" w:cs="Palatino Linotype"/>
          <w:b/>
          <w:color w:val="000000"/>
          <w:sz w:val="22"/>
          <w:szCs w:val="22"/>
        </w:rPr>
      </w:pPr>
      <w:r w:rsidRPr="00AB4405">
        <w:rPr>
          <w:rFonts w:ascii="Palatino Linotype" w:eastAsia="Palatino Linotype" w:hAnsi="Palatino Linotype" w:cs="Palatino Linotype"/>
          <w:b/>
          <w:color w:val="000000"/>
          <w:sz w:val="22"/>
          <w:szCs w:val="22"/>
        </w:rPr>
        <w:t>C O N S I D E R A N D O:</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Primero. Competencia. </w:t>
      </w:r>
      <w:r w:rsidRPr="00AB4405">
        <w:rPr>
          <w:rFonts w:ascii="Palatino Linotype" w:eastAsia="Palatino Linotype" w:hAnsi="Palatino Linotype" w:cs="Palatino Linotype"/>
        </w:rPr>
        <w:t xml:space="preserve">El Instituto de Transparencia, Acceso a la Información Pública y Protección de Datos Personales del Estado de México y Municipios, es </w:t>
      </w:r>
      <w:r w:rsidRPr="00AB4405">
        <w:rPr>
          <w:rFonts w:ascii="Palatino Linotype" w:eastAsia="Palatino Linotype" w:hAnsi="Palatino Linotype" w:cs="Palatino Linotype"/>
        </w:rPr>
        <w:lastRenderedPageBreak/>
        <w:t>competente para conocer y resolver los presentes recursos de revisión interpuestos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Segundo. Oportunidad y Procedibilidad de los Recursos de Revisión</w:t>
      </w:r>
      <w:r w:rsidRPr="00AB4405">
        <w:rPr>
          <w:rFonts w:ascii="Palatino Linotype" w:eastAsia="Palatino Linotype" w:hAnsi="Palatino Linotype" w:cs="Palatino Linotype"/>
        </w:rPr>
        <w:t xml:space="preserve">. De conformidad con los requisitos de Oportunidad y Procedibilidad que deben reunir los recursos de revisión interpuestos, previstos en los artículos 178 y 180 de la Ley de Transparencia y Acceso a la Información Pública del Estado de México y Municipios; en la especie se advierte que los presentes medios de impugnación fueron interpuestos dentro del plazo de quince días previsto en el primer artículo de referencia; toda vez que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emitió sus respuestas a las solicitudes planteadas por el solicitante el veinticinco de febrero del año dos mil veintidós y el </w:t>
      </w:r>
      <w:r w:rsidRPr="00AB4405">
        <w:rPr>
          <w:rFonts w:ascii="Palatino Linotype" w:eastAsia="Palatino Linotype" w:hAnsi="Palatino Linotype" w:cs="Palatino Linotype"/>
          <w:b/>
        </w:rPr>
        <w:t>RECURRENTE</w:t>
      </w:r>
      <w:r w:rsidRPr="00AB4405">
        <w:rPr>
          <w:rFonts w:ascii="Palatino Linotype" w:eastAsia="Palatino Linotype" w:hAnsi="Palatino Linotype" w:cs="Palatino Linotype"/>
        </w:rPr>
        <w:t xml:space="preserve"> presentó recursos de revisión el ocho de marzo del mismo año; esto es al sexto día hábil siguiente de aquel en que tuvo conocimiento de la respuesta, evidenciándose que la interposición del recurso se encuentra dentro de los márgenes temporales previstos en el citado precepto legal.</w:t>
      </w:r>
    </w:p>
    <w:p w:rsidR="00C258E0" w:rsidRPr="00AB4405" w:rsidRDefault="00C93C7E">
      <w:pPr>
        <w:pBdr>
          <w:top w:val="nil"/>
          <w:left w:val="nil"/>
          <w:bottom w:val="nil"/>
          <w:right w:val="nil"/>
          <w:between w:val="nil"/>
        </w:pBdr>
        <w:spacing w:after="240" w:line="360" w:lineRule="auto"/>
        <w:ind w:right="-147"/>
        <w:jc w:val="both"/>
        <w:rPr>
          <w:rFonts w:ascii="Palatino Linotype" w:eastAsia="Palatino Linotype" w:hAnsi="Palatino Linotype" w:cs="Palatino Linotype"/>
          <w:color w:val="000000"/>
        </w:rPr>
      </w:pPr>
      <w:r w:rsidRPr="00AB4405">
        <w:rPr>
          <w:rFonts w:ascii="Palatino Linotype" w:eastAsia="Palatino Linotype" w:hAnsi="Palatino Linotype" w:cs="Palatino Linotype"/>
          <w:color w:val="000000"/>
        </w:rPr>
        <w:t>Además, por cuanto hace a la procedibilidad de</w:t>
      </w:r>
      <w:r w:rsidRPr="00AB4405">
        <w:rPr>
          <w:rFonts w:ascii="Palatino Linotype" w:eastAsia="Palatino Linotype" w:hAnsi="Palatino Linotype" w:cs="Palatino Linotype"/>
        </w:rPr>
        <w:t xml:space="preserve"> los</w:t>
      </w:r>
      <w:r w:rsidRPr="00AB4405">
        <w:rPr>
          <w:rFonts w:ascii="Palatino Linotype" w:eastAsia="Palatino Linotype" w:hAnsi="Palatino Linotype" w:cs="Palatino Linotype"/>
          <w:color w:val="000000"/>
        </w:rPr>
        <w:t xml:space="preserve"> recursos de revisión una vez realizado el análisis de</w:t>
      </w:r>
      <w:r w:rsidRPr="00AB4405">
        <w:rPr>
          <w:rFonts w:ascii="Palatino Linotype" w:eastAsia="Palatino Linotype" w:hAnsi="Palatino Linotype" w:cs="Palatino Linotype"/>
        </w:rPr>
        <w:t xml:space="preserve"> los</w:t>
      </w:r>
      <w:r w:rsidRPr="00AB4405">
        <w:rPr>
          <w:rFonts w:ascii="Palatino Linotype" w:eastAsia="Palatino Linotype" w:hAnsi="Palatino Linotype" w:cs="Palatino Linotype"/>
          <w:color w:val="000000"/>
        </w:rPr>
        <w:t xml:space="preserve"> formatos de interposición de</w:t>
      </w:r>
      <w:r w:rsidRPr="00AB4405">
        <w:rPr>
          <w:rFonts w:ascii="Palatino Linotype" w:eastAsia="Palatino Linotype" w:hAnsi="Palatino Linotype" w:cs="Palatino Linotype"/>
        </w:rPr>
        <w:t xml:space="preserve"> los</w:t>
      </w:r>
      <w:r w:rsidRPr="00AB4405">
        <w:rPr>
          <w:rFonts w:ascii="Palatino Linotype" w:eastAsia="Palatino Linotype" w:hAnsi="Palatino Linotype" w:cs="Palatino Linotype"/>
          <w:color w:val="000000"/>
        </w:rPr>
        <w:t xml:space="preserve"> recursos, se acreditan </w:t>
      </w:r>
      <w:r w:rsidRPr="00AB4405">
        <w:rPr>
          <w:rFonts w:ascii="Palatino Linotype" w:eastAsia="Palatino Linotype" w:hAnsi="Palatino Linotype" w:cs="Palatino Linotype"/>
          <w:color w:val="000000"/>
        </w:rPr>
        <w:lastRenderedPageBreak/>
        <w:t xml:space="preserve">plenamente de todos y cada uno de los elementos formales exigidos por el artículo 180 de la Ley de Transparencia y Acceso a la Información Pública del Estado de México y Municipios, en atención a que fue presentado mediante el formato visible en </w:t>
      </w:r>
      <w:r w:rsidRPr="00AB4405">
        <w:rPr>
          <w:rFonts w:ascii="Palatino Linotype" w:eastAsia="Palatino Linotype" w:hAnsi="Palatino Linotype" w:cs="Palatino Linotype"/>
          <w:b/>
          <w:color w:val="000000"/>
        </w:rPr>
        <w:t>EL</w:t>
      </w:r>
      <w:r w:rsidRPr="00AB4405">
        <w:rPr>
          <w:rFonts w:ascii="Palatino Linotype" w:eastAsia="Palatino Linotype" w:hAnsi="Palatino Linotype" w:cs="Palatino Linotype"/>
          <w:color w:val="000000"/>
        </w:rPr>
        <w:t xml:space="preserve"> </w:t>
      </w:r>
      <w:r w:rsidRPr="00AB4405">
        <w:rPr>
          <w:rFonts w:ascii="Palatino Linotype" w:eastAsia="Palatino Linotype" w:hAnsi="Palatino Linotype" w:cs="Palatino Linotype"/>
          <w:b/>
          <w:color w:val="000000"/>
        </w:rPr>
        <w:t>SAIMEX</w:t>
      </w:r>
      <w:r w:rsidRPr="00AB4405">
        <w:rPr>
          <w:rFonts w:ascii="Palatino Linotype" w:eastAsia="Palatino Linotype" w:hAnsi="Palatino Linotype" w:cs="Palatino Linotype"/>
          <w:color w:val="000000"/>
        </w:rPr>
        <w:t>.</w:t>
      </w:r>
    </w:p>
    <w:p w:rsidR="00C258E0" w:rsidRPr="00AB4405" w:rsidRDefault="00C93C7E">
      <w:pPr>
        <w:spacing w:before="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color w:val="000000"/>
        </w:rPr>
        <w:t xml:space="preserve">Al mismo tiempo, </w:t>
      </w:r>
      <w:r w:rsidRPr="00AB4405">
        <w:rPr>
          <w:rFonts w:ascii="Palatino Linotype" w:eastAsia="Palatino Linotype" w:hAnsi="Palatino Linotype" w:cs="Palatino Linotype"/>
        </w:rPr>
        <w:t>por cuanto hace a la procedibilidad de los recursos de revisión, es de suma importancia señalar que la parte recurrente no señaló su nombre completo, no obstante el, no proporcionar nombre completo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rsidR="00C258E0" w:rsidRPr="00AB4405" w:rsidRDefault="00C258E0">
      <w:pPr>
        <w:ind w:left="567" w:right="474"/>
        <w:jc w:val="both"/>
        <w:rPr>
          <w:rFonts w:ascii="Palatino Linotype" w:eastAsia="Palatino Linotype" w:hAnsi="Palatino Linotype" w:cs="Palatino Linotype"/>
          <w:i/>
        </w:rPr>
      </w:pPr>
    </w:p>
    <w:p w:rsidR="00C258E0" w:rsidRPr="00AB4405" w:rsidRDefault="00C93C7E">
      <w:pPr>
        <w:ind w:left="567" w:right="474"/>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r w:rsidRPr="00AB4405">
        <w:rPr>
          <w:rFonts w:ascii="Palatino Linotype" w:eastAsia="Palatino Linotype" w:hAnsi="Palatino Linotype" w:cs="Palatino Linotype"/>
          <w:b/>
          <w:i/>
          <w:sz w:val="22"/>
          <w:szCs w:val="22"/>
        </w:rPr>
        <w:t>Las solicitudes anónimas</w:t>
      </w:r>
      <w:r w:rsidRPr="00AB4405">
        <w:rPr>
          <w:rFonts w:ascii="Palatino Linotype" w:eastAsia="Palatino Linotype" w:hAnsi="Palatino Linotype" w:cs="Palatino Linotype"/>
          <w:i/>
          <w:sz w:val="22"/>
          <w:szCs w:val="22"/>
        </w:rPr>
        <w:t xml:space="preserve">, con nombre incompleto o seudónimo </w:t>
      </w:r>
      <w:r w:rsidRPr="00AB4405">
        <w:rPr>
          <w:rFonts w:ascii="Palatino Linotype" w:eastAsia="Palatino Linotype" w:hAnsi="Palatino Linotype" w:cs="Palatino Linotype"/>
          <w:b/>
          <w:i/>
          <w:sz w:val="22"/>
          <w:szCs w:val="22"/>
        </w:rPr>
        <w:t>serán procedentes para su trámite por parte del sujeto obligado ante quien se presente</w:t>
      </w:r>
      <w:r w:rsidRPr="00AB4405">
        <w:rPr>
          <w:rFonts w:ascii="Palatino Linotype" w:eastAsia="Palatino Linotype" w:hAnsi="Palatino Linotype" w:cs="Palatino Linotype"/>
          <w:i/>
          <w:sz w:val="22"/>
          <w:szCs w:val="22"/>
        </w:rPr>
        <w:t>. No podrá requerirse información adicional con motivo del nombre proporcionado por el solicitante."(Sic)</w:t>
      </w:r>
    </w:p>
    <w:p w:rsidR="00C258E0" w:rsidRPr="00AB4405" w:rsidRDefault="00C258E0">
      <w:pPr>
        <w:spacing w:line="360" w:lineRule="auto"/>
        <w:jc w:val="both"/>
        <w:rPr>
          <w:i/>
          <w:color w:val="1F1F1F"/>
          <w:sz w:val="22"/>
          <w:szCs w:val="22"/>
        </w:rPr>
      </w:pP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Asimismo, resulta procedente la interposición de los recursos de revisión a los rubros anotados, toda vez que se actualiza las hipótesis previstas en el artículo 179, fracción II de la ley de la materia, que a la letra dice:</w:t>
      </w:r>
    </w:p>
    <w:p w:rsidR="00C258E0" w:rsidRPr="00AB4405" w:rsidRDefault="00C93C7E">
      <w:pPr>
        <w:ind w:left="1276" w:right="175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r w:rsidRPr="00AB4405">
        <w:rPr>
          <w:rFonts w:ascii="Palatino Linotype" w:eastAsia="Palatino Linotype" w:hAnsi="Palatino Linotype" w:cs="Palatino Linotype"/>
          <w:b/>
          <w:i/>
          <w:sz w:val="22"/>
          <w:szCs w:val="22"/>
        </w:rPr>
        <w:t xml:space="preserve">Artículo 179. </w:t>
      </w:r>
      <w:r w:rsidRPr="00AB4405">
        <w:rPr>
          <w:rFonts w:ascii="Palatino Linotype" w:eastAsia="Palatino Linotype" w:hAnsi="Palatino Linotype" w:cs="Palatino Linotype"/>
          <w:i/>
          <w:sz w:val="22"/>
          <w:szCs w:val="22"/>
        </w:rPr>
        <w:t xml:space="preserve">El recurso de revisión es un medio de protección que la Ley otorga a los particulares, para hacer valer su derecho de acceso a la información pública, y procederá en contra de las siguientes </w:t>
      </w:r>
      <w:r w:rsidRPr="00AB4405">
        <w:rPr>
          <w:rFonts w:ascii="Palatino Linotype" w:eastAsia="Palatino Linotype" w:hAnsi="Palatino Linotype" w:cs="Palatino Linotype"/>
          <w:i/>
        </w:rPr>
        <w:t>causas</w:t>
      </w:r>
      <w:r w:rsidRPr="00AB4405">
        <w:rPr>
          <w:rFonts w:ascii="Palatino Linotype" w:eastAsia="Palatino Linotype" w:hAnsi="Palatino Linotype" w:cs="Palatino Linotype"/>
          <w:i/>
          <w:sz w:val="22"/>
          <w:szCs w:val="22"/>
        </w:rPr>
        <w:t>:</w:t>
      </w:r>
    </w:p>
    <w:p w:rsidR="00C258E0" w:rsidRPr="00AB4405" w:rsidRDefault="00C93C7E">
      <w:pPr>
        <w:ind w:left="1276" w:right="175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p>
    <w:p w:rsidR="00C258E0" w:rsidRPr="00AB4405" w:rsidRDefault="00C93C7E">
      <w:pPr>
        <w:ind w:left="1276" w:right="175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II. La clasificación de la información…” (Sic)</w:t>
      </w:r>
    </w:p>
    <w:p w:rsidR="00C258E0" w:rsidRPr="00AB4405" w:rsidRDefault="00C93C7E">
      <w:pPr>
        <w:spacing w:before="280" w:after="28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lastRenderedPageBreak/>
        <w:t xml:space="preserve">Tercero. Materia de la revisión. </w:t>
      </w:r>
      <w:r w:rsidRPr="00AB4405">
        <w:rPr>
          <w:rFonts w:ascii="Palatino Linotype" w:eastAsia="Palatino Linotype" w:hAnsi="Palatino Linotype" w:cs="Palatino Linotype"/>
        </w:rPr>
        <w:t>De la revisión a las constancias y documentos que obran en los expedientes electrónicos se advierte, que el tema sobre el que este Organismo Garante de Transparencia y Acceso a la Información se pronunciará será: verificar</w:t>
      </w:r>
      <w:r w:rsidRPr="00AB4405">
        <w:rPr>
          <w:rFonts w:ascii="Palatino Linotype" w:eastAsia="Palatino Linotype" w:hAnsi="Palatino Linotype" w:cs="Palatino Linotype"/>
          <w:b/>
        </w:rPr>
        <w:t xml:space="preserve"> si las respuestas otorgadas por el SUJETO OBLIGADO son adecuadas y suficientes para satisfacer el derecho de acceso a la información pública </w:t>
      </w:r>
      <w:r w:rsidRPr="00AB4405">
        <w:rPr>
          <w:rFonts w:ascii="Palatino Linotype" w:eastAsia="Palatino Linotype" w:hAnsi="Palatino Linotype" w:cs="Palatino Linotype"/>
        </w:rPr>
        <w:t>de la parte Recurrente, o en su defecto, en caso de ser procedente, ordenar la entrega de información oportuna.</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Cuarto. Estudio de fondo del asunto. </w:t>
      </w:r>
      <w:r w:rsidRPr="00AB4405">
        <w:rPr>
          <w:rFonts w:ascii="Palatino Linotype" w:eastAsia="Palatino Linotype" w:hAnsi="Palatino Linotype" w:cs="Palatino Linotype"/>
        </w:rPr>
        <w:t>Del análisis de las solicitudes de información motivo de los recursos de revisión que ahora se resuelven, se advierte que el particular requirió a la Secretaría de Movilidad</w:t>
      </w:r>
      <w:r w:rsidRPr="00AB4405">
        <w:rPr>
          <w:rFonts w:ascii="Palatino Linotype" w:eastAsia="Palatino Linotype" w:hAnsi="Palatino Linotype" w:cs="Palatino Linotype"/>
          <w:b/>
        </w:rPr>
        <w:t>,</w:t>
      </w:r>
      <w:r w:rsidRPr="00AB4405">
        <w:rPr>
          <w:rFonts w:ascii="Palatino Linotype" w:eastAsia="Palatino Linotype" w:hAnsi="Palatino Linotype" w:cs="Palatino Linotype"/>
        </w:rPr>
        <w:t xml:space="preserve"> lo siguiente:</w:t>
      </w:r>
    </w:p>
    <w:p w:rsidR="00C258E0" w:rsidRPr="00AB4405" w:rsidRDefault="00C93C7E">
      <w:pPr>
        <w:numPr>
          <w:ilvl w:val="0"/>
          <w:numId w:val="2"/>
        </w:numPr>
        <w:pBdr>
          <w:top w:val="nil"/>
          <w:left w:val="nil"/>
          <w:bottom w:val="nil"/>
          <w:right w:val="nil"/>
          <w:between w:val="nil"/>
        </w:pBdr>
        <w:spacing w:before="240" w:after="240" w:line="360" w:lineRule="auto"/>
        <w:jc w:val="both"/>
        <w:rPr>
          <w:rFonts w:ascii="Verdana" w:eastAsia="Verdana" w:hAnsi="Verdana" w:cs="Verdana"/>
          <w:i/>
          <w:color w:val="000000"/>
          <w:sz w:val="14"/>
          <w:szCs w:val="14"/>
        </w:rPr>
      </w:pPr>
      <w:r w:rsidRPr="00AB4405">
        <w:rPr>
          <w:rFonts w:ascii="Palatino Linotype" w:eastAsia="Palatino Linotype" w:hAnsi="Palatino Linotype" w:cs="Palatino Linotype"/>
          <w:b/>
          <w:i/>
          <w:color w:val="000000"/>
          <w:sz w:val="22"/>
          <w:szCs w:val="22"/>
        </w:rPr>
        <w:t>Copia de todas las autorizaciones de bases y derroteros y sitios autorizadas a las empresas o Asociaciones Civiles de transporte público del año 1990 al año 2022 y que operan en el Estado de México</w:t>
      </w:r>
      <w:r w:rsidRPr="00AB4405">
        <w:rPr>
          <w:rFonts w:ascii="Verdana" w:eastAsia="Verdana" w:hAnsi="Verdana" w:cs="Verdana"/>
          <w:b/>
          <w:i/>
          <w:color w:val="000000"/>
          <w:sz w:val="14"/>
          <w:szCs w:val="14"/>
        </w:rPr>
        <w:t>.</w:t>
      </w: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Por su parte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emitió sus respuestas, en donde señaló en lo medular que la información solicitada es reservada a través de las actas de la trigésima y trigésima primera sesión extraordinaria del Comité de Transparencia de la Secretaría de Movilidad. </w:t>
      </w:r>
    </w:p>
    <w:p w:rsidR="00C258E0" w:rsidRPr="00AB4405" w:rsidRDefault="00C93C7E">
      <w:pPr>
        <w:shd w:val="clear" w:color="auto" w:fill="FFFFFF"/>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No conforme el particular con las respuestas, interpone los Recursos de Revisión, en lo medular por la clasificación de la información.</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Ante la interposición de los Recursos de Revisión,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rindió sus informes justificados a través de los cuales ratificó sus respuestas iniciales.</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lastRenderedPageBreak/>
        <w:t xml:space="preserve">En tal contexto, del análisis de las constancias que integran los expedientes en que se actúa, así como de la materia sobre las que versan las solicitudes de acceso a la información pública, se advierten que los motivos de inconformidad acontecen parcialmente fundados para revocar las respuestas del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en razón de las consideraciones de derecho que a continuación se exponen:</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Ahora bien, es conveniente analizar si las respuestas del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rsidR="00C258E0" w:rsidRPr="00AB4405" w:rsidRDefault="00C93C7E">
      <w:pPr>
        <w:spacing w:before="240"/>
        <w:ind w:left="709" w:right="760"/>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r w:rsidRPr="00AB4405">
        <w:rPr>
          <w:rFonts w:ascii="Palatino Linotype" w:eastAsia="Palatino Linotype" w:hAnsi="Palatino Linotype" w:cs="Palatino Linotype"/>
          <w:b/>
          <w:i/>
          <w:sz w:val="22"/>
          <w:szCs w:val="22"/>
        </w:rPr>
        <w:t>Artículo 4</w:t>
      </w:r>
      <w:r w:rsidRPr="00AB4405">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C258E0" w:rsidRPr="00AB4405" w:rsidRDefault="00C93C7E">
      <w:pPr>
        <w:ind w:left="709" w:right="760"/>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sidRPr="00AB4405">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C258E0" w:rsidRPr="00AB4405" w:rsidRDefault="00C93C7E">
      <w:pPr>
        <w:ind w:left="709" w:right="760"/>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lastRenderedPageBreak/>
        <w:t>Los sujetos obligados deben poner en práctica, políticas y programas de acceso a la información que se apeguen a criterios de publicidad, veracidad, oportunidad, precisión y suficiencia en beneficio de los solicitantes</w:t>
      </w:r>
      <w:r w:rsidRPr="00AB4405">
        <w:rPr>
          <w:rFonts w:ascii="Palatino Linotype" w:eastAsia="Palatino Linotype" w:hAnsi="Palatino Linotype" w:cs="Palatino Linotype"/>
          <w:i/>
          <w:sz w:val="22"/>
          <w:szCs w:val="22"/>
        </w:rPr>
        <w:t>.”(Sic)</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Esto es,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que a la letra dice:</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ind w:left="567" w:right="758"/>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12.-</w:t>
      </w:r>
      <w:r w:rsidRPr="00AB4405">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rsidR="00C258E0" w:rsidRPr="00AB4405" w:rsidRDefault="00C258E0">
      <w:pPr>
        <w:ind w:left="567" w:right="758"/>
        <w:jc w:val="both"/>
        <w:rPr>
          <w:rFonts w:ascii="Palatino Linotype" w:eastAsia="Palatino Linotype" w:hAnsi="Palatino Linotype" w:cs="Palatino Linotype"/>
          <w:i/>
          <w:sz w:val="22"/>
          <w:szCs w:val="22"/>
        </w:rPr>
      </w:pPr>
    </w:p>
    <w:p w:rsidR="00C258E0" w:rsidRPr="00AB4405" w:rsidRDefault="00C93C7E">
      <w:pPr>
        <w:ind w:left="567" w:right="758"/>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sidRPr="00AB4405">
        <w:rPr>
          <w:rFonts w:ascii="Palatino Linotype" w:eastAsia="Palatino Linotype" w:hAnsi="Palatino Linotype" w:cs="Palatino Linotype"/>
          <w:i/>
          <w:sz w:val="22"/>
          <w:szCs w:val="22"/>
        </w:rPr>
        <w:t xml:space="preserve">. </w:t>
      </w:r>
      <w:r w:rsidRPr="00AB4405">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rsidR="00C258E0" w:rsidRPr="00AB4405" w:rsidRDefault="00C258E0">
      <w:pPr>
        <w:spacing w:line="360" w:lineRule="auto"/>
        <w:ind w:right="-93"/>
        <w:jc w:val="both"/>
        <w:rPr>
          <w:rFonts w:ascii="Palatino Linotype" w:eastAsia="Palatino Linotype" w:hAnsi="Palatino Linotype" w:cs="Palatino Linotype"/>
          <w:color w:val="000000"/>
        </w:rPr>
      </w:pPr>
    </w:p>
    <w:p w:rsidR="00C258E0" w:rsidRPr="00AB4405" w:rsidRDefault="00C93C7E">
      <w:pPr>
        <w:spacing w:line="360" w:lineRule="auto"/>
        <w:ind w:right="-93"/>
        <w:jc w:val="both"/>
        <w:rPr>
          <w:rFonts w:ascii="Palatino Linotype" w:eastAsia="Palatino Linotype" w:hAnsi="Palatino Linotype" w:cs="Palatino Linotype"/>
          <w:color w:val="000000"/>
        </w:rPr>
      </w:pPr>
      <w:r w:rsidRPr="00AB4405">
        <w:rPr>
          <w:rFonts w:ascii="Palatino Linotype" w:eastAsia="Palatino Linotype" w:hAnsi="Palatino Linotype" w:cs="Palatino Linotype"/>
          <w:color w:val="000000"/>
        </w:rPr>
        <w:t xml:space="preserve">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w:t>
      </w:r>
      <w:r w:rsidRPr="00AB4405">
        <w:rPr>
          <w:rFonts w:ascii="Palatino Linotype" w:eastAsia="Palatino Linotype" w:hAnsi="Palatino Linotype" w:cs="Palatino Linotype"/>
        </w:rPr>
        <w:t>sólo</w:t>
      </w:r>
      <w:r w:rsidRPr="00AB4405">
        <w:rPr>
          <w:rFonts w:ascii="Palatino Linotype" w:eastAsia="Palatino Linotype" w:hAnsi="Palatino Linotype" w:cs="Palatino Linotype"/>
          <w:color w:val="000000"/>
        </w:rPr>
        <w:t xml:space="preserve"> se concretaran a proporcionar la información </w:t>
      </w:r>
      <w:r w:rsidRPr="00AB4405">
        <w:rPr>
          <w:rFonts w:ascii="Palatino Linotype" w:eastAsia="Palatino Linotype" w:hAnsi="Palatino Linotype" w:cs="Palatino Linotype"/>
          <w:color w:val="000000"/>
        </w:rPr>
        <w:lastRenderedPageBreak/>
        <w:t>solicitada que tengan en su poder en el estado que se encuentran, sin necesidad de concretarse al interés o términos específicos del solicitante.</w:t>
      </w:r>
    </w:p>
    <w:p w:rsidR="00C258E0" w:rsidRPr="00AB4405" w:rsidRDefault="00C258E0">
      <w:pPr>
        <w:spacing w:line="360" w:lineRule="auto"/>
        <w:ind w:right="-93"/>
        <w:jc w:val="both"/>
        <w:rPr>
          <w:rFonts w:ascii="Palatino Linotype" w:eastAsia="Palatino Linotype" w:hAnsi="Palatino Linotype" w:cs="Palatino Linotype"/>
          <w:color w:val="000000"/>
        </w:rPr>
      </w:pPr>
    </w:p>
    <w:p w:rsidR="00C258E0" w:rsidRPr="00AB4405" w:rsidRDefault="00C93C7E">
      <w:pPr>
        <w:spacing w:line="360" w:lineRule="auto"/>
        <w:jc w:val="both"/>
        <w:rPr>
          <w:rFonts w:ascii="Palatino Linotype" w:eastAsia="Palatino Linotype" w:hAnsi="Palatino Linotype" w:cs="Palatino Linotype"/>
          <w:b/>
          <w:color w:val="000000"/>
        </w:rPr>
      </w:pPr>
      <w:r w:rsidRPr="00AB4405">
        <w:rPr>
          <w:rFonts w:ascii="Palatino Linotype" w:eastAsia="Palatino Linotype" w:hAnsi="Palatino Linotype" w:cs="Palatino Linotype"/>
          <w:color w:val="000000"/>
        </w:rPr>
        <w:t>Sirve de apoyo a lo anterior, el criterio 03-17, expuesto por el Instituto Nacional de Transparencia, Acceso a la Información y Protección de Datos Personales, que dice:</w:t>
      </w:r>
      <w:r w:rsidRPr="00AB4405">
        <w:rPr>
          <w:rFonts w:ascii="Palatino Linotype" w:eastAsia="Palatino Linotype" w:hAnsi="Palatino Linotype" w:cs="Palatino Linotype"/>
          <w:b/>
          <w:color w:val="000000"/>
        </w:rPr>
        <w:t xml:space="preserve"> </w:t>
      </w:r>
    </w:p>
    <w:p w:rsidR="00C258E0" w:rsidRPr="00AB4405" w:rsidRDefault="00C258E0">
      <w:pPr>
        <w:ind w:left="851" w:right="850"/>
        <w:jc w:val="both"/>
        <w:rPr>
          <w:rFonts w:ascii="Palatino Linotype" w:eastAsia="Palatino Linotype" w:hAnsi="Palatino Linotype" w:cs="Palatino Linotype"/>
          <w:color w:val="000000"/>
        </w:rPr>
      </w:pPr>
    </w:p>
    <w:p w:rsidR="00C258E0" w:rsidRPr="00AB4405" w:rsidRDefault="00C93C7E">
      <w:pPr>
        <w:ind w:left="851" w:right="901"/>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w:t>
      </w:r>
      <w:r w:rsidRPr="00AB4405">
        <w:rPr>
          <w:rFonts w:ascii="Palatino Linotype" w:eastAsia="Palatino Linotype" w:hAnsi="Palatino Linotype" w:cs="Palatino Linotype"/>
          <w:b/>
          <w:i/>
          <w:color w:val="000000"/>
          <w:sz w:val="22"/>
          <w:szCs w:val="22"/>
        </w:rPr>
        <w:t>No existe obligación de elaborar documentos ad hoc para atender las solicitudes de acceso a la información.</w:t>
      </w:r>
      <w:r w:rsidRPr="00AB4405">
        <w:rPr>
          <w:rFonts w:ascii="Palatino Linotype" w:eastAsia="Palatino Linotype" w:hAnsi="Palatino Linotype" w:cs="Palatino Linotype"/>
          <w:i/>
          <w:color w:val="000000"/>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C258E0" w:rsidRPr="00AB4405" w:rsidRDefault="00C93C7E">
      <w:pPr>
        <w:ind w:left="851" w:right="901"/>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 xml:space="preserve">Resoluciones: </w:t>
      </w:r>
    </w:p>
    <w:p w:rsidR="00C258E0" w:rsidRPr="00AB4405" w:rsidRDefault="00C93C7E">
      <w:pPr>
        <w:ind w:left="851" w:right="901"/>
        <w:jc w:val="both"/>
        <w:rPr>
          <w:rFonts w:ascii="Palatino Linotype" w:eastAsia="Palatino Linotype" w:hAnsi="Palatino Linotype" w:cs="Palatino Linotype"/>
          <w:i/>
          <w:color w:val="000000"/>
          <w:sz w:val="22"/>
          <w:szCs w:val="22"/>
        </w:rPr>
      </w:pPr>
      <w:r w:rsidRPr="00AB4405">
        <w:rPr>
          <w:rFonts w:ascii="Noto Sans Symbols" w:eastAsia="Noto Sans Symbols" w:hAnsi="Noto Sans Symbols" w:cs="Noto Sans Symbols"/>
          <w:i/>
          <w:color w:val="000000"/>
          <w:sz w:val="22"/>
          <w:szCs w:val="22"/>
        </w:rPr>
        <w:t>∙</w:t>
      </w:r>
      <w:r w:rsidRPr="00AB4405">
        <w:rPr>
          <w:rFonts w:ascii="Palatino Linotype" w:eastAsia="Palatino Linotype" w:hAnsi="Palatino Linotype" w:cs="Palatino Linotype"/>
          <w:i/>
          <w:color w:val="000000"/>
          <w:sz w:val="22"/>
          <w:szCs w:val="22"/>
        </w:rPr>
        <w:t xml:space="preserve"> RRA 0050/16. Instituto Nacional para la Evaluación de la Educación. 13 julio de 2016. Por unanimidad. Comisionado Ponente: Francisco Javier Acuña Llamas.</w:t>
      </w:r>
    </w:p>
    <w:p w:rsidR="00C258E0" w:rsidRPr="00AB4405" w:rsidRDefault="00C93C7E">
      <w:pPr>
        <w:ind w:left="851" w:right="901"/>
        <w:jc w:val="both"/>
        <w:rPr>
          <w:rFonts w:ascii="Palatino Linotype" w:eastAsia="Palatino Linotype" w:hAnsi="Palatino Linotype" w:cs="Palatino Linotype"/>
          <w:i/>
          <w:color w:val="000000"/>
          <w:sz w:val="22"/>
          <w:szCs w:val="22"/>
        </w:rPr>
      </w:pPr>
      <w:r w:rsidRPr="00AB4405">
        <w:rPr>
          <w:rFonts w:ascii="Noto Sans Symbols" w:eastAsia="Noto Sans Symbols" w:hAnsi="Noto Sans Symbols" w:cs="Noto Sans Symbols"/>
          <w:i/>
          <w:color w:val="000000"/>
          <w:sz w:val="22"/>
          <w:szCs w:val="22"/>
        </w:rPr>
        <w:t>∙</w:t>
      </w:r>
      <w:r w:rsidRPr="00AB4405">
        <w:rPr>
          <w:rFonts w:ascii="Palatino Linotype" w:eastAsia="Palatino Linotype" w:hAnsi="Palatino Linotype" w:cs="Palatino Linotype"/>
          <w:i/>
          <w:color w:val="000000"/>
          <w:sz w:val="22"/>
          <w:szCs w:val="22"/>
        </w:rPr>
        <w:t xml:space="preserve"> RRA 0310/16. Instituto Nacional de Transparencia, Acceso a la Información y Protección de Datos Personales. 10 de agosto de 2016. Por unanimidad. Comisionada Ponente. Areli Cano Guadiana. </w:t>
      </w:r>
    </w:p>
    <w:p w:rsidR="00C258E0" w:rsidRPr="00AB4405" w:rsidRDefault="00C93C7E">
      <w:pPr>
        <w:ind w:left="851" w:right="901"/>
        <w:jc w:val="both"/>
        <w:rPr>
          <w:rFonts w:ascii="Palatino Linotype" w:eastAsia="Palatino Linotype" w:hAnsi="Palatino Linotype" w:cs="Palatino Linotype"/>
          <w:i/>
          <w:color w:val="000000"/>
          <w:sz w:val="22"/>
          <w:szCs w:val="22"/>
        </w:rPr>
      </w:pPr>
      <w:r w:rsidRPr="00AB4405">
        <w:rPr>
          <w:rFonts w:ascii="Noto Sans Symbols" w:eastAsia="Noto Sans Symbols" w:hAnsi="Noto Sans Symbols" w:cs="Noto Sans Symbols"/>
          <w:i/>
          <w:color w:val="000000"/>
          <w:sz w:val="22"/>
          <w:szCs w:val="22"/>
        </w:rPr>
        <w:t>∙</w:t>
      </w:r>
      <w:r w:rsidRPr="00AB4405">
        <w:rPr>
          <w:rFonts w:ascii="Palatino Linotype" w:eastAsia="Palatino Linotype" w:hAnsi="Palatino Linotype" w:cs="Palatino Linotype"/>
          <w:i/>
          <w:color w:val="000000"/>
          <w:sz w:val="22"/>
          <w:szCs w:val="22"/>
        </w:rPr>
        <w:t xml:space="preserve"> RRA 1889/16. Secretaría de Hacienda y Crédito Público. 05 de octubre de 2016. Por unanimidad. Comisionada Ponente. Ximena Puente de la Mora.”(Sic)</w:t>
      </w:r>
    </w:p>
    <w:p w:rsidR="00C258E0" w:rsidRPr="00AB4405" w:rsidRDefault="00C258E0">
      <w:pPr>
        <w:spacing w:line="360" w:lineRule="auto"/>
        <w:ind w:right="-93"/>
        <w:jc w:val="both"/>
        <w:rPr>
          <w:rFonts w:ascii="Palatino Linotype" w:eastAsia="Palatino Linotype" w:hAnsi="Palatino Linotype" w:cs="Palatino Linotype"/>
          <w:color w:val="000000"/>
        </w:rPr>
      </w:pPr>
    </w:p>
    <w:p w:rsidR="00C258E0" w:rsidRPr="00AB4405" w:rsidRDefault="00C93C7E">
      <w:pPr>
        <w:spacing w:line="360" w:lineRule="auto"/>
        <w:jc w:val="both"/>
        <w:rPr>
          <w:rFonts w:ascii="Palatino Linotype" w:eastAsia="Palatino Linotype" w:hAnsi="Palatino Linotype" w:cs="Palatino Linotype"/>
          <w:color w:val="000000"/>
        </w:rPr>
      </w:pPr>
      <w:r w:rsidRPr="00AB4405">
        <w:rPr>
          <w:rFonts w:ascii="Palatino Linotype" w:eastAsia="Palatino Linotype" w:hAnsi="Palatino Linotype" w:cs="Palatino Linotype"/>
        </w:rPr>
        <w:t xml:space="preserve">En esa tesitura, el artículo 24 en su último párrafo de la Ley de la Materia, dispone que los Sujetos Obligados </w:t>
      </w:r>
      <w:r w:rsidRPr="00AB4405">
        <w:rPr>
          <w:rFonts w:ascii="Palatino Linotype" w:eastAsia="Palatino Linotype" w:hAnsi="Palatino Linotype" w:cs="Palatino Linotype"/>
          <w:color w:val="000000"/>
        </w:rPr>
        <w:t xml:space="preserve">sólo proporcionarán la información pública que </w:t>
      </w:r>
      <w:r w:rsidRPr="00AB4405">
        <w:rPr>
          <w:rFonts w:ascii="Palatino Linotype" w:eastAsia="Palatino Linotype" w:hAnsi="Palatino Linotype" w:cs="Palatino Linotype"/>
        </w:rPr>
        <w:t>generen</w:t>
      </w:r>
      <w:r w:rsidRPr="00AB4405">
        <w:rPr>
          <w:rFonts w:ascii="Palatino Linotype" w:eastAsia="Palatino Linotype" w:hAnsi="Palatino Linotype" w:cs="Palatino Linotype"/>
          <w:color w:val="000000"/>
        </w:rPr>
        <w:t xml:space="preserve">, administren o posean en el ejercicio de sus atribuciones; por consiguiente, la información pública se encuentra a disposición de cualquier persona, lo que implica </w:t>
      </w:r>
      <w:r w:rsidRPr="00AB4405">
        <w:rPr>
          <w:rFonts w:ascii="Palatino Linotype" w:eastAsia="Palatino Linotype" w:hAnsi="Palatino Linotype" w:cs="Palatino Linotype"/>
          <w:color w:val="000000"/>
        </w:rPr>
        <w:lastRenderedPageBreak/>
        <w:t>que es deber de los Sujetos Obligados, garantizar el Derecho de Acceso a la Información Pública.</w:t>
      </w:r>
    </w:p>
    <w:p w:rsidR="00C258E0" w:rsidRPr="00AB4405" w:rsidRDefault="00C258E0">
      <w:pPr>
        <w:spacing w:line="360" w:lineRule="auto"/>
        <w:jc w:val="both"/>
        <w:rPr>
          <w:rFonts w:ascii="Palatino Linotype" w:eastAsia="Palatino Linotype" w:hAnsi="Palatino Linotype" w:cs="Palatino Linotype"/>
          <w:color w:val="000000"/>
        </w:rPr>
      </w:pPr>
    </w:p>
    <w:p w:rsidR="00C258E0" w:rsidRPr="00AB4405" w:rsidRDefault="00C93C7E">
      <w:pPr>
        <w:spacing w:line="360" w:lineRule="auto"/>
        <w:ind w:right="49"/>
        <w:jc w:val="both"/>
        <w:rPr>
          <w:rFonts w:ascii="Palatino Linotype" w:eastAsia="Palatino Linotype" w:hAnsi="Palatino Linotype" w:cs="Palatino Linotype"/>
        </w:rPr>
      </w:pPr>
      <w:r w:rsidRPr="00AB4405">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C258E0" w:rsidRPr="00AB4405" w:rsidRDefault="00C258E0">
      <w:pPr>
        <w:spacing w:line="360" w:lineRule="auto"/>
        <w:ind w:right="49"/>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C258E0" w:rsidRPr="00AB4405" w:rsidRDefault="00C258E0">
      <w:pPr>
        <w:ind w:left="851" w:right="899"/>
        <w:jc w:val="both"/>
        <w:rPr>
          <w:rFonts w:ascii="Palatino Linotype" w:eastAsia="Palatino Linotype" w:hAnsi="Palatino Linotype" w:cs="Palatino Linotype"/>
          <w:i/>
          <w:sz w:val="22"/>
          <w:szCs w:val="22"/>
        </w:rPr>
      </w:pP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r w:rsidRPr="00AB4405">
        <w:rPr>
          <w:rFonts w:ascii="Palatino Linotype" w:eastAsia="Palatino Linotype" w:hAnsi="Palatino Linotype" w:cs="Palatino Linotype"/>
          <w:b/>
          <w:i/>
          <w:sz w:val="22"/>
          <w:szCs w:val="22"/>
        </w:rPr>
        <w:t xml:space="preserve">Artículo 3. </w:t>
      </w:r>
      <w:r w:rsidRPr="00AB4405">
        <w:rPr>
          <w:rFonts w:ascii="Palatino Linotype" w:eastAsia="Palatino Linotype" w:hAnsi="Palatino Linotype" w:cs="Palatino Linotype"/>
          <w:i/>
          <w:sz w:val="22"/>
          <w:szCs w:val="22"/>
        </w:rPr>
        <w:t>Para los efectos de la presente Ley se entenderá por:</w:t>
      </w: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p>
    <w:p w:rsidR="00C258E0" w:rsidRPr="00AB4405" w:rsidRDefault="00C93C7E">
      <w:pPr>
        <w:ind w:left="851" w:right="899"/>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b/>
          <w:i/>
          <w:color w:val="000000"/>
          <w:sz w:val="22"/>
          <w:szCs w:val="22"/>
        </w:rPr>
        <w:t>XI. Documento:</w:t>
      </w:r>
      <w:r w:rsidRPr="00AB4405">
        <w:rPr>
          <w:rFonts w:ascii="Palatino Linotype" w:eastAsia="Palatino Linotype" w:hAnsi="Palatino Linotype" w:cs="Palatino Linotype"/>
          <w:i/>
          <w:color w:val="000000"/>
          <w:sz w:val="22"/>
          <w:szCs w:val="22"/>
        </w:rPr>
        <w:t xml:space="preserve"> Los expedientes, reportes, estudios, actas</w:t>
      </w:r>
      <w:r w:rsidRPr="00AB4405">
        <w:rPr>
          <w:rFonts w:ascii="Palatino Linotype" w:eastAsia="Palatino Linotype" w:hAnsi="Palatino Linotype" w:cs="Palatino Linotype"/>
          <w:b/>
          <w:i/>
          <w:color w:val="000000"/>
          <w:sz w:val="22"/>
          <w:szCs w:val="22"/>
        </w:rPr>
        <w:t>,</w:t>
      </w:r>
      <w:r w:rsidRPr="00AB4405">
        <w:rPr>
          <w:rFonts w:ascii="Palatino Linotype" w:eastAsia="Palatino Linotype" w:hAnsi="Palatino Linotype" w:cs="Palatino Linotype"/>
          <w:i/>
          <w:color w:val="000000"/>
          <w:sz w:val="22"/>
          <w:szCs w:val="22"/>
        </w:rPr>
        <w:t xml:space="preserve"> resoluciones, oficios, correspondencia, acuerdos, directivas, directrices, circulares, contratos, convenios, instructivos, notas, memorandos, estadísticas o bien, cualquier otro </w:t>
      </w:r>
      <w:r w:rsidRPr="00AB4405">
        <w:rPr>
          <w:rFonts w:ascii="Palatino Linotype" w:eastAsia="Palatino Linotype" w:hAnsi="Palatino Linotype" w:cs="Palatino Linotype"/>
          <w:i/>
          <w:color w:val="000000"/>
          <w:sz w:val="22"/>
          <w:szCs w:val="22"/>
        </w:rPr>
        <w:lastRenderedPageBreak/>
        <w:t>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C258E0" w:rsidRPr="00AB4405" w:rsidRDefault="00C258E0">
      <w:pPr>
        <w:ind w:left="851" w:right="899"/>
        <w:jc w:val="both"/>
        <w:rPr>
          <w:rFonts w:ascii="Palatino Linotype" w:eastAsia="Palatino Linotype" w:hAnsi="Palatino Linotype" w:cs="Palatino Linotype"/>
          <w:sz w:val="22"/>
          <w:szCs w:val="22"/>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C258E0" w:rsidRPr="00AB4405" w:rsidRDefault="00C258E0">
      <w:pPr>
        <w:ind w:left="851" w:right="899"/>
        <w:jc w:val="both"/>
        <w:rPr>
          <w:rFonts w:ascii="Palatino Linotype" w:eastAsia="Palatino Linotype" w:hAnsi="Palatino Linotype" w:cs="Palatino Linotype"/>
        </w:rPr>
      </w:pPr>
    </w:p>
    <w:p w:rsidR="00C258E0" w:rsidRPr="00AB4405" w:rsidRDefault="00C93C7E">
      <w:pPr>
        <w:ind w:left="851" w:right="899"/>
        <w:jc w:val="both"/>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sz w:val="22"/>
          <w:szCs w:val="22"/>
        </w:rPr>
        <w:t>“</w:t>
      </w:r>
      <w:r w:rsidRPr="00AB4405">
        <w:rPr>
          <w:rFonts w:ascii="Palatino Linotype" w:eastAsia="Palatino Linotype" w:hAnsi="Palatino Linotype" w:cs="Palatino Linotype"/>
          <w:b/>
          <w:i/>
          <w:sz w:val="22"/>
          <w:szCs w:val="22"/>
        </w:rPr>
        <w:t>CRITERIO 0002-11</w:t>
      </w: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sidRPr="00AB4405">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En consecuencia el acceso a la información se refiere a que se cumplan cualquiera de los siguientes tres supuestos:</w:t>
      </w: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rsidR="00C258E0" w:rsidRPr="00AB4405" w:rsidRDefault="00C93C7E">
      <w:pPr>
        <w:ind w:left="851" w:right="899"/>
        <w:jc w:val="both"/>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rsidR="00C258E0" w:rsidRPr="00AB4405" w:rsidRDefault="00C93C7E">
      <w:pPr>
        <w:ind w:left="851" w:right="899"/>
        <w:jc w:val="both"/>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t>3) Que se trate de información registrada en cualquier soporte documental, que en ejercicio de las atribuciones conferidas, se encuentre en posesión de los Sujetos Obligados.” (Sic)</w:t>
      </w:r>
    </w:p>
    <w:p w:rsidR="00C258E0" w:rsidRPr="00AB4405" w:rsidRDefault="00C258E0">
      <w:pPr>
        <w:spacing w:line="360" w:lineRule="auto"/>
        <w:ind w:right="-93"/>
        <w:jc w:val="both"/>
        <w:rPr>
          <w:rFonts w:ascii="Palatino Linotype" w:eastAsia="Palatino Linotype" w:hAnsi="Palatino Linotype" w:cs="Palatino Linotype"/>
          <w:color w:val="000000"/>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color w:val="000000"/>
        </w:rPr>
        <w:t>Con base en lo precedente</w:t>
      </w:r>
      <w:r w:rsidRPr="00AB4405">
        <w:rPr>
          <w:rFonts w:ascii="Palatino Linotype" w:eastAsia="Palatino Linotype" w:hAnsi="Palatino Linotype" w:cs="Palatino Linotype"/>
        </w:rPr>
        <w:t xml:space="preserve">, se reitera que la información proporcionada por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en su respuesta, no cumple con lo establecido por los </w:t>
      </w:r>
      <w:r w:rsidRPr="00AB4405">
        <w:rPr>
          <w:rFonts w:ascii="Palatino Linotype" w:eastAsia="Palatino Linotype" w:hAnsi="Palatino Linotype" w:cs="Palatino Linotype"/>
        </w:rPr>
        <w:lastRenderedPageBreak/>
        <w:t>artículos 4, 12 y 24 último párrafo de la Ley de Transparencia y Acceso a la Información Pública del Estado de México y Municipios, de conformidad con los puntos siguientes:</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Antes que nada, se debe resaltar que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no niega contar con la información solicitada por el recurrente, sino por el contrario, asume que dicha información la posee o administra al reservar la información solicitada, por lo que el estudio de la naturaleza jurídica de la información solicitada, en el caso concreto, se obvia.</w:t>
      </w:r>
    </w:p>
    <w:p w:rsidR="00C258E0" w:rsidRPr="00AB4405" w:rsidRDefault="00C93C7E">
      <w:pPr>
        <w:widowControl w:val="0"/>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Lo anterior es así, ya que el estudio enunciado tiene por objeto determinar si el Sujeto Obligado genera, posee o administra la información solicitada; sin embargo, en aquellos casos en que éste la asume, ello efectivamente está en su poder; por consiguiente, sería ocioso y a nada práctico nos conduciría su estudio, ya que se insiste, la información pública solicitada fue asumida por el </w:t>
      </w:r>
      <w:r w:rsidRPr="00AB4405">
        <w:rPr>
          <w:rFonts w:ascii="Palatino Linotype" w:eastAsia="Palatino Linotype" w:hAnsi="Palatino Linotype" w:cs="Palatino Linotype"/>
          <w:b/>
        </w:rPr>
        <w:t>SUJETO OBLIGADO.</w:t>
      </w:r>
    </w:p>
    <w:p w:rsidR="00C258E0" w:rsidRPr="00AB4405" w:rsidRDefault="00C93C7E">
      <w:pPr>
        <w:widowControl w:val="0"/>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Además, de que la inexistencia y clasificación no pueden coexistir, en términos del criterio 29/10 emitido por el Instituto Nacional de Transparencia, Acceso a la Información y Protección de Datos Personales (INAI), que señala:</w:t>
      </w:r>
    </w:p>
    <w:p w:rsidR="00C258E0" w:rsidRPr="00AB4405" w:rsidRDefault="00C258E0">
      <w:pPr>
        <w:ind w:left="851" w:right="899"/>
        <w:jc w:val="both"/>
        <w:rPr>
          <w:rFonts w:ascii="Palatino Linotype" w:eastAsia="Palatino Linotype" w:hAnsi="Palatino Linotype" w:cs="Palatino Linotype"/>
          <w:i/>
          <w:sz w:val="22"/>
          <w:szCs w:val="22"/>
        </w:rPr>
      </w:pP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“29/10 </w:t>
      </w: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La clasificación y la inexistencia de información son conceptos que no pueden coexistir. La inexistencia implica necesariamente que la información no se encuentra en los archivos de la autoridad, no obstante que la dependencia o entidad cuente con facultades para poseer dicha información. En este sentido, la inexistencia es una calidad que se atribuye a la información solicitada. Por su parte, la clasificación es una característica que adquiere la información concreta contenida en un documento específico, siempre que se encuentre en los supuestos </w:t>
      </w:r>
      <w:r w:rsidRPr="00AB4405">
        <w:rPr>
          <w:rFonts w:ascii="Palatino Linotype" w:eastAsia="Palatino Linotype" w:hAnsi="Palatino Linotype" w:cs="Palatino Linotype"/>
          <w:i/>
          <w:sz w:val="22"/>
          <w:szCs w:val="22"/>
        </w:rPr>
        <w:lastRenderedPageBreak/>
        <w:t>establecidos en los artículos 13 y 14 de la Ley Federal de Transparencia y Acceso a la Información Pública Gubernamental, para el caso de la información reservada, y 18 del mismo ordenamiento, para el caso de la información confidencial. Por lo anterior, la clasificación y la inexistencia no coexisten entre sí, en virtud de que la clasificación de información implica invariablemente la existencia de un documento o documentos determinados, mientras que la inexistencia conlleva la ausencia de los mismos en los archivos de la dependencia o entidad de que se trate.</w:t>
      </w: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Expedientes:</w:t>
      </w:r>
    </w:p>
    <w:p w:rsidR="00C258E0" w:rsidRPr="00AB4405" w:rsidRDefault="00C258E0">
      <w:pPr>
        <w:ind w:left="851" w:right="899"/>
        <w:jc w:val="both"/>
        <w:rPr>
          <w:rFonts w:ascii="Palatino Linotype" w:eastAsia="Palatino Linotype" w:hAnsi="Palatino Linotype" w:cs="Palatino Linotype"/>
          <w:i/>
          <w:sz w:val="22"/>
          <w:szCs w:val="22"/>
        </w:rPr>
      </w:pP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4734/07       Pemex Exploración y Producción – Juan Pablo Guerrero Amparán</w:t>
      </w:r>
    </w:p>
    <w:p w:rsidR="00C258E0" w:rsidRPr="00AB4405" w:rsidRDefault="00C258E0">
      <w:pPr>
        <w:ind w:left="851" w:right="899"/>
        <w:jc w:val="both"/>
        <w:rPr>
          <w:rFonts w:ascii="Palatino Linotype" w:eastAsia="Palatino Linotype" w:hAnsi="Palatino Linotype" w:cs="Palatino Linotype"/>
          <w:i/>
          <w:sz w:val="22"/>
          <w:szCs w:val="22"/>
        </w:rPr>
      </w:pP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2936/08       Comisión Federal de Telecomunicaciones - Alonso Gómez-Robledo</w:t>
      </w: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Verduzco</w:t>
      </w:r>
    </w:p>
    <w:p w:rsidR="00C258E0" w:rsidRPr="00AB4405" w:rsidRDefault="00C258E0">
      <w:pPr>
        <w:ind w:left="851" w:right="899"/>
        <w:jc w:val="both"/>
        <w:rPr>
          <w:rFonts w:ascii="Palatino Linotype" w:eastAsia="Palatino Linotype" w:hAnsi="Palatino Linotype" w:cs="Palatino Linotype"/>
          <w:i/>
          <w:sz w:val="22"/>
          <w:szCs w:val="22"/>
        </w:rPr>
      </w:pP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4781/09       Comisión  Nacional  de  Libros  de  Texto  Gratuitos  -  Jacqueline</w:t>
      </w: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Peschard Mariscal</w:t>
      </w:r>
    </w:p>
    <w:p w:rsidR="00C258E0" w:rsidRPr="00AB4405" w:rsidRDefault="00C258E0">
      <w:pPr>
        <w:ind w:left="851" w:right="899"/>
        <w:jc w:val="both"/>
        <w:rPr>
          <w:rFonts w:ascii="Palatino Linotype" w:eastAsia="Palatino Linotype" w:hAnsi="Palatino Linotype" w:cs="Palatino Linotype"/>
          <w:i/>
          <w:sz w:val="22"/>
          <w:szCs w:val="22"/>
        </w:rPr>
      </w:pP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5434/09       Administración  Portuaria  Integral  de  Veracruz,  S.A.  de  C.V.  - Jacqueline Peschard Mariscal</w:t>
      </w:r>
    </w:p>
    <w:p w:rsidR="00C258E0" w:rsidRPr="00AB4405" w:rsidRDefault="00C258E0">
      <w:pPr>
        <w:ind w:left="851" w:right="899"/>
        <w:jc w:val="both"/>
        <w:rPr>
          <w:rFonts w:ascii="Palatino Linotype" w:eastAsia="Palatino Linotype" w:hAnsi="Palatino Linotype" w:cs="Palatino Linotype"/>
          <w:i/>
          <w:sz w:val="22"/>
          <w:szCs w:val="22"/>
        </w:rPr>
      </w:pPr>
    </w:p>
    <w:p w:rsidR="00C258E0" w:rsidRPr="00AB4405" w:rsidRDefault="00C93C7E">
      <w:pPr>
        <w:ind w:left="851" w:right="89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384/10         Instituto Mexicano del Seguro Social - Jacqueline Peschard Mariscal” (Sic)</w:t>
      </w:r>
    </w:p>
    <w:p w:rsidR="00C258E0" w:rsidRPr="00AB4405" w:rsidRDefault="00C258E0">
      <w:pPr>
        <w:spacing w:line="360" w:lineRule="auto"/>
        <w:ind w:right="51"/>
        <w:jc w:val="both"/>
        <w:rPr>
          <w:rFonts w:ascii="Palatino Linotype" w:eastAsia="Palatino Linotype" w:hAnsi="Palatino Linotype" w:cs="Palatino Linotype"/>
        </w:rPr>
      </w:pPr>
    </w:p>
    <w:p w:rsidR="00C258E0" w:rsidRPr="00AB4405" w:rsidRDefault="00C93C7E">
      <w:pPr>
        <w:spacing w:line="360" w:lineRule="auto"/>
        <w:ind w:right="51"/>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Por ello, el presente estudio versará sobre la reserva de la información hecho valer por la Secretaría de Movilidad a través de las actas Trigésima y Trigésima Primera Sesión Extraordinaria ambas del año 2022, del cual se colige lo siguiente respecto a la clasificación de la información: </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numPr>
          <w:ilvl w:val="0"/>
          <w:numId w:val="3"/>
        </w:numPr>
        <w:spacing w:line="360" w:lineRule="auto"/>
        <w:ind w:left="567" w:right="567" w:hanging="141"/>
        <w:jc w:val="both"/>
        <w:rPr>
          <w:rFonts w:ascii="Palatino Linotype" w:eastAsia="Palatino Linotype" w:hAnsi="Palatino Linotype" w:cs="Palatino Linotype"/>
          <w:color w:val="000000"/>
        </w:rPr>
      </w:pPr>
      <w:r w:rsidRPr="00AB4405">
        <w:rPr>
          <w:rFonts w:ascii="Palatino Linotype" w:eastAsia="Palatino Linotype" w:hAnsi="Palatino Linotype" w:cs="Palatino Linotype"/>
          <w:color w:val="000000"/>
        </w:rPr>
        <w:t>La información requerida por el particular es la relacionada con las autorizaciones de bases y derroteros y sitios autorizadas a las empresas o Asociaciones Civiles de transporte público del año 1990 al año 2022 y que operan en el estado de México.</w:t>
      </w:r>
    </w:p>
    <w:p w:rsidR="00C258E0" w:rsidRPr="00AB4405" w:rsidRDefault="00C258E0">
      <w:pPr>
        <w:spacing w:line="360" w:lineRule="auto"/>
        <w:ind w:left="567" w:right="567"/>
        <w:jc w:val="both"/>
        <w:rPr>
          <w:rFonts w:ascii="Palatino Linotype" w:eastAsia="Palatino Linotype" w:hAnsi="Palatino Linotype" w:cs="Palatino Linotype"/>
          <w:color w:val="000000"/>
        </w:rPr>
      </w:pPr>
    </w:p>
    <w:p w:rsidR="00C258E0" w:rsidRPr="00AB4405" w:rsidRDefault="00C93C7E">
      <w:pPr>
        <w:numPr>
          <w:ilvl w:val="0"/>
          <w:numId w:val="3"/>
        </w:numPr>
        <w:spacing w:line="360" w:lineRule="auto"/>
        <w:ind w:left="567" w:right="567" w:hanging="283"/>
        <w:jc w:val="both"/>
        <w:rPr>
          <w:rFonts w:ascii="Palatino Linotype" w:eastAsia="Palatino Linotype" w:hAnsi="Palatino Linotype" w:cs="Palatino Linotype"/>
          <w:color w:val="000000"/>
        </w:rPr>
      </w:pPr>
      <w:r w:rsidRPr="00AB4405">
        <w:rPr>
          <w:rFonts w:ascii="Palatino Linotype" w:eastAsia="Palatino Linotype" w:hAnsi="Palatino Linotype" w:cs="Palatino Linotype"/>
          <w:color w:val="000000"/>
        </w:rPr>
        <w:t>Los Directores Generales de Movilidad de las Zonas II y III, solicitaron la clasificación de la información requerida como reservada por un periodo de cinco y cuatro, respectivamente; hasta que se concluyan los siguientes proyectos:</w:t>
      </w:r>
    </w:p>
    <w:p w:rsidR="00C258E0" w:rsidRPr="00AB4405" w:rsidRDefault="00C258E0">
      <w:pPr>
        <w:pBdr>
          <w:top w:val="nil"/>
          <w:left w:val="nil"/>
          <w:bottom w:val="nil"/>
          <w:right w:val="nil"/>
          <w:between w:val="nil"/>
        </w:pBdr>
        <w:ind w:left="708"/>
        <w:rPr>
          <w:color w:val="000000"/>
          <w:sz w:val="22"/>
          <w:szCs w:val="22"/>
        </w:rPr>
      </w:pPr>
    </w:p>
    <w:p w:rsidR="00C258E0" w:rsidRPr="00AB4405" w:rsidRDefault="00C93C7E">
      <w:pPr>
        <w:pBdr>
          <w:top w:val="nil"/>
          <w:left w:val="nil"/>
          <w:bottom w:val="nil"/>
          <w:right w:val="nil"/>
          <w:between w:val="nil"/>
        </w:pBdr>
        <w:ind w:left="708"/>
        <w:rPr>
          <w:rFonts w:ascii="Palatino Linotype" w:eastAsia="Palatino Linotype" w:hAnsi="Palatino Linotype" w:cs="Palatino Linotype"/>
          <w:color w:val="000000"/>
          <w:sz w:val="22"/>
          <w:szCs w:val="22"/>
        </w:rPr>
      </w:pPr>
      <w:r w:rsidRPr="00AB4405">
        <w:rPr>
          <w:noProof/>
          <w:color w:val="000000"/>
          <w:sz w:val="22"/>
          <w:szCs w:val="22"/>
          <w:lang w:val="es-MX" w:eastAsia="es-MX"/>
        </w:rPr>
        <w:drawing>
          <wp:inline distT="0" distB="0" distL="0" distR="0">
            <wp:extent cx="4707229" cy="2596774"/>
            <wp:effectExtent l="0" t="0" r="0" b="0"/>
            <wp:docPr id="6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l="52483" t="30474" r="6044" b="18531"/>
                    <a:stretch>
                      <a:fillRect/>
                    </a:stretch>
                  </pic:blipFill>
                  <pic:spPr>
                    <a:xfrm>
                      <a:off x="0" y="0"/>
                      <a:ext cx="4707229" cy="2596774"/>
                    </a:xfrm>
                    <a:prstGeom prst="rect">
                      <a:avLst/>
                    </a:prstGeom>
                    <a:ln/>
                  </pic:spPr>
                </pic:pic>
              </a:graphicData>
            </a:graphic>
          </wp:inline>
        </w:drawing>
      </w:r>
    </w:p>
    <w:p w:rsidR="00C258E0" w:rsidRPr="00AB4405" w:rsidRDefault="00C258E0">
      <w:pPr>
        <w:pBdr>
          <w:top w:val="nil"/>
          <w:left w:val="nil"/>
          <w:bottom w:val="nil"/>
          <w:right w:val="nil"/>
          <w:between w:val="nil"/>
        </w:pBdr>
        <w:ind w:left="708"/>
        <w:rPr>
          <w:color w:val="000000"/>
          <w:sz w:val="22"/>
          <w:szCs w:val="22"/>
        </w:rPr>
      </w:pPr>
    </w:p>
    <w:p w:rsidR="00C258E0" w:rsidRPr="00AB4405" w:rsidRDefault="00C93C7E">
      <w:pPr>
        <w:pBdr>
          <w:top w:val="nil"/>
          <w:left w:val="nil"/>
          <w:bottom w:val="nil"/>
          <w:right w:val="nil"/>
          <w:between w:val="nil"/>
        </w:pBdr>
        <w:ind w:left="708"/>
        <w:rPr>
          <w:rFonts w:ascii="Palatino Linotype" w:eastAsia="Palatino Linotype" w:hAnsi="Palatino Linotype" w:cs="Palatino Linotype"/>
          <w:color w:val="000000"/>
          <w:sz w:val="22"/>
          <w:szCs w:val="22"/>
        </w:rPr>
      </w:pPr>
      <w:r w:rsidRPr="00AB4405">
        <w:rPr>
          <w:rFonts w:ascii="Palatino Linotype" w:eastAsia="Palatino Linotype" w:hAnsi="Palatino Linotype" w:cs="Palatino Linotype"/>
          <w:color w:val="000000"/>
          <w:sz w:val="22"/>
          <w:szCs w:val="22"/>
        </w:rPr>
        <w:t xml:space="preserve">                                                       </w:t>
      </w:r>
      <w:r w:rsidRPr="00AB4405">
        <w:rPr>
          <w:noProof/>
          <w:color w:val="000000"/>
          <w:sz w:val="22"/>
          <w:szCs w:val="22"/>
          <w:lang w:val="es-MX" w:eastAsia="es-MX"/>
        </w:rPr>
        <w:drawing>
          <wp:inline distT="0" distB="0" distL="0" distR="0">
            <wp:extent cx="4618284" cy="1312218"/>
            <wp:effectExtent l="0" t="0" r="0" b="0"/>
            <wp:docPr id="6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l="53968" t="34234" r="6466" b="41114"/>
                    <a:stretch>
                      <a:fillRect/>
                    </a:stretch>
                  </pic:blipFill>
                  <pic:spPr>
                    <a:xfrm>
                      <a:off x="0" y="0"/>
                      <a:ext cx="4618284" cy="1312218"/>
                    </a:xfrm>
                    <a:prstGeom prst="rect">
                      <a:avLst/>
                    </a:prstGeom>
                    <a:ln/>
                  </pic:spPr>
                </pic:pic>
              </a:graphicData>
            </a:graphic>
          </wp:inline>
        </w:drawing>
      </w:r>
    </w:p>
    <w:p w:rsidR="00C258E0" w:rsidRPr="00AB4405" w:rsidRDefault="00C93C7E">
      <w:pPr>
        <w:numPr>
          <w:ilvl w:val="0"/>
          <w:numId w:val="3"/>
        </w:numPr>
        <w:pBdr>
          <w:top w:val="nil"/>
          <w:left w:val="nil"/>
          <w:bottom w:val="nil"/>
          <w:right w:val="nil"/>
          <w:between w:val="nil"/>
        </w:pBdr>
        <w:spacing w:line="360" w:lineRule="auto"/>
        <w:ind w:right="567"/>
        <w:jc w:val="both"/>
        <w:rPr>
          <w:rFonts w:ascii="Palatino Linotype" w:eastAsia="Palatino Linotype" w:hAnsi="Palatino Linotype" w:cs="Palatino Linotype"/>
          <w:color w:val="000000"/>
          <w:sz w:val="22"/>
          <w:szCs w:val="22"/>
        </w:rPr>
      </w:pPr>
      <w:r w:rsidRPr="00AB4405">
        <w:rPr>
          <w:rFonts w:ascii="Palatino Linotype" w:eastAsia="Palatino Linotype" w:hAnsi="Palatino Linotype" w:cs="Palatino Linotype"/>
          <w:color w:val="000000"/>
          <w:sz w:val="22"/>
          <w:szCs w:val="22"/>
        </w:rPr>
        <w:t xml:space="preserve">Asimismo el Director de Movilidad de la Zona I, indicó era reservada por el </w:t>
      </w:r>
      <w:r w:rsidRPr="00AB4405">
        <w:rPr>
          <w:rFonts w:ascii="Palatino Linotype" w:eastAsia="Palatino Linotype" w:hAnsi="Palatino Linotype" w:cs="Palatino Linotype"/>
          <w:sz w:val="22"/>
          <w:szCs w:val="22"/>
        </w:rPr>
        <w:t>término</w:t>
      </w:r>
      <w:r w:rsidRPr="00AB4405">
        <w:rPr>
          <w:rFonts w:ascii="Palatino Linotype" w:eastAsia="Palatino Linotype" w:hAnsi="Palatino Linotype" w:cs="Palatino Linotype"/>
          <w:color w:val="000000"/>
          <w:sz w:val="22"/>
          <w:szCs w:val="22"/>
        </w:rPr>
        <w:t xml:space="preserve"> de cuatro años, por lo siguiente:</w:t>
      </w:r>
    </w:p>
    <w:p w:rsidR="00C258E0" w:rsidRPr="00AB4405" w:rsidRDefault="00C258E0">
      <w:pPr>
        <w:spacing w:line="360" w:lineRule="auto"/>
        <w:ind w:left="567" w:right="567"/>
        <w:jc w:val="both"/>
        <w:rPr>
          <w:rFonts w:ascii="Palatino Linotype" w:eastAsia="Palatino Linotype" w:hAnsi="Palatino Linotype" w:cs="Palatino Linotype"/>
          <w:color w:val="000000"/>
        </w:rPr>
      </w:pPr>
    </w:p>
    <w:p w:rsidR="00C258E0" w:rsidRPr="00AB4405" w:rsidRDefault="00C258E0">
      <w:pPr>
        <w:spacing w:line="360" w:lineRule="auto"/>
        <w:ind w:left="567" w:right="567"/>
        <w:jc w:val="both"/>
        <w:rPr>
          <w:rFonts w:ascii="Palatino Linotype" w:eastAsia="Palatino Linotype" w:hAnsi="Palatino Linotype" w:cs="Palatino Linotype"/>
          <w:color w:val="000000"/>
        </w:rPr>
      </w:pPr>
    </w:p>
    <w:p w:rsidR="00C258E0" w:rsidRPr="00AB4405" w:rsidRDefault="00C93C7E">
      <w:pPr>
        <w:spacing w:line="360" w:lineRule="auto"/>
        <w:ind w:left="567" w:right="567"/>
        <w:jc w:val="both"/>
        <w:rPr>
          <w:rFonts w:ascii="Palatino Linotype" w:eastAsia="Palatino Linotype" w:hAnsi="Palatino Linotype" w:cs="Palatino Linotype"/>
          <w:color w:val="000000"/>
        </w:rPr>
      </w:pPr>
      <w:r w:rsidRPr="00AB4405">
        <w:rPr>
          <w:noProof/>
          <w:lang w:val="es-MX" w:eastAsia="es-MX"/>
        </w:rPr>
        <w:lastRenderedPageBreak/>
        <w:drawing>
          <wp:inline distT="0" distB="0" distL="0" distR="0">
            <wp:extent cx="5108510" cy="3412118"/>
            <wp:effectExtent l="0" t="0" r="0" b="0"/>
            <wp:docPr id="6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l="20106" t="14859" r="37043" b="6675"/>
                    <a:stretch>
                      <a:fillRect/>
                    </a:stretch>
                  </pic:blipFill>
                  <pic:spPr>
                    <a:xfrm>
                      <a:off x="0" y="0"/>
                      <a:ext cx="5108510" cy="3412118"/>
                    </a:xfrm>
                    <a:prstGeom prst="rect">
                      <a:avLst/>
                    </a:prstGeom>
                    <a:ln/>
                  </pic:spPr>
                </pic:pic>
              </a:graphicData>
            </a:graphic>
          </wp:inline>
        </w:drawing>
      </w:r>
    </w:p>
    <w:p w:rsidR="00C258E0" w:rsidRPr="00AB4405" w:rsidRDefault="00C93C7E">
      <w:pPr>
        <w:spacing w:line="360" w:lineRule="auto"/>
        <w:ind w:left="567" w:right="567"/>
        <w:jc w:val="both"/>
        <w:rPr>
          <w:rFonts w:ascii="Palatino Linotype" w:eastAsia="Palatino Linotype" w:hAnsi="Palatino Linotype" w:cs="Palatino Linotype"/>
          <w:color w:val="000000"/>
        </w:rPr>
      </w:pPr>
      <w:r w:rsidRPr="00AB4405">
        <w:rPr>
          <w:noProof/>
          <w:lang w:val="es-MX" w:eastAsia="es-MX"/>
        </w:rPr>
        <w:drawing>
          <wp:inline distT="0" distB="0" distL="0" distR="0">
            <wp:extent cx="5053483" cy="3389767"/>
            <wp:effectExtent l="0" t="0" r="0" b="0"/>
            <wp:docPr id="7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l="20107" t="15613" r="37459" b="6853"/>
                    <a:stretch>
                      <a:fillRect/>
                    </a:stretch>
                  </pic:blipFill>
                  <pic:spPr>
                    <a:xfrm>
                      <a:off x="0" y="0"/>
                      <a:ext cx="5053483" cy="3389767"/>
                    </a:xfrm>
                    <a:prstGeom prst="rect">
                      <a:avLst/>
                    </a:prstGeom>
                    <a:ln/>
                  </pic:spPr>
                </pic:pic>
              </a:graphicData>
            </a:graphic>
          </wp:inline>
        </w:drawing>
      </w:r>
    </w:p>
    <w:p w:rsidR="00C258E0" w:rsidRPr="00AB4405" w:rsidRDefault="00C93C7E">
      <w:pPr>
        <w:spacing w:line="360" w:lineRule="auto"/>
        <w:ind w:right="567"/>
        <w:jc w:val="both"/>
        <w:rPr>
          <w:rFonts w:ascii="Palatino Linotype" w:eastAsia="Palatino Linotype" w:hAnsi="Palatino Linotype" w:cs="Palatino Linotype"/>
          <w:color w:val="000000"/>
        </w:rPr>
      </w:pPr>
      <w:r w:rsidRPr="00AB4405">
        <w:rPr>
          <w:noProof/>
          <w:lang w:val="es-MX" w:eastAsia="es-MX"/>
        </w:rPr>
        <w:lastRenderedPageBreak/>
        <w:drawing>
          <wp:inline distT="0" distB="0" distL="0" distR="0">
            <wp:extent cx="5419679" cy="3484116"/>
            <wp:effectExtent l="0" t="0" r="0" b="0"/>
            <wp:docPr id="7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l="20845" t="29343" r="37782" b="30199"/>
                    <a:stretch>
                      <a:fillRect/>
                    </a:stretch>
                  </pic:blipFill>
                  <pic:spPr>
                    <a:xfrm>
                      <a:off x="0" y="0"/>
                      <a:ext cx="5419679" cy="3484116"/>
                    </a:xfrm>
                    <a:prstGeom prst="rect">
                      <a:avLst/>
                    </a:prstGeom>
                    <a:ln/>
                  </pic:spPr>
                </pic:pic>
              </a:graphicData>
            </a:graphic>
          </wp:inline>
        </w:drawing>
      </w:r>
    </w:p>
    <w:p w:rsidR="00C258E0" w:rsidRPr="00AB4405" w:rsidRDefault="00C93C7E">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rPr>
      </w:pPr>
      <w:r w:rsidRPr="00AB4405">
        <w:rPr>
          <w:rFonts w:ascii="Palatino Linotype" w:eastAsia="Palatino Linotype" w:hAnsi="Palatino Linotype" w:cs="Palatino Linotype"/>
          <w:color w:val="000000"/>
          <w:sz w:val="22"/>
          <w:szCs w:val="22"/>
        </w:rPr>
        <w:t xml:space="preserve">El Director General de Movilidad de la Zona IV, indicó que la información solicitada era reservado por el </w:t>
      </w:r>
      <w:r w:rsidRPr="00AB4405">
        <w:rPr>
          <w:rFonts w:ascii="Palatino Linotype" w:eastAsia="Palatino Linotype" w:hAnsi="Palatino Linotype" w:cs="Palatino Linotype"/>
          <w:sz w:val="22"/>
          <w:szCs w:val="22"/>
        </w:rPr>
        <w:t>término</w:t>
      </w:r>
      <w:r w:rsidRPr="00AB4405">
        <w:rPr>
          <w:rFonts w:ascii="Palatino Linotype" w:eastAsia="Palatino Linotype" w:hAnsi="Palatino Linotype" w:cs="Palatino Linotype"/>
          <w:color w:val="000000"/>
          <w:sz w:val="22"/>
          <w:szCs w:val="22"/>
        </w:rPr>
        <w:t xml:space="preserve"> de cinco años, por lo siguiente: </w:t>
      </w:r>
    </w:p>
    <w:p w:rsidR="00C258E0" w:rsidRPr="00AB4405" w:rsidRDefault="00C93C7E">
      <w:pPr>
        <w:spacing w:line="360" w:lineRule="auto"/>
        <w:ind w:left="360"/>
        <w:jc w:val="both"/>
        <w:rPr>
          <w:rFonts w:ascii="Palatino Linotype" w:eastAsia="Palatino Linotype" w:hAnsi="Palatino Linotype" w:cs="Palatino Linotype"/>
          <w:color w:val="000000"/>
        </w:rPr>
      </w:pPr>
      <w:r w:rsidRPr="00AB4405">
        <w:rPr>
          <w:noProof/>
          <w:lang w:val="es-MX" w:eastAsia="es-MX"/>
        </w:rPr>
        <w:drawing>
          <wp:inline distT="0" distB="0" distL="0" distR="0">
            <wp:extent cx="5325631" cy="2826357"/>
            <wp:effectExtent l="0" t="0" r="0" b="0"/>
            <wp:docPr id="7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l="38306" t="18058" r="22546" b="18907"/>
                    <a:stretch>
                      <a:fillRect/>
                    </a:stretch>
                  </pic:blipFill>
                  <pic:spPr>
                    <a:xfrm>
                      <a:off x="0" y="0"/>
                      <a:ext cx="5325631" cy="2826357"/>
                    </a:xfrm>
                    <a:prstGeom prst="rect">
                      <a:avLst/>
                    </a:prstGeom>
                    <a:ln/>
                  </pic:spPr>
                </pic:pic>
              </a:graphicData>
            </a:graphic>
          </wp:inline>
        </w:drawing>
      </w:r>
    </w:p>
    <w:p w:rsidR="00C258E0" w:rsidRPr="00AB4405" w:rsidRDefault="00C93C7E">
      <w:pPr>
        <w:spacing w:line="360" w:lineRule="auto"/>
        <w:jc w:val="both"/>
        <w:rPr>
          <w:rFonts w:ascii="Palatino Linotype" w:eastAsia="Palatino Linotype" w:hAnsi="Palatino Linotype" w:cs="Palatino Linotype"/>
          <w:color w:val="000000"/>
        </w:rPr>
      </w:pPr>
      <w:r w:rsidRPr="00AB4405">
        <w:rPr>
          <w:rFonts w:ascii="Palatino Linotype" w:eastAsia="Palatino Linotype" w:hAnsi="Palatino Linotype" w:cs="Palatino Linotype"/>
          <w:color w:val="000000"/>
        </w:rPr>
        <w:lastRenderedPageBreak/>
        <w:t xml:space="preserve">Una vez aclarado lo anterior, este Organismo Garante considera que el Acuerdo de Clasificación presentado por el </w:t>
      </w:r>
      <w:r w:rsidRPr="00AB4405">
        <w:rPr>
          <w:rFonts w:ascii="Palatino Linotype" w:eastAsia="Palatino Linotype" w:hAnsi="Palatino Linotype" w:cs="Palatino Linotype"/>
          <w:b/>
          <w:color w:val="000000"/>
        </w:rPr>
        <w:t>SUJETO OBLIGADO</w:t>
      </w:r>
      <w:r w:rsidRPr="00AB4405">
        <w:rPr>
          <w:rFonts w:ascii="Palatino Linotype" w:eastAsia="Palatino Linotype" w:hAnsi="Palatino Linotype" w:cs="Palatino Linotype"/>
          <w:color w:val="000000"/>
        </w:rPr>
        <w:t xml:space="preserve">, en donde se aprobó la reserva de información solicitada por las Direcciones Generales de Movilidad Zona I, II, III y IV, no satisface los requisitos previstos por la normatividad, toda vez que los preceptos invocados así como los elementos fácticos no son suficientes para reservar la información solicitada por el </w:t>
      </w:r>
      <w:r w:rsidRPr="00AB4405">
        <w:rPr>
          <w:rFonts w:ascii="Palatino Linotype" w:eastAsia="Palatino Linotype" w:hAnsi="Palatino Linotype" w:cs="Palatino Linotype"/>
          <w:b/>
          <w:color w:val="000000"/>
        </w:rPr>
        <w:t>RECURRENTE</w:t>
      </w:r>
      <w:r w:rsidRPr="00AB4405">
        <w:rPr>
          <w:rFonts w:ascii="Palatino Linotype" w:eastAsia="Palatino Linotype" w:hAnsi="Palatino Linotype" w:cs="Palatino Linotype"/>
          <w:color w:val="000000"/>
        </w:rPr>
        <w:t xml:space="preserve">, debe recordarse que el </w:t>
      </w:r>
      <w:r w:rsidRPr="00AB4405">
        <w:rPr>
          <w:rFonts w:ascii="Palatino Linotype" w:eastAsia="Palatino Linotype" w:hAnsi="Palatino Linotype" w:cs="Palatino Linotype"/>
          <w:b/>
          <w:color w:val="000000"/>
        </w:rPr>
        <w:t>SUJETO OBLIGADO</w:t>
      </w:r>
      <w:r w:rsidRPr="00AB4405">
        <w:rPr>
          <w:rFonts w:ascii="Palatino Linotype" w:eastAsia="Palatino Linotype" w:hAnsi="Palatino Linotype" w:cs="Palatino Linotype"/>
          <w:color w:val="000000"/>
        </w:rPr>
        <w:t xml:space="preserve"> manifiesta que la información requerida en el presente asunto encuadra en el supuesto de clasificación de la información como reservada prevista en el artículo 140, fracciones I, VII y X de la Ley de Transparencia y Acceso a la Información Pública del Estado de México y Municipios, los cuales se citan a continuación para mejor proveer del presente estudio:</w:t>
      </w:r>
    </w:p>
    <w:p w:rsidR="00C258E0" w:rsidRPr="00AB4405" w:rsidRDefault="00C258E0">
      <w:pPr>
        <w:spacing w:line="360" w:lineRule="auto"/>
        <w:jc w:val="both"/>
        <w:rPr>
          <w:rFonts w:ascii="Palatino Linotype" w:eastAsia="Palatino Linotype" w:hAnsi="Palatino Linotype" w:cs="Palatino Linotype"/>
          <w:color w:val="000000"/>
        </w:rPr>
      </w:pPr>
    </w:p>
    <w:p w:rsidR="00C258E0" w:rsidRPr="00AB4405" w:rsidRDefault="00C93C7E">
      <w:pPr>
        <w:ind w:left="567" w:right="567"/>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b/>
          <w:i/>
          <w:color w:val="000000"/>
          <w:sz w:val="22"/>
          <w:szCs w:val="22"/>
        </w:rPr>
        <w:t>“</w:t>
      </w:r>
      <w:r w:rsidRPr="00AB4405">
        <w:rPr>
          <w:rFonts w:ascii="Palatino Linotype" w:eastAsia="Palatino Linotype" w:hAnsi="Palatino Linotype" w:cs="Palatino Linotype"/>
          <w:i/>
          <w:color w:val="000000"/>
          <w:sz w:val="22"/>
          <w:szCs w:val="22"/>
        </w:rPr>
        <w:t>Artículo 140. El acceso a la información pública será restringido excepcionalmente, cuando por razones de interés público, ésta sea clasificada como reservada, conforme a los criterios siguientes:</w:t>
      </w:r>
    </w:p>
    <w:p w:rsidR="00C258E0" w:rsidRPr="00AB4405" w:rsidRDefault="00C93C7E">
      <w:pPr>
        <w:ind w:left="567" w:right="567"/>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I. Comprometa la seguridad pública y cuente con un propósito genuino y un efecto demostrable;</w:t>
      </w:r>
    </w:p>
    <w:p w:rsidR="00C258E0" w:rsidRPr="00AB4405" w:rsidRDefault="00C93C7E">
      <w:pPr>
        <w:ind w:left="567" w:right="567"/>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w:t>
      </w:r>
    </w:p>
    <w:p w:rsidR="00C258E0" w:rsidRPr="00AB4405" w:rsidRDefault="00C93C7E">
      <w:pPr>
        <w:ind w:left="567" w:right="567"/>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VII. La que contengan las opiniones, recomendaciones o puntos de vista que formen parte del proceso deliberativo de los servidores públicos, hasta en tanto sea adoptada la decisión definitiva, la cual deberá estar documentada;</w:t>
      </w:r>
    </w:p>
    <w:p w:rsidR="00C258E0" w:rsidRPr="00AB4405" w:rsidRDefault="00C93C7E">
      <w:pPr>
        <w:ind w:left="567" w:right="567"/>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w:t>
      </w:r>
    </w:p>
    <w:p w:rsidR="00C258E0" w:rsidRPr="00AB4405" w:rsidRDefault="00C93C7E">
      <w:pPr>
        <w:ind w:left="567" w:right="567"/>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X. El daño que pueda producirse con la publicación de la información sea mayor que el interés público de conocer la información de referencia, siempre que esté directamente relacionado con procesos o procedimientos administrativos o judiciales que no hayan quedado firmes…”(Sic)</w:t>
      </w:r>
    </w:p>
    <w:p w:rsidR="00C258E0" w:rsidRPr="00AB4405" w:rsidRDefault="00C93C7E">
      <w:pPr>
        <w:tabs>
          <w:tab w:val="left" w:pos="709"/>
        </w:tabs>
        <w:spacing w:before="240" w:after="160" w:line="360" w:lineRule="auto"/>
        <w:ind w:right="51"/>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Bajo tales consideraciones, es preciso recordar que mediante informes justificados,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confirmó las respuestas primigenias, toda vez que estimaba que existía un prueba de daño en la que se fundan y motivan las razones </w:t>
      </w:r>
      <w:r w:rsidRPr="00AB4405">
        <w:rPr>
          <w:rFonts w:ascii="Palatino Linotype" w:eastAsia="Palatino Linotype" w:hAnsi="Palatino Linotype" w:cs="Palatino Linotype"/>
        </w:rPr>
        <w:lastRenderedPageBreak/>
        <w:t xml:space="preserve">por las  que se clasifica la información, esto de conformidad con el numeral 129 de la Ley de Transparencia Local, así como los diversos 128, 130, 131, 133 y 134 de la misma Ley, para poder emitir el acuerdo de clasificación en donde se funden y motiven las razones por las cuales no se puede entregar la información.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128.</w:t>
      </w:r>
      <w:r w:rsidRPr="00AB4405">
        <w:rPr>
          <w:rFonts w:ascii="Palatino Linotype" w:eastAsia="Palatino Linotype" w:hAnsi="Palatino Linotype" w:cs="Palatino Linotype"/>
          <w:i/>
          <w:sz w:val="22"/>
          <w:szCs w:val="22"/>
        </w:rPr>
        <w:t xml:space="preserve"> En los casos en que se niegue el acceso a la información, por actualizarse alguno de los supuestos de clasificación, </w:t>
      </w:r>
      <w:r w:rsidRPr="00AB4405">
        <w:rPr>
          <w:rFonts w:ascii="Palatino Linotype" w:eastAsia="Palatino Linotype" w:hAnsi="Palatino Linotype" w:cs="Palatino Linotype"/>
          <w:i/>
          <w:sz w:val="22"/>
          <w:szCs w:val="22"/>
          <w:u w:val="single"/>
        </w:rPr>
        <w:t>el Comité de Transparencia deberá confirmar, modificar o revocar la decisión</w:t>
      </w:r>
      <w:r w:rsidRPr="00AB4405">
        <w:rPr>
          <w:rFonts w:ascii="Palatino Linotype" w:eastAsia="Palatino Linotype" w:hAnsi="Palatino Linotype" w:cs="Palatino Linotype"/>
          <w:i/>
          <w:sz w:val="22"/>
          <w:szCs w:val="22"/>
        </w:rPr>
        <w:t xml:space="preserve">.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Para motivar la clasificación de la información y la ampliación del plazo de reserva, se deberán señalar las razones, motivos o circunstancias especiales que llevaron al sujeto obligado a concluir que el caso particular se ajusta al supuesto previsto por la norma legal invocada como fundamento. Además, el sujeto obligado deberá, en todo momento, aplicar una prueba de daño.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Tratándose de aquélla información que actualice los supuestos de clasificación, deberá señalarse el plazo al que estará sujeto la reserva.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129.</w:t>
      </w:r>
      <w:r w:rsidRPr="00AB4405">
        <w:rPr>
          <w:rFonts w:ascii="Palatino Linotype" w:eastAsia="Palatino Linotype" w:hAnsi="Palatino Linotype" w:cs="Palatino Linotype"/>
          <w:i/>
          <w:sz w:val="22"/>
          <w:szCs w:val="22"/>
        </w:rPr>
        <w:t xml:space="preserve"> </w:t>
      </w:r>
      <w:r w:rsidRPr="00AB4405">
        <w:rPr>
          <w:rFonts w:ascii="Palatino Linotype" w:eastAsia="Palatino Linotype" w:hAnsi="Palatino Linotype" w:cs="Palatino Linotype"/>
          <w:i/>
          <w:sz w:val="22"/>
          <w:szCs w:val="22"/>
          <w:u w:val="single"/>
        </w:rPr>
        <w:t>En la aplicación de la prueba de daño</w:t>
      </w:r>
      <w:r w:rsidRPr="00AB4405">
        <w:rPr>
          <w:rFonts w:ascii="Palatino Linotype" w:eastAsia="Palatino Linotype" w:hAnsi="Palatino Linotype" w:cs="Palatino Linotype"/>
          <w:i/>
          <w:sz w:val="22"/>
          <w:szCs w:val="22"/>
        </w:rPr>
        <w:t xml:space="preserve">, el sujeto obligado deberá precisar las razones objetivas por las que la apertura de la información generaría una afectación, justificando que: </w:t>
      </w:r>
    </w:p>
    <w:p w:rsidR="00C258E0" w:rsidRPr="00AB4405" w:rsidRDefault="00C93C7E">
      <w:pPr>
        <w:spacing w:before="240" w:after="240"/>
        <w:ind w:left="851" w:right="851"/>
        <w:jc w:val="both"/>
        <w:rPr>
          <w:rFonts w:ascii="Palatino Linotype" w:eastAsia="Palatino Linotype" w:hAnsi="Palatino Linotype" w:cs="Palatino Linotype"/>
          <w:i/>
          <w:sz w:val="22"/>
          <w:szCs w:val="22"/>
          <w:u w:val="single"/>
        </w:rPr>
      </w:pPr>
      <w:r w:rsidRPr="00AB4405">
        <w:rPr>
          <w:rFonts w:ascii="Palatino Linotype" w:eastAsia="Palatino Linotype" w:hAnsi="Palatino Linotype" w:cs="Palatino Linotype"/>
          <w:b/>
          <w:i/>
          <w:sz w:val="22"/>
          <w:szCs w:val="22"/>
        </w:rPr>
        <w:t>I.</w:t>
      </w:r>
      <w:r w:rsidRPr="00AB4405">
        <w:rPr>
          <w:rFonts w:ascii="Palatino Linotype" w:eastAsia="Palatino Linotype" w:hAnsi="Palatino Linotype" w:cs="Palatino Linotype"/>
          <w:i/>
          <w:sz w:val="22"/>
          <w:szCs w:val="22"/>
        </w:rPr>
        <w:t xml:space="preserve"> </w:t>
      </w:r>
      <w:r w:rsidRPr="00AB4405">
        <w:rPr>
          <w:rFonts w:ascii="Palatino Linotype" w:eastAsia="Palatino Linotype" w:hAnsi="Palatino Linotype" w:cs="Palatino Linotype"/>
          <w:i/>
          <w:sz w:val="22"/>
          <w:szCs w:val="22"/>
          <w:u w:val="single"/>
        </w:rPr>
        <w:t xml:space="preserve">La divulgación de la información representa un riesgo real, demostrable e identificable del perjuicio significativo al interés público o a la seguridad pública; </w:t>
      </w:r>
    </w:p>
    <w:p w:rsidR="00C258E0" w:rsidRPr="00AB4405" w:rsidRDefault="00C93C7E">
      <w:pPr>
        <w:spacing w:before="240" w:after="240"/>
        <w:ind w:left="851" w:right="851"/>
        <w:jc w:val="both"/>
        <w:rPr>
          <w:rFonts w:ascii="Palatino Linotype" w:eastAsia="Palatino Linotype" w:hAnsi="Palatino Linotype" w:cs="Palatino Linotype"/>
          <w:i/>
          <w:sz w:val="22"/>
          <w:szCs w:val="22"/>
          <w:u w:val="single"/>
        </w:rPr>
      </w:pPr>
      <w:r w:rsidRPr="00AB4405">
        <w:rPr>
          <w:rFonts w:ascii="Palatino Linotype" w:eastAsia="Palatino Linotype" w:hAnsi="Palatino Linotype" w:cs="Palatino Linotype"/>
          <w:b/>
          <w:i/>
          <w:sz w:val="22"/>
          <w:szCs w:val="22"/>
          <w:u w:val="single"/>
        </w:rPr>
        <w:t>II.</w:t>
      </w:r>
      <w:r w:rsidRPr="00AB4405">
        <w:rPr>
          <w:rFonts w:ascii="Palatino Linotype" w:eastAsia="Palatino Linotype" w:hAnsi="Palatino Linotype" w:cs="Palatino Linotype"/>
          <w:i/>
          <w:sz w:val="22"/>
          <w:szCs w:val="22"/>
          <w:u w:val="single"/>
        </w:rPr>
        <w:t xml:space="preserve"> El riesgo de perjuicio que supondría la divulgación supera el interés público general de que se difunda; y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u w:val="single"/>
        </w:rPr>
        <w:t>III.</w:t>
      </w:r>
      <w:r w:rsidRPr="00AB4405">
        <w:rPr>
          <w:rFonts w:ascii="Palatino Linotype" w:eastAsia="Palatino Linotype" w:hAnsi="Palatino Linotype" w:cs="Palatino Linotype"/>
          <w:i/>
          <w:sz w:val="22"/>
          <w:szCs w:val="22"/>
          <w:u w:val="single"/>
        </w:rPr>
        <w:t xml:space="preserve"> La limitación se adecua al principio de proporcionalidad y representa el medio menos restrictivo disponible representa el medio menos restrictivo disponible para evitar el perjuicio.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130.</w:t>
      </w:r>
      <w:r w:rsidRPr="00AB4405">
        <w:rPr>
          <w:rFonts w:ascii="Palatino Linotype" w:eastAsia="Palatino Linotype" w:hAnsi="Palatino Linotype" w:cs="Palatino Linotype"/>
          <w:i/>
          <w:sz w:val="22"/>
          <w:szCs w:val="22"/>
        </w:rPr>
        <w:t xml:space="preserve"> Los sujetos obligados deberán aplicar, de manera restrictiva y limitada, las excepciones al derecho de acceso a la información y sólo podrán invocarlas cuando acrediten su procedencia, sin ampliar las excepciones o supuestos de reserva o confidencialidad previstos en la Ley General y la presente Ley, aduciendo analogía o mayoría de razón.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lastRenderedPageBreak/>
        <w:t>Artículo 131</w:t>
      </w:r>
      <w:r w:rsidRPr="00AB4405">
        <w:rPr>
          <w:rFonts w:ascii="Palatino Linotype" w:eastAsia="Palatino Linotype" w:hAnsi="Palatino Linotype" w:cs="Palatino Linotype"/>
          <w:i/>
          <w:sz w:val="22"/>
          <w:szCs w:val="22"/>
        </w:rPr>
        <w:t xml:space="preserve">. </w:t>
      </w:r>
      <w:r w:rsidRPr="00AB4405">
        <w:rPr>
          <w:rFonts w:ascii="Palatino Linotype" w:eastAsia="Palatino Linotype" w:hAnsi="Palatino Linotype" w:cs="Palatino Linotype"/>
          <w:i/>
          <w:sz w:val="22"/>
          <w:szCs w:val="22"/>
          <w:u w:val="single"/>
        </w:rPr>
        <w:t>La carga de la prueba para justificar toda negativa de acceso a la información, por actualizarse cualquiera de los supuestos de clasificación previstos en esta Ley corresponderá a los sujetos obligados</w:t>
      </w:r>
      <w:r w:rsidRPr="00AB4405">
        <w:rPr>
          <w:rFonts w:ascii="Palatino Linotype" w:eastAsia="Palatino Linotype" w:hAnsi="Palatino Linotype" w:cs="Palatino Linotype"/>
          <w:i/>
          <w:sz w:val="22"/>
          <w:szCs w:val="22"/>
        </w:rPr>
        <w:t>; en tal caso deberá fundar y motivar debidamente la clasificación de la información, de conformidad con lo previsto en la presente Ley.</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133.</w:t>
      </w:r>
      <w:r w:rsidRPr="00AB4405">
        <w:rPr>
          <w:rFonts w:ascii="Palatino Linotype" w:eastAsia="Palatino Linotype" w:hAnsi="Palatino Linotype" w:cs="Palatino Linotype"/>
          <w:i/>
          <w:sz w:val="22"/>
          <w:szCs w:val="22"/>
        </w:rPr>
        <w:t xml:space="preserve"> Los documentos clasificados total o parcialmente deberán llevar una leyenda que indique tal carácter, la fecha de clasificación, el fundamento legal y, en su caso, el periodo de reserva.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134.</w:t>
      </w:r>
      <w:r w:rsidRPr="00AB4405">
        <w:rPr>
          <w:rFonts w:ascii="Palatino Linotype" w:eastAsia="Palatino Linotype" w:hAnsi="Palatino Linotype" w:cs="Palatino Linotype"/>
          <w:i/>
          <w:sz w:val="22"/>
          <w:szCs w:val="22"/>
        </w:rPr>
        <w:t xml:space="preserve"> </w:t>
      </w:r>
      <w:r w:rsidRPr="00AB4405">
        <w:rPr>
          <w:rFonts w:ascii="Palatino Linotype" w:eastAsia="Palatino Linotype" w:hAnsi="Palatino Linotype" w:cs="Palatino Linotype"/>
          <w:i/>
          <w:sz w:val="22"/>
          <w:szCs w:val="22"/>
          <w:u w:val="single"/>
        </w:rPr>
        <w:t>Los sujetos obligados no podrán emitir acuerdos de carácter general ni particular que clasifiquen documentos o información como reservada</w:t>
      </w:r>
      <w:r w:rsidRPr="00AB4405">
        <w:rPr>
          <w:rFonts w:ascii="Palatino Linotype" w:eastAsia="Palatino Linotype" w:hAnsi="Palatino Linotype" w:cs="Palatino Linotype"/>
          <w:i/>
          <w:sz w:val="22"/>
          <w:szCs w:val="22"/>
        </w:rPr>
        <w:t>. La clasificación podrá establecerse de manera parcial o total de acuerdo al contenido de la información del documento y deberá estar acorde con la actualización de los supuestos definidos en el presente Título como información clasificada.”</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De los preceptos citados con anterioridad, podemos advertir que, en los casos en que se niegue el acceso a la información por actualizarse alguno de los supuestos de clasificación, se deberá generar una prueba de daño, en la cual,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debió justificar que la divulgación de la información representa un riesgo real, demostrable e identificable. Que el riesgo de perjuicio que supondría la divulgación supera el interés público general y analizar si las limitaciones se adecuan al principio de proporcionalidad o si representa el medio menos restrictivo disponible para evitar algún perjuicio.</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Asimismo, se debe precisar, que la carga de la prueba para justificar cualquier negativa de información corresponde al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siendo así, que deberá demostrar bajo una detallada fundamentación y motivación, las razones que lo llevaron a determinar que la información requerida por la a parte recurrente</w:t>
      </w:r>
      <w:r w:rsidRPr="00AB4405">
        <w:rPr>
          <w:rFonts w:ascii="Palatino Linotype" w:eastAsia="Palatino Linotype" w:hAnsi="Palatino Linotype" w:cs="Palatino Linotype"/>
          <w:b/>
        </w:rPr>
        <w:t xml:space="preserve">, </w:t>
      </w:r>
      <w:r w:rsidRPr="00AB4405">
        <w:rPr>
          <w:rFonts w:ascii="Palatino Linotype" w:eastAsia="Palatino Linotype" w:hAnsi="Palatino Linotype" w:cs="Palatino Linotype"/>
        </w:rPr>
        <w:t>encuadra en alguno de los supuestos</w:t>
      </w:r>
      <w:r w:rsidRPr="00AB4405">
        <w:rPr>
          <w:rFonts w:ascii="Palatino Linotype" w:eastAsia="Palatino Linotype" w:hAnsi="Palatino Linotype" w:cs="Palatino Linotype"/>
          <w:b/>
        </w:rPr>
        <w:t xml:space="preserve"> </w:t>
      </w:r>
      <w:r w:rsidRPr="00AB4405">
        <w:rPr>
          <w:rFonts w:ascii="Palatino Linotype" w:eastAsia="Palatino Linotype" w:hAnsi="Palatino Linotype" w:cs="Palatino Linotype"/>
        </w:rPr>
        <w:t>en la ley de la materia.</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lastRenderedPageBreak/>
        <w:t>De igual forma, para que el acceso a la información pública pueda ser restringido al clasificar la información requerida como reservada, se deben actualizar los supuestos establecidos en el Artículo 113 de la</w:t>
      </w:r>
      <w:r w:rsidRPr="00AB4405">
        <w:rPr>
          <w:rFonts w:ascii="Calibri" w:eastAsia="Calibri" w:hAnsi="Calibri" w:cs="Calibri"/>
        </w:rPr>
        <w:t xml:space="preserve"> </w:t>
      </w:r>
      <w:r w:rsidRPr="00AB4405">
        <w:rPr>
          <w:rFonts w:ascii="Palatino Linotype" w:eastAsia="Palatino Linotype" w:hAnsi="Palatino Linotype" w:cs="Palatino Linotype"/>
        </w:rPr>
        <w:t>y Ley General De Transparencia Acceso a La Información Pública, artículo 140 de la Ley de Transparencia y Acceso a la Información Pública del Estado de México y Municipios, así como lo establecido en los Lineamientos Generales en Materia de Clasificación y Desclasificación de la Información, así como para la Elaboración de Versiones Públicas, que a la letra señalan lo siguiente:</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113.</w:t>
      </w:r>
      <w:r w:rsidRPr="00AB4405">
        <w:rPr>
          <w:rFonts w:ascii="Palatino Linotype" w:eastAsia="Palatino Linotype" w:hAnsi="Palatino Linotype" w:cs="Palatino Linotype"/>
          <w:i/>
          <w:sz w:val="22"/>
          <w:szCs w:val="22"/>
        </w:rPr>
        <w:t xml:space="preserve"> Como información reservada podrá clasificarse aquella cuya publicación:</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 xml:space="preserve"> I.</w:t>
      </w:r>
      <w:r w:rsidRPr="00AB4405">
        <w:rPr>
          <w:rFonts w:ascii="Palatino Linotype" w:eastAsia="Palatino Linotype" w:hAnsi="Palatino Linotype" w:cs="Palatino Linotype"/>
          <w:i/>
          <w:sz w:val="22"/>
          <w:szCs w:val="22"/>
        </w:rPr>
        <w:t xml:space="preserve"> Comprometa la seguridad nacional, la seguridad pública o la defensa nacional y cuente con un propósito genuino y un efecto demostrable;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w:t>
      </w:r>
      <w:r w:rsidRPr="00AB4405">
        <w:rPr>
          <w:rFonts w:ascii="Palatino Linotype" w:eastAsia="Palatino Linotype" w:hAnsi="Palatino Linotype" w:cs="Palatino Linotype"/>
          <w:i/>
          <w:sz w:val="22"/>
          <w:szCs w:val="22"/>
        </w:rPr>
        <w:t xml:space="preserve"> Pueda menoscabar la conducción de las negociaciones y relaciones internacionales; </w:t>
      </w:r>
      <w:r w:rsidRPr="00AB4405">
        <w:rPr>
          <w:rFonts w:ascii="Palatino Linotype" w:eastAsia="Palatino Linotype" w:hAnsi="Palatino Linotype" w:cs="Palatino Linotype"/>
          <w:i/>
          <w:sz w:val="22"/>
          <w:szCs w:val="22"/>
        </w:rPr>
        <w:br/>
      </w:r>
      <w:r w:rsidRPr="00AB4405">
        <w:rPr>
          <w:rFonts w:ascii="Palatino Linotype" w:eastAsia="Palatino Linotype" w:hAnsi="Palatino Linotype" w:cs="Palatino Linotype"/>
          <w:b/>
          <w:i/>
          <w:sz w:val="22"/>
          <w:szCs w:val="22"/>
        </w:rPr>
        <w:t>III.</w:t>
      </w:r>
      <w:r w:rsidRPr="00AB4405">
        <w:rPr>
          <w:rFonts w:ascii="Palatino Linotype" w:eastAsia="Palatino Linotype" w:hAnsi="Palatino Linotype" w:cs="Palatino Linotype"/>
          <w:i/>
          <w:sz w:val="22"/>
          <w:szCs w:val="22"/>
        </w:rPr>
        <w:t xml:space="preserve"> Se entregue al Estado mexicano expresamente con ese carácter o el de confidencial por otro u otros sujetos de derecho internacional, excepto cuando se trate de violaciones graves de derechos humanos o delitos de lesa humanidad de conformidad con el derecho internacional;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IV.</w:t>
      </w:r>
      <w:r w:rsidRPr="00AB4405">
        <w:rPr>
          <w:rFonts w:ascii="Palatino Linotype" w:eastAsia="Palatino Linotype" w:hAnsi="Palatino Linotype" w:cs="Palatino Linotype"/>
          <w:i/>
          <w:sz w:val="22"/>
          <w:szCs w:val="22"/>
        </w:rPr>
        <w:t xml:space="preserve"> Pueda afectar la efectividad de las medidas adoptadas en relación con las políticas en materia monetaria, cambiaria o del sistema financiero del país; pueda poner en riesgo la estabilidad de las instituciones financieras susceptibles de ser consideradas de riesgo sistémico o del sistema financiero del país, pueda comprometer la seguridad en la provisión de moneda nacional al país, o pueda incrementar el costo de operaciones financieras que realicen los sujetos obligados del sector público federal;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w:t>
      </w:r>
      <w:r w:rsidRPr="00AB4405">
        <w:rPr>
          <w:rFonts w:ascii="Palatino Linotype" w:eastAsia="Palatino Linotype" w:hAnsi="Palatino Linotype" w:cs="Palatino Linotype"/>
          <w:i/>
          <w:sz w:val="22"/>
          <w:szCs w:val="22"/>
        </w:rPr>
        <w:t xml:space="preserve"> Pueda poner en riesgo la vida, seguridad o salud de una persona física;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w:t>
      </w:r>
      <w:r w:rsidRPr="00AB4405">
        <w:rPr>
          <w:rFonts w:ascii="Palatino Linotype" w:eastAsia="Palatino Linotype" w:hAnsi="Palatino Linotype" w:cs="Palatino Linotype"/>
          <w:i/>
          <w:sz w:val="22"/>
          <w:szCs w:val="22"/>
        </w:rPr>
        <w:t xml:space="preserve">. Obstruya las actividades de verificación, inspección y auditoría relativas al cumplimiento de las leyes o afecte la recaudación de contribuciones;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lastRenderedPageBreak/>
        <w:t>VII.</w:t>
      </w:r>
      <w:r w:rsidRPr="00AB4405">
        <w:rPr>
          <w:rFonts w:ascii="Palatino Linotype" w:eastAsia="Palatino Linotype" w:hAnsi="Palatino Linotype" w:cs="Palatino Linotype"/>
          <w:i/>
          <w:sz w:val="22"/>
          <w:szCs w:val="22"/>
        </w:rPr>
        <w:t xml:space="preserve"> Obstruya la prevención o persecución de los delitos;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VIII.</w:t>
      </w:r>
      <w:r w:rsidRPr="00AB4405">
        <w:rPr>
          <w:rFonts w:ascii="Palatino Linotype" w:eastAsia="Palatino Linotype" w:hAnsi="Palatino Linotype" w:cs="Palatino Linotype"/>
          <w:i/>
          <w:sz w:val="22"/>
          <w:szCs w:val="22"/>
        </w:rPr>
        <w:t xml:space="preserve"> La que contenga las opiniones, recomendaciones o puntos de vista que formen parte del proceso deliberativo de los servidores públicos, hasta en tanto no sea adoptada la decisión definitiva, la cual deberá estar documentada;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IX.</w:t>
      </w:r>
      <w:r w:rsidRPr="00AB4405">
        <w:rPr>
          <w:rFonts w:ascii="Palatino Linotype" w:eastAsia="Palatino Linotype" w:hAnsi="Palatino Linotype" w:cs="Palatino Linotype"/>
          <w:i/>
          <w:sz w:val="22"/>
          <w:szCs w:val="22"/>
        </w:rPr>
        <w:t xml:space="preserve"> Obstruya los procedimientos para fincar responsabilidad a los Servidores Públicos, en tanto no se haya dictado la resolución administrativa;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X.</w:t>
      </w:r>
      <w:r w:rsidRPr="00AB4405">
        <w:rPr>
          <w:rFonts w:ascii="Palatino Linotype" w:eastAsia="Palatino Linotype" w:hAnsi="Palatino Linotype" w:cs="Palatino Linotype"/>
          <w:i/>
          <w:sz w:val="22"/>
          <w:szCs w:val="22"/>
        </w:rPr>
        <w:t xml:space="preserve"> Afecte los derechos del debido proceso;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XI.</w:t>
      </w:r>
      <w:r w:rsidRPr="00AB4405">
        <w:rPr>
          <w:rFonts w:ascii="Palatino Linotype" w:eastAsia="Palatino Linotype" w:hAnsi="Palatino Linotype" w:cs="Palatino Linotype"/>
          <w:i/>
          <w:sz w:val="22"/>
          <w:szCs w:val="22"/>
        </w:rPr>
        <w:t xml:space="preserve"> Vulnere la conducción de los Expedientes judiciales o de los procedimientos administrativos seguidos en forma de juicio, en tanto no hayan causado estado;</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140</w:t>
      </w:r>
      <w:r w:rsidRPr="00AB4405">
        <w:rPr>
          <w:rFonts w:ascii="Palatino Linotype" w:eastAsia="Palatino Linotype" w:hAnsi="Palatino Linotype" w:cs="Palatino Linotype"/>
          <w:i/>
          <w:sz w:val="22"/>
          <w:szCs w:val="22"/>
        </w:rPr>
        <w:t xml:space="preserve">. El acceso a la información pública será restringido excepcionalmente, cuando por razones de interés público, ésta sea clasificada como reservada, conforme a los criterios siguientes: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w:t>
      </w:r>
      <w:r w:rsidRPr="00AB4405">
        <w:rPr>
          <w:rFonts w:ascii="Palatino Linotype" w:eastAsia="Palatino Linotype" w:hAnsi="Palatino Linotype" w:cs="Palatino Linotype"/>
          <w:i/>
          <w:sz w:val="22"/>
          <w:szCs w:val="22"/>
        </w:rPr>
        <w:t xml:space="preserve">. Comprometa la seguridad pública y cuente con un propósito genuino y un efecto demostrable;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w:t>
      </w:r>
      <w:r w:rsidRPr="00AB4405">
        <w:rPr>
          <w:rFonts w:ascii="Palatino Linotype" w:eastAsia="Palatino Linotype" w:hAnsi="Palatino Linotype" w:cs="Palatino Linotype"/>
          <w:i/>
          <w:sz w:val="22"/>
          <w:szCs w:val="22"/>
        </w:rPr>
        <w:t xml:space="preserve"> Pueda menoscabar la conducción de las negociaciones y relaciones internacionales;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III.</w:t>
      </w:r>
      <w:r w:rsidRPr="00AB4405">
        <w:rPr>
          <w:rFonts w:ascii="Palatino Linotype" w:eastAsia="Palatino Linotype" w:hAnsi="Palatino Linotype" w:cs="Palatino Linotype"/>
          <w:i/>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IV.</w:t>
      </w:r>
      <w:r w:rsidRPr="00AB4405">
        <w:rPr>
          <w:rFonts w:ascii="Palatino Linotype" w:eastAsia="Palatino Linotype" w:hAnsi="Palatino Linotype" w:cs="Palatino Linotype"/>
          <w:i/>
          <w:sz w:val="22"/>
          <w:szCs w:val="22"/>
        </w:rPr>
        <w:t xml:space="preserve"> Ponga en riesgo la vida, la seguridad o la salud de una persona física;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w:t>
      </w:r>
      <w:r w:rsidRPr="00AB4405">
        <w:rPr>
          <w:rFonts w:ascii="Palatino Linotype" w:eastAsia="Palatino Linotype" w:hAnsi="Palatino Linotype" w:cs="Palatino Linotype"/>
          <w:i/>
          <w:sz w:val="22"/>
          <w:szCs w:val="22"/>
        </w:rPr>
        <w:t xml:space="preserve">. Aquella cuya divulgación obstruya o pueda causar un serio perjuicio a: </w:t>
      </w:r>
    </w:p>
    <w:p w:rsidR="00C258E0" w:rsidRPr="00AB4405" w:rsidRDefault="00C93C7E">
      <w:pPr>
        <w:spacing w:before="240" w:after="240"/>
        <w:ind w:left="1416"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1. Las actividades de fiscalización, verificación, inspección, comprobación y auditoría sobre el cumplimiento de las Leyes; o </w:t>
      </w:r>
    </w:p>
    <w:p w:rsidR="00C258E0" w:rsidRPr="00AB4405" w:rsidRDefault="00C93C7E">
      <w:pPr>
        <w:spacing w:before="240" w:after="240"/>
        <w:ind w:left="1416"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2. La recaudación de las contribuciones.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w:t>
      </w:r>
      <w:r w:rsidRPr="00AB4405">
        <w:rPr>
          <w:rFonts w:ascii="Palatino Linotype" w:eastAsia="Palatino Linotype" w:hAnsi="Palatino Linotype" w:cs="Palatino Linotype"/>
          <w:i/>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w:t>
      </w:r>
      <w:r w:rsidRPr="00AB4405">
        <w:rPr>
          <w:rFonts w:ascii="Palatino Linotype" w:eastAsia="Palatino Linotype" w:hAnsi="Palatino Linotype" w:cs="Palatino Linotype"/>
          <w:i/>
          <w:sz w:val="22"/>
          <w:szCs w:val="22"/>
        </w:rPr>
        <w:lastRenderedPageBreak/>
        <w:t xml:space="preserve">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VII.</w:t>
      </w:r>
      <w:r w:rsidRPr="00AB4405">
        <w:rPr>
          <w:rFonts w:ascii="Palatino Linotype" w:eastAsia="Palatino Linotype" w:hAnsi="Palatino Linotype" w:cs="Palatino Linotype"/>
          <w:i/>
          <w:sz w:val="22"/>
          <w:szCs w:val="22"/>
        </w:rPr>
        <w:t xml:space="preserve"> La que contengan las opiniones, recomendaciones o puntos de vista que formen parte del proceso deliberativo de los servidores públicos, hasta en tanto sea adoptada la decisión definitiva, la cual deberá estar documentada;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VIII.</w:t>
      </w:r>
      <w:r w:rsidRPr="00AB4405">
        <w:rPr>
          <w:rFonts w:ascii="Palatino Linotype" w:eastAsia="Palatino Linotype" w:hAnsi="Palatino Linotype" w:cs="Palatino Linotype"/>
          <w:i/>
          <w:sz w:val="22"/>
          <w:szCs w:val="22"/>
        </w:rPr>
        <w:t xml:space="preserve"> Vulnere la conducción de los expedientes judiciales o de los procedimientos administrativos seguidos en forma de juicio, en tanto no hayan quedado firmes;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IX</w:t>
      </w:r>
      <w:r w:rsidRPr="00AB4405">
        <w:rPr>
          <w:rFonts w:ascii="Palatino Linotype" w:eastAsia="Palatino Linotype" w:hAnsi="Palatino Linotype" w:cs="Palatino Linotype"/>
          <w:i/>
          <w:sz w:val="22"/>
          <w:szCs w:val="22"/>
        </w:rPr>
        <w:t xml:space="preserve">. Se encuentre contenida dentro de las investigaciones de hechos que la Ley señale como delitos y se tramiten ante el Ministerio Público;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X.</w:t>
      </w:r>
      <w:r w:rsidRPr="00AB4405">
        <w:rPr>
          <w:rFonts w:ascii="Palatino Linotype" w:eastAsia="Palatino Linotype" w:hAnsi="Palatino Linotype" w:cs="Palatino Linotype"/>
          <w:i/>
          <w:sz w:val="22"/>
          <w:szCs w:val="22"/>
        </w:rPr>
        <w:t xml:space="preserve">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rsidR="00C258E0" w:rsidRPr="00AB4405" w:rsidRDefault="00C93C7E">
      <w:pPr>
        <w:spacing w:before="240" w:after="240"/>
        <w:ind w:left="851"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XI.</w:t>
      </w:r>
      <w:r w:rsidRPr="00AB4405">
        <w:rPr>
          <w:rFonts w:ascii="Palatino Linotype" w:eastAsia="Palatino Linotype" w:hAnsi="Palatino Linotype" w:cs="Palatino Linotype"/>
          <w:i/>
          <w:sz w:val="22"/>
          <w:szCs w:val="22"/>
        </w:rPr>
        <w:t xml:space="preserve"> Las que por disposición expresa de una ley tengan tal carácter, siempre que sean acordes con las bases, principios y disposiciones establecidos en esta Ley y no la contravengan; así como las previstas en tratados internacionales.</w:t>
      </w:r>
    </w:p>
    <w:p w:rsidR="00C258E0" w:rsidRPr="00AB4405" w:rsidRDefault="00C93C7E">
      <w:pPr>
        <w:spacing w:before="240" w:after="240"/>
        <w:ind w:left="794" w:right="851"/>
        <w:jc w:val="center"/>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t>CAPÍTULO V</w:t>
      </w:r>
    </w:p>
    <w:p w:rsidR="00C258E0" w:rsidRPr="00AB4405" w:rsidRDefault="00C93C7E">
      <w:pPr>
        <w:spacing w:before="240" w:after="240"/>
        <w:ind w:left="794" w:right="851"/>
        <w:jc w:val="center"/>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t>DE LA INFORMACIÓN RESERVADA</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Décimo octavo.</w:t>
      </w:r>
      <w:r w:rsidRPr="00AB4405">
        <w:rPr>
          <w:rFonts w:ascii="Palatino Linotype" w:eastAsia="Palatino Linotype" w:hAnsi="Palatino Linotype" w:cs="Palatino Linotype"/>
          <w:i/>
          <w:sz w:val="22"/>
          <w:szCs w:val="22"/>
        </w:rPr>
        <w:t xml:space="preserve"> De conformidad con el artículo 113, fracción I de la Ley General, podrá considerarse como información reservada, aquella que comprometa la seguridad pública, al poner en peligro las funciones a cargo de la Federación, la Ciudad de México, los Estados y los Municipios, tendientes a preservar y resguardar la vida, la salud, la integridad y el ejercicio de los derechos de las personas, así como para el mantenimiento del orden público.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lastRenderedPageBreak/>
        <w:t xml:space="preserve">Se pone en peligro el orden público cuando la difusión de la información pueda entorpecer los sistemas de coordinación interinstitucional en materia de seguridad pública, menoscabar o dificultar las estrategias contra la evasión de reos; o menoscabar o limitar la capacidad de las autoridades encaminadas a disuadir o prevenir disturbios sociales.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Asimismo, podrá considerarse como reservada aquella que revele datos que pudieran ser aprovechados para conocer la capacidad de reacción de las instituciones encargadas de la seguridad pública, sus planes, estrategias, tecnología, información, sistemas de comunicaciones.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 xml:space="preserve">Vigésimo tercero. </w:t>
      </w:r>
      <w:r w:rsidRPr="00AB4405">
        <w:rPr>
          <w:rFonts w:ascii="Palatino Linotype" w:eastAsia="Palatino Linotype" w:hAnsi="Palatino Linotype" w:cs="Palatino Linotype"/>
          <w:i/>
          <w:sz w:val="22"/>
          <w:szCs w:val="22"/>
        </w:rPr>
        <w:t>Para clasificar la información como reservada, de conformidad con el artículo 113, fracción V de la Ley General, será necesario acreditar un vínculo, entre la persona física y la información que pueda poner en riesgo su vida, seguridad o salud.</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Vigésimo sexto.</w:t>
      </w:r>
      <w:r w:rsidRPr="00AB4405">
        <w:rPr>
          <w:rFonts w:ascii="Palatino Linotype" w:eastAsia="Palatino Linotype" w:hAnsi="Palatino Linotype" w:cs="Palatino Linotype"/>
          <w:i/>
          <w:sz w:val="22"/>
          <w:szCs w:val="22"/>
        </w:rPr>
        <w:t xml:space="preserve"> De conformidad con el artículo 113, fracción VII de la Ley General, podrá considerarse como información reservada, aquella que obstruya la prevención de delitos al obstaculizar las acciones implementadas por las autoridades para evitar su comisión, o menoscabar o limitar la capacidad de las autoridades para evitar la comisión de delitos.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Para que se verifique el supuesto de reserva, cuando se cause un perjuicio a las actividades de persecución de los delitos, deben de actualizarse los siguientes elementos: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w:t>
      </w:r>
      <w:r w:rsidRPr="00AB4405">
        <w:rPr>
          <w:rFonts w:ascii="Palatino Linotype" w:eastAsia="Palatino Linotype" w:hAnsi="Palatino Linotype" w:cs="Palatino Linotype"/>
          <w:i/>
          <w:sz w:val="22"/>
          <w:szCs w:val="22"/>
        </w:rPr>
        <w:t xml:space="preserve"> La existencia de un proceso penal en sustanciación o una carpeta de investigación en trámite;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w:t>
      </w:r>
      <w:r w:rsidRPr="00AB4405">
        <w:rPr>
          <w:rFonts w:ascii="Palatino Linotype" w:eastAsia="Palatino Linotype" w:hAnsi="Palatino Linotype" w:cs="Palatino Linotype"/>
          <w:i/>
          <w:sz w:val="22"/>
          <w:szCs w:val="22"/>
        </w:rPr>
        <w:t xml:space="preserve"> Que se acredite el vínculo que existe entre la información solicitada y la carpeta de investigación, o el proceso penal, según sea el caso, y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III</w:t>
      </w:r>
      <w:r w:rsidRPr="00AB4405">
        <w:rPr>
          <w:rFonts w:ascii="Palatino Linotype" w:eastAsia="Palatino Linotype" w:hAnsi="Palatino Linotype" w:cs="Palatino Linotype"/>
          <w:i/>
          <w:sz w:val="22"/>
          <w:szCs w:val="22"/>
        </w:rPr>
        <w:t xml:space="preserve">. Que la difusión de la información pueda impedir u obstruir las funciones que ejerce el Ministerio Público o su equivalente durante la etapa de investigación o ante los tribunales judiciales con motivo del ejercicio de la acción penal.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w:t>
      </w:r>
      <w:r w:rsidRPr="00AB4405">
        <w:rPr>
          <w:rFonts w:ascii="Palatino Linotype" w:eastAsia="Palatino Linotype" w:hAnsi="Palatino Linotype" w:cs="Palatino Linotype"/>
          <w:i/>
          <w:sz w:val="22"/>
          <w:szCs w:val="22"/>
        </w:rPr>
        <w:t>…)</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lastRenderedPageBreak/>
        <w:t>Vigésimo octavo.</w:t>
      </w:r>
      <w:r w:rsidRPr="00AB4405">
        <w:rPr>
          <w:rFonts w:ascii="Palatino Linotype" w:eastAsia="Palatino Linotype" w:hAnsi="Palatino Linotype" w:cs="Palatino Linotype"/>
          <w:i/>
          <w:sz w:val="22"/>
          <w:szCs w:val="22"/>
        </w:rPr>
        <w:t xml:space="preserve"> De conformidad con el artículo 113, fracción IX de la Ley General, podrá considerarse como información reservada, aquella que obstruya los procedimientos para fincar responsabilidad a los servidores públicos, en tanto no se haya dictado la resolución administrativa correspondiente; para lo cual, se deberán acreditar los siguientes supuestos: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w:t>
      </w:r>
      <w:r w:rsidRPr="00AB4405">
        <w:rPr>
          <w:rFonts w:ascii="Palatino Linotype" w:eastAsia="Palatino Linotype" w:hAnsi="Palatino Linotype" w:cs="Palatino Linotype"/>
          <w:i/>
          <w:sz w:val="22"/>
          <w:szCs w:val="22"/>
        </w:rPr>
        <w:t xml:space="preserve"> La existencia de un procedimiento de responsabilidad administrativa en trámite, y </w:t>
      </w:r>
      <w:r w:rsidRPr="00AB4405">
        <w:rPr>
          <w:rFonts w:ascii="Palatino Linotype" w:eastAsia="Palatino Linotype" w:hAnsi="Palatino Linotype" w:cs="Palatino Linotype"/>
          <w:b/>
          <w:i/>
          <w:sz w:val="22"/>
          <w:szCs w:val="22"/>
        </w:rPr>
        <w:t>II.</w:t>
      </w:r>
      <w:r w:rsidRPr="00AB4405">
        <w:rPr>
          <w:rFonts w:ascii="Palatino Linotype" w:eastAsia="Palatino Linotype" w:hAnsi="Palatino Linotype" w:cs="Palatino Linotype"/>
          <w:i/>
          <w:sz w:val="22"/>
          <w:szCs w:val="22"/>
        </w:rPr>
        <w:t xml:space="preserve"> Que la información se refiera a actuaciones, diligencias y constancias propias del procedimiento de responsabilidad.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Vigésimo noveno.</w:t>
      </w:r>
      <w:r w:rsidRPr="00AB4405">
        <w:rPr>
          <w:rFonts w:ascii="Palatino Linotype" w:eastAsia="Palatino Linotype" w:hAnsi="Palatino Linotype" w:cs="Palatino Linotype"/>
          <w:i/>
          <w:sz w:val="22"/>
          <w:szCs w:val="22"/>
        </w:rPr>
        <w:t xml:space="preserve"> De conformidad con el artículo 113, fracción X de la Ley General, podrá considerarse como información reservada, aquella que de divulgarse afecte el debido proceso al actualizarse los siguientes elementos: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w:t>
      </w:r>
      <w:r w:rsidRPr="00AB4405">
        <w:rPr>
          <w:rFonts w:ascii="Palatino Linotype" w:eastAsia="Palatino Linotype" w:hAnsi="Palatino Linotype" w:cs="Palatino Linotype"/>
          <w:i/>
          <w:sz w:val="22"/>
          <w:szCs w:val="22"/>
        </w:rPr>
        <w:t xml:space="preserve"> La existencia de un procedimiento judicial, administrativo o arbitral en trámite;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w:t>
      </w:r>
      <w:r w:rsidRPr="00AB4405">
        <w:rPr>
          <w:rFonts w:ascii="Palatino Linotype" w:eastAsia="Palatino Linotype" w:hAnsi="Palatino Linotype" w:cs="Palatino Linotype"/>
          <w:i/>
          <w:sz w:val="22"/>
          <w:szCs w:val="22"/>
        </w:rPr>
        <w:t xml:space="preserve"> Que el sujeto obligado sea parte en ese procedimiento;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III.</w:t>
      </w:r>
      <w:r w:rsidRPr="00AB4405">
        <w:rPr>
          <w:rFonts w:ascii="Palatino Linotype" w:eastAsia="Palatino Linotype" w:hAnsi="Palatino Linotype" w:cs="Palatino Linotype"/>
          <w:i/>
          <w:sz w:val="22"/>
          <w:szCs w:val="22"/>
        </w:rPr>
        <w:t xml:space="preserve"> Que la información no sea conocida por la contraparte antes de la presentación de la misma en el proceso, y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IV.</w:t>
      </w:r>
      <w:r w:rsidRPr="00AB4405">
        <w:rPr>
          <w:rFonts w:ascii="Palatino Linotype" w:eastAsia="Palatino Linotype" w:hAnsi="Palatino Linotype" w:cs="Palatino Linotype"/>
          <w:i/>
          <w:sz w:val="22"/>
          <w:szCs w:val="22"/>
        </w:rPr>
        <w:t xml:space="preserve"> Que con su divulgación se afecte la oportunidad de llevar a cabo alguna de las garantías del debido proceso.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Trigésimo.</w:t>
      </w:r>
      <w:r w:rsidRPr="00AB4405">
        <w:rPr>
          <w:rFonts w:ascii="Palatino Linotype" w:eastAsia="Palatino Linotype" w:hAnsi="Palatino Linotype" w:cs="Palatino Linotype"/>
          <w:i/>
          <w:sz w:val="22"/>
          <w:szCs w:val="22"/>
        </w:rPr>
        <w:t xml:space="preserve"> De conformidad con el artículo 113, fracción XI de la Ley General, podrá considerarse como información reservada, aquella que vulnere la conducción de los expedientes judiciales o de los procedimientos administrativos seguidos en forma de juicio, siempre y cuando se acrediten los siguientes elementos: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w:t>
      </w:r>
      <w:r w:rsidRPr="00AB4405">
        <w:rPr>
          <w:rFonts w:ascii="Palatino Linotype" w:eastAsia="Palatino Linotype" w:hAnsi="Palatino Linotype" w:cs="Palatino Linotype"/>
          <w:i/>
          <w:sz w:val="22"/>
          <w:szCs w:val="22"/>
        </w:rPr>
        <w:t xml:space="preserve"> La existencia de un juicio o procedimiento administrativo materialmente jurisdiccional, que se encuentre en trámite, y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w:t>
      </w:r>
      <w:r w:rsidRPr="00AB4405">
        <w:rPr>
          <w:rFonts w:ascii="Palatino Linotype" w:eastAsia="Palatino Linotype" w:hAnsi="Palatino Linotype" w:cs="Palatino Linotype"/>
          <w:i/>
          <w:sz w:val="22"/>
          <w:szCs w:val="22"/>
        </w:rPr>
        <w:t xml:space="preserve"> Que la información solicitada se refiera a actuaciones, diligencias o constancias propias del procedimiento.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Para los efectos del primer párrafo de este numeral, se considera procedimiento seguido en forma de juicio a aquel formalmente administrativo, pero materialmente jurisdiccional; esto es, en el que concurran los siguientes elementos: </w:t>
      </w:r>
    </w:p>
    <w:p w:rsidR="00C258E0" w:rsidRPr="00AB4405" w:rsidRDefault="00C93C7E">
      <w:pPr>
        <w:spacing w:before="240" w:after="240"/>
        <w:ind w:left="794" w:right="851" w:firstLine="62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1. Que se trate de un procedimiento en el que la autoridad dirima una controversia entre partes contendientes, así como los procedimientos en que la </w:t>
      </w:r>
      <w:r w:rsidRPr="00AB4405">
        <w:rPr>
          <w:rFonts w:ascii="Palatino Linotype" w:eastAsia="Palatino Linotype" w:hAnsi="Palatino Linotype" w:cs="Palatino Linotype"/>
          <w:i/>
          <w:sz w:val="22"/>
          <w:szCs w:val="22"/>
        </w:rPr>
        <w:lastRenderedPageBreak/>
        <w:t xml:space="preserve">autoridad, frente al particular, prepare su resolución definitiva, aunque sólo sea un trámite para cumplir con la garantía de audiencia, y </w:t>
      </w:r>
    </w:p>
    <w:p w:rsidR="00C258E0" w:rsidRPr="00AB4405" w:rsidRDefault="00C93C7E">
      <w:pPr>
        <w:spacing w:before="240" w:after="240"/>
        <w:ind w:left="794" w:right="851" w:firstLine="62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2. Que se cumplan las formalidades esenciales del procedimiento.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No serán objeto de reserva las resoluciones interlocutorias o definitivas que se dicten dentro de los procedimientos o con las que se concluya el mismo. En estos casos deberá otorgarse acceso a la resolución en versión pública, testando la información clasificada. </w:t>
      </w:r>
    </w:p>
    <w:p w:rsidR="00C258E0" w:rsidRPr="00AB4405" w:rsidRDefault="00C93C7E">
      <w:pPr>
        <w:spacing w:before="240" w:after="240"/>
        <w:ind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ab/>
        <w:t xml:space="preserve">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Trigésimo tercero.</w:t>
      </w:r>
      <w:r w:rsidRPr="00AB4405">
        <w:rPr>
          <w:rFonts w:ascii="Palatino Linotype" w:eastAsia="Palatino Linotype" w:hAnsi="Palatino Linotype" w:cs="Palatino Linotype"/>
          <w:i/>
          <w:sz w:val="22"/>
          <w:szCs w:val="22"/>
        </w:rPr>
        <w:t xml:space="preserve"> Para la aplicación de la prueba de daño a la que hace referencia el artículo 104 de la Ley General, los sujetos obligados atenderán lo siguiente: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w:t>
      </w:r>
      <w:r w:rsidRPr="00AB4405">
        <w:rPr>
          <w:rFonts w:ascii="Palatino Linotype" w:eastAsia="Palatino Linotype" w:hAnsi="Palatino Linotype" w:cs="Palatino Linotype"/>
          <w:i/>
          <w:sz w:val="22"/>
          <w:szCs w:val="22"/>
        </w:rPr>
        <w:t xml:space="preserve"> Se deberá citar la fracción y, en su caso, la causal aplicable del artículo 113 de la Ley General, vinculándola con el Lineamiento específico del presente ordenamiento y, cuando corresponda, el supuesto normativo que expresamente le otorga el carácter de información reservada;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w:t>
      </w:r>
      <w:r w:rsidRPr="00AB4405">
        <w:rPr>
          <w:rFonts w:ascii="Palatino Linotype" w:eastAsia="Palatino Linotype" w:hAnsi="Palatino Linotype" w:cs="Palatino Linotype"/>
          <w:i/>
          <w:sz w:val="22"/>
          <w:szCs w:val="22"/>
        </w:rPr>
        <w:t xml:space="preserve"> Mediante la ponderación de los intereses en conflicto, los sujetos obligados deberán demostrar que la publicidad de la información solicitada generaría un riesgo de perjuicio y por lo tanto, tendrán que acreditar que este último rebasa el interés público protegido por la reserva;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III.</w:t>
      </w:r>
      <w:r w:rsidRPr="00AB4405">
        <w:rPr>
          <w:rFonts w:ascii="Palatino Linotype" w:eastAsia="Palatino Linotype" w:hAnsi="Palatino Linotype" w:cs="Palatino Linotype"/>
          <w:i/>
          <w:sz w:val="22"/>
          <w:szCs w:val="22"/>
        </w:rPr>
        <w:t xml:space="preserve"> Se debe de acreditar el vínculo entre la difusión de la información y la afectación del interés jurídico tutelado de que se trate;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IV.</w:t>
      </w:r>
      <w:r w:rsidRPr="00AB4405">
        <w:rPr>
          <w:rFonts w:ascii="Palatino Linotype" w:eastAsia="Palatino Linotype" w:hAnsi="Palatino Linotype" w:cs="Palatino Linotype"/>
          <w:i/>
          <w:sz w:val="22"/>
          <w:szCs w:val="22"/>
        </w:rPr>
        <w:t xml:space="preserve"> Precisar las razones objetivas por las que la apertura de la información generaría una afectación, a través de los elementos de un riesgo real, demostrable e identificable;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w:t>
      </w:r>
      <w:r w:rsidRPr="00AB4405">
        <w:rPr>
          <w:rFonts w:ascii="Palatino Linotype" w:eastAsia="Palatino Linotype" w:hAnsi="Palatino Linotype" w:cs="Palatino Linotype"/>
          <w:i/>
          <w:sz w:val="22"/>
          <w:szCs w:val="22"/>
        </w:rPr>
        <w:t xml:space="preserve"> En la motivación de la clasificación, el sujeto obligado deberá acreditar las circunstancias de modo, tiempo y lugar del daño, y </w:t>
      </w:r>
    </w:p>
    <w:p w:rsidR="00C258E0" w:rsidRPr="00AB4405" w:rsidRDefault="00C93C7E">
      <w:pPr>
        <w:spacing w:before="240" w:after="240"/>
        <w:ind w:left="794" w:right="85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w:t>
      </w:r>
      <w:r w:rsidRPr="00AB4405">
        <w:rPr>
          <w:rFonts w:ascii="Palatino Linotype" w:eastAsia="Palatino Linotype" w:hAnsi="Palatino Linotype" w:cs="Palatino Linotype"/>
          <w:i/>
          <w:sz w:val="22"/>
          <w:szCs w:val="22"/>
        </w:rPr>
        <w:t xml:space="preserve"> Deberán elegir la opción de excepción al acceso a la información que menos lo restrinja, la cual será adecuada y proporcional para la protección del interés público, y deberá interferir lo menos posible en el ejercicio efectivo del derecho de acceso a la información.”</w:t>
      </w:r>
    </w:p>
    <w:p w:rsidR="00C258E0" w:rsidRPr="00AB4405" w:rsidRDefault="00C93C7E">
      <w:pPr>
        <w:spacing w:after="160" w:line="360" w:lineRule="auto"/>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rPr>
        <w:lastRenderedPageBreak/>
        <w:t xml:space="preserve">Es así que, si bien es cierto el derecho de acceso a la información pública se satisface en aquellos casos en que se entregue el soporte documental en que conste la información requerida, también lo es que el derecho de acceso a la información pública puede ser restringido cuando se trate de información clasificada como </w:t>
      </w:r>
      <w:r w:rsidRPr="00AB4405">
        <w:rPr>
          <w:rFonts w:ascii="Palatino Linotype" w:eastAsia="Palatino Linotype" w:hAnsi="Palatino Linotype" w:cs="Palatino Linotype"/>
          <w:b/>
        </w:rPr>
        <w:t>RESERVADA</w:t>
      </w:r>
      <w:r w:rsidRPr="00AB4405">
        <w:rPr>
          <w:rFonts w:ascii="Palatino Linotype" w:eastAsia="Palatino Linotype" w:hAnsi="Palatino Linotype" w:cs="Palatino Linotype"/>
        </w:rPr>
        <w:t>, delimitando una serie de hipótesis de hecho en las cuales descansa la posibilidad de reserva de información, por lo que dentro la información que generen, posean o administren los Sujetos Obligados, se considerará reservada cuando su divulgación Comprometa la seguridad pública y cuente con un propósito genuino y un efecto demostrable,  La que contengan las opiniones, recomendaciones o puntos de vista que formen parte del proceso deliberativo de los servidores públicos, hasta en tanto sea adoptada la decisión definitiva, la cual deberá estar documentada y el daño que pueda producirse con la publicación de la información sea mayor que el interés público de conocer la información de referencia, siempre que esté directamente relacionado con procesos o procedimientos administrativos o judiciales que no hayan quedado firmes.</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Cabe recordar que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determinó que la información requerida encuadra en los supuestos del artículo 140, fracción I, VII y X de la Ley de Transparencia y Acceso a la Información Pública del Estado de México y Municipios. </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En relación a lo anterior, cabe considerar que la </w:t>
      </w:r>
      <w:r w:rsidRPr="00AB4405">
        <w:rPr>
          <w:rFonts w:ascii="Palatino Linotype" w:eastAsia="Palatino Linotype" w:hAnsi="Palatino Linotype" w:cs="Palatino Linotype"/>
          <w:i/>
        </w:rPr>
        <w:t>clasificación</w:t>
      </w:r>
      <w:r w:rsidRPr="00AB4405">
        <w:rPr>
          <w:rFonts w:ascii="Palatino Linotype" w:eastAsia="Palatino Linotype" w:hAnsi="Palatino Linotype" w:cs="Palatino Linotype"/>
        </w:rPr>
        <w:t xml:space="preserve"> es el proceso mediante el cual los sujetos obligados determinan si respecto de la información que obra en su poder se actualiza alguno de los supuestos de reserva, y para ello, los titulares de las </w:t>
      </w:r>
      <w:r w:rsidRPr="00AB4405">
        <w:rPr>
          <w:rFonts w:ascii="Palatino Linotype" w:eastAsia="Palatino Linotype" w:hAnsi="Palatino Linotype" w:cs="Palatino Linotype"/>
        </w:rPr>
        <w:lastRenderedPageBreak/>
        <w:t>áreas son los responsables de clasificar la información mediante el Comité de Transparencia por ser la autoridad máxima al interior de los sujetos obligados, siendo este un Cuerpo Colegiado que se integra para resolver sobre la información que debe clasificarse, así como para atender y resolver los requerimientos de las Unidades de Transparencia y del Instituto.</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Asimismo, la Ley de la Materia establece que la clasificación de la información como reservada permanecerá con tal carácter hasta por un periodo de cinco años contados a partir de su clasificación, salvo que antes de su cumplimiento dejaran de existir los motivos de su reserva, pero excepcionalmente y con aprobación del Comité de Transparencia los sujetos obligados podrán ampliar el periodo de reserva hasta por un periodo de cinco años adicionales y por una sola vez, siempre y cuando justifiquen que subsistente las causas que dieron origen a su clasificación, mediante la aplicación de una prueba de daño, lo que implica que cada área debe elaborar un índice de los expedientes clasificados como reservados, el cual deberá elaborarse semestralmente y publicarse en formatos abiertos al día siguiente de su elaboración, en virtud de que tienen el carácter de información pública.</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Ahora bien, para motivar la clasificación de la información o en su caso, la ampliación del plazo de reserva, se deberán señalar las razones, motivos o circunstancias especiales que llevaron al </w:t>
      </w:r>
      <w:r w:rsidRPr="00AB4405">
        <w:rPr>
          <w:rFonts w:ascii="Palatino Linotype" w:eastAsia="Palatino Linotype" w:hAnsi="Palatino Linotype" w:cs="Palatino Linotype"/>
          <w:b/>
        </w:rPr>
        <w:t xml:space="preserve">SUJETO OBLIGADO </w:t>
      </w:r>
      <w:r w:rsidRPr="00AB4405">
        <w:rPr>
          <w:rFonts w:ascii="Palatino Linotype" w:eastAsia="Palatino Linotype" w:hAnsi="Palatino Linotype" w:cs="Palatino Linotype"/>
        </w:rPr>
        <w:t xml:space="preserve">a concluir que el caso particular se ajusta a los supuestos previstos en el artículo 140 de la Ley de </w:t>
      </w:r>
      <w:r w:rsidRPr="00AB4405">
        <w:rPr>
          <w:rFonts w:ascii="Palatino Linotype" w:eastAsia="Palatino Linotype" w:hAnsi="Palatino Linotype" w:cs="Palatino Linotype"/>
        </w:rPr>
        <w:lastRenderedPageBreak/>
        <w:t>Transparencia en la entidad, debiendo en todo momento aplicar la prueba de daño</w:t>
      </w:r>
      <w:r w:rsidRPr="00AB4405">
        <w:rPr>
          <w:rFonts w:ascii="Palatino Linotype" w:eastAsia="Palatino Linotype" w:hAnsi="Palatino Linotype" w:cs="Palatino Linotype"/>
          <w:vertAlign w:val="superscript"/>
        </w:rPr>
        <w:footnoteReference w:id="1"/>
      </w:r>
      <w:r w:rsidRPr="00AB4405">
        <w:rPr>
          <w:rFonts w:ascii="Palatino Linotype" w:eastAsia="Palatino Linotype" w:hAnsi="Palatino Linotype" w:cs="Palatino Linotype"/>
        </w:rPr>
        <w:t xml:space="preserve"> y hacer mención del plazo al que estará sujeto la reserva.</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La clasificación de la información se llevará a cabo en el momento que se reciba una solicitud de información, cuando se determine mediante resolución de autoridad competente o bien, en la generación de versiones públicas para dar cumplimiento a las obligaciones de transparencia previstas en la Ley. Cuando en un mismo medio, impreso o electrónico se contenga información pública y reservada o confidencial, la Unidad de Transparencia para efectos de atender la solicitud de información, deberá elaborar una versión pública en la que se testen las partes o secciones clasificadas, indicando su contenido de manera genérica y fundando y motivando su clasificación.</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Los sujetos obligados no podrán emitir acuerdos de carácter general ni particular que clasifiquen documentos o información como reservada. La clasificación podrá establecerse de manera parcial o total de acuerdo al contenido de la información del documento y deberá estar acorde con la actualización de los supuestos definidos en la ley de la materia como información clasificada, en ningún caso se podrán clasificar documentos antes de que se genere la información.</w:t>
      </w:r>
    </w:p>
    <w:p w:rsidR="00C258E0" w:rsidRPr="00AB4405" w:rsidRDefault="00C93C7E">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lastRenderedPageBreak/>
        <w:t>En los casos en que la información solicitada por los particulares actualice algún supuesto de información reservada, les corresponde a los sujetos obligados la carga de la prueba para justificar la negativa de acceso a la información.</w:t>
      </w: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Finalmente,</w:t>
      </w:r>
      <w:r w:rsidRPr="00AB4405">
        <w:rPr>
          <w:rFonts w:ascii="Palatino Linotype" w:eastAsia="Palatino Linotype" w:hAnsi="Palatino Linotype" w:cs="Palatino Linotype"/>
          <w:b/>
        </w:rPr>
        <w:t xml:space="preserve"> </w:t>
      </w:r>
      <w:r w:rsidRPr="00AB4405">
        <w:rPr>
          <w:rFonts w:ascii="Palatino Linotype" w:eastAsia="Palatino Linotype" w:hAnsi="Palatino Linotype" w:cs="Palatino Linotype"/>
        </w:rPr>
        <w:t xml:space="preserve">respecto al plazo de reserva, el artículo 125 de la Ley de la materia, establece que la información clasificada como reservada según el artículo 140 de la Ley Federal de Transparencia y Acceso a la Información Pública, podrá permanecer con tal carácter hasta por un periodo de cinco años. Asimismo señala que los documentos reservados serán desclasificados cuando se extingan las causas que dieron origen a su clasificación, expire el plazo establecido, exista resolución de una autoridad competente que determine que existe una causa de interés público que prevalece sobre la reserva de la información, o bien el Comité de Transparencia considere pertinente la desclasificación o se trate de información que esté relacionada con violaciones graves a derechos humanos o delitos de lesa humanidad. </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after="16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Para mejor proveer del presente estudio, resulta necesario, analizar dichos Acuerdos de Reserva de la información entregados por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en su respuestas e informes justificados, a fin de establecer si el Comité de Transparencia cumplió cabalmente con las formalidades exigidas por con el artículo 113 de la Ley General de Transparencia y Acceso a la Información Pública, numeral trigésimo fracción I de los Lineamientos Generales en Materia de Clasificación y Desclasificación de la Información, así como para la Elaboración de Versiones Públicas, así como los artículos 91, 128, 129, 140, fracción VIII y 141, de la Ley de </w:t>
      </w:r>
      <w:r w:rsidRPr="00AB4405">
        <w:rPr>
          <w:rFonts w:ascii="Palatino Linotype" w:eastAsia="Palatino Linotype" w:hAnsi="Palatino Linotype" w:cs="Palatino Linotype"/>
        </w:rPr>
        <w:lastRenderedPageBreak/>
        <w:t xml:space="preserve">Transparencia y Acceso a la Información Pública del Estado de México y Municipios, conforme a lo siguiente: </w:t>
      </w:r>
    </w:p>
    <w:tbl>
      <w:tblPr>
        <w:tblStyle w:val="a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7"/>
        <w:gridCol w:w="6258"/>
        <w:gridCol w:w="1203"/>
      </w:tblGrid>
      <w:tr w:rsidR="00C258E0" w:rsidRPr="00AB4405">
        <w:tc>
          <w:tcPr>
            <w:tcW w:w="1367" w:type="dxa"/>
            <w:shd w:val="clear" w:color="auto" w:fill="7B7B7B"/>
          </w:tcPr>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rFonts w:ascii="Palatino Linotype" w:eastAsia="Palatino Linotype" w:hAnsi="Palatino Linotype" w:cs="Palatino Linotype"/>
                <w:b/>
                <w:color w:val="FFFFFF"/>
                <w:sz w:val="18"/>
                <w:szCs w:val="18"/>
              </w:rPr>
              <w:t>Elementos del acuerdo de clasificación</w:t>
            </w:r>
          </w:p>
        </w:tc>
        <w:tc>
          <w:tcPr>
            <w:tcW w:w="6258" w:type="dxa"/>
            <w:shd w:val="clear" w:color="auto" w:fill="7B7B7B"/>
          </w:tcPr>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rFonts w:ascii="Palatino Linotype" w:eastAsia="Palatino Linotype" w:hAnsi="Palatino Linotype" w:cs="Palatino Linotype"/>
                <w:b/>
                <w:color w:val="FFFFFF"/>
                <w:sz w:val="22"/>
                <w:szCs w:val="22"/>
              </w:rPr>
              <w:t>Contenido</w:t>
            </w:r>
          </w:p>
        </w:tc>
        <w:tc>
          <w:tcPr>
            <w:tcW w:w="1203" w:type="dxa"/>
            <w:shd w:val="clear" w:color="auto" w:fill="7B7B7B"/>
          </w:tcPr>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rFonts w:ascii="Palatino Linotype" w:eastAsia="Palatino Linotype" w:hAnsi="Palatino Linotype" w:cs="Palatino Linotype"/>
                <w:b/>
                <w:color w:val="FFFFFF"/>
                <w:sz w:val="22"/>
                <w:szCs w:val="22"/>
              </w:rPr>
              <w:t>Cumple</w:t>
            </w:r>
          </w:p>
        </w:tc>
      </w:tr>
      <w:tr w:rsidR="00C258E0" w:rsidRPr="00AB4405">
        <w:tc>
          <w:tcPr>
            <w:tcW w:w="1367" w:type="dxa"/>
          </w:tcPr>
          <w:p w:rsidR="00C258E0" w:rsidRPr="00AB4405" w:rsidRDefault="00C93C7E">
            <w:pPr>
              <w:spacing w:before="100" w:after="200" w:line="276" w:lineRule="auto"/>
              <w:jc w:val="center"/>
              <w:rPr>
                <w:rFonts w:ascii="Palatino Linotype" w:eastAsia="Palatino Linotype" w:hAnsi="Palatino Linotype" w:cs="Palatino Linotype"/>
                <w:sz w:val="18"/>
                <w:szCs w:val="18"/>
              </w:rPr>
            </w:pPr>
            <w:r w:rsidRPr="00AB4405">
              <w:rPr>
                <w:rFonts w:ascii="Palatino Linotype" w:eastAsia="Palatino Linotype" w:hAnsi="Palatino Linotype" w:cs="Palatino Linotype"/>
                <w:b/>
                <w:sz w:val="18"/>
                <w:szCs w:val="18"/>
              </w:rPr>
              <w:t>Número de folio de la solicitud</w:t>
            </w:r>
          </w:p>
        </w:tc>
        <w:tc>
          <w:tcPr>
            <w:tcW w:w="6258" w:type="dxa"/>
          </w:tcPr>
          <w:p w:rsidR="00C258E0" w:rsidRPr="00AB4405" w:rsidRDefault="00C93C7E">
            <w:pPr>
              <w:spacing w:before="100" w:after="200" w:line="276" w:lineRule="auto"/>
              <w:rPr>
                <w:rFonts w:ascii="Calibri" w:eastAsia="Calibri" w:hAnsi="Calibri" w:cs="Calibri"/>
                <w:sz w:val="20"/>
                <w:szCs w:val="20"/>
              </w:rPr>
            </w:pPr>
            <w:r w:rsidRPr="00AB4405">
              <w:rPr>
                <w:rFonts w:ascii="Calibri" w:eastAsia="Calibri" w:hAnsi="Calibri" w:cs="Calibri"/>
                <w:sz w:val="20"/>
                <w:szCs w:val="20"/>
              </w:rPr>
              <w:t xml:space="preserve">       </w:t>
            </w:r>
            <w:r w:rsidRPr="00AB4405">
              <w:rPr>
                <w:noProof/>
                <w:lang w:val="es-MX" w:eastAsia="es-MX"/>
              </w:rPr>
              <w:drawing>
                <wp:inline distT="0" distB="0" distL="0" distR="0">
                  <wp:extent cx="3771954" cy="741808"/>
                  <wp:effectExtent l="0" t="0" r="0" b="0"/>
                  <wp:docPr id="7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8"/>
                          <a:srcRect l="41095" t="52959" r="24517" b="37615"/>
                          <a:stretch>
                            <a:fillRect/>
                          </a:stretch>
                        </pic:blipFill>
                        <pic:spPr>
                          <a:xfrm>
                            <a:off x="0" y="0"/>
                            <a:ext cx="3771954" cy="741808"/>
                          </a:xfrm>
                          <a:prstGeom prst="rect">
                            <a:avLst/>
                          </a:prstGeom>
                          <a:ln/>
                        </pic:spPr>
                      </pic:pic>
                    </a:graphicData>
                  </a:graphic>
                </wp:inline>
              </w:drawing>
            </w:r>
            <w:r w:rsidRPr="00AB4405">
              <w:rPr>
                <w:noProof/>
                <w:lang w:val="es-MX" w:eastAsia="es-MX"/>
              </w:rPr>
              <mc:AlternateContent>
                <mc:Choice Requires="wps">
                  <w:drawing>
                    <wp:anchor distT="0" distB="0" distL="114300" distR="114300" simplePos="0" relativeHeight="251658240" behindDoc="0" locked="0" layoutInCell="1" hidden="0" allowOverlap="1">
                      <wp:simplePos x="0" y="0"/>
                      <wp:positionH relativeFrom="column">
                        <wp:posOffset>1422400</wp:posOffset>
                      </wp:positionH>
                      <wp:positionV relativeFrom="paragraph">
                        <wp:posOffset>749300</wp:posOffset>
                      </wp:positionV>
                      <wp:extent cx="893013" cy="221934"/>
                      <wp:effectExtent l="0" t="0" r="0" b="0"/>
                      <wp:wrapNone/>
                      <wp:docPr id="63" name="Rectángulo 63"/>
                      <wp:cNvGraphicFramePr/>
                      <a:graphic xmlns:a="http://schemas.openxmlformats.org/drawingml/2006/main">
                        <a:graphicData uri="http://schemas.microsoft.com/office/word/2010/wordprocessingShape">
                          <wps:wsp>
                            <wps:cNvSpPr/>
                            <wps:spPr>
                              <a:xfrm>
                                <a:off x="4928069" y="3697608"/>
                                <a:ext cx="835863" cy="164784"/>
                              </a:xfrm>
                              <a:prstGeom prst="rect">
                                <a:avLst/>
                              </a:prstGeom>
                              <a:noFill/>
                              <a:ln w="28575" cap="flat" cmpd="sng">
                                <a:solidFill>
                                  <a:srgbClr val="002060"/>
                                </a:solidFill>
                                <a:prstDash val="solid"/>
                                <a:miter lim="800000"/>
                                <a:headEnd type="none" w="sm" len="sm"/>
                                <a:tailEnd type="none" w="sm" len="sm"/>
                              </a:ln>
                            </wps:spPr>
                            <wps:txbx>
                              <w:txbxContent>
                                <w:p w:rsidR="00C258E0" w:rsidRDefault="00C258E0">
                                  <w:pPr>
                                    <w:textDirection w:val="btLr"/>
                                  </w:pPr>
                                </w:p>
                              </w:txbxContent>
                            </wps:txbx>
                            <wps:bodyPr spcFirstLastPara="1" wrap="square" lIns="91425" tIns="91425" rIns="91425" bIns="91425" anchor="ctr" anchorCtr="0">
                              <a:noAutofit/>
                            </wps:bodyPr>
                          </wps:wsp>
                        </a:graphicData>
                      </a:graphic>
                    </wp:anchor>
                  </w:drawing>
                </mc:Choice>
                <mc:Fallback xmlns:w16se="http://schemas.microsoft.com/office/word/2015/wordml/symex" xmlns:cx="http://schemas.microsoft.com/office/drawing/2014/chartex">
                  <w:pict>
                    <v:rect id="Rectángulo 63" o:spid="_x0000_s1026" style="position:absolute;margin-left:112pt;margin-top:59pt;width:70.3pt;height:1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71OAIAAE4EAAAOAAAAZHJzL2Uyb0RvYy54bWysVNuO0zAQfUfiHyy/06S3bBo1XaEtRUgr&#10;tmLhA6aO01jyDdtt2s/hW/gxxk7ZFnhAQuTBmbEnZ84cz2R5f1KSHLnzwuiajkc5JVwz0wi9r+mX&#10;z5s3JSU+gG5AGs1reuae3q9ev1r2tuIT0xnZcEcQRPuqtzXtQrBVlnnWcQV+ZCzXeNgapyCg6/ZZ&#10;46BHdCWzSZ4XWW9cY51h3HvcXQ+HdJXw25az8NS2ngcia4rcQlpdWndxzVZLqPYObCfYhQb8AwsF&#10;QmPSF6g1BCAHJ/6AUoI5400bRsyozLStYDzVgNWM89+qee7A8lQLiuPti0z+/8Gyj8etI6KpaTGl&#10;RIPCO/qEqn3/pvcHaQjuokS99RVGPtutu3gezVjvqXUqvrEScqrpbDEp82JBybmm02JxV+TlIDE/&#10;BcIwoJzOy5iJYcC4mN2Vs3ieXYGs8+E9N4pEo6YOuSRh4fjowxD6MyTm1WYjpMR9qKQmfU0n5fxu&#10;jviAzdRKCGgqi+V5vU843kjRxG/iJ97tdw/SkSPE9sgneZE6Aun8EhYTrsF3Q1w6GqpSImD3SqGw&#10;sDw+w3bHoXmnGxLOFuXU2Pg0UvOKEslxTNBIjAMI+fc4ZCM1ahQvYZA9WuG0OyFINHemOeMless2&#10;Apk+gg9bcNjGY0yLrY0Jvx7AIQn5QWPvLMazCUoUbh136+xuHdCsMzgxLDhKBuchpAka9H97CKYV&#10;6WquZC50sWnT5V4GLE7FrZ+irr+B1Q8AAAD//wMAUEsDBBQABgAIAAAAIQCDgbhq4AAAAAsBAAAP&#10;AAAAZHJzL2Rvd25yZXYueG1sTI9BT8MwDIXvSPyHyEjcWLp2lKo0nSpgF0BIDA4cs8Y0hcapmmzr&#10;/j3mBDfb7+n5e9V6doM44BR6TwqWiwQEUutNT52C97fNVQEiRE1GD55QwQkDrOvzs0qXxh/pFQ/b&#10;2AkOoVBqBTbGsZQytBadDgs/IrH26SenI69TJ82kjxzuBpkmSS6d7ok/WD3incX2e7t3Cu7dY7Oh&#10;m+zrSX88FPZl7E7P1Ch1eTE3tyAizvHPDL/4jA41M+38nkwQg4I0XXGXyMKy4IEdWb7KQez4cp0l&#10;IOtK/u9Q/wAAAP//AwBQSwECLQAUAAYACAAAACEAtoM4kv4AAADhAQAAEwAAAAAAAAAAAAAAAAAA&#10;AAAAW0NvbnRlbnRfVHlwZXNdLnhtbFBLAQItABQABgAIAAAAIQA4/SH/1gAAAJQBAAALAAAAAAAA&#10;AAAAAAAAAC8BAABfcmVscy8ucmVsc1BLAQItABQABgAIAAAAIQAm2k71OAIAAE4EAAAOAAAAAAAA&#10;AAAAAAAAAC4CAABkcnMvZTJvRG9jLnhtbFBLAQItABQABgAIAAAAIQCDgbhq4AAAAAsBAAAPAAAA&#10;AAAAAAAAAAAAAJIEAABkcnMvZG93bnJldi54bWxQSwUGAAAAAAQABADzAAAAnwUAAAAA&#10;" filled="f" strokecolor="#002060" strokeweight="2.25pt">
                      <v:stroke startarrowwidth="narrow" startarrowlength="short" endarrowwidth="narrow" endarrowlength="short"/>
                      <v:textbox inset="2.53958mm,2.53958mm,2.53958mm,2.53958mm">
                        <w:txbxContent>
                          <w:p w:rsidR="00C258E0" w:rsidRDefault="00C258E0">
                            <w:pPr>
                              <w:textDirection w:val="btLr"/>
                            </w:pPr>
                          </w:p>
                        </w:txbxContent>
                      </v:textbox>
                    </v:rect>
                  </w:pict>
                </mc:Fallback>
              </mc:AlternateContent>
            </w:r>
          </w:p>
          <w:p w:rsidR="00C258E0" w:rsidRPr="00AB4405" w:rsidRDefault="00C93C7E">
            <w:pPr>
              <w:spacing w:before="100" w:after="200" w:line="276" w:lineRule="auto"/>
              <w:rPr>
                <w:rFonts w:ascii="Calibri" w:eastAsia="Calibri" w:hAnsi="Calibri" w:cs="Calibri"/>
                <w:sz w:val="20"/>
                <w:szCs w:val="20"/>
              </w:rPr>
            </w:pPr>
            <w:r w:rsidRPr="00AB4405">
              <w:rPr>
                <w:noProof/>
                <w:lang w:val="es-MX" w:eastAsia="es-MX"/>
              </w:rPr>
              <w:drawing>
                <wp:inline distT="0" distB="0" distL="0" distR="0">
                  <wp:extent cx="3712228" cy="717432"/>
                  <wp:effectExtent l="0" t="0" r="0" b="0"/>
                  <wp:docPr id="7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l="39149" t="43452" r="21707" b="44505"/>
                          <a:stretch>
                            <a:fillRect/>
                          </a:stretch>
                        </pic:blipFill>
                        <pic:spPr>
                          <a:xfrm>
                            <a:off x="0" y="0"/>
                            <a:ext cx="3712228" cy="717432"/>
                          </a:xfrm>
                          <a:prstGeom prst="rect">
                            <a:avLst/>
                          </a:prstGeom>
                          <a:ln/>
                        </pic:spPr>
                      </pic:pic>
                    </a:graphicData>
                  </a:graphic>
                </wp:inline>
              </w:drawing>
            </w:r>
            <w:r w:rsidRPr="00AB4405">
              <w:rPr>
                <w:noProof/>
                <w:lang w:val="es-MX" w:eastAsia="es-MX"/>
              </w:rPr>
              <mc:AlternateContent>
                <mc:Choice Requires="wps">
                  <w:drawing>
                    <wp:anchor distT="0" distB="0" distL="114300" distR="114300" simplePos="0" relativeHeight="251659264" behindDoc="0" locked="0" layoutInCell="1" hidden="0" allowOverlap="1">
                      <wp:simplePos x="0" y="0"/>
                      <wp:positionH relativeFrom="column">
                        <wp:posOffset>1333500</wp:posOffset>
                      </wp:positionH>
                      <wp:positionV relativeFrom="paragraph">
                        <wp:posOffset>419100</wp:posOffset>
                      </wp:positionV>
                      <wp:extent cx="949111" cy="221934"/>
                      <wp:effectExtent l="0" t="0" r="0" b="0"/>
                      <wp:wrapNone/>
                      <wp:docPr id="62" name="Rectángulo 62"/>
                      <wp:cNvGraphicFramePr/>
                      <a:graphic xmlns:a="http://schemas.openxmlformats.org/drawingml/2006/main">
                        <a:graphicData uri="http://schemas.microsoft.com/office/word/2010/wordprocessingShape">
                          <wps:wsp>
                            <wps:cNvSpPr/>
                            <wps:spPr>
                              <a:xfrm>
                                <a:off x="4900020" y="3697608"/>
                                <a:ext cx="891961" cy="164784"/>
                              </a:xfrm>
                              <a:prstGeom prst="rect">
                                <a:avLst/>
                              </a:prstGeom>
                              <a:noFill/>
                              <a:ln w="28575" cap="flat" cmpd="sng">
                                <a:solidFill>
                                  <a:srgbClr val="002060"/>
                                </a:solidFill>
                                <a:prstDash val="solid"/>
                                <a:miter lim="800000"/>
                                <a:headEnd type="none" w="sm" len="sm"/>
                                <a:tailEnd type="none" w="sm" len="sm"/>
                              </a:ln>
                            </wps:spPr>
                            <wps:txbx>
                              <w:txbxContent>
                                <w:p w:rsidR="00C258E0" w:rsidRDefault="00C258E0">
                                  <w:pPr>
                                    <w:textDirection w:val="btLr"/>
                                  </w:pPr>
                                </w:p>
                              </w:txbxContent>
                            </wps:txbx>
                            <wps:bodyPr spcFirstLastPara="1" wrap="square" lIns="91425" tIns="91425" rIns="91425" bIns="91425" anchor="ctr" anchorCtr="0">
                              <a:noAutofit/>
                            </wps:bodyPr>
                          </wps:wsp>
                        </a:graphicData>
                      </a:graphic>
                    </wp:anchor>
                  </w:drawing>
                </mc:Choice>
                <mc:Fallback xmlns:w16se="http://schemas.microsoft.com/office/word/2015/wordml/symex" xmlns:cx="http://schemas.microsoft.com/office/drawing/2014/chartex">
                  <w:pict>
                    <v:rect id="Rectángulo 62" o:spid="_x0000_s1027" style="position:absolute;margin-left:105pt;margin-top:33pt;width:74.75pt;height:1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67OwIAAFUEAAAOAAAAZHJzL2Uyb0RvYy54bWysVNuO0zAQfUfiHyy/0ySlm7ZR0xXaUoS0&#10;goqFD5g6TmPJN2y3ST+Hb+HHGDtlW+ABCfHieuzJ8ZkzZ7q6H5QkJ+68MLqmxSSnhGtmGqEPNf3y&#10;eftqQYkPoBuQRvOanrmn9+uXL1a9rfjUdEY23BEE0b7qbU27EGyVZZ51XIGfGMs1XrbGKQgYukPW&#10;OOgRXclsmudl1hvXWGcY9x5PN+MlXSf8tuUsfGxbzwORNUVuIa0urfu4ZusVVAcHthPsQgP+gYUC&#10;ofHRZ6gNBCBHJ/6AUoI5400bJsyozLStYDzVgNUU+W/VPHVgeaoFxfH2WSb//2DZh9POEdHUtJxS&#10;okFhjz6hat+/6cNRGoKnKFFvfYWZT3bnLpHHbax3aJ2Kv1gJGWo6W+Z5PkWhzzV9XS7nZb4YJeZD&#10;IAwTFstiWRaUMEwoytl8MYv32RXIOh/ecaNI3NTUIZckLJwefRhTf6bEd7XZCinxHCqpSV/T6eJu&#10;fof4gGZqJQTcKovleX1ION5I0cRv4ifeHfYP0pETRHsg8TI5Aun8khYf3IDvxrx0NValRED3SqGw&#10;MCw8v/ip49C81Q0JZ4tyajQ+jdS8okRyHBPcJMYBhPx7HrKRGjWKTRhlj7sw7IfUtyJixZO9ac7Y&#10;S2/ZViDhR/BhBw7djHL36HB89+sRHHKR7zVaaFnMpqhUuA3cbbC/DUCzzuDgsOAoGYOHkAZpbMOb&#10;YzCtSB26krmwRu+mHl/mLA7HbZyyrv8G6x8AAAD//wMAUEsDBBQABgAIAAAAIQAtZ/5I4AAAAAoB&#10;AAAPAAAAZHJzL2Rvd25yZXYueG1sTI/BTsMwDIbvSLxDZCRuLOmmlVGaThWwCyAkBgeOXhOaQuNU&#10;TbZ1b485wcmy/On395fryffiYMfYBdKQzRQIS00wHbUa3t82VysQMSEZ7ANZDScbYV2dn5VYmHCk&#10;V3vYplZwCMUCNbiUhkLK2DjrMc7CYIlvn2H0mHgdW2lGPHK47+VcqVx67Ig/OBzsnbPN93bvNdz7&#10;x3pD14uvJ/x4WLmXoT09U6315cVU34JIdkp/MPzqszpU7LQLezJR9BrmmeIuSUOe82RgsbxZgtgx&#10;qTIFsirl/wrVDwAAAP//AwBQSwECLQAUAAYACAAAACEAtoM4kv4AAADhAQAAEwAAAAAAAAAAAAAA&#10;AAAAAAAAW0NvbnRlbnRfVHlwZXNdLnhtbFBLAQItABQABgAIAAAAIQA4/SH/1gAAAJQBAAALAAAA&#10;AAAAAAAAAAAAAC8BAABfcmVscy8ucmVsc1BLAQItABQABgAIAAAAIQBwS+67OwIAAFUEAAAOAAAA&#10;AAAAAAAAAAAAAC4CAABkcnMvZTJvRG9jLnhtbFBLAQItABQABgAIAAAAIQAtZ/5I4AAAAAoBAAAP&#10;AAAAAAAAAAAAAAAAAJUEAABkcnMvZG93bnJldi54bWxQSwUGAAAAAAQABADzAAAAogUAAAAA&#10;" filled="f" strokecolor="#002060" strokeweight="2.25pt">
                      <v:stroke startarrowwidth="narrow" startarrowlength="short" endarrowwidth="narrow" endarrowlength="short"/>
                      <v:textbox inset="2.53958mm,2.53958mm,2.53958mm,2.53958mm">
                        <w:txbxContent>
                          <w:p w:rsidR="00C258E0" w:rsidRDefault="00C258E0">
                            <w:pPr>
                              <w:textDirection w:val="btLr"/>
                            </w:pPr>
                          </w:p>
                        </w:txbxContent>
                      </v:textbox>
                    </v:rect>
                  </w:pict>
                </mc:Fallback>
              </mc:AlternateContent>
            </w:r>
          </w:p>
        </w:tc>
        <w:tc>
          <w:tcPr>
            <w:tcW w:w="1203" w:type="dxa"/>
          </w:tcPr>
          <w:p w:rsidR="00C258E0" w:rsidRPr="00AB4405" w:rsidRDefault="00C93C7E">
            <w:pPr>
              <w:spacing w:before="100" w:after="200" w:line="276" w:lineRule="auto"/>
              <w:jc w:val="center"/>
              <w:rPr>
                <w:rFonts w:ascii="Palatino Linotype" w:eastAsia="Palatino Linotype" w:hAnsi="Palatino Linotype" w:cs="Palatino Linotype"/>
                <w:b/>
                <w:sz w:val="20"/>
                <w:szCs w:val="20"/>
              </w:rPr>
            </w:pPr>
            <w:r w:rsidRPr="00AB4405">
              <w:rPr>
                <w:rFonts w:ascii="Palatino Linotype" w:eastAsia="Palatino Linotype" w:hAnsi="Palatino Linotype" w:cs="Palatino Linotype"/>
                <w:b/>
              </w:rPr>
              <w:t xml:space="preserve">Sí </w:t>
            </w:r>
          </w:p>
        </w:tc>
      </w:tr>
      <w:tr w:rsidR="00C258E0" w:rsidRPr="00AB4405">
        <w:tc>
          <w:tcPr>
            <w:tcW w:w="1367" w:type="dxa"/>
          </w:tcPr>
          <w:p w:rsidR="00C258E0" w:rsidRPr="00AB4405" w:rsidRDefault="00C93C7E">
            <w:pPr>
              <w:spacing w:before="100" w:after="200" w:line="276" w:lineRule="auto"/>
              <w:jc w:val="center"/>
              <w:rPr>
                <w:rFonts w:ascii="Palatino Linotype" w:eastAsia="Palatino Linotype" w:hAnsi="Palatino Linotype" w:cs="Palatino Linotype"/>
                <w:sz w:val="18"/>
                <w:szCs w:val="18"/>
              </w:rPr>
            </w:pPr>
            <w:r w:rsidRPr="00AB4405">
              <w:rPr>
                <w:rFonts w:ascii="Palatino Linotype" w:eastAsia="Palatino Linotype" w:hAnsi="Palatino Linotype" w:cs="Palatino Linotype"/>
                <w:b/>
                <w:sz w:val="18"/>
                <w:szCs w:val="18"/>
              </w:rPr>
              <w:t>Referencia de la información solicitada</w:t>
            </w:r>
          </w:p>
        </w:tc>
        <w:tc>
          <w:tcPr>
            <w:tcW w:w="6258" w:type="dxa"/>
          </w:tcPr>
          <w:p w:rsidR="00C258E0" w:rsidRPr="00AB4405" w:rsidRDefault="00C93C7E">
            <w:pPr>
              <w:spacing w:before="100" w:after="200" w:line="276" w:lineRule="auto"/>
              <w:jc w:val="center"/>
              <w:rPr>
                <w:rFonts w:ascii="Palatino Linotype" w:eastAsia="Palatino Linotype" w:hAnsi="Palatino Linotype" w:cs="Palatino Linotype"/>
              </w:rPr>
            </w:pPr>
            <w:r w:rsidRPr="00AB4405">
              <w:rPr>
                <w:noProof/>
                <w:lang w:val="es-MX" w:eastAsia="es-MX"/>
              </w:rPr>
              <w:drawing>
                <wp:inline distT="0" distB="0" distL="0" distR="0">
                  <wp:extent cx="3744255" cy="695924"/>
                  <wp:effectExtent l="0" t="0" r="0" b="0"/>
                  <wp:docPr id="7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0"/>
                          <a:srcRect l="41904" t="70555" r="24591" b="15389"/>
                          <a:stretch>
                            <a:fillRect/>
                          </a:stretch>
                        </pic:blipFill>
                        <pic:spPr>
                          <a:xfrm>
                            <a:off x="0" y="0"/>
                            <a:ext cx="3744255" cy="695924"/>
                          </a:xfrm>
                          <a:prstGeom prst="rect">
                            <a:avLst/>
                          </a:prstGeom>
                          <a:ln/>
                        </pic:spPr>
                      </pic:pic>
                    </a:graphicData>
                  </a:graphic>
                </wp:inline>
              </w:drawing>
            </w:r>
          </w:p>
        </w:tc>
        <w:tc>
          <w:tcPr>
            <w:tcW w:w="1203" w:type="dxa"/>
          </w:tcPr>
          <w:p w:rsidR="00C258E0" w:rsidRPr="00AB4405" w:rsidRDefault="00C93C7E">
            <w:pPr>
              <w:spacing w:before="100" w:after="200" w:line="276" w:lineRule="auto"/>
              <w:jc w:val="center"/>
              <w:rPr>
                <w:rFonts w:ascii="Palatino Linotype" w:eastAsia="Palatino Linotype" w:hAnsi="Palatino Linotype" w:cs="Palatino Linotype"/>
                <w:b/>
              </w:rPr>
            </w:pPr>
            <w:r w:rsidRPr="00AB4405">
              <w:rPr>
                <w:rFonts w:ascii="Palatino Linotype" w:eastAsia="Palatino Linotype" w:hAnsi="Palatino Linotype" w:cs="Palatino Linotype"/>
                <w:b/>
              </w:rPr>
              <w:t xml:space="preserve">Sí </w:t>
            </w:r>
          </w:p>
        </w:tc>
      </w:tr>
      <w:tr w:rsidR="00C258E0" w:rsidRPr="00AB4405">
        <w:tc>
          <w:tcPr>
            <w:tcW w:w="1367" w:type="dxa"/>
          </w:tcPr>
          <w:p w:rsidR="00C258E0" w:rsidRPr="00AB4405" w:rsidRDefault="00C93C7E">
            <w:pPr>
              <w:spacing w:before="100" w:after="200" w:line="276" w:lineRule="auto"/>
              <w:jc w:val="center"/>
              <w:rPr>
                <w:rFonts w:ascii="Palatino Linotype" w:eastAsia="Palatino Linotype" w:hAnsi="Palatino Linotype" w:cs="Palatino Linotype"/>
                <w:sz w:val="18"/>
                <w:szCs w:val="18"/>
              </w:rPr>
            </w:pPr>
            <w:r w:rsidRPr="00AB4405">
              <w:rPr>
                <w:rFonts w:ascii="Palatino Linotype" w:eastAsia="Palatino Linotype" w:hAnsi="Palatino Linotype" w:cs="Palatino Linotype"/>
                <w:b/>
                <w:sz w:val="18"/>
                <w:szCs w:val="18"/>
              </w:rPr>
              <w:t xml:space="preserve">Causal aplicable del artículo 113 de la Ley General, vinculándola con el Lineamiento específico del presente ordenamiento y, cuando corresponda, el supuesto normativo </w:t>
            </w:r>
            <w:r w:rsidRPr="00AB4405">
              <w:rPr>
                <w:rFonts w:ascii="Palatino Linotype" w:eastAsia="Palatino Linotype" w:hAnsi="Palatino Linotype" w:cs="Palatino Linotype"/>
                <w:b/>
                <w:sz w:val="18"/>
                <w:szCs w:val="18"/>
              </w:rPr>
              <w:lastRenderedPageBreak/>
              <w:t>que expresamente le otorga el carácter de información reservada</w:t>
            </w:r>
          </w:p>
        </w:tc>
        <w:tc>
          <w:tcPr>
            <w:tcW w:w="6258" w:type="dxa"/>
          </w:tcPr>
          <w:p w:rsidR="00C258E0" w:rsidRPr="00AB4405" w:rsidRDefault="00C93C7E">
            <w:pPr>
              <w:spacing w:before="100" w:after="200" w:line="276" w:lineRule="auto"/>
              <w:rPr>
                <w:rFonts w:ascii="Calibri" w:eastAsia="Calibri" w:hAnsi="Calibri" w:cs="Calibri"/>
                <w:sz w:val="20"/>
                <w:szCs w:val="20"/>
              </w:rPr>
            </w:pPr>
            <w:r w:rsidRPr="00AB4405">
              <w:rPr>
                <w:noProof/>
                <w:lang w:val="es-MX" w:eastAsia="es-MX"/>
              </w:rPr>
              <w:lastRenderedPageBreak/>
              <w:drawing>
                <wp:inline distT="0" distB="0" distL="0" distR="0">
                  <wp:extent cx="3794208" cy="1967749"/>
                  <wp:effectExtent l="0" t="0" r="0" b="0"/>
                  <wp:docPr id="7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1"/>
                          <a:srcRect l="40797" t="32345" r="24727" b="23729"/>
                          <a:stretch>
                            <a:fillRect/>
                          </a:stretch>
                        </pic:blipFill>
                        <pic:spPr>
                          <a:xfrm>
                            <a:off x="0" y="0"/>
                            <a:ext cx="3794208" cy="1967749"/>
                          </a:xfrm>
                          <a:prstGeom prst="rect">
                            <a:avLst/>
                          </a:prstGeom>
                          <a:ln/>
                        </pic:spPr>
                      </pic:pic>
                    </a:graphicData>
                  </a:graphic>
                </wp:inline>
              </w:drawing>
            </w:r>
          </w:p>
        </w:tc>
        <w:tc>
          <w:tcPr>
            <w:tcW w:w="1203" w:type="dxa"/>
          </w:tcPr>
          <w:p w:rsidR="00C258E0" w:rsidRPr="00AB4405" w:rsidRDefault="00C93C7E">
            <w:pPr>
              <w:spacing w:before="100" w:after="200" w:line="276" w:lineRule="auto"/>
              <w:jc w:val="center"/>
              <w:rPr>
                <w:rFonts w:ascii="Palatino Linotype" w:eastAsia="Palatino Linotype" w:hAnsi="Palatino Linotype" w:cs="Palatino Linotype"/>
                <w:b/>
              </w:rPr>
            </w:pPr>
            <w:r w:rsidRPr="00AB4405">
              <w:rPr>
                <w:rFonts w:ascii="Palatino Linotype" w:eastAsia="Palatino Linotype" w:hAnsi="Palatino Linotype" w:cs="Palatino Linotype"/>
                <w:b/>
              </w:rPr>
              <w:t>No</w:t>
            </w:r>
          </w:p>
          <w:p w:rsidR="00C258E0" w:rsidRPr="00AB4405" w:rsidRDefault="00C258E0">
            <w:pPr>
              <w:spacing w:before="100" w:after="200" w:line="276" w:lineRule="auto"/>
              <w:jc w:val="center"/>
              <w:rPr>
                <w:rFonts w:ascii="Palatino Linotype" w:eastAsia="Palatino Linotype" w:hAnsi="Palatino Linotype" w:cs="Palatino Linotype"/>
                <w:b/>
                <w:sz w:val="20"/>
                <w:szCs w:val="20"/>
              </w:rPr>
            </w:pPr>
          </w:p>
        </w:tc>
      </w:tr>
      <w:tr w:rsidR="00C258E0" w:rsidRPr="00AB4405">
        <w:tc>
          <w:tcPr>
            <w:tcW w:w="1367" w:type="dxa"/>
          </w:tcPr>
          <w:p w:rsidR="00C258E0" w:rsidRPr="00AB4405" w:rsidRDefault="00C93C7E">
            <w:pPr>
              <w:spacing w:before="100" w:after="200" w:line="276" w:lineRule="auto"/>
              <w:jc w:val="center"/>
              <w:rPr>
                <w:rFonts w:ascii="Palatino Linotype" w:eastAsia="Palatino Linotype" w:hAnsi="Palatino Linotype" w:cs="Palatino Linotype"/>
                <w:sz w:val="18"/>
                <w:szCs w:val="18"/>
              </w:rPr>
            </w:pPr>
            <w:r w:rsidRPr="00AB4405">
              <w:rPr>
                <w:rFonts w:ascii="Palatino Linotype" w:eastAsia="Palatino Linotype" w:hAnsi="Palatino Linotype" w:cs="Palatino Linotype"/>
                <w:b/>
                <w:sz w:val="18"/>
                <w:szCs w:val="18"/>
              </w:rPr>
              <w:t>Fundamento y Motivación Legal</w:t>
            </w:r>
          </w:p>
        </w:tc>
        <w:tc>
          <w:tcPr>
            <w:tcW w:w="6258" w:type="dxa"/>
          </w:tcPr>
          <w:p w:rsidR="00C258E0" w:rsidRPr="00AB4405" w:rsidRDefault="00C93C7E">
            <w:pPr>
              <w:spacing w:before="100" w:after="200" w:line="276" w:lineRule="auto"/>
              <w:rPr>
                <w:rFonts w:ascii="Calibri" w:eastAsia="Calibri" w:hAnsi="Calibri" w:cs="Calibri"/>
                <w:sz w:val="20"/>
                <w:szCs w:val="20"/>
              </w:rPr>
            </w:pPr>
            <w:r w:rsidRPr="00AB4405">
              <w:rPr>
                <w:noProof/>
                <w:lang w:val="es-MX" w:eastAsia="es-MX"/>
              </w:rPr>
              <w:drawing>
                <wp:inline distT="0" distB="0" distL="0" distR="0">
                  <wp:extent cx="3770582" cy="4013637"/>
                  <wp:effectExtent l="0" t="0" r="0" b="0"/>
                  <wp:docPr id="7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l="45594" t="12976" r="29619" b="7999"/>
                          <a:stretch>
                            <a:fillRect/>
                          </a:stretch>
                        </pic:blipFill>
                        <pic:spPr>
                          <a:xfrm>
                            <a:off x="0" y="0"/>
                            <a:ext cx="3770582" cy="4013637"/>
                          </a:xfrm>
                          <a:prstGeom prst="rect">
                            <a:avLst/>
                          </a:prstGeom>
                          <a:ln/>
                        </pic:spPr>
                      </pic:pic>
                    </a:graphicData>
                  </a:graphic>
                </wp:inline>
              </w:drawing>
            </w:r>
          </w:p>
          <w:p w:rsidR="00C258E0" w:rsidRPr="00AB4405" w:rsidRDefault="00C258E0">
            <w:pPr>
              <w:spacing w:before="100" w:after="200" w:line="276" w:lineRule="auto"/>
            </w:pPr>
          </w:p>
          <w:p w:rsidR="00C258E0" w:rsidRPr="00AB4405" w:rsidRDefault="00C93C7E">
            <w:pPr>
              <w:spacing w:before="100" w:after="200" w:line="276" w:lineRule="auto"/>
              <w:rPr>
                <w:rFonts w:ascii="Calibri" w:eastAsia="Calibri" w:hAnsi="Calibri" w:cs="Calibri"/>
                <w:sz w:val="20"/>
                <w:szCs w:val="20"/>
              </w:rPr>
            </w:pPr>
            <w:r w:rsidRPr="00AB4405">
              <w:rPr>
                <w:noProof/>
                <w:lang w:val="es-MX" w:eastAsia="es-MX"/>
              </w:rPr>
              <w:lastRenderedPageBreak/>
              <w:drawing>
                <wp:inline distT="0" distB="0" distL="0" distR="0">
                  <wp:extent cx="3742842" cy="3698763"/>
                  <wp:effectExtent l="0" t="0" r="0" b="0"/>
                  <wp:docPr id="7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l="45291" t="29501" r="29718" b="15381"/>
                          <a:stretch>
                            <a:fillRect/>
                          </a:stretch>
                        </pic:blipFill>
                        <pic:spPr>
                          <a:xfrm>
                            <a:off x="0" y="0"/>
                            <a:ext cx="3742842" cy="3698763"/>
                          </a:xfrm>
                          <a:prstGeom prst="rect">
                            <a:avLst/>
                          </a:prstGeom>
                          <a:ln/>
                        </pic:spPr>
                      </pic:pic>
                    </a:graphicData>
                  </a:graphic>
                </wp:inline>
              </w:drawing>
            </w:r>
          </w:p>
          <w:p w:rsidR="00C258E0" w:rsidRPr="00AB4405" w:rsidRDefault="00C93C7E">
            <w:pPr>
              <w:spacing w:before="100" w:after="200" w:line="276" w:lineRule="auto"/>
              <w:rPr>
                <w:rFonts w:ascii="Calibri" w:eastAsia="Calibri" w:hAnsi="Calibri" w:cs="Calibri"/>
                <w:sz w:val="20"/>
                <w:szCs w:val="20"/>
              </w:rPr>
            </w:pPr>
            <w:r w:rsidRPr="00AB4405">
              <w:rPr>
                <w:noProof/>
                <w:lang w:val="es-MX" w:eastAsia="es-MX"/>
              </w:rPr>
              <w:drawing>
                <wp:inline distT="0" distB="0" distL="0" distR="0">
                  <wp:extent cx="3764998" cy="3272824"/>
                  <wp:effectExtent l="0" t="0" r="0" b="0"/>
                  <wp:docPr id="8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l="45587" t="19903" r="29418" b="26047"/>
                          <a:stretch>
                            <a:fillRect/>
                          </a:stretch>
                        </pic:blipFill>
                        <pic:spPr>
                          <a:xfrm>
                            <a:off x="0" y="0"/>
                            <a:ext cx="3764998" cy="3272824"/>
                          </a:xfrm>
                          <a:prstGeom prst="rect">
                            <a:avLst/>
                          </a:prstGeom>
                          <a:ln/>
                        </pic:spPr>
                      </pic:pic>
                    </a:graphicData>
                  </a:graphic>
                </wp:inline>
              </w:drawing>
            </w:r>
          </w:p>
          <w:p w:rsidR="00C258E0" w:rsidRPr="00AB4405" w:rsidRDefault="00C93C7E">
            <w:pPr>
              <w:spacing w:before="100" w:after="200" w:line="276" w:lineRule="auto"/>
              <w:rPr>
                <w:rFonts w:ascii="Calibri" w:eastAsia="Calibri" w:hAnsi="Calibri" w:cs="Calibri"/>
                <w:sz w:val="20"/>
                <w:szCs w:val="20"/>
              </w:rPr>
            </w:pPr>
            <w:r w:rsidRPr="00AB4405">
              <w:rPr>
                <w:noProof/>
                <w:lang w:val="es-MX" w:eastAsia="es-MX"/>
              </w:rPr>
              <w:lastRenderedPageBreak/>
              <w:drawing>
                <wp:inline distT="0" distB="0" distL="0" distR="0">
                  <wp:extent cx="3852699" cy="3678514"/>
                  <wp:effectExtent l="0" t="0" r="0" b="0"/>
                  <wp:docPr id="8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l="45601" t="30035" r="29909" b="17148"/>
                          <a:stretch>
                            <a:fillRect/>
                          </a:stretch>
                        </pic:blipFill>
                        <pic:spPr>
                          <a:xfrm>
                            <a:off x="0" y="0"/>
                            <a:ext cx="3852699" cy="3678514"/>
                          </a:xfrm>
                          <a:prstGeom prst="rect">
                            <a:avLst/>
                          </a:prstGeom>
                          <a:ln/>
                        </pic:spPr>
                      </pic:pic>
                    </a:graphicData>
                  </a:graphic>
                </wp:inline>
              </w:drawing>
            </w:r>
          </w:p>
          <w:p w:rsidR="00C258E0" w:rsidRPr="00AB4405" w:rsidRDefault="00C93C7E">
            <w:pPr>
              <w:spacing w:before="100" w:after="200" w:line="276" w:lineRule="auto"/>
              <w:rPr>
                <w:rFonts w:ascii="Calibri" w:eastAsia="Calibri" w:hAnsi="Calibri" w:cs="Calibri"/>
                <w:sz w:val="20"/>
                <w:szCs w:val="20"/>
              </w:rPr>
            </w:pPr>
            <w:r w:rsidRPr="00AB4405">
              <w:rPr>
                <w:noProof/>
                <w:lang w:val="es-MX" w:eastAsia="es-MX"/>
              </w:rPr>
              <w:drawing>
                <wp:inline distT="0" distB="0" distL="0" distR="0">
                  <wp:extent cx="3807197" cy="3306886"/>
                  <wp:effectExtent l="0" t="0" r="0" b="0"/>
                  <wp:docPr id="8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6"/>
                          <a:srcRect l="45387" t="19726" r="30122" b="27295"/>
                          <a:stretch>
                            <a:fillRect/>
                          </a:stretch>
                        </pic:blipFill>
                        <pic:spPr>
                          <a:xfrm>
                            <a:off x="0" y="0"/>
                            <a:ext cx="3807197" cy="3306886"/>
                          </a:xfrm>
                          <a:prstGeom prst="rect">
                            <a:avLst/>
                          </a:prstGeom>
                          <a:ln/>
                        </pic:spPr>
                      </pic:pic>
                    </a:graphicData>
                  </a:graphic>
                </wp:inline>
              </w:drawing>
            </w:r>
          </w:p>
          <w:p w:rsidR="00C258E0" w:rsidRPr="00AB4405" w:rsidRDefault="00C93C7E">
            <w:pPr>
              <w:spacing w:before="100" w:after="200" w:line="276" w:lineRule="auto"/>
              <w:rPr>
                <w:rFonts w:ascii="Calibri" w:eastAsia="Calibri" w:hAnsi="Calibri" w:cs="Calibri"/>
                <w:sz w:val="20"/>
                <w:szCs w:val="20"/>
              </w:rPr>
            </w:pPr>
            <w:r w:rsidRPr="00AB4405">
              <w:rPr>
                <w:noProof/>
                <w:lang w:val="es-MX" w:eastAsia="es-MX"/>
              </w:rPr>
              <w:lastRenderedPageBreak/>
              <w:drawing>
                <wp:inline distT="0" distB="0" distL="0" distR="0">
                  <wp:extent cx="3737544" cy="6941029"/>
                  <wp:effectExtent l="0" t="0" r="0" b="0"/>
                  <wp:docPr id="8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l="45693" t="13507" r="29819" b="4160"/>
                          <a:stretch>
                            <a:fillRect/>
                          </a:stretch>
                        </pic:blipFill>
                        <pic:spPr>
                          <a:xfrm>
                            <a:off x="0" y="0"/>
                            <a:ext cx="3737544" cy="6941029"/>
                          </a:xfrm>
                          <a:prstGeom prst="rect">
                            <a:avLst/>
                          </a:prstGeom>
                          <a:ln/>
                        </pic:spPr>
                      </pic:pic>
                    </a:graphicData>
                  </a:graphic>
                </wp:inline>
              </w:drawing>
            </w:r>
          </w:p>
        </w:tc>
        <w:tc>
          <w:tcPr>
            <w:tcW w:w="1203" w:type="dxa"/>
          </w:tcPr>
          <w:p w:rsidR="00C258E0" w:rsidRPr="00AB4405" w:rsidRDefault="00C93C7E">
            <w:pPr>
              <w:spacing w:before="100" w:after="200" w:line="276" w:lineRule="auto"/>
              <w:jc w:val="center"/>
              <w:rPr>
                <w:rFonts w:ascii="Palatino Linotype" w:eastAsia="Palatino Linotype" w:hAnsi="Palatino Linotype" w:cs="Palatino Linotype"/>
                <w:b/>
                <w:sz w:val="16"/>
                <w:szCs w:val="16"/>
              </w:rPr>
            </w:pPr>
            <w:r w:rsidRPr="00AB4405">
              <w:rPr>
                <w:rFonts w:ascii="Palatino Linotype" w:eastAsia="Palatino Linotype" w:hAnsi="Palatino Linotype" w:cs="Palatino Linotype"/>
                <w:b/>
                <w:sz w:val="16"/>
                <w:szCs w:val="16"/>
              </w:rPr>
              <w:lastRenderedPageBreak/>
              <w:t>Parcialmente</w:t>
            </w:r>
          </w:p>
        </w:tc>
      </w:tr>
      <w:tr w:rsidR="00C258E0" w:rsidRPr="00AB4405">
        <w:tc>
          <w:tcPr>
            <w:tcW w:w="1367" w:type="dxa"/>
          </w:tcPr>
          <w:p w:rsidR="00C258E0" w:rsidRPr="00AB4405" w:rsidRDefault="00C93C7E">
            <w:pPr>
              <w:spacing w:before="100" w:after="200" w:line="276" w:lineRule="auto"/>
              <w:rPr>
                <w:rFonts w:ascii="Palatino Linotype" w:eastAsia="Palatino Linotype" w:hAnsi="Palatino Linotype" w:cs="Palatino Linotype"/>
                <w:b/>
                <w:sz w:val="16"/>
                <w:szCs w:val="16"/>
              </w:rPr>
            </w:pPr>
            <w:r w:rsidRPr="00AB4405">
              <w:rPr>
                <w:rFonts w:ascii="Palatino Linotype" w:eastAsia="Palatino Linotype" w:hAnsi="Palatino Linotype" w:cs="Palatino Linotype"/>
                <w:b/>
                <w:sz w:val="16"/>
                <w:szCs w:val="16"/>
              </w:rPr>
              <w:lastRenderedPageBreak/>
              <w:t>Conexión entre los fundamentos y motivos que dieron origen a la Reserva de la información</w:t>
            </w:r>
          </w:p>
        </w:tc>
        <w:tc>
          <w:tcPr>
            <w:tcW w:w="6258" w:type="dxa"/>
          </w:tcPr>
          <w:p w:rsidR="00C258E0" w:rsidRPr="00AB4405" w:rsidRDefault="00C93C7E">
            <w:pPr>
              <w:spacing w:before="100" w:after="200" w:line="276" w:lineRule="auto"/>
              <w:rPr>
                <w:rFonts w:ascii="Calibri" w:eastAsia="Calibri" w:hAnsi="Calibri" w:cs="Calibri"/>
                <w:sz w:val="20"/>
                <w:szCs w:val="20"/>
              </w:rPr>
            </w:pPr>
            <w:r w:rsidRPr="00AB4405">
              <w:rPr>
                <w:noProof/>
                <w:lang w:val="es-MX" w:eastAsia="es-MX"/>
              </w:rPr>
              <w:drawing>
                <wp:inline distT="0" distB="0" distL="0" distR="0">
                  <wp:extent cx="3775857" cy="6723754"/>
                  <wp:effectExtent l="0" t="0" r="0" b="0"/>
                  <wp:docPr id="8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l="45594" t="12976" r="29619" b="7999"/>
                          <a:stretch>
                            <a:fillRect/>
                          </a:stretch>
                        </pic:blipFill>
                        <pic:spPr>
                          <a:xfrm>
                            <a:off x="0" y="0"/>
                            <a:ext cx="3775857" cy="6723754"/>
                          </a:xfrm>
                          <a:prstGeom prst="rect">
                            <a:avLst/>
                          </a:prstGeom>
                          <a:ln/>
                        </pic:spPr>
                      </pic:pic>
                    </a:graphicData>
                  </a:graphic>
                </wp:inline>
              </w:drawing>
            </w:r>
          </w:p>
        </w:tc>
        <w:tc>
          <w:tcPr>
            <w:tcW w:w="1203" w:type="dxa"/>
          </w:tcPr>
          <w:p w:rsidR="00C258E0" w:rsidRPr="00AB4405" w:rsidRDefault="00C93C7E">
            <w:pPr>
              <w:spacing w:before="100" w:after="200" w:line="276" w:lineRule="auto"/>
              <w:jc w:val="center"/>
              <w:rPr>
                <w:rFonts w:ascii="Palatino Linotype" w:eastAsia="Palatino Linotype" w:hAnsi="Palatino Linotype" w:cs="Palatino Linotype"/>
                <w:b/>
                <w:sz w:val="20"/>
                <w:szCs w:val="20"/>
              </w:rPr>
            </w:pPr>
            <w:r w:rsidRPr="00AB4405">
              <w:rPr>
                <w:rFonts w:ascii="Palatino Linotype" w:eastAsia="Palatino Linotype" w:hAnsi="Palatino Linotype" w:cs="Palatino Linotype"/>
                <w:b/>
              </w:rPr>
              <w:t>No</w:t>
            </w:r>
          </w:p>
        </w:tc>
      </w:tr>
      <w:tr w:rsidR="00C258E0" w:rsidRPr="00AB4405">
        <w:tc>
          <w:tcPr>
            <w:tcW w:w="8828" w:type="dxa"/>
            <w:gridSpan w:val="3"/>
            <w:shd w:val="clear" w:color="auto" w:fill="7B7B7B"/>
          </w:tcPr>
          <w:p w:rsidR="00C258E0" w:rsidRPr="00AB4405" w:rsidRDefault="00C93C7E">
            <w:pPr>
              <w:spacing w:before="100" w:after="200" w:line="276" w:lineRule="auto"/>
              <w:jc w:val="center"/>
              <w:rPr>
                <w:rFonts w:ascii="Palatino Linotype" w:eastAsia="Palatino Linotype" w:hAnsi="Palatino Linotype" w:cs="Palatino Linotype"/>
                <w:b/>
              </w:rPr>
            </w:pPr>
            <w:r w:rsidRPr="00AB4405">
              <w:rPr>
                <w:rFonts w:ascii="Palatino Linotype" w:eastAsia="Palatino Linotype" w:hAnsi="Palatino Linotype" w:cs="Palatino Linotype"/>
                <w:b/>
                <w:color w:val="FFFFFF"/>
                <w:sz w:val="22"/>
                <w:szCs w:val="22"/>
              </w:rPr>
              <w:t>Elementos de la prueba de daño</w:t>
            </w:r>
          </w:p>
        </w:tc>
      </w:tr>
      <w:tr w:rsidR="00C258E0" w:rsidRPr="00AB4405">
        <w:tc>
          <w:tcPr>
            <w:tcW w:w="1367" w:type="dxa"/>
            <w:shd w:val="clear" w:color="auto" w:fill="auto"/>
          </w:tcPr>
          <w:p w:rsidR="00C258E0" w:rsidRPr="00AB4405" w:rsidRDefault="00C93C7E">
            <w:pPr>
              <w:spacing w:after="120" w:line="259" w:lineRule="auto"/>
              <w:jc w:val="center"/>
              <w:rPr>
                <w:rFonts w:ascii="Palatino Linotype" w:eastAsia="Palatino Linotype" w:hAnsi="Palatino Linotype" w:cs="Palatino Linotype"/>
                <w:b/>
                <w:sz w:val="16"/>
                <w:szCs w:val="16"/>
              </w:rPr>
            </w:pPr>
            <w:r w:rsidRPr="00AB4405">
              <w:rPr>
                <w:rFonts w:ascii="Palatino Linotype" w:eastAsia="Palatino Linotype" w:hAnsi="Palatino Linotype" w:cs="Palatino Linotype"/>
                <w:b/>
                <w:sz w:val="16"/>
                <w:szCs w:val="16"/>
              </w:rPr>
              <w:lastRenderedPageBreak/>
              <w:t>Riesgo Real, Demostrable e Identificable</w:t>
            </w:r>
          </w:p>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rFonts w:ascii="Palatino Linotype" w:eastAsia="Palatino Linotype" w:hAnsi="Palatino Linotype" w:cs="Palatino Linotype"/>
                <w:b/>
                <w:sz w:val="16"/>
                <w:szCs w:val="16"/>
              </w:rPr>
              <w:t>(Modo, Tiempo y Lugar)</w:t>
            </w:r>
          </w:p>
        </w:tc>
        <w:tc>
          <w:tcPr>
            <w:tcW w:w="6258" w:type="dxa"/>
            <w:shd w:val="clear" w:color="auto" w:fill="auto"/>
          </w:tcPr>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noProof/>
                <w:lang w:val="es-MX" w:eastAsia="es-MX"/>
              </w:rPr>
              <w:drawing>
                <wp:inline distT="0" distB="0" distL="0" distR="0">
                  <wp:extent cx="3745876" cy="2818405"/>
                  <wp:effectExtent l="0" t="0" r="0" b="0"/>
                  <wp:docPr id="8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l="45291" t="48747" r="29718" b="15382"/>
                          <a:stretch>
                            <a:fillRect/>
                          </a:stretch>
                        </pic:blipFill>
                        <pic:spPr>
                          <a:xfrm>
                            <a:off x="0" y="0"/>
                            <a:ext cx="3745876" cy="2818405"/>
                          </a:xfrm>
                          <a:prstGeom prst="rect">
                            <a:avLst/>
                          </a:prstGeom>
                          <a:ln/>
                        </pic:spPr>
                      </pic:pic>
                    </a:graphicData>
                  </a:graphic>
                </wp:inline>
              </w:drawing>
            </w:r>
          </w:p>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noProof/>
                <w:lang w:val="es-MX" w:eastAsia="es-MX"/>
              </w:rPr>
              <w:drawing>
                <wp:inline distT="0" distB="0" distL="0" distR="0">
                  <wp:extent cx="3855809" cy="3428932"/>
                  <wp:effectExtent l="0" t="0" r="0" b="0"/>
                  <wp:docPr id="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l="45601" t="42169" r="29909" b="17148"/>
                          <a:stretch>
                            <a:fillRect/>
                          </a:stretch>
                        </pic:blipFill>
                        <pic:spPr>
                          <a:xfrm>
                            <a:off x="0" y="0"/>
                            <a:ext cx="3855809" cy="3428932"/>
                          </a:xfrm>
                          <a:prstGeom prst="rect">
                            <a:avLst/>
                          </a:prstGeom>
                          <a:ln/>
                        </pic:spPr>
                      </pic:pic>
                    </a:graphicData>
                  </a:graphic>
                </wp:inline>
              </w:drawing>
            </w:r>
          </w:p>
          <w:p w:rsidR="00C258E0" w:rsidRPr="00AB4405" w:rsidRDefault="00C258E0">
            <w:pPr>
              <w:spacing w:before="100" w:after="200" w:line="276" w:lineRule="auto"/>
              <w:jc w:val="center"/>
            </w:pPr>
          </w:p>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noProof/>
                <w:lang w:val="es-MX" w:eastAsia="es-MX"/>
              </w:rPr>
              <w:lastRenderedPageBreak/>
              <w:drawing>
                <wp:inline distT="0" distB="0" distL="0" distR="0">
                  <wp:extent cx="3807197" cy="2642031"/>
                  <wp:effectExtent l="0" t="0" r="0" b="0"/>
                  <wp:docPr id="8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6"/>
                          <a:srcRect l="45387" t="30377" r="30122" b="27293"/>
                          <a:stretch>
                            <a:fillRect/>
                          </a:stretch>
                        </pic:blipFill>
                        <pic:spPr>
                          <a:xfrm>
                            <a:off x="0" y="0"/>
                            <a:ext cx="3807197" cy="2642031"/>
                          </a:xfrm>
                          <a:prstGeom prst="rect">
                            <a:avLst/>
                          </a:prstGeom>
                          <a:ln/>
                        </pic:spPr>
                      </pic:pic>
                    </a:graphicData>
                  </a:graphic>
                </wp:inline>
              </w:drawing>
            </w:r>
          </w:p>
          <w:p w:rsidR="00C258E0" w:rsidRPr="00AB4405" w:rsidRDefault="00C93C7E">
            <w:pPr>
              <w:spacing w:before="100" w:after="200" w:line="276" w:lineRule="auto"/>
              <w:rPr>
                <w:rFonts w:ascii="Palatino Linotype" w:eastAsia="Palatino Linotype" w:hAnsi="Palatino Linotype" w:cs="Palatino Linotype"/>
                <w:b/>
                <w:color w:val="FFFFFF"/>
                <w:sz w:val="22"/>
                <w:szCs w:val="22"/>
              </w:rPr>
            </w:pPr>
            <w:r w:rsidRPr="00AB4405">
              <w:rPr>
                <w:noProof/>
                <w:lang w:val="es-MX" w:eastAsia="es-MX"/>
              </w:rPr>
              <w:drawing>
                <wp:inline distT="0" distB="0" distL="0" distR="0">
                  <wp:extent cx="3737545" cy="3581946"/>
                  <wp:effectExtent l="0" t="0" r="0" b="0"/>
                  <wp:docPr id="6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l="45693" t="13507" r="29819" b="33870"/>
                          <a:stretch>
                            <a:fillRect/>
                          </a:stretch>
                        </pic:blipFill>
                        <pic:spPr>
                          <a:xfrm>
                            <a:off x="0" y="0"/>
                            <a:ext cx="3737545" cy="3581946"/>
                          </a:xfrm>
                          <a:prstGeom prst="rect">
                            <a:avLst/>
                          </a:prstGeom>
                          <a:ln/>
                        </pic:spPr>
                      </pic:pic>
                    </a:graphicData>
                  </a:graphic>
                </wp:inline>
              </w:drawing>
            </w:r>
          </w:p>
          <w:p w:rsidR="00C258E0" w:rsidRPr="00AB4405" w:rsidRDefault="00C258E0">
            <w:pPr>
              <w:spacing w:before="100" w:after="200" w:line="276" w:lineRule="auto"/>
              <w:rPr>
                <w:rFonts w:ascii="Palatino Linotype" w:eastAsia="Palatino Linotype" w:hAnsi="Palatino Linotype" w:cs="Palatino Linotype"/>
                <w:b/>
                <w:color w:val="FFFFFF"/>
                <w:sz w:val="22"/>
                <w:szCs w:val="22"/>
              </w:rPr>
            </w:pPr>
          </w:p>
        </w:tc>
        <w:tc>
          <w:tcPr>
            <w:tcW w:w="1203" w:type="dxa"/>
            <w:shd w:val="clear" w:color="auto" w:fill="auto"/>
          </w:tcPr>
          <w:p w:rsidR="002A5433" w:rsidRPr="00AB4405" w:rsidRDefault="002A5433" w:rsidP="002A5433">
            <w:pPr>
              <w:spacing w:before="100" w:after="200" w:line="276" w:lineRule="auto"/>
              <w:jc w:val="center"/>
              <w:rPr>
                <w:rFonts w:ascii="Palatino Linotype" w:eastAsia="Palatino Linotype" w:hAnsi="Palatino Linotype" w:cs="Palatino Linotype"/>
                <w:b/>
                <w:color w:val="000000"/>
                <w:sz w:val="22"/>
                <w:szCs w:val="22"/>
              </w:rPr>
            </w:pPr>
            <w:r w:rsidRPr="00AB4405">
              <w:rPr>
                <w:rFonts w:ascii="Palatino Linotype" w:eastAsia="Palatino Linotype" w:hAnsi="Palatino Linotype" w:cs="Palatino Linotype"/>
                <w:b/>
                <w:color w:val="000000"/>
                <w:sz w:val="22"/>
                <w:szCs w:val="22"/>
              </w:rPr>
              <w:lastRenderedPageBreak/>
              <w:t>Sí</w:t>
            </w:r>
          </w:p>
          <w:p w:rsidR="00C258E0" w:rsidRPr="00AB4405" w:rsidRDefault="002A5433" w:rsidP="002A5433">
            <w:pPr>
              <w:spacing w:before="100" w:after="200" w:line="276" w:lineRule="auto"/>
              <w:jc w:val="center"/>
              <w:rPr>
                <w:rFonts w:ascii="Palatino Linotype" w:eastAsia="Palatino Linotype" w:hAnsi="Palatino Linotype" w:cs="Palatino Linotype"/>
                <w:b/>
                <w:color w:val="FFFFFF"/>
                <w:sz w:val="22"/>
                <w:szCs w:val="22"/>
              </w:rPr>
            </w:pPr>
            <w:r w:rsidRPr="00AB4405">
              <w:rPr>
                <w:rFonts w:ascii="Palatino Linotype" w:eastAsia="Palatino Linotype" w:hAnsi="Palatino Linotype" w:cs="Palatino Linotype"/>
                <w:b/>
                <w:sz w:val="16"/>
                <w:szCs w:val="16"/>
              </w:rPr>
              <w:t>Pero no cumple con lo previsto por la Ley</w:t>
            </w:r>
          </w:p>
        </w:tc>
      </w:tr>
      <w:tr w:rsidR="00C258E0" w:rsidRPr="00AB4405">
        <w:tc>
          <w:tcPr>
            <w:tcW w:w="1367" w:type="dxa"/>
            <w:shd w:val="clear" w:color="auto" w:fill="auto"/>
          </w:tcPr>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rFonts w:ascii="Palatino Linotype" w:eastAsia="Palatino Linotype" w:hAnsi="Palatino Linotype" w:cs="Palatino Linotype"/>
                <w:b/>
                <w:sz w:val="16"/>
                <w:szCs w:val="16"/>
              </w:rPr>
              <w:t xml:space="preserve">Temporalidad de la Reserva </w:t>
            </w:r>
            <w:r w:rsidRPr="00AB4405">
              <w:rPr>
                <w:rFonts w:ascii="Palatino Linotype" w:eastAsia="Palatino Linotype" w:hAnsi="Palatino Linotype" w:cs="Palatino Linotype"/>
                <w:b/>
                <w:sz w:val="16"/>
                <w:szCs w:val="16"/>
              </w:rPr>
              <w:lastRenderedPageBreak/>
              <w:t>de la información</w:t>
            </w:r>
          </w:p>
        </w:tc>
        <w:tc>
          <w:tcPr>
            <w:tcW w:w="6258" w:type="dxa"/>
            <w:shd w:val="clear" w:color="auto" w:fill="auto"/>
          </w:tcPr>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rFonts w:ascii="Palatino Linotype" w:eastAsia="Palatino Linotype" w:hAnsi="Palatino Linotype" w:cs="Palatino Linotype"/>
                <w:b/>
                <w:sz w:val="16"/>
                <w:szCs w:val="16"/>
              </w:rPr>
              <w:lastRenderedPageBreak/>
              <w:t>señala  cuatro y cinco años</w:t>
            </w:r>
          </w:p>
        </w:tc>
        <w:tc>
          <w:tcPr>
            <w:tcW w:w="1203" w:type="dxa"/>
            <w:shd w:val="clear" w:color="auto" w:fill="auto"/>
          </w:tcPr>
          <w:p w:rsidR="00C258E0" w:rsidRPr="00AB4405" w:rsidRDefault="00C93C7E">
            <w:pPr>
              <w:spacing w:before="100" w:after="200" w:line="276" w:lineRule="auto"/>
              <w:jc w:val="center"/>
              <w:rPr>
                <w:rFonts w:ascii="Palatino Linotype" w:eastAsia="Palatino Linotype" w:hAnsi="Palatino Linotype" w:cs="Palatino Linotype"/>
                <w:b/>
              </w:rPr>
            </w:pPr>
            <w:r w:rsidRPr="00AB4405">
              <w:rPr>
                <w:rFonts w:ascii="Palatino Linotype" w:eastAsia="Palatino Linotype" w:hAnsi="Palatino Linotype" w:cs="Palatino Linotype"/>
                <w:b/>
              </w:rPr>
              <w:t>Si</w:t>
            </w:r>
          </w:p>
          <w:p w:rsidR="00C258E0" w:rsidRPr="00AB4405" w:rsidRDefault="00C93C7E">
            <w:pPr>
              <w:spacing w:before="100" w:after="200" w:line="276" w:lineRule="auto"/>
              <w:jc w:val="center"/>
              <w:rPr>
                <w:rFonts w:ascii="Palatino Linotype" w:eastAsia="Palatino Linotype" w:hAnsi="Palatino Linotype" w:cs="Palatino Linotype"/>
                <w:b/>
                <w:sz w:val="16"/>
                <w:szCs w:val="16"/>
              </w:rPr>
            </w:pPr>
            <w:r w:rsidRPr="00AB4405">
              <w:rPr>
                <w:rFonts w:ascii="Palatino Linotype" w:eastAsia="Palatino Linotype" w:hAnsi="Palatino Linotype" w:cs="Palatino Linotype"/>
                <w:b/>
                <w:sz w:val="16"/>
                <w:szCs w:val="16"/>
              </w:rPr>
              <w:lastRenderedPageBreak/>
              <w:t xml:space="preserve">(pero no en coincidente) </w:t>
            </w:r>
          </w:p>
        </w:tc>
      </w:tr>
      <w:tr w:rsidR="00C258E0" w:rsidRPr="00AB4405">
        <w:tc>
          <w:tcPr>
            <w:tcW w:w="1367" w:type="dxa"/>
            <w:shd w:val="clear" w:color="auto" w:fill="auto"/>
          </w:tcPr>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rFonts w:ascii="Palatino Linotype" w:eastAsia="Palatino Linotype" w:hAnsi="Palatino Linotype" w:cs="Palatino Linotype"/>
                <w:b/>
                <w:sz w:val="16"/>
                <w:szCs w:val="16"/>
              </w:rPr>
              <w:lastRenderedPageBreak/>
              <w:t>Autoridades competentes.</w:t>
            </w:r>
          </w:p>
        </w:tc>
        <w:tc>
          <w:tcPr>
            <w:tcW w:w="6258" w:type="dxa"/>
            <w:shd w:val="clear" w:color="auto" w:fill="auto"/>
          </w:tcPr>
          <w:p w:rsidR="00C258E0" w:rsidRPr="00AB4405" w:rsidRDefault="00C258E0">
            <w:pPr>
              <w:spacing w:before="100" w:after="200" w:line="276" w:lineRule="auto"/>
              <w:jc w:val="center"/>
            </w:pPr>
          </w:p>
          <w:p w:rsidR="00C258E0" w:rsidRPr="00AB4405" w:rsidRDefault="00C93C7E">
            <w:pPr>
              <w:spacing w:before="100" w:after="200" w:line="276" w:lineRule="auto"/>
              <w:jc w:val="center"/>
            </w:pPr>
            <w:r w:rsidRPr="00AB4405">
              <w:rPr>
                <w:noProof/>
                <w:lang w:val="es-MX" w:eastAsia="es-MX"/>
              </w:rPr>
              <w:drawing>
                <wp:inline distT="0" distB="0" distL="0" distR="0">
                  <wp:extent cx="2924677" cy="1121559"/>
                  <wp:effectExtent l="0" t="0" r="0" b="0"/>
                  <wp:docPr id="6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l="43695" t="38209" r="26713" b="26404"/>
                          <a:stretch>
                            <a:fillRect/>
                          </a:stretch>
                        </pic:blipFill>
                        <pic:spPr>
                          <a:xfrm>
                            <a:off x="0" y="0"/>
                            <a:ext cx="2924677" cy="1121559"/>
                          </a:xfrm>
                          <a:prstGeom prst="rect">
                            <a:avLst/>
                          </a:prstGeom>
                          <a:ln/>
                        </pic:spPr>
                      </pic:pic>
                    </a:graphicData>
                  </a:graphic>
                </wp:inline>
              </w:drawing>
            </w:r>
          </w:p>
          <w:p w:rsidR="00C258E0" w:rsidRPr="00AB4405" w:rsidRDefault="00C258E0">
            <w:pPr>
              <w:spacing w:before="100" w:after="200" w:line="276" w:lineRule="auto"/>
              <w:jc w:val="center"/>
              <w:rPr>
                <w:rFonts w:ascii="Palatino Linotype" w:eastAsia="Palatino Linotype" w:hAnsi="Palatino Linotype" w:cs="Palatino Linotype"/>
                <w:b/>
                <w:color w:val="FFFFFF"/>
                <w:sz w:val="22"/>
                <w:szCs w:val="22"/>
              </w:rPr>
            </w:pPr>
          </w:p>
        </w:tc>
        <w:tc>
          <w:tcPr>
            <w:tcW w:w="1203" w:type="dxa"/>
            <w:shd w:val="clear" w:color="auto" w:fill="auto"/>
          </w:tcPr>
          <w:p w:rsidR="00C258E0" w:rsidRPr="00AB4405" w:rsidRDefault="00C93C7E">
            <w:pPr>
              <w:spacing w:before="100" w:after="200" w:line="276" w:lineRule="auto"/>
              <w:jc w:val="center"/>
              <w:rPr>
                <w:rFonts w:ascii="Palatino Linotype" w:eastAsia="Palatino Linotype" w:hAnsi="Palatino Linotype" w:cs="Palatino Linotype"/>
                <w:b/>
                <w:color w:val="FFFFFF"/>
                <w:sz w:val="22"/>
                <w:szCs w:val="22"/>
              </w:rPr>
            </w:pPr>
            <w:r w:rsidRPr="00AB4405">
              <w:rPr>
                <w:rFonts w:ascii="Palatino Linotype" w:eastAsia="Palatino Linotype" w:hAnsi="Palatino Linotype" w:cs="Palatino Linotype"/>
                <w:b/>
                <w:color w:val="000000"/>
                <w:sz w:val="22"/>
                <w:szCs w:val="22"/>
              </w:rPr>
              <w:t xml:space="preserve">Sí </w:t>
            </w:r>
          </w:p>
        </w:tc>
      </w:tr>
    </w:tbl>
    <w:p w:rsidR="00C258E0" w:rsidRPr="00AB4405" w:rsidRDefault="00C258E0">
      <w:pPr>
        <w:spacing w:before="100" w:after="200" w:line="276" w:lineRule="auto"/>
        <w:rPr>
          <w:rFonts w:ascii="Calibri" w:eastAsia="Calibri" w:hAnsi="Calibri" w:cs="Calibri"/>
          <w:sz w:val="20"/>
          <w:szCs w:val="20"/>
        </w:rPr>
      </w:pPr>
    </w:p>
    <w:p w:rsidR="00C258E0" w:rsidRPr="00AB4405" w:rsidRDefault="00C93C7E">
      <w:pPr>
        <w:spacing w:after="16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Como se vislumbra en páginas previas,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no realizó la prueba de daño, ni precisó las razones por las cuales la apertura de la información generaría una afectación, además, no refirió que su divulgación representa un riesgo real, demostrable e identificable, ni se estableció que el perjuicio supera de momento el interés público general que pudiera existir sobre la información requerida, aunado a lo anterior debe mencionarse que dichos acuerdos no </w:t>
      </w:r>
      <w:r w:rsidR="002A5433" w:rsidRPr="00AB4405">
        <w:rPr>
          <w:rFonts w:ascii="Palatino Linotype" w:eastAsia="Palatino Linotype" w:hAnsi="Palatino Linotype" w:cs="Palatino Linotype"/>
        </w:rPr>
        <w:t>están</w:t>
      </w:r>
      <w:r w:rsidRPr="00AB4405">
        <w:rPr>
          <w:rFonts w:ascii="Palatino Linotype" w:eastAsia="Palatino Linotype" w:hAnsi="Palatino Linotype" w:cs="Palatino Linotype"/>
        </w:rPr>
        <w:t xml:space="preserve"> debidamente fundados y motivados; esto es, no encuadró correctamente la fracción de los artículos de la Ley General de Transparencia y la Ley de Transparencia Local, ya que como se puede apreciar pretende clasificar con la información únicamente en las fracciones I, VII y X del artículo 140 de la Ley Local de Transparencia, sin hacer referencia del artículo 113 de la Ley General de Transparencia.</w:t>
      </w:r>
    </w:p>
    <w:p w:rsidR="00C258E0" w:rsidRPr="00AB4405" w:rsidRDefault="00C93C7E">
      <w:pPr>
        <w:spacing w:after="160" w:line="360" w:lineRule="auto"/>
        <w:jc w:val="both"/>
        <w:rPr>
          <w:rFonts w:ascii="Palatino Linotype" w:eastAsia="Palatino Linotype" w:hAnsi="Palatino Linotype" w:cs="Palatino Linotype"/>
          <w:color w:val="000000"/>
        </w:rPr>
      </w:pPr>
      <w:r w:rsidRPr="00AB4405">
        <w:rPr>
          <w:rFonts w:ascii="Palatino Linotype" w:eastAsia="Palatino Linotype" w:hAnsi="Palatino Linotype" w:cs="Palatino Linotype"/>
          <w:color w:val="000000"/>
        </w:rPr>
        <w:t xml:space="preserve">Asimismo en el asunto que nos ocupa se advierte que no se actualiza la fracción I, VII y X del artículo 140 de la Ley </w:t>
      </w:r>
      <w:r w:rsidRPr="00AB4405">
        <w:rPr>
          <w:rFonts w:ascii="Palatino Linotype" w:eastAsia="Palatino Linotype" w:hAnsi="Palatino Linotype" w:cs="Palatino Linotype"/>
        </w:rPr>
        <w:t>de Transparencia Local</w:t>
      </w:r>
      <w:r w:rsidRPr="00AB4405">
        <w:rPr>
          <w:rFonts w:ascii="Palatino Linotype" w:eastAsia="Palatino Linotype" w:hAnsi="Palatino Linotype" w:cs="Palatino Linotype"/>
          <w:color w:val="000000"/>
        </w:rPr>
        <w:t>, ya que la publicación de las</w:t>
      </w:r>
      <w:r w:rsidRPr="00AB4405">
        <w:rPr>
          <w:rFonts w:ascii="Verdana" w:eastAsia="Verdana" w:hAnsi="Verdana" w:cs="Verdana"/>
          <w:color w:val="000000"/>
          <w:sz w:val="14"/>
          <w:szCs w:val="14"/>
        </w:rPr>
        <w:t xml:space="preserve"> </w:t>
      </w:r>
      <w:r w:rsidRPr="00AB4405">
        <w:rPr>
          <w:rFonts w:ascii="Palatino Linotype" w:eastAsia="Palatino Linotype" w:hAnsi="Palatino Linotype" w:cs="Palatino Linotype"/>
          <w:color w:val="000000"/>
        </w:rPr>
        <w:t xml:space="preserve">autorizaciones de bases y derroteros, y sitios autorizadas a las empresas o </w:t>
      </w:r>
      <w:r w:rsidRPr="00AB4405">
        <w:rPr>
          <w:rFonts w:ascii="Palatino Linotype" w:eastAsia="Palatino Linotype" w:hAnsi="Palatino Linotype" w:cs="Palatino Linotype"/>
          <w:color w:val="000000"/>
        </w:rPr>
        <w:lastRenderedPageBreak/>
        <w:t xml:space="preserve">asociaciones civiles de transporte público que operan en el Estado de México, no causa una afectación. </w:t>
      </w: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color w:val="000000"/>
        </w:rPr>
        <w:t xml:space="preserve">Correlativo a ello, el Lineamiento Trigésimo Segundo de los </w:t>
      </w:r>
      <w:r w:rsidRPr="00AB4405">
        <w:rPr>
          <w:rFonts w:ascii="Palatino Linotype" w:eastAsia="Palatino Linotype" w:hAnsi="Palatino Linotype" w:cs="Palatino Linotype"/>
        </w:rPr>
        <w:t xml:space="preserve">Lineamientos Generales en Materia de Clasificación y Desclasificación de la Información, así como para la Elaboración de Versiones Públicas establece que para que se actualice el supuesto de reserva se deberá fundar y motivar la clasificación, esto es, señalando de manera específica el supuesto que exprese que la información tiene el carácter de reservada, lo que no sucedió en el presente caso en particular. </w:t>
      </w:r>
    </w:p>
    <w:p w:rsidR="00C258E0" w:rsidRPr="00AB4405" w:rsidRDefault="00C258E0">
      <w:pPr>
        <w:spacing w:line="360" w:lineRule="auto"/>
        <w:jc w:val="both"/>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color w:val="000000"/>
        </w:rPr>
        <w:t>Además, no se estima como razón suficiente que se argumente que, c</w:t>
      </w:r>
      <w:r w:rsidRPr="00AB4405">
        <w:rPr>
          <w:rFonts w:ascii="Palatino Linotype" w:eastAsia="Palatino Linotype" w:hAnsi="Palatino Linotype" w:cs="Palatino Linotype"/>
        </w:rPr>
        <w:t>on la publicación de la información se vería afectados los proyectos de:</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numPr>
          <w:ilvl w:val="0"/>
          <w:numId w:val="4"/>
        </w:num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La reestructuración de la rutas que convengan en las periferias del “aeropuerto internacional Felipe Ángeles  (AIFA) que tendrá como finalidad, que algunas empresas que cubran elementos y requisitos de funcionalidad, fugan como alimentadoras del mismo. </w:t>
      </w:r>
    </w:p>
    <w:p w:rsidR="00C258E0" w:rsidRPr="00AB4405" w:rsidRDefault="00C93C7E">
      <w:pPr>
        <w:numPr>
          <w:ilvl w:val="0"/>
          <w:numId w:val="4"/>
        </w:num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La implementación de corredores naturales, con la finalidad de obtener un servicio, en donde las empresas que se encuentren circulando actualmente en dichos corredores, se formalicen ante esta Secretaría.</w:t>
      </w:r>
    </w:p>
    <w:p w:rsidR="00C258E0" w:rsidRPr="00AB4405" w:rsidRDefault="00C93C7E">
      <w:pPr>
        <w:numPr>
          <w:ilvl w:val="0"/>
          <w:numId w:val="4"/>
        </w:num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La implementación del programa del ordenamiento del transporte público, con el objeto de generar condiciones que garanticen a los mexiquenses el derecho de debida movilidad, desplazándose por el territorio estatal de manera eficiente, estableciendo plazos para actualizar concesiones y autorizaciones de derroteros como lo estableció el acuerdo que indica el </w:t>
      </w:r>
      <w:r w:rsidRPr="00AB4405">
        <w:rPr>
          <w:rFonts w:ascii="Palatino Linotype" w:eastAsia="Palatino Linotype" w:hAnsi="Palatino Linotype" w:cs="Palatino Linotype"/>
        </w:rPr>
        <w:lastRenderedPageBreak/>
        <w:t xml:space="preserve">SUJETO OBLIGADO, lo que implica que se estén llevando a cabo diversas acciones, procesos y procedimientos administrativos, programas y proyectos que mejoren la movilidad de los usuarios; además agrego que dicho programa no ha concluido y que no se han arrojado los resultados en donde se pueda determinar que las rutas o derroteros ya no sufran modificaciones, ya que no se han definido las rutas o derroteros que operan como alimentadores para los futiros sistemas de transporte masivo que se implementarán. </w:t>
      </w:r>
    </w:p>
    <w:p w:rsidR="00C258E0" w:rsidRPr="00AB4405" w:rsidRDefault="00C93C7E">
      <w:pPr>
        <w:numPr>
          <w:ilvl w:val="0"/>
          <w:numId w:val="4"/>
        </w:num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Que </w:t>
      </w:r>
      <w:r w:rsidRPr="00AB4405">
        <w:rPr>
          <w:rFonts w:ascii="Palatino Linotype" w:eastAsia="Palatino Linotype" w:hAnsi="Palatino Linotype" w:cs="Palatino Linotype"/>
          <w:color w:val="000000"/>
        </w:rPr>
        <w:t xml:space="preserve">derivado de un acuerdo del Secretario de Movilidad, por el cual se autoriza una extensión hasta el mes de diciembre del año en curso la culminación de los </w:t>
      </w:r>
      <w:r w:rsidRPr="00AB4405">
        <w:rPr>
          <w:rFonts w:ascii="Palatino Linotype" w:eastAsia="Palatino Linotype" w:hAnsi="Palatino Linotype" w:cs="Palatino Linotype"/>
        </w:rPr>
        <w:t>trámites</w:t>
      </w:r>
      <w:r w:rsidRPr="00AB4405">
        <w:rPr>
          <w:rFonts w:ascii="Palatino Linotype" w:eastAsia="Palatino Linotype" w:hAnsi="Palatino Linotype" w:cs="Palatino Linotype"/>
          <w:color w:val="000000"/>
        </w:rPr>
        <w:t xml:space="preserve"> de otorgamiento de concesiones y autorizaciones de base, terminales, derroteros, lanzaderas, alargamientos y modificaciones de derroteros que hayan iniciado, no concluidos y prorrogados, se deba clasificar la información; </w:t>
      </w:r>
    </w:p>
    <w:p w:rsidR="00C258E0" w:rsidRPr="00AB4405" w:rsidRDefault="00C258E0">
      <w:pPr>
        <w:spacing w:line="360" w:lineRule="auto"/>
        <w:ind w:left="720"/>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T</w:t>
      </w:r>
      <w:r w:rsidRPr="00AB4405">
        <w:rPr>
          <w:rFonts w:ascii="Palatino Linotype" w:eastAsia="Palatino Linotype" w:hAnsi="Palatino Linotype" w:cs="Palatino Linotype"/>
          <w:color w:val="000000"/>
        </w:rPr>
        <w:t>oda vez que el particular es claro en su solicitud al requerir l</w:t>
      </w:r>
      <w:r w:rsidRPr="00AB4405">
        <w:rPr>
          <w:rFonts w:ascii="Palatino Linotype" w:eastAsia="Palatino Linotype" w:hAnsi="Palatino Linotype" w:cs="Palatino Linotype"/>
          <w:b/>
          <w:color w:val="000000"/>
          <w:u w:val="single"/>
        </w:rPr>
        <w:t xml:space="preserve">as autorizaciones otorgadas </w:t>
      </w:r>
      <w:r w:rsidRPr="00AB4405">
        <w:rPr>
          <w:rFonts w:ascii="Palatino Linotype" w:eastAsia="Palatino Linotype" w:hAnsi="Palatino Linotype" w:cs="Palatino Linotype"/>
          <w:color w:val="000000"/>
        </w:rPr>
        <w:t xml:space="preserve">desde el año 1990  al tres de febrero del año 2022, no las que estén en trámite o </w:t>
      </w:r>
      <w:r w:rsidRPr="00AB4405">
        <w:rPr>
          <w:rFonts w:ascii="Palatino Linotype" w:eastAsia="Palatino Linotype" w:hAnsi="Palatino Linotype" w:cs="Palatino Linotype"/>
        </w:rPr>
        <w:t xml:space="preserve">prórroga que refieren medularmente en la fundamentación de la clasificación de la información, como se vio anteriormente. </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Por el contrario dar a conocer dicha información deslumbra el cumplimiento de las facultades de la Secretaría de Finanzas, ya que al entregar las autorizaciones otorgadas, se podrá advertir que se encuentran vigentes para la prestación del servicio público, aunado a que si hay prestación de dicho servicio de manera </w:t>
      </w:r>
      <w:r w:rsidRPr="00AB4405">
        <w:rPr>
          <w:rFonts w:ascii="Palatino Linotype" w:eastAsia="Palatino Linotype" w:hAnsi="Palatino Linotype" w:cs="Palatino Linotype"/>
        </w:rPr>
        <w:lastRenderedPageBreak/>
        <w:t xml:space="preserve">irregular, la publicidad del documento pretendido ayudaría a transparentar que los derroteros, bases y sitios autorizados, están establecidos de manera reglamentaria; es decir que cumplieron con los requisitos y trámites señalados para tal fin,  y otorgar certeza a la población en general, que actos de autoridad ejercidos por la Secretaría de Finanzas son acordes dentro de la legalidad. </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Por ello se considera que, dar a conocer las autorizaciones de bases, derroteros y sitios, contribuirá tanto a garantizar el ejercicio de acceso a la información, como a favorecer la rendición de cuentas a los  ciudadanos,  de  manera  que  puedan valorar el desempeño de la Secretaría de Finanzas, fortaleciendo el escrutinio ciudadano sobre sus actividades sustantivas, cumpliendo así con los ideales planteados en los  objetivos previstos en el artículo 2 de la Ley de Transparencia y Acceso a la información Pública del estado de México y Municipios.</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Por otra parte, se insiste que el particular requirió información de las autorizaciones de las bases, derroteros y bases, que estén en trámite; por lo que dicho argumento resulta improcedente.</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Máxime, que se considera que la información solicitada constituye incluso una obligación de transparencia en términos de lo señalado por el artículo 92 fracción XXXII, Ley de Transparencia y Acceso a la información Pública del estado de México y Municipios, que señala:</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ind w:left="567" w:right="47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lastRenderedPageBreak/>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C258E0" w:rsidRPr="00AB4405" w:rsidRDefault="00C93C7E">
      <w:pPr>
        <w:ind w:left="567" w:right="47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p>
    <w:p w:rsidR="00C258E0" w:rsidRPr="00AB4405" w:rsidRDefault="00C93C7E">
      <w:pPr>
        <w:ind w:left="567" w:right="47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XXXII. </w:t>
      </w:r>
      <w:r w:rsidRPr="00AB4405">
        <w:rPr>
          <w:rFonts w:ascii="Palatino Linotype" w:eastAsia="Palatino Linotype" w:hAnsi="Palatino Linotype" w:cs="Palatino Linotype"/>
          <w:b/>
          <w:i/>
          <w:sz w:val="22"/>
          <w:szCs w:val="22"/>
        </w:rPr>
        <w:t>Las concesiones</w:t>
      </w:r>
      <w:r w:rsidRPr="00AB4405">
        <w:rPr>
          <w:rFonts w:ascii="Palatino Linotype" w:eastAsia="Palatino Linotype" w:hAnsi="Palatino Linotype" w:cs="Palatino Linotype"/>
          <w:i/>
          <w:sz w:val="22"/>
          <w:szCs w:val="22"/>
        </w:rPr>
        <w:t xml:space="preserve">, contratos, convenios, permisos, licencias o </w:t>
      </w:r>
      <w:r w:rsidRPr="00AB4405">
        <w:rPr>
          <w:rFonts w:ascii="Palatino Linotype" w:eastAsia="Palatino Linotype" w:hAnsi="Palatino Linotype" w:cs="Palatino Linotype"/>
          <w:b/>
          <w:i/>
          <w:sz w:val="22"/>
          <w:szCs w:val="22"/>
        </w:rPr>
        <w:t>autorizaciones</w:t>
      </w:r>
      <w:r w:rsidRPr="00AB4405">
        <w:rPr>
          <w:rFonts w:ascii="Palatino Linotype" w:eastAsia="Palatino Linotype" w:hAnsi="Palatino Linotype" w:cs="Palatino Linotype"/>
          <w:i/>
          <w:sz w:val="22"/>
          <w:szCs w:val="22"/>
        </w:rPr>
        <w:t xml:space="preserve"> otorgados, </w:t>
      </w:r>
      <w:r w:rsidRPr="00AB4405">
        <w:rPr>
          <w:rFonts w:ascii="Palatino Linotype" w:eastAsia="Palatino Linotype" w:hAnsi="Palatino Linotype" w:cs="Palatino Linotype"/>
          <w:b/>
          <w:i/>
          <w:sz w:val="22"/>
          <w:szCs w:val="22"/>
        </w:rPr>
        <w:t xml:space="preserve">especificando los titulares de aquéllos, debiendo publicarse su objeto, nombre o razón social del titular, vigencia, tipo, términos, </w:t>
      </w:r>
      <w:r w:rsidRPr="00AB4405">
        <w:rPr>
          <w:rFonts w:ascii="Palatino Linotype" w:eastAsia="Palatino Linotype" w:hAnsi="Palatino Linotype" w:cs="Palatino Linotype"/>
          <w:i/>
          <w:sz w:val="22"/>
          <w:szCs w:val="22"/>
        </w:rPr>
        <w:t>condiciones, monto</w:t>
      </w:r>
      <w:r w:rsidRPr="00AB4405">
        <w:rPr>
          <w:rFonts w:ascii="Palatino Linotype" w:eastAsia="Palatino Linotype" w:hAnsi="Palatino Linotype" w:cs="Palatino Linotype"/>
          <w:b/>
          <w:i/>
          <w:sz w:val="22"/>
          <w:szCs w:val="22"/>
        </w:rPr>
        <w:t xml:space="preserve"> y modificaciones</w:t>
      </w:r>
      <w:r w:rsidRPr="00AB4405">
        <w:rPr>
          <w:rFonts w:ascii="Palatino Linotype" w:eastAsia="Palatino Linotype" w:hAnsi="Palatino Linotype" w:cs="Palatino Linotype"/>
          <w:i/>
          <w:sz w:val="22"/>
          <w:szCs w:val="22"/>
        </w:rPr>
        <w:t>, así como si el procedimiento involucra el aprovechamiento de bienes, servicios y/o recursos públicos…”(Sic)</w:t>
      </w:r>
    </w:p>
    <w:p w:rsidR="00C258E0" w:rsidRPr="00AB4405" w:rsidRDefault="00C258E0">
      <w:pPr>
        <w:ind w:left="567" w:right="476"/>
        <w:jc w:val="both"/>
        <w:rPr>
          <w:rFonts w:ascii="Palatino Linotype" w:eastAsia="Palatino Linotype" w:hAnsi="Palatino Linotype" w:cs="Palatino Linotype"/>
          <w:i/>
          <w:sz w:val="22"/>
          <w:szCs w:val="22"/>
        </w:rPr>
      </w:pPr>
    </w:p>
    <w:p w:rsidR="00C258E0" w:rsidRPr="00AB4405" w:rsidRDefault="00C93C7E">
      <w:pPr>
        <w:spacing w:line="360" w:lineRule="auto"/>
        <w:ind w:right="49"/>
        <w:jc w:val="both"/>
        <w:rPr>
          <w:rFonts w:ascii="Palatino Linotype" w:eastAsia="Palatino Linotype" w:hAnsi="Palatino Linotype" w:cs="Palatino Linotype"/>
        </w:rPr>
      </w:pPr>
      <w:bookmarkStart w:id="1" w:name="_heading=h.1fob9te" w:colFirst="0" w:colLast="0"/>
      <w:bookmarkEnd w:id="1"/>
      <w:r w:rsidRPr="00AB4405">
        <w:rPr>
          <w:rFonts w:ascii="Palatino Linotype" w:eastAsia="Palatino Linotype" w:hAnsi="Palatino Linotype" w:cs="Palatino Linotype"/>
        </w:rPr>
        <w:t xml:space="preserve">Razones por las cuales lo procedente es ordenar el documento o documentos en donde consten las autorizaciones de bases, derroteros y sitios para el transporte público, desde el primero de enero del año 1990 al tres de febrero del año 2022, que operan en el Estado de México y en versión pública en términos de lo señalado por el considerando quinto del presente fallo. </w:t>
      </w:r>
    </w:p>
    <w:p w:rsidR="002A5433" w:rsidRPr="00AB4405" w:rsidRDefault="002A5433">
      <w:pPr>
        <w:spacing w:line="360" w:lineRule="auto"/>
        <w:ind w:right="49"/>
        <w:jc w:val="both"/>
        <w:rPr>
          <w:rFonts w:ascii="Palatino Linotype" w:eastAsia="Palatino Linotype" w:hAnsi="Palatino Linotype" w:cs="Palatino Linotype"/>
        </w:rPr>
      </w:pPr>
    </w:p>
    <w:p w:rsidR="002A5433" w:rsidRPr="00AB4405" w:rsidRDefault="002A5433" w:rsidP="002A5433">
      <w:pPr>
        <w:spacing w:line="360" w:lineRule="auto"/>
        <w:ind w:right="49"/>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Por otro lado, no pasa desapercibido que en atención a la temporalidad de la información que se ordena, es conveniente señalar los siguientes conceptos de acuerdo a los </w:t>
      </w:r>
      <w:r w:rsidRPr="00AB4405">
        <w:rPr>
          <w:rFonts w:ascii="Palatino Linotype" w:eastAsia="Palatino Linotype" w:hAnsi="Palatino Linotype" w:cs="Palatino Linotype"/>
          <w:b/>
        </w:rPr>
        <w:t>Lineamientos para la Organización y Conservación de Archivos, emitidos por el Instituto Nacional de Acceso a la Información</w:t>
      </w:r>
      <w:r w:rsidRPr="00AB4405">
        <w:rPr>
          <w:rFonts w:ascii="Palatino Linotype" w:eastAsia="Palatino Linotype" w:hAnsi="Palatino Linotype" w:cs="Palatino Linotype"/>
        </w:rPr>
        <w:t xml:space="preserve"> (INAI), cuyo objeto es “establecer las políticas y criterios para la sistematización y digitalización, así como para la custodia y conservación de los archivos en posesión de los sujetos obligados, con la finalidad de garantizar la disponibilidad, la localización eficiente de la información generada, obtenida, adquirida, transformada y contar con sistemas de información, ágiles y eficientes”, al tenor de lo siguiente:</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“Cuarto.</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lastRenderedPageBreak/>
        <w:t>(…)</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II. Archivo: El conjunto orgánico de documentos en cualquier soporte, que son producidos o recibidos por los sujetos obligados o los particulares en el ejercicio de sus atribuciones o en el desarrollo de sus actividades;</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III. </w:t>
      </w:r>
      <w:r w:rsidRPr="00AB4405">
        <w:rPr>
          <w:rFonts w:ascii="Palatino Linotype" w:eastAsia="Palatino Linotype" w:hAnsi="Palatino Linotype" w:cs="Palatino Linotype"/>
          <w:b/>
          <w:i/>
          <w:sz w:val="22"/>
          <w:szCs w:val="22"/>
        </w:rPr>
        <w:t>Archivo de concentración: La unidad de la administración de documentos cuya consulta es esporádica y que permanecen en ella hasta su transferencia secundaria o baja documental;</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IV. Archivo histórico. La unidad responsable de la administración de los documentos de conservación permanente y que son fuente de acceso público;</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V. Archivo de trámite: La unidad responsable de la administración de documentos de uso cotidiano y necesario para el ejercicio de las atribuciones de una unidad administrativa, los cuales permanecen en ella hasta su transferencia primaria;</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VIII. </w:t>
      </w:r>
      <w:r w:rsidRPr="00AB4405">
        <w:rPr>
          <w:rFonts w:ascii="Palatino Linotype" w:eastAsia="Palatino Linotype" w:hAnsi="Palatino Linotype" w:cs="Palatino Linotype"/>
          <w:b/>
          <w:i/>
          <w:sz w:val="22"/>
          <w:szCs w:val="22"/>
        </w:rPr>
        <w:t>Baja documental. La eliminación de aquella documentación que haya prescrito en sus valores administrativos, legales, fiscales, contables, y que no contenga valores históricos;</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X. </w:t>
      </w:r>
      <w:r w:rsidRPr="00AB4405">
        <w:rPr>
          <w:rFonts w:ascii="Palatino Linotype" w:eastAsia="Palatino Linotype" w:hAnsi="Palatino Linotype" w:cs="Palatino Linotype"/>
          <w:b/>
          <w:i/>
          <w:sz w:val="22"/>
          <w:szCs w:val="22"/>
        </w:rPr>
        <w:t>Ciclo vital del documento: La etapas de los documentos desde su producción o recepción hasta su baja o transferencia a un archivo histórico;</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p>
    <w:p w:rsidR="002A5433" w:rsidRPr="00AB4405" w:rsidRDefault="002A5433" w:rsidP="002A5433">
      <w:pPr>
        <w:spacing w:before="240" w:after="240" w:line="276" w:lineRule="auto"/>
        <w:ind w:left="567" w:right="616"/>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XLVIII. Transferencia documental: El traslado controlado y sistemático de expedientes de consulta esporádica de un archivo de trámite al archivo de concentración (transferencia primaria) y de expedientes que deben conservarse de manera permanente, del archivo de concentración al archivo histórico (transferencia secundaria);</w:t>
      </w:r>
    </w:p>
    <w:p w:rsidR="002A5433" w:rsidRPr="00AB4405" w:rsidRDefault="002A5433" w:rsidP="002A5433">
      <w:pPr>
        <w:spacing w:before="240" w:after="240" w:line="360" w:lineRule="auto"/>
        <w:ind w:right="49"/>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Por lo expuesto, se colige que los documentos cuentan con un ciclo vital, entendiéndose como las etapas a las que se someten desde su producción o recepción hasta su baja o transferencia a un archivo histórico; siendo el Archivo de </w:t>
      </w:r>
      <w:r w:rsidRPr="00AB4405">
        <w:rPr>
          <w:rFonts w:ascii="Palatino Linotype" w:eastAsia="Palatino Linotype" w:hAnsi="Palatino Linotype" w:cs="Palatino Linotype"/>
        </w:rPr>
        <w:lastRenderedPageBreak/>
        <w:t>Trámite la primera etapa, en la que se depositan todos los archivos de uso cotidiano y que son necesarios para el ejercicio de las atribuciones de una entidad administrativa, y en la que permanecen hasta su transferencia primaria al Archivo de Concentración; en esta etapa se mantienen los archivos de consulta esporádica y permanecen allí hasta su transferencia secundaria al Archivo Histórico o su baja documental.</w:t>
      </w:r>
    </w:p>
    <w:p w:rsidR="002A5433" w:rsidRPr="00AB4405" w:rsidRDefault="002A5433" w:rsidP="002A5433">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Ahora bien, los artículos 30 y 31 de la Ley de Archivos y Administración de Documentos del Estado de México y Municipios, prevén que los sujetos obligados deberán contar con un archivo de trámite y uno de concentración, los cuales atenderán a lo siguiente: </w:t>
      </w:r>
    </w:p>
    <w:p w:rsidR="002A5433" w:rsidRPr="00AB4405" w:rsidRDefault="002A5433" w:rsidP="002A5433">
      <w:pPr>
        <w:spacing w:before="240" w:after="240" w:line="276" w:lineRule="auto"/>
        <w:ind w:left="567" w:right="851"/>
        <w:jc w:val="both"/>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i/>
          <w:sz w:val="22"/>
          <w:szCs w:val="22"/>
        </w:rPr>
        <w:t xml:space="preserve"> “Artículo 30. </w:t>
      </w:r>
      <w:r w:rsidRPr="00AB4405">
        <w:rPr>
          <w:rFonts w:ascii="Palatino Linotype" w:eastAsia="Palatino Linotype" w:hAnsi="Palatino Linotype" w:cs="Palatino Linotype"/>
          <w:b/>
          <w:i/>
          <w:sz w:val="22"/>
          <w:szCs w:val="22"/>
        </w:rPr>
        <w:t xml:space="preserve">Cada área o unidad administrativa debe contar con un Archivo de Trámite que tendrá las siguientes funciones: </w:t>
      </w:r>
    </w:p>
    <w:p w:rsidR="002A5433" w:rsidRPr="00AB4405" w:rsidRDefault="002A5433" w:rsidP="002A5433">
      <w:pPr>
        <w:numPr>
          <w:ilvl w:val="0"/>
          <w:numId w:val="5"/>
        </w:numPr>
        <w:pBdr>
          <w:top w:val="nil"/>
          <w:left w:val="nil"/>
          <w:bottom w:val="nil"/>
          <w:right w:val="nil"/>
          <w:between w:val="nil"/>
        </w:pBdr>
        <w:spacing w:before="240" w:after="240" w:line="276" w:lineRule="auto"/>
        <w:ind w:left="1276" w:right="851" w:hanging="142"/>
        <w:jc w:val="both"/>
        <w:rPr>
          <w:rFonts w:ascii="Palatino Linotype" w:eastAsia="Palatino Linotype" w:hAnsi="Palatino Linotype" w:cs="Palatino Linotype"/>
          <w:b/>
          <w:i/>
          <w:color w:val="000000"/>
          <w:sz w:val="22"/>
          <w:szCs w:val="22"/>
        </w:rPr>
      </w:pPr>
      <w:r w:rsidRPr="00AB4405">
        <w:rPr>
          <w:rFonts w:ascii="Palatino Linotype" w:eastAsia="Palatino Linotype" w:hAnsi="Palatino Linotype" w:cs="Palatino Linotype"/>
          <w:b/>
          <w:i/>
          <w:color w:val="000000"/>
          <w:sz w:val="22"/>
          <w:szCs w:val="22"/>
        </w:rPr>
        <w:t xml:space="preserve">Integrar y organizar los Expedientes que cada área o unidad, produzca, use y reciba; </w:t>
      </w:r>
    </w:p>
    <w:p w:rsidR="002A5433" w:rsidRPr="00AB4405" w:rsidRDefault="002A5433" w:rsidP="002A5433">
      <w:pPr>
        <w:numPr>
          <w:ilvl w:val="0"/>
          <w:numId w:val="5"/>
        </w:numPr>
        <w:pBdr>
          <w:top w:val="nil"/>
          <w:left w:val="nil"/>
          <w:bottom w:val="nil"/>
          <w:right w:val="nil"/>
          <w:between w:val="nil"/>
        </w:pBdr>
        <w:spacing w:before="240" w:after="240" w:line="276" w:lineRule="auto"/>
        <w:ind w:left="1276" w:right="851" w:hanging="14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 xml:space="preserve">Asegurar la localización y consulta de los Expedientes mediante la elaboración de los Inventarios Documentales; </w:t>
      </w:r>
    </w:p>
    <w:p w:rsidR="002A5433" w:rsidRPr="00AB4405" w:rsidRDefault="002A5433" w:rsidP="002A5433">
      <w:pPr>
        <w:numPr>
          <w:ilvl w:val="0"/>
          <w:numId w:val="5"/>
        </w:numPr>
        <w:pBdr>
          <w:top w:val="nil"/>
          <w:left w:val="nil"/>
          <w:bottom w:val="nil"/>
          <w:right w:val="nil"/>
          <w:between w:val="nil"/>
        </w:pBdr>
        <w:spacing w:before="240" w:after="240" w:line="276" w:lineRule="auto"/>
        <w:ind w:left="1276" w:right="851" w:hanging="14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b/>
          <w:i/>
          <w:color w:val="000000"/>
          <w:sz w:val="22"/>
          <w:szCs w:val="22"/>
        </w:rPr>
        <w:t>Resguardar los Archivos y la información que haya sido clasificada de acuerdo con la legislación en materia de transparencia y acceso a la información pública, en tanto conserve tal carácter</w:t>
      </w:r>
      <w:r w:rsidRPr="00AB4405">
        <w:rPr>
          <w:rFonts w:ascii="Palatino Linotype" w:eastAsia="Palatino Linotype" w:hAnsi="Palatino Linotype" w:cs="Palatino Linotype"/>
          <w:i/>
          <w:color w:val="000000"/>
          <w:sz w:val="22"/>
          <w:szCs w:val="22"/>
        </w:rPr>
        <w:t xml:space="preserve">; </w:t>
      </w:r>
    </w:p>
    <w:p w:rsidR="002A5433" w:rsidRPr="00AB4405" w:rsidRDefault="002A5433" w:rsidP="002A5433">
      <w:pPr>
        <w:numPr>
          <w:ilvl w:val="0"/>
          <w:numId w:val="5"/>
        </w:numPr>
        <w:pBdr>
          <w:top w:val="nil"/>
          <w:left w:val="nil"/>
          <w:bottom w:val="nil"/>
          <w:right w:val="nil"/>
          <w:between w:val="nil"/>
        </w:pBdr>
        <w:spacing w:before="240" w:after="240" w:line="276" w:lineRule="auto"/>
        <w:ind w:left="1276" w:right="851" w:hanging="14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 xml:space="preserve">Colaborar con el Área Coordinadora de Archivos en la elaboración de los Instrumentos de Control Archivístico previstos en esta Ley y sus disposiciones reglamentarias; </w:t>
      </w:r>
    </w:p>
    <w:p w:rsidR="002A5433" w:rsidRPr="00AB4405" w:rsidRDefault="002A5433" w:rsidP="002A5433">
      <w:pPr>
        <w:numPr>
          <w:ilvl w:val="0"/>
          <w:numId w:val="5"/>
        </w:numPr>
        <w:pBdr>
          <w:top w:val="nil"/>
          <w:left w:val="nil"/>
          <w:bottom w:val="nil"/>
          <w:right w:val="nil"/>
          <w:between w:val="nil"/>
        </w:pBdr>
        <w:spacing w:before="240" w:after="240" w:line="276" w:lineRule="auto"/>
        <w:ind w:left="1276" w:right="851" w:hanging="14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 xml:space="preserve">Trabajar de acuerdo con los criterios específicos y recomendaciones dictados por el Consejo Estatal y el Área Coordinadora de Archivos; </w:t>
      </w:r>
    </w:p>
    <w:p w:rsidR="002A5433" w:rsidRPr="00AB4405" w:rsidRDefault="002A5433" w:rsidP="002A5433">
      <w:pPr>
        <w:numPr>
          <w:ilvl w:val="0"/>
          <w:numId w:val="5"/>
        </w:numPr>
        <w:pBdr>
          <w:top w:val="nil"/>
          <w:left w:val="nil"/>
          <w:bottom w:val="nil"/>
          <w:right w:val="nil"/>
          <w:between w:val="nil"/>
        </w:pBdr>
        <w:spacing w:before="240" w:after="240" w:line="276" w:lineRule="auto"/>
        <w:ind w:left="1276" w:right="851" w:hanging="142"/>
        <w:jc w:val="both"/>
        <w:rPr>
          <w:rFonts w:ascii="Palatino Linotype" w:eastAsia="Palatino Linotype" w:hAnsi="Palatino Linotype" w:cs="Palatino Linotype"/>
          <w:b/>
          <w:i/>
          <w:color w:val="000000"/>
          <w:sz w:val="22"/>
          <w:szCs w:val="22"/>
        </w:rPr>
      </w:pPr>
      <w:r w:rsidRPr="00AB4405">
        <w:rPr>
          <w:rFonts w:ascii="Palatino Linotype" w:eastAsia="Palatino Linotype" w:hAnsi="Palatino Linotype" w:cs="Palatino Linotype"/>
          <w:b/>
          <w:i/>
          <w:color w:val="000000"/>
          <w:sz w:val="22"/>
          <w:szCs w:val="22"/>
        </w:rPr>
        <w:lastRenderedPageBreak/>
        <w:t xml:space="preserve">Realizar las Transferencias Primarias, y </w:t>
      </w:r>
    </w:p>
    <w:p w:rsidR="002A5433" w:rsidRPr="00AB4405" w:rsidRDefault="002A5433" w:rsidP="002A5433">
      <w:pPr>
        <w:numPr>
          <w:ilvl w:val="0"/>
          <w:numId w:val="5"/>
        </w:numPr>
        <w:pBdr>
          <w:top w:val="nil"/>
          <w:left w:val="nil"/>
          <w:bottom w:val="nil"/>
          <w:right w:val="nil"/>
          <w:between w:val="nil"/>
        </w:pBdr>
        <w:spacing w:before="240" w:after="240" w:line="276" w:lineRule="auto"/>
        <w:ind w:left="1276" w:right="851" w:hanging="14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 xml:space="preserve">Las que establezcan las disposiciones jurídicas aplicables. Las personas responsables de los Archivos de Trámite deben contar con los conocimientos, habilidades, competencias y experiencia archivísticos acordes a su responsabilidad; de no ser así, las y los titulares de las unidades administrativas tienen la obligación de establecer las condiciones que permitan la capacitación de los responsables para el buen funcionamiento de sus Archivos. </w:t>
      </w:r>
    </w:p>
    <w:p w:rsidR="002A5433" w:rsidRPr="00AB4405" w:rsidRDefault="002A5433" w:rsidP="002A5433">
      <w:pPr>
        <w:pBdr>
          <w:top w:val="nil"/>
          <w:left w:val="nil"/>
          <w:bottom w:val="nil"/>
          <w:right w:val="nil"/>
          <w:between w:val="nil"/>
        </w:pBdr>
        <w:spacing w:before="240" w:after="240" w:line="276" w:lineRule="auto"/>
        <w:ind w:left="567" w:right="851"/>
        <w:jc w:val="both"/>
        <w:rPr>
          <w:rFonts w:ascii="Palatino Linotype" w:eastAsia="Palatino Linotype" w:hAnsi="Palatino Linotype" w:cs="Palatino Linotype"/>
          <w:b/>
          <w:i/>
          <w:color w:val="000000"/>
          <w:sz w:val="22"/>
          <w:szCs w:val="22"/>
        </w:rPr>
      </w:pPr>
      <w:r w:rsidRPr="00AB4405">
        <w:rPr>
          <w:rFonts w:ascii="Palatino Linotype" w:eastAsia="Palatino Linotype" w:hAnsi="Palatino Linotype" w:cs="Palatino Linotype"/>
          <w:b/>
          <w:i/>
          <w:color w:val="000000"/>
          <w:sz w:val="22"/>
          <w:szCs w:val="22"/>
        </w:rPr>
        <w:t xml:space="preserve">Artículo 31. Cada Sujeto Obligado debe contar con un Archivo de Concentración, que tendrá las siguientes funciones: </w:t>
      </w:r>
    </w:p>
    <w:p w:rsidR="002A5433" w:rsidRPr="00AB4405" w:rsidRDefault="002A5433" w:rsidP="002A5433">
      <w:pPr>
        <w:numPr>
          <w:ilvl w:val="0"/>
          <w:numId w:val="6"/>
        </w:numPr>
        <w:pBdr>
          <w:top w:val="nil"/>
          <w:left w:val="nil"/>
          <w:bottom w:val="nil"/>
          <w:right w:val="nil"/>
          <w:between w:val="nil"/>
        </w:pBdr>
        <w:spacing w:before="240" w:after="240" w:line="276" w:lineRule="auto"/>
        <w:ind w:left="1418" w:right="851" w:hanging="425"/>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 xml:space="preserve">Asegurar y describir los Fondos Documentales bajo su resguardo, así como la consulta de los Expedientes; </w:t>
      </w:r>
    </w:p>
    <w:p w:rsidR="002A5433" w:rsidRPr="00AB4405" w:rsidRDefault="002A5433" w:rsidP="002A5433">
      <w:pPr>
        <w:numPr>
          <w:ilvl w:val="0"/>
          <w:numId w:val="6"/>
        </w:numPr>
        <w:pBdr>
          <w:top w:val="nil"/>
          <w:left w:val="nil"/>
          <w:bottom w:val="nil"/>
          <w:right w:val="nil"/>
          <w:between w:val="nil"/>
        </w:pBdr>
        <w:spacing w:before="240" w:after="240" w:line="276" w:lineRule="auto"/>
        <w:ind w:left="1418" w:right="851" w:hanging="425"/>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 xml:space="preserve">Recibir las Transferencias Primarias y brindar servicios de préstamo y consulta a las unidades o áreas administrativas productoras de la documentación que resguarda; </w:t>
      </w:r>
    </w:p>
    <w:p w:rsidR="002A5433" w:rsidRPr="00AB4405" w:rsidRDefault="002A5433" w:rsidP="002A5433">
      <w:pPr>
        <w:numPr>
          <w:ilvl w:val="0"/>
          <w:numId w:val="6"/>
        </w:numPr>
        <w:pBdr>
          <w:top w:val="nil"/>
          <w:left w:val="nil"/>
          <w:bottom w:val="nil"/>
          <w:right w:val="nil"/>
          <w:between w:val="nil"/>
        </w:pBdr>
        <w:spacing w:before="240" w:after="240" w:line="276" w:lineRule="auto"/>
        <w:ind w:left="1418" w:right="851" w:hanging="425"/>
        <w:jc w:val="both"/>
        <w:rPr>
          <w:rFonts w:ascii="Palatino Linotype" w:eastAsia="Palatino Linotype" w:hAnsi="Palatino Linotype" w:cs="Palatino Linotype"/>
          <w:b/>
          <w:i/>
          <w:color w:val="000000"/>
          <w:sz w:val="22"/>
          <w:szCs w:val="22"/>
        </w:rPr>
      </w:pPr>
      <w:r w:rsidRPr="00AB4405">
        <w:rPr>
          <w:rFonts w:ascii="Palatino Linotype" w:eastAsia="Palatino Linotype" w:hAnsi="Palatino Linotype" w:cs="Palatino Linotype"/>
          <w:b/>
          <w:i/>
          <w:color w:val="000000"/>
          <w:sz w:val="22"/>
          <w:szCs w:val="22"/>
        </w:rPr>
        <w:t xml:space="preserve">Conservar los Expedientes hasta cumplir su Vigencia Documental de acuerdo con lo establecido en el Catálogo de Disposición Documental; </w:t>
      </w:r>
    </w:p>
    <w:p w:rsidR="002A5433" w:rsidRPr="00AB4405" w:rsidRDefault="002A5433" w:rsidP="002A5433">
      <w:pPr>
        <w:numPr>
          <w:ilvl w:val="0"/>
          <w:numId w:val="6"/>
        </w:numPr>
        <w:pBdr>
          <w:top w:val="nil"/>
          <w:left w:val="nil"/>
          <w:bottom w:val="nil"/>
          <w:right w:val="nil"/>
          <w:between w:val="nil"/>
        </w:pBdr>
        <w:spacing w:before="240" w:after="240" w:line="276" w:lineRule="auto"/>
        <w:ind w:left="1418" w:right="851" w:hanging="425"/>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b/>
          <w:i/>
          <w:color w:val="000000"/>
          <w:sz w:val="22"/>
          <w:szCs w:val="22"/>
        </w:rPr>
        <w:t>Colaborar con el Área Coordinadora de Archivos en la elaboración de los Instrumentos de Control Archivístico previstos en esta Ley y en sus disposiciones reglamentarias;”</w:t>
      </w:r>
      <w:r w:rsidRPr="00AB4405">
        <w:rPr>
          <w:rFonts w:ascii="Palatino Linotype" w:eastAsia="Palatino Linotype" w:hAnsi="Palatino Linotype" w:cs="Palatino Linotype"/>
          <w:i/>
          <w:color w:val="000000"/>
          <w:sz w:val="22"/>
          <w:szCs w:val="22"/>
        </w:rPr>
        <w:t xml:space="preserve"> (Sic) </w:t>
      </w:r>
    </w:p>
    <w:p w:rsidR="002A5433" w:rsidRPr="00AB4405" w:rsidRDefault="002A5433" w:rsidP="002A5433">
      <w:pPr>
        <w:pBdr>
          <w:top w:val="nil"/>
          <w:left w:val="nil"/>
          <w:bottom w:val="nil"/>
          <w:right w:val="nil"/>
          <w:between w:val="nil"/>
        </w:pBdr>
        <w:spacing w:before="240" w:after="240" w:line="276" w:lineRule="auto"/>
        <w:ind w:left="1418" w:right="851"/>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(Énfasis añadido)</w:t>
      </w:r>
    </w:p>
    <w:p w:rsidR="002A5433" w:rsidRPr="00AB4405" w:rsidRDefault="002A5433" w:rsidP="002A5433">
      <w:pPr>
        <w:spacing w:before="240"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De lo anteriormente citado, se desprende que corresponde al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la integración y organización de los expedientes, así como la realización de transferencias primarias y posteriormente la conservación de los expedientes hasta </w:t>
      </w:r>
      <w:r w:rsidRPr="00AB4405">
        <w:rPr>
          <w:rFonts w:ascii="Palatino Linotype" w:eastAsia="Palatino Linotype" w:hAnsi="Palatino Linotype" w:cs="Palatino Linotype"/>
        </w:rPr>
        <w:lastRenderedPageBreak/>
        <w:t xml:space="preserve">cumplir su vigencia documental, para ello deberán observar lo que dispone el Catálogo de Disposición Documental. </w:t>
      </w: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Finalmente, sobre los motivos de inconformidad del </w:t>
      </w:r>
      <w:r w:rsidRPr="00AB4405">
        <w:rPr>
          <w:rFonts w:ascii="Palatino Linotype" w:eastAsia="Palatino Linotype" w:hAnsi="Palatino Linotype" w:cs="Palatino Linotype"/>
          <w:b/>
        </w:rPr>
        <w:t>RECURRENTE</w:t>
      </w:r>
      <w:r w:rsidRPr="00AB4405">
        <w:rPr>
          <w:rFonts w:ascii="Palatino Linotype" w:eastAsia="Palatino Linotype" w:hAnsi="Palatino Linotype" w:cs="Palatino Linotype"/>
        </w:rPr>
        <w:t xml:space="preserve">, en donde señala </w:t>
      </w:r>
      <w:r w:rsidRPr="00AB4405">
        <w:rPr>
          <w:rFonts w:ascii="Palatino Linotype" w:eastAsia="Palatino Linotype" w:hAnsi="Palatino Linotype" w:cs="Palatino Linotype"/>
          <w:i/>
        </w:rPr>
        <w:t>“…</w:t>
      </w:r>
      <w:r w:rsidRPr="00AB4405">
        <w:rPr>
          <w:rFonts w:ascii="Palatino Linotype" w:eastAsia="Palatino Linotype" w:hAnsi="Palatino Linotype" w:cs="Palatino Linotype"/>
          <w:i/>
          <w:color w:val="000000"/>
          <w:sz w:val="22"/>
          <w:szCs w:val="22"/>
        </w:rPr>
        <w:t>a demás de entregar una acta son validez ya que carece de las firmas</w:t>
      </w:r>
      <w:r w:rsidRPr="00AB4405">
        <w:rPr>
          <w:rFonts w:ascii="Palatino Linotype" w:eastAsia="Palatino Linotype" w:hAnsi="Palatino Linotype" w:cs="Palatino Linotype"/>
          <w:i/>
        </w:rPr>
        <w:t>”</w:t>
      </w:r>
      <w:r w:rsidRPr="00AB4405">
        <w:rPr>
          <w:rFonts w:ascii="Palatino Linotype" w:eastAsia="Palatino Linotype" w:hAnsi="Palatino Linotype" w:cs="Palatino Linotype"/>
        </w:rPr>
        <w:t xml:space="preserve"> y “</w:t>
      </w:r>
      <w:r w:rsidRPr="00AB4405">
        <w:rPr>
          <w:rFonts w:ascii="Palatino Linotype" w:eastAsia="Palatino Linotype" w:hAnsi="Palatino Linotype" w:cs="Palatino Linotype"/>
          <w:i/>
          <w:color w:val="000000"/>
          <w:sz w:val="22"/>
          <w:szCs w:val="22"/>
        </w:rPr>
        <w:t>No me entregan la información solicitada y carece de firmas por lo que no es valido su acuerdo</w:t>
      </w:r>
      <w:r w:rsidRPr="00AB4405">
        <w:rPr>
          <w:rFonts w:ascii="Palatino Linotype" w:eastAsia="Palatino Linotype" w:hAnsi="Palatino Linotype" w:cs="Palatino Linotype"/>
        </w:rPr>
        <w:t xml:space="preserve">” (Sic) </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bookmarkStart w:id="2" w:name="_heading=h.gjdgxs" w:colFirst="0" w:colLast="0"/>
      <w:bookmarkEnd w:id="2"/>
      <w:r w:rsidRPr="00AB4405">
        <w:rPr>
          <w:rFonts w:ascii="Palatino Linotype" w:eastAsia="Palatino Linotype" w:hAnsi="Palatino Linotype" w:cs="Palatino Linotype"/>
        </w:rPr>
        <w:t>Es pertinente aclarar que todos los acuerdos emitidos por los Comités de Transparencia para que sean válidos en necesario que sean firmados por cada uno de los integrantes que conforman los Comités de Transparencia, toda vez que una de las finalidades por las que se crearon dichos Comités en términos de lo señalado por el artículo 49 fracción VIII y XII de la Ley de la Materia, son las siguientes:</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“Artículo 49. Los Comités de Transparencia tendrán las siguientes atribuciones: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I. Instituir, coordinar y supervisar en términos de las disposiciones aplicables, las acciones, medidas y procedimientos que coadyuven a asegurar una mayor eficacia en la gestión y atención de las solicitudes en materia de acceso a la información;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II. Confirmar, modificar o revocar las determinaciones que en materia de ampliación del plazo de respuesta, clasificación de la información y declaración de inexistencia o de incompetencia realicen los titulares de las áreas de los sujetos obligados;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III. Ordenar, en su caso a las áreas competentes que generen la información que derivado de sus facultades, competencias y funciones deban tener en posesión o que previa acreditación de la imposibilidad de su generación, exponga, de forma fundada y motivada las razones por las cuales, en el caso particular, no ejercieron dichas facultades, competencias o funciones;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lastRenderedPageBreak/>
        <w:t xml:space="preserve">IV. Establecer políticas para facilitar la obtención y entrega de información en las solicitudes que permita el adecuado ejercicio del derecho de acceso a la información; V. Promover la capacitación y actualización de los servidores públicos o integrantes adscritos a las unidades de transparencia;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VI. Establecer programas de capacitación en materia de transparencia, acceso a la información, accesibilidad y protección de datos personales, para todos los servidores públicos o integrantes del sujeto obligado;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VII. Solicitar y autorizar la ampliación del plazo de reserva de la información a que se refiere esta Ley;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VIII. Aprobar, modificar o revocar la clasificación de la información</w:t>
      </w:r>
      <w:r w:rsidRPr="00AB4405">
        <w:rPr>
          <w:rFonts w:ascii="Palatino Linotype" w:eastAsia="Palatino Linotype" w:hAnsi="Palatino Linotype" w:cs="Palatino Linotype"/>
          <w:i/>
          <w:sz w:val="22"/>
          <w:szCs w:val="22"/>
        </w:rPr>
        <w:t xml:space="preserve">; IX. Supervisar la aplicación de los lineamientos en materia de acceso a la información pública para el manejo, mantenimiento y seguridad de los datos personales, así como de los criterios de clasificación expedidos por el Instituto; X. Elaborar un programa para facilitar la sistematización y actualización de la información, mismo que deberá remitirse al Instituto dentro de los primeros veinte días de cada año;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XI. Recabar y enviar al Instituto, de conformidad con los lineamientos que éste expida, los datos necesarios para la elaboración del informe anual; </w:t>
      </w:r>
    </w:p>
    <w:p w:rsidR="00C258E0" w:rsidRPr="00AB4405" w:rsidRDefault="00C93C7E">
      <w:pPr>
        <w:spacing w:before="120" w:after="120"/>
        <w:ind w:left="1134" w:right="902"/>
        <w:jc w:val="both"/>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t xml:space="preserve">XII. Emitir las resoluciones que correspondan para la atención de las solicitudes de información;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XIII.Dictaminar las declaratorias de inexistencia de la información que les remitan las unidades administrativas y resolver en consecuencia;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XIV. Supervisar el registro y actualización de las solicitudes de acceso a la información, así como sus trámites, costos y resultados;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XV. Fomentar la cultura de transparencia;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 xml:space="preserve">XVI. Supervisar el cumplimiento de criterios y lineamientos en materia de información clasificada; XVII. Vigilar el cumplimiento de las resoluciones y recomendaciones que emita el Instituto; y </w:t>
      </w:r>
    </w:p>
    <w:p w:rsidR="00C258E0" w:rsidRPr="00AB4405" w:rsidRDefault="00C93C7E">
      <w:pPr>
        <w:spacing w:before="120" w:after="120"/>
        <w:ind w:left="1134" w:right="902"/>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XVIII.Las demás que se desprendan de la presente Ley y las disposiciones jurídicas aplicables, que faciliten el acceso a la información.</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Luego entonces en el presente caso, si bien es cierto que en respuesta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remitió los acuerdos por medio de los cuales se reserva la información </w:t>
      </w:r>
      <w:r w:rsidRPr="00AB4405">
        <w:rPr>
          <w:rFonts w:ascii="Palatino Linotype" w:eastAsia="Palatino Linotype" w:hAnsi="Palatino Linotype" w:cs="Palatino Linotype"/>
        </w:rPr>
        <w:lastRenderedPageBreak/>
        <w:t xml:space="preserve">solicitada careciendo las actas de la trigésima y trigésima primera del Comité de Transparencia de la Secretaría de Movilidad, de las firmas de sus integrantes, lo cierto lo es que dicha deficiencia se subsanó con las actas que remitió en sus informes justificados, en donde se aprecia las firmas de cada uno de los integrantes del Comité de Transparencia.  </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Quinto. Versión Pública. </w:t>
      </w:r>
      <w:r w:rsidRPr="00AB4405">
        <w:rPr>
          <w:rFonts w:ascii="Palatino Linotype" w:eastAsia="Palatino Linotype" w:hAnsi="Palatino Linotype" w:cs="Palatino Linotype"/>
        </w:rPr>
        <w:t>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Sujeto Obligado tendrá que hacer la elaboración de una versión pública de los documentos que vaya entregar para dar cumplimiento a esta resolución, a fin de satisfacer el derecho de acceso a la información pública del RECURRENTE sin menoscabar el derecho a la protección de los datos personales de terceros.</w:t>
      </w:r>
    </w:p>
    <w:p w:rsidR="00C258E0" w:rsidRPr="00AB4405" w:rsidRDefault="00C93C7E">
      <w:pPr>
        <w:spacing w:before="240" w:after="240" w:line="360" w:lineRule="auto"/>
        <w:ind w:right="50"/>
        <w:jc w:val="both"/>
        <w:rPr>
          <w:rFonts w:ascii="Palatino Linotype" w:eastAsia="Palatino Linotype" w:hAnsi="Palatino Linotype" w:cs="Palatino Linotype"/>
        </w:rPr>
      </w:pPr>
      <w:r w:rsidRPr="00AB4405">
        <w:rPr>
          <w:rFonts w:ascii="Palatino Linotype" w:eastAsia="Palatino Linotype" w:hAnsi="Palatino Linotype" w:cs="Palatino Linotype"/>
        </w:rPr>
        <w:t>Lo anterior, de conformidad a lo que señalan los artículos 3, fracciones IX, XX, XXXII, XLV; 6, 137 y 143 fracción I, de la Ley de Transparencia y Acceso a la Información Pública del Estado de México y Municipios vigente, que se leen como sigue:</w:t>
      </w:r>
    </w:p>
    <w:p w:rsidR="00C258E0" w:rsidRPr="00AB4405" w:rsidRDefault="00C93C7E">
      <w:pPr>
        <w:ind w:left="993" w:right="1041"/>
        <w:jc w:val="both"/>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t xml:space="preserve"> “Artículo 3. Para los efectos de la presente Ley se entenderá por:</w:t>
      </w:r>
    </w:p>
    <w:p w:rsidR="00C258E0" w:rsidRPr="00AB4405" w:rsidRDefault="00C93C7E">
      <w:pPr>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IX. Datos personales:</w:t>
      </w:r>
      <w:r w:rsidRPr="00AB4405">
        <w:rPr>
          <w:rFonts w:ascii="Palatino Linotype" w:eastAsia="Palatino Linotype" w:hAnsi="Palatino Linotype" w:cs="Palatino Linotype"/>
          <w:i/>
          <w:sz w:val="22"/>
          <w:szCs w:val="22"/>
        </w:rPr>
        <w:t xml:space="preserve"> </w:t>
      </w:r>
      <w:r w:rsidRPr="00AB4405">
        <w:rPr>
          <w:rFonts w:ascii="Palatino Linotype" w:eastAsia="Palatino Linotype" w:hAnsi="Palatino Linotype" w:cs="Palatino Linotype"/>
          <w:b/>
          <w:i/>
          <w:sz w:val="22"/>
          <w:szCs w:val="22"/>
        </w:rPr>
        <w:t>La información concerniente a una persona, identificada o identificable</w:t>
      </w:r>
      <w:r w:rsidRPr="00AB4405">
        <w:rPr>
          <w:rFonts w:ascii="Palatino Linotype" w:eastAsia="Palatino Linotype" w:hAnsi="Palatino Linotype" w:cs="Palatino Linotype"/>
          <w:i/>
          <w:sz w:val="22"/>
          <w:szCs w:val="22"/>
        </w:rPr>
        <w:t xml:space="preserve"> según lo dispuesto por la Ley de Protección de Datos Personales del Estado de México;</w:t>
      </w:r>
    </w:p>
    <w:p w:rsidR="00C258E0" w:rsidRPr="00AB4405" w:rsidRDefault="00C93C7E">
      <w:pPr>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XX. Información clasificada:</w:t>
      </w:r>
      <w:r w:rsidRPr="00AB4405">
        <w:rPr>
          <w:rFonts w:ascii="Palatino Linotype" w:eastAsia="Palatino Linotype" w:hAnsi="Palatino Linotype" w:cs="Palatino Linotype"/>
          <w:i/>
          <w:sz w:val="22"/>
          <w:szCs w:val="22"/>
        </w:rPr>
        <w:t xml:space="preserve"> Aquella considerada por la presente Ley como reservada o confidencial;</w:t>
      </w:r>
    </w:p>
    <w:p w:rsidR="00C258E0" w:rsidRPr="00AB4405" w:rsidRDefault="00C93C7E">
      <w:pPr>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lastRenderedPageBreak/>
        <w:t>XXXII. Protección de Datos Personales:</w:t>
      </w:r>
      <w:r w:rsidRPr="00AB4405">
        <w:rPr>
          <w:rFonts w:ascii="Palatino Linotype" w:eastAsia="Palatino Linotype" w:hAnsi="Palatino Linotype" w:cs="Palatino Linotype"/>
          <w:i/>
          <w:sz w:val="22"/>
          <w:szCs w:val="22"/>
        </w:rPr>
        <w:t xml:space="preserve"> Derecho humano que tutela la privacidad de datos personales en poder de los sujetos obligados y sujetos particulares;</w:t>
      </w:r>
    </w:p>
    <w:p w:rsidR="00C258E0" w:rsidRPr="00AB4405" w:rsidRDefault="00C93C7E">
      <w:pPr>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XLV. Versión pública</w:t>
      </w:r>
      <w:r w:rsidRPr="00AB4405">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rsidR="00C258E0" w:rsidRPr="00AB4405" w:rsidRDefault="00C258E0">
      <w:pPr>
        <w:ind w:left="993" w:right="1041"/>
        <w:jc w:val="both"/>
        <w:rPr>
          <w:rFonts w:ascii="Palatino Linotype" w:eastAsia="Palatino Linotype" w:hAnsi="Palatino Linotype" w:cs="Palatino Linotype"/>
          <w:i/>
          <w:sz w:val="22"/>
          <w:szCs w:val="22"/>
        </w:rPr>
      </w:pPr>
    </w:p>
    <w:p w:rsidR="00C258E0" w:rsidRPr="00AB4405" w:rsidRDefault="00C93C7E">
      <w:pPr>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6.</w:t>
      </w:r>
      <w:r w:rsidRPr="00AB4405">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rsidR="00C258E0" w:rsidRPr="00AB4405" w:rsidRDefault="00C258E0">
      <w:pPr>
        <w:ind w:left="993" w:right="1041"/>
        <w:jc w:val="both"/>
        <w:rPr>
          <w:rFonts w:ascii="Palatino Linotype" w:eastAsia="Palatino Linotype" w:hAnsi="Palatino Linotype" w:cs="Palatino Linotype"/>
          <w:i/>
          <w:sz w:val="22"/>
          <w:szCs w:val="22"/>
        </w:rPr>
      </w:pPr>
    </w:p>
    <w:p w:rsidR="00C258E0" w:rsidRPr="00AB4405" w:rsidRDefault="00C93C7E">
      <w:pPr>
        <w:ind w:left="993" w:right="1041"/>
        <w:jc w:val="both"/>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t>“Artículo 137.</w:t>
      </w:r>
      <w:r w:rsidRPr="00AB4405">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C258E0" w:rsidRPr="00AB4405" w:rsidRDefault="00C258E0">
      <w:pPr>
        <w:ind w:left="993" w:right="1041"/>
        <w:jc w:val="both"/>
        <w:rPr>
          <w:rFonts w:ascii="Palatino Linotype" w:eastAsia="Palatino Linotype" w:hAnsi="Palatino Linotype" w:cs="Palatino Linotype"/>
          <w:b/>
          <w:i/>
          <w:sz w:val="22"/>
          <w:szCs w:val="22"/>
        </w:rPr>
      </w:pPr>
    </w:p>
    <w:p w:rsidR="00C258E0" w:rsidRPr="00AB4405" w:rsidRDefault="00C93C7E">
      <w:pPr>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143</w:t>
      </w:r>
      <w:r w:rsidRPr="00AB4405">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rsidR="00C258E0" w:rsidRPr="00AB4405" w:rsidRDefault="00C93C7E">
      <w:pPr>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w:t>
      </w:r>
      <w:r w:rsidRPr="00AB4405">
        <w:rPr>
          <w:rFonts w:ascii="Palatino Linotype" w:eastAsia="Palatino Linotype" w:hAnsi="Palatino Linotype" w:cs="Palatino Linotype"/>
          <w:i/>
          <w:sz w:val="22"/>
          <w:szCs w:val="22"/>
        </w:rPr>
        <w:t xml:space="preserve"> Se refiera a la información privada y los datos personales concernientes a una persona física o jurídica colectiva identificada o identificable;</w:t>
      </w:r>
    </w:p>
    <w:p w:rsidR="00C258E0" w:rsidRPr="00AB4405" w:rsidRDefault="00C93C7E">
      <w:pPr>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rsidR="00C258E0" w:rsidRPr="00AB4405" w:rsidRDefault="00C93C7E">
      <w:pPr>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III. La que presenten los particulares a los sujetos obligados, de conformidad con lo dispuesto por las leyes o los tratados internacionales.” (Sic)</w:t>
      </w:r>
    </w:p>
    <w:p w:rsidR="00C258E0" w:rsidRPr="00AB4405" w:rsidRDefault="00C258E0">
      <w:pPr>
        <w:ind w:left="993" w:right="1041"/>
        <w:jc w:val="both"/>
        <w:rPr>
          <w:rFonts w:ascii="Palatino Linotype" w:eastAsia="Palatino Linotype" w:hAnsi="Palatino Linotype" w:cs="Palatino Linotype"/>
          <w:i/>
          <w:sz w:val="22"/>
          <w:szCs w:val="22"/>
        </w:rPr>
      </w:pPr>
    </w:p>
    <w:p w:rsidR="00C258E0" w:rsidRPr="00AB4405" w:rsidRDefault="00C93C7E">
      <w:pPr>
        <w:spacing w:line="360" w:lineRule="auto"/>
        <w:ind w:right="51"/>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w:t>
      </w:r>
      <w:r w:rsidRPr="00AB4405">
        <w:rPr>
          <w:rFonts w:ascii="Palatino Linotype" w:eastAsia="Palatino Linotype" w:hAnsi="Palatino Linotype" w:cs="Palatino Linotype"/>
        </w:rPr>
        <w:lastRenderedPageBreak/>
        <w:t>mismo, testando las secciones o datos que deban ser clasificados; por ende el Sujeto Obligado deberá proceder a testar los datos personales que se encuentren contenidos en los documentos a entregar por parte del Sujeto Obligado para satisfacer el derecho de acceso a la información pública de el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 que señala la fracción XII del artículo 4 de la Ley de Protección de Datos Personales en Posesión de Sujetos Obligados del Estado de México.</w:t>
      </w:r>
    </w:p>
    <w:p w:rsidR="00C258E0" w:rsidRPr="00AB4405" w:rsidRDefault="00C258E0">
      <w:pPr>
        <w:spacing w:line="360" w:lineRule="auto"/>
        <w:ind w:right="51"/>
        <w:jc w:val="both"/>
        <w:rPr>
          <w:rFonts w:ascii="Palatino Linotype" w:eastAsia="Palatino Linotype" w:hAnsi="Palatino Linotype" w:cs="Palatino Linotype"/>
        </w:rPr>
      </w:pPr>
    </w:p>
    <w:p w:rsidR="00C258E0" w:rsidRPr="00AB4405" w:rsidRDefault="00C93C7E">
      <w:pPr>
        <w:spacing w:line="360" w:lineRule="auto"/>
        <w:ind w:right="50"/>
        <w:jc w:val="both"/>
        <w:rPr>
          <w:rFonts w:ascii="Palatino Linotype" w:eastAsia="Palatino Linotype" w:hAnsi="Palatino Linotype" w:cs="Palatino Linotype"/>
        </w:rPr>
      </w:pPr>
      <w:r w:rsidRPr="00AB4405">
        <w:rPr>
          <w:rFonts w:ascii="Palatino Linotype" w:eastAsia="Palatino Linotype" w:hAnsi="Palatino Linotype" w:cs="Palatino Linotype"/>
        </w:rPr>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rsidR="00C258E0" w:rsidRPr="00AB4405" w:rsidRDefault="00C258E0">
      <w:pPr>
        <w:spacing w:line="360" w:lineRule="auto"/>
        <w:ind w:right="50"/>
        <w:jc w:val="both"/>
        <w:rPr>
          <w:rFonts w:ascii="Palatino Linotype" w:eastAsia="Palatino Linotype" w:hAnsi="Palatino Linotype" w:cs="Palatino Linotype"/>
        </w:rPr>
      </w:pPr>
    </w:p>
    <w:p w:rsidR="00C258E0" w:rsidRPr="00AB4405" w:rsidRDefault="00C93C7E">
      <w:pPr>
        <w:spacing w:line="360" w:lineRule="auto"/>
        <w:ind w:right="51"/>
        <w:jc w:val="both"/>
        <w:rPr>
          <w:rFonts w:ascii="Palatino Linotype" w:eastAsia="Palatino Linotype" w:hAnsi="Palatino Linotype" w:cs="Palatino Linotype"/>
        </w:rPr>
      </w:pPr>
      <w:r w:rsidRPr="00AB4405">
        <w:rPr>
          <w:rFonts w:ascii="Palatino Linotype" w:eastAsia="Palatino Linotype" w:hAnsi="Palatino Linotype" w:cs="Palatino Linotype"/>
        </w:rPr>
        <w:t>En ese contexto, la clasificación de la información no opera con la simple supresión de datos que se haga en los documentos de que se trate o con la simple decisión que tome el Servidor Público Habilitado o el Responsable de la Unidad de Transparencia del Sujeto Obligado, sino que ello deberá realizarse en términos de lo que disponen los artículos 49 fracción VIII, 53, fracción X y 59, fracción V, de la Ley en consulta, cuyo sentido literal es el siguiente:</w:t>
      </w:r>
    </w:p>
    <w:p w:rsidR="00C258E0" w:rsidRPr="00AB4405" w:rsidRDefault="00C258E0">
      <w:pPr>
        <w:spacing w:line="360" w:lineRule="auto"/>
        <w:ind w:right="51"/>
        <w:jc w:val="both"/>
        <w:rPr>
          <w:rFonts w:ascii="Palatino Linotype" w:eastAsia="Palatino Linotype" w:hAnsi="Palatino Linotype" w:cs="Palatino Linotype"/>
        </w:rPr>
      </w:pPr>
    </w:p>
    <w:p w:rsidR="00C258E0" w:rsidRPr="00AB4405" w:rsidRDefault="00C93C7E">
      <w:pPr>
        <w:ind w:left="992" w:right="1043"/>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lastRenderedPageBreak/>
        <w:t>“Artículo 49.</w:t>
      </w:r>
      <w:r w:rsidRPr="00AB4405">
        <w:rPr>
          <w:rFonts w:ascii="Palatino Linotype" w:eastAsia="Palatino Linotype" w:hAnsi="Palatino Linotype" w:cs="Palatino Linotype"/>
          <w:i/>
          <w:sz w:val="22"/>
          <w:szCs w:val="22"/>
        </w:rPr>
        <w:t xml:space="preserve"> </w:t>
      </w:r>
      <w:r w:rsidRPr="00AB4405">
        <w:rPr>
          <w:rFonts w:ascii="Palatino Linotype" w:eastAsia="Palatino Linotype" w:hAnsi="Palatino Linotype" w:cs="Palatino Linotype"/>
          <w:b/>
          <w:i/>
          <w:sz w:val="22"/>
          <w:szCs w:val="22"/>
        </w:rPr>
        <w:t>Los Comités de Transparencia</w:t>
      </w:r>
      <w:r w:rsidRPr="00AB4405">
        <w:rPr>
          <w:rFonts w:ascii="Palatino Linotype" w:eastAsia="Palatino Linotype" w:hAnsi="Palatino Linotype" w:cs="Palatino Linotype"/>
          <w:i/>
          <w:sz w:val="22"/>
          <w:szCs w:val="22"/>
        </w:rPr>
        <w:t xml:space="preserve"> tendrán las siguientes atribuciones:</w:t>
      </w:r>
    </w:p>
    <w:p w:rsidR="00C258E0" w:rsidRPr="00AB4405" w:rsidRDefault="00C93C7E">
      <w:pPr>
        <w:ind w:left="992" w:right="1043"/>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VIII. Aprobar, modificar o revocar la clasificación de la información</w:t>
      </w:r>
      <w:r w:rsidRPr="00AB4405">
        <w:rPr>
          <w:rFonts w:ascii="Palatino Linotype" w:eastAsia="Palatino Linotype" w:hAnsi="Palatino Linotype" w:cs="Palatino Linotype"/>
          <w:i/>
          <w:sz w:val="22"/>
          <w:szCs w:val="22"/>
        </w:rPr>
        <w:t>…”</w:t>
      </w:r>
    </w:p>
    <w:p w:rsidR="00C258E0" w:rsidRPr="00AB4405" w:rsidRDefault="00C93C7E">
      <w:pPr>
        <w:ind w:left="992" w:right="1043"/>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r w:rsidRPr="00AB4405">
        <w:rPr>
          <w:rFonts w:ascii="Palatino Linotype" w:eastAsia="Palatino Linotype" w:hAnsi="Palatino Linotype" w:cs="Palatino Linotype"/>
          <w:b/>
          <w:i/>
          <w:sz w:val="22"/>
          <w:szCs w:val="22"/>
        </w:rPr>
        <w:t>Artículo 53.</w:t>
      </w:r>
      <w:r w:rsidRPr="00AB4405">
        <w:rPr>
          <w:rFonts w:ascii="Palatino Linotype" w:eastAsia="Palatino Linotype" w:hAnsi="Palatino Linotype" w:cs="Palatino Linotype"/>
          <w:i/>
          <w:sz w:val="22"/>
          <w:szCs w:val="22"/>
        </w:rPr>
        <w:t xml:space="preserve"> Las </w:t>
      </w:r>
      <w:r w:rsidRPr="00AB4405">
        <w:rPr>
          <w:rFonts w:ascii="Palatino Linotype" w:eastAsia="Palatino Linotype" w:hAnsi="Palatino Linotype" w:cs="Palatino Linotype"/>
          <w:b/>
          <w:i/>
          <w:sz w:val="22"/>
          <w:szCs w:val="22"/>
        </w:rPr>
        <w:t>Unidades de Transparencia</w:t>
      </w:r>
      <w:r w:rsidRPr="00AB4405">
        <w:rPr>
          <w:rFonts w:ascii="Palatino Linotype" w:eastAsia="Palatino Linotype" w:hAnsi="Palatino Linotype" w:cs="Palatino Linotype"/>
          <w:i/>
          <w:sz w:val="22"/>
          <w:szCs w:val="22"/>
        </w:rPr>
        <w:t xml:space="preserve"> tendrán las siguientes </w:t>
      </w:r>
      <w:r w:rsidRPr="00AB4405">
        <w:rPr>
          <w:rFonts w:ascii="Palatino Linotype" w:eastAsia="Palatino Linotype" w:hAnsi="Palatino Linotype" w:cs="Palatino Linotype"/>
          <w:b/>
          <w:i/>
          <w:sz w:val="22"/>
          <w:szCs w:val="22"/>
        </w:rPr>
        <w:t>funciones</w:t>
      </w:r>
      <w:r w:rsidRPr="00AB4405">
        <w:rPr>
          <w:rFonts w:ascii="Palatino Linotype" w:eastAsia="Palatino Linotype" w:hAnsi="Palatino Linotype" w:cs="Palatino Linotype"/>
          <w:i/>
          <w:sz w:val="22"/>
          <w:szCs w:val="22"/>
        </w:rPr>
        <w:t>:</w:t>
      </w:r>
    </w:p>
    <w:p w:rsidR="00C258E0" w:rsidRPr="00AB4405" w:rsidRDefault="00C93C7E">
      <w:pPr>
        <w:ind w:left="992" w:right="1043"/>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X. Presentar ante el Comité, el proyecto de clasificación de información</w:t>
      </w:r>
      <w:r w:rsidRPr="00AB4405">
        <w:rPr>
          <w:rFonts w:ascii="Palatino Linotype" w:eastAsia="Palatino Linotype" w:hAnsi="Palatino Linotype" w:cs="Palatino Linotype"/>
          <w:i/>
          <w:sz w:val="22"/>
          <w:szCs w:val="22"/>
        </w:rPr>
        <w:t xml:space="preserve">…” </w:t>
      </w:r>
    </w:p>
    <w:p w:rsidR="00C258E0" w:rsidRPr="00AB4405" w:rsidRDefault="00C93C7E">
      <w:pPr>
        <w:ind w:left="992" w:right="1043"/>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“Artículo 59.</w:t>
      </w:r>
      <w:r w:rsidRPr="00AB4405">
        <w:rPr>
          <w:rFonts w:ascii="Palatino Linotype" w:eastAsia="Palatino Linotype" w:hAnsi="Palatino Linotype" w:cs="Palatino Linotype"/>
          <w:i/>
          <w:sz w:val="22"/>
          <w:szCs w:val="22"/>
        </w:rPr>
        <w:t xml:space="preserve"> Los </w:t>
      </w:r>
      <w:r w:rsidRPr="00AB4405">
        <w:rPr>
          <w:rFonts w:ascii="Palatino Linotype" w:eastAsia="Palatino Linotype" w:hAnsi="Palatino Linotype" w:cs="Palatino Linotype"/>
          <w:b/>
          <w:i/>
          <w:sz w:val="22"/>
          <w:szCs w:val="22"/>
        </w:rPr>
        <w:t>servidores públicos habilitados</w:t>
      </w:r>
      <w:r w:rsidRPr="00AB4405">
        <w:rPr>
          <w:rFonts w:ascii="Palatino Linotype" w:eastAsia="Palatino Linotype" w:hAnsi="Palatino Linotype" w:cs="Palatino Linotype"/>
          <w:i/>
          <w:sz w:val="22"/>
          <w:szCs w:val="22"/>
        </w:rPr>
        <w:t xml:space="preserve"> tendrán las </w:t>
      </w:r>
      <w:r w:rsidRPr="00AB4405">
        <w:rPr>
          <w:rFonts w:ascii="Palatino Linotype" w:eastAsia="Palatino Linotype" w:hAnsi="Palatino Linotype" w:cs="Palatino Linotype"/>
          <w:b/>
          <w:i/>
          <w:sz w:val="22"/>
          <w:szCs w:val="22"/>
        </w:rPr>
        <w:t>funciones</w:t>
      </w:r>
      <w:r w:rsidRPr="00AB4405">
        <w:rPr>
          <w:rFonts w:ascii="Palatino Linotype" w:eastAsia="Palatino Linotype" w:hAnsi="Palatino Linotype" w:cs="Palatino Linotype"/>
          <w:i/>
          <w:sz w:val="22"/>
          <w:szCs w:val="22"/>
        </w:rPr>
        <w:t xml:space="preserve"> siguientes:</w:t>
      </w:r>
    </w:p>
    <w:p w:rsidR="00C258E0" w:rsidRPr="00AB4405" w:rsidRDefault="00C93C7E">
      <w:pPr>
        <w:ind w:left="992" w:right="1043"/>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AB4405">
        <w:rPr>
          <w:rFonts w:ascii="Palatino Linotype" w:eastAsia="Palatino Linotype" w:hAnsi="Palatino Linotype" w:cs="Palatino Linotype"/>
          <w:i/>
          <w:sz w:val="22"/>
          <w:szCs w:val="22"/>
        </w:rPr>
        <w:t>, la cual tendrá los fundamentos y argumentos en que se basa dicha propuesta…”</w:t>
      </w:r>
    </w:p>
    <w:p w:rsidR="00C258E0" w:rsidRPr="00AB4405" w:rsidRDefault="00C258E0">
      <w:pPr>
        <w:ind w:left="992" w:right="1043"/>
        <w:jc w:val="both"/>
        <w:rPr>
          <w:rFonts w:ascii="Palatino Linotype" w:eastAsia="Palatino Linotype" w:hAnsi="Palatino Linotype" w:cs="Palatino Linotype"/>
          <w:i/>
          <w:sz w:val="22"/>
          <w:szCs w:val="22"/>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after="240"/>
        <w:ind w:left="993" w:right="1041"/>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r w:rsidRPr="00AB4405">
        <w:rPr>
          <w:rFonts w:ascii="Palatino Linotype" w:eastAsia="Palatino Linotype" w:hAnsi="Palatino Linotype" w:cs="Palatino Linotype"/>
          <w:b/>
          <w:i/>
          <w:sz w:val="22"/>
          <w:szCs w:val="22"/>
        </w:rPr>
        <w:t>Artículo 149.</w:t>
      </w:r>
      <w:r w:rsidRPr="00AB4405">
        <w:rPr>
          <w:rFonts w:ascii="Palatino Linotype" w:eastAsia="Palatino Linotype" w:hAnsi="Palatino Linotype" w:cs="Palatino Linotype"/>
          <w:i/>
          <w:sz w:val="22"/>
          <w:szCs w:val="22"/>
        </w:rPr>
        <w:t xml:space="preserve"> El </w:t>
      </w:r>
      <w:r w:rsidRPr="00AB4405">
        <w:rPr>
          <w:rFonts w:ascii="Palatino Linotype" w:eastAsia="Palatino Linotype" w:hAnsi="Palatino Linotype" w:cs="Palatino Linotype"/>
          <w:b/>
          <w:i/>
          <w:sz w:val="22"/>
          <w:szCs w:val="22"/>
        </w:rPr>
        <w:t>acuerdo que clasifique la información como confidencial</w:t>
      </w:r>
      <w:r w:rsidRPr="00AB4405">
        <w:rPr>
          <w:rFonts w:ascii="Palatino Linotype" w:eastAsia="Palatino Linotype" w:hAnsi="Palatino Linotype" w:cs="Palatino Linotype"/>
          <w:i/>
          <w:sz w:val="22"/>
          <w:szCs w:val="22"/>
        </w:rPr>
        <w:t xml:space="preserve"> deberá contener un razonamiento lógico en el que demuestre que </w:t>
      </w:r>
      <w:r w:rsidRPr="00AB4405">
        <w:rPr>
          <w:rFonts w:ascii="Palatino Linotype" w:eastAsia="Palatino Linotype" w:hAnsi="Palatino Linotype" w:cs="Palatino Linotype"/>
          <w:i/>
          <w:sz w:val="22"/>
          <w:szCs w:val="22"/>
        </w:rPr>
        <w:lastRenderedPageBreak/>
        <w:t>la información se encuentra en alguna o algunas de las hipótesis previstas en la presente Ley.”(Sic)</w:t>
      </w:r>
    </w:p>
    <w:p w:rsidR="00C258E0" w:rsidRPr="00AB4405" w:rsidRDefault="00C258E0">
      <w:pPr>
        <w:spacing w:before="240" w:line="360" w:lineRule="auto"/>
        <w:ind w:right="51"/>
        <w:jc w:val="both"/>
        <w:rPr>
          <w:rFonts w:ascii="Palatino Linotype" w:eastAsia="Palatino Linotype" w:hAnsi="Palatino Linotype" w:cs="Palatino Linotype"/>
          <w:i/>
          <w:sz w:val="22"/>
          <w:szCs w:val="22"/>
        </w:rPr>
      </w:pPr>
    </w:p>
    <w:p w:rsidR="00C258E0" w:rsidRPr="00AB4405" w:rsidRDefault="00C93C7E">
      <w:pPr>
        <w:spacing w:line="360" w:lineRule="auto"/>
        <w:ind w:right="51"/>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Es decir,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rsidR="00C258E0" w:rsidRPr="00AB4405" w:rsidRDefault="00C258E0">
      <w:pPr>
        <w:spacing w:line="360" w:lineRule="auto"/>
        <w:ind w:right="51"/>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Al respecto, se destaca que la versión pública que elabore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debe cumplir con las formalidades exigidas en la Ley; es decir, resulta necesario que el Comité de Transparencia del Sujeto Obligado 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y Municipios, ya expuesto; así como con los numerales aplicables de los </w:t>
      </w:r>
      <w:r w:rsidRPr="00AB4405">
        <w:rPr>
          <w:rFonts w:ascii="Palatino Linotype" w:eastAsia="Palatino Linotype" w:hAnsi="Palatino Linotype" w:cs="Palatino Linotype"/>
          <w:b/>
        </w:rPr>
        <w:t>LINEAMIENTOS GENERALES EN MATERIA DE CLASIFICACIÓN Y DESCLASIFICACIÓN DE LA INFORMACIÓN, ASÍ COMO PARA LA ELABORACIÓN DE VERSIONES PÚBLICAS</w:t>
      </w:r>
      <w:r w:rsidRPr="00AB4405">
        <w:rPr>
          <w:rFonts w:ascii="Palatino Linotype" w:eastAsia="Palatino Linotype" w:hAnsi="Palatino Linotype" w:cs="Palatino Linotype"/>
        </w:rPr>
        <w:t xml:space="preserve">, publicados en el Diario Oficial de la Federación en fecha quince de abril del año dos mil dieciséis, mediante Acuerdo </w:t>
      </w:r>
      <w:r w:rsidRPr="00AB4405">
        <w:rPr>
          <w:rFonts w:ascii="Palatino Linotype" w:eastAsia="Palatino Linotype" w:hAnsi="Palatino Linotype" w:cs="Palatino Linotype"/>
        </w:rPr>
        <w:lastRenderedPageBreak/>
        <w:t>del Consejo Nacional del Sistema Nacional de Transparencia, Acceso a la Información Pública y Protección de Datos Personales, que literalmente expresan:</w:t>
      </w:r>
    </w:p>
    <w:p w:rsidR="00C258E0" w:rsidRPr="00AB4405" w:rsidRDefault="00C258E0">
      <w:pPr>
        <w:ind w:left="709" w:right="709"/>
        <w:jc w:val="both"/>
        <w:rPr>
          <w:rFonts w:ascii="Palatino Linotype" w:eastAsia="Palatino Linotype" w:hAnsi="Palatino Linotype" w:cs="Palatino Linotype"/>
          <w:b/>
          <w:i/>
          <w:sz w:val="22"/>
          <w:szCs w:val="22"/>
        </w:rPr>
      </w:pPr>
    </w:p>
    <w:p w:rsidR="00C258E0" w:rsidRPr="00AB4405" w:rsidRDefault="00C93C7E">
      <w:pPr>
        <w:ind w:left="709" w:right="709"/>
        <w:jc w:val="both"/>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t>“Lineamientos Generales en materia de Clasificación y Desclasificación de la Información, así como para la elaboración de Versiones Públicas</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r w:rsidRPr="00AB4405">
        <w:rPr>
          <w:rFonts w:ascii="Palatino Linotype" w:eastAsia="Palatino Linotype" w:hAnsi="Palatino Linotype" w:cs="Palatino Linotype"/>
          <w:b/>
          <w:i/>
          <w:sz w:val="22"/>
          <w:szCs w:val="22"/>
        </w:rPr>
        <w:t>Segundo.-</w:t>
      </w:r>
      <w:r w:rsidRPr="00AB4405">
        <w:rPr>
          <w:rFonts w:ascii="Palatino Linotype" w:eastAsia="Palatino Linotype" w:hAnsi="Palatino Linotype" w:cs="Palatino Linotype"/>
          <w:i/>
          <w:sz w:val="22"/>
          <w:szCs w:val="22"/>
        </w:rPr>
        <w:t xml:space="preserve"> Para efectos de los presentes Lineamientos Generales, se entenderá por:</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XVIII.</w:t>
      </w:r>
      <w:r w:rsidRPr="00AB4405">
        <w:rPr>
          <w:rFonts w:ascii="Palatino Linotype" w:eastAsia="Palatino Linotype" w:hAnsi="Palatino Linotype" w:cs="Palatino Linotype"/>
          <w:i/>
          <w:sz w:val="22"/>
          <w:szCs w:val="22"/>
        </w:rPr>
        <w:t xml:space="preserve"> </w:t>
      </w:r>
      <w:r w:rsidRPr="00AB4405">
        <w:rPr>
          <w:rFonts w:ascii="Palatino Linotype" w:eastAsia="Palatino Linotype" w:hAnsi="Palatino Linotype" w:cs="Palatino Linotype"/>
          <w:b/>
          <w:i/>
          <w:sz w:val="22"/>
          <w:szCs w:val="22"/>
        </w:rPr>
        <w:t>Versión pública:</w:t>
      </w:r>
      <w:r w:rsidRPr="00AB4405">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sidRPr="00AB4405">
        <w:rPr>
          <w:rFonts w:ascii="Palatino Linotype" w:eastAsia="Palatino Linotype" w:hAnsi="Palatino Linotype" w:cs="Palatino Linotype"/>
          <w:b/>
          <w:i/>
          <w:sz w:val="22"/>
          <w:szCs w:val="22"/>
          <w:u w:val="single"/>
        </w:rPr>
        <w:t>fundando y motivando la</w:t>
      </w:r>
      <w:r w:rsidRPr="00AB4405">
        <w:rPr>
          <w:rFonts w:ascii="Palatino Linotype" w:eastAsia="Palatino Linotype" w:hAnsi="Palatino Linotype" w:cs="Palatino Linotype"/>
          <w:i/>
          <w:sz w:val="22"/>
          <w:szCs w:val="22"/>
        </w:rPr>
        <w:t xml:space="preserve"> reserva o </w:t>
      </w:r>
      <w:r w:rsidRPr="00AB4405">
        <w:rPr>
          <w:rFonts w:ascii="Palatino Linotype" w:eastAsia="Palatino Linotype" w:hAnsi="Palatino Linotype" w:cs="Palatino Linotype"/>
          <w:b/>
          <w:i/>
          <w:sz w:val="22"/>
          <w:szCs w:val="22"/>
          <w:u w:val="single"/>
        </w:rPr>
        <w:t>confidencialidad</w:t>
      </w:r>
      <w:r w:rsidRPr="00AB4405">
        <w:rPr>
          <w:rFonts w:ascii="Palatino Linotype" w:eastAsia="Palatino Linotype" w:hAnsi="Palatino Linotype" w:cs="Palatino Linotype"/>
          <w:i/>
          <w:sz w:val="22"/>
          <w:szCs w:val="22"/>
        </w:rPr>
        <w:t>, a través de la resolución que para tal efecto emita el Comité de Transparencia.</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Cuarto.</w:t>
      </w:r>
      <w:r w:rsidRPr="00AB4405">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Quinto.</w:t>
      </w:r>
      <w:r w:rsidRPr="00AB4405">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Sexto.</w:t>
      </w:r>
      <w:r w:rsidRPr="00AB4405">
        <w:rPr>
          <w:rFonts w:ascii="Palatino Linotype" w:eastAsia="Palatino Linotype" w:hAnsi="Palatino Linotype" w:cs="Palatino Linotype"/>
          <w:i/>
          <w:sz w:val="22"/>
          <w:szCs w:val="22"/>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La clasificación de información se realizará conforme a un análisis caso por caso, mediante la aplicación de la prueba de daño y de interés público.</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Séptimo.</w:t>
      </w:r>
      <w:r w:rsidRPr="00AB4405">
        <w:rPr>
          <w:rFonts w:ascii="Palatino Linotype" w:eastAsia="Palatino Linotype" w:hAnsi="Palatino Linotype" w:cs="Palatino Linotype"/>
          <w:i/>
          <w:sz w:val="22"/>
          <w:szCs w:val="22"/>
        </w:rPr>
        <w:t xml:space="preserve"> La clasificación de la información se llevará a cabo en el momento en que:</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w:t>
      </w:r>
      <w:r w:rsidRPr="00AB4405">
        <w:rPr>
          <w:rFonts w:ascii="Palatino Linotype" w:eastAsia="Palatino Linotype" w:hAnsi="Palatino Linotype" w:cs="Palatino Linotype"/>
          <w:i/>
          <w:sz w:val="22"/>
          <w:szCs w:val="22"/>
        </w:rPr>
        <w:t xml:space="preserve"> Se reciba una solicitud de acceso a la información;</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II.</w:t>
      </w:r>
      <w:r w:rsidRPr="00AB4405">
        <w:rPr>
          <w:rFonts w:ascii="Palatino Linotype" w:eastAsia="Palatino Linotype" w:hAnsi="Palatino Linotype" w:cs="Palatino Linotype"/>
          <w:i/>
          <w:sz w:val="22"/>
          <w:szCs w:val="22"/>
        </w:rPr>
        <w:t xml:space="preserve"> Se determine mediante resolución de autoridad competente, o</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lastRenderedPageBreak/>
        <w:t>III.</w:t>
      </w:r>
      <w:r w:rsidRPr="00AB4405">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Octavo.</w:t>
      </w:r>
      <w:r w:rsidRPr="00AB4405">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En caso de referirse a información reservada, la motivación de la clasificación también deberá comprender las circunstancias que justifican el establecimiento de determinado plazo de reserva.</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Tratándose de información clasificada como confidencial respecto de la cual se haya determinado su conservación permanente por tener valor histórico, ésta conservará tal carácter de conformidad con la normativa aplicable en materia de archivos.</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Los documentos contenidos en los archivos históricos y los identificados como históricos confidenciales no serán susceptibles de clasificación como reservados.</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Noveno.</w:t>
      </w:r>
      <w:r w:rsidRPr="00AB4405">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Décimo.</w:t>
      </w:r>
      <w:r w:rsidRPr="00AB4405">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Décimo primero.</w:t>
      </w:r>
      <w:r w:rsidRPr="00AB4405">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p>
    <w:p w:rsidR="00C258E0" w:rsidRPr="00AB4405" w:rsidRDefault="00C93C7E">
      <w:pPr>
        <w:ind w:left="709" w:right="709"/>
        <w:jc w:val="center"/>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lastRenderedPageBreak/>
        <w:t>CAPÍTULO VIII</w:t>
      </w:r>
    </w:p>
    <w:p w:rsidR="00C258E0" w:rsidRPr="00AB4405" w:rsidRDefault="00C93C7E">
      <w:pPr>
        <w:ind w:left="709" w:right="709"/>
        <w:jc w:val="center"/>
        <w:rPr>
          <w:rFonts w:ascii="Palatino Linotype" w:eastAsia="Palatino Linotype" w:hAnsi="Palatino Linotype" w:cs="Palatino Linotype"/>
          <w:b/>
          <w:i/>
          <w:sz w:val="22"/>
          <w:szCs w:val="22"/>
        </w:rPr>
      </w:pPr>
      <w:r w:rsidRPr="00AB4405">
        <w:rPr>
          <w:rFonts w:ascii="Palatino Linotype" w:eastAsia="Palatino Linotype" w:hAnsi="Palatino Linotype" w:cs="Palatino Linotype"/>
          <w:b/>
          <w:i/>
          <w:sz w:val="22"/>
          <w:szCs w:val="22"/>
        </w:rPr>
        <w:t>DE LA LEYENDA DE CLASIFICACIÓN</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 xml:space="preserve">Quincuagésimo. </w:t>
      </w:r>
      <w:r w:rsidRPr="00AB4405">
        <w:rPr>
          <w:rFonts w:ascii="Palatino Linotype" w:eastAsia="Palatino Linotype" w:hAnsi="Palatino Linotype" w:cs="Palatino Linotype"/>
          <w:b/>
          <w:i/>
          <w:sz w:val="22"/>
          <w:szCs w:val="22"/>
          <w:u w:val="single"/>
        </w:rPr>
        <w:t>Los titulares de las áreas de los sujetos obligados podrán utilizar los formatos contenidos en el presente Capítulo como modelo</w:t>
      </w:r>
      <w:r w:rsidRPr="00AB4405">
        <w:rPr>
          <w:rFonts w:ascii="Palatino Linotype" w:eastAsia="Palatino Linotype" w:hAnsi="Palatino Linotype" w:cs="Palatino Linotype"/>
          <w:i/>
          <w:sz w:val="22"/>
          <w:szCs w:val="22"/>
        </w:rPr>
        <w:t xml:space="preserve"> para señalar la clasificación de documentos o expedientes, sin perjuicio de que establezcan los propios.</w:t>
      </w:r>
    </w:p>
    <w:p w:rsidR="00C258E0" w:rsidRPr="00AB4405" w:rsidRDefault="00C93C7E">
      <w:pPr>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i/>
          <w:sz w:val="22"/>
          <w:szCs w:val="22"/>
        </w:rPr>
        <w:t>[…]</w:t>
      </w:r>
    </w:p>
    <w:p w:rsidR="00C258E0" w:rsidRPr="00AB4405" w:rsidRDefault="00C93C7E">
      <w:pPr>
        <w:spacing w:after="160"/>
        <w:ind w:left="709" w:right="709"/>
        <w:jc w:val="both"/>
        <w:rPr>
          <w:rFonts w:ascii="Palatino Linotype" w:eastAsia="Palatino Linotype" w:hAnsi="Palatino Linotype" w:cs="Palatino Linotype"/>
          <w:i/>
          <w:sz w:val="22"/>
          <w:szCs w:val="22"/>
        </w:rPr>
      </w:pPr>
      <w:r w:rsidRPr="00AB4405">
        <w:rPr>
          <w:rFonts w:ascii="Palatino Linotype" w:eastAsia="Palatino Linotype" w:hAnsi="Palatino Linotype" w:cs="Palatino Linotype"/>
          <w:b/>
          <w:i/>
          <w:sz w:val="22"/>
          <w:szCs w:val="22"/>
        </w:rPr>
        <w:t xml:space="preserve">Quincuagésimo tercero. </w:t>
      </w:r>
      <w:r w:rsidRPr="00AB4405">
        <w:rPr>
          <w:rFonts w:ascii="Palatino Linotype" w:eastAsia="Palatino Linotype" w:hAnsi="Palatino Linotype" w:cs="Palatino Linotype"/>
          <w:b/>
          <w:i/>
          <w:sz w:val="22"/>
          <w:szCs w:val="22"/>
          <w:u w:val="single"/>
        </w:rPr>
        <w:t>El formato para señalar la clasificación parcial de un documento</w:t>
      </w:r>
      <w:r w:rsidRPr="00AB4405">
        <w:rPr>
          <w:rFonts w:ascii="Palatino Linotype" w:eastAsia="Palatino Linotype" w:hAnsi="Palatino Linotype" w:cs="Palatino Linotype"/>
          <w:i/>
          <w:sz w:val="22"/>
          <w:szCs w:val="22"/>
        </w:rPr>
        <w:t>, es el siguiente:</w:t>
      </w:r>
    </w:p>
    <w:tbl>
      <w:tblPr>
        <w:tblStyle w:val="aa"/>
        <w:tblW w:w="768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9"/>
        <w:gridCol w:w="1990"/>
        <w:gridCol w:w="4531"/>
      </w:tblGrid>
      <w:tr w:rsidR="00C258E0" w:rsidRPr="00AB4405">
        <w:trPr>
          <w:jc w:val="center"/>
        </w:trPr>
        <w:tc>
          <w:tcPr>
            <w:tcW w:w="1159" w:type="dxa"/>
            <w:tcBorders>
              <w:top w:val="nil"/>
              <w:left w:val="nil"/>
              <w:bottom w:val="single" w:sz="4" w:space="0" w:color="000000"/>
              <w:right w:val="single" w:sz="4" w:space="0" w:color="000000"/>
            </w:tcBorders>
          </w:tcPr>
          <w:p w:rsidR="00C258E0" w:rsidRPr="00AB4405" w:rsidRDefault="00C258E0">
            <w:pPr>
              <w:jc w:val="both"/>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b/>
                <w:i/>
              </w:rPr>
            </w:pPr>
            <w:r w:rsidRPr="00AB4405">
              <w:rPr>
                <w:rFonts w:ascii="Palatino Linotype" w:eastAsia="Palatino Linotype" w:hAnsi="Palatino Linotype" w:cs="Palatino Linotype"/>
                <w:b/>
                <w:i/>
              </w:rPr>
              <w:t>Concepto</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b/>
                <w:i/>
              </w:rPr>
            </w:pPr>
            <w:r w:rsidRPr="00AB4405">
              <w:rPr>
                <w:rFonts w:ascii="Palatino Linotype" w:eastAsia="Palatino Linotype" w:hAnsi="Palatino Linotype" w:cs="Palatino Linotype"/>
                <w:b/>
                <w:i/>
              </w:rPr>
              <w:t>Dónde:</w:t>
            </w:r>
          </w:p>
        </w:tc>
      </w:tr>
      <w:tr w:rsidR="00C258E0" w:rsidRPr="00AB4405">
        <w:trPr>
          <w:jc w:val="center"/>
        </w:trPr>
        <w:tc>
          <w:tcPr>
            <w:tcW w:w="1159" w:type="dxa"/>
            <w:vMerge w:val="restart"/>
            <w:tcBorders>
              <w:top w:val="single" w:sz="4" w:space="0" w:color="000000"/>
              <w:left w:val="single" w:sz="4" w:space="0" w:color="000000"/>
              <w:bottom w:val="single" w:sz="4" w:space="0" w:color="000000"/>
              <w:right w:val="single" w:sz="4" w:space="0" w:color="000000"/>
            </w:tcBorders>
            <w:vAlign w:val="center"/>
          </w:tcPr>
          <w:p w:rsidR="00C258E0" w:rsidRPr="00AB4405" w:rsidRDefault="00C93C7E">
            <w:pPr>
              <w:jc w:val="center"/>
              <w:rPr>
                <w:rFonts w:ascii="Palatino Linotype" w:eastAsia="Palatino Linotype" w:hAnsi="Palatino Linotype" w:cs="Palatino Linotype"/>
                <w:b/>
                <w:i/>
              </w:rPr>
            </w:pPr>
            <w:r w:rsidRPr="00AB4405">
              <w:rPr>
                <w:rFonts w:ascii="Palatino Linotype" w:eastAsia="Palatino Linotype" w:hAnsi="Palatino Linotype" w:cs="Palatino Linotype"/>
                <w:b/>
                <w:i/>
              </w:rPr>
              <w:t>Sello oficial o logotipo del sujeto obligado</w:t>
            </w: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Fecha de clasificación</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Se anotará la fecha en la que el Comité de Transparencia confirmó la clasificación del documento, en su caso.</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Área</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Se señalará el nombre del área del cual es titular quien clasifica.</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Información reservada</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Periodo de reserva</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Se anotará el número de años o meses por los que se mantendrá el documento o las partes del mismo como reservado.</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Se señalará el nombre del ordenamiento, el o los artículos, fracción(es), párrafo(s) con base en los cuales se sustente la reserva.</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Ampliación del periodo de reserva</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En caso de haber solicitado la ampliación del periodo de reserva originalmente establecido, se deberá anotar el número de años o meses por los que se amplía la reserva.</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Confidencial</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 xml:space="preserve">Se indicarán, en su caso, las partes o páginas del documento que se clasifica como confidencial. Si el documento fuera </w:t>
            </w:r>
            <w:r w:rsidRPr="00AB4405">
              <w:rPr>
                <w:rFonts w:ascii="Palatino Linotype" w:eastAsia="Palatino Linotype" w:hAnsi="Palatino Linotype" w:cs="Palatino Linotype"/>
                <w:i/>
              </w:rPr>
              <w:lastRenderedPageBreak/>
              <w:t>confidencial en su totalidad, se anotarán todas las páginas que lo conforman. Si el documento no contiene información confidencial, se tachará este apartado.</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Se señalará el nombre del ordenamiento, el o los artículos, fracción(es), párrafo(s) con base en los cuales se sustente la confidencialidad.</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Rúbrica del titular del área</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Rúbrica autógrafa de quien clasifica.</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Fecha de desclasificación</w:t>
            </w:r>
          </w:p>
        </w:tc>
        <w:tc>
          <w:tcPr>
            <w:tcW w:w="4531"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both"/>
              <w:rPr>
                <w:rFonts w:ascii="Palatino Linotype" w:eastAsia="Palatino Linotype" w:hAnsi="Palatino Linotype" w:cs="Palatino Linotype"/>
                <w:i/>
              </w:rPr>
            </w:pPr>
            <w:r w:rsidRPr="00AB4405">
              <w:rPr>
                <w:rFonts w:ascii="Palatino Linotype" w:eastAsia="Palatino Linotype" w:hAnsi="Palatino Linotype" w:cs="Palatino Linotype"/>
                <w:i/>
              </w:rPr>
              <w:t>Se anotará la fecha en que se desclasifica el documento.</w:t>
            </w:r>
          </w:p>
        </w:tc>
      </w:tr>
      <w:tr w:rsidR="00C258E0" w:rsidRPr="00AB4405">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C258E0" w:rsidRPr="00AB4405" w:rsidRDefault="00C258E0">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C258E0" w:rsidRPr="00AB4405" w:rsidRDefault="00C93C7E">
            <w:pPr>
              <w:jc w:val="center"/>
              <w:rPr>
                <w:rFonts w:ascii="Palatino Linotype" w:eastAsia="Palatino Linotype" w:hAnsi="Palatino Linotype" w:cs="Palatino Linotype"/>
                <w:i/>
              </w:rPr>
            </w:pPr>
            <w:r w:rsidRPr="00AB4405">
              <w:rPr>
                <w:rFonts w:ascii="Palatino Linotype" w:eastAsia="Palatino Linotype" w:hAnsi="Palatino Linotype" w:cs="Palatino Linotype"/>
                <w:i/>
              </w:rPr>
              <w:t>Rúbrica y cargo del servidor público</w:t>
            </w:r>
          </w:p>
        </w:tc>
        <w:tc>
          <w:tcPr>
            <w:tcW w:w="4531" w:type="dxa"/>
            <w:tcBorders>
              <w:top w:val="single" w:sz="4" w:space="0" w:color="000000"/>
              <w:left w:val="single" w:sz="4" w:space="0" w:color="000000"/>
              <w:bottom w:val="single" w:sz="4" w:space="0" w:color="000000"/>
              <w:right w:val="single" w:sz="4" w:space="0" w:color="000000"/>
            </w:tcBorders>
            <w:vAlign w:val="center"/>
          </w:tcPr>
          <w:p w:rsidR="00C258E0" w:rsidRPr="00AB4405" w:rsidRDefault="00C93C7E">
            <w:pPr>
              <w:rPr>
                <w:rFonts w:ascii="Palatino Linotype" w:eastAsia="Palatino Linotype" w:hAnsi="Palatino Linotype" w:cs="Palatino Linotype"/>
                <w:i/>
              </w:rPr>
            </w:pPr>
            <w:r w:rsidRPr="00AB4405">
              <w:rPr>
                <w:rFonts w:ascii="Palatino Linotype" w:eastAsia="Palatino Linotype" w:hAnsi="Palatino Linotype" w:cs="Palatino Linotype"/>
                <w:i/>
              </w:rPr>
              <w:t>Rúbrica autógrafa de quien desclasifica.</w:t>
            </w:r>
          </w:p>
        </w:tc>
      </w:tr>
    </w:tbl>
    <w:p w:rsidR="00C258E0" w:rsidRPr="00AB4405" w:rsidRDefault="00C258E0">
      <w:pPr>
        <w:spacing w:before="240" w:line="360" w:lineRule="auto"/>
        <w:ind w:right="51"/>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hd w:val="clear" w:color="auto" w:fill="FFFFFF"/>
        <w:spacing w:line="360" w:lineRule="auto"/>
        <w:ind w:right="51"/>
        <w:jc w:val="both"/>
        <w:rPr>
          <w:rFonts w:ascii="Palatino Linotype" w:eastAsia="Palatino Linotype" w:hAnsi="Palatino Linotype" w:cs="Palatino Linotype"/>
        </w:rPr>
      </w:pPr>
      <w:r w:rsidRPr="00AB4405">
        <w:rPr>
          <w:rFonts w:ascii="Palatino Linotype" w:eastAsia="Palatino Linotype" w:hAnsi="Palatino Linotype" w:cs="Palatino Linotype"/>
        </w:rPr>
        <w:t xml:space="preserve">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w:t>
      </w:r>
      <w:r w:rsidRPr="00AB4405">
        <w:rPr>
          <w:rFonts w:ascii="Palatino Linotype" w:eastAsia="Palatino Linotype" w:hAnsi="Palatino Linotype" w:cs="Palatino Linotype"/>
        </w:rPr>
        <w:lastRenderedPageBreak/>
        <w:t>puntual las razones de ello se estaría violentando desde un inicio el derecho de acceso a la información del solicitante, por lo que el acuerdo respectivo, deberá hacerse del conocimiento del RECURRENTE.</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 de los servidores públicos.</w:t>
      </w:r>
    </w:p>
    <w:p w:rsidR="00C258E0" w:rsidRPr="00AB4405" w:rsidRDefault="00C258E0">
      <w:pPr>
        <w:spacing w:line="360" w:lineRule="auto"/>
        <w:jc w:val="both"/>
        <w:rPr>
          <w:rFonts w:ascii="Palatino Linotype" w:eastAsia="Palatino Linotype" w:hAnsi="Palatino Linotype" w:cs="Palatino Linotype"/>
        </w:rPr>
      </w:pP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rsidR="00C258E0" w:rsidRPr="00AB4405" w:rsidRDefault="00C93C7E">
      <w:pPr>
        <w:numPr>
          <w:ilvl w:val="0"/>
          <w:numId w:val="1"/>
        </w:numPr>
        <w:pBdr>
          <w:top w:val="nil"/>
          <w:left w:val="nil"/>
          <w:bottom w:val="nil"/>
          <w:right w:val="nil"/>
          <w:between w:val="nil"/>
        </w:pBdr>
        <w:spacing w:before="240" w:after="240" w:line="360" w:lineRule="auto"/>
        <w:jc w:val="center"/>
        <w:rPr>
          <w:rFonts w:ascii="Palatino Linotype" w:eastAsia="Palatino Linotype" w:hAnsi="Palatino Linotype" w:cs="Palatino Linotype"/>
          <w:b/>
          <w:color w:val="000000"/>
          <w:sz w:val="22"/>
          <w:szCs w:val="22"/>
        </w:rPr>
      </w:pPr>
      <w:r w:rsidRPr="00AB4405">
        <w:rPr>
          <w:rFonts w:ascii="Palatino Linotype" w:eastAsia="Palatino Linotype" w:hAnsi="Palatino Linotype" w:cs="Palatino Linotype"/>
          <w:b/>
          <w:color w:val="000000"/>
          <w:sz w:val="22"/>
          <w:szCs w:val="22"/>
        </w:rPr>
        <w:t>R E S U E L V E:</w:t>
      </w:r>
    </w:p>
    <w:p w:rsidR="00C258E0" w:rsidRPr="00AB4405" w:rsidRDefault="00C93C7E">
      <w:pPr>
        <w:spacing w:before="240" w:after="240" w:line="360" w:lineRule="auto"/>
        <w:jc w:val="both"/>
        <w:rPr>
          <w:rFonts w:ascii="Palatino Linotype" w:eastAsia="Palatino Linotype" w:hAnsi="Palatino Linotype" w:cs="Palatino Linotype"/>
        </w:rPr>
      </w:pPr>
      <w:bookmarkStart w:id="3" w:name="_heading=h.30j0zll" w:colFirst="0" w:colLast="0"/>
      <w:bookmarkEnd w:id="3"/>
      <w:r w:rsidRPr="00AB4405">
        <w:rPr>
          <w:rFonts w:ascii="Palatino Linotype" w:eastAsia="Palatino Linotype" w:hAnsi="Palatino Linotype" w:cs="Palatino Linotype"/>
          <w:b/>
        </w:rPr>
        <w:t xml:space="preserve">Primero. </w:t>
      </w:r>
      <w:r w:rsidRPr="00AB4405">
        <w:rPr>
          <w:rFonts w:ascii="Palatino Linotype" w:eastAsia="Palatino Linotype" w:hAnsi="Palatino Linotype" w:cs="Palatino Linotype"/>
        </w:rPr>
        <w:t xml:space="preserve">Resultan fundados los motivos de inconformidad hechos valer por el </w:t>
      </w:r>
      <w:r w:rsidRPr="00AB4405">
        <w:rPr>
          <w:rFonts w:ascii="Palatino Linotype" w:eastAsia="Palatino Linotype" w:hAnsi="Palatino Linotype" w:cs="Palatino Linotype"/>
          <w:b/>
        </w:rPr>
        <w:t>RECURRENTE</w:t>
      </w:r>
      <w:r w:rsidRPr="00AB4405">
        <w:rPr>
          <w:rFonts w:ascii="Palatino Linotype" w:eastAsia="Palatino Linotype" w:hAnsi="Palatino Linotype" w:cs="Palatino Linotype"/>
        </w:rPr>
        <w:t xml:space="preserve"> en los Recursos de Revisión </w:t>
      </w:r>
      <w:r w:rsidRPr="00AB4405">
        <w:rPr>
          <w:rFonts w:ascii="Palatino Linotype" w:eastAsia="Palatino Linotype" w:hAnsi="Palatino Linotype" w:cs="Palatino Linotype"/>
          <w:b/>
        </w:rPr>
        <w:t xml:space="preserve">03539/INFOEM/IP/RR/2022 y 03540/INFOEM/IP/RR/2022; </w:t>
      </w:r>
      <w:r w:rsidRPr="00AB4405">
        <w:rPr>
          <w:rFonts w:ascii="Palatino Linotype" w:eastAsia="Palatino Linotype" w:hAnsi="Palatino Linotype" w:cs="Palatino Linotype"/>
        </w:rPr>
        <w:t xml:space="preserve">por lo que, en términos del considerando </w:t>
      </w:r>
      <w:r w:rsidRPr="00AB4405">
        <w:rPr>
          <w:rFonts w:ascii="Palatino Linotype" w:eastAsia="Palatino Linotype" w:hAnsi="Palatino Linotype" w:cs="Palatino Linotype"/>
          <w:b/>
        </w:rPr>
        <w:t xml:space="preserve">Cuarto </w:t>
      </w:r>
      <w:r w:rsidRPr="00AB4405">
        <w:rPr>
          <w:rFonts w:ascii="Palatino Linotype" w:eastAsia="Palatino Linotype" w:hAnsi="Palatino Linotype" w:cs="Palatino Linotype"/>
        </w:rPr>
        <w:t xml:space="preserve">de esta resolución, se </w:t>
      </w:r>
      <w:r w:rsidRPr="00AB4405">
        <w:rPr>
          <w:rFonts w:ascii="Palatino Linotype" w:eastAsia="Palatino Linotype" w:hAnsi="Palatino Linotype" w:cs="Palatino Linotype"/>
          <w:b/>
        </w:rPr>
        <w:t xml:space="preserve">REVOCAN </w:t>
      </w:r>
      <w:r w:rsidRPr="00AB4405">
        <w:rPr>
          <w:rFonts w:ascii="Palatino Linotype" w:eastAsia="Palatino Linotype" w:hAnsi="Palatino Linotype" w:cs="Palatino Linotype"/>
        </w:rPr>
        <w:t xml:space="preserve">las respuestas emitidas por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w:t>
      </w:r>
    </w:p>
    <w:p w:rsidR="00C258E0" w:rsidRPr="00AB4405" w:rsidRDefault="00C93C7E">
      <w:pPr>
        <w:spacing w:before="240" w:after="240" w:line="360" w:lineRule="auto"/>
        <w:ind w:right="49"/>
        <w:jc w:val="both"/>
        <w:rPr>
          <w:rFonts w:ascii="Palatino Linotype" w:eastAsia="Palatino Linotype" w:hAnsi="Palatino Linotype" w:cs="Palatino Linotype"/>
        </w:rPr>
      </w:pPr>
      <w:r w:rsidRPr="00AB4405">
        <w:rPr>
          <w:rFonts w:ascii="Palatino Linotype" w:eastAsia="Palatino Linotype" w:hAnsi="Palatino Linotype" w:cs="Palatino Linotype"/>
          <w:b/>
        </w:rPr>
        <w:lastRenderedPageBreak/>
        <w:t xml:space="preserve">Segundo. </w:t>
      </w:r>
      <w:r w:rsidRPr="00AB4405">
        <w:rPr>
          <w:rFonts w:ascii="Palatino Linotype" w:eastAsia="Palatino Linotype" w:hAnsi="Palatino Linotype" w:cs="Palatino Linotype"/>
        </w:rPr>
        <w:t>Se</w:t>
      </w:r>
      <w:r w:rsidRPr="00AB4405">
        <w:rPr>
          <w:rFonts w:ascii="Palatino Linotype" w:eastAsia="Palatino Linotype" w:hAnsi="Palatino Linotype" w:cs="Palatino Linotype"/>
          <w:b/>
        </w:rPr>
        <w:t xml:space="preserve"> ORDENA </w:t>
      </w:r>
      <w:r w:rsidRPr="00AB4405">
        <w:rPr>
          <w:rFonts w:ascii="Palatino Linotype" w:eastAsia="Palatino Linotype" w:hAnsi="Palatino Linotype" w:cs="Palatino Linotype"/>
        </w:rPr>
        <w:t xml:space="preserve">al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a que,</w:t>
      </w:r>
      <w:r w:rsidRPr="00AB4405">
        <w:rPr>
          <w:rFonts w:ascii="Palatino Linotype" w:eastAsia="Palatino Linotype" w:hAnsi="Palatino Linotype" w:cs="Palatino Linotype"/>
          <w:b/>
        </w:rPr>
        <w:t xml:space="preserve"> </w:t>
      </w:r>
      <w:r w:rsidRPr="00AB4405">
        <w:rPr>
          <w:rFonts w:ascii="Palatino Linotype" w:eastAsia="Palatino Linotype" w:hAnsi="Palatino Linotype" w:cs="Palatino Linotype"/>
        </w:rPr>
        <w:t>en términos del Considerando Cuarto y Quinto, haga entrega vía SAIMEX, en versión pública del documento o documentos en donde conste lo siguiente:</w:t>
      </w:r>
    </w:p>
    <w:p w:rsidR="00C258E0" w:rsidRPr="00AB4405" w:rsidRDefault="00C93C7E">
      <w:pPr>
        <w:numPr>
          <w:ilvl w:val="0"/>
          <w:numId w:val="2"/>
        </w:num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color w:val="000000"/>
        </w:rPr>
      </w:pPr>
      <w:r w:rsidRPr="00AB4405">
        <w:rPr>
          <w:rFonts w:ascii="Palatino Linotype" w:eastAsia="Palatino Linotype" w:hAnsi="Palatino Linotype" w:cs="Palatino Linotype"/>
          <w:color w:val="000000"/>
        </w:rPr>
        <w:t xml:space="preserve">Las autorizaciones de bases, derroteros y sitios para el transporte público, desde el primero de enero del año 1990 al tres de febrero del año 2022, que operan en el Estado de México </w:t>
      </w:r>
    </w:p>
    <w:p w:rsidR="00C258E0" w:rsidRPr="00AB4405" w:rsidRDefault="00C93C7E">
      <w:pPr>
        <w:pBdr>
          <w:top w:val="nil"/>
          <w:left w:val="nil"/>
          <w:bottom w:val="nil"/>
          <w:right w:val="nil"/>
          <w:between w:val="nil"/>
        </w:pBdr>
        <w:spacing w:before="240" w:after="240" w:line="276" w:lineRule="auto"/>
        <w:ind w:left="720" w:right="902"/>
        <w:jc w:val="both"/>
        <w:rPr>
          <w:rFonts w:ascii="Palatino Linotype" w:eastAsia="Palatino Linotype" w:hAnsi="Palatino Linotype" w:cs="Palatino Linotype"/>
          <w:i/>
          <w:color w:val="000000"/>
          <w:sz w:val="22"/>
          <w:szCs w:val="22"/>
        </w:rPr>
      </w:pPr>
      <w:r w:rsidRPr="00AB4405">
        <w:rPr>
          <w:rFonts w:ascii="Palatino Linotype" w:eastAsia="Palatino Linotype" w:hAnsi="Palatino Linotype" w:cs="Palatino Linotype"/>
          <w:i/>
          <w:color w:val="000000"/>
          <w:sz w:val="22"/>
          <w:szCs w:val="22"/>
        </w:rPr>
        <w:t>Para la versión pública, se deberá emitir el Acuerdo del Comité de Transparencia de acuerdo con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 la parte Recurrente, mismo que igualmente hará de su conocimiento.</w:t>
      </w:r>
    </w:p>
    <w:p w:rsidR="00C258E0" w:rsidRPr="00AB4405" w:rsidRDefault="00C258E0">
      <w:pPr>
        <w:pBdr>
          <w:top w:val="nil"/>
          <w:left w:val="nil"/>
          <w:bottom w:val="nil"/>
          <w:right w:val="nil"/>
          <w:between w:val="nil"/>
        </w:pBdr>
        <w:spacing w:before="120" w:after="120"/>
        <w:ind w:left="720" w:right="900"/>
        <w:jc w:val="both"/>
        <w:rPr>
          <w:color w:val="000000"/>
          <w:sz w:val="22"/>
          <w:szCs w:val="22"/>
        </w:rPr>
      </w:pPr>
      <w:bookmarkStart w:id="4" w:name="_heading=h.3znysh7" w:colFirst="0" w:colLast="0"/>
      <w:bookmarkEnd w:id="4"/>
    </w:p>
    <w:p w:rsidR="00C258E0" w:rsidRPr="00AB4405" w:rsidRDefault="00C93C7E">
      <w:pPr>
        <w:spacing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Tercero. Notifíquese vía SAIMEX,</w:t>
      </w:r>
      <w:r w:rsidRPr="00AB4405">
        <w:rPr>
          <w:rFonts w:ascii="Palatino Linotype" w:eastAsia="Palatino Linotype" w:hAnsi="Palatino Linotype" w:cs="Palatino Linotype"/>
          <w:b/>
          <w:i/>
        </w:rPr>
        <w:t xml:space="preserve"> </w:t>
      </w:r>
      <w:r w:rsidRPr="00AB4405">
        <w:rPr>
          <w:rFonts w:ascii="Palatino Linotype" w:eastAsia="Palatino Linotype" w:hAnsi="Palatino Linotype" w:cs="Palatino Linotype"/>
        </w:rPr>
        <w:t>al Responsable de la Unidad de Transparencia del Sujeto Obligado la presente resolución, para que conforme al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w:t>
      </w:r>
    </w:p>
    <w:p w:rsidR="00C258E0" w:rsidRPr="00AB4405" w:rsidRDefault="00C258E0">
      <w:pPr>
        <w:spacing w:line="360" w:lineRule="auto"/>
        <w:jc w:val="both"/>
        <w:rPr>
          <w:rFonts w:ascii="Palatino Linotype" w:eastAsia="Palatino Linotype" w:hAnsi="Palatino Linotype" w:cs="Palatino Linotype"/>
          <w:b/>
        </w:rPr>
      </w:pPr>
    </w:p>
    <w:p w:rsidR="00C258E0" w:rsidRPr="00AB4405" w:rsidRDefault="00C93C7E">
      <w:pPr>
        <w:spacing w:after="240" w:line="360" w:lineRule="auto"/>
        <w:jc w:val="both"/>
        <w:rPr>
          <w:rFonts w:ascii="Palatino Linotype" w:eastAsia="Palatino Linotype" w:hAnsi="Palatino Linotype" w:cs="Palatino Linotype"/>
        </w:rPr>
      </w:pPr>
      <w:r w:rsidRPr="00AB4405">
        <w:rPr>
          <w:rFonts w:ascii="Palatino Linotype" w:eastAsia="Palatino Linotype" w:hAnsi="Palatino Linotype" w:cs="Palatino Linotype"/>
          <w:b/>
        </w:rPr>
        <w:t xml:space="preserve">Cuarto. Notifíquese, </w:t>
      </w:r>
      <w:r w:rsidRPr="00AB4405">
        <w:rPr>
          <w:rFonts w:ascii="Palatino Linotype" w:eastAsia="Palatino Linotype" w:hAnsi="Palatino Linotype" w:cs="Palatino Linotype"/>
        </w:rPr>
        <w:t xml:space="preserve">al </w:t>
      </w:r>
      <w:r w:rsidRPr="00AB4405">
        <w:rPr>
          <w:rFonts w:ascii="Palatino Linotype" w:eastAsia="Palatino Linotype" w:hAnsi="Palatino Linotype" w:cs="Palatino Linotype"/>
          <w:b/>
        </w:rPr>
        <w:t>RECURRENT</w:t>
      </w:r>
      <w:r w:rsidRPr="00AB4405">
        <w:rPr>
          <w:rFonts w:ascii="Palatino Linotype" w:eastAsia="Palatino Linotype" w:hAnsi="Palatino Linotype" w:cs="Palatino Linotype"/>
        </w:rPr>
        <w:t xml:space="preserve">E </w:t>
      </w:r>
      <w:r w:rsidRPr="00AB4405">
        <w:rPr>
          <w:rFonts w:ascii="Palatino Linotype" w:eastAsia="Palatino Linotype" w:hAnsi="Palatino Linotype" w:cs="Palatino Linotype"/>
          <w:b/>
        </w:rPr>
        <w:t>vía Sistema de Acceso a la Información Mexiquense (SAIMEX),</w:t>
      </w:r>
      <w:r w:rsidRPr="00AB4405">
        <w:rPr>
          <w:rFonts w:ascii="Palatino Linotype" w:eastAsia="Palatino Linotype" w:hAnsi="Palatino Linotype" w:cs="Palatino Linotype"/>
        </w:rPr>
        <w:t xml:space="preserve"> la presente resolución, así como, que de conformidad con lo establecido en el artículo 196 de la Ley de Transparencia y Acceso a la Información Pública del Estado de México y Municipios, en caso de que considere que le causa </w:t>
      </w:r>
      <w:r w:rsidRPr="00AB4405">
        <w:rPr>
          <w:rFonts w:ascii="Palatino Linotype" w:eastAsia="Palatino Linotype" w:hAnsi="Palatino Linotype" w:cs="Palatino Linotype"/>
        </w:rPr>
        <w:lastRenderedPageBreak/>
        <w:t xml:space="preserve">algún perjuicio podrá impugnarla </w:t>
      </w:r>
      <w:r w:rsidRPr="00AB4405">
        <w:rPr>
          <w:rFonts w:ascii="Palatino Linotype" w:eastAsia="Palatino Linotype" w:hAnsi="Palatino Linotype" w:cs="Palatino Linotype"/>
          <w:b/>
        </w:rPr>
        <w:t>vía Juicio de Amparo</w:t>
      </w:r>
      <w:r w:rsidRPr="00AB4405">
        <w:rPr>
          <w:rFonts w:ascii="Palatino Linotype" w:eastAsia="Palatino Linotype" w:hAnsi="Palatino Linotype" w:cs="Palatino Linotype"/>
        </w:rPr>
        <w:t xml:space="preserve"> en los términos de las leyes aplicables.</w:t>
      </w:r>
    </w:p>
    <w:p w:rsidR="00C258E0" w:rsidRPr="00AB4405" w:rsidRDefault="00C93C7E">
      <w:pPr>
        <w:spacing w:before="240" w:after="240" w:line="360" w:lineRule="auto"/>
        <w:jc w:val="both"/>
        <w:rPr>
          <w:rFonts w:ascii="Palatino Linotype" w:eastAsia="Palatino Linotype" w:hAnsi="Palatino Linotype" w:cs="Palatino Linotype"/>
          <w:b/>
        </w:rPr>
      </w:pPr>
      <w:bookmarkStart w:id="5" w:name="_heading=h.2et92p0" w:colFirst="0" w:colLast="0"/>
      <w:bookmarkEnd w:id="5"/>
      <w:r w:rsidRPr="00AB4405">
        <w:rPr>
          <w:rFonts w:ascii="Palatino Linotype" w:eastAsia="Palatino Linotype" w:hAnsi="Palatino Linotype" w:cs="Palatino Linotype"/>
          <w:b/>
        </w:rPr>
        <w:t>Quinto.</w:t>
      </w:r>
      <w:r w:rsidRPr="00AB4405">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sidRPr="00AB4405">
        <w:rPr>
          <w:rFonts w:ascii="Palatino Linotype" w:eastAsia="Palatino Linotype" w:hAnsi="Palatino Linotype" w:cs="Palatino Linotype"/>
          <w:b/>
        </w:rPr>
        <w:t>SUJETO OBLIGADO</w:t>
      </w:r>
      <w:r w:rsidRPr="00AB4405">
        <w:rPr>
          <w:rFonts w:ascii="Palatino Linotype" w:eastAsia="Palatino Linotype" w:hAnsi="Palatino Linotype" w:cs="Palatino Linotype"/>
        </w:rPr>
        <w:t xml:space="preserve"> de manera fundada y motivada, podrá solicitar una ampliación de plazo para el cumplimiento de la presente resolución.</w:t>
      </w:r>
    </w:p>
    <w:p w:rsidR="00C258E0" w:rsidRDefault="00E20A9E">
      <w:pPr>
        <w:spacing w:before="240" w:after="240" w:line="360" w:lineRule="auto"/>
        <w:jc w:val="both"/>
        <w:rPr>
          <w:rFonts w:ascii="Palatino Linotype" w:eastAsia="Palatino Linotype" w:hAnsi="Palatino Linotype" w:cs="Palatino Linotype"/>
        </w:rPr>
        <w:sectPr w:rsidR="00C258E0">
          <w:headerReference w:type="default" r:id="rId39"/>
          <w:footerReference w:type="default" r:id="rId40"/>
          <w:headerReference w:type="first" r:id="rId41"/>
          <w:footerReference w:type="first" r:id="rId42"/>
          <w:pgSz w:w="12240" w:h="15840"/>
          <w:pgMar w:top="2041" w:right="1701" w:bottom="1701" w:left="1701" w:header="709" w:footer="709" w:gutter="0"/>
          <w:pgNumType w:start="1"/>
          <w:cols w:space="720"/>
          <w:titlePg/>
        </w:sectPr>
      </w:pPr>
      <w:r w:rsidRPr="00AB4405">
        <w:rPr>
          <w:rFonts w:ascii="Palatino Linotype" w:eastAsia="Palatino Linotype" w:hAnsi="Palatino Linotype" w:cs="Palatino Linotype"/>
          <w:noProof/>
          <w:color w:val="222222"/>
          <w:lang w:val="es-MX" w:eastAsia="es-MX"/>
        </w:rPr>
        <mc:AlternateContent>
          <mc:Choice Requires="wps">
            <w:drawing>
              <wp:anchor distT="0" distB="0" distL="114300" distR="114300" simplePos="0" relativeHeight="251660288" behindDoc="0" locked="0" layoutInCell="1" allowOverlap="1">
                <wp:simplePos x="0" y="0"/>
                <wp:positionH relativeFrom="column">
                  <wp:posOffset>24765</wp:posOffset>
                </wp:positionH>
                <wp:positionV relativeFrom="paragraph">
                  <wp:posOffset>3108325</wp:posOffset>
                </wp:positionV>
                <wp:extent cx="5537835" cy="2082800"/>
                <wp:effectExtent l="0" t="0" r="24765" b="31750"/>
                <wp:wrapNone/>
                <wp:docPr id="1" name="Conector recto 1"/>
                <wp:cNvGraphicFramePr/>
                <a:graphic xmlns:a="http://schemas.openxmlformats.org/drawingml/2006/main">
                  <a:graphicData uri="http://schemas.microsoft.com/office/word/2010/wordprocessingShape">
                    <wps:wsp>
                      <wps:cNvCnPr/>
                      <wps:spPr>
                        <a:xfrm>
                          <a:off x="0" y="0"/>
                          <a:ext cx="5537835" cy="2082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483CD8F2" id="Conector recto 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pt,244.75pt" to="438pt,40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ZOMuQEAALkDAAAOAAAAZHJzL2Uyb0RvYy54bWysU8tu2zAQvAfoPxC815IdODEEyzk4aC9F&#10;YjTJBzDU0iLKF5asJf99l7StFG1QFEUvpJac2d0ZrtZ3ozXsABi1dy2fz2rOwEnfabdv+cvzp48r&#10;zmISrhPGO2j5ESK/23y4Wg+hgYXvvekAGSVxsRlCy/uUQlNVUfZgRZz5AI4ulUcrEoW4rzoUA2W3&#10;plrU9U01eOwCegkx0un96ZJvSn6lQKZHpSIkZlpOvaWyYllf81pt1qLZowi9luc2xD90YYV2VHRK&#10;dS+SYN9R/5bKaok+epVm0tvKK6UlFA2kZl7/ouapFwGKFjInhsmm+P/SyofDDpnu6O04c8LSE23p&#10;oWTyyDBvbJ49GkJsCLp1OzxHMewwCx4V2ryTFDYWX4+TrzAmJulwuby+XV0vOZN0t6hXi1VdnK/e&#10;6AFj+gzesvzRcqNdFi4acfgSE5Uk6AVCQW7n1ED5SkcDGWzcV1AkhkrOC7uMEWwNsoOgAei+FTGU&#10;qyAzRWljJlL9Z9IZm2lQRutviRO6VPQuTUSrncf3qqbx0qo64S+qT1qz7FffHctzFDtoPopL51nO&#10;A/hzXOhvf9zmBwAAAP//AwBQSwMEFAAGAAgAAAAhAL68ufzgAAAACQEAAA8AAABkcnMvZG93bnJl&#10;di54bWxMj81OwzAQhO9IvIO1SNyo00LTNI1TVZUQ4oJoSu9uvHUC/oliJw1vz3KC245mNPtNsZ2s&#10;YSP2ofVOwHyWAENXe9U6LeDj+PyQAQtROiWNdyjgGwNsy9ubQubKX90BxypqRiUu5FJAE2OXcx7q&#10;Bq0MM9+hI+/ieysjyV5z1csrlVvDF0mScitbRx8a2eG+wfqrGqwA89qPJ73XuzC8HNLq8/2yeDuO&#10;QtzfTbsNsIhT/AvDLz6hQ0lMZz84FZgR8LimoICnbL0ERn62SmnbmY75agm8LPj/BeUPAAAA//8D&#10;AFBLAQItABQABgAIAAAAIQC2gziS/gAAAOEBAAATAAAAAAAAAAAAAAAAAAAAAABbQ29udGVudF9U&#10;eXBlc10ueG1sUEsBAi0AFAAGAAgAAAAhADj9If/WAAAAlAEAAAsAAAAAAAAAAAAAAAAALwEAAF9y&#10;ZWxzLy5yZWxzUEsBAi0AFAAGAAgAAAAhANpRk4y5AQAAuQMAAA4AAAAAAAAAAAAAAAAALgIAAGRy&#10;cy9lMm9Eb2MueG1sUEsBAi0AFAAGAAgAAAAhAL68ufzgAAAACQEAAA8AAAAAAAAAAAAAAAAAEwQA&#10;AGRycy9kb3ducmV2LnhtbFBLBQYAAAAABAAEAPMAAAAgBQAAAAA=&#10;" strokecolor="black [3200]" strokeweight=".5pt">
                <v:stroke joinstyle="miter"/>
              </v:line>
            </w:pict>
          </mc:Fallback>
        </mc:AlternateContent>
      </w:r>
      <w:r w:rsidR="00C93C7E" w:rsidRPr="00AB4405">
        <w:rPr>
          <w:rFonts w:ascii="Palatino Linotype" w:eastAsia="Palatino Linotype" w:hAnsi="Palatino Linotype" w:cs="Palatino Linotype"/>
          <w:color w:val="222222"/>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w:t>
      </w:r>
      <w:r w:rsidR="00AB4405">
        <w:rPr>
          <w:rFonts w:ascii="Palatino Linotype" w:eastAsia="Palatino Linotype" w:hAnsi="Palatino Linotype" w:cs="Palatino Linotype"/>
          <w:color w:val="222222"/>
        </w:rPr>
        <w:t xml:space="preserve"> CON AUSENCIA JUSTIFICADA</w:t>
      </w:r>
      <w:r w:rsidR="00C93C7E" w:rsidRPr="00AB4405">
        <w:rPr>
          <w:rFonts w:ascii="Palatino Linotype" w:eastAsia="Palatino Linotype" w:hAnsi="Palatino Linotype" w:cs="Palatino Linotype"/>
          <w:color w:val="222222"/>
        </w:rPr>
        <w:t>, LUIS GUSTAVO PARRA NORIEGA Y GUADALUPE RAMÍREZ PEÑA; EN LA VIGÉSIMA CUARTA SESIÓN ORDINARIA CELEBRADA EL VEINTINUEVE</w:t>
      </w:r>
      <w:r w:rsidR="00C93C7E" w:rsidRPr="00AB4405">
        <w:rPr>
          <w:rFonts w:ascii="Palatino Linotype" w:eastAsia="Palatino Linotype" w:hAnsi="Palatino Linotype" w:cs="Palatino Linotype"/>
        </w:rPr>
        <w:t xml:space="preserve"> DE JUNIO DEL DOS MIL VEINTIDÓS, ANTE EL SECRETARIO TÉCNICO DEL PLENO ALEXIS TAPIA RAMÍREZ.</w:t>
      </w:r>
      <w:r w:rsidR="00C93C7E">
        <w:rPr>
          <w:rFonts w:ascii="Palatino Linotype" w:eastAsia="Palatino Linotype" w:hAnsi="Palatino Linotype" w:cs="Palatino Linotype"/>
        </w:rPr>
        <w:t xml:space="preserve"> </w:t>
      </w:r>
    </w:p>
    <w:p w:rsidR="00C258E0" w:rsidRDefault="00C258E0">
      <w:pPr>
        <w:spacing w:before="240" w:after="240" w:line="360" w:lineRule="auto"/>
        <w:jc w:val="both"/>
        <w:rPr>
          <w:rFonts w:ascii="Palatino Linotype" w:eastAsia="Palatino Linotype" w:hAnsi="Palatino Linotype" w:cs="Palatino Linotype"/>
        </w:rPr>
      </w:pPr>
    </w:p>
    <w:sectPr w:rsidR="00C258E0">
      <w:headerReference w:type="first" r:id="rId43"/>
      <w:pgSz w:w="12240" w:h="15840"/>
      <w:pgMar w:top="2041" w:right="1701" w:bottom="1701"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3C7E" w:rsidRDefault="00C93C7E">
      <w:r>
        <w:separator/>
      </w:r>
    </w:p>
  </w:endnote>
  <w:endnote w:type="continuationSeparator" w:id="0">
    <w:p w:rsidR="00C93C7E" w:rsidRDefault="00C93C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58E0" w:rsidRDefault="00C93C7E">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1F5B7E">
      <w:rPr>
        <w:rFonts w:ascii="Arial" w:eastAsia="Arial" w:hAnsi="Arial" w:cs="Arial"/>
        <w:b/>
        <w:noProof/>
        <w:color w:val="000000"/>
        <w:sz w:val="20"/>
        <w:szCs w:val="20"/>
      </w:rPr>
      <w:t>21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1F5B7E">
      <w:rPr>
        <w:rFonts w:ascii="Arial" w:eastAsia="Arial" w:hAnsi="Arial" w:cs="Arial"/>
        <w:b/>
        <w:noProof/>
        <w:color w:val="000000"/>
        <w:sz w:val="20"/>
        <w:szCs w:val="20"/>
      </w:rPr>
      <w:t>77</w:t>
    </w:r>
    <w:r>
      <w:rPr>
        <w:rFonts w:ascii="Arial" w:eastAsia="Arial" w:hAnsi="Arial" w:cs="Arial"/>
        <w:b/>
        <w:color w:val="000000"/>
        <w:sz w:val="20"/>
        <w:szCs w:val="20"/>
      </w:rPr>
      <w:fldChar w:fldCharType="end"/>
    </w:r>
  </w:p>
  <w:p w:rsidR="00C258E0" w:rsidRDefault="00C258E0">
    <w:pPr>
      <w:pBdr>
        <w:top w:val="nil"/>
        <w:left w:val="nil"/>
        <w:bottom w:val="nil"/>
        <w:right w:val="nil"/>
        <w:between w:val="nil"/>
      </w:pBdr>
      <w:tabs>
        <w:tab w:val="center" w:pos="4252"/>
        <w:tab w:val="right" w:pos="8504"/>
      </w:tabs>
      <w:rPr>
        <w:color w:val="000000"/>
      </w:rPr>
    </w:pPr>
  </w:p>
  <w:p w:rsidR="00C258E0" w:rsidRDefault="00C258E0">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58E0" w:rsidRDefault="00C93C7E">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1F5B7E">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1F5B7E">
      <w:rPr>
        <w:rFonts w:ascii="Arial" w:eastAsia="Arial" w:hAnsi="Arial" w:cs="Arial"/>
        <w:b/>
        <w:noProof/>
        <w:color w:val="000000"/>
        <w:sz w:val="20"/>
        <w:szCs w:val="20"/>
      </w:rPr>
      <w:t>77</w:t>
    </w:r>
    <w:r>
      <w:rPr>
        <w:rFonts w:ascii="Arial" w:eastAsia="Arial" w:hAnsi="Arial" w:cs="Arial"/>
        <w:b/>
        <w:color w:val="000000"/>
        <w:sz w:val="20"/>
        <w:szCs w:val="20"/>
      </w:rPr>
      <w:fldChar w:fldCharType="end"/>
    </w:r>
  </w:p>
  <w:p w:rsidR="00C258E0" w:rsidRDefault="00C258E0">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3C7E" w:rsidRDefault="00C93C7E">
      <w:r>
        <w:separator/>
      </w:r>
    </w:p>
  </w:footnote>
  <w:footnote w:type="continuationSeparator" w:id="0">
    <w:p w:rsidR="00C93C7E" w:rsidRDefault="00C93C7E">
      <w:r>
        <w:continuationSeparator/>
      </w:r>
    </w:p>
  </w:footnote>
  <w:footnote w:id="1">
    <w:p w:rsidR="00C258E0" w:rsidRDefault="00C93C7E">
      <w:pPr>
        <w:pBdr>
          <w:top w:val="nil"/>
          <w:left w:val="nil"/>
          <w:bottom w:val="nil"/>
          <w:right w:val="nil"/>
          <w:between w:val="nil"/>
        </w:pBdr>
        <w:jc w:val="both"/>
        <w:rPr>
          <w:rFonts w:ascii="Palatino Linotype" w:eastAsia="Palatino Linotype" w:hAnsi="Palatino Linotype" w:cs="Palatino Linotype"/>
          <w:i/>
          <w:color w:val="000000"/>
          <w:sz w:val="16"/>
          <w:szCs w:val="16"/>
        </w:rPr>
      </w:pPr>
      <w:r>
        <w:rPr>
          <w:vertAlign w:val="superscript"/>
        </w:rPr>
        <w:footnoteRef/>
      </w:r>
      <w:r>
        <w:rPr>
          <w:rFonts w:ascii="Calibri" w:eastAsia="Calibri" w:hAnsi="Calibri" w:cs="Calibri"/>
          <w:color w:val="000000"/>
          <w:sz w:val="20"/>
          <w:szCs w:val="20"/>
        </w:rPr>
        <w:t xml:space="preserve"> </w:t>
      </w:r>
      <w:r>
        <w:rPr>
          <w:rFonts w:ascii="Palatino Linotype" w:eastAsia="Palatino Linotype" w:hAnsi="Palatino Linotype" w:cs="Palatino Linotype"/>
          <w:i/>
          <w:color w:val="000000"/>
          <w:sz w:val="16"/>
          <w:szCs w:val="16"/>
        </w:rPr>
        <w:t xml:space="preserve">Artículo 129. En la aplicación de la prueba de daño, el sujeto obligado deberá precisar las razones objetivas por las que la apertura de la información generaría una afectación, justificando que:  </w:t>
      </w:r>
    </w:p>
    <w:p w:rsidR="00C258E0" w:rsidRDefault="00C93C7E">
      <w:pPr>
        <w:pBdr>
          <w:top w:val="nil"/>
          <w:left w:val="nil"/>
          <w:bottom w:val="nil"/>
          <w:right w:val="nil"/>
          <w:between w:val="nil"/>
        </w:pBdr>
        <w:jc w:val="both"/>
        <w:rPr>
          <w:rFonts w:ascii="Palatino Linotype" w:eastAsia="Palatino Linotype" w:hAnsi="Palatino Linotype" w:cs="Palatino Linotype"/>
          <w:i/>
          <w:color w:val="000000"/>
          <w:sz w:val="16"/>
          <w:szCs w:val="16"/>
        </w:rPr>
      </w:pPr>
      <w:r>
        <w:rPr>
          <w:rFonts w:ascii="Palatino Linotype" w:eastAsia="Palatino Linotype" w:hAnsi="Palatino Linotype" w:cs="Palatino Linotype"/>
          <w:i/>
          <w:color w:val="000000"/>
          <w:sz w:val="16"/>
          <w:szCs w:val="16"/>
        </w:rPr>
        <w:t xml:space="preserve">I. La divulgación de la información representa un riesgo real, demostrable e identificable del perjuicio significativo al interés público o a la seguridad pública;  </w:t>
      </w:r>
    </w:p>
    <w:p w:rsidR="00C258E0" w:rsidRDefault="00C93C7E">
      <w:pPr>
        <w:pBdr>
          <w:top w:val="nil"/>
          <w:left w:val="nil"/>
          <w:bottom w:val="nil"/>
          <w:right w:val="nil"/>
          <w:between w:val="nil"/>
        </w:pBdr>
        <w:jc w:val="both"/>
        <w:rPr>
          <w:rFonts w:ascii="Palatino Linotype" w:eastAsia="Palatino Linotype" w:hAnsi="Palatino Linotype" w:cs="Palatino Linotype"/>
          <w:i/>
          <w:color w:val="000000"/>
          <w:sz w:val="16"/>
          <w:szCs w:val="16"/>
        </w:rPr>
      </w:pPr>
      <w:r>
        <w:rPr>
          <w:rFonts w:ascii="Palatino Linotype" w:eastAsia="Palatino Linotype" w:hAnsi="Palatino Linotype" w:cs="Palatino Linotype"/>
          <w:i/>
          <w:color w:val="000000"/>
          <w:sz w:val="16"/>
          <w:szCs w:val="16"/>
        </w:rPr>
        <w:t xml:space="preserve">II. El riesgo de perjuicio que supondría la divulgación supera el interés público general de que se difunda; y  </w:t>
      </w:r>
    </w:p>
    <w:p w:rsidR="00C258E0" w:rsidRDefault="00C93C7E">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i/>
          <w:color w:val="000000"/>
          <w:sz w:val="16"/>
          <w:szCs w:val="16"/>
        </w:rPr>
        <w:t>III. La limitación se adecua al principio de proporcionalidad y representa el medio menos restrictivo disponible representa el medio menos restrictivo disponible para evitar el perjuicio.</w:t>
      </w:r>
      <w:r>
        <w:rPr>
          <w:rFonts w:ascii="Palatino Linotype" w:eastAsia="Palatino Linotype" w:hAnsi="Palatino Linotype" w:cs="Palatino Linotype"/>
          <w:color w:val="000000"/>
          <w:sz w:val="16"/>
          <w:szCs w:val="16"/>
        </w:rPr>
        <w:t xml:space="preserve"> Ley de Transparencia y Acceso a la Información Pública del Estado de México y Municipios.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58E0" w:rsidRDefault="00C258E0">
    <w:pPr>
      <w:widowControl w:val="0"/>
      <w:pBdr>
        <w:top w:val="nil"/>
        <w:left w:val="nil"/>
        <w:bottom w:val="nil"/>
        <w:right w:val="nil"/>
        <w:between w:val="nil"/>
      </w:pBdr>
      <w:spacing w:line="276" w:lineRule="auto"/>
      <w:rPr>
        <w:rFonts w:ascii="Calibri" w:eastAsia="Calibri" w:hAnsi="Calibri" w:cs="Calibri"/>
        <w:color w:val="000000"/>
      </w:rPr>
    </w:pPr>
  </w:p>
  <w:tbl>
    <w:tblPr>
      <w:tblStyle w:val="ac"/>
      <w:tblW w:w="5528" w:type="dxa"/>
      <w:tblInd w:w="3261" w:type="dxa"/>
      <w:tblLayout w:type="fixed"/>
      <w:tblLook w:val="0400" w:firstRow="0" w:lastRow="0" w:firstColumn="0" w:lastColumn="0" w:noHBand="0" w:noVBand="1"/>
    </w:tblPr>
    <w:tblGrid>
      <w:gridCol w:w="2551"/>
      <w:gridCol w:w="2977"/>
    </w:tblGrid>
    <w:tr w:rsidR="00C258E0">
      <w:tc>
        <w:tcPr>
          <w:tcW w:w="2551" w:type="dxa"/>
          <w:vAlign w:val="center"/>
        </w:tcPr>
        <w:p w:rsidR="00C258E0" w:rsidRDefault="00C93C7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77" w:type="dxa"/>
          <w:vAlign w:val="center"/>
        </w:tcPr>
        <w:p w:rsidR="00C258E0" w:rsidRDefault="00C93C7E">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03539/INFOEM/IP/RR/2021 y acumulado.</w:t>
          </w:r>
        </w:p>
      </w:tc>
    </w:tr>
    <w:tr w:rsidR="00C258E0">
      <w:trPr>
        <w:trHeight w:val="228"/>
      </w:trPr>
      <w:tc>
        <w:tcPr>
          <w:tcW w:w="2551" w:type="dxa"/>
          <w:vAlign w:val="center"/>
        </w:tcPr>
        <w:p w:rsidR="00C258E0" w:rsidRDefault="00C93C7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2977" w:type="dxa"/>
          <w:vAlign w:val="center"/>
        </w:tcPr>
        <w:p w:rsidR="00C258E0" w:rsidRDefault="00C93C7E">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Secretaría de Movilidad.</w:t>
          </w:r>
        </w:p>
      </w:tc>
    </w:tr>
    <w:tr w:rsidR="00C258E0">
      <w:tc>
        <w:tcPr>
          <w:tcW w:w="2551" w:type="dxa"/>
          <w:vAlign w:val="center"/>
        </w:tcPr>
        <w:p w:rsidR="00C258E0" w:rsidRDefault="00C93C7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2977" w:type="dxa"/>
          <w:vAlign w:val="center"/>
        </w:tcPr>
        <w:p w:rsidR="00C258E0" w:rsidRDefault="00C93C7E">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C258E0" w:rsidRDefault="00C93C7E">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lang w:val="es-MX" w:eastAsia="es-MX"/>
      </w:rPr>
      <w:drawing>
        <wp:anchor distT="0" distB="0" distL="0" distR="0" simplePos="0" relativeHeight="251658240" behindDoc="1" locked="0" layoutInCell="1" hidden="0" allowOverlap="1">
          <wp:simplePos x="0" y="0"/>
          <wp:positionH relativeFrom="column">
            <wp:posOffset>-695767</wp:posOffset>
          </wp:positionH>
          <wp:positionV relativeFrom="paragraph">
            <wp:posOffset>-1200942</wp:posOffset>
          </wp:positionV>
          <wp:extent cx="7809876" cy="10165823"/>
          <wp:effectExtent l="0" t="0" r="0" b="0"/>
          <wp:wrapNone/>
          <wp:docPr id="7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58E0" w:rsidRDefault="00C93C7E">
    <w:pPr>
      <w:pBdr>
        <w:top w:val="nil"/>
        <w:left w:val="nil"/>
        <w:bottom w:val="nil"/>
        <w:right w:val="nil"/>
        <w:between w:val="nil"/>
      </w:pBdr>
      <w:tabs>
        <w:tab w:val="center" w:pos="4252"/>
        <w:tab w:val="right" w:pos="8504"/>
      </w:tabs>
      <w:jc w:val="both"/>
      <w:rPr>
        <w:rFonts w:ascii="Calibri" w:eastAsia="Calibri" w:hAnsi="Calibri" w:cs="Calibri"/>
        <w:color w:val="000000"/>
      </w:rPr>
    </w:pPr>
    <w:r>
      <w:rPr>
        <w:noProof/>
        <w:lang w:val="es-MX" w:eastAsia="es-MX"/>
      </w:rPr>
      <w:drawing>
        <wp:anchor distT="0" distB="0" distL="0" distR="0" simplePos="0" relativeHeight="251659264" behindDoc="1" locked="0" layoutInCell="1" hidden="0" allowOverlap="1">
          <wp:simplePos x="0" y="0"/>
          <wp:positionH relativeFrom="column">
            <wp:posOffset>-846157</wp:posOffset>
          </wp:positionH>
          <wp:positionV relativeFrom="paragraph">
            <wp:posOffset>-171228</wp:posOffset>
          </wp:positionV>
          <wp:extent cx="7809876" cy="10165823"/>
          <wp:effectExtent l="0" t="0" r="0" b="0"/>
          <wp:wrapNone/>
          <wp:docPr id="6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b"/>
      <w:tblW w:w="5670" w:type="dxa"/>
      <w:tblInd w:w="3119" w:type="dxa"/>
      <w:tblLayout w:type="fixed"/>
      <w:tblLook w:val="0400" w:firstRow="0" w:lastRow="0" w:firstColumn="0" w:lastColumn="0" w:noHBand="0" w:noVBand="1"/>
    </w:tblPr>
    <w:tblGrid>
      <w:gridCol w:w="2551"/>
      <w:gridCol w:w="3119"/>
    </w:tblGrid>
    <w:tr w:rsidR="00C258E0">
      <w:tc>
        <w:tcPr>
          <w:tcW w:w="2551" w:type="dxa"/>
          <w:vAlign w:val="center"/>
        </w:tcPr>
        <w:p w:rsidR="00C258E0" w:rsidRDefault="00C93C7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rsidR="00C258E0" w:rsidRDefault="00C93C7E">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03539/INFOEM/IP/RR/2022 y acumulado.</w:t>
          </w:r>
        </w:p>
      </w:tc>
    </w:tr>
    <w:tr w:rsidR="00C258E0">
      <w:tc>
        <w:tcPr>
          <w:tcW w:w="2551" w:type="dxa"/>
          <w:vAlign w:val="center"/>
        </w:tcPr>
        <w:p w:rsidR="00C258E0" w:rsidRDefault="00C93C7E">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rsidR="00C258E0" w:rsidRDefault="001F5B7E">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 XXXXX</w:t>
          </w:r>
          <w:r w:rsidR="00C93C7E">
            <w:rPr>
              <w:rFonts w:ascii="Palatino Linotype" w:eastAsia="Palatino Linotype" w:hAnsi="Palatino Linotype" w:cs="Palatino Linotype"/>
              <w:b/>
              <w:sz w:val="22"/>
              <w:szCs w:val="22"/>
            </w:rPr>
            <w:t>.</w:t>
          </w:r>
        </w:p>
      </w:tc>
    </w:tr>
    <w:tr w:rsidR="00C258E0">
      <w:trPr>
        <w:trHeight w:val="228"/>
      </w:trPr>
      <w:tc>
        <w:tcPr>
          <w:tcW w:w="2551" w:type="dxa"/>
          <w:vAlign w:val="center"/>
        </w:tcPr>
        <w:p w:rsidR="00C258E0" w:rsidRDefault="00C93C7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rsidR="00C258E0" w:rsidRDefault="00C93C7E">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Secretaría de Movilidad.</w:t>
          </w:r>
        </w:p>
      </w:tc>
    </w:tr>
    <w:tr w:rsidR="00C258E0">
      <w:tc>
        <w:tcPr>
          <w:tcW w:w="2551" w:type="dxa"/>
          <w:vAlign w:val="center"/>
        </w:tcPr>
        <w:p w:rsidR="00C258E0" w:rsidRDefault="00C93C7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rsidR="00C258E0" w:rsidRDefault="00C93C7E">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C258E0" w:rsidRDefault="00C258E0">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58E0" w:rsidRDefault="00C258E0">
    <w:pPr>
      <w:pBdr>
        <w:top w:val="nil"/>
        <w:left w:val="nil"/>
        <w:bottom w:val="nil"/>
        <w:right w:val="nil"/>
        <w:between w:val="nil"/>
      </w:pBdr>
      <w:tabs>
        <w:tab w:val="center" w:pos="4252"/>
        <w:tab w:val="right" w:pos="8504"/>
      </w:tabs>
      <w:jc w:val="both"/>
      <w:rPr>
        <w:rFonts w:ascii="Calibri" w:eastAsia="Calibri" w:hAnsi="Calibri" w:cs="Calibri"/>
        <w:color w:val="000000"/>
      </w:rPr>
    </w:pPr>
  </w:p>
  <w:p w:rsidR="00C258E0" w:rsidRDefault="00C258E0">
    <w:pPr>
      <w:pBdr>
        <w:top w:val="nil"/>
        <w:left w:val="nil"/>
        <w:bottom w:val="nil"/>
        <w:right w:val="nil"/>
        <w:between w:val="nil"/>
      </w:pBdr>
      <w:tabs>
        <w:tab w:val="center" w:pos="4252"/>
        <w:tab w:val="right" w:pos="8504"/>
      </w:tabs>
      <w:rPr>
        <w:rFonts w:ascii="Calibri" w:eastAsia="Calibri" w:hAnsi="Calibri" w:cs="Calibri"/>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58507C"/>
    <w:multiLevelType w:val="multilevel"/>
    <w:tmpl w:val="CB84168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BBF3330"/>
    <w:multiLevelType w:val="multilevel"/>
    <w:tmpl w:val="CD26B2B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520C61FD"/>
    <w:multiLevelType w:val="multilevel"/>
    <w:tmpl w:val="BEE04EA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69D850AF"/>
    <w:multiLevelType w:val="multilevel"/>
    <w:tmpl w:val="3852EB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6A3D69AA"/>
    <w:multiLevelType w:val="multilevel"/>
    <w:tmpl w:val="C0D8D8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23A6B57"/>
    <w:multiLevelType w:val="multilevel"/>
    <w:tmpl w:val="7D20C140"/>
    <w:lvl w:ilvl="0">
      <w:start w:val="1"/>
      <w:numFmt w:val="upp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15:restartNumberingAfterBreak="0">
    <w:nsid w:val="7FCB5368"/>
    <w:multiLevelType w:val="hybridMultilevel"/>
    <w:tmpl w:val="E2EADFB2"/>
    <w:lvl w:ilvl="0" w:tplc="5A1A0B60">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num w:numId="1">
    <w:abstractNumId w:val="2"/>
  </w:num>
  <w:num w:numId="2">
    <w:abstractNumId w:val="3"/>
  </w:num>
  <w:num w:numId="3">
    <w:abstractNumId w:val="1"/>
  </w:num>
  <w:num w:numId="4">
    <w:abstractNumId w:val="4"/>
  </w:num>
  <w:num w:numId="5">
    <w:abstractNumId w:val="0"/>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58E0"/>
    <w:rsid w:val="001F5B7E"/>
    <w:rsid w:val="002A5433"/>
    <w:rsid w:val="002B111A"/>
    <w:rsid w:val="00951063"/>
    <w:rsid w:val="00AB4405"/>
    <w:rsid w:val="00C258E0"/>
    <w:rsid w:val="00C93C7E"/>
    <w:rsid w:val="00E20A9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4AAD1B8-4CDD-4887-9D9A-62B4494C96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3C64"/>
    <w:rPr>
      <w:lang w:eastAsia="es-ES"/>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link w:val="Ttulo3Car"/>
    <w:uiPriority w:val="9"/>
    <w:qFormat/>
    <w:rsid w:val="002D2EAC"/>
    <w:pPr>
      <w:spacing w:before="100" w:beforeAutospacing="1" w:after="100" w:afterAutospacing="1"/>
      <w:outlineLvl w:val="2"/>
    </w:pPr>
    <w:rPr>
      <w:b/>
      <w:bCs/>
      <w:sz w:val="27"/>
      <w:szCs w:val="27"/>
      <w:lang w:val="es-MX" w:eastAsia="es-MX"/>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AC3C64"/>
    <w:rPr>
      <w:rFonts w:eastAsiaTheme="minorEastAsia"/>
      <w:sz w:val="24"/>
      <w:szCs w:val="24"/>
      <w:lang w:val="es-ES_tradnl" w:eastAsia="es-ES"/>
    </w:rPr>
  </w:style>
  <w:style w:type="paragraph" w:styleId="Piedepgina">
    <w:name w:val="footer"/>
    <w:basedOn w:val="Normal"/>
    <w:link w:val="Piedepgina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AC3C64"/>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C3C6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C3C64"/>
    <w:pPr>
      <w:ind w:left="708"/>
    </w:pPr>
    <w:rPr>
      <w:sz w:val="22"/>
      <w:szCs w:val="22"/>
      <w:lang w:eastAsia="en-US"/>
    </w:rPr>
  </w:style>
  <w:style w:type="table" w:styleId="Tablaconcuadrcula">
    <w:name w:val="Table Grid"/>
    <w:basedOn w:val="Tablanormal"/>
    <w:uiPriority w:val="59"/>
    <w:rsid w:val="00AC3C64"/>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AC3C64"/>
  </w:style>
  <w:style w:type="character" w:customStyle="1" w:styleId="apple-converted-space">
    <w:name w:val="apple-converted-space"/>
    <w:basedOn w:val="Fuentedeprrafopredeter"/>
    <w:rsid w:val="00AC3C64"/>
  </w:style>
  <w:style w:type="paragraph" w:customStyle="1" w:styleId="paragraph">
    <w:name w:val="paragraph"/>
    <w:basedOn w:val="Normal"/>
    <w:rsid w:val="00AC3C64"/>
    <w:pPr>
      <w:spacing w:before="100" w:beforeAutospacing="1" w:after="100" w:afterAutospacing="1"/>
    </w:pPr>
    <w:rPr>
      <w:lang w:val="es-MX" w:eastAsia="es-MX"/>
    </w:rPr>
  </w:style>
  <w:style w:type="character" w:customStyle="1" w:styleId="eop">
    <w:name w:val="eop"/>
    <w:basedOn w:val="Fuentedeprrafopredeter"/>
    <w:rsid w:val="00AC3C6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AC3C64"/>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qFormat/>
    <w:rsid w:val="00AC3C64"/>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AC3C64"/>
    <w:rPr>
      <w:vertAlign w:val="superscript"/>
    </w:rPr>
  </w:style>
  <w:style w:type="character" w:styleId="Hipervnculo">
    <w:name w:val="Hyperlink"/>
    <w:basedOn w:val="Fuentedeprrafopredeter"/>
    <w:uiPriority w:val="99"/>
    <w:unhideWhenUsed/>
    <w:rsid w:val="00AC3C64"/>
    <w:rPr>
      <w:color w:val="0563C1" w:themeColor="hyperlink"/>
      <w:u w:val="single"/>
    </w:rPr>
  </w:style>
  <w:style w:type="paragraph" w:styleId="NormalWeb">
    <w:name w:val="Normal (Web)"/>
    <w:basedOn w:val="Normal"/>
    <w:uiPriority w:val="99"/>
    <w:unhideWhenUsed/>
    <w:rsid w:val="00AC3C64"/>
    <w:pPr>
      <w:spacing w:before="100" w:beforeAutospacing="1" w:after="100" w:afterAutospacing="1"/>
    </w:pPr>
    <w:rPr>
      <w:lang w:val="es-MX" w:eastAsia="es-MX"/>
    </w:rPr>
  </w:style>
  <w:style w:type="character" w:customStyle="1" w:styleId="Ttulo3Car">
    <w:name w:val="Título 3 Car"/>
    <w:basedOn w:val="Fuentedeprrafopredeter"/>
    <w:link w:val="Ttulo3"/>
    <w:uiPriority w:val="9"/>
    <w:rsid w:val="002D2EAC"/>
    <w:rPr>
      <w:rFonts w:ascii="Times New Roman" w:eastAsia="Times New Roman" w:hAnsi="Times New Roman" w:cs="Times New Roman"/>
      <w:b/>
      <w:bCs/>
      <w:sz w:val="27"/>
      <w:szCs w:val="27"/>
      <w:lang w:eastAsia="es-MX"/>
    </w:rPr>
  </w:style>
  <w:style w:type="character" w:customStyle="1" w:styleId="titulorubro">
    <w:name w:val="titulorubro"/>
    <w:basedOn w:val="Fuentedeprrafopredeter"/>
    <w:rsid w:val="002D2EAC"/>
  </w:style>
  <w:style w:type="paragraph" w:styleId="Textoindependiente">
    <w:name w:val="Body Text"/>
    <w:basedOn w:val="Normal"/>
    <w:link w:val="TextoindependienteCar"/>
    <w:uiPriority w:val="1"/>
    <w:qFormat/>
    <w:rsid w:val="006F3C93"/>
    <w:pPr>
      <w:autoSpaceDE w:val="0"/>
      <w:autoSpaceDN w:val="0"/>
      <w:adjustRightInd w:val="0"/>
      <w:ind w:left="93"/>
    </w:pPr>
    <w:rPr>
      <w:rFonts w:eastAsiaTheme="minorHAnsi"/>
      <w:sz w:val="23"/>
      <w:szCs w:val="23"/>
      <w:lang w:val="es-MX" w:eastAsia="en-US"/>
    </w:rPr>
  </w:style>
  <w:style w:type="character" w:customStyle="1" w:styleId="TextoindependienteCar">
    <w:name w:val="Texto independiente Car"/>
    <w:basedOn w:val="Fuentedeprrafopredeter"/>
    <w:link w:val="Textoindependiente"/>
    <w:uiPriority w:val="1"/>
    <w:rsid w:val="006F3C93"/>
    <w:rPr>
      <w:rFonts w:ascii="Times New Roman" w:hAnsi="Times New Roman" w:cs="Times New Roman"/>
      <w:sz w:val="23"/>
      <w:szCs w:val="23"/>
    </w:rPr>
  </w:style>
  <w:style w:type="paragraph" w:styleId="Textodeglobo">
    <w:name w:val="Balloon Text"/>
    <w:basedOn w:val="Normal"/>
    <w:link w:val="TextodegloboCar"/>
    <w:uiPriority w:val="99"/>
    <w:semiHidden/>
    <w:unhideWhenUsed/>
    <w:rsid w:val="00A037B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37B6"/>
    <w:rPr>
      <w:rFonts w:ascii="Segoe UI" w:eastAsia="Times New Roman" w:hAnsi="Segoe UI" w:cs="Segoe UI"/>
      <w:sz w:val="18"/>
      <w:szCs w:val="18"/>
      <w:lang w:val="es-ES" w:eastAsia="es-ES"/>
    </w:rPr>
  </w:style>
  <w:style w:type="paragraph" w:customStyle="1" w:styleId="Pa1">
    <w:name w:val="Pa1"/>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2">
    <w:name w:val="Pa2"/>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3">
    <w:name w:val="Pa3"/>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styleId="Sinespaciado">
    <w:name w:val="No Spacing"/>
    <w:aliases w:val="Francesa,INAI"/>
    <w:link w:val="SinespaciadoCar"/>
    <w:uiPriority w:val="1"/>
    <w:qFormat/>
    <w:rsid w:val="00CE2CFE"/>
  </w:style>
  <w:style w:type="character" w:customStyle="1" w:styleId="SinespaciadoCar">
    <w:name w:val="Sin espaciado Car"/>
    <w:aliases w:val="Francesa Car,INAI Car"/>
    <w:link w:val="Sinespaciado"/>
    <w:uiPriority w:val="1"/>
    <w:locked/>
    <w:rsid w:val="00CE2CFE"/>
  </w:style>
  <w:style w:type="table" w:styleId="Tabladelista1clara-nfasis1">
    <w:name w:val="List Table 1 Light Accent 1"/>
    <w:basedOn w:val="Tablanormal"/>
    <w:uiPriority w:val="46"/>
    <w:rsid w:val="00D30935"/>
    <w:rPr>
      <w:rFonts w:eastAsiaTheme="minorEastAsia"/>
      <w:lang w:val="es-ES_tradnl" w:eastAsia="es-ES"/>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2"/>
    <w:tblPr>
      <w:tblStyleRowBandSize w:val="1"/>
      <w:tblStyleColBandSize w:val="1"/>
      <w:tblCellMar>
        <w:left w:w="108" w:type="dxa"/>
        <w:right w:w="108" w:type="dxa"/>
      </w:tblCellMar>
    </w:tblPr>
  </w:style>
  <w:style w:type="table" w:customStyle="1" w:styleId="a0">
    <w:basedOn w:val="TableNormal2"/>
    <w:tblPr>
      <w:tblStyleRowBandSize w:val="1"/>
      <w:tblStyleColBandSize w:val="1"/>
      <w:tblCellMar>
        <w:left w:w="115" w:type="dxa"/>
        <w:right w:w="115" w:type="dxa"/>
      </w:tblCellMar>
    </w:tblPr>
  </w:style>
  <w:style w:type="table" w:customStyle="1" w:styleId="a1">
    <w:basedOn w:val="TableNormal2"/>
    <w:tblPr>
      <w:tblStyleRowBandSize w:val="1"/>
      <w:tblStyleColBandSize w:val="1"/>
      <w:tblCellMar>
        <w:left w:w="115" w:type="dxa"/>
        <w:right w:w="115" w:type="dxa"/>
      </w:tblCellMar>
    </w:tblPr>
  </w:style>
  <w:style w:type="table" w:customStyle="1" w:styleId="a2">
    <w:basedOn w:val="TableNormal2"/>
    <w:tblPr>
      <w:tblStyleRowBandSize w:val="1"/>
      <w:tblStyleColBandSize w:val="1"/>
      <w:tblCellMar>
        <w:left w:w="115" w:type="dxa"/>
        <w:right w:w="115" w:type="dxa"/>
      </w:tblCellMar>
    </w:tblPr>
  </w:style>
  <w:style w:type="table" w:customStyle="1" w:styleId="a3">
    <w:basedOn w:val="TableNormal2"/>
    <w:tblPr>
      <w:tblStyleRowBandSize w:val="1"/>
      <w:tblStyleColBandSize w:val="1"/>
      <w:tblCellMar>
        <w:left w:w="115" w:type="dxa"/>
        <w:right w:w="115" w:type="dxa"/>
      </w:tblCellMar>
    </w:tblPr>
  </w:style>
  <w:style w:type="table" w:customStyle="1" w:styleId="a4">
    <w:basedOn w:val="TableNormal2"/>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08" w:type="dxa"/>
        <w:right w:w="108" w:type="dxa"/>
      </w:tblCellMar>
    </w:tblPr>
  </w:style>
  <w:style w:type="table" w:customStyle="1" w:styleId="a6">
    <w:basedOn w:val="TableNormal1"/>
    <w:tblPr>
      <w:tblStyleRowBandSize w:val="1"/>
      <w:tblStyleColBandSize w:val="1"/>
      <w:tblCellMar>
        <w:left w:w="115" w:type="dxa"/>
        <w:right w:w="115" w:type="dxa"/>
      </w:tblCellMar>
    </w:tblPr>
  </w:style>
  <w:style w:type="table" w:customStyle="1" w:styleId="a7">
    <w:basedOn w:val="TableNormal1"/>
    <w:tblPr>
      <w:tblStyleRowBandSize w:val="1"/>
      <w:tblStyleColBandSize w:val="1"/>
      <w:tblCellMar>
        <w:left w:w="115" w:type="dxa"/>
        <w:right w:w="115" w:type="dxa"/>
      </w:tblCellMar>
    </w:tblPr>
  </w:style>
  <w:style w:type="table" w:customStyle="1" w:styleId="a8">
    <w:basedOn w:val="TableNormal1"/>
    <w:tblPr>
      <w:tblStyleRowBandSize w:val="1"/>
      <w:tblStyleColBandSize w:val="1"/>
      <w:tblCellMar>
        <w:left w:w="115" w:type="dxa"/>
        <w:right w:w="115" w:type="dxa"/>
      </w:tblCellMar>
    </w:tbl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yperlink" Target="https://saimex.org.mx/saimex/solicitud/downloadAttach/1345735.page" TargetMode="External"/><Relationship Id="rId18" Type="http://schemas.openxmlformats.org/officeDocument/2006/relationships/hyperlink" Target="https://saimex.org.mx/saimex/solicitud/downloadAttach/1388325.page" TargetMode="External"/><Relationship Id="rId26" Type="http://schemas.openxmlformats.org/officeDocument/2006/relationships/image" Target="media/image5.png"/><Relationship Id="rId39" Type="http://schemas.openxmlformats.org/officeDocument/2006/relationships/header" Target="header1.xml"/><Relationship Id="rId21" Type="http://schemas.openxmlformats.org/officeDocument/2006/relationships/hyperlink" Target="https://saimex.org.mx/saimex/solicitud/downloadAttach/1388314.page" TargetMode="External"/><Relationship Id="rId34" Type="http://schemas.openxmlformats.org/officeDocument/2006/relationships/image" Target="media/image13.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aimex.org.mx/saimex/solicitud/downloadAttach/1347635.page"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aimex.org.mx/saimex/solicitud/downloadAttach/1347665.page"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saimex.org.mx/saimex/solicitud/downloadAttach/1346541.page"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hyperlink" Target="https://saimex.org.mx/saimex/solicitud/downloadAttach/1346542.page" TargetMode="External"/><Relationship Id="rId19" Type="http://schemas.openxmlformats.org/officeDocument/2006/relationships/hyperlink" Target="https://saimex.org.mx/saimex/solicitud/downloadAttach/1388326.page" TargetMode="External"/><Relationship Id="rId31" Type="http://schemas.openxmlformats.org/officeDocument/2006/relationships/image" Target="media/image1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saimex.org.mx/saimex/solicitud/downloadAttach/1346441.page" TargetMode="External"/><Relationship Id="rId14" Type="http://schemas.openxmlformats.org/officeDocument/2006/relationships/hyperlink" Target="https://saimex.org.mx/saimex/solicitud/downloadAttach/1346437.page" TargetMode="Externa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header" Target="header3.xml"/><Relationship Id="rId8" Type="http://schemas.openxmlformats.org/officeDocument/2006/relationships/hyperlink" Target="https://saimex.org.mx/saimex/solicitud/downloadAttach/1345744.page" TargetMode="External"/><Relationship Id="rId3" Type="http://schemas.openxmlformats.org/officeDocument/2006/relationships/styles" Target="styles.xml"/><Relationship Id="rId12" Type="http://schemas.openxmlformats.org/officeDocument/2006/relationships/hyperlink" Target="https://saimex.org.mx/saimex/solicitud/downloadAttach/1347666.page" TargetMode="External"/><Relationship Id="rId17" Type="http://schemas.openxmlformats.org/officeDocument/2006/relationships/hyperlink" Target="https://saimex.org.mx/saimex/solicitud/downloadAttach/1347636.page"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20" Type="http://schemas.openxmlformats.org/officeDocument/2006/relationships/hyperlink" Target="https://saimex.org.mx/saimex/solicitud/downloadAttach/1388313.page" TargetMode="External"/><Relationship Id="rId41"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Q/9VwWvYESgH0BA6BaXGzgxITeQ==">AMUW2mXMvF7YS0MXgFLPUpW9+sKHEcLoUMPlOSXR71ifjjBKZHQjMGiSEJxpvjjhHXZDmDwK3esUi7+0TvWSoZ5Qih3yh1mc64peoLxVqgPnS4X1CE7aPJYphg9fqIznUvY66Bc59Kei5s4Fq5bX1OIeDTbwypZ9BOWygXB6r28B5w9icSQrhxLmg0IK4LlBnXovsS/4TKGq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77</Pages>
  <Words>18753</Words>
  <Characters>103143</Characters>
  <Application>Microsoft Office Word</Application>
  <DocSecurity>0</DocSecurity>
  <Lines>859</Lines>
  <Paragraphs>243</Paragraphs>
  <ScaleCrop>false</ScaleCrop>
  <Company>HP Inc.</Company>
  <LinksUpToDate>false</LinksUpToDate>
  <CharactersWithSpaces>121653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Jhancarlo</cp:lastModifiedBy>
  <cp:revision>7</cp:revision>
  <dcterms:created xsi:type="dcterms:W3CDTF">2022-06-21T22:14:00Z</dcterms:created>
  <dcterms:modified xsi:type="dcterms:W3CDTF">2022-07-07T16:48:00Z</dcterms:modified>
</cp:coreProperties>
</file>