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9CD9B7" w14:textId="77777777" w:rsidR="002439F8" w:rsidRDefault="005C7C9E">
      <w:pPr>
        <w:spacing w:before="240" w:after="240" w:line="360" w:lineRule="auto"/>
        <w:ind w:right="49"/>
        <w:jc w:val="both"/>
        <w:rPr>
          <w:rFonts w:ascii="Palatino Linotype" w:eastAsia="Palatino Linotype" w:hAnsi="Palatino Linotype" w:cs="Palatino Linotype"/>
          <w:sz w:val="24"/>
          <w:szCs w:val="24"/>
        </w:rPr>
      </w:pPr>
      <w:bookmarkStart w:id="0" w:name="_heading=h.gjdgxs" w:colFirst="0" w:colLast="0"/>
      <w:bookmarkEnd w:id="0"/>
      <w:r>
        <w:rPr>
          <w:rFonts w:ascii="Palatino Linotype" w:eastAsia="Palatino Linotype" w:hAnsi="Palatino Linotype" w:cs="Palatino Linotype"/>
          <w:sz w:val="24"/>
          <w:szCs w:val="24"/>
        </w:rPr>
        <w:t>Resolución del Pleno del Instituto de Transparencia, Acceso a la Informaci</w:t>
      </w:r>
      <w:bookmarkStart w:id="1" w:name="_GoBack"/>
      <w:r>
        <w:rPr>
          <w:rFonts w:ascii="Palatino Linotype" w:eastAsia="Palatino Linotype" w:hAnsi="Palatino Linotype" w:cs="Palatino Linotype"/>
          <w:sz w:val="24"/>
          <w:szCs w:val="24"/>
        </w:rPr>
        <w:t>ó</w:t>
      </w:r>
      <w:bookmarkEnd w:id="1"/>
      <w:r>
        <w:rPr>
          <w:rFonts w:ascii="Palatino Linotype" w:eastAsia="Palatino Linotype" w:hAnsi="Palatino Linotype" w:cs="Palatino Linotype"/>
          <w:sz w:val="24"/>
          <w:szCs w:val="24"/>
        </w:rPr>
        <w:t>n Pública y Protección de Datos Personales del Estado de México y Municipios, con domicilio en Metepec, Estado de México, a once de mayo de dos mil veintidós.</w:t>
      </w:r>
    </w:p>
    <w:p w14:paraId="53590284" w14:textId="77777777" w:rsidR="002439F8" w:rsidRDefault="005C7C9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Visto </w:t>
      </w:r>
      <w:r>
        <w:rPr>
          <w:rFonts w:ascii="Palatino Linotype" w:eastAsia="Palatino Linotype" w:hAnsi="Palatino Linotype" w:cs="Palatino Linotype"/>
          <w:sz w:val="24"/>
          <w:szCs w:val="24"/>
        </w:rPr>
        <w:t xml:space="preserve">el expediente relativo al recurso de revisión </w:t>
      </w:r>
      <w:r>
        <w:rPr>
          <w:rFonts w:ascii="Palatino Linotype" w:eastAsia="Palatino Linotype" w:hAnsi="Palatino Linotype" w:cs="Palatino Linotype"/>
          <w:b/>
          <w:sz w:val="24"/>
          <w:szCs w:val="24"/>
        </w:rPr>
        <w:t>01144/INFOEM/IP/RR/2022</w:t>
      </w:r>
      <w:r>
        <w:rPr>
          <w:rFonts w:ascii="Palatino Linotype" w:eastAsia="Palatino Linotype" w:hAnsi="Palatino Linotype" w:cs="Palatino Linotype"/>
          <w:sz w:val="24"/>
          <w:szCs w:val="24"/>
        </w:rPr>
        <w:t xml:space="preserve">, interpuesto por una persona de manera anónima, al cual en lo sucesivo se le denominara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xml:space="preserve">, en contra de la respuesta a la solicitud de información con número de folio </w:t>
      </w:r>
      <w:r>
        <w:rPr>
          <w:rFonts w:ascii="Palatino Linotype" w:eastAsia="Palatino Linotype" w:hAnsi="Palatino Linotype" w:cs="Palatino Linotype"/>
          <w:b/>
          <w:color w:val="000000"/>
          <w:sz w:val="24"/>
          <w:szCs w:val="24"/>
        </w:rPr>
        <w:t>00012/OASATIZARA/IP/2022</w:t>
      </w:r>
      <w:r>
        <w:rPr>
          <w:rFonts w:ascii="Palatino Linotype" w:eastAsia="Palatino Linotype" w:hAnsi="Palatino Linotype" w:cs="Palatino Linotype"/>
          <w:b/>
          <w:sz w:val="24"/>
          <w:szCs w:val="24"/>
        </w:rPr>
        <w:t>,</w:t>
      </w:r>
      <w:r>
        <w:rPr>
          <w:rFonts w:ascii="Palatino Linotype" w:eastAsia="Palatino Linotype" w:hAnsi="Palatino Linotype" w:cs="Palatino Linotype"/>
          <w:sz w:val="24"/>
          <w:szCs w:val="24"/>
        </w:rPr>
        <w:t xml:space="preserve"> por parte del  Organismo Público Descentralizado para la Prestación de Los Servicios de Agua Potable Alcantarillado y Saneamiento de Atizapán de Zaragoza por sus siglas S.A.P.A.S.A., en lo sucesivo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se procede a dictar la presente resolución, con base en lo siguiente.</w:t>
      </w:r>
    </w:p>
    <w:p w14:paraId="18C27545" w14:textId="77777777" w:rsidR="002439F8" w:rsidRDefault="005C7C9E">
      <w:pPr>
        <w:spacing w:before="240" w:after="240" w:line="360" w:lineRule="auto"/>
        <w:ind w:right="49"/>
        <w:jc w:val="center"/>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AN T E C E D E N T E S</w:t>
      </w:r>
    </w:p>
    <w:p w14:paraId="7719A072" w14:textId="77777777" w:rsidR="002439F8" w:rsidRDefault="005C7C9E">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1. SOLICITUD. </w:t>
      </w:r>
      <w:r>
        <w:rPr>
          <w:rFonts w:ascii="Palatino Linotype" w:eastAsia="Palatino Linotype" w:hAnsi="Palatino Linotype" w:cs="Palatino Linotype"/>
          <w:sz w:val="24"/>
          <w:szCs w:val="24"/>
        </w:rPr>
        <w:t xml:space="preserve">Con fecha veinte de enero de dos mil veintidós,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presentó a través del Sistema de Acceso a la Información Mexiquense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w:t>
      </w:r>
      <w:proofErr w:type="gramStart"/>
      <w:r>
        <w:rPr>
          <w:rFonts w:ascii="Palatino Linotype" w:eastAsia="Palatino Linotype" w:hAnsi="Palatino Linotype" w:cs="Palatino Linotype"/>
          <w:sz w:val="24"/>
          <w:szCs w:val="24"/>
        </w:rPr>
        <w:t>ante</w:t>
      </w:r>
      <w:proofErr w:type="gramEnd"/>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solicitud de acceso a la información pública, registrada bajo el número de expediente</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b/>
          <w:color w:val="000000"/>
          <w:sz w:val="24"/>
          <w:szCs w:val="24"/>
        </w:rPr>
        <w:t>00012/OASATIZARA/IP/2022</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mediante la cual solicitó información en el tenor siguiente:</w:t>
      </w:r>
    </w:p>
    <w:p w14:paraId="2D2D2116" w14:textId="77777777" w:rsidR="002439F8" w:rsidRDefault="005C7C9E">
      <w:pPr>
        <w:spacing w:before="240" w:after="240" w:line="276"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 xml:space="preserve">“Solicito las medidas implementadas para evitar la propagación del COVID dentro de las instalaciones del sujeto obligado y fuera de </w:t>
      </w:r>
      <w:proofErr w:type="spellStart"/>
      <w:r>
        <w:rPr>
          <w:rFonts w:ascii="Palatino Linotype" w:eastAsia="Palatino Linotype" w:hAnsi="Palatino Linotype" w:cs="Palatino Linotype"/>
          <w:i/>
          <w:color w:val="000000"/>
        </w:rPr>
        <w:t>el</w:t>
      </w:r>
      <w:proofErr w:type="spellEnd"/>
      <w:r>
        <w:rPr>
          <w:rFonts w:ascii="Palatino Linotype" w:eastAsia="Palatino Linotype" w:hAnsi="Palatino Linotype" w:cs="Palatino Linotype"/>
          <w:i/>
          <w:color w:val="000000"/>
        </w:rPr>
        <w:t xml:space="preserve"> “(Sic)</w:t>
      </w:r>
    </w:p>
    <w:p w14:paraId="375B2395" w14:textId="77777777" w:rsidR="002439F8" w:rsidRDefault="005C7C9E">
      <w:pPr>
        <w:spacing w:before="240" w:after="240" w:line="276"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sz w:val="24"/>
          <w:szCs w:val="24"/>
        </w:rPr>
        <w:t xml:space="preserve">Modalidad de entrega: A través del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w:t>
      </w:r>
    </w:p>
    <w:p w14:paraId="3E70D5C2" w14:textId="77777777" w:rsidR="002439F8" w:rsidRDefault="005C7C9E">
      <w:pPr>
        <w:spacing w:before="240" w:after="24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2. DE LA SOLICITUD DE ACLARACIÓN. </w:t>
      </w:r>
      <w:r>
        <w:rPr>
          <w:rFonts w:ascii="Palatino Linotype" w:eastAsia="Palatino Linotype" w:hAnsi="Palatino Linotype" w:cs="Palatino Linotype"/>
          <w:sz w:val="24"/>
          <w:szCs w:val="24"/>
        </w:rPr>
        <w:t xml:space="preserve">Con fecha veintisiete de enero del dos mil veintidós,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solicitó aclaración, a través del SAIMEX, a la solicitud de acceso a la información de la siguiente manera:</w:t>
      </w:r>
      <w:r>
        <w:t xml:space="preserve"> </w:t>
      </w:r>
    </w:p>
    <w:p w14:paraId="09C54A06" w14:textId="77777777" w:rsidR="002439F8" w:rsidRDefault="005C7C9E">
      <w:pPr>
        <w:spacing w:after="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Con fundamento en el artículo 159 de la Ley de Transparencia y Acceso a la Información Pública del Estado de México y Municipios, se le requiere para que dentro del plazo de diez días hábiles realice lo siguiente:</w:t>
      </w:r>
    </w:p>
    <w:p w14:paraId="70B573C9" w14:textId="77777777" w:rsidR="002439F8" w:rsidRDefault="005C7C9E">
      <w:pPr>
        <w:spacing w:after="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En virtud de poder otorgarle una respuesta a su solicitud de acceso a la información pública, le requerimos aclare su solicitud con respecto a las medidas implementadas para evitar la propagación del COVID</w:t>
      </w:r>
    </w:p>
    <w:p w14:paraId="7C27DB47" w14:textId="77777777" w:rsidR="002439F8" w:rsidRDefault="005C7C9E">
      <w:pPr>
        <w:spacing w:after="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20143D56" w14:textId="77777777" w:rsidR="002439F8" w:rsidRDefault="005C7C9E">
      <w:pPr>
        <w:spacing w:after="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ATENTAMENTE</w:t>
      </w:r>
    </w:p>
    <w:p w14:paraId="4381E089" w14:textId="77777777" w:rsidR="002439F8" w:rsidRDefault="005C7C9E">
      <w:pPr>
        <w:spacing w:after="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C. MARIAMNEÈ VEGA BLANCARTE</w:t>
      </w:r>
    </w:p>
    <w:p w14:paraId="688FCEDE" w14:textId="77777777" w:rsidR="002439F8" w:rsidRDefault="005C7C9E">
      <w:pPr>
        <w:spacing w:after="0"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sz w:val="24"/>
          <w:szCs w:val="24"/>
        </w:rPr>
        <w:t>3. DE LA RESPUESTA DE ACLARACIÓN</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sz w:val="24"/>
          <w:szCs w:val="24"/>
        </w:rPr>
        <w:t>Con fecha treinta y uno de enero del dos mil veintidós, el particular remitió su aclaración en los siguientes términos:</w:t>
      </w:r>
    </w:p>
    <w:p w14:paraId="70001873" w14:textId="77777777" w:rsidR="002439F8" w:rsidRDefault="005C7C9E">
      <w:pPr>
        <w:spacing w:before="240" w:after="240" w:line="360" w:lineRule="auto"/>
        <w:ind w:left="851" w:right="900"/>
        <w:jc w:val="both"/>
        <w:rPr>
          <w:rFonts w:ascii="Palatino Linotype" w:eastAsia="Palatino Linotype" w:hAnsi="Palatino Linotype" w:cs="Palatino Linotype"/>
          <w:i/>
          <w:sz w:val="24"/>
          <w:szCs w:val="24"/>
        </w:rPr>
      </w:pPr>
      <w:r>
        <w:rPr>
          <w:rFonts w:ascii="Palatino Linotype" w:eastAsia="Palatino Linotype" w:hAnsi="Palatino Linotype" w:cs="Palatino Linotype"/>
          <w:i/>
          <w:sz w:val="24"/>
          <w:szCs w:val="24"/>
        </w:rPr>
        <w:lastRenderedPageBreak/>
        <w:t xml:space="preserve">“La solicitud es clara, </w:t>
      </w:r>
      <w:proofErr w:type="spellStart"/>
      <w:r>
        <w:rPr>
          <w:rFonts w:ascii="Palatino Linotype" w:eastAsia="Palatino Linotype" w:hAnsi="Palatino Linotype" w:cs="Palatino Linotype"/>
          <w:i/>
          <w:sz w:val="24"/>
          <w:szCs w:val="24"/>
        </w:rPr>
        <w:t>atiendala</w:t>
      </w:r>
      <w:proofErr w:type="spellEnd"/>
      <w:r>
        <w:rPr>
          <w:rFonts w:ascii="Palatino Linotype" w:eastAsia="Palatino Linotype" w:hAnsi="Palatino Linotype" w:cs="Palatino Linotype"/>
          <w:i/>
          <w:sz w:val="24"/>
          <w:szCs w:val="24"/>
        </w:rPr>
        <w:t>.” (Sic)</w:t>
      </w:r>
    </w:p>
    <w:p w14:paraId="4EB6F301" w14:textId="77777777" w:rsidR="002439F8" w:rsidRDefault="005C7C9E">
      <w:pPr>
        <w:spacing w:before="240" w:after="24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4. DE LA RESPUESTA DEL SUJETO OBLIGADO. </w:t>
      </w:r>
      <w:r>
        <w:rPr>
          <w:rFonts w:ascii="Palatino Linotype" w:eastAsia="Palatino Linotype" w:hAnsi="Palatino Linotype" w:cs="Palatino Linotype"/>
          <w:sz w:val="24"/>
          <w:szCs w:val="24"/>
        </w:rPr>
        <w:t xml:space="preserve">Con fecha veintidós de febrero del dos mil veintidós,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otorgó, a través del SAIMEX, respuesta a la solicitud de acceso a la información de la siguiente manera:</w:t>
      </w:r>
      <w:r>
        <w:rPr>
          <w:rFonts w:ascii="Palatino Linotype" w:eastAsia="Palatino Linotype" w:hAnsi="Palatino Linotype" w:cs="Palatino Linotype"/>
        </w:rPr>
        <w:t xml:space="preserve"> </w:t>
      </w:r>
    </w:p>
    <w:p w14:paraId="5B9557AF" w14:textId="77777777" w:rsidR="002439F8" w:rsidRDefault="005C7C9E">
      <w:pPr>
        <w:spacing w:before="240"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B51CB1D" w14:textId="77777777" w:rsidR="002439F8" w:rsidRDefault="005C7C9E">
      <w:pPr>
        <w:spacing w:before="240"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Por lo que atañe a la Subdirección de Administración y Finanzas, área encargada de atender su solicitud, la cual adjunta una nota informativa con fecha de 18 de febrero de 2022, signado por el Coordinador Administrativo, documento en el que podrá encontrar respuesta a su solicitud de información. Finalmente, se le comunica que, en caso de inconformidad a la respuesta dada a su solicitud, con fundamento en lo dispuesto por los artículos 176, 177 y 178 de la LTAIPEMYM, se le informa que, podrá interponer Recurso de Revisión, para lo cual dispone de un plazo de quince días hábiles contados a partir de la fecha de la presente notificación a su solicitud de acceso a información.</w:t>
      </w:r>
    </w:p>
    <w:p w14:paraId="5BE9D8A5" w14:textId="77777777" w:rsidR="002439F8" w:rsidRDefault="005C7C9E">
      <w:pPr>
        <w:spacing w:before="240"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ATENTAMENTE</w:t>
      </w:r>
    </w:p>
    <w:p w14:paraId="35292C3A" w14:textId="77777777" w:rsidR="002439F8" w:rsidRDefault="005C7C9E">
      <w:pPr>
        <w:spacing w:before="240"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C. MARIAMNEÈ VEGA BLANCARTE</w:t>
      </w:r>
    </w:p>
    <w:p w14:paraId="07927155" w14:textId="77777777" w:rsidR="002439F8" w:rsidRDefault="005C7C9E">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adjuntó para tal efecto el archivo electrónico denominado:</w:t>
      </w:r>
    </w:p>
    <w:p w14:paraId="18128F91" w14:textId="77777777" w:rsidR="002439F8" w:rsidRDefault="005C7C9E">
      <w:pPr>
        <w:tabs>
          <w:tab w:val="left" w:pos="3435"/>
        </w:tabs>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i/>
          <w:color w:val="000000"/>
          <w:sz w:val="24"/>
          <w:szCs w:val="24"/>
          <w:u w:val="single"/>
        </w:rPr>
        <w:t>“</w:t>
      </w:r>
      <w:hyperlink r:id="rId8">
        <w:r>
          <w:rPr>
            <w:rFonts w:ascii="Palatino Linotype" w:eastAsia="Palatino Linotype" w:hAnsi="Palatino Linotype" w:cs="Palatino Linotype"/>
            <w:b/>
            <w:i/>
            <w:color w:val="000000"/>
            <w:sz w:val="24"/>
            <w:szCs w:val="24"/>
            <w:u w:val="single"/>
          </w:rPr>
          <w:t>MEDIDAS COVID.pdf</w:t>
        </w:r>
      </w:hyperlink>
      <w:r>
        <w:rPr>
          <w:rFonts w:ascii="Palatino Linotype" w:eastAsia="Palatino Linotype" w:hAnsi="Palatino Linotype" w:cs="Palatino Linotype"/>
          <w:b/>
          <w:i/>
          <w:color w:val="000000"/>
          <w:sz w:val="24"/>
          <w:szCs w:val="24"/>
          <w:u w:val="single"/>
        </w:rPr>
        <w:t xml:space="preserve">” </w:t>
      </w:r>
      <w:r>
        <w:rPr>
          <w:rFonts w:ascii="Palatino Linotype" w:eastAsia="Palatino Linotype" w:hAnsi="Palatino Linotype" w:cs="Palatino Linotype"/>
          <w:color w:val="000000"/>
          <w:sz w:val="24"/>
          <w:szCs w:val="24"/>
        </w:rPr>
        <w:t>Nota Informativa de fecha dieciocho de febrero de 20</w:t>
      </w:r>
      <w:r>
        <w:rPr>
          <w:rFonts w:ascii="Palatino Linotype" w:eastAsia="Palatino Linotype" w:hAnsi="Palatino Linotype" w:cs="Palatino Linotype"/>
          <w:sz w:val="24"/>
          <w:szCs w:val="24"/>
        </w:rPr>
        <w:t>22</w:t>
      </w:r>
      <w:r>
        <w:rPr>
          <w:rFonts w:ascii="Palatino Linotype" w:eastAsia="Palatino Linotype" w:hAnsi="Palatino Linotype" w:cs="Palatino Linotype"/>
          <w:color w:val="000000"/>
          <w:sz w:val="24"/>
          <w:szCs w:val="24"/>
        </w:rPr>
        <w:t xml:space="preserve">, signado por el Lic. Jorge Israel Aceves Sánchez, Coordinación de Administración, mediante el cual menciona las medidas implementadas por la Subdirección de Administración, en conjunto con la Coordinación de Administración. </w:t>
      </w:r>
    </w:p>
    <w:p w14:paraId="1B1A5E4F" w14:textId="77777777" w:rsidR="002439F8" w:rsidRDefault="005C7C9E">
      <w:pPr>
        <w:tabs>
          <w:tab w:val="left" w:pos="3435"/>
        </w:tabs>
        <w:spacing w:line="360" w:lineRule="auto"/>
        <w:jc w:val="center"/>
        <w:rPr>
          <w:rFonts w:ascii="Palatino Linotype" w:eastAsia="Palatino Linotype" w:hAnsi="Palatino Linotype" w:cs="Palatino Linotype"/>
          <w:color w:val="000000"/>
          <w:sz w:val="24"/>
          <w:szCs w:val="24"/>
        </w:rPr>
      </w:pPr>
      <w:r>
        <w:rPr>
          <w:noProof/>
        </w:rPr>
        <w:lastRenderedPageBreak/>
        <w:drawing>
          <wp:inline distT="0" distB="0" distL="0" distR="0" wp14:anchorId="77EFC353" wp14:editId="44253466">
            <wp:extent cx="4196463" cy="4711334"/>
            <wp:effectExtent l="0" t="0" r="0" b="0"/>
            <wp:docPr id="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41581" t="14181" r="25152" b="10380"/>
                    <a:stretch>
                      <a:fillRect/>
                    </a:stretch>
                  </pic:blipFill>
                  <pic:spPr>
                    <a:xfrm>
                      <a:off x="0" y="0"/>
                      <a:ext cx="4196463" cy="4711334"/>
                    </a:xfrm>
                    <a:prstGeom prst="rect">
                      <a:avLst/>
                    </a:prstGeom>
                    <a:ln/>
                  </pic:spPr>
                </pic:pic>
              </a:graphicData>
            </a:graphic>
          </wp:inline>
        </w:drawing>
      </w:r>
    </w:p>
    <w:p w14:paraId="5DA0ABC1" w14:textId="77777777" w:rsidR="002439F8" w:rsidRDefault="005C7C9E">
      <w:pPr>
        <w:spacing w:before="24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5. RECURSO DE REVISIÓN. </w:t>
      </w:r>
      <w:r>
        <w:rPr>
          <w:rFonts w:ascii="Palatino Linotype" w:eastAsia="Palatino Linotype" w:hAnsi="Palatino Linotype" w:cs="Palatino Linotype"/>
          <w:sz w:val="24"/>
          <w:szCs w:val="24"/>
        </w:rPr>
        <w:t>Inconforme con la respuesta del</w:t>
      </w:r>
      <w:r>
        <w:rPr>
          <w:rFonts w:ascii="Palatino Linotype" w:eastAsia="Palatino Linotype" w:hAnsi="Palatino Linotype" w:cs="Palatino Linotype"/>
          <w:b/>
          <w:sz w:val="24"/>
          <w:szCs w:val="24"/>
        </w:rPr>
        <w:t xml:space="preserve"> SUJETO OBLIGADO, </w:t>
      </w:r>
      <w:r>
        <w:rPr>
          <w:rFonts w:ascii="Palatino Linotype" w:eastAsia="Palatino Linotype" w:hAnsi="Palatino Linotype" w:cs="Palatino Linotype"/>
          <w:sz w:val="24"/>
          <w:szCs w:val="24"/>
        </w:rPr>
        <w:t>en fecha veintitrés de febrero de dos mil veintidós</w:t>
      </w:r>
      <w:r>
        <w:rPr>
          <w:rFonts w:ascii="Palatino Linotype" w:eastAsia="Palatino Linotype" w:hAnsi="Palatino Linotype" w:cs="Palatino Linotype"/>
          <w:b/>
          <w:sz w:val="24"/>
          <w:szCs w:val="24"/>
        </w:rPr>
        <w:t xml:space="preserve">, EL RECURRENTE </w:t>
      </w:r>
      <w:r>
        <w:rPr>
          <w:rFonts w:ascii="Palatino Linotype" w:eastAsia="Palatino Linotype" w:hAnsi="Palatino Linotype" w:cs="Palatino Linotype"/>
          <w:sz w:val="24"/>
          <w:szCs w:val="24"/>
        </w:rPr>
        <w:t>interpuso el recurso de revisión, el cual fue registrado</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en el sistema electrónico con el expediente número </w:t>
      </w:r>
      <w:r>
        <w:rPr>
          <w:rFonts w:ascii="Palatino Linotype" w:eastAsia="Palatino Linotype" w:hAnsi="Palatino Linotype" w:cs="Palatino Linotype"/>
          <w:b/>
          <w:color w:val="000000"/>
          <w:sz w:val="24"/>
          <w:szCs w:val="24"/>
        </w:rPr>
        <w:t>011</w:t>
      </w:r>
      <w:r>
        <w:rPr>
          <w:rFonts w:ascii="Palatino Linotype" w:eastAsia="Palatino Linotype" w:hAnsi="Palatino Linotype" w:cs="Palatino Linotype"/>
          <w:b/>
          <w:sz w:val="24"/>
          <w:szCs w:val="24"/>
        </w:rPr>
        <w:t>4</w:t>
      </w:r>
      <w:r>
        <w:rPr>
          <w:rFonts w:ascii="Palatino Linotype" w:eastAsia="Palatino Linotype" w:hAnsi="Palatino Linotype" w:cs="Palatino Linotype"/>
          <w:b/>
          <w:color w:val="000000"/>
          <w:sz w:val="24"/>
          <w:szCs w:val="24"/>
        </w:rPr>
        <w:t>4/INFOEM/IP/RR/2022</w:t>
      </w:r>
      <w:r>
        <w:rPr>
          <w:rFonts w:ascii="Palatino Linotype" w:eastAsia="Palatino Linotype" w:hAnsi="Palatino Linotype" w:cs="Palatino Linotype"/>
          <w:sz w:val="24"/>
          <w:szCs w:val="24"/>
        </w:rPr>
        <w:t>, en el cual manifiesta, lo siguiente:</w:t>
      </w:r>
    </w:p>
    <w:p w14:paraId="77E9E7A6" w14:textId="77777777" w:rsidR="002439F8" w:rsidRDefault="005C7C9E">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i/>
          <w:color w:val="000000"/>
          <w:sz w:val="24"/>
          <w:szCs w:val="24"/>
        </w:rPr>
        <w:lastRenderedPageBreak/>
        <w:t>Acto Impugnado:</w:t>
      </w:r>
    </w:p>
    <w:p w14:paraId="6368B1A8" w14:textId="77777777" w:rsidR="002439F8" w:rsidRDefault="005C7C9E">
      <w:pPr>
        <w:spacing w:before="240" w:after="240" w:line="276" w:lineRule="auto"/>
        <w:ind w:left="85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i/>
          <w:color w:val="000000"/>
        </w:rPr>
        <w:t>respuesta otorgada</w:t>
      </w:r>
      <w:r>
        <w:rPr>
          <w:rFonts w:ascii="Palatino Linotype" w:eastAsia="Palatino Linotype" w:hAnsi="Palatino Linotype" w:cs="Palatino Linotype"/>
          <w:i/>
        </w:rPr>
        <w:t>” [sic]</w:t>
      </w:r>
    </w:p>
    <w:p w14:paraId="427458AA" w14:textId="77777777" w:rsidR="002439F8" w:rsidRDefault="005C7C9E">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Razones o Motivos de Inconformidad</w:t>
      </w:r>
      <w:r>
        <w:rPr>
          <w:rFonts w:ascii="Palatino Linotype" w:eastAsia="Palatino Linotype" w:hAnsi="Palatino Linotype" w:cs="Palatino Linotype"/>
          <w:i/>
          <w:color w:val="000000"/>
          <w:sz w:val="24"/>
          <w:szCs w:val="24"/>
        </w:rPr>
        <w:t>:</w:t>
      </w:r>
    </w:p>
    <w:p w14:paraId="047A5B69" w14:textId="77777777" w:rsidR="002439F8" w:rsidRDefault="005C7C9E">
      <w:pPr>
        <w:spacing w:before="240" w:after="240" w:line="276" w:lineRule="auto"/>
        <w:ind w:left="851"/>
        <w:jc w:val="both"/>
        <w:rPr>
          <w:rFonts w:ascii="Palatino Linotype" w:eastAsia="Palatino Linotype" w:hAnsi="Palatino Linotype" w:cs="Palatino Linotype"/>
          <w:i/>
        </w:rPr>
      </w:pPr>
      <w:r>
        <w:rPr>
          <w:rFonts w:ascii="Palatino Linotype" w:eastAsia="Palatino Linotype" w:hAnsi="Palatino Linotype" w:cs="Palatino Linotype"/>
          <w:i/>
          <w:color w:val="000000"/>
          <w:sz w:val="24"/>
          <w:szCs w:val="24"/>
        </w:rPr>
        <w:t>“</w:t>
      </w:r>
      <w:r>
        <w:rPr>
          <w:rFonts w:ascii="Palatino Linotype" w:eastAsia="Palatino Linotype" w:hAnsi="Palatino Linotype" w:cs="Palatino Linotype"/>
          <w:i/>
          <w:color w:val="000000"/>
        </w:rPr>
        <w:t xml:space="preserve">Presentan una nota con fecha del 18 de febrero, mi solicitud fue realizada en el mes de enero, presentan una nota informativa sin </w:t>
      </w:r>
      <w:proofErr w:type="spellStart"/>
      <w:r>
        <w:rPr>
          <w:rFonts w:ascii="Palatino Linotype" w:eastAsia="Palatino Linotype" w:hAnsi="Palatino Linotype" w:cs="Palatino Linotype"/>
          <w:i/>
          <w:color w:val="000000"/>
        </w:rPr>
        <w:t>numero</w:t>
      </w:r>
      <w:proofErr w:type="spellEnd"/>
      <w:r>
        <w:rPr>
          <w:rFonts w:ascii="Palatino Linotype" w:eastAsia="Palatino Linotype" w:hAnsi="Palatino Linotype" w:cs="Palatino Linotype"/>
          <w:i/>
          <w:color w:val="000000"/>
        </w:rPr>
        <w:t xml:space="preserve"> oficial, y no </w:t>
      </w:r>
      <w:proofErr w:type="spellStart"/>
      <w:r>
        <w:rPr>
          <w:rFonts w:ascii="Palatino Linotype" w:eastAsia="Palatino Linotype" w:hAnsi="Palatino Linotype" w:cs="Palatino Linotype"/>
          <w:i/>
          <w:color w:val="000000"/>
        </w:rPr>
        <w:t>espefican</w:t>
      </w:r>
      <w:proofErr w:type="spellEnd"/>
      <w:r>
        <w:rPr>
          <w:rFonts w:ascii="Palatino Linotype" w:eastAsia="Palatino Linotype" w:hAnsi="Palatino Linotype" w:cs="Palatino Linotype"/>
          <w:i/>
          <w:color w:val="000000"/>
        </w:rPr>
        <w:t xml:space="preserve"> lo que solicite fue medidas internas del sujeto obligado y fuera </w:t>
      </w:r>
      <w:proofErr w:type="spellStart"/>
      <w:r>
        <w:rPr>
          <w:rFonts w:ascii="Palatino Linotype" w:eastAsia="Palatino Linotype" w:hAnsi="Palatino Linotype" w:cs="Palatino Linotype"/>
          <w:i/>
          <w:color w:val="000000"/>
        </w:rPr>
        <w:t>el</w:t>
      </w:r>
      <w:proofErr w:type="spellEnd"/>
      <w:r>
        <w:rPr>
          <w:rFonts w:ascii="Palatino Linotype" w:eastAsia="Palatino Linotype" w:hAnsi="Palatino Linotype" w:cs="Palatino Linotype"/>
          <w:i/>
          <w:color w:val="000000"/>
        </w:rPr>
        <w:t xml:space="preserve">. Sin duda fue mal atendida por la persona encargada de la transparencia” </w:t>
      </w:r>
      <w:r>
        <w:rPr>
          <w:rFonts w:ascii="Palatino Linotype" w:eastAsia="Palatino Linotype" w:hAnsi="Palatino Linotype" w:cs="Palatino Linotype"/>
          <w:i/>
        </w:rPr>
        <w:t>[sic]</w:t>
      </w:r>
    </w:p>
    <w:p w14:paraId="651182F7" w14:textId="77777777" w:rsidR="002439F8" w:rsidRDefault="005C7C9E">
      <w:pPr>
        <w:spacing w:before="240" w:after="24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6. TURNO. </w:t>
      </w:r>
      <w:r>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sz w:val="24"/>
          <w:szCs w:val="24"/>
        </w:rPr>
        <w:t xml:space="preserve">Guadalupe Ramírez Peña, </w:t>
      </w:r>
      <w:r>
        <w:rPr>
          <w:rFonts w:ascii="Palatino Linotype" w:eastAsia="Palatino Linotype" w:hAnsi="Palatino Linotype" w:cs="Palatino Linotype"/>
          <w:sz w:val="24"/>
          <w:szCs w:val="24"/>
        </w:rPr>
        <w:t xml:space="preserve">a efecto de que analizara sobre su admisión o su </w:t>
      </w:r>
      <w:proofErr w:type="spellStart"/>
      <w:r>
        <w:rPr>
          <w:rFonts w:ascii="Palatino Linotype" w:eastAsia="Palatino Linotype" w:hAnsi="Palatino Linotype" w:cs="Palatino Linotype"/>
          <w:sz w:val="24"/>
          <w:szCs w:val="24"/>
        </w:rPr>
        <w:t>desechamiento</w:t>
      </w:r>
      <w:proofErr w:type="spellEnd"/>
      <w:r>
        <w:rPr>
          <w:rFonts w:ascii="Palatino Linotype" w:eastAsia="Palatino Linotype" w:hAnsi="Palatino Linotype" w:cs="Palatino Linotype"/>
          <w:sz w:val="24"/>
          <w:szCs w:val="24"/>
        </w:rPr>
        <w:t>.</w:t>
      </w:r>
    </w:p>
    <w:p w14:paraId="6BDA23EE" w14:textId="77777777" w:rsidR="002439F8" w:rsidRDefault="005C7C9E">
      <w:pPr>
        <w:tabs>
          <w:tab w:val="left" w:pos="3435"/>
        </w:tabs>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7. ADMISIÓN DEL RECURSO DE REVISIÓN.</w:t>
      </w:r>
      <w:r>
        <w:rPr>
          <w:rFonts w:ascii="Palatino Linotype" w:eastAsia="Palatino Linotype" w:hAnsi="Palatino Linotype" w:cs="Palatino Linotype"/>
          <w:sz w:val="24"/>
          <w:szCs w:val="24"/>
        </w:rPr>
        <w:t xml:space="preserve"> Con fecha</w:t>
      </w:r>
      <w:r>
        <w:rPr>
          <w:rFonts w:ascii="Palatino Linotype" w:eastAsia="Palatino Linotype" w:hAnsi="Palatino Linotype" w:cs="Palatino Linotype"/>
          <w:b/>
          <w:sz w:val="24"/>
          <w:szCs w:val="24"/>
        </w:rPr>
        <w:t xml:space="preserve"> primero de marzo de dos mil veintidós, </w:t>
      </w:r>
      <w:r>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w:t>
      </w:r>
      <w:r>
        <w:rPr>
          <w:rFonts w:ascii="Palatino Linotype" w:eastAsia="Palatino Linotype" w:hAnsi="Palatino Linotype" w:cs="Palatino Linotype"/>
          <w:sz w:val="24"/>
          <w:szCs w:val="24"/>
        </w:rPr>
        <w:lastRenderedPageBreak/>
        <w:t xml:space="preserve">conveniente, ofrecieran pruebas, formularan alegatos y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presentara su informe justificado.</w:t>
      </w:r>
    </w:p>
    <w:p w14:paraId="2AA15860" w14:textId="77777777" w:rsidR="002439F8" w:rsidRDefault="005C7C9E">
      <w:pPr>
        <w:spacing w:before="24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color w:val="202124"/>
          <w:sz w:val="24"/>
          <w:szCs w:val="24"/>
        </w:rPr>
        <w:t xml:space="preserve">8. </w:t>
      </w:r>
      <w:r>
        <w:rPr>
          <w:rFonts w:ascii="Palatino Linotype" w:eastAsia="Palatino Linotype" w:hAnsi="Palatino Linotype" w:cs="Palatino Linotype"/>
          <w:b/>
          <w:sz w:val="24"/>
          <w:szCs w:val="24"/>
        </w:rPr>
        <w:t xml:space="preserve">INFORME JUSTIFICADO O MANIFESTACIONES. </w:t>
      </w:r>
      <w:r>
        <w:rPr>
          <w:rFonts w:ascii="Palatino Linotype" w:eastAsia="Palatino Linotype" w:hAnsi="Palatino Linotype" w:cs="Palatino Linotype"/>
          <w:sz w:val="24"/>
          <w:szCs w:val="24"/>
        </w:rPr>
        <w:t xml:space="preserve">El siete y nueve de marzo de dos mil veintidós, se recibió, a través del Sistema de Acceso a la Información Mexiquense (SAIMEX), el Informe Justificado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a través de los siguientes archivos electrónicos: </w:t>
      </w:r>
    </w:p>
    <w:p w14:paraId="0AC8188B" w14:textId="77777777" w:rsidR="002439F8" w:rsidRDefault="005C7C9E">
      <w:pPr>
        <w:tabs>
          <w:tab w:val="left" w:pos="3435"/>
        </w:tabs>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i/>
          <w:color w:val="000000"/>
          <w:sz w:val="24"/>
          <w:szCs w:val="24"/>
          <w:u w:val="single"/>
        </w:rPr>
        <w:t>12</w:t>
      </w:r>
      <w:proofErr w:type="gramStart"/>
      <w:r>
        <w:rPr>
          <w:rFonts w:ascii="Palatino Linotype" w:eastAsia="Palatino Linotype" w:hAnsi="Palatino Linotype" w:cs="Palatino Linotype"/>
          <w:b/>
          <w:i/>
          <w:color w:val="000000"/>
          <w:sz w:val="24"/>
          <w:szCs w:val="24"/>
          <w:u w:val="single"/>
        </w:rPr>
        <w:t>.pdf</w:t>
      </w:r>
      <w:proofErr w:type="gramEnd"/>
      <w:r>
        <w:rPr>
          <w:rFonts w:ascii="Palatino Linotype" w:eastAsia="Palatino Linotype" w:hAnsi="Palatino Linotype" w:cs="Palatino Linotype"/>
          <w:b/>
          <w:i/>
          <w:color w:val="000000"/>
          <w:sz w:val="24"/>
          <w:szCs w:val="24"/>
          <w:u w:val="single"/>
        </w:rPr>
        <w:t xml:space="preserve">: </w:t>
      </w:r>
      <w:r>
        <w:rPr>
          <w:rFonts w:ascii="Palatino Linotype" w:eastAsia="Palatino Linotype" w:hAnsi="Palatino Linotype" w:cs="Palatino Linotype"/>
          <w:color w:val="000000"/>
          <w:sz w:val="24"/>
          <w:szCs w:val="24"/>
        </w:rPr>
        <w:t>el cual contiene el oficio SAPASA/SAF/MLGA/0242/2022, signado por la Lic. María Luisa Gudiño Aguilar, Subdirectora de Administración y Finanzas, mediante el cual en términos generales, ratifica su respuesta inicial.</w:t>
      </w:r>
    </w:p>
    <w:p w14:paraId="396252C8" w14:textId="77777777" w:rsidR="002439F8" w:rsidRDefault="005C7C9E">
      <w:pPr>
        <w:tabs>
          <w:tab w:val="left" w:pos="3435"/>
        </w:tabs>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i/>
          <w:color w:val="000000"/>
          <w:sz w:val="24"/>
          <w:szCs w:val="24"/>
          <w:u w:val="single"/>
        </w:rPr>
        <w:t>folleto.pdf</w:t>
      </w:r>
      <w:r>
        <w:rPr>
          <w:rFonts w:ascii="Palatino Linotype" w:eastAsia="Palatino Linotype" w:hAnsi="Palatino Linotype" w:cs="Palatino Linotype"/>
          <w:color w:val="000000"/>
          <w:sz w:val="24"/>
          <w:szCs w:val="24"/>
        </w:rPr>
        <w:t xml:space="preserve">: el cual contiene un folleto digitalizado en el que se plasma el protocolo contra el Covid-19 en las inmediaciones del </w:t>
      </w:r>
      <w:r>
        <w:rPr>
          <w:rFonts w:ascii="Palatino Linotype" w:eastAsia="Palatino Linotype" w:hAnsi="Palatino Linotype" w:cs="Palatino Linotype"/>
          <w:sz w:val="24"/>
          <w:szCs w:val="24"/>
        </w:rPr>
        <w:t>Organismo Público Descentralizado para la Prestación de Los Servicios de Agua Potable Alcantarillado y Saneamiento de Atizapán de Zaragoza.</w:t>
      </w:r>
    </w:p>
    <w:p w14:paraId="0C0E84AC" w14:textId="77777777" w:rsidR="002439F8" w:rsidRDefault="005C7C9E">
      <w:pPr>
        <w:pBdr>
          <w:top w:val="nil"/>
          <w:left w:val="nil"/>
          <w:bottom w:val="nil"/>
          <w:right w:val="nil"/>
          <w:between w:val="nil"/>
        </w:pBdr>
        <w:spacing w:before="120" w:after="0" w:line="360" w:lineRule="auto"/>
        <w:ind w:right="-234" w:hanging="22"/>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 xml:space="preserve">9. ALCANCE A LA ENTREGA DE LA INFORMACIÓN DEL RECURSO DE REVISIÓN.  </w:t>
      </w:r>
      <w:r>
        <w:rPr>
          <w:rFonts w:ascii="Palatino Linotype" w:eastAsia="Palatino Linotype" w:hAnsi="Palatino Linotype" w:cs="Palatino Linotype"/>
          <w:color w:val="000000"/>
          <w:sz w:val="24"/>
          <w:szCs w:val="24"/>
        </w:rPr>
        <w:t xml:space="preserve">El tres de mayo de dos mil veintidós, remitió mediante alcance al informe justificado, un oficio signado por la C. </w:t>
      </w:r>
      <w:proofErr w:type="spellStart"/>
      <w:r>
        <w:rPr>
          <w:rFonts w:ascii="Palatino Linotype" w:eastAsia="Palatino Linotype" w:hAnsi="Palatino Linotype" w:cs="Palatino Linotype"/>
          <w:color w:val="000000"/>
          <w:sz w:val="24"/>
          <w:szCs w:val="24"/>
        </w:rPr>
        <w:t>Mariamne</w:t>
      </w:r>
      <w:proofErr w:type="spellEnd"/>
      <w:r>
        <w:rPr>
          <w:rFonts w:ascii="Palatino Linotype" w:eastAsia="Palatino Linotype" w:hAnsi="Palatino Linotype" w:cs="Palatino Linotype"/>
          <w:color w:val="000000"/>
          <w:sz w:val="24"/>
          <w:szCs w:val="24"/>
        </w:rPr>
        <w:t xml:space="preserve"> Vega Blancarte, Titular de la Unidad de Transparencia y Acceso a la Información Pública del Organismo S.A.P.A.S.A, mediante en donde menciona que no está dentro de las atribuciones del instituto implementar medidas sanitarias fuera de sus instalaciones. </w:t>
      </w:r>
    </w:p>
    <w:p w14:paraId="24046EF0" w14:textId="77777777" w:rsidR="002439F8" w:rsidRDefault="005C7C9E">
      <w:pPr>
        <w:pBdr>
          <w:top w:val="nil"/>
          <w:left w:val="nil"/>
          <w:bottom w:val="nil"/>
          <w:right w:val="nil"/>
          <w:between w:val="nil"/>
        </w:pBdr>
        <w:spacing w:after="120" w:line="360" w:lineRule="auto"/>
        <w:ind w:right="-234" w:hanging="22"/>
        <w:jc w:val="center"/>
        <w:rPr>
          <w:rFonts w:ascii="Palatino Linotype" w:eastAsia="Palatino Linotype" w:hAnsi="Palatino Linotype" w:cs="Palatino Linotype"/>
          <w:color w:val="000000"/>
          <w:sz w:val="24"/>
          <w:szCs w:val="24"/>
        </w:rPr>
      </w:pPr>
      <w:r>
        <w:rPr>
          <w:noProof/>
          <w:color w:val="000000"/>
        </w:rPr>
        <w:lastRenderedPageBreak/>
        <w:drawing>
          <wp:inline distT="0" distB="0" distL="0" distR="0" wp14:anchorId="62580099" wp14:editId="651BDBBA">
            <wp:extent cx="4676664" cy="5449503"/>
            <wp:effectExtent l="0" t="0" r="0" b="0"/>
            <wp:docPr id="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37169" t="12673" r="22777" b="4344"/>
                    <a:stretch>
                      <a:fillRect/>
                    </a:stretch>
                  </pic:blipFill>
                  <pic:spPr>
                    <a:xfrm>
                      <a:off x="0" y="0"/>
                      <a:ext cx="4676664" cy="5449503"/>
                    </a:xfrm>
                    <a:prstGeom prst="rect">
                      <a:avLst/>
                    </a:prstGeom>
                    <a:ln/>
                  </pic:spPr>
                </pic:pic>
              </a:graphicData>
            </a:graphic>
          </wp:inline>
        </w:drawing>
      </w:r>
    </w:p>
    <w:p w14:paraId="5920A65B" w14:textId="77777777" w:rsidR="002439F8" w:rsidRDefault="005C7C9E">
      <w:pPr>
        <w:spacing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10. AMPLIACIÓN DEL TÉRMINO PARA RESOLVER</w:t>
      </w:r>
      <w:r>
        <w:rPr>
          <w:rFonts w:ascii="Palatino Linotype" w:eastAsia="Palatino Linotype" w:hAnsi="Palatino Linotype" w:cs="Palatino Linotype"/>
          <w:sz w:val="24"/>
          <w:szCs w:val="24"/>
        </w:rPr>
        <w:t>.</w:t>
      </w:r>
      <w:r>
        <w:rPr>
          <w:rFonts w:ascii="Palatino Linotype" w:eastAsia="Palatino Linotype" w:hAnsi="Palatino Linotype" w:cs="Palatino Linotype"/>
        </w:rPr>
        <w:t xml:space="preserve"> </w:t>
      </w:r>
      <w:r>
        <w:rPr>
          <w:rFonts w:ascii="Palatino Linotype" w:eastAsia="Palatino Linotype" w:hAnsi="Palatino Linotype" w:cs="Palatino Linotype"/>
          <w:sz w:val="24"/>
          <w:szCs w:val="24"/>
        </w:rPr>
        <w:t xml:space="preserve">En fecha cuatro  de mayo de dos mil veintidós, se amplió el término para resolver el recurso de revisión en </w:t>
      </w:r>
      <w:r>
        <w:rPr>
          <w:rFonts w:ascii="Palatino Linotype" w:eastAsia="Palatino Linotype" w:hAnsi="Palatino Linotype" w:cs="Palatino Linotype"/>
          <w:sz w:val="24"/>
          <w:szCs w:val="24"/>
        </w:rPr>
        <w:lastRenderedPageBreak/>
        <w:t>términos del artículo 181 párrafo tercero de la Ley de Transparencia y Acceso a la Información Pública del Estado de México y Municipios por un plazo de quince días hábiles.</w:t>
      </w:r>
    </w:p>
    <w:p w14:paraId="549AE19A" w14:textId="77777777" w:rsidR="002439F8" w:rsidRDefault="005C7C9E">
      <w:pPr>
        <w:spacing w:before="240" w:after="240" w:line="360" w:lineRule="auto"/>
        <w:ind w:right="-234"/>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sz w:val="24"/>
          <w:szCs w:val="24"/>
        </w:rPr>
        <w:t xml:space="preserve">11. CIERRE DE INSTRUCCIÓN. </w:t>
      </w:r>
      <w:r>
        <w:rPr>
          <w:rFonts w:ascii="Palatino Linotype" w:eastAsia="Palatino Linotype" w:hAnsi="Palatino Linotype" w:cs="Palatino Linotype"/>
          <w:color w:val="000000"/>
          <w:sz w:val="24"/>
          <w:szCs w:val="24"/>
        </w:rPr>
        <w:t xml:space="preserve">El diez de mayo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 </w:t>
      </w:r>
    </w:p>
    <w:p w14:paraId="54CDA40A" w14:textId="77777777" w:rsidR="002439F8" w:rsidRDefault="005C7C9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razón de que fue debidamente sustanciado el expediente electrónico y no existe diligencia pendiente de desahogo, se emite la Resolución que conforme a Derecho proceda, de acuerdo con los siguientes: </w:t>
      </w:r>
    </w:p>
    <w:p w14:paraId="701AFE54" w14:textId="77777777" w:rsidR="002439F8" w:rsidRDefault="005C7C9E">
      <w:pPr>
        <w:widowControl w:val="0"/>
        <w:spacing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 O N S I D E R A N D O S</w:t>
      </w:r>
    </w:p>
    <w:p w14:paraId="569BCF88" w14:textId="77777777" w:rsidR="002439F8" w:rsidRDefault="005C7C9E">
      <w:pPr>
        <w:tabs>
          <w:tab w:val="left" w:pos="3435"/>
        </w:tabs>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PRIMERO. COMPETENCIA.</w:t>
      </w:r>
      <w:r>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Pr>
          <w:rFonts w:ascii="Palatino Linotype" w:eastAsia="Palatino Linotype" w:hAnsi="Palatino Linotype" w:cs="Palatino Linotype"/>
          <w:sz w:val="24"/>
          <w:szCs w:val="24"/>
        </w:rPr>
        <w:lastRenderedPageBreak/>
        <w:t>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3275675A" w14:textId="77777777" w:rsidR="002439F8" w:rsidRDefault="005C7C9E">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SEGUNDO. OPORTUNIDAD Y PROCEDIBILIDAD DEL RECURSO DE REVISIÓN</w:t>
      </w:r>
      <w:r>
        <w:rPr>
          <w:rFonts w:ascii="Palatino Linotype" w:eastAsia="Palatino Linotype" w:hAnsi="Palatino Linotype" w:cs="Palatino Linotype"/>
          <w:sz w:val="24"/>
          <w:szCs w:val="24"/>
        </w:rPr>
        <w:t>.</w:t>
      </w:r>
      <w:r>
        <w:rPr>
          <w:rFonts w:ascii="Palatino Linotype" w:eastAsia="Palatino Linotype" w:hAnsi="Palatino Linotype" w:cs="Palatino Linotype"/>
        </w:rPr>
        <w:t xml:space="preserve"> </w:t>
      </w:r>
      <w:r>
        <w:rPr>
          <w:rFonts w:ascii="Palatino Linotype" w:eastAsia="Palatino Linotype" w:hAnsi="Palatino Linotype" w:cs="Palatino Linotype"/>
          <w:sz w:val="24"/>
          <w:szCs w:val="24"/>
        </w:rPr>
        <w:t xml:space="preserve">Previo al estudio del fondo del asunto, se procede a analizar los requisitos de oportunidad y </w:t>
      </w:r>
      <w:proofErr w:type="spellStart"/>
      <w:r>
        <w:rPr>
          <w:rFonts w:ascii="Palatino Linotype" w:eastAsia="Palatino Linotype" w:hAnsi="Palatino Linotype" w:cs="Palatino Linotype"/>
          <w:sz w:val="24"/>
          <w:szCs w:val="24"/>
        </w:rPr>
        <w:t>procedibilidad</w:t>
      </w:r>
      <w:proofErr w:type="spellEnd"/>
      <w:r>
        <w:rPr>
          <w:rFonts w:ascii="Palatino Linotype" w:eastAsia="Palatino Linotype" w:hAnsi="Palatino Linotype" w:cs="Palatino Linotype"/>
          <w:sz w:val="24"/>
          <w:szCs w:val="24"/>
        </w:rPr>
        <w:t xml:space="preserve"> que debe reunir el recurso de revisión interpuesto, previstos en los artículos 178 y 180 de la Ley de Transparencia y Acceso a la Información Pública del Estado de México y Municipios.</w:t>
      </w:r>
    </w:p>
    <w:p w14:paraId="5D0AC475" w14:textId="77777777" w:rsidR="002439F8" w:rsidRDefault="005C7C9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El recurso de revisión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 xml:space="preserve">remitió la respuesta a la solicitud de información el día </w:t>
      </w:r>
      <w:r>
        <w:rPr>
          <w:rFonts w:ascii="Palatino Linotype" w:eastAsia="Palatino Linotype" w:hAnsi="Palatino Linotype" w:cs="Palatino Linotype"/>
          <w:b/>
          <w:sz w:val="24"/>
          <w:szCs w:val="24"/>
        </w:rPr>
        <w:t xml:space="preserve">veintidós de febrero de dos mil veintidós, </w:t>
      </w:r>
      <w:r>
        <w:rPr>
          <w:rFonts w:ascii="Palatino Linotype" w:eastAsia="Palatino Linotype" w:hAnsi="Palatino Linotype" w:cs="Palatino Linotype"/>
          <w:sz w:val="24"/>
          <w:szCs w:val="24"/>
        </w:rPr>
        <w:t xml:space="preserve">mientras que el recurso de revisión interpuesto por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se tuvo por presentado el día </w:t>
      </w:r>
      <w:r>
        <w:rPr>
          <w:rFonts w:ascii="Palatino Linotype" w:eastAsia="Palatino Linotype" w:hAnsi="Palatino Linotype" w:cs="Palatino Linotype"/>
          <w:b/>
          <w:sz w:val="24"/>
          <w:szCs w:val="24"/>
        </w:rPr>
        <w:t xml:space="preserve">veintitrés de febrero de dos mil </w:t>
      </w:r>
      <w:r>
        <w:rPr>
          <w:rFonts w:ascii="Palatino Linotype" w:eastAsia="Palatino Linotype" w:hAnsi="Palatino Linotype" w:cs="Palatino Linotype"/>
          <w:b/>
          <w:sz w:val="24"/>
          <w:szCs w:val="24"/>
        </w:rPr>
        <w:lastRenderedPageBreak/>
        <w:t>veintidós</w:t>
      </w:r>
      <w:r>
        <w:rPr>
          <w:rFonts w:ascii="Palatino Linotype" w:eastAsia="Palatino Linotype" w:hAnsi="Palatino Linotype" w:cs="Palatino Linotype"/>
          <w:sz w:val="24"/>
          <w:szCs w:val="24"/>
        </w:rPr>
        <w:t>, esto es, al siguiente día hábil en que tuvo conocimiento de la respuesta impugnada.</w:t>
      </w:r>
    </w:p>
    <w:p w14:paraId="011F9167" w14:textId="77777777" w:rsidR="002439F8" w:rsidRDefault="005C7C9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este sentido, al considerar la fecha en que se formuló la solicitud y la fecha en que respondió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así como la fecha en que se interpuso el recurso de revisión, se concluye que el presente recurso de revisión se encuentra dentro de los márgenes temporales previstos las disposiciones legales referidas.</w:t>
      </w:r>
    </w:p>
    <w:p w14:paraId="3319C82D" w14:textId="77777777" w:rsidR="002439F8" w:rsidRDefault="005C7C9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Además, por cuanto hace a la </w:t>
      </w:r>
      <w:proofErr w:type="spellStart"/>
      <w:r>
        <w:rPr>
          <w:rFonts w:ascii="Palatino Linotype" w:eastAsia="Palatino Linotype" w:hAnsi="Palatino Linotype" w:cs="Palatino Linotype"/>
          <w:sz w:val="24"/>
          <w:szCs w:val="24"/>
        </w:rPr>
        <w:t>procedibilidad</w:t>
      </w:r>
      <w:proofErr w:type="spellEnd"/>
      <w:r>
        <w:rPr>
          <w:rFonts w:ascii="Palatino Linotype" w:eastAsia="Palatino Linotype" w:hAnsi="Palatino Linotype" w:cs="Palatino Linotype"/>
          <w:sz w:val="24"/>
          <w:szCs w:val="24"/>
        </w:rPr>
        <w:t xml:space="preserve"> del recurso de revisión, es de suma importancia señalar que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no señaló nombre o seudónimo con el cual desee ser identificado,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F21432E" w14:textId="77777777" w:rsidR="002439F8" w:rsidRDefault="005C7C9E">
      <w:pPr>
        <w:spacing w:before="240" w:after="24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Las solicitudes anónimas</w:t>
      </w:r>
      <w:r>
        <w:rPr>
          <w:rFonts w:ascii="Palatino Linotype" w:eastAsia="Palatino Linotype" w:hAnsi="Palatino Linotype" w:cs="Palatino Linotype"/>
          <w:i/>
        </w:rPr>
        <w:t xml:space="preserve">, con nombre incompleto o seudónimo </w:t>
      </w:r>
      <w:r>
        <w:rPr>
          <w:rFonts w:ascii="Palatino Linotype" w:eastAsia="Palatino Linotype" w:hAnsi="Palatino Linotype" w:cs="Palatino Linotype"/>
          <w:b/>
          <w:i/>
        </w:rPr>
        <w:t>serán procedentes para su trámite por parte del sujeto obligado ante quien se presente</w:t>
      </w:r>
      <w:r>
        <w:rPr>
          <w:rFonts w:ascii="Palatino Linotype" w:eastAsia="Palatino Linotype" w:hAnsi="Palatino Linotype" w:cs="Palatino Linotype"/>
          <w:i/>
        </w:rPr>
        <w:t>. No podrá requerirse información adicional con motivo del nombre proporcionado por el solicitante."</w:t>
      </w:r>
    </w:p>
    <w:p w14:paraId="3A1B4970" w14:textId="77777777" w:rsidR="002439F8" w:rsidRDefault="005C7C9E">
      <w:pPr>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sz w:val="24"/>
          <w:szCs w:val="24"/>
        </w:rPr>
        <w:lastRenderedPageBreak/>
        <w:t>Por lo que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43DD2A60" w14:textId="77777777" w:rsidR="002439F8" w:rsidRDefault="005C7C9E">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Finalmente, resulta procedente la interposición del recurso, según lo aducido por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en sus razones o motivos de inconformidad, de acuerdo al artículo 179, fracción V de la Ley de Transparencia y Acceso a la Información Pública del Estado de México y Municipios; que a la letra dice:</w:t>
      </w:r>
    </w:p>
    <w:p w14:paraId="16AF72CE" w14:textId="77777777" w:rsidR="002439F8" w:rsidRDefault="005C7C9E">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“Artículo 179</w:t>
      </w:r>
      <w:r>
        <w:rPr>
          <w:rFonts w:ascii="Palatino Linotype" w:eastAsia="Palatino Linotype" w:hAnsi="Palatino Linotype" w:cs="Palatino Linotype"/>
          <w:i/>
        </w:rPr>
        <w:t xml:space="preserve">. </w:t>
      </w:r>
      <w:r>
        <w:rPr>
          <w:rFonts w:ascii="Palatino Linotype" w:eastAsia="Palatino Linotype" w:hAnsi="Palatino Linotype" w:cs="Palatino Linotype"/>
          <w:b/>
          <w:i/>
        </w:rPr>
        <w:t>El recurso de revisión</w:t>
      </w:r>
      <w:r>
        <w:rPr>
          <w:rFonts w:ascii="Palatino Linotype" w:eastAsia="Palatino Linotype" w:hAnsi="Palatino Linotype" w:cs="Palatino Linotype"/>
          <w:i/>
        </w:rPr>
        <w:t xml:space="preserve"> es un medio de protección que la Ley otorga a los particulares, para hacer valer su derecho de acceso a la información pública</w:t>
      </w:r>
      <w:r>
        <w:rPr>
          <w:rFonts w:ascii="Palatino Linotype" w:eastAsia="Palatino Linotype" w:hAnsi="Palatino Linotype" w:cs="Palatino Linotype"/>
          <w:b/>
          <w:i/>
        </w:rPr>
        <w:t>, y procederá en contra de las siguientes causas</w:t>
      </w:r>
      <w:r>
        <w:rPr>
          <w:rFonts w:ascii="Palatino Linotype" w:eastAsia="Palatino Linotype" w:hAnsi="Palatino Linotype" w:cs="Palatino Linotype"/>
          <w:i/>
        </w:rPr>
        <w:t>:</w:t>
      </w:r>
    </w:p>
    <w:p w14:paraId="63D3F8B7" w14:textId="77777777" w:rsidR="002439F8" w:rsidRDefault="005C7C9E">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w:t>
      </w:r>
    </w:p>
    <w:p w14:paraId="55F960F1" w14:textId="77777777" w:rsidR="002439F8" w:rsidRDefault="005C7C9E">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V. La entrega de información incompleta;” (Sic)</w:t>
      </w:r>
    </w:p>
    <w:p w14:paraId="5B08DCEF" w14:textId="77777777" w:rsidR="002439F8" w:rsidRDefault="005C7C9E">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TERCERO. ANÁLISIS DE LAS CAUSALES DE SOBRESEIMIENTO. </w:t>
      </w:r>
      <w:r>
        <w:rPr>
          <w:rFonts w:ascii="Palatino Linotype" w:eastAsia="Palatino Linotype" w:hAnsi="Palatino Linotype" w:cs="Palatino Linotype"/>
          <w:sz w:val="24"/>
          <w:szCs w:val="24"/>
        </w:rPr>
        <w:t xml:space="preserve">De manera preliminar en el caso concreto conviene analizar si se actualiza alguna de las causales de sobreseimiento del recurso de revisión, derivado del contenido de lo entregado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como parte de sus manifestaciones.</w:t>
      </w:r>
    </w:p>
    <w:p w14:paraId="7E109F6D" w14:textId="77777777" w:rsidR="002439F8" w:rsidRDefault="005C7C9E">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Una vez precisado lo anterior conviene recordar que la parte solicitante requirió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lo siguiente:</w:t>
      </w:r>
    </w:p>
    <w:p w14:paraId="5EC11A4C" w14:textId="77777777" w:rsidR="002439F8" w:rsidRDefault="005C7C9E">
      <w:pPr>
        <w:tabs>
          <w:tab w:val="left" w:pos="3435"/>
        </w:tabs>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-Las medidas implementadas para evitar la propagación del COVID-19 dentro y fuera de las instalaciones del sujeto obligado.</w:t>
      </w:r>
    </w:p>
    <w:p w14:paraId="311ABFA2" w14:textId="77777777" w:rsidR="002439F8" w:rsidRDefault="005C7C9E">
      <w:pPr>
        <w:tabs>
          <w:tab w:val="left" w:pos="3435"/>
        </w:tabs>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 xml:space="preserve">En respuesta,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 xml:space="preserve">mediante la nota informativa </w:t>
      </w:r>
      <w:r>
        <w:rPr>
          <w:rFonts w:ascii="Palatino Linotype" w:eastAsia="Palatino Linotype" w:hAnsi="Palatino Linotype" w:cs="Palatino Linotype"/>
          <w:color w:val="000000"/>
          <w:sz w:val="24"/>
          <w:szCs w:val="24"/>
        </w:rPr>
        <w:t>de la Coordinación de Administración, en donde se precisan las medidas implementadas por la Subdirección de Administración, en conjunto con la Coordinación de Administración, como se aprecia a continuación:</w:t>
      </w:r>
    </w:p>
    <w:p w14:paraId="6A368483" w14:textId="77777777" w:rsidR="002439F8" w:rsidRDefault="005C7C9E">
      <w:pPr>
        <w:tabs>
          <w:tab w:val="left" w:pos="3435"/>
        </w:tabs>
        <w:spacing w:line="360" w:lineRule="auto"/>
        <w:jc w:val="center"/>
        <w:rPr>
          <w:rFonts w:ascii="Palatino Linotype" w:eastAsia="Palatino Linotype" w:hAnsi="Palatino Linotype" w:cs="Palatino Linotype"/>
          <w:color w:val="000000"/>
          <w:sz w:val="24"/>
          <w:szCs w:val="24"/>
        </w:rPr>
      </w:pPr>
      <w:r>
        <w:rPr>
          <w:noProof/>
        </w:rPr>
        <w:lastRenderedPageBreak/>
        <w:drawing>
          <wp:inline distT="0" distB="0" distL="0" distR="0" wp14:anchorId="78C948DB" wp14:editId="5CFCF50A">
            <wp:extent cx="4744702" cy="4832800"/>
            <wp:effectExtent l="0" t="0" r="0" b="0"/>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42600" t="12673" r="26511" b="15207"/>
                    <a:stretch>
                      <a:fillRect/>
                    </a:stretch>
                  </pic:blipFill>
                  <pic:spPr>
                    <a:xfrm>
                      <a:off x="0" y="0"/>
                      <a:ext cx="4744702" cy="4832800"/>
                    </a:xfrm>
                    <a:prstGeom prst="rect">
                      <a:avLst/>
                    </a:prstGeom>
                    <a:ln/>
                  </pic:spPr>
                </pic:pic>
              </a:graphicData>
            </a:graphic>
          </wp:inline>
        </w:drawing>
      </w:r>
    </w:p>
    <w:p w14:paraId="48868D8D" w14:textId="77777777" w:rsidR="002439F8" w:rsidRDefault="005C7C9E">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Conocida la respuesta, el particular interpone su recurso de revisión porque la nota informativa remitida en la respuesta contiene una fecha posterior a la fecha de la solicitud y no contiene número oficial, esto sin especificar las medidas sanitarias en </w:t>
      </w:r>
      <w:r>
        <w:rPr>
          <w:rFonts w:ascii="Palatino Linotype" w:eastAsia="Palatino Linotype" w:hAnsi="Palatino Linotype" w:cs="Palatino Linotype"/>
          <w:sz w:val="24"/>
          <w:szCs w:val="24"/>
        </w:rPr>
        <w:lastRenderedPageBreak/>
        <w:t xml:space="preserve">los términos requeridos, por lo cual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rindió su informe justificado de los cuales se desprenden los siguientes archivos electrónicos:</w:t>
      </w:r>
    </w:p>
    <w:p w14:paraId="6CF12CA4" w14:textId="77777777" w:rsidR="002439F8" w:rsidRDefault="005C7C9E">
      <w:pPr>
        <w:spacing w:line="360" w:lineRule="auto"/>
        <w:jc w:val="both"/>
        <w:rPr>
          <w:rFonts w:ascii="Palatino Linotype" w:eastAsia="Palatino Linotype" w:hAnsi="Palatino Linotype" w:cs="Palatino Linotype"/>
          <w:b/>
          <w:i/>
          <w:color w:val="000000"/>
          <w:sz w:val="24"/>
          <w:szCs w:val="24"/>
          <w:u w:val="single"/>
        </w:rPr>
      </w:pPr>
      <w:r>
        <w:rPr>
          <w:rFonts w:ascii="Palatino Linotype" w:eastAsia="Palatino Linotype" w:hAnsi="Palatino Linotype" w:cs="Palatino Linotype"/>
          <w:b/>
          <w:i/>
          <w:color w:val="000000"/>
          <w:sz w:val="24"/>
          <w:szCs w:val="24"/>
          <w:u w:val="single"/>
        </w:rPr>
        <w:t>12</w:t>
      </w:r>
      <w:proofErr w:type="gramStart"/>
      <w:r>
        <w:rPr>
          <w:rFonts w:ascii="Palatino Linotype" w:eastAsia="Palatino Linotype" w:hAnsi="Palatino Linotype" w:cs="Palatino Linotype"/>
          <w:b/>
          <w:i/>
          <w:color w:val="000000"/>
          <w:sz w:val="24"/>
          <w:szCs w:val="24"/>
          <w:u w:val="single"/>
        </w:rPr>
        <w:t>.pdf</w:t>
      </w:r>
      <w:proofErr w:type="gramEnd"/>
      <w:r>
        <w:rPr>
          <w:rFonts w:ascii="Palatino Linotype" w:eastAsia="Palatino Linotype" w:hAnsi="Palatino Linotype" w:cs="Palatino Linotype"/>
          <w:b/>
          <w:i/>
          <w:color w:val="000000"/>
          <w:sz w:val="24"/>
          <w:szCs w:val="24"/>
          <w:u w:val="single"/>
        </w:rPr>
        <w:t>:</w:t>
      </w:r>
    </w:p>
    <w:p w14:paraId="7B4A8849" w14:textId="77777777" w:rsidR="002439F8" w:rsidRDefault="005C7C9E">
      <w:pPr>
        <w:spacing w:line="360" w:lineRule="auto"/>
        <w:jc w:val="center"/>
        <w:rPr>
          <w:rFonts w:ascii="Palatino Linotype" w:eastAsia="Palatino Linotype" w:hAnsi="Palatino Linotype" w:cs="Palatino Linotype"/>
          <w:sz w:val="24"/>
          <w:szCs w:val="24"/>
        </w:rPr>
      </w:pPr>
      <w:r>
        <w:rPr>
          <w:noProof/>
        </w:rPr>
        <w:drawing>
          <wp:inline distT="0" distB="0" distL="0" distR="0" wp14:anchorId="6F5167A8" wp14:editId="21028EDF">
            <wp:extent cx="4521000" cy="4477107"/>
            <wp:effectExtent l="0" t="0" r="0" b="0"/>
            <wp:docPr id="4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41582" t="14703" r="26000" b="17351"/>
                    <a:stretch>
                      <a:fillRect/>
                    </a:stretch>
                  </pic:blipFill>
                  <pic:spPr>
                    <a:xfrm>
                      <a:off x="0" y="0"/>
                      <a:ext cx="4521000" cy="4477107"/>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14:anchorId="7A2FB7C8" wp14:editId="13AA6B65">
                <wp:simplePos x="0" y="0"/>
                <wp:positionH relativeFrom="column">
                  <wp:posOffset>1028700</wp:posOffset>
                </wp:positionH>
                <wp:positionV relativeFrom="paragraph">
                  <wp:posOffset>2641600</wp:posOffset>
                </wp:positionV>
                <wp:extent cx="3552825" cy="371475"/>
                <wp:effectExtent l="0" t="0" r="0" b="0"/>
                <wp:wrapNone/>
                <wp:docPr id="39" name="Rectángulo 39"/>
                <wp:cNvGraphicFramePr/>
                <a:graphic xmlns:a="http://schemas.openxmlformats.org/drawingml/2006/main">
                  <a:graphicData uri="http://schemas.microsoft.com/office/word/2010/wordprocessingShape">
                    <wps:wsp>
                      <wps:cNvSpPr/>
                      <wps:spPr>
                        <a:xfrm>
                          <a:off x="3588638" y="3613313"/>
                          <a:ext cx="3514725" cy="333375"/>
                        </a:xfrm>
                        <a:prstGeom prst="rect">
                          <a:avLst/>
                        </a:prstGeom>
                        <a:noFill/>
                        <a:ln w="38100" cap="flat" cmpd="sng">
                          <a:solidFill>
                            <a:srgbClr val="FF0000"/>
                          </a:solidFill>
                          <a:prstDash val="solid"/>
                          <a:miter lim="800000"/>
                          <a:headEnd type="none" w="sm" len="sm"/>
                          <a:tailEnd type="none" w="sm" len="sm"/>
                        </a:ln>
                      </wps:spPr>
                      <wps:txbx>
                        <w:txbxContent>
                          <w:p w14:paraId="2D671076" w14:textId="77777777" w:rsidR="002439F8" w:rsidRDefault="002439F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1028700</wp:posOffset>
                </wp:positionH>
                <wp:positionV relativeFrom="paragraph">
                  <wp:posOffset>2641600</wp:posOffset>
                </wp:positionV>
                <wp:extent cx="3552825" cy="371475"/>
                <wp:effectExtent b="0" l="0" r="0" t="0"/>
                <wp:wrapNone/>
                <wp:docPr id="39"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3552825" cy="371475"/>
                        </a:xfrm>
                        <a:prstGeom prst="rect"/>
                        <a:ln/>
                      </pic:spPr>
                    </pic:pic>
                  </a:graphicData>
                </a:graphic>
              </wp:anchor>
            </w:drawing>
          </mc:Fallback>
        </mc:AlternateContent>
      </w:r>
    </w:p>
    <w:p w14:paraId="755B4A55" w14:textId="77777777" w:rsidR="002439F8" w:rsidRDefault="005C7C9E">
      <w:pPr>
        <w:tabs>
          <w:tab w:val="left" w:pos="3435"/>
        </w:tabs>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i/>
          <w:color w:val="000000"/>
          <w:sz w:val="24"/>
          <w:szCs w:val="24"/>
          <w:u w:val="single"/>
        </w:rPr>
        <w:lastRenderedPageBreak/>
        <w:t>folleto.pdf</w:t>
      </w:r>
      <w:r>
        <w:rPr>
          <w:rFonts w:ascii="Palatino Linotype" w:eastAsia="Palatino Linotype" w:hAnsi="Palatino Linotype" w:cs="Palatino Linotype"/>
          <w:color w:val="000000"/>
          <w:sz w:val="24"/>
          <w:szCs w:val="24"/>
        </w:rPr>
        <w:t xml:space="preserve">: el cual contiene un folleto digitalizado en el que se plasma el protocolo contra el Covid-19 en las inmediaciones del </w:t>
      </w:r>
      <w:r>
        <w:rPr>
          <w:rFonts w:ascii="Palatino Linotype" w:eastAsia="Palatino Linotype" w:hAnsi="Palatino Linotype" w:cs="Palatino Linotype"/>
          <w:sz w:val="24"/>
          <w:szCs w:val="24"/>
        </w:rPr>
        <w:t>Organismo Público Descentralizado para la Prestación de Los Servicios de Agua Potable Alcantarillado y Saneamiento de Atizapán de Zaragoza, tal como se advierte a continuación:</w:t>
      </w:r>
    </w:p>
    <w:p w14:paraId="4A3F9BC9" w14:textId="77777777" w:rsidR="002439F8" w:rsidRDefault="005C7C9E">
      <w:pPr>
        <w:tabs>
          <w:tab w:val="left" w:pos="3435"/>
        </w:tabs>
        <w:spacing w:line="360" w:lineRule="auto"/>
        <w:jc w:val="both"/>
        <w:rPr>
          <w:rFonts w:ascii="Palatino Linotype" w:eastAsia="Palatino Linotype" w:hAnsi="Palatino Linotype" w:cs="Palatino Linotype"/>
          <w:color w:val="000000"/>
          <w:sz w:val="24"/>
          <w:szCs w:val="24"/>
        </w:rPr>
      </w:pPr>
      <w:r>
        <w:rPr>
          <w:noProof/>
        </w:rPr>
        <w:drawing>
          <wp:inline distT="0" distB="0" distL="0" distR="0" wp14:anchorId="0BE6BF5C" wp14:editId="2E47F2B5">
            <wp:extent cx="5662459" cy="4433109"/>
            <wp:effectExtent l="0" t="0" r="0" b="0"/>
            <wp:docPr id="4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l="32247" t="13881" r="16158" b="14303"/>
                    <a:stretch>
                      <a:fillRect/>
                    </a:stretch>
                  </pic:blipFill>
                  <pic:spPr>
                    <a:xfrm>
                      <a:off x="0" y="0"/>
                      <a:ext cx="5662459" cy="4433109"/>
                    </a:xfrm>
                    <a:prstGeom prst="rect">
                      <a:avLst/>
                    </a:prstGeom>
                    <a:ln/>
                  </pic:spPr>
                </pic:pic>
              </a:graphicData>
            </a:graphic>
          </wp:inline>
        </w:drawing>
      </w:r>
    </w:p>
    <w:p w14:paraId="05484012" w14:textId="77777777" w:rsidR="002439F8" w:rsidRDefault="002439F8">
      <w:pPr>
        <w:tabs>
          <w:tab w:val="left" w:pos="3435"/>
        </w:tabs>
        <w:spacing w:line="360" w:lineRule="auto"/>
        <w:jc w:val="both"/>
        <w:rPr>
          <w:rFonts w:ascii="Palatino Linotype" w:eastAsia="Palatino Linotype" w:hAnsi="Palatino Linotype" w:cs="Palatino Linotype"/>
          <w:color w:val="000000"/>
          <w:sz w:val="24"/>
          <w:szCs w:val="24"/>
        </w:rPr>
      </w:pPr>
    </w:p>
    <w:p w14:paraId="3FCEA20B" w14:textId="77777777" w:rsidR="002439F8" w:rsidRDefault="005C7C9E">
      <w:pPr>
        <w:tabs>
          <w:tab w:val="left" w:pos="3435"/>
        </w:tabs>
        <w:spacing w:line="360" w:lineRule="auto"/>
        <w:jc w:val="both"/>
        <w:rPr>
          <w:rFonts w:ascii="Palatino Linotype" w:eastAsia="Palatino Linotype" w:hAnsi="Palatino Linotype" w:cs="Palatino Linotype"/>
          <w:color w:val="000000"/>
          <w:sz w:val="24"/>
          <w:szCs w:val="24"/>
        </w:rPr>
      </w:pPr>
      <w:r>
        <w:rPr>
          <w:noProof/>
        </w:rPr>
        <w:lastRenderedPageBreak/>
        <w:drawing>
          <wp:inline distT="0" distB="0" distL="0" distR="0" wp14:anchorId="1936CBC5" wp14:editId="6633F904">
            <wp:extent cx="5918675" cy="4344156"/>
            <wp:effectExtent l="0" t="0" r="0" b="0"/>
            <wp:docPr id="4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l="31059" t="22028" r="15988" b="8870"/>
                    <a:stretch>
                      <a:fillRect/>
                    </a:stretch>
                  </pic:blipFill>
                  <pic:spPr>
                    <a:xfrm>
                      <a:off x="0" y="0"/>
                      <a:ext cx="5918675" cy="4344156"/>
                    </a:xfrm>
                    <a:prstGeom prst="rect">
                      <a:avLst/>
                    </a:prstGeom>
                    <a:ln/>
                  </pic:spPr>
                </pic:pic>
              </a:graphicData>
            </a:graphic>
          </wp:inline>
        </w:drawing>
      </w:r>
    </w:p>
    <w:p w14:paraId="752B5FFA" w14:textId="77777777" w:rsidR="002439F8" w:rsidRDefault="002439F8">
      <w:pPr>
        <w:tabs>
          <w:tab w:val="left" w:pos="3435"/>
        </w:tabs>
        <w:spacing w:line="360" w:lineRule="auto"/>
        <w:jc w:val="both"/>
        <w:rPr>
          <w:rFonts w:ascii="Palatino Linotype" w:eastAsia="Palatino Linotype" w:hAnsi="Palatino Linotype" w:cs="Palatino Linotype"/>
          <w:color w:val="000000"/>
          <w:sz w:val="24"/>
          <w:szCs w:val="24"/>
        </w:rPr>
      </w:pPr>
    </w:p>
    <w:p w14:paraId="1C0DEDD0" w14:textId="77777777" w:rsidR="002439F8" w:rsidRDefault="005C7C9E">
      <w:pPr>
        <w:tabs>
          <w:tab w:val="left" w:pos="3435"/>
        </w:tabs>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Asimismo,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en tres mayo de mayo del año dos mil veintidós, mediante alcance al informe justificado proporcionó, lo siguiente:</w:t>
      </w:r>
    </w:p>
    <w:p w14:paraId="5D68FEEE" w14:textId="77777777" w:rsidR="002439F8" w:rsidRDefault="005C7C9E">
      <w:pPr>
        <w:tabs>
          <w:tab w:val="left" w:pos="3435"/>
        </w:tabs>
        <w:spacing w:line="360" w:lineRule="auto"/>
        <w:jc w:val="both"/>
        <w:rPr>
          <w:rFonts w:ascii="Palatino Linotype" w:eastAsia="Palatino Linotype" w:hAnsi="Palatino Linotype" w:cs="Palatino Linotype"/>
          <w:sz w:val="24"/>
          <w:szCs w:val="24"/>
        </w:rPr>
      </w:pPr>
      <w:r>
        <w:rPr>
          <w:noProof/>
        </w:rPr>
        <w:lastRenderedPageBreak/>
        <w:drawing>
          <wp:inline distT="0" distB="0" distL="0" distR="0" wp14:anchorId="72E4EDFC" wp14:editId="538ACD17">
            <wp:extent cx="5764246" cy="6186626"/>
            <wp:effectExtent l="0" t="0" r="0" b="0"/>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38356" t="13579" r="22268" b="11283"/>
                    <a:stretch>
                      <a:fillRect/>
                    </a:stretch>
                  </pic:blipFill>
                  <pic:spPr>
                    <a:xfrm>
                      <a:off x="0" y="0"/>
                      <a:ext cx="5764246" cy="6186626"/>
                    </a:xfrm>
                    <a:prstGeom prst="rect">
                      <a:avLst/>
                    </a:prstGeom>
                    <a:ln/>
                  </pic:spPr>
                </pic:pic>
              </a:graphicData>
            </a:graphic>
          </wp:inline>
        </w:drawing>
      </w:r>
    </w:p>
    <w:p w14:paraId="2008DD69" w14:textId="77777777" w:rsidR="002439F8" w:rsidRDefault="005C7C9E">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Por lo anterior se determina que el primer punto señalado en la solicitud de acceso a la información pública</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 xml:space="preserve">fue colmado mediante informe justificado toda vez que el folleto digitalizado que se precisó con anterioridad cuenta con el protocolo y las medidas implementadas para evitar la propagación del COVID-19. </w:t>
      </w:r>
    </w:p>
    <w:p w14:paraId="0F22BCAB" w14:textId="77777777" w:rsidR="002439F8" w:rsidRDefault="005C7C9E">
      <w:pPr>
        <w:shd w:val="clear" w:color="auto" w:fill="FFFFFF"/>
        <w:spacing w:after="0" w:line="360" w:lineRule="auto"/>
        <w:jc w:val="both"/>
        <w:rPr>
          <w:rFonts w:ascii="Times New Roman" w:eastAsia="Times New Roman" w:hAnsi="Times New Roman" w:cs="Times New Roman"/>
          <w:color w:val="222222"/>
          <w:sz w:val="24"/>
          <w:szCs w:val="24"/>
        </w:rPr>
      </w:pPr>
      <w:r>
        <w:rPr>
          <w:rFonts w:ascii="Palatino Linotype" w:eastAsia="Palatino Linotype" w:hAnsi="Palatino Linotype" w:cs="Palatino Linotype"/>
          <w:color w:val="000000"/>
          <w:sz w:val="24"/>
          <w:szCs w:val="24"/>
        </w:rPr>
        <w:t xml:space="preserve">Consecuentemente, mediante alcance al informe justificado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señala que no tiene dentro de sus atribuciones, el </w:t>
      </w:r>
      <w:r>
        <w:rPr>
          <w:rFonts w:ascii="Palatino Linotype" w:eastAsia="Palatino Linotype" w:hAnsi="Palatino Linotype" w:cs="Palatino Linotype"/>
          <w:sz w:val="24"/>
          <w:szCs w:val="24"/>
        </w:rPr>
        <w:t xml:space="preserve">implementar medidas sanitarias fuera de sus instalaciones, por lo que </w:t>
      </w:r>
      <w:r>
        <w:rPr>
          <w:rFonts w:ascii="Palatino Linotype" w:eastAsia="Palatino Linotype" w:hAnsi="Palatino Linotype" w:cs="Palatino Linotype"/>
          <w:color w:val="222222"/>
          <w:sz w:val="24"/>
          <w:szCs w:val="24"/>
        </w:rPr>
        <w:t>se traduce como un hecho negativo, ante un hecho negativo, el Pleno de este Organismo Garante ha sostenido que resulta innecesaria una declaratoria de inexistencia en términos de los artículos 19, 169 y 170 de la Ley de Transparencia y Acceso a la Información Pública del Estado de México y Municipios, resultando aplicable la siguiente tesis:</w:t>
      </w:r>
    </w:p>
    <w:p w14:paraId="42ACB673" w14:textId="77777777" w:rsidR="002439F8" w:rsidRDefault="005C7C9E">
      <w:pPr>
        <w:shd w:val="clear" w:color="auto" w:fill="FFFFFF"/>
        <w:spacing w:before="120" w:after="120" w:line="240" w:lineRule="auto"/>
        <w:ind w:right="851"/>
        <w:jc w:val="center"/>
        <w:rPr>
          <w:rFonts w:ascii="Times New Roman" w:eastAsia="Times New Roman" w:hAnsi="Times New Roman" w:cs="Times New Roman"/>
          <w:color w:val="222222"/>
          <w:sz w:val="24"/>
          <w:szCs w:val="24"/>
        </w:rPr>
      </w:pPr>
      <w:r>
        <w:rPr>
          <w:rFonts w:ascii="Palatino Linotype" w:eastAsia="Palatino Linotype" w:hAnsi="Palatino Linotype" w:cs="Palatino Linotype"/>
          <w:color w:val="222222"/>
          <w:sz w:val="24"/>
          <w:szCs w:val="24"/>
        </w:rPr>
        <w:t>“</w:t>
      </w:r>
      <w:r>
        <w:rPr>
          <w:rFonts w:ascii="Palatino Linotype" w:eastAsia="Palatino Linotype" w:hAnsi="Palatino Linotype" w:cs="Palatino Linotype"/>
          <w:b/>
          <w:i/>
          <w:color w:val="222222"/>
        </w:rPr>
        <w:t>HECHOS NEGATIVOS, NO SON SUSCEPTIBLES DE DEMOSTRACIÓN</w:t>
      </w:r>
      <w:r>
        <w:rPr>
          <w:rFonts w:ascii="Palatino Linotype" w:eastAsia="Palatino Linotype" w:hAnsi="Palatino Linotype" w:cs="Palatino Linotype"/>
          <w:i/>
          <w:color w:val="222222"/>
        </w:rPr>
        <w:t>.</w:t>
      </w:r>
    </w:p>
    <w:p w14:paraId="76E03ACE" w14:textId="77777777" w:rsidR="002439F8" w:rsidRDefault="005C7C9E">
      <w:pPr>
        <w:shd w:val="clear" w:color="auto" w:fill="FFFFFF"/>
        <w:spacing w:after="0" w:line="240" w:lineRule="auto"/>
        <w:ind w:left="851" w:right="851"/>
        <w:jc w:val="both"/>
        <w:rPr>
          <w:rFonts w:ascii="Times New Roman" w:eastAsia="Times New Roman" w:hAnsi="Times New Roman" w:cs="Times New Roman"/>
          <w:color w:val="222222"/>
          <w:sz w:val="24"/>
          <w:szCs w:val="24"/>
        </w:rPr>
      </w:pPr>
      <w:r>
        <w:rPr>
          <w:rFonts w:ascii="Palatino Linotype" w:eastAsia="Palatino Linotype" w:hAnsi="Palatino Linotype" w:cs="Palatino Linotype"/>
          <w:i/>
          <w:color w:val="222222"/>
        </w:rPr>
        <w:t>Tratándose de un hecho negativo, el Juez no tiene por qué invocar prueba alguna de la que se desprenda, ya que es bien sabido que esta clase de hechos no son susceptibles de demostración.</w:t>
      </w:r>
    </w:p>
    <w:p w14:paraId="133CF9A8" w14:textId="77777777" w:rsidR="002439F8" w:rsidRDefault="005C7C9E">
      <w:pPr>
        <w:shd w:val="clear" w:color="auto" w:fill="FFFFFF"/>
        <w:spacing w:after="0" w:line="240" w:lineRule="auto"/>
        <w:ind w:left="851" w:right="851"/>
        <w:jc w:val="both"/>
        <w:rPr>
          <w:rFonts w:ascii="Times New Roman" w:eastAsia="Times New Roman" w:hAnsi="Times New Roman" w:cs="Times New Roman"/>
          <w:color w:val="222222"/>
          <w:sz w:val="24"/>
          <w:szCs w:val="24"/>
        </w:rPr>
      </w:pPr>
      <w:r>
        <w:rPr>
          <w:rFonts w:ascii="Palatino Linotype" w:eastAsia="Palatino Linotype" w:hAnsi="Palatino Linotype" w:cs="Palatino Linotype"/>
          <w:i/>
          <w:color w:val="222222"/>
        </w:rPr>
        <w:t> </w:t>
      </w:r>
    </w:p>
    <w:p w14:paraId="25426F96" w14:textId="77777777" w:rsidR="002439F8" w:rsidRDefault="005C7C9E">
      <w:pPr>
        <w:shd w:val="clear" w:color="auto" w:fill="FFFFFF"/>
        <w:spacing w:before="120" w:after="120" w:line="240" w:lineRule="auto"/>
        <w:ind w:left="851" w:right="851"/>
        <w:jc w:val="both"/>
        <w:rPr>
          <w:rFonts w:ascii="Times New Roman" w:eastAsia="Times New Roman" w:hAnsi="Times New Roman" w:cs="Times New Roman"/>
          <w:color w:val="222222"/>
          <w:sz w:val="24"/>
          <w:szCs w:val="24"/>
        </w:rPr>
      </w:pPr>
      <w:r>
        <w:rPr>
          <w:rFonts w:ascii="Palatino Linotype" w:eastAsia="Palatino Linotype" w:hAnsi="Palatino Linotype" w:cs="Palatino Linotype"/>
          <w:i/>
          <w:color w:val="222222"/>
        </w:rPr>
        <w:t>Amparo en revisión 2022/61. José García Florín (Menor). 9 de octubre de 1961. Cinco votos. Ponente: José Rivera Pérez Campos.” (Sic)</w:t>
      </w:r>
    </w:p>
    <w:p w14:paraId="00BF80E6" w14:textId="77777777" w:rsidR="002439F8" w:rsidRDefault="002439F8">
      <w:pPr>
        <w:shd w:val="clear" w:color="auto" w:fill="FFFFFF"/>
        <w:spacing w:before="120" w:after="120" w:line="240" w:lineRule="auto"/>
        <w:ind w:left="851" w:right="851"/>
        <w:jc w:val="both"/>
        <w:rPr>
          <w:rFonts w:ascii="Times New Roman" w:eastAsia="Times New Roman" w:hAnsi="Times New Roman" w:cs="Times New Roman"/>
          <w:color w:val="222222"/>
          <w:sz w:val="24"/>
          <w:szCs w:val="24"/>
        </w:rPr>
      </w:pPr>
    </w:p>
    <w:p w14:paraId="4DC09BE5" w14:textId="77777777" w:rsidR="002439F8" w:rsidRDefault="005C7C9E">
      <w:pPr>
        <w:shd w:val="clear" w:color="auto" w:fill="FFFFFF"/>
        <w:spacing w:before="120" w:after="0" w:line="360" w:lineRule="auto"/>
        <w:jc w:val="both"/>
        <w:rPr>
          <w:rFonts w:ascii="Palatino Linotype" w:eastAsia="Palatino Linotype" w:hAnsi="Palatino Linotype" w:cs="Palatino Linotype"/>
          <w:color w:val="222222"/>
          <w:sz w:val="24"/>
          <w:szCs w:val="24"/>
        </w:rPr>
      </w:pPr>
      <w:r>
        <w:rPr>
          <w:rFonts w:ascii="Palatino Linotype" w:eastAsia="Palatino Linotype" w:hAnsi="Palatino Linotype" w:cs="Palatino Linotype"/>
          <w:color w:val="222222"/>
          <w:sz w:val="24"/>
          <w:szCs w:val="24"/>
        </w:rPr>
        <w:t xml:space="preserve">Además, se estima conveniente señalar que no está facultado para manifestarse sobre la veracidad de la información proporcionada, ya que no existe precepto legal alguno en la Ley de la Materia que permita, vía recurso de revisión, se pronuncie al </w:t>
      </w:r>
      <w:r>
        <w:rPr>
          <w:rFonts w:ascii="Palatino Linotype" w:eastAsia="Palatino Linotype" w:hAnsi="Palatino Linotype" w:cs="Palatino Linotype"/>
          <w:color w:val="222222"/>
          <w:sz w:val="24"/>
          <w:szCs w:val="24"/>
        </w:rPr>
        <w:lastRenderedPageBreak/>
        <w:t>respecto. Por analogía, sirve de apoyo a lo anterior el Criterio 31-10 emitido por el entonces Instituto Federal de Accesos a la Información y Protección de Datos, que a la letra establece lo siguiente:</w:t>
      </w:r>
    </w:p>
    <w:p w14:paraId="71297DB3" w14:textId="77777777" w:rsidR="002439F8" w:rsidRDefault="002439F8">
      <w:pPr>
        <w:shd w:val="clear" w:color="auto" w:fill="FFFFFF"/>
        <w:spacing w:after="120"/>
        <w:jc w:val="both"/>
        <w:rPr>
          <w:rFonts w:ascii="Arial" w:eastAsia="Arial" w:hAnsi="Arial" w:cs="Arial"/>
          <w:color w:val="222222"/>
          <w:sz w:val="24"/>
          <w:szCs w:val="24"/>
        </w:rPr>
      </w:pPr>
    </w:p>
    <w:p w14:paraId="5FC83BB4" w14:textId="77777777" w:rsidR="002439F8" w:rsidRDefault="005C7C9E">
      <w:pPr>
        <w:shd w:val="clear" w:color="auto" w:fill="FFFFFF"/>
        <w:spacing w:before="120" w:after="120" w:line="240" w:lineRule="auto"/>
        <w:ind w:left="851" w:right="851"/>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i/>
          <w:color w:val="222222"/>
        </w:rPr>
        <w:t>“</w:t>
      </w:r>
      <w:r>
        <w:rPr>
          <w:rFonts w:ascii="Palatino Linotype" w:eastAsia="Palatino Linotype" w:hAnsi="Palatino Linotype" w:cs="Palatino Linotype"/>
          <w:b/>
          <w:i/>
          <w:color w:val="2222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color w:val="2222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FA75603" w14:textId="77777777" w:rsidR="002439F8" w:rsidRDefault="005C7C9E">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t xml:space="preserve">En tal sentido, en su conjunto se destaca que, al haber existido un pronunciamiento debidamente fundado, respecto de la materia de la solicitud, este </w:t>
      </w:r>
      <w:r>
        <w:rPr>
          <w:rFonts w:ascii="Palatino Linotype" w:eastAsia="Palatino Linotype" w:hAnsi="Palatino Linotype" w:cs="Palatino Linotype"/>
          <w:sz w:val="24"/>
          <w:szCs w:val="24"/>
        </w:rPr>
        <w:t>Organismo</w:t>
      </w:r>
      <w:r>
        <w:rPr>
          <w:rFonts w:ascii="Palatino Linotype" w:eastAsia="Palatino Linotype" w:hAnsi="Palatino Linotype" w:cs="Palatino Linotype"/>
          <w:color w:val="000000"/>
          <w:sz w:val="24"/>
          <w:szCs w:val="24"/>
        </w:rPr>
        <w:t xml:space="preserve"> Garante no está facultado para manifestarse sobre la veracidad de lo manifestado, pues no existe precepto legal alguno en la Ley de la materia que lo faculte para ello. </w:t>
      </w:r>
    </w:p>
    <w:p w14:paraId="719B80F6" w14:textId="77777777" w:rsidR="002439F8" w:rsidRDefault="005C7C9E">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t xml:space="preserve">Lo anterior se sustenta con lo plasmado en el criterio 31-10 emitido por el entonces Instituto Federal de Acceso a la Información y Protección de Datos (IFAI) ahora </w:t>
      </w:r>
      <w:r>
        <w:rPr>
          <w:rFonts w:ascii="Palatino Linotype" w:eastAsia="Palatino Linotype" w:hAnsi="Palatino Linotype" w:cs="Palatino Linotype"/>
          <w:color w:val="000000"/>
          <w:sz w:val="24"/>
          <w:szCs w:val="24"/>
        </w:rPr>
        <w:lastRenderedPageBreak/>
        <w:t>Instituto Nacional de Transparencia, Acceso a la Información, y Protección de Datos Personales (INAI), que lleva por rubro y texto los siguientes: </w:t>
      </w:r>
    </w:p>
    <w:p w14:paraId="75AF4F55" w14:textId="77777777" w:rsidR="002439F8" w:rsidRDefault="005C7C9E">
      <w:pPr>
        <w:pBdr>
          <w:top w:val="nil"/>
          <w:left w:val="nil"/>
          <w:bottom w:val="nil"/>
          <w:right w:val="nil"/>
          <w:between w:val="nil"/>
        </w:pBdr>
        <w:spacing w:before="240" w:after="240" w:line="240" w:lineRule="auto"/>
        <w:ind w:left="993" w:right="1041"/>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color w:val="00000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183545B" w14:textId="77777777" w:rsidR="002439F8" w:rsidRDefault="005C7C9E">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t>En consecuencia, y ante la información adicional remitida mediante informe justificado y alcance al informe justificado, se actualiza la causal de sobreseimiento señala el artículo 192, fracción III de la Ley de Transparencia y Acceso a la Información Pública del Estado de México y Municipios vigente, a saber:</w:t>
      </w:r>
    </w:p>
    <w:p w14:paraId="0648173B" w14:textId="77777777" w:rsidR="002439F8" w:rsidRDefault="005C7C9E">
      <w:pPr>
        <w:pBdr>
          <w:top w:val="nil"/>
          <w:left w:val="nil"/>
          <w:bottom w:val="nil"/>
          <w:right w:val="nil"/>
          <w:between w:val="nil"/>
        </w:pBdr>
        <w:spacing w:before="240" w:after="240" w:line="240" w:lineRule="auto"/>
        <w:ind w:left="851" w:right="900"/>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Artículo 192</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El recurso será sobreseído</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en todo o en parte,</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cuando una vez admitido, se actualicen alguno de los siguientes supuestos</w:t>
      </w:r>
      <w:r>
        <w:rPr>
          <w:rFonts w:ascii="Palatino Linotype" w:eastAsia="Palatino Linotype" w:hAnsi="Palatino Linotype" w:cs="Palatino Linotype"/>
          <w:i/>
          <w:color w:val="000000"/>
        </w:rPr>
        <w:t>: </w:t>
      </w:r>
    </w:p>
    <w:p w14:paraId="16AFE2B1" w14:textId="77777777" w:rsidR="002439F8" w:rsidRDefault="005C7C9E">
      <w:pPr>
        <w:pBdr>
          <w:top w:val="nil"/>
          <w:left w:val="nil"/>
          <w:bottom w:val="nil"/>
          <w:right w:val="nil"/>
          <w:between w:val="nil"/>
        </w:pBdr>
        <w:spacing w:before="240" w:after="240" w:line="240" w:lineRule="auto"/>
        <w:ind w:left="1134" w:right="900"/>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i/>
          <w:color w:val="000000"/>
        </w:rPr>
        <w:t>(…)</w:t>
      </w:r>
    </w:p>
    <w:p w14:paraId="749852E0" w14:textId="77777777" w:rsidR="002439F8" w:rsidRDefault="005C7C9E">
      <w:pPr>
        <w:pBdr>
          <w:top w:val="nil"/>
          <w:left w:val="nil"/>
          <w:bottom w:val="nil"/>
          <w:right w:val="nil"/>
          <w:between w:val="nil"/>
        </w:pBdr>
        <w:spacing w:before="240" w:after="240" w:line="240" w:lineRule="auto"/>
        <w:ind w:left="1134" w:right="900"/>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b/>
          <w:i/>
          <w:color w:val="000000"/>
        </w:rPr>
        <w:lastRenderedPageBreak/>
        <w:t>III. El sujeto obligado responsable del acto, lo modifique o revoque de tal manera que el recurso de revisión quede sin materia...</w:t>
      </w:r>
      <w:r>
        <w:rPr>
          <w:rFonts w:ascii="Palatino Linotype" w:eastAsia="Palatino Linotype" w:hAnsi="Palatino Linotype" w:cs="Palatino Linotype"/>
          <w:i/>
          <w:color w:val="000000"/>
        </w:rPr>
        <w:t>”</w:t>
      </w:r>
    </w:p>
    <w:p w14:paraId="12B04C85" w14:textId="77777777" w:rsidR="002439F8" w:rsidRDefault="005C7C9E">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t>De lo establecido en el precepto legal citado se advierte que el sobreseimiento del recurso de revisión procede en los siguientes casos:</w:t>
      </w:r>
    </w:p>
    <w:p w14:paraId="10744896" w14:textId="77777777" w:rsidR="002439F8" w:rsidRDefault="005C7C9E">
      <w:pPr>
        <w:pBdr>
          <w:top w:val="nil"/>
          <w:left w:val="nil"/>
          <w:bottom w:val="nil"/>
          <w:right w:val="nil"/>
          <w:between w:val="nil"/>
        </w:pBdr>
        <w:spacing w:before="240" w:after="240" w:line="360" w:lineRule="auto"/>
        <w:ind w:left="284"/>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t>a) Cuando el Sujeto Obligado modifique el acto impugnado. </w:t>
      </w:r>
    </w:p>
    <w:p w14:paraId="581153CB" w14:textId="77777777" w:rsidR="002439F8" w:rsidRDefault="005C7C9E">
      <w:pPr>
        <w:pBdr>
          <w:top w:val="nil"/>
          <w:left w:val="nil"/>
          <w:bottom w:val="nil"/>
          <w:right w:val="nil"/>
          <w:between w:val="nil"/>
        </w:pBdr>
        <w:spacing w:before="240" w:after="240" w:line="360" w:lineRule="auto"/>
        <w:ind w:left="284"/>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t>b) Cuando el Sujeto Obligado revoque el acto impugnado; </w:t>
      </w:r>
    </w:p>
    <w:p w14:paraId="2BC88085" w14:textId="77777777" w:rsidR="002439F8" w:rsidRDefault="005C7C9E">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t>Quedando en ambos casos el acto combatido sin materia o sin efectos.</w:t>
      </w:r>
    </w:p>
    <w:p w14:paraId="45F725C3" w14:textId="77777777" w:rsidR="002439F8" w:rsidRDefault="005C7C9E">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t>Como se observa de lo anterior, un acto impugnado es modificado en aquellos casos en los que el Sujeto Obligado después de haber otorgado una respuesta, o haber omitido hacerlo (acto de no hacer), emite una o una diversa de manera posterior y en ésta subsana las deficiencias que hubiera tenido, quedando satisfecho el derecho subjetivo accionado por la parte recurrente.</w:t>
      </w:r>
    </w:p>
    <w:p w14:paraId="35709391" w14:textId="77777777" w:rsidR="002439F8" w:rsidRDefault="005C7C9E">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t>Por lo que hace a la revocación, esta se actualiza cuando el Sujeto Obligado deja sin efectos la primera respuesta o su primer acto y en su lugar emite otro con las características y cualidades suficientes para dejar satisfecho el ejercicio del derecho al acceso a la información pública.</w:t>
      </w:r>
    </w:p>
    <w:p w14:paraId="3AD9E077" w14:textId="77777777" w:rsidR="002439F8" w:rsidRDefault="005C7C9E">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lastRenderedPageBreak/>
        <w:t xml:space="preserve">En este orden de ideas, un acto impugnado queda sin efectos, cuando </w:t>
      </w:r>
      <w:proofErr w:type="spellStart"/>
      <w:r>
        <w:rPr>
          <w:rFonts w:ascii="Palatino Linotype" w:eastAsia="Palatino Linotype" w:hAnsi="Palatino Linotype" w:cs="Palatino Linotype"/>
          <w:color w:val="000000"/>
          <w:sz w:val="24"/>
          <w:szCs w:val="24"/>
        </w:rPr>
        <w:t>aún</w:t>
      </w:r>
      <w:proofErr w:type="spellEnd"/>
      <w:r>
        <w:rPr>
          <w:rFonts w:ascii="Palatino Linotype" w:eastAsia="Palatino Linotype" w:hAnsi="Palatino Linotype" w:cs="Palatino Linotype"/>
          <w:color w:val="000000"/>
          <w:sz w:val="24"/>
          <w:szCs w:val="24"/>
        </w:rPr>
        <w:t xml:space="preserve"> existiendo jurídicamente (esto es, que no se ha modificado, ni revocado) ya no genera ninguna consecuencia legal.</w:t>
      </w:r>
    </w:p>
    <w:p w14:paraId="53851750" w14:textId="77777777" w:rsidR="002439F8" w:rsidRDefault="005C7C9E">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t xml:space="preserve">En tanto que, un acto impugnado queda sin materia, cuando ha sido satisfecha la pretensión del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de manera que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entrega una respuesta aunque sea posterior a los términos previstos en la ley y mediante ésta concede la información solicitada.</w:t>
      </w:r>
    </w:p>
    <w:p w14:paraId="33DC28FC" w14:textId="77777777" w:rsidR="002439F8" w:rsidRDefault="005C7C9E">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t xml:space="preserve">Ahora bien, en el caso concreto, es evidente que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modificó su respuesta, ya que, a través de su pronunciamiento emitido en la etapa de manifestaciones, proporcionó la información requerida. </w:t>
      </w:r>
    </w:p>
    <w:p w14:paraId="201D2BFB" w14:textId="77777777" w:rsidR="002439F8" w:rsidRDefault="005C7C9E">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t xml:space="preserve">Tomando en consideración dicha circunstancia, así como el hecho de que la información proporcionada por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fue puesta a la vista de la parte </w:t>
      </w:r>
      <w:r>
        <w:rPr>
          <w:rFonts w:ascii="Palatino Linotype" w:eastAsia="Palatino Linotype" w:hAnsi="Palatino Linotype" w:cs="Palatino Linotype"/>
          <w:b/>
          <w:color w:val="000000"/>
          <w:sz w:val="24"/>
          <w:szCs w:val="24"/>
        </w:rPr>
        <w:t xml:space="preserve">RECURRENTE </w:t>
      </w:r>
      <w:r>
        <w:rPr>
          <w:rFonts w:ascii="Palatino Linotype" w:eastAsia="Palatino Linotype" w:hAnsi="Palatino Linotype" w:cs="Palatino Linotype"/>
          <w:color w:val="000000"/>
          <w:sz w:val="24"/>
          <w:szCs w:val="24"/>
        </w:rPr>
        <w:t>con la finalidad de que manifestara lo que a su derecho conviniera, sin que obre constancia en el expediente electrónico de que dicho derecho se hiciera valer, debe entenderse que ha quedado satisfecha la solicitud planteada, quedando sin materia el presente recurso de revisión, consecuentemente se actualiza la causal prevista en la fracción III del artículo 192 de la Ley de la Materia vigente en la Entidad, antes transcrita.</w:t>
      </w:r>
    </w:p>
    <w:p w14:paraId="1A2D0D42" w14:textId="77777777" w:rsidR="002439F8" w:rsidRDefault="005C7C9E">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lastRenderedPageBreak/>
        <w:t xml:space="preserve">Así, siendo el </w:t>
      </w:r>
      <w:r>
        <w:rPr>
          <w:rFonts w:ascii="Palatino Linotype" w:eastAsia="Palatino Linotype" w:hAnsi="Palatino Linotype" w:cs="Palatino Linotype"/>
          <w:i/>
          <w:color w:val="000000"/>
          <w:sz w:val="24"/>
          <w:szCs w:val="24"/>
        </w:rPr>
        <w:t>sobreseimiento</w:t>
      </w:r>
      <w:r>
        <w:rPr>
          <w:rFonts w:ascii="Palatino Linotype" w:eastAsia="Palatino Linotype" w:hAnsi="Palatino Linotype" w:cs="Palatino Linotype"/>
          <w:color w:val="000000"/>
          <w:sz w:val="24"/>
          <w:szCs w:val="24"/>
        </w:rPr>
        <w:t xml:space="preserve"> un acto que da por terminado el procedimiento administrativo de impugnación por alguna causa sobreviniente en el juicio de que se trate, que impide a la autoridad referirse a lo sustancial de lo planteado por la parte Recurrente, este Instituto se encuentra imposibilitado para entrar al estudio de fondo del recurso de revisión, lo anterior con apoyo en la Tesis Aislada del Segundo Tribunal Colegiado del Segundo Distrito, de la Suprema Corte de Justicia de la Nación, registrada con el rubro: </w:t>
      </w:r>
      <w:r>
        <w:rPr>
          <w:rFonts w:ascii="Palatino Linotype" w:eastAsia="Palatino Linotype" w:hAnsi="Palatino Linotype" w:cs="Palatino Linotype"/>
          <w:b/>
          <w:color w:val="000000"/>
          <w:sz w:val="24"/>
          <w:szCs w:val="24"/>
        </w:rPr>
        <w:t>SOBRESEIMIENTO, NO PERMITE ENTRAR AL ESTUDIO DE LAS CUESTIONES DE FONDO.</w:t>
      </w:r>
    </w:p>
    <w:p w14:paraId="4D6264FB" w14:textId="77777777" w:rsidR="002439F8" w:rsidRDefault="005C7C9E">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Así, con fundamento en lo prescrito en los artículos 5 párrafos trigésimo, trigésimo primero y trigésimo segundo</w:t>
      </w:r>
      <w:r>
        <w:rPr>
          <w:rFonts w:ascii="Palatino Linotype" w:eastAsia="Palatino Linotype" w:hAnsi="Palatino Linotype" w:cs="Palatino Linotype"/>
          <w:color w:val="000000"/>
          <w:sz w:val="24"/>
          <w:szCs w:val="24"/>
          <w:highlight w:val="white"/>
        </w:rPr>
        <w:t xml:space="preserve"> fracciones IV y V de la </w:t>
      </w:r>
      <w:r>
        <w:rPr>
          <w:rFonts w:ascii="Palatino Linotype" w:eastAsia="Palatino Linotype" w:hAnsi="Palatino Linotype" w:cs="Palatino Linotype"/>
          <w:color w:val="000000"/>
          <w:sz w:val="24"/>
          <w:szCs w:val="24"/>
        </w:rPr>
        <w:t>Constitución Política del Estado Libre y Soberano de México; 2, fracción II; 29, 36 fracciones I y II; 176, 178, 181, 185, fracción I, 186 y 188 de la Ley de Transparencia y Acceso a la Información Pública del Estado de México y Municipios, este Pleno:</w:t>
      </w:r>
    </w:p>
    <w:p w14:paraId="52C8E060" w14:textId="77777777" w:rsidR="002439F8" w:rsidRDefault="005C7C9E">
      <w:pPr>
        <w:spacing w:line="360" w:lineRule="auto"/>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RESUELVE</w:t>
      </w:r>
    </w:p>
    <w:p w14:paraId="7F54B1FD" w14:textId="77777777" w:rsidR="002439F8" w:rsidRDefault="005C7C9E">
      <w:pPr>
        <w:spacing w:before="160"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highlight w:val="white"/>
        </w:rPr>
        <w:t>PRIMERO</w:t>
      </w:r>
      <w:r>
        <w:rPr>
          <w:rFonts w:ascii="Palatino Linotype" w:eastAsia="Palatino Linotype" w:hAnsi="Palatino Linotype" w:cs="Palatino Linotype"/>
          <w:color w:val="000000"/>
          <w:sz w:val="24"/>
          <w:szCs w:val="24"/>
          <w:highlight w:val="white"/>
        </w:rPr>
        <w:t xml:space="preserve">. Se </w:t>
      </w:r>
      <w:r>
        <w:rPr>
          <w:rFonts w:ascii="Palatino Linotype" w:eastAsia="Palatino Linotype" w:hAnsi="Palatino Linotype" w:cs="Palatino Linotype"/>
          <w:b/>
          <w:color w:val="000000"/>
          <w:sz w:val="24"/>
          <w:szCs w:val="24"/>
          <w:highlight w:val="white"/>
        </w:rPr>
        <w:t>SOBRESEE</w:t>
      </w:r>
      <w:r>
        <w:rPr>
          <w:rFonts w:ascii="Palatino Linotype" w:eastAsia="Palatino Linotype" w:hAnsi="Palatino Linotype" w:cs="Palatino Linotype"/>
          <w:color w:val="000000"/>
          <w:sz w:val="24"/>
          <w:szCs w:val="24"/>
          <w:highlight w:val="white"/>
        </w:rPr>
        <w:t xml:space="preserve"> el recurso de revisión número </w:t>
      </w:r>
      <w:r>
        <w:rPr>
          <w:rFonts w:ascii="Palatino Linotype" w:eastAsia="Palatino Linotype" w:hAnsi="Palatino Linotype" w:cs="Palatino Linotype"/>
          <w:b/>
          <w:color w:val="000000"/>
          <w:sz w:val="24"/>
          <w:szCs w:val="24"/>
          <w:highlight w:val="white"/>
        </w:rPr>
        <w:t>0114</w:t>
      </w:r>
      <w:r>
        <w:rPr>
          <w:rFonts w:ascii="Palatino Linotype" w:eastAsia="Palatino Linotype" w:hAnsi="Palatino Linotype" w:cs="Palatino Linotype"/>
          <w:b/>
          <w:sz w:val="24"/>
          <w:szCs w:val="24"/>
          <w:highlight w:val="white"/>
        </w:rPr>
        <w:t>4</w:t>
      </w:r>
      <w:r>
        <w:rPr>
          <w:rFonts w:ascii="Palatino Linotype" w:eastAsia="Palatino Linotype" w:hAnsi="Palatino Linotype" w:cs="Palatino Linotype"/>
          <w:b/>
          <w:color w:val="000000"/>
          <w:sz w:val="24"/>
          <w:szCs w:val="24"/>
          <w:highlight w:val="white"/>
        </w:rPr>
        <w:t>/INFOEM/IP/RR/2022</w:t>
      </w:r>
      <w:r>
        <w:rPr>
          <w:rFonts w:ascii="Palatino Linotype" w:eastAsia="Palatino Linotype" w:hAnsi="Palatino Linotype" w:cs="Palatino Linotype"/>
          <w:b/>
          <w:color w:val="000000"/>
          <w:sz w:val="24"/>
          <w:szCs w:val="24"/>
        </w:rPr>
        <w:t>,</w:t>
      </w:r>
      <w:r>
        <w:rPr>
          <w:rFonts w:ascii="Palatino Linotype" w:eastAsia="Palatino Linotype" w:hAnsi="Palatino Linotype" w:cs="Palatino Linotype"/>
          <w:color w:val="000000"/>
          <w:sz w:val="24"/>
          <w:szCs w:val="24"/>
        </w:rPr>
        <w:t xml:space="preserve"> porque al modificar la respuesta, el recurso de revisión quedó sin materia en términos del Considerando Tercero de la presente resolución.</w:t>
      </w:r>
    </w:p>
    <w:p w14:paraId="6F3D456C" w14:textId="77777777" w:rsidR="002439F8" w:rsidRDefault="005C7C9E">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highlight w:val="white"/>
        </w:rPr>
        <w:lastRenderedPageBreak/>
        <w:t xml:space="preserve">SEGUNDO. </w:t>
      </w:r>
      <w:r>
        <w:rPr>
          <w:rFonts w:ascii="Palatino Linotype" w:eastAsia="Palatino Linotype" w:hAnsi="Palatino Linotype" w:cs="Palatino Linotype"/>
          <w:b/>
          <w:color w:val="000000"/>
          <w:sz w:val="24"/>
          <w:szCs w:val="24"/>
        </w:rPr>
        <w:t xml:space="preserve">Notifíquese, </w:t>
      </w:r>
      <w:r>
        <w:rPr>
          <w:rFonts w:ascii="Palatino Linotype" w:eastAsia="Palatino Linotype" w:hAnsi="Palatino Linotype" w:cs="Palatino Linotype"/>
          <w:color w:val="000000"/>
          <w:sz w:val="24"/>
          <w:szCs w:val="24"/>
        </w:rPr>
        <w:t xml:space="preserve">vía </w:t>
      </w:r>
      <w:r>
        <w:rPr>
          <w:rFonts w:ascii="Palatino Linotype" w:eastAsia="Palatino Linotype" w:hAnsi="Palatino Linotype" w:cs="Palatino Linotype"/>
          <w:b/>
          <w:color w:val="000000"/>
          <w:sz w:val="24"/>
          <w:szCs w:val="24"/>
        </w:rPr>
        <w:t xml:space="preserve">SAIMEX, </w:t>
      </w:r>
      <w:r>
        <w:rPr>
          <w:rFonts w:ascii="Palatino Linotype" w:eastAsia="Palatino Linotype" w:hAnsi="Palatino Linotype" w:cs="Palatino Linotype"/>
          <w:color w:val="000000"/>
          <w:sz w:val="24"/>
          <w:szCs w:val="24"/>
        </w:rPr>
        <w:t xml:space="preserve">al Responsable de la Unidad de Transparencia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la presente resolución, para su conocimiento.</w:t>
      </w:r>
    </w:p>
    <w:p w14:paraId="1C9D2CA8" w14:textId="77777777" w:rsidR="002439F8" w:rsidRDefault="002439F8">
      <w:pPr>
        <w:spacing w:after="0" w:line="360" w:lineRule="auto"/>
        <w:jc w:val="both"/>
        <w:rPr>
          <w:rFonts w:ascii="Palatino Linotype" w:eastAsia="Palatino Linotype" w:hAnsi="Palatino Linotype" w:cs="Palatino Linotype"/>
          <w:color w:val="000000"/>
          <w:sz w:val="24"/>
          <w:szCs w:val="24"/>
        </w:rPr>
      </w:pPr>
    </w:p>
    <w:p w14:paraId="54C6FC93" w14:textId="77777777" w:rsidR="002439F8" w:rsidRDefault="005C7C9E">
      <w:pPr>
        <w:spacing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 xml:space="preserve">TERCERO. Notifíquese </w:t>
      </w:r>
      <w:r>
        <w:rPr>
          <w:rFonts w:ascii="Palatino Linotype" w:eastAsia="Palatino Linotype" w:hAnsi="Palatino Linotype" w:cs="Palatino Linotype"/>
          <w:b/>
          <w:color w:val="000000"/>
          <w:sz w:val="24"/>
          <w:szCs w:val="24"/>
          <w:highlight w:val="white"/>
        </w:rPr>
        <w:t>vía SAIMEX</w:t>
      </w:r>
      <w:r>
        <w:rPr>
          <w:rFonts w:ascii="Palatino Linotype" w:eastAsia="Palatino Linotype" w:hAnsi="Palatino Linotype" w:cs="Palatino Linotype"/>
          <w:color w:val="000000"/>
          <w:sz w:val="24"/>
          <w:szCs w:val="24"/>
        </w:rPr>
        <w:t>, a la</w:t>
      </w:r>
      <w:r>
        <w:rPr>
          <w:rFonts w:ascii="Palatino Linotype" w:eastAsia="Palatino Linotype" w:hAnsi="Palatino Linotype" w:cs="Palatino Linotype"/>
          <w:b/>
          <w:color w:val="000000"/>
          <w:sz w:val="24"/>
          <w:szCs w:val="24"/>
        </w:rPr>
        <w:t xml:space="preserve"> RECURRENTE</w:t>
      </w:r>
      <w:r>
        <w:rPr>
          <w:rFonts w:ascii="Palatino Linotype" w:eastAsia="Palatino Linotype" w:hAnsi="Palatino Linotype" w:cs="Palatino Linotype"/>
          <w:color w:val="000000"/>
          <w:sz w:val="24"/>
          <w:szCs w:val="24"/>
        </w:rPr>
        <w:t xml:space="preserve"> la presente resolución; así como, que de conformidad con lo establecido en el artículo 196 de la Ley de Transparencia y Acceso a la Información Pública del Estado de México y Municipios, podrá </w:t>
      </w:r>
      <w:r>
        <w:rPr>
          <w:rFonts w:ascii="Palatino Linotype" w:eastAsia="Palatino Linotype" w:hAnsi="Palatino Linotype" w:cs="Palatino Linotype"/>
          <w:sz w:val="24"/>
          <w:szCs w:val="24"/>
        </w:rPr>
        <w:t>impugnar vía</w:t>
      </w:r>
      <w:r>
        <w:rPr>
          <w:rFonts w:ascii="Palatino Linotype" w:eastAsia="Palatino Linotype" w:hAnsi="Palatino Linotype" w:cs="Palatino Linotype"/>
          <w:color w:val="000000"/>
          <w:sz w:val="24"/>
          <w:szCs w:val="24"/>
        </w:rPr>
        <w:t xml:space="preserve"> Juicio de Amparo en los términos de las leyes aplicables.</w:t>
      </w:r>
    </w:p>
    <w:p w14:paraId="70D4818B" w14:textId="1D4325F0" w:rsidR="002439F8" w:rsidRDefault="005C7C9E">
      <w:pPr>
        <w:spacing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w:t>
      </w:r>
      <w:r w:rsidR="0032112F">
        <w:rPr>
          <w:rFonts w:ascii="Palatino Linotype" w:eastAsia="Palatino Linotype" w:hAnsi="Palatino Linotype" w:cs="Palatino Linotype"/>
          <w:color w:val="000000"/>
          <w:sz w:val="24"/>
          <w:szCs w:val="24"/>
        </w:rPr>
        <w:t>ALUPE RAMÍREZ PEÑA; EN LA DÉCIMA</w:t>
      </w:r>
      <w:r>
        <w:rPr>
          <w:rFonts w:ascii="Palatino Linotype" w:eastAsia="Palatino Linotype" w:hAnsi="Palatino Linotype" w:cs="Palatino Linotype"/>
          <w:color w:val="000000"/>
          <w:sz w:val="24"/>
          <w:szCs w:val="24"/>
        </w:rPr>
        <w:t xml:space="preserve"> SÉPTIMA SESIÓN ORDINARIA CELEBRADA EL ONCE DE MAYO DEL DOS MIL VEINTIDÓS, ANTE EL SECRETARIO TÉCNICO DEL PLENO ALEXIS TAPIA RAMÍREZ.</w:t>
      </w:r>
    </w:p>
    <w:p w14:paraId="237AB226" w14:textId="77777777" w:rsidR="002439F8" w:rsidRDefault="002439F8">
      <w:pPr>
        <w:spacing w:line="360" w:lineRule="auto"/>
        <w:ind w:right="-93"/>
        <w:jc w:val="both"/>
        <w:rPr>
          <w:rFonts w:ascii="Palatino Linotype" w:eastAsia="Palatino Linotype" w:hAnsi="Palatino Linotype" w:cs="Palatino Linotype"/>
          <w:sz w:val="24"/>
          <w:szCs w:val="24"/>
        </w:rPr>
      </w:pPr>
    </w:p>
    <w:p w14:paraId="35113100" w14:textId="77777777" w:rsidR="002439F8" w:rsidRDefault="002439F8">
      <w:pPr>
        <w:spacing w:line="360" w:lineRule="auto"/>
        <w:ind w:right="-93"/>
        <w:jc w:val="both"/>
        <w:rPr>
          <w:rFonts w:ascii="Palatino Linotype" w:eastAsia="Palatino Linotype" w:hAnsi="Palatino Linotype" w:cs="Palatino Linotype"/>
          <w:sz w:val="24"/>
          <w:szCs w:val="24"/>
        </w:rPr>
      </w:pPr>
    </w:p>
    <w:p w14:paraId="6F9194A1" w14:textId="77777777" w:rsidR="002439F8" w:rsidRDefault="002439F8">
      <w:pPr>
        <w:spacing w:line="360" w:lineRule="auto"/>
        <w:ind w:right="-93"/>
        <w:jc w:val="both"/>
        <w:rPr>
          <w:rFonts w:ascii="Palatino Linotype" w:eastAsia="Palatino Linotype" w:hAnsi="Palatino Linotype" w:cs="Palatino Linotype"/>
          <w:sz w:val="24"/>
          <w:szCs w:val="24"/>
        </w:rPr>
      </w:pPr>
    </w:p>
    <w:p w14:paraId="3EFFD734" w14:textId="77777777" w:rsidR="002439F8" w:rsidRDefault="002439F8">
      <w:pPr>
        <w:tabs>
          <w:tab w:val="left" w:pos="3435"/>
        </w:tabs>
        <w:spacing w:line="360" w:lineRule="auto"/>
        <w:jc w:val="both"/>
        <w:rPr>
          <w:rFonts w:ascii="Palatino Linotype" w:eastAsia="Palatino Linotype" w:hAnsi="Palatino Linotype" w:cs="Palatino Linotype"/>
          <w:color w:val="000000"/>
          <w:sz w:val="24"/>
          <w:szCs w:val="24"/>
        </w:rPr>
      </w:pPr>
    </w:p>
    <w:sectPr w:rsidR="002439F8">
      <w:headerReference w:type="default" r:id="rId16"/>
      <w:footerReference w:type="default" r:id="rId17"/>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86EB77" w14:textId="77777777" w:rsidR="00424F93" w:rsidRDefault="00424F93">
      <w:pPr>
        <w:spacing w:after="0" w:line="240" w:lineRule="auto"/>
      </w:pPr>
      <w:r>
        <w:separator/>
      </w:r>
    </w:p>
  </w:endnote>
  <w:endnote w:type="continuationSeparator" w:id="0">
    <w:p w14:paraId="0F49C07F" w14:textId="77777777" w:rsidR="00424F93" w:rsidRDefault="00424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E43204" w14:textId="77777777" w:rsidR="002439F8" w:rsidRDefault="005C7C9E">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41651C">
      <w:rPr>
        <w:rFonts w:ascii="Arial" w:eastAsia="Arial" w:hAnsi="Arial" w:cs="Arial"/>
        <w:b/>
        <w:noProof/>
        <w:color w:val="000000"/>
        <w:sz w:val="20"/>
        <w:szCs w:val="20"/>
      </w:rPr>
      <w:t>25</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41651C">
      <w:rPr>
        <w:rFonts w:ascii="Arial" w:eastAsia="Arial" w:hAnsi="Arial" w:cs="Arial"/>
        <w:b/>
        <w:noProof/>
        <w:color w:val="000000"/>
        <w:sz w:val="20"/>
        <w:szCs w:val="20"/>
      </w:rPr>
      <w:t>26</w:t>
    </w:r>
    <w:r>
      <w:rPr>
        <w:rFonts w:ascii="Arial" w:eastAsia="Arial" w:hAnsi="Arial" w:cs="Arial"/>
        <w:b/>
        <w:color w:val="000000"/>
        <w:sz w:val="20"/>
        <w:szCs w:val="20"/>
      </w:rPr>
      <w:fldChar w:fldCharType="end"/>
    </w:r>
  </w:p>
  <w:p w14:paraId="7D5FC946" w14:textId="77777777" w:rsidR="002439F8" w:rsidRDefault="002439F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8109FD" w14:textId="77777777" w:rsidR="00424F93" w:rsidRDefault="00424F93">
      <w:pPr>
        <w:spacing w:after="0" w:line="240" w:lineRule="auto"/>
      </w:pPr>
      <w:r>
        <w:separator/>
      </w:r>
    </w:p>
  </w:footnote>
  <w:footnote w:type="continuationSeparator" w:id="0">
    <w:p w14:paraId="714B8FEB" w14:textId="77777777" w:rsidR="00424F93" w:rsidRDefault="00424F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15AE4F" w14:textId="39CC4AAD" w:rsidR="002439F8" w:rsidRDefault="0074470E">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24"/>
        <w:szCs w:val="24"/>
      </w:rPr>
    </w:pPr>
    <w:r>
      <w:rPr>
        <w:noProof/>
      </w:rPr>
      <w:drawing>
        <wp:anchor distT="0" distB="0" distL="0" distR="0" simplePos="0" relativeHeight="251658240" behindDoc="1" locked="0" layoutInCell="1" hidden="0" allowOverlap="1" wp14:anchorId="114A80BE" wp14:editId="3B0FF6F1">
          <wp:simplePos x="0" y="0"/>
          <wp:positionH relativeFrom="page">
            <wp:align>right</wp:align>
          </wp:positionH>
          <wp:positionV relativeFrom="paragraph">
            <wp:posOffset>-445770</wp:posOffset>
          </wp:positionV>
          <wp:extent cx="7809865" cy="10165715"/>
          <wp:effectExtent l="0" t="0" r="635" b="6985"/>
          <wp:wrapNone/>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
      <w:tblW w:w="10479" w:type="dxa"/>
      <w:tblInd w:w="-809" w:type="dxa"/>
      <w:tblLayout w:type="fixed"/>
      <w:tblLook w:val="0400" w:firstRow="0" w:lastRow="0" w:firstColumn="0" w:lastColumn="0" w:noHBand="0" w:noVBand="1"/>
    </w:tblPr>
    <w:tblGrid>
      <w:gridCol w:w="5576"/>
      <w:gridCol w:w="4903"/>
    </w:tblGrid>
    <w:tr w:rsidR="002439F8" w14:paraId="1BC332CA" w14:textId="77777777" w:rsidTr="0074470E">
      <w:trPr>
        <w:trHeight w:val="245"/>
      </w:trPr>
      <w:tc>
        <w:tcPr>
          <w:tcW w:w="5576" w:type="dxa"/>
        </w:tcPr>
        <w:p w14:paraId="7DCD0E8C" w14:textId="3D9D9494" w:rsidR="002439F8" w:rsidRDefault="005C7C9E">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903" w:type="dxa"/>
        </w:tcPr>
        <w:p w14:paraId="3EB408D2" w14:textId="77777777" w:rsidR="002439F8" w:rsidRDefault="005C7C9E">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01144/INFOEM/IP/RR/2022</w:t>
          </w:r>
        </w:p>
      </w:tc>
    </w:tr>
    <w:tr w:rsidR="002439F8" w14:paraId="18637260" w14:textId="77777777" w:rsidTr="0074470E">
      <w:trPr>
        <w:trHeight w:val="211"/>
      </w:trPr>
      <w:tc>
        <w:tcPr>
          <w:tcW w:w="5576" w:type="dxa"/>
        </w:tcPr>
        <w:p w14:paraId="2A802256" w14:textId="58248A7B" w:rsidR="002439F8" w:rsidRDefault="005C7C9E">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903" w:type="dxa"/>
        </w:tcPr>
        <w:p w14:paraId="10B20481" w14:textId="77777777" w:rsidR="002439F8" w:rsidRDefault="002439F8">
          <w:pPr>
            <w:spacing w:after="120"/>
            <w:ind w:left="-486" w:right="214" w:firstLine="567"/>
            <w:jc w:val="right"/>
            <w:rPr>
              <w:rFonts w:ascii="Palatino Linotype" w:eastAsia="Palatino Linotype" w:hAnsi="Palatino Linotype" w:cs="Palatino Linotype"/>
              <w:sz w:val="24"/>
              <w:szCs w:val="24"/>
            </w:rPr>
          </w:pPr>
        </w:p>
      </w:tc>
    </w:tr>
    <w:tr w:rsidR="002439F8" w14:paraId="6251F654" w14:textId="77777777" w:rsidTr="0074470E">
      <w:trPr>
        <w:trHeight w:val="262"/>
      </w:trPr>
      <w:tc>
        <w:tcPr>
          <w:tcW w:w="5576" w:type="dxa"/>
        </w:tcPr>
        <w:p w14:paraId="3A27987A" w14:textId="5CC21DB7" w:rsidR="002439F8" w:rsidRDefault="005C7C9E">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903" w:type="dxa"/>
        </w:tcPr>
        <w:p w14:paraId="1C1164BA" w14:textId="4F1EC5C6" w:rsidR="002439F8" w:rsidRDefault="005C7C9E">
          <w:pPr>
            <w:pBdr>
              <w:top w:val="nil"/>
              <w:left w:val="nil"/>
              <w:bottom w:val="nil"/>
              <w:right w:val="nil"/>
              <w:between w:val="nil"/>
            </w:pBdr>
            <w:spacing w:after="0"/>
            <w:ind w:left="432" w:right="214"/>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Organismo Público Descentralizado </w:t>
          </w:r>
          <w:r w:rsidR="00A166A7">
            <w:rPr>
              <w:rFonts w:ascii="Palatino Linotype" w:eastAsia="Palatino Linotype" w:hAnsi="Palatino Linotype" w:cs="Palatino Linotype"/>
              <w:color w:val="000000"/>
              <w:sz w:val="24"/>
              <w:szCs w:val="24"/>
            </w:rPr>
            <w:t>para la Prestación de l</w:t>
          </w:r>
          <w:r>
            <w:rPr>
              <w:rFonts w:ascii="Palatino Linotype" w:eastAsia="Palatino Linotype" w:hAnsi="Palatino Linotype" w:cs="Palatino Linotype"/>
              <w:color w:val="000000"/>
              <w:sz w:val="24"/>
              <w:szCs w:val="24"/>
            </w:rPr>
            <w:t>os Servicios de Agua Potable Alcantarillado y Saneamiento de Atizapán de Zaragoza por sus siglas S.A.P.A.S.A.</w:t>
          </w:r>
        </w:p>
      </w:tc>
    </w:tr>
    <w:tr w:rsidR="002439F8" w14:paraId="5DFC0846" w14:textId="77777777" w:rsidTr="0074470E">
      <w:trPr>
        <w:trHeight w:val="371"/>
      </w:trPr>
      <w:tc>
        <w:tcPr>
          <w:tcW w:w="5576" w:type="dxa"/>
        </w:tcPr>
        <w:p w14:paraId="7D63EEA5" w14:textId="77777777" w:rsidR="002439F8" w:rsidRDefault="005C7C9E">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903" w:type="dxa"/>
        </w:tcPr>
        <w:p w14:paraId="7DC732FD" w14:textId="77777777" w:rsidR="002439F8" w:rsidRDefault="005C7C9E">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28D642B8" w14:textId="264ED84A" w:rsidR="002439F8" w:rsidRDefault="002439F8">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A6029C"/>
    <w:multiLevelType w:val="multilevel"/>
    <w:tmpl w:val="B62A224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9F8"/>
    <w:rsid w:val="00084E3C"/>
    <w:rsid w:val="002439F8"/>
    <w:rsid w:val="0032112F"/>
    <w:rsid w:val="0041651C"/>
    <w:rsid w:val="00424F93"/>
    <w:rsid w:val="004A6C97"/>
    <w:rsid w:val="005C7C9E"/>
    <w:rsid w:val="0074470E"/>
    <w:rsid w:val="00831D51"/>
    <w:rsid w:val="00A166A7"/>
    <w:rsid w:val="00BE32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72FDE2"/>
  <w15:docId w15:val="{331691AD-4203-4FF8-9685-613D58611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7047"/>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C1039"/>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C1039"/>
  </w:style>
  <w:style w:type="paragraph" w:styleId="Encabezado">
    <w:name w:val="header"/>
    <w:basedOn w:val="Normal"/>
    <w:link w:val="EncabezadoCar"/>
    <w:uiPriority w:val="99"/>
    <w:unhideWhenUsed/>
    <w:rsid w:val="00AF704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F7047"/>
  </w:style>
  <w:style w:type="paragraph" w:styleId="Piedepgina">
    <w:name w:val="footer"/>
    <w:basedOn w:val="Normal"/>
    <w:link w:val="PiedepginaCar"/>
    <w:uiPriority w:val="99"/>
    <w:unhideWhenUsed/>
    <w:rsid w:val="00AF704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F7047"/>
  </w:style>
  <w:style w:type="character" w:styleId="Hipervnculo">
    <w:name w:val="Hyperlink"/>
    <w:basedOn w:val="Fuentedeprrafopredeter"/>
    <w:uiPriority w:val="99"/>
    <w:semiHidden/>
    <w:unhideWhenUsed/>
    <w:rsid w:val="00AF7047"/>
    <w:rPr>
      <w:color w:val="0000FF"/>
      <w:u w:val="single"/>
    </w:rPr>
  </w:style>
  <w:style w:type="paragraph" w:styleId="NormalWeb">
    <w:name w:val="Normal (Web)"/>
    <w:basedOn w:val="Normal"/>
    <w:uiPriority w:val="99"/>
    <w:unhideWhenUsed/>
    <w:rsid w:val="00C2303A"/>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341756.page" TargetMode="External"/><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fnQkdjss9gZSnp8K5Po4oIdbT+A==">AMUW2mXhwfujtC410A8hZAFvvH8rszUa1Rp2WpeBDtnAkskeKkwezWmo/rAnGwvYIVUotOkmOttWrzeSnKn9V11tTWin8WUfjqqUj0ABQEOhJT9Qov58AEu8lyM4mfW2rhAgvsGCUPW7</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3556</Words>
  <Characters>19561</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23071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Infoem-User</cp:lastModifiedBy>
  <cp:revision>6</cp:revision>
  <cp:lastPrinted>2022-05-16T15:54:00Z</cp:lastPrinted>
  <dcterms:created xsi:type="dcterms:W3CDTF">2022-05-16T15:43:00Z</dcterms:created>
  <dcterms:modified xsi:type="dcterms:W3CDTF">2022-05-16T15:54:00Z</dcterms:modified>
</cp:coreProperties>
</file>