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93" w:rsidRPr="005301C8" w:rsidRDefault="00F12093" w:rsidP="00F12093">
      <w:pPr>
        <w:spacing w:line="360" w:lineRule="auto"/>
        <w:jc w:val="both"/>
        <w:rPr>
          <w:rFonts w:ascii="Palatino Linotype" w:eastAsia="Times New Roman" w:hAnsi="Palatino Linotype" w:cs="Arial"/>
          <w:lang w:val="es-MX"/>
        </w:rPr>
      </w:pPr>
      <w:r w:rsidRPr="005301C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06427" w:rsidRPr="005301C8">
        <w:rPr>
          <w:rFonts w:ascii="Palatino Linotype" w:hAnsi="Palatino Linotype"/>
        </w:rPr>
        <w:t>treinta (30) de noviembre</w:t>
      </w:r>
      <w:r w:rsidRPr="005301C8">
        <w:rPr>
          <w:rFonts w:ascii="Palatino Linotype" w:eastAsia="Times New Roman" w:hAnsi="Palatino Linotype" w:cs="Arial"/>
          <w:lang w:val="es-MX"/>
        </w:rPr>
        <w:t xml:space="preserve"> de dos mil veintidós.</w:t>
      </w:r>
    </w:p>
    <w:p w:rsidR="00F12093" w:rsidRPr="005301C8" w:rsidRDefault="00F12093" w:rsidP="00F12093">
      <w:pPr>
        <w:spacing w:line="360" w:lineRule="auto"/>
        <w:jc w:val="both"/>
        <w:rPr>
          <w:rFonts w:ascii="Palatino Linotype" w:hAnsi="Palatino Linotype"/>
        </w:rPr>
      </w:pPr>
    </w:p>
    <w:p w:rsidR="00F12093" w:rsidRPr="005301C8" w:rsidRDefault="00F12093" w:rsidP="00F12093">
      <w:pPr>
        <w:pStyle w:val="Encabezado"/>
        <w:spacing w:line="360" w:lineRule="auto"/>
        <w:jc w:val="both"/>
        <w:rPr>
          <w:rFonts w:ascii="Palatino Linotype" w:hAnsi="Palatino Linotype"/>
        </w:rPr>
      </w:pPr>
      <w:r w:rsidRPr="005301C8">
        <w:rPr>
          <w:rFonts w:ascii="Palatino Linotype" w:hAnsi="Palatino Linotype"/>
          <w:b/>
        </w:rPr>
        <w:t>VISTO el</w:t>
      </w:r>
      <w:r w:rsidRPr="005301C8">
        <w:rPr>
          <w:rFonts w:ascii="Palatino Linotype" w:hAnsi="Palatino Linotype"/>
        </w:rPr>
        <w:t xml:space="preserve"> expediente electrónico formado con motivo del recurso de revisión</w:t>
      </w:r>
      <w:r w:rsidRPr="005301C8">
        <w:rPr>
          <w:rFonts w:ascii="Palatino Linotype" w:hAnsi="Palatino Linotype"/>
          <w:sz w:val="28"/>
        </w:rPr>
        <w:t xml:space="preserve"> </w:t>
      </w:r>
      <w:r w:rsidR="00306427" w:rsidRPr="005301C8">
        <w:rPr>
          <w:rFonts w:ascii="Palatino Linotype" w:hAnsi="Palatino Linotype" w:cs="Arial"/>
          <w:b/>
          <w:bCs/>
          <w:lang w:eastAsia="es-MX"/>
        </w:rPr>
        <w:t>05563</w:t>
      </w:r>
      <w:r w:rsidR="005B7B01" w:rsidRPr="005301C8">
        <w:rPr>
          <w:rFonts w:ascii="Palatino Linotype" w:hAnsi="Palatino Linotype" w:cs="Arial"/>
          <w:b/>
          <w:bCs/>
          <w:lang w:eastAsia="es-MX"/>
        </w:rPr>
        <w:t>/INFOEM/IP/RR/2022</w:t>
      </w:r>
      <w:r w:rsidRPr="005301C8">
        <w:rPr>
          <w:rFonts w:ascii="Palatino Linotype" w:hAnsi="Palatino Linotype" w:cs="Arial"/>
          <w:b/>
          <w:bCs/>
          <w:lang w:eastAsia="es-MX"/>
        </w:rPr>
        <w:t xml:space="preserve">, </w:t>
      </w:r>
      <w:r w:rsidRPr="005301C8">
        <w:rPr>
          <w:rFonts w:ascii="Palatino Linotype" w:hAnsi="Palatino Linotype"/>
        </w:rPr>
        <w:t>promovido por</w:t>
      </w:r>
      <w:r w:rsidRPr="005301C8">
        <w:rPr>
          <w:rFonts w:ascii="Palatino Linotype" w:hAnsi="Palatino Linotype"/>
          <w:b/>
        </w:rPr>
        <w:t xml:space="preserve"> </w:t>
      </w:r>
      <w:r w:rsidR="00306427" w:rsidRPr="005301C8">
        <w:rPr>
          <w:rFonts w:ascii="Palatino Linotype" w:eastAsia="Calibri" w:hAnsi="Palatino Linotype" w:cs="Tahoma"/>
          <w:b/>
          <w:sz w:val="22"/>
          <w:szCs w:val="22"/>
          <w:lang w:val="es-MX" w:eastAsia="en-US"/>
        </w:rPr>
        <w:t>un usuario del Sistema de Acceso a la Información Mexiquense (SAIMEX)</w:t>
      </w:r>
      <w:r w:rsidR="008B4DB2" w:rsidRPr="005301C8">
        <w:rPr>
          <w:rFonts w:ascii="Palatino Linotype" w:hAnsi="Palatino Linotype"/>
          <w:sz w:val="22"/>
          <w:szCs w:val="22"/>
        </w:rPr>
        <w:t>,</w:t>
      </w:r>
      <w:r w:rsidRPr="005301C8">
        <w:rPr>
          <w:rFonts w:ascii="Palatino Linotype" w:hAnsi="Palatino Linotype"/>
          <w:sz w:val="22"/>
          <w:szCs w:val="22"/>
        </w:rPr>
        <w:t xml:space="preserve"> quien</w:t>
      </w:r>
      <w:r w:rsidRPr="005301C8">
        <w:rPr>
          <w:rFonts w:ascii="Palatino Linotype" w:hAnsi="Palatino Linotype"/>
        </w:rPr>
        <w:t xml:space="preserve"> en lo sucesivo será identificado como </w:t>
      </w:r>
      <w:r w:rsidRPr="005301C8">
        <w:rPr>
          <w:rFonts w:ascii="Palatino Linotype" w:hAnsi="Palatino Linotype"/>
          <w:b/>
        </w:rPr>
        <w:t>RECURRENTE</w:t>
      </w:r>
      <w:r w:rsidRPr="005301C8">
        <w:rPr>
          <w:rFonts w:ascii="Palatino Linotype" w:hAnsi="Palatino Linotype" w:cs="Arial"/>
        </w:rPr>
        <w:t xml:space="preserve">, en contra de la respuesta del </w:t>
      </w:r>
      <w:r w:rsidR="00306427" w:rsidRPr="005301C8">
        <w:rPr>
          <w:rFonts w:ascii="Palatino Linotype" w:hAnsi="Palatino Linotype"/>
          <w:b/>
          <w:bCs/>
          <w:szCs w:val="22"/>
        </w:rPr>
        <w:t>Ayuntamiento de Atenco</w:t>
      </w:r>
      <w:r w:rsidRPr="005301C8">
        <w:rPr>
          <w:rFonts w:ascii="Palatino Linotype" w:hAnsi="Palatino Linotype" w:cs="Arial"/>
        </w:rPr>
        <w:t>,</w:t>
      </w:r>
      <w:r w:rsidRPr="005301C8">
        <w:rPr>
          <w:rFonts w:ascii="Palatino Linotype" w:hAnsi="Palatino Linotype"/>
          <w:b/>
        </w:rPr>
        <w:t xml:space="preserve"> </w:t>
      </w:r>
      <w:r w:rsidRPr="005301C8">
        <w:rPr>
          <w:rFonts w:ascii="Palatino Linotype" w:hAnsi="Palatino Linotype"/>
        </w:rPr>
        <w:t>en lo sucesivo el</w:t>
      </w:r>
      <w:r w:rsidRPr="005301C8">
        <w:rPr>
          <w:rFonts w:ascii="Palatino Linotype" w:hAnsi="Palatino Linotype"/>
          <w:b/>
        </w:rPr>
        <w:t xml:space="preserve"> SUJETO OBLIGADO, </w:t>
      </w:r>
      <w:r w:rsidRPr="005301C8">
        <w:rPr>
          <w:rFonts w:ascii="Palatino Linotype" w:hAnsi="Palatino Linotype"/>
        </w:rPr>
        <w:t>se procede a dictar la presente resolución, con base en los siguientes:</w:t>
      </w:r>
    </w:p>
    <w:p w:rsidR="00F12093" w:rsidRPr="005301C8" w:rsidRDefault="00F12093" w:rsidP="00F12093">
      <w:pPr>
        <w:pStyle w:val="Encabezado"/>
        <w:spacing w:line="360" w:lineRule="auto"/>
        <w:jc w:val="both"/>
        <w:rPr>
          <w:rFonts w:ascii="Palatino Linotype" w:hAnsi="Palatino Linotype"/>
        </w:rPr>
      </w:pPr>
    </w:p>
    <w:p w:rsidR="00F12093" w:rsidRPr="005301C8" w:rsidRDefault="00F12093" w:rsidP="00F12093">
      <w:pPr>
        <w:pStyle w:val="Ttulo1"/>
        <w:spacing w:before="0" w:line="360" w:lineRule="auto"/>
        <w:jc w:val="center"/>
      </w:pPr>
      <w:bookmarkStart w:id="0" w:name="_Toc59195555"/>
      <w:bookmarkStart w:id="1" w:name="_Toc89360009"/>
      <w:r w:rsidRPr="005301C8">
        <w:t>ANTECEDENTES</w:t>
      </w:r>
      <w:bookmarkEnd w:id="0"/>
      <w:bookmarkEnd w:id="1"/>
    </w:p>
    <w:p w:rsidR="00F12093" w:rsidRPr="005301C8" w:rsidRDefault="00F12093" w:rsidP="00F12093">
      <w:pPr>
        <w:rPr>
          <w:lang w:val="es-MX" w:eastAsia="en-US"/>
        </w:rPr>
      </w:pPr>
    </w:p>
    <w:p w:rsidR="00F12093" w:rsidRPr="005301C8" w:rsidRDefault="00306427"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5301C8">
        <w:rPr>
          <w:rFonts w:ascii="Palatino Linotype" w:eastAsia="Calibri" w:hAnsi="Palatino Linotype" w:cs="Arial"/>
          <w:lang w:val="es-ES"/>
        </w:rPr>
        <w:t>El día veintidós (22</w:t>
      </w:r>
      <w:r w:rsidR="008B4DB2" w:rsidRPr="005301C8">
        <w:rPr>
          <w:rFonts w:ascii="Palatino Linotype" w:eastAsia="Calibri" w:hAnsi="Palatino Linotype" w:cs="Arial"/>
          <w:lang w:val="es-ES"/>
        </w:rPr>
        <w:t xml:space="preserve">) de marzo </w:t>
      </w:r>
      <w:r w:rsidR="005B7B01" w:rsidRPr="005301C8">
        <w:rPr>
          <w:rFonts w:ascii="Palatino Linotype" w:eastAsia="Calibri" w:hAnsi="Palatino Linotype" w:cs="Arial"/>
          <w:lang w:val="es-ES"/>
        </w:rPr>
        <w:t xml:space="preserve"> de dos mil veintidós</w:t>
      </w:r>
      <w:r w:rsidR="00F12093" w:rsidRPr="005301C8">
        <w:rPr>
          <w:rFonts w:ascii="Palatino Linotype" w:eastAsia="Calibri" w:hAnsi="Palatino Linotype" w:cs="Arial"/>
          <w:lang w:val="es-ES"/>
        </w:rPr>
        <w:t>,</w:t>
      </w:r>
      <w:r w:rsidR="00F12093" w:rsidRPr="005301C8">
        <w:rPr>
          <w:rFonts w:ascii="Palatino Linotype" w:eastAsia="Calibri" w:hAnsi="Palatino Linotype" w:cs="Times New Roman"/>
          <w:lang w:val="es-ES"/>
        </w:rPr>
        <w:t xml:space="preserve"> </w:t>
      </w:r>
      <w:r w:rsidR="00F12093" w:rsidRPr="005301C8">
        <w:rPr>
          <w:rFonts w:ascii="Palatino Linotype" w:eastAsia="Calibri" w:hAnsi="Palatino Linotype" w:cs="Times New Roman"/>
          <w:b/>
          <w:lang w:val="es-ES"/>
        </w:rPr>
        <w:t>EL RECURRENTE</w:t>
      </w:r>
      <w:r w:rsidR="00F12093" w:rsidRPr="005301C8">
        <w:rPr>
          <w:rFonts w:ascii="Palatino Linotype" w:hAnsi="Palatino Linotype"/>
          <w:b/>
        </w:rPr>
        <w:t>,</w:t>
      </w:r>
      <w:r w:rsidR="00F12093" w:rsidRPr="005301C8">
        <w:rPr>
          <w:rFonts w:ascii="Palatino Linotype" w:eastAsia="Calibri" w:hAnsi="Palatino Linotype" w:cs="Arial"/>
          <w:lang w:val="es-ES"/>
        </w:rPr>
        <w:t xml:space="preserve"> ante el </w:t>
      </w:r>
      <w:r w:rsidR="00F12093" w:rsidRPr="005301C8">
        <w:rPr>
          <w:rFonts w:ascii="Palatino Linotype" w:eastAsia="Calibri" w:hAnsi="Palatino Linotype" w:cs="Arial"/>
          <w:b/>
          <w:lang w:val="es-ES"/>
        </w:rPr>
        <w:t>SUJETO OBLIGADO</w:t>
      </w:r>
      <w:r w:rsidR="00F12093" w:rsidRPr="005301C8">
        <w:rPr>
          <w:rFonts w:ascii="Palatino Linotype" w:eastAsia="Calibri" w:hAnsi="Palatino Linotype" w:cs="Arial"/>
        </w:rPr>
        <w:t xml:space="preserve"> a través de la Plataforma </w:t>
      </w:r>
      <w:r w:rsidR="00F12093" w:rsidRPr="005301C8">
        <w:rPr>
          <w:rFonts w:ascii="Palatino Linotype" w:eastAsia="Calibri" w:hAnsi="Palatino Linotype" w:cs="Arial"/>
          <w:lang w:val="es-ES"/>
        </w:rPr>
        <w:t>Sistema de Acceso a la Información Mexiquense (</w:t>
      </w:r>
      <w:r w:rsidR="00F12093" w:rsidRPr="005301C8">
        <w:rPr>
          <w:rFonts w:ascii="Palatino Linotype" w:eastAsia="Calibri" w:hAnsi="Palatino Linotype" w:cs="Arial"/>
          <w:b/>
          <w:lang w:val="es-ES"/>
        </w:rPr>
        <w:t>SAIMEX)</w:t>
      </w:r>
      <w:r w:rsidR="00F12093" w:rsidRPr="005301C8">
        <w:rPr>
          <w:rFonts w:ascii="Palatino Linotype" w:eastAsia="Calibri" w:hAnsi="Palatino Linotype" w:cs="Arial"/>
          <w:lang w:val="es-ES"/>
        </w:rPr>
        <w:t xml:space="preserve">, presentó la solicitud de información pública registrada con el número </w:t>
      </w:r>
      <w:r w:rsidR="00F12093" w:rsidRPr="005301C8">
        <w:rPr>
          <w:rFonts w:ascii="Palatino Linotype" w:eastAsia="Times New Roman" w:hAnsi="Palatino Linotype" w:cs="Arial"/>
          <w:b/>
          <w:bCs/>
        </w:rPr>
        <w:t> </w:t>
      </w:r>
      <w:r w:rsidRPr="005301C8">
        <w:rPr>
          <w:rFonts w:ascii="Palatino Linotype" w:eastAsia="Times New Roman" w:hAnsi="Palatino Linotype" w:cs="Arial"/>
          <w:b/>
          <w:bCs/>
        </w:rPr>
        <w:t>00160/ATENCO/IP/2022</w:t>
      </w:r>
      <w:r w:rsidR="00F12093" w:rsidRPr="005301C8">
        <w:rPr>
          <w:rFonts w:ascii="Palatino Linotype" w:eastAsia="Times New Roman" w:hAnsi="Palatino Linotype" w:cs="Arial"/>
          <w:b/>
          <w:lang w:val="es-ES"/>
        </w:rPr>
        <w:t xml:space="preserve">, </w:t>
      </w:r>
      <w:r w:rsidR="00F12093" w:rsidRPr="005301C8">
        <w:rPr>
          <w:rFonts w:ascii="Palatino Linotype" w:eastAsia="Calibri" w:hAnsi="Palatino Linotype" w:cs="Arial"/>
          <w:lang w:val="es-ES"/>
        </w:rPr>
        <w:t>mediante la cual solicitó lo siguiente:</w:t>
      </w:r>
    </w:p>
    <w:p w:rsidR="00F12093" w:rsidRPr="005301C8" w:rsidRDefault="00F12093" w:rsidP="00F12093">
      <w:pPr>
        <w:pStyle w:val="Prrafodelista"/>
        <w:spacing w:line="360" w:lineRule="auto"/>
        <w:ind w:left="0"/>
        <w:jc w:val="both"/>
        <w:rPr>
          <w:rFonts w:ascii="Palatino Linotype" w:eastAsia="Times New Roman" w:hAnsi="Palatino Linotype" w:cs="Arial"/>
          <w:lang w:val="es-ES"/>
        </w:rPr>
      </w:pPr>
    </w:p>
    <w:p w:rsidR="00F12093" w:rsidRPr="005301C8" w:rsidRDefault="00F12093" w:rsidP="00F12093">
      <w:pPr>
        <w:spacing w:line="360" w:lineRule="auto"/>
        <w:ind w:left="851" w:right="567"/>
        <w:jc w:val="both"/>
        <w:rPr>
          <w:rFonts w:ascii="Palatino Linotype" w:eastAsia="Calibri" w:hAnsi="Palatino Linotype" w:cs="Arial"/>
          <w:i/>
          <w:sz w:val="22"/>
          <w:lang w:val="es-ES"/>
        </w:rPr>
      </w:pPr>
      <w:r w:rsidRPr="005301C8">
        <w:rPr>
          <w:rFonts w:ascii="Palatino Linotype" w:eastAsia="Calibri" w:hAnsi="Palatino Linotype" w:cs="Arial"/>
          <w:i/>
          <w:sz w:val="22"/>
          <w:szCs w:val="22"/>
          <w:lang w:val="es-ES"/>
        </w:rPr>
        <w:t xml:space="preserve"> “</w:t>
      </w:r>
      <w:r w:rsidR="00306427" w:rsidRPr="005301C8">
        <w:rPr>
          <w:rFonts w:ascii="Palatino Linotype" w:eastAsia="Times New Roman" w:hAnsi="Palatino Linotype" w:cs="Times New Roman"/>
          <w:i/>
          <w:sz w:val="22"/>
          <w:szCs w:val="22"/>
          <w:lang w:eastAsia="es-MX"/>
        </w:rPr>
        <w:t>saber si es legal si un servidor publico puede ocupar dos cargos en diferentes municipios, es decir, nadya karen morales victor, esta percibiendo sueldo en el municipio de Atenco y a su vez en el municipio de Chiconcuac, de igual manera, si no esta permitido, que acciones esta realizando la contraloria interna al respecto, así como la Presidenta Municipal.</w:t>
      </w:r>
      <w:r w:rsidRPr="005301C8">
        <w:rPr>
          <w:rFonts w:ascii="Palatino Linotype" w:eastAsia="Times New Roman" w:hAnsi="Palatino Linotype" w:cs="Times New Roman"/>
          <w:i/>
          <w:sz w:val="22"/>
          <w:szCs w:val="22"/>
          <w:lang w:eastAsia="es-MX"/>
        </w:rPr>
        <w:t>"</w:t>
      </w:r>
      <w:r w:rsidR="00B707E1" w:rsidRPr="005301C8">
        <w:rPr>
          <w:rFonts w:ascii="Palatino Linotype" w:eastAsia="Times New Roman" w:hAnsi="Palatino Linotype" w:cs="Times New Roman"/>
          <w:i/>
          <w:sz w:val="22"/>
          <w:szCs w:val="22"/>
          <w:lang w:eastAsia="es-MX"/>
        </w:rPr>
        <w:t xml:space="preserve"> </w:t>
      </w:r>
      <w:r w:rsidRPr="005301C8">
        <w:rPr>
          <w:rFonts w:ascii="Palatino Linotype" w:eastAsia="Calibri" w:hAnsi="Palatino Linotype" w:cs="Arial"/>
          <w:i/>
          <w:sz w:val="22"/>
          <w:lang w:val="es-ES"/>
        </w:rPr>
        <w:t xml:space="preserve"> (Sic)</w:t>
      </w:r>
    </w:p>
    <w:p w:rsidR="00F12093" w:rsidRPr="005301C8" w:rsidRDefault="00F12093" w:rsidP="00F12093">
      <w:pPr>
        <w:spacing w:line="360" w:lineRule="auto"/>
        <w:ind w:right="567"/>
        <w:jc w:val="both"/>
        <w:rPr>
          <w:rFonts w:ascii="Palatino Linotype" w:eastAsia="Times New Roman" w:hAnsi="Palatino Linotype" w:cs="Times New Roman"/>
          <w:lang w:val="es-MX" w:eastAsia="es-MX"/>
        </w:rPr>
      </w:pPr>
    </w:p>
    <w:p w:rsidR="00F12093" w:rsidRPr="005301C8"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5301C8">
        <w:rPr>
          <w:rFonts w:ascii="Palatino Linotype" w:eastAsia="Calibri" w:hAnsi="Palatino Linotype" w:cs="Times New Roman"/>
          <w:lang w:val="es-ES"/>
        </w:rPr>
        <w:lastRenderedPageBreak/>
        <w:t>Se señaló como modalidad de entrega a través del Sistema de Acceso a la Información Mexiquense (SAIMEX).</w:t>
      </w:r>
    </w:p>
    <w:p w:rsidR="00C803BA" w:rsidRPr="005301C8" w:rsidRDefault="00C803BA" w:rsidP="00C803BA">
      <w:pPr>
        <w:pStyle w:val="Prrafodelista"/>
        <w:spacing w:line="360" w:lineRule="auto"/>
        <w:ind w:left="0"/>
        <w:jc w:val="both"/>
        <w:rPr>
          <w:rFonts w:ascii="Palatino Linotype" w:eastAsia="Calibri" w:hAnsi="Palatino Linotype" w:cs="Times New Roman"/>
          <w:lang w:val="es-ES"/>
        </w:rPr>
      </w:pPr>
    </w:p>
    <w:p w:rsidR="00C803BA" w:rsidRPr="005301C8" w:rsidRDefault="00C803BA"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5301C8">
        <w:rPr>
          <w:rFonts w:ascii="Palatino Linotype" w:eastAsia="Calibri" w:hAnsi="Palatino Linotype" w:cs="Times New Roman"/>
          <w:lang w:val="es-ES"/>
        </w:rPr>
        <w:t xml:space="preserve">El </w:t>
      </w:r>
      <w:r w:rsidR="00306427" w:rsidRPr="005301C8">
        <w:rPr>
          <w:rFonts w:ascii="Palatino Linotype" w:eastAsia="Calibri" w:hAnsi="Palatino Linotype" w:cs="Times New Roman"/>
          <w:lang w:val="es-ES"/>
        </w:rPr>
        <w:t>veintidós (22</w:t>
      </w:r>
      <w:r w:rsidR="008B4DB2" w:rsidRPr="005301C8">
        <w:rPr>
          <w:rFonts w:ascii="Palatino Linotype" w:eastAsia="Calibri" w:hAnsi="Palatino Linotype" w:cs="Times New Roman"/>
          <w:lang w:val="es-ES"/>
        </w:rPr>
        <w:t xml:space="preserve">) de marzo </w:t>
      </w:r>
      <w:r w:rsidR="005B7B01" w:rsidRPr="005301C8">
        <w:rPr>
          <w:rFonts w:ascii="Palatino Linotype" w:eastAsia="Calibri" w:hAnsi="Palatino Linotype" w:cs="Times New Roman"/>
          <w:lang w:val="es-ES"/>
        </w:rPr>
        <w:t>de dos mil veintidós</w:t>
      </w:r>
      <w:r w:rsidRPr="005301C8">
        <w:rPr>
          <w:rFonts w:ascii="Palatino Linotype" w:eastAsia="Calibri" w:hAnsi="Palatino Linotype" w:cs="Times New Roman"/>
          <w:lang w:val="es-ES"/>
        </w:rPr>
        <w:t>, se realizó un requerimiento al servidor público habilitado.</w:t>
      </w:r>
    </w:p>
    <w:p w:rsidR="00F12093" w:rsidRPr="005301C8" w:rsidRDefault="00F12093" w:rsidP="00F12093">
      <w:pPr>
        <w:pStyle w:val="Prrafodelista"/>
        <w:spacing w:line="360" w:lineRule="auto"/>
        <w:ind w:left="0"/>
        <w:jc w:val="both"/>
        <w:rPr>
          <w:rFonts w:ascii="Palatino Linotype" w:eastAsia="Calibri" w:hAnsi="Palatino Linotype" w:cs="Times New Roman"/>
          <w:b/>
          <w:i/>
          <w:lang w:val="es-ES"/>
        </w:rPr>
      </w:pPr>
    </w:p>
    <w:p w:rsidR="00F12093" w:rsidRPr="005301C8"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5301C8">
        <w:rPr>
          <w:rFonts w:ascii="Palatino Linotype" w:eastAsia="Calibri" w:hAnsi="Palatino Linotype" w:cs="Times New Roman"/>
          <w:lang w:val="es-ES"/>
        </w:rPr>
        <w:t xml:space="preserve">El </w:t>
      </w:r>
      <w:r w:rsidR="00306427" w:rsidRPr="005301C8">
        <w:rPr>
          <w:rFonts w:ascii="Palatino Linotype" w:eastAsia="Calibri" w:hAnsi="Palatino Linotype" w:cs="Times New Roman"/>
          <w:lang w:val="es-ES"/>
        </w:rPr>
        <w:t>cinco (05) de abril</w:t>
      </w:r>
      <w:r w:rsidR="008B4DB2" w:rsidRPr="005301C8">
        <w:rPr>
          <w:rFonts w:ascii="Palatino Linotype" w:eastAsia="Calibri" w:hAnsi="Palatino Linotype" w:cs="Times New Roman"/>
          <w:lang w:val="es-ES"/>
        </w:rPr>
        <w:t xml:space="preserve"> </w:t>
      </w:r>
      <w:r w:rsidR="005B7B01" w:rsidRPr="005301C8">
        <w:rPr>
          <w:rFonts w:ascii="Palatino Linotype" w:eastAsia="Calibri" w:hAnsi="Palatino Linotype" w:cs="Times New Roman"/>
          <w:lang w:val="es-ES"/>
        </w:rPr>
        <w:t xml:space="preserve"> de dos mil veintidós</w:t>
      </w:r>
      <w:r w:rsidRPr="005301C8">
        <w:rPr>
          <w:rFonts w:ascii="Palatino Linotype" w:eastAsia="Calibri" w:hAnsi="Palatino Linotype" w:cs="Times New Roman"/>
          <w:lang w:val="es-ES"/>
        </w:rPr>
        <w:t xml:space="preserve">, el </w:t>
      </w:r>
      <w:r w:rsidRPr="005301C8">
        <w:rPr>
          <w:rFonts w:ascii="Palatino Linotype" w:eastAsia="Calibri" w:hAnsi="Palatino Linotype" w:cs="Arial"/>
          <w:b/>
          <w:lang w:val="es-AR"/>
        </w:rPr>
        <w:t>SUJETO OBLIGADO</w:t>
      </w:r>
      <w:r w:rsidRPr="005301C8">
        <w:rPr>
          <w:rFonts w:ascii="Palatino Linotype" w:eastAsia="Calibri" w:hAnsi="Palatino Linotype" w:cs="Arial"/>
          <w:b/>
          <w:i/>
          <w:lang w:val="es-AR"/>
        </w:rPr>
        <w:t xml:space="preserve"> </w:t>
      </w:r>
      <w:r w:rsidRPr="005301C8">
        <w:rPr>
          <w:rFonts w:ascii="Palatino Linotype" w:eastAsia="Times New Roman" w:hAnsi="Palatino Linotype" w:cs="Arial"/>
          <w:lang w:val="es-ES"/>
        </w:rPr>
        <w:t>dio respuesta a la solicitud de información, en los siguientes términos</w:t>
      </w:r>
      <w:r w:rsidRPr="005301C8">
        <w:rPr>
          <w:rFonts w:ascii="Palatino Linotype" w:eastAsia="Calibri" w:hAnsi="Palatino Linotype" w:cs="Times New Roman"/>
          <w:bCs/>
          <w:iCs/>
          <w:lang w:val="es-ES"/>
        </w:rPr>
        <w:t>:</w:t>
      </w:r>
    </w:p>
    <w:p w:rsidR="00F544A6" w:rsidRPr="005301C8" w:rsidRDefault="00F544A6" w:rsidP="00F544A6">
      <w:pPr>
        <w:pStyle w:val="Prrafodelista"/>
        <w:spacing w:line="360" w:lineRule="auto"/>
        <w:ind w:left="0"/>
        <w:jc w:val="both"/>
        <w:rPr>
          <w:rFonts w:ascii="Palatino Linotype" w:eastAsia="Calibri" w:hAnsi="Palatino Linotype" w:cs="Times New Roman"/>
          <w:b/>
          <w:i/>
          <w:lang w:val="es-ES"/>
        </w:rPr>
      </w:pPr>
    </w:p>
    <w:tbl>
      <w:tblPr>
        <w:tblW w:w="7435" w:type="dxa"/>
        <w:jc w:val="center"/>
        <w:tblCellSpacing w:w="0" w:type="dxa"/>
        <w:tblCellMar>
          <w:left w:w="0" w:type="dxa"/>
          <w:right w:w="0" w:type="dxa"/>
        </w:tblCellMar>
        <w:tblLook w:val="04A0" w:firstRow="1" w:lastRow="0" w:firstColumn="1" w:lastColumn="0" w:noHBand="0" w:noVBand="1"/>
      </w:tblPr>
      <w:tblGrid>
        <w:gridCol w:w="7435"/>
      </w:tblGrid>
      <w:tr w:rsidR="00306427" w:rsidRPr="005301C8" w:rsidTr="00306427">
        <w:trPr>
          <w:trHeight w:val="150"/>
          <w:tblCellSpacing w:w="0" w:type="dxa"/>
          <w:jc w:val="center"/>
        </w:trPr>
        <w:tc>
          <w:tcPr>
            <w:tcW w:w="0" w:type="auto"/>
            <w:vAlign w:val="center"/>
            <w:hideMark/>
          </w:tcPr>
          <w:p w:rsidR="00306427" w:rsidRPr="005301C8" w:rsidRDefault="00306427" w:rsidP="00306427">
            <w:pPr>
              <w:rPr>
                <w:rFonts w:ascii="Times New Roman" w:eastAsia="Times New Roman" w:hAnsi="Times New Roman" w:cs="Times New Roman"/>
                <w:sz w:val="20"/>
                <w:szCs w:val="20"/>
                <w:lang w:val="es-ES"/>
              </w:rPr>
            </w:pPr>
          </w:p>
        </w:tc>
      </w:tr>
      <w:tr w:rsidR="00306427" w:rsidRPr="005301C8" w:rsidTr="00306427">
        <w:trPr>
          <w:trHeight w:val="451"/>
          <w:tblCellSpacing w:w="0" w:type="dxa"/>
          <w:jc w:val="center"/>
        </w:trPr>
        <w:tc>
          <w:tcPr>
            <w:tcW w:w="0" w:type="auto"/>
            <w:vAlign w:val="center"/>
            <w:hideMark/>
          </w:tcPr>
          <w:p w:rsidR="00306427" w:rsidRPr="005301C8" w:rsidRDefault="00306427" w:rsidP="00306427">
            <w:pPr>
              <w:rPr>
                <w:rFonts w:ascii="Times New Roman" w:eastAsia="Times New Roman" w:hAnsi="Times New Roman" w:cs="Times New Roman"/>
                <w:sz w:val="20"/>
                <w:szCs w:val="20"/>
                <w:lang w:val="es-ES"/>
              </w:rPr>
            </w:pPr>
          </w:p>
        </w:tc>
      </w:tr>
      <w:tr w:rsidR="00306427" w:rsidRPr="005301C8" w:rsidTr="00306427">
        <w:trPr>
          <w:trHeight w:val="300"/>
          <w:tblCellSpacing w:w="0" w:type="dxa"/>
          <w:jc w:val="center"/>
        </w:trPr>
        <w:tc>
          <w:tcPr>
            <w:tcW w:w="0" w:type="auto"/>
            <w:vAlign w:val="center"/>
            <w:hideMark/>
          </w:tcPr>
          <w:p w:rsidR="00306427" w:rsidRPr="005301C8" w:rsidRDefault="00306427" w:rsidP="00306427">
            <w:pPr>
              <w:jc w:val="right"/>
              <w:rPr>
                <w:rFonts w:ascii="Palatino Linotype" w:eastAsia="Times New Roman" w:hAnsi="Palatino Linotype" w:cs="Times New Roman"/>
                <w:i/>
                <w:sz w:val="22"/>
                <w:lang w:val="es-ES"/>
              </w:rPr>
            </w:pPr>
            <w:r w:rsidRPr="005301C8">
              <w:rPr>
                <w:rFonts w:ascii="Palatino Linotype" w:eastAsia="Times New Roman" w:hAnsi="Palatino Linotype" w:cs="Times New Roman"/>
                <w:i/>
                <w:sz w:val="22"/>
                <w:szCs w:val="18"/>
                <w:lang w:val="es-ES"/>
              </w:rPr>
              <w:t>Atenco, México a 05 de Abril de 2022</w:t>
            </w:r>
          </w:p>
        </w:tc>
      </w:tr>
      <w:tr w:rsidR="00306427" w:rsidRPr="005301C8" w:rsidTr="00306427">
        <w:trPr>
          <w:trHeight w:val="300"/>
          <w:tblCellSpacing w:w="0" w:type="dxa"/>
          <w:jc w:val="center"/>
        </w:trPr>
        <w:tc>
          <w:tcPr>
            <w:tcW w:w="0" w:type="auto"/>
            <w:vAlign w:val="center"/>
            <w:hideMark/>
          </w:tcPr>
          <w:p w:rsidR="00306427" w:rsidRPr="005301C8" w:rsidRDefault="00306427" w:rsidP="00306427">
            <w:pPr>
              <w:jc w:val="right"/>
              <w:rPr>
                <w:rFonts w:ascii="Palatino Linotype" w:eastAsia="Times New Roman" w:hAnsi="Palatino Linotype" w:cs="Times New Roman"/>
                <w:i/>
                <w:sz w:val="22"/>
                <w:lang w:val="es-ES"/>
              </w:rPr>
            </w:pPr>
            <w:r w:rsidRPr="005301C8">
              <w:rPr>
                <w:rFonts w:ascii="Palatino Linotype" w:eastAsia="Times New Roman" w:hAnsi="Palatino Linotype" w:cs="Times New Roman"/>
                <w:i/>
                <w:sz w:val="22"/>
                <w:szCs w:val="18"/>
                <w:lang w:val="es-ES"/>
              </w:rPr>
              <w:t>Nombre del solicitante: C. Solicitante</w:t>
            </w:r>
          </w:p>
        </w:tc>
      </w:tr>
      <w:tr w:rsidR="00306427" w:rsidRPr="005301C8" w:rsidTr="00306427">
        <w:trPr>
          <w:trHeight w:val="300"/>
          <w:tblCellSpacing w:w="0" w:type="dxa"/>
          <w:jc w:val="center"/>
        </w:trPr>
        <w:tc>
          <w:tcPr>
            <w:tcW w:w="0" w:type="auto"/>
            <w:vAlign w:val="center"/>
            <w:hideMark/>
          </w:tcPr>
          <w:p w:rsidR="00306427" w:rsidRPr="005301C8" w:rsidRDefault="00306427" w:rsidP="00306427">
            <w:pPr>
              <w:jc w:val="right"/>
              <w:rPr>
                <w:rFonts w:ascii="Palatino Linotype" w:eastAsia="Times New Roman" w:hAnsi="Palatino Linotype" w:cs="Times New Roman"/>
                <w:i/>
                <w:sz w:val="22"/>
                <w:lang w:val="es-ES"/>
              </w:rPr>
            </w:pPr>
            <w:r w:rsidRPr="005301C8">
              <w:rPr>
                <w:rFonts w:ascii="Palatino Linotype" w:eastAsia="Times New Roman" w:hAnsi="Palatino Linotype" w:cs="Times New Roman"/>
                <w:i/>
                <w:sz w:val="22"/>
                <w:szCs w:val="18"/>
                <w:lang w:val="es-ES"/>
              </w:rPr>
              <w:t>Folio de la solicitud: 00160/ATENCO/IP/2022</w:t>
            </w:r>
          </w:p>
        </w:tc>
      </w:tr>
      <w:tr w:rsidR="00306427" w:rsidRPr="005301C8" w:rsidTr="00306427">
        <w:trPr>
          <w:trHeight w:val="451"/>
          <w:tblCellSpacing w:w="0" w:type="dxa"/>
          <w:jc w:val="center"/>
        </w:trPr>
        <w:tc>
          <w:tcPr>
            <w:tcW w:w="0" w:type="auto"/>
            <w:vAlign w:val="center"/>
            <w:hideMark/>
          </w:tcPr>
          <w:p w:rsidR="00306427" w:rsidRPr="005301C8" w:rsidRDefault="00306427" w:rsidP="00306427">
            <w:pPr>
              <w:jc w:val="right"/>
              <w:rPr>
                <w:rFonts w:ascii="Palatino Linotype" w:eastAsia="Times New Roman" w:hAnsi="Palatino Linotype" w:cs="Times New Roman"/>
                <w:i/>
                <w:sz w:val="22"/>
                <w:lang w:val="es-ES"/>
              </w:rPr>
            </w:pPr>
          </w:p>
        </w:tc>
      </w:tr>
      <w:tr w:rsidR="00306427" w:rsidRPr="005301C8" w:rsidTr="00306427">
        <w:trPr>
          <w:trHeight w:val="150"/>
          <w:tblCellSpacing w:w="0" w:type="dxa"/>
          <w:jc w:val="center"/>
        </w:trPr>
        <w:tc>
          <w:tcPr>
            <w:tcW w:w="0" w:type="auto"/>
            <w:vAlign w:val="center"/>
            <w:hideMark/>
          </w:tcPr>
          <w:p w:rsidR="00306427" w:rsidRPr="005301C8" w:rsidRDefault="00306427" w:rsidP="00306427">
            <w:pPr>
              <w:jc w:val="both"/>
              <w:rPr>
                <w:rFonts w:ascii="Palatino Linotype" w:eastAsia="Times New Roman" w:hAnsi="Palatino Linotype" w:cs="Times New Roman"/>
                <w:i/>
                <w:sz w:val="22"/>
                <w:lang w:val="es-ES"/>
              </w:rPr>
            </w:pPr>
            <w:r w:rsidRPr="005301C8">
              <w:rPr>
                <w:rFonts w:ascii="Palatino Linotype" w:eastAsia="Times New Roman" w:hAnsi="Palatino Linotype" w:cs="Times New Roman"/>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06427" w:rsidRPr="005301C8" w:rsidTr="00306427">
        <w:trPr>
          <w:trHeight w:val="376"/>
          <w:tblCellSpacing w:w="0" w:type="dxa"/>
          <w:jc w:val="center"/>
        </w:trPr>
        <w:tc>
          <w:tcPr>
            <w:tcW w:w="0" w:type="auto"/>
            <w:vAlign w:val="center"/>
            <w:hideMark/>
          </w:tcPr>
          <w:p w:rsidR="00306427" w:rsidRPr="005301C8" w:rsidRDefault="00306427" w:rsidP="00306427">
            <w:pPr>
              <w:jc w:val="both"/>
              <w:rPr>
                <w:rFonts w:ascii="Palatino Linotype" w:eastAsia="Times New Roman" w:hAnsi="Palatino Linotype" w:cs="Times New Roman"/>
                <w:i/>
                <w:sz w:val="22"/>
                <w:lang w:val="es-ES"/>
              </w:rPr>
            </w:pPr>
          </w:p>
        </w:tc>
      </w:tr>
      <w:tr w:rsidR="00306427" w:rsidRPr="005301C8" w:rsidTr="00306427">
        <w:trPr>
          <w:trHeight w:val="150"/>
          <w:tblCellSpacing w:w="0" w:type="dxa"/>
          <w:jc w:val="center"/>
        </w:trPr>
        <w:tc>
          <w:tcPr>
            <w:tcW w:w="0" w:type="auto"/>
            <w:vAlign w:val="center"/>
            <w:hideMark/>
          </w:tcPr>
          <w:p w:rsidR="00306427" w:rsidRPr="005301C8" w:rsidRDefault="00306427" w:rsidP="00306427">
            <w:pPr>
              <w:jc w:val="both"/>
              <w:rPr>
                <w:rFonts w:ascii="Palatino Linotype" w:eastAsia="Times New Roman" w:hAnsi="Palatino Linotype" w:cs="Times New Roman"/>
                <w:i/>
                <w:sz w:val="22"/>
                <w:lang w:val="es-ES"/>
              </w:rPr>
            </w:pPr>
            <w:r w:rsidRPr="005301C8">
              <w:rPr>
                <w:rFonts w:ascii="Palatino Linotype" w:eastAsia="Times New Roman" w:hAnsi="Palatino Linotype" w:cs="Times New Roman"/>
                <w:i/>
                <w:sz w:val="22"/>
                <w:szCs w:val="18"/>
                <w:lang w:val="es-ES"/>
              </w:rPr>
              <w:t xml:space="preserve">UNIDAD DE TRANSPARENCIA Oficio No.: PMA/UT/INT/2022/00181 Solicitud de Información: 00160/ATENCO/IP/2022 Atenco, Estado de México, 05 de abril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00160/ATENCO/IP/2022,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w:t>
            </w:r>
            <w:r w:rsidRPr="005301C8">
              <w:rPr>
                <w:rFonts w:ascii="Palatino Linotype" w:eastAsia="Times New Roman" w:hAnsi="Palatino Linotype" w:cs="Times New Roman"/>
                <w:i/>
                <w:sz w:val="22"/>
                <w:szCs w:val="18"/>
                <w:lang w:val="es-ES"/>
              </w:rPr>
              <w:lastRenderedPageBreak/>
              <w:t>particular por el momento, reciba un cordial saludo. A T E N T A M E N T E Mtro. Juan Manuel Mancera García Titular de la Unidad de Transparencia.</w:t>
            </w:r>
          </w:p>
        </w:tc>
      </w:tr>
    </w:tbl>
    <w:p w:rsidR="005B7B01" w:rsidRPr="005301C8" w:rsidRDefault="005B7B01" w:rsidP="00F544A6">
      <w:pPr>
        <w:pStyle w:val="Prrafodelista"/>
        <w:spacing w:line="360" w:lineRule="auto"/>
        <w:ind w:left="0"/>
        <w:jc w:val="both"/>
        <w:rPr>
          <w:rFonts w:ascii="Palatino Linotype" w:eastAsia="Calibri" w:hAnsi="Palatino Linotype" w:cs="Times New Roman"/>
          <w:b/>
          <w:i/>
          <w:lang w:val="es-ES"/>
        </w:rPr>
      </w:pPr>
    </w:p>
    <w:p w:rsidR="00C803BA" w:rsidRPr="005301C8" w:rsidRDefault="00F12093" w:rsidP="00306427">
      <w:pPr>
        <w:spacing w:line="360" w:lineRule="auto"/>
        <w:ind w:right="567"/>
        <w:jc w:val="both"/>
        <w:rPr>
          <w:rFonts w:ascii="Palatino Linotype" w:eastAsia="Times New Roman" w:hAnsi="Palatino Linotype" w:cs="Arial"/>
          <w:bCs/>
          <w:lang w:val="es-ES"/>
        </w:rPr>
      </w:pPr>
      <w:r w:rsidRPr="005301C8">
        <w:rPr>
          <w:rFonts w:ascii="Palatino Linotype" w:eastAsia="Times New Roman" w:hAnsi="Palatino Linotype" w:cs="Arial"/>
          <w:bCs/>
          <w:lang w:val="es-ES"/>
        </w:rPr>
        <w:t xml:space="preserve">A la respuesta se </w:t>
      </w:r>
      <w:r w:rsidR="00306427" w:rsidRPr="005301C8">
        <w:rPr>
          <w:rFonts w:ascii="Palatino Linotype" w:eastAsia="Times New Roman" w:hAnsi="Palatino Linotype" w:cs="Arial"/>
          <w:bCs/>
          <w:lang w:val="es-ES"/>
        </w:rPr>
        <w:t>adjuntaron los archivos que se describen a continuación:</w:t>
      </w:r>
    </w:p>
    <w:p w:rsidR="00306427" w:rsidRPr="005301C8" w:rsidRDefault="00306427" w:rsidP="00306427">
      <w:pPr>
        <w:spacing w:line="360" w:lineRule="auto"/>
        <w:ind w:right="567"/>
        <w:jc w:val="both"/>
        <w:rPr>
          <w:rFonts w:ascii="Palatino Linotype" w:eastAsia="Times New Roman" w:hAnsi="Palatino Linotype" w:cs="Arial"/>
          <w:bCs/>
          <w:lang w:val="es-ES"/>
        </w:rPr>
      </w:pPr>
    </w:p>
    <w:p w:rsidR="00306427" w:rsidRPr="005301C8" w:rsidRDefault="006D40F6" w:rsidP="00306427">
      <w:pPr>
        <w:pStyle w:val="Prrafodelista"/>
        <w:numPr>
          <w:ilvl w:val="0"/>
          <w:numId w:val="43"/>
        </w:numPr>
        <w:spacing w:line="360" w:lineRule="auto"/>
        <w:ind w:right="567"/>
        <w:jc w:val="both"/>
        <w:rPr>
          <w:rFonts w:ascii="Palatino Linotype" w:hAnsi="Palatino Linotype"/>
          <w:sz w:val="22"/>
          <w:szCs w:val="22"/>
        </w:rPr>
      </w:pPr>
      <w:hyperlink r:id="rId7" w:tgtFrame="_blank" w:history="1">
        <w:r w:rsidR="00306427" w:rsidRPr="005301C8">
          <w:rPr>
            <w:rStyle w:val="Hipervnculo"/>
            <w:rFonts w:ascii="Palatino Linotype" w:hAnsi="Palatino Linotype" w:cs="Arial"/>
            <w:b/>
            <w:bCs/>
            <w:color w:val="auto"/>
            <w:sz w:val="22"/>
            <w:szCs w:val="22"/>
          </w:rPr>
          <w:t>Sol Info 160.pdf</w:t>
        </w:r>
      </w:hyperlink>
      <w:r w:rsidR="00306427" w:rsidRPr="005301C8">
        <w:rPr>
          <w:rFonts w:ascii="Palatino Linotype" w:hAnsi="Palatino Linotype"/>
          <w:sz w:val="22"/>
          <w:szCs w:val="22"/>
        </w:rPr>
        <w:t>:</w:t>
      </w:r>
      <w:r w:rsidR="00E52F5C" w:rsidRPr="005301C8">
        <w:rPr>
          <w:rFonts w:ascii="Palatino Linotype" w:hAnsi="Palatino Linotype"/>
          <w:sz w:val="22"/>
          <w:szCs w:val="22"/>
        </w:rPr>
        <w:t xml:space="preserve"> oficio PMA/UT/INT/2022/00181 suscrito por el Titular de la Unidad de Transparencia, mediante el cual manifestó dar respuesta a la solicitud de información.</w:t>
      </w:r>
    </w:p>
    <w:p w:rsidR="00306427" w:rsidRPr="005301C8" w:rsidRDefault="00306427" w:rsidP="00306427">
      <w:pPr>
        <w:pStyle w:val="Prrafodelista"/>
        <w:spacing w:line="360" w:lineRule="auto"/>
        <w:ind w:right="567"/>
        <w:jc w:val="both"/>
        <w:rPr>
          <w:rFonts w:ascii="Palatino Linotype" w:hAnsi="Palatino Linotype"/>
          <w:sz w:val="22"/>
          <w:szCs w:val="22"/>
        </w:rPr>
      </w:pPr>
    </w:p>
    <w:p w:rsidR="00306427" w:rsidRPr="005301C8" w:rsidRDefault="006D40F6" w:rsidP="003A1116">
      <w:pPr>
        <w:pStyle w:val="Prrafodelista"/>
        <w:numPr>
          <w:ilvl w:val="0"/>
          <w:numId w:val="43"/>
        </w:numPr>
        <w:spacing w:line="360" w:lineRule="auto"/>
        <w:ind w:right="567"/>
        <w:jc w:val="both"/>
        <w:rPr>
          <w:rFonts w:ascii="Palatino Linotype" w:eastAsia="Times New Roman" w:hAnsi="Palatino Linotype" w:cs="Arial"/>
          <w:b/>
          <w:bCs/>
          <w:i/>
          <w:sz w:val="22"/>
          <w:szCs w:val="22"/>
          <w:lang w:val="es-ES"/>
        </w:rPr>
      </w:pPr>
      <w:hyperlink r:id="rId8" w:tgtFrame="_blank" w:history="1">
        <w:r w:rsidR="00306427" w:rsidRPr="005301C8">
          <w:rPr>
            <w:rStyle w:val="Hipervnculo"/>
            <w:rFonts w:ascii="Palatino Linotype" w:hAnsi="Palatino Linotype" w:cs="Arial"/>
            <w:b/>
            <w:bCs/>
            <w:color w:val="auto"/>
            <w:sz w:val="22"/>
            <w:szCs w:val="22"/>
          </w:rPr>
          <w:t>Resp Sol Info 160.pdf</w:t>
        </w:r>
      </w:hyperlink>
      <w:r w:rsidR="00306427" w:rsidRPr="005301C8">
        <w:rPr>
          <w:rFonts w:ascii="Palatino Linotype" w:hAnsi="Palatino Linotype"/>
          <w:sz w:val="22"/>
          <w:szCs w:val="22"/>
        </w:rPr>
        <w:t xml:space="preserve">: </w:t>
      </w:r>
      <w:r w:rsidR="00E52F5C" w:rsidRPr="005301C8">
        <w:rPr>
          <w:rFonts w:ascii="Palatino Linotype" w:hAnsi="Palatino Linotype"/>
          <w:sz w:val="22"/>
          <w:szCs w:val="22"/>
        </w:rPr>
        <w:t xml:space="preserve">oficio ATE/CIM/160/2022 de fecha cuatro de abril de dos mil veintidós mediante el cual señaló </w:t>
      </w:r>
      <w:r w:rsidR="00E52F5C" w:rsidRPr="005301C8">
        <w:rPr>
          <w:rFonts w:ascii="Palatino Linotype" w:hAnsi="Palatino Linotype"/>
          <w:i/>
          <w:sz w:val="22"/>
          <w:szCs w:val="22"/>
        </w:rPr>
        <w:t xml:space="preserve">“…se hace de su conocimiento que esta contraloría solo tiene información referente a la generada en la oficina, que con fecha </w:t>
      </w:r>
      <w:r w:rsidR="003A1116" w:rsidRPr="005301C8">
        <w:rPr>
          <w:rFonts w:ascii="Palatino Linotype" w:hAnsi="Palatino Linotype"/>
          <w:i/>
          <w:sz w:val="22"/>
          <w:szCs w:val="22"/>
        </w:rPr>
        <w:t>1 de enero de 2022 la C. Nadya Kren Morales Víctor, ingresó a trabajar a el municipio de Atenco, información que fue girada a este Órgano Interno de Control pro la jefatura de recursos Humanos, informando que con fecha 31 de diciembre del 2021 había concluido la relación laboral en otro municipio y que derivado de programa de evolución patrimonial “Back Office” que este Órgano de Control alimenta, no presentó ningún impedimento para que la servidora Público antes mencionada realizara su declaración inicial.”</w:t>
      </w:r>
    </w:p>
    <w:p w:rsidR="005B7B01" w:rsidRPr="005301C8" w:rsidRDefault="005B7B01" w:rsidP="005B7B01">
      <w:pPr>
        <w:spacing w:line="360" w:lineRule="auto"/>
        <w:ind w:right="567"/>
        <w:jc w:val="both"/>
        <w:rPr>
          <w:rFonts w:ascii="Palatino Linotype" w:eastAsia="Times New Roman" w:hAnsi="Palatino Linotype" w:cs="Arial"/>
          <w:b/>
          <w:bCs/>
          <w:lang w:val="es-ES"/>
        </w:rPr>
      </w:pPr>
    </w:p>
    <w:p w:rsidR="00F12093" w:rsidRPr="005301C8"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5301C8">
        <w:rPr>
          <w:rFonts w:ascii="Palatino Linotype" w:eastAsia="Calibri" w:hAnsi="Palatino Linotype" w:cs="Arial"/>
          <w:lang w:val="es-AR"/>
        </w:rPr>
        <w:t xml:space="preserve">El </w:t>
      </w:r>
      <w:r w:rsidR="003A1116" w:rsidRPr="005301C8">
        <w:rPr>
          <w:rFonts w:ascii="Palatino Linotype" w:eastAsia="Calibri" w:hAnsi="Palatino Linotype" w:cs="Arial"/>
          <w:lang w:val="es-AR"/>
        </w:rPr>
        <w:t>cinco (05) de abril</w:t>
      </w:r>
      <w:r w:rsidR="00B32D03" w:rsidRPr="005301C8">
        <w:rPr>
          <w:rFonts w:ascii="Palatino Linotype" w:eastAsia="Calibri" w:hAnsi="Palatino Linotype" w:cs="Arial"/>
          <w:lang w:val="es-AR"/>
        </w:rPr>
        <w:t xml:space="preserve"> de dos mil veintidós</w:t>
      </w:r>
      <w:r w:rsidRPr="005301C8">
        <w:rPr>
          <w:rFonts w:ascii="Palatino Linotype" w:eastAsia="Times New Roman" w:hAnsi="Palatino Linotype" w:cs="Arial"/>
          <w:lang w:val="es-ES"/>
        </w:rPr>
        <w:t xml:space="preserve">, </w:t>
      </w:r>
      <w:r w:rsidRPr="005301C8">
        <w:rPr>
          <w:rFonts w:ascii="Palatino Linotype" w:hAnsi="Palatino Linotype"/>
          <w:b/>
        </w:rPr>
        <w:t>EL RECURRENTE</w:t>
      </w:r>
      <w:r w:rsidRPr="005301C8">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rsidR="00F12093" w:rsidRPr="005301C8" w:rsidRDefault="00F12093" w:rsidP="00F12093">
      <w:pPr>
        <w:pStyle w:val="Prrafodelista"/>
        <w:spacing w:line="360" w:lineRule="auto"/>
        <w:ind w:left="567"/>
        <w:jc w:val="both"/>
        <w:rPr>
          <w:rFonts w:ascii="Palatino Linotype" w:hAnsi="Palatino Linotype" w:cs="Arial"/>
          <w:sz w:val="22"/>
          <w:szCs w:val="22"/>
        </w:rPr>
      </w:pPr>
    </w:p>
    <w:p w:rsidR="00F12093" w:rsidRPr="005301C8" w:rsidRDefault="00F12093" w:rsidP="00F12093">
      <w:pPr>
        <w:pStyle w:val="Prrafodelista"/>
        <w:spacing w:line="360" w:lineRule="auto"/>
        <w:ind w:left="567"/>
        <w:jc w:val="both"/>
        <w:rPr>
          <w:rFonts w:ascii="Palatino Linotype" w:eastAsia="Calibri" w:hAnsi="Palatino Linotype" w:cs="Arial"/>
          <w:szCs w:val="22"/>
          <w:lang w:val="es-ES"/>
        </w:rPr>
      </w:pPr>
      <w:r w:rsidRPr="005301C8">
        <w:rPr>
          <w:rFonts w:ascii="Palatino Linotype" w:hAnsi="Palatino Linotype"/>
          <w:b/>
        </w:rPr>
        <w:t>Acto impugnado:</w:t>
      </w:r>
      <w:r w:rsidRPr="005301C8">
        <w:rPr>
          <w:rStyle w:val="Ttulo2Car"/>
          <w:rFonts w:ascii="Palatino Linotype" w:hAnsi="Palatino Linotype"/>
          <w:b/>
          <w:i/>
          <w:lang w:val="es-ES"/>
        </w:rPr>
        <w:t xml:space="preserve"> </w:t>
      </w:r>
      <w:r w:rsidRPr="005301C8">
        <w:rPr>
          <w:rFonts w:ascii="Palatino Linotype" w:hAnsi="Palatino Linotype"/>
        </w:rPr>
        <w:t>“</w:t>
      </w:r>
      <w:r w:rsidR="003A1116" w:rsidRPr="005301C8">
        <w:rPr>
          <w:rFonts w:ascii="Palatino Linotype" w:hAnsi="Palatino Linotype"/>
          <w:i/>
          <w:sz w:val="22"/>
        </w:rPr>
        <w:t xml:space="preserve">Mi petición versa en el sentido que es información de interés público, puesto que, el sueldo que perciben los servidores públicos se genera del recurso que ingresa a la tesorería municipal, por tal motivo, si no es legal el percibir dos salarios en diferentes municipios, es un daño a la hacienda publica municipal, por ello mi interés, el sujeto obligado </w:t>
      </w:r>
      <w:r w:rsidR="003A1116" w:rsidRPr="005301C8">
        <w:rPr>
          <w:rFonts w:ascii="Palatino Linotype" w:hAnsi="Palatino Linotype"/>
          <w:i/>
          <w:sz w:val="22"/>
        </w:rPr>
        <w:lastRenderedPageBreak/>
        <w:t>que contesta no define si es legal o no, solo se delimita a decir que por dicho de la servidor publico no tiene problema de obtener un cargo, y ¿dónde quedan todos los mecanismos inherentes al sistema anticorrupción?</w:t>
      </w:r>
      <w:r w:rsidRPr="005301C8">
        <w:rPr>
          <w:rFonts w:ascii="Palatino Linotype" w:hAnsi="Palatino Linotype"/>
        </w:rPr>
        <w:t>"</w:t>
      </w:r>
      <w:r w:rsidRPr="005301C8">
        <w:rPr>
          <w:rFonts w:ascii="Palatino Linotype" w:eastAsia="Calibri" w:hAnsi="Palatino Linotype" w:cs="Arial"/>
          <w:sz w:val="20"/>
          <w:szCs w:val="22"/>
          <w:lang w:val="es-ES"/>
        </w:rPr>
        <w:t xml:space="preserve"> </w:t>
      </w:r>
      <w:r w:rsidRPr="005301C8">
        <w:rPr>
          <w:rFonts w:ascii="Palatino Linotype" w:eastAsia="Calibri" w:hAnsi="Palatino Linotype" w:cs="Arial"/>
          <w:i/>
          <w:sz w:val="22"/>
          <w:szCs w:val="22"/>
          <w:lang w:val="es-ES"/>
        </w:rPr>
        <w:t>(Sic)</w:t>
      </w:r>
    </w:p>
    <w:p w:rsidR="00F12093" w:rsidRPr="005301C8" w:rsidRDefault="00F12093" w:rsidP="00F12093">
      <w:pPr>
        <w:pStyle w:val="Prrafodelista"/>
        <w:spacing w:line="360" w:lineRule="auto"/>
        <w:ind w:left="567"/>
        <w:jc w:val="both"/>
        <w:rPr>
          <w:rFonts w:ascii="Palatino Linotype" w:eastAsia="Calibri" w:hAnsi="Palatino Linotype" w:cs="Arial"/>
          <w:szCs w:val="22"/>
          <w:lang w:val="es-ES"/>
        </w:rPr>
      </w:pPr>
    </w:p>
    <w:p w:rsidR="00F12093" w:rsidRPr="005301C8" w:rsidRDefault="00F12093" w:rsidP="00F12093">
      <w:pPr>
        <w:pStyle w:val="Prrafodelista"/>
        <w:spacing w:line="360" w:lineRule="auto"/>
        <w:ind w:left="567"/>
        <w:jc w:val="both"/>
        <w:rPr>
          <w:rFonts w:ascii="Palatino Linotype" w:hAnsi="Palatino Linotype" w:cs="Arial"/>
          <w:sz w:val="22"/>
          <w:szCs w:val="22"/>
        </w:rPr>
      </w:pPr>
      <w:r w:rsidRPr="005301C8">
        <w:rPr>
          <w:rFonts w:ascii="Palatino Linotype" w:hAnsi="Palatino Linotype"/>
          <w:b/>
        </w:rPr>
        <w:t>Razones o Motivos de inconformidad:</w:t>
      </w:r>
      <w:r w:rsidRPr="005301C8">
        <w:rPr>
          <w:rStyle w:val="Ttulo2Car"/>
          <w:rFonts w:ascii="Palatino Linotype" w:hAnsi="Palatino Linotype"/>
          <w:b/>
          <w:lang w:val="es-ES"/>
        </w:rPr>
        <w:t xml:space="preserve"> </w:t>
      </w:r>
      <w:r w:rsidRPr="005301C8">
        <w:rPr>
          <w:rFonts w:ascii="Palatino Linotype" w:hAnsi="Palatino Linotype"/>
          <w:i/>
          <w:sz w:val="22"/>
          <w:szCs w:val="22"/>
        </w:rPr>
        <w:t>“</w:t>
      </w:r>
      <w:r w:rsidR="003A1116" w:rsidRPr="005301C8">
        <w:rPr>
          <w:rFonts w:ascii="Palatino Linotype" w:hAnsi="Palatino Linotype"/>
          <w:i/>
          <w:color w:val="000000"/>
          <w:sz w:val="22"/>
          <w:szCs w:val="22"/>
        </w:rPr>
        <w:t>Mi petición versa en el sentido que es información de interés público, puesto que, el sueldo que perciben los servidores públicos se genera del recurso que ingresa a la tesorería municipal, por tal motivo, si no es legal el percibir dos salarios en diferentes municipios, es un daño a la hacienda publica municipal, por ello mi interés, el sujeto obligado que contesta no define si es legal o no, solo se delimita a decir que por dicho de la servidor publico no tiene problema de obtener un cargo, y ¿dónde quedan todos los mecanismos inherentes al sistema anticorrupción?</w:t>
      </w:r>
      <w:r w:rsidRPr="005301C8">
        <w:rPr>
          <w:rFonts w:ascii="Palatino Linotype" w:hAnsi="Palatino Linotype"/>
          <w:i/>
          <w:sz w:val="22"/>
          <w:szCs w:val="22"/>
        </w:rPr>
        <w:t xml:space="preserve">” </w:t>
      </w:r>
      <w:r w:rsidRPr="005301C8">
        <w:rPr>
          <w:rFonts w:ascii="Palatino Linotype" w:hAnsi="Palatino Linotype" w:cs="Arial"/>
          <w:i/>
          <w:sz w:val="22"/>
          <w:szCs w:val="22"/>
        </w:rPr>
        <w:t xml:space="preserve">(Sic) </w:t>
      </w:r>
    </w:p>
    <w:p w:rsidR="00F12093" w:rsidRPr="005301C8"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rsidR="00F12093" w:rsidRPr="005301C8"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5301C8">
        <w:rPr>
          <w:rFonts w:ascii="Palatino Linotype" w:eastAsia="Times New Roman" w:hAnsi="Palatino Linotype" w:cs="Arial"/>
          <w:lang w:val="es-ES"/>
        </w:rPr>
        <w:t xml:space="preserve">Se registró el recurso de revisión bajo el número de expediente </w:t>
      </w:r>
      <w:r w:rsidRPr="005301C8">
        <w:rPr>
          <w:rFonts w:ascii="Palatino Linotype" w:hAnsi="Palatino Linotype" w:cs="Arial"/>
          <w:bCs/>
        </w:rPr>
        <w:t xml:space="preserve">al rubro indicado, asimismo con fundamento en lo dispuesto por el </w:t>
      </w:r>
      <w:r w:rsidRPr="005301C8">
        <w:rPr>
          <w:rFonts w:ascii="Palatino Linotype" w:eastAsia="Calibri" w:hAnsi="Palatino Linotype" w:cs="Arial"/>
          <w:lang w:val="es-ES"/>
        </w:rPr>
        <w:t xml:space="preserve">artículo 185 fracción I de la </w:t>
      </w:r>
      <w:r w:rsidRPr="005301C8">
        <w:rPr>
          <w:rFonts w:ascii="Palatino Linotype" w:eastAsia="Calibri" w:hAnsi="Palatino Linotype" w:cs="Arial"/>
          <w:b/>
          <w:lang w:val="es-ES"/>
        </w:rPr>
        <w:t xml:space="preserve">Ley de Transparencia y Acceso a la Información Pública del Estado de México y Municipios </w:t>
      </w:r>
      <w:r w:rsidRPr="005301C8">
        <w:rPr>
          <w:rFonts w:ascii="Palatino Linotype" w:eastAsia="Times New Roman" w:hAnsi="Palatino Linotype" w:cs="Arial"/>
          <w:lang w:val="es-ES"/>
        </w:rPr>
        <w:t xml:space="preserve">se turnó a la </w:t>
      </w:r>
      <w:r w:rsidRPr="005301C8">
        <w:rPr>
          <w:rFonts w:ascii="Palatino Linotype" w:eastAsia="Times New Roman" w:hAnsi="Palatino Linotype" w:cs="Arial"/>
          <w:b/>
          <w:lang w:val="es-ES"/>
        </w:rPr>
        <w:t xml:space="preserve">Comisionada </w:t>
      </w:r>
      <w:r w:rsidRPr="005301C8">
        <w:rPr>
          <w:rFonts w:ascii="Palatino Linotype" w:hAnsi="Palatino Linotype"/>
          <w:b/>
        </w:rPr>
        <w:t>María del Rosario Mejía Ayala</w:t>
      </w:r>
      <w:r w:rsidRPr="005301C8">
        <w:rPr>
          <w:rFonts w:ascii="Palatino Linotype" w:eastAsia="Times New Roman" w:hAnsi="Palatino Linotype" w:cs="Arial"/>
          <w:b/>
          <w:lang w:val="es-ES"/>
        </w:rPr>
        <w:t xml:space="preserve">, </w:t>
      </w:r>
      <w:r w:rsidRPr="005301C8">
        <w:rPr>
          <w:rFonts w:ascii="Palatino Linotype" w:eastAsia="Times New Roman" w:hAnsi="Palatino Linotype" w:cs="Arial"/>
          <w:lang w:val="es-ES"/>
        </w:rPr>
        <w:t xml:space="preserve">con el objeto de </w:t>
      </w:r>
      <w:r w:rsidRPr="005301C8">
        <w:rPr>
          <w:rFonts w:ascii="Palatino Linotype" w:eastAsia="Times New Roman" w:hAnsi="Palatino Linotype" w:cs="Arial"/>
          <w:lang w:val="es-MX"/>
        </w:rPr>
        <w:t>su análisis.</w:t>
      </w:r>
    </w:p>
    <w:p w:rsidR="00F12093" w:rsidRPr="005301C8" w:rsidRDefault="00F12093" w:rsidP="00F12093">
      <w:pPr>
        <w:pStyle w:val="Prrafodelista"/>
        <w:spacing w:line="360" w:lineRule="auto"/>
        <w:ind w:left="0"/>
        <w:jc w:val="both"/>
        <w:rPr>
          <w:rFonts w:ascii="Palatino Linotype" w:eastAsia="Calibri" w:hAnsi="Palatino Linotype" w:cs="Arial"/>
          <w:lang w:val="es-AR"/>
        </w:rPr>
      </w:pPr>
    </w:p>
    <w:p w:rsidR="007B0EC9" w:rsidRPr="005301C8"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5301C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A1116" w:rsidRPr="005301C8">
        <w:rPr>
          <w:rFonts w:ascii="Palatino Linotype" w:eastAsia="Calibri" w:hAnsi="Palatino Linotype" w:cs="Arial"/>
          <w:lang w:val="es-ES"/>
        </w:rPr>
        <w:t>diecinueve (19) de abril</w:t>
      </w:r>
      <w:r w:rsidR="001378B2" w:rsidRPr="005301C8">
        <w:rPr>
          <w:rFonts w:ascii="Palatino Linotype" w:eastAsia="Calibri" w:hAnsi="Palatino Linotype" w:cs="Arial"/>
          <w:lang w:val="es-ES"/>
        </w:rPr>
        <w:t xml:space="preserve"> </w:t>
      </w:r>
      <w:r w:rsidR="001C10E6" w:rsidRPr="005301C8">
        <w:rPr>
          <w:rFonts w:ascii="Palatino Linotype" w:eastAsia="Calibri" w:hAnsi="Palatino Linotype" w:cs="Arial"/>
          <w:lang w:val="es-ES"/>
        </w:rPr>
        <w:t xml:space="preserve"> de dos mil veintidós</w:t>
      </w:r>
      <w:r w:rsidRPr="005301C8">
        <w:rPr>
          <w:rFonts w:ascii="Palatino Linotype" w:eastAsia="Calibri" w:hAnsi="Palatino Linotype" w:cs="Arial"/>
          <w:lang w:val="es-ES"/>
        </w:rPr>
        <w:t xml:space="preserve">, puso a disposición de las partes el expediente electrónico </w:t>
      </w:r>
      <w:r w:rsidRPr="005301C8">
        <w:rPr>
          <w:rFonts w:ascii="Palatino Linotype" w:eastAsia="Calibri" w:hAnsi="Palatino Linotype" w:cs="Arial"/>
        </w:rPr>
        <w:t xml:space="preserve">vía </w:t>
      </w:r>
      <w:r w:rsidRPr="005301C8">
        <w:rPr>
          <w:rFonts w:ascii="Palatino Linotype" w:eastAsia="Calibri" w:hAnsi="Palatino Linotype" w:cs="Arial"/>
          <w:b/>
          <w:lang w:val="es-ES"/>
        </w:rPr>
        <w:t xml:space="preserve">SAIMEX </w:t>
      </w:r>
      <w:r w:rsidRPr="005301C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301C8">
        <w:rPr>
          <w:rFonts w:ascii="Palatino Linotype" w:eastAsia="Calibri" w:hAnsi="Palatino Linotype" w:cs="Arial"/>
          <w:b/>
          <w:lang w:val="es-ES"/>
        </w:rPr>
        <w:t>SUJETO OBLIGADO</w:t>
      </w:r>
      <w:r w:rsidRPr="005301C8">
        <w:rPr>
          <w:rFonts w:ascii="Palatino Linotype" w:eastAsia="Calibri" w:hAnsi="Palatino Linotype" w:cs="Arial"/>
          <w:lang w:val="es-ES"/>
        </w:rPr>
        <w:t xml:space="preserve"> presentara el informe justificado procedente.</w:t>
      </w:r>
      <w:r w:rsidR="00EE68F3" w:rsidRPr="005301C8">
        <w:rPr>
          <w:rFonts w:ascii="Palatino Linotype" w:eastAsia="Calibri" w:hAnsi="Palatino Linotype" w:cs="Arial"/>
          <w:lang w:val="es-ES"/>
        </w:rPr>
        <w:t xml:space="preserve"> </w:t>
      </w:r>
    </w:p>
    <w:p w:rsidR="007B0EC9" w:rsidRPr="005301C8" w:rsidRDefault="007B0EC9" w:rsidP="007B0EC9">
      <w:pPr>
        <w:pStyle w:val="Prrafodelista"/>
        <w:rPr>
          <w:rFonts w:ascii="Palatino Linotype" w:eastAsia="Calibri" w:hAnsi="Palatino Linotype" w:cs="Arial"/>
          <w:lang w:val="es-ES"/>
        </w:rPr>
      </w:pPr>
    </w:p>
    <w:p w:rsidR="009344B9" w:rsidRPr="005301C8"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5301C8">
        <w:rPr>
          <w:rFonts w:ascii="Palatino Linotype" w:eastAsia="Calibri" w:hAnsi="Palatino Linotype" w:cs="Arial"/>
          <w:lang w:val="es-ES"/>
        </w:rPr>
        <w:lastRenderedPageBreak/>
        <w:t xml:space="preserve">Del expediente electrónico se advierte que </w:t>
      </w:r>
      <w:r w:rsidR="006C1080" w:rsidRPr="005301C8">
        <w:rPr>
          <w:rFonts w:ascii="Palatino Linotype" w:eastAsia="Calibri" w:hAnsi="Palatino Linotype" w:cs="Arial"/>
          <w:lang w:val="es-ES"/>
        </w:rPr>
        <w:t xml:space="preserve">el Sujeto Obligado no remitió informe justificado; por su parte, el Recurrente realizó </w:t>
      </w:r>
      <w:r w:rsidR="009344B9" w:rsidRPr="005301C8">
        <w:rPr>
          <w:rFonts w:ascii="Palatino Linotype" w:eastAsia="Calibri" w:hAnsi="Palatino Linotype" w:cs="Arial"/>
          <w:lang w:val="es-ES"/>
        </w:rPr>
        <w:t xml:space="preserve">manifestaciones el día uno de mayo de dos mil veintidós a través del archivo que se describe a continuación: </w:t>
      </w:r>
    </w:p>
    <w:p w:rsidR="009344B9" w:rsidRPr="005301C8" w:rsidRDefault="009344B9" w:rsidP="009344B9">
      <w:pPr>
        <w:pStyle w:val="Prrafodelista"/>
        <w:spacing w:line="360" w:lineRule="auto"/>
        <w:ind w:left="0"/>
        <w:jc w:val="both"/>
        <w:rPr>
          <w:rFonts w:ascii="Palatino Linotype" w:eastAsia="Calibri" w:hAnsi="Palatino Linotype" w:cs="Arial"/>
          <w:lang w:val="es-ES"/>
        </w:rPr>
      </w:pPr>
    </w:p>
    <w:p w:rsidR="00F12093" w:rsidRPr="005301C8" w:rsidRDefault="006D40F6" w:rsidP="009344B9">
      <w:pPr>
        <w:pStyle w:val="Prrafodelista"/>
        <w:numPr>
          <w:ilvl w:val="0"/>
          <w:numId w:val="44"/>
        </w:numPr>
        <w:spacing w:line="360" w:lineRule="auto"/>
        <w:jc w:val="both"/>
        <w:rPr>
          <w:rFonts w:ascii="Palatino Linotype" w:hAnsi="Palatino Linotype"/>
          <w:i/>
          <w:sz w:val="22"/>
          <w:szCs w:val="22"/>
        </w:rPr>
      </w:pPr>
      <w:hyperlink r:id="rId9" w:history="1">
        <w:r w:rsidR="009344B9" w:rsidRPr="005301C8">
          <w:rPr>
            <w:rStyle w:val="Hipervnculo"/>
            <w:rFonts w:ascii="Palatino Linotype" w:hAnsi="Palatino Linotype" w:cs="Arial"/>
            <w:b/>
            <w:bCs/>
            <w:color w:val="auto"/>
            <w:sz w:val="22"/>
            <w:szCs w:val="22"/>
          </w:rPr>
          <w:t>Alegatos.pdf</w:t>
        </w:r>
      </w:hyperlink>
      <w:r w:rsidR="009344B9" w:rsidRPr="005301C8">
        <w:rPr>
          <w:rFonts w:ascii="Palatino Linotype" w:hAnsi="Palatino Linotype"/>
          <w:sz w:val="22"/>
          <w:szCs w:val="22"/>
        </w:rPr>
        <w:t xml:space="preserve">: </w:t>
      </w:r>
      <w:r w:rsidR="006C1080" w:rsidRPr="005301C8">
        <w:rPr>
          <w:rFonts w:ascii="Palatino Linotype" w:eastAsia="Calibri" w:hAnsi="Palatino Linotype" w:cs="Arial"/>
          <w:i/>
          <w:sz w:val="22"/>
          <w:szCs w:val="22"/>
          <w:lang w:val="es-ES"/>
        </w:rPr>
        <w:t xml:space="preserve"> </w:t>
      </w:r>
      <w:r w:rsidR="009344B9" w:rsidRPr="005301C8">
        <w:rPr>
          <w:rFonts w:ascii="Palatino Linotype" w:eastAsia="Calibri" w:hAnsi="Palatino Linotype" w:cs="Arial"/>
          <w:i/>
          <w:sz w:val="22"/>
          <w:szCs w:val="22"/>
          <w:lang w:val="es-ES"/>
        </w:rPr>
        <w:t>“</w:t>
      </w:r>
      <w:r w:rsidR="009344B9" w:rsidRPr="005301C8">
        <w:rPr>
          <w:rFonts w:ascii="Palatino Linotype" w:hAnsi="Palatino Linotype"/>
          <w:i/>
          <w:sz w:val="22"/>
          <w:szCs w:val="22"/>
        </w:rPr>
        <w:t xml:space="preserve">No estoy de acuerdo con la respuesta que se me ha proporcionado, carece de responsabilidad en sus mecanismos de control aunado a que no se hizo entrega de todo lo solicitado. Cabe destacar que el gobierno federal establece que la Secretaría de la Función Pública, en cumplimiento a lo ordenado en el artículo 53 de la Ley General del Sistema Nacional Anticorrupción y 27 de la Ley General de Responsabilidades Administrativas, pone a disposición el Sistema del Registro de Servidores Públicos Sancionados, hasta en tanto el Comité Coordinador del Sistema Nacional Anticorrupción determine lo conducente respecto a la operación del Sistema Nacional de Servidores Públicos y Particulares Sancionados de la Plataforma Digital Nacional, y las demás sanciones quedarán registradas para efectos de evaluar la reincidencia, pero no serán públicas, y </w:t>
      </w:r>
      <w:r w:rsidR="009344B9" w:rsidRPr="005301C8">
        <w:rPr>
          <w:rFonts w:ascii="Palatino Linotype" w:hAnsi="Palatino Linotype"/>
          <w:i/>
          <w:sz w:val="22"/>
          <w:szCs w:val="22"/>
          <w:u w:val="single"/>
        </w:rPr>
        <w:t xml:space="preserve">continuarán siendo consultables para las áreas de recursos humanos de las autoridades competentes, </w:t>
      </w:r>
      <w:r w:rsidR="009344B9" w:rsidRPr="005301C8">
        <w:rPr>
          <w:rFonts w:ascii="Palatino Linotype" w:hAnsi="Palatino Linotype"/>
          <w:b/>
          <w:i/>
          <w:sz w:val="22"/>
          <w:szCs w:val="22"/>
          <w:u w:val="single"/>
        </w:rPr>
        <w:t xml:space="preserve">previo al nombramiento o contratación, </w:t>
      </w:r>
      <w:r w:rsidR="009344B9" w:rsidRPr="005301C8">
        <w:rPr>
          <w:rFonts w:ascii="Palatino Linotype" w:hAnsi="Palatino Linotype"/>
          <w:i/>
          <w:sz w:val="22"/>
          <w:szCs w:val="22"/>
          <w:u w:val="single"/>
        </w:rPr>
        <w:t>así como para los Órganos Internos de Control</w:t>
      </w:r>
      <w:r w:rsidR="009344B9" w:rsidRPr="005301C8">
        <w:rPr>
          <w:rFonts w:ascii="Palatino Linotype" w:hAnsi="Palatino Linotype"/>
          <w:i/>
          <w:sz w:val="22"/>
          <w:szCs w:val="22"/>
        </w:rPr>
        <w:t>. De conformidad con el nuevo modelo institucional orientado a mejorar los procedimientos de sanción, es posible inhibir y sancionar los actos de corrupción, conforme a la Ley de Responsabilidades Administrativas del Estado de México y Municipios, para lograr que los servidores públicos actúen con responsabilidad, transparencia y apego a la legalidad; así como mejorar la percepción ciudadana en la prevención y combate a la corrupción, mediante su participación en la verificación del quehacer gubernamental. Que acciones desarrolla el Municipio de Atenco a tal efecto, y contrata a su personal si esta inhabilitado por falta administrativa o falta grave, hecho que afecta a la rendición de cuantas del actual gobierno municipal.”</w:t>
      </w:r>
    </w:p>
    <w:p w:rsidR="006C1080" w:rsidRPr="005301C8" w:rsidRDefault="006C1080" w:rsidP="006C1080">
      <w:pPr>
        <w:pStyle w:val="Prrafodelista"/>
        <w:spacing w:line="360" w:lineRule="auto"/>
        <w:ind w:left="0"/>
        <w:jc w:val="both"/>
        <w:rPr>
          <w:rFonts w:ascii="Palatino Linotype" w:hAnsi="Palatino Linotype"/>
          <w:i/>
          <w:color w:val="000000"/>
          <w:sz w:val="22"/>
          <w:szCs w:val="22"/>
        </w:rPr>
      </w:pPr>
    </w:p>
    <w:p w:rsidR="00F12093" w:rsidRPr="005301C8" w:rsidRDefault="00F12093" w:rsidP="00F12093">
      <w:pPr>
        <w:pStyle w:val="Prrafodelista"/>
        <w:spacing w:line="360" w:lineRule="auto"/>
        <w:ind w:left="0"/>
        <w:jc w:val="both"/>
        <w:rPr>
          <w:rFonts w:ascii="Palatino Linotype" w:hAnsi="Palatino Linotype"/>
          <w:color w:val="000000"/>
          <w:szCs w:val="22"/>
        </w:rPr>
      </w:pPr>
    </w:p>
    <w:p w:rsidR="00F12093" w:rsidRPr="005301C8" w:rsidRDefault="00765091" w:rsidP="00821BFB">
      <w:pPr>
        <w:pStyle w:val="Prrafodelista"/>
        <w:numPr>
          <w:ilvl w:val="0"/>
          <w:numId w:val="1"/>
        </w:numPr>
        <w:spacing w:line="360" w:lineRule="auto"/>
        <w:ind w:left="0" w:firstLine="0"/>
        <w:jc w:val="both"/>
        <w:rPr>
          <w:rFonts w:ascii="Palatino Linotype" w:hAnsi="Palatino Linotype" w:cs="Tahoma"/>
        </w:rPr>
      </w:pPr>
      <w:r w:rsidRPr="005301C8">
        <w:rPr>
          <w:rFonts w:ascii="Palatino Linotype" w:eastAsia="Calibri" w:hAnsi="Palatino Linotype" w:cs="Arial"/>
          <w:lang w:val="es-ES"/>
        </w:rPr>
        <w:lastRenderedPageBreak/>
        <w:t xml:space="preserve">El </w:t>
      </w:r>
      <w:r w:rsidR="00F24565" w:rsidRPr="005301C8">
        <w:rPr>
          <w:rFonts w:ascii="Palatino Linotype" w:eastAsia="Calibri" w:hAnsi="Palatino Linotype" w:cs="Arial"/>
          <w:lang w:val="es-ES"/>
        </w:rPr>
        <w:t>diecinueve (19</w:t>
      </w:r>
      <w:r w:rsidR="001378B2" w:rsidRPr="005301C8">
        <w:rPr>
          <w:rFonts w:ascii="Palatino Linotype" w:eastAsia="Calibri" w:hAnsi="Palatino Linotype" w:cs="Arial"/>
          <w:lang w:val="es-ES"/>
        </w:rPr>
        <w:t xml:space="preserve">) de </w:t>
      </w:r>
      <w:r w:rsidR="00F24565" w:rsidRPr="005301C8">
        <w:rPr>
          <w:rFonts w:ascii="Palatino Linotype" w:eastAsia="Calibri" w:hAnsi="Palatino Linotype" w:cs="Arial"/>
          <w:lang w:val="es-ES"/>
        </w:rPr>
        <w:t>mayo de</w:t>
      </w:r>
      <w:r w:rsidRPr="005301C8">
        <w:rPr>
          <w:rFonts w:ascii="Palatino Linotype" w:eastAsia="Calibri" w:hAnsi="Palatino Linotype" w:cs="Arial"/>
          <w:lang w:val="es-ES"/>
        </w:rPr>
        <w:t xml:space="preserve"> dos mil veintidós, se notificó el acuerdo mediante el cual se aprobó la ampliación de plazo para resolver el recurso de revisión por un</w:t>
      </w:r>
      <w:r w:rsidR="001378B2" w:rsidRPr="005301C8">
        <w:rPr>
          <w:rFonts w:ascii="Palatino Linotype" w:eastAsia="Calibri" w:hAnsi="Palatino Linotype" w:cs="Arial"/>
          <w:lang w:val="es-ES"/>
        </w:rPr>
        <w:t xml:space="preserve"> periodo de quince días hábiles.</w:t>
      </w:r>
    </w:p>
    <w:p w:rsidR="001378B2" w:rsidRPr="005301C8" w:rsidRDefault="001378B2" w:rsidP="00821BFB">
      <w:pPr>
        <w:pStyle w:val="Prrafodelista"/>
        <w:spacing w:line="360" w:lineRule="auto"/>
        <w:ind w:left="0"/>
        <w:jc w:val="both"/>
        <w:rPr>
          <w:rFonts w:ascii="Palatino Linotype" w:hAnsi="Palatino Linotype" w:cs="Tahoma"/>
        </w:rPr>
      </w:pPr>
    </w:p>
    <w:p w:rsidR="001378B2" w:rsidRPr="005301C8" w:rsidRDefault="001378B2" w:rsidP="00821BFB">
      <w:pPr>
        <w:pStyle w:val="Prrafodelista"/>
        <w:numPr>
          <w:ilvl w:val="0"/>
          <w:numId w:val="1"/>
        </w:numPr>
        <w:spacing w:line="360" w:lineRule="auto"/>
        <w:ind w:left="0" w:firstLine="0"/>
        <w:jc w:val="both"/>
        <w:rPr>
          <w:rFonts w:ascii="Palatino Linotype" w:hAnsi="Palatino Linotype"/>
          <w:color w:val="000000"/>
          <w:szCs w:val="22"/>
        </w:rPr>
      </w:pPr>
      <w:r w:rsidRPr="005301C8">
        <w:rPr>
          <w:rFonts w:ascii="Palatino Linotype" w:hAnsi="Palatino Linotype"/>
          <w:color w:val="000000"/>
          <w:szCs w:val="22"/>
        </w:rPr>
        <w:t xml:space="preserve">El </w:t>
      </w:r>
      <w:r w:rsidR="00F24565" w:rsidRPr="005301C8">
        <w:rPr>
          <w:rFonts w:ascii="Palatino Linotype" w:hAnsi="Palatino Linotype"/>
          <w:color w:val="000000"/>
          <w:szCs w:val="22"/>
        </w:rPr>
        <w:t>16 de noviembre</w:t>
      </w:r>
      <w:r w:rsidRPr="005301C8">
        <w:rPr>
          <w:rFonts w:ascii="Palatino Linotype" w:hAnsi="Palatino Linotype"/>
          <w:color w:val="000000"/>
          <w:szCs w:val="22"/>
        </w:rPr>
        <w:t xml:space="preserve"> de dos mil veintidós, se notificó el acuerdo mediante el cual se dio por concluido el periodo de instrucción. </w:t>
      </w:r>
    </w:p>
    <w:p w:rsidR="00821BFB" w:rsidRPr="005301C8" w:rsidRDefault="00821BFB" w:rsidP="00821BFB">
      <w:pPr>
        <w:pStyle w:val="Prrafodelista"/>
        <w:ind w:left="0"/>
        <w:rPr>
          <w:rFonts w:ascii="Palatino Linotype" w:hAnsi="Palatino Linotype"/>
          <w:color w:val="000000"/>
          <w:szCs w:val="22"/>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21BFB" w:rsidRPr="005301C8" w:rsidRDefault="00821BFB" w:rsidP="00821BFB">
      <w:pPr>
        <w:pStyle w:val="Prrafodelista"/>
        <w:ind w:left="0"/>
        <w:rPr>
          <w:rFonts w:ascii="Palatino Linotype" w:hAnsi="Palatino Linotype"/>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21BFB" w:rsidRPr="005301C8" w:rsidRDefault="00821BFB" w:rsidP="00821BFB">
      <w:pPr>
        <w:pStyle w:val="Prrafodelista"/>
        <w:ind w:left="0"/>
        <w:rPr>
          <w:rFonts w:ascii="Palatino Linotype" w:hAnsi="Palatino Linotype"/>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21BFB" w:rsidRPr="005301C8" w:rsidRDefault="00821BFB" w:rsidP="00821BFB">
      <w:pPr>
        <w:pStyle w:val="Prrafodelista"/>
        <w:ind w:left="0"/>
        <w:rPr>
          <w:rFonts w:ascii="Palatino Linotype" w:hAnsi="Palatino Linotype"/>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21BFB" w:rsidRPr="005301C8" w:rsidRDefault="00821BFB" w:rsidP="00821BFB">
      <w:pPr>
        <w:pStyle w:val="Prrafodelista"/>
        <w:ind w:left="0"/>
        <w:rPr>
          <w:rFonts w:ascii="Palatino Linotype" w:hAnsi="Palatino Linotype"/>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821BFB" w:rsidRPr="005301C8" w:rsidRDefault="00821BFB" w:rsidP="00821BFB">
      <w:pPr>
        <w:pStyle w:val="Prrafodelista"/>
        <w:ind w:left="0"/>
        <w:rPr>
          <w:rFonts w:ascii="Palatino Linotype" w:hAnsi="Palatino Linotype"/>
        </w:rPr>
      </w:pPr>
    </w:p>
    <w:p w:rsidR="00821BFB" w:rsidRPr="005301C8" w:rsidRDefault="00821BFB" w:rsidP="00821BFB">
      <w:pPr>
        <w:spacing w:before="240" w:after="240" w:line="360" w:lineRule="auto"/>
        <w:ind w:right="567"/>
        <w:jc w:val="both"/>
        <w:rPr>
          <w:rFonts w:ascii="Palatino Linotype" w:hAnsi="Palatino Linotype"/>
        </w:rPr>
      </w:pPr>
      <w:r w:rsidRPr="005301C8">
        <w:rPr>
          <w:rFonts w:ascii="Palatino Linotype" w:hAnsi="Palatino Linotype"/>
          <w:b/>
        </w:rPr>
        <w:t>a) Complejidad del asunto:</w:t>
      </w:r>
      <w:r w:rsidRPr="005301C8">
        <w:rPr>
          <w:rFonts w:ascii="Palatino Linotype" w:hAnsi="Palatino Linotype"/>
        </w:rPr>
        <w:t xml:space="preserve"> La complejidad de la prueba, la pluralidad de sujetos procesales, el tiempo transcurrido, las características y contexto del recurso.</w:t>
      </w:r>
    </w:p>
    <w:p w:rsidR="00821BFB" w:rsidRPr="005301C8" w:rsidRDefault="00821BFB" w:rsidP="00821BFB">
      <w:pPr>
        <w:spacing w:before="240" w:after="240" w:line="360" w:lineRule="auto"/>
        <w:ind w:right="567"/>
        <w:jc w:val="both"/>
        <w:rPr>
          <w:rFonts w:ascii="Palatino Linotype" w:hAnsi="Palatino Linotype"/>
        </w:rPr>
      </w:pPr>
      <w:r w:rsidRPr="005301C8">
        <w:rPr>
          <w:rFonts w:ascii="Palatino Linotype" w:hAnsi="Palatino Linotype"/>
          <w:b/>
        </w:rPr>
        <w:t>b) Actividad Procesal del interesado:</w:t>
      </w:r>
      <w:r w:rsidRPr="005301C8">
        <w:rPr>
          <w:rFonts w:ascii="Palatino Linotype" w:hAnsi="Palatino Linotype"/>
        </w:rPr>
        <w:t xml:space="preserve"> Acciones u omisiones del interesado.</w:t>
      </w:r>
    </w:p>
    <w:p w:rsidR="00821BFB" w:rsidRPr="005301C8" w:rsidRDefault="00821BFB" w:rsidP="00821BFB">
      <w:pPr>
        <w:spacing w:before="240" w:after="240" w:line="360" w:lineRule="auto"/>
        <w:ind w:right="567"/>
        <w:jc w:val="both"/>
        <w:rPr>
          <w:rFonts w:ascii="Palatino Linotype" w:hAnsi="Palatino Linotype"/>
        </w:rPr>
      </w:pPr>
      <w:r w:rsidRPr="005301C8">
        <w:rPr>
          <w:rFonts w:ascii="Palatino Linotype" w:hAnsi="Palatino Linotype"/>
          <w:b/>
        </w:rPr>
        <w:t>c) Conducta de la Autoridad:</w:t>
      </w:r>
      <w:r w:rsidRPr="005301C8">
        <w:rPr>
          <w:rFonts w:ascii="Palatino Linotype" w:hAnsi="Palatino Linotype"/>
        </w:rPr>
        <w:t xml:space="preserve"> Las Acciones u omisiones realizadas en el procedimiento. Así como si la autoridad actuó con la debida diligencia.</w:t>
      </w:r>
    </w:p>
    <w:p w:rsidR="00821BFB" w:rsidRPr="005301C8" w:rsidRDefault="00821BFB" w:rsidP="00821BFB">
      <w:pPr>
        <w:spacing w:before="240" w:after="240" w:line="360" w:lineRule="auto"/>
        <w:ind w:right="567"/>
        <w:jc w:val="both"/>
        <w:rPr>
          <w:rFonts w:ascii="Palatino Linotype" w:hAnsi="Palatino Linotype"/>
        </w:rPr>
      </w:pPr>
      <w:r w:rsidRPr="005301C8">
        <w:rPr>
          <w:rFonts w:ascii="Palatino Linotype" w:hAnsi="Palatino Linotype"/>
          <w:b/>
        </w:rPr>
        <w:t>d) La afectación generada en la situación jurídica de la persona involucrada en el proceso:</w:t>
      </w:r>
      <w:r w:rsidRPr="005301C8">
        <w:rPr>
          <w:rFonts w:ascii="Palatino Linotype" w:hAnsi="Palatino Linotype"/>
        </w:rPr>
        <w:t xml:space="preserve"> Violación a sus derechos humanos. </w:t>
      </w:r>
    </w:p>
    <w:p w:rsidR="00821BFB" w:rsidRPr="005301C8" w:rsidRDefault="00821BFB" w:rsidP="00821BFB">
      <w:pPr>
        <w:pStyle w:val="Prrafodelista"/>
        <w:ind w:left="0"/>
        <w:rPr>
          <w:rFonts w:ascii="Palatino Linotype" w:hAnsi="Palatino Linotype"/>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301C8">
        <w:rPr>
          <w:rFonts w:ascii="Palatino Linotype" w:hAnsi="Palatino Linotype"/>
        </w:rPr>
        <w:lastRenderedPageBreak/>
        <w:t>relación con la actuación del funcionario, como ha acontecido en el caso que nos ocupa.</w:t>
      </w:r>
    </w:p>
    <w:p w:rsidR="00821BFB" w:rsidRPr="005301C8" w:rsidRDefault="00821BFB" w:rsidP="00821BFB">
      <w:pPr>
        <w:pStyle w:val="Prrafodelista"/>
        <w:tabs>
          <w:tab w:val="left" w:pos="426"/>
        </w:tabs>
        <w:spacing w:line="360" w:lineRule="auto"/>
        <w:ind w:left="0"/>
        <w:jc w:val="both"/>
        <w:rPr>
          <w:rFonts w:ascii="Palatino Linotype" w:eastAsia="Calibri" w:hAnsi="Palatino Linotype" w:cs="Arial"/>
          <w:color w:val="000000" w:themeColor="text1"/>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 xml:space="preserve">Argumento que encuentra sustento en la jurisprudencia P./J. 32/92 emitida por el Pleno de la Suprema Corte de Justicia de la Nación de rubro </w:t>
      </w:r>
      <w:r w:rsidRPr="005301C8">
        <w:rPr>
          <w:rFonts w:ascii="Palatino Linotype" w:hAnsi="Palatino Linotype"/>
          <w:b/>
          <w:i/>
        </w:rPr>
        <w:t>“TÉRMINOS PROCESALES. PARA DETERMINAR SI UN FUNCIONARIO JUDICIAL ACTUÓ INDEBIDAMENTE POR NO RESPETARLOS SE DEBE ATENDER AL PRESUPUESTO QUE CONSIDERÓ EL LEGISLADOR AL FIJARLOS Y LAS CARACTERÍSTICAS DEL CASO.”</w:t>
      </w:r>
      <w:r w:rsidRPr="005301C8">
        <w:rPr>
          <w:rFonts w:ascii="Palatino Linotype" w:hAnsi="Palatino Linotype"/>
        </w:rPr>
        <w:t>, visible en la Gaceta del Seminario Judicial de la Federación con el registro digital 205635.</w:t>
      </w:r>
    </w:p>
    <w:p w:rsidR="00821BFB" w:rsidRPr="005301C8" w:rsidRDefault="00821BFB" w:rsidP="00821BFB">
      <w:pPr>
        <w:pStyle w:val="Prrafodelista"/>
        <w:ind w:left="0"/>
        <w:rPr>
          <w:rFonts w:ascii="Palatino Linotype" w:hAnsi="Palatino Linotype"/>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21BFB" w:rsidRPr="005301C8" w:rsidRDefault="00821BFB" w:rsidP="00821BFB">
      <w:pPr>
        <w:pStyle w:val="Prrafodelista"/>
        <w:ind w:left="0"/>
        <w:rPr>
          <w:rFonts w:ascii="Palatino Linotype" w:hAnsi="Palatino Linotype"/>
        </w:rPr>
      </w:pPr>
    </w:p>
    <w:p w:rsidR="00821BFB" w:rsidRPr="005301C8" w:rsidRDefault="00821BFB" w:rsidP="00821BF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5301C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821BFB" w:rsidRPr="005301C8" w:rsidRDefault="00821BFB" w:rsidP="00821BFB">
      <w:pPr>
        <w:spacing w:before="240" w:after="240" w:line="360" w:lineRule="auto"/>
        <w:ind w:left="1418"/>
        <w:jc w:val="both"/>
        <w:rPr>
          <w:rFonts w:ascii="Palatino Linotype" w:hAnsi="Palatino Linotype"/>
        </w:rPr>
      </w:pPr>
      <w:r w:rsidRPr="005301C8">
        <w:rPr>
          <w:rFonts w:ascii="Palatino Linotype" w:hAnsi="Palatino Linotype"/>
          <w:b/>
          <w:i/>
        </w:rPr>
        <w:lastRenderedPageBreak/>
        <w:t>“PLAZO RAZONABLE PARA RESOLVER. DIMENSIÓN Y EFECTOS DE ESTE CONCEPTO CUANDO SE ADUCE EXCESIVA CARGA DE TRABAJO.”</w:t>
      </w:r>
      <w:r w:rsidRPr="005301C8">
        <w:rPr>
          <w:rFonts w:ascii="Palatino Linotype" w:hAnsi="Palatino Linotype"/>
        </w:rPr>
        <w:t xml:space="preserve"> consultable en el Seminario Judicial de la Federación y su gaceta, con el registro digital 2002351.</w:t>
      </w:r>
    </w:p>
    <w:p w:rsidR="00821BFB" w:rsidRPr="005301C8" w:rsidRDefault="00821BFB" w:rsidP="00821BFB">
      <w:pPr>
        <w:spacing w:before="240" w:after="240" w:line="360" w:lineRule="auto"/>
        <w:ind w:left="1418"/>
        <w:jc w:val="both"/>
        <w:rPr>
          <w:rFonts w:ascii="Palatino Linotype" w:hAnsi="Palatino Linotype"/>
        </w:rPr>
      </w:pPr>
      <w:r w:rsidRPr="005301C8">
        <w:rPr>
          <w:rFonts w:ascii="Palatino Linotype" w:hAnsi="Palatino Linotype"/>
          <w:b/>
          <w:i/>
        </w:rPr>
        <w:t>“PLAZO RAZONABLE PARA RESOLVER. CONCEPTO Y ELEMENTOS QUE LO INTEGRAN A LA LUZ DEL DERECHO INTERNACIONAL DE LOS DERECHOS HUMANOS.”</w:t>
      </w:r>
      <w:r w:rsidRPr="005301C8">
        <w:rPr>
          <w:rFonts w:ascii="Palatino Linotype" w:hAnsi="Palatino Linotype"/>
        </w:rPr>
        <w:t>, visible en el Seminario Judicial de la Federación y su gaceta, con el registro digital 2002350.</w:t>
      </w:r>
    </w:p>
    <w:p w:rsidR="00821BFB" w:rsidRPr="005301C8" w:rsidRDefault="00821BFB" w:rsidP="00821BFB">
      <w:pPr>
        <w:pStyle w:val="Prrafodelista"/>
        <w:numPr>
          <w:ilvl w:val="0"/>
          <w:numId w:val="1"/>
        </w:numPr>
        <w:spacing w:before="240" w:after="240" w:line="360" w:lineRule="auto"/>
        <w:ind w:left="0" w:firstLine="0"/>
        <w:contextualSpacing w:val="0"/>
        <w:jc w:val="both"/>
        <w:rPr>
          <w:rFonts w:ascii="Palatino Linotype" w:hAnsi="Palatino Linotype"/>
        </w:rPr>
      </w:pPr>
      <w:r w:rsidRPr="005301C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F12093" w:rsidRPr="005301C8" w:rsidRDefault="00F12093" w:rsidP="00F12093">
      <w:pPr>
        <w:pStyle w:val="Ttulo1"/>
        <w:spacing w:before="0" w:line="360" w:lineRule="auto"/>
        <w:jc w:val="center"/>
        <w:rPr>
          <w:szCs w:val="24"/>
        </w:rPr>
      </w:pPr>
      <w:bookmarkStart w:id="5" w:name="_Toc59195556"/>
      <w:bookmarkStart w:id="6" w:name="_Toc89360010"/>
      <w:r w:rsidRPr="005301C8">
        <w:rPr>
          <w:szCs w:val="24"/>
        </w:rPr>
        <w:t>CONSIDERANDO</w:t>
      </w:r>
      <w:bookmarkEnd w:id="5"/>
      <w:bookmarkEnd w:id="6"/>
    </w:p>
    <w:p w:rsidR="00F12093" w:rsidRPr="005301C8" w:rsidRDefault="00F12093" w:rsidP="00F12093">
      <w:pPr>
        <w:pStyle w:val="Ttulo1"/>
        <w:spacing w:before="0" w:line="360" w:lineRule="auto"/>
        <w:jc w:val="center"/>
        <w:rPr>
          <w:szCs w:val="24"/>
        </w:rPr>
      </w:pPr>
      <w:r w:rsidRPr="005301C8">
        <w:rPr>
          <w:szCs w:val="24"/>
        </w:rPr>
        <w:t xml:space="preserve"> </w:t>
      </w:r>
    </w:p>
    <w:p w:rsidR="00F12093" w:rsidRPr="005301C8"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5301C8">
        <w:rPr>
          <w:rFonts w:ascii="Palatino Linotype" w:hAnsi="Palatino Linotype"/>
          <w:b/>
          <w:color w:val="auto"/>
          <w:sz w:val="24"/>
        </w:rPr>
        <w:t>PRIMERO. De la competencia</w:t>
      </w:r>
      <w:bookmarkEnd w:id="7"/>
      <w:bookmarkEnd w:id="8"/>
    </w:p>
    <w:p w:rsidR="00F12093" w:rsidRPr="005301C8" w:rsidRDefault="00F12093" w:rsidP="00F12093">
      <w:pPr>
        <w:spacing w:line="360" w:lineRule="auto"/>
        <w:rPr>
          <w:rFonts w:ascii="Palatino Linotype" w:hAnsi="Palatino Linotype"/>
          <w:lang w:val="es-MX" w:eastAsia="en-US"/>
        </w:rPr>
      </w:pPr>
    </w:p>
    <w:p w:rsidR="00F12093" w:rsidRPr="005301C8"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5301C8">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5301C8">
        <w:rPr>
          <w:rFonts w:ascii="Palatino Linotype" w:eastAsia="Calibri" w:hAnsi="Palatino Linotype" w:cs="Times New Roman"/>
          <w:b/>
          <w:lang w:val="es-ES" w:eastAsia="es-MX"/>
        </w:rPr>
        <w:t>Constitución Política de los Estados Unidos Mexicanos</w:t>
      </w:r>
      <w:r w:rsidRPr="005301C8">
        <w:rPr>
          <w:rFonts w:ascii="Palatino Linotype" w:eastAsia="Calibri" w:hAnsi="Palatino Linotype" w:cs="Times New Roman"/>
          <w:lang w:val="es-ES" w:eastAsia="es-MX"/>
        </w:rPr>
        <w:t xml:space="preserve">; 5, </w:t>
      </w:r>
      <w:r w:rsidRPr="005301C8">
        <w:rPr>
          <w:rFonts w:ascii="Palatino Linotype" w:eastAsia="Calibri" w:hAnsi="Palatino Linotype" w:cs="Times New Roman"/>
          <w:lang w:val="es-MX" w:eastAsia="es-MX"/>
        </w:rPr>
        <w:t xml:space="preserve">párrafos trigésimo, trigésimo primero y trigésimo segundo, fracciones I, II, III, IV y V de la </w:t>
      </w:r>
      <w:r w:rsidRPr="005301C8">
        <w:rPr>
          <w:rFonts w:ascii="Palatino Linotype" w:eastAsia="Calibri" w:hAnsi="Palatino Linotype" w:cs="Times New Roman"/>
          <w:b/>
          <w:lang w:val="es-MX" w:eastAsia="es-MX"/>
        </w:rPr>
        <w:t>Constitución Política del Estado Libre y Soberano de México</w:t>
      </w:r>
      <w:r w:rsidRPr="005301C8">
        <w:rPr>
          <w:rFonts w:ascii="Palatino Linotype" w:eastAsia="Calibri" w:hAnsi="Palatino Linotype" w:cs="Times New Roman"/>
          <w:b/>
          <w:lang w:val="es-ES" w:eastAsia="es-MX"/>
        </w:rPr>
        <w:t>;</w:t>
      </w:r>
      <w:r w:rsidRPr="005301C8">
        <w:rPr>
          <w:rFonts w:ascii="Palatino Linotype" w:eastAsia="Calibri" w:hAnsi="Palatino Linotype" w:cs="Times New Roman"/>
          <w:lang w:val="es-ES" w:eastAsia="es-MX"/>
        </w:rPr>
        <w:t xml:space="preserve"> 1, 3 fracción I, 82, 97, 98, 119, 123, 124, 127, 128 y 133</w:t>
      </w:r>
      <w:r w:rsidRPr="005301C8">
        <w:rPr>
          <w:rFonts w:ascii="Palatino Linotype" w:eastAsia="Times New Roman" w:hAnsi="Palatino Linotype" w:cs="Arial"/>
          <w:lang w:val="es-ES" w:eastAsia="es-MX"/>
        </w:rPr>
        <w:t xml:space="preserve"> </w:t>
      </w:r>
      <w:r w:rsidRPr="005301C8">
        <w:rPr>
          <w:rFonts w:ascii="Palatino Linotype" w:eastAsia="Calibri" w:hAnsi="Palatino Linotype" w:cs="Times New Roman"/>
          <w:b/>
          <w:lang w:val="es-MX" w:eastAsia="es-MX"/>
        </w:rPr>
        <w:t xml:space="preserve">Ley de Protección de Datos Personales en </w:t>
      </w:r>
      <w:r w:rsidRPr="005301C8">
        <w:rPr>
          <w:rFonts w:ascii="Palatino Linotype" w:eastAsia="Calibri" w:hAnsi="Palatino Linotype" w:cs="Times New Roman"/>
          <w:b/>
          <w:lang w:val="es-MX" w:eastAsia="es-MX"/>
        </w:rPr>
        <w:lastRenderedPageBreak/>
        <w:t>Posesión de Sujetos Obligados del Estado de México y Municipios</w:t>
      </w:r>
      <w:r w:rsidRPr="005301C8">
        <w:rPr>
          <w:rFonts w:ascii="Palatino Linotype" w:eastAsia="Calibri" w:hAnsi="Palatino Linotype" w:cs="Arial"/>
          <w:lang w:val="es-ES" w:eastAsia="es-MX"/>
        </w:rPr>
        <w:t xml:space="preserve">; y 10, 7, 9 fracciones I y XXIV, y 11 del </w:t>
      </w:r>
      <w:r w:rsidRPr="005301C8">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F12093" w:rsidRPr="005301C8" w:rsidRDefault="00F12093" w:rsidP="00F12093">
      <w:pPr>
        <w:spacing w:line="360" w:lineRule="auto"/>
        <w:contextualSpacing/>
        <w:jc w:val="both"/>
        <w:rPr>
          <w:rFonts w:ascii="Palatino Linotype" w:eastAsia="Times New Roman" w:hAnsi="Palatino Linotype" w:cs="Times New Roman"/>
          <w:lang w:val="es-MX" w:eastAsia="es-MX"/>
        </w:rPr>
      </w:pPr>
    </w:p>
    <w:p w:rsidR="00F24565" w:rsidRPr="005301C8" w:rsidRDefault="00F24565" w:rsidP="00F12093">
      <w:pPr>
        <w:spacing w:line="360" w:lineRule="auto"/>
        <w:contextualSpacing/>
        <w:jc w:val="both"/>
        <w:rPr>
          <w:rFonts w:ascii="Palatino Linotype" w:eastAsia="Times New Roman" w:hAnsi="Palatino Linotype" w:cs="Times New Roman"/>
          <w:lang w:val="es-MX" w:eastAsia="es-MX"/>
        </w:rPr>
      </w:pPr>
    </w:p>
    <w:p w:rsidR="00F12093" w:rsidRPr="005301C8" w:rsidRDefault="00F12093" w:rsidP="00F12093">
      <w:pPr>
        <w:pStyle w:val="Ttulo2"/>
        <w:spacing w:before="0" w:line="360" w:lineRule="auto"/>
        <w:rPr>
          <w:rFonts w:ascii="Palatino Linotype" w:hAnsi="Palatino Linotype"/>
          <w:b/>
          <w:color w:val="auto"/>
          <w:sz w:val="24"/>
          <w:szCs w:val="24"/>
        </w:rPr>
      </w:pPr>
      <w:r w:rsidRPr="005301C8">
        <w:rPr>
          <w:rFonts w:ascii="Palatino Linotype" w:hAnsi="Palatino Linotype"/>
          <w:b/>
          <w:color w:val="auto"/>
          <w:sz w:val="24"/>
          <w:szCs w:val="24"/>
        </w:rPr>
        <w:t>SEGUNDO. De la oportunidad y procedencia.</w:t>
      </w:r>
      <w:bookmarkEnd w:id="9"/>
      <w:bookmarkEnd w:id="10"/>
    </w:p>
    <w:p w:rsidR="00F12093" w:rsidRPr="005301C8" w:rsidRDefault="00F12093" w:rsidP="00F12093">
      <w:pPr>
        <w:rPr>
          <w:lang w:val="es-MX" w:eastAsia="en-US"/>
        </w:rPr>
      </w:pPr>
    </w:p>
    <w:p w:rsidR="00F12093" w:rsidRPr="005301C8" w:rsidRDefault="00F12093" w:rsidP="00F12093">
      <w:pPr>
        <w:pStyle w:val="Prrafodelista"/>
        <w:numPr>
          <w:ilvl w:val="0"/>
          <w:numId w:val="1"/>
        </w:numPr>
        <w:spacing w:line="360" w:lineRule="auto"/>
        <w:ind w:left="0" w:right="49" w:firstLine="0"/>
        <w:jc w:val="both"/>
        <w:rPr>
          <w:rFonts w:ascii="Palatino Linotype" w:hAnsi="Palatino Linotype"/>
        </w:rPr>
      </w:pPr>
      <w:r w:rsidRPr="005301C8">
        <w:rPr>
          <w:rFonts w:ascii="Palatino Linotype" w:eastAsia="Calibri" w:hAnsi="Palatino Linotype" w:cs="Arial"/>
        </w:rPr>
        <w:t xml:space="preserve">Los medios de impugnación fueron presentados a través del </w:t>
      </w:r>
      <w:r w:rsidRPr="005301C8">
        <w:rPr>
          <w:rFonts w:ascii="Palatino Linotype" w:eastAsia="Calibri" w:hAnsi="Palatino Linotype" w:cs="Arial"/>
          <w:b/>
        </w:rPr>
        <w:t>SAIMEX,</w:t>
      </w:r>
      <w:r w:rsidRPr="005301C8">
        <w:rPr>
          <w:rFonts w:ascii="Palatino Linotype" w:eastAsia="Calibri" w:hAnsi="Palatino Linotype" w:cs="Arial"/>
        </w:rPr>
        <w:t xml:space="preserve"> en el formato previamente aprobado para tal efecto y dentro del plazo legal de quince días hábiles otorgados; siendo así que el </w:t>
      </w:r>
      <w:r w:rsidRPr="005301C8">
        <w:rPr>
          <w:rFonts w:ascii="Palatino Linotype" w:eastAsia="Calibri" w:hAnsi="Palatino Linotype" w:cs="Arial"/>
          <w:b/>
        </w:rPr>
        <w:t>SUJETO OBLIGADO</w:t>
      </w:r>
      <w:r w:rsidRPr="005301C8">
        <w:rPr>
          <w:rFonts w:ascii="Palatino Linotype" w:eastAsia="Calibri" w:hAnsi="Palatino Linotype" w:cs="Arial"/>
        </w:rPr>
        <w:t xml:space="preserve"> entregó respuesta </w:t>
      </w:r>
      <w:r w:rsidR="00160482" w:rsidRPr="005301C8">
        <w:rPr>
          <w:rFonts w:ascii="Palatino Linotype" w:eastAsia="Calibri" w:hAnsi="Palatino Linotype" w:cs="Arial"/>
        </w:rPr>
        <w:t xml:space="preserve">el </w:t>
      </w:r>
      <w:r w:rsidR="00F24565" w:rsidRPr="005301C8">
        <w:rPr>
          <w:rFonts w:ascii="Palatino Linotype" w:eastAsia="Calibri" w:hAnsi="Palatino Linotype" w:cs="Arial"/>
        </w:rPr>
        <w:t>cinco (05) de abril</w:t>
      </w:r>
      <w:r w:rsidR="001378B2" w:rsidRPr="005301C8">
        <w:rPr>
          <w:rFonts w:ascii="Palatino Linotype" w:eastAsia="Calibri" w:hAnsi="Palatino Linotype" w:cs="Arial"/>
        </w:rPr>
        <w:t xml:space="preserve"> </w:t>
      </w:r>
      <w:r w:rsidR="001C10E6" w:rsidRPr="005301C8">
        <w:rPr>
          <w:rFonts w:ascii="Palatino Linotype" w:eastAsia="Calibri" w:hAnsi="Palatino Linotype" w:cs="Arial"/>
        </w:rPr>
        <w:t xml:space="preserve"> de dos mil veintidós</w:t>
      </w:r>
      <w:r w:rsidRPr="005301C8">
        <w:rPr>
          <w:rFonts w:ascii="Palatino Linotype" w:eastAsia="Calibri" w:hAnsi="Palatino Linotype" w:cs="Arial"/>
        </w:rPr>
        <w:t xml:space="preserve">, </w:t>
      </w:r>
      <w:r w:rsidRPr="005301C8">
        <w:rPr>
          <w:rFonts w:ascii="Palatino Linotype" w:hAnsi="Palatino Linotype" w:cs="Arial"/>
        </w:rPr>
        <w:t xml:space="preserve">de tal forma que el plazo para interponer el recurso de revisión transcurrió del </w:t>
      </w:r>
      <w:r w:rsidR="00F24565" w:rsidRPr="005301C8">
        <w:rPr>
          <w:rFonts w:ascii="Palatino Linotype" w:hAnsi="Palatino Linotype" w:cs="Arial"/>
        </w:rPr>
        <w:t>seis (06) de abril</w:t>
      </w:r>
      <w:r w:rsidR="00765091" w:rsidRPr="005301C8">
        <w:rPr>
          <w:rFonts w:ascii="Palatino Linotype" w:hAnsi="Palatino Linotype" w:cs="Arial"/>
        </w:rPr>
        <w:t xml:space="preserve"> </w:t>
      </w:r>
      <w:r w:rsidRPr="005301C8">
        <w:rPr>
          <w:rFonts w:ascii="Palatino Linotype" w:hAnsi="Palatino Linotype" w:cs="Arial"/>
        </w:rPr>
        <w:t xml:space="preserve"> al </w:t>
      </w:r>
      <w:r w:rsidR="00F24565" w:rsidRPr="005301C8">
        <w:rPr>
          <w:rFonts w:ascii="Palatino Linotype" w:hAnsi="Palatino Linotype" w:cs="Arial"/>
        </w:rPr>
        <w:t xml:space="preserve">tres (03) de mayo </w:t>
      </w:r>
      <w:r w:rsidR="0083334B" w:rsidRPr="005301C8">
        <w:rPr>
          <w:rFonts w:ascii="Palatino Linotype" w:hAnsi="Palatino Linotype" w:cs="Arial"/>
        </w:rPr>
        <w:t xml:space="preserve"> </w:t>
      </w:r>
      <w:r w:rsidR="00160482" w:rsidRPr="005301C8">
        <w:rPr>
          <w:rFonts w:ascii="Palatino Linotype" w:hAnsi="Palatino Linotype" w:cs="Arial"/>
        </w:rPr>
        <w:t>de dos mil veintidós</w:t>
      </w:r>
      <w:r w:rsidRPr="005301C8">
        <w:rPr>
          <w:rFonts w:ascii="Palatino Linotype" w:hAnsi="Palatino Linotype" w:cs="Arial"/>
        </w:rPr>
        <w:t xml:space="preserve">; en consecuencia, presentó su inconformidad el día </w:t>
      </w:r>
      <w:r w:rsidR="00E47F85" w:rsidRPr="005301C8">
        <w:rPr>
          <w:rFonts w:ascii="Palatino Linotype" w:hAnsi="Palatino Linotype" w:cs="Arial"/>
        </w:rPr>
        <w:t xml:space="preserve">cinco (05) de abril </w:t>
      </w:r>
      <w:r w:rsidR="0083334B" w:rsidRPr="005301C8">
        <w:rPr>
          <w:rFonts w:ascii="Palatino Linotype" w:hAnsi="Palatino Linotype" w:cs="Arial"/>
        </w:rPr>
        <w:t xml:space="preserve"> </w:t>
      </w:r>
      <w:r w:rsidR="001C10E6" w:rsidRPr="005301C8">
        <w:rPr>
          <w:rFonts w:ascii="Palatino Linotype" w:hAnsi="Palatino Linotype" w:cs="Arial"/>
        </w:rPr>
        <w:t xml:space="preserve"> de dos mil veintidós</w:t>
      </w:r>
      <w:r w:rsidRPr="005301C8">
        <w:rPr>
          <w:rFonts w:ascii="Palatino Linotype" w:hAnsi="Palatino Linotype" w:cs="Arial"/>
        </w:rPr>
        <w:t xml:space="preserve">, por lo que se encuentra dentro de los márgenes temporales previstos en el artículo 178 de la </w:t>
      </w:r>
      <w:r w:rsidRPr="005301C8">
        <w:rPr>
          <w:rFonts w:ascii="Palatino Linotype" w:hAnsi="Palatino Linotype" w:cs="Arial"/>
          <w:b/>
        </w:rPr>
        <w:t>Ley de Transparencia y Acceso a la Información Pública del Estado de México y Municipios vigente.</w:t>
      </w:r>
    </w:p>
    <w:p w:rsidR="0083334B" w:rsidRPr="005301C8" w:rsidRDefault="0083334B" w:rsidP="0083334B">
      <w:pPr>
        <w:pStyle w:val="Prrafodelista"/>
        <w:spacing w:line="360" w:lineRule="auto"/>
        <w:ind w:left="0" w:right="49"/>
        <w:jc w:val="both"/>
        <w:rPr>
          <w:rFonts w:ascii="Palatino Linotype" w:hAnsi="Palatino Linotype"/>
        </w:rPr>
      </w:pPr>
    </w:p>
    <w:p w:rsidR="0083334B" w:rsidRPr="005301C8" w:rsidRDefault="0083334B" w:rsidP="0083334B">
      <w:pPr>
        <w:pStyle w:val="Prrafodelista"/>
        <w:numPr>
          <w:ilvl w:val="0"/>
          <w:numId w:val="1"/>
        </w:numPr>
        <w:spacing w:before="240" w:after="240" w:line="360" w:lineRule="auto"/>
        <w:ind w:left="0" w:right="49" w:firstLine="0"/>
        <w:jc w:val="both"/>
        <w:rPr>
          <w:rFonts w:ascii="Palatino Linotype" w:hAnsi="Palatino Linotype" w:cs="Arial"/>
          <w:color w:val="000000"/>
        </w:rPr>
      </w:pPr>
      <w:r w:rsidRPr="005301C8">
        <w:rPr>
          <w:rFonts w:ascii="Palatino Linotype" w:hAnsi="Palatino Linotype" w:cs="Arial"/>
        </w:rPr>
        <w:t xml:space="preserve">Con base en lo anterior, es </w:t>
      </w:r>
      <w:r w:rsidRPr="005301C8">
        <w:rPr>
          <w:rFonts w:ascii="Palatino Linotype" w:hAnsi="Palatino Linotype" w:cs="Arial"/>
          <w:color w:val="000000"/>
        </w:rPr>
        <w:t xml:space="preserve">importante hacer mención que, el recurso de revisión se interpuso el mismo día en que se dio respuesta, siendo que la Ley en Materia señala lo siguiente: </w:t>
      </w:r>
    </w:p>
    <w:p w:rsidR="0083334B" w:rsidRPr="005301C8" w:rsidRDefault="0083334B" w:rsidP="0083334B">
      <w:pPr>
        <w:autoSpaceDE w:val="0"/>
        <w:autoSpaceDN w:val="0"/>
        <w:adjustRightInd w:val="0"/>
        <w:spacing w:line="360" w:lineRule="auto"/>
        <w:ind w:left="851" w:right="567"/>
        <w:jc w:val="both"/>
        <w:rPr>
          <w:rFonts w:ascii="Palatino Linotype" w:eastAsiaTheme="minorHAnsi" w:hAnsi="Palatino Linotype" w:cs="Arial"/>
          <w:b/>
          <w:bCs/>
          <w:i/>
          <w:sz w:val="22"/>
          <w:szCs w:val="18"/>
          <w:lang w:eastAsia="en-US"/>
        </w:rPr>
      </w:pPr>
      <w:r w:rsidRPr="005301C8">
        <w:rPr>
          <w:rFonts w:ascii="Palatino Linotype" w:eastAsiaTheme="minorHAnsi" w:hAnsi="Palatino Linotype" w:cs="Arial"/>
          <w:b/>
          <w:bCs/>
          <w:i/>
          <w:sz w:val="22"/>
          <w:szCs w:val="18"/>
          <w:lang w:eastAsia="en-US"/>
        </w:rPr>
        <w:t>Plazo para interponer recurso de revisión</w:t>
      </w:r>
    </w:p>
    <w:p w:rsidR="0083334B" w:rsidRPr="005301C8" w:rsidRDefault="0083334B" w:rsidP="0083334B">
      <w:pPr>
        <w:autoSpaceDE w:val="0"/>
        <w:autoSpaceDN w:val="0"/>
        <w:adjustRightInd w:val="0"/>
        <w:spacing w:line="360" w:lineRule="auto"/>
        <w:ind w:left="851" w:right="567"/>
        <w:jc w:val="both"/>
        <w:rPr>
          <w:rFonts w:ascii="Palatino Linotype" w:hAnsi="Palatino Linotype" w:cs="Bookman Old Style,Bold"/>
          <w:b/>
          <w:bCs/>
          <w:i/>
          <w:sz w:val="28"/>
          <w:lang w:val="es-ES"/>
        </w:rPr>
      </w:pPr>
      <w:r w:rsidRPr="005301C8">
        <w:rPr>
          <w:rFonts w:ascii="Palatino Linotype" w:eastAsiaTheme="minorHAnsi" w:hAnsi="Palatino Linotype" w:cs="Arial"/>
          <w:b/>
          <w:bCs/>
          <w:i/>
          <w:sz w:val="22"/>
          <w:szCs w:val="18"/>
          <w:lang w:eastAsia="en-US"/>
        </w:rPr>
        <w:t xml:space="preserve">Artículo 128. </w:t>
      </w:r>
      <w:r w:rsidRPr="005301C8">
        <w:rPr>
          <w:rFonts w:ascii="Palatino Linotype" w:eastAsiaTheme="minorHAnsi" w:hAnsi="Palatino Linotype" w:cs="Arial"/>
          <w:i/>
          <w:sz w:val="22"/>
          <w:szCs w:val="18"/>
          <w:lang w:eastAsia="en-US"/>
        </w:rPr>
        <w:t xml:space="preserve">El titular, por sí mismo o a través de su representante, podrán interponer un recurso de revisión ante el Instituto o la Unidad de Transparencia del responsable que haya conocido de la solicitud para el ejercicio de los derechos ARCO, </w:t>
      </w:r>
      <w:r w:rsidRPr="005301C8">
        <w:rPr>
          <w:rFonts w:ascii="Palatino Linotype" w:eastAsiaTheme="minorHAnsi" w:hAnsi="Palatino Linotype" w:cs="Arial"/>
          <w:i/>
          <w:sz w:val="22"/>
          <w:szCs w:val="18"/>
          <w:lang w:eastAsia="en-US"/>
        </w:rPr>
        <w:lastRenderedPageBreak/>
        <w:t>dentro de un plazo que no podrá exceder de quince días contados a partir del siguiente a la fecha de la notificación de la respuesta.</w:t>
      </w:r>
    </w:p>
    <w:p w:rsidR="0083334B" w:rsidRPr="005301C8" w:rsidRDefault="0083334B" w:rsidP="0083334B">
      <w:pPr>
        <w:autoSpaceDE w:val="0"/>
        <w:autoSpaceDN w:val="0"/>
        <w:adjustRightInd w:val="0"/>
        <w:spacing w:line="360" w:lineRule="auto"/>
        <w:ind w:left="567" w:right="567"/>
        <w:jc w:val="both"/>
        <w:rPr>
          <w:rFonts w:ascii="Palatino Linotype" w:hAnsi="Palatino Linotype" w:cs="Bookman Old Style,Bold"/>
          <w:b/>
          <w:bCs/>
          <w:i/>
          <w:sz w:val="22"/>
          <w:lang w:val="es-ES"/>
        </w:rPr>
      </w:pPr>
    </w:p>
    <w:p w:rsidR="0083334B" w:rsidRPr="005301C8" w:rsidRDefault="0083334B" w:rsidP="0083334B">
      <w:pPr>
        <w:pStyle w:val="Prrafodelista"/>
        <w:numPr>
          <w:ilvl w:val="0"/>
          <w:numId w:val="1"/>
        </w:numPr>
        <w:spacing w:line="360" w:lineRule="auto"/>
        <w:ind w:left="0" w:right="49" w:firstLine="0"/>
        <w:jc w:val="both"/>
        <w:rPr>
          <w:rFonts w:ascii="Palatino Linotype" w:hAnsi="Palatino Linotype" w:cs="Arial"/>
          <w:color w:val="000000"/>
        </w:rPr>
      </w:pPr>
      <w:r w:rsidRPr="005301C8">
        <w:rPr>
          <w:rFonts w:ascii="Palatino Linotype"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5301C8">
        <w:rPr>
          <w:rFonts w:ascii="Palatino Linotype"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83334B" w:rsidRPr="005301C8" w:rsidRDefault="0083334B" w:rsidP="0083334B">
      <w:pPr>
        <w:spacing w:before="240" w:after="240" w:line="360" w:lineRule="auto"/>
        <w:ind w:left="851" w:right="567"/>
        <w:jc w:val="both"/>
        <w:rPr>
          <w:rFonts w:ascii="Palatino Linotype" w:hAnsi="Palatino Linotype" w:cs="Arial"/>
          <w:sz w:val="22"/>
        </w:rPr>
      </w:pPr>
      <w:r w:rsidRPr="005301C8">
        <w:rPr>
          <w:rFonts w:ascii="Palatino Linotype" w:hAnsi="Palatino Linotype" w:cs="Arial"/>
          <w:b/>
          <w:i/>
          <w:iCs/>
          <w:sz w:val="22"/>
        </w:rPr>
        <w:t>RECURSO DE RECLAMACIÓN. SU INTERPOSICIÓN NO ES EXTEMPORÁNEA SI SE REALIZA ANTES DE QUE INICIE EL PLAZO PARA HACERLO</w:t>
      </w:r>
      <w:r w:rsidRPr="005301C8">
        <w:rPr>
          <w:rFonts w:ascii="Palatino Linotype" w:hAnsi="Palatino Linotype" w:cs="Arial"/>
          <w:i/>
          <w:iCs/>
          <w:sz w:val="22"/>
        </w:rPr>
        <w:t>.</w:t>
      </w:r>
    </w:p>
    <w:p w:rsidR="0083334B" w:rsidRPr="005301C8" w:rsidRDefault="0083334B" w:rsidP="0083334B">
      <w:pPr>
        <w:spacing w:before="240" w:after="240" w:line="360" w:lineRule="auto"/>
        <w:ind w:left="851" w:right="567"/>
        <w:jc w:val="both"/>
        <w:rPr>
          <w:rFonts w:ascii="Palatino Linotype" w:hAnsi="Palatino Linotype" w:cs="Arial"/>
          <w:sz w:val="22"/>
        </w:rPr>
      </w:pPr>
      <w:r w:rsidRPr="005301C8">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5301C8">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5301C8">
        <w:rPr>
          <w:rFonts w:ascii="Palatino Linotype" w:hAnsi="Palatino Linotype" w:cs="Arial"/>
          <w:i/>
          <w:iCs/>
          <w:sz w:val="22"/>
        </w:rPr>
        <w:t>.</w:t>
      </w:r>
    </w:p>
    <w:p w:rsidR="0083334B" w:rsidRPr="005301C8" w:rsidRDefault="0083334B" w:rsidP="0083334B">
      <w:pPr>
        <w:spacing w:before="240" w:after="240" w:line="360" w:lineRule="auto"/>
        <w:ind w:left="851" w:right="567"/>
        <w:jc w:val="both"/>
        <w:rPr>
          <w:rFonts w:ascii="Palatino Linotype" w:hAnsi="Palatino Linotype" w:cs="Arial"/>
          <w:i/>
          <w:iCs/>
          <w:sz w:val="22"/>
        </w:rPr>
      </w:pPr>
      <w:r w:rsidRPr="005301C8">
        <w:rPr>
          <w:rFonts w:ascii="Palatino Linotype" w:hAnsi="Palatino Linotype" w:cs="Arial"/>
          <w:i/>
          <w:iCs/>
          <w:sz w:val="22"/>
        </w:rPr>
        <w:t>De ahí que si dicho recurso se interpone antes de que inicie el plazo para hacerlo, su presentación no es extemporánea.</w:t>
      </w:r>
    </w:p>
    <w:p w:rsidR="00F12093" w:rsidRPr="005301C8" w:rsidRDefault="0083334B" w:rsidP="001C10E6">
      <w:pPr>
        <w:pStyle w:val="Prrafodelista"/>
        <w:numPr>
          <w:ilvl w:val="0"/>
          <w:numId w:val="1"/>
        </w:numPr>
        <w:spacing w:line="360" w:lineRule="auto"/>
        <w:ind w:left="0" w:right="49" w:firstLine="0"/>
        <w:jc w:val="both"/>
        <w:rPr>
          <w:rFonts w:ascii="Palatino Linotype" w:hAnsi="Palatino Linotype"/>
        </w:rPr>
      </w:pPr>
      <w:r w:rsidRPr="005301C8">
        <w:rPr>
          <w:rFonts w:ascii="Palatino Linotype" w:hAnsi="Palatino Linotype"/>
        </w:rPr>
        <w:t>En ese sentido, no existiendo causas de desechamiento por extemporáneo o anticipado, el recurso de revisión que hoy nos ocupa, es procedente.</w:t>
      </w:r>
    </w:p>
    <w:p w:rsidR="0002024B" w:rsidRPr="005301C8" w:rsidRDefault="0002024B" w:rsidP="0002024B">
      <w:pPr>
        <w:pStyle w:val="Prrafodelista"/>
        <w:spacing w:line="360" w:lineRule="auto"/>
        <w:ind w:left="0" w:right="49"/>
        <w:jc w:val="both"/>
        <w:rPr>
          <w:rFonts w:ascii="Palatino Linotype" w:hAnsi="Palatino Linotype"/>
        </w:rPr>
      </w:pPr>
    </w:p>
    <w:p w:rsidR="0083334B" w:rsidRPr="005301C8" w:rsidRDefault="00F12093" w:rsidP="0083334B">
      <w:pPr>
        <w:pStyle w:val="Prrafodelista"/>
        <w:numPr>
          <w:ilvl w:val="0"/>
          <w:numId w:val="1"/>
        </w:numPr>
        <w:spacing w:line="360" w:lineRule="auto"/>
        <w:ind w:left="0" w:right="49" w:firstLine="0"/>
        <w:jc w:val="both"/>
        <w:rPr>
          <w:rFonts w:ascii="Palatino Linotype" w:hAnsi="Palatino Linotype"/>
        </w:rPr>
      </w:pPr>
      <w:r w:rsidRPr="005301C8">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3334B" w:rsidRPr="005301C8" w:rsidRDefault="0083334B" w:rsidP="00A20DD5">
      <w:pPr>
        <w:pStyle w:val="Ttulo1"/>
        <w:spacing w:line="360" w:lineRule="auto"/>
        <w:rPr>
          <w:b w:val="0"/>
        </w:rPr>
      </w:pPr>
      <w:bookmarkStart w:id="11" w:name="_Toc82017149"/>
      <w:bookmarkStart w:id="12" w:name="_Toc459174366"/>
      <w:bookmarkStart w:id="13" w:name="_Toc459659884"/>
      <w:bookmarkStart w:id="14" w:name="_Toc461687280"/>
      <w:bookmarkStart w:id="15" w:name="_Toc462771051"/>
      <w:bookmarkStart w:id="16" w:name="_Toc464139201"/>
      <w:bookmarkStart w:id="17" w:name="_Toc87456489"/>
      <w:r w:rsidRPr="005301C8">
        <w:t>TERCERO. De las causales del sobreseimiento.</w:t>
      </w:r>
      <w:bookmarkEnd w:id="11"/>
    </w:p>
    <w:p w:rsidR="0083334B" w:rsidRPr="005301C8" w:rsidRDefault="0083334B" w:rsidP="00333CE6">
      <w:pPr>
        <w:pStyle w:val="Prrafodelista"/>
        <w:numPr>
          <w:ilvl w:val="0"/>
          <w:numId w:val="1"/>
        </w:numPr>
        <w:spacing w:before="240" w:after="240" w:line="360" w:lineRule="auto"/>
        <w:ind w:left="0" w:right="49" w:firstLine="0"/>
        <w:jc w:val="both"/>
        <w:rPr>
          <w:rFonts w:ascii="Palatino Linotype" w:hAnsi="Palatino Linotype"/>
          <w:bCs/>
        </w:rPr>
      </w:pPr>
      <w:r w:rsidRPr="005301C8">
        <w:rPr>
          <w:rFonts w:ascii="Palatino Linotype" w:hAnsi="Palatino Linotype"/>
          <w:bCs/>
        </w:rPr>
        <w:t>El recurrente solicitó la siguiente información:</w:t>
      </w:r>
    </w:p>
    <w:p w:rsidR="0083334B" w:rsidRPr="005301C8" w:rsidRDefault="0083334B" w:rsidP="0083334B">
      <w:pPr>
        <w:pStyle w:val="Prrafodelista"/>
        <w:spacing w:before="240" w:after="240" w:line="360" w:lineRule="auto"/>
        <w:ind w:left="0" w:right="49"/>
        <w:jc w:val="both"/>
        <w:rPr>
          <w:rFonts w:ascii="Palatino Linotype" w:hAnsi="Palatino Linotype"/>
          <w:bCs/>
        </w:rPr>
      </w:pPr>
    </w:p>
    <w:p w:rsidR="00333CE6" w:rsidRPr="005301C8" w:rsidRDefault="00333CE6" w:rsidP="00A20DD5">
      <w:pPr>
        <w:pStyle w:val="Prrafodelista"/>
        <w:spacing w:before="240" w:after="240" w:line="360" w:lineRule="auto"/>
        <w:ind w:left="851" w:right="567"/>
        <w:jc w:val="both"/>
        <w:rPr>
          <w:rFonts w:ascii="Palatino Linotype" w:hAnsi="Palatino Linotype"/>
          <w:bCs/>
          <w:i/>
          <w:sz w:val="22"/>
          <w:lang w:val="es-ES"/>
        </w:rPr>
      </w:pPr>
      <w:r w:rsidRPr="005301C8">
        <w:rPr>
          <w:rFonts w:ascii="Palatino Linotype" w:hAnsi="Palatino Linotype"/>
          <w:bCs/>
          <w:i/>
          <w:sz w:val="22"/>
          <w:lang w:val="es-ES"/>
        </w:rPr>
        <w:t>“</w:t>
      </w:r>
      <w:r w:rsidR="0002024B" w:rsidRPr="005301C8">
        <w:rPr>
          <w:rFonts w:ascii="Palatino Linotype" w:hAnsi="Palatino Linotype"/>
          <w:bCs/>
          <w:i/>
          <w:sz w:val="22"/>
        </w:rPr>
        <w:t>saber si es legal si un servidor publico puede ocupar dos cargos en diferentes municipios, es decir, nadya karen morales victor, esta percibiendo sueldo en el municipio de Atenco y a su vez en el municipio de Chiconcuac, de igual manera, si no esta permitido, que acciones esta realizando la contraloria interna al respecto, así como la Presidenta Municipal.</w:t>
      </w:r>
      <w:r w:rsidRPr="005301C8">
        <w:rPr>
          <w:rFonts w:ascii="Palatino Linotype" w:hAnsi="Palatino Linotype"/>
          <w:bCs/>
          <w:i/>
          <w:sz w:val="22"/>
        </w:rPr>
        <w:t xml:space="preserve">" </w:t>
      </w:r>
      <w:r w:rsidRPr="005301C8">
        <w:rPr>
          <w:rFonts w:ascii="Palatino Linotype" w:hAnsi="Palatino Linotype"/>
          <w:bCs/>
          <w:i/>
          <w:sz w:val="22"/>
          <w:lang w:val="es-ES"/>
        </w:rPr>
        <w:t xml:space="preserve"> (Sic)</w:t>
      </w:r>
    </w:p>
    <w:p w:rsidR="0083334B" w:rsidRPr="005301C8" w:rsidRDefault="0083334B" w:rsidP="0083334B">
      <w:pPr>
        <w:pStyle w:val="Prrafodelista"/>
        <w:spacing w:before="240" w:after="240" w:line="360" w:lineRule="auto"/>
        <w:ind w:left="0" w:right="49"/>
        <w:jc w:val="both"/>
        <w:rPr>
          <w:rFonts w:ascii="Palatino Linotype" w:hAnsi="Palatino Linotype"/>
        </w:rPr>
      </w:pPr>
    </w:p>
    <w:p w:rsidR="0083334B" w:rsidRPr="005301C8" w:rsidRDefault="0083334B" w:rsidP="00333CE6">
      <w:pPr>
        <w:pStyle w:val="Prrafodelista"/>
        <w:numPr>
          <w:ilvl w:val="0"/>
          <w:numId w:val="1"/>
        </w:numPr>
        <w:spacing w:before="240" w:after="240" w:line="360" w:lineRule="auto"/>
        <w:ind w:left="0" w:right="49" w:firstLine="0"/>
        <w:jc w:val="both"/>
        <w:rPr>
          <w:rFonts w:ascii="Palatino Linotype" w:hAnsi="Palatino Linotype"/>
        </w:rPr>
      </w:pPr>
      <w:r w:rsidRPr="005301C8">
        <w:rPr>
          <w:rFonts w:ascii="Palatino Linotype" w:hAnsi="Palatino Linotype"/>
        </w:rPr>
        <w:t xml:space="preserve">El Sujeto Obligado </w:t>
      </w:r>
      <w:r w:rsidR="00333CE6" w:rsidRPr="005301C8">
        <w:rPr>
          <w:rFonts w:ascii="Palatino Linotype" w:hAnsi="Palatino Linotype"/>
        </w:rPr>
        <w:t xml:space="preserve">manifestó </w:t>
      </w:r>
      <w:r w:rsidR="00340025" w:rsidRPr="005301C8">
        <w:rPr>
          <w:rFonts w:ascii="Palatino Linotype" w:hAnsi="Palatino Linotype"/>
        </w:rPr>
        <w:t xml:space="preserve">en respuesta </w:t>
      </w:r>
      <w:r w:rsidR="00333CE6" w:rsidRPr="005301C8">
        <w:rPr>
          <w:rFonts w:ascii="Palatino Linotype" w:hAnsi="Palatino Linotype"/>
        </w:rPr>
        <w:t xml:space="preserve"> </w:t>
      </w:r>
      <w:r w:rsidR="00340025" w:rsidRPr="005301C8">
        <w:rPr>
          <w:rFonts w:ascii="Palatino Linotype" w:hAnsi="Palatino Linotype"/>
        </w:rPr>
        <w:t xml:space="preserve">referente a la </w:t>
      </w:r>
      <w:r w:rsidR="001B2D73" w:rsidRPr="005301C8">
        <w:rPr>
          <w:rFonts w:ascii="Palatino Linotype" w:hAnsi="Palatino Linotype"/>
        </w:rPr>
        <w:t xml:space="preserve">información </w:t>
      </w:r>
      <w:r w:rsidR="00340025" w:rsidRPr="005301C8">
        <w:rPr>
          <w:rFonts w:ascii="Palatino Linotype" w:hAnsi="Palatino Linotype"/>
        </w:rPr>
        <w:t>generada en la oficina, que con fecha 1 de enero de 2022 la C. Nadya Kren Morales Víctor, ingresó a trabajar a el municipio de Atenco, información que fue girada a este Órgano Interno de Control pro la jefatura de recursos Humanos, informando que con fecha 31 de diciembre del 2021 había concluido la relación laboral en otro municipio y que derivado de programa de evolución patrimonial “Back Office” que este Órgano de Control alimenta, no presentó ningún impedimento para que la servidora Público antes mencionada realizara su declaración inicial.</w:t>
      </w:r>
    </w:p>
    <w:p w:rsidR="001B2D73" w:rsidRPr="005301C8" w:rsidRDefault="001B2D73" w:rsidP="001B2D73">
      <w:pPr>
        <w:pStyle w:val="Prrafodelista"/>
        <w:spacing w:before="240" w:after="240" w:line="360" w:lineRule="auto"/>
        <w:ind w:left="0" w:right="49"/>
        <w:jc w:val="both"/>
        <w:rPr>
          <w:rFonts w:ascii="Palatino Linotype" w:hAnsi="Palatino Linotype"/>
        </w:rPr>
      </w:pPr>
    </w:p>
    <w:p w:rsidR="001B2D73" w:rsidRPr="005301C8" w:rsidRDefault="001B2D73" w:rsidP="001B2D73">
      <w:pPr>
        <w:pStyle w:val="Prrafodelista"/>
        <w:numPr>
          <w:ilvl w:val="0"/>
          <w:numId w:val="1"/>
        </w:numPr>
        <w:spacing w:before="240" w:after="240" w:line="360" w:lineRule="auto"/>
        <w:ind w:left="0" w:right="49" w:firstLine="0"/>
        <w:jc w:val="both"/>
        <w:rPr>
          <w:rFonts w:ascii="Palatino Linotype" w:hAnsi="Palatino Linotype"/>
        </w:rPr>
      </w:pPr>
      <w:r w:rsidRPr="005301C8">
        <w:rPr>
          <w:rFonts w:ascii="Palatino Linotype" w:hAnsi="Palatino Linotype"/>
        </w:rPr>
        <w:lastRenderedPageBreak/>
        <w:t>Inconforme con la respuesta, el particular interpuso recurso de revisión mediante el cual manifestó como razones o motivos de inconformidad “</w:t>
      </w:r>
      <w:r w:rsidRPr="005301C8">
        <w:rPr>
          <w:rFonts w:ascii="Palatino Linotype" w:hAnsi="Palatino Linotype"/>
          <w:i/>
          <w:color w:val="000000"/>
          <w:szCs w:val="14"/>
        </w:rPr>
        <w:t>Mi petición versa en el sentido que es información de interés público, puesto que, el sueldo que perciben los servidores públicos se genera del recurso que ingresa a la tesorería municipal, por tal motivo, si no es legal el percibir dos salarios en diferentes municipios, es un daño a la hacienda publica municipal, por ello mi interés, el sujeto obligado que contesta no define si es legal o no, solo se delimita a decir que por dicho de la servidor publico no tiene problema de obtener un cargo, y ¿dónde quedan todos los mecanismos inherentes al sistema anticorrupción?”</w:t>
      </w:r>
    </w:p>
    <w:p w:rsidR="00A20DD5" w:rsidRPr="005301C8" w:rsidRDefault="00A20DD5" w:rsidP="00A20DD5">
      <w:pPr>
        <w:numPr>
          <w:ilvl w:val="0"/>
          <w:numId w:val="1"/>
        </w:numPr>
        <w:spacing w:line="360" w:lineRule="auto"/>
        <w:ind w:left="0" w:firstLine="0"/>
        <w:contextualSpacing/>
        <w:jc w:val="both"/>
        <w:rPr>
          <w:rFonts w:ascii="Palatino Linotype" w:eastAsia="MS Mincho" w:hAnsi="Palatino Linotype" w:cs="Times New Roman"/>
          <w:lang w:val="es-MX" w:eastAsia="es-MX"/>
        </w:rPr>
      </w:pPr>
      <w:r w:rsidRPr="005301C8">
        <w:rPr>
          <w:rFonts w:ascii="Palatino Linotype" w:eastAsia="Times New Roman" w:hAnsi="Palatino Linotype" w:cs="Times New Roman"/>
          <w:bCs/>
          <w:lang w:val="es-MX" w:eastAsia="es-MX"/>
        </w:rPr>
        <w:t xml:space="preserve">Precisado lo anterior, </w:t>
      </w:r>
      <w:r w:rsidRPr="005301C8">
        <w:rPr>
          <w:rFonts w:ascii="Palatino Linotype" w:eastAsia="Times New Roman" w:hAnsi="Palatino Linotype" w:cs="Arial"/>
          <w:lang w:val="es-MX" w:eastAsia="es-MX"/>
        </w:rPr>
        <w:t>este Órgano Garante observó que la información solicitada, no constituye un derecho de acceso a la información pública, debido a que solicita saber si determinado servidor público recomienda malas prácticas en temas de transparencia</w:t>
      </w:r>
      <w:r w:rsidRPr="005301C8">
        <w:rPr>
          <w:rFonts w:ascii="Palatino Linotype" w:eastAsia="Times New Roman" w:hAnsi="Palatino Linotype" w:cs="Arial"/>
          <w:szCs w:val="20"/>
          <w:lang w:val="es-MX" w:eastAsia="es-MX"/>
        </w:rPr>
        <w:t xml:space="preserve">, es decir, dicha información no consta en documento alguno derivado del ejercicio de facultades, atribuciones o competencias del </w:t>
      </w:r>
      <w:r w:rsidRPr="005301C8">
        <w:rPr>
          <w:rFonts w:ascii="Palatino Linotype" w:eastAsia="Times New Roman" w:hAnsi="Palatino Linotype" w:cs="Arial"/>
          <w:b/>
          <w:szCs w:val="20"/>
          <w:lang w:val="es-MX" w:eastAsia="es-MX"/>
        </w:rPr>
        <w:t>SUJETO OBLIGADO</w:t>
      </w:r>
      <w:r w:rsidRPr="005301C8">
        <w:rPr>
          <w:rFonts w:ascii="Palatino Linotype" w:eastAsia="Times New Roman" w:hAnsi="Palatino Linotype" w:cs="Arial"/>
          <w:szCs w:val="20"/>
          <w:lang w:val="es-MX" w:eastAsia="es-MX"/>
        </w:rPr>
        <w:t>, o bien, dentro de una base de datos o medio electrónico, que éste tenga obligación de generar, poseer y administrar.</w:t>
      </w:r>
    </w:p>
    <w:p w:rsidR="00A20DD5" w:rsidRPr="005301C8" w:rsidRDefault="00A20DD5" w:rsidP="00A20DD5">
      <w:pPr>
        <w:spacing w:line="360" w:lineRule="auto"/>
        <w:contextualSpacing/>
        <w:jc w:val="both"/>
        <w:rPr>
          <w:rFonts w:ascii="Palatino Linotype" w:eastAsia="MS Mincho" w:hAnsi="Palatino Linotype" w:cs="Times New Roman"/>
          <w:lang w:val="es-MX" w:eastAsia="es-MX"/>
        </w:rPr>
      </w:pPr>
    </w:p>
    <w:p w:rsidR="00A20DD5" w:rsidRPr="005301C8" w:rsidRDefault="00A20DD5" w:rsidP="00A20DD5">
      <w:pPr>
        <w:numPr>
          <w:ilvl w:val="0"/>
          <w:numId w:val="1"/>
        </w:numPr>
        <w:spacing w:line="360" w:lineRule="auto"/>
        <w:ind w:left="0" w:firstLine="0"/>
        <w:contextualSpacing/>
        <w:jc w:val="both"/>
        <w:rPr>
          <w:rFonts w:ascii="Palatino Linotype" w:eastAsia="MS Mincho" w:hAnsi="Palatino Linotype" w:cs="Times New Roman"/>
          <w:lang w:val="es-MX" w:eastAsia="es-MX"/>
        </w:rPr>
      </w:pPr>
      <w:r w:rsidRPr="005301C8">
        <w:rPr>
          <w:rFonts w:ascii="Palatino Linotype" w:eastAsia="Times New Roman" w:hAnsi="Palatino Linotype" w:cs="Arial"/>
          <w:lang w:val="es-MX" w:eastAsia="es-MX"/>
        </w:rPr>
        <w:t>En este orden de ideas, es importante dejar en claro lo que debe entenderse por derecho de petición, así como por derecho de acceso a la información pública, con el objeto de distinguir el ejercicio de ambos derechos.</w:t>
      </w:r>
    </w:p>
    <w:p w:rsidR="00A20DD5" w:rsidRPr="005301C8" w:rsidRDefault="00A20DD5" w:rsidP="00A20DD5">
      <w:pPr>
        <w:spacing w:line="360" w:lineRule="auto"/>
        <w:contextualSpacing/>
        <w:rPr>
          <w:rFonts w:ascii="Palatino Linotype" w:eastAsia="MS Mincho" w:hAnsi="Palatino Linotype" w:cs="Times New Roman"/>
          <w:lang w:val="es-MX" w:eastAsia="es-MX"/>
        </w:rPr>
      </w:pPr>
    </w:p>
    <w:p w:rsidR="00A20DD5" w:rsidRPr="005301C8" w:rsidRDefault="00A20DD5" w:rsidP="00A20DD5">
      <w:pPr>
        <w:numPr>
          <w:ilvl w:val="0"/>
          <w:numId w:val="1"/>
        </w:numPr>
        <w:spacing w:line="360" w:lineRule="auto"/>
        <w:ind w:left="0" w:firstLine="0"/>
        <w:contextualSpacing/>
        <w:jc w:val="both"/>
        <w:rPr>
          <w:rFonts w:ascii="Palatino Linotype" w:eastAsia="MS Mincho" w:hAnsi="Palatino Linotype" w:cs="Times New Roman"/>
          <w:lang w:val="es-MX" w:eastAsia="es-MX"/>
        </w:rPr>
      </w:pPr>
      <w:r w:rsidRPr="005301C8">
        <w:rPr>
          <w:rFonts w:ascii="Palatino Linotype" w:eastAsia="Times New Roman" w:hAnsi="Palatino Linotype" w:cs="Arial"/>
          <w:lang w:val="es-MX" w:eastAsia="es-MX"/>
        </w:rPr>
        <w:t xml:space="preserve">Por lo que respecta a la definición de Derecho de Petición, el Maestro Ignacio Burgoa Orihuela refiere: </w:t>
      </w:r>
    </w:p>
    <w:p w:rsidR="00A20DD5" w:rsidRPr="005301C8" w:rsidRDefault="00A20DD5" w:rsidP="00A20DD5">
      <w:pPr>
        <w:spacing w:line="360" w:lineRule="auto"/>
        <w:contextualSpacing/>
        <w:jc w:val="both"/>
        <w:rPr>
          <w:rFonts w:ascii="Palatino Linotype" w:eastAsia="MS Mincho" w:hAnsi="Palatino Linotype" w:cs="Times New Roman"/>
          <w:lang w:val="es-MX" w:eastAsia="es-MX"/>
        </w:rPr>
      </w:pPr>
    </w:p>
    <w:p w:rsidR="00A20DD5" w:rsidRPr="005301C8" w:rsidRDefault="00A20DD5" w:rsidP="00A20DD5">
      <w:pPr>
        <w:tabs>
          <w:tab w:val="left" w:pos="9214"/>
        </w:tabs>
        <w:spacing w:line="360" w:lineRule="auto"/>
        <w:ind w:left="709" w:right="709"/>
        <w:jc w:val="both"/>
        <w:rPr>
          <w:rFonts w:ascii="Palatino Linotype" w:eastAsia="Times New Roman" w:hAnsi="Palatino Linotype" w:cs="Times New Roman"/>
          <w:sz w:val="22"/>
          <w:szCs w:val="22"/>
          <w:lang w:val="es-MX" w:eastAsia="es-MX"/>
        </w:rPr>
      </w:pPr>
      <w:r w:rsidRPr="005301C8">
        <w:rPr>
          <w:rFonts w:ascii="Palatino Linotype" w:eastAsia="Times New Roman" w:hAnsi="Palatino Linotype" w:cs="Times New Roman"/>
          <w:i/>
          <w:sz w:val="22"/>
          <w:szCs w:val="22"/>
          <w:lang w:val="es-MX" w:eastAsia="es-MX"/>
        </w:rPr>
        <w:lastRenderedPageBreak/>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5301C8">
        <w:rPr>
          <w:rFonts w:ascii="Palatino Linotype" w:eastAsia="Times New Roman" w:hAnsi="Palatino Linotype" w:cs="Times New Roman"/>
          <w:sz w:val="22"/>
          <w:szCs w:val="22"/>
          <w:lang w:val="es-MX" w:eastAsia="es-MX"/>
        </w:rPr>
        <w:t>(Sic)</w:t>
      </w:r>
    </w:p>
    <w:p w:rsidR="00A20DD5" w:rsidRPr="005301C8" w:rsidRDefault="00A20DD5" w:rsidP="00A20DD5">
      <w:pPr>
        <w:tabs>
          <w:tab w:val="left" w:pos="9214"/>
        </w:tabs>
        <w:spacing w:line="360" w:lineRule="auto"/>
        <w:ind w:right="709"/>
        <w:jc w:val="both"/>
        <w:rPr>
          <w:rFonts w:ascii="Palatino Linotype" w:eastAsia="Times New Roman" w:hAnsi="Palatino Linotype" w:cs="Times New Roman"/>
          <w:i/>
          <w:sz w:val="22"/>
          <w:szCs w:val="22"/>
          <w:lang w:val="es-MX" w:eastAsia="es-MX"/>
        </w:rPr>
      </w:pPr>
    </w:p>
    <w:p w:rsidR="00A20DD5" w:rsidRPr="005301C8" w:rsidRDefault="00A20DD5" w:rsidP="00A20DD5">
      <w:pPr>
        <w:numPr>
          <w:ilvl w:val="0"/>
          <w:numId w:val="1"/>
        </w:numPr>
        <w:autoSpaceDE w:val="0"/>
        <w:autoSpaceDN w:val="0"/>
        <w:adjustRightInd w:val="0"/>
        <w:spacing w:before="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 xml:space="preserve">Por su parte, David Cienfuegos Salgado, concibe al derecho de petición como: </w:t>
      </w:r>
    </w:p>
    <w:p w:rsidR="00A20DD5" w:rsidRPr="005301C8" w:rsidRDefault="00A20DD5" w:rsidP="00A20DD5">
      <w:pPr>
        <w:tabs>
          <w:tab w:val="left" w:pos="9214"/>
        </w:tabs>
        <w:spacing w:line="360" w:lineRule="auto"/>
        <w:ind w:right="709"/>
        <w:jc w:val="both"/>
        <w:rPr>
          <w:rFonts w:ascii="Palatino Linotype" w:eastAsia="Times New Roman" w:hAnsi="Palatino Linotype" w:cs="Times New Roman"/>
          <w:szCs w:val="22"/>
          <w:lang w:val="es-MX" w:eastAsia="es-MX"/>
        </w:rPr>
      </w:pPr>
      <w:r w:rsidRPr="005301C8">
        <w:rPr>
          <w:rFonts w:ascii="Palatino Linotype" w:eastAsia="Times New Roman" w:hAnsi="Palatino Linotype" w:cs="Times New Roman"/>
          <w:i/>
          <w:szCs w:val="22"/>
          <w:lang w:val="es-MX" w:eastAsia="es-MX"/>
        </w:rPr>
        <w:t xml:space="preserve">“… el derecho de toda persona a ser escuchado por quienes ejercen el poder público...” </w:t>
      </w:r>
      <w:r w:rsidRPr="005301C8">
        <w:rPr>
          <w:rFonts w:ascii="Palatino Linotype" w:eastAsia="Times New Roman" w:hAnsi="Palatino Linotype" w:cs="Times New Roman"/>
          <w:szCs w:val="22"/>
          <w:lang w:val="es-MX" w:eastAsia="es-MX"/>
        </w:rPr>
        <w:t xml:space="preserve">(Sic) </w:t>
      </w:r>
    </w:p>
    <w:p w:rsidR="00A20DD5" w:rsidRPr="005301C8" w:rsidRDefault="00A20DD5" w:rsidP="00A20DD5">
      <w:pPr>
        <w:tabs>
          <w:tab w:val="left" w:pos="9214"/>
        </w:tabs>
        <w:spacing w:line="360" w:lineRule="auto"/>
        <w:ind w:left="709" w:right="709"/>
        <w:jc w:val="both"/>
        <w:rPr>
          <w:rFonts w:ascii="Palatino Linotype" w:eastAsia="Times New Roman" w:hAnsi="Palatino Linotype" w:cs="Times New Roman"/>
          <w:i/>
          <w:sz w:val="22"/>
          <w:szCs w:val="22"/>
          <w:lang w:val="es-MX" w:eastAsia="es-MX"/>
        </w:rPr>
      </w:pPr>
    </w:p>
    <w:p w:rsidR="00A20DD5" w:rsidRPr="005301C8" w:rsidRDefault="00A20DD5" w:rsidP="00A20DD5">
      <w:pPr>
        <w:numPr>
          <w:ilvl w:val="0"/>
          <w:numId w:val="1"/>
        </w:numPr>
        <w:autoSpaceDE w:val="0"/>
        <w:autoSpaceDN w:val="0"/>
        <w:adjustRightInd w:val="0"/>
        <w:spacing w:before="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 xml:space="preserve">A este respecto, para diferenciar el derecho de petición del derecho de acceso a la información, resulta conducente señalar que José Guadalupe Robles, conceptualiza al derecho a la información como: </w:t>
      </w:r>
    </w:p>
    <w:p w:rsidR="00A20DD5" w:rsidRPr="005301C8" w:rsidRDefault="00A20DD5" w:rsidP="00A20DD5">
      <w:pPr>
        <w:autoSpaceDE w:val="0"/>
        <w:autoSpaceDN w:val="0"/>
        <w:adjustRightInd w:val="0"/>
        <w:spacing w:before="120" w:line="360" w:lineRule="auto"/>
        <w:contextualSpacing/>
        <w:jc w:val="both"/>
        <w:rPr>
          <w:rFonts w:ascii="Palatino Linotype" w:eastAsia="Times New Roman" w:hAnsi="Palatino Linotype" w:cs="Arial"/>
          <w:sz w:val="22"/>
          <w:lang w:val="es-MX" w:eastAsia="es-MX"/>
        </w:rPr>
      </w:pPr>
    </w:p>
    <w:p w:rsidR="00A20DD5" w:rsidRPr="005301C8" w:rsidRDefault="00A20DD5" w:rsidP="00A20DD5">
      <w:pPr>
        <w:tabs>
          <w:tab w:val="left" w:pos="9214"/>
        </w:tabs>
        <w:spacing w:line="360" w:lineRule="auto"/>
        <w:ind w:left="709" w:right="709"/>
        <w:jc w:val="both"/>
        <w:rPr>
          <w:rFonts w:ascii="Palatino Linotype" w:eastAsia="Times New Roman" w:hAnsi="Palatino Linotype" w:cs="Times New Roman"/>
          <w:i/>
          <w:sz w:val="22"/>
          <w:szCs w:val="22"/>
          <w:lang w:val="es-MX" w:eastAsia="es-MX"/>
        </w:rPr>
      </w:pPr>
      <w:r w:rsidRPr="005301C8">
        <w:rPr>
          <w:rFonts w:ascii="Palatino Linotype" w:eastAsia="Times New Roman" w:hAnsi="Palatino Linotype" w:cs="Times New Roman"/>
          <w:i/>
          <w:sz w:val="22"/>
          <w:szCs w:val="22"/>
          <w:lang w:val="es-MX"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5301C8">
        <w:rPr>
          <w:rFonts w:ascii="Palatino Linotype" w:eastAsia="Times New Roman" w:hAnsi="Palatino Linotype" w:cs="Times New Roman"/>
          <w:sz w:val="22"/>
          <w:szCs w:val="22"/>
          <w:lang w:val="es-MX" w:eastAsia="es-MX"/>
        </w:rPr>
        <w:t>(Sic)</w:t>
      </w:r>
      <w:r w:rsidRPr="005301C8">
        <w:rPr>
          <w:rFonts w:ascii="Palatino Linotype" w:eastAsia="Times New Roman" w:hAnsi="Palatino Linotype" w:cs="Times New Roman"/>
          <w:i/>
          <w:sz w:val="22"/>
          <w:szCs w:val="22"/>
          <w:lang w:val="es-MX" w:eastAsia="es-MX"/>
        </w:rPr>
        <w:t xml:space="preserve"> </w:t>
      </w:r>
    </w:p>
    <w:p w:rsidR="00A20DD5" w:rsidRPr="005301C8" w:rsidRDefault="00A20DD5" w:rsidP="00A20DD5">
      <w:pPr>
        <w:tabs>
          <w:tab w:val="left" w:pos="9214"/>
        </w:tabs>
        <w:spacing w:line="360" w:lineRule="auto"/>
        <w:ind w:left="709" w:right="709"/>
        <w:jc w:val="both"/>
        <w:rPr>
          <w:rFonts w:ascii="Palatino Linotype" w:eastAsia="Times New Roman" w:hAnsi="Palatino Linotype" w:cs="Times New Roman"/>
          <w:i/>
          <w:sz w:val="22"/>
          <w:szCs w:val="22"/>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Times New Roman"/>
          <w:lang w:val="es-MX" w:eastAsia="es-MX"/>
        </w:rPr>
      </w:pPr>
      <w:r w:rsidRPr="005301C8">
        <w:rPr>
          <w:rFonts w:ascii="Palatino Linotype" w:eastAsia="Times New Roman" w:hAnsi="Palatino Linotype" w:cs="Arial"/>
          <w:lang w:val="es-MX" w:eastAsia="es-MX"/>
        </w:rPr>
        <w:t xml:space="preserve">Ahora bien, el derecho </w:t>
      </w:r>
      <w:r w:rsidRPr="005301C8">
        <w:rPr>
          <w:rFonts w:ascii="Palatino Linotype" w:eastAsia="Times New Roman" w:hAnsi="Palatino Linotype" w:cs="Times New Roman"/>
          <w:lang w:val="es-MX" w:eastAsia="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Times New Roman"/>
          <w:lang w:val="es-MX" w:eastAsia="es-MX"/>
        </w:rPr>
      </w:pPr>
    </w:p>
    <w:p w:rsidR="00A20DD5" w:rsidRPr="005301C8" w:rsidRDefault="00A20DD5" w:rsidP="00A20DD5">
      <w:pPr>
        <w:spacing w:before="120" w:after="120" w:line="360" w:lineRule="auto"/>
        <w:ind w:left="709" w:right="709"/>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sz w:val="22"/>
          <w:lang w:val="es-MX" w:eastAsia="es-MX"/>
        </w:rPr>
        <w:lastRenderedPageBreak/>
        <w:t>“</w:t>
      </w:r>
      <w:r w:rsidRPr="005301C8">
        <w:rPr>
          <w:rFonts w:ascii="Palatino Linotype" w:eastAsia="Times New Roman" w:hAnsi="Palatino Linotype" w:cs="Times New Roman"/>
          <w:b/>
          <w:i/>
          <w:sz w:val="22"/>
          <w:lang w:val="es-MX" w:eastAsia="es-MX"/>
        </w:rPr>
        <w:t>Artículo 4.</w:t>
      </w:r>
      <w:r w:rsidRPr="005301C8">
        <w:rPr>
          <w:rFonts w:ascii="Palatino Linotype" w:eastAsia="Times New Roman" w:hAnsi="Palatino Linotype" w:cs="Times New Roman"/>
          <w:i/>
          <w:sz w:val="22"/>
          <w:lang w:val="es-MX"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20DD5" w:rsidRPr="005301C8" w:rsidRDefault="00A20DD5" w:rsidP="00A20DD5">
      <w:pPr>
        <w:spacing w:before="120" w:after="120" w:line="360" w:lineRule="auto"/>
        <w:ind w:left="709" w:right="709"/>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5301C8">
        <w:rPr>
          <w:rFonts w:ascii="Palatino Linotype" w:eastAsia="Times New Roman" w:hAnsi="Palatino Linotype" w:cs="Arial"/>
          <w:i/>
          <w:color w:val="000000"/>
          <w:sz w:val="22"/>
          <w:szCs w:val="22"/>
          <w:lang w:val="es-MX" w:eastAsia="es-MX"/>
        </w:rPr>
        <w:t>mexicano</w:t>
      </w:r>
      <w:r w:rsidRPr="005301C8">
        <w:rPr>
          <w:rFonts w:ascii="Palatino Linotype" w:eastAsia="Times New Roman" w:hAnsi="Palatino Linotype" w:cs="Times New Roman"/>
          <w:i/>
          <w:sz w:val="22"/>
          <w:lang w:val="es-MX" w:eastAsia="es-MX"/>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20DD5" w:rsidRPr="005301C8" w:rsidRDefault="00A20DD5" w:rsidP="00A20DD5">
      <w:pPr>
        <w:spacing w:before="120" w:after="120" w:line="360" w:lineRule="auto"/>
        <w:ind w:left="709" w:right="709"/>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Los sujetos obligados deben poner en práctica, políticas y programas de acceso a la información</w:t>
      </w:r>
      <w:r w:rsidRPr="005301C8">
        <w:rPr>
          <w:rFonts w:ascii="Palatino Linotype" w:eastAsia="Times New Roman" w:hAnsi="Palatino Linotype" w:cs="Times New Roman"/>
          <w:lang w:val="es-MX" w:eastAsia="es-MX"/>
        </w:rPr>
        <w:t xml:space="preserve"> </w:t>
      </w:r>
      <w:r w:rsidRPr="005301C8">
        <w:rPr>
          <w:rFonts w:ascii="Palatino Linotype" w:eastAsia="Times New Roman" w:hAnsi="Palatino Linotype" w:cs="Times New Roman"/>
          <w:i/>
          <w:sz w:val="22"/>
          <w:lang w:val="es-MX" w:eastAsia="es-MX"/>
        </w:rPr>
        <w:t>que se apeguen a criterios de publicidad, veracidad, oportunidad, precisión y suficiencia en beneficio de los solicitantes.”</w:t>
      </w:r>
    </w:p>
    <w:p w:rsidR="00A20DD5" w:rsidRPr="005301C8" w:rsidRDefault="00A20DD5" w:rsidP="00A20DD5">
      <w:pPr>
        <w:spacing w:before="120" w:after="120" w:line="360" w:lineRule="auto"/>
        <w:ind w:left="709" w:right="709"/>
        <w:jc w:val="both"/>
        <w:rPr>
          <w:rFonts w:ascii="Palatino Linotype" w:eastAsia="Times New Roman" w:hAnsi="Palatino Linotype" w:cs="Times New Roman"/>
          <w:i/>
          <w:sz w:val="22"/>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w:t>
      </w:r>
      <w:r w:rsidRPr="005301C8">
        <w:rPr>
          <w:rFonts w:ascii="Palatino Linotype" w:eastAsia="Times New Roman" w:hAnsi="Palatino Linotype" w:cs="Arial"/>
          <w:lang w:val="es-MX" w:eastAsia="es-MX"/>
        </w:rPr>
        <w:lastRenderedPageBreak/>
        <w:t xml:space="preserve">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A20DD5" w:rsidRPr="005301C8" w:rsidRDefault="00A20DD5" w:rsidP="00A20DD5">
      <w:pPr>
        <w:spacing w:line="360" w:lineRule="auto"/>
        <w:contextualSpacing/>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En esa tesitura, los Sujetos Obligados deberán poner en práctica, políticas y programas de acceso a la información que se apeguen a criterios de publicidad, veracidad, oportunidad, precisión y suficiencia en beneficio de los solicitantes</w:t>
      </w:r>
    </w:p>
    <w:p w:rsidR="00A20DD5" w:rsidRPr="005301C8" w:rsidRDefault="00A20DD5" w:rsidP="00A20DD5">
      <w:pPr>
        <w:contextualSpacing/>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Lo anterior tiene sustento en los artículos 3 fracciones XI y XXII; 4; 11 y 41 de la Ley de Transparencia y Acceso a la Información Pública del Estado de México y Municipios:</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Arial"/>
          <w:lang w:val="es-MX" w:eastAsia="es-MX"/>
        </w:rPr>
      </w:pP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
          <w:bCs/>
          <w:i/>
          <w:noProof/>
          <w:sz w:val="22"/>
          <w:lang w:val="es-MX" w:eastAsia="es-MX"/>
        </w:rPr>
        <w:t xml:space="preserve">“Artículo 3. </w:t>
      </w:r>
      <w:r w:rsidRPr="005301C8">
        <w:rPr>
          <w:rFonts w:ascii="Palatino Linotype" w:eastAsia="Times New Roman" w:hAnsi="Palatino Linotype" w:cs="Arial"/>
          <w:b/>
          <w:bCs/>
          <w:i/>
          <w:noProof/>
          <w:sz w:val="22"/>
          <w:u w:val="single"/>
          <w:lang w:val="es-MX" w:eastAsia="es-MX"/>
        </w:rPr>
        <w:t xml:space="preserve">Para los efectos </w:t>
      </w:r>
      <w:r w:rsidRPr="005301C8">
        <w:rPr>
          <w:rFonts w:ascii="Palatino Linotype" w:eastAsia="Times New Roman" w:hAnsi="Palatino Linotype" w:cs="Arial"/>
          <w:b/>
          <w:i/>
          <w:sz w:val="22"/>
          <w:szCs w:val="22"/>
          <w:u w:val="single"/>
          <w:lang w:val="es-MX" w:eastAsia="es-MX"/>
        </w:rPr>
        <w:t>de</w:t>
      </w:r>
      <w:r w:rsidRPr="005301C8">
        <w:rPr>
          <w:rFonts w:ascii="Palatino Linotype" w:eastAsia="Times New Roman" w:hAnsi="Palatino Linotype" w:cs="Arial"/>
          <w:b/>
          <w:bCs/>
          <w:i/>
          <w:noProof/>
          <w:sz w:val="22"/>
          <w:u w:val="single"/>
          <w:lang w:val="es-MX" w:eastAsia="es-MX"/>
        </w:rPr>
        <w:t xml:space="preserve"> la presente Ley se entenderá por</w:t>
      </w:r>
      <w:r w:rsidRPr="005301C8">
        <w:rPr>
          <w:rFonts w:ascii="Palatino Linotype" w:eastAsia="Times New Roman" w:hAnsi="Palatino Linotype" w:cs="Arial"/>
          <w:b/>
          <w:bCs/>
          <w:i/>
          <w:noProof/>
          <w:sz w:val="22"/>
          <w:lang w:val="es-MX" w:eastAsia="es-MX"/>
        </w:rPr>
        <w:t xml:space="preserve">: </w:t>
      </w:r>
      <w:r w:rsidRPr="005301C8">
        <w:rPr>
          <w:rFonts w:ascii="Palatino Linotype" w:eastAsia="Times New Roman" w:hAnsi="Palatino Linotype" w:cs="Arial"/>
          <w:bCs/>
          <w:i/>
          <w:noProof/>
          <w:sz w:val="22"/>
          <w:lang w:val="es-MX" w:eastAsia="es-MX"/>
        </w:rPr>
        <w:t>…</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Cs/>
          <w:i/>
          <w:noProof/>
          <w:sz w:val="22"/>
          <w:lang w:val="es-MX" w:eastAsia="es-MX"/>
        </w:rPr>
        <w:t>…</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
          <w:bCs/>
          <w:i/>
          <w:noProof/>
          <w:sz w:val="22"/>
          <w:lang w:val="es-MX" w:eastAsia="es-MX"/>
        </w:rPr>
        <w:t>XI. Documento:</w:t>
      </w:r>
      <w:r w:rsidRPr="005301C8">
        <w:rPr>
          <w:rFonts w:ascii="Palatino Linotype" w:eastAsia="Times New Roman" w:hAnsi="Palatino Linotype" w:cs="Arial"/>
          <w:bCs/>
          <w:i/>
          <w:noProof/>
          <w:sz w:val="22"/>
          <w:lang w:val="es-MX"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5301C8">
        <w:rPr>
          <w:rFonts w:ascii="Palatino Linotype" w:eastAsia="Times New Roman" w:hAnsi="Palatino Linotype" w:cs="Arial"/>
          <w:i/>
          <w:color w:val="000000"/>
          <w:sz w:val="22"/>
          <w:szCs w:val="22"/>
          <w:lang w:val="es-MX" w:eastAsia="es-MX"/>
        </w:rPr>
        <w:t>servidores</w:t>
      </w:r>
      <w:r w:rsidRPr="005301C8">
        <w:rPr>
          <w:rFonts w:ascii="Palatino Linotype" w:eastAsia="Times New Roman" w:hAnsi="Palatino Linotype" w:cs="Arial"/>
          <w:bCs/>
          <w:i/>
          <w:noProof/>
          <w:sz w:val="22"/>
          <w:lang w:val="es-MX" w:eastAsia="es-MX"/>
        </w:rPr>
        <w:t xml:space="preserve"> públicos e integrantes, sin importar su fuente o fecha de elaboración. Los documentos podrán estar en cualquier medio, sea escrito, impreso, sonoro, visual, electrónico, informático u holográfico; </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
          <w:bCs/>
          <w:i/>
          <w:noProof/>
          <w:sz w:val="22"/>
          <w:lang w:val="es-MX" w:eastAsia="es-MX"/>
        </w:rPr>
        <w:t>Artículo 4.</w:t>
      </w:r>
      <w:r w:rsidRPr="005301C8">
        <w:rPr>
          <w:rFonts w:ascii="Palatino Linotype" w:eastAsia="Times New Roman" w:hAnsi="Palatino Linotype" w:cs="Arial"/>
          <w:bCs/>
          <w:i/>
          <w:noProof/>
          <w:sz w:val="22"/>
          <w:lang w:val="es-MX" w:eastAsia="es-MX"/>
        </w:rPr>
        <w:t xml:space="preserve"> </w:t>
      </w:r>
      <w:r w:rsidRPr="005301C8">
        <w:rPr>
          <w:rFonts w:ascii="Palatino Linotype" w:eastAsia="Times New Roman" w:hAnsi="Palatino Linotype" w:cs="Arial"/>
          <w:b/>
          <w:bCs/>
          <w:i/>
          <w:noProof/>
          <w:sz w:val="22"/>
          <w:u w:val="single"/>
          <w:lang w:val="es-MX" w:eastAsia="es-MX"/>
        </w:rPr>
        <w:t xml:space="preserve">El derecho humano de acceso a la información pública es la prerrogativa de las personas para buscar, difundir, investigar, recabar, </w:t>
      </w:r>
      <w:r w:rsidRPr="005301C8">
        <w:rPr>
          <w:rFonts w:ascii="Palatino Linotype" w:eastAsia="Times New Roman" w:hAnsi="Palatino Linotype" w:cs="Arial"/>
          <w:b/>
          <w:bCs/>
          <w:i/>
          <w:noProof/>
          <w:sz w:val="22"/>
          <w:u w:val="single"/>
          <w:lang w:val="es-MX" w:eastAsia="es-MX"/>
        </w:rPr>
        <w:lastRenderedPageBreak/>
        <w:t>recibir y solicitar información pública</w:t>
      </w:r>
      <w:r w:rsidRPr="005301C8">
        <w:rPr>
          <w:rFonts w:ascii="Palatino Linotype" w:eastAsia="Times New Roman" w:hAnsi="Palatino Linotype" w:cs="Arial"/>
          <w:bCs/>
          <w:i/>
          <w:noProof/>
          <w:sz w:val="22"/>
          <w:lang w:val="es-MX" w:eastAsia="es-MX"/>
        </w:rPr>
        <w:t xml:space="preserve">, sin necesidad de acreditar personalidad ni interés jurídico. </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Cs/>
          <w:i/>
          <w:noProof/>
          <w:sz w:val="22"/>
          <w:lang w:val="es-MX"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5301C8">
        <w:rPr>
          <w:rFonts w:ascii="Palatino Linotype" w:eastAsia="Times New Roman" w:hAnsi="Palatino Linotype" w:cs="Arial"/>
          <w:i/>
          <w:color w:val="000000"/>
          <w:sz w:val="22"/>
          <w:szCs w:val="22"/>
          <w:lang w:val="es-MX" w:eastAsia="es-MX"/>
        </w:rPr>
        <w:t>información</w:t>
      </w:r>
      <w:r w:rsidRPr="005301C8">
        <w:rPr>
          <w:rFonts w:ascii="Palatino Linotype" w:eastAsia="Times New Roman" w:hAnsi="Palatino Linotype" w:cs="Arial"/>
          <w:bCs/>
          <w:i/>
          <w:noProof/>
          <w:sz w:val="22"/>
          <w:lang w:val="es-MX" w:eastAsia="es-MX"/>
        </w:rPr>
        <w:t xml:space="preserve">. Solo podrá ser clasificada excepcionalmente como reservada temporalmente por razones de interés público, en los términos de las causas legítimas y estrictamente necesarias previstas por esta Ley. </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Cs/>
          <w:i/>
          <w:noProof/>
          <w:sz w:val="22"/>
          <w:lang w:val="es-MX" w:eastAsia="es-MX"/>
        </w:rPr>
        <w:t xml:space="preserve">Los sujetos obligados deben poner en práctica, políticas y programas de acceso a la información que se apeguen a criterios de publicidad, veracidad, oportunidad, precisión y suficiencia en beneficio de los solicitantes. </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
          <w:bCs/>
          <w:i/>
          <w:noProof/>
          <w:sz w:val="22"/>
          <w:lang w:val="es-MX" w:eastAsia="es-MX"/>
        </w:rPr>
        <w:t>Artículo 11.-</w:t>
      </w:r>
      <w:r w:rsidRPr="005301C8">
        <w:rPr>
          <w:rFonts w:ascii="Palatino Linotype" w:eastAsia="Times New Roman" w:hAnsi="Palatino Linotype" w:cs="Arial"/>
          <w:bCs/>
          <w:i/>
          <w:noProof/>
          <w:sz w:val="22"/>
          <w:lang w:val="es-MX" w:eastAsia="es-MX"/>
        </w:rPr>
        <w:t xml:space="preserve"> </w:t>
      </w:r>
      <w:r w:rsidRPr="005301C8">
        <w:rPr>
          <w:rFonts w:ascii="Palatino Linotype" w:eastAsia="Times New Roman" w:hAnsi="Palatino Linotype" w:cs="Arial"/>
          <w:b/>
          <w:bCs/>
          <w:i/>
          <w:noProof/>
          <w:sz w:val="22"/>
          <w:u w:val="single"/>
          <w:lang w:val="es-MX" w:eastAsia="es-MX"/>
        </w:rPr>
        <w:t>Los Sujetos Obligados sólo proporcionarán la información que generen en el ejercicio de sus atribuciones</w:t>
      </w:r>
      <w:r w:rsidRPr="005301C8">
        <w:rPr>
          <w:rFonts w:ascii="Palatino Linotype" w:eastAsia="Times New Roman" w:hAnsi="Palatino Linotype" w:cs="Arial"/>
          <w:bCs/>
          <w:i/>
          <w:noProof/>
          <w:sz w:val="22"/>
          <w:lang w:val="es-MX" w:eastAsia="es-MX"/>
        </w:rPr>
        <w:t>.</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
          <w:bCs/>
          <w:i/>
          <w:noProof/>
          <w:sz w:val="22"/>
          <w:lang w:val="es-MX" w:eastAsia="es-MX"/>
        </w:rPr>
        <w:t>Artículo 12.</w:t>
      </w:r>
      <w:r w:rsidRPr="005301C8">
        <w:rPr>
          <w:rFonts w:ascii="Palatino Linotype" w:eastAsia="Times New Roman" w:hAnsi="Palatino Linotype" w:cs="Arial"/>
          <w:bCs/>
          <w:i/>
          <w:noProof/>
          <w:sz w:val="22"/>
          <w:lang w:val="es-MX" w:eastAsia="es-MX"/>
        </w:rPr>
        <w:t xml:space="preserve"> Quienes generen, recopilen, administren, manejen, procesen, archiven o conserven información pública</w:t>
      </w:r>
      <w:r w:rsidRPr="005301C8">
        <w:rPr>
          <w:rFonts w:ascii="Palatino Linotype" w:eastAsia="Times New Roman" w:hAnsi="Palatino Linotype" w:cs="Arial"/>
          <w:b/>
          <w:bCs/>
          <w:i/>
          <w:noProof/>
          <w:sz w:val="22"/>
          <w:lang w:val="es-MX" w:eastAsia="es-MX"/>
        </w:rPr>
        <w:t xml:space="preserve"> </w:t>
      </w:r>
      <w:r w:rsidRPr="005301C8">
        <w:rPr>
          <w:rFonts w:ascii="Palatino Linotype" w:eastAsia="Times New Roman" w:hAnsi="Palatino Linotype" w:cs="Arial"/>
          <w:bCs/>
          <w:i/>
          <w:noProof/>
          <w:sz w:val="22"/>
          <w:lang w:val="es-MX" w:eastAsia="es-MX"/>
        </w:rPr>
        <w:t xml:space="preserve">serán responsables de la misma en los términos de las disposiciones jurídicas </w:t>
      </w:r>
      <w:r w:rsidRPr="005301C8">
        <w:rPr>
          <w:rFonts w:ascii="Palatino Linotype" w:eastAsia="Times New Roman" w:hAnsi="Palatino Linotype" w:cs="Arial"/>
          <w:i/>
          <w:color w:val="000000"/>
          <w:sz w:val="22"/>
          <w:szCs w:val="22"/>
          <w:lang w:val="es-MX" w:eastAsia="es-MX"/>
        </w:rPr>
        <w:t>aplicables</w:t>
      </w:r>
      <w:r w:rsidRPr="005301C8">
        <w:rPr>
          <w:rFonts w:ascii="Palatino Linotype" w:eastAsia="Times New Roman" w:hAnsi="Palatino Linotype" w:cs="Arial"/>
          <w:bCs/>
          <w:i/>
          <w:noProof/>
          <w:sz w:val="22"/>
          <w:lang w:val="es-MX" w:eastAsia="es-MX"/>
        </w:rPr>
        <w:t xml:space="preserve">. </w:t>
      </w:r>
    </w:p>
    <w:p w:rsidR="00A20DD5" w:rsidRPr="005301C8" w:rsidRDefault="00A20DD5" w:rsidP="00A20DD5">
      <w:pPr>
        <w:spacing w:before="120" w:after="120" w:line="360" w:lineRule="auto"/>
        <w:ind w:left="709" w:right="709"/>
        <w:jc w:val="both"/>
        <w:rPr>
          <w:rFonts w:ascii="Palatino Linotype" w:eastAsia="Times New Roman" w:hAnsi="Palatino Linotype" w:cs="Arial"/>
          <w:bCs/>
          <w:i/>
          <w:noProof/>
          <w:sz w:val="22"/>
          <w:lang w:val="es-MX" w:eastAsia="es-MX"/>
        </w:rPr>
      </w:pPr>
      <w:r w:rsidRPr="005301C8">
        <w:rPr>
          <w:rFonts w:ascii="Palatino Linotype" w:eastAsia="Times New Roman" w:hAnsi="Palatino Linotype" w:cs="Arial"/>
          <w:b/>
          <w:bCs/>
          <w:i/>
          <w:noProof/>
          <w:sz w:val="22"/>
          <w:u w:val="single"/>
          <w:lang w:val="es-MX" w:eastAsia="es-MX"/>
        </w:rPr>
        <w:t>Los sujetos obligados sólo proporcionarán la información pública que se les requiera y que obre en sus archivos</w:t>
      </w:r>
      <w:r w:rsidRPr="005301C8">
        <w:rPr>
          <w:rFonts w:ascii="Palatino Linotype" w:eastAsia="Times New Roman" w:hAnsi="Palatino Linotype" w:cs="Arial"/>
          <w:bCs/>
          <w:i/>
          <w:noProof/>
          <w:sz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20DD5" w:rsidRPr="005301C8" w:rsidRDefault="00A20DD5" w:rsidP="00A20DD5">
      <w:pPr>
        <w:spacing w:before="120" w:after="120" w:line="360" w:lineRule="auto"/>
        <w:ind w:left="709" w:right="709"/>
        <w:jc w:val="both"/>
        <w:rPr>
          <w:rFonts w:ascii="Palatino Linotype" w:eastAsia="Times New Roman" w:hAnsi="Palatino Linotype" w:cs="Arial"/>
          <w:color w:val="000000"/>
          <w:sz w:val="22"/>
          <w:szCs w:val="22"/>
          <w:lang w:val="es-MX" w:eastAsia="es-MX"/>
        </w:rPr>
      </w:pPr>
      <w:r w:rsidRPr="005301C8">
        <w:rPr>
          <w:rFonts w:ascii="Palatino Linotype" w:eastAsia="Times New Roman" w:hAnsi="Palatino Linotype" w:cs="Arial"/>
          <w:color w:val="000000"/>
          <w:sz w:val="22"/>
          <w:szCs w:val="22"/>
          <w:lang w:val="es-MX" w:eastAsia="es-MX"/>
        </w:rPr>
        <w:t>(Énfasis añadido)</w:t>
      </w:r>
    </w:p>
    <w:p w:rsidR="00CA3877" w:rsidRPr="005301C8" w:rsidRDefault="00CA3877" w:rsidP="00A20DD5">
      <w:pPr>
        <w:spacing w:before="120" w:after="120" w:line="360" w:lineRule="auto"/>
        <w:ind w:left="709" w:right="709"/>
        <w:jc w:val="both"/>
        <w:rPr>
          <w:rFonts w:ascii="Palatino Linotype" w:eastAsia="Times New Roman" w:hAnsi="Palatino Linotype" w:cs="Arial"/>
          <w:color w:val="000000"/>
          <w:sz w:val="22"/>
          <w:szCs w:val="22"/>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20DD5" w:rsidRPr="005301C8" w:rsidRDefault="00A20DD5" w:rsidP="00A20DD5">
      <w:pPr>
        <w:ind w:left="720"/>
        <w:contextualSpacing/>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A20DD5" w:rsidRPr="005301C8" w:rsidRDefault="00A20DD5" w:rsidP="00A20DD5">
      <w:pPr>
        <w:ind w:left="720"/>
        <w:contextualSpacing/>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En síntesis, el derecho de acceso a la información pública se satisface en aquellos casos en que se entregue el soporte documental en que conste la información pública, toda vez que los Sujetos Obligados</w:t>
      </w:r>
      <w:r w:rsidRPr="005301C8">
        <w:rPr>
          <w:rFonts w:ascii="Palatino Linotype" w:eastAsia="Times New Roman" w:hAnsi="Palatino Linotype" w:cs="Arial"/>
          <w:b/>
          <w:lang w:val="es-MX" w:eastAsia="es-MX"/>
        </w:rPr>
        <w:t xml:space="preserve"> </w:t>
      </w:r>
      <w:r w:rsidRPr="005301C8">
        <w:rPr>
          <w:rFonts w:ascii="Palatino Linotype" w:eastAsia="Times New Roman" w:hAnsi="Palatino Linotype" w:cs="Arial"/>
          <w:lang w:val="es-MX" w:eastAsia="es-MX"/>
        </w:rPr>
        <w:t xml:space="preserve">no tienen el deber de generar, poseer o administrar la información pública con el grado de detalle que se </w:t>
      </w:r>
      <w:r w:rsidRPr="005301C8">
        <w:rPr>
          <w:rFonts w:ascii="Palatino Linotype" w:eastAsia="Times New Roman" w:hAnsi="Palatino Linotype" w:cs="Arial"/>
          <w:lang w:val="es-MX" w:eastAsia="es-MX"/>
        </w:rPr>
        <w:lastRenderedPageBreak/>
        <w:t xml:space="preserve">señala en la solicitud de información pública; esto es, que no tienen el deber de generar un documento </w:t>
      </w:r>
      <w:r w:rsidRPr="005301C8">
        <w:rPr>
          <w:rFonts w:ascii="Palatino Linotype" w:eastAsia="Times New Roman" w:hAnsi="Palatino Linotype" w:cs="Arial"/>
          <w:b/>
          <w:i/>
          <w:lang w:val="es-MX" w:eastAsia="es-MX"/>
        </w:rPr>
        <w:t>ad hoc</w:t>
      </w:r>
      <w:r w:rsidRPr="005301C8">
        <w:rPr>
          <w:rFonts w:ascii="Palatino Linotype" w:eastAsia="Times New Roman" w:hAnsi="Palatino Linotype" w:cs="Arial"/>
          <w:lang w:val="es-MX" w:eastAsia="es-MX"/>
        </w:rPr>
        <w:t>, para satisfacer el derecho de acceso a la información pública.</w:t>
      </w:r>
    </w:p>
    <w:p w:rsidR="00A20DD5" w:rsidRPr="005301C8" w:rsidRDefault="00A20DD5" w:rsidP="00A20DD5">
      <w:pPr>
        <w:ind w:left="720"/>
        <w:contextualSpacing/>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 xml:space="preserve">Lo anterior se traduce en que el documento o documentos a que se hizo referencia, podrán ser entregados al </w:t>
      </w:r>
      <w:r w:rsidRPr="005301C8">
        <w:rPr>
          <w:rFonts w:ascii="Palatino Linotype" w:eastAsia="Times New Roman" w:hAnsi="Palatino Linotype" w:cs="Arial"/>
          <w:b/>
          <w:lang w:val="es-MX" w:eastAsia="es-MX"/>
        </w:rPr>
        <w:t>RECURRENTE</w:t>
      </w:r>
      <w:r w:rsidRPr="005301C8">
        <w:rPr>
          <w:rFonts w:ascii="Palatino Linotype" w:eastAsia="Times New Roman" w:hAnsi="Palatino Linotype" w:cs="Arial"/>
          <w:lang w:val="es-MX" w:eastAsia="es-MX"/>
        </w:rPr>
        <w:t xml:space="preserve">, tal y como hayan sido generados por </w:t>
      </w:r>
      <w:r w:rsidRPr="005301C8">
        <w:rPr>
          <w:rFonts w:ascii="Palatino Linotype" w:eastAsia="Times New Roman" w:hAnsi="Palatino Linotype" w:cs="Arial"/>
          <w:b/>
          <w:lang w:val="es-MX" w:eastAsia="es-MX"/>
        </w:rPr>
        <w:t>EL SUJETO OBLIGADO</w:t>
      </w:r>
      <w:r w:rsidRPr="005301C8">
        <w:rPr>
          <w:rFonts w:ascii="Palatino Linotype" w:eastAsia="Times New Roman" w:hAnsi="Palatino Linotype" w:cs="Arial"/>
          <w:lang w:val="es-MX" w:eastAsia="es-MX"/>
        </w:rPr>
        <w:t xml:space="preserve">, sin que subsista la obligación para éste último de generar un documento </w:t>
      </w:r>
      <w:r w:rsidRPr="005301C8">
        <w:rPr>
          <w:rFonts w:ascii="Palatino Linotype" w:eastAsia="Times New Roman" w:hAnsi="Palatino Linotype" w:cs="Arial"/>
          <w:b/>
          <w:i/>
          <w:lang w:val="es-MX" w:eastAsia="es-MX"/>
        </w:rPr>
        <w:t>ad hoc</w:t>
      </w:r>
      <w:r w:rsidRPr="005301C8">
        <w:rPr>
          <w:rFonts w:ascii="Palatino Linotype" w:eastAsia="Times New Roman" w:hAnsi="Palatino Linotype" w:cs="Arial"/>
          <w:lang w:val="es-MX" w:eastAsia="es-MX"/>
        </w:rPr>
        <w:t xml:space="preserve">, para satisfacer el derecho de acceso a la información pública del </w:t>
      </w:r>
      <w:r w:rsidRPr="005301C8">
        <w:rPr>
          <w:rFonts w:ascii="Palatino Linotype" w:eastAsia="Times New Roman" w:hAnsi="Palatino Linotype" w:cs="Arial"/>
          <w:b/>
          <w:lang w:val="es-MX" w:eastAsia="es-MX"/>
        </w:rPr>
        <w:t>RECURRENTE</w:t>
      </w:r>
      <w:r w:rsidRPr="005301C8">
        <w:rPr>
          <w:rFonts w:ascii="Palatino Linotype" w:eastAsia="Times New Roman" w:hAnsi="Palatino Linotype" w:cs="Arial"/>
          <w:lang w:val="es-MX" w:eastAsia="es-MX"/>
        </w:rPr>
        <w:t>.</w:t>
      </w:r>
    </w:p>
    <w:p w:rsidR="00A20DD5" w:rsidRPr="005301C8" w:rsidRDefault="00A20DD5" w:rsidP="00A20DD5">
      <w:pPr>
        <w:ind w:left="720"/>
        <w:contextualSpacing/>
        <w:rPr>
          <w:rFonts w:ascii="Palatino Linotype" w:eastAsia="Times New Roman" w:hAnsi="Palatino Linotype" w:cs="Arial"/>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 xml:space="preserve">Como apoyo a lo anterior, es aplicable el Criterio 09-10, emitido por </w:t>
      </w:r>
      <w:r w:rsidRPr="005301C8">
        <w:rPr>
          <w:rFonts w:ascii="Palatino Linotype" w:eastAsia="Arial Unicode MS" w:hAnsi="Palatino Linotype" w:cs="Arial"/>
          <w:lang w:val="es-MX" w:eastAsia="es-MX"/>
        </w:rPr>
        <w:t xml:space="preserve">el Pleno del entonces </w:t>
      </w:r>
      <w:r w:rsidRPr="005301C8">
        <w:rPr>
          <w:rFonts w:ascii="Palatino Linotype" w:eastAsia="Arial Unicode MS" w:hAnsi="Palatino Linotype" w:cs="Arial"/>
          <w:bCs/>
          <w:lang w:val="es-MX" w:eastAsia="es-MX"/>
        </w:rPr>
        <w:t xml:space="preserve">Instituto Federal </w:t>
      </w:r>
      <w:r w:rsidRPr="005301C8">
        <w:rPr>
          <w:rFonts w:ascii="Palatino Linotype" w:eastAsia="Times New Roman" w:hAnsi="Palatino Linotype" w:cs="Arial"/>
          <w:lang w:val="es-MX" w:eastAsia="es-MX"/>
        </w:rPr>
        <w:t>de</w:t>
      </w:r>
      <w:r w:rsidRPr="005301C8">
        <w:rPr>
          <w:rFonts w:ascii="Palatino Linotype" w:eastAsia="Arial Unicode MS" w:hAnsi="Palatino Linotype" w:cs="Arial"/>
          <w:bCs/>
          <w:lang w:val="es-MX" w:eastAsia="es-MX"/>
        </w:rPr>
        <w:t xml:space="preserve"> Acceso a la Información y Protección de Datos (IFAI), </w:t>
      </w:r>
      <w:r w:rsidRPr="005301C8">
        <w:rPr>
          <w:rFonts w:ascii="Palatino Linotype" w:eastAsia="Arial Unicode MS" w:hAnsi="Palatino Linotype" w:cs="Arial"/>
          <w:lang w:val="es-MX" w:eastAsia="es-MX"/>
        </w:rPr>
        <w:t>ahora Instituto Nacional de Transparencia, Acceso a la Información y Protección de Datos Personales (INAI),</w:t>
      </w:r>
      <w:r w:rsidRPr="005301C8">
        <w:rPr>
          <w:rFonts w:ascii="Palatino Linotype" w:eastAsia="Times New Roman" w:hAnsi="Palatino Linotype" w:cs="Times New Roman"/>
          <w:bCs/>
          <w:lang w:val="es-MX" w:eastAsia="es-MX"/>
        </w:rPr>
        <w:t xml:space="preserve"> que dice:</w:t>
      </w:r>
      <w:r w:rsidRPr="005301C8">
        <w:rPr>
          <w:rFonts w:ascii="Palatino Linotype" w:eastAsia="Times New Roman" w:hAnsi="Palatino Linotype" w:cs="Times New Roman"/>
          <w:b/>
          <w:bCs/>
          <w:lang w:val="es-MX" w:eastAsia="es-MX"/>
        </w:rPr>
        <w:t xml:space="preserve"> </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Arial"/>
          <w:lang w:val="es-MX" w:eastAsia="es-MX"/>
        </w:rPr>
      </w:pPr>
    </w:p>
    <w:p w:rsidR="00A20DD5" w:rsidRPr="005301C8" w:rsidRDefault="00A20DD5" w:rsidP="00A20DD5">
      <w:pPr>
        <w:spacing w:line="360" w:lineRule="auto"/>
        <w:ind w:left="709" w:right="709"/>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w:t>
      </w:r>
      <w:r w:rsidRPr="005301C8">
        <w:rPr>
          <w:rFonts w:ascii="Palatino Linotype" w:eastAsia="Times New Roman" w:hAnsi="Palatino Linotype" w:cs="Arial"/>
          <w:b/>
          <w:i/>
          <w:sz w:val="22"/>
          <w:szCs w:val="22"/>
          <w:u w:val="single"/>
          <w:lang w:val="es-MX" w:eastAsia="es-MX"/>
        </w:rPr>
        <w:t>Las dependencias y entidades no están obligadas a generar documentos ad hoc para responder una solicitud de acceso a la información.</w:t>
      </w:r>
      <w:r w:rsidRPr="005301C8">
        <w:rPr>
          <w:rFonts w:ascii="Palatino Linotype" w:eastAsia="Times New Roman" w:hAnsi="Palatino Linotype" w:cs="Arial"/>
          <w:i/>
          <w:sz w:val="22"/>
          <w:szCs w:val="22"/>
          <w:lang w:val="es-MX"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A20DD5" w:rsidRPr="005301C8" w:rsidRDefault="00A20DD5" w:rsidP="00A20DD5">
      <w:pPr>
        <w:spacing w:line="360" w:lineRule="auto"/>
        <w:ind w:left="709" w:right="709"/>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Expedientes:</w:t>
      </w:r>
    </w:p>
    <w:p w:rsidR="00A20DD5" w:rsidRPr="005301C8" w:rsidRDefault="00A20DD5" w:rsidP="00A20DD5">
      <w:pPr>
        <w:spacing w:line="360" w:lineRule="auto"/>
        <w:ind w:left="709" w:right="709"/>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0438/08 Pemex Exploración y Producción – Alonso Lujambio Irazábal</w:t>
      </w:r>
    </w:p>
    <w:p w:rsidR="00A20DD5" w:rsidRPr="005301C8" w:rsidRDefault="00A20DD5" w:rsidP="00A20DD5">
      <w:pPr>
        <w:spacing w:line="360" w:lineRule="auto"/>
        <w:ind w:left="709" w:right="709"/>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lastRenderedPageBreak/>
        <w:t>1751/09 Laboratorios de Biológicos y Reactivos de México S.A. de C.V. – María Marván Laborde</w:t>
      </w:r>
    </w:p>
    <w:p w:rsidR="00A20DD5" w:rsidRPr="005301C8" w:rsidRDefault="00A20DD5" w:rsidP="00A20DD5">
      <w:pPr>
        <w:spacing w:line="360" w:lineRule="auto"/>
        <w:ind w:left="709" w:right="709"/>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2868/09 Consejo Nacional de Ciencia y Tecnología – Jacqueline Peschard Mariscal</w:t>
      </w:r>
    </w:p>
    <w:p w:rsidR="00A20DD5" w:rsidRPr="005301C8" w:rsidRDefault="00A20DD5" w:rsidP="00A20DD5">
      <w:pPr>
        <w:spacing w:line="360" w:lineRule="auto"/>
        <w:ind w:left="709" w:right="709"/>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5160/09 Secretaría de Hacienda y Crédito Público – Ángel Trinidad Zaldívar</w:t>
      </w:r>
    </w:p>
    <w:p w:rsidR="00A20DD5" w:rsidRPr="005301C8" w:rsidRDefault="00A20DD5" w:rsidP="00A20DD5">
      <w:pPr>
        <w:spacing w:line="360" w:lineRule="auto"/>
        <w:ind w:left="709" w:right="709"/>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0304/10 Instituto Nacional de Cancerología – Jacqueline Peschard Mariscal”</w:t>
      </w:r>
    </w:p>
    <w:p w:rsidR="00A20DD5" w:rsidRPr="005301C8" w:rsidRDefault="00A20DD5" w:rsidP="00A20DD5">
      <w:pPr>
        <w:spacing w:line="360" w:lineRule="auto"/>
        <w:ind w:left="709" w:right="709"/>
        <w:jc w:val="both"/>
        <w:rPr>
          <w:rFonts w:ascii="Palatino Linotype" w:eastAsia="Times New Roman" w:hAnsi="Palatino Linotype" w:cs="Arial"/>
          <w:sz w:val="22"/>
          <w:szCs w:val="22"/>
          <w:lang w:val="es-MX" w:eastAsia="es-MX"/>
        </w:rPr>
      </w:pPr>
      <w:r w:rsidRPr="005301C8">
        <w:rPr>
          <w:rFonts w:ascii="Palatino Linotype" w:eastAsia="Times New Roman" w:hAnsi="Palatino Linotype" w:cs="Arial"/>
          <w:sz w:val="22"/>
          <w:szCs w:val="22"/>
          <w:lang w:val="es-MX" w:eastAsia="es-MX"/>
        </w:rPr>
        <w:t>(Énfasis añadido)</w:t>
      </w:r>
    </w:p>
    <w:p w:rsidR="00A20DD5" w:rsidRPr="005301C8" w:rsidRDefault="00A20DD5" w:rsidP="00A20DD5">
      <w:pPr>
        <w:spacing w:line="360" w:lineRule="auto"/>
        <w:ind w:right="709"/>
        <w:jc w:val="both"/>
        <w:rPr>
          <w:rFonts w:ascii="Palatino Linotype" w:eastAsia="Times New Roman" w:hAnsi="Palatino Linotype" w:cs="Arial"/>
          <w:sz w:val="22"/>
          <w:szCs w:val="22"/>
          <w:lang w:val="es-MX" w:eastAsia="es-MX"/>
        </w:rPr>
      </w:pPr>
    </w:p>
    <w:p w:rsidR="00A20DD5" w:rsidRPr="005301C8" w:rsidRDefault="00A20DD5" w:rsidP="00A20DD5">
      <w:pPr>
        <w:numPr>
          <w:ilvl w:val="0"/>
          <w:numId w:val="1"/>
        </w:numPr>
        <w:spacing w:before="120" w:after="120" w:line="360" w:lineRule="auto"/>
        <w:ind w:left="0" w:firstLine="0"/>
        <w:contextualSpacing/>
        <w:jc w:val="both"/>
        <w:rPr>
          <w:rFonts w:ascii="Palatino Linotype" w:eastAsia="Times New Roman" w:hAnsi="Palatino Linotype" w:cs="Times New Roman"/>
          <w:lang w:val="es-MX" w:eastAsia="es-MX"/>
        </w:rPr>
      </w:pPr>
      <w:r w:rsidRPr="005301C8">
        <w:rPr>
          <w:rFonts w:ascii="Palatino Linotype" w:eastAsia="Times New Roman" w:hAnsi="Palatino Linotype" w:cs="Times New Roman"/>
          <w:lang w:val="es-MX" w:eastAsia="es-MX"/>
        </w:rPr>
        <w:t xml:space="preserve">Al respecto, es conveniente señalar que los Sujetos Obligados, no están constreñidos a generar documentos </w:t>
      </w:r>
      <w:r w:rsidRPr="005301C8">
        <w:rPr>
          <w:rFonts w:ascii="Palatino Linotype" w:eastAsia="Times New Roman" w:hAnsi="Palatino Linotype" w:cs="Times New Roman"/>
          <w:b/>
          <w:i/>
          <w:lang w:val="es-MX" w:eastAsia="es-MX"/>
        </w:rPr>
        <w:t>ad hoc</w:t>
      </w:r>
      <w:r w:rsidRPr="005301C8">
        <w:rPr>
          <w:rFonts w:ascii="Palatino Linotype" w:eastAsia="Times New Roman" w:hAnsi="Palatino Linotype" w:cs="Times New Roman"/>
          <w:lang w:val="es-MX" w:eastAsia="es-MX"/>
        </w:rPr>
        <w:t>, para responder a las solicitud de información que les sean formuladas.</w:t>
      </w:r>
    </w:p>
    <w:p w:rsidR="00A20DD5" w:rsidRPr="005301C8" w:rsidRDefault="00A20DD5" w:rsidP="00A20DD5">
      <w:pPr>
        <w:spacing w:before="120" w:after="120" w:line="360" w:lineRule="auto"/>
        <w:contextualSpacing/>
        <w:jc w:val="both"/>
        <w:rPr>
          <w:rFonts w:ascii="Palatino Linotype" w:eastAsia="Times New Roman" w:hAnsi="Palatino Linotype" w:cs="Times New Roman"/>
          <w:lang w:val="es-MX" w:eastAsia="es-MX"/>
        </w:rPr>
      </w:pPr>
    </w:p>
    <w:p w:rsidR="00A20DD5" w:rsidRPr="005301C8" w:rsidRDefault="00A20DD5" w:rsidP="00A20DD5">
      <w:pPr>
        <w:numPr>
          <w:ilvl w:val="0"/>
          <w:numId w:val="1"/>
        </w:numPr>
        <w:spacing w:before="120" w:after="120" w:line="360" w:lineRule="auto"/>
        <w:ind w:left="0" w:firstLine="0"/>
        <w:contextualSpacing/>
        <w:jc w:val="both"/>
        <w:rPr>
          <w:rFonts w:ascii="Palatino Linotype" w:eastAsia="Times New Roman" w:hAnsi="Palatino Linotype" w:cs="Times New Roman"/>
          <w:lang w:val="es-MX" w:eastAsia="es-MX"/>
        </w:rPr>
      </w:pPr>
      <w:r w:rsidRPr="005301C8">
        <w:rPr>
          <w:rFonts w:ascii="Palatino Linotype" w:eastAsia="Times New Roman" w:hAnsi="Palatino Linotype" w:cs="Arial"/>
          <w:lang w:val="es-MX" w:eastAsia="es-MX"/>
        </w:rPr>
        <w:t xml:space="preserve">Corolario a lo anterior, el doctrinario Ernesto Villanueva Villanueva define al derecho de acceso a la información como: </w:t>
      </w:r>
    </w:p>
    <w:p w:rsidR="00A20DD5" w:rsidRPr="005301C8" w:rsidRDefault="00A20DD5" w:rsidP="00A20DD5">
      <w:pPr>
        <w:spacing w:before="120" w:after="120" w:line="360" w:lineRule="auto"/>
        <w:contextualSpacing/>
        <w:jc w:val="both"/>
        <w:rPr>
          <w:rFonts w:ascii="Palatino Linotype" w:eastAsia="Times New Roman" w:hAnsi="Palatino Linotype" w:cs="Times New Roman"/>
          <w:lang w:val="es-MX" w:eastAsia="es-MX"/>
        </w:rPr>
      </w:pPr>
    </w:p>
    <w:p w:rsidR="00A20DD5" w:rsidRPr="005301C8" w:rsidRDefault="00A20DD5" w:rsidP="00A20DD5">
      <w:pPr>
        <w:spacing w:before="120" w:after="120" w:line="360" w:lineRule="auto"/>
        <w:ind w:left="709" w:right="709"/>
        <w:jc w:val="both"/>
        <w:rPr>
          <w:rFonts w:ascii="Palatino Linotype" w:eastAsia="Times New Roman" w:hAnsi="Palatino Linotype" w:cs="Arial"/>
          <w:bCs/>
          <w:noProof/>
          <w:sz w:val="22"/>
          <w:lang w:val="es-MX" w:eastAsia="es-MX"/>
        </w:rPr>
      </w:pPr>
      <w:r w:rsidRPr="005301C8">
        <w:rPr>
          <w:rFonts w:ascii="Palatino Linotype" w:eastAsia="Times New Roman" w:hAnsi="Palatino Linotype" w:cs="Arial"/>
          <w:bCs/>
          <w:i/>
          <w:noProof/>
          <w:sz w:val="22"/>
          <w:lang w:val="es-MX"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5301C8">
        <w:rPr>
          <w:rFonts w:ascii="Palatino Linotype" w:eastAsia="Times New Roman" w:hAnsi="Palatino Linotype" w:cs="Arial"/>
          <w:bCs/>
          <w:noProof/>
          <w:sz w:val="22"/>
          <w:lang w:val="es-MX" w:eastAsia="es-MX"/>
        </w:rPr>
        <w:t xml:space="preserve">(Sic) </w:t>
      </w:r>
    </w:p>
    <w:p w:rsidR="00A20DD5" w:rsidRPr="005301C8" w:rsidRDefault="00A20DD5" w:rsidP="00A20DD5">
      <w:pPr>
        <w:spacing w:before="120" w:after="120" w:line="360" w:lineRule="auto"/>
        <w:ind w:left="709" w:right="709"/>
        <w:jc w:val="both"/>
        <w:rPr>
          <w:rFonts w:ascii="Palatino Linotype" w:eastAsia="Times New Roman" w:hAnsi="Palatino Linotype" w:cs="Arial"/>
          <w:bCs/>
          <w:noProof/>
          <w:sz w:val="22"/>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b/>
          <w:u w:val="single"/>
          <w:lang w:val="es-MX" w:eastAsia="es-MX"/>
        </w:rPr>
      </w:pPr>
      <w:r w:rsidRPr="005301C8">
        <w:rPr>
          <w:rFonts w:ascii="Palatino Linotype" w:eastAsia="Times New Roman" w:hAnsi="Palatino Linotype" w:cs="Arial"/>
          <w:lang w:val="es-MX" w:eastAsia="es-MX"/>
        </w:rPr>
        <w:t xml:space="preserve">De lo anterior, se puede concluir que la distinción entre el derecho de petición y el derecho de acceso a la información estriba principalmente en que en el primero de ellos, </w:t>
      </w:r>
      <w:r w:rsidRPr="005301C8">
        <w:rPr>
          <w:rFonts w:ascii="Palatino Linotype" w:eastAsia="Times New Roman"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5301C8">
        <w:rPr>
          <w:rFonts w:ascii="Palatino Linotype" w:eastAsia="Times New Roman" w:hAnsi="Palatino Linotype" w:cs="Arial"/>
          <w:bCs/>
          <w:lang w:val="es-MX" w:eastAsia="es-CO"/>
        </w:rPr>
        <w:t xml:space="preserve">segundo supuesto </w:t>
      </w:r>
      <w:r w:rsidRPr="005301C8">
        <w:rPr>
          <w:rFonts w:ascii="Palatino Linotype" w:eastAsia="Times New Roman" w:hAnsi="Palatino Linotype" w:cs="Arial"/>
          <w:b/>
          <w:bCs/>
          <w:u w:val="single"/>
          <w:lang w:val="es-MX" w:eastAsia="es-CO"/>
        </w:rPr>
        <w:t>la solicitud de acceso a la información pública se encamina primordialmente a</w:t>
      </w:r>
      <w:r w:rsidRPr="005301C8">
        <w:rPr>
          <w:rFonts w:ascii="Palatino Linotype" w:eastAsia="Times New Roman" w:hAnsi="Palatino Linotype" w:cs="Arial"/>
          <w:b/>
          <w:u w:val="single"/>
          <w:lang w:val="es-MX" w:eastAsia="es-MX"/>
        </w:rPr>
        <w:t xml:space="preserve"> permitir el </w:t>
      </w:r>
      <w:r w:rsidRPr="005301C8">
        <w:rPr>
          <w:rFonts w:ascii="Palatino Linotype" w:eastAsia="Times New Roman" w:hAnsi="Palatino Linotype" w:cs="Arial"/>
          <w:b/>
          <w:u w:val="single"/>
          <w:lang w:val="es-MX" w:eastAsia="es-CO"/>
        </w:rPr>
        <w:t xml:space="preserve">acceso a datos, registros y todo tipo de </w:t>
      </w:r>
      <w:r w:rsidRPr="005301C8">
        <w:rPr>
          <w:rFonts w:ascii="Palatino Linotype" w:eastAsia="Times New Roman" w:hAnsi="Palatino Linotype" w:cs="Arial"/>
          <w:b/>
          <w:u w:val="single"/>
          <w:lang w:val="es-MX" w:eastAsia="es-CO"/>
        </w:rPr>
        <w:lastRenderedPageBreak/>
        <w:t xml:space="preserve">información pública que conste en documentos, sea generada o se encuentre en posesión de </w:t>
      </w:r>
      <w:r w:rsidRPr="005301C8">
        <w:rPr>
          <w:rFonts w:ascii="Palatino Linotype" w:eastAsia="Times New Roman" w:hAnsi="Palatino Linotype" w:cs="Arial"/>
          <w:b/>
          <w:u w:val="single"/>
          <w:lang w:val="es-MX" w:eastAsia="es-MX"/>
        </w:rPr>
        <w:t xml:space="preserve">la autoridad. </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Arial"/>
          <w:b/>
          <w:u w:val="single"/>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Arial Unicode MS" w:hAnsi="Palatino Linotype" w:cs="Arial"/>
          <w:szCs w:val="22"/>
          <w:lang w:val="es-MX" w:eastAsia="es-MX"/>
        </w:rPr>
      </w:pPr>
      <w:r w:rsidRPr="005301C8">
        <w:rPr>
          <w:rFonts w:ascii="Palatino Linotype" w:eastAsia="Times New Roman" w:hAnsi="Palatino Linotype" w:cs="Arial"/>
          <w:lang w:val="es-MX" w:eastAsia="es-MX"/>
        </w:rPr>
        <w:t xml:space="preserve">Así las cosas, debe señalarse que en la solicitud de información presentada en </w:t>
      </w:r>
      <w:r w:rsidRPr="005301C8">
        <w:rPr>
          <w:rFonts w:ascii="Palatino Linotype" w:eastAsia="Times New Roman" w:hAnsi="Palatino Linotype" w:cs="Arial"/>
          <w:b/>
          <w:lang w:val="es-MX" w:eastAsia="es-MX"/>
        </w:rPr>
        <w:t>EL SAIMEX,</w:t>
      </w:r>
      <w:r w:rsidRPr="005301C8">
        <w:rPr>
          <w:rFonts w:ascii="Palatino Linotype" w:eastAsia="Times New Roman" w:hAnsi="Palatino Linotype" w:cs="Arial"/>
          <w:lang w:val="es-MX" w:eastAsia="es-MX"/>
        </w:rPr>
        <w:t xml:space="preserve"> </w:t>
      </w:r>
      <w:r w:rsidRPr="005301C8">
        <w:rPr>
          <w:rFonts w:ascii="Palatino Linotype" w:eastAsia="Times New Roman" w:hAnsi="Palatino Linotype" w:cs="Arial"/>
          <w:b/>
          <w:lang w:val="es-MX" w:eastAsia="es-MX"/>
        </w:rPr>
        <w:t>EL RECURRENTE</w:t>
      </w:r>
      <w:r w:rsidRPr="005301C8">
        <w:rPr>
          <w:rFonts w:ascii="Palatino Linotype" w:eastAsia="Times New Roman" w:hAnsi="Palatino Linotype" w:cs="Arial"/>
          <w:lang w:val="es-MX" w:eastAsia="es-MX"/>
        </w:rPr>
        <w:t xml:space="preserve"> requiere una razón, o bien, un razonamiento por parte de </w:t>
      </w:r>
      <w:r w:rsidRPr="005301C8">
        <w:rPr>
          <w:rFonts w:ascii="Palatino Linotype" w:eastAsia="Times New Roman" w:hAnsi="Palatino Linotype" w:cs="Arial"/>
          <w:b/>
          <w:lang w:val="es-MX" w:eastAsia="es-MX"/>
        </w:rPr>
        <w:t>EL SUJETO OBLIGADO</w:t>
      </w:r>
      <w:r w:rsidRPr="005301C8">
        <w:rPr>
          <w:rFonts w:ascii="Palatino Linotype" w:eastAsia="Times New Roman" w:hAnsi="Palatino Linotype" w:cs="Arial"/>
          <w:lang w:val="es-MX" w:eastAsia="es-MX"/>
        </w:rPr>
        <w:t xml:space="preserve"> mediante la realización de un </w:t>
      </w:r>
      <w:r w:rsidRPr="005301C8">
        <w:rPr>
          <w:rFonts w:ascii="Palatino Linotype" w:eastAsia="Times New Roman" w:hAnsi="Palatino Linotype" w:cs="Arial"/>
          <w:b/>
          <w:u w:val="single"/>
          <w:lang w:val="es-MX" w:eastAsia="es-MX"/>
        </w:rPr>
        <w:t>cuestionamiento</w:t>
      </w:r>
      <w:r w:rsidRPr="005301C8">
        <w:rPr>
          <w:rFonts w:ascii="Palatino Linotype" w:eastAsia="Times New Roman" w:hAnsi="Palatino Linotype" w:cs="Arial"/>
          <w:lang w:val="es-MX" w:eastAsia="es-MX"/>
        </w:rPr>
        <w:t>, al requerir, se pronuncie al respecto sobre si los servidores públicos que forman parte de su estructura orgánica, bajo cualquier modalidad de contratación o condición en que se encuentre, pueden aceptar un cargo público o laborar en otra Institución pública o ayuntamiento</w:t>
      </w:r>
    </w:p>
    <w:p w:rsidR="00A20DD5" w:rsidRPr="005301C8" w:rsidRDefault="00A20DD5" w:rsidP="00A20DD5">
      <w:pPr>
        <w:ind w:left="720"/>
        <w:contextualSpacing/>
        <w:rPr>
          <w:rFonts w:ascii="Palatino Linotype" w:eastAsia="Arial Unicode MS" w:hAnsi="Palatino Linotype" w:cs="Arial"/>
          <w:szCs w:val="22"/>
          <w:lang w:val="es-MX" w:eastAsia="es-MX"/>
        </w:rPr>
      </w:pPr>
    </w:p>
    <w:p w:rsidR="00A20DD5" w:rsidRPr="005301C8" w:rsidRDefault="00A20DD5" w:rsidP="00A20DD5">
      <w:pPr>
        <w:numPr>
          <w:ilvl w:val="0"/>
          <w:numId w:val="1"/>
        </w:numPr>
        <w:autoSpaceDE w:val="0"/>
        <w:autoSpaceDN w:val="0"/>
        <w:adjustRightInd w:val="0"/>
        <w:spacing w:before="120" w:after="120" w:line="360" w:lineRule="auto"/>
        <w:ind w:left="0" w:firstLine="0"/>
        <w:contextualSpacing/>
        <w:jc w:val="both"/>
        <w:rPr>
          <w:rFonts w:ascii="Palatino Linotype" w:eastAsia="Times New Roman" w:hAnsi="Palatino Linotype" w:cs="Arial"/>
          <w:lang w:val="es-MX" w:eastAsia="es-MX"/>
        </w:rPr>
      </w:pPr>
      <w:r w:rsidRPr="005301C8">
        <w:rPr>
          <w:rFonts w:ascii="Palatino Linotype" w:eastAsia="Times New Roman" w:hAnsi="Palatino Linotype" w:cs="Arial"/>
          <w:lang w:val="es-MX" w:eastAsia="es-MX"/>
        </w:rPr>
        <w:t>Por lo que, la entrega de una razón o un razonamiento por parte del</w:t>
      </w:r>
      <w:r w:rsidRPr="005301C8">
        <w:rPr>
          <w:rFonts w:ascii="Palatino Linotype" w:eastAsia="Times New Roman" w:hAnsi="Palatino Linotype" w:cs="Arial"/>
          <w:b/>
          <w:lang w:val="es-MX" w:eastAsia="es-MX"/>
        </w:rPr>
        <w:t xml:space="preserve"> SUJETO OBLIGADO</w:t>
      </w:r>
      <w:r w:rsidRPr="005301C8">
        <w:rPr>
          <w:rFonts w:ascii="Palatino Linotype" w:eastAsia="Times New Roman" w:hAnsi="Palatino Linotype" w:cs="Arial"/>
          <w:lang w:val="es-MX" w:eastAsia="es-MX"/>
        </w:rPr>
        <w:t xml:space="preserve"> no es algo que la ley establezca como atribución, derecho, o facultad; pues ello implicaría </w:t>
      </w:r>
      <w:r w:rsidRPr="005301C8">
        <w:rPr>
          <w:rFonts w:ascii="Palatino Linotype" w:eastAsia="Times New Roman" w:hAnsi="Palatino Linotype" w:cs="Arial"/>
          <w:b/>
          <w:u w:val="single"/>
          <w:lang w:val="es-MX" w:eastAsia="es-MX"/>
        </w:rPr>
        <w:t>un juicio de valor</w:t>
      </w:r>
      <w:r w:rsidRPr="005301C8">
        <w:rPr>
          <w:rFonts w:ascii="Palatino Linotype" w:eastAsia="Times New Roman" w:hAnsi="Palatino Linotype" w:cs="Arial"/>
          <w:lang w:val="es-MX" w:eastAsia="es-MX"/>
        </w:rPr>
        <w:t xml:space="preserve"> referente a un cuestionamiento realizado, los cuales, al constituir interrogantes, inquietudes y manifestaciones se satisfacen vía derecho de petición, y no así, a través del ejercicio del derecho a acceder a información pública.</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Arial"/>
          <w:lang w:val="es-MX" w:eastAsia="es-MX"/>
        </w:rPr>
      </w:pPr>
    </w:p>
    <w:p w:rsidR="00A20DD5" w:rsidRPr="005301C8" w:rsidRDefault="00A20DD5" w:rsidP="00A20DD5">
      <w:pPr>
        <w:numPr>
          <w:ilvl w:val="0"/>
          <w:numId w:val="1"/>
        </w:numPr>
        <w:spacing w:line="360" w:lineRule="auto"/>
        <w:ind w:left="0" w:right="49" w:firstLine="0"/>
        <w:contextualSpacing/>
        <w:jc w:val="both"/>
        <w:rPr>
          <w:rFonts w:ascii="Palatino Linotype" w:eastAsia="Times New Roman" w:hAnsi="Palatino Linotype" w:cs="Arial"/>
          <w:color w:val="000000"/>
          <w:lang w:val="es-MX" w:eastAsia="es-MX"/>
        </w:rPr>
      </w:pPr>
      <w:r w:rsidRPr="005301C8">
        <w:rPr>
          <w:rFonts w:ascii="Palatino Linotype" w:eastAsia="Times New Roman" w:hAnsi="Palatino Linotype" w:cs="Arial"/>
          <w:color w:val="000000"/>
          <w:lang w:val="es-MX" w:eastAsia="es-MX"/>
        </w:rPr>
        <w:t xml:space="preserve">Entonces, al tratarse de un derecho de petición estamos en presencia de una consulta que se aleja del derecho de acceso a la información pública, actualizando lo dispuesto en el artículo 191 fracción VI </w:t>
      </w:r>
      <w:r w:rsidRPr="005301C8">
        <w:rPr>
          <w:rFonts w:ascii="Palatino Linotype" w:eastAsia="Calibri" w:hAnsi="Palatino Linotype" w:cs="Arial"/>
          <w:lang w:val="es-MX" w:eastAsia="es-MX"/>
        </w:rPr>
        <w:t>de la Ley de Transparencia y Acceso a la Información Pública del Estado de México y Municipios, el cual dispone lo siguiente:</w:t>
      </w:r>
    </w:p>
    <w:p w:rsidR="00A20DD5" w:rsidRPr="005301C8" w:rsidRDefault="00A20DD5" w:rsidP="00A20DD5">
      <w:pPr>
        <w:tabs>
          <w:tab w:val="left" w:pos="567"/>
        </w:tabs>
        <w:spacing w:line="360" w:lineRule="auto"/>
        <w:contextualSpacing/>
        <w:jc w:val="both"/>
        <w:rPr>
          <w:rFonts w:ascii="Palatino Linotype" w:eastAsia="Calibri" w:hAnsi="Palatino Linotype" w:cs="Arial"/>
          <w:sz w:val="22"/>
          <w:lang w:val="es-MX" w:eastAsia="es-MX"/>
        </w:rPr>
      </w:pP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Artículo 191. El recurso será desechado por improcedente cuando:</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lastRenderedPageBreak/>
        <w:t xml:space="preserve">I. Sea extemporáneo por haber transcurrido el plazo establecido en la presente Ley, a partir de la respuesta;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II. Se esté tramitando ante el Poder Judicial de la Federación algún recurso o medio de defensa interpuesto por el recurrente;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III. No actualice alguno de los supuestos previstos en la presente Ley;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IV. No se haya desahogado la prevención en los términos establecidos en la presente Ley;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V. Se impugne la veracidad de la información proporcionada;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b/>
          <w:i/>
          <w:sz w:val="22"/>
          <w:lang w:val="es-MX" w:eastAsia="es-MX"/>
        </w:rPr>
      </w:pPr>
      <w:r w:rsidRPr="005301C8">
        <w:rPr>
          <w:rFonts w:ascii="Palatino Linotype" w:eastAsia="Times New Roman" w:hAnsi="Palatino Linotype" w:cs="Times New Roman"/>
          <w:b/>
          <w:i/>
          <w:sz w:val="22"/>
          <w:lang w:val="es-MX" w:eastAsia="es-MX"/>
        </w:rPr>
        <w:t xml:space="preserve">VI. Se trate de una consulta, o trámite en específico; y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VII. El recurrente amplíe su solicitud en el recurso de revisión, únicamente respecto de los nuevos contenidos.</w:t>
      </w:r>
    </w:p>
    <w:p w:rsidR="00A20DD5" w:rsidRPr="005301C8" w:rsidRDefault="00A20DD5" w:rsidP="00A20DD5">
      <w:pPr>
        <w:tabs>
          <w:tab w:val="left" w:pos="567"/>
        </w:tabs>
        <w:spacing w:line="360" w:lineRule="auto"/>
        <w:contextualSpacing/>
        <w:jc w:val="both"/>
        <w:rPr>
          <w:rFonts w:ascii="Century Gothic" w:eastAsia="Times New Roman" w:hAnsi="Century Gothic" w:cs="Times New Roman"/>
          <w:sz w:val="22"/>
          <w:lang w:val="es-MX" w:eastAsia="es-MX"/>
        </w:rPr>
      </w:pPr>
    </w:p>
    <w:p w:rsidR="00A20DD5" w:rsidRPr="005301C8" w:rsidRDefault="00A20DD5" w:rsidP="00A20DD5">
      <w:pPr>
        <w:numPr>
          <w:ilvl w:val="0"/>
          <w:numId w:val="1"/>
        </w:numPr>
        <w:tabs>
          <w:tab w:val="left" w:pos="567"/>
        </w:tabs>
        <w:spacing w:line="360" w:lineRule="auto"/>
        <w:ind w:left="0" w:firstLine="0"/>
        <w:contextualSpacing/>
        <w:jc w:val="both"/>
        <w:rPr>
          <w:rFonts w:ascii="Palatino Linotype" w:eastAsia="Calibri" w:hAnsi="Palatino Linotype" w:cs="Arial"/>
          <w:lang w:val="es-MX" w:eastAsia="es-MX"/>
        </w:rPr>
      </w:pPr>
      <w:r w:rsidRPr="005301C8">
        <w:rPr>
          <w:rFonts w:ascii="Palatino Linotype" w:eastAsia="Calibri" w:hAnsi="Palatino Linotype" w:cs="Arial"/>
          <w:lang w:val="es-MX" w:eastAsia="es-MX"/>
        </w:rPr>
        <w:t>La fracción VI del citado precepto legal, contempla la improcedencia del recurso de revisión cuando se trate de una consulta, lo cual se relaciona con la solicitud de acceso a la información pública.</w:t>
      </w:r>
    </w:p>
    <w:p w:rsidR="00A20DD5" w:rsidRPr="005301C8" w:rsidRDefault="00A20DD5" w:rsidP="00A20DD5">
      <w:pPr>
        <w:tabs>
          <w:tab w:val="left" w:pos="567"/>
        </w:tabs>
        <w:spacing w:line="360" w:lineRule="auto"/>
        <w:contextualSpacing/>
        <w:jc w:val="both"/>
        <w:rPr>
          <w:rFonts w:ascii="Palatino Linotype" w:eastAsia="Calibri" w:hAnsi="Palatino Linotype" w:cs="Arial"/>
          <w:lang w:val="es-MX" w:eastAsia="es-MX"/>
        </w:rPr>
      </w:pPr>
    </w:p>
    <w:p w:rsidR="00A20DD5" w:rsidRPr="005301C8" w:rsidRDefault="00A20DD5" w:rsidP="00A20DD5">
      <w:pPr>
        <w:numPr>
          <w:ilvl w:val="0"/>
          <w:numId w:val="1"/>
        </w:numPr>
        <w:tabs>
          <w:tab w:val="left" w:pos="567"/>
        </w:tabs>
        <w:spacing w:line="360" w:lineRule="auto"/>
        <w:ind w:left="0" w:firstLine="0"/>
        <w:contextualSpacing/>
        <w:jc w:val="both"/>
        <w:rPr>
          <w:rFonts w:ascii="Palatino Linotype" w:eastAsia="Calibri" w:hAnsi="Palatino Linotype" w:cs="Arial"/>
          <w:lang w:val="es-MX" w:eastAsia="es-MX"/>
        </w:rPr>
      </w:pPr>
      <w:r w:rsidRPr="005301C8">
        <w:rPr>
          <w:rFonts w:ascii="Palatino Linotype" w:eastAsia="Calibri" w:hAnsi="Palatino Linotype" w:cs="Arial"/>
          <w:lang w:val="es-MX" w:eastAsia="es-MX"/>
        </w:rPr>
        <w:t>Sin embargo, al haber sido admitido el recurso de revisión, aún y cuando actualiza una causal de improcedencia, es necesario traer a contexto el artículo 192 fracción IV, de la multicitada Ley de Transparencia:</w:t>
      </w:r>
    </w:p>
    <w:p w:rsidR="00A20DD5" w:rsidRPr="005301C8" w:rsidRDefault="00A20DD5" w:rsidP="00A20DD5">
      <w:pPr>
        <w:tabs>
          <w:tab w:val="left" w:pos="567"/>
        </w:tabs>
        <w:spacing w:line="360" w:lineRule="auto"/>
        <w:contextualSpacing/>
        <w:jc w:val="both"/>
        <w:rPr>
          <w:rFonts w:ascii="Palatino Linotype" w:eastAsia="Calibri" w:hAnsi="Palatino Linotype" w:cs="Arial"/>
          <w:sz w:val="22"/>
          <w:lang w:val="es-MX" w:eastAsia="es-MX"/>
        </w:rPr>
      </w:pPr>
    </w:p>
    <w:p w:rsidR="00A20DD5" w:rsidRPr="005301C8" w:rsidRDefault="00A20DD5" w:rsidP="00A20DD5">
      <w:pPr>
        <w:tabs>
          <w:tab w:val="left" w:pos="567"/>
        </w:tabs>
        <w:spacing w:line="360" w:lineRule="auto"/>
        <w:ind w:left="567" w:right="822"/>
        <w:contextualSpacing/>
        <w:jc w:val="both"/>
        <w:rPr>
          <w:rFonts w:ascii="Palatino Linotype" w:eastAsia="Calibri" w:hAnsi="Palatino Linotype" w:cs="Arial"/>
          <w:i/>
          <w:sz w:val="22"/>
          <w:lang w:val="es-MX" w:eastAsia="es-MX"/>
        </w:rPr>
      </w:pPr>
      <w:r w:rsidRPr="005301C8">
        <w:rPr>
          <w:rFonts w:ascii="Palatino Linotype" w:eastAsia="Times New Roman" w:hAnsi="Palatino Linotype" w:cs="Times New Roman"/>
          <w:i/>
          <w:sz w:val="22"/>
          <w:lang w:val="es-MX" w:eastAsia="es-MX"/>
        </w:rPr>
        <w:t>Artículo 192. El recurso será sobreseído, en todo o en parte, cuando una vez admitido, se actualicen alguno de los siguientes supuestos:</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I. El recurrente se desista expresamente del recurso;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II. El recurrente fallezca o, tratándose de personas jurídicas colectivas, se disuelva;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 xml:space="preserve">III. El sujeto obligado responsable del acto lo modifique o revoque de tal manera que el recurso de revisión quede sin materia;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b/>
          <w:i/>
          <w:sz w:val="22"/>
          <w:lang w:val="es-MX" w:eastAsia="es-MX"/>
        </w:rPr>
      </w:pPr>
      <w:r w:rsidRPr="005301C8">
        <w:rPr>
          <w:rFonts w:ascii="Palatino Linotype" w:eastAsia="Times New Roman" w:hAnsi="Palatino Linotype" w:cs="Times New Roman"/>
          <w:b/>
          <w:i/>
          <w:sz w:val="22"/>
          <w:lang w:val="es-MX" w:eastAsia="es-MX"/>
        </w:rPr>
        <w:lastRenderedPageBreak/>
        <w:t xml:space="preserve">IV. Admitido el recurso de revisión, aparezca alguna causal de improcedencia en los términos de la presente Ley; y </w:t>
      </w:r>
    </w:p>
    <w:p w:rsidR="00A20DD5" w:rsidRPr="005301C8" w:rsidRDefault="00A20DD5" w:rsidP="00A20DD5">
      <w:pPr>
        <w:tabs>
          <w:tab w:val="left" w:pos="567"/>
        </w:tabs>
        <w:spacing w:line="360" w:lineRule="auto"/>
        <w:ind w:left="567" w:right="822"/>
        <w:contextualSpacing/>
        <w:jc w:val="both"/>
        <w:rPr>
          <w:rFonts w:ascii="Palatino Linotype" w:eastAsia="Times New Roman" w:hAnsi="Palatino Linotype" w:cs="Times New Roman"/>
          <w:i/>
          <w:sz w:val="22"/>
          <w:lang w:val="es-MX" w:eastAsia="es-MX"/>
        </w:rPr>
      </w:pPr>
      <w:r w:rsidRPr="005301C8">
        <w:rPr>
          <w:rFonts w:ascii="Palatino Linotype" w:eastAsia="Times New Roman" w:hAnsi="Palatino Linotype" w:cs="Times New Roman"/>
          <w:i/>
          <w:sz w:val="22"/>
          <w:lang w:val="es-MX" w:eastAsia="es-MX"/>
        </w:rPr>
        <w:t>V. Cuando por cualquier motivo quede sin materia el recurso.</w:t>
      </w:r>
    </w:p>
    <w:p w:rsidR="00A20DD5" w:rsidRPr="005301C8" w:rsidRDefault="00A20DD5" w:rsidP="00A20DD5">
      <w:pPr>
        <w:tabs>
          <w:tab w:val="left" w:pos="567"/>
        </w:tabs>
        <w:spacing w:line="360" w:lineRule="auto"/>
        <w:ind w:left="567" w:right="822"/>
        <w:contextualSpacing/>
        <w:jc w:val="both"/>
        <w:rPr>
          <w:rFonts w:ascii="Palatino Linotype" w:eastAsia="Calibri" w:hAnsi="Palatino Linotype" w:cs="Arial"/>
          <w:i/>
          <w:sz w:val="22"/>
          <w:lang w:val="es-MX" w:eastAsia="es-MX"/>
        </w:rPr>
      </w:pPr>
    </w:p>
    <w:p w:rsidR="00A20DD5" w:rsidRPr="005301C8" w:rsidRDefault="00A20DD5" w:rsidP="00A20DD5">
      <w:pPr>
        <w:numPr>
          <w:ilvl w:val="0"/>
          <w:numId w:val="1"/>
        </w:numPr>
        <w:tabs>
          <w:tab w:val="left" w:pos="567"/>
        </w:tabs>
        <w:spacing w:line="360" w:lineRule="auto"/>
        <w:ind w:left="0" w:firstLine="0"/>
        <w:contextualSpacing/>
        <w:jc w:val="both"/>
        <w:rPr>
          <w:rFonts w:ascii="Palatino Linotype" w:eastAsia="Calibri" w:hAnsi="Palatino Linotype" w:cs="Arial"/>
          <w:lang w:val="es-MX" w:eastAsia="es-MX"/>
        </w:rPr>
      </w:pPr>
      <w:r w:rsidRPr="005301C8">
        <w:rPr>
          <w:rFonts w:ascii="Palatino Linotype" w:eastAsia="Calibri" w:hAnsi="Palatino Linotype" w:cs="Arial"/>
          <w:lang w:val="es-MX" w:eastAsia="es-MX"/>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rsidR="00A20DD5" w:rsidRPr="005301C8" w:rsidRDefault="00A20DD5" w:rsidP="00A20DD5">
      <w:pPr>
        <w:spacing w:before="240" w:after="240" w:line="360" w:lineRule="auto"/>
        <w:contextualSpacing/>
        <w:jc w:val="both"/>
        <w:rPr>
          <w:rFonts w:ascii="Palatino Linotype" w:eastAsia="Times New Roman" w:hAnsi="Palatino Linotype" w:cs="Times New Roman"/>
          <w:lang w:val="es-MX" w:eastAsia="es-MX"/>
        </w:rPr>
      </w:pPr>
    </w:p>
    <w:p w:rsidR="00A20DD5" w:rsidRPr="005301C8" w:rsidRDefault="00A20DD5" w:rsidP="00A20DD5">
      <w:pPr>
        <w:numPr>
          <w:ilvl w:val="0"/>
          <w:numId w:val="1"/>
        </w:numPr>
        <w:spacing w:before="240" w:after="240" w:line="360" w:lineRule="auto"/>
        <w:ind w:left="0" w:firstLine="0"/>
        <w:contextualSpacing/>
        <w:jc w:val="both"/>
        <w:rPr>
          <w:rFonts w:ascii="Palatino Linotype" w:eastAsia="Times New Roman" w:hAnsi="Palatino Linotype" w:cs="Times New Roman"/>
          <w:lang w:val="es-MX" w:eastAsia="es-MX"/>
        </w:rPr>
      </w:pPr>
      <w:r w:rsidRPr="005301C8">
        <w:rPr>
          <w:rFonts w:ascii="Palatino Linotype" w:eastAsia="Times New Roman" w:hAnsi="Palatino Linotype" w:cs="Arial"/>
          <w:lang w:val="es-MX" w:eastAsia="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A20DD5" w:rsidRPr="005301C8" w:rsidRDefault="00A20DD5" w:rsidP="00A20DD5">
      <w:pPr>
        <w:spacing w:before="240" w:after="240" w:line="360" w:lineRule="auto"/>
        <w:contextualSpacing/>
        <w:jc w:val="both"/>
        <w:rPr>
          <w:rFonts w:ascii="Palatino Linotype" w:eastAsia="Times New Roman" w:hAnsi="Palatino Linotype" w:cs="Times New Roman"/>
          <w:lang w:val="es-MX" w:eastAsia="es-MX"/>
        </w:rPr>
      </w:pPr>
    </w:p>
    <w:p w:rsidR="00A20DD5" w:rsidRPr="005301C8" w:rsidRDefault="00A20DD5" w:rsidP="00A20DD5">
      <w:pPr>
        <w:spacing w:line="360" w:lineRule="auto"/>
        <w:ind w:left="567" w:right="567"/>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w:t>
      </w:r>
      <w:r w:rsidRPr="005301C8">
        <w:rPr>
          <w:rFonts w:ascii="Palatino Linotype" w:eastAsia="Times New Roman" w:hAnsi="Palatino Linotype" w:cs="Arial"/>
          <w:b/>
          <w:i/>
          <w:sz w:val="22"/>
          <w:szCs w:val="22"/>
          <w:lang w:val="es-MX" w:eastAsia="es-MX"/>
        </w:rPr>
        <w:t>SOBRESEIMIENTO EN EL JUICIO DE AMPARO DIRECTO. IMPIDE EL ESTUDIO DE LAS VIOLACIONES PROCESALES PLANTEADAS EN LOS CONCEPTOS DE VIOLACIÓN.</w:t>
      </w:r>
      <w:r w:rsidRPr="005301C8">
        <w:rPr>
          <w:rFonts w:ascii="Palatino Linotype" w:eastAsia="Times New Roman" w:hAnsi="Palatino Linotype" w:cs="Arial"/>
          <w:i/>
          <w:sz w:val="22"/>
          <w:szCs w:val="22"/>
          <w:lang w:val="es-MX" w:eastAsia="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A20DD5" w:rsidRPr="005301C8" w:rsidRDefault="00A20DD5" w:rsidP="00A20DD5">
      <w:pPr>
        <w:spacing w:line="360" w:lineRule="auto"/>
        <w:ind w:left="567" w:right="567"/>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t>SEPTIMO TRIBUNAL COLEGIADO EN MATERIA CIVIL DEL PRIMER CIRCUITO</w:t>
      </w:r>
    </w:p>
    <w:p w:rsidR="00A20DD5" w:rsidRPr="005301C8" w:rsidRDefault="00A20DD5" w:rsidP="00A20DD5">
      <w:pPr>
        <w:spacing w:line="360" w:lineRule="auto"/>
        <w:ind w:left="567" w:right="567"/>
        <w:jc w:val="both"/>
        <w:rPr>
          <w:rFonts w:ascii="Palatino Linotype" w:eastAsia="Times New Roman" w:hAnsi="Palatino Linotype" w:cs="Arial"/>
          <w:i/>
          <w:sz w:val="22"/>
          <w:szCs w:val="22"/>
          <w:lang w:val="es-MX" w:eastAsia="es-MX"/>
        </w:rPr>
      </w:pPr>
      <w:r w:rsidRPr="005301C8">
        <w:rPr>
          <w:rFonts w:ascii="Palatino Linotype" w:eastAsia="Times New Roman" w:hAnsi="Palatino Linotype" w:cs="Arial"/>
          <w:i/>
          <w:sz w:val="22"/>
          <w:szCs w:val="22"/>
          <w:lang w:val="es-MX" w:eastAsia="es-MX"/>
        </w:rPr>
        <w:lastRenderedPageBreak/>
        <w:t>Amparo directo 699/2008. Mariana Leticia González Steele. 13 de noviembre de 2008. Unanimidad de votos. Ponente: Sara Judith Montalvo Trejo. Secretario: Arnulfo Mateos García.”</w:t>
      </w:r>
    </w:p>
    <w:p w:rsidR="00A20DD5" w:rsidRPr="005301C8" w:rsidRDefault="00A20DD5" w:rsidP="00A20DD5">
      <w:pPr>
        <w:spacing w:line="360" w:lineRule="auto"/>
        <w:ind w:left="567" w:right="567"/>
        <w:jc w:val="both"/>
        <w:rPr>
          <w:rFonts w:ascii="Palatino Linotype" w:eastAsia="Times New Roman" w:hAnsi="Palatino Linotype" w:cs="Arial"/>
          <w:i/>
          <w:sz w:val="22"/>
          <w:szCs w:val="22"/>
          <w:lang w:val="es-MX" w:eastAsia="es-MX"/>
        </w:rPr>
      </w:pPr>
    </w:p>
    <w:p w:rsidR="00A20DD5" w:rsidRPr="005301C8" w:rsidRDefault="00A20DD5" w:rsidP="00A20DD5">
      <w:pPr>
        <w:numPr>
          <w:ilvl w:val="0"/>
          <w:numId w:val="1"/>
        </w:numPr>
        <w:tabs>
          <w:tab w:val="left" w:pos="567"/>
        </w:tabs>
        <w:spacing w:line="360" w:lineRule="auto"/>
        <w:ind w:left="0" w:firstLine="0"/>
        <w:contextualSpacing/>
        <w:jc w:val="both"/>
        <w:rPr>
          <w:rFonts w:ascii="Palatino Linotype" w:eastAsia="Calibri" w:hAnsi="Palatino Linotype" w:cs="Arial"/>
          <w:lang w:val="es-MX" w:eastAsia="es-MX"/>
        </w:rPr>
      </w:pPr>
      <w:r w:rsidRPr="005301C8">
        <w:rPr>
          <w:rFonts w:ascii="Palatino Linotype" w:eastAsia="Calibri" w:hAnsi="Palatino Linotype" w:cs="Arial"/>
          <w:lang w:val="es-MX" w:eastAsia="es-MX"/>
        </w:rPr>
        <w:t>No obstante, a efecto de no vulnerar los derechos del particular, este Órgano Garante deja a salvo sus derechos para que, si así lo desea, presente una nueva solicitud de acceso a la información requiriendo información que sea de su interés.</w:t>
      </w:r>
    </w:p>
    <w:p w:rsidR="00A20DD5" w:rsidRPr="005301C8" w:rsidRDefault="00A20DD5" w:rsidP="00A20DD5">
      <w:pPr>
        <w:autoSpaceDE w:val="0"/>
        <w:autoSpaceDN w:val="0"/>
        <w:adjustRightInd w:val="0"/>
        <w:spacing w:before="120" w:after="120" w:line="360" w:lineRule="auto"/>
        <w:contextualSpacing/>
        <w:jc w:val="both"/>
        <w:rPr>
          <w:rFonts w:ascii="Palatino Linotype" w:eastAsia="Times New Roman" w:hAnsi="Palatino Linotype" w:cs="Arial"/>
          <w:lang w:val="es-MX" w:eastAsia="es-MX"/>
        </w:rPr>
      </w:pPr>
    </w:p>
    <w:p w:rsidR="00A20DD5" w:rsidRPr="005301C8" w:rsidRDefault="00A20DD5" w:rsidP="00CA3877">
      <w:pPr>
        <w:numPr>
          <w:ilvl w:val="0"/>
          <w:numId w:val="1"/>
        </w:numPr>
        <w:spacing w:line="360" w:lineRule="auto"/>
        <w:ind w:left="0" w:firstLine="0"/>
        <w:contextualSpacing/>
        <w:jc w:val="both"/>
        <w:rPr>
          <w:rFonts w:ascii="Palatino Linotype" w:eastAsia="Times New Roman" w:hAnsi="Palatino Linotype" w:cs="Palatino Linotype"/>
          <w:lang w:val="es-MX" w:eastAsia="es-MX"/>
        </w:rPr>
      </w:pPr>
      <w:r w:rsidRPr="005301C8">
        <w:rPr>
          <w:rFonts w:ascii="Palatino Linotype" w:eastAsia="Times New Roman" w:hAnsi="Palatino Linotype" w:cs="Arial"/>
          <w:lang w:val="es-MX" w:eastAsia="es-MX"/>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rsidR="0083334B" w:rsidRPr="005301C8"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5301C8">
        <w:rPr>
          <w:rFonts w:ascii="Palatino Linotype" w:hAnsi="Palatino Linotype"/>
          <w:color w:val="000000"/>
          <w:lang w:val="es-ES" w:eastAsia="es-MX"/>
        </w:rPr>
        <w:t xml:space="preserve">Por lo anteriormente expuesto y fundado, este </w:t>
      </w:r>
      <w:r w:rsidRPr="005301C8">
        <w:rPr>
          <w:rFonts w:ascii="Palatino Linotype" w:hAnsi="Palatino Linotype"/>
          <w:b/>
          <w:bCs/>
          <w:color w:val="000000"/>
          <w:lang w:val="es-ES" w:eastAsia="es-MX"/>
        </w:rPr>
        <w:t>ÓRGANO GARANTE</w:t>
      </w:r>
      <w:r w:rsidRPr="005301C8">
        <w:rPr>
          <w:rFonts w:ascii="Palatino Linotype" w:hAnsi="Palatino Linotype"/>
          <w:color w:val="000000"/>
          <w:lang w:val="es-ES" w:eastAsia="es-MX"/>
        </w:rPr>
        <w:t xml:space="preserve"> emite los siguientes:   </w:t>
      </w:r>
    </w:p>
    <w:p w:rsidR="0083334B" w:rsidRPr="005301C8" w:rsidRDefault="0083334B" w:rsidP="0083334B">
      <w:pPr>
        <w:pStyle w:val="Prrafodelista"/>
        <w:spacing w:line="360" w:lineRule="auto"/>
        <w:rPr>
          <w:rFonts w:ascii="Palatino Linotype" w:hAnsi="Palatino Linotype" w:cs="Palatino Linotype"/>
        </w:rPr>
      </w:pPr>
    </w:p>
    <w:p w:rsidR="0083334B" w:rsidRPr="005301C8" w:rsidRDefault="0083334B" w:rsidP="0083334B">
      <w:pPr>
        <w:keepNext/>
        <w:keepLines/>
        <w:spacing w:line="360" w:lineRule="auto"/>
        <w:jc w:val="center"/>
        <w:outlineLvl w:val="0"/>
        <w:rPr>
          <w:rFonts w:ascii="Palatino Linotype" w:hAnsi="Palatino Linotype" w:cstheme="majorBidi"/>
          <w:b/>
          <w:bCs/>
        </w:rPr>
      </w:pPr>
      <w:bookmarkStart w:id="18" w:name="_Toc26960598"/>
      <w:bookmarkStart w:id="19" w:name="_Toc82017154"/>
      <w:r w:rsidRPr="005301C8">
        <w:rPr>
          <w:rFonts w:ascii="Palatino Linotype" w:hAnsi="Palatino Linotype" w:cstheme="majorBidi"/>
          <w:b/>
          <w:bCs/>
        </w:rPr>
        <w:t>R E S O L U T I V O S</w:t>
      </w:r>
      <w:bookmarkEnd w:id="18"/>
      <w:bookmarkEnd w:id="19"/>
    </w:p>
    <w:p w:rsidR="0083334B" w:rsidRPr="005301C8" w:rsidRDefault="0083334B" w:rsidP="0083334B">
      <w:pPr>
        <w:pStyle w:val="Prrafodelista"/>
        <w:spacing w:line="360" w:lineRule="auto"/>
        <w:rPr>
          <w:rFonts w:ascii="Palatino Linotype" w:hAnsi="Palatino Linotype" w:cs="Palatino Linotype"/>
        </w:rPr>
      </w:pPr>
    </w:p>
    <w:p w:rsidR="008C692D" w:rsidRPr="005301C8"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bookmarkStart w:id="20" w:name="_Toc450120669"/>
      <w:bookmarkStart w:id="21" w:name="_Toc460947011"/>
      <w:r w:rsidRPr="005301C8">
        <w:rPr>
          <w:rFonts w:ascii="Palatino Linotype" w:hAnsi="Palatino Linotype" w:cs="Arial"/>
          <w:b/>
        </w:rPr>
        <w:t xml:space="preserve">PRIMERO. </w:t>
      </w:r>
      <w:r w:rsidRPr="005301C8">
        <w:rPr>
          <w:rFonts w:ascii="Palatino Linotype" w:hAnsi="Palatino Linotype"/>
        </w:rPr>
        <w:t xml:space="preserve">Se </w:t>
      </w:r>
      <w:r w:rsidRPr="005301C8">
        <w:rPr>
          <w:rFonts w:ascii="Palatino Linotype" w:hAnsi="Palatino Linotype"/>
          <w:b/>
        </w:rPr>
        <w:t>SOBRESEE</w:t>
      </w:r>
      <w:r w:rsidRPr="005301C8">
        <w:rPr>
          <w:rFonts w:ascii="Palatino Linotype" w:hAnsi="Palatino Linotype"/>
        </w:rPr>
        <w:t xml:space="preserve"> el recurso de revisión número </w:t>
      </w:r>
      <w:r w:rsidRPr="005301C8">
        <w:rPr>
          <w:rFonts w:ascii="Palatino Linotype" w:eastAsia="Calibri" w:hAnsi="Palatino Linotype" w:cs="Tahoma"/>
          <w:b/>
          <w:bCs/>
          <w:lang w:eastAsia="en-US"/>
        </w:rPr>
        <w:t>0</w:t>
      </w:r>
      <w:r w:rsidR="00CA3877" w:rsidRPr="005301C8">
        <w:rPr>
          <w:rFonts w:ascii="Palatino Linotype" w:eastAsia="Calibri" w:hAnsi="Palatino Linotype" w:cs="Tahoma"/>
          <w:b/>
          <w:bCs/>
          <w:lang w:eastAsia="en-US"/>
        </w:rPr>
        <w:t>5563</w:t>
      </w:r>
      <w:r w:rsidRPr="005301C8">
        <w:rPr>
          <w:rFonts w:ascii="Palatino Linotype" w:eastAsia="Calibri" w:hAnsi="Palatino Linotype" w:cs="Tahoma"/>
          <w:b/>
          <w:bCs/>
          <w:lang w:eastAsia="en-US"/>
        </w:rPr>
        <w:t>/INFOEM/IP/RR/2022</w:t>
      </w:r>
      <w:r w:rsidRPr="005301C8">
        <w:rPr>
          <w:rFonts w:ascii="Palatino Linotype" w:hAnsi="Palatino Linotype"/>
          <w:b/>
        </w:rPr>
        <w:t xml:space="preserve"> </w:t>
      </w:r>
      <w:bookmarkStart w:id="22" w:name="_Toc461648590"/>
      <w:bookmarkStart w:id="23" w:name="_Toc461648682"/>
      <w:bookmarkStart w:id="24" w:name="_Toc462228049"/>
      <w:bookmarkStart w:id="25" w:name="_Toc462228129"/>
      <w:bookmarkStart w:id="26" w:name="_Toc496099789"/>
      <w:bookmarkStart w:id="27" w:name="_Toc496100166"/>
      <w:bookmarkStart w:id="28" w:name="_Toc499756977"/>
      <w:bookmarkStart w:id="29" w:name="_Toc499757020"/>
      <w:bookmarkStart w:id="30" w:name="_Toc504377974"/>
      <w:r w:rsidR="008C692D" w:rsidRPr="005301C8">
        <w:rPr>
          <w:rFonts w:ascii="Palatino Linotype" w:eastAsia="MS Mincho" w:hAnsi="Palatino Linotype" w:cs="Times New Roman"/>
          <w:lang w:val="es-MX"/>
        </w:rPr>
        <w:t xml:space="preserve">conforme al artículo 192 fracción IV, en relación con el artículo 191 fracción </w:t>
      </w:r>
      <w:r w:rsidR="00464CC5" w:rsidRPr="005301C8">
        <w:rPr>
          <w:rFonts w:ascii="Palatino Linotype" w:eastAsia="MS Mincho" w:hAnsi="Palatino Linotype" w:cs="Times New Roman"/>
          <w:lang w:val="es-MX"/>
        </w:rPr>
        <w:t>V</w:t>
      </w:r>
      <w:r w:rsidR="008C692D" w:rsidRPr="005301C8">
        <w:rPr>
          <w:rFonts w:ascii="Palatino Linotype" w:eastAsia="MS Mincho" w:hAnsi="Palatino Linotype" w:cs="Times New Roman"/>
          <w:lang w:val="es-MX"/>
        </w:rPr>
        <w:t xml:space="preserve">I de la Ley de Transparencia y Acceso a la Información Pública del Estado de México y Municipios, en términos del Considerando </w:t>
      </w:r>
      <w:r w:rsidR="008C692D" w:rsidRPr="005301C8">
        <w:rPr>
          <w:rFonts w:ascii="Palatino Linotype" w:eastAsia="MS Mincho" w:hAnsi="Palatino Linotype" w:cs="Times New Roman"/>
          <w:b/>
          <w:lang w:val="es-MX"/>
        </w:rPr>
        <w:t>TERCERO</w:t>
      </w:r>
      <w:r w:rsidR="008C692D" w:rsidRPr="005301C8">
        <w:rPr>
          <w:rFonts w:ascii="Palatino Linotype" w:eastAsia="MS Mincho" w:hAnsi="Palatino Linotype" w:cs="Times New Roman"/>
          <w:lang w:val="es-MX"/>
        </w:rPr>
        <w:t xml:space="preserve"> de la presente resolución.</w:t>
      </w:r>
    </w:p>
    <w:p w:rsidR="008C692D" w:rsidRPr="005301C8"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p>
    <w:p w:rsidR="0083334B" w:rsidRPr="005301C8"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olor w:val="000000" w:themeColor="text1"/>
          <w:shd w:val="clear" w:color="auto" w:fill="FFFFFF"/>
        </w:rPr>
      </w:pPr>
      <w:r w:rsidRPr="005301C8">
        <w:rPr>
          <w:rFonts w:ascii="Palatino Linotype" w:hAnsi="Palatino Linotype" w:cs="Arial"/>
          <w:b/>
        </w:rPr>
        <w:lastRenderedPageBreak/>
        <w:t>SEGUNDO.</w:t>
      </w:r>
      <w:bookmarkEnd w:id="22"/>
      <w:bookmarkEnd w:id="23"/>
      <w:bookmarkEnd w:id="24"/>
      <w:bookmarkEnd w:id="25"/>
      <w:bookmarkEnd w:id="26"/>
      <w:bookmarkEnd w:id="27"/>
      <w:bookmarkEnd w:id="28"/>
      <w:bookmarkEnd w:id="29"/>
      <w:bookmarkEnd w:id="30"/>
      <w:r w:rsidRPr="005301C8">
        <w:rPr>
          <w:rStyle w:val="Ttulo2Car"/>
          <w:rFonts w:ascii="Palatino Linotype" w:hAnsi="Palatino Linotype"/>
          <w:b/>
          <w:color w:val="000000" w:themeColor="text1"/>
        </w:rPr>
        <w:t xml:space="preserve"> </w:t>
      </w:r>
      <w:r w:rsidRPr="005301C8">
        <w:rPr>
          <w:rFonts w:ascii="Palatino Linotype" w:eastAsia="MS Mincho" w:hAnsi="Palatino Linotype" w:cs="Arial"/>
          <w:b/>
          <w:bCs/>
          <w:color w:val="000000" w:themeColor="text1"/>
          <w:shd w:val="clear" w:color="auto" w:fill="FFFFFF"/>
        </w:rPr>
        <w:t xml:space="preserve">Remítase </w:t>
      </w:r>
      <w:r w:rsidRPr="005301C8">
        <w:rPr>
          <w:rFonts w:ascii="Palatino Linotype" w:eastAsia="MS Mincho" w:hAnsi="Palatino Linotype"/>
          <w:color w:val="000000" w:themeColor="text1"/>
          <w:shd w:val="clear" w:color="auto" w:fill="FFFFFF"/>
        </w:rPr>
        <w:t>al Titular de la Unidad de Transparencia del</w:t>
      </w:r>
      <w:r w:rsidRPr="005301C8">
        <w:rPr>
          <w:rFonts w:ascii="Palatino Linotype" w:eastAsia="MS Mincho" w:hAnsi="Palatino Linotype"/>
          <w:b/>
          <w:bCs/>
          <w:color w:val="000000" w:themeColor="text1"/>
          <w:shd w:val="clear" w:color="auto" w:fill="FFFFFF"/>
        </w:rPr>
        <w:t xml:space="preserve"> SUJETO OBLIGADO</w:t>
      </w:r>
      <w:r w:rsidRPr="005301C8">
        <w:rPr>
          <w:rFonts w:ascii="Palatino Linotype" w:eastAsia="MS Mincho" w:hAnsi="Palatino Linotype"/>
          <w:color w:val="000000" w:themeColor="text1"/>
          <w:shd w:val="clear" w:color="auto" w:fill="FFFFFF"/>
        </w:rPr>
        <w:t xml:space="preserve"> vía Sistema de Acceso a Información Mexiquense, SAIMEX, la presente resolución. </w:t>
      </w:r>
    </w:p>
    <w:p w:rsidR="003C5174" w:rsidRPr="005301C8" w:rsidRDefault="003C5174"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hAnsi="Palatino Linotype"/>
          <w:b/>
          <w:color w:val="000000" w:themeColor="text1"/>
        </w:rPr>
      </w:pPr>
    </w:p>
    <w:p w:rsidR="0083334B" w:rsidRPr="005301C8" w:rsidRDefault="0083334B" w:rsidP="0083334B">
      <w:pPr>
        <w:spacing w:line="360" w:lineRule="auto"/>
        <w:jc w:val="both"/>
        <w:rPr>
          <w:rFonts w:ascii="Palatino Linotype" w:hAnsi="Palatino Linotype"/>
        </w:rPr>
      </w:pPr>
      <w:bookmarkStart w:id="31" w:name="_Toc460947013"/>
      <w:bookmarkEnd w:id="20"/>
      <w:bookmarkEnd w:id="21"/>
      <w:r w:rsidRPr="005301C8">
        <w:rPr>
          <w:rFonts w:ascii="Palatino Linotype" w:hAnsi="Palatino Linotype" w:cs="Arial"/>
          <w:b/>
        </w:rPr>
        <w:t xml:space="preserve">TERCERO. </w:t>
      </w:r>
      <w:r w:rsidRPr="005301C8">
        <w:rPr>
          <w:rFonts w:ascii="Palatino Linotype" w:hAnsi="Palatino Linotype"/>
          <w:b/>
          <w:bCs/>
          <w:lang w:val="es-ES"/>
        </w:rPr>
        <w:t>Notifíquese a</w:t>
      </w:r>
      <w:r w:rsidRPr="005301C8">
        <w:rPr>
          <w:rFonts w:ascii="Palatino Linotype" w:hAnsi="Palatino Linotype"/>
          <w:b/>
        </w:rPr>
        <w:t xml:space="preserve">l RECURRENTE </w:t>
      </w:r>
      <w:r w:rsidRPr="005301C8">
        <w:rPr>
          <w:rFonts w:ascii="Palatino Linotype" w:hAnsi="Palatino Linotype"/>
        </w:rPr>
        <w:t>la presente resolución.</w:t>
      </w:r>
    </w:p>
    <w:p w:rsidR="0083334B" w:rsidRPr="005301C8" w:rsidRDefault="0083334B" w:rsidP="0083334B">
      <w:pPr>
        <w:spacing w:line="360" w:lineRule="auto"/>
        <w:jc w:val="both"/>
        <w:rPr>
          <w:rFonts w:ascii="Palatino Linotype" w:hAnsi="Palatino Linotype"/>
        </w:rPr>
      </w:pPr>
    </w:p>
    <w:bookmarkEnd w:id="31"/>
    <w:p w:rsidR="0083334B" w:rsidRPr="005301C8" w:rsidRDefault="0083334B" w:rsidP="0083334B">
      <w:pPr>
        <w:spacing w:line="360" w:lineRule="auto"/>
        <w:jc w:val="both"/>
        <w:rPr>
          <w:rFonts w:ascii="Palatino Linotype" w:eastAsia="MS Mincho" w:hAnsi="Palatino Linotype"/>
          <w:lang w:val="es-ES"/>
        </w:rPr>
      </w:pPr>
      <w:r w:rsidRPr="005301C8">
        <w:rPr>
          <w:rFonts w:ascii="Palatino Linotype" w:eastAsia="MS Mincho" w:hAnsi="Palatino Linotype"/>
          <w:b/>
        </w:rPr>
        <w:t>CUARTO.</w:t>
      </w:r>
      <w:r w:rsidRPr="005301C8">
        <w:rPr>
          <w:rFonts w:ascii="Palatino Linotype" w:eastAsia="MS Mincho" w:hAnsi="Palatino Linotype"/>
        </w:rPr>
        <w:t xml:space="preserve"> </w:t>
      </w:r>
      <w:r w:rsidRPr="005301C8">
        <w:rPr>
          <w:rFonts w:ascii="Palatino Linotype" w:eastAsia="MS Mincho" w:hAnsi="Palatino Linotype"/>
          <w:lang w:val="es-ES"/>
        </w:rPr>
        <w:t xml:space="preserve">Se hace del conocimiento de </w:t>
      </w:r>
      <w:r w:rsidRPr="005301C8">
        <w:rPr>
          <w:rFonts w:ascii="Palatino Linotype" w:eastAsia="Calibri" w:hAnsi="Palatino Linotype" w:cs="Tahoma"/>
          <w:b/>
          <w:lang w:eastAsia="en-US"/>
        </w:rPr>
        <w:t>RECURRENTE</w:t>
      </w:r>
      <w:r w:rsidRPr="005301C8">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301C8">
        <w:rPr>
          <w:rFonts w:ascii="Palatino Linotype" w:eastAsia="MS Mincho" w:hAnsi="Palatino Linotype"/>
          <w:bCs/>
          <w:lang w:val="es-ES"/>
        </w:rPr>
        <w:t>vía juicio de amparo</w:t>
      </w:r>
      <w:r w:rsidRPr="005301C8">
        <w:rPr>
          <w:rFonts w:ascii="Palatino Linotype" w:eastAsia="MS Mincho" w:hAnsi="Palatino Linotype"/>
          <w:lang w:val="es-ES"/>
        </w:rPr>
        <w:t> en los términos de las leyes aplicables.</w:t>
      </w:r>
      <w:bookmarkStart w:id="32" w:name="_Toc466371865"/>
      <w:bookmarkStart w:id="33" w:name="_Toc466377653"/>
      <w:bookmarkEnd w:id="12"/>
      <w:bookmarkEnd w:id="13"/>
      <w:bookmarkEnd w:id="14"/>
      <w:bookmarkEnd w:id="15"/>
      <w:bookmarkEnd w:id="16"/>
      <w:bookmarkEnd w:id="17"/>
    </w:p>
    <w:bookmarkEnd w:id="32"/>
    <w:bookmarkEnd w:id="33"/>
    <w:p w:rsidR="00274AAC" w:rsidRDefault="00274AAC" w:rsidP="00274AAC">
      <w:pPr>
        <w:spacing w:before="240" w:after="240" w:line="360" w:lineRule="auto"/>
        <w:jc w:val="both"/>
        <w:rPr>
          <w:rFonts w:ascii="Palatino Linotype" w:hAnsi="Palatino Linotype"/>
        </w:rPr>
      </w:pPr>
      <w:r w:rsidRPr="005301C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34" w:name="_GoBack"/>
      <w:bookmarkEnd w:id="34"/>
      <w:r w:rsidRPr="00624AAD">
        <w:rPr>
          <w:rFonts w:ascii="Palatino Linotype" w:hAnsi="Palatino Linotype"/>
        </w:rPr>
        <w:t xml:space="preserve"> </w:t>
      </w: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pacing w:line="360" w:lineRule="auto"/>
        <w:ind w:firstLine="1"/>
        <w:jc w:val="both"/>
        <w:rPr>
          <w:rFonts w:ascii="Palatino Linotype" w:hAnsi="Palatino Linotype"/>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eastAsia="MS Mincho" w:hAnsi="Palatino Linotype" w:cs="Times New Roman"/>
          <w:lang w:val="es-ES"/>
        </w:rPr>
      </w:pPr>
    </w:p>
    <w:p w:rsidR="00F12093" w:rsidRPr="00B32FC8" w:rsidRDefault="00F12093" w:rsidP="00F12093">
      <w:pPr>
        <w:spacing w:line="360" w:lineRule="auto"/>
        <w:jc w:val="both"/>
        <w:rPr>
          <w:rFonts w:ascii="Palatino Linotype" w:hAnsi="Palatino Linotype"/>
          <w:color w:val="000000"/>
          <w:shd w:val="clear" w:color="auto" w:fill="FFFFFF"/>
        </w:rPr>
      </w:pPr>
    </w:p>
    <w:p w:rsidR="00F12093" w:rsidRPr="00B32FC8" w:rsidRDefault="00F12093" w:rsidP="00F12093">
      <w:pPr>
        <w:spacing w:line="360" w:lineRule="auto"/>
        <w:rPr>
          <w:rFonts w:ascii="Palatino Linotype" w:hAnsi="Palatino Linotype"/>
        </w:rPr>
      </w:pPr>
    </w:p>
    <w:p w:rsidR="00775D76" w:rsidRDefault="00775D76"/>
    <w:sectPr w:rsidR="00775D76" w:rsidSect="002D61E8">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0F6" w:rsidRDefault="006D40F6" w:rsidP="00F12093">
      <w:r>
        <w:separator/>
      </w:r>
    </w:p>
  </w:endnote>
  <w:endnote w:type="continuationSeparator" w:id="0">
    <w:p w:rsidR="006D40F6" w:rsidRDefault="006D40F6"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301C8">
              <w:rPr>
                <w:rFonts w:ascii="Palatino Linotype" w:hAnsi="Palatino Linotype"/>
                <w:b/>
                <w:bCs/>
                <w:noProof/>
              </w:rPr>
              <w:t>25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301C8">
              <w:rPr>
                <w:rFonts w:ascii="Palatino Linotype" w:hAnsi="Palatino Linotype"/>
                <w:b/>
                <w:bCs/>
                <w:noProof/>
              </w:rPr>
              <w:t>26</w:t>
            </w:r>
            <w:r w:rsidRPr="000A2541">
              <w:rPr>
                <w:rFonts w:ascii="Palatino Linotype" w:hAnsi="Palatino Linotype"/>
                <w:b/>
                <w:bCs/>
              </w:rPr>
              <w:fldChar w:fldCharType="end"/>
            </w:r>
          </w:p>
        </w:sdtContent>
      </w:sdt>
    </w:sdtContent>
  </w:sdt>
  <w:p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301C8" w:rsidRPr="005301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301C8" w:rsidRPr="005301C8">
      <w:rPr>
        <w:rFonts w:ascii="Palatino Linotype" w:hAnsi="Palatino Linotype"/>
        <w:noProof/>
        <w:sz w:val="22"/>
        <w:szCs w:val="22"/>
        <w:lang w:val="es-ES"/>
      </w:rPr>
      <w:t>26</w:t>
    </w:r>
    <w:r w:rsidRPr="00883450">
      <w:rPr>
        <w:rFonts w:ascii="Palatino Linotype" w:hAnsi="Palatino Linotype"/>
        <w:sz w:val="22"/>
        <w:szCs w:val="22"/>
      </w:rPr>
      <w:fldChar w:fldCharType="end"/>
    </w:r>
  </w:p>
  <w:p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0F6" w:rsidRDefault="006D40F6" w:rsidP="00F12093">
      <w:r>
        <w:separator/>
      </w:r>
    </w:p>
  </w:footnote>
  <w:footnote w:type="continuationSeparator" w:id="0">
    <w:p w:rsidR="006D40F6" w:rsidRDefault="006D40F6"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20" w:rsidRDefault="006D40F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rsidTr="002D61E8">
      <w:trPr>
        <w:trHeight w:val="138"/>
        <w:jc w:val="right"/>
      </w:trPr>
      <w:tc>
        <w:tcPr>
          <w:tcW w:w="255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306427">
            <w:rPr>
              <w:rFonts w:ascii="Palatino Linotype" w:hAnsi="Palatino Linotype" w:cs="Arial"/>
              <w:b/>
              <w:bCs/>
              <w:sz w:val="22"/>
              <w:szCs w:val="22"/>
              <w:lang w:eastAsia="es-MX"/>
            </w:rPr>
            <w:t>5563</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r>
    <w:tr w:rsidR="00344320" w:rsidRPr="00EF13C1" w:rsidTr="00F12093">
      <w:trPr>
        <w:trHeight w:val="127"/>
        <w:jc w:val="right"/>
      </w:trPr>
      <w:tc>
        <w:tcPr>
          <w:tcW w:w="2552" w:type="dxa"/>
          <w:vAlign w:val="center"/>
        </w:tcPr>
        <w:p w:rsidR="00344320" w:rsidRPr="00EF13C1" w:rsidRDefault="00344320" w:rsidP="002D61E8">
          <w:pPr>
            <w:rPr>
              <w:rFonts w:ascii="Palatino Linotype" w:hAnsi="Palatino Linotype"/>
              <w:b/>
              <w:sz w:val="22"/>
              <w:szCs w:val="22"/>
            </w:rPr>
          </w:pPr>
        </w:p>
      </w:tc>
      <w:tc>
        <w:tcPr>
          <w:tcW w:w="3826" w:type="dxa"/>
          <w:vAlign w:val="center"/>
        </w:tcPr>
        <w:p w:rsidR="00344320" w:rsidRPr="00EF13C1" w:rsidRDefault="00344320" w:rsidP="00F12093">
          <w:pPr>
            <w:pStyle w:val="Encabezado"/>
            <w:rPr>
              <w:rFonts w:ascii="Palatino Linotype" w:hAnsi="Palatino Linotype"/>
              <w:b/>
              <w:sz w:val="22"/>
              <w:szCs w:val="22"/>
            </w:rPr>
          </w:pPr>
        </w:p>
      </w:tc>
    </w:tr>
    <w:tr w:rsidR="00344320" w:rsidRPr="00FB0541" w:rsidTr="002D61E8">
      <w:trPr>
        <w:trHeight w:val="321"/>
        <w:jc w:val="right"/>
      </w:trPr>
      <w:tc>
        <w:tcPr>
          <w:tcW w:w="2552" w:type="dxa"/>
          <w:vAlign w:val="center"/>
        </w:tcPr>
        <w:p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344320" w:rsidRPr="00FB0541" w:rsidRDefault="00306427" w:rsidP="00F12093">
          <w:pPr>
            <w:pStyle w:val="Encabezado"/>
            <w:jc w:val="right"/>
            <w:rPr>
              <w:rFonts w:ascii="Palatino Linotype" w:hAnsi="Palatino Linotype"/>
              <w:b/>
              <w:sz w:val="22"/>
              <w:szCs w:val="22"/>
            </w:rPr>
          </w:pPr>
          <w:r>
            <w:rPr>
              <w:rFonts w:ascii="Palatino Linotype" w:hAnsi="Palatino Linotype"/>
              <w:b/>
              <w:bCs/>
              <w:sz w:val="22"/>
              <w:szCs w:val="20"/>
            </w:rPr>
            <w:t>Ayuntamiento de Atenco</w:t>
          </w:r>
        </w:p>
      </w:tc>
    </w:tr>
    <w:tr w:rsidR="00344320" w:rsidRPr="00EF13C1" w:rsidTr="002D61E8">
      <w:trPr>
        <w:trHeight w:val="321"/>
        <w:jc w:val="right"/>
      </w:trPr>
      <w:tc>
        <w:tcPr>
          <w:tcW w:w="2552" w:type="dxa"/>
          <w:vAlign w:val="center"/>
        </w:tcPr>
        <w:p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344320" w:rsidRDefault="006D40F6" w:rsidP="002D61E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rsidTr="002D61E8">
      <w:trPr>
        <w:trHeight w:val="138"/>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44320" w:rsidRPr="00353EB6" w:rsidRDefault="00306427" w:rsidP="002D61E8">
          <w:pPr>
            <w:pStyle w:val="Encabezado"/>
            <w:jc w:val="right"/>
            <w:rPr>
              <w:rFonts w:ascii="Palatino Linotype" w:hAnsi="Palatino Linotype"/>
              <w:b/>
              <w:sz w:val="22"/>
              <w:szCs w:val="22"/>
            </w:rPr>
          </w:pPr>
          <w:r>
            <w:rPr>
              <w:rFonts w:ascii="Palatino Linotype" w:hAnsi="Palatino Linotype" w:cs="Arial"/>
              <w:b/>
              <w:bCs/>
              <w:sz w:val="22"/>
              <w:szCs w:val="22"/>
              <w:lang w:eastAsia="es-MX"/>
            </w:rPr>
            <w:t>05563</w:t>
          </w:r>
          <w:r w:rsidR="00344320"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27"/>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44320" w:rsidRPr="00C23F87" w:rsidRDefault="00344320" w:rsidP="00306427">
          <w:pPr>
            <w:pStyle w:val="Encabezado"/>
            <w:rPr>
              <w:rFonts w:ascii="Palatino Linotype" w:hAnsi="Palatino Linotype"/>
              <w:b/>
              <w:sz w:val="22"/>
              <w:szCs w:val="22"/>
            </w:rPr>
          </w:pP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232"/>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44320" w:rsidRPr="00C23F87" w:rsidRDefault="00306427" w:rsidP="005B7B01">
          <w:pPr>
            <w:pStyle w:val="Encabezado"/>
            <w:jc w:val="right"/>
            <w:rPr>
              <w:rFonts w:ascii="Palatino Linotype" w:hAnsi="Palatino Linotype"/>
              <w:b/>
              <w:sz w:val="22"/>
              <w:szCs w:val="22"/>
            </w:rPr>
          </w:pPr>
          <w:r>
            <w:rPr>
              <w:rFonts w:ascii="Palatino Linotype" w:hAnsi="Palatino Linotype"/>
              <w:b/>
              <w:bCs/>
              <w:sz w:val="22"/>
              <w:szCs w:val="20"/>
            </w:rPr>
            <w:t>Ayuntamiento de Atenco</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r w:rsidR="00344320" w:rsidRPr="00182113" w:rsidTr="002D61E8">
      <w:trPr>
        <w:trHeight w:val="320"/>
      </w:trPr>
      <w:tc>
        <w:tcPr>
          <w:tcW w:w="2532" w:type="dxa"/>
          <w:vAlign w:val="center"/>
        </w:tcPr>
        <w:p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344320" w:rsidRPr="00182113" w:rsidRDefault="00344320" w:rsidP="002D61E8">
          <w:pPr>
            <w:rPr>
              <w:rFonts w:ascii="Palatino Linotype" w:hAnsi="Palatino Linotype"/>
              <w:b/>
              <w:sz w:val="22"/>
              <w:szCs w:val="22"/>
            </w:rPr>
          </w:pPr>
        </w:p>
      </w:tc>
      <w:tc>
        <w:tcPr>
          <w:tcW w:w="236" w:type="dxa"/>
          <w:vAlign w:val="center"/>
        </w:tcPr>
        <w:p w:rsidR="00344320" w:rsidRPr="00182113" w:rsidRDefault="00344320" w:rsidP="002D61E8">
          <w:pPr>
            <w:pStyle w:val="Encabezado"/>
            <w:jc w:val="center"/>
            <w:rPr>
              <w:rFonts w:ascii="Palatino Linotype" w:hAnsi="Palatino Linotype"/>
              <w:b/>
              <w:sz w:val="22"/>
              <w:szCs w:val="22"/>
            </w:rPr>
          </w:pPr>
        </w:p>
      </w:tc>
      <w:tc>
        <w:tcPr>
          <w:tcW w:w="3261" w:type="dxa"/>
          <w:vAlign w:val="center"/>
        </w:tcPr>
        <w:p w:rsidR="00344320" w:rsidRPr="00182113" w:rsidRDefault="00344320" w:rsidP="002D61E8">
          <w:pPr>
            <w:pStyle w:val="Encabezado"/>
            <w:rPr>
              <w:rFonts w:ascii="Palatino Linotype" w:hAnsi="Palatino Linotype"/>
              <w:b/>
              <w:sz w:val="22"/>
              <w:szCs w:val="22"/>
            </w:rPr>
          </w:pPr>
        </w:p>
      </w:tc>
    </w:tr>
  </w:tbl>
  <w:p w:rsidR="00344320" w:rsidRDefault="006D40F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D8284C"/>
    <w:multiLevelType w:val="hybridMultilevel"/>
    <w:tmpl w:val="41609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84113C"/>
    <w:multiLevelType w:val="hybridMultilevel"/>
    <w:tmpl w:val="9754F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3204EE"/>
    <w:multiLevelType w:val="hybridMultilevel"/>
    <w:tmpl w:val="6360E724"/>
    <w:lvl w:ilvl="0" w:tplc="AAE0F64C">
      <w:start w:val="1"/>
      <w:numFmt w:val="decimal"/>
      <w:lvlText w:val="%1."/>
      <w:lvlJc w:val="left"/>
      <w:pPr>
        <w:ind w:left="720" w:hanging="360"/>
      </w:pPr>
      <w:rPr>
        <w:rFonts w:ascii="Palatino Linotype" w:hAnsi="Palatino Linotype" w:hint="default"/>
        <w:b/>
        <w:i w:val="0"/>
        <w:sz w:val="24"/>
        <w:szCs w:val="24"/>
      </w:rPr>
    </w:lvl>
    <w:lvl w:ilvl="1" w:tplc="D7241BF4">
      <w:start w:val="1"/>
      <w:numFmt w:val="lowerLetter"/>
      <w:lvlText w:val="%2."/>
      <w:lvlJc w:val="left"/>
      <w:pPr>
        <w:ind w:left="1440" w:hanging="360"/>
      </w:pPr>
      <w:rPr>
        <w:b/>
        <w:bCs/>
        <w:i w:val="0"/>
        <w:i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4"/>
  </w:num>
  <w:num w:numId="2">
    <w:abstractNumId w:val="5"/>
  </w:num>
  <w:num w:numId="3">
    <w:abstractNumId w:val="38"/>
  </w:num>
  <w:num w:numId="4">
    <w:abstractNumId w:val="32"/>
  </w:num>
  <w:num w:numId="5">
    <w:abstractNumId w:val="18"/>
  </w:num>
  <w:num w:numId="6">
    <w:abstractNumId w:val="41"/>
  </w:num>
  <w:num w:numId="7">
    <w:abstractNumId w:val="2"/>
  </w:num>
  <w:num w:numId="8">
    <w:abstractNumId w:val="35"/>
  </w:num>
  <w:num w:numId="9">
    <w:abstractNumId w:val="43"/>
  </w:num>
  <w:num w:numId="10">
    <w:abstractNumId w:val="13"/>
  </w:num>
  <w:num w:numId="11">
    <w:abstractNumId w:val="8"/>
  </w:num>
  <w:num w:numId="12">
    <w:abstractNumId w:val="17"/>
  </w:num>
  <w:num w:numId="13">
    <w:abstractNumId w:val="39"/>
  </w:num>
  <w:num w:numId="14">
    <w:abstractNumId w:val="42"/>
  </w:num>
  <w:num w:numId="15">
    <w:abstractNumId w:val="30"/>
  </w:num>
  <w:num w:numId="16">
    <w:abstractNumId w:val="36"/>
  </w:num>
  <w:num w:numId="17">
    <w:abstractNumId w:val="12"/>
  </w:num>
  <w:num w:numId="18">
    <w:abstractNumId w:val="27"/>
  </w:num>
  <w:num w:numId="19">
    <w:abstractNumId w:val="40"/>
  </w:num>
  <w:num w:numId="20">
    <w:abstractNumId w:val="23"/>
  </w:num>
  <w:num w:numId="21">
    <w:abstractNumId w:val="2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4"/>
  </w:num>
  <w:num w:numId="25">
    <w:abstractNumId w:val="44"/>
  </w:num>
  <w:num w:numId="26">
    <w:abstractNumId w:val="10"/>
  </w:num>
  <w:num w:numId="27">
    <w:abstractNumId w:val="7"/>
  </w:num>
  <w:num w:numId="28">
    <w:abstractNumId w:val="16"/>
  </w:num>
  <w:num w:numId="29">
    <w:abstractNumId w:val="22"/>
  </w:num>
  <w:num w:numId="30">
    <w:abstractNumId w:val="0"/>
  </w:num>
  <w:num w:numId="31">
    <w:abstractNumId w:val="26"/>
  </w:num>
  <w:num w:numId="32">
    <w:abstractNumId w:val="15"/>
  </w:num>
  <w:num w:numId="33">
    <w:abstractNumId w:val="20"/>
  </w:num>
  <w:num w:numId="34">
    <w:abstractNumId w:val="21"/>
  </w:num>
  <w:num w:numId="35">
    <w:abstractNumId w:val="1"/>
  </w:num>
  <w:num w:numId="36">
    <w:abstractNumId w:val="9"/>
  </w:num>
  <w:num w:numId="37">
    <w:abstractNumId w:val="37"/>
  </w:num>
  <w:num w:numId="38">
    <w:abstractNumId w:val="25"/>
  </w:num>
  <w:num w:numId="39">
    <w:abstractNumId w:val="31"/>
  </w:num>
  <w:num w:numId="40">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4"/>
  </w:num>
  <w:num w:numId="43">
    <w:abstractNumId w:val="6"/>
  </w:num>
  <w:num w:numId="44">
    <w:abstractNumId w:val="29"/>
  </w:num>
  <w:num w:numId="45">
    <w:abstractNumId w:val="1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2024B"/>
    <w:rsid w:val="000224E5"/>
    <w:rsid w:val="00097B6C"/>
    <w:rsid w:val="000B4F16"/>
    <w:rsid w:val="000C37CB"/>
    <w:rsid w:val="001378B2"/>
    <w:rsid w:val="00152BE4"/>
    <w:rsid w:val="00160482"/>
    <w:rsid w:val="001B2D73"/>
    <w:rsid w:val="001C10E6"/>
    <w:rsid w:val="001D5839"/>
    <w:rsid w:val="00201C9F"/>
    <w:rsid w:val="00205352"/>
    <w:rsid w:val="00274700"/>
    <w:rsid w:val="00274AAC"/>
    <w:rsid w:val="002975CE"/>
    <w:rsid w:val="002D61E8"/>
    <w:rsid w:val="002E5B97"/>
    <w:rsid w:val="00306427"/>
    <w:rsid w:val="00333CE6"/>
    <w:rsid w:val="00336C46"/>
    <w:rsid w:val="00340025"/>
    <w:rsid w:val="0034149E"/>
    <w:rsid w:val="00344320"/>
    <w:rsid w:val="0038075A"/>
    <w:rsid w:val="003A104A"/>
    <w:rsid w:val="003A1116"/>
    <w:rsid w:val="003B3148"/>
    <w:rsid w:val="003C5174"/>
    <w:rsid w:val="003D2E41"/>
    <w:rsid w:val="003D390B"/>
    <w:rsid w:val="0041400C"/>
    <w:rsid w:val="00450297"/>
    <w:rsid w:val="00464CC5"/>
    <w:rsid w:val="00497BD3"/>
    <w:rsid w:val="004B711F"/>
    <w:rsid w:val="004C5605"/>
    <w:rsid w:val="004C5BA3"/>
    <w:rsid w:val="0050511E"/>
    <w:rsid w:val="00507F69"/>
    <w:rsid w:val="005213A9"/>
    <w:rsid w:val="005301C8"/>
    <w:rsid w:val="00567E63"/>
    <w:rsid w:val="00581D88"/>
    <w:rsid w:val="005B7B01"/>
    <w:rsid w:val="0062782B"/>
    <w:rsid w:val="00667F8A"/>
    <w:rsid w:val="00673348"/>
    <w:rsid w:val="006C1080"/>
    <w:rsid w:val="006D40F6"/>
    <w:rsid w:val="006D6F96"/>
    <w:rsid w:val="006E6410"/>
    <w:rsid w:val="006E711D"/>
    <w:rsid w:val="00734896"/>
    <w:rsid w:val="00765091"/>
    <w:rsid w:val="00775D76"/>
    <w:rsid w:val="007B0EC9"/>
    <w:rsid w:val="00821BFB"/>
    <w:rsid w:val="0083334B"/>
    <w:rsid w:val="008B4DB2"/>
    <w:rsid w:val="008C692D"/>
    <w:rsid w:val="008D4505"/>
    <w:rsid w:val="00927DB1"/>
    <w:rsid w:val="009344B9"/>
    <w:rsid w:val="00940F56"/>
    <w:rsid w:val="009832C2"/>
    <w:rsid w:val="00986A7D"/>
    <w:rsid w:val="00997A89"/>
    <w:rsid w:val="009E16D0"/>
    <w:rsid w:val="00A20DD5"/>
    <w:rsid w:val="00A43831"/>
    <w:rsid w:val="00A43DF2"/>
    <w:rsid w:val="00A915BE"/>
    <w:rsid w:val="00AD0ABE"/>
    <w:rsid w:val="00AD3249"/>
    <w:rsid w:val="00B32D03"/>
    <w:rsid w:val="00B36945"/>
    <w:rsid w:val="00B402BE"/>
    <w:rsid w:val="00B5622A"/>
    <w:rsid w:val="00B707E1"/>
    <w:rsid w:val="00BB4790"/>
    <w:rsid w:val="00BD2434"/>
    <w:rsid w:val="00BD4ACB"/>
    <w:rsid w:val="00BF02FA"/>
    <w:rsid w:val="00BF0830"/>
    <w:rsid w:val="00C007B1"/>
    <w:rsid w:val="00C15F3C"/>
    <w:rsid w:val="00C220B7"/>
    <w:rsid w:val="00C406D8"/>
    <w:rsid w:val="00C56F04"/>
    <w:rsid w:val="00C803BA"/>
    <w:rsid w:val="00C84828"/>
    <w:rsid w:val="00C8656E"/>
    <w:rsid w:val="00CA3877"/>
    <w:rsid w:val="00CB466B"/>
    <w:rsid w:val="00CC5941"/>
    <w:rsid w:val="00CC702C"/>
    <w:rsid w:val="00CD2D8A"/>
    <w:rsid w:val="00D76BD4"/>
    <w:rsid w:val="00D77281"/>
    <w:rsid w:val="00D858DE"/>
    <w:rsid w:val="00DA6DE5"/>
    <w:rsid w:val="00E21081"/>
    <w:rsid w:val="00E30F6C"/>
    <w:rsid w:val="00E47F85"/>
    <w:rsid w:val="00E52F5C"/>
    <w:rsid w:val="00E6722C"/>
    <w:rsid w:val="00E918F3"/>
    <w:rsid w:val="00E9733E"/>
    <w:rsid w:val="00EA095E"/>
    <w:rsid w:val="00EB11E6"/>
    <w:rsid w:val="00EE3F84"/>
    <w:rsid w:val="00EE68F3"/>
    <w:rsid w:val="00F12093"/>
    <w:rsid w:val="00F14C90"/>
    <w:rsid w:val="00F24565"/>
    <w:rsid w:val="00F32154"/>
    <w:rsid w:val="00F544A6"/>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top w:w="0" w:type="dxa"/>
        <w:left w:w="115" w:type="dxa"/>
        <w:bottom w:w="0" w:type="dxa"/>
        <w:right w:w="115" w:type="dxa"/>
      </w:tblCellMar>
    </w:tblPr>
  </w:style>
  <w:style w:type="table" w:customStyle="1" w:styleId="7">
    <w:name w:val="7"/>
    <w:basedOn w:val="TableNormal"/>
    <w:rsid w:val="00E21081"/>
    <w:tblPr>
      <w:tblStyleRowBandSize w:val="1"/>
      <w:tblStyleColBandSize w:val="1"/>
      <w:tblCellMar>
        <w:top w:w="0" w:type="dxa"/>
        <w:left w:w="115" w:type="dxa"/>
        <w:bottom w:w="0" w:type="dxa"/>
        <w:right w:w="115" w:type="dxa"/>
      </w:tblCellMar>
    </w:tblPr>
  </w:style>
  <w:style w:type="table" w:customStyle="1" w:styleId="6">
    <w:name w:val="6"/>
    <w:basedOn w:val="TableNormal"/>
    <w:rsid w:val="00E21081"/>
    <w:tblPr>
      <w:tblStyleRowBandSize w:val="1"/>
      <w:tblStyleColBandSize w:val="1"/>
      <w:tblCellMar>
        <w:top w:w="0" w:type="dxa"/>
        <w:left w:w="115" w:type="dxa"/>
        <w:bottom w:w="0" w:type="dxa"/>
        <w:right w:w="115" w:type="dxa"/>
      </w:tblCellMar>
    </w:tblPr>
  </w:style>
  <w:style w:type="table" w:customStyle="1" w:styleId="5">
    <w:name w:val="5"/>
    <w:basedOn w:val="TableNormal"/>
    <w:rsid w:val="00E21081"/>
    <w:tblPr>
      <w:tblStyleRowBandSize w:val="1"/>
      <w:tblStyleColBandSize w:val="1"/>
      <w:tblCellMar>
        <w:top w:w="0" w:type="dxa"/>
        <w:left w:w="115" w:type="dxa"/>
        <w:bottom w:w="0" w:type="dxa"/>
        <w:right w:w="115" w:type="dxa"/>
      </w:tblCellMar>
    </w:tblPr>
  </w:style>
  <w:style w:type="table" w:customStyle="1" w:styleId="4">
    <w:name w:val="4"/>
    <w:basedOn w:val="TableNormal"/>
    <w:rsid w:val="00E21081"/>
    <w:tblPr>
      <w:tblStyleRowBandSize w:val="1"/>
      <w:tblStyleColBandSize w:val="1"/>
      <w:tblCellMar>
        <w:top w:w="0" w:type="dxa"/>
        <w:left w:w="115" w:type="dxa"/>
        <w:bottom w:w="0" w:type="dxa"/>
        <w:right w:w="115" w:type="dxa"/>
      </w:tblCellMar>
    </w:tblPr>
  </w:style>
  <w:style w:type="table" w:customStyle="1" w:styleId="3">
    <w:name w:val="3"/>
    <w:basedOn w:val="TableNormal"/>
    <w:rsid w:val="00E21081"/>
    <w:tblPr>
      <w:tblStyleRowBandSize w:val="1"/>
      <w:tblStyleColBandSize w:val="1"/>
      <w:tblCellMar>
        <w:top w:w="0" w:type="dxa"/>
        <w:left w:w="115" w:type="dxa"/>
        <w:bottom w:w="0" w:type="dxa"/>
        <w:right w:w="115" w:type="dxa"/>
      </w:tblCellMar>
    </w:tblPr>
  </w:style>
  <w:style w:type="table" w:customStyle="1" w:styleId="2">
    <w:name w:val="2"/>
    <w:basedOn w:val="TableNormal"/>
    <w:rsid w:val="00E21081"/>
    <w:tblPr>
      <w:tblStyleRowBandSize w:val="1"/>
      <w:tblStyleColBandSize w:val="1"/>
      <w:tblCellMar>
        <w:top w:w="0" w:type="dxa"/>
        <w:left w:w="115" w:type="dxa"/>
        <w:bottom w:w="0" w:type="dxa"/>
        <w:right w:w="115" w:type="dxa"/>
      </w:tblCellMar>
    </w:tblPr>
  </w:style>
  <w:style w:type="table" w:customStyle="1" w:styleId="1">
    <w:name w:val="1"/>
    <w:basedOn w:val="TableNormal"/>
    <w:rsid w:val="00E2108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top w:w="0" w:type="dxa"/>
        <w:left w:w="115" w:type="dxa"/>
        <w:bottom w:w="0" w:type="dxa"/>
        <w:right w:w="115" w:type="dxa"/>
      </w:tblCellMar>
    </w:tblPr>
  </w:style>
  <w:style w:type="table" w:customStyle="1" w:styleId="71">
    <w:name w:val="71"/>
    <w:basedOn w:val="TableNormal"/>
    <w:rsid w:val="00E21081"/>
    <w:tblPr>
      <w:tblStyleRowBandSize w:val="1"/>
      <w:tblStyleColBandSize w:val="1"/>
      <w:tblCellMar>
        <w:top w:w="0" w:type="dxa"/>
        <w:left w:w="115" w:type="dxa"/>
        <w:bottom w:w="0" w:type="dxa"/>
        <w:right w:w="115" w:type="dxa"/>
      </w:tblCellMar>
    </w:tblPr>
  </w:style>
  <w:style w:type="table" w:customStyle="1" w:styleId="61">
    <w:name w:val="61"/>
    <w:basedOn w:val="TableNormal"/>
    <w:rsid w:val="00E21081"/>
    <w:tblPr>
      <w:tblStyleRowBandSize w:val="1"/>
      <w:tblStyleColBandSize w:val="1"/>
      <w:tblCellMar>
        <w:top w:w="0" w:type="dxa"/>
        <w:left w:w="115" w:type="dxa"/>
        <w:bottom w:w="0" w:type="dxa"/>
        <w:right w:w="115" w:type="dxa"/>
      </w:tblCellMar>
    </w:tblPr>
  </w:style>
  <w:style w:type="table" w:customStyle="1" w:styleId="51">
    <w:name w:val="51"/>
    <w:basedOn w:val="TableNormal"/>
    <w:rsid w:val="00E21081"/>
    <w:tblPr>
      <w:tblStyleRowBandSize w:val="1"/>
      <w:tblStyleColBandSize w:val="1"/>
      <w:tblCellMar>
        <w:top w:w="0" w:type="dxa"/>
        <w:left w:w="115" w:type="dxa"/>
        <w:bottom w:w="0" w:type="dxa"/>
        <w:right w:w="115" w:type="dxa"/>
      </w:tblCellMar>
    </w:tblPr>
  </w:style>
  <w:style w:type="table" w:customStyle="1" w:styleId="41">
    <w:name w:val="41"/>
    <w:basedOn w:val="TableNormal"/>
    <w:rsid w:val="00E21081"/>
    <w:tblPr>
      <w:tblStyleRowBandSize w:val="1"/>
      <w:tblStyleColBandSize w:val="1"/>
      <w:tblCellMar>
        <w:top w:w="0" w:type="dxa"/>
        <w:left w:w="115" w:type="dxa"/>
        <w:bottom w:w="0" w:type="dxa"/>
        <w:right w:w="115" w:type="dxa"/>
      </w:tblCellMar>
    </w:tblPr>
  </w:style>
  <w:style w:type="table" w:customStyle="1" w:styleId="31">
    <w:name w:val="31"/>
    <w:basedOn w:val="TableNormal"/>
    <w:rsid w:val="00E21081"/>
    <w:tblPr>
      <w:tblStyleRowBandSize w:val="1"/>
      <w:tblStyleColBandSize w:val="1"/>
      <w:tblCellMar>
        <w:top w:w="0" w:type="dxa"/>
        <w:left w:w="115" w:type="dxa"/>
        <w:bottom w:w="0" w:type="dxa"/>
        <w:right w:w="115" w:type="dxa"/>
      </w:tblCellMar>
    </w:tblPr>
  </w:style>
  <w:style w:type="table" w:customStyle="1" w:styleId="21">
    <w:name w:val="21"/>
    <w:basedOn w:val="TableNormal"/>
    <w:rsid w:val="00E21081"/>
    <w:tblPr>
      <w:tblStyleRowBandSize w:val="1"/>
      <w:tblStyleColBandSize w:val="1"/>
      <w:tblCellMar>
        <w:top w:w="0" w:type="dxa"/>
        <w:left w:w="115" w:type="dxa"/>
        <w:bottom w:w="0" w:type="dxa"/>
        <w:right w:w="115" w:type="dxa"/>
      </w:tblCellMar>
    </w:tblPr>
  </w:style>
  <w:style w:type="table" w:customStyle="1" w:styleId="11">
    <w:name w:val="11"/>
    <w:basedOn w:val="TableNormal"/>
    <w:rsid w:val="00E2108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801339957">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5500.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395499.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42145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26</Pages>
  <Words>5947</Words>
  <Characters>32714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dcterms:created xsi:type="dcterms:W3CDTF">2022-05-31T21:35:00Z</dcterms:created>
  <dcterms:modified xsi:type="dcterms:W3CDTF">2022-12-12T17:41:00Z</dcterms:modified>
</cp:coreProperties>
</file>