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DA62C" w14:textId="77777777" w:rsidR="00684B79" w:rsidRPr="0089683D" w:rsidRDefault="00684B79" w:rsidP="00684B79">
      <w:pPr>
        <w:spacing w:line="360" w:lineRule="auto"/>
        <w:jc w:val="both"/>
        <w:rPr>
          <w:rFonts w:ascii="Palatino Linotype" w:eastAsia="Palatino Linotype" w:hAnsi="Palatino Linotype" w:cs="Palatino Linotype"/>
        </w:rPr>
      </w:pPr>
      <w:bookmarkStart w:id="0" w:name="_Hlk106840615"/>
      <w:r w:rsidRPr="008968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veintinueve de junio de dos mil veintidós. </w:t>
      </w:r>
    </w:p>
    <w:bookmarkEnd w:id="0"/>
    <w:p w14:paraId="1BCCB1E4" w14:textId="77777777" w:rsidR="001A0FBC" w:rsidRPr="0089683D" w:rsidRDefault="001A0FBC">
      <w:pPr>
        <w:spacing w:line="360" w:lineRule="auto"/>
        <w:jc w:val="both"/>
        <w:rPr>
          <w:rFonts w:ascii="Palatino Linotype" w:eastAsia="Palatino Linotype" w:hAnsi="Palatino Linotype" w:cs="Palatino Linotype"/>
        </w:rPr>
      </w:pPr>
    </w:p>
    <w:p w14:paraId="16D12B62" w14:textId="444CFCBA"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b/>
          <w:sz w:val="28"/>
          <w:szCs w:val="28"/>
        </w:rPr>
        <w:t>VISTO</w:t>
      </w:r>
      <w:r w:rsidRPr="0089683D">
        <w:rPr>
          <w:rFonts w:ascii="Palatino Linotype" w:eastAsia="Palatino Linotype" w:hAnsi="Palatino Linotype" w:cs="Palatino Linotype"/>
        </w:rPr>
        <w:t xml:space="preserve"> el expediente formado con motivo del Recurso de Revisión </w:t>
      </w:r>
      <w:r w:rsidRPr="0089683D">
        <w:rPr>
          <w:rFonts w:ascii="Palatino Linotype" w:eastAsia="Palatino Linotype" w:hAnsi="Palatino Linotype" w:cs="Palatino Linotype"/>
          <w:b/>
        </w:rPr>
        <w:t xml:space="preserve">05937/INFOEM/IP/RR/2022, </w:t>
      </w:r>
      <w:r w:rsidRPr="0089683D">
        <w:rPr>
          <w:rFonts w:ascii="Palatino Linotype" w:eastAsia="Palatino Linotype" w:hAnsi="Palatino Linotype" w:cs="Palatino Linotype"/>
        </w:rPr>
        <w:t xml:space="preserve">promovido por el </w:t>
      </w:r>
      <w:r w:rsidR="00387D48">
        <w:rPr>
          <w:rFonts w:ascii="Palatino Linotype" w:eastAsia="Palatino Linotype" w:hAnsi="Palatino Linotype" w:cs="Palatino Linotype"/>
          <w:b/>
          <w:bCs/>
        </w:rPr>
        <w:t>XXXXXXXXXXXXXXXXXXXXXXX</w:t>
      </w:r>
      <w:r w:rsidRPr="0089683D">
        <w:rPr>
          <w:rFonts w:ascii="Palatino Linotype" w:eastAsia="Palatino Linotype" w:hAnsi="Palatino Linotype" w:cs="Palatino Linotype"/>
        </w:rPr>
        <w:t xml:space="preserve">, a quien en lo sucesivo se le denominara como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en contra de la respuesta del </w:t>
      </w:r>
      <w:r w:rsidRPr="0089683D">
        <w:rPr>
          <w:rFonts w:ascii="Palatino Linotype" w:eastAsia="Palatino Linotype" w:hAnsi="Palatino Linotype" w:cs="Palatino Linotype"/>
          <w:b/>
        </w:rPr>
        <w:t xml:space="preserve">Instituto de Salud del Estado de México, </w:t>
      </w:r>
      <w:r w:rsidRPr="0089683D">
        <w:rPr>
          <w:rFonts w:ascii="Palatino Linotype" w:eastAsia="Palatino Linotype" w:hAnsi="Palatino Linotype" w:cs="Palatino Linotype"/>
        </w:rPr>
        <w:t xml:space="preserve">en lo subsecuente se le denominará </w:t>
      </w:r>
      <w:r w:rsidRPr="0089683D">
        <w:rPr>
          <w:rFonts w:ascii="Palatino Linotype" w:eastAsia="Palatino Linotype" w:hAnsi="Palatino Linotype" w:cs="Palatino Linotype"/>
          <w:b/>
        </w:rPr>
        <w:t xml:space="preserve">EL SUJETO OBLIGADO, </w:t>
      </w:r>
      <w:r w:rsidRPr="0089683D">
        <w:rPr>
          <w:rFonts w:ascii="Palatino Linotype" w:eastAsia="Palatino Linotype" w:hAnsi="Palatino Linotype" w:cs="Palatino Linotype"/>
        </w:rPr>
        <w:t>se procede a dictar la presente resolución con base en lo siguiente:</w:t>
      </w:r>
    </w:p>
    <w:p w14:paraId="717A00E0" w14:textId="77777777" w:rsidR="001A0FBC" w:rsidRPr="0089683D" w:rsidRDefault="001A0FBC">
      <w:pPr>
        <w:spacing w:line="360" w:lineRule="auto"/>
        <w:jc w:val="both"/>
        <w:rPr>
          <w:rFonts w:ascii="Palatino Linotype" w:eastAsia="Palatino Linotype" w:hAnsi="Palatino Linotype" w:cs="Palatino Linotype"/>
          <w:b/>
        </w:rPr>
      </w:pPr>
    </w:p>
    <w:p w14:paraId="70808D01" w14:textId="77777777" w:rsidR="001A0FBC" w:rsidRPr="0089683D" w:rsidRDefault="00CC34D1">
      <w:pPr>
        <w:jc w:val="center"/>
        <w:rPr>
          <w:rFonts w:ascii="Palatino Linotype" w:eastAsia="Palatino Linotype" w:hAnsi="Palatino Linotype" w:cs="Palatino Linotype"/>
          <w:b/>
          <w:sz w:val="28"/>
          <w:szCs w:val="28"/>
        </w:rPr>
      </w:pPr>
      <w:r w:rsidRPr="0089683D">
        <w:rPr>
          <w:rFonts w:ascii="Palatino Linotype" w:eastAsia="Palatino Linotype" w:hAnsi="Palatino Linotype" w:cs="Palatino Linotype"/>
          <w:b/>
          <w:sz w:val="28"/>
          <w:szCs w:val="28"/>
        </w:rPr>
        <w:t>ANTECEDENTES</w:t>
      </w:r>
    </w:p>
    <w:p w14:paraId="0EAE547B" w14:textId="77777777" w:rsidR="001A0FBC" w:rsidRPr="0089683D" w:rsidRDefault="001A0FBC">
      <w:pPr>
        <w:rPr>
          <w:rFonts w:ascii="Palatino Linotype" w:eastAsia="Palatino Linotype" w:hAnsi="Palatino Linotype" w:cs="Palatino Linotype"/>
          <w:b/>
        </w:rPr>
      </w:pPr>
    </w:p>
    <w:p w14:paraId="50EBA290" w14:textId="77777777" w:rsidR="001A0FBC" w:rsidRPr="0089683D" w:rsidRDefault="00CC34D1">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89683D">
        <w:rPr>
          <w:rFonts w:ascii="Palatino Linotype" w:eastAsia="Palatino Linotype" w:hAnsi="Palatino Linotype" w:cs="Palatino Linotype"/>
          <w:b/>
          <w:sz w:val="28"/>
          <w:szCs w:val="28"/>
        </w:rPr>
        <w:t>I.</w:t>
      </w:r>
      <w:r w:rsidRPr="0089683D">
        <w:rPr>
          <w:rFonts w:ascii="Palatino Linotype" w:eastAsia="Palatino Linotype" w:hAnsi="Palatino Linotype" w:cs="Palatino Linotype"/>
          <w:b/>
        </w:rPr>
        <w:t xml:space="preserve"> </w:t>
      </w:r>
      <w:r w:rsidRPr="0089683D">
        <w:rPr>
          <w:rFonts w:ascii="Palatino Linotype" w:eastAsia="Palatino Linotype" w:hAnsi="Palatino Linotype" w:cs="Palatino Linotype"/>
          <w:b/>
          <w:sz w:val="28"/>
          <w:szCs w:val="28"/>
        </w:rPr>
        <w:t>De la Solicitud de Información</w:t>
      </w:r>
    </w:p>
    <w:p w14:paraId="7AC84AC5" w14:textId="77777777" w:rsidR="001A0FBC" w:rsidRPr="0089683D" w:rsidRDefault="00CC34D1">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89683D">
        <w:rPr>
          <w:rFonts w:ascii="Palatino Linotype" w:eastAsia="Palatino Linotype" w:hAnsi="Palatino Linotype" w:cs="Palatino Linotype"/>
        </w:rPr>
        <w:t xml:space="preserve"> En fecha siete de marzo de dos mil veintidós,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presentó a través del Sistema de Acceso a la Información Mexiquense, en lo subsecuente </w:t>
      </w:r>
      <w:r w:rsidRPr="0089683D">
        <w:rPr>
          <w:rFonts w:ascii="Palatino Linotype" w:eastAsia="Palatino Linotype" w:hAnsi="Palatino Linotype" w:cs="Palatino Linotype"/>
          <w:b/>
        </w:rPr>
        <w:t>EL SAIMEX</w:t>
      </w:r>
      <w:r w:rsidRPr="0089683D">
        <w:rPr>
          <w:rFonts w:ascii="Palatino Linotype" w:eastAsia="Palatino Linotype" w:hAnsi="Palatino Linotype" w:cs="Palatino Linotype"/>
        </w:rPr>
        <w:t xml:space="preserve"> ante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la solicitud de acceso a la información pública, a la que se le asignó el número de expediente </w:t>
      </w:r>
      <w:r w:rsidRPr="0089683D">
        <w:rPr>
          <w:rFonts w:ascii="Palatino Linotype" w:eastAsia="Palatino Linotype" w:hAnsi="Palatino Linotype" w:cs="Palatino Linotype"/>
          <w:b/>
        </w:rPr>
        <w:t xml:space="preserve">00158/ISEM/IP/2022, </w:t>
      </w:r>
      <w:r w:rsidRPr="0089683D">
        <w:rPr>
          <w:rFonts w:ascii="Palatino Linotype" w:eastAsia="Palatino Linotype" w:hAnsi="Palatino Linotype" w:cs="Palatino Linotype"/>
        </w:rPr>
        <w:t>requirió, lo siguiente:</w:t>
      </w:r>
    </w:p>
    <w:p w14:paraId="70E96D50" w14:textId="77777777" w:rsidR="001A0FBC" w:rsidRPr="0089683D" w:rsidRDefault="00CC34D1">
      <w:pPr>
        <w:ind w:left="850" w:right="899"/>
        <w:jc w:val="both"/>
        <w:rPr>
          <w:rFonts w:ascii="Palatino Linotype" w:eastAsia="Palatino Linotype" w:hAnsi="Palatino Linotype" w:cs="Palatino Linotype"/>
          <w:sz w:val="22"/>
          <w:szCs w:val="22"/>
        </w:rPr>
      </w:pPr>
      <w:r w:rsidRPr="0089683D">
        <w:rPr>
          <w:rFonts w:ascii="Palatino Linotype" w:eastAsia="Palatino Linotype" w:hAnsi="Palatino Linotype" w:cs="Palatino Linotype"/>
          <w:i/>
          <w:sz w:val="22"/>
          <w:szCs w:val="22"/>
        </w:rPr>
        <w:t>“1. Lineamientos, Manuales y Acuerdos establecidos para el pago del FO</w:t>
      </w:r>
      <w:r w:rsidR="00684B79" w:rsidRPr="0089683D">
        <w:rPr>
          <w:rFonts w:ascii="Palatino Linotype" w:eastAsia="Palatino Linotype" w:hAnsi="Palatino Linotype" w:cs="Palatino Linotype"/>
          <w:i/>
          <w:sz w:val="22"/>
          <w:szCs w:val="22"/>
        </w:rPr>
        <w:t>NDO DE AHORRO periodo 2021-2022</w:t>
      </w:r>
      <w:r w:rsidRPr="0089683D">
        <w:rPr>
          <w:rFonts w:ascii="Palatino Linotype" w:eastAsia="Palatino Linotype" w:hAnsi="Palatino Linotype" w:cs="Palatino Linotype"/>
          <w:i/>
          <w:sz w:val="22"/>
          <w:szCs w:val="22"/>
        </w:rPr>
        <w:t>. 2. Informe de aportaciones de los participantes, sindicato y aportaciones patronales al fideicomiso periodo 2021-2022 a la fecha de la recepción de la solicitud.” (</w:t>
      </w:r>
      <w:r w:rsidR="00684B79" w:rsidRPr="0089683D">
        <w:rPr>
          <w:rFonts w:ascii="Palatino Linotype" w:eastAsia="Palatino Linotype" w:hAnsi="Palatino Linotype" w:cs="Palatino Linotype"/>
          <w:i/>
          <w:sz w:val="22"/>
          <w:szCs w:val="22"/>
        </w:rPr>
        <w:t>Sic</w:t>
      </w:r>
      <w:r w:rsidRPr="0089683D">
        <w:rPr>
          <w:rFonts w:ascii="Palatino Linotype" w:eastAsia="Palatino Linotype" w:hAnsi="Palatino Linotype" w:cs="Palatino Linotype"/>
          <w:i/>
          <w:sz w:val="22"/>
          <w:szCs w:val="22"/>
        </w:rPr>
        <w:t>)</w:t>
      </w:r>
    </w:p>
    <w:p w14:paraId="461378BE" w14:textId="77777777" w:rsidR="001A0FBC" w:rsidRPr="0089683D" w:rsidRDefault="001A0FBC">
      <w:pPr>
        <w:tabs>
          <w:tab w:val="left" w:pos="851"/>
        </w:tabs>
        <w:ind w:right="901"/>
        <w:jc w:val="both"/>
        <w:rPr>
          <w:rFonts w:ascii="Palatino Linotype" w:eastAsia="Palatino Linotype" w:hAnsi="Palatino Linotype" w:cs="Palatino Linotype"/>
          <w:sz w:val="22"/>
          <w:szCs w:val="22"/>
        </w:rPr>
      </w:pPr>
    </w:p>
    <w:p w14:paraId="740BF367" w14:textId="77777777" w:rsidR="001A0FBC" w:rsidRPr="0089683D" w:rsidRDefault="00CC34D1">
      <w:pPr>
        <w:widowControl w:val="0"/>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rPr>
        <w:t xml:space="preserve">MODALIDAD DE ENTREGA: </w:t>
      </w:r>
      <w:r w:rsidRPr="0089683D">
        <w:rPr>
          <w:rFonts w:ascii="Palatino Linotype" w:eastAsia="Palatino Linotype" w:hAnsi="Palatino Linotype" w:cs="Palatino Linotype"/>
        </w:rPr>
        <w:t xml:space="preserve">Vía </w:t>
      </w:r>
      <w:r w:rsidRPr="0089683D">
        <w:rPr>
          <w:rFonts w:ascii="Palatino Linotype" w:eastAsia="Palatino Linotype" w:hAnsi="Palatino Linotype" w:cs="Palatino Linotype"/>
          <w:b/>
        </w:rPr>
        <w:t>SAIMEX.</w:t>
      </w:r>
    </w:p>
    <w:p w14:paraId="0985A338" w14:textId="77777777" w:rsidR="009B70DA" w:rsidRPr="0089683D" w:rsidRDefault="009B70DA">
      <w:pPr>
        <w:widowControl w:val="0"/>
        <w:spacing w:line="360" w:lineRule="auto"/>
        <w:jc w:val="both"/>
        <w:rPr>
          <w:rFonts w:ascii="Palatino Linotype" w:eastAsia="Palatino Linotype" w:hAnsi="Palatino Linotype" w:cs="Palatino Linotype"/>
          <w:b/>
        </w:rPr>
      </w:pPr>
    </w:p>
    <w:p w14:paraId="66D344ED" w14:textId="77777777" w:rsidR="009B70DA" w:rsidRPr="0089683D" w:rsidRDefault="009B70DA" w:rsidP="009B70DA">
      <w:pPr>
        <w:spacing w:line="360" w:lineRule="auto"/>
        <w:jc w:val="both"/>
        <w:rPr>
          <w:rFonts w:ascii="Palatino Linotype" w:hAnsi="Palatino Linotype" w:cs="Arial"/>
          <w:b/>
        </w:rPr>
      </w:pPr>
      <w:r w:rsidRPr="0089683D">
        <w:rPr>
          <w:noProof/>
        </w:rPr>
        <w:lastRenderedPageBreak/>
        <w:t xml:space="preserve">De las constancias que obran en el expediente electrónico, se advierte que el ciudadano no proporcionó la modalidad de notificación, pero conforme a lo que dispone el </w:t>
      </w:r>
      <w:r w:rsidRPr="0089683D">
        <w:rPr>
          <w:rFonts w:ascii="Palatino Linotype" w:hAnsi="Palatino Linotype" w:cs="Arial"/>
        </w:rPr>
        <w:t xml:space="preserve">artículo 156 de la </w:t>
      </w:r>
      <w:r w:rsidRPr="0089683D">
        <w:rPr>
          <w:rFonts w:ascii="Palatino Linotype" w:hAnsi="Palatino Linotype" w:cs="Arial"/>
          <w:color w:val="000000" w:themeColor="text1"/>
        </w:rPr>
        <w:t xml:space="preserve">Ley de Transparencia y Acceso a la Información Pública del Estado de México y Municipios, el cual establece que las notificaciones serán efectuadas mediante </w:t>
      </w:r>
      <w:r w:rsidRPr="0089683D">
        <w:rPr>
          <w:rFonts w:ascii="Palatino Linotype" w:hAnsi="Palatino Linotype" w:cs="Arial"/>
          <w:b/>
          <w:color w:val="000000" w:themeColor="text1"/>
        </w:rPr>
        <w:t xml:space="preserve">SAIMEX </w:t>
      </w:r>
      <w:r w:rsidRPr="0089683D">
        <w:rPr>
          <w:rFonts w:ascii="Palatino Linotype" w:hAnsi="Palatino Linotype" w:cs="Arial"/>
          <w:color w:val="000000" w:themeColor="text1"/>
        </w:rPr>
        <w:t xml:space="preserve">cuando </w:t>
      </w:r>
      <w:r w:rsidRPr="0089683D">
        <w:rPr>
          <w:rFonts w:ascii="Palatino Linotype" w:hAnsi="Palatino Linotype" w:cs="Arial"/>
          <w:b/>
        </w:rPr>
        <w:t xml:space="preserve">EL RECURRENTE </w:t>
      </w:r>
      <w:r w:rsidRPr="0089683D">
        <w:rPr>
          <w:rFonts w:ascii="Palatino Linotype" w:hAnsi="Palatino Linotype" w:cs="Arial"/>
        </w:rPr>
        <w:t>no señale un medio distintito para tales efectos; fundamento que se cita a continuación;</w:t>
      </w:r>
    </w:p>
    <w:p w14:paraId="52083108" w14:textId="77777777" w:rsidR="009B70DA" w:rsidRPr="0089683D" w:rsidRDefault="009B70DA" w:rsidP="009B70DA">
      <w:pPr>
        <w:spacing w:line="360" w:lineRule="auto"/>
        <w:jc w:val="both"/>
        <w:rPr>
          <w:rFonts w:ascii="Palatino Linotype" w:hAnsi="Palatino Linotype" w:cs="Arial"/>
        </w:rPr>
      </w:pPr>
    </w:p>
    <w:p w14:paraId="1F4DE031" w14:textId="77777777" w:rsidR="009B70DA" w:rsidRPr="0089683D" w:rsidRDefault="009B70DA" w:rsidP="009B70DA">
      <w:pPr>
        <w:spacing w:line="360" w:lineRule="auto"/>
        <w:ind w:left="709" w:right="1276"/>
        <w:jc w:val="both"/>
        <w:rPr>
          <w:rFonts w:ascii="Palatino Linotype" w:hAnsi="Palatino Linotype" w:cs="Arial"/>
          <w:i/>
        </w:rPr>
      </w:pPr>
      <w:r w:rsidRPr="0089683D">
        <w:rPr>
          <w:rFonts w:ascii="Palatino Linotype" w:hAnsi="Palatino Linotype" w:cs="Arial"/>
          <w:i/>
        </w:rPr>
        <w:t xml:space="preserve">Artículo 156. Cuando el particular presente su solicitud por medios electrónicos a través de la Plataforma Nacional o la plataforma que para tales efectos habilite el Instituto, </w:t>
      </w:r>
      <w:r w:rsidRPr="0089683D">
        <w:rPr>
          <w:rFonts w:ascii="Palatino Linotype" w:hAnsi="Palatino Linotype" w:cs="Arial"/>
          <w:b/>
          <w:i/>
        </w:rPr>
        <w:t>se entenderá que acepta que las notificaciones le sean efectuadas por dicho sistema</w:t>
      </w:r>
      <w:r w:rsidRPr="0089683D">
        <w:rPr>
          <w:rFonts w:ascii="Palatino Linotype" w:hAnsi="Palatino Linotype" w:cs="Arial"/>
          <w:i/>
        </w:rPr>
        <w:t>, salvo que señale un medio distinto para efectos de las notificaciones…</w:t>
      </w:r>
    </w:p>
    <w:p w14:paraId="099E7AF1" w14:textId="77777777" w:rsidR="009B70DA" w:rsidRPr="0089683D" w:rsidRDefault="009B70DA" w:rsidP="009B70DA">
      <w:pPr>
        <w:spacing w:line="360" w:lineRule="auto"/>
        <w:ind w:left="709" w:right="1276"/>
        <w:jc w:val="both"/>
        <w:rPr>
          <w:rFonts w:ascii="Palatino Linotype" w:hAnsi="Palatino Linotype" w:cs="Arial"/>
          <w:i/>
        </w:rPr>
      </w:pPr>
      <w:r w:rsidRPr="0089683D">
        <w:rPr>
          <w:rFonts w:ascii="Palatino Linotype" w:hAnsi="Palatino Linotype" w:cs="Arial"/>
          <w:i/>
        </w:rPr>
        <w:t>(Énfasis añadido)</w:t>
      </w:r>
    </w:p>
    <w:p w14:paraId="1FDF1970" w14:textId="77777777" w:rsidR="009B70DA" w:rsidRPr="0089683D" w:rsidRDefault="009B70DA" w:rsidP="009B70DA">
      <w:pPr>
        <w:spacing w:line="360" w:lineRule="auto"/>
        <w:ind w:left="709" w:right="1276"/>
        <w:jc w:val="both"/>
        <w:rPr>
          <w:rFonts w:ascii="Palatino Linotype" w:hAnsi="Palatino Linotype" w:cs="Arial"/>
          <w:i/>
        </w:rPr>
      </w:pPr>
    </w:p>
    <w:p w14:paraId="4CDFA5C5" w14:textId="2893068E" w:rsidR="009B70DA" w:rsidRPr="0089683D" w:rsidRDefault="009B70DA" w:rsidP="009B70DA">
      <w:pPr>
        <w:spacing w:line="360" w:lineRule="auto"/>
        <w:jc w:val="both"/>
        <w:rPr>
          <w:rFonts w:ascii="Palatino Linotype" w:hAnsi="Palatino Linotype" w:cs="Arial"/>
        </w:rPr>
      </w:pPr>
      <w:r w:rsidRPr="0089683D">
        <w:rPr>
          <w:rFonts w:ascii="Palatino Linotype" w:hAnsi="Palatino Linotype" w:cs="Arial"/>
        </w:rPr>
        <w:t xml:space="preserve">En atención a lo antes señalado, la notificación al </w:t>
      </w:r>
      <w:r w:rsidRPr="0089683D">
        <w:rPr>
          <w:rFonts w:ascii="Palatino Linotype" w:hAnsi="Palatino Linotype" w:cs="Arial"/>
          <w:b/>
        </w:rPr>
        <w:t xml:space="preserve">RECURRENTE </w:t>
      </w:r>
      <w:r w:rsidRPr="0089683D">
        <w:rPr>
          <w:rFonts w:ascii="Palatino Linotype" w:hAnsi="Palatino Linotype" w:cs="Arial"/>
        </w:rPr>
        <w:t xml:space="preserve">será vía </w:t>
      </w:r>
      <w:r w:rsidRPr="0089683D">
        <w:rPr>
          <w:rFonts w:ascii="Palatino Linotype" w:hAnsi="Palatino Linotype" w:cs="Arial"/>
          <w:b/>
        </w:rPr>
        <w:t>SAIMEX,</w:t>
      </w:r>
      <w:r w:rsidRPr="0089683D">
        <w:rPr>
          <w:rFonts w:ascii="Palatino Linotype" w:hAnsi="Palatino Linotype" w:cs="Arial"/>
        </w:rPr>
        <w:t xml:space="preserve"> toda vez </w:t>
      </w:r>
      <w:r w:rsidR="0089683D" w:rsidRPr="0089683D">
        <w:rPr>
          <w:rFonts w:ascii="Palatino Linotype" w:hAnsi="Palatino Linotype" w:cs="Arial"/>
        </w:rPr>
        <w:t>que,</w:t>
      </w:r>
      <w:r w:rsidRPr="0089683D">
        <w:rPr>
          <w:rFonts w:ascii="Palatino Linotype" w:hAnsi="Palatino Linotype" w:cs="Arial"/>
        </w:rPr>
        <w:t xml:space="preserve"> si bien no se especificó en los rubros de modalidad de entrega, lo cierto es que este Órgano Garante tiene como Obligación garantizar el Derecho de Acceso a la Información y en concordancia con el artículo 13 de la </w:t>
      </w:r>
      <w:r w:rsidRPr="0089683D">
        <w:rPr>
          <w:rFonts w:ascii="Palatino Linotype" w:hAnsi="Palatino Linotype" w:cs="Arial"/>
          <w:color w:val="000000" w:themeColor="text1"/>
        </w:rPr>
        <w:t>Ley de Transparencia y Acceso a la Información Pública del Estado de México y Municipios</w:t>
      </w:r>
      <w:r w:rsidRPr="0089683D">
        <w:rPr>
          <w:rFonts w:ascii="Palatino Linotype" w:hAnsi="Palatino Linotype" w:cs="Arial"/>
        </w:rPr>
        <w:t>, se debe suplir cualquier deficiencia para garantizar el Derecho previamente señalado.</w:t>
      </w:r>
    </w:p>
    <w:p w14:paraId="3AE7465E" w14:textId="2B6F4CBB" w:rsidR="009B70DA" w:rsidRPr="0089683D" w:rsidRDefault="009B70DA" w:rsidP="009B70DA">
      <w:pPr>
        <w:spacing w:line="360" w:lineRule="auto"/>
        <w:jc w:val="both"/>
        <w:rPr>
          <w:rFonts w:ascii="Palatino Linotype" w:hAnsi="Palatino Linotype" w:cs="Arial"/>
        </w:rPr>
      </w:pPr>
    </w:p>
    <w:p w14:paraId="67DF5EEC" w14:textId="7F497E63" w:rsidR="0089683D" w:rsidRPr="0089683D" w:rsidRDefault="0089683D" w:rsidP="009B70DA">
      <w:pPr>
        <w:spacing w:line="360" w:lineRule="auto"/>
        <w:jc w:val="both"/>
        <w:rPr>
          <w:rFonts w:ascii="Palatino Linotype" w:hAnsi="Palatino Linotype" w:cs="Arial"/>
        </w:rPr>
      </w:pPr>
    </w:p>
    <w:p w14:paraId="4182A96E" w14:textId="77777777" w:rsidR="0089683D" w:rsidRPr="0089683D" w:rsidRDefault="0089683D" w:rsidP="009B70DA">
      <w:pPr>
        <w:spacing w:line="360" w:lineRule="auto"/>
        <w:jc w:val="both"/>
        <w:rPr>
          <w:rFonts w:ascii="Palatino Linotype" w:hAnsi="Palatino Linotype" w:cs="Arial"/>
        </w:rPr>
      </w:pPr>
    </w:p>
    <w:p w14:paraId="558348C8" w14:textId="77777777" w:rsidR="001A0FBC" w:rsidRPr="0089683D" w:rsidRDefault="00CC34D1">
      <w:pPr>
        <w:spacing w:line="360" w:lineRule="auto"/>
        <w:jc w:val="both"/>
        <w:rPr>
          <w:rFonts w:ascii="Palatino Linotype" w:eastAsia="Palatino Linotype" w:hAnsi="Palatino Linotype" w:cs="Palatino Linotype"/>
          <w:b/>
          <w:sz w:val="28"/>
          <w:szCs w:val="28"/>
        </w:rPr>
      </w:pPr>
      <w:r w:rsidRPr="0089683D">
        <w:rPr>
          <w:rFonts w:ascii="Palatino Linotype" w:eastAsia="Palatino Linotype" w:hAnsi="Palatino Linotype" w:cs="Palatino Linotype"/>
          <w:b/>
          <w:sz w:val="28"/>
          <w:szCs w:val="28"/>
        </w:rPr>
        <w:lastRenderedPageBreak/>
        <w:t>II. Turno de requerimiento del Sujeto Obligado</w:t>
      </w:r>
    </w:p>
    <w:p w14:paraId="288C092F" w14:textId="4CAAB86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De las constancias que obran en los expedientes electrónicos del SAIMEX advierte en fecha quince de marzo del dos mil veintidós el turno de requerimiento hecho al servidor público habilitado competente, en términos de lo establecido por el artículo 162 de la Ley de Transparencia y Acceso a la Información Pública del Estado de México y Municipios.</w:t>
      </w:r>
    </w:p>
    <w:p w14:paraId="1F491277" w14:textId="77777777" w:rsidR="00684B79" w:rsidRPr="0089683D" w:rsidRDefault="00684B79">
      <w:pPr>
        <w:spacing w:line="360" w:lineRule="auto"/>
        <w:jc w:val="both"/>
        <w:rPr>
          <w:rFonts w:ascii="Palatino Linotype" w:eastAsia="Palatino Linotype" w:hAnsi="Palatino Linotype" w:cs="Palatino Linotype"/>
          <w:b/>
          <w:sz w:val="28"/>
          <w:szCs w:val="28"/>
        </w:rPr>
      </w:pPr>
    </w:p>
    <w:p w14:paraId="51561028" w14:textId="77777777" w:rsidR="001A0FBC" w:rsidRPr="0089683D" w:rsidRDefault="00CC34D1">
      <w:pPr>
        <w:spacing w:line="360" w:lineRule="auto"/>
        <w:jc w:val="both"/>
        <w:rPr>
          <w:rFonts w:ascii="Palatino Linotype" w:eastAsia="Palatino Linotype" w:hAnsi="Palatino Linotype" w:cs="Palatino Linotype"/>
          <w:b/>
          <w:sz w:val="28"/>
          <w:szCs w:val="28"/>
        </w:rPr>
      </w:pPr>
      <w:r w:rsidRPr="0089683D">
        <w:rPr>
          <w:rFonts w:ascii="Palatino Linotype" w:eastAsia="Palatino Linotype" w:hAnsi="Palatino Linotype" w:cs="Palatino Linotype"/>
          <w:b/>
          <w:sz w:val="28"/>
          <w:szCs w:val="28"/>
        </w:rPr>
        <w:t>III. Respuesta del Sujeto Obligado</w:t>
      </w:r>
    </w:p>
    <w:p w14:paraId="6DB6BFD2"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 las constancias que obran en el expediente electrónico del SAIMEX se observa que en fecha veintinueve de marzo de dos mil veintidós,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dio respuesta a la solicitud de acceso a la información pública en los términos siguientes: </w:t>
      </w:r>
    </w:p>
    <w:p w14:paraId="16E9CDB5" w14:textId="77777777" w:rsidR="001A0FBC" w:rsidRPr="0089683D" w:rsidRDefault="00CC34D1">
      <w:pPr>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2855A51" w14:textId="4C712048" w:rsidR="001A0FBC" w:rsidRPr="0089683D" w:rsidRDefault="00DD1C33">
      <w:pPr>
        <w:ind w:left="850" w:right="899"/>
        <w:jc w:val="both"/>
        <w:rPr>
          <w:rFonts w:ascii="Palatino Linotype" w:eastAsia="Palatino Linotype" w:hAnsi="Palatino Linotype" w:cs="Palatino Linotype"/>
        </w:rPr>
      </w:pPr>
      <w:r w:rsidRPr="0089683D">
        <w:rPr>
          <w:rFonts w:ascii="Palatino Linotype" w:eastAsia="Palatino Linotype" w:hAnsi="Palatino Linotype" w:cs="Palatino Linotype"/>
          <w:i/>
          <w:sz w:val="22"/>
          <w:szCs w:val="22"/>
        </w:rPr>
        <w:t>Se da atención a su solicitud.</w:t>
      </w:r>
      <w:r w:rsidR="00CC34D1" w:rsidRPr="0089683D">
        <w:rPr>
          <w:rFonts w:ascii="Palatino Linotype" w:eastAsia="Palatino Linotype" w:hAnsi="Palatino Linotype" w:cs="Palatino Linotype"/>
          <w:i/>
          <w:sz w:val="22"/>
          <w:szCs w:val="22"/>
        </w:rPr>
        <w:t>”</w:t>
      </w:r>
      <w:r w:rsidR="0089683D" w:rsidRPr="0089683D">
        <w:rPr>
          <w:rFonts w:ascii="Palatino Linotype" w:eastAsia="Palatino Linotype" w:hAnsi="Palatino Linotype" w:cs="Palatino Linotype"/>
          <w:i/>
          <w:sz w:val="22"/>
          <w:szCs w:val="22"/>
        </w:rPr>
        <w:t xml:space="preserve"> </w:t>
      </w:r>
      <w:r w:rsidR="00CC34D1" w:rsidRPr="0089683D">
        <w:rPr>
          <w:rFonts w:ascii="Palatino Linotype" w:eastAsia="Palatino Linotype" w:hAnsi="Palatino Linotype" w:cs="Palatino Linotype"/>
          <w:i/>
          <w:sz w:val="22"/>
          <w:szCs w:val="22"/>
        </w:rPr>
        <w:t>(Sic)</w:t>
      </w:r>
    </w:p>
    <w:p w14:paraId="70E6ACCA" w14:textId="77777777" w:rsidR="001A0FBC" w:rsidRPr="0089683D" w:rsidRDefault="001A0FBC">
      <w:pPr>
        <w:spacing w:line="360" w:lineRule="auto"/>
        <w:jc w:val="both"/>
        <w:rPr>
          <w:rFonts w:ascii="Palatino Linotype" w:eastAsia="Palatino Linotype" w:hAnsi="Palatino Linotype" w:cs="Palatino Linotype"/>
        </w:rPr>
      </w:pPr>
    </w:p>
    <w:p w14:paraId="5C7FB9A4" w14:textId="4209D64C"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Adjuntando a su respuesta tres documentos. El primero de ellos de nombre “</w:t>
      </w:r>
      <w:r w:rsidRPr="0089683D">
        <w:rPr>
          <w:rFonts w:ascii="Palatino Linotype" w:eastAsia="Palatino Linotype" w:hAnsi="Palatino Linotype" w:cs="Palatino Linotype"/>
          <w:i/>
        </w:rPr>
        <w:t xml:space="preserve">4189.pdf” </w:t>
      </w:r>
      <w:r w:rsidRPr="0089683D">
        <w:rPr>
          <w:rFonts w:ascii="Palatino Linotype" w:eastAsia="Palatino Linotype" w:hAnsi="Palatino Linotype" w:cs="Palatino Linotype"/>
        </w:rPr>
        <w:t xml:space="preserve">el cual contiene la respuesta firmada por </w:t>
      </w:r>
      <w:r w:rsidR="0089683D" w:rsidRPr="0089683D">
        <w:rPr>
          <w:rFonts w:ascii="Palatino Linotype" w:eastAsia="Palatino Linotype" w:hAnsi="Palatino Linotype" w:cs="Palatino Linotype"/>
        </w:rPr>
        <w:t>el Subdirector</w:t>
      </w:r>
      <w:r w:rsidRPr="0089683D">
        <w:rPr>
          <w:rFonts w:ascii="Palatino Linotype" w:eastAsia="Palatino Linotype" w:hAnsi="Palatino Linotype" w:cs="Palatino Linotype"/>
        </w:rPr>
        <w:t xml:space="preserve"> de Recursos Humanos del </w:t>
      </w:r>
      <w:r w:rsidRPr="0089683D">
        <w:rPr>
          <w:rFonts w:ascii="Palatino Linotype" w:eastAsia="Palatino Linotype" w:hAnsi="Palatino Linotype" w:cs="Palatino Linotype"/>
          <w:b/>
        </w:rPr>
        <w:t xml:space="preserve">SUJETO OBLIGADO </w:t>
      </w:r>
      <w:r w:rsidRPr="0089683D">
        <w:rPr>
          <w:rFonts w:ascii="Palatino Linotype" w:eastAsia="Palatino Linotype" w:hAnsi="Palatino Linotype" w:cs="Palatino Linotype"/>
        </w:rPr>
        <w:t xml:space="preserve">mediante la cual señala remitir el Manual de Lineamientos para la Operación del Fondo de Ahorro Capitalizable de los Trabajadores al Servicio del Estado. </w:t>
      </w:r>
    </w:p>
    <w:p w14:paraId="2B01B6F3"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Así mismo en relación a “Informe de aportaciones de los participantes, sindicato y aportaciones patronales” refiere que son aquellas establecidas en el Capítulo II correspondiente a Recursos del FONAC, puntos 2.1, 2.2 y 2.3 del Manual en comento. </w:t>
      </w:r>
    </w:p>
    <w:p w14:paraId="7BD4511B" w14:textId="77777777" w:rsidR="001A0FBC" w:rsidRPr="0089683D" w:rsidRDefault="001A0FBC">
      <w:pPr>
        <w:spacing w:line="360" w:lineRule="auto"/>
        <w:jc w:val="both"/>
        <w:rPr>
          <w:rFonts w:ascii="Palatino Linotype" w:eastAsia="Palatino Linotype" w:hAnsi="Palatino Linotype" w:cs="Palatino Linotype"/>
        </w:rPr>
      </w:pPr>
    </w:p>
    <w:p w14:paraId="1B3867EE" w14:textId="53F8EDB5"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El segundo documento de nombre </w:t>
      </w:r>
      <w:r w:rsidRPr="0089683D">
        <w:rPr>
          <w:rFonts w:ascii="Palatino Linotype" w:eastAsia="Palatino Linotype" w:hAnsi="Palatino Linotype" w:cs="Palatino Linotype"/>
          <w:i/>
        </w:rPr>
        <w:t xml:space="preserve">29032022 Respuesta sol 00158 2022 195 saimex.pdf </w:t>
      </w:r>
      <w:r w:rsidRPr="0089683D">
        <w:rPr>
          <w:rFonts w:ascii="Palatino Linotype" w:eastAsia="Palatino Linotype" w:hAnsi="Palatino Linotype" w:cs="Palatino Linotype"/>
        </w:rPr>
        <w:t xml:space="preserve">contiene la respuesta formal emitida por la </w:t>
      </w:r>
      <w:r w:rsidR="0089683D" w:rsidRPr="0089683D">
        <w:rPr>
          <w:rFonts w:ascii="Palatino Linotype" w:eastAsia="Palatino Linotype" w:hAnsi="Palatino Linotype" w:cs="Palatino Linotype"/>
        </w:rPr>
        <w:t>jefa</w:t>
      </w:r>
      <w:r w:rsidRPr="0089683D">
        <w:rPr>
          <w:rFonts w:ascii="Palatino Linotype" w:eastAsia="Palatino Linotype" w:hAnsi="Palatino Linotype" w:cs="Palatino Linotype"/>
        </w:rPr>
        <w:t xml:space="preserve"> de la Unidad de Información, Planeación, Programación y Evaluación. </w:t>
      </w:r>
    </w:p>
    <w:p w14:paraId="5DF7D752" w14:textId="77777777" w:rsidR="001A0FBC" w:rsidRPr="0089683D" w:rsidRDefault="001A0FBC">
      <w:pPr>
        <w:spacing w:line="360" w:lineRule="auto"/>
        <w:jc w:val="both"/>
        <w:rPr>
          <w:rFonts w:ascii="Palatino Linotype" w:eastAsia="Palatino Linotype" w:hAnsi="Palatino Linotype" w:cs="Palatino Linotype"/>
        </w:rPr>
      </w:pPr>
    </w:p>
    <w:p w14:paraId="080C5808"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Y el tercer archivo denominado </w:t>
      </w:r>
      <w:r w:rsidRPr="0089683D">
        <w:rPr>
          <w:rFonts w:ascii="Palatino Linotype" w:eastAsia="Palatino Linotype" w:hAnsi="Palatino Linotype" w:cs="Palatino Linotype"/>
          <w:i/>
        </w:rPr>
        <w:t xml:space="preserve">Manual Lineamientos FONAC.pdf, </w:t>
      </w:r>
      <w:r w:rsidRPr="0089683D">
        <w:rPr>
          <w:rFonts w:ascii="Palatino Linotype" w:eastAsia="Palatino Linotype" w:hAnsi="Palatino Linotype" w:cs="Palatino Linotype"/>
        </w:rPr>
        <w:t xml:space="preserve">que como su nombre lo indica contiene el Manual de Lineamientos para la Operación del Fondo de Ahorro Capitalizable de los Trabajadores al Servicio del Estado. </w:t>
      </w:r>
    </w:p>
    <w:p w14:paraId="5C99EC51" w14:textId="77777777" w:rsidR="001A0FBC" w:rsidRPr="0089683D" w:rsidRDefault="001A0FBC">
      <w:pPr>
        <w:spacing w:line="360" w:lineRule="auto"/>
        <w:jc w:val="both"/>
        <w:rPr>
          <w:rFonts w:ascii="Palatino Linotype" w:eastAsia="Palatino Linotype" w:hAnsi="Palatino Linotype" w:cs="Palatino Linotype"/>
        </w:rPr>
      </w:pPr>
    </w:p>
    <w:p w14:paraId="180BCF39" w14:textId="77777777" w:rsidR="001A0FBC" w:rsidRPr="0089683D" w:rsidRDefault="005D147D">
      <w:pPr>
        <w:widowControl w:val="0"/>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sz w:val="28"/>
          <w:szCs w:val="28"/>
        </w:rPr>
        <w:t xml:space="preserve">IV. </w:t>
      </w:r>
      <w:r w:rsidR="00CC34D1" w:rsidRPr="0089683D">
        <w:rPr>
          <w:rFonts w:ascii="Palatino Linotype" w:eastAsia="Palatino Linotype" w:hAnsi="Palatino Linotype" w:cs="Palatino Linotype"/>
          <w:b/>
          <w:sz w:val="28"/>
          <w:szCs w:val="28"/>
        </w:rPr>
        <w:t>Del Recurso de Revisión</w:t>
      </w:r>
      <w:r w:rsidR="00CC34D1" w:rsidRPr="0089683D">
        <w:rPr>
          <w:rFonts w:ascii="Palatino Linotype" w:eastAsia="Palatino Linotype" w:hAnsi="Palatino Linotype" w:cs="Palatino Linotype"/>
          <w:b/>
        </w:rPr>
        <w:t>.</w:t>
      </w:r>
    </w:p>
    <w:p w14:paraId="1819717C" w14:textId="77777777" w:rsidR="001A0FBC" w:rsidRPr="0089683D" w:rsidRDefault="00CC34D1">
      <w:pPr>
        <w:widowControl w:val="0"/>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Inconforme con la respuesta del</w:t>
      </w:r>
      <w:r w:rsidRPr="0089683D">
        <w:rPr>
          <w:rFonts w:ascii="Palatino Linotype" w:eastAsia="Palatino Linotype" w:hAnsi="Palatino Linotype" w:cs="Palatino Linotype"/>
          <w:b/>
        </w:rPr>
        <w:t xml:space="preserve"> SUJETO OBLIGADO</w:t>
      </w:r>
      <w:r w:rsidRPr="0089683D">
        <w:rPr>
          <w:rFonts w:ascii="Palatino Linotype" w:eastAsia="Palatino Linotype" w:hAnsi="Palatino Linotype" w:cs="Palatino Linotype"/>
        </w:rPr>
        <w:t>, el dieciocho de abril</w:t>
      </w:r>
      <w:r w:rsidRPr="0089683D">
        <w:rPr>
          <w:rFonts w:ascii="Palatino Linotype" w:eastAsia="Palatino Linotype" w:hAnsi="Palatino Linotype" w:cs="Palatino Linotype"/>
          <w:vertAlign w:val="superscript"/>
        </w:rPr>
        <w:footnoteReference w:id="1"/>
      </w:r>
      <w:r w:rsidRPr="0089683D">
        <w:rPr>
          <w:rFonts w:ascii="Palatino Linotype" w:eastAsia="Palatino Linotype" w:hAnsi="Palatino Linotype" w:cs="Palatino Linotype"/>
        </w:rPr>
        <w:t xml:space="preserve"> de dos mil veintidós,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interpuso el Recurso de Revisión. El cual fue registrado en </w:t>
      </w:r>
      <w:r w:rsidRPr="0089683D">
        <w:rPr>
          <w:rFonts w:ascii="Palatino Linotype" w:eastAsia="Palatino Linotype" w:hAnsi="Palatino Linotype" w:cs="Palatino Linotype"/>
          <w:b/>
        </w:rPr>
        <w:t>EL SAIMEX</w:t>
      </w:r>
      <w:r w:rsidRPr="0089683D">
        <w:rPr>
          <w:rFonts w:ascii="Palatino Linotype" w:eastAsia="Palatino Linotype" w:hAnsi="Palatino Linotype" w:cs="Palatino Linotype"/>
        </w:rPr>
        <w:t xml:space="preserve"> y se le asignó el número de expediente </w:t>
      </w:r>
      <w:r w:rsidRPr="0089683D">
        <w:rPr>
          <w:rFonts w:ascii="Palatino Linotype" w:eastAsia="Palatino Linotype" w:hAnsi="Palatino Linotype" w:cs="Palatino Linotype"/>
          <w:b/>
        </w:rPr>
        <w:t xml:space="preserve">05937/INFOEM/IP/RR/2022, </w:t>
      </w:r>
      <w:r w:rsidRPr="0089683D">
        <w:rPr>
          <w:rFonts w:ascii="Palatino Linotype" w:eastAsia="Palatino Linotype" w:hAnsi="Palatino Linotype" w:cs="Palatino Linotype"/>
        </w:rPr>
        <w:t xml:space="preserve">donde los motivos de agravio del </w:t>
      </w:r>
      <w:r w:rsidRPr="0089683D">
        <w:rPr>
          <w:rFonts w:ascii="Palatino Linotype" w:eastAsia="Palatino Linotype" w:hAnsi="Palatino Linotype" w:cs="Palatino Linotype"/>
          <w:b/>
        </w:rPr>
        <w:t xml:space="preserve">RECURRENTE </w:t>
      </w:r>
      <w:r w:rsidRPr="0089683D">
        <w:rPr>
          <w:rFonts w:ascii="Palatino Linotype" w:eastAsia="Palatino Linotype" w:hAnsi="Palatino Linotype" w:cs="Palatino Linotype"/>
        </w:rPr>
        <w:t>fueron los siguientes:</w:t>
      </w:r>
    </w:p>
    <w:p w14:paraId="2323693B" w14:textId="77777777" w:rsidR="001A0FBC" w:rsidRPr="0089683D" w:rsidRDefault="001A0FBC">
      <w:pPr>
        <w:widowControl w:val="0"/>
        <w:spacing w:line="360" w:lineRule="auto"/>
        <w:jc w:val="both"/>
        <w:rPr>
          <w:rFonts w:ascii="Palatino Linotype" w:eastAsia="Palatino Linotype" w:hAnsi="Palatino Linotype" w:cs="Palatino Linotype"/>
        </w:rPr>
      </w:pPr>
    </w:p>
    <w:p w14:paraId="2088C557" w14:textId="77777777" w:rsidR="00DD1C33" w:rsidRPr="0089683D" w:rsidRDefault="00DD1C33">
      <w:pPr>
        <w:widowControl w:val="0"/>
        <w:spacing w:line="360" w:lineRule="auto"/>
        <w:jc w:val="both"/>
        <w:rPr>
          <w:rFonts w:ascii="Palatino Linotype" w:eastAsia="Palatino Linotype" w:hAnsi="Palatino Linotype" w:cs="Palatino Linotype"/>
        </w:rPr>
      </w:pPr>
    </w:p>
    <w:p w14:paraId="3A076A54" w14:textId="77777777" w:rsidR="001A0FBC" w:rsidRPr="0089683D" w:rsidRDefault="00CC34D1">
      <w:pPr>
        <w:spacing w:line="360" w:lineRule="auto"/>
        <w:ind w:left="-57" w:right="-57"/>
        <w:jc w:val="both"/>
        <w:rPr>
          <w:rFonts w:ascii="Palatino Linotype" w:eastAsia="Palatino Linotype" w:hAnsi="Palatino Linotype" w:cs="Palatino Linotype"/>
          <w:b/>
          <w:u w:val="single"/>
        </w:rPr>
      </w:pPr>
      <w:r w:rsidRPr="0089683D">
        <w:rPr>
          <w:rFonts w:ascii="Palatino Linotype" w:eastAsia="Palatino Linotype" w:hAnsi="Palatino Linotype" w:cs="Palatino Linotype"/>
          <w:b/>
          <w:u w:val="single"/>
        </w:rPr>
        <w:lastRenderedPageBreak/>
        <w:t>Acto Impugnado:</w:t>
      </w:r>
      <w:r w:rsidRPr="0089683D">
        <w:rPr>
          <w:b/>
          <w:u w:val="single"/>
        </w:rPr>
        <w:t xml:space="preserve"> </w:t>
      </w:r>
    </w:p>
    <w:p w14:paraId="4986FC8B" w14:textId="77777777" w:rsidR="001A0FBC" w:rsidRPr="0089683D" w:rsidRDefault="00CC34D1">
      <w:pPr>
        <w:tabs>
          <w:tab w:val="left" w:pos="709"/>
        </w:tabs>
        <w:spacing w:before="66"/>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“1. El instituto maneja la información en relación al FIDEICOMISO denominado FONDO ESTATAL DE AHORRO CAPITALIZABLE de los Trabajadores con plaza ESTATAL, el cual realiza la retención a sus trabajadores por el CONCEPTO 21 del talón de pago por lo tanto de conformidad con los artículos 3 fracción XIX y XXX y de los Artículos 146 al 166 de la ley de transparencia , que en síntesis prevén que información son los datos contenidos en los documentos que los sujetos obligados generan, obtienen, adquieren, transforman o conservan por cualquier titulo, o aquella que por disposición legal deban generar. De igual manera solicito me sea entregado el informe del pago del Fondo Estatal de ahorro CAPITALIZABLE del periodo 2020-2021, numero de participantes, informe de las aportaciones de cada componente ( trabajador, patrón, sindicato y rendimiento)”(sic)</w:t>
      </w:r>
    </w:p>
    <w:p w14:paraId="5A934D24" w14:textId="77777777" w:rsidR="001A0FBC" w:rsidRPr="0089683D" w:rsidRDefault="001A0FBC">
      <w:pPr>
        <w:ind w:right="899"/>
        <w:jc w:val="both"/>
        <w:rPr>
          <w:rFonts w:ascii="Palatino Linotype" w:eastAsia="Palatino Linotype" w:hAnsi="Palatino Linotype" w:cs="Palatino Linotype"/>
        </w:rPr>
      </w:pPr>
    </w:p>
    <w:p w14:paraId="60034674" w14:textId="77777777" w:rsidR="001A0FBC" w:rsidRPr="0089683D" w:rsidRDefault="00CC34D1">
      <w:pPr>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Sin hacer manifestación alguna en el apartado de razones o motivos de inconformidad. </w:t>
      </w:r>
    </w:p>
    <w:p w14:paraId="78B2AAF3" w14:textId="77777777" w:rsidR="001A0FBC" w:rsidRPr="0089683D" w:rsidRDefault="001A0FBC">
      <w:pPr>
        <w:ind w:right="899"/>
        <w:jc w:val="both"/>
        <w:rPr>
          <w:rFonts w:ascii="Palatino Linotype" w:eastAsia="Palatino Linotype" w:hAnsi="Palatino Linotype" w:cs="Palatino Linotype"/>
        </w:rPr>
      </w:pPr>
    </w:p>
    <w:p w14:paraId="7955322C" w14:textId="77777777" w:rsidR="001A0FBC" w:rsidRPr="0089683D" w:rsidRDefault="00CC34D1">
      <w:pPr>
        <w:spacing w:line="360" w:lineRule="auto"/>
        <w:jc w:val="both"/>
        <w:rPr>
          <w:rFonts w:ascii="Palatino Linotype" w:eastAsia="Palatino Linotype" w:hAnsi="Palatino Linotype" w:cs="Palatino Linotype"/>
          <w:b/>
          <w:sz w:val="28"/>
          <w:szCs w:val="28"/>
        </w:rPr>
      </w:pPr>
      <w:r w:rsidRPr="0089683D">
        <w:rPr>
          <w:rFonts w:ascii="Palatino Linotype" w:eastAsia="Palatino Linotype" w:hAnsi="Palatino Linotype" w:cs="Palatino Linotype"/>
          <w:b/>
          <w:sz w:val="28"/>
          <w:szCs w:val="28"/>
        </w:rPr>
        <w:t xml:space="preserve">V. Del turno del Recurso de Revisión. </w:t>
      </w:r>
    </w:p>
    <w:p w14:paraId="5472B29A"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El dieciocho de abril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89683D">
        <w:rPr>
          <w:rFonts w:ascii="Palatino Linotype" w:eastAsia="Palatino Linotype" w:hAnsi="Palatino Linotype" w:cs="Palatino Linotype"/>
          <w:b/>
        </w:rPr>
        <w:t>Comisionada Sharon Cristina Morales Martínez</w:t>
      </w:r>
      <w:r w:rsidRPr="0089683D">
        <w:rPr>
          <w:rFonts w:ascii="Palatino Linotype" w:eastAsia="Palatino Linotype" w:hAnsi="Palatino Linotype" w:cs="Palatino Linotype"/>
        </w:rPr>
        <w:t>; a efecto de decretar su admisión o desechamiento.</w:t>
      </w:r>
    </w:p>
    <w:p w14:paraId="4F3A9815" w14:textId="77777777" w:rsidR="001A0FBC" w:rsidRPr="0089683D" w:rsidRDefault="001A0FBC">
      <w:pPr>
        <w:spacing w:line="360" w:lineRule="auto"/>
        <w:jc w:val="both"/>
        <w:rPr>
          <w:rFonts w:ascii="Palatino Linotype" w:eastAsia="Palatino Linotype" w:hAnsi="Palatino Linotype" w:cs="Palatino Linotype"/>
        </w:rPr>
      </w:pPr>
    </w:p>
    <w:p w14:paraId="15E94B2D" w14:textId="77777777" w:rsidR="001A0FBC" w:rsidRPr="0089683D" w:rsidRDefault="00CC34D1">
      <w:pPr>
        <w:tabs>
          <w:tab w:val="center" w:pos="4252"/>
          <w:tab w:val="right" w:pos="8504"/>
        </w:tabs>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rPr>
        <w:t>a) Admisión del Recurso de Revisión</w:t>
      </w:r>
    </w:p>
    <w:p w14:paraId="31F5C641" w14:textId="77777777" w:rsidR="001A0FBC" w:rsidRPr="0089683D" w:rsidRDefault="00CC34D1">
      <w:pPr>
        <w:tabs>
          <w:tab w:val="center" w:pos="4252"/>
          <w:tab w:val="right" w:pos="8504"/>
        </w:tabs>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De las constancias que obran en el expediente electrónico del</w:t>
      </w:r>
      <w:r w:rsidRPr="0089683D">
        <w:rPr>
          <w:rFonts w:ascii="Palatino Linotype" w:eastAsia="Palatino Linotype" w:hAnsi="Palatino Linotype" w:cs="Palatino Linotype"/>
          <w:b/>
        </w:rPr>
        <w:t xml:space="preserve"> SAIMEX</w:t>
      </w:r>
      <w:r w:rsidRPr="0089683D">
        <w:rPr>
          <w:rFonts w:ascii="Palatino Linotype" w:eastAsia="Palatino Linotype" w:hAnsi="Palatino Linotype" w:cs="Palatino Linotype"/>
        </w:rPr>
        <w:t xml:space="preserve">, se advierte que en fecha diecinueve de abril de dos mil veintidós, se acordó la admisión a trámite del Recurso de Revisión que nos ocupa; así como la integración del expediente respectivo, </w:t>
      </w:r>
      <w:r w:rsidRPr="0089683D">
        <w:rPr>
          <w:rFonts w:ascii="Palatino Linotype" w:eastAsia="Palatino Linotype" w:hAnsi="Palatino Linotype" w:cs="Palatino Linotype"/>
        </w:rPr>
        <w:lastRenderedPageBreak/>
        <w:t xml:space="preserve">mismo que se puso a disposición de las partes, para que en un plazo máximo de siete días hábiles </w:t>
      </w:r>
      <w:r w:rsidRPr="0089683D">
        <w:rPr>
          <w:rFonts w:ascii="Palatino Linotype" w:eastAsia="Palatino Linotype" w:hAnsi="Palatino Linotype" w:cs="Palatino Linotype"/>
          <w:b/>
        </w:rPr>
        <w:t xml:space="preserve">EL RECURRENTE </w:t>
      </w:r>
      <w:r w:rsidRPr="0089683D">
        <w:rPr>
          <w:rFonts w:ascii="Palatino Linotype" w:eastAsia="Palatino Linotype" w:hAnsi="Palatino Linotype" w:cs="Palatino Linotype"/>
        </w:rPr>
        <w:t xml:space="preserve">manifestara lo que a su derecho conviniera, a efecto de presentar pruebas y alegatos; así como, para que </w:t>
      </w:r>
      <w:r w:rsidRPr="0089683D">
        <w:rPr>
          <w:rFonts w:ascii="Palatino Linotype" w:eastAsia="Palatino Linotype" w:hAnsi="Palatino Linotype" w:cs="Palatino Linotype"/>
          <w:b/>
        </w:rPr>
        <w:t xml:space="preserve">EL SUJETO OBLIGADO </w:t>
      </w:r>
      <w:r w:rsidRPr="0089683D">
        <w:rPr>
          <w:rFonts w:ascii="Palatino Linotype" w:eastAsia="Palatino Linotype" w:hAnsi="Palatino Linotype" w:cs="Palatino Linotype"/>
        </w:rPr>
        <w:t>rindiera el correspondiente</w:t>
      </w:r>
      <w:r w:rsidRPr="0089683D">
        <w:rPr>
          <w:rFonts w:ascii="Palatino Linotype" w:eastAsia="Palatino Linotype" w:hAnsi="Palatino Linotype" w:cs="Palatino Linotype"/>
          <w:b/>
        </w:rPr>
        <w:t xml:space="preserve"> </w:t>
      </w:r>
      <w:r w:rsidRPr="0089683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3CC37B56" w14:textId="77777777" w:rsidR="001A0FBC" w:rsidRPr="0089683D" w:rsidRDefault="001A0FBC">
      <w:pPr>
        <w:tabs>
          <w:tab w:val="center" w:pos="4252"/>
          <w:tab w:val="right" w:pos="8504"/>
        </w:tabs>
        <w:spacing w:line="360" w:lineRule="auto"/>
        <w:jc w:val="both"/>
        <w:rPr>
          <w:rFonts w:ascii="Palatino Linotype" w:eastAsia="Palatino Linotype" w:hAnsi="Palatino Linotype" w:cs="Palatino Linotype"/>
        </w:rPr>
      </w:pPr>
    </w:p>
    <w:p w14:paraId="325F7646" w14:textId="77777777" w:rsidR="001A0FBC" w:rsidRPr="0089683D" w:rsidRDefault="00CC34D1">
      <w:pPr>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rPr>
        <w:t>b) Informe Justificado</w:t>
      </w:r>
    </w:p>
    <w:p w14:paraId="134921B7" w14:textId="77777777" w:rsidR="001A0FBC" w:rsidRPr="0089683D" w:rsidRDefault="00CC34D1">
      <w:pPr>
        <w:widowControl w:val="0"/>
        <w:tabs>
          <w:tab w:val="left" w:pos="0"/>
        </w:tabs>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Conforme a las constancias que obran en el expediente del </w:t>
      </w:r>
      <w:r w:rsidRPr="0089683D">
        <w:rPr>
          <w:rFonts w:ascii="Palatino Linotype" w:eastAsia="Palatino Linotype" w:hAnsi="Palatino Linotype" w:cs="Palatino Linotype"/>
          <w:b/>
        </w:rPr>
        <w:t>SAIMEX,</w:t>
      </w:r>
      <w:r w:rsidRPr="0089683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89683D">
        <w:rPr>
          <w:rFonts w:ascii="Palatino Linotype" w:eastAsia="Palatino Linotype" w:hAnsi="Palatino Linotype" w:cs="Palatino Linotype"/>
          <w:b/>
        </w:rPr>
        <w:t>EL</w:t>
      </w:r>
      <w:r w:rsidRPr="0089683D">
        <w:rPr>
          <w:rFonts w:ascii="Palatino Linotype" w:eastAsia="Palatino Linotype" w:hAnsi="Palatino Linotype" w:cs="Palatino Linotype"/>
        </w:rPr>
        <w:t xml:space="preserve"> </w:t>
      </w:r>
      <w:r w:rsidRPr="0089683D">
        <w:rPr>
          <w:rFonts w:ascii="Palatino Linotype" w:eastAsia="Palatino Linotype" w:hAnsi="Palatino Linotype" w:cs="Palatino Linotype"/>
          <w:b/>
        </w:rPr>
        <w:t>RECURRENTE</w:t>
      </w:r>
      <w:r w:rsidRPr="0089683D">
        <w:rPr>
          <w:rFonts w:ascii="Palatino Linotype" w:eastAsia="Palatino Linotype" w:hAnsi="Palatino Linotype" w:cs="Palatino Linotype"/>
        </w:rPr>
        <w:t xml:space="preserve"> no presentó manifestaciones que a su derecho convinieran. Por su parte,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fue omiso en presentar su Informe Justificado.  </w:t>
      </w:r>
    </w:p>
    <w:p w14:paraId="779F2B7D" w14:textId="77777777" w:rsidR="001A0FBC" w:rsidRPr="0089683D" w:rsidRDefault="001A0FBC">
      <w:pPr>
        <w:widowControl w:val="0"/>
        <w:tabs>
          <w:tab w:val="left" w:pos="0"/>
        </w:tabs>
        <w:spacing w:line="360" w:lineRule="auto"/>
        <w:jc w:val="both"/>
        <w:rPr>
          <w:rFonts w:ascii="Palatino Linotype" w:eastAsia="Palatino Linotype" w:hAnsi="Palatino Linotype" w:cs="Palatino Linotype"/>
          <w:b/>
        </w:rPr>
      </w:pPr>
    </w:p>
    <w:p w14:paraId="30545B96" w14:textId="77777777" w:rsidR="001A0FBC" w:rsidRPr="0089683D" w:rsidRDefault="00CC34D1">
      <w:pPr>
        <w:widowControl w:val="0"/>
        <w:tabs>
          <w:tab w:val="left" w:pos="0"/>
        </w:tabs>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rPr>
        <w:t xml:space="preserve">c) De la ampliación </w:t>
      </w:r>
    </w:p>
    <w:p w14:paraId="2F4A6907" w14:textId="23E645CB" w:rsidR="005D147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En fecha seis de junio de dos mil veintidós, se notificó el acuerdo de ampliación de plazo para resolver el presente Recurso de Revisión, previsto en el artículo 181, tercer párrafo de la Ley de Transparencia y Acceso a la Información Pública del Estado de México y Municipios.</w:t>
      </w:r>
    </w:p>
    <w:p w14:paraId="6AFC73EA" w14:textId="77777777" w:rsidR="00463E6A" w:rsidRPr="0089683D" w:rsidRDefault="00463E6A">
      <w:pPr>
        <w:spacing w:line="360" w:lineRule="auto"/>
        <w:jc w:val="both"/>
        <w:rPr>
          <w:rFonts w:ascii="Palatino Linotype" w:eastAsia="Palatino Linotype" w:hAnsi="Palatino Linotype" w:cs="Palatino Linotype"/>
        </w:rPr>
      </w:pPr>
    </w:p>
    <w:p w14:paraId="45EFA531"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9048FB">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A111C9" w14:textId="77777777" w:rsidR="00463E6A" w:rsidRPr="009048FB" w:rsidRDefault="00463E6A" w:rsidP="00463E6A">
      <w:pPr>
        <w:pStyle w:val="Prrafodelista"/>
        <w:spacing w:line="360" w:lineRule="auto"/>
        <w:jc w:val="both"/>
        <w:rPr>
          <w:rFonts w:ascii="Palatino Linotype" w:hAnsi="Palatino Linotype"/>
        </w:rPr>
      </w:pPr>
    </w:p>
    <w:p w14:paraId="5F33FC59"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64C23D" w14:textId="77777777" w:rsidR="00463E6A" w:rsidRPr="009048FB" w:rsidRDefault="00463E6A" w:rsidP="00463E6A">
      <w:pPr>
        <w:pStyle w:val="Prrafodelista"/>
        <w:spacing w:line="360" w:lineRule="auto"/>
        <w:jc w:val="both"/>
        <w:rPr>
          <w:rFonts w:ascii="Palatino Linotype" w:hAnsi="Palatino Linotype"/>
        </w:rPr>
      </w:pPr>
    </w:p>
    <w:p w14:paraId="7C7C8B2D"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F44890" w14:textId="77777777" w:rsidR="00463E6A" w:rsidRPr="009048FB" w:rsidRDefault="00463E6A" w:rsidP="00463E6A">
      <w:pPr>
        <w:pStyle w:val="Prrafodelista"/>
        <w:spacing w:line="360" w:lineRule="auto"/>
        <w:jc w:val="both"/>
        <w:rPr>
          <w:rFonts w:ascii="Palatino Linotype" w:hAnsi="Palatino Linotype"/>
        </w:rPr>
      </w:pPr>
    </w:p>
    <w:p w14:paraId="4690A909"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B18740" w14:textId="77777777" w:rsidR="00463E6A" w:rsidRPr="009048FB" w:rsidRDefault="00463E6A" w:rsidP="00463E6A">
      <w:pPr>
        <w:pStyle w:val="Prrafodelista"/>
        <w:spacing w:line="360" w:lineRule="auto"/>
        <w:jc w:val="both"/>
        <w:rPr>
          <w:rFonts w:ascii="Palatino Linotype" w:hAnsi="Palatino Linotype"/>
        </w:rPr>
      </w:pPr>
    </w:p>
    <w:p w14:paraId="539E78F1"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1929577" w14:textId="77777777" w:rsidR="00463E6A" w:rsidRPr="009048FB" w:rsidRDefault="00463E6A" w:rsidP="00463E6A">
      <w:pPr>
        <w:pStyle w:val="Prrafodelista"/>
        <w:spacing w:line="360" w:lineRule="auto"/>
        <w:jc w:val="both"/>
        <w:rPr>
          <w:rFonts w:ascii="Palatino Linotype" w:hAnsi="Palatino Linotype"/>
        </w:rPr>
      </w:pPr>
    </w:p>
    <w:p w14:paraId="6F7C9686" w14:textId="77777777" w:rsidR="00463E6A" w:rsidRPr="009048FB" w:rsidRDefault="00463E6A" w:rsidP="00463E6A">
      <w:pPr>
        <w:pStyle w:val="Prrafodelista"/>
        <w:spacing w:line="360" w:lineRule="auto"/>
        <w:jc w:val="both"/>
        <w:rPr>
          <w:rFonts w:ascii="Palatino Linotype" w:hAnsi="Palatino Linotype"/>
        </w:rPr>
      </w:pPr>
      <w:r w:rsidRPr="009048FB">
        <w:rPr>
          <w:rFonts w:ascii="Palatino Linotype" w:hAnsi="Palatino Linotype"/>
        </w:rPr>
        <w:t>a) Complejidad del asunto: La complejidad de la prueba, la pluralidad de sujetos procesales, el tiempo transcurrido, las características y contexto del recurso.</w:t>
      </w:r>
    </w:p>
    <w:p w14:paraId="19A77789" w14:textId="77777777" w:rsidR="00463E6A" w:rsidRPr="009048FB" w:rsidRDefault="00463E6A" w:rsidP="00463E6A">
      <w:pPr>
        <w:pStyle w:val="Prrafodelista"/>
        <w:spacing w:line="360" w:lineRule="auto"/>
        <w:jc w:val="both"/>
        <w:rPr>
          <w:rFonts w:ascii="Palatino Linotype" w:hAnsi="Palatino Linotype"/>
        </w:rPr>
      </w:pPr>
      <w:r w:rsidRPr="009048FB">
        <w:rPr>
          <w:rFonts w:ascii="Palatino Linotype" w:hAnsi="Palatino Linotype"/>
        </w:rPr>
        <w:t>b) Actividad Procesal del interesado: Acciones u omisiones del interesado.</w:t>
      </w:r>
    </w:p>
    <w:p w14:paraId="48A19484" w14:textId="77777777" w:rsidR="00463E6A" w:rsidRPr="009048FB" w:rsidRDefault="00463E6A" w:rsidP="00463E6A">
      <w:pPr>
        <w:pStyle w:val="Prrafodelista"/>
        <w:spacing w:line="360" w:lineRule="auto"/>
        <w:jc w:val="both"/>
        <w:rPr>
          <w:rFonts w:ascii="Palatino Linotype" w:hAnsi="Palatino Linotype"/>
        </w:rPr>
      </w:pPr>
      <w:r w:rsidRPr="009048FB">
        <w:rPr>
          <w:rFonts w:ascii="Palatino Linotype" w:hAnsi="Palatino Linotype"/>
        </w:rPr>
        <w:t>c) Conducta de la Autoridad: Las Acciones u omisiones realizadas en el procedimiento. Así como si la autoridad actuó con la debida diligencia.</w:t>
      </w:r>
    </w:p>
    <w:p w14:paraId="79CB6C4F" w14:textId="77777777" w:rsidR="00463E6A" w:rsidRPr="009048FB" w:rsidRDefault="00463E6A" w:rsidP="00463E6A">
      <w:pPr>
        <w:pStyle w:val="Prrafodelista"/>
        <w:spacing w:line="360" w:lineRule="auto"/>
        <w:jc w:val="both"/>
        <w:rPr>
          <w:rFonts w:ascii="Palatino Linotype" w:hAnsi="Palatino Linotype"/>
        </w:rPr>
      </w:pPr>
      <w:r w:rsidRPr="009048FB">
        <w:rPr>
          <w:rFonts w:ascii="Palatino Linotype" w:hAnsi="Palatino Linotype"/>
        </w:rPr>
        <w:t>d) La afectación generada en la situación jurídica de la persona involucrada en el proceso: Violación a sus derechos humanos.</w:t>
      </w:r>
    </w:p>
    <w:p w14:paraId="0C07032C" w14:textId="77777777" w:rsidR="00463E6A" w:rsidRPr="009048FB" w:rsidRDefault="00463E6A" w:rsidP="00463E6A">
      <w:pPr>
        <w:pStyle w:val="Prrafodelista"/>
        <w:spacing w:line="360" w:lineRule="auto"/>
        <w:jc w:val="both"/>
        <w:rPr>
          <w:rFonts w:ascii="Palatino Linotype" w:hAnsi="Palatino Linotype"/>
        </w:rPr>
      </w:pPr>
    </w:p>
    <w:p w14:paraId="041154D4"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EFF214" w14:textId="77777777" w:rsidR="00463E6A" w:rsidRPr="009048FB" w:rsidRDefault="00463E6A" w:rsidP="00463E6A">
      <w:pPr>
        <w:pStyle w:val="Prrafodelista"/>
        <w:spacing w:line="360" w:lineRule="auto"/>
        <w:jc w:val="both"/>
        <w:rPr>
          <w:rFonts w:ascii="Palatino Linotype" w:hAnsi="Palatino Linotype"/>
        </w:rPr>
      </w:pPr>
    </w:p>
    <w:p w14:paraId="3B26B16C"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Argumento que encuentra sustento en la jurisprudencia P</w:t>
      </w:r>
      <w:proofErr w:type="gramStart"/>
      <w:r w:rsidRPr="009048FB">
        <w:rPr>
          <w:rFonts w:ascii="Palatino Linotype" w:hAnsi="Palatino Linotype"/>
        </w:rPr>
        <w:t>./</w:t>
      </w:r>
      <w:proofErr w:type="gramEnd"/>
      <w:r w:rsidRPr="009048FB">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PRESUPUESTO QUE CONSIDERÓ </w:t>
      </w:r>
      <w:r w:rsidRPr="009048FB">
        <w:rPr>
          <w:rFonts w:ascii="Palatino Linotype" w:hAnsi="Palatino Linotype"/>
        </w:rPr>
        <w:lastRenderedPageBreak/>
        <w:t>EL LEGISLADOR AL FIJARLOS Y LAS CARACTERÍSTICAS DEL CASO.”, visible en la Gaceta del Seminario Judicial de la Federación con el registro digital 205635.</w:t>
      </w:r>
    </w:p>
    <w:p w14:paraId="56715300" w14:textId="77777777" w:rsidR="00463E6A" w:rsidRPr="009048FB" w:rsidRDefault="00463E6A" w:rsidP="00463E6A">
      <w:pPr>
        <w:pStyle w:val="Prrafodelista"/>
        <w:spacing w:line="360" w:lineRule="auto"/>
        <w:jc w:val="both"/>
        <w:rPr>
          <w:rFonts w:ascii="Palatino Linotype" w:hAnsi="Palatino Linotype"/>
        </w:rPr>
      </w:pPr>
    </w:p>
    <w:p w14:paraId="548A0DE0"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F433346" w14:textId="77777777" w:rsidR="00463E6A" w:rsidRPr="009048FB" w:rsidRDefault="00463E6A" w:rsidP="00463E6A">
      <w:pPr>
        <w:pStyle w:val="Prrafodelista"/>
        <w:spacing w:line="360" w:lineRule="auto"/>
        <w:jc w:val="both"/>
        <w:rPr>
          <w:rFonts w:ascii="Palatino Linotype" w:hAnsi="Palatino Linotype"/>
        </w:rPr>
      </w:pPr>
    </w:p>
    <w:p w14:paraId="6012E9A8"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09ABB14" w14:textId="77777777" w:rsidR="00463E6A" w:rsidRPr="009048FB" w:rsidRDefault="00463E6A" w:rsidP="00463E6A">
      <w:pPr>
        <w:pStyle w:val="Prrafodelista"/>
        <w:spacing w:line="360" w:lineRule="auto"/>
        <w:jc w:val="both"/>
        <w:rPr>
          <w:rFonts w:ascii="Palatino Linotype" w:hAnsi="Palatino Linotype"/>
        </w:rPr>
      </w:pPr>
    </w:p>
    <w:p w14:paraId="5B07E16E"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86019C4" w14:textId="77777777" w:rsidR="00463E6A" w:rsidRPr="009048FB" w:rsidRDefault="00463E6A" w:rsidP="00463E6A">
      <w:pPr>
        <w:pStyle w:val="Prrafodelista"/>
        <w:spacing w:line="360" w:lineRule="auto"/>
        <w:jc w:val="both"/>
        <w:rPr>
          <w:rFonts w:ascii="Palatino Linotype" w:hAnsi="Palatino Linotype"/>
        </w:rPr>
      </w:pPr>
    </w:p>
    <w:p w14:paraId="79C9681D" w14:textId="77777777" w:rsidR="00463E6A" w:rsidRPr="009048FB" w:rsidRDefault="00463E6A" w:rsidP="00463E6A">
      <w:pPr>
        <w:spacing w:line="360" w:lineRule="auto"/>
        <w:jc w:val="both"/>
        <w:rPr>
          <w:rFonts w:ascii="Palatino Linotype" w:hAnsi="Palatino Linotype"/>
        </w:rPr>
      </w:pPr>
      <w:r w:rsidRPr="009048FB">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3EAC20AA" w14:textId="77777777" w:rsidR="00463E6A" w:rsidRPr="009048FB" w:rsidRDefault="00463E6A" w:rsidP="00463E6A">
      <w:pPr>
        <w:pStyle w:val="Prrafodelista"/>
        <w:spacing w:line="360" w:lineRule="auto"/>
        <w:jc w:val="both"/>
        <w:rPr>
          <w:rFonts w:ascii="Palatino Linotype" w:hAnsi="Palatino Linotype"/>
        </w:rPr>
      </w:pPr>
    </w:p>
    <w:p w14:paraId="6C6DE49C" w14:textId="77777777" w:rsidR="00463E6A" w:rsidRDefault="00463E6A" w:rsidP="00463E6A">
      <w:pPr>
        <w:spacing w:line="360" w:lineRule="auto"/>
        <w:jc w:val="both"/>
        <w:rPr>
          <w:rFonts w:ascii="Palatino Linotype" w:hAnsi="Palatino Linotype"/>
        </w:rPr>
      </w:pPr>
      <w:r w:rsidRPr="009048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3533B99" w14:textId="77777777" w:rsidR="00463E6A" w:rsidRPr="009048FB" w:rsidRDefault="00463E6A" w:rsidP="00463E6A">
      <w:pPr>
        <w:spacing w:line="360" w:lineRule="auto"/>
        <w:jc w:val="both"/>
        <w:rPr>
          <w:rFonts w:ascii="Palatino Linotype" w:hAnsi="Palatino Linotype"/>
        </w:rPr>
      </w:pPr>
    </w:p>
    <w:p w14:paraId="5FBD30C4" w14:textId="77777777" w:rsidR="00463E6A" w:rsidRPr="006D3F6C" w:rsidRDefault="00463E6A" w:rsidP="00463E6A">
      <w:pPr>
        <w:spacing w:line="360" w:lineRule="auto"/>
        <w:jc w:val="both"/>
        <w:rPr>
          <w:rFonts w:ascii="Palatino Linotype" w:hAnsi="Palatino Linotype"/>
          <w:b/>
        </w:rPr>
      </w:pPr>
      <w:r>
        <w:rPr>
          <w:rFonts w:ascii="Palatino Linotype" w:hAnsi="Palatino Linotype"/>
          <w:b/>
        </w:rPr>
        <w:t xml:space="preserve">d) Del returno </w:t>
      </w:r>
    </w:p>
    <w:p w14:paraId="7804B208" w14:textId="77777777" w:rsidR="00463E6A" w:rsidRPr="006D3F6C" w:rsidRDefault="00463E6A" w:rsidP="00463E6A">
      <w:pPr>
        <w:spacing w:line="360" w:lineRule="auto"/>
        <w:jc w:val="both"/>
        <w:rPr>
          <w:rFonts w:ascii="Palatino Linotype" w:hAnsi="Palatino Linotype"/>
        </w:rPr>
      </w:pPr>
      <w:r w:rsidRPr="00616262">
        <w:rPr>
          <w:rFonts w:ascii="Palatino Linotype" w:hAnsi="Palatino Linotype" w:cs="Arial"/>
          <w:color w:val="000000" w:themeColor="text1"/>
        </w:rPr>
        <w:t>En la Vigésima Cuarta Sesión Ordinaria celebrada el veintinueve de junio de dos mil veintidós,</w:t>
      </w:r>
      <w:r>
        <w:rPr>
          <w:rFonts w:ascii="Palatino Linotype" w:hAnsi="Palatino Linotype" w:cs="Arial"/>
          <w:color w:val="000000" w:themeColor="text1"/>
        </w:rPr>
        <w:t xml:space="preserve"> </w:t>
      </w:r>
      <w:r w:rsidRPr="006D3F6C">
        <w:rPr>
          <w:rFonts w:ascii="Palatino Linotype" w:hAnsi="Palatino Linotype"/>
        </w:rPr>
        <w:t xml:space="preserve">el Pleno del Instituto de Transparencia, Acceso a la Información Pública y Protección de Datos Personales del Estado de México y Municipios, aprobó el returno del recurso de revisión de mérito al </w:t>
      </w:r>
      <w:r w:rsidRPr="006D3F6C">
        <w:rPr>
          <w:rFonts w:ascii="Palatino Linotype" w:hAnsi="Palatino Linotype"/>
          <w:b/>
        </w:rPr>
        <w:t>Comisionado Presidente José Martínez Vilchis</w:t>
      </w:r>
      <w:r w:rsidRPr="006D3F6C">
        <w:rPr>
          <w:rFonts w:ascii="Palatino Linotype" w:hAnsi="Palatino Linotype"/>
        </w:rPr>
        <w:t>, para que diera trámite y resolviera conforme a derecho.</w:t>
      </w:r>
    </w:p>
    <w:p w14:paraId="35F263AC" w14:textId="77777777" w:rsidR="00DD1C33" w:rsidRPr="0089683D" w:rsidRDefault="00DD1C33">
      <w:pPr>
        <w:spacing w:line="360" w:lineRule="auto"/>
        <w:jc w:val="both"/>
        <w:rPr>
          <w:rFonts w:ascii="Palatino Linotype" w:eastAsia="Palatino Linotype" w:hAnsi="Palatino Linotype" w:cs="Palatino Linotype"/>
        </w:rPr>
      </w:pPr>
    </w:p>
    <w:p w14:paraId="2EE68A23" w14:textId="53229464" w:rsidR="001A0FBC" w:rsidRPr="0089683D" w:rsidRDefault="00463E6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e</w:t>
      </w:r>
      <w:r w:rsidR="00CC34D1" w:rsidRPr="0089683D">
        <w:rPr>
          <w:rFonts w:ascii="Palatino Linotype" w:eastAsia="Palatino Linotype" w:hAnsi="Palatino Linotype" w:cs="Palatino Linotype"/>
          <w:b/>
        </w:rPr>
        <w:t>) Cierre de Instrucción</w:t>
      </w:r>
    </w:p>
    <w:p w14:paraId="5D4E3396" w14:textId="2FC0EFF8" w:rsidR="001A0FBC"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Por lo que, una vez analizado el estado procesal que guarda el expediente, </w:t>
      </w:r>
      <w:bookmarkStart w:id="3" w:name="_Hlk107381374"/>
      <w:r w:rsidR="0089683D" w:rsidRPr="0089683D">
        <w:rPr>
          <w:rFonts w:ascii="Palatino Linotype" w:hAnsi="Palatino Linotype"/>
          <w:color w:val="000000" w:themeColor="text1"/>
        </w:rPr>
        <w:t xml:space="preserve">el </w:t>
      </w:r>
      <w:r w:rsidR="0089683D" w:rsidRPr="0089683D">
        <w:rPr>
          <w:rFonts w:ascii="Palatino Linotype" w:hAnsi="Palatino Linotype"/>
          <w:b/>
          <w:color w:val="000000" w:themeColor="text1"/>
        </w:rPr>
        <w:t>veintinueve de junio</w:t>
      </w:r>
      <w:r w:rsidR="0089683D" w:rsidRPr="0089683D">
        <w:rPr>
          <w:rFonts w:ascii="Palatino Linotype" w:hAnsi="Palatino Linotype"/>
          <w:b/>
          <w:bCs/>
          <w:color w:val="000000" w:themeColor="text1"/>
        </w:rPr>
        <w:t xml:space="preserve"> dos mil veintidós, </w:t>
      </w:r>
      <w:r w:rsidR="0089683D" w:rsidRPr="0089683D">
        <w:rPr>
          <w:rFonts w:ascii="Palatino Linotype" w:hAnsi="Palatino Linotype"/>
          <w:color w:val="000000" w:themeColor="text1"/>
        </w:rPr>
        <w:t xml:space="preserve">el </w:t>
      </w:r>
      <w:r w:rsidR="0089683D" w:rsidRPr="0089683D">
        <w:rPr>
          <w:rFonts w:ascii="Palatino Linotype" w:hAnsi="Palatino Linotype"/>
          <w:b/>
          <w:bCs/>
          <w:color w:val="000000" w:themeColor="text1"/>
        </w:rPr>
        <w:t>Comisionado Presidente José Martínez Vilchis</w:t>
      </w:r>
      <w:bookmarkEnd w:id="3"/>
      <w:r w:rsidRPr="0089683D">
        <w:rPr>
          <w:rFonts w:ascii="Palatino Linotype" w:eastAsia="Palatino Linotype" w:hAnsi="Palatino Linotype" w:cs="Palatino Linotype"/>
          <w:b/>
        </w:rPr>
        <w:t xml:space="preserve"> </w:t>
      </w:r>
      <w:r w:rsidRPr="0089683D">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w:t>
      </w:r>
      <w:r w:rsidR="005D147D" w:rsidRPr="0089683D">
        <w:rPr>
          <w:rFonts w:ascii="Palatino Linotype" w:eastAsia="Palatino Linotype" w:hAnsi="Palatino Linotype" w:cs="Palatino Linotype"/>
        </w:rPr>
        <w:t>tado de México y Municipios.</w:t>
      </w:r>
    </w:p>
    <w:p w14:paraId="1C1DD74A" w14:textId="77777777" w:rsidR="001A0FBC" w:rsidRPr="0089683D" w:rsidRDefault="00CC34D1">
      <w:pPr>
        <w:jc w:val="center"/>
        <w:rPr>
          <w:rFonts w:ascii="Palatino Linotype" w:eastAsia="Palatino Linotype" w:hAnsi="Palatino Linotype" w:cs="Palatino Linotype"/>
          <w:b/>
          <w:sz w:val="28"/>
          <w:szCs w:val="28"/>
        </w:rPr>
      </w:pPr>
      <w:r w:rsidRPr="0089683D">
        <w:rPr>
          <w:rFonts w:ascii="Palatino Linotype" w:eastAsia="Palatino Linotype" w:hAnsi="Palatino Linotype" w:cs="Palatino Linotype"/>
          <w:b/>
          <w:sz w:val="28"/>
          <w:szCs w:val="28"/>
        </w:rPr>
        <w:lastRenderedPageBreak/>
        <w:t>CONSIDERANDO</w:t>
      </w:r>
    </w:p>
    <w:p w14:paraId="3FD8E489" w14:textId="77777777" w:rsidR="001A0FBC" w:rsidRPr="0089683D" w:rsidRDefault="001A0FBC">
      <w:pPr>
        <w:jc w:val="center"/>
        <w:rPr>
          <w:rFonts w:ascii="Palatino Linotype" w:eastAsia="Palatino Linotype" w:hAnsi="Palatino Linotype" w:cs="Palatino Linotype"/>
          <w:b/>
          <w:sz w:val="28"/>
          <w:szCs w:val="28"/>
        </w:rPr>
      </w:pPr>
    </w:p>
    <w:p w14:paraId="7EC42D83" w14:textId="77777777" w:rsidR="001A0FBC" w:rsidRPr="0089683D" w:rsidRDefault="00CC34D1">
      <w:pPr>
        <w:widowControl w:val="0"/>
        <w:tabs>
          <w:tab w:val="left" w:pos="1701"/>
        </w:tabs>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b/>
          <w:sz w:val="28"/>
          <w:szCs w:val="28"/>
        </w:rPr>
        <w:t>PRIMERO.</w:t>
      </w:r>
      <w:r w:rsidRPr="0089683D">
        <w:rPr>
          <w:rFonts w:ascii="Palatino Linotype" w:eastAsia="Palatino Linotype" w:hAnsi="Palatino Linotype" w:cs="Palatino Linotype"/>
          <w:b/>
        </w:rPr>
        <w:t xml:space="preserve"> Competencia</w:t>
      </w:r>
      <w:r w:rsidRPr="0089683D">
        <w:rPr>
          <w:rFonts w:ascii="Palatino Linotype" w:eastAsia="Palatino Linotype" w:hAnsi="Palatino Linotype" w:cs="Palatino Linotype"/>
        </w:rPr>
        <w:t>.</w:t>
      </w:r>
      <w:r w:rsidRPr="0089683D">
        <w:rPr>
          <w:rFonts w:ascii="Palatino Linotype" w:eastAsia="Palatino Linotype" w:hAnsi="Palatino Linotype" w:cs="Palatino Linotype"/>
          <w:b/>
        </w:rPr>
        <w:t xml:space="preserve"> </w:t>
      </w:r>
    </w:p>
    <w:p w14:paraId="47130150" w14:textId="77777777" w:rsidR="001A0FBC" w:rsidRPr="0089683D" w:rsidRDefault="00CC34D1">
      <w:pPr>
        <w:widowControl w:val="0"/>
        <w:tabs>
          <w:tab w:val="left" w:pos="1701"/>
        </w:tabs>
        <w:spacing w:line="360" w:lineRule="auto"/>
        <w:jc w:val="both"/>
        <w:rPr>
          <w:rFonts w:ascii="Palatino Linotype" w:eastAsia="Palatino Linotype" w:hAnsi="Palatino Linotype" w:cs="Palatino Linotype"/>
        </w:rPr>
      </w:pPr>
      <w:bookmarkStart w:id="4" w:name="_heading=h.3znysh7" w:colFirst="0" w:colLast="0"/>
      <w:bookmarkEnd w:id="4"/>
      <w:r w:rsidRPr="0089683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3F262451" w14:textId="77777777" w:rsidR="005D147D" w:rsidRPr="0089683D" w:rsidRDefault="005D147D">
      <w:pPr>
        <w:spacing w:line="360" w:lineRule="auto"/>
        <w:jc w:val="both"/>
        <w:rPr>
          <w:rFonts w:ascii="Palatino Linotype" w:eastAsia="Palatino Linotype" w:hAnsi="Palatino Linotype" w:cs="Palatino Linotype"/>
          <w:b/>
          <w:sz w:val="28"/>
          <w:szCs w:val="28"/>
        </w:rPr>
      </w:pPr>
    </w:p>
    <w:p w14:paraId="354C117E" w14:textId="77777777" w:rsidR="001A0FBC" w:rsidRPr="0089683D" w:rsidRDefault="00CC34D1">
      <w:pPr>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sz w:val="28"/>
          <w:szCs w:val="28"/>
        </w:rPr>
        <w:t>SEGUNDO</w:t>
      </w:r>
      <w:r w:rsidRPr="0089683D">
        <w:rPr>
          <w:rFonts w:ascii="Palatino Linotype" w:eastAsia="Palatino Linotype" w:hAnsi="Palatino Linotype" w:cs="Palatino Linotype"/>
          <w:b/>
        </w:rPr>
        <w:t xml:space="preserve">. Interés. </w:t>
      </w:r>
    </w:p>
    <w:p w14:paraId="4247CEFD" w14:textId="77777777" w:rsidR="001A0FBC" w:rsidRPr="0089683D" w:rsidRDefault="00CC34D1">
      <w:pPr>
        <w:spacing w:line="360" w:lineRule="auto"/>
        <w:jc w:val="both"/>
        <w:rPr>
          <w:rFonts w:ascii="Palatino Linotype" w:eastAsia="Palatino Linotype" w:hAnsi="Palatino Linotype" w:cs="Palatino Linotype"/>
          <w:b/>
          <w:color w:val="000000"/>
        </w:rPr>
      </w:pPr>
      <w:r w:rsidRPr="0089683D">
        <w:rPr>
          <w:rFonts w:ascii="Palatino Linotype" w:eastAsia="Palatino Linotype" w:hAnsi="Palatino Linotype" w:cs="Palatino Linotype"/>
        </w:rPr>
        <w:t>El</w:t>
      </w:r>
      <w:r w:rsidRPr="0089683D">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89683D">
        <w:rPr>
          <w:rFonts w:ascii="Palatino Linotype" w:eastAsia="Palatino Linotype" w:hAnsi="Palatino Linotype" w:cs="Palatino Linotype"/>
          <w:b/>
        </w:rPr>
        <w:t>EL</w:t>
      </w:r>
      <w:r w:rsidRPr="0089683D">
        <w:rPr>
          <w:rFonts w:ascii="Palatino Linotype" w:eastAsia="Palatino Linotype" w:hAnsi="Palatino Linotype" w:cs="Palatino Linotype"/>
          <w:b/>
          <w:color w:val="000000"/>
        </w:rPr>
        <w:t xml:space="preserve"> RECURRENTE,</w:t>
      </w:r>
      <w:r w:rsidRPr="0089683D">
        <w:rPr>
          <w:rFonts w:ascii="Palatino Linotype" w:eastAsia="Palatino Linotype" w:hAnsi="Palatino Linotype" w:cs="Palatino Linotype"/>
          <w:color w:val="000000"/>
        </w:rPr>
        <w:t xml:space="preserve"> quien es la misma persona que formuló la solicitud de acceso a la información pública al </w:t>
      </w:r>
      <w:r w:rsidRPr="0089683D">
        <w:rPr>
          <w:rFonts w:ascii="Palatino Linotype" w:eastAsia="Palatino Linotype" w:hAnsi="Palatino Linotype" w:cs="Palatino Linotype"/>
          <w:b/>
          <w:color w:val="000000"/>
        </w:rPr>
        <w:t xml:space="preserve">SUJETO OBLIGADO, </w:t>
      </w:r>
      <w:r w:rsidRPr="0089683D">
        <w:rPr>
          <w:rFonts w:ascii="Palatino Linotype" w:eastAsia="Palatino Linotype" w:hAnsi="Palatino Linotype" w:cs="Palatino Linotype"/>
          <w:color w:val="000000"/>
        </w:rPr>
        <w:t xml:space="preserve">pues para ello, es necesario que el particular ingrese al </w:t>
      </w:r>
      <w:r w:rsidRPr="0089683D">
        <w:rPr>
          <w:rFonts w:ascii="Palatino Linotype" w:eastAsia="Palatino Linotype" w:hAnsi="Palatino Linotype" w:cs="Palatino Linotype"/>
          <w:b/>
          <w:color w:val="000000"/>
        </w:rPr>
        <w:t xml:space="preserve">SAIMEX </w:t>
      </w:r>
      <w:r w:rsidRPr="0089683D">
        <w:rPr>
          <w:rFonts w:ascii="Palatino Linotype" w:eastAsia="Palatino Linotype" w:hAnsi="Palatino Linotype" w:cs="Palatino Linotype"/>
          <w:color w:val="000000"/>
        </w:rPr>
        <w:t>mediante la utilización de su clave de usuario y contraseña.</w:t>
      </w:r>
    </w:p>
    <w:p w14:paraId="57DC8CEF" w14:textId="77777777" w:rsidR="001A0FBC" w:rsidRDefault="001A0FB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22993E7" w14:textId="77777777" w:rsidR="00430697" w:rsidRPr="0089683D" w:rsidRDefault="0043069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4317A289" w14:textId="77777777" w:rsidR="001A0FBC" w:rsidRPr="0089683D" w:rsidRDefault="00CC34D1">
      <w:pPr>
        <w:tabs>
          <w:tab w:val="center" w:pos="4252"/>
          <w:tab w:val="right" w:pos="8504"/>
        </w:tabs>
        <w:spacing w:line="360" w:lineRule="auto"/>
        <w:ind w:left="-57"/>
        <w:jc w:val="both"/>
        <w:rPr>
          <w:rFonts w:ascii="Palatino Linotype" w:eastAsia="Palatino Linotype" w:hAnsi="Palatino Linotype" w:cs="Palatino Linotype"/>
          <w:color w:val="000000"/>
        </w:rPr>
      </w:pPr>
      <w:r w:rsidRPr="0089683D">
        <w:rPr>
          <w:rFonts w:ascii="Palatino Linotype" w:eastAsia="Palatino Linotype" w:hAnsi="Palatino Linotype" w:cs="Palatino Linotype"/>
          <w:b/>
          <w:sz w:val="28"/>
          <w:szCs w:val="28"/>
        </w:rPr>
        <w:lastRenderedPageBreak/>
        <w:t>TERCERO.</w:t>
      </w:r>
      <w:r w:rsidRPr="0089683D">
        <w:rPr>
          <w:rFonts w:ascii="Palatino Linotype" w:eastAsia="Palatino Linotype" w:hAnsi="Palatino Linotype" w:cs="Palatino Linotype"/>
        </w:rPr>
        <w:t xml:space="preserve"> </w:t>
      </w:r>
      <w:r w:rsidRPr="0089683D">
        <w:rPr>
          <w:rFonts w:ascii="Palatino Linotype" w:eastAsia="Palatino Linotype" w:hAnsi="Palatino Linotype" w:cs="Palatino Linotype"/>
          <w:b/>
          <w:color w:val="000000"/>
        </w:rPr>
        <w:t>Oportunidad</w:t>
      </w:r>
      <w:r w:rsidRPr="0089683D">
        <w:rPr>
          <w:rFonts w:ascii="Palatino Linotype" w:eastAsia="Palatino Linotype" w:hAnsi="Palatino Linotype" w:cs="Palatino Linotype"/>
          <w:color w:val="000000"/>
        </w:rPr>
        <w:t xml:space="preserve">. </w:t>
      </w:r>
    </w:p>
    <w:p w14:paraId="7CC34951" w14:textId="77777777" w:rsidR="001A0FBC" w:rsidRPr="0089683D" w:rsidRDefault="00CC34D1">
      <w:pPr>
        <w:widowControl w:val="0"/>
        <w:tabs>
          <w:tab w:val="left" w:pos="1701"/>
        </w:tabs>
        <w:spacing w:line="360" w:lineRule="auto"/>
        <w:ind w:right="49"/>
        <w:jc w:val="both"/>
        <w:rPr>
          <w:rFonts w:ascii="Palatino Linotype" w:eastAsia="Palatino Linotype" w:hAnsi="Palatino Linotype" w:cs="Palatino Linotype"/>
          <w:b/>
        </w:rPr>
      </w:pPr>
      <w:r w:rsidRPr="0089683D">
        <w:rPr>
          <w:rFonts w:ascii="Palatino Linotype" w:eastAsia="Palatino Linotype" w:hAnsi="Palatino Linotype" w:cs="Palatino Linotype"/>
        </w:rPr>
        <w:t xml:space="preserve">El Recurso de Revisión fue interpuesto dentro del plazo de quince días hábiles, contados a partir del día siguiente al que </w:t>
      </w:r>
      <w:r w:rsidRPr="0089683D">
        <w:rPr>
          <w:rFonts w:ascii="Palatino Linotype" w:eastAsia="Palatino Linotype" w:hAnsi="Palatino Linotype" w:cs="Palatino Linotype"/>
          <w:b/>
        </w:rPr>
        <w:t xml:space="preserve">EL RECURRENTE </w:t>
      </w:r>
      <w:r w:rsidRPr="0089683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AE0A9AD" w14:textId="77777777" w:rsidR="001A0FBC" w:rsidRPr="0089683D" w:rsidRDefault="001A0FBC">
      <w:pPr>
        <w:ind w:left="720" w:right="709"/>
        <w:jc w:val="both"/>
        <w:rPr>
          <w:rFonts w:ascii="Palatino Linotype" w:eastAsia="Palatino Linotype" w:hAnsi="Palatino Linotype" w:cs="Palatino Linotype"/>
          <w:i/>
          <w:sz w:val="22"/>
          <w:szCs w:val="22"/>
        </w:rPr>
      </w:pPr>
    </w:p>
    <w:p w14:paraId="47DA386D" w14:textId="77777777" w:rsidR="001A0FBC" w:rsidRPr="0089683D" w:rsidRDefault="00CC34D1">
      <w:pPr>
        <w:ind w:left="851"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w:t>
      </w:r>
      <w:r w:rsidRPr="0089683D">
        <w:rPr>
          <w:rFonts w:ascii="Palatino Linotype" w:eastAsia="Palatino Linotype" w:hAnsi="Palatino Linotype" w:cs="Palatino Linotype"/>
          <w:b/>
          <w:i/>
          <w:sz w:val="22"/>
          <w:szCs w:val="22"/>
        </w:rPr>
        <w:t>Artículo 178.</w:t>
      </w:r>
      <w:r w:rsidRPr="0089683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B37AB4" w14:textId="77777777" w:rsidR="001A0FBC" w:rsidRPr="0089683D" w:rsidRDefault="001A0FBC">
      <w:pPr>
        <w:ind w:left="851" w:right="899"/>
        <w:jc w:val="both"/>
        <w:rPr>
          <w:rFonts w:ascii="Palatino Linotype" w:eastAsia="Palatino Linotype" w:hAnsi="Palatino Linotype" w:cs="Palatino Linotype"/>
          <w:i/>
          <w:sz w:val="22"/>
          <w:szCs w:val="22"/>
        </w:rPr>
      </w:pPr>
    </w:p>
    <w:p w14:paraId="1576FB59" w14:textId="77777777" w:rsidR="001A0FBC" w:rsidRPr="0089683D" w:rsidRDefault="00CC34D1">
      <w:pPr>
        <w:ind w:left="851"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0954267" w14:textId="77777777" w:rsidR="001A0FBC" w:rsidRPr="0089683D" w:rsidRDefault="001A0FBC">
      <w:pPr>
        <w:ind w:left="851" w:right="899"/>
        <w:jc w:val="both"/>
        <w:rPr>
          <w:rFonts w:ascii="Palatino Linotype" w:eastAsia="Palatino Linotype" w:hAnsi="Palatino Linotype" w:cs="Palatino Linotype"/>
          <w:i/>
          <w:sz w:val="22"/>
          <w:szCs w:val="22"/>
        </w:rPr>
      </w:pPr>
    </w:p>
    <w:p w14:paraId="49211E51" w14:textId="77777777" w:rsidR="001A0FBC" w:rsidRPr="0089683D" w:rsidRDefault="00CC34D1">
      <w:pPr>
        <w:ind w:left="851"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694EC69" w14:textId="77777777" w:rsidR="001A0FBC" w:rsidRPr="0089683D" w:rsidRDefault="001A0FBC">
      <w:pPr>
        <w:ind w:left="720" w:right="709"/>
        <w:jc w:val="both"/>
        <w:rPr>
          <w:rFonts w:ascii="Palatino Linotype" w:eastAsia="Palatino Linotype" w:hAnsi="Palatino Linotype" w:cs="Palatino Linotype"/>
          <w:i/>
          <w:sz w:val="22"/>
          <w:szCs w:val="22"/>
        </w:rPr>
      </w:pPr>
    </w:p>
    <w:p w14:paraId="6A3E2998" w14:textId="2601DFED" w:rsidR="001A0FBC" w:rsidRPr="0089683D" w:rsidRDefault="00CC34D1">
      <w:pPr>
        <w:spacing w:line="360" w:lineRule="auto"/>
        <w:jc w:val="both"/>
        <w:rPr>
          <w:rFonts w:ascii="Palatino Linotype" w:eastAsia="Palatino Linotype" w:hAnsi="Palatino Linotype" w:cs="Palatino Linotype"/>
        </w:rPr>
      </w:pPr>
      <w:bookmarkStart w:id="5" w:name="_heading=h.2et92p0" w:colFirst="0" w:colLast="0"/>
      <w:bookmarkEnd w:id="5"/>
      <w:r w:rsidRPr="0089683D">
        <w:rPr>
          <w:rFonts w:ascii="Palatino Linotype" w:eastAsia="Palatino Linotype" w:hAnsi="Palatino Linotype" w:cs="Palatino Linotype"/>
        </w:rPr>
        <w:t xml:space="preserve">En esa tesitura, atendiendo a que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notificó la respuesta a la solicitud de acceso a la información pública el día</w:t>
      </w:r>
      <w:r w:rsidRPr="0089683D">
        <w:rPr>
          <w:rFonts w:ascii="Palatino Linotype" w:eastAsia="Palatino Linotype" w:hAnsi="Palatino Linotype" w:cs="Palatino Linotype"/>
          <w:b/>
        </w:rPr>
        <w:t xml:space="preserve"> veintinueve de marzo de dos mil veintidós</w:t>
      </w:r>
      <w:r w:rsidRPr="0089683D">
        <w:rPr>
          <w:rFonts w:ascii="Palatino Linotype" w:eastAsia="Palatino Linotype" w:hAnsi="Palatino Linotype" w:cs="Palatino Linotype"/>
        </w:rPr>
        <w:t xml:space="preserve">, así el plazo de quince días hábiles que el artículo 178 de la Ley de la materia otorga al </w:t>
      </w:r>
      <w:r w:rsidRPr="0089683D">
        <w:rPr>
          <w:rFonts w:ascii="Palatino Linotype" w:eastAsia="Palatino Linotype" w:hAnsi="Palatino Linotype" w:cs="Palatino Linotype"/>
          <w:b/>
        </w:rPr>
        <w:t>RECURRENTE</w:t>
      </w:r>
      <w:r w:rsidRPr="0089683D">
        <w:rPr>
          <w:rFonts w:ascii="Palatino Linotype" w:eastAsia="Palatino Linotype" w:hAnsi="Palatino Linotype" w:cs="Palatino Linotype"/>
        </w:rPr>
        <w:t xml:space="preserve"> para presentar el respectivo Recurso de Revisión, transcurrió del</w:t>
      </w:r>
      <w:r w:rsidRPr="0089683D">
        <w:rPr>
          <w:rFonts w:ascii="Palatino Linotype" w:eastAsia="Palatino Linotype" w:hAnsi="Palatino Linotype" w:cs="Palatino Linotype"/>
          <w:b/>
        </w:rPr>
        <w:t xml:space="preserve"> treinta de marzo al veintiséis de abril de dos mil veintidós, </w:t>
      </w:r>
      <w:r w:rsidRPr="0089683D">
        <w:rPr>
          <w:rFonts w:ascii="Palatino Linotype" w:eastAsia="Palatino Linotype" w:hAnsi="Palatino Linotype" w:cs="Palatino Linotype"/>
        </w:rPr>
        <w:t xml:space="preserve">sin contemplar en el cómputo los días dos, tres, nueve, diez, dieciséis, diecisiete, veintitrés y veinticuatro de abril, por corresponder a sábados y domingos, considerados como días inhábiles, en términos del artículo 3, fracción X de la Ley de Transparencia y Acceso a la Información </w:t>
      </w:r>
      <w:r w:rsidRPr="0089683D">
        <w:rPr>
          <w:rFonts w:ascii="Palatino Linotype" w:eastAsia="Palatino Linotype" w:hAnsi="Palatino Linotype" w:cs="Palatino Linotype"/>
        </w:rPr>
        <w:lastRenderedPageBreak/>
        <w:t>Pública del Estado de México y Municipios. Exceptuando además de dicho plazo el periodo del once al quince de abril por ser c</w:t>
      </w:r>
      <w:r w:rsidR="005D147D" w:rsidRPr="0089683D">
        <w:rPr>
          <w:rFonts w:ascii="Palatino Linotype" w:eastAsia="Palatino Linotype" w:hAnsi="Palatino Linotype" w:cs="Palatino Linotype"/>
        </w:rPr>
        <w:t xml:space="preserve">onsiderados como día inhábil </w:t>
      </w:r>
      <w:r w:rsidRPr="0089683D">
        <w:rPr>
          <w:rFonts w:ascii="Palatino Linotype" w:eastAsia="Palatino Linotype" w:hAnsi="Palatino Linotype" w:cs="Palatino Linotype"/>
        </w:rPr>
        <w:t>por periodo vacacional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89683D">
        <w:rPr>
          <w:rFonts w:ascii="Palatino Linotype" w:eastAsia="Palatino Linotype" w:hAnsi="Palatino Linotype" w:cs="Palatino Linotype"/>
          <w:vertAlign w:val="superscript"/>
        </w:rPr>
        <w:footnoteReference w:id="2"/>
      </w:r>
      <w:r w:rsidRPr="0089683D">
        <w:rPr>
          <w:rFonts w:ascii="Palatino Linotype" w:eastAsia="Palatino Linotype" w:hAnsi="Palatino Linotype" w:cs="Palatino Linotype"/>
        </w:rPr>
        <w:t>.</w:t>
      </w:r>
    </w:p>
    <w:p w14:paraId="6DCEA7EC" w14:textId="77777777" w:rsidR="001A0FBC" w:rsidRPr="0089683D" w:rsidRDefault="001A0FBC">
      <w:pPr>
        <w:spacing w:line="360" w:lineRule="auto"/>
        <w:jc w:val="both"/>
        <w:rPr>
          <w:rFonts w:ascii="Palatino Linotype" w:eastAsia="Palatino Linotype" w:hAnsi="Palatino Linotype" w:cs="Palatino Linotype"/>
        </w:rPr>
      </w:pPr>
      <w:bookmarkStart w:id="6" w:name="_heading=h.orkc3o7h9xbv" w:colFirst="0" w:colLast="0"/>
      <w:bookmarkEnd w:id="6"/>
    </w:p>
    <w:p w14:paraId="2C0D04AB" w14:textId="77777777" w:rsidR="001A0FBC" w:rsidRPr="0089683D" w:rsidRDefault="00CC34D1">
      <w:pPr>
        <w:spacing w:line="360" w:lineRule="auto"/>
        <w:ind w:left="-5" w:hanging="10"/>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En ese tenor, se advierte que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presentó el medio de impugnación, el día diecisiete de abril de dos mil veintidós, el cual corresponde a un día inhábil, por lo cual se tuvo por interpuesto al día hábil siguiente, siendo este el día dieciocho de abril de la anualidad, luego entonces su interposición se considera oportuna en términos de lo establecido por el artículo 178, de la Ley de Transparencia y Acceso a la Información Pública del Estado de México y Municipios. </w:t>
      </w:r>
    </w:p>
    <w:p w14:paraId="0A78D862" w14:textId="77777777" w:rsidR="001A0FBC" w:rsidRPr="0089683D" w:rsidRDefault="001A0FBC">
      <w:pPr>
        <w:spacing w:line="360" w:lineRule="auto"/>
        <w:ind w:left="-5" w:hanging="10"/>
        <w:jc w:val="both"/>
        <w:rPr>
          <w:rFonts w:ascii="Palatino Linotype" w:eastAsia="Palatino Linotype" w:hAnsi="Palatino Linotype" w:cs="Palatino Linotype"/>
        </w:rPr>
      </w:pPr>
    </w:p>
    <w:p w14:paraId="5911ED49" w14:textId="77777777" w:rsidR="001A0FBC" w:rsidRPr="0089683D" w:rsidRDefault="00CC34D1">
      <w:pPr>
        <w:spacing w:line="360" w:lineRule="auto"/>
        <w:ind w:right="49"/>
        <w:jc w:val="both"/>
        <w:rPr>
          <w:rFonts w:ascii="Palatino Linotype" w:eastAsia="Palatino Linotype" w:hAnsi="Palatino Linotype" w:cs="Palatino Linotype"/>
          <w:b/>
        </w:rPr>
      </w:pPr>
      <w:r w:rsidRPr="0089683D">
        <w:rPr>
          <w:rFonts w:ascii="Palatino Linotype" w:eastAsia="Palatino Linotype" w:hAnsi="Palatino Linotype" w:cs="Palatino Linotype"/>
          <w:b/>
          <w:sz w:val="28"/>
          <w:szCs w:val="28"/>
        </w:rPr>
        <w:t>CUARTO</w:t>
      </w:r>
      <w:r w:rsidRPr="0089683D">
        <w:rPr>
          <w:rFonts w:ascii="Palatino Linotype" w:eastAsia="Palatino Linotype" w:hAnsi="Palatino Linotype" w:cs="Palatino Linotype"/>
          <w:b/>
        </w:rPr>
        <w:t xml:space="preserve">. Procedibilidad. </w:t>
      </w:r>
    </w:p>
    <w:p w14:paraId="1FC8E083" w14:textId="3E7304FF" w:rsidR="001A0FBC" w:rsidRPr="0089683D" w:rsidRDefault="00CC34D1">
      <w:pPr>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Esta Ponencia considera que, conforme a lo establecido en </w:t>
      </w:r>
      <w:r w:rsidR="0089683D" w:rsidRPr="0089683D">
        <w:rPr>
          <w:rFonts w:ascii="Palatino Linotype" w:eastAsia="Palatino Linotype" w:hAnsi="Palatino Linotype" w:cs="Palatino Linotype"/>
        </w:rPr>
        <w:t>el artículo</w:t>
      </w:r>
      <w:r w:rsidRPr="0089683D">
        <w:rPr>
          <w:rFonts w:ascii="Palatino Linotype" w:eastAsia="Palatino Linotype" w:hAnsi="Palatino Linotype" w:cs="Palatino Linotype"/>
        </w:rPr>
        <w:t xml:space="preserve"> 180, de la Ley de Transparencia y Acceso a la Información Pública del Estado de México y Municipios, el Recurso de Revisión de mérito cumple con los requisitos contemplados en el precepto referido y por tanto es procedente.  </w:t>
      </w:r>
    </w:p>
    <w:p w14:paraId="7859D701" w14:textId="77777777" w:rsidR="001A0FBC" w:rsidRPr="0089683D" w:rsidRDefault="001A0FBC">
      <w:pPr>
        <w:spacing w:line="360" w:lineRule="auto"/>
        <w:jc w:val="both"/>
        <w:rPr>
          <w:rFonts w:ascii="Palatino Linotype" w:eastAsia="Palatino Linotype" w:hAnsi="Palatino Linotype" w:cs="Palatino Linotype"/>
        </w:rPr>
      </w:pPr>
    </w:p>
    <w:p w14:paraId="299A4444" w14:textId="77777777" w:rsidR="001A0FBC" w:rsidRPr="0089683D" w:rsidRDefault="00CC34D1">
      <w:pPr>
        <w:spacing w:line="360" w:lineRule="auto"/>
        <w:jc w:val="both"/>
        <w:rPr>
          <w:rFonts w:ascii="Palatino Linotype" w:eastAsia="Palatino Linotype" w:hAnsi="Palatino Linotype" w:cs="Palatino Linotype"/>
          <w:b/>
        </w:rPr>
      </w:pPr>
      <w:r w:rsidRPr="0089683D">
        <w:rPr>
          <w:rFonts w:ascii="Palatino Linotype" w:eastAsia="Palatino Linotype" w:hAnsi="Palatino Linotype" w:cs="Palatino Linotype"/>
          <w:b/>
          <w:sz w:val="28"/>
          <w:szCs w:val="28"/>
        </w:rPr>
        <w:lastRenderedPageBreak/>
        <w:t>QUINTO</w:t>
      </w:r>
      <w:r w:rsidRPr="0089683D">
        <w:rPr>
          <w:rFonts w:ascii="Palatino Linotype" w:eastAsia="Palatino Linotype" w:hAnsi="Palatino Linotype" w:cs="Palatino Linotype"/>
          <w:b/>
        </w:rPr>
        <w:t xml:space="preserve">. Estudio y resolución del asunto. </w:t>
      </w:r>
    </w:p>
    <w:p w14:paraId="1E39A4C5" w14:textId="77777777" w:rsidR="001A0FBC" w:rsidRPr="0089683D" w:rsidRDefault="00CC34D1">
      <w:pPr>
        <w:tabs>
          <w:tab w:val="left" w:pos="709"/>
        </w:tabs>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En primera instancia es importante precisar que,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solicitó al </w:t>
      </w:r>
      <w:r w:rsidRPr="0089683D">
        <w:rPr>
          <w:rFonts w:ascii="Palatino Linotype" w:eastAsia="Palatino Linotype" w:hAnsi="Palatino Linotype" w:cs="Palatino Linotype"/>
          <w:b/>
        </w:rPr>
        <w:t>SUJETO OBLIGADO</w:t>
      </w:r>
      <w:r w:rsidRPr="0089683D">
        <w:rPr>
          <w:rFonts w:ascii="Palatino Linotype" w:eastAsia="Palatino Linotype" w:hAnsi="Palatino Linotype" w:cs="Palatino Linotype"/>
        </w:rPr>
        <w:t xml:space="preserve"> lo siguiente: </w:t>
      </w:r>
    </w:p>
    <w:p w14:paraId="2472D8A8" w14:textId="7EF4F1FF" w:rsidR="001A0FBC" w:rsidRPr="0089683D" w:rsidRDefault="00CC34D1">
      <w:pPr>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“1. Lineamientos, Manuales y Acuerdos establecidos para el pago del FONDO DE AHORRO periodo 2021-</w:t>
      </w:r>
      <w:r w:rsidR="0089683D" w:rsidRPr="0089683D">
        <w:rPr>
          <w:rFonts w:ascii="Palatino Linotype" w:eastAsia="Palatino Linotype" w:hAnsi="Palatino Linotype" w:cs="Palatino Linotype"/>
          <w:i/>
          <w:sz w:val="22"/>
          <w:szCs w:val="22"/>
        </w:rPr>
        <w:t>2022.</w:t>
      </w:r>
      <w:r w:rsidRPr="0089683D">
        <w:rPr>
          <w:rFonts w:ascii="Palatino Linotype" w:eastAsia="Palatino Linotype" w:hAnsi="Palatino Linotype" w:cs="Palatino Linotype"/>
          <w:i/>
          <w:sz w:val="22"/>
          <w:szCs w:val="22"/>
        </w:rPr>
        <w:t xml:space="preserve"> </w:t>
      </w:r>
    </w:p>
    <w:p w14:paraId="64EE7C9F" w14:textId="77777777" w:rsidR="001A0FBC" w:rsidRPr="0089683D" w:rsidRDefault="001A0FBC">
      <w:pPr>
        <w:ind w:left="850" w:right="899"/>
        <w:jc w:val="both"/>
        <w:rPr>
          <w:rFonts w:ascii="Palatino Linotype" w:eastAsia="Palatino Linotype" w:hAnsi="Palatino Linotype" w:cs="Palatino Linotype"/>
          <w:i/>
          <w:sz w:val="22"/>
          <w:szCs w:val="22"/>
        </w:rPr>
      </w:pPr>
    </w:p>
    <w:p w14:paraId="2C2FC691" w14:textId="77777777" w:rsidR="001A0FBC" w:rsidRPr="0089683D" w:rsidRDefault="00CC34D1">
      <w:pPr>
        <w:ind w:left="850" w:right="899"/>
        <w:jc w:val="both"/>
        <w:rPr>
          <w:rFonts w:ascii="Palatino Linotype" w:eastAsia="Palatino Linotype" w:hAnsi="Palatino Linotype" w:cs="Palatino Linotype"/>
        </w:rPr>
      </w:pPr>
      <w:r w:rsidRPr="0089683D">
        <w:rPr>
          <w:rFonts w:ascii="Palatino Linotype" w:eastAsia="Palatino Linotype" w:hAnsi="Palatino Linotype" w:cs="Palatino Linotype"/>
          <w:i/>
          <w:sz w:val="22"/>
          <w:szCs w:val="22"/>
        </w:rPr>
        <w:t>2. Informe de aportaciones de los participantes, sindicato y aportaciones patronales al fideicomiso periodo 2021-2022 a la fecha de la recepción de la solicitud.” (sic)</w:t>
      </w:r>
    </w:p>
    <w:p w14:paraId="3FE1643E" w14:textId="77777777" w:rsidR="001A0FBC" w:rsidRPr="0089683D" w:rsidRDefault="001A0FBC">
      <w:pPr>
        <w:spacing w:line="360" w:lineRule="auto"/>
        <w:jc w:val="both"/>
        <w:rPr>
          <w:rFonts w:ascii="Palatino Linotype" w:eastAsia="Palatino Linotype" w:hAnsi="Palatino Linotype" w:cs="Palatino Linotype"/>
        </w:rPr>
      </w:pPr>
    </w:p>
    <w:p w14:paraId="44CF87DF" w14:textId="555B3384"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Posteriormente,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dio respuesta a la solicitud de acceso a la información pública adjuntando tres documentos. El primero de ellos de nombre “4189.pdf” el cual contiene la respuesta firmada </w:t>
      </w:r>
      <w:r w:rsidR="0089683D" w:rsidRPr="0089683D">
        <w:rPr>
          <w:rFonts w:ascii="Palatino Linotype" w:eastAsia="Palatino Linotype" w:hAnsi="Palatino Linotype" w:cs="Palatino Linotype"/>
        </w:rPr>
        <w:t>por el Subdirector</w:t>
      </w:r>
      <w:r w:rsidRPr="0089683D">
        <w:rPr>
          <w:rFonts w:ascii="Palatino Linotype" w:eastAsia="Palatino Linotype" w:hAnsi="Palatino Linotype" w:cs="Palatino Linotype"/>
        </w:rPr>
        <w:t xml:space="preserve"> de Recursos Humanos del SUJETO OBLIGADO mediante la cual señala remitir el Manual de Lineamientos para la Operación del Fondo de Ahorro Capitalizable de los Trabajadores al Servicio del Estado. </w:t>
      </w:r>
    </w:p>
    <w:p w14:paraId="689C5EAF" w14:textId="77777777" w:rsidR="001A0FBC" w:rsidRPr="0089683D" w:rsidRDefault="001A0FBC">
      <w:pPr>
        <w:spacing w:line="360" w:lineRule="auto"/>
        <w:jc w:val="both"/>
        <w:rPr>
          <w:rFonts w:ascii="Palatino Linotype" w:eastAsia="Palatino Linotype" w:hAnsi="Palatino Linotype" w:cs="Palatino Linotype"/>
        </w:rPr>
      </w:pPr>
    </w:p>
    <w:p w14:paraId="51E95643"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Así mismo en relación a “Informe de aportaciones de los participantes, sindicato y aportaciones patronales” refiere que son aquellas establecidas en el Capítulo II correspondiente a Recursos del FONAC, puntos 2.1, 2.2 y 2.3 del Manual en comento. </w:t>
      </w:r>
    </w:p>
    <w:p w14:paraId="7F9F1763" w14:textId="77777777" w:rsidR="001A0FBC" w:rsidRPr="0089683D" w:rsidRDefault="001A0FBC">
      <w:pPr>
        <w:spacing w:line="360" w:lineRule="auto"/>
        <w:jc w:val="both"/>
        <w:rPr>
          <w:rFonts w:ascii="Palatino Linotype" w:eastAsia="Palatino Linotype" w:hAnsi="Palatino Linotype" w:cs="Palatino Linotype"/>
        </w:rPr>
      </w:pPr>
    </w:p>
    <w:p w14:paraId="15512302"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El segundo documento de nombre 29032022 Respuesta sol 00158 2022 195 saimex.pdf contiene la respuesta formal emitida por la Jefa de la Unidad de Información, Planeación, Programación y Evaluación. </w:t>
      </w:r>
    </w:p>
    <w:p w14:paraId="64B8C8E2" w14:textId="77777777" w:rsidR="001A0FBC" w:rsidRPr="0089683D" w:rsidRDefault="001A0FBC">
      <w:pPr>
        <w:spacing w:line="360" w:lineRule="auto"/>
        <w:jc w:val="both"/>
        <w:rPr>
          <w:rFonts w:ascii="Palatino Linotype" w:eastAsia="Palatino Linotype" w:hAnsi="Palatino Linotype" w:cs="Palatino Linotype"/>
        </w:rPr>
      </w:pPr>
    </w:p>
    <w:p w14:paraId="1FFF790B"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Y el tercer archivo denominado Manual Lineamientos FONAC.pdf, que como su nombre lo indica contiene el Manual de Lineamientos para la Operación del Fondo de Ahorro Capitalizable de los Trabajadores al Servicio del Estado. </w:t>
      </w:r>
    </w:p>
    <w:p w14:paraId="26D366E6" w14:textId="77777777" w:rsidR="001A0FBC" w:rsidRPr="0089683D" w:rsidRDefault="001A0FBC">
      <w:pPr>
        <w:spacing w:line="360" w:lineRule="auto"/>
        <w:jc w:val="both"/>
        <w:rPr>
          <w:rFonts w:ascii="Palatino Linotype" w:eastAsia="Palatino Linotype" w:hAnsi="Palatino Linotype" w:cs="Palatino Linotype"/>
        </w:rPr>
      </w:pPr>
    </w:p>
    <w:p w14:paraId="171F5F79" w14:textId="77777777"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No conforme con la respuesta el particular </w:t>
      </w:r>
      <w:r w:rsidR="003842EE" w:rsidRPr="0089683D">
        <w:rPr>
          <w:rFonts w:ascii="Palatino Linotype" w:eastAsia="Palatino Linotype" w:hAnsi="Palatino Linotype" w:cs="Palatino Linotype"/>
        </w:rPr>
        <w:t>interpuso</w:t>
      </w:r>
      <w:r w:rsidRPr="0089683D">
        <w:rPr>
          <w:rFonts w:ascii="Palatino Linotype" w:eastAsia="Palatino Linotype" w:hAnsi="Palatino Linotype" w:cs="Palatino Linotype"/>
        </w:rPr>
        <w:t xml:space="preserve"> el presente Recurso de Revisión, señalando en su acto impugnado lo </w:t>
      </w:r>
      <w:r w:rsidR="003842EE" w:rsidRPr="0089683D">
        <w:rPr>
          <w:rFonts w:ascii="Palatino Linotype" w:eastAsia="Palatino Linotype" w:hAnsi="Palatino Linotype" w:cs="Palatino Linotype"/>
        </w:rPr>
        <w:t>siguiente</w:t>
      </w:r>
      <w:r w:rsidRPr="0089683D">
        <w:rPr>
          <w:rFonts w:ascii="Palatino Linotype" w:eastAsia="Palatino Linotype" w:hAnsi="Palatino Linotype" w:cs="Palatino Linotype"/>
        </w:rPr>
        <w:t xml:space="preserve">: </w:t>
      </w:r>
    </w:p>
    <w:p w14:paraId="299E573C" w14:textId="77777777" w:rsidR="001A0FBC" w:rsidRPr="0089683D" w:rsidRDefault="00CC34D1">
      <w:pPr>
        <w:tabs>
          <w:tab w:val="left" w:pos="70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“1. El instituto maneja la información en relación al FIDEICOMISO denominado FONDO ESTATAL DE AHORRO CAPITALIZABLE de los Trabajadores con plaza ESTATAL, el cual realiza la retención a sus trabajadores por el CONCEPTO 21 del talón de pago por lo tanto de conformidad con los artículos 3 fracción XIX y XXX y de los Artículos 146 al 166 de la ley de transparencia , que en síntesis prevén que información son los datos contenidos en los documentos que los sujetos obligados generan, obtienen, adquieren, transforman o conservan por cualquier titulo, o aquella que por disposición legal deban generar. De igual manera solicito me sea entregado el informe del pago del Fondo Estatal de ahorro CAPITALIZABLE del periodo 2020-2021, numero de participantes, informe de las aportaciones de cada componente ( trabajador, patrón, sindicato y rendimiento)” (Sic)</w:t>
      </w:r>
    </w:p>
    <w:p w14:paraId="3A856E11"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2BDC50C7" w14:textId="6E7EC8CA"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De las manifestaciones vertidas por</w:t>
      </w:r>
      <w:r w:rsidRPr="0089683D">
        <w:rPr>
          <w:rFonts w:ascii="Palatino Linotype" w:eastAsia="Palatino Linotype" w:hAnsi="Palatino Linotype" w:cs="Palatino Linotype"/>
          <w:b/>
        </w:rPr>
        <w:t xml:space="preserve"> EL RECURRENTE</w:t>
      </w:r>
      <w:r w:rsidRPr="0089683D">
        <w:rPr>
          <w:rFonts w:ascii="Palatino Linotype" w:eastAsia="Palatino Linotype" w:hAnsi="Palatino Linotype" w:cs="Palatino Linotype"/>
        </w:rPr>
        <w:t xml:space="preserve"> se puede advertir que no está conforme con la respuesta otorgada, ya que la misma no corresponde con lo solicitado, lo que, en </w:t>
      </w:r>
      <w:r w:rsidR="0089683D" w:rsidRPr="0089683D">
        <w:rPr>
          <w:rFonts w:ascii="Palatino Linotype" w:eastAsia="Palatino Linotype" w:hAnsi="Palatino Linotype" w:cs="Palatino Linotype"/>
        </w:rPr>
        <w:t>consecuencia,</w:t>
      </w:r>
      <w:r w:rsidRPr="0089683D">
        <w:rPr>
          <w:rFonts w:ascii="Palatino Linotype" w:eastAsia="Palatino Linotype" w:hAnsi="Palatino Linotype" w:cs="Palatino Linotype"/>
        </w:rPr>
        <w:t xml:space="preserve"> actualiza uno de los supuestos de procedencia establecidos por el artículo </w:t>
      </w:r>
      <w:r w:rsidR="0089683D" w:rsidRPr="0089683D">
        <w:rPr>
          <w:rFonts w:ascii="Palatino Linotype" w:eastAsia="Palatino Linotype" w:hAnsi="Palatino Linotype" w:cs="Palatino Linotype"/>
        </w:rPr>
        <w:t>179 fracción</w:t>
      </w:r>
      <w:r w:rsidRPr="0089683D">
        <w:rPr>
          <w:rFonts w:ascii="Palatino Linotype" w:eastAsia="Palatino Linotype" w:hAnsi="Palatino Linotype" w:cs="Palatino Linotype"/>
        </w:rPr>
        <w:t xml:space="preserve"> VI de la Ley de Transparencia y Acceso a la Información Pública del Estado de México y Municipios que señala: </w:t>
      </w:r>
    </w:p>
    <w:p w14:paraId="3E13AA86" w14:textId="77777777" w:rsidR="001A0FBC" w:rsidRPr="0089683D" w:rsidRDefault="00CC34D1">
      <w:pPr>
        <w:widowControl w:val="0"/>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b/>
          <w:i/>
          <w:sz w:val="22"/>
          <w:szCs w:val="22"/>
        </w:rPr>
        <w:t>“Artículo 179.</w:t>
      </w:r>
      <w:r w:rsidRPr="0089683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381B46B" w14:textId="77777777" w:rsidR="001A0FBC" w:rsidRPr="0089683D" w:rsidRDefault="001A0FBC">
      <w:pPr>
        <w:widowControl w:val="0"/>
        <w:ind w:left="850" w:right="899"/>
        <w:jc w:val="both"/>
        <w:rPr>
          <w:rFonts w:ascii="Palatino Linotype" w:eastAsia="Palatino Linotype" w:hAnsi="Palatino Linotype" w:cs="Palatino Linotype"/>
          <w:i/>
          <w:sz w:val="22"/>
          <w:szCs w:val="22"/>
        </w:rPr>
      </w:pPr>
    </w:p>
    <w:p w14:paraId="71F32943" w14:textId="77777777" w:rsidR="001A0FBC" w:rsidRPr="0089683D" w:rsidRDefault="00CC34D1">
      <w:pPr>
        <w:widowControl w:val="0"/>
        <w:ind w:left="850" w:right="899"/>
        <w:jc w:val="both"/>
        <w:rPr>
          <w:rFonts w:ascii="Palatino Linotype" w:eastAsia="Palatino Linotype" w:hAnsi="Palatino Linotype" w:cs="Palatino Linotype"/>
          <w:b/>
          <w:i/>
          <w:sz w:val="22"/>
          <w:szCs w:val="22"/>
        </w:rPr>
      </w:pPr>
      <w:r w:rsidRPr="0089683D">
        <w:rPr>
          <w:rFonts w:ascii="Palatino Linotype" w:eastAsia="Palatino Linotype" w:hAnsi="Palatino Linotype" w:cs="Palatino Linotype"/>
          <w:b/>
          <w:i/>
          <w:sz w:val="22"/>
          <w:szCs w:val="22"/>
        </w:rPr>
        <w:t>VI. La entrega de información que no corresponda con lo solicitado;”</w:t>
      </w:r>
    </w:p>
    <w:p w14:paraId="1882D89E" w14:textId="77777777" w:rsidR="001A0FBC" w:rsidRPr="0089683D" w:rsidRDefault="00CC34D1">
      <w:pPr>
        <w:widowControl w:val="0"/>
        <w:ind w:left="850" w:right="899"/>
        <w:jc w:val="both"/>
        <w:rPr>
          <w:rFonts w:ascii="Palatino Linotype" w:eastAsia="Palatino Linotype" w:hAnsi="Palatino Linotype" w:cs="Palatino Linotype"/>
          <w:b/>
          <w:i/>
          <w:sz w:val="22"/>
          <w:szCs w:val="22"/>
        </w:rPr>
      </w:pPr>
      <w:r w:rsidRPr="0089683D">
        <w:rPr>
          <w:rFonts w:ascii="Palatino Linotype" w:eastAsia="Palatino Linotype" w:hAnsi="Palatino Linotype" w:cs="Palatino Linotype"/>
          <w:b/>
          <w:i/>
          <w:sz w:val="22"/>
          <w:szCs w:val="22"/>
        </w:rPr>
        <w:t>(énfasis añadido)</w:t>
      </w:r>
    </w:p>
    <w:p w14:paraId="5F098D56" w14:textId="77777777"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Luego entonces, resulta procedente analizar las constancias que integran el expediente electrónico del SAIMEX para determinar si con la información aportada por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se puede tener por atendido el derecho de Acceso a la Información pública del </w:t>
      </w:r>
      <w:r w:rsidR="003842EE" w:rsidRPr="0089683D">
        <w:rPr>
          <w:rFonts w:ascii="Palatino Linotype" w:eastAsia="Palatino Linotype" w:hAnsi="Palatino Linotype" w:cs="Palatino Linotype"/>
        </w:rPr>
        <w:t xml:space="preserve">particular. </w:t>
      </w:r>
    </w:p>
    <w:p w14:paraId="0C800D2A"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4E5CAAB0" w14:textId="601BAD74" w:rsidR="001A0FBC" w:rsidRDefault="00CC34D1" w:rsidP="00430697">
      <w:pPr>
        <w:tabs>
          <w:tab w:val="left" w:pos="709"/>
        </w:tabs>
        <w:spacing w:line="360" w:lineRule="auto"/>
        <w:ind w:right="49"/>
        <w:jc w:val="both"/>
        <w:rPr>
          <w:rFonts w:ascii="Palatino Linotype" w:eastAsia="Palatino Linotype" w:hAnsi="Palatino Linotype" w:cs="Palatino Linotype"/>
          <w:i/>
        </w:rPr>
      </w:pPr>
      <w:r w:rsidRPr="0089683D">
        <w:rPr>
          <w:rFonts w:ascii="Palatino Linotype" w:eastAsia="Palatino Linotype" w:hAnsi="Palatino Linotype" w:cs="Palatino Linotype"/>
        </w:rPr>
        <w:t xml:space="preserve">En tal sentido, es importante referir que de las manifestaciones vertidas por el particular, existen elementos que no forman parte de la solicitud primigenia, como es el caso de </w:t>
      </w:r>
      <w:r w:rsidRPr="0089683D">
        <w:rPr>
          <w:rFonts w:ascii="Palatino Linotype" w:eastAsia="Palatino Linotype" w:hAnsi="Palatino Linotype" w:cs="Palatino Linotype"/>
          <w:sz w:val="26"/>
          <w:szCs w:val="26"/>
        </w:rPr>
        <w:t>“</w:t>
      </w:r>
      <w:r w:rsidRPr="0089683D">
        <w:rPr>
          <w:rFonts w:ascii="Palatino Linotype" w:eastAsia="Palatino Linotype" w:hAnsi="Palatino Linotype" w:cs="Palatino Linotype"/>
          <w:i/>
        </w:rPr>
        <w:t xml:space="preserve">informe del pago del Fondo Estatal de ahorro CAPITALIZABLE del periodo 2020-2021, </w:t>
      </w:r>
      <w:r w:rsidR="00AC079D" w:rsidRPr="0089683D">
        <w:rPr>
          <w:rFonts w:ascii="Palatino Linotype" w:eastAsia="Palatino Linotype" w:hAnsi="Palatino Linotype" w:cs="Palatino Linotype"/>
          <w:i/>
        </w:rPr>
        <w:t>número</w:t>
      </w:r>
      <w:r w:rsidRPr="0089683D">
        <w:rPr>
          <w:rFonts w:ascii="Palatino Linotype" w:eastAsia="Palatino Linotype" w:hAnsi="Palatino Linotype" w:cs="Palatino Linotype"/>
          <w:i/>
        </w:rPr>
        <w:t xml:space="preserve"> de participantes”</w:t>
      </w:r>
      <w:r w:rsidRPr="0089683D">
        <w:rPr>
          <w:rFonts w:ascii="Palatino Linotype" w:eastAsia="Palatino Linotype" w:hAnsi="Palatino Linotype" w:cs="Palatino Linotype"/>
          <w:sz w:val="26"/>
          <w:szCs w:val="26"/>
        </w:rPr>
        <w:t xml:space="preserve"> </w:t>
      </w:r>
      <w:r w:rsidRPr="0089683D">
        <w:rPr>
          <w:rFonts w:ascii="Palatino Linotype" w:eastAsia="Palatino Linotype" w:hAnsi="Palatino Linotype" w:cs="Palatino Linotype"/>
        </w:rPr>
        <w:t xml:space="preserve">ya que en su solicitud inicial </w:t>
      </w:r>
      <w:r w:rsidR="00AC079D" w:rsidRPr="0089683D">
        <w:rPr>
          <w:rFonts w:ascii="Palatino Linotype" w:eastAsia="Palatino Linotype" w:hAnsi="Palatino Linotype" w:cs="Palatino Linotype"/>
        </w:rPr>
        <w:t>únicamente</w:t>
      </w:r>
      <w:r w:rsidRPr="0089683D">
        <w:rPr>
          <w:rFonts w:ascii="Palatino Linotype" w:eastAsia="Palatino Linotype" w:hAnsi="Palatino Linotype" w:cs="Palatino Linotype"/>
        </w:rPr>
        <w:t xml:space="preserve"> hace referencia a </w:t>
      </w:r>
      <w:r w:rsidRPr="0089683D">
        <w:rPr>
          <w:rFonts w:ascii="Palatino Linotype" w:eastAsia="Palatino Linotype" w:hAnsi="Palatino Linotype" w:cs="Palatino Linotype"/>
          <w:i/>
        </w:rPr>
        <w:t xml:space="preserve">“Lineamientos, Manuales y Acuerdos establecidos para el pago del FONDO DE AHORRO periodo 2021-2022” </w:t>
      </w:r>
      <w:r w:rsidRPr="0089683D">
        <w:rPr>
          <w:rFonts w:ascii="Palatino Linotype" w:eastAsia="Palatino Linotype" w:hAnsi="Palatino Linotype" w:cs="Palatino Linotype"/>
        </w:rPr>
        <w:t xml:space="preserve">así como </w:t>
      </w:r>
      <w:r w:rsidRPr="0089683D">
        <w:rPr>
          <w:rFonts w:ascii="Palatino Linotype" w:eastAsia="Palatino Linotype" w:hAnsi="Palatino Linotype" w:cs="Palatino Linotype"/>
          <w:i/>
        </w:rPr>
        <w:t>“Informe de aportaciones de los participantes, sindicato y aportaciones patronales al fideicomiso periodo 2021-2022 a la fecha de la recepción de la solicitud.”</w:t>
      </w:r>
    </w:p>
    <w:p w14:paraId="20DA1F3F" w14:textId="77777777" w:rsidR="00430697" w:rsidRPr="00430697" w:rsidRDefault="00430697" w:rsidP="00430697">
      <w:pPr>
        <w:tabs>
          <w:tab w:val="left" w:pos="709"/>
        </w:tabs>
        <w:spacing w:line="360" w:lineRule="auto"/>
        <w:ind w:right="49"/>
        <w:jc w:val="both"/>
        <w:rPr>
          <w:rFonts w:ascii="Palatino Linotype" w:eastAsia="Palatino Linotype" w:hAnsi="Palatino Linotype" w:cs="Palatino Linotype"/>
          <w:i/>
        </w:rPr>
      </w:pPr>
    </w:p>
    <w:p w14:paraId="540CF076" w14:textId="77777777" w:rsidR="001A0FBC" w:rsidRPr="0089683D" w:rsidRDefault="00CC34D1">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es así que cada normatividad contiene sus disposiciones referentes a las formalidades que deberán observarse y dentro de estas, se encuentran lo momentos procesales oportunos para cada actuación. </w:t>
      </w:r>
    </w:p>
    <w:p w14:paraId="0F71C67F" w14:textId="77777777" w:rsidR="001A0FBC" w:rsidRPr="0089683D" w:rsidRDefault="00CC34D1">
      <w:pPr>
        <w:widowControl w:val="0"/>
        <w:tabs>
          <w:tab w:val="left" w:pos="1701"/>
          <w:tab w:val="left" w:pos="1843"/>
        </w:tabs>
        <w:spacing w:after="200" w:line="360" w:lineRule="auto"/>
        <w:ind w:right="-518"/>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Es por ello, que estas solicitudes, deben considerarse como </w:t>
      </w:r>
      <w:r w:rsidRPr="0089683D">
        <w:rPr>
          <w:rFonts w:ascii="Palatino Linotype" w:eastAsia="Palatino Linotype" w:hAnsi="Palatino Linotype" w:cs="Palatino Linotype"/>
          <w:b/>
        </w:rPr>
        <w:t>inoperantes,</w:t>
      </w:r>
      <w:r w:rsidRPr="0089683D">
        <w:rPr>
          <w:rFonts w:ascii="Palatino Linotype" w:eastAsia="Palatino Linotype" w:hAnsi="Palatino Linotype" w:cs="Palatino Linotype"/>
        </w:rPr>
        <w:t xml:space="preserve"> al tratarse de una petición adicional o </w:t>
      </w:r>
      <w:r w:rsidRPr="0089683D">
        <w:rPr>
          <w:rFonts w:ascii="Palatino Linotype" w:eastAsia="Palatino Linotype" w:hAnsi="Palatino Linotype" w:cs="Palatino Linotype"/>
          <w:i/>
        </w:rPr>
        <w:t>plus petitio</w:t>
      </w:r>
      <w:r w:rsidRPr="0089683D">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14:paraId="1AD8B1A2" w14:textId="77777777" w:rsidR="001A0FBC" w:rsidRPr="0089683D" w:rsidRDefault="00CC34D1">
      <w:pPr>
        <w:widowControl w:val="0"/>
        <w:spacing w:before="120" w:after="200"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14:paraId="06234FDF" w14:textId="77777777" w:rsidR="001A0FBC" w:rsidRPr="0089683D" w:rsidRDefault="00CC34D1">
      <w:pPr>
        <w:widowControl w:val="0"/>
        <w:spacing w:before="120" w:after="200"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14:paraId="13BBE473" w14:textId="77777777" w:rsidR="001A0FBC" w:rsidRPr="0089683D" w:rsidRDefault="00CC34D1">
      <w:pPr>
        <w:widowControl w:val="0"/>
        <w:spacing w:before="120" w:after="120"/>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89683D">
        <w:rPr>
          <w:rFonts w:ascii="Palatino Linotype" w:eastAsia="Palatino Linotype" w:hAnsi="Palatino Linotype" w:cs="Palatino Linotype"/>
          <w:i/>
          <w:sz w:val="22"/>
          <w:szCs w:val="22"/>
        </w:rPr>
        <w:t xml:space="preserve">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2A37B95D" w14:textId="77777777" w:rsidR="00AC079D" w:rsidRPr="0089683D" w:rsidRDefault="00AC079D">
      <w:pPr>
        <w:widowControl w:val="0"/>
        <w:spacing w:before="120" w:after="120" w:line="360" w:lineRule="auto"/>
        <w:jc w:val="both"/>
        <w:rPr>
          <w:rFonts w:ascii="Palatino Linotype" w:eastAsia="Palatino Linotype" w:hAnsi="Palatino Linotype" w:cs="Palatino Linotype"/>
        </w:rPr>
      </w:pPr>
    </w:p>
    <w:p w14:paraId="36CEF75B" w14:textId="77777777" w:rsidR="001A0FBC" w:rsidRPr="0089683D" w:rsidRDefault="00CC34D1">
      <w:pPr>
        <w:widowControl w:val="0"/>
        <w:spacing w:before="120" w:after="120"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w:t>
      </w:r>
      <w:r w:rsidRPr="0089683D">
        <w:rPr>
          <w:rFonts w:ascii="Palatino Linotype" w:eastAsia="Palatino Linotype" w:hAnsi="Palatino Linotype" w:cs="Palatino Linotype"/>
        </w:rPr>
        <w:lastRenderedPageBreak/>
        <w:t xml:space="preserve">busquen ampliar la misma no podrán ser materia del recurso que se resuelva; No obstante, los recurrentes podrán ejercer su derecho a realizar una nueva solicitud, en los términos establecidos por la ley de la materia. </w:t>
      </w:r>
    </w:p>
    <w:p w14:paraId="3CF43E58" w14:textId="77777777" w:rsidR="001A0FBC" w:rsidRPr="0089683D" w:rsidRDefault="001A0FBC">
      <w:pPr>
        <w:widowControl w:val="0"/>
        <w:spacing w:before="120" w:after="120" w:line="360" w:lineRule="auto"/>
        <w:jc w:val="both"/>
        <w:rPr>
          <w:rFonts w:ascii="Palatino Linotype" w:eastAsia="Palatino Linotype" w:hAnsi="Palatino Linotype" w:cs="Palatino Linotype"/>
        </w:rPr>
      </w:pPr>
    </w:p>
    <w:p w14:paraId="0108791C" w14:textId="77777777" w:rsidR="001A0FBC" w:rsidRPr="0089683D" w:rsidRDefault="00CC34D1">
      <w:pPr>
        <w:widowControl w:val="0"/>
        <w:spacing w:before="120" w:after="120"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Así también, sirve de apoyo por analogía la siguiente tesis jurisprudencial número VI. 2º. A. J/7, publicada en el Semanario Judicial de la Federación y su gaceta, bajo el número de registro 178,788:</w:t>
      </w:r>
    </w:p>
    <w:p w14:paraId="3D1AD10F" w14:textId="77777777" w:rsidR="001A0FBC" w:rsidRPr="0089683D" w:rsidRDefault="00CC34D1">
      <w:pPr>
        <w:spacing w:before="120" w:after="120" w:line="276" w:lineRule="auto"/>
        <w:ind w:left="709" w:right="70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sz w:val="22"/>
          <w:szCs w:val="22"/>
        </w:rPr>
        <w:t>“</w:t>
      </w:r>
      <w:r w:rsidRPr="0089683D">
        <w:rPr>
          <w:rFonts w:ascii="Palatino Linotype" w:eastAsia="Palatino Linotype" w:hAnsi="Palatino Linotype" w:cs="Palatino Linotype"/>
          <w:i/>
          <w:sz w:val="22"/>
          <w:szCs w:val="22"/>
        </w:rPr>
        <w:t xml:space="preserve">CONCEPTOS DE VIOLACIÓN EN EL AMPARO DIRECTO. </w:t>
      </w:r>
      <w:r w:rsidRPr="0089683D">
        <w:rPr>
          <w:rFonts w:ascii="Palatino Linotype" w:eastAsia="Palatino Linotype" w:hAnsi="Palatino Linotype" w:cs="Palatino Linotype"/>
          <w:b/>
          <w:i/>
          <w:sz w:val="22"/>
          <w:szCs w:val="22"/>
        </w:rPr>
        <w:t>INOPERANCIA DE LOS QUE INTRODUCEN CUESTIONAMIENTOS NOVEDOSOS QUE NO FUERON PLANTEADOS EN EL JUICIO NATURAL</w:t>
      </w:r>
      <w:r w:rsidRPr="0089683D">
        <w:rPr>
          <w:rFonts w:ascii="Palatino Linotype" w:eastAsia="Palatino Linotype" w:hAnsi="Palatino Linotype" w:cs="Palatino Linotype"/>
          <w:i/>
          <w:sz w:val="22"/>
          <w:szCs w:val="22"/>
        </w:rPr>
        <w:t xml:space="preserve">. </w:t>
      </w:r>
      <w:r w:rsidRPr="0089683D">
        <w:rPr>
          <w:rFonts w:ascii="Palatino Linotype" w:eastAsia="Palatino Linotype" w:hAnsi="Palatino Linotype" w:cs="Palatino Linotype"/>
          <w:b/>
          <w:i/>
          <w:sz w:val="22"/>
          <w:szCs w:val="22"/>
        </w:rPr>
        <w:t>Si en los conceptos de violación se formulan argumentos que no se plantearon</w:t>
      </w:r>
      <w:r w:rsidRPr="0089683D">
        <w:rPr>
          <w:rFonts w:ascii="Palatino Linotype" w:eastAsia="Palatino Linotype" w:hAnsi="Palatino Linotype" w:cs="Palatino Linotype"/>
          <w:i/>
          <w:sz w:val="22"/>
          <w:szCs w:val="22"/>
        </w:rPr>
        <w:t xml:space="preserve"> ante la Sala Fiscal que dictó la sentencia que constituye el acto reclamado, </w:t>
      </w:r>
      <w:r w:rsidRPr="0089683D">
        <w:rPr>
          <w:rFonts w:ascii="Palatino Linotype" w:eastAsia="Palatino Linotype" w:hAnsi="Palatino Linotype" w:cs="Palatino Linotype"/>
          <w:b/>
          <w:i/>
          <w:sz w:val="22"/>
          <w:szCs w:val="22"/>
        </w:rPr>
        <w:t xml:space="preserve">los mismos son </w:t>
      </w:r>
      <w:r w:rsidRPr="0089683D">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89683D">
        <w:rPr>
          <w:rFonts w:ascii="Palatino Linotype" w:eastAsia="Palatino Linotype" w:hAnsi="Palatino Linotype" w:cs="Palatino Linotype"/>
          <w:b/>
          <w:i/>
          <w:sz w:val="22"/>
          <w:szCs w:val="22"/>
        </w:rPr>
        <w:t>a la luz de razonamientos que no conoció la autoridad responsable</w:t>
      </w:r>
      <w:r w:rsidRPr="0089683D">
        <w:rPr>
          <w:rFonts w:ascii="Palatino Linotype" w:eastAsia="Palatino Linotype" w:hAnsi="Palatino Linotype" w:cs="Palatino Linotype"/>
          <w:i/>
          <w:sz w:val="22"/>
          <w:szCs w:val="22"/>
        </w:rPr>
        <w:t xml:space="preserve">, </w:t>
      </w:r>
      <w:r w:rsidRPr="0089683D">
        <w:rPr>
          <w:rFonts w:ascii="Palatino Linotype" w:eastAsia="Palatino Linotype" w:hAnsi="Palatino Linotype" w:cs="Palatino Linotype"/>
          <w:b/>
          <w:i/>
          <w:sz w:val="22"/>
          <w:szCs w:val="22"/>
        </w:rPr>
        <w:t>pues como tales manifestaciones no formaron parte de la litis natural</w:t>
      </w:r>
      <w:r w:rsidRPr="0089683D">
        <w:rPr>
          <w:rFonts w:ascii="Palatino Linotype" w:eastAsia="Palatino Linotype" w:hAnsi="Palatino Linotype" w:cs="Palatino Linotype"/>
          <w:i/>
          <w:sz w:val="22"/>
          <w:szCs w:val="22"/>
        </w:rPr>
        <w:t xml:space="preserve">, la Sala </w:t>
      </w:r>
      <w:r w:rsidRPr="0089683D">
        <w:rPr>
          <w:rFonts w:ascii="Palatino Linotype" w:eastAsia="Palatino Linotype" w:hAnsi="Palatino Linotype" w:cs="Palatino Linotype"/>
          <w:b/>
          <w:i/>
          <w:sz w:val="22"/>
          <w:szCs w:val="22"/>
        </w:rPr>
        <w:t>no tuvo la oportunidad legal de analizarlas ni de pronunciarse sobre ellas</w:t>
      </w:r>
      <w:r w:rsidRPr="0089683D">
        <w:rPr>
          <w:rFonts w:ascii="Palatino Linotype" w:eastAsia="Palatino Linotype" w:hAnsi="Palatino Linotype" w:cs="Palatino Linotype"/>
          <w:i/>
          <w:sz w:val="22"/>
          <w:szCs w:val="22"/>
        </w:rPr>
        <w:t>.</w:t>
      </w:r>
    </w:p>
    <w:p w14:paraId="48D2F488" w14:textId="77777777" w:rsidR="001A0FBC" w:rsidRPr="0089683D" w:rsidRDefault="00CC34D1">
      <w:pPr>
        <w:spacing w:before="120" w:after="120" w:line="276" w:lineRule="auto"/>
        <w:ind w:left="709" w:right="49"/>
        <w:jc w:val="both"/>
        <w:rPr>
          <w:rFonts w:ascii="Palatino Linotype" w:eastAsia="Palatino Linotype" w:hAnsi="Palatino Linotype" w:cs="Palatino Linotype"/>
          <w:sz w:val="22"/>
          <w:szCs w:val="22"/>
        </w:rPr>
      </w:pPr>
      <w:r w:rsidRPr="0089683D">
        <w:rPr>
          <w:rFonts w:ascii="Palatino Linotype" w:eastAsia="Palatino Linotype" w:hAnsi="Palatino Linotype" w:cs="Palatino Linotype"/>
          <w:sz w:val="22"/>
          <w:szCs w:val="22"/>
        </w:rPr>
        <w:t xml:space="preserve"> (Énfasis añadido)</w:t>
      </w:r>
    </w:p>
    <w:p w14:paraId="5FFBE0AB" w14:textId="77777777" w:rsidR="001A0FBC" w:rsidRPr="0089683D" w:rsidRDefault="00CC34D1">
      <w:pPr>
        <w:spacing w:before="280" w:after="280"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Los criterios antes citados aplican al caso en concreto ya que de las manifestaciones vertidas por </w:t>
      </w:r>
      <w:r w:rsidRPr="0089683D">
        <w:rPr>
          <w:rFonts w:ascii="Palatino Linotype" w:eastAsia="Palatino Linotype" w:hAnsi="Palatino Linotype" w:cs="Palatino Linotype"/>
          <w:b/>
        </w:rPr>
        <w:t>EL</w:t>
      </w:r>
      <w:r w:rsidRPr="0089683D">
        <w:rPr>
          <w:rFonts w:ascii="Palatino Linotype" w:eastAsia="Palatino Linotype" w:hAnsi="Palatino Linotype" w:cs="Palatino Linotype"/>
        </w:rPr>
        <w:t xml:space="preserve"> </w:t>
      </w:r>
      <w:r w:rsidRPr="0089683D">
        <w:rPr>
          <w:rFonts w:ascii="Palatino Linotype" w:eastAsia="Palatino Linotype" w:hAnsi="Palatino Linotype" w:cs="Palatino Linotype"/>
          <w:b/>
        </w:rPr>
        <w:t>RECURRENTE</w:t>
      </w:r>
      <w:r w:rsidRPr="0089683D">
        <w:rPr>
          <w:rFonts w:ascii="Palatino Linotype" w:eastAsia="Palatino Linotype" w:hAnsi="Palatino Linotype" w:cs="Palatino Linotype"/>
        </w:rPr>
        <w:t xml:space="preserve"> en su impugnación de la respuesta que dio el </w:t>
      </w:r>
      <w:r w:rsidRPr="0089683D">
        <w:rPr>
          <w:rFonts w:ascii="Palatino Linotype" w:eastAsia="Palatino Linotype" w:hAnsi="Palatino Linotype" w:cs="Palatino Linotype"/>
          <w:b/>
        </w:rPr>
        <w:t>SUJETO OBLIGADO</w:t>
      </w:r>
      <w:r w:rsidRPr="0089683D">
        <w:rPr>
          <w:rFonts w:ascii="Palatino Linotype" w:eastAsia="Palatino Linotype" w:hAnsi="Palatino Linotype" w:cs="Palatino Linotype"/>
        </w:rPr>
        <w:t xml:space="preserve"> se aprecia información que al ser novedosa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no puede pronunciarse sobre ellos y este Órgano Garante no puede calificar la dicha respuesta, únicamente puede pronunciarse sobre la respuesta original emitida con motivo de las peticiones hechas en la solicitud primigenia. </w:t>
      </w:r>
    </w:p>
    <w:p w14:paraId="5CE6E31A"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No obstante, a efecto de salvaguardar el derecho constitucional de acceso a la información del </w:t>
      </w:r>
      <w:r w:rsidRPr="0089683D">
        <w:rPr>
          <w:rFonts w:ascii="Palatino Linotype" w:eastAsia="Palatino Linotype" w:hAnsi="Palatino Linotype" w:cs="Palatino Linotype"/>
          <w:b/>
        </w:rPr>
        <w:t>RECURRENTE</w:t>
      </w:r>
      <w:r w:rsidRPr="0089683D">
        <w:rPr>
          <w:rFonts w:ascii="Palatino Linotype" w:eastAsia="Palatino Linotype" w:hAnsi="Palatino Linotype" w:cs="Palatino Linotype"/>
        </w:rPr>
        <w:t xml:space="preserve">, quedan a salvo sus derechos para que formule una nueva solicitud si así lo considera pertinente. </w:t>
      </w:r>
    </w:p>
    <w:p w14:paraId="20A33443"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3018C3AF"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Una vez hecha la precisión anterior, se tiene que la solicitud del particular consta de dos elementos en relación a un fondo de ahorro requiriendo: </w:t>
      </w:r>
    </w:p>
    <w:p w14:paraId="4117E625" w14:textId="77777777" w:rsidR="001A0FBC" w:rsidRPr="0089683D" w:rsidRDefault="00CC34D1">
      <w:pPr>
        <w:numPr>
          <w:ilvl w:val="0"/>
          <w:numId w:val="1"/>
        </w:num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Lineamientos, Manuales y Acuerdos para el pago del Fondo en el periodo del primero de enero de dos mil veintiuno al siete de marzo de dos mil veintidós. </w:t>
      </w:r>
    </w:p>
    <w:p w14:paraId="4CE4DD8D" w14:textId="77777777" w:rsidR="001A0FBC" w:rsidRPr="0089683D" w:rsidRDefault="00CC34D1">
      <w:pPr>
        <w:numPr>
          <w:ilvl w:val="0"/>
          <w:numId w:val="1"/>
        </w:num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Informe de las aportaciones de los participantes, sindicato y aportación patronal al Fondo del primero de enero de dos mil veintiuno al siete de marzo de dos mil veintidós.  </w:t>
      </w:r>
    </w:p>
    <w:p w14:paraId="03144856"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3C27C41D"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En relación al primer punto de la solicitud el ente recurrido refirió mediante el Director de Administración que de acuerdo a los archivos que obran en la dirección a su cargo, se infiere que el particular desea conocer información con respecto del Fondo de Ahorro Capitalizable de los Trabajadores al Servicio del Estado (FONAC), por lo cual remite el Manual de Lineamientos para la Operación del Fondo de Ahorro Capitalizable de los Trabajadores al Servicio del Estado emitido por la Secretaría de Hacienda Pública. Tal y como se aprecia de la captura que se inserta a continuación: </w:t>
      </w:r>
    </w:p>
    <w:p w14:paraId="5C9B6134" w14:textId="77777777" w:rsidR="001A0FBC" w:rsidRPr="0089683D" w:rsidRDefault="00CC34D1">
      <w:pPr>
        <w:tabs>
          <w:tab w:val="left" w:pos="8789"/>
        </w:tabs>
        <w:spacing w:line="360" w:lineRule="auto"/>
        <w:ind w:right="49"/>
        <w:jc w:val="center"/>
        <w:rPr>
          <w:rFonts w:ascii="Palatino Linotype" w:eastAsia="Palatino Linotype" w:hAnsi="Palatino Linotype" w:cs="Palatino Linotype"/>
        </w:rPr>
      </w:pPr>
      <w:r w:rsidRPr="0089683D">
        <w:rPr>
          <w:rFonts w:ascii="Palatino Linotype" w:eastAsia="Palatino Linotype" w:hAnsi="Palatino Linotype" w:cs="Palatino Linotype"/>
          <w:noProof/>
        </w:rPr>
        <w:lastRenderedPageBreak/>
        <w:drawing>
          <wp:inline distT="114300" distB="114300" distL="114300" distR="114300" wp14:anchorId="3CEB897B" wp14:editId="3305FEC3">
            <wp:extent cx="5447348" cy="2356336"/>
            <wp:effectExtent l="0" t="0" r="0" b="0"/>
            <wp:docPr id="3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47348" cy="2356336"/>
                    </a:xfrm>
                    <a:prstGeom prst="rect">
                      <a:avLst/>
                    </a:prstGeom>
                    <a:ln/>
                  </pic:spPr>
                </pic:pic>
              </a:graphicData>
            </a:graphic>
          </wp:inline>
        </w:drawing>
      </w:r>
    </w:p>
    <w:p w14:paraId="4FED0279"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5284BC17"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Posteriormente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señaló como acto impugnado lo siguiente: </w:t>
      </w:r>
      <w:r w:rsidRPr="0089683D">
        <w:rPr>
          <w:rFonts w:ascii="Palatino Linotype" w:eastAsia="Palatino Linotype" w:hAnsi="Palatino Linotype" w:cs="Palatino Linotype"/>
          <w:sz w:val="26"/>
          <w:szCs w:val="26"/>
        </w:rPr>
        <w:t>“</w:t>
      </w:r>
      <w:r w:rsidRPr="0089683D">
        <w:rPr>
          <w:rFonts w:ascii="Palatino Linotype" w:eastAsia="Palatino Linotype" w:hAnsi="Palatino Linotype" w:cs="Palatino Linotype"/>
          <w:i/>
        </w:rPr>
        <w:t xml:space="preserve">1. El instituto maneja la información en relación al FIDEICOMISO denominado FONDO ESTATAL DE AHORRO CAPITALIZABLE de los Trabajadores con plaza ESTATAL, el cual realiza la retención a sus trabajadores por el CONCEPTO 21 del talón de pago por lo tanto de conformidad con los artículos 3 fracción XIX y XXX y de los Artículos 146 al 166 de la ley de transparencia , que en síntesis prevén que información son los datos contenidos en los documentos que los sujetos obligados generan, obtienen, adquieren, transforman o conservan por cualquier </w:t>
      </w:r>
      <w:r w:rsidR="00AC079D" w:rsidRPr="0089683D">
        <w:rPr>
          <w:rFonts w:ascii="Palatino Linotype" w:eastAsia="Palatino Linotype" w:hAnsi="Palatino Linotype" w:cs="Palatino Linotype"/>
          <w:i/>
        </w:rPr>
        <w:t>título</w:t>
      </w:r>
      <w:r w:rsidRPr="0089683D">
        <w:rPr>
          <w:rFonts w:ascii="Palatino Linotype" w:eastAsia="Palatino Linotype" w:hAnsi="Palatino Linotype" w:cs="Palatino Linotype"/>
          <w:i/>
        </w:rPr>
        <w:t>, o aquella que por disposición legal deban generar.</w:t>
      </w:r>
      <w:r w:rsidRPr="0089683D">
        <w:rPr>
          <w:rFonts w:ascii="Palatino Linotype" w:eastAsia="Palatino Linotype" w:hAnsi="Palatino Linotype" w:cs="Palatino Linotype"/>
          <w:i/>
          <w:sz w:val="22"/>
          <w:szCs w:val="22"/>
        </w:rPr>
        <w:t>”</w:t>
      </w:r>
    </w:p>
    <w:p w14:paraId="493099EB"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688DA4DC" w14:textId="76022B34"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Así pues, de </w:t>
      </w:r>
      <w:r w:rsidR="0089683D" w:rsidRPr="0089683D">
        <w:rPr>
          <w:rFonts w:ascii="Palatino Linotype" w:eastAsia="Palatino Linotype" w:hAnsi="Palatino Linotype" w:cs="Palatino Linotype"/>
        </w:rPr>
        <w:t>las manifestaciones</w:t>
      </w:r>
      <w:r w:rsidRPr="0089683D">
        <w:rPr>
          <w:rFonts w:ascii="Palatino Linotype" w:eastAsia="Palatino Linotype" w:hAnsi="Palatino Linotype" w:cs="Palatino Linotype"/>
        </w:rPr>
        <w:t xml:space="preserve"> antes citadas es posible advertir que el particular señala que </w:t>
      </w:r>
      <w:r w:rsidRPr="0089683D">
        <w:rPr>
          <w:rFonts w:ascii="Palatino Linotype" w:eastAsia="Palatino Linotype" w:hAnsi="Palatino Linotype" w:cs="Palatino Linotype"/>
          <w:b/>
        </w:rPr>
        <w:t xml:space="preserve">EL SUJETO OBLIGADO </w:t>
      </w:r>
      <w:r w:rsidRPr="0089683D">
        <w:rPr>
          <w:rFonts w:ascii="Palatino Linotype" w:eastAsia="Palatino Linotype" w:hAnsi="Palatino Linotype" w:cs="Palatino Linotype"/>
        </w:rPr>
        <w:t xml:space="preserve">conoce de un fideicomiso denominado Fondo Estatal de Ahorro Capitalizable de los Trabajadores con plaza Estatal que al ser información que obra en sus archivos con motivo del ejercicio de sus funciones debe ser información pública. </w:t>
      </w:r>
    </w:p>
    <w:p w14:paraId="1CFA799F"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bookmarkStart w:id="7" w:name="_GoBack"/>
      <w:bookmarkEnd w:id="7"/>
    </w:p>
    <w:p w14:paraId="5018793D"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Sobre lo cual es de referir que en efecto, la información que generan los Sujetos Obligados en ejercicio de sus funciones y atribuciones es información pública, así como también, en materia de transparencia, los particulares no tienen la obligación de ser expertos en la materia sobre la cual solicitan información, por lo cual, </w:t>
      </w:r>
      <w:r w:rsidR="00AC079D" w:rsidRPr="0089683D">
        <w:rPr>
          <w:rFonts w:ascii="Palatino Linotype" w:eastAsia="Palatino Linotype" w:hAnsi="Palatino Linotype" w:cs="Palatino Linotype"/>
        </w:rPr>
        <w:t>aun</w:t>
      </w:r>
      <w:r w:rsidRPr="0089683D">
        <w:rPr>
          <w:rFonts w:ascii="Palatino Linotype" w:eastAsia="Palatino Linotype" w:hAnsi="Palatino Linotype" w:cs="Palatino Linotype"/>
        </w:rPr>
        <w:t xml:space="preserve"> cuando el particular únicamente solicitó información referente a un Fondo de Ahorro,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dio respuesta haciendo entrega de la información que obra en sus archivos, indicando que maneja información del Fondo de Ahorro Capitalizable de los Trabajadores al Servicio del Estado por sus siglas FONAC y remitiendo el Manual mediante el cual se rige su operación como se puede apreciar en la siguiente captura de pantalla: </w:t>
      </w:r>
    </w:p>
    <w:p w14:paraId="55F00701"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74499624"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noProof/>
        </w:rPr>
        <w:lastRenderedPageBreak/>
        <w:drawing>
          <wp:inline distT="114300" distB="114300" distL="114300" distR="114300" wp14:anchorId="080B58D5" wp14:editId="365B9CA0">
            <wp:extent cx="5791200" cy="5389894"/>
            <wp:effectExtent l="0" t="0" r="0" b="0"/>
            <wp:docPr id="3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b="7688"/>
                    <a:stretch>
                      <a:fillRect/>
                    </a:stretch>
                  </pic:blipFill>
                  <pic:spPr>
                    <a:xfrm>
                      <a:off x="0" y="0"/>
                      <a:ext cx="5791200" cy="5389894"/>
                    </a:xfrm>
                    <a:prstGeom prst="rect">
                      <a:avLst/>
                    </a:prstGeom>
                    <a:ln/>
                  </pic:spPr>
                </pic:pic>
              </a:graphicData>
            </a:graphic>
          </wp:inline>
        </w:drawing>
      </w:r>
    </w:p>
    <w:p w14:paraId="4611C8AE" w14:textId="0C2E8132" w:rsidR="001A0FBC" w:rsidRPr="0089683D" w:rsidRDefault="00CC34D1">
      <w:pPr>
        <w:tabs>
          <w:tab w:val="left" w:pos="8789"/>
        </w:tabs>
        <w:spacing w:line="360" w:lineRule="auto"/>
        <w:ind w:right="49"/>
        <w:jc w:val="both"/>
        <w:rPr>
          <w:rFonts w:ascii="Palatino Linotype" w:eastAsia="Palatino Linotype" w:hAnsi="Palatino Linotype" w:cs="Palatino Linotype"/>
          <w:b/>
        </w:rPr>
      </w:pPr>
      <w:r w:rsidRPr="0089683D">
        <w:rPr>
          <w:rFonts w:ascii="Palatino Linotype" w:eastAsia="Palatino Linotype" w:hAnsi="Palatino Linotype" w:cs="Palatino Linotype"/>
        </w:rPr>
        <w:t>Sin que se advierta mayor pronuncia</w:t>
      </w:r>
      <w:r w:rsidR="00AC079D" w:rsidRPr="0089683D">
        <w:rPr>
          <w:rFonts w:ascii="Palatino Linotype" w:eastAsia="Palatino Linotype" w:hAnsi="Palatino Linotype" w:cs="Palatino Linotype"/>
        </w:rPr>
        <w:t>mien</w:t>
      </w:r>
      <w:r w:rsidRPr="0089683D">
        <w:rPr>
          <w:rFonts w:ascii="Palatino Linotype" w:eastAsia="Palatino Linotype" w:hAnsi="Palatino Linotype" w:cs="Palatino Linotype"/>
        </w:rPr>
        <w:t xml:space="preserve">to del particular con respecto al contenido de la información remitida en respuesta. Por lo </w:t>
      </w:r>
      <w:r w:rsidR="0089683D" w:rsidRPr="0089683D">
        <w:rPr>
          <w:rFonts w:ascii="Palatino Linotype" w:eastAsia="Palatino Linotype" w:hAnsi="Palatino Linotype" w:cs="Palatino Linotype"/>
        </w:rPr>
        <w:t>tanto,</w:t>
      </w:r>
      <w:r w:rsidRPr="0089683D">
        <w:rPr>
          <w:rFonts w:ascii="Palatino Linotype" w:eastAsia="Palatino Linotype" w:hAnsi="Palatino Linotype" w:cs="Palatino Linotype"/>
        </w:rPr>
        <w:t xml:space="preserve"> dicho rubro de la solicitud se tiene por colmado con la respuesta del </w:t>
      </w:r>
      <w:r w:rsidRPr="0089683D">
        <w:rPr>
          <w:rFonts w:ascii="Palatino Linotype" w:eastAsia="Palatino Linotype" w:hAnsi="Palatino Linotype" w:cs="Palatino Linotype"/>
          <w:b/>
        </w:rPr>
        <w:t xml:space="preserve">SUJETO OBLIGADO. </w:t>
      </w:r>
    </w:p>
    <w:p w14:paraId="334CA0BD"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b/>
        </w:rPr>
      </w:pPr>
    </w:p>
    <w:p w14:paraId="1DBF5139"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En lo que respecta al segundo rubro de la solicitud, mediante el cual se requiere conocer el Informe de aportaciones de los participantes, sindicato y aportaciones patronales al fideicomiso. </w:t>
      </w:r>
    </w:p>
    <w:p w14:paraId="4F9BB406"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23562C7D"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refirió en su respuesta que dichas aportaciones son las establecidas en el Capítulo II correspondiente a Recursos del FONAC, puntos 2.1, 2.2 y 2.3 del Manual en comento. </w:t>
      </w:r>
    </w:p>
    <w:p w14:paraId="3BF576E0"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52DE4372"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En tal sentido, se advierte que el Capítulo II del Manual de Lineamientos para la Operación del Fondo de Ahorro Capitalizable de los Trabajadores al Servicio del Estado señala lo que a continuación se muestra: </w:t>
      </w:r>
    </w:p>
    <w:p w14:paraId="33CE3E9D"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noProof/>
        </w:rPr>
        <w:drawing>
          <wp:inline distT="114300" distB="114300" distL="114300" distR="114300" wp14:anchorId="73947745" wp14:editId="21B08768">
            <wp:extent cx="5791200" cy="2009821"/>
            <wp:effectExtent l="0" t="0" r="0" b="0"/>
            <wp:docPr id="3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b="64891"/>
                    <a:stretch>
                      <a:fillRect/>
                    </a:stretch>
                  </pic:blipFill>
                  <pic:spPr>
                    <a:xfrm>
                      <a:off x="0" y="0"/>
                      <a:ext cx="5791200" cy="2009821"/>
                    </a:xfrm>
                    <a:prstGeom prst="rect">
                      <a:avLst/>
                    </a:prstGeom>
                    <a:ln/>
                  </pic:spPr>
                </pic:pic>
              </a:graphicData>
            </a:graphic>
          </wp:inline>
        </w:drawing>
      </w:r>
    </w:p>
    <w:p w14:paraId="0A44CA7B" w14:textId="134854DC"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 la </w:t>
      </w:r>
      <w:r w:rsidR="0089683D" w:rsidRPr="0089683D">
        <w:rPr>
          <w:rFonts w:ascii="Palatino Linotype" w:eastAsia="Palatino Linotype" w:hAnsi="Palatino Linotype" w:cs="Palatino Linotype"/>
        </w:rPr>
        <w:t>imagen</w:t>
      </w:r>
      <w:r w:rsidRPr="0089683D">
        <w:rPr>
          <w:rFonts w:ascii="Palatino Linotype" w:eastAsia="Palatino Linotype" w:hAnsi="Palatino Linotype" w:cs="Palatino Linotype"/>
        </w:rPr>
        <w:t xml:space="preserve"> ante insertada se desprende que los recursos del fideicomiso se integran de las aportaciones de las y los trabajadores, las del Gobierno Federal y las de los sindicatos de las dependencias y entidades, así como de los rendimientos financieros correspondientes. </w:t>
      </w:r>
    </w:p>
    <w:p w14:paraId="0C188211"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23426E31"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Siendo que el ente recurrido refirió en su respuesta de forma específica los puntos 2.1, 2.2 y 2.3 cuyo contenido refiere el desglose de las aportaciones de cada uno de los sujetos involucrados antes referidos, indicando la aportación de los participantes de un día de salario nivel 1 del tabulador general de las dependencias, que será descontado de la nómina, el veinticinco por ciento del total de las cuotas sindicales percibidas y el equivalente a un día y medio de salario por parte del gobierno federal, como se puede apreciar del siguiente fragmento del Manual en comento:  </w:t>
      </w:r>
    </w:p>
    <w:p w14:paraId="468A0120"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 </w:t>
      </w:r>
    </w:p>
    <w:p w14:paraId="375A12B9" w14:textId="77777777" w:rsidR="001A0FBC" w:rsidRPr="0089683D" w:rsidRDefault="00CC34D1">
      <w:pPr>
        <w:tabs>
          <w:tab w:val="left" w:pos="8789"/>
        </w:tabs>
        <w:spacing w:line="360" w:lineRule="auto"/>
        <w:ind w:right="49"/>
        <w:jc w:val="center"/>
        <w:rPr>
          <w:rFonts w:ascii="Palatino Linotype" w:eastAsia="Palatino Linotype" w:hAnsi="Palatino Linotype" w:cs="Palatino Linotype"/>
        </w:rPr>
      </w:pPr>
      <w:r w:rsidRPr="0089683D">
        <w:rPr>
          <w:rFonts w:ascii="Palatino Linotype" w:eastAsia="Palatino Linotype" w:hAnsi="Palatino Linotype" w:cs="Palatino Linotype"/>
          <w:noProof/>
        </w:rPr>
        <w:drawing>
          <wp:inline distT="114300" distB="114300" distL="114300" distR="114300" wp14:anchorId="0C4765A5" wp14:editId="2A131BA5">
            <wp:extent cx="5791200" cy="2451786"/>
            <wp:effectExtent l="0" t="0" r="0" b="0"/>
            <wp:docPr id="3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t="57171"/>
                    <a:stretch>
                      <a:fillRect/>
                    </a:stretch>
                  </pic:blipFill>
                  <pic:spPr>
                    <a:xfrm>
                      <a:off x="0" y="0"/>
                      <a:ext cx="5791200" cy="2451786"/>
                    </a:xfrm>
                    <a:prstGeom prst="rect">
                      <a:avLst/>
                    </a:prstGeom>
                    <a:ln/>
                  </pic:spPr>
                </pic:pic>
              </a:graphicData>
            </a:graphic>
          </wp:inline>
        </w:drawing>
      </w:r>
    </w:p>
    <w:p w14:paraId="158D24D7" w14:textId="77777777" w:rsidR="001A0FBC" w:rsidRPr="0089683D" w:rsidRDefault="00CC34D1">
      <w:pPr>
        <w:tabs>
          <w:tab w:val="left" w:pos="8789"/>
        </w:tabs>
        <w:spacing w:line="360" w:lineRule="auto"/>
        <w:ind w:right="49"/>
        <w:jc w:val="center"/>
        <w:rPr>
          <w:rFonts w:ascii="Palatino Linotype" w:eastAsia="Palatino Linotype" w:hAnsi="Palatino Linotype" w:cs="Palatino Linotype"/>
        </w:rPr>
      </w:pPr>
      <w:r w:rsidRPr="0089683D">
        <w:rPr>
          <w:rFonts w:ascii="Palatino Linotype" w:eastAsia="Palatino Linotype" w:hAnsi="Palatino Linotype" w:cs="Palatino Linotype"/>
          <w:noProof/>
        </w:rPr>
        <w:drawing>
          <wp:inline distT="114300" distB="114300" distL="114300" distR="114300" wp14:anchorId="3A186554" wp14:editId="54F41FEE">
            <wp:extent cx="5791835" cy="1447800"/>
            <wp:effectExtent l="0" t="0" r="0" b="0"/>
            <wp:docPr id="3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91835" cy="1447800"/>
                    </a:xfrm>
                    <a:prstGeom prst="rect">
                      <a:avLst/>
                    </a:prstGeom>
                    <a:ln/>
                  </pic:spPr>
                </pic:pic>
              </a:graphicData>
            </a:graphic>
          </wp:inline>
        </w:drawing>
      </w:r>
    </w:p>
    <w:p w14:paraId="62CB1994"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24A13BED"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Recordando que el particular en su solicitud requirió el informe de aportaciones de cada uno de los componentes que integran el fideicomiso, las cuales se encuentran desglosadas en el Manual remitido por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y en el capítulo y numerales precisados por el servidor público habilitado en su respuesta a la solicitud de información. </w:t>
      </w:r>
    </w:p>
    <w:p w14:paraId="5884C1EC"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781057DE" w14:textId="795E9CA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Aunado a lo anterior, es conveniente señalar que el FONAC es un fondo de ahorro para las y los trabajadores del Estado, el cual fue creado por medio de un fideicomiso entre la institución bancaria Banco Nacional de México, S. A. y la Secretaría de Hacienda y Crédito Público, que se integra con las aportaciones de los trabajadores más la aportación del Gobierno federal. Como quedó precisado, los recursos del fideicomiso se integran de las aportaciones de las y los </w:t>
      </w:r>
      <w:r w:rsidR="0089683D" w:rsidRPr="0089683D">
        <w:rPr>
          <w:rFonts w:ascii="Palatino Linotype" w:eastAsia="Palatino Linotype" w:hAnsi="Palatino Linotype" w:cs="Palatino Linotype"/>
        </w:rPr>
        <w:t>trabajadores que</w:t>
      </w:r>
      <w:r w:rsidRPr="0089683D">
        <w:rPr>
          <w:rFonts w:ascii="Palatino Linotype" w:eastAsia="Palatino Linotype" w:hAnsi="Palatino Linotype" w:cs="Palatino Linotype"/>
        </w:rPr>
        <w:t xml:space="preserve"> hayan decidido participar por voluntad propia, las del Gobierno Federal y las de los sindicatos de las dependencias y entidades, así como de los rendimientos financieros correspondientes. </w:t>
      </w:r>
    </w:p>
    <w:p w14:paraId="2607D763"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15DEAEA2" w14:textId="0327A7FB"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Dicho Manual en </w:t>
      </w:r>
      <w:r w:rsidR="0089683D" w:rsidRPr="0089683D">
        <w:rPr>
          <w:rFonts w:ascii="Palatino Linotype" w:eastAsia="Palatino Linotype" w:hAnsi="Palatino Linotype" w:cs="Palatino Linotype"/>
        </w:rPr>
        <w:t>su Capítulo</w:t>
      </w:r>
      <w:r w:rsidRPr="0089683D">
        <w:rPr>
          <w:rFonts w:ascii="Palatino Linotype" w:eastAsia="Palatino Linotype" w:hAnsi="Palatino Linotype" w:cs="Palatino Linotype"/>
        </w:rPr>
        <w:t xml:space="preserve"> </w:t>
      </w:r>
      <w:r w:rsidR="0089683D" w:rsidRPr="0089683D">
        <w:rPr>
          <w:rFonts w:ascii="Palatino Linotype" w:eastAsia="Palatino Linotype" w:hAnsi="Palatino Linotype" w:cs="Palatino Linotype"/>
        </w:rPr>
        <w:t>regula la</w:t>
      </w:r>
      <w:r w:rsidRPr="0089683D">
        <w:rPr>
          <w:rFonts w:ascii="Palatino Linotype" w:eastAsia="Palatino Linotype" w:hAnsi="Palatino Linotype" w:cs="Palatino Linotype"/>
        </w:rPr>
        <w:t xml:space="preserve"> forma de administración del fondo indicando como áreas competentes la unidad de administración, finanzas y vigilancia de cada dependencia afiliada.   </w:t>
      </w:r>
    </w:p>
    <w:p w14:paraId="1ADE4323" w14:textId="77777777" w:rsidR="001A0FBC" w:rsidRPr="0089683D" w:rsidRDefault="00CC34D1">
      <w:pPr>
        <w:tabs>
          <w:tab w:val="left" w:pos="709"/>
        </w:tabs>
        <w:ind w:left="850" w:right="4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“CAPÍTULO IV </w:t>
      </w:r>
    </w:p>
    <w:p w14:paraId="5BC257BA" w14:textId="77777777" w:rsidR="001A0FBC" w:rsidRPr="0089683D" w:rsidRDefault="00CC34D1">
      <w:pPr>
        <w:tabs>
          <w:tab w:val="left" w:pos="709"/>
        </w:tabs>
        <w:ind w:left="850" w:right="4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De la Administración</w:t>
      </w:r>
    </w:p>
    <w:p w14:paraId="49AC5562" w14:textId="4F557ACC" w:rsidR="001A0FBC" w:rsidRPr="0089683D" w:rsidRDefault="00CC34D1">
      <w:pPr>
        <w:tabs>
          <w:tab w:val="left" w:pos="709"/>
        </w:tabs>
        <w:ind w:left="850" w:right="4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DÉCIMO </w:t>
      </w:r>
      <w:r w:rsidR="0089683D" w:rsidRPr="0089683D">
        <w:rPr>
          <w:rFonts w:ascii="Palatino Linotype" w:eastAsia="Palatino Linotype" w:hAnsi="Palatino Linotype" w:cs="Palatino Linotype"/>
          <w:i/>
          <w:sz w:val="22"/>
          <w:szCs w:val="22"/>
        </w:rPr>
        <w:t>QUINTO. -</w:t>
      </w:r>
      <w:r w:rsidRPr="0089683D">
        <w:rPr>
          <w:rFonts w:ascii="Palatino Linotype" w:eastAsia="Palatino Linotype" w:hAnsi="Palatino Linotype" w:cs="Palatino Linotype"/>
          <w:i/>
          <w:sz w:val="22"/>
          <w:szCs w:val="22"/>
        </w:rPr>
        <w:t xml:space="preserve"> La administración del FONAC, en el ámbito de cada dependencia o entidad, estará a cargo de la Junta de Administración, de la Unidad de Operación y Control de Finanzas y Operación Contable, así como de la Comisión de Vigilancia  </w:t>
      </w:r>
    </w:p>
    <w:p w14:paraId="73547022" w14:textId="77777777" w:rsidR="001A0FBC" w:rsidRPr="0089683D" w:rsidRDefault="00CC34D1">
      <w:pPr>
        <w:tabs>
          <w:tab w:val="left" w:pos="709"/>
        </w:tabs>
        <w:ind w:left="850" w:right="4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lastRenderedPageBreak/>
        <w:t>La integración de estos órganos deberá formalizarse mediante acta constitutiva, en la que se consignen los nombres de los titulares con sus respectivos suplentes, su cargo dentro de la administración del FONAC y el que ocupen en la dependencia o entidad. "</w:t>
      </w:r>
    </w:p>
    <w:p w14:paraId="095EB8E6"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11E7FC71"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Con ello en mente, el Reglamento Interno del Instituto de Salud del Estado de México señala en su artículo 14 que para el desempeño de sus funciones el Director General se auxiliará de diversas unidades administrativas, las cuales se enlistan a continuación: </w:t>
      </w:r>
    </w:p>
    <w:p w14:paraId="0BCC26F6"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w:t>
      </w:r>
      <w:r w:rsidRPr="0089683D">
        <w:rPr>
          <w:rFonts w:ascii="Palatino Linotype" w:eastAsia="Palatino Linotype" w:hAnsi="Palatino Linotype" w:cs="Palatino Linotype"/>
          <w:b/>
          <w:i/>
          <w:sz w:val="22"/>
          <w:szCs w:val="22"/>
        </w:rPr>
        <w:t>Artículo 14.-</w:t>
      </w:r>
      <w:r w:rsidRPr="0089683D">
        <w:rPr>
          <w:rFonts w:ascii="Palatino Linotype" w:eastAsia="Palatino Linotype" w:hAnsi="Palatino Linotype" w:cs="Palatino Linotype"/>
          <w:i/>
          <w:sz w:val="22"/>
          <w:szCs w:val="22"/>
        </w:rPr>
        <w:t xml:space="preserve"> Para el estudio, planeación y despacho de los asuntos de su competencia, así como para atender las funciones de control y evaluación que le corresponden, el Director General se auxiliará de las unidades administrativas siguientes: </w:t>
      </w:r>
    </w:p>
    <w:p w14:paraId="31FF6FC7"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I. Coordinación de Salud. </w:t>
      </w:r>
    </w:p>
    <w:p w14:paraId="2F6FF8EA"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II. Coordinación de Regulación Sanitaria. </w:t>
      </w:r>
    </w:p>
    <w:p w14:paraId="75ACF7C1"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III. Coordinación de Administración y Finanzas. </w:t>
      </w:r>
    </w:p>
    <w:p w14:paraId="07A9A3A6"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IV. Dirección de Servicios de Salud. </w:t>
      </w:r>
    </w:p>
    <w:p w14:paraId="11F7C696"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V. Dirección de Regulación Sanitaria. </w:t>
      </w:r>
    </w:p>
    <w:p w14:paraId="698A3391"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VI. Dirección de Finanzas. </w:t>
      </w:r>
    </w:p>
    <w:p w14:paraId="75E94206"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VII. Dirección de Administración. </w:t>
      </w:r>
    </w:p>
    <w:p w14:paraId="1096E628"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VIII. Subdirección de Normatividad Sanitaria. </w:t>
      </w:r>
    </w:p>
    <w:p w14:paraId="08083752"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IX. Subdirección de Verificación Sanitaria. </w:t>
      </w:r>
    </w:p>
    <w:p w14:paraId="3E3EED67"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X. Subdirección de Tesorería y Contabilidad. </w:t>
      </w:r>
    </w:p>
    <w:p w14:paraId="0F264D21"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 xml:space="preserve">XI. Subdirección de Administración de la Beneficencia Pública. </w:t>
      </w:r>
    </w:p>
    <w:p w14:paraId="4B69B41E"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XII. Subdirección de Recursos Humanos”</w:t>
      </w:r>
    </w:p>
    <w:p w14:paraId="312FC787" w14:textId="77777777" w:rsidR="001A0FBC" w:rsidRPr="0089683D" w:rsidRDefault="00CC34D1">
      <w:pPr>
        <w:tabs>
          <w:tab w:val="left" w:pos="8789"/>
        </w:tabs>
        <w:ind w:left="850" w:right="899"/>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(énfasis añadido)</w:t>
      </w:r>
    </w:p>
    <w:p w14:paraId="11065DB6" w14:textId="77777777" w:rsidR="001A0FBC" w:rsidRPr="0089683D" w:rsidRDefault="001A0FBC">
      <w:pPr>
        <w:tabs>
          <w:tab w:val="left" w:pos="8789"/>
        </w:tabs>
        <w:spacing w:line="360" w:lineRule="auto"/>
        <w:ind w:right="49"/>
        <w:jc w:val="both"/>
        <w:rPr>
          <w:rFonts w:ascii="Palatino Linotype" w:eastAsia="Palatino Linotype" w:hAnsi="Palatino Linotype" w:cs="Palatino Linotype"/>
        </w:rPr>
      </w:pPr>
    </w:p>
    <w:p w14:paraId="3C45D686" w14:textId="77777777" w:rsidR="001A0FBC" w:rsidRPr="0089683D" w:rsidRDefault="00CC34D1">
      <w:pPr>
        <w:tabs>
          <w:tab w:val="left" w:pos="878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Resaltando de las antes listadas a la Dirección de Administración, la cual, según lo señala el Manual General de Organización del Instituto de Salud del Estado de México se sub dividirá en: Subdirección de Recursos Humanos, Departamento de Administración de Personal, Departamento de Relaciones Laborales y Desarrollo de Personal, Departamento de Pagos, Departamento de Sistematización del Pago, </w:t>
      </w:r>
      <w:r w:rsidRPr="0089683D">
        <w:rPr>
          <w:rFonts w:ascii="Palatino Linotype" w:eastAsia="Palatino Linotype" w:hAnsi="Palatino Linotype" w:cs="Palatino Linotype"/>
        </w:rPr>
        <w:lastRenderedPageBreak/>
        <w:t xml:space="preserve">Subdirección de Recursos Materiales, Departamento de Apoyo a Comités, Departamento de Adquisiciones Departamento de </w:t>
      </w:r>
      <w:r w:rsidR="00AC079D" w:rsidRPr="0089683D">
        <w:rPr>
          <w:rFonts w:ascii="Palatino Linotype" w:eastAsia="Palatino Linotype" w:hAnsi="Palatino Linotype" w:cs="Palatino Linotype"/>
        </w:rPr>
        <w:t>Financia</w:t>
      </w:r>
      <w:r w:rsidRPr="0089683D">
        <w:rPr>
          <w:rFonts w:ascii="Palatino Linotype" w:eastAsia="Palatino Linotype" w:hAnsi="Palatino Linotype" w:cs="Palatino Linotype"/>
        </w:rPr>
        <w:t>miento y Seguimiento de Pedidos, Departamento de Control del Abasto Almacén Toluca y Tultitlán, Subdirección de Servicios Generales y Control Patrimonial, Departamento de Servicios Generales, Departamento de Administración de Riesgos y Control del Transporte, Departamento de Bienes Muebles, Departamento de Bienes Inmuebles Subdirección de Infraestructura en Salud y  Departamento de Precios Unitarios</w:t>
      </w:r>
    </w:p>
    <w:p w14:paraId="5E43B07D"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65D69522" w14:textId="77777777"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Luego entonces, de la interpretación armónica de ambos ordenamientos, se tiene que, por un lado, el Manual que regula el funcionamiento del fideicomiso señala que la administración del mismo quedará a cargo entre otros del departamento de Administración de las dependencias  afiliadas, departamento  que fue quien proporcionó la respuesta a la solicitud del particular, indicando el marco que rige la operación del Fondo, anexando dicho documento estableciendo cuáles son las aportaciones de cada integrante respecto a lo que menciona el manual, señalando de forma específica el capítulo y los puntos donde dicha información viene precisada.</w:t>
      </w:r>
    </w:p>
    <w:p w14:paraId="74241E80"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28B31CF2" w14:textId="48C05575"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 forma que </w:t>
      </w:r>
      <w:r w:rsidRPr="0089683D">
        <w:rPr>
          <w:rFonts w:ascii="Palatino Linotype" w:eastAsia="Palatino Linotype" w:hAnsi="Palatino Linotype" w:cs="Palatino Linotype"/>
          <w:b/>
        </w:rPr>
        <w:t>EL SUJETO OBLIGADO</w:t>
      </w:r>
      <w:r w:rsidRPr="0089683D">
        <w:rPr>
          <w:rFonts w:ascii="Palatino Linotype" w:eastAsia="Palatino Linotype" w:hAnsi="Palatino Linotype" w:cs="Palatino Linotype"/>
        </w:rPr>
        <w:t xml:space="preserve"> dio respuesta con l</w:t>
      </w:r>
      <w:r w:rsidR="00AC079D" w:rsidRPr="0089683D">
        <w:rPr>
          <w:rFonts w:ascii="Palatino Linotype" w:eastAsia="Palatino Linotype" w:hAnsi="Palatino Linotype" w:cs="Palatino Linotype"/>
        </w:rPr>
        <w:t>a información que administra en</w:t>
      </w:r>
      <w:r w:rsidRPr="0089683D">
        <w:rPr>
          <w:rFonts w:ascii="Palatino Linotype" w:eastAsia="Palatino Linotype" w:hAnsi="Palatino Linotype" w:cs="Palatino Linotype"/>
        </w:rPr>
        <w:t xml:space="preserve"> ejercicio de sus funciones, ya que el mismo no tiene la obligación de generar documentos a modo o efectuar cálculos para satisfacer las solicitudes de información pública., lo anterior, conforme a lo establecido </w:t>
      </w:r>
      <w:r w:rsidR="0089683D" w:rsidRPr="0089683D">
        <w:rPr>
          <w:rFonts w:ascii="Palatino Linotype" w:eastAsia="Palatino Linotype" w:hAnsi="Palatino Linotype" w:cs="Palatino Linotype"/>
        </w:rPr>
        <w:t>por el</w:t>
      </w:r>
      <w:r w:rsidRPr="0089683D">
        <w:rPr>
          <w:rFonts w:ascii="Palatino Linotype" w:eastAsia="Palatino Linotype" w:hAnsi="Palatino Linotype" w:cs="Palatino Linotype"/>
        </w:rPr>
        <w:t xml:space="preserve"> artículo 12 de la ley de Transparencia y Acceso a la Información pública del Estado de México y </w:t>
      </w:r>
      <w:r w:rsidR="0089683D" w:rsidRPr="0089683D">
        <w:rPr>
          <w:rFonts w:ascii="Palatino Linotype" w:eastAsia="Palatino Linotype" w:hAnsi="Palatino Linotype" w:cs="Palatino Linotype"/>
        </w:rPr>
        <w:t>municipios, el</w:t>
      </w:r>
      <w:r w:rsidRPr="0089683D">
        <w:rPr>
          <w:rFonts w:ascii="Palatino Linotype" w:eastAsia="Palatino Linotype" w:hAnsi="Palatino Linotype" w:cs="Palatino Linotype"/>
        </w:rPr>
        <w:t xml:space="preserve"> cual se transcribe a continuación: </w:t>
      </w:r>
    </w:p>
    <w:p w14:paraId="7A6A40E9" w14:textId="77777777" w:rsidR="001A0FBC" w:rsidRPr="0089683D" w:rsidRDefault="00CC34D1">
      <w:pPr>
        <w:ind w:left="851" w:right="902"/>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lastRenderedPageBreak/>
        <w:t>“</w:t>
      </w:r>
      <w:r w:rsidRPr="0089683D">
        <w:rPr>
          <w:rFonts w:ascii="Palatino Linotype" w:eastAsia="Palatino Linotype" w:hAnsi="Palatino Linotype" w:cs="Palatino Linotype"/>
          <w:b/>
          <w:i/>
          <w:sz w:val="22"/>
          <w:szCs w:val="22"/>
        </w:rPr>
        <w:t>Artículo 12.</w:t>
      </w:r>
      <w:r w:rsidRPr="0089683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49120B" w14:textId="77777777" w:rsidR="001A0FBC" w:rsidRPr="0089683D" w:rsidRDefault="00CC34D1">
      <w:pPr>
        <w:ind w:left="851" w:right="902"/>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6346234F" w14:textId="77777777" w:rsidR="001A0FBC" w:rsidRPr="0089683D" w:rsidRDefault="00CC34D1">
      <w:pPr>
        <w:shd w:val="clear" w:color="auto" w:fill="FFFFFF"/>
        <w:jc w:val="both"/>
      </w:pPr>
      <w:r w:rsidRPr="0089683D">
        <w:rPr>
          <w:rFonts w:ascii="Palatino Linotype" w:eastAsia="Palatino Linotype" w:hAnsi="Palatino Linotype" w:cs="Palatino Linotype"/>
          <w:sz w:val="22"/>
          <w:szCs w:val="22"/>
        </w:rPr>
        <w:t> </w:t>
      </w:r>
    </w:p>
    <w:p w14:paraId="14C57C72" w14:textId="77777777" w:rsidR="001A0FBC" w:rsidRPr="0089683D" w:rsidRDefault="00CC34D1" w:rsidP="00AC079D">
      <w:pPr>
        <w:shd w:val="clear" w:color="auto" w:fill="FFFFFF"/>
        <w:jc w:val="both"/>
        <w:rPr>
          <w:rFonts w:ascii="Palatino Linotype" w:eastAsia="Palatino Linotype" w:hAnsi="Palatino Linotype" w:cs="Palatino Linotype"/>
        </w:rPr>
      </w:pPr>
      <w:r w:rsidRPr="0089683D">
        <w:rPr>
          <w:rFonts w:ascii="Palatino Linotype" w:eastAsia="Palatino Linotype" w:hAnsi="Palatino Linotype" w:cs="Palatino Linotype"/>
        </w:rPr>
        <w:t>Robustece lo anterior el Criterio 03/17 emitido por el Instituto Nacional de Transparencia, Acceso a la Información y Protección de Datos Personales, que a continuación se cita:</w:t>
      </w:r>
    </w:p>
    <w:p w14:paraId="7743E6B8" w14:textId="77777777" w:rsidR="00AC079D" w:rsidRPr="0089683D" w:rsidRDefault="00AC079D" w:rsidP="00AC079D">
      <w:pPr>
        <w:shd w:val="clear" w:color="auto" w:fill="FFFFFF"/>
        <w:jc w:val="both"/>
        <w:rPr>
          <w:sz w:val="28"/>
          <w:szCs w:val="28"/>
        </w:rPr>
      </w:pPr>
    </w:p>
    <w:p w14:paraId="02F721B9" w14:textId="77777777" w:rsidR="001A0FBC" w:rsidRPr="0089683D" w:rsidRDefault="00CC34D1">
      <w:pPr>
        <w:shd w:val="clear" w:color="auto" w:fill="FFFFFF"/>
        <w:ind w:left="567" w:right="567"/>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b/>
          <w:i/>
          <w:sz w:val="22"/>
          <w:szCs w:val="22"/>
        </w:rPr>
        <w:t>“No existe obligación de elaborar documentos ad hoc para atender las solicitudes de acceso a la información. </w:t>
      </w:r>
      <w:r w:rsidRPr="0089683D">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5DD579DE" w14:textId="77777777" w:rsidR="001A0FBC" w:rsidRPr="0089683D" w:rsidRDefault="001A0FBC">
      <w:pPr>
        <w:shd w:val="clear" w:color="auto" w:fill="FFFFFF"/>
        <w:ind w:left="567" w:right="567"/>
        <w:jc w:val="both"/>
        <w:rPr>
          <w:sz w:val="28"/>
          <w:szCs w:val="28"/>
        </w:rPr>
      </w:pPr>
    </w:p>
    <w:p w14:paraId="61B11450"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Del criterio antes referido se desprende que los Sujetos Obligados deben proporcionar la información que se encuentre dentro de sus archivos, sin que ello signifique que deban llevar a cabo el procesamiento de la misma o en su caso elaborar un documento específico, por lo que si el particular solicitó el Informe de aportaciones de los participaciones del Fondo referido, el ente recurrido entregó según la normatividad vigente la forma en la que deben realizar las aportaciones los participantes, lo cual incluye el monto que deberán aportar cada uno de ellos y la periodicidad de los mismos, los cuales corresponden a: </w:t>
      </w:r>
    </w:p>
    <w:p w14:paraId="616529A9" w14:textId="7FC40087" w:rsidR="001A0FBC" w:rsidRPr="0089683D" w:rsidRDefault="00CC34D1">
      <w:pPr>
        <w:numPr>
          <w:ilvl w:val="0"/>
          <w:numId w:val="2"/>
        </w:num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Un día de </w:t>
      </w:r>
      <w:r w:rsidR="0089683D" w:rsidRPr="0089683D">
        <w:rPr>
          <w:rFonts w:ascii="Palatino Linotype" w:eastAsia="Palatino Linotype" w:hAnsi="Palatino Linotype" w:cs="Palatino Linotype"/>
        </w:rPr>
        <w:t>salario del</w:t>
      </w:r>
      <w:r w:rsidRPr="0089683D">
        <w:rPr>
          <w:rFonts w:ascii="Palatino Linotype" w:eastAsia="Palatino Linotype" w:hAnsi="Palatino Linotype" w:cs="Palatino Linotype"/>
        </w:rPr>
        <w:t xml:space="preserve"> nivel 1 del tabulador general de las dependencias</w:t>
      </w:r>
    </w:p>
    <w:p w14:paraId="00FC281E" w14:textId="77777777" w:rsidR="001A0FBC" w:rsidRPr="0089683D" w:rsidRDefault="00CC34D1">
      <w:pPr>
        <w:numPr>
          <w:ilvl w:val="0"/>
          <w:numId w:val="2"/>
        </w:num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25% del total de las cuotas sindicales percibidas  </w:t>
      </w:r>
    </w:p>
    <w:p w14:paraId="649BB3B4" w14:textId="672B2FF3" w:rsidR="001A0FBC" w:rsidRPr="0089683D" w:rsidRDefault="00CC34D1">
      <w:pPr>
        <w:numPr>
          <w:ilvl w:val="0"/>
          <w:numId w:val="2"/>
        </w:num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un día y medio de </w:t>
      </w:r>
      <w:r w:rsidR="0089683D" w:rsidRPr="0089683D">
        <w:rPr>
          <w:rFonts w:ascii="Palatino Linotype" w:eastAsia="Palatino Linotype" w:hAnsi="Palatino Linotype" w:cs="Palatino Linotype"/>
        </w:rPr>
        <w:t>salario del</w:t>
      </w:r>
      <w:r w:rsidRPr="0089683D">
        <w:rPr>
          <w:rFonts w:ascii="Palatino Linotype" w:eastAsia="Palatino Linotype" w:hAnsi="Palatino Linotype" w:cs="Palatino Linotype"/>
        </w:rPr>
        <w:t xml:space="preserve"> nivel 1 del tabulador general de las dependencias</w:t>
      </w:r>
    </w:p>
    <w:p w14:paraId="4449F20F"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63D7FD71" w14:textId="77777777" w:rsidR="001A0FBC" w:rsidRPr="0089683D" w:rsidRDefault="00CC34D1">
      <w:pPr>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Luego entonces, con relación a lo señalado en el párrafo que antecede y a fin de robustecer la determinación que se asentará en la presente resolución, conviene citar el criterio orientador 002/2017 del INAI, y la tesis 1a. CCCXXVII/2014 (10a.) emitida por la Primera Sala de la Suprema Corte de Justicia de la Nación, cuyo tenor es el siguiente:</w:t>
      </w:r>
    </w:p>
    <w:p w14:paraId="7022C9A4" w14:textId="77777777" w:rsidR="001A0FBC" w:rsidRPr="0089683D" w:rsidRDefault="001A0FBC">
      <w:pPr>
        <w:ind w:right="902"/>
        <w:jc w:val="both"/>
        <w:rPr>
          <w:rFonts w:ascii="Palatino Linotype" w:eastAsia="Palatino Linotype" w:hAnsi="Palatino Linotype" w:cs="Palatino Linotype"/>
        </w:rPr>
      </w:pPr>
    </w:p>
    <w:p w14:paraId="019E8082" w14:textId="377A527E" w:rsidR="001A0FBC" w:rsidRPr="0089683D" w:rsidRDefault="00CC34D1">
      <w:pPr>
        <w:ind w:left="851" w:right="902"/>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i/>
          <w:sz w:val="22"/>
          <w:szCs w:val="22"/>
        </w:rPr>
        <w:t>“</w:t>
      </w:r>
      <w:r w:rsidRPr="0089683D">
        <w:rPr>
          <w:rFonts w:ascii="Palatino Linotype" w:eastAsia="Palatino Linotype" w:hAnsi="Palatino Linotype" w:cs="Palatino Linotype"/>
          <w:b/>
          <w:i/>
          <w:sz w:val="22"/>
          <w:szCs w:val="22"/>
        </w:rPr>
        <w:t>Congruencia y exhaustividad</w:t>
      </w:r>
      <w:r w:rsidRPr="0089683D">
        <w:rPr>
          <w:rFonts w:ascii="Palatino Linotype" w:eastAsia="Palatino Linotype" w:hAnsi="Palatino Linotype" w:cs="Palatino Linotype"/>
          <w:i/>
          <w:sz w:val="22"/>
          <w:szCs w:val="22"/>
        </w:rPr>
        <w:t>.</w:t>
      </w:r>
      <w:r w:rsidRPr="0089683D">
        <w:rPr>
          <w:rFonts w:ascii="Palatino Linotype" w:eastAsia="Palatino Linotype" w:hAnsi="Palatino Linotype" w:cs="Palatino Linotype"/>
          <w:b/>
          <w:i/>
          <w:sz w:val="22"/>
          <w:szCs w:val="22"/>
        </w:rPr>
        <w:t xml:space="preserve"> Sus alcances para garantizar el derecho de acceso a la información.</w:t>
      </w:r>
      <w:r w:rsidRPr="0089683D">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r w:rsidR="0089683D" w:rsidRPr="0089683D">
        <w:rPr>
          <w:rFonts w:ascii="Palatino Linotype" w:eastAsia="Palatino Linotype" w:hAnsi="Palatino Linotype" w:cs="Palatino Linotype"/>
          <w:i/>
          <w:sz w:val="22"/>
          <w:szCs w:val="22"/>
        </w:rPr>
        <w:t>.” (</w:t>
      </w:r>
      <w:r w:rsidRPr="0089683D">
        <w:rPr>
          <w:rFonts w:ascii="Palatino Linotype" w:eastAsia="Palatino Linotype" w:hAnsi="Palatino Linotype" w:cs="Palatino Linotype"/>
          <w:i/>
          <w:sz w:val="22"/>
          <w:szCs w:val="22"/>
        </w:rPr>
        <w:t>Sic)</w:t>
      </w:r>
    </w:p>
    <w:p w14:paraId="38B4AC4E" w14:textId="77777777" w:rsidR="001A0FBC" w:rsidRPr="0089683D" w:rsidRDefault="001A0FBC">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8" w:name="_heading=h.h5f6uylknmte" w:colFirst="0" w:colLast="0"/>
      <w:bookmarkEnd w:id="8"/>
    </w:p>
    <w:p w14:paraId="06430535" w14:textId="373E06FE" w:rsidR="001A0FBC" w:rsidRPr="0089683D" w:rsidRDefault="00CC34D1">
      <w:pPr>
        <w:widowControl w:val="0"/>
        <w:tabs>
          <w:tab w:val="left" w:pos="1701"/>
          <w:tab w:val="left" w:pos="1843"/>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w:t>
      </w:r>
      <w:r w:rsidR="0089683D" w:rsidRPr="0089683D">
        <w:rPr>
          <w:rFonts w:ascii="Palatino Linotype" w:eastAsia="Palatino Linotype" w:hAnsi="Palatino Linotype" w:cs="Palatino Linotype"/>
        </w:rPr>
        <w:t>el primero</w:t>
      </w:r>
      <w:r w:rsidRPr="0089683D">
        <w:rPr>
          <w:rFonts w:ascii="Palatino Linotype" w:eastAsia="Palatino Linotype" w:hAnsi="Palatino Linotype" w:cs="Palatino Linotype"/>
        </w:rPr>
        <w:t xml:space="preserve"> como una relación entre el requerimiento formulado y la respuesta propiciada y el segundo como atender de manera puntual a cada uno de los pronunciamientos en la solicitud. </w:t>
      </w:r>
    </w:p>
    <w:p w14:paraId="542B6B2A" w14:textId="77777777" w:rsidR="001A0FBC" w:rsidRPr="0089683D" w:rsidRDefault="00CC34D1">
      <w:pPr>
        <w:widowControl w:val="0"/>
        <w:tabs>
          <w:tab w:val="left" w:pos="1701"/>
          <w:tab w:val="left" w:pos="1843"/>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En el caso que nos ocupa se tiene que en su respuesta primigenia</w:t>
      </w:r>
      <w:r w:rsidRPr="0089683D">
        <w:rPr>
          <w:rFonts w:ascii="Palatino Linotype" w:eastAsia="Palatino Linotype" w:hAnsi="Palatino Linotype" w:cs="Palatino Linotype"/>
          <w:b/>
        </w:rPr>
        <w:t xml:space="preserve"> EL SUJETO OBLIGADO</w:t>
      </w:r>
      <w:r w:rsidRPr="0089683D">
        <w:rPr>
          <w:rFonts w:ascii="Palatino Linotype" w:eastAsia="Palatino Linotype" w:hAnsi="Palatino Linotype" w:cs="Palatino Linotype"/>
        </w:rPr>
        <w:t xml:space="preserve"> dio atención a los puntos </w:t>
      </w:r>
      <w:r w:rsidR="00AC079D" w:rsidRPr="0089683D">
        <w:rPr>
          <w:rFonts w:ascii="Palatino Linotype" w:eastAsia="Palatino Linotype" w:hAnsi="Palatino Linotype" w:cs="Palatino Linotype"/>
        </w:rPr>
        <w:t>solicitados</w:t>
      </w:r>
      <w:r w:rsidRPr="0089683D">
        <w:rPr>
          <w:rFonts w:ascii="Palatino Linotype" w:eastAsia="Palatino Linotype" w:hAnsi="Palatino Linotype" w:cs="Palatino Linotype"/>
        </w:rPr>
        <w:t xml:space="preserve"> al grado de desagregación que solicitó el particular y conforme a lo que genera en atención a sus facultades.  </w:t>
      </w:r>
    </w:p>
    <w:p w14:paraId="20BB0AD8" w14:textId="77777777" w:rsidR="001A0FBC" w:rsidRPr="0089683D" w:rsidRDefault="001A0FBC">
      <w:pPr>
        <w:ind w:left="851" w:right="1041"/>
        <w:jc w:val="both"/>
        <w:rPr>
          <w:rFonts w:ascii="Palatino Linotype" w:eastAsia="Palatino Linotype" w:hAnsi="Palatino Linotype" w:cs="Palatino Linotype"/>
        </w:rPr>
      </w:pPr>
    </w:p>
    <w:p w14:paraId="429BB91D" w14:textId="012F7064" w:rsidR="001A0FBC" w:rsidRPr="0089683D" w:rsidRDefault="00CC34D1">
      <w:pPr>
        <w:tabs>
          <w:tab w:val="left" w:pos="709"/>
        </w:tabs>
        <w:spacing w:line="360" w:lineRule="auto"/>
        <w:jc w:val="both"/>
      </w:pPr>
      <w:r w:rsidRPr="0089683D">
        <w:rPr>
          <w:rFonts w:ascii="Palatino Linotype" w:eastAsia="Palatino Linotype" w:hAnsi="Palatino Linotype" w:cs="Palatino Linotype"/>
        </w:rPr>
        <w:t xml:space="preserve">Asimismo, es importante </w:t>
      </w:r>
      <w:r w:rsidR="0089683D" w:rsidRPr="0089683D">
        <w:rPr>
          <w:rFonts w:ascii="Palatino Linotype" w:eastAsia="Palatino Linotype" w:hAnsi="Palatino Linotype" w:cs="Palatino Linotype"/>
        </w:rPr>
        <w:t>señalar que</w:t>
      </w:r>
      <w:r w:rsidRPr="0089683D">
        <w:rPr>
          <w:rFonts w:ascii="Palatino Linotype" w:eastAsia="Palatino Linotype" w:hAnsi="Palatino Linotype" w:cs="Palatino Linotype"/>
        </w:rPr>
        <w:t xml:space="preserve"> al haber existido un pronunciamiento por parte del servidor público habilitado competente quien por sus atribuciones conoce de la información solicitada de acuerdo a su reglamento interno </w:t>
      </w:r>
      <w:r w:rsidR="0089683D" w:rsidRPr="0089683D">
        <w:rPr>
          <w:rFonts w:ascii="Palatino Linotype" w:eastAsia="Palatino Linotype" w:hAnsi="Palatino Linotype" w:cs="Palatino Linotype"/>
        </w:rPr>
        <w:t>y manual</w:t>
      </w:r>
      <w:r w:rsidRPr="0089683D">
        <w:rPr>
          <w:rFonts w:ascii="Palatino Linotype" w:eastAsia="Palatino Linotype" w:hAnsi="Palatino Linotype" w:cs="Palatino Linotype"/>
        </w:rPr>
        <w:t xml:space="preserve"> de organización, a fin de dar respuesta a la solicitud planteada, este Instituto no está facultado para manifestarse sobre la veracidad de la información proporcionada, lo anterior, conforme al artículo 36 de la Ley de la Materia. </w:t>
      </w:r>
    </w:p>
    <w:p w14:paraId="6B1973A9" w14:textId="1559A58B" w:rsidR="001A0FBC" w:rsidRPr="0089683D" w:rsidRDefault="00CC34D1">
      <w:pPr>
        <w:spacing w:before="280" w:after="280" w:line="360" w:lineRule="auto"/>
        <w:jc w:val="both"/>
      </w:pPr>
      <w:r w:rsidRPr="0089683D">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w:t>
      </w:r>
      <w:r w:rsidR="0089683D" w:rsidRPr="0089683D">
        <w:rPr>
          <w:rFonts w:ascii="Palatino Linotype" w:eastAsia="Palatino Linotype" w:hAnsi="Palatino Linotype" w:cs="Palatino Linotype"/>
        </w:rPr>
        <w:t>Datos, el</w:t>
      </w:r>
      <w:r w:rsidRPr="0089683D">
        <w:rPr>
          <w:rFonts w:ascii="Palatino Linotype" w:eastAsia="Palatino Linotype" w:hAnsi="Palatino Linotype" w:cs="Palatino Linotype"/>
        </w:rPr>
        <w:t xml:space="preserve"> cual refiere: </w:t>
      </w:r>
    </w:p>
    <w:p w14:paraId="4A770A56" w14:textId="77777777" w:rsidR="001A0FBC" w:rsidRPr="0089683D" w:rsidRDefault="00CC34D1">
      <w:pPr>
        <w:ind w:left="851" w:right="1041"/>
        <w:jc w:val="both"/>
        <w:rPr>
          <w:rFonts w:ascii="Palatino Linotype" w:eastAsia="Palatino Linotype" w:hAnsi="Palatino Linotype" w:cs="Palatino Linotype"/>
          <w:i/>
          <w:sz w:val="22"/>
          <w:szCs w:val="22"/>
        </w:rPr>
      </w:pPr>
      <w:r w:rsidRPr="0089683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89683D">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9683D">
        <w:rPr>
          <w:rFonts w:ascii="Palatino Linotype" w:eastAsia="Palatino Linotype" w:hAnsi="Palatino Linotype" w:cs="Palatino Linotype"/>
          <w:b/>
          <w:i/>
          <w:sz w:val="22"/>
          <w:szCs w:val="22"/>
        </w:rPr>
        <w:t>”</w:t>
      </w:r>
      <w:r w:rsidRPr="0089683D">
        <w:rPr>
          <w:rFonts w:ascii="Palatino Linotype" w:eastAsia="Palatino Linotype" w:hAnsi="Palatino Linotype" w:cs="Palatino Linotype"/>
          <w:i/>
          <w:sz w:val="22"/>
          <w:szCs w:val="22"/>
        </w:rPr>
        <w:t xml:space="preserve"> (Sic)</w:t>
      </w:r>
    </w:p>
    <w:p w14:paraId="53D46D77" w14:textId="5F687941"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lastRenderedPageBreak/>
        <w:t xml:space="preserve">Expuesto lo anterior este Instituto determina </w:t>
      </w:r>
      <w:r w:rsidRPr="0089683D">
        <w:rPr>
          <w:rFonts w:ascii="Palatino Linotype" w:eastAsia="Palatino Linotype" w:hAnsi="Palatino Linotype" w:cs="Palatino Linotype"/>
          <w:b/>
        </w:rPr>
        <w:t xml:space="preserve">CONFIRMAR </w:t>
      </w:r>
      <w:r w:rsidRPr="0089683D">
        <w:rPr>
          <w:rFonts w:ascii="Palatino Linotype" w:eastAsia="Palatino Linotype" w:hAnsi="Palatino Linotype" w:cs="Palatino Linotype"/>
        </w:rPr>
        <w:t xml:space="preserve">la respuesta del </w:t>
      </w:r>
      <w:r w:rsidRPr="0089683D">
        <w:rPr>
          <w:rFonts w:ascii="Palatino Linotype" w:eastAsia="Palatino Linotype" w:hAnsi="Palatino Linotype" w:cs="Palatino Linotype"/>
          <w:b/>
        </w:rPr>
        <w:t>SUJETO OBLIGADO</w:t>
      </w:r>
      <w:r w:rsidRPr="0089683D">
        <w:rPr>
          <w:rFonts w:ascii="Palatino Linotype" w:eastAsia="Palatino Linotype" w:hAnsi="Palatino Linotype" w:cs="Palatino Linotype"/>
        </w:rPr>
        <w:t xml:space="preserve"> por resultar infundadas las manifestaciones vertidas por el </w:t>
      </w:r>
      <w:r w:rsidRPr="0089683D">
        <w:rPr>
          <w:rFonts w:ascii="Palatino Linotype" w:eastAsia="Palatino Linotype" w:hAnsi="Palatino Linotype" w:cs="Palatino Linotype"/>
          <w:b/>
        </w:rPr>
        <w:t>RECURRENTE</w:t>
      </w:r>
      <w:r w:rsidRPr="0089683D">
        <w:rPr>
          <w:rFonts w:ascii="Palatino Linotype" w:eastAsia="Palatino Linotype" w:hAnsi="Palatino Linotype" w:cs="Palatino Linotype"/>
        </w:rPr>
        <w:t xml:space="preserve"> en el presente Recurso de Revisión. </w:t>
      </w:r>
    </w:p>
    <w:p w14:paraId="17786179" w14:textId="77777777" w:rsidR="001A0FBC" w:rsidRPr="0089683D" w:rsidRDefault="001A0FBC">
      <w:pPr>
        <w:tabs>
          <w:tab w:val="left" w:pos="709"/>
        </w:tabs>
        <w:spacing w:line="360" w:lineRule="auto"/>
        <w:ind w:right="49"/>
        <w:jc w:val="both"/>
        <w:rPr>
          <w:rFonts w:ascii="Palatino Linotype" w:eastAsia="Palatino Linotype" w:hAnsi="Palatino Linotype" w:cs="Palatino Linotype"/>
        </w:rPr>
      </w:pPr>
    </w:p>
    <w:p w14:paraId="00402060" w14:textId="10A8C1F3" w:rsidR="001A0FBC" w:rsidRPr="0089683D" w:rsidRDefault="00CC34D1">
      <w:pPr>
        <w:tabs>
          <w:tab w:val="left" w:pos="709"/>
        </w:tabs>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rPr>
        <w:t xml:space="preserve">Así, con fundamento en lo previsto en los artículos 5, </w:t>
      </w:r>
      <w:r w:rsidR="0089683D" w:rsidRPr="0089683D">
        <w:rPr>
          <w:rFonts w:ascii="Palatino Linotype" w:eastAsia="Palatino Linotype" w:hAnsi="Palatino Linotype" w:cs="Palatino Linotype"/>
        </w:rPr>
        <w:t>párrafos trigésimos, trigésimos primero y trigésimos segundos</w:t>
      </w:r>
      <w:r w:rsidRPr="0089683D">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3726A5F1" w14:textId="77777777" w:rsidR="001A0FBC" w:rsidRPr="0089683D" w:rsidRDefault="001A0FBC">
      <w:pPr>
        <w:spacing w:line="360" w:lineRule="auto"/>
        <w:jc w:val="center"/>
        <w:rPr>
          <w:rFonts w:ascii="Palatino Linotype" w:eastAsia="Palatino Linotype" w:hAnsi="Palatino Linotype" w:cs="Palatino Linotype"/>
          <w:b/>
          <w:sz w:val="26"/>
          <w:szCs w:val="26"/>
        </w:rPr>
      </w:pPr>
    </w:p>
    <w:p w14:paraId="60B8E8B0" w14:textId="77777777" w:rsidR="001A0FBC" w:rsidRPr="0089683D" w:rsidRDefault="00CC34D1">
      <w:pPr>
        <w:spacing w:line="360" w:lineRule="auto"/>
        <w:jc w:val="center"/>
        <w:rPr>
          <w:rFonts w:ascii="Palatino Linotype" w:eastAsia="Palatino Linotype" w:hAnsi="Palatino Linotype" w:cs="Palatino Linotype"/>
          <w:b/>
          <w:sz w:val="26"/>
          <w:szCs w:val="26"/>
        </w:rPr>
      </w:pPr>
      <w:r w:rsidRPr="0089683D">
        <w:rPr>
          <w:rFonts w:ascii="Palatino Linotype" w:eastAsia="Palatino Linotype" w:hAnsi="Palatino Linotype" w:cs="Palatino Linotype"/>
          <w:b/>
          <w:sz w:val="26"/>
          <w:szCs w:val="26"/>
        </w:rPr>
        <w:t>RESUELVE</w:t>
      </w:r>
    </w:p>
    <w:p w14:paraId="30C3A3DF" w14:textId="77777777" w:rsidR="001A0FBC" w:rsidRPr="0089683D" w:rsidRDefault="00CC34D1">
      <w:pPr>
        <w:spacing w:line="360" w:lineRule="auto"/>
        <w:ind w:right="49"/>
        <w:jc w:val="both"/>
        <w:rPr>
          <w:rFonts w:ascii="Palatino Linotype" w:eastAsia="Palatino Linotype" w:hAnsi="Palatino Linotype" w:cs="Palatino Linotype"/>
        </w:rPr>
      </w:pPr>
      <w:r w:rsidRPr="0089683D">
        <w:rPr>
          <w:rFonts w:ascii="Palatino Linotype" w:eastAsia="Palatino Linotype" w:hAnsi="Palatino Linotype" w:cs="Palatino Linotype"/>
          <w:b/>
        </w:rPr>
        <w:t>PRIMERO.</w:t>
      </w:r>
      <w:r w:rsidRPr="0089683D">
        <w:rPr>
          <w:rFonts w:ascii="Palatino Linotype" w:eastAsia="Palatino Linotype" w:hAnsi="Palatino Linotype" w:cs="Palatino Linotype"/>
        </w:rPr>
        <w:t xml:space="preserve"> Resultan </w:t>
      </w:r>
      <w:r w:rsidRPr="0089683D">
        <w:rPr>
          <w:rFonts w:ascii="Palatino Linotype" w:eastAsia="Palatino Linotype" w:hAnsi="Palatino Linotype" w:cs="Palatino Linotype"/>
          <w:b/>
        </w:rPr>
        <w:t>infundadas</w:t>
      </w:r>
      <w:r w:rsidRPr="0089683D">
        <w:rPr>
          <w:rFonts w:ascii="Palatino Linotype" w:eastAsia="Palatino Linotype" w:hAnsi="Palatino Linotype" w:cs="Palatino Linotype"/>
        </w:rPr>
        <w:t xml:space="preserve"> las manifestaciones hechas valer por </w:t>
      </w:r>
      <w:r w:rsidRPr="0089683D">
        <w:rPr>
          <w:rFonts w:ascii="Palatino Linotype" w:eastAsia="Palatino Linotype" w:hAnsi="Palatino Linotype" w:cs="Palatino Linotype"/>
          <w:b/>
        </w:rPr>
        <w:t>EL RECURRENTE</w:t>
      </w:r>
      <w:r w:rsidRPr="0089683D">
        <w:rPr>
          <w:rFonts w:ascii="Palatino Linotype" w:eastAsia="Palatino Linotype" w:hAnsi="Palatino Linotype" w:cs="Palatino Linotype"/>
        </w:rPr>
        <w:t xml:space="preserve"> en el recurso de revisión </w:t>
      </w:r>
      <w:r w:rsidRPr="0089683D">
        <w:rPr>
          <w:rFonts w:ascii="Palatino Linotype" w:eastAsia="Palatino Linotype" w:hAnsi="Palatino Linotype" w:cs="Palatino Linotype"/>
          <w:b/>
        </w:rPr>
        <w:t>05937/INFOEM/IP/RR/2022</w:t>
      </w:r>
      <w:r w:rsidRPr="0089683D">
        <w:rPr>
          <w:rFonts w:ascii="Palatino Linotype" w:eastAsia="Palatino Linotype" w:hAnsi="Palatino Linotype" w:cs="Palatino Linotype"/>
        </w:rPr>
        <w:t xml:space="preserve">, en términos del considerando </w:t>
      </w:r>
      <w:r w:rsidRPr="0089683D">
        <w:rPr>
          <w:rFonts w:ascii="Palatino Linotype" w:eastAsia="Palatino Linotype" w:hAnsi="Palatino Linotype" w:cs="Palatino Linotype"/>
          <w:b/>
        </w:rPr>
        <w:t>QUINTO</w:t>
      </w:r>
      <w:r w:rsidRPr="0089683D">
        <w:rPr>
          <w:rFonts w:ascii="Palatino Linotype" w:eastAsia="Palatino Linotype" w:hAnsi="Palatino Linotype" w:cs="Palatino Linotype"/>
        </w:rPr>
        <w:t>.</w:t>
      </w:r>
    </w:p>
    <w:p w14:paraId="5C72661F" w14:textId="77777777" w:rsidR="001A0FBC" w:rsidRPr="0089683D" w:rsidRDefault="001A0FBC">
      <w:pPr>
        <w:spacing w:line="360" w:lineRule="auto"/>
        <w:ind w:right="49"/>
        <w:jc w:val="both"/>
        <w:rPr>
          <w:rFonts w:ascii="Palatino Linotype" w:eastAsia="Palatino Linotype" w:hAnsi="Palatino Linotype" w:cs="Palatino Linotype"/>
        </w:rPr>
      </w:pPr>
    </w:p>
    <w:p w14:paraId="2BC49160"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b/>
        </w:rPr>
        <w:t xml:space="preserve">SEGUNDO. </w:t>
      </w:r>
      <w:r w:rsidRPr="0089683D">
        <w:rPr>
          <w:rFonts w:ascii="Palatino Linotype" w:eastAsia="Palatino Linotype" w:hAnsi="Palatino Linotype" w:cs="Palatino Linotype"/>
        </w:rPr>
        <w:t xml:space="preserve">Se </w:t>
      </w:r>
      <w:r w:rsidRPr="0089683D">
        <w:rPr>
          <w:rFonts w:ascii="Palatino Linotype" w:eastAsia="Palatino Linotype" w:hAnsi="Palatino Linotype" w:cs="Palatino Linotype"/>
          <w:b/>
        </w:rPr>
        <w:t xml:space="preserve">CONFIRMA </w:t>
      </w:r>
      <w:r w:rsidRPr="0089683D">
        <w:rPr>
          <w:rFonts w:ascii="Palatino Linotype" w:eastAsia="Palatino Linotype" w:hAnsi="Palatino Linotype" w:cs="Palatino Linotype"/>
        </w:rPr>
        <w:t xml:space="preserve">la respuesta emitida por </w:t>
      </w:r>
      <w:r w:rsidRPr="0089683D">
        <w:rPr>
          <w:rFonts w:ascii="Palatino Linotype" w:eastAsia="Palatino Linotype" w:hAnsi="Palatino Linotype" w:cs="Palatino Linotype"/>
          <w:b/>
        </w:rPr>
        <w:t>EL</w:t>
      </w:r>
      <w:r w:rsidRPr="0089683D">
        <w:rPr>
          <w:rFonts w:ascii="Palatino Linotype" w:eastAsia="Palatino Linotype" w:hAnsi="Palatino Linotype" w:cs="Palatino Linotype"/>
        </w:rPr>
        <w:t xml:space="preserve"> </w:t>
      </w:r>
      <w:r w:rsidRPr="0089683D">
        <w:rPr>
          <w:rFonts w:ascii="Palatino Linotype" w:eastAsia="Palatino Linotype" w:hAnsi="Palatino Linotype" w:cs="Palatino Linotype"/>
          <w:b/>
        </w:rPr>
        <w:t xml:space="preserve">SUJETO OBLIGADO </w:t>
      </w:r>
      <w:r w:rsidRPr="0089683D">
        <w:rPr>
          <w:rFonts w:ascii="Palatino Linotype" w:eastAsia="Palatino Linotype" w:hAnsi="Palatino Linotype" w:cs="Palatino Linotype"/>
        </w:rPr>
        <w:t xml:space="preserve">a la solicitud de acceso a la información pública que dio origen al Recurso de Revisión </w:t>
      </w:r>
      <w:r w:rsidRPr="0089683D">
        <w:rPr>
          <w:rFonts w:ascii="Palatino Linotype" w:eastAsia="Palatino Linotype" w:hAnsi="Palatino Linotype" w:cs="Palatino Linotype"/>
          <w:b/>
        </w:rPr>
        <w:t>05937/INFOEM/IP/RR/2022,</w:t>
      </w:r>
      <w:r w:rsidRPr="0089683D">
        <w:rPr>
          <w:rFonts w:ascii="Palatino Linotype" w:eastAsia="Palatino Linotype" w:hAnsi="Palatino Linotype" w:cs="Palatino Linotype"/>
        </w:rPr>
        <w:t xml:space="preserve"> en términos del considerando </w:t>
      </w:r>
      <w:r w:rsidRPr="0089683D">
        <w:rPr>
          <w:rFonts w:ascii="Palatino Linotype" w:eastAsia="Palatino Linotype" w:hAnsi="Palatino Linotype" w:cs="Palatino Linotype"/>
          <w:b/>
        </w:rPr>
        <w:t>QUINTO</w:t>
      </w:r>
      <w:r w:rsidRPr="0089683D">
        <w:rPr>
          <w:rFonts w:ascii="Palatino Linotype" w:eastAsia="Palatino Linotype" w:hAnsi="Palatino Linotype" w:cs="Palatino Linotype"/>
        </w:rPr>
        <w:t>.</w:t>
      </w:r>
    </w:p>
    <w:p w14:paraId="2F09C8BF" w14:textId="77777777" w:rsidR="001A0FBC" w:rsidRPr="0089683D" w:rsidRDefault="001A0FBC">
      <w:pPr>
        <w:spacing w:line="360" w:lineRule="auto"/>
        <w:jc w:val="both"/>
        <w:rPr>
          <w:rFonts w:ascii="Palatino Linotype" w:eastAsia="Palatino Linotype" w:hAnsi="Palatino Linotype" w:cs="Palatino Linotype"/>
        </w:rPr>
      </w:pPr>
    </w:p>
    <w:p w14:paraId="25671C0F" w14:textId="710B02AF" w:rsidR="001A0FBC" w:rsidRPr="0089683D" w:rsidRDefault="00CC34D1">
      <w:pPr>
        <w:spacing w:line="360" w:lineRule="auto"/>
        <w:jc w:val="both"/>
        <w:rPr>
          <w:rFonts w:ascii="Palatino Linotype" w:eastAsia="Palatino Linotype" w:hAnsi="Palatino Linotype" w:cs="Palatino Linotype"/>
          <w:sz w:val="22"/>
          <w:szCs w:val="22"/>
        </w:rPr>
      </w:pPr>
      <w:r w:rsidRPr="0089683D">
        <w:rPr>
          <w:rFonts w:ascii="Palatino Linotype" w:eastAsia="Palatino Linotype" w:hAnsi="Palatino Linotype" w:cs="Palatino Linotype"/>
          <w:b/>
        </w:rPr>
        <w:t>TERCERO.</w:t>
      </w:r>
      <w:r w:rsidRPr="0089683D">
        <w:rPr>
          <w:rFonts w:ascii="Palatino Linotype" w:eastAsia="Palatino Linotype" w:hAnsi="Palatino Linotype" w:cs="Palatino Linotype"/>
        </w:rPr>
        <w:t xml:space="preserve"> </w:t>
      </w:r>
      <w:r w:rsidRPr="0089683D">
        <w:rPr>
          <w:rFonts w:ascii="Palatino Linotype" w:eastAsia="Palatino Linotype" w:hAnsi="Palatino Linotype" w:cs="Palatino Linotype"/>
          <w:b/>
        </w:rPr>
        <w:t xml:space="preserve">NOTIFÍQUESE </w:t>
      </w:r>
      <w:r w:rsidRPr="0089683D">
        <w:rPr>
          <w:rFonts w:ascii="Palatino Linotype" w:eastAsia="Palatino Linotype" w:hAnsi="Palatino Linotype" w:cs="Palatino Linotype"/>
        </w:rPr>
        <w:t xml:space="preserve">la presente resolución al Titular de la Unidad de Transparencia del Sujeto Obligado, a través del Sistema de Acceso a la Información pública </w:t>
      </w:r>
      <w:r w:rsidR="0089683D" w:rsidRPr="0089683D">
        <w:rPr>
          <w:rFonts w:ascii="Palatino Linotype" w:eastAsia="Palatino Linotype" w:hAnsi="Palatino Linotype" w:cs="Palatino Linotype"/>
        </w:rPr>
        <w:t>Mexiquense para</w:t>
      </w:r>
      <w:r w:rsidRPr="0089683D">
        <w:rPr>
          <w:rFonts w:ascii="Palatino Linotype" w:eastAsia="Palatino Linotype" w:hAnsi="Palatino Linotype" w:cs="Palatino Linotype"/>
        </w:rPr>
        <w:t xml:space="preserve"> su conocimiento.  </w:t>
      </w:r>
    </w:p>
    <w:p w14:paraId="0AA0EAF6" w14:textId="77777777" w:rsidR="001A0FBC" w:rsidRPr="0089683D" w:rsidRDefault="00CC34D1">
      <w:pPr>
        <w:spacing w:line="360" w:lineRule="auto"/>
        <w:jc w:val="both"/>
        <w:rPr>
          <w:rFonts w:ascii="Palatino Linotype" w:eastAsia="Palatino Linotype" w:hAnsi="Palatino Linotype" w:cs="Palatino Linotype"/>
        </w:rPr>
      </w:pPr>
      <w:r w:rsidRPr="0089683D">
        <w:rPr>
          <w:rFonts w:ascii="Palatino Linotype" w:eastAsia="Palatino Linotype" w:hAnsi="Palatino Linotype" w:cs="Palatino Linotype"/>
          <w:b/>
        </w:rPr>
        <w:lastRenderedPageBreak/>
        <w:t>CUARTO. NOTIFÍQUESE</w:t>
      </w:r>
      <w:r w:rsidRPr="0089683D">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6293BE" w14:textId="77777777" w:rsidR="001A0FBC" w:rsidRPr="0089683D" w:rsidRDefault="001A0FBC">
      <w:pPr>
        <w:spacing w:line="360" w:lineRule="auto"/>
        <w:jc w:val="both"/>
        <w:rPr>
          <w:rFonts w:ascii="Palatino Linotype" w:eastAsia="Palatino Linotype" w:hAnsi="Palatino Linotype" w:cs="Palatino Linotype"/>
          <w:sz w:val="22"/>
          <w:szCs w:val="22"/>
        </w:rPr>
      </w:pPr>
    </w:p>
    <w:p w14:paraId="5CB10FA3" w14:textId="77777777" w:rsidR="00294240" w:rsidRPr="0089683D" w:rsidRDefault="00294240" w:rsidP="00294240">
      <w:pPr>
        <w:widowControl w:val="0"/>
        <w:autoSpaceDE w:val="0"/>
        <w:autoSpaceDN w:val="0"/>
        <w:adjustRightInd w:val="0"/>
        <w:spacing w:line="360" w:lineRule="auto"/>
        <w:jc w:val="both"/>
      </w:pPr>
      <w:bookmarkStart w:id="9" w:name="_Hlk107378744"/>
      <w:r w:rsidRPr="0089683D">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VIGÉSIMA CUARTA SESIÓN ORDINARIA CELEBRADA EL VEINTINUEVE DE JUNIO DE DOS MIL VEINTIDÓS, ANTE EL SECRETARIO TÉCNICO DEL PLENO, ALEXIS TAPIA RAMÍREZ.</w:t>
      </w:r>
      <w:bookmarkEnd w:id="9"/>
    </w:p>
    <w:p w14:paraId="06184729" w14:textId="756E9580" w:rsidR="001A0FBC" w:rsidRDefault="00294240">
      <w:pPr>
        <w:spacing w:line="360" w:lineRule="auto"/>
        <w:jc w:val="both"/>
        <w:rPr>
          <w:rFonts w:ascii="Palatino Linotype" w:eastAsia="Palatino Linotype" w:hAnsi="Palatino Linotype" w:cs="Palatino Linotype"/>
          <w:sz w:val="14"/>
          <w:szCs w:val="14"/>
        </w:rPr>
      </w:pPr>
      <w:r w:rsidRPr="0089683D">
        <w:rPr>
          <w:rFonts w:ascii="Palatino Linotype" w:eastAsia="Palatino Linotype" w:hAnsi="Palatino Linotype" w:cs="Palatino Linotype"/>
          <w:sz w:val="14"/>
          <w:szCs w:val="14"/>
        </w:rPr>
        <w:t>JMV/CCR</w:t>
      </w:r>
      <w:r w:rsidR="00CC34D1" w:rsidRPr="0089683D">
        <w:rPr>
          <w:rFonts w:ascii="Palatino Linotype" w:eastAsia="Palatino Linotype" w:hAnsi="Palatino Linotype" w:cs="Palatino Linotype"/>
          <w:sz w:val="14"/>
          <w:szCs w:val="14"/>
        </w:rPr>
        <w:t>/BLA/DEMF/PMRE</w:t>
      </w:r>
    </w:p>
    <w:p w14:paraId="6C6E9C40" w14:textId="77777777" w:rsidR="001A0FBC" w:rsidRDefault="00CC34D1">
      <w:pPr>
        <w:rPr>
          <w:rFonts w:ascii="Palatino Linotype" w:eastAsia="Palatino Linotype" w:hAnsi="Palatino Linotype" w:cs="Palatino Linotype"/>
        </w:rPr>
      </w:pPr>
      <w:r>
        <w:br w:type="page"/>
      </w:r>
    </w:p>
    <w:p w14:paraId="6A6D3178" w14:textId="77777777" w:rsidR="001A0FBC" w:rsidRDefault="001A0FBC">
      <w:pPr>
        <w:spacing w:line="360" w:lineRule="auto"/>
        <w:jc w:val="both"/>
        <w:rPr>
          <w:rFonts w:ascii="Palatino Linotype" w:eastAsia="Palatino Linotype" w:hAnsi="Palatino Linotype" w:cs="Palatino Linotype"/>
        </w:rPr>
      </w:pPr>
    </w:p>
    <w:p w14:paraId="7A0FA9EC" w14:textId="77777777" w:rsidR="001A0FBC" w:rsidRDefault="001A0FBC">
      <w:pPr>
        <w:spacing w:line="360" w:lineRule="auto"/>
        <w:jc w:val="both"/>
        <w:rPr>
          <w:rFonts w:ascii="Palatino Linotype" w:eastAsia="Palatino Linotype" w:hAnsi="Palatino Linotype" w:cs="Palatino Linotype"/>
        </w:rPr>
      </w:pPr>
    </w:p>
    <w:p w14:paraId="45F6C110" w14:textId="77777777" w:rsidR="001A0FBC" w:rsidRDefault="001A0FBC">
      <w:pPr>
        <w:spacing w:line="360" w:lineRule="auto"/>
        <w:jc w:val="both"/>
        <w:rPr>
          <w:rFonts w:ascii="Palatino Linotype" w:eastAsia="Palatino Linotype" w:hAnsi="Palatino Linotype" w:cs="Palatino Linotype"/>
        </w:rPr>
      </w:pPr>
    </w:p>
    <w:p w14:paraId="2659663F" w14:textId="77777777" w:rsidR="001A0FBC" w:rsidRDefault="001A0FBC">
      <w:pPr>
        <w:spacing w:line="360" w:lineRule="auto"/>
        <w:jc w:val="both"/>
        <w:rPr>
          <w:rFonts w:ascii="Palatino Linotype" w:eastAsia="Palatino Linotype" w:hAnsi="Palatino Linotype" w:cs="Palatino Linotype"/>
        </w:rPr>
      </w:pPr>
    </w:p>
    <w:p w14:paraId="4EB433C9" w14:textId="77777777" w:rsidR="001A0FBC" w:rsidRDefault="001A0FBC">
      <w:pPr>
        <w:spacing w:line="360" w:lineRule="auto"/>
        <w:jc w:val="both"/>
        <w:rPr>
          <w:rFonts w:ascii="Palatino Linotype" w:eastAsia="Palatino Linotype" w:hAnsi="Palatino Linotype" w:cs="Palatino Linotype"/>
        </w:rPr>
      </w:pPr>
    </w:p>
    <w:p w14:paraId="723388FF" w14:textId="77777777" w:rsidR="001A0FBC" w:rsidRDefault="001A0FBC">
      <w:pPr>
        <w:spacing w:line="360" w:lineRule="auto"/>
        <w:jc w:val="both"/>
        <w:rPr>
          <w:rFonts w:ascii="Palatino Linotype" w:eastAsia="Palatino Linotype" w:hAnsi="Palatino Linotype" w:cs="Palatino Linotype"/>
        </w:rPr>
      </w:pPr>
    </w:p>
    <w:p w14:paraId="3E1B9CD1" w14:textId="77777777" w:rsidR="001A0FBC" w:rsidRDefault="001A0FBC">
      <w:pPr>
        <w:spacing w:line="360" w:lineRule="auto"/>
        <w:jc w:val="both"/>
        <w:rPr>
          <w:rFonts w:ascii="Palatino Linotype" w:eastAsia="Palatino Linotype" w:hAnsi="Palatino Linotype" w:cs="Palatino Linotype"/>
        </w:rPr>
      </w:pPr>
    </w:p>
    <w:p w14:paraId="445BD345" w14:textId="77777777" w:rsidR="001A0FBC" w:rsidRDefault="001A0FBC">
      <w:pPr>
        <w:spacing w:line="360" w:lineRule="auto"/>
        <w:jc w:val="both"/>
        <w:rPr>
          <w:rFonts w:ascii="Palatino Linotype" w:eastAsia="Palatino Linotype" w:hAnsi="Palatino Linotype" w:cs="Palatino Linotype"/>
        </w:rPr>
      </w:pPr>
    </w:p>
    <w:p w14:paraId="11C4D3A3" w14:textId="77777777" w:rsidR="001A0FBC" w:rsidRDefault="001A0FBC">
      <w:pPr>
        <w:spacing w:line="360" w:lineRule="auto"/>
        <w:jc w:val="both"/>
        <w:rPr>
          <w:rFonts w:ascii="Palatino Linotype" w:eastAsia="Palatino Linotype" w:hAnsi="Palatino Linotype" w:cs="Palatino Linotype"/>
        </w:rPr>
      </w:pPr>
    </w:p>
    <w:p w14:paraId="46F7D853" w14:textId="77777777" w:rsidR="001A0FBC" w:rsidRDefault="001A0FBC">
      <w:pPr>
        <w:spacing w:line="360" w:lineRule="auto"/>
        <w:jc w:val="both"/>
        <w:rPr>
          <w:rFonts w:ascii="Palatino Linotype" w:eastAsia="Palatino Linotype" w:hAnsi="Palatino Linotype" w:cs="Palatino Linotype"/>
        </w:rPr>
      </w:pPr>
    </w:p>
    <w:p w14:paraId="2D32C644" w14:textId="77777777" w:rsidR="001A0FBC" w:rsidRDefault="001A0FBC">
      <w:pPr>
        <w:spacing w:line="360" w:lineRule="auto"/>
        <w:jc w:val="both"/>
        <w:rPr>
          <w:rFonts w:ascii="Palatino Linotype" w:eastAsia="Palatino Linotype" w:hAnsi="Palatino Linotype" w:cs="Palatino Linotype"/>
        </w:rPr>
      </w:pPr>
    </w:p>
    <w:p w14:paraId="0FECD794" w14:textId="77777777" w:rsidR="001A0FBC" w:rsidRDefault="001A0FBC">
      <w:pPr>
        <w:spacing w:line="360" w:lineRule="auto"/>
        <w:jc w:val="both"/>
        <w:rPr>
          <w:rFonts w:ascii="Palatino Linotype" w:eastAsia="Palatino Linotype" w:hAnsi="Palatino Linotype" w:cs="Palatino Linotype"/>
        </w:rPr>
      </w:pPr>
    </w:p>
    <w:p w14:paraId="0C16F713" w14:textId="77777777" w:rsidR="001A0FBC" w:rsidRDefault="001A0FBC">
      <w:pPr>
        <w:spacing w:line="360" w:lineRule="auto"/>
        <w:jc w:val="both"/>
        <w:rPr>
          <w:rFonts w:ascii="Palatino Linotype" w:eastAsia="Palatino Linotype" w:hAnsi="Palatino Linotype" w:cs="Palatino Linotype"/>
        </w:rPr>
      </w:pPr>
    </w:p>
    <w:p w14:paraId="6811511E" w14:textId="77777777" w:rsidR="001A0FBC" w:rsidRDefault="001A0FBC">
      <w:pPr>
        <w:spacing w:line="360" w:lineRule="auto"/>
        <w:jc w:val="both"/>
        <w:rPr>
          <w:rFonts w:ascii="Palatino Linotype" w:eastAsia="Palatino Linotype" w:hAnsi="Palatino Linotype" w:cs="Palatino Linotype"/>
        </w:rPr>
      </w:pPr>
    </w:p>
    <w:p w14:paraId="7B61D518" w14:textId="77777777" w:rsidR="001A0FBC" w:rsidRDefault="001A0FBC">
      <w:pPr>
        <w:spacing w:line="360" w:lineRule="auto"/>
        <w:jc w:val="both"/>
        <w:rPr>
          <w:rFonts w:ascii="Palatino Linotype" w:eastAsia="Palatino Linotype" w:hAnsi="Palatino Linotype" w:cs="Palatino Linotype"/>
        </w:rPr>
      </w:pPr>
    </w:p>
    <w:p w14:paraId="7338FAD1" w14:textId="77777777" w:rsidR="001A0FBC" w:rsidRDefault="001A0FBC">
      <w:pPr>
        <w:spacing w:line="360" w:lineRule="auto"/>
        <w:jc w:val="both"/>
        <w:rPr>
          <w:rFonts w:ascii="Palatino Linotype" w:eastAsia="Palatino Linotype" w:hAnsi="Palatino Linotype" w:cs="Palatino Linotype"/>
        </w:rPr>
      </w:pPr>
    </w:p>
    <w:p w14:paraId="6BFB22ED" w14:textId="77777777" w:rsidR="001A0FBC" w:rsidRDefault="001A0FBC">
      <w:pPr>
        <w:spacing w:line="360" w:lineRule="auto"/>
        <w:jc w:val="both"/>
        <w:rPr>
          <w:rFonts w:ascii="Palatino Linotype" w:eastAsia="Palatino Linotype" w:hAnsi="Palatino Linotype" w:cs="Palatino Linotype"/>
        </w:rPr>
      </w:pPr>
    </w:p>
    <w:p w14:paraId="1C77D9CF" w14:textId="77777777" w:rsidR="001A0FBC" w:rsidRDefault="001A0FBC">
      <w:pPr>
        <w:spacing w:line="360" w:lineRule="auto"/>
        <w:jc w:val="both"/>
        <w:rPr>
          <w:rFonts w:ascii="Palatino Linotype" w:eastAsia="Palatino Linotype" w:hAnsi="Palatino Linotype" w:cs="Palatino Linotype"/>
        </w:rPr>
      </w:pPr>
    </w:p>
    <w:sectPr w:rsidR="001A0FBC">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CD37" w14:textId="77777777" w:rsidR="00A40AF1" w:rsidRDefault="00A40AF1">
      <w:r>
        <w:separator/>
      </w:r>
    </w:p>
  </w:endnote>
  <w:endnote w:type="continuationSeparator" w:id="0">
    <w:p w14:paraId="6091DD44" w14:textId="77777777" w:rsidR="00A40AF1" w:rsidRDefault="00A4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2A84A" w14:textId="77777777" w:rsidR="001A0FBC" w:rsidRDefault="00CC34D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87D48">
      <w:rPr>
        <w:rFonts w:ascii="Palatino Linotype" w:eastAsia="Palatino Linotype" w:hAnsi="Palatino Linotype" w:cs="Palatino Linotype"/>
        <w:noProof/>
        <w:color w:val="000000"/>
        <w:sz w:val="22"/>
        <w:szCs w:val="22"/>
      </w:rPr>
      <w:t>29</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87D48">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634E" w14:textId="77777777" w:rsidR="001A0FBC" w:rsidRDefault="00CC34D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387D4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387D48">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27860" w14:textId="77777777" w:rsidR="00A40AF1" w:rsidRDefault="00A40AF1">
      <w:r>
        <w:separator/>
      </w:r>
    </w:p>
  </w:footnote>
  <w:footnote w:type="continuationSeparator" w:id="0">
    <w:p w14:paraId="2846689F" w14:textId="77777777" w:rsidR="00A40AF1" w:rsidRDefault="00A40AF1">
      <w:r>
        <w:continuationSeparator/>
      </w:r>
    </w:p>
  </w:footnote>
  <w:footnote w:id="1">
    <w:p w14:paraId="2D4EE8BC" w14:textId="77777777" w:rsidR="001A0FBC" w:rsidRDefault="00CC34D1">
      <w:pPr>
        <w:rPr>
          <w:rFonts w:ascii="Palatino Linotype" w:eastAsia="Palatino Linotype" w:hAnsi="Palatino Linotype" w:cs="Palatino Linotype"/>
          <w:sz w:val="20"/>
          <w:szCs w:val="20"/>
        </w:rPr>
      </w:pPr>
      <w:r>
        <w:rPr>
          <w:vertAlign w:val="superscript"/>
        </w:rPr>
        <w:footnoteRef/>
      </w:r>
      <w:r>
        <w:rPr>
          <w:rFonts w:ascii="Palatino Linotype" w:eastAsia="Palatino Linotype" w:hAnsi="Palatino Linotype" w:cs="Palatino Linotype"/>
          <w:sz w:val="20"/>
          <w:szCs w:val="20"/>
        </w:rPr>
        <w:t xml:space="preserve"> El recurso fue interpuesto en fecha diecisiete de abril, que fue día inhábil, en términos del artículo 3, fracción X de la Ley de Transparencia y Acceso a la Información Pública del Estado de México y Municipios por lo cual se tuvo por interpuesto al siguiente día hábil. </w:t>
      </w:r>
    </w:p>
  </w:footnote>
  <w:footnote w:id="2">
    <w:p w14:paraId="47435195" w14:textId="77777777" w:rsidR="001A0FBC" w:rsidRDefault="00CC34D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97914" w14:textId="77777777" w:rsidR="001A0FBC" w:rsidRDefault="00A40AF1">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48B6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ff3"/>
      <w:tblW w:w="9534" w:type="dxa"/>
      <w:tblInd w:w="-142" w:type="dxa"/>
      <w:tblLayout w:type="fixed"/>
      <w:tblLook w:val="0400" w:firstRow="0" w:lastRow="0" w:firstColumn="0" w:lastColumn="0" w:noHBand="0" w:noVBand="1"/>
    </w:tblPr>
    <w:tblGrid>
      <w:gridCol w:w="3261"/>
      <w:gridCol w:w="2551"/>
      <w:gridCol w:w="3722"/>
    </w:tblGrid>
    <w:tr w:rsidR="001A0FBC" w14:paraId="6C065692" w14:textId="77777777">
      <w:tc>
        <w:tcPr>
          <w:tcW w:w="3261" w:type="dxa"/>
          <w:vMerge w:val="restart"/>
        </w:tcPr>
        <w:p w14:paraId="31FBED7A" w14:textId="77777777" w:rsidR="001A0FBC" w:rsidRDefault="00A40AF1">
          <w:pPr>
            <w:rPr>
              <w:rFonts w:ascii="Palatino Linotype" w:eastAsia="Palatino Linotype" w:hAnsi="Palatino Linotype" w:cs="Palatino Linotype"/>
              <w:b/>
            </w:rPr>
          </w:pPr>
          <w:r>
            <w:rPr>
              <w:rFonts w:ascii="Palatino Linotype" w:eastAsia="Palatino Linotype" w:hAnsi="Palatino Linotype" w:cs="Palatino Linotype"/>
              <w:color w:val="000000"/>
              <w:sz w:val="28"/>
              <w:szCs w:val="28"/>
            </w:rPr>
            <w:pict w14:anchorId="321DF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r w:rsidR="00CC34D1">
            <w:rPr>
              <w:rFonts w:ascii="Palatino Linotype" w:eastAsia="Palatino Linotype" w:hAnsi="Palatino Linotype" w:cs="Palatino Linotype"/>
              <w:noProof/>
              <w:sz w:val="28"/>
              <w:szCs w:val="28"/>
            </w:rPr>
            <w:drawing>
              <wp:inline distT="0" distB="0" distL="0" distR="0" wp14:anchorId="4295563B" wp14:editId="7619E142">
                <wp:extent cx="1692162" cy="852673"/>
                <wp:effectExtent l="0" t="0" r="0" b="0"/>
                <wp:docPr id="3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28D22B0D" w14:textId="77777777"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21CA6160" w14:textId="77777777" w:rsidR="001A0FBC" w:rsidRDefault="00CC34D1">
          <w:pPr>
            <w:jc w:val="both"/>
            <w:rPr>
              <w:rFonts w:ascii="Palatino Linotype" w:eastAsia="Palatino Linotype" w:hAnsi="Palatino Linotype" w:cs="Palatino Linotype"/>
              <w:b/>
            </w:rPr>
          </w:pPr>
          <w:r>
            <w:rPr>
              <w:rFonts w:ascii="Palatino Linotype" w:eastAsia="Palatino Linotype" w:hAnsi="Palatino Linotype" w:cs="Palatino Linotype"/>
              <w:b/>
            </w:rPr>
            <w:t>05937/INFOEM/IP/RR/2022</w:t>
          </w:r>
        </w:p>
      </w:tc>
    </w:tr>
    <w:tr w:rsidR="001A0FBC" w14:paraId="709227EE" w14:textId="77777777">
      <w:tc>
        <w:tcPr>
          <w:tcW w:w="3261" w:type="dxa"/>
          <w:vMerge/>
        </w:tcPr>
        <w:p w14:paraId="4A340FCE" w14:textId="77777777" w:rsidR="001A0FBC" w:rsidRDefault="001A0FB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A4F39E9" w14:textId="77777777"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C6D84F2" w14:textId="77777777" w:rsidR="001A0FBC" w:rsidRDefault="00CC34D1">
          <w:pPr>
            <w:jc w:val="both"/>
            <w:rPr>
              <w:rFonts w:ascii="Palatino Linotype" w:eastAsia="Palatino Linotype" w:hAnsi="Palatino Linotype" w:cs="Palatino Linotype"/>
              <w:b/>
            </w:rPr>
          </w:pPr>
          <w:r>
            <w:rPr>
              <w:rFonts w:ascii="Palatino Linotype" w:eastAsia="Palatino Linotype" w:hAnsi="Palatino Linotype" w:cs="Palatino Linotype"/>
              <w:b/>
            </w:rPr>
            <w:t>Instituto de Salud del Estado de México</w:t>
          </w:r>
        </w:p>
      </w:tc>
    </w:tr>
    <w:tr w:rsidR="00294240" w14:paraId="03DF4D46" w14:textId="77777777">
      <w:trPr>
        <w:trHeight w:val="790"/>
      </w:trPr>
      <w:tc>
        <w:tcPr>
          <w:tcW w:w="3261" w:type="dxa"/>
          <w:vMerge/>
        </w:tcPr>
        <w:p w14:paraId="3212C481" w14:textId="77777777" w:rsidR="00294240" w:rsidRDefault="00294240" w:rsidP="00294240">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5096A33" w14:textId="0EEB2ACA" w:rsidR="00294240" w:rsidRDefault="00294240" w:rsidP="00294240">
          <w:pPr>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722" w:type="dxa"/>
          <w:shd w:val="clear" w:color="auto" w:fill="auto"/>
        </w:tcPr>
        <w:p w14:paraId="253BD822" w14:textId="04D58062" w:rsidR="00294240" w:rsidRDefault="00294240" w:rsidP="00294240">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José Martínez Vilchis </w:t>
          </w:r>
        </w:p>
      </w:tc>
    </w:tr>
  </w:tbl>
  <w:p w14:paraId="28A41D65" w14:textId="77777777" w:rsidR="001A0FBC" w:rsidRDefault="001A0FBC" w:rsidP="005D147D">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fffff2"/>
      <w:tblW w:w="9900" w:type="dxa"/>
      <w:tblInd w:w="-833" w:type="dxa"/>
      <w:tblLayout w:type="fixed"/>
      <w:tblLook w:val="0400" w:firstRow="0" w:lastRow="0" w:firstColumn="0" w:lastColumn="0" w:noHBand="0" w:noVBand="1"/>
    </w:tblPr>
    <w:tblGrid>
      <w:gridCol w:w="3805"/>
      <w:gridCol w:w="3000"/>
      <w:gridCol w:w="3095"/>
    </w:tblGrid>
    <w:tr w:rsidR="001A0FBC" w14:paraId="33F960FC" w14:textId="77777777">
      <w:tc>
        <w:tcPr>
          <w:tcW w:w="3805" w:type="dxa"/>
          <w:vMerge w:val="restart"/>
          <w:shd w:val="clear" w:color="auto" w:fill="auto"/>
        </w:tcPr>
        <w:p w14:paraId="35177B69" w14:textId="0DAAE1BB" w:rsidR="001A0FBC" w:rsidRDefault="00A40AF1">
          <w:pPr>
            <w:jc w:val="center"/>
            <w:rPr>
              <w:rFonts w:ascii="Palatino Linotype" w:eastAsia="Palatino Linotype" w:hAnsi="Palatino Linotype" w:cs="Palatino Linotype"/>
              <w:b/>
            </w:rPr>
          </w:pPr>
          <w:r>
            <w:rPr>
              <w:rFonts w:ascii="Palatino Linotype" w:eastAsia="Palatino Linotype" w:hAnsi="Palatino Linotype" w:cs="Palatino Linotype"/>
              <w:sz w:val="28"/>
              <w:szCs w:val="28"/>
            </w:rPr>
            <w:pict w14:anchorId="59E39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left:0;text-align:left;margin-left:0;margin-top:0;width:540pt;height:10in;z-index:-251658752;mso-position-horizontal:center;mso-position-horizontal-relative:margin;mso-position-vertical:center;mso-position-vertical-relative:margin">
                <v:imagedata r:id="rId1" o:title="image1"/>
                <w10:wrap anchorx="margin" anchory="margin"/>
              </v:shape>
            </w:pict>
          </w:r>
          <w:r w:rsidR="00CC34D1">
            <w:rPr>
              <w:rFonts w:ascii="Palatino Linotype" w:eastAsia="Palatino Linotype" w:hAnsi="Palatino Linotype" w:cs="Palatino Linotype"/>
              <w:noProof/>
              <w:sz w:val="28"/>
              <w:szCs w:val="28"/>
            </w:rPr>
            <w:drawing>
              <wp:inline distT="0" distB="0" distL="0" distR="0" wp14:anchorId="0BA2BF5C" wp14:editId="7D93E1EB">
                <wp:extent cx="1692162" cy="852673"/>
                <wp:effectExtent l="0" t="0" r="0" b="0"/>
                <wp:docPr id="3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60E6462E" w14:textId="77777777"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D1F4725" w14:textId="77777777" w:rsidR="001A0FBC" w:rsidRDefault="00CC34D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05937/INFOEM/IP/RR/2022 </w:t>
          </w:r>
        </w:p>
      </w:tc>
    </w:tr>
    <w:tr w:rsidR="001A0FBC" w14:paraId="15E0E309" w14:textId="77777777">
      <w:tc>
        <w:tcPr>
          <w:tcW w:w="3805" w:type="dxa"/>
          <w:vMerge/>
          <w:shd w:val="clear" w:color="auto" w:fill="auto"/>
        </w:tcPr>
        <w:p w14:paraId="010A77D8" w14:textId="77777777" w:rsidR="001A0FBC" w:rsidRDefault="001A0FB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9A45A36" w14:textId="77777777"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01257AB3" w14:textId="5DFA4ED0" w:rsidR="001A0FBC" w:rsidRDefault="00387D48">
          <w:pPr>
            <w:jc w:val="both"/>
            <w:rPr>
              <w:rFonts w:ascii="Palatino Linotype" w:eastAsia="Palatino Linotype" w:hAnsi="Palatino Linotype" w:cs="Palatino Linotype"/>
              <w:b/>
            </w:rPr>
          </w:pPr>
          <w:r>
            <w:rPr>
              <w:rFonts w:ascii="Palatino Linotype" w:eastAsia="Palatino Linotype" w:hAnsi="Palatino Linotype" w:cs="Palatino Linotype"/>
              <w:b/>
            </w:rPr>
            <w:t>XXXXXXXXXXXXXXXXXXX</w:t>
          </w:r>
        </w:p>
      </w:tc>
    </w:tr>
    <w:tr w:rsidR="001A0FBC" w14:paraId="1F228873" w14:textId="77777777">
      <w:trPr>
        <w:trHeight w:val="228"/>
      </w:trPr>
      <w:tc>
        <w:tcPr>
          <w:tcW w:w="3805" w:type="dxa"/>
          <w:vMerge/>
          <w:shd w:val="clear" w:color="auto" w:fill="auto"/>
        </w:tcPr>
        <w:p w14:paraId="6F727C5D" w14:textId="77777777" w:rsidR="001A0FBC" w:rsidRDefault="001A0FB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19F04D" w14:textId="77777777"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C247ED4" w14:textId="77777777" w:rsidR="001A0FBC" w:rsidRDefault="00CC34D1">
          <w:pPr>
            <w:jc w:val="both"/>
            <w:rPr>
              <w:rFonts w:ascii="Palatino Linotype" w:eastAsia="Palatino Linotype" w:hAnsi="Palatino Linotype" w:cs="Palatino Linotype"/>
              <w:b/>
            </w:rPr>
          </w:pPr>
          <w:r>
            <w:rPr>
              <w:rFonts w:ascii="Palatino Linotype" w:eastAsia="Palatino Linotype" w:hAnsi="Palatino Linotype" w:cs="Palatino Linotype"/>
              <w:b/>
            </w:rPr>
            <w:t>Instituto de Salud del Estado de México</w:t>
          </w:r>
        </w:p>
      </w:tc>
    </w:tr>
    <w:tr w:rsidR="001A0FBC" w14:paraId="45E4FF2B" w14:textId="77777777">
      <w:tc>
        <w:tcPr>
          <w:tcW w:w="3805" w:type="dxa"/>
          <w:vMerge/>
          <w:shd w:val="clear" w:color="auto" w:fill="auto"/>
        </w:tcPr>
        <w:p w14:paraId="0AD959F4" w14:textId="77777777" w:rsidR="001A0FBC" w:rsidRDefault="001A0FB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F5CA5A1" w14:textId="12E1A8C8" w:rsidR="001A0FBC" w:rsidRDefault="00CC34D1">
          <w:pPr>
            <w:rPr>
              <w:rFonts w:ascii="Palatino Linotype" w:eastAsia="Palatino Linotype" w:hAnsi="Palatino Linotype" w:cs="Palatino Linotype"/>
              <w:b/>
            </w:rPr>
          </w:pPr>
          <w:r>
            <w:rPr>
              <w:rFonts w:ascii="Palatino Linotype" w:eastAsia="Palatino Linotype" w:hAnsi="Palatino Linotype" w:cs="Palatino Linotype"/>
              <w:b/>
            </w:rPr>
            <w:t>Comisionad</w:t>
          </w:r>
          <w:r w:rsidR="00294240">
            <w:rPr>
              <w:rFonts w:ascii="Palatino Linotype" w:eastAsia="Palatino Linotype" w:hAnsi="Palatino Linotype" w:cs="Palatino Linotype"/>
              <w:b/>
            </w:rPr>
            <w:t>o</w:t>
          </w:r>
          <w:r>
            <w:rPr>
              <w:rFonts w:ascii="Palatino Linotype" w:eastAsia="Palatino Linotype" w:hAnsi="Palatino Linotype" w:cs="Palatino Linotype"/>
              <w:b/>
            </w:rPr>
            <w:t xml:space="preserve"> Ponente:</w:t>
          </w:r>
        </w:p>
      </w:tc>
      <w:tc>
        <w:tcPr>
          <w:tcW w:w="3095" w:type="dxa"/>
          <w:shd w:val="clear" w:color="auto" w:fill="auto"/>
        </w:tcPr>
        <w:p w14:paraId="304AEFF9" w14:textId="4D07E4AE" w:rsidR="001A0FBC" w:rsidRDefault="00294240">
          <w:pPr>
            <w:jc w:val="both"/>
            <w:rPr>
              <w:rFonts w:ascii="Palatino Linotype" w:eastAsia="Palatino Linotype" w:hAnsi="Palatino Linotype" w:cs="Palatino Linotype"/>
              <w:b/>
            </w:rPr>
          </w:pPr>
          <w:r>
            <w:rPr>
              <w:rFonts w:ascii="Palatino Linotype" w:eastAsia="Palatino Linotype" w:hAnsi="Palatino Linotype" w:cs="Palatino Linotype"/>
              <w:b/>
            </w:rPr>
            <w:t>José Martínez Vilchis</w:t>
          </w:r>
          <w:r w:rsidR="00CC34D1">
            <w:rPr>
              <w:rFonts w:ascii="Palatino Linotype" w:eastAsia="Palatino Linotype" w:hAnsi="Palatino Linotype" w:cs="Palatino Linotype"/>
              <w:b/>
            </w:rPr>
            <w:t xml:space="preserve"> </w:t>
          </w:r>
        </w:p>
      </w:tc>
    </w:tr>
  </w:tbl>
  <w:p w14:paraId="7D1DFB0B" w14:textId="77777777" w:rsidR="001A0FBC" w:rsidRDefault="001A0FBC" w:rsidP="00294240">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D3B6D"/>
    <w:multiLevelType w:val="multilevel"/>
    <w:tmpl w:val="E5627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AF2BD3"/>
    <w:multiLevelType w:val="multilevel"/>
    <w:tmpl w:val="F2788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FBC"/>
    <w:rsid w:val="00006AB4"/>
    <w:rsid w:val="00074309"/>
    <w:rsid w:val="001A0FBC"/>
    <w:rsid w:val="00294240"/>
    <w:rsid w:val="003842EE"/>
    <w:rsid w:val="00387D48"/>
    <w:rsid w:val="00407084"/>
    <w:rsid w:val="00430697"/>
    <w:rsid w:val="00463E6A"/>
    <w:rsid w:val="005D147D"/>
    <w:rsid w:val="00684B79"/>
    <w:rsid w:val="007429E9"/>
    <w:rsid w:val="0089683D"/>
    <w:rsid w:val="009B70DA"/>
    <w:rsid w:val="00A40AF1"/>
    <w:rsid w:val="00AC079D"/>
    <w:rsid w:val="00C77FD4"/>
    <w:rsid w:val="00CC34D1"/>
    <w:rsid w:val="00DD1C33"/>
    <w:rsid w:val="00E834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1883AF"/>
  <w15:docId w15:val="{895012C6-2DD6-40B5-8552-35C5796E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2"/>
    <w:tblPr>
      <w:tblStyleRowBandSize w:val="1"/>
      <w:tblStyleColBandSize w:val="1"/>
      <w:tblCellMar>
        <w:top w:w="100" w:type="dxa"/>
        <w:left w:w="100" w:type="dxa"/>
        <w:bottom w:w="100" w:type="dxa"/>
        <w:right w:w="100" w:type="dxa"/>
      </w:tblCellMar>
    </w:tblPr>
  </w:style>
  <w:style w:type="table" w:customStyle="1" w:styleId="a0">
    <w:basedOn w:val="TableNormalff2"/>
    <w:tblPr>
      <w:tblStyleRowBandSize w:val="1"/>
      <w:tblStyleColBandSize w:val="1"/>
      <w:tblCellMar>
        <w:left w:w="115" w:type="dxa"/>
        <w:right w:w="115" w:type="dxa"/>
      </w:tblCellMar>
    </w:tblPr>
  </w:style>
  <w:style w:type="table" w:customStyle="1" w:styleId="a1">
    <w:basedOn w:val="TableNormalff2"/>
    <w:tblPr>
      <w:tblStyleRowBandSize w:val="1"/>
      <w:tblStyleColBandSize w:val="1"/>
      <w:tblCellMar>
        <w:left w:w="115" w:type="dxa"/>
        <w:right w:w="115" w:type="dxa"/>
      </w:tblCellMar>
    </w:tblPr>
  </w:style>
  <w:style w:type="table" w:customStyle="1" w:styleId="a2">
    <w:basedOn w:val="TableNormalff2"/>
    <w:tblPr>
      <w:tblStyleRowBandSize w:val="1"/>
      <w:tblStyleColBandSize w:val="1"/>
      <w:tblCellMar>
        <w:left w:w="115" w:type="dxa"/>
        <w:right w:w="115" w:type="dxa"/>
      </w:tblCellMar>
    </w:tblPr>
  </w:style>
  <w:style w:type="table" w:customStyle="1" w:styleId="a3">
    <w:basedOn w:val="TableNormalff2"/>
    <w:tblPr>
      <w:tblStyleRowBandSize w:val="1"/>
      <w:tblStyleColBandSize w:val="1"/>
      <w:tblCellMar>
        <w:left w:w="115" w:type="dxa"/>
        <w:right w:w="115" w:type="dxa"/>
      </w:tblCellMar>
    </w:tblPr>
  </w:style>
  <w:style w:type="table" w:customStyle="1" w:styleId="a4">
    <w:basedOn w:val="TableNormalff2"/>
    <w:tblPr>
      <w:tblStyleRowBandSize w:val="1"/>
      <w:tblStyleColBandSize w:val="1"/>
      <w:tblCellMar>
        <w:left w:w="115" w:type="dxa"/>
        <w:right w:w="115" w:type="dxa"/>
      </w:tblCellMar>
    </w:tblPr>
  </w:style>
  <w:style w:type="table" w:customStyle="1" w:styleId="a5">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2"/>
    <w:tblPr>
      <w:tblStyleRowBandSize w:val="1"/>
      <w:tblStyleColBandSize w:val="1"/>
      <w:tblCellMar>
        <w:left w:w="115" w:type="dxa"/>
        <w:right w:w="115" w:type="dxa"/>
      </w:tblCellMar>
    </w:tblPr>
  </w:style>
  <w:style w:type="table" w:customStyle="1" w:styleId="a7">
    <w:basedOn w:val="TableNormalff2"/>
    <w:tblPr>
      <w:tblStyleRowBandSize w:val="1"/>
      <w:tblStyleColBandSize w:val="1"/>
      <w:tblCellMar>
        <w:left w:w="115" w:type="dxa"/>
        <w:right w:w="115" w:type="dxa"/>
      </w:tblCellMar>
    </w:tblPr>
  </w:style>
  <w:style w:type="table" w:customStyle="1" w:styleId="a8">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2"/>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1"/>
    <w:tblPr>
      <w:tblStyleRowBandSize w:val="1"/>
      <w:tblStyleColBandSize w:val="1"/>
      <w:tblCellMar>
        <w:left w:w="115" w:type="dxa"/>
        <w:right w:w="115" w:type="dxa"/>
      </w:tblCellMar>
    </w:tblPr>
  </w:style>
  <w:style w:type="table" w:customStyle="1" w:styleId="afff3">
    <w:basedOn w:val="TableNormalf1"/>
    <w:tblPr>
      <w:tblStyleRowBandSize w:val="1"/>
      <w:tblStyleColBandSize w:val="1"/>
      <w:tblCellMar>
        <w:top w:w="100" w:type="dxa"/>
        <w:left w:w="100" w:type="dxa"/>
        <w:bottom w:w="100" w:type="dxa"/>
        <w:right w:w="100" w:type="dxa"/>
      </w:tblCellMar>
    </w:tblPr>
  </w:style>
  <w:style w:type="table" w:customStyle="1" w:styleId="a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1"/>
    <w:tblPr>
      <w:tblStyleRowBandSize w:val="1"/>
      <w:tblStyleColBandSize w:val="1"/>
      <w:tblCellMar>
        <w:top w:w="100" w:type="dxa"/>
        <w:left w:w="100" w:type="dxa"/>
        <w:bottom w:w="100" w:type="dxa"/>
        <w:right w:w="100" w:type="dxa"/>
      </w:tblCellMar>
    </w:tblPr>
  </w:style>
  <w:style w:type="table" w:customStyle="1" w:styleId="a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1"/>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1"/>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002145">
      <w:bodyDiv w:val="1"/>
      <w:marLeft w:val="0"/>
      <w:marRight w:val="0"/>
      <w:marTop w:val="0"/>
      <w:marBottom w:val="0"/>
      <w:divBdr>
        <w:top w:val="none" w:sz="0" w:space="0" w:color="auto"/>
        <w:left w:val="none" w:sz="0" w:space="0" w:color="auto"/>
        <w:bottom w:val="none" w:sz="0" w:space="0" w:color="auto"/>
        <w:right w:val="none" w:sz="0" w:space="0" w:color="auto"/>
      </w:divBdr>
    </w:div>
    <w:div w:id="1780638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x7pyK4R1Y3CYj/TNSMgRp7usIQ==">AMUW2mXSQ/RzaWbAe2TV+GgkEZcEssRkYxffj2Di1L0dYeMPad2Qo+oIaCHLGrE2v8ACMO2M7egT7nmMH/VC4TFLOfZWLjys7lbJRwqtGEY4Ql+ViIVEarbOMSLtxy3XZi1j9tpdg8GahTUdDYwXmQ8w/595AnU699aLqgMIi1VKnEJQMUOluTRDeS3pmo9tfPZitoRKO7/Zi2MwRS+MYF6f2UFRgffRxA==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33</Pages>
  <Words>6749</Words>
  <Characters>37120</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Rodrigo Nájera</cp:lastModifiedBy>
  <cp:revision>10</cp:revision>
  <dcterms:created xsi:type="dcterms:W3CDTF">2022-06-23T18:32:00Z</dcterms:created>
  <dcterms:modified xsi:type="dcterms:W3CDTF">2022-07-10T17:10:00Z</dcterms:modified>
</cp:coreProperties>
</file>