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50C468BD" w:rsidR="00EA0165" w:rsidRPr="00767393" w:rsidRDefault="00EA0165" w:rsidP="00ED47C0">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767393">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767393">
        <w:rPr>
          <w:rFonts w:ascii="Palatino Linotype" w:eastAsiaTheme="minorEastAsia" w:hAnsi="Palatino Linotype" w:cstheme="minorBidi"/>
          <w:color w:val="000000" w:themeColor="text1"/>
          <w:lang w:val="es-ES_tradnl"/>
        </w:rPr>
        <w:t xml:space="preserve">n Metepec, Estado </w:t>
      </w:r>
      <w:r w:rsidR="00C96793" w:rsidRPr="00767393">
        <w:rPr>
          <w:rFonts w:ascii="Palatino Linotype" w:eastAsiaTheme="minorEastAsia" w:hAnsi="Palatino Linotype" w:cstheme="minorBidi"/>
          <w:color w:val="000000" w:themeColor="text1"/>
          <w:lang w:val="es-ES_tradnl"/>
        </w:rPr>
        <w:t>de México; de veinticuatro</w:t>
      </w:r>
      <w:r w:rsidR="00B96D41" w:rsidRPr="00767393">
        <w:rPr>
          <w:rFonts w:ascii="Palatino Linotype" w:eastAsiaTheme="minorEastAsia" w:hAnsi="Palatino Linotype" w:cstheme="minorBidi"/>
          <w:color w:val="000000" w:themeColor="text1"/>
          <w:lang w:val="es-ES_tradnl"/>
        </w:rPr>
        <w:t xml:space="preserve"> </w:t>
      </w:r>
      <w:r w:rsidRPr="00767393">
        <w:rPr>
          <w:rFonts w:ascii="Palatino Linotype" w:eastAsiaTheme="minorEastAsia" w:hAnsi="Palatino Linotype" w:cstheme="minorBidi"/>
          <w:color w:val="000000" w:themeColor="text1"/>
          <w:lang w:val="es-MX"/>
        </w:rPr>
        <w:t>(</w:t>
      </w:r>
      <w:r w:rsidR="00C96793" w:rsidRPr="00767393">
        <w:rPr>
          <w:rFonts w:ascii="Palatino Linotype" w:eastAsiaTheme="minorEastAsia" w:hAnsi="Palatino Linotype" w:cstheme="minorBidi"/>
          <w:color w:val="000000" w:themeColor="text1"/>
          <w:lang w:val="es-MX"/>
        </w:rPr>
        <w:t>24</w:t>
      </w:r>
      <w:r w:rsidRPr="00767393">
        <w:rPr>
          <w:rFonts w:ascii="Palatino Linotype" w:eastAsiaTheme="minorEastAsia" w:hAnsi="Palatino Linotype" w:cstheme="minorBidi"/>
          <w:color w:val="000000" w:themeColor="text1"/>
          <w:lang w:val="es-MX"/>
        </w:rPr>
        <w:t>) de</w:t>
      </w:r>
      <w:r w:rsidR="00F85756" w:rsidRPr="00767393">
        <w:rPr>
          <w:rFonts w:ascii="Palatino Linotype" w:eastAsiaTheme="minorEastAsia" w:hAnsi="Palatino Linotype" w:cstheme="minorBidi"/>
          <w:color w:val="000000" w:themeColor="text1"/>
          <w:lang w:val="es-MX"/>
        </w:rPr>
        <w:t xml:space="preserve"> agosto</w:t>
      </w:r>
      <w:r w:rsidR="006D4186" w:rsidRPr="00767393">
        <w:rPr>
          <w:rFonts w:ascii="Palatino Linotype" w:eastAsiaTheme="minorEastAsia" w:hAnsi="Palatino Linotype" w:cstheme="minorBidi"/>
          <w:color w:val="000000" w:themeColor="text1"/>
          <w:lang w:val="es-MX"/>
        </w:rPr>
        <w:t xml:space="preserve"> </w:t>
      </w:r>
      <w:r w:rsidR="00003CF3" w:rsidRPr="00767393">
        <w:rPr>
          <w:rFonts w:ascii="Palatino Linotype" w:eastAsiaTheme="minorEastAsia" w:hAnsi="Palatino Linotype" w:cstheme="minorBidi"/>
          <w:color w:val="000000" w:themeColor="text1"/>
          <w:lang w:val="es-MX"/>
        </w:rPr>
        <w:t>de dos mil veintidós</w:t>
      </w:r>
      <w:r w:rsidRPr="00767393">
        <w:rPr>
          <w:rFonts w:ascii="Palatino Linotype" w:eastAsiaTheme="minorEastAsia" w:hAnsi="Palatino Linotype" w:cstheme="minorBidi"/>
          <w:color w:val="000000" w:themeColor="text1"/>
          <w:lang w:val="es-ES_tradnl"/>
        </w:rPr>
        <w:t xml:space="preserve">. </w:t>
      </w:r>
    </w:p>
    <w:p w14:paraId="79BA84B1" w14:textId="5AC20CC1" w:rsidR="00C36DF2" w:rsidRPr="00767393" w:rsidRDefault="00C36DF2" w:rsidP="00ED47C0">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767393">
        <w:rPr>
          <w:rFonts w:ascii="Palatino Linotype" w:eastAsiaTheme="minorEastAsia" w:hAnsi="Palatino Linotype" w:cstheme="minorBidi"/>
          <w:b/>
          <w:color w:val="000000" w:themeColor="text1"/>
          <w:lang w:val="es-ES_tradnl"/>
        </w:rPr>
        <w:t>VISTO</w:t>
      </w:r>
      <w:r w:rsidRPr="00767393">
        <w:rPr>
          <w:rFonts w:ascii="Palatino Linotype" w:eastAsiaTheme="minorEastAsia" w:hAnsi="Palatino Linotype" w:cstheme="minorBidi"/>
          <w:color w:val="000000" w:themeColor="text1"/>
          <w:lang w:val="es-ES_tradnl"/>
        </w:rPr>
        <w:t xml:space="preserve"> el expediente electrónico formado con motivo del recurso de revisión</w:t>
      </w:r>
      <w:r w:rsidR="00C96793" w:rsidRPr="00767393">
        <w:rPr>
          <w:rFonts w:ascii="Palatino Linotype" w:eastAsiaTheme="minorEastAsia" w:hAnsi="Palatino Linotype" w:cstheme="minorBidi"/>
          <w:color w:val="000000" w:themeColor="text1"/>
          <w:lang w:val="es-ES_tradnl"/>
        </w:rPr>
        <w:t xml:space="preserve"> </w:t>
      </w:r>
      <w:r w:rsidR="00C96793" w:rsidRPr="00767393">
        <w:rPr>
          <w:rFonts w:ascii="Palatino Linotype" w:eastAsiaTheme="minorEastAsia" w:hAnsi="Palatino Linotype" w:cstheme="minorBidi"/>
          <w:b/>
          <w:bCs/>
          <w:color w:val="000000" w:themeColor="text1"/>
        </w:rPr>
        <w:t>07513/INFOEM/IP/RR/2022</w:t>
      </w:r>
      <w:r w:rsidRPr="00767393">
        <w:rPr>
          <w:rFonts w:ascii="Palatino Linotype" w:eastAsiaTheme="minorEastAsia" w:hAnsi="Palatino Linotype" w:cstheme="minorBidi"/>
          <w:b/>
          <w:bCs/>
          <w:color w:val="000000" w:themeColor="text1"/>
        </w:rPr>
        <w:t xml:space="preserve">, </w:t>
      </w:r>
      <w:r w:rsidR="00F85756" w:rsidRPr="00767393">
        <w:rPr>
          <w:rFonts w:ascii="Palatino Linotype" w:eastAsiaTheme="minorEastAsia" w:hAnsi="Palatino Linotype" w:cstheme="minorBidi"/>
          <w:color w:val="000000" w:themeColor="text1"/>
          <w:lang w:val="es-ES_tradnl"/>
        </w:rPr>
        <w:t xml:space="preserve">promovido por </w:t>
      </w:r>
      <w:r w:rsidR="00767393" w:rsidRPr="00767393">
        <w:rPr>
          <w:rFonts w:ascii="Palatino Linotype" w:eastAsiaTheme="minorEastAsia" w:hAnsi="Palatino Linotype" w:cstheme="minorBidi"/>
          <w:b/>
          <w:bCs/>
          <w:color w:val="000000" w:themeColor="text1"/>
        </w:rPr>
        <w:t>XXXXXX XXXXX XXXX</w:t>
      </w:r>
      <w:r w:rsidR="00C96793" w:rsidRPr="00767393">
        <w:rPr>
          <w:rFonts w:ascii="Palatino Linotype" w:eastAsiaTheme="minorEastAsia" w:hAnsi="Palatino Linotype" w:cstheme="minorBidi"/>
          <w:color w:val="000000" w:themeColor="text1"/>
          <w:lang w:val="es-ES_tradnl"/>
        </w:rPr>
        <w:t xml:space="preserve"> </w:t>
      </w:r>
      <w:r w:rsidRPr="00767393">
        <w:rPr>
          <w:rFonts w:ascii="Palatino Linotype" w:eastAsiaTheme="minorEastAsia" w:hAnsi="Palatino Linotype" w:cstheme="minorBidi"/>
          <w:color w:val="000000" w:themeColor="text1"/>
          <w:lang w:val="es-ES_tradnl"/>
        </w:rPr>
        <w:t xml:space="preserve">en su calidad de </w:t>
      </w:r>
      <w:r w:rsidRPr="00767393">
        <w:rPr>
          <w:rFonts w:ascii="Palatino Linotype" w:eastAsiaTheme="minorEastAsia" w:hAnsi="Palatino Linotype" w:cstheme="minorBidi"/>
          <w:b/>
          <w:color w:val="000000" w:themeColor="text1"/>
          <w:lang w:val="es-ES_tradnl"/>
        </w:rPr>
        <w:t>RECURRENTE</w:t>
      </w:r>
      <w:r w:rsidRPr="00767393">
        <w:rPr>
          <w:rFonts w:ascii="Palatino Linotype" w:eastAsiaTheme="minorEastAsia" w:hAnsi="Palatino Linotype" w:cstheme="minorBidi"/>
          <w:color w:val="000000" w:themeColor="text1"/>
          <w:lang w:val="es-ES_tradnl"/>
        </w:rPr>
        <w:t xml:space="preserve">, en </w:t>
      </w:r>
      <w:r w:rsidR="00F85756" w:rsidRPr="00767393">
        <w:rPr>
          <w:rFonts w:ascii="Palatino Linotype" w:eastAsiaTheme="minorEastAsia" w:hAnsi="Palatino Linotype" w:cstheme="minorBidi"/>
          <w:color w:val="000000" w:themeColor="text1"/>
          <w:lang w:val="es-ES_tradnl"/>
        </w:rPr>
        <w:t>contra de la respuesta del</w:t>
      </w:r>
      <w:r w:rsidR="006D4186" w:rsidRPr="00767393">
        <w:rPr>
          <w:rFonts w:ascii="Palatino Linotype" w:eastAsiaTheme="minorEastAsia" w:hAnsi="Palatino Linotype" w:cstheme="minorBidi"/>
          <w:b/>
          <w:color w:val="000000" w:themeColor="text1"/>
          <w:lang w:val="es-ES_tradnl"/>
        </w:rPr>
        <w:t xml:space="preserve"> </w:t>
      </w:r>
      <w:r w:rsidR="00C96793" w:rsidRPr="00767393">
        <w:rPr>
          <w:rFonts w:ascii="Palatino Linotype" w:eastAsiaTheme="minorEastAsia" w:hAnsi="Palatino Linotype" w:cstheme="minorBidi"/>
          <w:b/>
          <w:bCs/>
          <w:color w:val="000000" w:themeColor="text1"/>
        </w:rPr>
        <w:t xml:space="preserve">Ayuntamiento de Chapultepec </w:t>
      </w:r>
      <w:r w:rsidRPr="00767393">
        <w:rPr>
          <w:rFonts w:ascii="Palatino Linotype" w:eastAsiaTheme="minorEastAsia" w:hAnsi="Palatino Linotype" w:cstheme="minorBidi"/>
          <w:color w:val="000000" w:themeColor="text1"/>
          <w:lang w:val="es-ES_tradnl"/>
        </w:rPr>
        <w:t>en lo</w:t>
      </w:r>
      <w:r w:rsidRPr="00767393">
        <w:rPr>
          <w:rFonts w:ascii="Palatino Linotype" w:eastAsiaTheme="minorEastAsia" w:hAnsi="Palatino Linotype" w:cstheme="minorBidi"/>
          <w:b/>
          <w:color w:val="000000" w:themeColor="text1"/>
          <w:lang w:val="es-ES_tradnl"/>
        </w:rPr>
        <w:t xml:space="preserve"> </w:t>
      </w:r>
      <w:r w:rsidRPr="00767393">
        <w:rPr>
          <w:rFonts w:ascii="Palatino Linotype" w:eastAsiaTheme="minorEastAsia" w:hAnsi="Palatino Linotype" w:cstheme="minorBidi"/>
          <w:color w:val="000000" w:themeColor="text1"/>
          <w:lang w:val="es-ES_tradnl"/>
        </w:rPr>
        <w:t>sucesivo el</w:t>
      </w:r>
      <w:r w:rsidRPr="00767393">
        <w:rPr>
          <w:rFonts w:ascii="Palatino Linotype" w:eastAsiaTheme="minorEastAsia" w:hAnsi="Palatino Linotype" w:cstheme="minorBidi"/>
          <w:b/>
          <w:color w:val="000000" w:themeColor="text1"/>
          <w:lang w:val="es-ES_tradnl"/>
        </w:rPr>
        <w:t xml:space="preserve"> SUJETO OBLIGADO, </w:t>
      </w:r>
      <w:r w:rsidRPr="00767393">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767393" w:rsidRDefault="00EA0165" w:rsidP="00ED47C0">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4490248"/>
      <w:r w:rsidRPr="00767393">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42E1670C" w:rsidR="00707416" w:rsidRPr="00767393" w:rsidRDefault="00EA0165" w:rsidP="00ED47C0">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767393">
        <w:rPr>
          <w:rFonts w:ascii="Palatino Linotype" w:eastAsia="Calibri" w:hAnsi="Palatino Linotype" w:cs="Arial"/>
          <w:color w:val="000000" w:themeColor="text1"/>
        </w:rPr>
        <w:t>El</w:t>
      </w:r>
      <w:r w:rsidR="00F216D7" w:rsidRPr="00767393">
        <w:rPr>
          <w:rFonts w:ascii="Palatino Linotype" w:eastAsia="Calibri" w:hAnsi="Palatino Linotype" w:cs="Arial"/>
          <w:color w:val="000000" w:themeColor="text1"/>
        </w:rPr>
        <w:t xml:space="preserve"> </w:t>
      </w:r>
      <w:r w:rsidR="00FE0313" w:rsidRPr="00767393">
        <w:rPr>
          <w:rFonts w:ascii="Palatino Linotype" w:eastAsia="Calibri" w:hAnsi="Palatino Linotype" w:cs="Arial"/>
          <w:color w:val="000000" w:themeColor="text1"/>
        </w:rPr>
        <w:t>ocho</w:t>
      </w:r>
      <w:r w:rsidR="006D4186" w:rsidRPr="00767393">
        <w:rPr>
          <w:rFonts w:ascii="Palatino Linotype" w:eastAsia="Calibri" w:hAnsi="Palatino Linotype" w:cs="Arial"/>
          <w:color w:val="000000" w:themeColor="text1"/>
        </w:rPr>
        <w:t xml:space="preserve"> </w:t>
      </w:r>
      <w:r w:rsidRPr="00767393">
        <w:rPr>
          <w:rFonts w:ascii="Palatino Linotype" w:eastAsia="Calibri" w:hAnsi="Palatino Linotype" w:cs="Arial"/>
          <w:color w:val="000000" w:themeColor="text1"/>
        </w:rPr>
        <w:t>(</w:t>
      </w:r>
      <w:r w:rsidR="00FE0313" w:rsidRPr="00767393">
        <w:rPr>
          <w:rFonts w:ascii="Palatino Linotype" w:eastAsia="Calibri" w:hAnsi="Palatino Linotype" w:cs="Arial"/>
          <w:color w:val="000000" w:themeColor="text1"/>
        </w:rPr>
        <w:t>08</w:t>
      </w:r>
      <w:r w:rsidRPr="00767393">
        <w:rPr>
          <w:rFonts w:ascii="Palatino Linotype" w:eastAsia="Calibri" w:hAnsi="Palatino Linotype" w:cs="Arial"/>
          <w:color w:val="000000" w:themeColor="text1"/>
        </w:rPr>
        <w:t>) de</w:t>
      </w:r>
      <w:r w:rsidR="006D4186" w:rsidRPr="00767393">
        <w:rPr>
          <w:rFonts w:ascii="Palatino Linotype" w:eastAsia="Calibri" w:hAnsi="Palatino Linotype" w:cs="Arial"/>
          <w:color w:val="000000" w:themeColor="text1"/>
        </w:rPr>
        <w:t xml:space="preserve"> abril</w:t>
      </w:r>
      <w:r w:rsidR="00707416" w:rsidRPr="00767393">
        <w:rPr>
          <w:rFonts w:ascii="Palatino Linotype" w:eastAsia="Calibri" w:hAnsi="Palatino Linotype" w:cs="Arial"/>
          <w:color w:val="000000" w:themeColor="text1"/>
        </w:rPr>
        <w:t xml:space="preserve"> </w:t>
      </w:r>
      <w:r w:rsidRPr="00767393">
        <w:rPr>
          <w:rFonts w:ascii="Palatino Linotype" w:eastAsia="Calibri" w:hAnsi="Palatino Linotype" w:cs="Arial"/>
          <w:color w:val="000000" w:themeColor="text1"/>
        </w:rPr>
        <w:t xml:space="preserve">de dos mil </w:t>
      </w:r>
      <w:r w:rsidR="003915BA" w:rsidRPr="00767393">
        <w:rPr>
          <w:rFonts w:ascii="Palatino Linotype" w:eastAsia="Calibri" w:hAnsi="Palatino Linotype" w:cs="Arial"/>
          <w:color w:val="000000" w:themeColor="text1"/>
        </w:rPr>
        <w:t>veintidós</w:t>
      </w:r>
      <w:r w:rsidRPr="00767393">
        <w:rPr>
          <w:rFonts w:ascii="Palatino Linotype" w:eastAsia="Calibri" w:hAnsi="Palatino Linotype" w:cs="Arial"/>
          <w:color w:val="000000" w:themeColor="text1"/>
        </w:rPr>
        <w:t xml:space="preserve">, </w:t>
      </w:r>
      <w:r w:rsidRPr="00767393">
        <w:rPr>
          <w:rFonts w:ascii="Palatino Linotype" w:eastAsiaTheme="minorEastAsia" w:hAnsi="Palatino Linotype" w:cstheme="minorBidi"/>
          <w:color w:val="000000" w:themeColor="text1"/>
          <w:lang w:val="es-ES_tradnl"/>
        </w:rPr>
        <w:t>el particular presentó</w:t>
      </w:r>
      <w:r w:rsidRPr="00767393">
        <w:rPr>
          <w:rFonts w:ascii="Palatino Linotype" w:eastAsiaTheme="minorEastAsia" w:hAnsi="Palatino Linotype" w:cstheme="minorBidi"/>
          <w:b/>
          <w:color w:val="000000" w:themeColor="text1"/>
          <w:lang w:val="es-ES_tradnl"/>
        </w:rPr>
        <w:t xml:space="preserve"> </w:t>
      </w:r>
      <w:r w:rsidR="00936BED" w:rsidRPr="00767393">
        <w:rPr>
          <w:rFonts w:ascii="Palatino Linotype" w:eastAsiaTheme="minorEastAsia" w:hAnsi="Palatino Linotype" w:cstheme="minorBidi"/>
          <w:bCs/>
          <w:color w:val="000000" w:themeColor="text1"/>
          <w:lang w:val="es-ES_tradnl"/>
        </w:rPr>
        <w:t>a través de</w:t>
      </w:r>
      <w:r w:rsidR="00923BD9" w:rsidRPr="00767393">
        <w:rPr>
          <w:rFonts w:ascii="Palatino Linotype" w:eastAsiaTheme="minorEastAsia" w:hAnsi="Palatino Linotype" w:cstheme="minorBidi"/>
          <w:bCs/>
          <w:color w:val="000000" w:themeColor="text1"/>
          <w:lang w:val="es-ES_tradnl"/>
        </w:rPr>
        <w:t>l</w:t>
      </w:r>
      <w:r w:rsidR="00923BD9" w:rsidRPr="00767393">
        <w:rPr>
          <w:rFonts w:ascii="Palatino Linotype" w:eastAsia="Calibri" w:hAnsi="Palatino Linotype" w:cs="Arial"/>
          <w:color w:val="000000" w:themeColor="text1"/>
        </w:rPr>
        <w:t xml:space="preserve"> </w:t>
      </w:r>
      <w:r w:rsidR="00923BD9" w:rsidRPr="00767393">
        <w:rPr>
          <w:rFonts w:ascii="Palatino Linotype" w:eastAsiaTheme="minorEastAsia" w:hAnsi="Palatino Linotype" w:cstheme="minorBidi"/>
          <w:bCs/>
          <w:color w:val="000000" w:themeColor="text1"/>
        </w:rPr>
        <w:t xml:space="preserve">Sistema de Acceso a la Información Mexiquense </w:t>
      </w:r>
      <w:r w:rsidR="00923BD9" w:rsidRPr="00767393">
        <w:rPr>
          <w:rFonts w:ascii="Palatino Linotype" w:eastAsiaTheme="minorEastAsia" w:hAnsi="Palatino Linotype" w:cstheme="minorBidi"/>
          <w:b/>
          <w:bCs/>
          <w:color w:val="000000" w:themeColor="text1"/>
        </w:rPr>
        <w:t>(SAIMEX)</w:t>
      </w:r>
      <w:r w:rsidRPr="00767393">
        <w:rPr>
          <w:rFonts w:ascii="Palatino Linotype" w:eastAsia="Calibri" w:hAnsi="Palatino Linotype" w:cs="Arial"/>
          <w:b/>
          <w:color w:val="000000" w:themeColor="text1"/>
        </w:rPr>
        <w:t xml:space="preserve">, </w:t>
      </w:r>
      <w:r w:rsidRPr="00767393">
        <w:rPr>
          <w:rFonts w:ascii="Palatino Linotype" w:eastAsia="Calibri" w:hAnsi="Palatino Linotype" w:cs="Arial"/>
          <w:color w:val="000000" w:themeColor="text1"/>
        </w:rPr>
        <w:t>la solicitud de información pública registrada con el número</w:t>
      </w:r>
      <w:r w:rsidR="00F85756" w:rsidRPr="00767393">
        <w:rPr>
          <w:rFonts w:ascii="Palatino Linotype" w:eastAsia="Calibri" w:hAnsi="Palatino Linotype" w:cs="Arial"/>
          <w:color w:val="000000" w:themeColor="text1"/>
        </w:rPr>
        <w:t xml:space="preserve"> </w:t>
      </w:r>
      <w:r w:rsidR="00FE0313" w:rsidRPr="00767393">
        <w:rPr>
          <w:rFonts w:ascii="Palatino Linotype" w:eastAsia="Calibri" w:hAnsi="Palatino Linotype" w:cs="Arial"/>
          <w:b/>
          <w:bCs/>
          <w:color w:val="000000" w:themeColor="text1"/>
        </w:rPr>
        <w:t>00060/CHAPULTE/IP/2022</w:t>
      </w:r>
      <w:r w:rsidRPr="00767393">
        <w:rPr>
          <w:rFonts w:ascii="Palatino Linotype" w:eastAsiaTheme="minorEastAsia" w:hAnsi="Palatino Linotype" w:cstheme="minorBidi"/>
          <w:b/>
          <w:bCs/>
          <w:color w:val="000000" w:themeColor="text1"/>
          <w:lang w:val="es-ES_tradnl"/>
        </w:rPr>
        <w:t>,</w:t>
      </w:r>
      <w:r w:rsidRPr="00767393">
        <w:rPr>
          <w:rFonts w:ascii="Palatino Linotype" w:eastAsia="Calibri" w:hAnsi="Palatino Linotype" w:cs="Arial"/>
          <w:color w:val="000000" w:themeColor="text1"/>
        </w:rPr>
        <w:t xml:space="preserve"> mediante la cual requirió:</w:t>
      </w:r>
    </w:p>
    <w:p w14:paraId="119BF7E0" w14:textId="3798467F" w:rsidR="00EA0165" w:rsidRPr="00767393" w:rsidRDefault="00EA0165" w:rsidP="00ED47C0">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767393">
        <w:rPr>
          <w:rFonts w:ascii="Palatino Linotype" w:eastAsiaTheme="minorEastAsia" w:hAnsi="Palatino Linotype" w:cstheme="minorBidi"/>
          <w:i/>
          <w:color w:val="000000" w:themeColor="text1"/>
          <w:lang w:val="es-ES_tradnl"/>
        </w:rPr>
        <w:t>“</w:t>
      </w:r>
      <w:r w:rsidR="00FE0313" w:rsidRPr="00767393">
        <w:rPr>
          <w:rFonts w:ascii="Palatino Linotype" w:eastAsiaTheme="minorEastAsia" w:hAnsi="Palatino Linotype" w:cstheme="minorBidi"/>
          <w:i/>
          <w:color w:val="000000" w:themeColor="text1"/>
          <w:lang w:val="es-ES_tradnl"/>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II y III. I.- Se requiere la documentación del reporte o informe del día 7 de abril de 2022 debido al incendio en el Conjunto Urbano Villas del Campo y derivado de la petición de las autoridades municipales del Ayuntamiento de Calimata solicitando el apoyo de protección civil del </w:t>
      </w:r>
      <w:r w:rsidR="00FE0313" w:rsidRPr="00767393">
        <w:rPr>
          <w:rFonts w:ascii="Palatino Linotype" w:eastAsiaTheme="minorEastAsia" w:hAnsi="Palatino Linotype" w:cstheme="minorBidi"/>
          <w:i/>
          <w:color w:val="000000" w:themeColor="text1"/>
          <w:lang w:val="es-ES_tradnl"/>
        </w:rPr>
        <w:lastRenderedPageBreak/>
        <w:t>Ayuntamiento de Calimaya. La anterior petición  conforme lo establece el, artículo 4, 7, 9 y 15 de la Ley de Transparencia y Acceso a la Información Pública del Estado de México y Municipios.</w:t>
      </w:r>
      <w:r w:rsidRPr="00767393">
        <w:rPr>
          <w:rFonts w:ascii="Palatino Linotype" w:eastAsiaTheme="minorEastAsia" w:hAnsi="Palatino Linotype" w:cstheme="minorBidi"/>
          <w:i/>
          <w:color w:val="000000" w:themeColor="text1"/>
          <w:lang w:val="es-ES_tradnl"/>
        </w:rPr>
        <w:t xml:space="preserve">.” </w:t>
      </w:r>
      <w:r w:rsidRPr="00767393">
        <w:rPr>
          <w:rFonts w:ascii="Palatino Linotype" w:eastAsiaTheme="minorEastAsia" w:hAnsi="Palatino Linotype" w:cstheme="minorBidi"/>
          <w:color w:val="000000" w:themeColor="text1"/>
          <w:lang w:val="es-ES_tradnl"/>
        </w:rPr>
        <w:t>(Sic).</w:t>
      </w:r>
    </w:p>
    <w:p w14:paraId="1046CCE1" w14:textId="304A6F03" w:rsidR="00A415DB" w:rsidRPr="00767393" w:rsidRDefault="00A415DB" w:rsidP="00ED47C0">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555546DC" w:rsidR="00DD02B8" w:rsidRPr="00767393" w:rsidRDefault="00923BD9" w:rsidP="00ED47C0">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767393">
        <w:rPr>
          <w:rFonts w:ascii="Palatino Linotype" w:hAnsi="Palatino Linotype" w:cs="Arial"/>
        </w:rPr>
        <w:t>Se hace constar que se señaló como modalidad de entrega de la información</w:t>
      </w:r>
      <w:r w:rsidRPr="00767393">
        <w:rPr>
          <w:rFonts w:ascii="Palatino Linotype" w:hAnsi="Palatino Linotype" w:cs="Arial"/>
          <w:b/>
        </w:rPr>
        <w:t>:</w:t>
      </w:r>
      <w:r w:rsidRPr="00767393">
        <w:rPr>
          <w:rFonts w:ascii="Palatino Linotype" w:hAnsi="Palatino Linotype" w:cs="Arial"/>
        </w:rPr>
        <w:t xml:space="preserve"> </w:t>
      </w:r>
      <w:r w:rsidRPr="00767393">
        <w:rPr>
          <w:rFonts w:ascii="Palatino Linotype" w:hAnsi="Palatino Linotype" w:cs="Arial"/>
          <w:b/>
        </w:rPr>
        <w:t>A través del SAIMEX.</w:t>
      </w:r>
    </w:p>
    <w:p w14:paraId="2092A427" w14:textId="77777777" w:rsidR="00DD02B8" w:rsidRPr="00767393" w:rsidRDefault="00DD02B8" w:rsidP="00ED47C0">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0EB801DD" w:rsidR="002B2B24" w:rsidRPr="00767393" w:rsidRDefault="001A0598" w:rsidP="00ED47C0">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67393">
        <w:rPr>
          <w:rFonts w:ascii="Palatino Linotype" w:eastAsiaTheme="minorEastAsia" w:hAnsi="Palatino Linotype" w:cstheme="minorBidi"/>
          <w:color w:val="000000" w:themeColor="text1"/>
          <w:lang w:val="es-ES_tradnl"/>
        </w:rPr>
        <w:t xml:space="preserve">El </w:t>
      </w:r>
      <w:r w:rsidR="00ED47C0" w:rsidRPr="00767393">
        <w:rPr>
          <w:rFonts w:ascii="Palatino Linotype" w:eastAsiaTheme="minorEastAsia" w:hAnsi="Palatino Linotype" w:cstheme="minorBidi"/>
          <w:color w:val="000000" w:themeColor="text1"/>
          <w:lang w:val="es-ES_tradnl"/>
        </w:rPr>
        <w:t>dos (02</w:t>
      </w:r>
      <w:r w:rsidR="00BA3CDE" w:rsidRPr="00767393">
        <w:rPr>
          <w:rFonts w:ascii="Palatino Linotype" w:eastAsiaTheme="minorEastAsia" w:hAnsi="Palatino Linotype" w:cstheme="minorBidi"/>
          <w:color w:val="000000" w:themeColor="text1"/>
          <w:lang w:val="es-ES_tradnl"/>
        </w:rPr>
        <w:t>) de</w:t>
      </w:r>
      <w:r w:rsidR="00ED47C0" w:rsidRPr="00767393">
        <w:rPr>
          <w:rFonts w:ascii="Palatino Linotype" w:eastAsiaTheme="minorEastAsia" w:hAnsi="Palatino Linotype" w:cstheme="minorBidi"/>
          <w:color w:val="000000" w:themeColor="text1"/>
          <w:lang w:val="es-ES_tradnl"/>
        </w:rPr>
        <w:t xml:space="preserve"> mayo</w:t>
      </w:r>
      <w:r w:rsidR="00C36DF2" w:rsidRPr="00767393">
        <w:rPr>
          <w:rFonts w:ascii="Palatino Linotype" w:eastAsiaTheme="minorEastAsia" w:hAnsi="Palatino Linotype" w:cstheme="minorBidi"/>
          <w:color w:val="000000" w:themeColor="text1"/>
          <w:lang w:val="es-ES_tradnl"/>
        </w:rPr>
        <w:t xml:space="preserve"> </w:t>
      </w:r>
      <w:r w:rsidR="003915BA" w:rsidRPr="00767393">
        <w:rPr>
          <w:rFonts w:ascii="Palatino Linotype" w:eastAsiaTheme="minorEastAsia" w:hAnsi="Palatino Linotype" w:cstheme="minorBidi"/>
          <w:color w:val="000000" w:themeColor="text1"/>
          <w:lang w:val="es-ES_tradnl"/>
        </w:rPr>
        <w:t>de dos mil veintidós</w:t>
      </w:r>
      <w:r w:rsidR="00EA0165" w:rsidRPr="00767393">
        <w:rPr>
          <w:rFonts w:ascii="Palatino Linotype" w:eastAsiaTheme="minorEastAsia" w:hAnsi="Palatino Linotype" w:cstheme="minorBidi"/>
          <w:color w:val="000000" w:themeColor="text1"/>
          <w:lang w:val="es-ES_tradnl"/>
        </w:rPr>
        <w:t xml:space="preserve">, el </w:t>
      </w:r>
      <w:r w:rsidR="00EA0165" w:rsidRPr="00767393">
        <w:rPr>
          <w:rFonts w:ascii="Palatino Linotype" w:eastAsiaTheme="minorEastAsia" w:hAnsi="Palatino Linotype" w:cstheme="minorBidi"/>
          <w:b/>
          <w:color w:val="000000" w:themeColor="text1"/>
          <w:lang w:val="es-ES_tradnl"/>
        </w:rPr>
        <w:t>SUJETO OBLIGADO</w:t>
      </w:r>
      <w:r w:rsidR="00EA0165" w:rsidRPr="00767393">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767393" w:rsidRDefault="00D01CEF" w:rsidP="00ED47C0">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8EC0482" w14:textId="77777777" w:rsidR="00FE0313" w:rsidRPr="00767393" w:rsidRDefault="00EA0165" w:rsidP="00ED47C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67393">
        <w:rPr>
          <w:rFonts w:ascii="Palatino Linotype" w:eastAsiaTheme="minorEastAsia" w:hAnsi="Palatino Linotype" w:cstheme="minorBidi"/>
          <w:i/>
          <w:noProof/>
          <w:color w:val="000000" w:themeColor="text1"/>
          <w:lang w:val="es-MX" w:eastAsia="es-MX"/>
        </w:rPr>
        <w:t>“</w:t>
      </w:r>
      <w:r w:rsidR="00FE0313" w:rsidRPr="00767393">
        <w:rPr>
          <w:rFonts w:ascii="Palatino Linotype" w:eastAsiaTheme="minorEastAsia" w:hAnsi="Palatino Linotype" w:cstheme="minorBidi"/>
          <w:i/>
          <w:noProof/>
          <w:color w:val="000000" w:themeColor="text1"/>
          <w:lang w:val="es-MX" w:eastAsia="es-MX"/>
        </w:rPr>
        <w:t>Chapultepec, México a 02 de Mayo de 2022</w:t>
      </w:r>
    </w:p>
    <w:p w14:paraId="1175E1DF" w14:textId="77777777" w:rsidR="00FE0313" w:rsidRPr="00767393" w:rsidRDefault="00FE0313" w:rsidP="00ED47C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67393">
        <w:rPr>
          <w:rFonts w:ascii="Palatino Linotype" w:eastAsiaTheme="minorEastAsia" w:hAnsi="Palatino Linotype" w:cstheme="minorBidi"/>
          <w:i/>
          <w:noProof/>
          <w:color w:val="000000" w:themeColor="text1"/>
          <w:lang w:val="es-MX" w:eastAsia="es-MX"/>
        </w:rPr>
        <w:t>Nombre del solicitante: C. Solicitante</w:t>
      </w:r>
    </w:p>
    <w:p w14:paraId="7266D830" w14:textId="2FDD2007" w:rsidR="00FE0313" w:rsidRPr="00767393" w:rsidRDefault="00FE0313" w:rsidP="00ED47C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67393">
        <w:rPr>
          <w:rFonts w:ascii="Palatino Linotype" w:eastAsiaTheme="minorEastAsia" w:hAnsi="Palatino Linotype" w:cstheme="minorBidi"/>
          <w:i/>
          <w:noProof/>
          <w:color w:val="000000" w:themeColor="text1"/>
          <w:lang w:val="es-MX" w:eastAsia="es-MX"/>
        </w:rPr>
        <w:t>Folio de la solicitud: 00060/CHAPULTE/IP/2022</w:t>
      </w:r>
    </w:p>
    <w:p w14:paraId="51226BB5" w14:textId="77777777" w:rsidR="00FE0313" w:rsidRPr="00767393" w:rsidRDefault="00FE0313" w:rsidP="00ED47C0">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6E80A1C5" w14:textId="55C035B5" w:rsidR="00FE0313" w:rsidRPr="00767393" w:rsidRDefault="00FE0313" w:rsidP="00ED47C0">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67393">
        <w:rPr>
          <w:rFonts w:ascii="Palatino Linotype" w:eastAsiaTheme="minorEastAsia" w:hAnsi="Palatino Linotype" w:cstheme="minorBidi"/>
          <w:i/>
          <w:noProof/>
          <w:color w:val="000000" w:themeColor="text1"/>
          <w:lang w:val="es-MX" w:eastAsia="es-MX"/>
        </w:rPr>
        <w:t>En relacion a su solicitud le informo que el reporte solicitado es expedido por la Coordinación de Protección Civil del Municipio de Calimaya. Sin más por el momento me reitero a sus ordenes.</w:t>
      </w:r>
    </w:p>
    <w:p w14:paraId="49D9405D" w14:textId="77777777" w:rsidR="00FE0313" w:rsidRPr="00767393" w:rsidRDefault="00FE0313" w:rsidP="00ED47C0">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57CAF7FA" w14:textId="77777777" w:rsidR="00FE0313" w:rsidRPr="00767393" w:rsidRDefault="00FE0313" w:rsidP="00ED47C0">
      <w:pPr>
        <w:spacing w:line="360" w:lineRule="auto"/>
        <w:ind w:left="567" w:right="567"/>
        <w:rPr>
          <w:rFonts w:ascii="Palatino Linotype" w:eastAsiaTheme="minorEastAsia" w:hAnsi="Palatino Linotype" w:cstheme="minorBidi"/>
          <w:i/>
          <w:noProof/>
          <w:color w:val="000000" w:themeColor="text1"/>
          <w:lang w:val="es-MX" w:eastAsia="es-MX"/>
        </w:rPr>
      </w:pPr>
      <w:r w:rsidRPr="00767393">
        <w:rPr>
          <w:rFonts w:ascii="Palatino Linotype" w:eastAsiaTheme="minorEastAsia" w:hAnsi="Palatino Linotype" w:cstheme="minorBidi"/>
          <w:i/>
          <w:noProof/>
          <w:color w:val="000000" w:themeColor="text1"/>
          <w:lang w:val="es-MX" w:eastAsia="es-MX"/>
        </w:rPr>
        <w:t>ATENTAMENTE</w:t>
      </w:r>
    </w:p>
    <w:p w14:paraId="7132F863" w14:textId="209823F0" w:rsidR="00A3314E" w:rsidRPr="00767393" w:rsidRDefault="00FE0313" w:rsidP="00ED47C0">
      <w:pPr>
        <w:spacing w:line="360" w:lineRule="auto"/>
        <w:ind w:left="567" w:right="567"/>
        <w:rPr>
          <w:rFonts w:ascii="Palatino Linotype" w:eastAsiaTheme="minorEastAsia" w:hAnsi="Palatino Linotype" w:cstheme="minorBidi"/>
          <w:i/>
          <w:noProof/>
          <w:color w:val="000000" w:themeColor="text1"/>
          <w:lang w:val="es-MX" w:eastAsia="es-MX"/>
        </w:rPr>
      </w:pPr>
      <w:r w:rsidRPr="00767393">
        <w:rPr>
          <w:rFonts w:ascii="Palatino Linotype" w:eastAsiaTheme="minorEastAsia" w:hAnsi="Palatino Linotype" w:cstheme="minorBidi"/>
          <w:i/>
          <w:noProof/>
          <w:color w:val="000000" w:themeColor="text1"/>
          <w:lang w:val="es-MX" w:eastAsia="es-MX"/>
        </w:rPr>
        <w:t>URIEL SANCHEZ DELGADO</w:t>
      </w:r>
      <w:r w:rsidR="001A0598" w:rsidRPr="00767393">
        <w:rPr>
          <w:rFonts w:ascii="Palatino Linotype" w:eastAsiaTheme="minorEastAsia" w:hAnsi="Palatino Linotype" w:cstheme="minorBidi"/>
          <w:i/>
          <w:noProof/>
          <w:color w:val="000000" w:themeColor="text1"/>
          <w:lang w:val="es-MX" w:eastAsia="es-MX"/>
        </w:rPr>
        <w:t>.” (Sic)</w:t>
      </w:r>
    </w:p>
    <w:p w14:paraId="30DF1DB5" w14:textId="77777777" w:rsidR="003F07AC" w:rsidRPr="00767393" w:rsidRDefault="003F07AC" w:rsidP="00ED47C0">
      <w:p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506ABFD5" w:rsidR="00EA0165" w:rsidRPr="00767393" w:rsidRDefault="00EA0165" w:rsidP="00ED47C0">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67393">
        <w:rPr>
          <w:rFonts w:ascii="Palatino Linotype" w:hAnsi="Palatino Linotype" w:cs="Arial"/>
          <w:color w:val="000000" w:themeColor="text1"/>
        </w:rPr>
        <w:t xml:space="preserve">Derivado de la respuesta emitida por el </w:t>
      </w:r>
      <w:r w:rsidRPr="00767393">
        <w:rPr>
          <w:rFonts w:ascii="Palatino Linotype" w:hAnsi="Palatino Linotype" w:cs="Arial"/>
          <w:b/>
          <w:color w:val="000000" w:themeColor="text1"/>
        </w:rPr>
        <w:t>SUJETO OBLIGADO</w:t>
      </w:r>
      <w:r w:rsidRPr="00767393">
        <w:rPr>
          <w:rFonts w:ascii="Palatino Linotype" w:hAnsi="Palatino Linotype" w:cs="Arial"/>
          <w:color w:val="000000" w:themeColor="text1"/>
        </w:rPr>
        <w:t>, e</w:t>
      </w:r>
      <w:r w:rsidR="00FE0313" w:rsidRPr="00767393">
        <w:rPr>
          <w:rFonts w:ascii="Palatino Linotype" w:hAnsi="Palatino Linotype" w:cs="Arial"/>
          <w:color w:val="000000" w:themeColor="text1"/>
        </w:rPr>
        <w:t>l nueve (09</w:t>
      </w:r>
      <w:r w:rsidR="00AB7DB9" w:rsidRPr="00767393">
        <w:rPr>
          <w:rFonts w:ascii="Palatino Linotype" w:hAnsi="Palatino Linotype" w:cs="Arial"/>
          <w:color w:val="000000" w:themeColor="text1"/>
        </w:rPr>
        <w:t>)</w:t>
      </w:r>
      <w:r w:rsidR="00F85756" w:rsidRPr="00767393">
        <w:rPr>
          <w:rFonts w:ascii="Palatino Linotype" w:hAnsi="Palatino Linotype" w:cs="Arial"/>
          <w:color w:val="000000" w:themeColor="text1"/>
        </w:rPr>
        <w:t xml:space="preserve"> de mayo </w:t>
      </w:r>
      <w:r w:rsidR="007F53CB" w:rsidRPr="00767393">
        <w:rPr>
          <w:rFonts w:ascii="Palatino Linotype" w:hAnsi="Palatino Linotype" w:cs="Arial"/>
          <w:color w:val="000000" w:themeColor="text1"/>
        </w:rPr>
        <w:t>d</w:t>
      </w:r>
      <w:r w:rsidR="00233D1C" w:rsidRPr="00767393">
        <w:rPr>
          <w:rFonts w:ascii="Palatino Linotype" w:hAnsi="Palatino Linotype" w:cs="Arial"/>
          <w:color w:val="000000" w:themeColor="text1"/>
        </w:rPr>
        <w:t xml:space="preserve">e dos mil </w:t>
      </w:r>
      <w:r w:rsidR="008225FA" w:rsidRPr="00767393">
        <w:rPr>
          <w:rFonts w:ascii="Palatino Linotype" w:hAnsi="Palatino Linotype" w:cs="Arial"/>
          <w:color w:val="000000" w:themeColor="text1"/>
        </w:rPr>
        <w:t>veintidós</w:t>
      </w:r>
      <w:r w:rsidRPr="00767393">
        <w:rPr>
          <w:rFonts w:ascii="Palatino Linotype" w:hAnsi="Palatino Linotype" w:cs="Arial"/>
          <w:color w:val="000000" w:themeColor="text1"/>
        </w:rPr>
        <w:t>, el particular interpuso el recurso de revisión</w:t>
      </w:r>
      <w:r w:rsidR="00917444" w:rsidRPr="00767393">
        <w:rPr>
          <w:rFonts w:ascii="Palatino Linotype" w:hAnsi="Palatino Linotype" w:cs="Arial"/>
          <w:color w:val="000000" w:themeColor="text1"/>
        </w:rPr>
        <w:t xml:space="preserve"> </w:t>
      </w:r>
      <w:r w:rsidR="00FE0313" w:rsidRPr="00767393">
        <w:rPr>
          <w:rFonts w:ascii="Palatino Linotype" w:hAnsi="Palatino Linotype" w:cs="Arial"/>
          <w:b/>
          <w:color w:val="000000" w:themeColor="text1"/>
        </w:rPr>
        <w:t>07513/INFOEM/IP/RR/2022</w:t>
      </w:r>
      <w:r w:rsidRPr="00767393">
        <w:rPr>
          <w:rFonts w:ascii="Palatino Linotype" w:eastAsia="Calibri" w:hAnsi="Palatino Linotype" w:cs="Arial"/>
          <w:b/>
          <w:color w:val="000000" w:themeColor="text1"/>
        </w:rPr>
        <w:t>;</w:t>
      </w:r>
      <w:r w:rsidRPr="00767393">
        <w:rPr>
          <w:rFonts w:ascii="Palatino Linotype" w:hAnsi="Palatino Linotype" w:cs="Arial"/>
          <w:color w:val="000000" w:themeColor="text1"/>
        </w:rPr>
        <w:t xml:space="preserve"> impugnación en la que refirió lo siguiente:</w:t>
      </w:r>
    </w:p>
    <w:p w14:paraId="176F4252" w14:textId="77777777" w:rsidR="00EA0165" w:rsidRPr="00767393" w:rsidRDefault="00EA0165" w:rsidP="00ED47C0">
      <w:pPr>
        <w:tabs>
          <w:tab w:val="left" w:pos="426"/>
        </w:tabs>
        <w:spacing w:line="360" w:lineRule="auto"/>
        <w:ind w:left="284"/>
        <w:contextualSpacing/>
        <w:jc w:val="both"/>
        <w:rPr>
          <w:rFonts w:ascii="Palatino Linotype" w:hAnsi="Palatino Linotype" w:cs="Arial"/>
          <w:color w:val="000000" w:themeColor="text1"/>
        </w:rPr>
      </w:pPr>
    </w:p>
    <w:p w14:paraId="224FFDC9" w14:textId="11253D05" w:rsidR="00EA0165" w:rsidRPr="00767393" w:rsidRDefault="00EA0165" w:rsidP="00ED47C0">
      <w:pPr>
        <w:numPr>
          <w:ilvl w:val="0"/>
          <w:numId w:val="1"/>
        </w:numPr>
        <w:tabs>
          <w:tab w:val="left" w:pos="426"/>
          <w:tab w:val="left" w:pos="567"/>
        </w:tabs>
        <w:spacing w:line="360" w:lineRule="auto"/>
        <w:ind w:left="1080" w:right="918"/>
        <w:contextualSpacing/>
        <w:jc w:val="both"/>
        <w:rPr>
          <w:rFonts w:ascii="Palatino Linotype" w:hAnsi="Palatino Linotype" w:cs="Arial"/>
          <w:color w:val="000000" w:themeColor="text1"/>
        </w:rPr>
      </w:pPr>
      <w:r w:rsidRPr="00767393">
        <w:rPr>
          <w:rFonts w:ascii="Palatino Linotype" w:hAnsi="Palatino Linotype" w:cs="Arial"/>
          <w:b/>
          <w:color w:val="000000" w:themeColor="text1"/>
        </w:rPr>
        <w:t>Acto impugnado:</w:t>
      </w:r>
      <w:r w:rsidRPr="00767393">
        <w:rPr>
          <w:rFonts w:ascii="Palatino Linotype" w:hAnsi="Palatino Linotype" w:cs="Arial"/>
          <w:color w:val="000000" w:themeColor="text1"/>
        </w:rPr>
        <w:t xml:space="preserve"> </w:t>
      </w:r>
      <w:r w:rsidRPr="00767393">
        <w:rPr>
          <w:rFonts w:ascii="Palatino Linotype" w:hAnsi="Palatino Linotype" w:cs="Arial"/>
          <w:i/>
          <w:color w:val="000000" w:themeColor="text1"/>
        </w:rPr>
        <w:t>“</w:t>
      </w:r>
      <w:r w:rsidR="00FE0313" w:rsidRPr="00767393">
        <w:rPr>
          <w:rFonts w:ascii="Palatino Linotype" w:hAnsi="Palatino Linotype" w:cs="Arial"/>
          <w:i/>
          <w:color w:val="000000" w:themeColor="text1"/>
        </w:rPr>
        <w:t>00060/CHAPULTE/IP/2022</w:t>
      </w:r>
      <w:r w:rsidR="00AB7DB9" w:rsidRPr="00767393">
        <w:rPr>
          <w:rFonts w:ascii="Palatino Linotype" w:hAnsi="Palatino Linotype" w:cs="Arial"/>
          <w:i/>
          <w:color w:val="000000" w:themeColor="text1"/>
        </w:rPr>
        <w:t>.”</w:t>
      </w:r>
      <w:r w:rsidRPr="00767393">
        <w:rPr>
          <w:rFonts w:ascii="Palatino Linotype" w:hAnsi="Palatino Linotype" w:cs="Arial"/>
          <w:color w:val="000000" w:themeColor="text1"/>
        </w:rPr>
        <w:t>(Sic).</w:t>
      </w:r>
    </w:p>
    <w:p w14:paraId="71C7D21F" w14:textId="77777777" w:rsidR="00EA0165" w:rsidRPr="00767393" w:rsidRDefault="00EA0165" w:rsidP="00ED47C0">
      <w:pPr>
        <w:tabs>
          <w:tab w:val="left" w:pos="0"/>
        </w:tabs>
        <w:spacing w:line="360" w:lineRule="auto"/>
        <w:ind w:left="720" w:right="918"/>
        <w:contextualSpacing/>
        <w:jc w:val="both"/>
        <w:rPr>
          <w:rFonts w:ascii="Palatino Linotype" w:hAnsi="Palatino Linotype" w:cs="Arial"/>
          <w:color w:val="000000" w:themeColor="text1"/>
        </w:rPr>
      </w:pPr>
    </w:p>
    <w:p w14:paraId="16E57192" w14:textId="5D0051D7" w:rsidR="00EA0165" w:rsidRPr="00767393" w:rsidRDefault="00EA0165" w:rsidP="00ED47C0">
      <w:pPr>
        <w:numPr>
          <w:ilvl w:val="0"/>
          <w:numId w:val="1"/>
        </w:numPr>
        <w:tabs>
          <w:tab w:val="left" w:pos="0"/>
        </w:tabs>
        <w:spacing w:line="360" w:lineRule="auto"/>
        <w:ind w:left="990" w:right="918" w:hanging="270"/>
        <w:contextualSpacing/>
        <w:jc w:val="both"/>
        <w:rPr>
          <w:rFonts w:ascii="Palatino Linotype" w:hAnsi="Palatino Linotype" w:cs="Arial"/>
          <w:color w:val="000000" w:themeColor="text1"/>
        </w:rPr>
      </w:pPr>
      <w:r w:rsidRPr="00767393">
        <w:rPr>
          <w:rFonts w:ascii="Palatino Linotype" w:hAnsi="Palatino Linotype" w:cs="Arial"/>
          <w:b/>
          <w:color w:val="000000" w:themeColor="text1"/>
        </w:rPr>
        <w:t>Razones o motivos de inconformidad:</w:t>
      </w:r>
      <w:r w:rsidRPr="00767393">
        <w:rPr>
          <w:rFonts w:ascii="Palatino Linotype" w:hAnsi="Palatino Linotype" w:cs="Arial"/>
          <w:color w:val="000000" w:themeColor="text1"/>
        </w:rPr>
        <w:t xml:space="preserve"> </w:t>
      </w:r>
      <w:r w:rsidRPr="00767393">
        <w:rPr>
          <w:rFonts w:ascii="Palatino Linotype" w:hAnsi="Palatino Linotype" w:cs="Arial"/>
          <w:i/>
          <w:color w:val="000000" w:themeColor="text1"/>
        </w:rPr>
        <w:t>“</w:t>
      </w:r>
      <w:r w:rsidR="00FE0313" w:rsidRPr="00767393">
        <w:rPr>
          <w:rFonts w:ascii="Palatino Linotype" w:hAnsi="Palatino Linotype" w:cs="Arial"/>
          <w:i/>
          <w:color w:val="000000" w:themeColor="text1"/>
        </w:rPr>
        <w:t>No sé proporciona ningún documento, ni información, agregando que no hay motivación y fundamentación.</w:t>
      </w:r>
      <w:r w:rsidR="00AB7DB9" w:rsidRPr="00767393">
        <w:rPr>
          <w:rFonts w:ascii="Palatino Linotype" w:hAnsi="Palatino Linotype" w:cs="Arial"/>
          <w:i/>
          <w:color w:val="000000" w:themeColor="text1"/>
        </w:rPr>
        <w:t>.</w:t>
      </w:r>
      <w:r w:rsidRPr="00767393">
        <w:rPr>
          <w:rFonts w:ascii="Palatino Linotype" w:hAnsi="Palatino Linotype" w:cs="Arial"/>
          <w:i/>
          <w:color w:val="000000" w:themeColor="text1"/>
        </w:rPr>
        <w:t xml:space="preserve">” </w:t>
      </w:r>
      <w:r w:rsidRPr="00767393">
        <w:rPr>
          <w:rFonts w:ascii="Palatino Linotype" w:hAnsi="Palatino Linotype" w:cs="Arial"/>
          <w:color w:val="000000" w:themeColor="text1"/>
        </w:rPr>
        <w:t>(Sic).</w:t>
      </w:r>
    </w:p>
    <w:p w14:paraId="552C6645" w14:textId="77777777" w:rsidR="001B234C" w:rsidRPr="00767393" w:rsidRDefault="001B234C" w:rsidP="00ED47C0">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767393" w:rsidRDefault="00EA0165" w:rsidP="00ED47C0">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67393">
        <w:rPr>
          <w:rFonts w:ascii="Palatino Linotype" w:hAnsi="Palatino Linotype" w:cs="Arial"/>
          <w:color w:val="000000" w:themeColor="text1"/>
        </w:rPr>
        <w:t xml:space="preserve">Se registró el recurso de revisión bajo el número de expediente </w:t>
      </w:r>
      <w:r w:rsidRPr="00767393">
        <w:rPr>
          <w:rFonts w:ascii="Palatino Linotype" w:eastAsiaTheme="minorEastAsia" w:hAnsi="Palatino Linotype" w:cs="Arial"/>
          <w:bCs/>
          <w:color w:val="000000" w:themeColor="text1"/>
          <w:lang w:val="es-ES_tradnl"/>
        </w:rPr>
        <w:t xml:space="preserve">al rubro indicado, asimismo, con fundamento en lo dispuesto por el </w:t>
      </w:r>
      <w:r w:rsidRPr="00767393">
        <w:rPr>
          <w:rFonts w:ascii="Palatino Linotype" w:eastAsia="Calibri" w:hAnsi="Palatino Linotype" w:cs="Arial"/>
          <w:color w:val="000000" w:themeColor="text1"/>
        </w:rPr>
        <w:t xml:space="preserve">artículo 185 fracción I de la </w:t>
      </w:r>
      <w:r w:rsidRPr="00767393">
        <w:rPr>
          <w:rFonts w:ascii="Palatino Linotype" w:eastAsia="Calibri" w:hAnsi="Palatino Linotype" w:cs="Arial"/>
          <w:b/>
          <w:color w:val="000000" w:themeColor="text1"/>
        </w:rPr>
        <w:t xml:space="preserve">Ley de Transparencia y Acceso a la Información Pública del Estado de México y Municipios </w:t>
      </w:r>
      <w:r w:rsidR="005E6282" w:rsidRPr="00767393">
        <w:rPr>
          <w:rFonts w:ascii="Palatino Linotype" w:hAnsi="Palatino Linotype" w:cs="Arial"/>
          <w:color w:val="000000" w:themeColor="text1"/>
        </w:rPr>
        <w:t>se turnó a</w:t>
      </w:r>
      <w:r w:rsidR="00351568" w:rsidRPr="00767393">
        <w:rPr>
          <w:rFonts w:ascii="Palatino Linotype" w:hAnsi="Palatino Linotype" w:cs="Arial"/>
          <w:color w:val="000000" w:themeColor="text1"/>
        </w:rPr>
        <w:t xml:space="preserve"> la </w:t>
      </w:r>
      <w:r w:rsidR="00E3149E" w:rsidRPr="00767393">
        <w:rPr>
          <w:rFonts w:ascii="Palatino Linotype" w:hAnsi="Palatino Linotype" w:cs="Arial"/>
          <w:b/>
          <w:color w:val="000000" w:themeColor="text1"/>
        </w:rPr>
        <w:t>C</w:t>
      </w:r>
      <w:r w:rsidR="00351568" w:rsidRPr="00767393">
        <w:rPr>
          <w:rFonts w:ascii="Palatino Linotype" w:hAnsi="Palatino Linotype" w:cs="Arial"/>
          <w:b/>
          <w:color w:val="000000" w:themeColor="text1"/>
        </w:rPr>
        <w:t>omisionada María del Rosario Mejía Ayala</w:t>
      </w:r>
      <w:r w:rsidRPr="00767393">
        <w:rPr>
          <w:rFonts w:ascii="Palatino Linotype" w:hAnsi="Palatino Linotype" w:cs="Arial"/>
          <w:b/>
          <w:color w:val="000000" w:themeColor="text1"/>
        </w:rPr>
        <w:t xml:space="preserve">, </w:t>
      </w:r>
      <w:r w:rsidRPr="00767393">
        <w:rPr>
          <w:rFonts w:ascii="Palatino Linotype" w:hAnsi="Palatino Linotype" w:cs="Arial"/>
          <w:color w:val="000000" w:themeColor="text1"/>
        </w:rPr>
        <w:t xml:space="preserve">con el objeto de </w:t>
      </w:r>
      <w:r w:rsidRPr="00767393">
        <w:rPr>
          <w:rFonts w:ascii="Palatino Linotype" w:hAnsi="Palatino Linotype" w:cs="Arial"/>
          <w:color w:val="000000" w:themeColor="text1"/>
          <w:lang w:val="es-MX"/>
        </w:rPr>
        <w:t>su análisis.</w:t>
      </w:r>
    </w:p>
    <w:p w14:paraId="49F28BD1" w14:textId="77777777" w:rsidR="00EA0165" w:rsidRPr="00767393" w:rsidRDefault="00EA0165" w:rsidP="00ED47C0">
      <w:pPr>
        <w:tabs>
          <w:tab w:val="left" w:pos="426"/>
        </w:tabs>
        <w:spacing w:line="360" w:lineRule="auto"/>
        <w:contextualSpacing/>
        <w:jc w:val="both"/>
        <w:rPr>
          <w:rFonts w:ascii="Palatino Linotype" w:eastAsia="Calibri" w:hAnsi="Palatino Linotype" w:cs="Arial"/>
          <w:color w:val="000000" w:themeColor="text1"/>
        </w:rPr>
      </w:pPr>
    </w:p>
    <w:p w14:paraId="78EABB65" w14:textId="3A098AC5" w:rsidR="00EA0165" w:rsidRPr="00767393" w:rsidRDefault="00351568" w:rsidP="00ED47C0">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67393">
        <w:rPr>
          <w:rFonts w:ascii="Palatino Linotype" w:hAnsi="Palatino Linotype" w:cs="Arial"/>
          <w:color w:val="000000" w:themeColor="text1"/>
        </w:rPr>
        <w:t xml:space="preserve">La </w:t>
      </w:r>
      <w:r w:rsidRPr="00767393">
        <w:rPr>
          <w:rFonts w:ascii="Palatino Linotype" w:hAnsi="Palatino Linotype" w:cs="Arial"/>
          <w:b/>
          <w:color w:val="000000" w:themeColor="text1"/>
        </w:rPr>
        <w:t>Comisionada María del Rosario Mejía Ayala</w:t>
      </w:r>
      <w:r w:rsidR="00EA0165" w:rsidRPr="00767393">
        <w:rPr>
          <w:rFonts w:ascii="Palatino Linotype" w:eastAsia="Calibri" w:hAnsi="Palatino Linotype" w:cs="Arial"/>
          <w:color w:val="000000" w:themeColor="text1"/>
        </w:rPr>
        <w:t>, con fundamento en lo dispuesto por el artículo 185 fracción II de la ley de la materia, a t</w:t>
      </w:r>
      <w:r w:rsidR="007A237F" w:rsidRPr="00767393">
        <w:rPr>
          <w:rFonts w:ascii="Palatino Linotype" w:eastAsia="Calibri" w:hAnsi="Palatino Linotype" w:cs="Arial"/>
          <w:color w:val="000000" w:themeColor="text1"/>
        </w:rPr>
        <w:t xml:space="preserve">ravés del </w:t>
      </w:r>
      <w:r w:rsidR="00FE0313" w:rsidRPr="00767393">
        <w:rPr>
          <w:rFonts w:ascii="Palatino Linotype" w:eastAsia="Calibri" w:hAnsi="Palatino Linotype" w:cs="Arial"/>
          <w:color w:val="000000" w:themeColor="text1"/>
        </w:rPr>
        <w:t>acuerdo de admisión de quince</w:t>
      </w:r>
      <w:r w:rsidR="008426D8" w:rsidRPr="00767393">
        <w:rPr>
          <w:rFonts w:ascii="Palatino Linotype" w:eastAsia="Calibri" w:hAnsi="Palatino Linotype" w:cs="Arial"/>
          <w:color w:val="000000" w:themeColor="text1"/>
        </w:rPr>
        <w:t xml:space="preserve"> </w:t>
      </w:r>
      <w:r w:rsidR="00EA0165" w:rsidRPr="00767393">
        <w:rPr>
          <w:rFonts w:ascii="Palatino Linotype" w:eastAsia="Calibri" w:hAnsi="Palatino Linotype" w:cs="Arial"/>
          <w:color w:val="000000" w:themeColor="text1"/>
        </w:rPr>
        <w:t>(</w:t>
      </w:r>
      <w:r w:rsidR="00FE0313" w:rsidRPr="00767393">
        <w:rPr>
          <w:rFonts w:ascii="Palatino Linotype" w:eastAsia="Calibri" w:hAnsi="Palatino Linotype" w:cs="Arial"/>
          <w:color w:val="000000" w:themeColor="text1"/>
        </w:rPr>
        <w:t>15</w:t>
      </w:r>
      <w:r w:rsidR="00EA0165" w:rsidRPr="00767393">
        <w:rPr>
          <w:rFonts w:ascii="Palatino Linotype" w:eastAsia="Calibri" w:hAnsi="Palatino Linotype" w:cs="Arial"/>
          <w:color w:val="000000" w:themeColor="text1"/>
        </w:rPr>
        <w:t>) de</w:t>
      </w:r>
      <w:r w:rsidR="00F85756" w:rsidRPr="00767393">
        <w:rPr>
          <w:rFonts w:ascii="Palatino Linotype" w:eastAsia="Calibri" w:hAnsi="Palatino Linotype" w:cs="Arial"/>
          <w:color w:val="000000" w:themeColor="text1"/>
        </w:rPr>
        <w:t xml:space="preserve"> mayo</w:t>
      </w:r>
      <w:r w:rsidR="008225FA" w:rsidRPr="00767393">
        <w:rPr>
          <w:rFonts w:ascii="Palatino Linotype" w:eastAsia="Calibri" w:hAnsi="Palatino Linotype" w:cs="Arial"/>
          <w:color w:val="000000" w:themeColor="text1"/>
        </w:rPr>
        <w:t xml:space="preserve"> de dos mil veintidós</w:t>
      </w:r>
      <w:r w:rsidR="00EA0165" w:rsidRPr="00767393">
        <w:rPr>
          <w:rFonts w:ascii="Palatino Linotype" w:eastAsia="Calibri" w:hAnsi="Palatino Linotype" w:cs="Arial"/>
          <w:color w:val="000000" w:themeColor="text1"/>
        </w:rPr>
        <w:t xml:space="preserve">, puso a disposición de las partes el expediente electrónico </w:t>
      </w:r>
      <w:r w:rsidR="00EA0165" w:rsidRPr="00767393">
        <w:rPr>
          <w:rFonts w:ascii="Palatino Linotype" w:eastAsia="Calibri" w:hAnsi="Palatino Linotype" w:cs="Arial"/>
          <w:color w:val="000000" w:themeColor="text1"/>
          <w:lang w:val="es-ES_tradnl"/>
        </w:rPr>
        <w:t xml:space="preserve">vía </w:t>
      </w:r>
      <w:r w:rsidR="00EA0165" w:rsidRPr="00767393">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767393">
        <w:rPr>
          <w:rFonts w:ascii="Palatino Linotype" w:eastAsia="Calibri" w:hAnsi="Palatino Linotype" w:cs="Arial"/>
          <w:b/>
          <w:color w:val="000000" w:themeColor="text1"/>
        </w:rPr>
        <w:t>SUJETO OBLIGADO</w:t>
      </w:r>
      <w:r w:rsidR="00EA0165" w:rsidRPr="00767393">
        <w:rPr>
          <w:rFonts w:ascii="Palatino Linotype" w:eastAsia="Calibri" w:hAnsi="Palatino Linotype" w:cs="Arial"/>
          <w:color w:val="000000" w:themeColor="text1"/>
        </w:rPr>
        <w:t xml:space="preserve"> presentara el</w:t>
      </w:r>
      <w:r w:rsidR="00266490" w:rsidRPr="00767393">
        <w:rPr>
          <w:rFonts w:ascii="Palatino Linotype" w:eastAsia="Calibri" w:hAnsi="Palatino Linotype" w:cs="Arial"/>
          <w:color w:val="000000" w:themeColor="text1"/>
        </w:rPr>
        <w:t xml:space="preserve"> </w:t>
      </w:r>
      <w:r w:rsidR="00FE0313" w:rsidRPr="00767393">
        <w:rPr>
          <w:rFonts w:ascii="Palatino Linotype" w:eastAsia="Calibri" w:hAnsi="Palatino Linotype" w:cs="Arial"/>
          <w:color w:val="000000" w:themeColor="text1"/>
        </w:rPr>
        <w:t>informe justificado procedente.</w:t>
      </w:r>
    </w:p>
    <w:p w14:paraId="75659D31" w14:textId="77777777" w:rsidR="00FE0313" w:rsidRPr="00767393" w:rsidRDefault="00FE0313" w:rsidP="00ED47C0">
      <w:pPr>
        <w:pStyle w:val="Prrafodelista"/>
        <w:spacing w:line="360" w:lineRule="auto"/>
        <w:rPr>
          <w:rFonts w:ascii="Palatino Linotype" w:eastAsia="Calibri" w:hAnsi="Palatino Linotype" w:cs="Arial"/>
          <w:color w:val="000000" w:themeColor="text1"/>
        </w:rPr>
      </w:pPr>
    </w:p>
    <w:p w14:paraId="1B1D6B15" w14:textId="77777777" w:rsidR="00FE0313" w:rsidRPr="00767393" w:rsidRDefault="00FE0313" w:rsidP="00ED47C0">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3C202344" w14:textId="352F44E7" w:rsidR="00FE0313" w:rsidRPr="00767393" w:rsidRDefault="00FE0313" w:rsidP="00ED47C0">
      <w:pPr>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bookmarkStart w:id="4" w:name="_Toc461555889"/>
      <w:bookmarkStart w:id="5" w:name="_Toc466371858"/>
      <w:r w:rsidRPr="00767393">
        <w:rPr>
          <w:rFonts w:ascii="Palatino Linotype" w:eastAsia="Calibri" w:hAnsi="Palatino Linotype" w:cs="Arial"/>
          <w:color w:val="000000" w:themeColor="text1"/>
        </w:rPr>
        <w:lastRenderedPageBreak/>
        <w:t xml:space="preserve">De </w:t>
      </w:r>
      <w:r w:rsidRPr="00767393">
        <w:rPr>
          <w:rFonts w:ascii="Palatino Linotype" w:eastAsiaTheme="minorEastAsia" w:hAnsi="Palatino Linotype" w:cstheme="minorBidi"/>
          <w:color w:val="000000"/>
        </w:rPr>
        <w:t xml:space="preserve">las </w:t>
      </w:r>
      <w:r w:rsidRPr="00767393">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767393">
        <w:rPr>
          <w:rFonts w:ascii="Palatino Linotype" w:eastAsiaTheme="minorEastAsia" w:hAnsi="Palatino Linotype" w:cstheme="minorBidi"/>
          <w:b/>
          <w:color w:val="000000"/>
          <w:lang w:val="es-ES_tradnl"/>
        </w:rPr>
        <w:t xml:space="preserve">SUJETO OBLIGADO </w:t>
      </w:r>
      <w:r w:rsidRPr="00767393">
        <w:rPr>
          <w:rFonts w:ascii="Palatino Linotype" w:eastAsiaTheme="minorEastAsia" w:hAnsi="Palatino Linotype" w:cstheme="minorBidi"/>
          <w:color w:val="000000"/>
          <w:lang w:val="es-ES_tradnl"/>
        </w:rPr>
        <w:t>rindió informe justificado en fecha diecisiete (17) de mayo de dos mil veintidós; mismo se puso a la vista mediante acuerdo de fecha diecisiete (17) de agosto de dos mil veintidós, no obstante,</w:t>
      </w:r>
      <w:r w:rsidR="00ED47C0" w:rsidRPr="00767393">
        <w:rPr>
          <w:rFonts w:ascii="Palatino Linotype" w:eastAsiaTheme="minorEastAsia" w:hAnsi="Palatino Linotype" w:cstheme="minorBidi"/>
          <w:color w:val="000000"/>
          <w:lang w:val="es-ES_tradnl"/>
        </w:rPr>
        <w:t xml:space="preserve"> afecto de que no exista opacidad,</w:t>
      </w:r>
      <w:r w:rsidRPr="00767393">
        <w:rPr>
          <w:rFonts w:ascii="Palatino Linotype" w:eastAsiaTheme="minorEastAsia" w:hAnsi="Palatino Linotype" w:cstheme="minorBidi"/>
          <w:color w:val="000000"/>
          <w:lang w:val="es-ES_tradnl"/>
        </w:rPr>
        <w:t xml:space="preserve"> se describe a continuación:</w:t>
      </w:r>
    </w:p>
    <w:p w14:paraId="37F5C0A5" w14:textId="77777777" w:rsidR="00FE0313" w:rsidRPr="00767393" w:rsidRDefault="00FE0313" w:rsidP="00ED47C0">
      <w:pPr>
        <w:spacing w:line="360" w:lineRule="auto"/>
        <w:ind w:left="708"/>
        <w:rPr>
          <w:rFonts w:ascii="Palatino Linotype" w:eastAsia="Calibri" w:hAnsi="Palatino Linotype" w:cs="Arial"/>
          <w:color w:val="000000" w:themeColor="text1"/>
        </w:rPr>
      </w:pPr>
    </w:p>
    <w:p w14:paraId="29CCF78A" w14:textId="5FFC1511" w:rsidR="00FE0313" w:rsidRPr="00767393" w:rsidRDefault="00FE0313" w:rsidP="00ED47C0">
      <w:pPr>
        <w:numPr>
          <w:ilvl w:val="0"/>
          <w:numId w:val="6"/>
        </w:numPr>
        <w:tabs>
          <w:tab w:val="left" w:pos="207"/>
          <w:tab w:val="left" w:pos="284"/>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767393">
        <w:rPr>
          <w:rFonts w:ascii="Palatino Linotype" w:hAnsi="Palatino Linotype"/>
        </w:rPr>
        <w:tab/>
      </w:r>
      <w:r w:rsidRPr="00767393">
        <w:rPr>
          <w:rFonts w:ascii="Palatino Linotype" w:hAnsi="Palatino Linotype"/>
          <w:b/>
        </w:rPr>
        <w:t>S.00060.pdf</w:t>
      </w:r>
      <w:hyperlink r:id="rId8" w:history="1"/>
      <w:hyperlink r:id="rId9" w:tgtFrame="_blank" w:history="1"/>
      <w:hyperlink r:id="rId10" w:tgtFrame="_blank" w:history="1"/>
      <w:r w:rsidRPr="00767393">
        <w:rPr>
          <w:rFonts w:ascii="Palatino Linotype" w:eastAsiaTheme="minorEastAsia" w:hAnsi="Palatino Linotype" w:cstheme="minorBidi"/>
          <w:b/>
          <w:color w:val="000000" w:themeColor="text1"/>
          <w:lang w:val="es-ES_tradnl"/>
        </w:rPr>
        <w:t>:</w:t>
      </w:r>
      <w:r w:rsidRPr="00767393">
        <w:rPr>
          <w:rFonts w:ascii="Palatino Linotype" w:eastAsiaTheme="minorEastAsia" w:hAnsi="Palatino Linotype" w:cstheme="minorBidi"/>
          <w:color w:val="000000" w:themeColor="text1"/>
          <w:lang w:val="es-ES_tradnl"/>
        </w:rPr>
        <w:t xml:space="preserve"> Documento electrónico que en una (01) hojas contiene el “INFORME JUSTIFICADO” remitido por el Titular de la Unidad de Transparencia y Acceso a la Información Pública del Municipio de Chapultepec, mediante el cual se refiere que:</w:t>
      </w:r>
    </w:p>
    <w:p w14:paraId="37412227" w14:textId="77777777" w:rsidR="00FE0313" w:rsidRPr="00767393" w:rsidRDefault="00FE0313" w:rsidP="00ED47C0">
      <w:pPr>
        <w:tabs>
          <w:tab w:val="left" w:pos="207"/>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58C814C6" w14:textId="077047CA" w:rsidR="00FE0313" w:rsidRPr="00767393" w:rsidRDefault="00FE0313" w:rsidP="00ED47C0">
      <w:pPr>
        <w:tabs>
          <w:tab w:val="left" w:pos="207"/>
          <w:tab w:val="left" w:pos="284"/>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67393">
        <w:rPr>
          <w:rFonts w:ascii="Palatino Linotype" w:eastAsiaTheme="minorEastAsia" w:hAnsi="Palatino Linotype" w:cstheme="minorBidi"/>
          <w:i/>
          <w:color w:val="000000" w:themeColor="text1"/>
          <w:lang w:val="es-ES_tradnl"/>
        </w:rPr>
        <w:t>“…</w:t>
      </w:r>
      <w:r w:rsidR="001D03AF" w:rsidRPr="00767393">
        <w:rPr>
          <w:rFonts w:ascii="Palatino Linotype" w:eastAsiaTheme="minorEastAsia" w:hAnsi="Palatino Linotype" w:cstheme="minorBidi"/>
          <w:i/>
          <w:color w:val="000000" w:themeColor="text1"/>
          <w:lang w:val="es-ES_tradnl"/>
        </w:rPr>
        <w:t>Después de analizar la respuesta que fue brindada, como se hizo mención en la respuesta proporcionada dicha petición se debe realizar al Municipio de Calimaya, derivado que dicho suceso fue presentado en ese municipio</w:t>
      </w:r>
      <w:r w:rsidRPr="00767393">
        <w:rPr>
          <w:rFonts w:ascii="Palatino Linotype" w:eastAsiaTheme="minorEastAsia" w:hAnsi="Palatino Linotype" w:cstheme="minorBidi"/>
          <w:i/>
          <w:color w:val="000000" w:themeColor="text1"/>
          <w:lang w:val="es-ES_tradnl"/>
        </w:rPr>
        <w:t xml:space="preserve">…” </w:t>
      </w:r>
    </w:p>
    <w:p w14:paraId="5211372D" w14:textId="456DE873" w:rsidR="001A1408" w:rsidRPr="00767393" w:rsidRDefault="001A1408" w:rsidP="00ED47C0">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3BFBD326" w14:textId="54A4CDD2" w:rsidR="001A1408" w:rsidRPr="00767393" w:rsidRDefault="001D03AF" w:rsidP="00ED47C0">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767393">
        <w:rPr>
          <w:rFonts w:ascii="Palatino Linotype" w:eastAsiaTheme="minorEastAsia" w:hAnsi="Palatino Linotype" w:cstheme="minorBidi"/>
          <w:color w:val="000000" w:themeColor="text1"/>
          <w:lang w:val="es-ES_tradnl"/>
        </w:rPr>
        <w:t>El dieciocho (18</w:t>
      </w:r>
      <w:r w:rsidR="001A1408" w:rsidRPr="00767393">
        <w:rPr>
          <w:rFonts w:ascii="Palatino Linotype" w:eastAsiaTheme="minorEastAsia" w:hAnsi="Palatino Linotype" w:cstheme="minorBidi"/>
          <w:color w:val="000000" w:themeColor="text1"/>
          <w:lang w:val="es-ES_tradnl"/>
        </w:rPr>
        <w:t>) de agosto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r w:rsidR="001A1408" w:rsidRPr="00767393">
        <w:rPr>
          <w:rFonts w:ascii="Palatino Linotype" w:eastAsiaTheme="minorEastAsia" w:hAnsi="Palatino Linotype" w:cstheme="minorBidi"/>
          <w:b/>
          <w:color w:val="000000" w:themeColor="text1"/>
          <w:lang w:val="es-ES_tradnl"/>
        </w:rPr>
        <w:t xml:space="preserve"> </w:t>
      </w:r>
      <w:bookmarkStart w:id="6" w:name="_Toc68804758"/>
    </w:p>
    <w:p w14:paraId="237D1196" w14:textId="77777777" w:rsidR="001A1408" w:rsidRPr="00767393" w:rsidRDefault="001A1408" w:rsidP="00ED47C0">
      <w:pPr>
        <w:pStyle w:val="Prrafodelista"/>
        <w:spacing w:line="360" w:lineRule="auto"/>
        <w:rPr>
          <w:rFonts w:ascii="Palatino Linotype" w:hAnsi="Palatino Linotype"/>
          <w:lang w:val="es-ES_tradnl" w:eastAsia="en-US"/>
        </w:rPr>
      </w:pPr>
    </w:p>
    <w:p w14:paraId="2CC46D72" w14:textId="36CC8617" w:rsidR="001A1408" w:rsidRPr="00767393" w:rsidRDefault="00ED47C0" w:rsidP="00ED47C0">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767393">
        <w:rPr>
          <w:rFonts w:ascii="Palatino Linotype" w:hAnsi="Palatino Linotype"/>
          <w:lang w:val="es-ES_tradnl" w:eastAsia="en-US"/>
        </w:rPr>
        <w:t xml:space="preserve">En contexto de lo anterior, </w:t>
      </w:r>
      <w:r w:rsidR="001A1408" w:rsidRPr="00767393">
        <w:rPr>
          <w:rFonts w:ascii="Palatino Linotype" w:hAnsi="Palatino Linotype"/>
          <w:lang w:val="es-ES_tradnl" w:eastAsia="en-US"/>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w:t>
      </w:r>
      <w:r w:rsidR="001A1408" w:rsidRPr="00767393">
        <w:rPr>
          <w:rFonts w:ascii="Palatino Linotype" w:hAnsi="Palatino Linotype"/>
          <w:lang w:val="es-ES_tradnl" w:eastAsia="en-US"/>
        </w:rPr>
        <w:lastRenderedPageBreak/>
        <w:t>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2CC7E99" w14:textId="77777777" w:rsidR="001A1408" w:rsidRPr="00767393" w:rsidRDefault="001A1408" w:rsidP="00ED47C0">
      <w:pPr>
        <w:pStyle w:val="Prrafodelista"/>
        <w:spacing w:line="360" w:lineRule="auto"/>
        <w:rPr>
          <w:rFonts w:ascii="Palatino Linotype" w:hAnsi="Palatino Linotype"/>
          <w:lang w:val="es-ES_tradnl" w:eastAsia="en-US"/>
        </w:rPr>
      </w:pPr>
    </w:p>
    <w:p w14:paraId="44E080CC" w14:textId="77777777" w:rsidR="001A1408" w:rsidRPr="00767393" w:rsidRDefault="001A1408" w:rsidP="00ED47C0">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767393">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2E84AF7" w14:textId="77777777" w:rsidR="001A1408" w:rsidRPr="00767393" w:rsidRDefault="001A1408" w:rsidP="00ED47C0">
      <w:pPr>
        <w:pStyle w:val="Prrafodelista"/>
        <w:spacing w:line="360" w:lineRule="auto"/>
        <w:rPr>
          <w:rFonts w:ascii="Palatino Linotype" w:hAnsi="Palatino Linotype"/>
          <w:lang w:val="es-ES_tradnl" w:eastAsia="en-US"/>
        </w:rPr>
      </w:pPr>
    </w:p>
    <w:p w14:paraId="58CB494B" w14:textId="77777777" w:rsidR="001A1408" w:rsidRPr="00767393" w:rsidRDefault="001A1408" w:rsidP="00ED47C0">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767393">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E27B5A" w14:textId="77777777" w:rsidR="001A1408" w:rsidRPr="00767393" w:rsidRDefault="001A1408" w:rsidP="00ED47C0">
      <w:pPr>
        <w:pStyle w:val="Prrafodelista"/>
        <w:spacing w:line="360" w:lineRule="auto"/>
        <w:rPr>
          <w:rFonts w:ascii="Palatino Linotype" w:hAnsi="Palatino Linotype"/>
          <w:lang w:val="es-ES_tradnl" w:eastAsia="en-US"/>
        </w:rPr>
      </w:pPr>
    </w:p>
    <w:p w14:paraId="42618709" w14:textId="77777777" w:rsidR="001A1408" w:rsidRPr="00767393" w:rsidRDefault="001A1408" w:rsidP="00ED47C0">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767393">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2C7B273" w14:textId="77777777" w:rsidR="001A1408" w:rsidRPr="00767393" w:rsidRDefault="001A1408" w:rsidP="00ED47C0">
      <w:pPr>
        <w:pStyle w:val="Prrafodelista"/>
        <w:spacing w:line="360" w:lineRule="auto"/>
        <w:rPr>
          <w:rFonts w:ascii="Palatino Linotype" w:hAnsi="Palatino Linotype"/>
          <w:lang w:val="es-ES_tradnl" w:eastAsia="en-US"/>
        </w:rPr>
      </w:pPr>
    </w:p>
    <w:p w14:paraId="0616F9E1" w14:textId="523124E7" w:rsidR="001A1408" w:rsidRPr="00767393" w:rsidRDefault="001A1408" w:rsidP="00ED47C0">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767393">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3A7CE383" w14:textId="77777777" w:rsidR="001A1408" w:rsidRPr="00767393" w:rsidRDefault="001A1408" w:rsidP="00ED47C0">
      <w:pPr>
        <w:spacing w:line="360" w:lineRule="auto"/>
        <w:rPr>
          <w:rFonts w:ascii="Palatino Linotype" w:hAnsi="Palatino Linotype"/>
          <w:lang w:val="es-ES_tradnl" w:eastAsia="en-US"/>
        </w:rPr>
      </w:pPr>
    </w:p>
    <w:p w14:paraId="6430E9F6" w14:textId="77777777" w:rsidR="001A1408" w:rsidRPr="00767393" w:rsidRDefault="001A1408" w:rsidP="00ED47C0">
      <w:pPr>
        <w:numPr>
          <w:ilvl w:val="0"/>
          <w:numId w:val="12"/>
        </w:numPr>
        <w:spacing w:line="360" w:lineRule="auto"/>
        <w:ind w:left="990" w:right="918" w:hanging="270"/>
        <w:jc w:val="both"/>
        <w:rPr>
          <w:rFonts w:ascii="Palatino Linotype" w:hAnsi="Palatino Linotype"/>
          <w:b/>
          <w:lang w:val="es-MX" w:eastAsia="en-US"/>
        </w:rPr>
      </w:pPr>
      <w:r w:rsidRPr="00767393">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438C663F" w14:textId="77777777" w:rsidR="001A1408" w:rsidRPr="00767393" w:rsidRDefault="001A1408" w:rsidP="00ED47C0">
      <w:pPr>
        <w:spacing w:line="360" w:lineRule="auto"/>
        <w:ind w:left="990" w:right="918" w:hanging="270"/>
        <w:jc w:val="both"/>
        <w:rPr>
          <w:rFonts w:ascii="Palatino Linotype" w:hAnsi="Palatino Linotype"/>
          <w:lang w:val="es-MX" w:eastAsia="en-US"/>
        </w:rPr>
      </w:pPr>
    </w:p>
    <w:p w14:paraId="7C3B5D98" w14:textId="77777777" w:rsidR="001A1408" w:rsidRPr="00767393" w:rsidRDefault="001A1408" w:rsidP="00ED47C0">
      <w:pPr>
        <w:numPr>
          <w:ilvl w:val="0"/>
          <w:numId w:val="12"/>
        </w:numPr>
        <w:spacing w:line="360" w:lineRule="auto"/>
        <w:ind w:left="990" w:right="918" w:hanging="270"/>
        <w:jc w:val="both"/>
        <w:rPr>
          <w:rFonts w:ascii="Palatino Linotype" w:hAnsi="Palatino Linotype"/>
          <w:b/>
          <w:lang w:val="es-MX" w:eastAsia="en-US"/>
        </w:rPr>
      </w:pPr>
      <w:r w:rsidRPr="00767393">
        <w:rPr>
          <w:rFonts w:ascii="Palatino Linotype" w:hAnsi="Palatino Linotype"/>
          <w:b/>
          <w:lang w:val="es-MX" w:eastAsia="en-US"/>
        </w:rPr>
        <w:t>Actividad Procesal del interesado. Acciones u omisiones del interesado.</w:t>
      </w:r>
    </w:p>
    <w:p w14:paraId="0C8280D7" w14:textId="77777777" w:rsidR="001A1408" w:rsidRPr="00767393" w:rsidRDefault="001A1408" w:rsidP="00ED47C0">
      <w:pPr>
        <w:spacing w:line="360" w:lineRule="auto"/>
        <w:ind w:left="990" w:right="918" w:hanging="270"/>
        <w:jc w:val="both"/>
        <w:rPr>
          <w:rFonts w:ascii="Palatino Linotype" w:hAnsi="Palatino Linotype"/>
          <w:b/>
          <w:lang w:val="es-ES_tradnl" w:eastAsia="en-US"/>
        </w:rPr>
      </w:pPr>
    </w:p>
    <w:p w14:paraId="05956BE3" w14:textId="77777777" w:rsidR="001A1408" w:rsidRPr="00767393" w:rsidRDefault="001A1408" w:rsidP="00ED47C0">
      <w:pPr>
        <w:numPr>
          <w:ilvl w:val="0"/>
          <w:numId w:val="12"/>
        </w:numPr>
        <w:spacing w:line="360" w:lineRule="auto"/>
        <w:ind w:left="990" w:right="918" w:hanging="270"/>
        <w:jc w:val="both"/>
        <w:rPr>
          <w:rFonts w:ascii="Palatino Linotype" w:hAnsi="Palatino Linotype"/>
          <w:b/>
          <w:lang w:val="es-MX" w:eastAsia="en-US"/>
        </w:rPr>
      </w:pPr>
      <w:r w:rsidRPr="00767393">
        <w:rPr>
          <w:rFonts w:ascii="Palatino Linotype" w:hAnsi="Palatino Linotype"/>
          <w:b/>
          <w:lang w:val="es-MX" w:eastAsia="en-US"/>
        </w:rPr>
        <w:t>Conducta de la Autoridad: Las Acciones u omisiones realizadas en el procedimiento. Así como si la autoridad actuó con la debida diligencia.</w:t>
      </w:r>
    </w:p>
    <w:p w14:paraId="50588448" w14:textId="77777777" w:rsidR="001A1408" w:rsidRPr="00767393" w:rsidRDefault="001A1408" w:rsidP="00ED47C0">
      <w:pPr>
        <w:spacing w:line="360" w:lineRule="auto"/>
        <w:ind w:left="990" w:right="918" w:hanging="270"/>
        <w:jc w:val="both"/>
        <w:rPr>
          <w:rFonts w:ascii="Palatino Linotype" w:hAnsi="Palatino Linotype"/>
          <w:b/>
          <w:lang w:val="es-MX" w:eastAsia="en-US"/>
        </w:rPr>
      </w:pPr>
    </w:p>
    <w:p w14:paraId="6ED7AD6C" w14:textId="77777777" w:rsidR="001A1408" w:rsidRPr="00767393" w:rsidRDefault="001A1408" w:rsidP="00ED47C0">
      <w:pPr>
        <w:spacing w:line="360" w:lineRule="auto"/>
        <w:ind w:left="990" w:right="918" w:hanging="270"/>
        <w:jc w:val="both"/>
        <w:rPr>
          <w:rFonts w:ascii="Palatino Linotype" w:hAnsi="Palatino Linotype"/>
          <w:b/>
          <w:lang w:val="es-ES_tradnl" w:eastAsia="en-US"/>
        </w:rPr>
      </w:pPr>
      <w:r w:rsidRPr="00767393">
        <w:rPr>
          <w:rFonts w:ascii="Palatino Linotype" w:hAnsi="Palatino Linotype"/>
          <w:b/>
          <w:lang w:val="es-ES_tradnl" w:eastAsia="en-US"/>
        </w:rPr>
        <w:t>d) La afectación generada en la situación jurídica de la persona involucrada en el proceso: Violación a sus derechos humanos.</w:t>
      </w:r>
    </w:p>
    <w:p w14:paraId="6324FE52" w14:textId="77777777" w:rsidR="001A1408" w:rsidRPr="00767393" w:rsidRDefault="001A1408" w:rsidP="00ED47C0">
      <w:pPr>
        <w:spacing w:line="360" w:lineRule="auto"/>
        <w:rPr>
          <w:rFonts w:ascii="Palatino Linotype" w:hAnsi="Palatino Linotype"/>
          <w:lang w:val="es-ES_tradnl" w:eastAsia="en-US"/>
        </w:rPr>
      </w:pPr>
    </w:p>
    <w:p w14:paraId="1D3D73D2" w14:textId="38950DBD" w:rsidR="001A1408" w:rsidRPr="00767393" w:rsidRDefault="001A1408" w:rsidP="00ED47C0">
      <w:pPr>
        <w:pStyle w:val="Prrafodelista"/>
        <w:numPr>
          <w:ilvl w:val="0"/>
          <w:numId w:val="3"/>
        </w:numPr>
        <w:tabs>
          <w:tab w:val="left" w:pos="0"/>
        </w:tabs>
        <w:spacing w:line="360" w:lineRule="auto"/>
        <w:ind w:left="0" w:firstLine="0"/>
        <w:jc w:val="both"/>
        <w:rPr>
          <w:rFonts w:ascii="Palatino Linotype" w:hAnsi="Palatino Linotype"/>
          <w:lang w:val="es-ES_tradnl" w:eastAsia="en-US"/>
        </w:rPr>
      </w:pPr>
      <w:r w:rsidRPr="00767393">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910592" w14:textId="77777777" w:rsidR="001A1408" w:rsidRPr="00767393" w:rsidRDefault="001A1408" w:rsidP="00ED47C0">
      <w:pPr>
        <w:spacing w:line="360" w:lineRule="auto"/>
        <w:rPr>
          <w:rFonts w:ascii="Palatino Linotype" w:hAnsi="Palatino Linotype"/>
          <w:lang w:val="es-ES_tradnl" w:eastAsia="en-US"/>
        </w:rPr>
      </w:pPr>
    </w:p>
    <w:p w14:paraId="2B8F9A6A" w14:textId="77777777" w:rsidR="001A1408" w:rsidRPr="00767393" w:rsidRDefault="001A1408" w:rsidP="00ED47C0">
      <w:pPr>
        <w:numPr>
          <w:ilvl w:val="0"/>
          <w:numId w:val="3"/>
        </w:numPr>
        <w:tabs>
          <w:tab w:val="left" w:pos="0"/>
        </w:tabs>
        <w:spacing w:line="360" w:lineRule="auto"/>
        <w:ind w:left="0" w:firstLine="0"/>
        <w:jc w:val="both"/>
        <w:rPr>
          <w:rFonts w:ascii="Palatino Linotype" w:hAnsi="Palatino Linotype"/>
          <w:lang w:val="es-ES_tradnl" w:eastAsia="en-US"/>
        </w:rPr>
      </w:pPr>
      <w:r w:rsidRPr="00767393">
        <w:rPr>
          <w:rFonts w:ascii="Palatino Linotype" w:hAnsi="Palatino Linotype"/>
          <w:lang w:val="es-ES_tradnl" w:eastAsia="en-US"/>
        </w:rPr>
        <w:t xml:space="preserve">Argumento que encuentra sustento en la jurisprudencia P./J. 32/92 emitida por el Pleno de la Suprema Corte de Justicia de la Nación de rubro </w:t>
      </w:r>
      <w:r w:rsidRPr="00767393">
        <w:rPr>
          <w:rFonts w:ascii="Palatino Linotype" w:hAnsi="Palatino Linotype"/>
          <w:i/>
          <w:lang w:val="es-ES_tradnl" w:eastAsia="en-US"/>
        </w:rPr>
        <w:t xml:space="preserve">“TÉRMINOS PROCESALES. PARA DETERMINAR SI UN FUNCIONARIO JUDICIAL ACTUÓ </w:t>
      </w:r>
      <w:r w:rsidRPr="00767393">
        <w:rPr>
          <w:rFonts w:ascii="Palatino Linotype" w:hAnsi="Palatino Linotype"/>
          <w:i/>
          <w:lang w:val="es-ES_tradnl" w:eastAsia="en-US"/>
        </w:rPr>
        <w:lastRenderedPageBreak/>
        <w:t>INDEBIDAMENTE POR NO RESPETARLOS SE DEBE ATENDER AL PRESUPUESTO QUE CONSIDERÓ EL LEGISLADOR AL FIJARLOS Y LAS CARACTERÍSTICAS DEL CASO.”</w:t>
      </w:r>
      <w:r w:rsidRPr="00767393">
        <w:rPr>
          <w:rFonts w:ascii="Palatino Linotype" w:hAnsi="Palatino Linotype"/>
          <w:lang w:val="es-ES_tradnl" w:eastAsia="en-US"/>
        </w:rPr>
        <w:t>, visible en la Gaceta del Seminario Judicial de la Federación con el registro digital 205635.</w:t>
      </w:r>
    </w:p>
    <w:p w14:paraId="3F23AF52" w14:textId="77777777" w:rsidR="001A1408" w:rsidRPr="00767393" w:rsidRDefault="001A1408" w:rsidP="00ED47C0">
      <w:pPr>
        <w:tabs>
          <w:tab w:val="left" w:pos="0"/>
        </w:tabs>
        <w:spacing w:line="360" w:lineRule="auto"/>
        <w:jc w:val="both"/>
        <w:rPr>
          <w:rFonts w:ascii="Palatino Linotype" w:hAnsi="Palatino Linotype"/>
          <w:lang w:val="es-ES_tradnl" w:eastAsia="en-US"/>
        </w:rPr>
      </w:pPr>
    </w:p>
    <w:p w14:paraId="5709BC52" w14:textId="77777777" w:rsidR="001A1408" w:rsidRPr="00767393" w:rsidRDefault="001A1408" w:rsidP="00ED47C0">
      <w:pPr>
        <w:numPr>
          <w:ilvl w:val="0"/>
          <w:numId w:val="3"/>
        </w:numPr>
        <w:tabs>
          <w:tab w:val="left" w:pos="0"/>
        </w:tabs>
        <w:spacing w:line="360" w:lineRule="auto"/>
        <w:ind w:left="0" w:firstLine="0"/>
        <w:jc w:val="both"/>
        <w:rPr>
          <w:rFonts w:ascii="Palatino Linotype" w:hAnsi="Palatino Linotype"/>
          <w:lang w:val="es-ES_tradnl" w:eastAsia="en-US"/>
        </w:rPr>
      </w:pPr>
      <w:r w:rsidRPr="00767393">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8A8655" w14:textId="77777777" w:rsidR="001A1408" w:rsidRPr="00767393" w:rsidRDefault="001A1408" w:rsidP="00ED47C0">
      <w:pPr>
        <w:tabs>
          <w:tab w:val="left" w:pos="0"/>
        </w:tabs>
        <w:spacing w:line="360" w:lineRule="auto"/>
        <w:jc w:val="both"/>
        <w:rPr>
          <w:rFonts w:ascii="Palatino Linotype" w:hAnsi="Palatino Linotype"/>
          <w:lang w:val="es-ES_tradnl" w:eastAsia="en-US"/>
        </w:rPr>
      </w:pPr>
    </w:p>
    <w:p w14:paraId="7C503DF9" w14:textId="77777777" w:rsidR="001A1408" w:rsidRPr="00767393" w:rsidRDefault="001A1408" w:rsidP="00ED47C0">
      <w:pPr>
        <w:numPr>
          <w:ilvl w:val="0"/>
          <w:numId w:val="3"/>
        </w:numPr>
        <w:tabs>
          <w:tab w:val="left" w:pos="0"/>
        </w:tabs>
        <w:spacing w:line="360" w:lineRule="auto"/>
        <w:ind w:left="0" w:firstLine="0"/>
        <w:jc w:val="both"/>
        <w:rPr>
          <w:rFonts w:ascii="Palatino Linotype" w:hAnsi="Palatino Linotype"/>
          <w:lang w:val="es-ES_tradnl" w:eastAsia="en-US"/>
        </w:rPr>
      </w:pPr>
      <w:r w:rsidRPr="00767393">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D666428" w14:textId="77777777" w:rsidR="001A1408" w:rsidRPr="00767393" w:rsidRDefault="001A1408" w:rsidP="00ED47C0">
      <w:pPr>
        <w:spacing w:line="360" w:lineRule="auto"/>
        <w:rPr>
          <w:rFonts w:ascii="Palatino Linotype" w:hAnsi="Palatino Linotype"/>
          <w:lang w:val="es-ES_tradnl" w:eastAsia="en-US"/>
        </w:rPr>
      </w:pPr>
    </w:p>
    <w:p w14:paraId="4C1D1F2F" w14:textId="77777777" w:rsidR="001A1408" w:rsidRPr="00767393" w:rsidRDefault="001A1408" w:rsidP="00ED47C0">
      <w:pPr>
        <w:numPr>
          <w:ilvl w:val="0"/>
          <w:numId w:val="3"/>
        </w:numPr>
        <w:spacing w:line="360" w:lineRule="auto"/>
        <w:ind w:left="0" w:firstLine="0"/>
        <w:jc w:val="both"/>
        <w:rPr>
          <w:rFonts w:ascii="Palatino Linotype" w:hAnsi="Palatino Linotype"/>
          <w:lang w:val="es-ES_tradnl" w:eastAsia="en-US"/>
        </w:rPr>
      </w:pPr>
      <w:r w:rsidRPr="00767393">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144220F3" w14:textId="77777777" w:rsidR="001A1408" w:rsidRPr="00767393" w:rsidRDefault="001A1408" w:rsidP="00ED47C0">
      <w:pPr>
        <w:spacing w:line="360" w:lineRule="auto"/>
        <w:rPr>
          <w:rFonts w:ascii="Palatino Linotype" w:hAnsi="Palatino Linotype"/>
          <w:lang w:val="es-ES_tradnl" w:eastAsia="en-US"/>
        </w:rPr>
      </w:pPr>
    </w:p>
    <w:p w14:paraId="38736266" w14:textId="77777777" w:rsidR="00F102E2" w:rsidRPr="00767393" w:rsidRDefault="00F102E2" w:rsidP="00F102E2">
      <w:pPr>
        <w:pStyle w:val="Prrafodelista"/>
        <w:spacing w:line="360" w:lineRule="auto"/>
        <w:ind w:left="720" w:right="474"/>
        <w:jc w:val="both"/>
        <w:rPr>
          <w:rFonts w:ascii="Palatino Linotype" w:hAnsi="Palatino Linotype"/>
          <w:lang w:val="es-ES_tradnl"/>
        </w:rPr>
      </w:pPr>
      <w:r w:rsidRPr="00767393">
        <w:rPr>
          <w:rFonts w:ascii="Palatino Linotype" w:hAnsi="Palatino Linotype"/>
          <w:i/>
        </w:rPr>
        <w:lastRenderedPageBreak/>
        <w:t>“PLAZO RAZONABLE PARA RESOLVER. DIMENSIÓN Y EFECTOS DE ESTE CONCEPTO CUANDO SE ADUCE EXCESIVA CARGA DE TRABAJO.”</w:t>
      </w:r>
      <w:r w:rsidRPr="00767393">
        <w:rPr>
          <w:rFonts w:ascii="Palatino Linotype" w:hAnsi="Palatino Linotype"/>
        </w:rPr>
        <w:t xml:space="preserve"> consultable en el Seminario Judicial de la Federación y su gaceta, con el registro digital 2002351.</w:t>
      </w:r>
    </w:p>
    <w:p w14:paraId="3D92C7D5" w14:textId="77777777" w:rsidR="00F102E2" w:rsidRPr="00767393" w:rsidRDefault="00F102E2" w:rsidP="00F102E2">
      <w:pPr>
        <w:pStyle w:val="Prrafodelista"/>
        <w:spacing w:line="360" w:lineRule="auto"/>
        <w:ind w:left="720" w:right="474"/>
        <w:jc w:val="both"/>
        <w:rPr>
          <w:rFonts w:ascii="Palatino Linotype" w:hAnsi="Palatino Linotype"/>
          <w:b/>
        </w:rPr>
      </w:pPr>
    </w:p>
    <w:p w14:paraId="43091BFB" w14:textId="77777777" w:rsidR="00F102E2" w:rsidRPr="00767393" w:rsidRDefault="00F102E2" w:rsidP="00F102E2">
      <w:pPr>
        <w:pStyle w:val="Prrafodelista"/>
        <w:spacing w:line="360" w:lineRule="auto"/>
        <w:ind w:left="720" w:right="474"/>
        <w:jc w:val="both"/>
        <w:rPr>
          <w:rFonts w:ascii="Palatino Linotype" w:hAnsi="Palatino Linotype"/>
        </w:rPr>
      </w:pPr>
      <w:r w:rsidRPr="00767393">
        <w:rPr>
          <w:rFonts w:ascii="Palatino Linotype" w:hAnsi="Palatino Linotype"/>
          <w:i/>
        </w:rPr>
        <w:t>“PLAZO RAZONABLE PARA RESOLVER. CONCEPTO Y ELEMENTOS QUE LO INTEGRAN A LA LUZ DEL DERECHO INTERNACIONAL DE LOS DERECHOS HUMANOS.”</w:t>
      </w:r>
      <w:r w:rsidRPr="00767393">
        <w:rPr>
          <w:rFonts w:ascii="Palatino Linotype" w:hAnsi="Palatino Linotype"/>
        </w:rPr>
        <w:t>, visible en el Seminario Judicial de la Federación y su gaceta, con el registro digital 2002350.</w:t>
      </w:r>
    </w:p>
    <w:p w14:paraId="08101285" w14:textId="77777777" w:rsidR="00F102E2" w:rsidRPr="00767393" w:rsidRDefault="00F102E2" w:rsidP="00F102E2">
      <w:pPr>
        <w:pStyle w:val="Prrafodelista"/>
        <w:spacing w:line="360" w:lineRule="auto"/>
        <w:ind w:left="720" w:right="474"/>
        <w:jc w:val="both"/>
        <w:rPr>
          <w:rFonts w:ascii="Palatino Linotype" w:hAnsi="Palatino Linotype"/>
        </w:rPr>
      </w:pPr>
    </w:p>
    <w:p w14:paraId="0B84B490" w14:textId="19989975" w:rsidR="001D03AF" w:rsidRPr="00767393" w:rsidRDefault="001A1408" w:rsidP="00ED47C0">
      <w:pPr>
        <w:numPr>
          <w:ilvl w:val="0"/>
          <w:numId w:val="3"/>
        </w:numPr>
        <w:spacing w:line="360" w:lineRule="auto"/>
        <w:ind w:left="0" w:firstLine="0"/>
        <w:rPr>
          <w:rFonts w:ascii="Palatino Linotype" w:hAnsi="Palatino Linotype"/>
          <w:lang w:val="es-ES_tradnl" w:eastAsia="en-US"/>
        </w:rPr>
      </w:pPr>
      <w:r w:rsidRPr="00767393">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0E43D3E8" w14:textId="77777777" w:rsidR="001D03AF" w:rsidRPr="00767393" w:rsidRDefault="001D03AF" w:rsidP="00ED47C0">
      <w:pPr>
        <w:spacing w:line="360" w:lineRule="auto"/>
        <w:rPr>
          <w:rFonts w:ascii="Palatino Linotype" w:hAnsi="Palatino Linotype"/>
          <w:lang w:val="es-ES_tradnl" w:eastAsia="en-US"/>
        </w:rPr>
      </w:pPr>
    </w:p>
    <w:p w14:paraId="3BC73C77" w14:textId="7729A089" w:rsidR="001D03AF" w:rsidRPr="00767393" w:rsidRDefault="001D03AF" w:rsidP="00ED47C0">
      <w:pPr>
        <w:numPr>
          <w:ilvl w:val="0"/>
          <w:numId w:val="3"/>
        </w:numPr>
        <w:spacing w:line="360" w:lineRule="auto"/>
        <w:ind w:left="0" w:firstLine="0"/>
        <w:rPr>
          <w:rFonts w:ascii="Palatino Linotype" w:hAnsi="Palatino Linotype"/>
          <w:lang w:val="es-ES_tradnl" w:eastAsia="en-US"/>
        </w:rPr>
      </w:pPr>
      <w:r w:rsidRPr="00767393">
        <w:rPr>
          <w:rFonts w:ascii="Palatino Linotype" w:eastAsiaTheme="minorEastAsia" w:hAnsi="Palatino Linotype" w:cstheme="minorBidi"/>
          <w:color w:val="000000" w:themeColor="text1"/>
          <w:lang w:val="es-ES_tradnl"/>
        </w:rPr>
        <w:t>Así las cosas, la</w:t>
      </w:r>
      <w:r w:rsidRPr="00767393">
        <w:rPr>
          <w:rFonts w:ascii="Palatino Linotype" w:eastAsiaTheme="minorEastAsia" w:hAnsi="Palatino Linotype" w:cstheme="minorBidi"/>
          <w:b/>
          <w:color w:val="000000" w:themeColor="text1"/>
          <w:lang w:val="es-ES_tradnl"/>
        </w:rPr>
        <w:t xml:space="preserve"> Comisionada María del Rosario Mejía Ayala</w:t>
      </w:r>
      <w:r w:rsidRPr="00767393">
        <w:rPr>
          <w:rFonts w:ascii="Palatino Linotype" w:eastAsiaTheme="minorEastAsia" w:hAnsi="Palatino Linotype" w:cstheme="minorBidi"/>
          <w:color w:val="000000" w:themeColor="text1"/>
          <w:lang w:val="es-ES_tradnl"/>
        </w:rPr>
        <w:t xml:space="preserve"> decretó el cierre de instrucción mediante acuerdo de fecha veintitrés (23) de agosto de dos mil veintidós. </w:t>
      </w:r>
    </w:p>
    <w:p w14:paraId="1A06EC63" w14:textId="5F16CF07" w:rsidR="0028674A" w:rsidRPr="00767393" w:rsidRDefault="0028674A" w:rsidP="00ED47C0">
      <w:pPr>
        <w:spacing w:line="360" w:lineRule="auto"/>
        <w:rPr>
          <w:rFonts w:ascii="Palatino Linotype" w:hAnsi="Palatino Linotype"/>
          <w:lang w:val="es-ES_tradnl" w:eastAsia="en-US"/>
        </w:rPr>
      </w:pPr>
    </w:p>
    <w:p w14:paraId="0D7AA06B" w14:textId="2A5AEBF2" w:rsidR="00EA0165" w:rsidRPr="00767393" w:rsidRDefault="00EA0165" w:rsidP="00ED47C0">
      <w:pPr>
        <w:pStyle w:val="Ttulo1"/>
        <w:spacing w:line="360" w:lineRule="auto"/>
        <w:jc w:val="center"/>
        <w:rPr>
          <w:rFonts w:ascii="Palatino Linotype" w:hAnsi="Palatino Linotype"/>
          <w:b/>
          <w:color w:val="000000" w:themeColor="text1"/>
          <w:sz w:val="24"/>
          <w:szCs w:val="24"/>
          <w:lang w:val="es-MX" w:eastAsia="en-US"/>
        </w:rPr>
      </w:pPr>
      <w:bookmarkStart w:id="7" w:name="_Toc104490249"/>
      <w:r w:rsidRPr="00767393">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767393" w:rsidRDefault="00EA0165" w:rsidP="00ED47C0">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4490250"/>
      <w:r w:rsidRPr="00767393">
        <w:rPr>
          <w:rFonts w:ascii="Palatino Linotype" w:hAnsi="Palatino Linotype"/>
          <w:b/>
          <w:color w:val="000000" w:themeColor="text1"/>
          <w:sz w:val="24"/>
          <w:szCs w:val="24"/>
          <w:lang w:val="es-MX" w:eastAsia="en-US"/>
        </w:rPr>
        <w:t>PRIMERO. De la competencia</w:t>
      </w:r>
      <w:bookmarkEnd w:id="8"/>
      <w:bookmarkEnd w:id="9"/>
      <w:bookmarkEnd w:id="10"/>
      <w:r w:rsidR="00537427" w:rsidRPr="00767393">
        <w:rPr>
          <w:rFonts w:ascii="Palatino Linotype" w:hAnsi="Palatino Linotype"/>
          <w:b/>
          <w:color w:val="000000" w:themeColor="text1"/>
          <w:sz w:val="24"/>
          <w:szCs w:val="24"/>
          <w:lang w:val="es-MX" w:eastAsia="en-US"/>
        </w:rPr>
        <w:t>.</w:t>
      </w:r>
      <w:bookmarkEnd w:id="11"/>
    </w:p>
    <w:p w14:paraId="341F67EC" w14:textId="77777777" w:rsidR="00EA0165" w:rsidRPr="00767393" w:rsidRDefault="00EA0165" w:rsidP="00ED47C0">
      <w:pPr>
        <w:spacing w:line="360" w:lineRule="auto"/>
        <w:rPr>
          <w:rFonts w:ascii="Palatino Linotype" w:eastAsiaTheme="minorEastAsia" w:hAnsi="Palatino Linotype" w:cstheme="minorBidi"/>
          <w:color w:val="000000" w:themeColor="text1"/>
          <w:lang w:val="es-MX" w:eastAsia="en-US"/>
        </w:rPr>
      </w:pPr>
    </w:p>
    <w:p w14:paraId="15D1D21E" w14:textId="1092DD9E" w:rsidR="00EA0165" w:rsidRPr="00767393" w:rsidRDefault="00EA0165" w:rsidP="00ED47C0">
      <w:pPr>
        <w:pStyle w:val="Prrafodelista"/>
        <w:numPr>
          <w:ilvl w:val="0"/>
          <w:numId w:val="3"/>
        </w:numPr>
        <w:tabs>
          <w:tab w:val="left" w:pos="0"/>
        </w:tabs>
        <w:spacing w:after="160" w:line="360" w:lineRule="auto"/>
        <w:ind w:left="0" w:firstLine="0"/>
        <w:contextualSpacing/>
        <w:jc w:val="both"/>
        <w:rPr>
          <w:rFonts w:ascii="Palatino Linotype" w:eastAsia="MS Mincho" w:hAnsi="Palatino Linotype"/>
          <w:lang w:val="es-ES_tradnl"/>
        </w:rPr>
      </w:pPr>
      <w:r w:rsidRPr="00767393">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767393">
        <w:rPr>
          <w:rFonts w:ascii="Palatino Linotype" w:eastAsia="Calibri" w:hAnsi="Palatino Linotype"/>
        </w:rPr>
        <w:lastRenderedPageBreak/>
        <w:t xml:space="preserve">fracción IV de la </w:t>
      </w:r>
      <w:r w:rsidRPr="00767393">
        <w:rPr>
          <w:rFonts w:ascii="Palatino Linotype" w:eastAsia="Calibri" w:hAnsi="Palatino Linotype"/>
          <w:b/>
        </w:rPr>
        <w:t>Constitución Política de los Estados Unidos Mexicanos</w:t>
      </w:r>
      <w:r w:rsidRPr="00767393">
        <w:rPr>
          <w:rFonts w:ascii="Palatino Linotype" w:eastAsia="Calibri" w:hAnsi="Palatino Linotype"/>
        </w:rPr>
        <w:t xml:space="preserve">; </w:t>
      </w:r>
      <w:r w:rsidRPr="00767393">
        <w:rPr>
          <w:rFonts w:ascii="Palatino Linotype" w:eastAsia="Calibri" w:hAnsi="Palatino Linotype" w:cs="Arial"/>
          <w:bCs/>
          <w:color w:val="222222"/>
          <w:shd w:val="clear" w:color="auto" w:fill="FFFFFF"/>
          <w:lang w:eastAsia="en-US"/>
        </w:rPr>
        <w:t>5, párrafo</w:t>
      </w:r>
      <w:r w:rsidR="00543BF9" w:rsidRPr="00767393">
        <w:rPr>
          <w:rFonts w:ascii="Palatino Linotype" w:eastAsia="Calibri" w:hAnsi="Palatino Linotype"/>
          <w:lang w:val="es-MX" w:eastAsia="en-US"/>
        </w:rPr>
        <w:t xml:space="preserve"> trigésimo, trigésimo primero y trigésimo segundo, fracciones I, II, III, IV y V</w:t>
      </w:r>
      <w:r w:rsidR="00543BF9" w:rsidRPr="00767393">
        <w:rPr>
          <w:rFonts w:ascii="Palatino Linotype" w:eastAsia="MS Mincho" w:hAnsi="Palatino Linotype"/>
          <w:lang w:val="es-ES_tradnl"/>
        </w:rPr>
        <w:t xml:space="preserve"> </w:t>
      </w:r>
      <w:r w:rsidRPr="00767393">
        <w:rPr>
          <w:rFonts w:ascii="Palatino Linotype" w:eastAsia="Calibri" w:hAnsi="Palatino Linotype"/>
        </w:rPr>
        <w:t xml:space="preserve">de la </w:t>
      </w:r>
      <w:r w:rsidRPr="00767393">
        <w:rPr>
          <w:rFonts w:ascii="Palatino Linotype" w:eastAsia="Calibri" w:hAnsi="Palatino Linotype"/>
          <w:b/>
        </w:rPr>
        <w:t>Constitución Política del Estado Libre y Soberano de México</w:t>
      </w:r>
      <w:r w:rsidRPr="00767393">
        <w:rPr>
          <w:rFonts w:ascii="Palatino Linotype" w:eastAsia="Calibri" w:hAnsi="Palatino Linotype"/>
        </w:rPr>
        <w:t xml:space="preserve">; artículos 1, 2 fracción II, 13, 29, 36 fracciones I y II, 176, 178, 179, 181 párrafo tercero y 185 </w:t>
      </w:r>
      <w:r w:rsidRPr="00767393">
        <w:rPr>
          <w:rFonts w:ascii="Palatino Linotype" w:eastAsia="Calibri" w:hAnsi="Palatino Linotype" w:cs="Arial"/>
        </w:rPr>
        <w:t xml:space="preserve">de la </w:t>
      </w:r>
      <w:r w:rsidRPr="00767393">
        <w:rPr>
          <w:rFonts w:ascii="Palatino Linotype" w:eastAsia="Calibri" w:hAnsi="Palatino Linotype" w:cs="Arial"/>
          <w:b/>
        </w:rPr>
        <w:t>Ley de Transparencia y Acceso a la Información Pública del Estado de México y Municipios</w:t>
      </w:r>
      <w:r w:rsidRPr="00767393">
        <w:rPr>
          <w:rFonts w:ascii="Palatino Linotype" w:eastAsia="Calibri" w:hAnsi="Palatino Linotype" w:cs="Arial"/>
        </w:rPr>
        <w:t xml:space="preserve">; </w:t>
      </w:r>
      <w:r w:rsidRPr="00767393">
        <w:rPr>
          <w:rFonts w:ascii="Palatino Linotype" w:eastAsia="Calibri" w:hAnsi="Palatino Linotype" w:cs="Arial"/>
          <w:b/>
        </w:rPr>
        <w:t>7, 9 fracciones I y XXIV, y 11</w:t>
      </w:r>
      <w:r w:rsidRPr="00767393">
        <w:rPr>
          <w:rFonts w:ascii="Palatino Linotype" w:eastAsia="Calibri" w:hAnsi="Palatino Linotype" w:cs="Arial"/>
        </w:rPr>
        <w:t xml:space="preserve"> del </w:t>
      </w:r>
      <w:r w:rsidRPr="00767393">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767393">
        <w:rPr>
          <w:rFonts w:ascii="Palatino Linotype" w:eastAsia="Calibri" w:hAnsi="Palatino Linotype" w:cs="Arial"/>
          <w:b/>
        </w:rPr>
        <w:t>.</w:t>
      </w:r>
    </w:p>
    <w:p w14:paraId="343B0FCF" w14:textId="413622B7" w:rsidR="00EA0165" w:rsidRPr="00767393" w:rsidRDefault="00EA0165" w:rsidP="00ED47C0">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4490251"/>
      <w:r w:rsidRPr="00767393">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767393" w:rsidRDefault="00C36DF2" w:rsidP="00ED47C0">
      <w:pPr>
        <w:pStyle w:val="Ttulo1"/>
        <w:spacing w:line="360" w:lineRule="auto"/>
        <w:rPr>
          <w:rFonts w:ascii="Palatino Linotype" w:hAnsi="Palatino Linotype"/>
          <w:b/>
          <w:color w:val="000000" w:themeColor="text1"/>
          <w:sz w:val="24"/>
          <w:szCs w:val="24"/>
          <w:lang w:val="es-MX" w:eastAsia="en-US"/>
        </w:rPr>
      </w:pPr>
      <w:bookmarkStart w:id="16" w:name="_Toc104490252"/>
      <w:r w:rsidRPr="00767393">
        <w:rPr>
          <w:rFonts w:ascii="Palatino Linotype" w:hAnsi="Palatino Linotype"/>
          <w:b/>
          <w:color w:val="000000" w:themeColor="text1"/>
          <w:sz w:val="24"/>
          <w:szCs w:val="24"/>
          <w:lang w:val="es-MX" w:eastAsia="en-US"/>
        </w:rPr>
        <w:t>I. De la interposición del recurso.</w:t>
      </w:r>
      <w:bookmarkEnd w:id="16"/>
      <w:r w:rsidRPr="00767393">
        <w:rPr>
          <w:rFonts w:ascii="Palatino Linotype" w:hAnsi="Palatino Linotype"/>
          <w:b/>
          <w:color w:val="000000" w:themeColor="text1"/>
          <w:sz w:val="24"/>
          <w:szCs w:val="24"/>
          <w:lang w:val="es-MX" w:eastAsia="en-US"/>
        </w:rPr>
        <w:t xml:space="preserve"> </w:t>
      </w:r>
    </w:p>
    <w:p w14:paraId="40D53B59" w14:textId="77777777" w:rsidR="00C36DF2" w:rsidRPr="00767393" w:rsidRDefault="00C36DF2" w:rsidP="00ED47C0">
      <w:pPr>
        <w:keepNext/>
        <w:keepLines/>
        <w:tabs>
          <w:tab w:val="left" w:pos="0"/>
        </w:tabs>
        <w:spacing w:line="360" w:lineRule="auto"/>
        <w:contextualSpacing/>
        <w:outlineLvl w:val="0"/>
        <w:rPr>
          <w:rFonts w:ascii="Palatino Linotype" w:eastAsia="MS Gothic" w:hAnsi="Palatino Linotype"/>
          <w:b/>
          <w:lang w:val="es-MX" w:eastAsia="en-US"/>
        </w:rPr>
      </w:pPr>
    </w:p>
    <w:p w14:paraId="4F5294AE" w14:textId="43937394" w:rsidR="00C36DF2" w:rsidRPr="00767393" w:rsidRDefault="00C36DF2" w:rsidP="00ED47C0">
      <w:pPr>
        <w:numPr>
          <w:ilvl w:val="0"/>
          <w:numId w:val="8"/>
        </w:numPr>
        <w:spacing w:after="160" w:line="360" w:lineRule="auto"/>
        <w:ind w:left="0" w:right="49" w:firstLine="0"/>
        <w:contextualSpacing/>
        <w:jc w:val="both"/>
        <w:rPr>
          <w:rFonts w:ascii="Palatino Linotype" w:hAnsi="Palatino Linotype"/>
          <w:lang w:val="es-ES_tradnl"/>
        </w:rPr>
      </w:pPr>
      <w:r w:rsidRPr="00767393">
        <w:rPr>
          <w:rFonts w:ascii="Palatino Linotype" w:eastAsia="Calibri" w:hAnsi="Palatino Linotype" w:cs="Arial"/>
          <w:lang w:val="es-ES_tradnl"/>
        </w:rPr>
        <w:t xml:space="preserve">El medio de impugnación fue presentado a través del </w:t>
      </w:r>
      <w:r w:rsidRPr="00767393">
        <w:rPr>
          <w:rFonts w:ascii="Palatino Linotype" w:eastAsia="Calibri" w:hAnsi="Palatino Linotype" w:cs="Arial"/>
          <w:b/>
          <w:lang w:val="es-ES_tradnl"/>
        </w:rPr>
        <w:t>SAIMEX,</w:t>
      </w:r>
      <w:r w:rsidRPr="00767393">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767393">
        <w:rPr>
          <w:rFonts w:ascii="Palatino Linotype" w:eastAsia="Calibri" w:hAnsi="Palatino Linotype" w:cs="Arial"/>
          <w:b/>
          <w:lang w:val="es-ES_tradnl"/>
        </w:rPr>
        <w:t>SUJETO OBLIGADO</w:t>
      </w:r>
      <w:r w:rsidR="008225FA" w:rsidRPr="00767393">
        <w:rPr>
          <w:rFonts w:ascii="Palatino Linotype" w:eastAsia="Calibri" w:hAnsi="Palatino Linotype" w:cs="Arial"/>
          <w:lang w:val="es-ES_tradnl"/>
        </w:rPr>
        <w:t xml:space="preserve"> entregó respuesta e</w:t>
      </w:r>
      <w:r w:rsidR="000D37B2" w:rsidRPr="00767393">
        <w:rPr>
          <w:rFonts w:ascii="Palatino Linotype" w:eastAsia="Calibri" w:hAnsi="Palatino Linotype" w:cs="Arial"/>
          <w:lang w:val="es-ES_tradnl"/>
        </w:rPr>
        <w:t>l día dos (02</w:t>
      </w:r>
      <w:r w:rsidRPr="00767393">
        <w:rPr>
          <w:rFonts w:ascii="Palatino Linotype" w:eastAsia="Calibri" w:hAnsi="Palatino Linotype" w:cs="Arial"/>
          <w:lang w:val="es-ES_tradnl"/>
        </w:rPr>
        <w:t>) de</w:t>
      </w:r>
      <w:r w:rsidR="000D37B2" w:rsidRPr="00767393">
        <w:rPr>
          <w:rFonts w:ascii="Palatino Linotype" w:eastAsia="Calibri" w:hAnsi="Palatino Linotype" w:cs="Arial"/>
          <w:lang w:val="es-ES_tradnl"/>
        </w:rPr>
        <w:t xml:space="preserve"> mayo</w:t>
      </w:r>
      <w:r w:rsidR="008225FA" w:rsidRPr="00767393">
        <w:rPr>
          <w:rFonts w:ascii="Palatino Linotype" w:eastAsia="Calibri" w:hAnsi="Palatino Linotype" w:cs="Arial"/>
          <w:lang w:val="es-ES_tradnl"/>
        </w:rPr>
        <w:t xml:space="preserve"> </w:t>
      </w:r>
      <w:r w:rsidRPr="00767393">
        <w:rPr>
          <w:rFonts w:ascii="Palatino Linotype" w:eastAsia="Calibri" w:hAnsi="Palatino Linotype" w:cs="Arial"/>
          <w:lang w:val="es-ES_tradnl"/>
        </w:rPr>
        <w:t>de dos mil veintidós</w:t>
      </w:r>
      <w:r w:rsidRPr="00767393">
        <w:rPr>
          <w:rFonts w:ascii="Palatino Linotype" w:eastAsia="Calibri" w:hAnsi="Palatino Linotype" w:cs="Arial"/>
          <w:lang w:val="es-MX" w:eastAsia="en-US"/>
        </w:rPr>
        <w:t>, el plazo para interponer el recurso de revisión tras</w:t>
      </w:r>
      <w:r w:rsidR="000D37B2" w:rsidRPr="00767393">
        <w:rPr>
          <w:rFonts w:ascii="Palatino Linotype" w:eastAsia="Calibri" w:hAnsi="Palatino Linotype" w:cs="Arial"/>
          <w:lang w:val="es-MX" w:eastAsia="en-US"/>
        </w:rPr>
        <w:t>currió del tres (03</w:t>
      </w:r>
      <w:r w:rsidR="0081381E" w:rsidRPr="00767393">
        <w:rPr>
          <w:rFonts w:ascii="Palatino Linotype" w:eastAsia="Calibri" w:hAnsi="Palatino Linotype" w:cs="Arial"/>
          <w:lang w:val="es-MX" w:eastAsia="en-US"/>
        </w:rPr>
        <w:t xml:space="preserve">) </w:t>
      </w:r>
      <w:r w:rsidR="00C5556C" w:rsidRPr="00767393">
        <w:rPr>
          <w:rFonts w:ascii="Palatino Linotype" w:eastAsia="Calibri" w:hAnsi="Palatino Linotype" w:cs="Arial"/>
          <w:lang w:val="es-MX" w:eastAsia="en-US"/>
        </w:rPr>
        <w:t xml:space="preserve">al veinticuatro (24) de mayo </w:t>
      </w:r>
      <w:r w:rsidRPr="00767393">
        <w:rPr>
          <w:rFonts w:ascii="Palatino Linotype" w:eastAsia="Calibri" w:hAnsi="Palatino Linotype" w:cs="Arial"/>
          <w:lang w:val="es-MX" w:eastAsia="en-US"/>
        </w:rPr>
        <w:t>de dos mil veintidós, por lo que si el particular interpuso re</w:t>
      </w:r>
      <w:r w:rsidR="007F53CB" w:rsidRPr="00767393">
        <w:rPr>
          <w:rFonts w:ascii="Palatino Linotype" w:eastAsia="Calibri" w:hAnsi="Palatino Linotype" w:cs="Arial"/>
          <w:lang w:val="es-MX" w:eastAsia="en-US"/>
        </w:rPr>
        <w:t>curso de revisión e</w:t>
      </w:r>
      <w:r w:rsidR="000D37B2" w:rsidRPr="00767393">
        <w:rPr>
          <w:rFonts w:ascii="Palatino Linotype" w:eastAsia="Calibri" w:hAnsi="Palatino Linotype" w:cs="Arial"/>
          <w:lang w:val="es-MX" w:eastAsia="en-US"/>
        </w:rPr>
        <w:t>l dos (09</w:t>
      </w:r>
      <w:r w:rsidRPr="00767393">
        <w:rPr>
          <w:rFonts w:ascii="Palatino Linotype" w:eastAsia="Calibri" w:hAnsi="Palatino Linotype" w:cs="Arial"/>
          <w:lang w:val="es-MX" w:eastAsia="en-US"/>
        </w:rPr>
        <w:t>) de</w:t>
      </w:r>
      <w:r w:rsidR="00C5556C" w:rsidRPr="00767393">
        <w:rPr>
          <w:rFonts w:ascii="Palatino Linotype" w:eastAsia="Calibri" w:hAnsi="Palatino Linotype" w:cs="Arial"/>
          <w:lang w:val="es-MX" w:eastAsia="en-US"/>
        </w:rPr>
        <w:t xml:space="preserve"> mayo </w:t>
      </w:r>
      <w:r w:rsidRPr="00767393">
        <w:rPr>
          <w:rFonts w:ascii="Palatino Linotype" w:eastAsia="Calibri" w:hAnsi="Palatino Linotype" w:cs="Arial"/>
          <w:lang w:val="es-MX" w:eastAsia="en-US"/>
        </w:rPr>
        <w:t xml:space="preserve">de dos mil veintidós, </w:t>
      </w:r>
      <w:r w:rsidRPr="00767393">
        <w:rPr>
          <w:rFonts w:ascii="Palatino Linotype" w:hAnsi="Palatino Linotype"/>
          <w:lang w:val="es-ES_tradnl"/>
        </w:rPr>
        <w:t xml:space="preserve">se encuentra dentro del periodo establecido por la Ley. </w:t>
      </w:r>
    </w:p>
    <w:p w14:paraId="5370DEB2" w14:textId="77777777" w:rsidR="008225FA" w:rsidRPr="00767393" w:rsidRDefault="008225FA" w:rsidP="00ED47C0">
      <w:pPr>
        <w:spacing w:after="160" w:line="360" w:lineRule="auto"/>
        <w:ind w:right="49"/>
        <w:contextualSpacing/>
        <w:jc w:val="both"/>
        <w:rPr>
          <w:rFonts w:ascii="Palatino Linotype" w:hAnsi="Palatino Linotype"/>
          <w:lang w:val="es-ES_tradnl"/>
        </w:rPr>
      </w:pPr>
    </w:p>
    <w:p w14:paraId="516D7235" w14:textId="47403A89" w:rsidR="00C36DF2" w:rsidRPr="00767393" w:rsidRDefault="007F53CB" w:rsidP="00ED47C0">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17" w:name="_Toc103216913"/>
      <w:bookmarkStart w:id="18" w:name="_Toc85627632"/>
      <w:bookmarkStart w:id="19" w:name="_Toc85137160"/>
      <w:bookmarkStart w:id="20" w:name="_Toc104490253"/>
      <w:r w:rsidRPr="00767393">
        <w:rPr>
          <w:rFonts w:ascii="Palatino Linotype" w:eastAsia="MS Gothic" w:hAnsi="Palatino Linotype"/>
          <w:b/>
        </w:rPr>
        <w:t xml:space="preserve">II. </w:t>
      </w:r>
      <w:bookmarkStart w:id="21" w:name="_Toc99564201"/>
      <w:bookmarkStart w:id="22" w:name="_Toc99564864"/>
      <w:bookmarkStart w:id="23" w:name="_Toc102070728"/>
      <w:bookmarkStart w:id="24" w:name="_Toc104490255"/>
      <w:bookmarkStart w:id="25" w:name="_Toc89964363"/>
      <w:bookmarkStart w:id="26" w:name="_Toc98350362"/>
      <w:bookmarkStart w:id="27" w:name="_Toc67587987"/>
      <w:bookmarkStart w:id="28" w:name="_Toc68804763"/>
      <w:bookmarkEnd w:id="17"/>
      <w:bookmarkEnd w:id="18"/>
      <w:bookmarkEnd w:id="19"/>
      <w:bookmarkEnd w:id="20"/>
      <w:r w:rsidR="00C36DF2" w:rsidRPr="00767393">
        <w:rPr>
          <w:rFonts w:ascii="Palatino Linotype" w:eastAsiaTheme="majorEastAsia" w:hAnsi="Palatino Linotype" w:cstheme="majorBidi"/>
          <w:b/>
          <w:color w:val="000000" w:themeColor="text1"/>
          <w:lang w:val="es-MX" w:eastAsia="en-US"/>
        </w:rPr>
        <w:t>De la determinación sobre la procedibilidad del recurso.</w:t>
      </w:r>
      <w:bookmarkEnd w:id="21"/>
      <w:bookmarkEnd w:id="22"/>
      <w:bookmarkEnd w:id="23"/>
      <w:bookmarkEnd w:id="24"/>
      <w:bookmarkEnd w:id="25"/>
      <w:bookmarkEnd w:id="26"/>
      <w:bookmarkEnd w:id="27"/>
      <w:bookmarkEnd w:id="28"/>
      <w:r w:rsidR="00C36DF2" w:rsidRPr="00767393">
        <w:rPr>
          <w:rFonts w:ascii="Palatino Linotype" w:eastAsiaTheme="majorEastAsia" w:hAnsi="Palatino Linotype" w:cstheme="majorBidi"/>
          <w:b/>
          <w:color w:val="000000" w:themeColor="text1"/>
          <w:lang w:val="es-MX" w:eastAsia="en-US"/>
        </w:rPr>
        <w:t xml:space="preserve"> </w:t>
      </w:r>
    </w:p>
    <w:p w14:paraId="6EC336F7" w14:textId="77777777" w:rsidR="00C36DF2" w:rsidRPr="00767393" w:rsidRDefault="00C36DF2" w:rsidP="00ED47C0">
      <w:pPr>
        <w:spacing w:line="360" w:lineRule="auto"/>
        <w:rPr>
          <w:rFonts w:ascii="Palatino Linotype" w:hAnsi="Palatino Linotype"/>
          <w:lang w:val="es-MX" w:eastAsia="en-US"/>
        </w:rPr>
      </w:pPr>
    </w:p>
    <w:p w14:paraId="2CAA4C68" w14:textId="44D8FBEA" w:rsidR="00A2042B" w:rsidRPr="00767393" w:rsidRDefault="00C36DF2" w:rsidP="00ED47C0">
      <w:pPr>
        <w:numPr>
          <w:ilvl w:val="0"/>
          <w:numId w:val="8"/>
        </w:numPr>
        <w:spacing w:after="160" w:line="360" w:lineRule="auto"/>
        <w:ind w:left="0" w:right="49" w:firstLine="0"/>
        <w:contextualSpacing/>
        <w:jc w:val="both"/>
        <w:rPr>
          <w:rFonts w:ascii="Palatino Linotype" w:hAnsi="Palatino Linotype"/>
          <w:lang w:val="es-ES_tradnl"/>
        </w:rPr>
      </w:pPr>
      <w:r w:rsidRPr="00767393">
        <w:rPr>
          <w:rFonts w:ascii="Palatino Linotype" w:eastAsia="Calibri" w:hAnsi="Palatino Linotype" w:cs="Arial"/>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767393" w:rsidRDefault="00992BC7" w:rsidP="00ED47C0">
      <w:pPr>
        <w:pStyle w:val="Ttulo1"/>
        <w:spacing w:line="360" w:lineRule="auto"/>
        <w:rPr>
          <w:rFonts w:ascii="Palatino Linotype" w:hAnsi="Palatino Linotype"/>
          <w:sz w:val="24"/>
          <w:szCs w:val="24"/>
          <w:lang w:eastAsia="es-ES_tradnl"/>
        </w:rPr>
      </w:pPr>
      <w:bookmarkStart w:id="29" w:name="_Toc104490256"/>
      <w:r w:rsidRPr="00767393">
        <w:rPr>
          <w:rFonts w:ascii="Palatino Linotype" w:eastAsia="MS Mincho" w:hAnsi="Palatino Linotype"/>
          <w:b/>
          <w:color w:val="000000" w:themeColor="text1"/>
          <w:sz w:val="24"/>
          <w:szCs w:val="24"/>
          <w:lang w:val="es-ES_tradnl"/>
        </w:rPr>
        <w:t>TERCERO</w:t>
      </w:r>
      <w:r w:rsidRPr="00767393">
        <w:rPr>
          <w:rFonts w:ascii="Palatino Linotype" w:hAnsi="Palatino Linotype" w:cs="Times New Roman"/>
          <w:b/>
          <w:color w:val="000000" w:themeColor="text1"/>
          <w:sz w:val="24"/>
          <w:szCs w:val="24"/>
        </w:rPr>
        <w:t>.</w:t>
      </w:r>
      <w:bookmarkStart w:id="30" w:name="_Toc67587990"/>
      <w:bookmarkStart w:id="31" w:name="_Toc68804766"/>
      <w:bookmarkStart w:id="32" w:name="_Toc455991148"/>
      <w:bookmarkStart w:id="33" w:name="_Toc450120669"/>
      <w:bookmarkStart w:id="34" w:name="_Toc461555896"/>
      <w:bookmarkStart w:id="35" w:name="_Toc462154385"/>
      <w:bookmarkStart w:id="36" w:name="_Toc462660376"/>
      <w:bookmarkStart w:id="37" w:name="_Toc462660687"/>
      <w:bookmarkStart w:id="38" w:name="_Toc462660766"/>
      <w:bookmarkStart w:id="39" w:name="_Toc465264624"/>
      <w:bookmarkStart w:id="40" w:name="_Toc465264870"/>
      <w:bookmarkStart w:id="41" w:name="_Toc465266520"/>
      <w:bookmarkStart w:id="42" w:name="_Toc466302258"/>
      <w:bookmarkStart w:id="43" w:name="_Toc466371866"/>
      <w:bookmarkStart w:id="44" w:name="_Toc466371925"/>
      <w:bookmarkStart w:id="45" w:name="_Toc466377654"/>
      <w:bookmarkStart w:id="46" w:name="_Toc478549736"/>
      <w:bookmarkStart w:id="47" w:name="_Toc478572850"/>
      <w:bookmarkStart w:id="48" w:name="_Toc479238537"/>
      <w:r w:rsidR="0065578F" w:rsidRPr="00767393">
        <w:rPr>
          <w:rFonts w:ascii="Palatino Linotype" w:hAnsi="Palatino Linotype" w:cs="Times New Roman"/>
          <w:b/>
          <w:color w:val="000000" w:themeColor="text1"/>
          <w:sz w:val="24"/>
          <w:szCs w:val="24"/>
        </w:rPr>
        <w:t xml:space="preserve"> </w:t>
      </w:r>
      <w:r w:rsidR="00EA0165" w:rsidRPr="00767393">
        <w:rPr>
          <w:rFonts w:ascii="Palatino Linotype" w:hAnsi="Palatino Linotype"/>
          <w:b/>
          <w:color w:val="000000" w:themeColor="text1"/>
          <w:sz w:val="24"/>
          <w:szCs w:val="24"/>
          <w:lang w:val="es-MX" w:eastAsia="en-US"/>
        </w:rPr>
        <w:t xml:space="preserve">Del planteamiento de la </w:t>
      </w:r>
      <w:r w:rsidR="00EA0165" w:rsidRPr="00767393">
        <w:rPr>
          <w:rFonts w:ascii="Palatino Linotype" w:hAnsi="Palatino Linotype"/>
          <w:b/>
          <w:i/>
          <w:color w:val="000000" w:themeColor="text1"/>
          <w:sz w:val="24"/>
          <w:szCs w:val="24"/>
          <w:lang w:val="es-MX" w:eastAsia="en-US"/>
        </w:rPr>
        <w:t>Litis.</w:t>
      </w:r>
      <w:bookmarkEnd w:id="29"/>
      <w:bookmarkEnd w:id="30"/>
      <w:bookmarkEnd w:id="31"/>
    </w:p>
    <w:p w14:paraId="6B097BE2" w14:textId="0929F460" w:rsidR="00D217A4" w:rsidRPr="00767393" w:rsidRDefault="00EA0165" w:rsidP="00ED47C0">
      <w:pPr>
        <w:pStyle w:val="Prrafodelista"/>
        <w:numPr>
          <w:ilvl w:val="0"/>
          <w:numId w:val="3"/>
        </w:numPr>
        <w:spacing w:before="240" w:after="240" w:line="360" w:lineRule="auto"/>
        <w:ind w:left="0" w:firstLine="0"/>
        <w:contextualSpacing/>
        <w:jc w:val="both"/>
        <w:rPr>
          <w:rFonts w:ascii="Palatino Linotype" w:hAnsi="Palatino Linotype"/>
          <w:i/>
          <w:lang w:val="es-ES_tradnl"/>
        </w:rPr>
      </w:pPr>
      <w:r w:rsidRPr="00767393">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767393">
        <w:rPr>
          <w:rFonts w:ascii="Palatino Linotype" w:eastAsia="Calibri" w:hAnsi="Palatino Linotype" w:cs="Arial"/>
          <w:b/>
        </w:rPr>
        <w:t>Ley de Transparencia y Acceso a la Información Pública del Estado de México y Municipios</w:t>
      </w:r>
      <w:r w:rsidRPr="00767393">
        <w:rPr>
          <w:rFonts w:ascii="Palatino Linotype" w:hAnsi="Palatino Linotype" w:cs="Arial"/>
          <w:lang w:val="es-ES_tradnl"/>
        </w:rPr>
        <w:t xml:space="preserve"> y determinar la confirmación; revocación o modificación; desechamiento o sobreseimiento; y en su </w:t>
      </w:r>
      <w:r w:rsidRPr="00767393">
        <w:rPr>
          <w:rFonts w:ascii="Palatino Linotype" w:hAnsi="Palatino Linotype" w:cs="Arial"/>
          <w:b/>
          <w:lang w:val="es-ES_tradnl"/>
        </w:rPr>
        <w:t>caso ordenar la entrega de la información,</w:t>
      </w:r>
      <w:r w:rsidRPr="00767393">
        <w:rPr>
          <w:rFonts w:ascii="Palatino Linotype" w:hAnsi="Palatino Linotype" w:cs="Arial"/>
          <w:lang w:val="es-ES_tradnl"/>
        </w:rPr>
        <w:t xml:space="preserve"> respecto a las respuestas o falta de ellas de los Sujetos Obligados.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E5F6627" w14:textId="77777777" w:rsidR="00D217A4" w:rsidRPr="00767393" w:rsidRDefault="00D217A4" w:rsidP="00ED47C0">
      <w:pPr>
        <w:pStyle w:val="Prrafodelista"/>
        <w:spacing w:before="240" w:after="240" w:line="360" w:lineRule="auto"/>
        <w:ind w:left="0"/>
        <w:contextualSpacing/>
        <w:jc w:val="both"/>
        <w:rPr>
          <w:rFonts w:ascii="Palatino Linotype" w:hAnsi="Palatino Linotype"/>
          <w:i/>
          <w:lang w:val="es-ES_tradnl"/>
        </w:rPr>
      </w:pPr>
    </w:p>
    <w:p w14:paraId="22E5B958" w14:textId="68CFF2C4" w:rsidR="00D217A4" w:rsidRPr="00767393" w:rsidRDefault="00EA0165" w:rsidP="00ED47C0">
      <w:pPr>
        <w:pStyle w:val="Prrafodelista"/>
        <w:numPr>
          <w:ilvl w:val="0"/>
          <w:numId w:val="3"/>
        </w:numPr>
        <w:spacing w:before="240" w:after="240" w:line="360" w:lineRule="auto"/>
        <w:ind w:left="0" w:firstLine="0"/>
        <w:contextualSpacing/>
        <w:jc w:val="both"/>
        <w:rPr>
          <w:rFonts w:ascii="Palatino Linotype" w:hAnsi="Palatino Linotype"/>
          <w:i/>
          <w:lang w:val="es-ES_tradnl"/>
        </w:rPr>
      </w:pPr>
      <w:r w:rsidRPr="00767393">
        <w:rPr>
          <w:rFonts w:ascii="Palatino Linotype" w:eastAsia="MS Mincho" w:hAnsi="Palatino Linotype"/>
          <w:lang w:val="es-ES_tradnl"/>
        </w:rPr>
        <w:t xml:space="preserve">De las constancias en el expediente al rubro indicado, se desprende que el particular solicitó </w:t>
      </w:r>
      <w:r w:rsidR="003669E8" w:rsidRPr="00767393">
        <w:rPr>
          <w:rFonts w:ascii="Palatino Linotype" w:eastAsia="MS Mincho" w:hAnsi="Palatino Linotype"/>
          <w:lang w:val="es-ES_tradnl"/>
        </w:rPr>
        <w:t xml:space="preserve">acceso </w:t>
      </w:r>
      <w:r w:rsidR="003D1DF9" w:rsidRPr="00767393">
        <w:rPr>
          <w:rFonts w:ascii="Palatino Linotype" w:eastAsia="MS Mincho" w:hAnsi="Palatino Linotype"/>
          <w:lang w:val="es-ES_tradnl"/>
        </w:rPr>
        <w:t>a</w:t>
      </w:r>
      <w:r w:rsidR="00C5556C" w:rsidRPr="00767393">
        <w:rPr>
          <w:rFonts w:ascii="Palatino Linotype" w:eastAsia="MS Mincho" w:hAnsi="Palatino Linotype"/>
          <w:lang w:val="es-ES_tradnl"/>
        </w:rPr>
        <w:t xml:space="preserve"> </w:t>
      </w:r>
      <w:r w:rsidR="000D37B2" w:rsidRPr="00767393">
        <w:rPr>
          <w:rFonts w:ascii="Palatino Linotype" w:eastAsia="MS Mincho" w:hAnsi="Palatino Linotype"/>
          <w:lang w:val="es-ES_tradnl"/>
        </w:rPr>
        <w:t>un parte de novedades de Protección Civil del Ayuntamiento de Calimaya</w:t>
      </w:r>
      <w:r w:rsidR="008225FA" w:rsidRPr="00767393">
        <w:rPr>
          <w:rFonts w:ascii="Palatino Linotype" w:hAnsi="Palatino Linotype"/>
          <w:lang w:val="es-ES_tradnl"/>
        </w:rPr>
        <w:t>, requerimiento</w:t>
      </w:r>
      <w:r w:rsidR="00B0049C" w:rsidRPr="00767393">
        <w:rPr>
          <w:rFonts w:ascii="Palatino Linotype" w:eastAsia="MS Mincho" w:hAnsi="Palatino Linotype"/>
          <w:lang w:val="es-ES_tradnl"/>
        </w:rPr>
        <w:t xml:space="preserve">, </w:t>
      </w:r>
      <w:r w:rsidR="008225FA" w:rsidRPr="00767393">
        <w:rPr>
          <w:rFonts w:ascii="Palatino Linotype" w:eastAsia="MS Mincho" w:hAnsi="Palatino Linotype"/>
          <w:lang w:val="es-ES_tradnl"/>
        </w:rPr>
        <w:t>al</w:t>
      </w:r>
      <w:r w:rsidR="007E5467" w:rsidRPr="00767393">
        <w:rPr>
          <w:rFonts w:ascii="Palatino Linotype" w:eastAsia="MS Mincho" w:hAnsi="Palatino Linotype"/>
          <w:lang w:val="es-ES_tradnl"/>
        </w:rPr>
        <w:t xml:space="preserve"> </w:t>
      </w:r>
      <w:r w:rsidR="00562ACE" w:rsidRPr="00767393">
        <w:rPr>
          <w:rFonts w:ascii="Palatino Linotype" w:eastAsia="MS Mincho" w:hAnsi="Palatino Linotype"/>
          <w:lang w:val="es-ES_tradnl"/>
        </w:rPr>
        <w:t xml:space="preserve"> que se respondió</w:t>
      </w:r>
      <w:r w:rsidR="007E6704" w:rsidRPr="00767393">
        <w:rPr>
          <w:rFonts w:ascii="Palatino Linotype" w:eastAsia="MS Mincho" w:hAnsi="Palatino Linotype"/>
          <w:lang w:val="es-ES_tradnl"/>
        </w:rPr>
        <w:t xml:space="preserve"> </w:t>
      </w:r>
      <w:r w:rsidR="008225FA" w:rsidRPr="00767393">
        <w:rPr>
          <w:rFonts w:ascii="Palatino Linotype" w:eastAsia="MS Mincho" w:hAnsi="Palatino Linotype"/>
          <w:lang w:val="es-ES_tradnl"/>
        </w:rPr>
        <w:t>a tra</w:t>
      </w:r>
      <w:r w:rsidR="00267719" w:rsidRPr="00767393">
        <w:rPr>
          <w:rFonts w:ascii="Palatino Linotype" w:eastAsia="MS Mincho" w:hAnsi="Palatino Linotype"/>
          <w:lang w:val="es-ES_tradnl"/>
        </w:rPr>
        <w:t xml:space="preserve">vés del Titular de la Unidad </w:t>
      </w:r>
      <w:r w:rsidR="00C5556C" w:rsidRPr="00767393">
        <w:rPr>
          <w:rFonts w:ascii="Palatino Linotype" w:eastAsia="MS Mincho" w:hAnsi="Palatino Linotype"/>
          <w:lang w:val="es-ES_tradnl"/>
        </w:rPr>
        <w:t xml:space="preserve">de </w:t>
      </w:r>
      <w:r w:rsidR="008225FA" w:rsidRPr="00767393">
        <w:rPr>
          <w:rFonts w:ascii="Palatino Linotype" w:eastAsia="MS Mincho" w:hAnsi="Palatino Linotype"/>
          <w:lang w:val="es-ES_tradnl"/>
        </w:rPr>
        <w:t xml:space="preserve">Transparencia </w:t>
      </w:r>
      <w:r w:rsidR="000D37B2" w:rsidRPr="00767393">
        <w:rPr>
          <w:rFonts w:ascii="Palatino Linotype" w:eastAsia="MS Mincho" w:hAnsi="Palatino Linotype"/>
          <w:lang w:val="es-ES_tradnl"/>
        </w:rPr>
        <w:t>refiriendo la incompetencia para atender la solicitud de información</w:t>
      </w:r>
      <w:r w:rsidR="00267719" w:rsidRPr="00767393">
        <w:rPr>
          <w:rFonts w:ascii="Palatino Linotype" w:eastAsia="MS Mincho" w:hAnsi="Palatino Linotype"/>
          <w:lang w:val="es-ES_tradnl"/>
        </w:rPr>
        <w:t>, no obstante,</w:t>
      </w:r>
      <w:r w:rsidR="00C5556C" w:rsidRPr="00767393">
        <w:rPr>
          <w:rFonts w:ascii="Palatino Linotype" w:eastAsia="MS Mincho" w:hAnsi="Palatino Linotype"/>
          <w:lang w:val="es-ES_tradnl"/>
        </w:rPr>
        <w:t xml:space="preserve"> </w:t>
      </w:r>
      <w:r w:rsidR="00B0049C" w:rsidRPr="00767393">
        <w:rPr>
          <w:rFonts w:ascii="Palatino Linotype" w:eastAsia="MS Mincho" w:hAnsi="Palatino Linotype"/>
          <w:lang w:val="es-ES_tradnl"/>
        </w:rPr>
        <w:t xml:space="preserve">la parte recurrente </w:t>
      </w:r>
      <w:r w:rsidRPr="00767393">
        <w:rPr>
          <w:rFonts w:ascii="Palatino Linotype" w:eastAsia="MS Mincho" w:hAnsi="Palatino Linotype"/>
          <w:lang w:val="es-ES_tradnl"/>
        </w:rPr>
        <w:t>se inconforma e interpone el presente recurso de revisión, argumentado como raz</w:t>
      </w:r>
      <w:r w:rsidR="00B153AD" w:rsidRPr="00767393">
        <w:rPr>
          <w:rFonts w:ascii="Palatino Linotype" w:eastAsia="MS Mincho" w:hAnsi="Palatino Linotype"/>
          <w:lang w:val="es-ES_tradnl"/>
        </w:rPr>
        <w:t xml:space="preserve">ones o motivos de inconformidad la </w:t>
      </w:r>
      <w:r w:rsidR="00A2042B" w:rsidRPr="00767393">
        <w:rPr>
          <w:rFonts w:ascii="Palatino Linotype" w:eastAsia="MS Mincho" w:hAnsi="Palatino Linotype"/>
          <w:lang w:val="es-ES_tradnl"/>
        </w:rPr>
        <w:t xml:space="preserve">entrega de información </w:t>
      </w:r>
      <w:r w:rsidR="007E6704" w:rsidRPr="00767393">
        <w:rPr>
          <w:rFonts w:ascii="Palatino Linotype" w:eastAsia="MS Mincho" w:hAnsi="Palatino Linotype"/>
          <w:lang w:val="es-ES_tradnl"/>
        </w:rPr>
        <w:t xml:space="preserve">que no corresponde con lo solicitado. </w:t>
      </w:r>
      <w:r w:rsidR="00A2042B" w:rsidRPr="00767393">
        <w:rPr>
          <w:rFonts w:ascii="Palatino Linotype" w:eastAsia="MS Mincho" w:hAnsi="Palatino Linotype"/>
          <w:lang w:val="es-ES_tradnl"/>
        </w:rPr>
        <w:t xml:space="preserve"> </w:t>
      </w:r>
    </w:p>
    <w:p w14:paraId="44EC49A6" w14:textId="77777777" w:rsidR="00B153AD" w:rsidRPr="00767393" w:rsidRDefault="00B153AD" w:rsidP="00ED47C0">
      <w:pPr>
        <w:pStyle w:val="Prrafodelista"/>
        <w:spacing w:before="240" w:after="240" w:line="360" w:lineRule="auto"/>
        <w:ind w:left="0"/>
        <w:contextualSpacing/>
        <w:jc w:val="both"/>
        <w:rPr>
          <w:rFonts w:ascii="Palatino Linotype" w:hAnsi="Palatino Linotype"/>
          <w:i/>
          <w:lang w:val="es-ES_tradnl"/>
        </w:rPr>
      </w:pPr>
    </w:p>
    <w:p w14:paraId="4F030FC3" w14:textId="5852CFD1" w:rsidR="00D217A4" w:rsidRPr="00767393" w:rsidRDefault="00EA0165" w:rsidP="00ED47C0">
      <w:pPr>
        <w:pStyle w:val="Prrafodelista"/>
        <w:numPr>
          <w:ilvl w:val="0"/>
          <w:numId w:val="3"/>
        </w:numPr>
        <w:spacing w:before="240" w:after="240" w:line="360" w:lineRule="auto"/>
        <w:ind w:left="0" w:firstLine="0"/>
        <w:contextualSpacing/>
        <w:jc w:val="both"/>
        <w:rPr>
          <w:rFonts w:ascii="Palatino Linotype" w:hAnsi="Palatino Linotype"/>
          <w:i/>
          <w:lang w:val="es-ES_tradnl"/>
        </w:rPr>
      </w:pPr>
      <w:r w:rsidRPr="00767393">
        <w:rPr>
          <w:rFonts w:ascii="Palatino Linotype" w:eastAsia="MS Mincho" w:hAnsi="Palatino Linotype"/>
          <w:lang w:val="es-ES_tradnl"/>
        </w:rPr>
        <w:t xml:space="preserve">En ese sentido, el agravio del recurrente consiste en que la respuesta proporcionada por el </w:t>
      </w:r>
      <w:r w:rsidRPr="00767393">
        <w:rPr>
          <w:rFonts w:ascii="Palatino Linotype" w:eastAsia="MS Mincho" w:hAnsi="Palatino Linotype"/>
          <w:b/>
          <w:lang w:val="es-ES_tradnl"/>
        </w:rPr>
        <w:t>SUJETO OBLIGADO</w:t>
      </w:r>
      <w:r w:rsidRPr="00767393">
        <w:rPr>
          <w:rFonts w:ascii="Palatino Linotype" w:eastAsia="MS Mincho" w:hAnsi="Palatino Linotype"/>
          <w:lang w:val="es-ES_tradnl"/>
        </w:rPr>
        <w:t xml:space="preserve"> no garantizo el principio contenido en el artículo 11 de la Ley de Transparencia y Acceso a la Información Pública del </w:t>
      </w:r>
      <w:r w:rsidRPr="00767393">
        <w:rPr>
          <w:rFonts w:ascii="Palatino Linotype" w:eastAsia="MS Mincho" w:hAnsi="Palatino Linotype"/>
          <w:lang w:val="es-ES_tradnl"/>
        </w:rPr>
        <w:lastRenderedPageBreak/>
        <w:t>Estado de México y Municipios, el cual señala que en la generación, publicación y entrega de información</w:t>
      </w:r>
      <w:r w:rsidR="00562ACE" w:rsidRPr="00767393">
        <w:rPr>
          <w:rFonts w:ascii="Palatino Linotype" w:eastAsia="MS Mincho" w:hAnsi="Palatino Linotype"/>
          <w:lang w:val="es-ES_tradnl"/>
        </w:rPr>
        <w:t xml:space="preserve"> se </w:t>
      </w:r>
      <w:r w:rsidR="00D26B4B" w:rsidRPr="00767393">
        <w:rPr>
          <w:rFonts w:ascii="Palatino Linotype" w:eastAsia="MS Mincho" w:hAnsi="Palatino Linotype"/>
          <w:lang w:val="es-ES_tradnl"/>
        </w:rPr>
        <w:t xml:space="preserve">sujeta a claro régimen de excepciones. </w:t>
      </w:r>
    </w:p>
    <w:p w14:paraId="35853B1F" w14:textId="77777777" w:rsidR="00D217A4" w:rsidRPr="00767393" w:rsidRDefault="00D217A4" w:rsidP="00ED47C0">
      <w:pPr>
        <w:pStyle w:val="Prrafodelista"/>
        <w:spacing w:line="360" w:lineRule="auto"/>
        <w:rPr>
          <w:rFonts w:ascii="Palatino Linotype" w:eastAsia="MS Mincho" w:hAnsi="Palatino Linotype"/>
          <w:lang w:val="es-ES_tradnl"/>
        </w:rPr>
      </w:pPr>
    </w:p>
    <w:p w14:paraId="78993703" w14:textId="0716EB52" w:rsidR="002C7E93" w:rsidRPr="00767393" w:rsidRDefault="00EA0165" w:rsidP="00ED47C0">
      <w:pPr>
        <w:pStyle w:val="Prrafodelista"/>
        <w:numPr>
          <w:ilvl w:val="0"/>
          <w:numId w:val="3"/>
        </w:numPr>
        <w:spacing w:before="240" w:after="240" w:line="360" w:lineRule="auto"/>
        <w:ind w:left="0" w:firstLine="0"/>
        <w:contextualSpacing/>
        <w:jc w:val="both"/>
        <w:rPr>
          <w:rFonts w:ascii="Palatino Linotype" w:hAnsi="Palatino Linotype"/>
          <w:i/>
          <w:lang w:val="es-ES_tradnl"/>
        </w:rPr>
      </w:pPr>
      <w:r w:rsidRPr="00767393">
        <w:rPr>
          <w:rFonts w:ascii="Palatino Linotype" w:eastAsia="MS Mincho" w:hAnsi="Palatino Linotype"/>
          <w:lang w:val="es-ES_tradnl"/>
        </w:rPr>
        <w:t xml:space="preserve">Por lo que de este modo, el presente recurso de revisión se circunscribe a determinar si el </w:t>
      </w:r>
      <w:r w:rsidRPr="00767393">
        <w:rPr>
          <w:rFonts w:ascii="Palatino Linotype" w:eastAsia="MS Mincho" w:hAnsi="Palatino Linotype"/>
          <w:b/>
          <w:lang w:val="es-ES_tradnl"/>
        </w:rPr>
        <w:t>SUJETO OBLIGADO</w:t>
      </w:r>
      <w:r w:rsidR="009C4F62" w:rsidRPr="00767393">
        <w:rPr>
          <w:rFonts w:ascii="Palatino Linotype" w:eastAsia="MS Mincho" w:hAnsi="Palatino Linotype"/>
          <w:lang w:val="es-ES_tradnl"/>
        </w:rPr>
        <w:t xml:space="preserve"> con la respuesta otorgada</w:t>
      </w:r>
      <w:r w:rsidR="00562ACE" w:rsidRPr="00767393">
        <w:rPr>
          <w:rFonts w:ascii="Palatino Linotype" w:eastAsia="MS Mincho" w:hAnsi="Palatino Linotype"/>
          <w:lang w:val="es-ES_tradnl"/>
        </w:rPr>
        <w:t xml:space="preserve">, </w:t>
      </w:r>
      <w:r w:rsidRPr="00767393">
        <w:rPr>
          <w:rFonts w:ascii="Palatino Linotype" w:eastAsia="MS Mincho" w:hAnsi="Palatino Linotype"/>
          <w:lang w:val="es-ES_tradnl"/>
        </w:rPr>
        <w:t>vulnera el derecho de acceso a la información accionado por el particular a</w:t>
      </w:r>
      <w:r w:rsidR="005F7AD4" w:rsidRPr="00767393">
        <w:rPr>
          <w:rFonts w:ascii="Palatino Linotype" w:eastAsia="MS Mincho" w:hAnsi="Palatino Linotype"/>
          <w:lang w:val="es-ES_tradnl"/>
        </w:rPr>
        <w:t>ctualizando la causal</w:t>
      </w:r>
      <w:r w:rsidRPr="00767393">
        <w:rPr>
          <w:rFonts w:ascii="Palatino Linotype" w:eastAsia="MS Mincho" w:hAnsi="Palatino Linotype"/>
          <w:lang w:val="es-ES_tradnl"/>
        </w:rPr>
        <w:t xml:space="preserve"> de procedencia prevista</w:t>
      </w:r>
      <w:r w:rsidR="008D7BFC" w:rsidRPr="00767393">
        <w:rPr>
          <w:rFonts w:ascii="Palatino Linotype" w:eastAsia="MS Mincho" w:hAnsi="Palatino Linotype"/>
          <w:lang w:val="es-ES_tradnl"/>
        </w:rPr>
        <w:t xml:space="preserve"> en el artículo 179 fracción</w:t>
      </w:r>
      <w:r w:rsidR="007E6704" w:rsidRPr="00767393">
        <w:rPr>
          <w:rFonts w:ascii="Palatino Linotype" w:eastAsia="MS Mincho" w:hAnsi="Palatino Linotype"/>
          <w:lang w:val="es-ES_tradnl"/>
        </w:rPr>
        <w:t xml:space="preserve"> </w:t>
      </w:r>
      <w:r w:rsidR="00D26B4B" w:rsidRPr="00767393">
        <w:rPr>
          <w:rFonts w:ascii="Palatino Linotype" w:eastAsia="MS Mincho" w:hAnsi="Palatino Linotype"/>
          <w:lang w:val="es-ES_tradnl"/>
        </w:rPr>
        <w:t>XIII</w:t>
      </w:r>
      <w:r w:rsidR="009C4F62" w:rsidRPr="00767393">
        <w:rPr>
          <w:rStyle w:val="Refdenotaalpie"/>
          <w:rFonts w:ascii="Palatino Linotype" w:eastAsia="MS Mincho" w:hAnsi="Palatino Linotype"/>
          <w:lang w:val="es-ES_tradnl"/>
        </w:rPr>
        <w:footnoteReference w:id="1"/>
      </w:r>
      <w:r w:rsidR="00562ACE" w:rsidRPr="00767393">
        <w:rPr>
          <w:rFonts w:ascii="Palatino Linotype" w:eastAsia="MS Mincho" w:hAnsi="Palatino Linotype"/>
          <w:lang w:val="es-ES_tradnl"/>
        </w:rPr>
        <w:t xml:space="preserve"> </w:t>
      </w:r>
      <w:r w:rsidRPr="00767393">
        <w:rPr>
          <w:rFonts w:ascii="Palatino Linotype" w:eastAsia="MS Mincho" w:hAnsi="Palatino Linotype"/>
          <w:lang w:val="es-ES_tradnl"/>
        </w:rPr>
        <w:t>de la Ley de Transparencia y Acceso a la Información del Estado de México y Municipios.</w:t>
      </w:r>
    </w:p>
    <w:p w14:paraId="5162A17C" w14:textId="71549F44" w:rsidR="00286C23" w:rsidRPr="00767393" w:rsidRDefault="009A1E3F" w:rsidP="00ED47C0">
      <w:pPr>
        <w:pStyle w:val="Ttulo1"/>
        <w:spacing w:line="360" w:lineRule="auto"/>
        <w:rPr>
          <w:rFonts w:ascii="Palatino Linotype" w:hAnsi="Palatino Linotype"/>
          <w:b/>
          <w:color w:val="000000" w:themeColor="text1"/>
          <w:sz w:val="24"/>
          <w:szCs w:val="24"/>
          <w:lang w:val="es-MX" w:eastAsia="en-US"/>
        </w:rPr>
      </w:pPr>
      <w:bookmarkStart w:id="49" w:name="_Toc68804767"/>
      <w:bookmarkStart w:id="50" w:name="_Toc104490257"/>
      <w:bookmarkStart w:id="51" w:name="_Toc459174366"/>
      <w:bookmarkStart w:id="52" w:name="_Toc459659884"/>
      <w:bookmarkStart w:id="53" w:name="_Toc461687280"/>
      <w:bookmarkStart w:id="54" w:name="_Toc462771051"/>
      <w:bookmarkStart w:id="55" w:name="_Toc464139201"/>
      <w:r w:rsidRPr="00767393">
        <w:rPr>
          <w:rFonts w:ascii="Palatino Linotype" w:hAnsi="Palatino Linotype"/>
          <w:b/>
          <w:color w:val="000000" w:themeColor="text1"/>
          <w:sz w:val="24"/>
          <w:szCs w:val="24"/>
          <w:lang w:val="es-MX" w:eastAsia="en-US"/>
        </w:rPr>
        <w:t>CUARTO</w:t>
      </w:r>
      <w:r w:rsidR="00F041CF" w:rsidRPr="00767393">
        <w:rPr>
          <w:rFonts w:ascii="Palatino Linotype" w:hAnsi="Palatino Linotype"/>
          <w:b/>
          <w:color w:val="000000" w:themeColor="text1"/>
          <w:sz w:val="24"/>
          <w:szCs w:val="24"/>
          <w:lang w:val="es-MX" w:eastAsia="en-US"/>
        </w:rPr>
        <w:t>. Estudio y r</w:t>
      </w:r>
      <w:r w:rsidR="00EA0165" w:rsidRPr="00767393">
        <w:rPr>
          <w:rFonts w:ascii="Palatino Linotype" w:hAnsi="Palatino Linotype"/>
          <w:b/>
          <w:color w:val="000000" w:themeColor="text1"/>
          <w:sz w:val="24"/>
          <w:szCs w:val="24"/>
          <w:lang w:val="es-MX" w:eastAsia="en-US"/>
        </w:rPr>
        <w:t>esolución del asunto.</w:t>
      </w:r>
      <w:bookmarkEnd w:id="49"/>
      <w:bookmarkEnd w:id="50"/>
    </w:p>
    <w:p w14:paraId="38D9F738" w14:textId="2A255571" w:rsidR="002C7E93" w:rsidRPr="00767393" w:rsidRDefault="002C7E93" w:rsidP="00ED47C0">
      <w:pPr>
        <w:spacing w:line="360" w:lineRule="auto"/>
        <w:rPr>
          <w:rFonts w:ascii="Palatino Linotype" w:hAnsi="Palatino Linotype"/>
          <w:lang w:val="es-MX" w:eastAsia="en-US"/>
        </w:rPr>
      </w:pPr>
    </w:p>
    <w:p w14:paraId="4C48BE97" w14:textId="1C92B791" w:rsidR="003523DE" w:rsidRPr="00767393" w:rsidRDefault="00D91C33" w:rsidP="00ED47C0">
      <w:pPr>
        <w:pStyle w:val="Ttulo1"/>
        <w:numPr>
          <w:ilvl w:val="0"/>
          <w:numId w:val="4"/>
        </w:numPr>
        <w:spacing w:line="360" w:lineRule="auto"/>
        <w:ind w:left="0" w:firstLine="0"/>
        <w:rPr>
          <w:rFonts w:ascii="Palatino Linotype" w:hAnsi="Palatino Linotype"/>
          <w:b/>
          <w:color w:val="auto"/>
          <w:sz w:val="24"/>
          <w:szCs w:val="24"/>
          <w:lang w:val="es-MX" w:eastAsia="en-US"/>
        </w:rPr>
      </w:pPr>
      <w:bookmarkStart w:id="56" w:name="_Toc104490258"/>
      <w:r w:rsidRPr="00767393">
        <w:rPr>
          <w:rFonts w:ascii="Palatino Linotype" w:hAnsi="Palatino Linotype"/>
          <w:b/>
          <w:color w:val="auto"/>
          <w:sz w:val="24"/>
          <w:szCs w:val="24"/>
          <w:lang w:val="es-MX" w:eastAsia="en-US"/>
        </w:rPr>
        <w:t>De la solicitud de información y la respuesta otorgada.</w:t>
      </w:r>
      <w:bookmarkEnd w:id="56"/>
      <w:r w:rsidRPr="00767393">
        <w:rPr>
          <w:rFonts w:ascii="Palatino Linotype" w:hAnsi="Palatino Linotype"/>
          <w:b/>
          <w:color w:val="auto"/>
          <w:sz w:val="24"/>
          <w:szCs w:val="24"/>
          <w:lang w:val="es-MX" w:eastAsia="en-US"/>
        </w:rPr>
        <w:t xml:space="preserve"> </w:t>
      </w:r>
    </w:p>
    <w:p w14:paraId="4BF3BCA3" w14:textId="77777777" w:rsidR="00D91C33" w:rsidRPr="00767393" w:rsidRDefault="00D91C33" w:rsidP="00ED47C0">
      <w:pPr>
        <w:pStyle w:val="Prrafodelista"/>
        <w:spacing w:line="360" w:lineRule="auto"/>
        <w:ind w:left="1080"/>
        <w:rPr>
          <w:rFonts w:ascii="Palatino Linotype" w:hAnsi="Palatino Linotype"/>
          <w:lang w:val="es-MX" w:eastAsia="en-US"/>
        </w:rPr>
      </w:pPr>
    </w:p>
    <w:p w14:paraId="113D11EC" w14:textId="77777777" w:rsidR="00D91C33" w:rsidRPr="00767393" w:rsidRDefault="00EA0165" w:rsidP="00ED47C0">
      <w:pPr>
        <w:pStyle w:val="Prrafodelista"/>
        <w:numPr>
          <w:ilvl w:val="0"/>
          <w:numId w:val="3"/>
        </w:numPr>
        <w:spacing w:before="240" w:after="360" w:line="360" w:lineRule="auto"/>
        <w:ind w:left="0" w:firstLine="0"/>
        <w:contextualSpacing/>
        <w:jc w:val="both"/>
        <w:rPr>
          <w:rFonts w:ascii="Palatino Linotype" w:eastAsia="MS Mincho" w:hAnsi="Palatino Linotype" w:cs="Arial"/>
          <w:i/>
          <w:lang w:val="es-MX"/>
        </w:rPr>
      </w:pPr>
      <w:r w:rsidRPr="00767393">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767393">
        <w:rPr>
          <w:rFonts w:ascii="Palatino Linotype" w:eastAsia="Calibri" w:hAnsi="Palatino Linotype" w:cs="Arial"/>
          <w:b/>
          <w:lang w:eastAsia="en-US"/>
        </w:rPr>
        <w:t>Ley de Transparencia y Acceso a la Información Pública del Estado de México y Municipios</w:t>
      </w:r>
      <w:r w:rsidR="006C693D" w:rsidRPr="00767393">
        <w:rPr>
          <w:rFonts w:ascii="Palatino Linotype" w:hAnsi="Palatino Linotype" w:cs="Arial"/>
          <w:lang w:eastAsia="es-MX"/>
        </w:rPr>
        <w:t>.</w:t>
      </w:r>
    </w:p>
    <w:p w14:paraId="6DCC758D" w14:textId="77777777" w:rsidR="00D91C33" w:rsidRPr="00767393" w:rsidRDefault="00D91C33" w:rsidP="00ED47C0">
      <w:pPr>
        <w:pStyle w:val="Prrafodelista"/>
        <w:spacing w:before="240" w:after="360" w:line="360" w:lineRule="auto"/>
        <w:ind w:left="0"/>
        <w:contextualSpacing/>
        <w:jc w:val="both"/>
        <w:rPr>
          <w:rFonts w:ascii="Palatino Linotype" w:eastAsia="MS Mincho" w:hAnsi="Palatino Linotype" w:cs="Arial"/>
          <w:i/>
          <w:lang w:val="es-MX"/>
        </w:rPr>
      </w:pPr>
    </w:p>
    <w:p w14:paraId="57E3A5B6" w14:textId="65722E51" w:rsidR="002C7E93" w:rsidRPr="00767393" w:rsidRDefault="00D91C33" w:rsidP="00ED47C0">
      <w:pPr>
        <w:pStyle w:val="Prrafodelista"/>
        <w:numPr>
          <w:ilvl w:val="0"/>
          <w:numId w:val="3"/>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767393">
        <w:rPr>
          <w:rFonts w:ascii="Palatino Linotype" w:eastAsia="MS Mincho" w:hAnsi="Palatino Linotype" w:cs="Arial"/>
          <w:lang w:val="es-MX"/>
        </w:rPr>
        <w:t xml:space="preserve">Así, de la lectura a la solicitud de información se observa </w:t>
      </w:r>
      <w:r w:rsidR="007E6704" w:rsidRPr="00767393">
        <w:rPr>
          <w:rFonts w:ascii="Palatino Linotype" w:eastAsia="MS Mincho" w:hAnsi="Palatino Linotype" w:cs="Arial"/>
          <w:lang w:val="es-MX"/>
        </w:rPr>
        <w:t>que el particular requirió al</w:t>
      </w:r>
      <w:r w:rsidR="00D26B4B" w:rsidRPr="00767393">
        <w:rPr>
          <w:rFonts w:ascii="Palatino Linotype" w:hAnsi="Palatino Linotype"/>
          <w:b/>
          <w:bCs/>
          <w:color w:val="000000"/>
        </w:rPr>
        <w:t xml:space="preserve"> </w:t>
      </w:r>
      <w:r w:rsidR="00D26B4B" w:rsidRPr="00767393">
        <w:rPr>
          <w:rFonts w:ascii="Palatino Linotype" w:eastAsia="MS Mincho" w:hAnsi="Palatino Linotype" w:cs="Arial"/>
          <w:b/>
          <w:bCs/>
        </w:rPr>
        <w:t>Ayuntamiento de Chapultepec</w:t>
      </w:r>
      <w:r w:rsidR="00D26B4B" w:rsidRPr="00767393">
        <w:rPr>
          <w:rFonts w:ascii="Palatino Linotype" w:eastAsia="MS Mincho" w:hAnsi="Palatino Linotype" w:cs="Arial"/>
          <w:lang w:val="es-MX"/>
        </w:rPr>
        <w:t xml:space="preserve"> </w:t>
      </w:r>
      <w:r w:rsidRPr="00767393">
        <w:rPr>
          <w:rFonts w:ascii="Palatino Linotype" w:eastAsia="MS Mincho" w:hAnsi="Palatino Linotype" w:cs="Arial"/>
          <w:lang w:val="es-MX"/>
        </w:rPr>
        <w:t xml:space="preserve">acceder a información relacionada </w:t>
      </w:r>
      <w:r w:rsidR="00104ECA" w:rsidRPr="00767393">
        <w:rPr>
          <w:rFonts w:ascii="Palatino Linotype" w:eastAsia="MS Mincho" w:hAnsi="Palatino Linotype" w:cs="Arial"/>
          <w:lang w:val="es-MX"/>
        </w:rPr>
        <w:t>con</w:t>
      </w:r>
      <w:bookmarkStart w:id="57" w:name="_Toc84264165"/>
      <w:r w:rsidR="001B2D8A" w:rsidRPr="00767393">
        <w:rPr>
          <w:rFonts w:ascii="Palatino Linotype" w:eastAsia="MS Mincho" w:hAnsi="Palatino Linotype" w:cs="Arial"/>
          <w:lang w:val="es-MX"/>
        </w:rPr>
        <w:t xml:space="preserve"> </w:t>
      </w:r>
      <w:r w:rsidR="00D26B4B" w:rsidRPr="00767393">
        <w:rPr>
          <w:rFonts w:ascii="Palatino Linotype" w:eastAsia="MS Mincho" w:hAnsi="Palatino Linotype" w:cs="Arial"/>
          <w:lang w:val="es-MX"/>
        </w:rPr>
        <w:t xml:space="preserve">un parte de novedades. </w:t>
      </w:r>
    </w:p>
    <w:p w14:paraId="32B2E595" w14:textId="77777777" w:rsidR="0081381E" w:rsidRPr="00767393" w:rsidRDefault="0081381E" w:rsidP="00ED47C0">
      <w:pPr>
        <w:pStyle w:val="Prrafodelista"/>
        <w:spacing w:line="360" w:lineRule="auto"/>
        <w:rPr>
          <w:rFonts w:ascii="Palatino Linotype" w:eastAsia="MS Mincho" w:hAnsi="Palatino Linotype" w:cs="Arial"/>
          <w:lang w:val="es-MX"/>
        </w:rPr>
      </w:pPr>
    </w:p>
    <w:p w14:paraId="6385C968" w14:textId="0590304C" w:rsidR="001C2C24" w:rsidRPr="00767393" w:rsidRDefault="0081381E" w:rsidP="00ED47C0">
      <w:pPr>
        <w:pStyle w:val="Prrafodelista"/>
        <w:numPr>
          <w:ilvl w:val="0"/>
          <w:numId w:val="3"/>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767393">
        <w:rPr>
          <w:rFonts w:ascii="Palatino Linotype" w:eastAsia="MS Mincho" w:hAnsi="Palatino Linotype" w:cs="Arial"/>
          <w:lang w:val="es-MX"/>
        </w:rPr>
        <w:t>A dicho requerimiento se contestó por parte del Titular de la Unidad de Transparencia que dicha información</w:t>
      </w:r>
      <w:r w:rsidR="00D26B4B" w:rsidRPr="00767393">
        <w:rPr>
          <w:rFonts w:ascii="Palatino Linotype" w:eastAsia="MS Mincho" w:hAnsi="Palatino Linotype" w:cs="Arial"/>
          <w:lang w:val="es-MX"/>
        </w:rPr>
        <w:t xml:space="preserve"> no podía ser remitida al corresponder a un sujeto obligado diverso, por lo que a </w:t>
      </w:r>
      <w:r w:rsidR="00267719" w:rsidRPr="00767393">
        <w:rPr>
          <w:rFonts w:ascii="Palatino Linotype" w:hAnsi="Palatino Linotype" w:cs="Arial"/>
          <w:lang w:eastAsia="es-MX"/>
        </w:rPr>
        <w:t>efecto de delimitar la controversia del presente asu</w:t>
      </w:r>
      <w:r w:rsidR="00D26B4B" w:rsidRPr="00767393">
        <w:rPr>
          <w:rFonts w:ascii="Palatino Linotype" w:hAnsi="Palatino Linotype" w:cs="Arial"/>
          <w:lang w:eastAsia="es-MX"/>
        </w:rPr>
        <w:t xml:space="preserve">nto es pertinente mencionar que </w:t>
      </w:r>
      <w:bookmarkEnd w:id="57"/>
      <w:r w:rsidR="001C2C24" w:rsidRPr="00767393">
        <w:rPr>
          <w:rFonts w:ascii="Palatino Linotype" w:eastAsia="Calibri" w:hAnsi="Palatino Linotype" w:cs="Arial"/>
          <w:bCs/>
        </w:rPr>
        <w:t xml:space="preserve">, </w:t>
      </w:r>
      <w:r w:rsidR="001C2C24" w:rsidRPr="00767393">
        <w:rPr>
          <w:rFonts w:ascii="Palatino Linotype" w:eastAsia="MS Mincho" w:hAnsi="Palatino Linotype"/>
          <w:lang w:eastAsia="es-ES_tradnl"/>
        </w:rPr>
        <w:t xml:space="preserve">el </w:t>
      </w:r>
      <w:r w:rsidR="001C2C24" w:rsidRPr="00767393">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3AD701A" w14:textId="77777777" w:rsidR="001C2C24" w:rsidRPr="00767393" w:rsidRDefault="001C2C24" w:rsidP="00ED47C0">
      <w:pPr>
        <w:spacing w:after="160" w:line="360" w:lineRule="auto"/>
        <w:jc w:val="both"/>
        <w:rPr>
          <w:rFonts w:ascii="Palatino Linotype" w:hAnsi="Palatino Linotype" w:cs="Arial"/>
        </w:rPr>
      </w:pPr>
    </w:p>
    <w:p w14:paraId="1E8C8A94" w14:textId="77777777" w:rsidR="001C2C24" w:rsidRPr="00767393" w:rsidRDefault="001C2C24" w:rsidP="00ED47C0">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767393">
        <w:rPr>
          <w:rFonts w:ascii="Palatino Linotype" w:eastAsia="Calibri" w:hAnsi="Palatino Linotype"/>
          <w:b/>
          <w:i/>
          <w:lang w:val="es-MX" w:eastAsia="es-ES_tradnl"/>
        </w:rPr>
        <w:t>Artículo 18.</w:t>
      </w:r>
      <w:r w:rsidRPr="00767393">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0AD038B" w14:textId="77777777" w:rsidR="001C2C24" w:rsidRPr="00767393" w:rsidRDefault="001C2C24" w:rsidP="00ED47C0">
      <w:pPr>
        <w:spacing w:line="360" w:lineRule="auto"/>
        <w:jc w:val="both"/>
        <w:rPr>
          <w:rFonts w:ascii="Palatino Linotype" w:hAnsi="Palatino Linotype" w:cs="Arial"/>
        </w:rPr>
      </w:pPr>
    </w:p>
    <w:p w14:paraId="586DB2AD" w14:textId="77777777" w:rsidR="001C2C24" w:rsidRPr="00767393" w:rsidRDefault="001C2C24" w:rsidP="00ED47C0">
      <w:pPr>
        <w:numPr>
          <w:ilvl w:val="0"/>
          <w:numId w:val="3"/>
        </w:numPr>
        <w:spacing w:after="160" w:line="360" w:lineRule="auto"/>
        <w:ind w:left="0" w:firstLine="0"/>
        <w:jc w:val="both"/>
        <w:rPr>
          <w:rFonts w:ascii="Palatino Linotype" w:hAnsi="Palatino Linotype" w:cs="Arial"/>
        </w:rPr>
      </w:pPr>
      <w:r w:rsidRPr="00767393">
        <w:rPr>
          <w:rFonts w:ascii="Palatino Linotype" w:eastAsia="Calibri" w:hAnsi="Palatino Linotype" w:cs="Arial"/>
          <w:lang w:val="es-MX" w:eastAsia="en-US"/>
        </w:rPr>
        <w:t xml:space="preserve">Por otro lado, </w:t>
      </w:r>
      <w:r w:rsidRPr="00767393">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767393">
        <w:rPr>
          <w:rFonts w:ascii="Palatino Linotype" w:hAnsi="Palatino Linotype"/>
          <w:b/>
          <w:lang w:val="es-MX" w:eastAsia="es-MX"/>
        </w:rPr>
        <w:t>SUJETOS OBLIGADOS</w:t>
      </w:r>
      <w:r w:rsidRPr="00767393">
        <w:rPr>
          <w:rFonts w:ascii="Palatino Linotype" w:hAnsi="Palatino Linotype"/>
          <w:lang w:val="es-MX" w:eastAsia="es-MX"/>
        </w:rPr>
        <w:t xml:space="preserve">, misma que debe ser accesible de manera permanente a cualquier </w:t>
      </w:r>
      <w:r w:rsidRPr="00767393">
        <w:rPr>
          <w:rFonts w:ascii="Palatino Linotype" w:hAnsi="Palatino Linotype"/>
          <w:lang w:val="es-MX" w:eastAsia="es-MX"/>
        </w:rPr>
        <w:lastRenderedPageBreak/>
        <w:t>persona, siempre privilegiando el principio de máxima publicidad, como se prevé su artículo 4, segundo párrafo:</w:t>
      </w:r>
    </w:p>
    <w:p w14:paraId="036C861F" w14:textId="77777777" w:rsidR="001C2C24" w:rsidRPr="00767393" w:rsidRDefault="001C2C24" w:rsidP="00ED47C0">
      <w:pPr>
        <w:spacing w:line="360" w:lineRule="auto"/>
        <w:jc w:val="both"/>
        <w:rPr>
          <w:rFonts w:ascii="Palatino Linotype" w:hAnsi="Palatino Linotype" w:cs="Arial"/>
        </w:rPr>
      </w:pPr>
    </w:p>
    <w:p w14:paraId="7561FC9F" w14:textId="77777777" w:rsidR="001C2C24" w:rsidRPr="00767393" w:rsidRDefault="001C2C24" w:rsidP="00ED47C0">
      <w:pPr>
        <w:spacing w:after="160" w:line="360" w:lineRule="auto"/>
        <w:ind w:left="567" w:right="567"/>
        <w:jc w:val="both"/>
        <w:rPr>
          <w:rFonts w:ascii="Palatino Linotype" w:hAnsi="Palatino Linotype"/>
          <w:i/>
          <w:lang w:eastAsia="en-US"/>
        </w:rPr>
      </w:pPr>
      <w:r w:rsidRPr="00767393">
        <w:rPr>
          <w:rFonts w:ascii="Palatino Linotype" w:hAnsi="Palatino Linotype"/>
          <w:i/>
          <w:lang w:eastAsia="en-US"/>
        </w:rPr>
        <w:t>“</w:t>
      </w:r>
      <w:r w:rsidRPr="00767393">
        <w:rPr>
          <w:rFonts w:ascii="Palatino Linotype" w:hAnsi="Palatino Linotype"/>
          <w:b/>
          <w:i/>
          <w:lang w:eastAsia="en-US"/>
        </w:rPr>
        <w:t>Artículo 4.</w:t>
      </w:r>
      <w:r w:rsidRPr="00767393">
        <w:rPr>
          <w:rFonts w:ascii="Palatino Linotype" w:hAnsi="Palatino Linotype"/>
          <w:i/>
          <w:lang w:eastAsia="en-US"/>
        </w:rPr>
        <w:t xml:space="preserve"> </w:t>
      </w:r>
    </w:p>
    <w:p w14:paraId="4B2543CA" w14:textId="77777777" w:rsidR="001C2C24" w:rsidRPr="00767393" w:rsidRDefault="001C2C24" w:rsidP="00ED47C0">
      <w:pPr>
        <w:spacing w:after="160" w:line="360" w:lineRule="auto"/>
        <w:ind w:left="567" w:right="567"/>
        <w:jc w:val="both"/>
        <w:rPr>
          <w:rFonts w:ascii="Palatino Linotype" w:hAnsi="Palatino Linotype"/>
          <w:i/>
          <w:lang w:eastAsia="en-US"/>
        </w:rPr>
      </w:pPr>
      <w:r w:rsidRPr="00767393">
        <w:rPr>
          <w:rFonts w:ascii="Palatino Linotype" w:hAnsi="Palatino Linotype"/>
          <w:i/>
          <w:lang w:eastAsia="en-US"/>
        </w:rPr>
        <w:t>(…)</w:t>
      </w:r>
    </w:p>
    <w:p w14:paraId="6FA6891A" w14:textId="77777777" w:rsidR="001C2C24" w:rsidRPr="00767393" w:rsidRDefault="001C2C24" w:rsidP="00ED47C0">
      <w:pPr>
        <w:spacing w:after="160" w:line="360" w:lineRule="auto"/>
        <w:ind w:left="567" w:right="567"/>
        <w:jc w:val="both"/>
        <w:rPr>
          <w:rFonts w:ascii="Palatino Linotype" w:hAnsi="Palatino Linotype"/>
          <w:i/>
          <w:lang w:eastAsia="en-US"/>
        </w:rPr>
      </w:pPr>
      <w:r w:rsidRPr="00767393">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767393">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767393">
        <w:rPr>
          <w:rFonts w:ascii="Palatino Linotype" w:hAnsi="Palatino Linotype"/>
          <w:b/>
          <w:i/>
          <w:lang w:eastAsia="en-US"/>
        </w:rPr>
        <w:t>principio de máxima publicidad</w:t>
      </w:r>
      <w:r w:rsidRPr="00767393">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2E699C9" w14:textId="77777777" w:rsidR="001C2C24" w:rsidRPr="00767393" w:rsidRDefault="001C2C24" w:rsidP="00ED47C0">
      <w:pPr>
        <w:spacing w:after="160" w:line="360" w:lineRule="auto"/>
        <w:ind w:left="567" w:right="567"/>
        <w:jc w:val="both"/>
        <w:rPr>
          <w:rFonts w:ascii="Palatino Linotype" w:hAnsi="Palatino Linotype"/>
          <w:i/>
          <w:lang w:eastAsia="en-US"/>
        </w:rPr>
      </w:pPr>
      <w:r w:rsidRPr="00767393">
        <w:rPr>
          <w:rFonts w:ascii="Palatino Linotype" w:hAnsi="Palatino Linotype"/>
          <w:i/>
          <w:lang w:eastAsia="en-US"/>
        </w:rPr>
        <w:t>(…)</w:t>
      </w:r>
    </w:p>
    <w:p w14:paraId="43A6B13A" w14:textId="77777777" w:rsidR="001C2C24" w:rsidRPr="00767393" w:rsidRDefault="001C2C24" w:rsidP="00ED47C0">
      <w:pPr>
        <w:spacing w:after="160" w:line="360" w:lineRule="auto"/>
        <w:ind w:right="567"/>
        <w:jc w:val="both"/>
        <w:rPr>
          <w:rFonts w:ascii="Palatino Linotype" w:hAnsi="Palatino Linotype"/>
          <w:lang w:eastAsia="en-US"/>
        </w:rPr>
      </w:pPr>
    </w:p>
    <w:p w14:paraId="6CE9C58D" w14:textId="77777777" w:rsidR="001C2C24" w:rsidRPr="00767393" w:rsidRDefault="001C2C24" w:rsidP="00ED47C0">
      <w:pPr>
        <w:spacing w:after="160" w:line="360" w:lineRule="auto"/>
        <w:ind w:left="567" w:right="567"/>
        <w:jc w:val="both"/>
        <w:rPr>
          <w:rFonts w:ascii="Palatino Linotype" w:hAnsi="Palatino Linotype"/>
          <w:i/>
          <w:lang w:eastAsia="en-US"/>
        </w:rPr>
      </w:pPr>
      <w:r w:rsidRPr="00767393">
        <w:rPr>
          <w:rFonts w:ascii="Palatino Linotype" w:hAnsi="Palatino Linotype"/>
          <w:i/>
          <w:lang w:eastAsia="en-US"/>
        </w:rPr>
        <w:t>(Énfasis añadido)</w:t>
      </w:r>
    </w:p>
    <w:p w14:paraId="5F4C9700" w14:textId="77777777" w:rsidR="001C2C24" w:rsidRPr="00767393" w:rsidRDefault="001C2C24" w:rsidP="00ED47C0">
      <w:pPr>
        <w:spacing w:line="360" w:lineRule="auto"/>
        <w:jc w:val="both"/>
        <w:rPr>
          <w:rFonts w:ascii="Palatino Linotype" w:hAnsi="Palatino Linotype" w:cs="Arial"/>
        </w:rPr>
      </w:pPr>
    </w:p>
    <w:p w14:paraId="1849C0AE" w14:textId="77777777" w:rsidR="001C2C24" w:rsidRPr="00767393" w:rsidRDefault="001C2C24" w:rsidP="00ED47C0">
      <w:pPr>
        <w:numPr>
          <w:ilvl w:val="0"/>
          <w:numId w:val="3"/>
        </w:numPr>
        <w:spacing w:after="160" w:line="360" w:lineRule="auto"/>
        <w:ind w:left="0" w:firstLine="0"/>
        <w:jc w:val="both"/>
        <w:rPr>
          <w:rFonts w:ascii="Palatino Linotype" w:hAnsi="Palatino Linotype" w:cs="Arial"/>
        </w:rPr>
      </w:pPr>
      <w:r w:rsidRPr="00767393">
        <w:rPr>
          <w:rFonts w:ascii="Palatino Linotype" w:eastAsia="Calibri" w:hAnsi="Palatino Linotype" w:cs="Arial"/>
          <w:lang w:val="es-MX" w:eastAsia="en-US"/>
        </w:rPr>
        <w:t xml:space="preserve">En ese sentido, no debe de pasar de vista para el </w:t>
      </w:r>
      <w:r w:rsidRPr="00767393">
        <w:rPr>
          <w:rFonts w:ascii="Palatino Linotype" w:eastAsia="Calibri" w:hAnsi="Palatino Linotype" w:cs="Arial"/>
          <w:b/>
          <w:lang w:val="es-MX" w:eastAsia="en-US"/>
        </w:rPr>
        <w:t>SUJETO OBLIGADO</w:t>
      </w:r>
      <w:r w:rsidRPr="00767393">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w:t>
      </w:r>
      <w:r w:rsidRPr="00767393">
        <w:rPr>
          <w:rFonts w:ascii="Palatino Linotype" w:eastAsia="Calibri" w:hAnsi="Palatino Linotype" w:cs="Arial"/>
          <w:lang w:val="es-MX" w:eastAsia="en-US"/>
        </w:rPr>
        <w:lastRenderedPageBreak/>
        <w:t>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0719958" w14:textId="77777777" w:rsidR="001C2C24" w:rsidRPr="00767393" w:rsidRDefault="001C2C24" w:rsidP="00ED47C0">
      <w:pPr>
        <w:spacing w:line="360" w:lineRule="auto"/>
        <w:jc w:val="both"/>
        <w:rPr>
          <w:rFonts w:ascii="Palatino Linotype" w:hAnsi="Palatino Linotype" w:cs="Arial"/>
        </w:rPr>
      </w:pPr>
    </w:p>
    <w:p w14:paraId="01149F69" w14:textId="77777777" w:rsidR="001C2C24" w:rsidRPr="00767393" w:rsidRDefault="001C2C24" w:rsidP="00ED47C0">
      <w:pPr>
        <w:spacing w:after="160" w:line="360" w:lineRule="auto"/>
        <w:ind w:left="567" w:right="567"/>
        <w:jc w:val="both"/>
        <w:rPr>
          <w:rFonts w:ascii="Palatino Linotype" w:eastAsia="Calibri" w:hAnsi="Palatino Linotype"/>
          <w:i/>
          <w:lang w:val="es-MX" w:eastAsia="en-US"/>
        </w:rPr>
      </w:pPr>
      <w:r w:rsidRPr="00767393">
        <w:rPr>
          <w:rFonts w:ascii="Palatino Linotype" w:eastAsia="Calibri" w:hAnsi="Palatino Linotype"/>
          <w:i/>
          <w:lang w:val="es-MX" w:eastAsia="en-US"/>
        </w:rPr>
        <w:t>“</w:t>
      </w:r>
      <w:r w:rsidRPr="00767393">
        <w:rPr>
          <w:rFonts w:ascii="Palatino Linotype" w:eastAsia="Calibri" w:hAnsi="Palatino Linotype"/>
          <w:b/>
          <w:i/>
          <w:lang w:val="es-MX" w:eastAsia="en-US"/>
        </w:rPr>
        <w:t>Artículo 8.</w:t>
      </w:r>
      <w:r w:rsidRPr="00767393">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F343BD7" w14:textId="77777777" w:rsidR="001C2C24" w:rsidRPr="00767393" w:rsidRDefault="001C2C24" w:rsidP="00ED47C0">
      <w:pPr>
        <w:spacing w:after="160" w:line="360" w:lineRule="auto"/>
        <w:ind w:left="567" w:right="567"/>
        <w:jc w:val="both"/>
        <w:rPr>
          <w:rFonts w:ascii="Palatino Linotype" w:eastAsia="Calibri" w:hAnsi="Palatino Linotype"/>
          <w:i/>
          <w:lang w:val="es-MX" w:eastAsia="en-US"/>
        </w:rPr>
      </w:pPr>
    </w:p>
    <w:p w14:paraId="61E85F87" w14:textId="77777777" w:rsidR="001C2C24" w:rsidRPr="00767393" w:rsidRDefault="001C2C24" w:rsidP="00ED47C0">
      <w:pPr>
        <w:spacing w:after="160" w:line="360" w:lineRule="auto"/>
        <w:ind w:left="567" w:right="567"/>
        <w:jc w:val="both"/>
        <w:rPr>
          <w:rFonts w:ascii="Palatino Linotype" w:eastAsia="Calibri" w:hAnsi="Palatino Linotype"/>
          <w:i/>
          <w:lang w:val="es-MX" w:eastAsia="en-US"/>
        </w:rPr>
      </w:pPr>
      <w:r w:rsidRPr="00767393">
        <w:rPr>
          <w:rFonts w:ascii="Palatino Linotype" w:eastAsia="Calibri" w:hAnsi="Palatino Linotype"/>
          <w:b/>
          <w:i/>
          <w:lang w:val="es-MX" w:eastAsia="en-US"/>
        </w:rPr>
        <w:t>En la aplicación e interpretación de la presente Ley deberá prevalecer el principio de máxima publicidad,</w:t>
      </w:r>
      <w:r w:rsidRPr="00767393">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AA59AC5" w14:textId="77777777" w:rsidR="001C2C24" w:rsidRPr="00767393" w:rsidRDefault="001C2C24" w:rsidP="00ED47C0">
      <w:pPr>
        <w:spacing w:after="160" w:line="360" w:lineRule="auto"/>
        <w:ind w:left="567" w:right="567"/>
        <w:jc w:val="both"/>
        <w:rPr>
          <w:rFonts w:ascii="Palatino Linotype" w:eastAsia="Calibri" w:hAnsi="Palatino Linotype"/>
          <w:i/>
          <w:lang w:val="es-MX" w:eastAsia="en-US"/>
        </w:rPr>
      </w:pPr>
    </w:p>
    <w:p w14:paraId="2E2F35C2" w14:textId="77777777" w:rsidR="001C2C24" w:rsidRPr="00767393" w:rsidRDefault="001C2C24" w:rsidP="00ED47C0">
      <w:pPr>
        <w:spacing w:after="160" w:line="360" w:lineRule="auto"/>
        <w:ind w:left="567" w:right="567"/>
        <w:jc w:val="both"/>
        <w:rPr>
          <w:rFonts w:ascii="Palatino Linotype" w:eastAsia="Calibri" w:hAnsi="Palatino Linotype"/>
          <w:i/>
          <w:lang w:val="es-MX" w:eastAsia="en-US"/>
        </w:rPr>
      </w:pPr>
      <w:r w:rsidRPr="00767393">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642E242C" w14:textId="77777777" w:rsidR="001C2C24" w:rsidRPr="00767393" w:rsidRDefault="001C2C24" w:rsidP="00ED47C0">
      <w:pPr>
        <w:spacing w:after="160" w:line="360" w:lineRule="auto"/>
        <w:ind w:left="567" w:right="567"/>
        <w:jc w:val="both"/>
        <w:rPr>
          <w:rFonts w:ascii="Palatino Linotype" w:eastAsia="Calibri" w:hAnsi="Palatino Linotype"/>
          <w:i/>
          <w:lang w:val="es-MX" w:eastAsia="en-US"/>
        </w:rPr>
      </w:pPr>
      <w:r w:rsidRPr="00767393">
        <w:rPr>
          <w:rFonts w:ascii="Palatino Linotype" w:eastAsia="Calibri" w:hAnsi="Palatino Linotype"/>
          <w:i/>
          <w:lang w:val="es-MX" w:eastAsia="en-US"/>
        </w:rPr>
        <w:t>(Énfasis añadido)</w:t>
      </w:r>
    </w:p>
    <w:p w14:paraId="592E9DE0" w14:textId="77777777" w:rsidR="001C2C24" w:rsidRPr="00767393" w:rsidRDefault="001C2C24" w:rsidP="00ED47C0">
      <w:pPr>
        <w:spacing w:line="360" w:lineRule="auto"/>
        <w:jc w:val="both"/>
        <w:rPr>
          <w:rFonts w:ascii="Palatino Linotype" w:hAnsi="Palatino Linotype" w:cs="Arial"/>
        </w:rPr>
      </w:pPr>
    </w:p>
    <w:p w14:paraId="6C6B77CF" w14:textId="77777777" w:rsidR="001C2C24" w:rsidRPr="00767393" w:rsidRDefault="001C2C24" w:rsidP="00ED47C0">
      <w:pPr>
        <w:numPr>
          <w:ilvl w:val="0"/>
          <w:numId w:val="3"/>
        </w:numPr>
        <w:spacing w:after="160" w:line="360" w:lineRule="auto"/>
        <w:ind w:left="0" w:firstLine="0"/>
        <w:jc w:val="both"/>
        <w:rPr>
          <w:rFonts w:ascii="Palatino Linotype" w:hAnsi="Palatino Linotype" w:cs="Arial"/>
        </w:rPr>
      </w:pPr>
      <w:r w:rsidRPr="00767393">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4249FEF" w14:textId="77777777" w:rsidR="0081381E" w:rsidRPr="00767393" w:rsidRDefault="0081381E" w:rsidP="00ED47C0">
      <w:pPr>
        <w:spacing w:after="160" w:line="360" w:lineRule="auto"/>
        <w:jc w:val="both"/>
        <w:rPr>
          <w:rFonts w:ascii="Palatino Linotype" w:hAnsi="Palatino Linotype" w:cs="Arial"/>
        </w:rPr>
      </w:pPr>
    </w:p>
    <w:p w14:paraId="71E02D71" w14:textId="77777777" w:rsidR="001C2C24" w:rsidRPr="00767393" w:rsidRDefault="001C2C24" w:rsidP="00ED47C0">
      <w:pPr>
        <w:spacing w:before="240" w:after="240" w:line="360" w:lineRule="auto"/>
        <w:ind w:left="540" w:right="738"/>
        <w:contextualSpacing/>
        <w:jc w:val="both"/>
        <w:rPr>
          <w:rFonts w:ascii="Palatino Linotype" w:eastAsia="Calibri" w:hAnsi="Palatino Linotype"/>
          <w:i/>
        </w:rPr>
      </w:pPr>
      <w:r w:rsidRPr="00767393">
        <w:rPr>
          <w:rFonts w:ascii="Palatino Linotype" w:eastAsia="Calibri" w:hAnsi="Palatino Linotype"/>
        </w:rPr>
        <w:t>“</w:t>
      </w:r>
      <w:r w:rsidRPr="00767393">
        <w:rPr>
          <w:rFonts w:ascii="Palatino Linotype" w:eastAsia="Calibri" w:hAnsi="Palatino Linotype"/>
          <w:b/>
          <w:i/>
        </w:rPr>
        <w:t>Artículo 7.</w:t>
      </w:r>
      <w:r w:rsidRPr="00767393">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03C41F6" w14:textId="77777777" w:rsidR="001C2C24" w:rsidRPr="00767393" w:rsidRDefault="001C2C24" w:rsidP="00ED47C0">
      <w:pPr>
        <w:spacing w:line="360" w:lineRule="auto"/>
        <w:jc w:val="both"/>
        <w:rPr>
          <w:rFonts w:ascii="Palatino Linotype" w:hAnsi="Palatino Linotype" w:cs="Arial"/>
        </w:rPr>
      </w:pPr>
    </w:p>
    <w:p w14:paraId="62BB4239" w14:textId="77777777" w:rsidR="001C2C24" w:rsidRPr="00767393" w:rsidRDefault="001C2C24" w:rsidP="00ED47C0">
      <w:pPr>
        <w:numPr>
          <w:ilvl w:val="0"/>
          <w:numId w:val="3"/>
        </w:numPr>
        <w:spacing w:after="160" w:line="360" w:lineRule="auto"/>
        <w:ind w:left="0" w:firstLine="0"/>
        <w:jc w:val="both"/>
        <w:rPr>
          <w:rFonts w:ascii="Palatino Linotype" w:hAnsi="Palatino Linotype" w:cs="Arial"/>
        </w:rPr>
      </w:pPr>
      <w:r w:rsidRPr="00767393">
        <w:rPr>
          <w:rFonts w:ascii="Palatino Linotype" w:eastAsia="Calibri" w:hAnsi="Palatino Linotype" w:cs="Arial"/>
          <w:bCs/>
          <w:lang w:val="es-MX" w:eastAsia="en-US"/>
        </w:rPr>
        <w:t xml:space="preserve">Además, </w:t>
      </w:r>
      <w:r w:rsidRPr="00767393">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44E865F7" w14:textId="77777777" w:rsidR="001C2C24" w:rsidRPr="00767393" w:rsidRDefault="001C2C24" w:rsidP="00ED47C0">
      <w:pPr>
        <w:spacing w:line="360" w:lineRule="auto"/>
        <w:jc w:val="both"/>
        <w:rPr>
          <w:rFonts w:ascii="Palatino Linotype" w:hAnsi="Palatino Linotype" w:cs="Arial"/>
        </w:rPr>
      </w:pPr>
    </w:p>
    <w:p w14:paraId="229C85BB" w14:textId="77777777" w:rsidR="001C2C24" w:rsidRPr="00767393" w:rsidRDefault="001C2C24" w:rsidP="00ED47C0">
      <w:pPr>
        <w:spacing w:after="160" w:line="360" w:lineRule="auto"/>
        <w:ind w:left="426" w:right="616"/>
        <w:contextualSpacing/>
        <w:jc w:val="both"/>
        <w:rPr>
          <w:rFonts w:ascii="Palatino Linotype" w:hAnsi="Palatino Linotype" w:cs="Arial"/>
          <w:i/>
          <w:lang w:val="es-MX" w:eastAsia="en-US"/>
        </w:rPr>
      </w:pPr>
      <w:r w:rsidRPr="00767393">
        <w:rPr>
          <w:rFonts w:ascii="Palatino Linotype" w:hAnsi="Palatino Linotype" w:cs="Arial"/>
          <w:b/>
          <w:i/>
          <w:lang w:eastAsia="en-US"/>
        </w:rPr>
        <w:t>“Artículo 23.</w:t>
      </w:r>
      <w:r w:rsidRPr="00767393">
        <w:rPr>
          <w:rFonts w:ascii="Palatino Linotype" w:hAnsi="Palatino Linotype" w:cs="Arial"/>
          <w:i/>
          <w:lang w:eastAsia="en-US"/>
        </w:rPr>
        <w:t xml:space="preserve"> Son sujetos obligados a transparentar y permitir el acceso a su información y proteger los datos personales que obren en su poder:”</w:t>
      </w:r>
    </w:p>
    <w:p w14:paraId="69C317F8" w14:textId="77777777" w:rsidR="001C2C24" w:rsidRPr="00767393" w:rsidRDefault="001C2C24" w:rsidP="00ED47C0">
      <w:pPr>
        <w:spacing w:after="160" w:line="360" w:lineRule="auto"/>
        <w:contextualSpacing/>
        <w:jc w:val="both"/>
        <w:rPr>
          <w:rFonts w:ascii="Palatino Linotype" w:eastAsia="MS Mincho" w:hAnsi="Palatino Linotype"/>
          <w:lang w:val="es-MX" w:eastAsia="en-US"/>
        </w:rPr>
      </w:pPr>
    </w:p>
    <w:p w14:paraId="7C7B7868" w14:textId="77777777" w:rsidR="001C2C24" w:rsidRPr="00767393" w:rsidRDefault="001C2C24" w:rsidP="00ED47C0">
      <w:pPr>
        <w:spacing w:before="240" w:after="240" w:line="360" w:lineRule="auto"/>
        <w:ind w:left="567" w:right="616"/>
        <w:contextualSpacing/>
        <w:jc w:val="both"/>
        <w:rPr>
          <w:rFonts w:ascii="Palatino Linotype" w:eastAsia="MS Mincho" w:hAnsi="Palatino Linotype" w:cs="Arial"/>
          <w:lang w:val="es-MX"/>
        </w:rPr>
      </w:pPr>
      <w:r w:rsidRPr="00767393">
        <w:rPr>
          <w:rFonts w:ascii="Palatino Linotype" w:eastAsia="MS Mincho" w:hAnsi="Palatino Linotype" w:cs="Arial"/>
          <w:lang w:val="es-MX"/>
        </w:rPr>
        <w:t>(…)</w:t>
      </w:r>
    </w:p>
    <w:p w14:paraId="27C71C87" w14:textId="77777777" w:rsidR="001C2C24" w:rsidRPr="00767393" w:rsidRDefault="001C2C24" w:rsidP="00ED47C0">
      <w:pPr>
        <w:spacing w:before="240" w:after="240" w:line="360" w:lineRule="auto"/>
        <w:ind w:left="567" w:right="616"/>
        <w:contextualSpacing/>
        <w:jc w:val="both"/>
        <w:rPr>
          <w:rFonts w:ascii="Palatino Linotype" w:eastAsia="MS Mincho" w:hAnsi="Palatino Linotype" w:cs="Arial"/>
          <w:b/>
          <w:lang w:val="es-MX"/>
        </w:rPr>
      </w:pPr>
    </w:p>
    <w:p w14:paraId="1C9E2C81" w14:textId="2D986BB1" w:rsidR="001C2C24" w:rsidRPr="00767393" w:rsidRDefault="0081381E" w:rsidP="00ED47C0">
      <w:pPr>
        <w:spacing w:before="240" w:after="240" w:line="360" w:lineRule="auto"/>
        <w:ind w:left="567" w:right="616"/>
        <w:contextualSpacing/>
        <w:jc w:val="both"/>
        <w:rPr>
          <w:rFonts w:ascii="Palatino Linotype" w:eastAsia="MS Mincho" w:hAnsi="Palatino Linotype" w:cs="Arial"/>
          <w:b/>
          <w:i/>
          <w:lang w:val="es-MX"/>
        </w:rPr>
      </w:pPr>
      <w:r w:rsidRPr="00767393">
        <w:rPr>
          <w:rFonts w:ascii="Palatino Linotype" w:eastAsia="MS Mincho" w:hAnsi="Palatino Linotype" w:cs="Arial"/>
          <w:b/>
          <w:i/>
        </w:rPr>
        <w:lastRenderedPageBreak/>
        <w:t>IV. Los ayuntamientos y las dependencias, organismos, órganos y entidades de la administración municipal</w:t>
      </w:r>
      <w:r w:rsidR="001C2C24" w:rsidRPr="00767393">
        <w:rPr>
          <w:rFonts w:ascii="Palatino Linotype" w:eastAsia="MS Mincho" w:hAnsi="Palatino Linotype" w:cs="Arial"/>
          <w:b/>
          <w:i/>
          <w:lang w:val="es-MX"/>
        </w:rPr>
        <w:t>;"</w:t>
      </w:r>
    </w:p>
    <w:p w14:paraId="7B1E12F2" w14:textId="77777777" w:rsidR="001C2C24" w:rsidRPr="00767393" w:rsidRDefault="001C2C24" w:rsidP="00ED47C0">
      <w:pPr>
        <w:tabs>
          <w:tab w:val="left" w:pos="851"/>
        </w:tabs>
        <w:spacing w:line="360" w:lineRule="auto"/>
        <w:ind w:right="616"/>
        <w:contextualSpacing/>
        <w:jc w:val="both"/>
        <w:rPr>
          <w:rFonts w:ascii="Palatino Linotype" w:hAnsi="Palatino Linotype" w:cs="Arial"/>
          <w:b/>
          <w:i/>
          <w:lang w:val="es-MX" w:eastAsia="en-US"/>
        </w:rPr>
      </w:pPr>
    </w:p>
    <w:p w14:paraId="4BC9D60F" w14:textId="77777777" w:rsidR="001C2C24" w:rsidRPr="00767393" w:rsidRDefault="001C2C24" w:rsidP="00ED47C0">
      <w:pPr>
        <w:tabs>
          <w:tab w:val="left" w:pos="851"/>
        </w:tabs>
        <w:spacing w:line="360" w:lineRule="auto"/>
        <w:ind w:left="567" w:right="616"/>
        <w:contextualSpacing/>
        <w:jc w:val="both"/>
        <w:rPr>
          <w:rFonts w:ascii="Palatino Linotype" w:hAnsi="Palatino Linotype" w:cs="Arial"/>
          <w:i/>
          <w:lang w:val="es-MX" w:eastAsia="en-US"/>
        </w:rPr>
      </w:pPr>
      <w:r w:rsidRPr="00767393">
        <w:rPr>
          <w:rFonts w:ascii="Palatino Linotype" w:hAnsi="Palatino Linotype" w:cs="Arial"/>
          <w:i/>
          <w:lang w:val="es-MX" w:eastAsia="en-US"/>
        </w:rPr>
        <w:t>(…)”</w:t>
      </w:r>
    </w:p>
    <w:p w14:paraId="3FBF1612" w14:textId="77777777" w:rsidR="0081381E" w:rsidRPr="00767393" w:rsidRDefault="0081381E" w:rsidP="00ED47C0">
      <w:pPr>
        <w:spacing w:after="160" w:line="360" w:lineRule="auto"/>
        <w:ind w:firstLine="567"/>
        <w:jc w:val="both"/>
        <w:rPr>
          <w:rFonts w:ascii="Palatino Linotype" w:eastAsia="Calibri" w:hAnsi="Palatino Linotype" w:cs="Arial"/>
          <w:i/>
          <w:lang w:val="es-MX"/>
        </w:rPr>
      </w:pPr>
    </w:p>
    <w:p w14:paraId="04AFF0BE" w14:textId="688B6EBC" w:rsidR="00D26B4B" w:rsidRPr="00767393" w:rsidRDefault="0069195B" w:rsidP="00ED47C0">
      <w:pPr>
        <w:numPr>
          <w:ilvl w:val="0"/>
          <w:numId w:val="3"/>
        </w:numPr>
        <w:tabs>
          <w:tab w:val="left" w:pos="284"/>
          <w:tab w:val="left" w:pos="426"/>
        </w:tabs>
        <w:spacing w:before="240" w:after="240" w:line="360" w:lineRule="auto"/>
        <w:ind w:left="0" w:right="49" w:firstLine="0"/>
        <w:contextualSpacing/>
        <w:jc w:val="both"/>
        <w:rPr>
          <w:rFonts w:ascii="Palatino Linotype" w:hAnsi="Palatino Linotype" w:cs="Arial"/>
        </w:rPr>
      </w:pPr>
      <w:r w:rsidRPr="00767393">
        <w:rPr>
          <w:rFonts w:ascii="Palatino Linotype" w:hAnsi="Palatino Linotype" w:cs="Arial"/>
          <w:lang w:eastAsia="en-US"/>
        </w:rPr>
        <w:t>D</w:t>
      </w:r>
      <w:r w:rsidRPr="00767393">
        <w:rPr>
          <w:rFonts w:ascii="Palatino Linotype" w:hAnsi="Palatino Linotype" w:cs="Arial"/>
          <w:lang w:val="es-ES_tradnl" w:eastAsia="en-US"/>
        </w:rPr>
        <w:t xml:space="preserve">emostrada </w:t>
      </w:r>
      <w:r w:rsidRPr="00767393">
        <w:rPr>
          <w:rFonts w:ascii="Palatino Linotype" w:hAnsi="Palatino Linotype" w:cs="Arial"/>
          <w:lang w:eastAsia="en-US"/>
        </w:rPr>
        <w:t xml:space="preserve">la procedencia del acceso en términos de la Ley de Transparencia </w:t>
      </w:r>
      <w:r w:rsidR="001B2D8A" w:rsidRPr="00767393">
        <w:rPr>
          <w:rFonts w:ascii="Palatino Linotype" w:hAnsi="Palatino Linotype" w:cs="Arial"/>
          <w:lang w:eastAsia="en-US"/>
        </w:rPr>
        <w:t>Estatal, por</w:t>
      </w:r>
      <w:r w:rsidRPr="00767393">
        <w:rPr>
          <w:rFonts w:ascii="Palatino Linotype" w:hAnsi="Palatino Linotype" w:cs="Arial"/>
          <w:lang w:eastAsia="en-US"/>
        </w:rPr>
        <w:t xml:space="preserve"> </w:t>
      </w:r>
      <w:r w:rsidR="00155D53" w:rsidRPr="00767393">
        <w:rPr>
          <w:rFonts w:ascii="Palatino Linotype" w:hAnsi="Palatino Linotype" w:cs="Arial"/>
        </w:rPr>
        <w:t xml:space="preserve">cuanto hace al requerimiento </w:t>
      </w:r>
      <w:r w:rsidR="0081381E" w:rsidRPr="00767393">
        <w:rPr>
          <w:rFonts w:ascii="Palatino Linotype" w:hAnsi="Palatino Linotype" w:cs="Arial"/>
        </w:rPr>
        <w:t>realizado</w:t>
      </w:r>
      <w:r w:rsidR="002B342A" w:rsidRPr="00767393">
        <w:rPr>
          <w:rFonts w:ascii="Palatino Linotype" w:hAnsi="Palatino Linotype" w:cs="Arial"/>
        </w:rPr>
        <w:t xml:space="preserve"> resulta oportuno señalar que </w:t>
      </w:r>
      <w:r w:rsidR="00D26B4B" w:rsidRPr="00767393">
        <w:rPr>
          <w:rFonts w:ascii="Palatino Linotype" w:hAnsi="Palatino Linotype" w:cs="Arial"/>
        </w:rPr>
        <w:t xml:space="preserve">de conformidad con lo dispuesto por </w:t>
      </w:r>
      <w:r w:rsidR="00D26B4B" w:rsidRPr="00767393">
        <w:rPr>
          <w:rFonts w:ascii="Palatino Linotype" w:eastAsiaTheme="minorEastAsia" w:hAnsi="Palatino Linotype" w:cstheme="minorBidi"/>
          <w:color w:val="000000" w:themeColor="text1"/>
          <w:lang w:val="es-ES_tradnl"/>
        </w:rPr>
        <w:t>el artículo 167 de la Ley de Transparencia y Acceso a la Información Pública del Estado de México y Municipios, que es de la literalidad siguiente:</w:t>
      </w:r>
    </w:p>
    <w:p w14:paraId="6CB358E6" w14:textId="77777777" w:rsidR="00D26B4B" w:rsidRPr="00767393" w:rsidRDefault="00D26B4B" w:rsidP="00ED47C0">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7667261" w14:textId="77777777" w:rsidR="00D26B4B" w:rsidRPr="00767393" w:rsidRDefault="00D26B4B" w:rsidP="00ED47C0">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rPr>
      </w:pPr>
      <w:r w:rsidRPr="00767393">
        <w:rPr>
          <w:rFonts w:ascii="Palatino Linotype" w:eastAsiaTheme="minorEastAsia" w:hAnsi="Palatino Linotype" w:cstheme="minorBidi"/>
          <w:lang w:val="es-ES_tradnl"/>
        </w:rPr>
        <w:t>“</w:t>
      </w:r>
      <w:r w:rsidRPr="00767393">
        <w:rPr>
          <w:rFonts w:ascii="Palatino Linotype" w:eastAsiaTheme="minorEastAsia" w:hAnsi="Palatino Linotype" w:cstheme="minorBidi"/>
          <w:b/>
          <w:i/>
          <w:lang w:val="es-ES_tradnl"/>
        </w:rPr>
        <w:t>Artículo 167.</w:t>
      </w:r>
      <w:r w:rsidRPr="00767393">
        <w:rPr>
          <w:rFonts w:ascii="Palatino Linotype" w:eastAsiaTheme="minorEastAsia" w:hAnsi="Palatino Linotype" w:cstheme="minorBidi"/>
          <w:i/>
          <w:lang w:val="es-ES_tradnl"/>
        </w:rPr>
        <w:t xml:space="preserve"> </w:t>
      </w:r>
      <w:r w:rsidRPr="00767393">
        <w:rPr>
          <w:rFonts w:ascii="Palatino Linotype" w:eastAsiaTheme="minorEastAsia" w:hAnsi="Palatino Linotype" w:cstheme="minorBidi"/>
          <w:b/>
          <w:i/>
          <w:lang w:val="es-ES_tradnl"/>
        </w:rPr>
        <w:t>Cuando las unidades de transparencia determinen la</w:t>
      </w:r>
      <w:r w:rsidRPr="00767393">
        <w:rPr>
          <w:rFonts w:ascii="Palatino Linotype" w:eastAsiaTheme="minorEastAsia" w:hAnsi="Palatino Linotype" w:cstheme="minorBidi"/>
          <w:i/>
          <w:lang w:val="es-ES_tradnl"/>
        </w:rPr>
        <w:t xml:space="preserve"> notoria </w:t>
      </w:r>
      <w:r w:rsidRPr="00767393">
        <w:rPr>
          <w:rFonts w:ascii="Palatino Linotype" w:eastAsiaTheme="minorEastAsia" w:hAnsi="Palatino Linotype" w:cstheme="minorBidi"/>
          <w:b/>
          <w:i/>
          <w:lang w:val="es-ES_tradnl"/>
        </w:rPr>
        <w:t>incompetencia por parte de los sujetos obligados</w:t>
      </w:r>
      <w:r w:rsidRPr="00767393">
        <w:rPr>
          <w:rFonts w:ascii="Palatino Linotype" w:eastAsiaTheme="minorEastAsia" w:hAnsi="Palatino Linotype" w:cstheme="minorBidi"/>
          <w:i/>
          <w:lang w:val="es-ES_tradnl"/>
        </w:rPr>
        <w:t xml:space="preserve">, dentro del ámbito de aplicación, para atender la solicitud de acceso a la información, </w:t>
      </w:r>
      <w:r w:rsidRPr="00767393">
        <w:rPr>
          <w:rFonts w:ascii="Palatino Linotype" w:eastAsiaTheme="minorEastAsia" w:hAnsi="Palatino Linotype" w:cstheme="minorBidi"/>
          <w:b/>
          <w:i/>
          <w:lang w:val="es-ES_tradnl"/>
        </w:rPr>
        <w:t>deberán comunicarlo al solicitante, dentro de los tres días hábiles posteriores a la recepción de la solicitud y, en su caso orientar al solicitante, el o los sujetos obligados competentes.</w:t>
      </w:r>
      <w:r w:rsidRPr="00767393">
        <w:rPr>
          <w:rFonts w:ascii="Palatino Linotype" w:eastAsiaTheme="minorEastAsia" w:hAnsi="Palatino Linotype" w:cstheme="minorBidi"/>
          <w:i/>
          <w:lang w:val="es-ES_tradnl"/>
        </w:rPr>
        <w:t xml:space="preserve"> </w:t>
      </w:r>
    </w:p>
    <w:p w14:paraId="703ED2C5" w14:textId="77777777" w:rsidR="00D26B4B" w:rsidRPr="00767393" w:rsidRDefault="00D26B4B" w:rsidP="00ED47C0">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i/>
          <w:lang w:val="es-ES_tradnl"/>
        </w:rPr>
      </w:pPr>
      <w:r w:rsidRPr="00767393">
        <w:rPr>
          <w:rFonts w:ascii="Palatino Linotype" w:eastAsiaTheme="minorEastAsia" w:hAnsi="Palatino Linotype" w:cstheme="minorBidi"/>
          <w:i/>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528C01C" w14:textId="77777777" w:rsidR="00D26B4B" w:rsidRPr="00767393" w:rsidRDefault="00D26B4B" w:rsidP="00ED47C0">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lang w:val="es-ES_tradnl"/>
        </w:rPr>
      </w:pPr>
      <w:r w:rsidRPr="00767393">
        <w:rPr>
          <w:rFonts w:ascii="Palatino Linotype" w:eastAsiaTheme="minorEastAsia" w:hAnsi="Palatino Linotype" w:cstheme="minorBidi"/>
          <w:b/>
          <w:i/>
          <w:lang w:val="es-ES_tradnl"/>
        </w:rPr>
        <w:t>Si transcurrido el plazo señalado en el primer párrafo de este artículo, el sujeto obligado no declina la competencia en los términos establecidos, podrá canalizar la solicitud ante el sujeto obligado competente.</w:t>
      </w:r>
      <w:r w:rsidRPr="00767393">
        <w:rPr>
          <w:rFonts w:ascii="Palatino Linotype" w:eastAsiaTheme="minorEastAsia" w:hAnsi="Palatino Linotype" w:cstheme="minorBidi"/>
          <w:i/>
          <w:lang w:val="es-ES_tradnl"/>
        </w:rPr>
        <w:t>”</w:t>
      </w:r>
    </w:p>
    <w:p w14:paraId="775EC56A" w14:textId="77777777" w:rsidR="00D26B4B" w:rsidRPr="00767393" w:rsidRDefault="00D26B4B" w:rsidP="00ED47C0">
      <w:pPr>
        <w:tabs>
          <w:tab w:val="left" w:pos="142"/>
          <w:tab w:val="left" w:pos="284"/>
          <w:tab w:val="left" w:pos="426"/>
        </w:tabs>
        <w:spacing w:before="240" w:after="240" w:line="360" w:lineRule="auto"/>
        <w:ind w:left="567" w:right="567"/>
        <w:contextualSpacing/>
        <w:jc w:val="both"/>
        <w:rPr>
          <w:rFonts w:ascii="Palatino Linotype" w:eastAsiaTheme="minorEastAsia" w:hAnsi="Palatino Linotype" w:cstheme="minorBidi"/>
          <w:lang w:val="es-ES_tradnl"/>
        </w:rPr>
      </w:pPr>
      <w:r w:rsidRPr="00767393">
        <w:rPr>
          <w:rFonts w:ascii="Palatino Linotype" w:eastAsiaTheme="minorEastAsia" w:hAnsi="Palatino Linotype" w:cstheme="minorBidi"/>
          <w:lang w:val="es-ES_tradnl"/>
        </w:rPr>
        <w:lastRenderedPageBreak/>
        <w:t>(Énfasis añadido)</w:t>
      </w:r>
    </w:p>
    <w:p w14:paraId="09C86C25" w14:textId="77777777" w:rsidR="00D26B4B" w:rsidRPr="00767393" w:rsidRDefault="00D26B4B" w:rsidP="00ED47C0">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8E98C00" w14:textId="32EDF314" w:rsidR="00D26B4B" w:rsidRPr="00767393" w:rsidRDefault="00D26B4B" w:rsidP="00ED47C0">
      <w:pPr>
        <w:pStyle w:val="Prrafodelista"/>
        <w:numPr>
          <w:ilvl w:val="0"/>
          <w:numId w:val="3"/>
        </w:numPr>
        <w:tabs>
          <w:tab w:val="left" w:pos="426"/>
        </w:tabs>
        <w:spacing w:before="240" w:after="240" w:line="360" w:lineRule="auto"/>
        <w:ind w:left="90" w:right="51" w:hanging="90"/>
        <w:contextualSpacing/>
        <w:jc w:val="both"/>
        <w:rPr>
          <w:rFonts w:ascii="Palatino Linotype" w:eastAsiaTheme="minorEastAsia" w:hAnsi="Palatino Linotype" w:cstheme="minorBidi"/>
          <w:color w:val="000000" w:themeColor="text1"/>
          <w:lang w:val="es-ES_tradnl"/>
        </w:rPr>
      </w:pPr>
      <w:r w:rsidRPr="00767393">
        <w:rPr>
          <w:rFonts w:ascii="Palatino Linotype" w:eastAsiaTheme="minorEastAsia" w:hAnsi="Palatino Linotype" w:cstheme="minorBidi"/>
          <w:color w:val="000000" w:themeColor="text1"/>
          <w:lang w:val="es-ES_tradnl"/>
        </w:rPr>
        <w:t xml:space="preserve">De </w:t>
      </w:r>
      <w:r w:rsidRPr="00767393">
        <w:rPr>
          <w:rFonts w:ascii="Palatino Linotype" w:eastAsiaTheme="minorEastAsia" w:hAnsi="Palatino Linotype" w:cs="Arial"/>
          <w:lang w:val="es-ES_tradnl"/>
        </w:rPr>
        <w:t xml:space="preserve">tal forma que, una vez recibida una solicitud de información, </w:t>
      </w:r>
      <w:r w:rsidR="00ED47C0" w:rsidRPr="00767393">
        <w:rPr>
          <w:rFonts w:ascii="Palatino Linotype" w:eastAsiaTheme="minorEastAsia" w:hAnsi="Palatino Linotype" w:cs="Arial"/>
          <w:lang w:val="es-ES_tradnl"/>
        </w:rPr>
        <w:t xml:space="preserve">y </w:t>
      </w:r>
      <w:r w:rsidRPr="00767393">
        <w:rPr>
          <w:rFonts w:ascii="Palatino Linotype" w:eastAsiaTheme="minorEastAsia" w:hAnsi="Palatino Linotype" w:cs="Arial"/>
          <w:lang w:val="es-ES_tradnl"/>
        </w:rPr>
        <w:t xml:space="preserve">el </w:t>
      </w:r>
      <w:r w:rsidRPr="00767393">
        <w:rPr>
          <w:rFonts w:ascii="Palatino Linotype" w:eastAsiaTheme="minorEastAsia" w:hAnsi="Palatino Linotype" w:cs="Arial"/>
          <w:b/>
          <w:bCs/>
          <w:lang w:val="es-ES_tradnl"/>
        </w:rPr>
        <w:t>SUJETO OBLIGADO</w:t>
      </w:r>
      <w:r w:rsidRPr="00767393">
        <w:rPr>
          <w:rFonts w:ascii="Palatino Linotype" w:eastAsiaTheme="minorEastAsia" w:hAnsi="Palatino Linotype" w:cs="Arial"/>
          <w:lang w:val="es-ES_tradnl"/>
        </w:rPr>
        <w:t xml:space="preserve"> determine que es</w:t>
      </w:r>
      <w:r w:rsidR="00ED47C0" w:rsidRPr="00767393">
        <w:rPr>
          <w:rFonts w:ascii="Palatino Linotype" w:eastAsiaTheme="minorEastAsia" w:hAnsi="Palatino Linotype" w:cs="Arial"/>
          <w:lang w:val="es-ES_tradnl"/>
        </w:rPr>
        <w:t xml:space="preserve"> notoriamente</w:t>
      </w:r>
      <w:r w:rsidRPr="00767393">
        <w:rPr>
          <w:rFonts w:ascii="Palatino Linotype" w:eastAsiaTheme="minorEastAsia" w:hAnsi="Palatino Linotype" w:cs="Arial"/>
          <w:lang w:val="es-ES_tradnl"/>
        </w:rPr>
        <w:t xml:space="preserve">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62ACBD8E" w14:textId="77777777" w:rsidR="00D26B4B" w:rsidRPr="00767393" w:rsidRDefault="00D26B4B" w:rsidP="00ED47C0">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7F0DD76" w14:textId="3C9A9808" w:rsidR="00D26B4B" w:rsidRPr="00767393" w:rsidRDefault="00D26B4B" w:rsidP="00ED47C0">
      <w:pPr>
        <w:numPr>
          <w:ilvl w:val="0"/>
          <w:numId w:val="3"/>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767393">
        <w:rPr>
          <w:rFonts w:ascii="Palatino Linotype" w:eastAsiaTheme="minorEastAsia" w:hAnsi="Palatino Linotype" w:cstheme="minorBidi"/>
          <w:color w:val="000000" w:themeColor="text1"/>
          <w:lang w:val="es-ES_tradnl"/>
        </w:rPr>
        <w:t xml:space="preserve">En </w:t>
      </w:r>
      <w:r w:rsidRPr="00767393">
        <w:rPr>
          <w:rFonts w:ascii="Palatino Linotype" w:eastAsiaTheme="minorEastAsia" w:hAnsi="Palatino Linotype" w:cs="Arial"/>
          <w:lang w:val="es-ES_tradnl"/>
        </w:rPr>
        <w:t>el presente asunto, de const</w:t>
      </w:r>
      <w:r w:rsidR="00ED47C0" w:rsidRPr="00767393">
        <w:rPr>
          <w:rFonts w:ascii="Palatino Linotype" w:eastAsiaTheme="minorEastAsia" w:hAnsi="Palatino Linotype" w:cs="Arial"/>
          <w:lang w:val="es-ES_tradnl"/>
        </w:rPr>
        <w:t xml:space="preserve">ancias que obran en el expediente electrónico </w:t>
      </w:r>
      <w:r w:rsidRPr="00767393">
        <w:rPr>
          <w:rFonts w:ascii="Palatino Linotype" w:eastAsiaTheme="minorEastAsia" w:hAnsi="Palatino Linotype" w:cs="Arial"/>
          <w:lang w:val="es-ES_tradnl"/>
        </w:rPr>
        <w:t xml:space="preserve">del </w:t>
      </w:r>
      <w:r w:rsidRPr="00767393">
        <w:rPr>
          <w:rFonts w:ascii="Palatino Linotype" w:eastAsiaTheme="minorEastAsia" w:hAnsi="Palatino Linotype" w:cs="Arial"/>
          <w:b/>
          <w:i/>
          <w:lang w:val="es-ES_tradnl"/>
        </w:rPr>
        <w:t>SAIMEX</w:t>
      </w:r>
      <w:r w:rsidRPr="00767393">
        <w:rPr>
          <w:rFonts w:ascii="Palatino Linotype" w:eastAsiaTheme="minorEastAsia" w:hAnsi="Palatino Linotype" w:cs="Arial"/>
          <w:lang w:val="es-ES_tradnl"/>
        </w:rPr>
        <w:t>, se aprecia que el pa</w:t>
      </w:r>
      <w:r w:rsidR="00FA78E0" w:rsidRPr="00767393">
        <w:rPr>
          <w:rFonts w:ascii="Palatino Linotype" w:eastAsiaTheme="minorEastAsia" w:hAnsi="Palatino Linotype" w:cs="Arial"/>
          <w:lang w:val="es-ES_tradnl"/>
        </w:rPr>
        <w:t>rticular promovió su solicitud</w:t>
      </w:r>
      <w:r w:rsidRPr="00767393">
        <w:rPr>
          <w:rFonts w:ascii="Palatino Linotype" w:eastAsiaTheme="minorEastAsia" w:hAnsi="Palatino Linotype" w:cs="Arial"/>
          <w:lang w:val="es-ES_tradnl"/>
        </w:rPr>
        <w:t xml:space="preserve"> de información </w:t>
      </w:r>
      <w:r w:rsidR="00651293" w:rsidRPr="00767393">
        <w:rPr>
          <w:rFonts w:ascii="Palatino Linotype" w:eastAsiaTheme="minorEastAsia" w:hAnsi="Palatino Linotype" w:cs="Arial"/>
          <w:lang w:val="es-ES_tradnl"/>
        </w:rPr>
        <w:t xml:space="preserve">dirigida al </w:t>
      </w:r>
      <w:r w:rsidR="00651293" w:rsidRPr="00767393">
        <w:rPr>
          <w:rFonts w:ascii="Palatino Linotype" w:eastAsiaTheme="minorEastAsia" w:hAnsi="Palatino Linotype" w:cs="Arial"/>
          <w:b/>
          <w:lang w:val="es-ES_tradnl"/>
        </w:rPr>
        <w:t>Ayuntamiento de Chapultepec en la cual solicita información de un parte de novedades de un área del Ayuntamiento de Ca</w:t>
      </w:r>
      <w:r w:rsidR="00F921F7" w:rsidRPr="00767393">
        <w:rPr>
          <w:rFonts w:ascii="Palatino Linotype" w:eastAsiaTheme="minorEastAsia" w:hAnsi="Palatino Linotype" w:cs="Arial"/>
          <w:b/>
          <w:lang w:val="es-ES_tradnl"/>
        </w:rPr>
        <w:t>l</w:t>
      </w:r>
      <w:r w:rsidR="00651293" w:rsidRPr="00767393">
        <w:rPr>
          <w:rFonts w:ascii="Palatino Linotype" w:eastAsiaTheme="minorEastAsia" w:hAnsi="Palatino Linotype" w:cs="Arial"/>
          <w:b/>
          <w:lang w:val="es-ES_tradnl"/>
        </w:rPr>
        <w:t>imaya</w:t>
      </w:r>
      <w:r w:rsidR="00651293" w:rsidRPr="00767393">
        <w:rPr>
          <w:rFonts w:ascii="Palatino Linotype" w:eastAsiaTheme="minorEastAsia" w:hAnsi="Palatino Linotype" w:cs="Arial"/>
          <w:lang w:val="es-ES_tradnl"/>
        </w:rPr>
        <w:t xml:space="preserve">, </w:t>
      </w:r>
      <w:r w:rsidRPr="00767393">
        <w:rPr>
          <w:rFonts w:ascii="Palatino Linotype" w:eastAsiaTheme="minorEastAsia" w:hAnsi="Palatino Linotype" w:cs="Arial"/>
          <w:lang w:val="es-ES_tradnl"/>
        </w:rPr>
        <w:t xml:space="preserve">el ocho (08) </w:t>
      </w:r>
      <w:r w:rsidR="00FA78E0" w:rsidRPr="00767393">
        <w:rPr>
          <w:rFonts w:ascii="Palatino Linotype" w:eastAsiaTheme="minorEastAsia" w:hAnsi="Palatino Linotype" w:cs="Arial"/>
          <w:lang w:val="es-ES_tradnl"/>
        </w:rPr>
        <w:t>de abril de dos mil veintidós</w:t>
      </w:r>
      <w:r w:rsidRPr="00767393">
        <w:rPr>
          <w:rFonts w:ascii="Palatino Linotype" w:eastAsiaTheme="minorEastAsia" w:hAnsi="Palatino Linotype" w:cs="Arial"/>
          <w:lang w:val="es-ES_tradnl"/>
        </w:rPr>
        <w:t xml:space="preserve"> y, el </w:t>
      </w:r>
      <w:r w:rsidRPr="00767393">
        <w:rPr>
          <w:rFonts w:ascii="Palatino Linotype" w:eastAsiaTheme="minorEastAsia" w:hAnsi="Palatino Linotype" w:cs="Arial"/>
          <w:b/>
          <w:lang w:val="es-ES_tradnl"/>
        </w:rPr>
        <w:t>SUJETO OBLIGADO</w:t>
      </w:r>
      <w:r w:rsidRPr="00767393">
        <w:rPr>
          <w:rFonts w:ascii="Palatino Linotype" w:eastAsiaTheme="minorEastAsia" w:hAnsi="Palatino Linotype" w:cs="Arial"/>
          <w:lang w:val="es-ES_tradnl"/>
        </w:rPr>
        <w:t xml:space="preserve">, entregó </w:t>
      </w:r>
      <w:r w:rsidR="00FA78E0" w:rsidRPr="00767393">
        <w:rPr>
          <w:rFonts w:ascii="Palatino Linotype" w:eastAsiaTheme="minorEastAsia" w:hAnsi="Palatino Linotype" w:cs="Arial"/>
          <w:lang w:val="es-ES_tradnl"/>
        </w:rPr>
        <w:t xml:space="preserve">respuesta </w:t>
      </w:r>
      <w:r w:rsidRPr="00767393">
        <w:rPr>
          <w:rFonts w:ascii="Palatino Linotype" w:eastAsiaTheme="minorEastAsia" w:hAnsi="Palatino Linotype" w:cs="Arial"/>
          <w:lang w:val="es-ES_tradnl"/>
        </w:rPr>
        <w:t xml:space="preserve">el </w:t>
      </w:r>
      <w:r w:rsidR="00FA78E0" w:rsidRPr="00767393">
        <w:rPr>
          <w:rFonts w:ascii="Palatino Linotype" w:eastAsiaTheme="minorEastAsia" w:hAnsi="Palatino Linotype" w:cs="Arial"/>
          <w:lang w:val="es-ES_tradnl"/>
        </w:rPr>
        <w:t>dos (02</w:t>
      </w:r>
      <w:r w:rsidRPr="00767393">
        <w:rPr>
          <w:rFonts w:ascii="Palatino Linotype" w:eastAsiaTheme="minorEastAsia" w:hAnsi="Palatino Linotype" w:cs="Arial"/>
          <w:lang w:val="es-ES_tradnl"/>
        </w:rPr>
        <w:t>) de</w:t>
      </w:r>
      <w:r w:rsidR="00FA78E0" w:rsidRPr="00767393">
        <w:rPr>
          <w:rFonts w:ascii="Palatino Linotype" w:eastAsiaTheme="minorEastAsia" w:hAnsi="Palatino Linotype" w:cs="Arial"/>
          <w:lang w:val="es-ES_tradnl"/>
        </w:rPr>
        <w:t xml:space="preserve"> mayo del año en curso</w:t>
      </w:r>
      <w:r w:rsidR="00ED47C0" w:rsidRPr="00767393">
        <w:rPr>
          <w:rFonts w:ascii="Palatino Linotype" w:eastAsiaTheme="minorEastAsia" w:hAnsi="Palatino Linotype" w:cs="Arial"/>
          <w:lang w:val="es-ES_tradnl"/>
        </w:rPr>
        <w:t xml:space="preserve">, esto es, </w:t>
      </w:r>
      <w:r w:rsidRPr="00767393">
        <w:rPr>
          <w:rFonts w:ascii="Palatino Linotype" w:eastAsiaTheme="minorEastAsia" w:hAnsi="Palatino Linotype" w:cs="Arial"/>
          <w:lang w:val="es-ES_tradnl"/>
        </w:rPr>
        <w:t xml:space="preserve">al décimo </w:t>
      </w:r>
      <w:r w:rsidR="00FA78E0" w:rsidRPr="00767393">
        <w:rPr>
          <w:rFonts w:ascii="Palatino Linotype" w:eastAsiaTheme="minorEastAsia" w:hAnsi="Palatino Linotype" w:cs="Arial"/>
          <w:lang w:val="es-ES_tradnl"/>
        </w:rPr>
        <w:t>primer día hábil</w:t>
      </w:r>
      <w:r w:rsidRPr="00767393">
        <w:rPr>
          <w:rFonts w:ascii="Palatino Linotype" w:eastAsiaTheme="minorEastAsia" w:hAnsi="Palatino Linotype" w:cs="Arial"/>
          <w:lang w:val="es-ES_tradnl"/>
        </w:rPr>
        <w:t xml:space="preserve"> de haber recibido </w:t>
      </w:r>
      <w:r w:rsidR="00FA78E0" w:rsidRPr="00767393">
        <w:rPr>
          <w:rFonts w:ascii="Palatino Linotype" w:eastAsiaTheme="minorEastAsia" w:hAnsi="Palatino Linotype" w:cs="Arial"/>
          <w:lang w:val="es-ES_tradnl"/>
        </w:rPr>
        <w:t>el requerimiento</w:t>
      </w:r>
      <w:r w:rsidRPr="00767393">
        <w:rPr>
          <w:rFonts w:ascii="Palatino Linotype" w:eastAsiaTheme="minorEastAsia" w:hAnsi="Palatino Linotype" w:cs="Arial"/>
          <w:lang w:val="es-ES_tradnl"/>
        </w:rPr>
        <w:t xml:space="preserve"> de acceso a la información pública.</w:t>
      </w:r>
    </w:p>
    <w:p w14:paraId="0E6CA86D" w14:textId="77777777" w:rsidR="00D26B4B" w:rsidRPr="00767393" w:rsidRDefault="00D26B4B" w:rsidP="00ED47C0">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D111C8F" w14:textId="63AB1AD6" w:rsidR="00D26B4B" w:rsidRPr="00767393" w:rsidRDefault="00FA78E0" w:rsidP="00ED47C0">
      <w:pPr>
        <w:numPr>
          <w:ilvl w:val="0"/>
          <w:numId w:val="3"/>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767393">
        <w:rPr>
          <w:rFonts w:ascii="Palatino Linotype" w:eastAsiaTheme="minorEastAsia" w:hAnsi="Palatino Linotype" w:cstheme="minorBidi"/>
          <w:color w:val="000000" w:themeColor="text1"/>
          <w:lang w:val="es-ES_tradnl"/>
        </w:rPr>
        <w:t>De tal manera que existió una dilación de ocho (08) días, a</w:t>
      </w:r>
      <w:r w:rsidR="00ED47C0" w:rsidRPr="00767393">
        <w:rPr>
          <w:rFonts w:ascii="Palatino Linotype" w:eastAsiaTheme="minorEastAsia" w:hAnsi="Palatino Linotype" w:cstheme="minorBidi"/>
          <w:lang w:val="es-ES_tradnl"/>
        </w:rPr>
        <w:t xml:space="preserve">unado a que cuando </w:t>
      </w:r>
      <w:r w:rsidRPr="00767393">
        <w:rPr>
          <w:rFonts w:ascii="Palatino Linotype" w:eastAsiaTheme="minorEastAsia" w:hAnsi="Palatino Linotype" w:cstheme="minorBidi"/>
          <w:lang w:val="es-ES_tradnl"/>
        </w:rPr>
        <w:t>se otorgó respuesta no se fundamentó ni motivó dicha incompetencia, así se</w:t>
      </w:r>
      <w:r w:rsidR="00D26B4B" w:rsidRPr="00767393">
        <w:rPr>
          <w:rFonts w:ascii="Palatino Linotype" w:eastAsiaTheme="minorEastAsia" w:hAnsi="Palatino Linotype" w:cstheme="minorBidi"/>
          <w:color w:val="000000" w:themeColor="text1"/>
          <w:lang w:val="es-ES_tradnl"/>
        </w:rPr>
        <w:t xml:space="preserve"> </w:t>
      </w:r>
      <w:r w:rsidR="00D26B4B" w:rsidRPr="00767393">
        <w:rPr>
          <w:rFonts w:ascii="Palatino Linotype" w:eastAsiaTheme="minorEastAsia" w:hAnsi="Palatino Linotype" w:cstheme="minorBidi"/>
          <w:lang w:val="es-ES_tradnl"/>
        </w:rPr>
        <w:t>dejan a salvo los derechos del particular a efecto de que, de considerarlo oportuno, realice nuevas solicitud</w:t>
      </w:r>
      <w:r w:rsidRPr="00767393">
        <w:rPr>
          <w:rFonts w:ascii="Palatino Linotype" w:eastAsiaTheme="minorEastAsia" w:hAnsi="Palatino Linotype" w:cstheme="minorBidi"/>
          <w:lang w:val="es-ES_tradnl"/>
        </w:rPr>
        <w:t>es de información dirigidas al Ayuntamiento de Calimaya</w:t>
      </w:r>
      <w:r w:rsidR="00D26B4B" w:rsidRPr="00767393">
        <w:rPr>
          <w:rFonts w:ascii="Palatino Linotype" w:eastAsiaTheme="minorEastAsia" w:hAnsi="Palatino Linotype" w:cstheme="minorBidi"/>
          <w:lang w:val="es-ES_tradnl"/>
        </w:rPr>
        <w:t>.</w:t>
      </w:r>
    </w:p>
    <w:p w14:paraId="748189E4" w14:textId="77777777" w:rsidR="00D26B4B" w:rsidRPr="00767393" w:rsidRDefault="00D26B4B" w:rsidP="00ED47C0">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893D7E8" w14:textId="672A1E44" w:rsidR="00D26B4B" w:rsidRPr="00767393" w:rsidRDefault="00D26B4B" w:rsidP="00ED47C0">
      <w:pPr>
        <w:numPr>
          <w:ilvl w:val="0"/>
          <w:numId w:val="3"/>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767393">
        <w:rPr>
          <w:rFonts w:ascii="Palatino Linotype" w:eastAsiaTheme="minorEastAsia" w:hAnsi="Palatino Linotype" w:cstheme="minorBidi"/>
          <w:color w:val="000000" w:themeColor="text1"/>
          <w:lang w:val="es-ES_tradnl"/>
        </w:rPr>
        <w:t xml:space="preserve">Asimismo, </w:t>
      </w:r>
      <w:r w:rsidRPr="00767393">
        <w:rPr>
          <w:rFonts w:ascii="Palatino Linotype" w:eastAsiaTheme="minorEastAsia" w:hAnsi="Palatino Linotype" w:cstheme="minorBidi"/>
          <w:lang w:val="es-ES_tradnl"/>
        </w:rPr>
        <w:t xml:space="preserve">toda vez que el </w:t>
      </w:r>
      <w:r w:rsidRPr="00767393">
        <w:rPr>
          <w:rFonts w:ascii="Palatino Linotype" w:eastAsiaTheme="minorEastAsia" w:hAnsi="Palatino Linotype" w:cstheme="minorBidi"/>
          <w:b/>
          <w:lang w:val="es-ES_tradnl"/>
        </w:rPr>
        <w:t>SUJETO OLIGADO</w:t>
      </w:r>
      <w:r w:rsidRPr="00767393">
        <w:rPr>
          <w:rFonts w:ascii="Palatino Linotype" w:eastAsiaTheme="minorEastAsia" w:hAnsi="Palatino Linotype" w:cstheme="minorBidi"/>
          <w:lang w:val="es-ES_tradnl"/>
        </w:rPr>
        <w:t xml:space="preserve"> no refirió la</w:t>
      </w:r>
      <w:r w:rsidR="00116199" w:rsidRPr="00767393">
        <w:rPr>
          <w:rFonts w:ascii="Palatino Linotype" w:eastAsiaTheme="minorEastAsia" w:hAnsi="Palatino Linotype" w:cstheme="minorBidi"/>
          <w:lang w:val="es-ES_tradnl"/>
        </w:rPr>
        <w:t xml:space="preserve"> notoria</w:t>
      </w:r>
      <w:r w:rsidRPr="00767393">
        <w:rPr>
          <w:rFonts w:ascii="Palatino Linotype" w:eastAsiaTheme="minorEastAsia" w:hAnsi="Palatino Linotype" w:cstheme="minorBidi"/>
          <w:lang w:val="es-ES_tradnl"/>
        </w:rPr>
        <w:t xml:space="preserve"> incompetencia al en su momento procesal oportuno,</w:t>
      </w:r>
      <w:r w:rsidR="00116199" w:rsidRPr="00767393">
        <w:rPr>
          <w:rFonts w:ascii="Palatino Linotype" w:eastAsiaTheme="minorEastAsia" w:hAnsi="Palatino Linotype" w:cstheme="minorBidi"/>
          <w:lang w:val="es-ES_tradnl"/>
        </w:rPr>
        <w:t xml:space="preserve"> de forma fundada y </w:t>
      </w:r>
      <w:r w:rsidR="00ED47C0" w:rsidRPr="00767393">
        <w:rPr>
          <w:rFonts w:ascii="Palatino Linotype" w:eastAsiaTheme="minorEastAsia" w:hAnsi="Palatino Linotype" w:cstheme="minorBidi"/>
          <w:lang w:val="es-ES_tradnl"/>
        </w:rPr>
        <w:t>motivada, deberá</w:t>
      </w:r>
      <w:r w:rsidRPr="00767393">
        <w:rPr>
          <w:rFonts w:ascii="Palatino Linotype" w:eastAsiaTheme="minorEastAsia" w:hAnsi="Palatino Linotype" w:cstheme="minorBidi"/>
          <w:lang w:val="es-ES_tradnl"/>
        </w:rPr>
        <w:t xml:space="preserve"> entregar al </w:t>
      </w:r>
      <w:r w:rsidRPr="00767393">
        <w:rPr>
          <w:rFonts w:ascii="Palatino Linotype" w:eastAsiaTheme="minorEastAsia" w:hAnsi="Palatino Linotype" w:cstheme="minorBidi"/>
          <w:b/>
          <w:lang w:val="es-ES_tradnl"/>
        </w:rPr>
        <w:t>RECURRENTE</w:t>
      </w:r>
      <w:r w:rsidRPr="00767393">
        <w:rPr>
          <w:rFonts w:ascii="Palatino Linotype" w:eastAsiaTheme="minorEastAsia" w:hAnsi="Palatino Linotype" w:cstheme="minorBidi"/>
          <w:lang w:val="es-ES_tradnl"/>
        </w:rPr>
        <w:t xml:space="preserve"> </w:t>
      </w:r>
      <w:r w:rsidRPr="00767393">
        <w:rPr>
          <w:rFonts w:ascii="Palatino Linotype" w:eastAsiaTheme="minorEastAsia" w:hAnsi="Palatino Linotype" w:cstheme="minorBidi"/>
          <w:color w:val="000000" w:themeColor="text1"/>
          <w:lang w:val="es-ES_tradnl"/>
        </w:rPr>
        <w:t xml:space="preserve">el Acuerdo de Incompetencia respectivo, en el </w:t>
      </w:r>
      <w:r w:rsidRPr="00767393">
        <w:rPr>
          <w:rFonts w:ascii="Palatino Linotype" w:eastAsiaTheme="minorEastAsia" w:hAnsi="Palatino Linotype" w:cstheme="minorBidi"/>
          <w:color w:val="000000" w:themeColor="text1"/>
          <w:lang w:val="es-ES_tradnl"/>
        </w:rPr>
        <w:lastRenderedPageBreak/>
        <w:t>que funde y motive las razones por las que no genera, posee ni administra la información solicitada.</w:t>
      </w:r>
    </w:p>
    <w:p w14:paraId="4ACE9E4C" w14:textId="77777777" w:rsidR="00D26B4B" w:rsidRPr="00767393" w:rsidRDefault="00D26B4B" w:rsidP="00ED47C0">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739B9A3B" w14:textId="11C73889" w:rsidR="00D26B4B" w:rsidRPr="00767393" w:rsidRDefault="00D26B4B" w:rsidP="00ED47C0">
      <w:pPr>
        <w:numPr>
          <w:ilvl w:val="0"/>
          <w:numId w:val="3"/>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767393">
        <w:rPr>
          <w:rFonts w:ascii="Palatino Linotype" w:eastAsiaTheme="minorEastAsia" w:hAnsi="Palatino Linotype" w:cstheme="minorBidi"/>
          <w:color w:val="000000" w:themeColor="text1"/>
          <w:lang w:val="es-ES_tradnl"/>
        </w:rPr>
        <w:t xml:space="preserve">La </w:t>
      </w:r>
      <w:r w:rsidRPr="00767393">
        <w:rPr>
          <w:rFonts w:ascii="Palatino Linotype" w:eastAsiaTheme="minorEastAsia" w:hAnsi="Palatino Linotype" w:cstheme="minorBidi"/>
          <w:lang w:val="es-ES_tradnl"/>
        </w:rPr>
        <w:t xml:space="preserve">emisión del Acuerdo de Incompetencia </w:t>
      </w:r>
      <w:r w:rsidRPr="00767393">
        <w:rPr>
          <w:rFonts w:ascii="Palatino Linotype" w:eastAsia="MS Mincho" w:hAnsi="Palatino Linotype" w:cs="Arial"/>
          <w:lang w:val="es-ES_tradnl"/>
        </w:rPr>
        <w:t>pertinente deberá realizar</w:t>
      </w:r>
      <w:r w:rsidR="00116199" w:rsidRPr="00767393">
        <w:rPr>
          <w:rFonts w:ascii="Palatino Linotype" w:eastAsia="MS Mincho" w:hAnsi="Palatino Linotype" w:cs="Arial"/>
          <w:lang w:val="es-ES_tradnl"/>
        </w:rPr>
        <w:t>se de manera fundada y motivada, mis</w:t>
      </w:r>
      <w:r w:rsidR="00F921F7" w:rsidRPr="00767393">
        <w:rPr>
          <w:rFonts w:ascii="Palatino Linotype" w:eastAsia="MS Mincho" w:hAnsi="Palatino Linotype" w:cs="Arial"/>
          <w:lang w:val="es-ES_tradnl"/>
        </w:rPr>
        <w:t>m</w:t>
      </w:r>
      <w:r w:rsidR="00116199" w:rsidRPr="00767393">
        <w:rPr>
          <w:rFonts w:ascii="Palatino Linotype" w:eastAsia="MS Mincho" w:hAnsi="Palatino Linotype" w:cs="Arial"/>
          <w:lang w:val="es-ES_tradnl"/>
        </w:rPr>
        <w:t>o que deberá de sustentar</w:t>
      </w:r>
      <w:r w:rsidRPr="00767393">
        <w:rPr>
          <w:rFonts w:ascii="Palatino Linotype" w:eastAsia="MS Mincho" w:hAnsi="Palatino Linotype" w:cs="Arial"/>
          <w:lang w:val="es-ES_tradnl"/>
        </w:rPr>
        <w:t xml:space="preserve"> las razones por las cuales </w:t>
      </w:r>
      <w:r w:rsidR="00116199" w:rsidRPr="00767393">
        <w:rPr>
          <w:rFonts w:ascii="Palatino Linotype" w:eastAsia="MS Mincho" w:hAnsi="Palatino Linotype" w:cs="Arial"/>
          <w:lang w:val="es-ES_tradnl"/>
        </w:rPr>
        <w:t xml:space="preserve"> la información solicitada </w:t>
      </w:r>
      <w:r w:rsidRPr="00767393">
        <w:rPr>
          <w:rFonts w:ascii="Palatino Linotype" w:eastAsia="MS Mincho" w:hAnsi="Palatino Linotype" w:cs="Arial"/>
          <w:lang w:val="es-ES_tradnl"/>
        </w:rPr>
        <w:t xml:space="preserve">no es generada, poseída o administrada por el </w:t>
      </w:r>
      <w:r w:rsidRPr="00767393">
        <w:rPr>
          <w:rFonts w:ascii="Palatino Linotype" w:eastAsia="MS Mincho" w:hAnsi="Palatino Linotype" w:cs="Arial"/>
          <w:b/>
          <w:bCs/>
          <w:lang w:val="es-ES_tradnl"/>
        </w:rPr>
        <w:t>SUJETO OBLIGADO</w:t>
      </w:r>
      <w:r w:rsidRPr="00767393">
        <w:rPr>
          <w:rFonts w:ascii="Palatino Linotype" w:eastAsia="MS Mincho" w:hAnsi="Palatino Linotype" w:cs="Arial"/>
          <w:lang w:val="es-ES_tradnl"/>
        </w:rPr>
        <w:t>, lo cual es una facultad que le corresponde al Comité de Transparencia conforme a los artículos 47 y 49, fracción II, de la Ley de Transparencia y Acceso a la Información Pública del Estado de México y Municipios, que al efecto establecen:</w:t>
      </w:r>
    </w:p>
    <w:p w14:paraId="3378B45B" w14:textId="77777777" w:rsidR="00D26B4B" w:rsidRPr="00767393" w:rsidRDefault="00D26B4B" w:rsidP="00ED47C0">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ES_tradnl"/>
        </w:rPr>
      </w:pPr>
    </w:p>
    <w:p w14:paraId="38ABE8B1" w14:textId="77777777" w:rsidR="00D26B4B" w:rsidRPr="00767393" w:rsidRDefault="00D26B4B" w:rsidP="00ED47C0">
      <w:pPr>
        <w:spacing w:line="360" w:lineRule="auto"/>
        <w:ind w:left="567" w:right="567"/>
        <w:contextualSpacing/>
        <w:jc w:val="both"/>
        <w:rPr>
          <w:rFonts w:ascii="Palatino Linotype" w:eastAsia="MS Mincho" w:hAnsi="Palatino Linotype"/>
          <w:i/>
          <w:lang w:val="es-ES_tradnl"/>
        </w:rPr>
      </w:pPr>
      <w:r w:rsidRPr="00767393">
        <w:rPr>
          <w:rFonts w:ascii="Palatino Linotype" w:eastAsia="MS Mincho" w:hAnsi="Palatino Linotype" w:cstheme="minorBidi"/>
          <w:i/>
          <w:lang w:val="es-ES_tradnl"/>
        </w:rPr>
        <w:t>“</w:t>
      </w:r>
      <w:r w:rsidRPr="00767393">
        <w:rPr>
          <w:rFonts w:ascii="Palatino Linotype" w:eastAsia="MS Mincho" w:hAnsi="Palatino Linotype" w:cstheme="minorBidi"/>
          <w:b/>
          <w:i/>
          <w:lang w:val="es-ES_tradnl"/>
        </w:rPr>
        <w:t>Artículo 47.</w:t>
      </w:r>
      <w:r w:rsidRPr="00767393">
        <w:rPr>
          <w:rFonts w:ascii="Palatino Linotype" w:eastAsia="MS Mincho" w:hAnsi="Palatino Linotype" w:cstheme="minorBidi"/>
          <w:i/>
          <w:lang w:val="es-ES_tradnl"/>
        </w:rPr>
        <w:t xml:space="preserve"> </w:t>
      </w:r>
      <w:r w:rsidRPr="00767393">
        <w:rPr>
          <w:rFonts w:ascii="Palatino Linotype" w:eastAsia="MS Mincho" w:hAnsi="Palatino Linotype" w:cstheme="minorBidi"/>
          <w:b/>
          <w:bCs/>
          <w:i/>
          <w:lang w:val="es-ES_tradnl"/>
        </w:rPr>
        <w:t>El Comité de Transparencia será la autoridad máxima al interior del sujeto obligado en materia del derecho de acceso a la información.</w:t>
      </w:r>
    </w:p>
    <w:p w14:paraId="360A9BC7" w14:textId="77777777" w:rsidR="00D26B4B" w:rsidRPr="00767393" w:rsidRDefault="00D26B4B" w:rsidP="00ED47C0">
      <w:pPr>
        <w:spacing w:line="360" w:lineRule="auto"/>
        <w:ind w:left="567" w:right="567"/>
        <w:contextualSpacing/>
        <w:jc w:val="both"/>
        <w:rPr>
          <w:rFonts w:ascii="Palatino Linotype" w:eastAsia="MS Mincho" w:hAnsi="Palatino Linotype" w:cstheme="minorBidi"/>
          <w:i/>
          <w:lang w:val="es-ES_tradnl"/>
        </w:rPr>
      </w:pPr>
      <w:r w:rsidRPr="00767393">
        <w:rPr>
          <w:rFonts w:ascii="Palatino Linotype" w:eastAsia="MS Mincho" w:hAnsi="Palatino Linotype" w:cstheme="minorBidi"/>
          <w:i/>
          <w:lang w:val="es-ES_tradnl"/>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5006F417" w14:textId="77777777" w:rsidR="00D26B4B" w:rsidRPr="00767393" w:rsidRDefault="00D26B4B" w:rsidP="00ED47C0">
      <w:pPr>
        <w:spacing w:line="360" w:lineRule="auto"/>
        <w:ind w:left="567" w:right="567"/>
        <w:contextualSpacing/>
        <w:jc w:val="both"/>
        <w:rPr>
          <w:rFonts w:ascii="Palatino Linotype" w:eastAsia="MS Mincho" w:hAnsi="Palatino Linotype" w:cstheme="minorBidi"/>
          <w:i/>
          <w:lang w:val="es-ES_tradnl"/>
        </w:rPr>
      </w:pPr>
      <w:r w:rsidRPr="00767393">
        <w:rPr>
          <w:rFonts w:ascii="Palatino Linotype" w:eastAsia="MS Mincho" w:hAnsi="Palatino Linotype" w:cstheme="minorBidi"/>
          <w:i/>
          <w:lang w:val="es-ES_tradnl"/>
        </w:rPr>
        <w:t>El Comité se reunirá en sesión ordinaria o extraordinaria las veces que estime necesario. El tipo de sesión se precisará en la convocatoria emitida.</w:t>
      </w:r>
    </w:p>
    <w:p w14:paraId="35CEE52E" w14:textId="77777777" w:rsidR="00D26B4B" w:rsidRPr="00767393" w:rsidRDefault="00D26B4B" w:rsidP="00ED47C0">
      <w:pPr>
        <w:spacing w:line="360" w:lineRule="auto"/>
        <w:ind w:left="567" w:right="567"/>
        <w:contextualSpacing/>
        <w:jc w:val="both"/>
        <w:rPr>
          <w:rFonts w:ascii="Palatino Linotype" w:eastAsia="MS Mincho" w:hAnsi="Palatino Linotype" w:cstheme="minorBidi"/>
          <w:i/>
          <w:lang w:val="es-ES_tradnl"/>
        </w:rPr>
      </w:pPr>
      <w:r w:rsidRPr="00767393">
        <w:rPr>
          <w:rFonts w:ascii="Palatino Linotype" w:eastAsia="MS Mincho" w:hAnsi="Palatino Linotype" w:cstheme="minorBidi"/>
          <w:i/>
          <w:lang w:val="es-ES_tradnl"/>
        </w:rPr>
        <w:t>Los integrantes del Comité de Transparencia tendrán acceso a la información para determinar su clasificación, conforme a la normatividad aplicable previamente establecida por los sujetos obligados para el resguardo o salvaguarda de la información.</w:t>
      </w:r>
    </w:p>
    <w:p w14:paraId="5D3AF2D8" w14:textId="77777777" w:rsidR="00D26B4B" w:rsidRPr="00767393" w:rsidRDefault="00D26B4B" w:rsidP="00ED47C0">
      <w:pPr>
        <w:spacing w:line="360" w:lineRule="auto"/>
        <w:ind w:left="567" w:right="567"/>
        <w:contextualSpacing/>
        <w:jc w:val="both"/>
        <w:rPr>
          <w:rFonts w:ascii="Palatino Linotype" w:eastAsia="MS Mincho" w:hAnsi="Palatino Linotype" w:cstheme="minorBidi"/>
          <w:i/>
          <w:lang w:val="es-ES_tradnl"/>
        </w:rPr>
      </w:pPr>
      <w:r w:rsidRPr="00767393">
        <w:rPr>
          <w:rFonts w:ascii="Palatino Linotype" w:eastAsia="MS Mincho" w:hAnsi="Palatino Linotype" w:cstheme="minorBidi"/>
          <w:i/>
          <w:lang w:val="es-ES_tradnl"/>
        </w:rPr>
        <w:lastRenderedPageBreak/>
        <w:t>En las sesiones y trabajos del Comité, podrán participar como invitados permanentes, los representantes de las áreas que decida el Comité, y contará con derecho de voz, pero no voto.</w:t>
      </w:r>
    </w:p>
    <w:p w14:paraId="39834034" w14:textId="77777777" w:rsidR="00D26B4B" w:rsidRPr="00767393" w:rsidRDefault="00D26B4B" w:rsidP="00ED47C0">
      <w:pPr>
        <w:spacing w:line="360" w:lineRule="auto"/>
        <w:ind w:left="567" w:right="567"/>
        <w:jc w:val="both"/>
        <w:rPr>
          <w:rFonts w:ascii="Palatino Linotype" w:eastAsiaTheme="minorEastAsia" w:hAnsi="Palatino Linotype" w:cstheme="minorBidi"/>
          <w:i/>
          <w:lang w:val="es-ES_tradnl"/>
        </w:rPr>
      </w:pPr>
      <w:r w:rsidRPr="00767393">
        <w:rPr>
          <w:rFonts w:ascii="Palatino Linotype" w:eastAsia="MS Mincho" w:hAnsi="Palatino Linotype" w:cstheme="minorBidi"/>
          <w:i/>
          <w:lang w:val="es-ES_tradnl"/>
        </w:rPr>
        <w:t>Los titulares de las unidades administrativas que propongan la reserva, confidencialidad o declaren la inexistencia de información, acudirán a las sesiones de dicho Comité donde se discuta la propuesta correspondiente.”</w:t>
      </w:r>
    </w:p>
    <w:p w14:paraId="7B42EEC4" w14:textId="77777777" w:rsidR="00D26B4B" w:rsidRPr="00767393" w:rsidRDefault="00D26B4B" w:rsidP="00ED47C0">
      <w:pPr>
        <w:spacing w:line="360" w:lineRule="auto"/>
        <w:ind w:left="567" w:right="567"/>
        <w:jc w:val="both"/>
        <w:rPr>
          <w:rFonts w:ascii="Palatino Linotype" w:eastAsiaTheme="minorEastAsia" w:hAnsi="Palatino Linotype" w:cstheme="minorBidi"/>
          <w:i/>
          <w:lang w:val="es-ES_tradnl"/>
        </w:rPr>
      </w:pPr>
    </w:p>
    <w:p w14:paraId="51CEDA46" w14:textId="12E38E27" w:rsidR="00D26B4B" w:rsidRPr="00767393" w:rsidRDefault="00D26B4B" w:rsidP="00ED47C0">
      <w:pPr>
        <w:spacing w:line="360" w:lineRule="auto"/>
        <w:ind w:left="567" w:right="567"/>
        <w:jc w:val="both"/>
        <w:rPr>
          <w:rFonts w:ascii="Palatino Linotype" w:eastAsiaTheme="minorEastAsia" w:hAnsi="Palatino Linotype" w:cstheme="minorBidi"/>
          <w:i/>
          <w:lang w:val="es-ES_tradnl"/>
        </w:rPr>
      </w:pPr>
      <w:r w:rsidRPr="00767393">
        <w:rPr>
          <w:rFonts w:ascii="Palatino Linotype" w:eastAsiaTheme="minorEastAsia" w:hAnsi="Palatino Linotype" w:cstheme="minorBidi"/>
          <w:i/>
          <w:lang w:val="es-ES_tradnl"/>
        </w:rPr>
        <w:t>“</w:t>
      </w:r>
      <w:r w:rsidRPr="00767393">
        <w:rPr>
          <w:rFonts w:ascii="Palatino Linotype" w:eastAsiaTheme="minorEastAsia" w:hAnsi="Palatino Linotype" w:cstheme="minorBidi"/>
          <w:b/>
          <w:i/>
          <w:lang w:val="es-ES_tradnl"/>
        </w:rPr>
        <w:t>Artículo 49.</w:t>
      </w:r>
      <w:r w:rsidRPr="00767393">
        <w:rPr>
          <w:rFonts w:ascii="Palatino Linotype" w:eastAsiaTheme="minorEastAsia" w:hAnsi="Palatino Linotype" w:cstheme="minorBidi"/>
          <w:i/>
          <w:lang w:val="es-ES_tradnl"/>
        </w:rPr>
        <w:t xml:space="preserve"> Los Comités de Transparencia tendrán las siguientes atribuciones: </w:t>
      </w:r>
    </w:p>
    <w:p w14:paraId="3E2CB47E" w14:textId="77777777" w:rsidR="00116199" w:rsidRPr="00767393" w:rsidRDefault="00116199" w:rsidP="00ED47C0">
      <w:pPr>
        <w:spacing w:line="360" w:lineRule="auto"/>
        <w:ind w:left="567" w:right="567"/>
        <w:jc w:val="both"/>
        <w:rPr>
          <w:rFonts w:ascii="Palatino Linotype" w:eastAsiaTheme="minorEastAsia" w:hAnsi="Palatino Linotype" w:cstheme="minorBidi"/>
          <w:i/>
          <w:lang w:val="es-ES_tradnl"/>
        </w:rPr>
      </w:pPr>
    </w:p>
    <w:p w14:paraId="0798A00D" w14:textId="77777777" w:rsidR="00D26B4B" w:rsidRPr="00767393" w:rsidRDefault="00D26B4B" w:rsidP="00ED47C0">
      <w:pPr>
        <w:spacing w:line="360" w:lineRule="auto"/>
        <w:ind w:left="567" w:right="567"/>
        <w:jc w:val="both"/>
        <w:rPr>
          <w:rFonts w:ascii="Palatino Linotype" w:eastAsiaTheme="minorEastAsia" w:hAnsi="Palatino Linotype" w:cstheme="minorBidi"/>
          <w:i/>
          <w:lang w:val="es-ES_tradnl"/>
        </w:rPr>
      </w:pPr>
      <w:r w:rsidRPr="00767393">
        <w:rPr>
          <w:rFonts w:ascii="Palatino Linotype" w:eastAsiaTheme="minorEastAsia" w:hAnsi="Palatino Linotype" w:cstheme="minorBidi"/>
          <w:i/>
          <w:lang w:val="es-ES_tradnl"/>
        </w:rPr>
        <w:t xml:space="preserve">II. </w:t>
      </w:r>
      <w:r w:rsidRPr="00767393">
        <w:rPr>
          <w:rFonts w:ascii="Palatino Linotype" w:eastAsiaTheme="minorEastAsia" w:hAnsi="Palatino Linotype" w:cstheme="minorBidi"/>
          <w:b/>
          <w:i/>
          <w:lang w:val="es-ES_tradnl"/>
        </w:rPr>
        <w:t>Confirmar, modificar o revocar las determinaciones que en materia de</w:t>
      </w:r>
      <w:r w:rsidRPr="00767393">
        <w:rPr>
          <w:rFonts w:ascii="Palatino Linotype" w:eastAsiaTheme="minorEastAsia" w:hAnsi="Palatino Linotype" w:cstheme="minorBidi"/>
          <w:i/>
          <w:lang w:val="es-ES_tradnl"/>
        </w:rPr>
        <w:t xml:space="preserve"> ampliación del plazo de respuesta, clasificación de la información y declaración de inexistencia o de </w:t>
      </w:r>
      <w:r w:rsidRPr="00767393">
        <w:rPr>
          <w:rFonts w:ascii="Palatino Linotype" w:eastAsiaTheme="minorEastAsia" w:hAnsi="Palatino Linotype" w:cstheme="minorBidi"/>
          <w:b/>
          <w:i/>
          <w:lang w:val="es-ES_tradnl"/>
        </w:rPr>
        <w:t>incompetencia realicen los titulares de las áreas de los sujetos obligados;</w:t>
      </w:r>
    </w:p>
    <w:p w14:paraId="0540C66D" w14:textId="77777777" w:rsidR="00D26B4B" w:rsidRPr="00767393" w:rsidRDefault="00D26B4B" w:rsidP="00ED47C0">
      <w:pPr>
        <w:spacing w:line="360" w:lineRule="auto"/>
        <w:ind w:left="567" w:right="567"/>
        <w:jc w:val="both"/>
        <w:rPr>
          <w:rFonts w:ascii="Palatino Linotype" w:eastAsiaTheme="minorEastAsia" w:hAnsi="Palatino Linotype" w:cstheme="minorBidi"/>
          <w:i/>
          <w:lang w:val="es-ES_tradnl"/>
        </w:rPr>
      </w:pPr>
      <w:r w:rsidRPr="00767393">
        <w:rPr>
          <w:rFonts w:ascii="Palatino Linotype" w:eastAsiaTheme="minorEastAsia" w:hAnsi="Palatino Linotype" w:cstheme="minorBidi"/>
          <w:i/>
          <w:lang w:val="es-ES_tradnl"/>
        </w:rPr>
        <w:t>(…)”</w:t>
      </w:r>
    </w:p>
    <w:p w14:paraId="210903D0" w14:textId="77777777" w:rsidR="00D26B4B" w:rsidRPr="00767393" w:rsidRDefault="00D26B4B" w:rsidP="00ED47C0">
      <w:pPr>
        <w:spacing w:line="360" w:lineRule="auto"/>
        <w:ind w:left="567" w:right="567"/>
        <w:jc w:val="both"/>
        <w:rPr>
          <w:rFonts w:ascii="Palatino Linotype" w:eastAsiaTheme="minorEastAsia" w:hAnsi="Palatino Linotype" w:cstheme="minorBidi"/>
          <w:color w:val="000000" w:themeColor="text1"/>
          <w:lang w:val="es-ES_tradnl"/>
        </w:rPr>
      </w:pPr>
      <w:r w:rsidRPr="00767393">
        <w:rPr>
          <w:rFonts w:ascii="Palatino Linotype" w:eastAsiaTheme="minorEastAsia" w:hAnsi="Palatino Linotype" w:cstheme="minorBidi"/>
          <w:lang w:val="es-ES_tradnl"/>
        </w:rPr>
        <w:t>(Énfasis añadido)</w:t>
      </w:r>
    </w:p>
    <w:p w14:paraId="71E40F96" w14:textId="77777777" w:rsidR="00D26B4B" w:rsidRPr="00767393" w:rsidRDefault="00D26B4B" w:rsidP="00ED47C0">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6B67B82" w14:textId="73A8A44C" w:rsidR="00116199" w:rsidRPr="00767393" w:rsidRDefault="00D26B4B" w:rsidP="00ED47C0">
      <w:pPr>
        <w:numPr>
          <w:ilvl w:val="0"/>
          <w:numId w:val="3"/>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767393">
        <w:rPr>
          <w:rFonts w:ascii="Palatino Linotype" w:eastAsiaTheme="minorEastAsia" w:hAnsi="Palatino Linotype" w:cstheme="minorBidi"/>
          <w:color w:val="000000" w:themeColor="text1"/>
          <w:lang w:val="es-ES_tradnl"/>
        </w:rPr>
        <w:t xml:space="preserve">En </w:t>
      </w:r>
      <w:r w:rsidRPr="00767393">
        <w:rPr>
          <w:rFonts w:ascii="Palatino Linotype" w:eastAsiaTheme="minorEastAsia" w:hAnsi="Palatino Linotype" w:cs="Arial"/>
          <w:lang w:val="es-ES_tradnl"/>
        </w:rPr>
        <w:t xml:space="preserve">ese sentido, el Acuerdo deberá señalar las razones por las que el </w:t>
      </w:r>
      <w:r w:rsidRPr="00767393">
        <w:rPr>
          <w:rFonts w:ascii="Palatino Linotype" w:eastAsiaTheme="minorEastAsia" w:hAnsi="Palatino Linotype" w:cs="Arial"/>
          <w:b/>
          <w:bCs/>
          <w:lang w:val="es-ES_tradnl"/>
        </w:rPr>
        <w:t>SUJETO OBLIGADO</w:t>
      </w:r>
      <w:r w:rsidRPr="00767393">
        <w:rPr>
          <w:rFonts w:ascii="Palatino Linotype" w:eastAsiaTheme="minorEastAsia" w:hAnsi="Palatino Linotype" w:cs="Arial"/>
          <w:lang w:val="es-ES_tradnl"/>
        </w:rPr>
        <w:t xml:space="preserve"> no genera, posee o admin</w:t>
      </w:r>
      <w:r w:rsidR="00116199" w:rsidRPr="00767393">
        <w:rPr>
          <w:rFonts w:ascii="Palatino Linotype" w:eastAsiaTheme="minorEastAsia" w:hAnsi="Palatino Linotype" w:cs="Arial"/>
          <w:lang w:val="es-ES_tradnl"/>
        </w:rPr>
        <w:t>istra la información solicitada.</w:t>
      </w:r>
      <w:r w:rsidRPr="00767393">
        <w:rPr>
          <w:rFonts w:ascii="Palatino Linotype" w:eastAsiaTheme="minorEastAsia" w:hAnsi="Palatino Linotype" w:cstheme="minorBidi"/>
          <w:color w:val="000000" w:themeColor="text1"/>
        </w:rPr>
        <w:t xml:space="preserve"> </w:t>
      </w:r>
    </w:p>
    <w:p w14:paraId="3E4FEB7C" w14:textId="7A990C7E" w:rsidR="00116199" w:rsidRPr="00767393" w:rsidRDefault="00116199" w:rsidP="00ED47C0">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6839595" w14:textId="22412C63" w:rsidR="00EA0165" w:rsidRPr="00767393" w:rsidRDefault="0098294D" w:rsidP="00ED47C0">
      <w:pPr>
        <w:pStyle w:val="Ttulo1"/>
        <w:spacing w:line="360" w:lineRule="auto"/>
        <w:rPr>
          <w:rFonts w:ascii="Palatino Linotype" w:eastAsia="MS Mincho" w:hAnsi="Palatino Linotype"/>
          <w:b/>
          <w:color w:val="000000"/>
          <w:sz w:val="24"/>
          <w:szCs w:val="24"/>
          <w:lang w:val="es-ES_tradnl"/>
        </w:rPr>
      </w:pPr>
      <w:bookmarkStart w:id="58" w:name="_Toc34310247"/>
      <w:bookmarkStart w:id="59" w:name="_Toc34849558"/>
      <w:bookmarkStart w:id="60" w:name="_Toc53659481"/>
      <w:bookmarkStart w:id="61" w:name="_Toc67598514"/>
      <w:bookmarkStart w:id="62" w:name="_Toc69999203"/>
      <w:bookmarkStart w:id="63" w:name="_Toc73033012"/>
      <w:bookmarkStart w:id="64" w:name="_Toc104490260"/>
      <w:bookmarkStart w:id="65" w:name="_Toc466371865"/>
      <w:bookmarkStart w:id="66" w:name="_Toc466377653"/>
      <w:bookmarkEnd w:id="51"/>
      <w:bookmarkEnd w:id="52"/>
      <w:bookmarkEnd w:id="53"/>
      <w:bookmarkEnd w:id="54"/>
      <w:bookmarkEnd w:id="55"/>
      <w:r w:rsidRPr="00767393">
        <w:rPr>
          <w:rFonts w:ascii="Palatino Linotype" w:eastAsia="MS Gothic" w:hAnsi="Palatino Linotype"/>
          <w:b/>
          <w:color w:val="auto"/>
          <w:sz w:val="24"/>
          <w:szCs w:val="24"/>
          <w:lang w:val="es-ES_tradnl" w:eastAsia="es-ES_tradnl"/>
        </w:rPr>
        <w:t>QUINTO</w:t>
      </w:r>
      <w:r w:rsidR="00A52589" w:rsidRPr="00767393">
        <w:rPr>
          <w:rFonts w:ascii="Palatino Linotype" w:eastAsia="MS Gothic" w:hAnsi="Palatino Linotype"/>
          <w:b/>
          <w:color w:val="auto"/>
          <w:sz w:val="24"/>
          <w:szCs w:val="24"/>
          <w:lang w:val="es-ES_tradnl" w:eastAsia="es-ES_tradnl"/>
        </w:rPr>
        <w:t>.</w:t>
      </w:r>
      <w:r w:rsidR="008F1049" w:rsidRPr="00767393">
        <w:rPr>
          <w:rFonts w:ascii="Palatino Linotype" w:eastAsia="MS Gothic" w:hAnsi="Palatino Linotype"/>
          <w:b/>
          <w:color w:val="auto"/>
          <w:sz w:val="24"/>
          <w:szCs w:val="24"/>
          <w:lang w:val="es-ES_tradnl" w:eastAsia="es-ES_tradnl"/>
        </w:rPr>
        <w:t xml:space="preserve"> </w:t>
      </w:r>
      <w:bookmarkStart w:id="67" w:name="_Toc67588008"/>
      <w:bookmarkStart w:id="68" w:name="_Toc68804770"/>
      <w:bookmarkEnd w:id="58"/>
      <w:bookmarkEnd w:id="59"/>
      <w:bookmarkEnd w:id="60"/>
      <w:bookmarkEnd w:id="61"/>
      <w:bookmarkEnd w:id="62"/>
      <w:bookmarkEnd w:id="63"/>
      <w:r w:rsidR="00EA0165" w:rsidRPr="00767393">
        <w:rPr>
          <w:rFonts w:ascii="Palatino Linotype" w:eastAsia="MS Mincho" w:hAnsi="Palatino Linotype"/>
          <w:b/>
          <w:color w:val="000000"/>
          <w:sz w:val="24"/>
          <w:szCs w:val="24"/>
          <w:lang w:val="es-ES_tradnl"/>
        </w:rPr>
        <w:t>De la decisión.</w:t>
      </w:r>
      <w:bookmarkEnd w:id="64"/>
      <w:bookmarkEnd w:id="67"/>
      <w:bookmarkEnd w:id="68"/>
      <w:r w:rsidR="00EA0165" w:rsidRPr="00767393">
        <w:rPr>
          <w:rFonts w:ascii="Palatino Linotype" w:eastAsia="MS Mincho" w:hAnsi="Palatino Linotype"/>
          <w:b/>
          <w:color w:val="000000"/>
          <w:sz w:val="24"/>
          <w:szCs w:val="24"/>
          <w:lang w:val="es-ES_tradnl"/>
        </w:rPr>
        <w:t xml:space="preserve"> </w:t>
      </w:r>
    </w:p>
    <w:p w14:paraId="673B635B" w14:textId="15AB935C" w:rsidR="002C1824" w:rsidRPr="00767393" w:rsidRDefault="002C1824" w:rsidP="00ED47C0">
      <w:pPr>
        <w:spacing w:line="360" w:lineRule="auto"/>
        <w:rPr>
          <w:rFonts w:ascii="Palatino Linotype" w:eastAsia="MS Mincho" w:hAnsi="Palatino Linotype"/>
          <w:lang w:val="es-ES_tradnl"/>
        </w:rPr>
      </w:pPr>
    </w:p>
    <w:p w14:paraId="74EA7B37" w14:textId="22D09A24" w:rsidR="000200EF" w:rsidRPr="00767393" w:rsidRDefault="00EA0165" w:rsidP="00ED47C0">
      <w:pPr>
        <w:pStyle w:val="Prrafodelista"/>
        <w:numPr>
          <w:ilvl w:val="0"/>
          <w:numId w:val="3"/>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767393">
        <w:rPr>
          <w:rFonts w:ascii="Palatino Linotype" w:hAnsi="Palatino Linotype" w:cs="Tahoma"/>
          <w:lang w:val="es-MX"/>
        </w:rPr>
        <w:t>Con base en todo lo expuesto, y con fundamento en el artículo 186, fracción II</w:t>
      </w:r>
      <w:r w:rsidR="002F750C" w:rsidRPr="00767393">
        <w:rPr>
          <w:rFonts w:ascii="Palatino Linotype" w:hAnsi="Palatino Linotype" w:cs="Tahoma"/>
          <w:lang w:val="es-MX"/>
        </w:rPr>
        <w:t>I</w:t>
      </w:r>
      <w:r w:rsidRPr="00767393">
        <w:rPr>
          <w:rFonts w:ascii="Palatino Linotype" w:hAnsi="Palatino Linotype" w:cs="Tahoma"/>
          <w:lang w:val="es-MX"/>
        </w:rPr>
        <w:t>, de la Ley de Transparencia y Acceso a la Información Pública del Estado de México y Municipios, este Instituto considera procedente</w:t>
      </w:r>
      <w:r w:rsidRPr="00767393">
        <w:rPr>
          <w:rFonts w:ascii="Palatino Linotype" w:hAnsi="Palatino Linotype" w:cs="Tahoma"/>
          <w:b/>
          <w:lang w:val="es-MX"/>
        </w:rPr>
        <w:t xml:space="preserve"> </w:t>
      </w:r>
      <w:r w:rsidR="00A35074" w:rsidRPr="00767393">
        <w:rPr>
          <w:rFonts w:ascii="Palatino Linotype" w:hAnsi="Palatino Linotype" w:cs="Tahoma"/>
          <w:b/>
          <w:lang w:val="es-MX"/>
        </w:rPr>
        <w:t>MODIFICAR</w:t>
      </w:r>
      <w:r w:rsidR="0081381E" w:rsidRPr="00767393">
        <w:rPr>
          <w:rFonts w:ascii="Palatino Linotype" w:hAnsi="Palatino Linotype" w:cs="Tahoma"/>
          <w:b/>
          <w:lang w:val="es-MX"/>
        </w:rPr>
        <w:t xml:space="preserve"> </w:t>
      </w:r>
      <w:r w:rsidR="0081381E" w:rsidRPr="00767393">
        <w:rPr>
          <w:rFonts w:ascii="Palatino Linotype" w:hAnsi="Palatino Linotype" w:cs="Tahoma"/>
          <w:lang w:val="es-MX"/>
        </w:rPr>
        <w:t xml:space="preserve">la </w:t>
      </w:r>
      <w:r w:rsidR="0081381E" w:rsidRPr="00767393">
        <w:rPr>
          <w:rFonts w:ascii="Palatino Linotype" w:hAnsi="Palatino Linotype" w:cs="Tahoma"/>
          <w:lang w:val="es-MX"/>
        </w:rPr>
        <w:lastRenderedPageBreak/>
        <w:t xml:space="preserve">respuesta otorgada por el </w:t>
      </w:r>
      <w:r w:rsidR="00C5556C" w:rsidRPr="00767393">
        <w:rPr>
          <w:rFonts w:ascii="Palatino Linotype" w:hAnsi="Palatino Linotype" w:cs="Tahoma"/>
          <w:b/>
          <w:bCs/>
        </w:rPr>
        <w:t xml:space="preserve">Ayuntamiento de </w:t>
      </w:r>
      <w:r w:rsidR="00116199" w:rsidRPr="00767393">
        <w:rPr>
          <w:rFonts w:ascii="Palatino Linotype" w:hAnsi="Palatino Linotype" w:cs="Tahoma"/>
          <w:b/>
          <w:bCs/>
        </w:rPr>
        <w:t xml:space="preserve">Chapultepec </w:t>
      </w:r>
      <w:r w:rsidR="00F921F7" w:rsidRPr="00767393">
        <w:rPr>
          <w:rFonts w:ascii="Palatino Linotype" w:hAnsi="Palatino Linotype" w:cs="Tahoma"/>
          <w:b/>
          <w:bCs/>
        </w:rPr>
        <w:t xml:space="preserve"> </w:t>
      </w:r>
      <w:r w:rsidR="00116199" w:rsidRPr="00767393">
        <w:rPr>
          <w:rFonts w:ascii="Palatino Linotype" w:hAnsi="Palatino Linotype" w:cs="Tahoma"/>
          <w:b/>
          <w:bCs/>
        </w:rPr>
        <w:t xml:space="preserve"> </w:t>
      </w:r>
      <w:r w:rsidR="0081381E" w:rsidRPr="00767393">
        <w:rPr>
          <w:rFonts w:ascii="Palatino Linotype" w:eastAsia="MS Mincho" w:hAnsi="Palatino Linotype"/>
          <w:lang w:val="es-ES_tradnl"/>
        </w:rPr>
        <w:t>y ordenar</w:t>
      </w:r>
      <w:r w:rsidR="00B14987" w:rsidRPr="00767393">
        <w:rPr>
          <w:rFonts w:ascii="Palatino Linotype" w:eastAsia="MS Mincho" w:hAnsi="Palatino Linotype"/>
          <w:lang w:val="es-ES_tradnl"/>
        </w:rPr>
        <w:t xml:space="preserve"> </w:t>
      </w:r>
      <w:r w:rsidR="007F4FC6" w:rsidRPr="00767393">
        <w:rPr>
          <w:rFonts w:ascii="Palatino Linotype" w:eastAsia="MS Mincho" w:hAnsi="Palatino Linotype"/>
          <w:lang w:val="es-ES_tradnl"/>
        </w:rPr>
        <w:t xml:space="preserve">la entrega </w:t>
      </w:r>
      <w:r w:rsidR="00116199" w:rsidRPr="00767393">
        <w:rPr>
          <w:rFonts w:ascii="Palatino Linotype" w:eastAsia="MS Mincho" w:hAnsi="Palatino Linotype"/>
          <w:lang w:val="es-ES_tradnl"/>
        </w:rPr>
        <w:t xml:space="preserve">del acuerdo correspondiente. </w:t>
      </w:r>
    </w:p>
    <w:p w14:paraId="011B21BC" w14:textId="4F197426" w:rsidR="002C1824" w:rsidRPr="00767393" w:rsidRDefault="00EA0165" w:rsidP="00ED47C0">
      <w:pPr>
        <w:pStyle w:val="Prrafodelista"/>
        <w:numPr>
          <w:ilvl w:val="0"/>
          <w:numId w:val="3"/>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767393">
        <w:rPr>
          <w:rFonts w:ascii="Palatino Linotype" w:eastAsia="MS Mincho" w:hAnsi="Palatino Linotype"/>
          <w:color w:val="000000"/>
        </w:rPr>
        <w:t xml:space="preserve">Por lo anteriormente expuesto y fundado, este </w:t>
      </w:r>
      <w:r w:rsidRPr="00767393">
        <w:rPr>
          <w:rFonts w:ascii="Palatino Linotype" w:eastAsia="MS Mincho" w:hAnsi="Palatino Linotype"/>
          <w:b/>
          <w:bCs/>
          <w:color w:val="000000"/>
        </w:rPr>
        <w:t>ÓRGANO GARANTE</w:t>
      </w:r>
      <w:r w:rsidRPr="00767393">
        <w:rPr>
          <w:rFonts w:ascii="Palatino Linotype" w:eastAsia="MS Mincho" w:hAnsi="Palatino Linotype"/>
          <w:color w:val="000000"/>
        </w:rPr>
        <w:t xml:space="preserve"> emite los siguientes:</w:t>
      </w:r>
      <w:bookmarkStart w:id="69" w:name="_Toc495427547"/>
      <w:bookmarkStart w:id="70" w:name="_Toc497905366"/>
    </w:p>
    <w:p w14:paraId="7434775D" w14:textId="4C1CEA69" w:rsidR="00985D90" w:rsidRPr="00767393" w:rsidRDefault="00EA0165" w:rsidP="00ED47C0">
      <w:pPr>
        <w:pStyle w:val="Ttulo1"/>
        <w:spacing w:line="360" w:lineRule="auto"/>
        <w:jc w:val="center"/>
        <w:rPr>
          <w:rFonts w:ascii="Palatino Linotype" w:hAnsi="Palatino Linotype"/>
          <w:b/>
          <w:color w:val="000000" w:themeColor="text1"/>
          <w:sz w:val="24"/>
          <w:szCs w:val="24"/>
          <w:lang w:val="es-ES_tradnl"/>
        </w:rPr>
      </w:pPr>
      <w:bookmarkStart w:id="71" w:name="_Toc104490261"/>
      <w:r w:rsidRPr="00767393">
        <w:rPr>
          <w:rFonts w:ascii="Palatino Linotype" w:hAnsi="Palatino Linotype"/>
          <w:b/>
          <w:color w:val="000000" w:themeColor="text1"/>
          <w:sz w:val="24"/>
          <w:szCs w:val="24"/>
          <w:lang w:val="es-ES_tradnl"/>
        </w:rPr>
        <w:t>R E S O L U T I V O S</w:t>
      </w:r>
      <w:bookmarkEnd w:id="65"/>
      <w:bookmarkEnd w:id="66"/>
      <w:bookmarkEnd w:id="69"/>
      <w:bookmarkEnd w:id="70"/>
      <w:bookmarkEnd w:id="71"/>
    </w:p>
    <w:p w14:paraId="265207AE" w14:textId="77777777" w:rsidR="00C44C62" w:rsidRPr="00767393" w:rsidRDefault="00C44C62" w:rsidP="00ED47C0">
      <w:pPr>
        <w:spacing w:line="360" w:lineRule="auto"/>
        <w:rPr>
          <w:rFonts w:ascii="Palatino Linotype" w:eastAsiaTheme="minorEastAsia" w:hAnsi="Palatino Linotype"/>
          <w:lang w:val="es-ES_tradnl"/>
        </w:rPr>
      </w:pPr>
    </w:p>
    <w:p w14:paraId="69D049B8" w14:textId="6B4BBD41" w:rsidR="00F85D73" w:rsidRPr="00767393" w:rsidRDefault="002F750C" w:rsidP="00ED47C0">
      <w:pPr>
        <w:spacing w:line="360" w:lineRule="auto"/>
        <w:jc w:val="both"/>
        <w:rPr>
          <w:rFonts w:ascii="Palatino Linotype" w:hAnsi="Palatino Linotype"/>
          <w:b/>
          <w:bCs/>
          <w:color w:val="FF0000"/>
        </w:rPr>
      </w:pPr>
      <w:r w:rsidRPr="00767393">
        <w:rPr>
          <w:rFonts w:ascii="Palatino Linotype" w:hAnsi="Palatino Linotype" w:cs="Arial"/>
          <w:b/>
          <w:lang w:val="es-ES_tradnl"/>
        </w:rPr>
        <w:t xml:space="preserve">PRIMERO. </w:t>
      </w:r>
      <w:r w:rsidRPr="00767393">
        <w:rPr>
          <w:rFonts w:ascii="Palatino Linotype" w:hAnsi="Palatino Linotype" w:cs="Arial"/>
          <w:lang w:val="es-ES_tradnl"/>
        </w:rPr>
        <w:t>Resultan</w:t>
      </w:r>
      <w:r w:rsidR="00B14987" w:rsidRPr="00767393">
        <w:rPr>
          <w:rFonts w:ascii="Palatino Linotype" w:hAnsi="Palatino Linotype" w:cs="Arial"/>
          <w:lang w:val="es-ES_tradnl"/>
        </w:rPr>
        <w:t xml:space="preserve"> </w:t>
      </w:r>
      <w:r w:rsidR="00ED47C0" w:rsidRPr="00767393">
        <w:rPr>
          <w:rFonts w:ascii="Palatino Linotype" w:hAnsi="Palatino Linotype" w:cs="Arial"/>
          <w:lang w:val="es-ES_tradnl"/>
        </w:rPr>
        <w:t xml:space="preserve">parcialmente </w:t>
      </w:r>
      <w:r w:rsidRPr="00767393">
        <w:rPr>
          <w:rFonts w:ascii="Palatino Linotype" w:hAnsi="Palatino Linotype" w:cs="Arial"/>
          <w:lang w:val="es-ES_tradnl"/>
        </w:rPr>
        <w:t>fundadas las</w:t>
      </w:r>
      <w:r w:rsidRPr="00767393">
        <w:rPr>
          <w:rFonts w:ascii="Palatino Linotype" w:hAnsi="Palatino Linotype" w:cs="Arial"/>
          <w:b/>
          <w:lang w:val="es-ES_tradnl"/>
        </w:rPr>
        <w:t xml:space="preserve"> </w:t>
      </w:r>
      <w:r w:rsidRPr="00767393">
        <w:rPr>
          <w:rFonts w:ascii="Palatino Linotype" w:hAnsi="Palatino Linotype" w:cs="Arial"/>
          <w:lang w:val="es-ES_tradnl"/>
        </w:rPr>
        <w:t xml:space="preserve">razones y motivos de inconformidad hechos valer </w:t>
      </w:r>
      <w:r w:rsidRPr="00767393">
        <w:rPr>
          <w:rFonts w:ascii="Palatino Linotype" w:eastAsia="Calibri" w:hAnsi="Palatino Linotype" w:cs="Arial"/>
          <w:lang w:val="es-ES_tradnl"/>
        </w:rPr>
        <w:t>en el recurso de revisión</w:t>
      </w:r>
      <w:r w:rsidR="00A35074" w:rsidRPr="00767393">
        <w:rPr>
          <w:rFonts w:ascii="Palatino Linotype" w:hAnsi="Palatino Linotype"/>
          <w:b/>
          <w:bCs/>
          <w:color w:val="FF0000"/>
        </w:rPr>
        <w:t xml:space="preserve"> </w:t>
      </w:r>
      <w:r w:rsidR="00116199" w:rsidRPr="00767393">
        <w:rPr>
          <w:rFonts w:ascii="Palatino Linotype" w:hAnsi="Palatino Linotype"/>
          <w:b/>
          <w:bCs/>
          <w:color w:val="000000" w:themeColor="text1"/>
        </w:rPr>
        <w:t>07513/INFOEM/IP/RR/2022</w:t>
      </w:r>
      <w:r w:rsidRPr="00767393">
        <w:rPr>
          <w:rFonts w:ascii="Palatino Linotype" w:eastAsiaTheme="minorEastAsia" w:hAnsi="Palatino Linotype" w:cs="Arial"/>
          <w:b/>
          <w:bCs/>
          <w:lang w:val="es-ES_tradnl"/>
        </w:rPr>
        <w:t xml:space="preserve">, </w:t>
      </w:r>
      <w:r w:rsidR="00B95CDD" w:rsidRPr="00767393">
        <w:rPr>
          <w:rFonts w:ascii="Palatino Linotype" w:eastAsiaTheme="minorEastAsia" w:hAnsi="Palatino Linotype" w:cs="Arial"/>
          <w:bCs/>
          <w:lang w:val="es-ES_tradnl"/>
        </w:rPr>
        <w:t>en términos del</w:t>
      </w:r>
      <w:r w:rsidR="0077107A" w:rsidRPr="00767393">
        <w:rPr>
          <w:rFonts w:ascii="Palatino Linotype" w:eastAsiaTheme="minorEastAsia" w:hAnsi="Palatino Linotype" w:cs="Arial"/>
          <w:bCs/>
          <w:lang w:val="es-ES_tradnl"/>
        </w:rPr>
        <w:t xml:space="preserve"> </w:t>
      </w:r>
      <w:r w:rsidRPr="00767393">
        <w:rPr>
          <w:rFonts w:ascii="Palatino Linotype" w:eastAsiaTheme="minorEastAsia" w:hAnsi="Palatino Linotype" w:cs="Arial"/>
          <w:b/>
          <w:bCs/>
          <w:lang w:val="es-ES_tradnl"/>
        </w:rPr>
        <w:t>Considerando</w:t>
      </w:r>
      <w:r w:rsidRPr="00767393">
        <w:rPr>
          <w:rFonts w:ascii="Palatino Linotype" w:eastAsiaTheme="minorEastAsia" w:hAnsi="Palatino Linotype" w:cs="Arial"/>
          <w:bCs/>
          <w:lang w:val="es-ES_tradnl"/>
        </w:rPr>
        <w:t xml:space="preserve"> </w:t>
      </w:r>
      <w:r w:rsidR="00B95CDD" w:rsidRPr="00767393">
        <w:rPr>
          <w:rFonts w:ascii="Palatino Linotype" w:eastAsiaTheme="minorEastAsia" w:hAnsi="Palatino Linotype" w:cs="Arial"/>
          <w:b/>
          <w:bCs/>
          <w:lang w:val="es-ES_tradnl"/>
        </w:rPr>
        <w:t>CUARTO</w:t>
      </w:r>
      <w:r w:rsidR="00F86921" w:rsidRPr="00767393">
        <w:rPr>
          <w:rFonts w:ascii="Palatino Linotype" w:eastAsiaTheme="minorEastAsia" w:hAnsi="Palatino Linotype" w:cs="Arial"/>
          <w:b/>
          <w:bCs/>
          <w:lang w:val="es-ES_tradnl"/>
        </w:rPr>
        <w:t xml:space="preserve"> </w:t>
      </w:r>
      <w:r w:rsidRPr="00767393">
        <w:rPr>
          <w:rFonts w:ascii="Palatino Linotype" w:eastAsiaTheme="minorEastAsia" w:hAnsi="Palatino Linotype" w:cs="Arial"/>
          <w:bCs/>
          <w:lang w:val="es-ES_tradnl"/>
        </w:rPr>
        <w:t>de la presente resolución.</w:t>
      </w:r>
    </w:p>
    <w:p w14:paraId="44980EBB" w14:textId="61FAE2A1" w:rsidR="0081381E" w:rsidRPr="00767393" w:rsidRDefault="00985D90" w:rsidP="00ED47C0">
      <w:pPr>
        <w:spacing w:before="240" w:line="360" w:lineRule="auto"/>
        <w:jc w:val="both"/>
        <w:rPr>
          <w:rFonts w:ascii="Palatino Linotype" w:eastAsia="Calibri" w:hAnsi="Palatino Linotype" w:cs="Arial"/>
          <w:lang w:val="es-ES_tradnl"/>
        </w:rPr>
      </w:pPr>
      <w:bookmarkStart w:id="72" w:name="_Toc477891768"/>
      <w:bookmarkStart w:id="73" w:name="_Toc477891858"/>
      <w:bookmarkStart w:id="74" w:name="_Toc481576259"/>
      <w:bookmarkStart w:id="75" w:name="_Toc492590391"/>
      <w:bookmarkStart w:id="76" w:name="_Toc462653937"/>
      <w:bookmarkStart w:id="77" w:name="_Toc453696502"/>
      <w:bookmarkStart w:id="78" w:name="_Toc454301155"/>
      <w:r w:rsidRPr="00767393">
        <w:rPr>
          <w:rFonts w:ascii="Palatino Linotype" w:eastAsiaTheme="minorEastAsia" w:hAnsi="Palatino Linotype" w:cstheme="minorBidi"/>
          <w:b/>
          <w:lang w:val="es-ES_tradnl"/>
        </w:rPr>
        <w:t>SEGUNDO.</w:t>
      </w:r>
      <w:r w:rsidRPr="00767393">
        <w:rPr>
          <w:rFonts w:ascii="Palatino Linotype" w:eastAsiaTheme="majorEastAsia" w:hAnsi="Palatino Linotype" w:cstheme="majorBidi"/>
          <w:b/>
          <w:color w:val="365F91" w:themeColor="accent1" w:themeShade="BF"/>
          <w:lang w:val="es-MX" w:eastAsia="en-US"/>
        </w:rPr>
        <w:t xml:space="preserve"> </w:t>
      </w:r>
      <w:bookmarkEnd w:id="72"/>
      <w:bookmarkEnd w:id="73"/>
      <w:bookmarkEnd w:id="74"/>
      <w:bookmarkEnd w:id="75"/>
      <w:bookmarkEnd w:id="76"/>
      <w:bookmarkEnd w:id="77"/>
      <w:bookmarkEnd w:id="78"/>
      <w:r w:rsidRPr="00767393">
        <w:rPr>
          <w:rFonts w:ascii="Palatino Linotype" w:eastAsia="Calibri" w:hAnsi="Palatino Linotype" w:cs="Arial"/>
          <w:lang w:val="es-ES_tradnl"/>
        </w:rPr>
        <w:t>Se</w:t>
      </w:r>
      <w:r w:rsidR="00A35074" w:rsidRPr="00767393">
        <w:rPr>
          <w:rFonts w:ascii="Palatino Linotype" w:eastAsia="Calibri" w:hAnsi="Palatino Linotype" w:cs="Arial"/>
          <w:b/>
          <w:lang w:val="es-ES_tradnl"/>
        </w:rPr>
        <w:t xml:space="preserve"> MODIFICA</w:t>
      </w:r>
      <w:r w:rsidR="009015DD" w:rsidRPr="00767393">
        <w:rPr>
          <w:rFonts w:ascii="Palatino Linotype" w:eastAsia="Calibri" w:hAnsi="Palatino Linotype" w:cs="Arial"/>
          <w:b/>
          <w:lang w:val="es-ES_tradnl"/>
        </w:rPr>
        <w:t xml:space="preserve"> </w:t>
      </w:r>
      <w:r w:rsidR="00617FEB" w:rsidRPr="00767393">
        <w:rPr>
          <w:rFonts w:ascii="Palatino Linotype" w:eastAsia="Calibri" w:hAnsi="Palatino Linotype" w:cs="Arial"/>
          <w:lang w:val="es-ES_tradnl"/>
        </w:rPr>
        <w:t>la respuesta emitida por el</w:t>
      </w:r>
      <w:r w:rsidR="0081381E" w:rsidRPr="00767393">
        <w:rPr>
          <w:rFonts w:ascii="Palatino Linotype" w:eastAsia="Calibri" w:hAnsi="Palatino Linotype" w:cs="Arial"/>
          <w:lang w:val="es-ES_tradnl"/>
        </w:rPr>
        <w:t xml:space="preserve"> </w:t>
      </w:r>
      <w:r w:rsidR="00116199" w:rsidRPr="00767393">
        <w:rPr>
          <w:rFonts w:ascii="Palatino Linotype" w:eastAsia="Calibri" w:hAnsi="Palatino Linotype" w:cs="Arial"/>
          <w:b/>
          <w:bCs/>
        </w:rPr>
        <w:t>Ayuntamiento de Chapultepec</w:t>
      </w:r>
      <w:r w:rsidR="00A35074" w:rsidRPr="00767393">
        <w:rPr>
          <w:rFonts w:ascii="Palatino Linotype" w:eastAsia="Calibri" w:hAnsi="Palatino Linotype" w:cs="Arial"/>
          <w:lang w:val="es-ES_tradnl"/>
        </w:rPr>
        <w:t xml:space="preserve"> </w:t>
      </w:r>
      <w:r w:rsidR="00617FEB" w:rsidRPr="00767393">
        <w:rPr>
          <w:rFonts w:ascii="Palatino Linotype" w:eastAsia="Calibri" w:hAnsi="Palatino Linotype" w:cs="Arial"/>
          <w:lang w:val="es-ES_tradnl"/>
        </w:rPr>
        <w:t xml:space="preserve">y </w:t>
      </w:r>
      <w:r w:rsidRPr="00767393">
        <w:rPr>
          <w:rFonts w:ascii="Palatino Linotype" w:eastAsia="Calibri" w:hAnsi="Palatino Linotype" w:cs="Arial"/>
          <w:lang w:val="es-ES_tradnl"/>
        </w:rPr>
        <w:t>se</w:t>
      </w:r>
      <w:r w:rsidRPr="00767393">
        <w:rPr>
          <w:rFonts w:ascii="Palatino Linotype" w:eastAsia="Calibri" w:hAnsi="Palatino Linotype" w:cs="Arial"/>
          <w:b/>
          <w:lang w:val="es-ES_tradnl"/>
        </w:rPr>
        <w:t xml:space="preserve"> ORDENA </w:t>
      </w:r>
      <w:r w:rsidRPr="00767393">
        <w:rPr>
          <w:rFonts w:ascii="Palatino Linotype" w:hAnsi="Palatino Linotype" w:cs="Arial"/>
          <w:lang w:val="es-ES_tradnl"/>
        </w:rPr>
        <w:t xml:space="preserve">entregar vía Sistema de Acceso a la Información Mexiquense </w:t>
      </w:r>
      <w:r w:rsidR="0077107A" w:rsidRPr="00767393">
        <w:rPr>
          <w:rFonts w:ascii="Palatino Linotype" w:hAnsi="Palatino Linotype" w:cs="Arial"/>
          <w:b/>
          <w:lang w:val="es-ES_tradnl"/>
        </w:rPr>
        <w:t>(SAIMEX)</w:t>
      </w:r>
      <w:r w:rsidR="00B14987" w:rsidRPr="00767393">
        <w:rPr>
          <w:rFonts w:ascii="Palatino Linotype" w:eastAsia="MS Mincho" w:hAnsi="Palatino Linotype" w:cs="Arial"/>
          <w:lang w:val="es-MX"/>
        </w:rPr>
        <w:t>,</w:t>
      </w:r>
      <w:r w:rsidR="002C1824" w:rsidRPr="00767393">
        <w:rPr>
          <w:rFonts w:ascii="Palatino Linotype" w:eastAsia="MS Mincho" w:hAnsi="Palatino Linotype" w:cs="Arial"/>
          <w:lang w:val="es-MX"/>
        </w:rPr>
        <w:t xml:space="preserve"> </w:t>
      </w:r>
      <w:r w:rsidR="00116199" w:rsidRPr="00767393">
        <w:rPr>
          <w:rFonts w:ascii="Palatino Linotype" w:eastAsia="MS Mincho" w:hAnsi="Palatino Linotype" w:cs="Arial"/>
          <w:lang w:val="es-MX"/>
        </w:rPr>
        <w:t>lo siguiente:</w:t>
      </w:r>
    </w:p>
    <w:p w14:paraId="18EF075B" w14:textId="712EEB50" w:rsidR="0081381E" w:rsidRPr="00767393" w:rsidRDefault="00116199" w:rsidP="00ED47C0">
      <w:pPr>
        <w:pStyle w:val="Prrafodelista"/>
        <w:numPr>
          <w:ilvl w:val="0"/>
          <w:numId w:val="9"/>
        </w:numPr>
        <w:spacing w:before="240" w:line="360" w:lineRule="auto"/>
        <w:ind w:right="616"/>
        <w:jc w:val="both"/>
        <w:rPr>
          <w:rFonts w:ascii="Palatino Linotype" w:eastAsia="Calibri" w:hAnsi="Palatino Linotype" w:cs="Arial"/>
          <w:b/>
          <w:lang w:val="es-ES_tradnl"/>
        </w:rPr>
      </w:pPr>
      <w:r w:rsidRPr="00767393">
        <w:rPr>
          <w:rFonts w:ascii="Palatino Linotype" w:eastAsia="Calibri" w:hAnsi="Palatino Linotype" w:cs="Arial"/>
          <w:b/>
          <w:lang w:val="es-ES_tradnl"/>
        </w:rPr>
        <w:t>Acuerdo del Comité de Transparencia que confirme la incompetencia para poseer, generar o administrar la información solicitada, de conformidad con el artículo 49, fracción II, de la Ley de Transparencia y Acceso a la Información Pública del Estado de México y Municipios.</w:t>
      </w:r>
    </w:p>
    <w:p w14:paraId="24F9DB3E" w14:textId="77777777" w:rsidR="0081381E" w:rsidRPr="00767393" w:rsidRDefault="0081381E" w:rsidP="00ED47C0">
      <w:pPr>
        <w:spacing w:after="120" w:line="360" w:lineRule="auto"/>
        <w:contextualSpacing/>
        <w:jc w:val="both"/>
        <w:rPr>
          <w:rFonts w:ascii="Palatino Linotype" w:eastAsia="MS Mincho" w:hAnsi="Palatino Linotype" w:cs="Arial"/>
          <w:color w:val="000000"/>
          <w:lang w:val="es-ES_tradnl"/>
        </w:rPr>
      </w:pPr>
    </w:p>
    <w:p w14:paraId="266272B2" w14:textId="7DAD5187" w:rsidR="00054F89" w:rsidRPr="00767393" w:rsidRDefault="00397B04" w:rsidP="00ED47C0">
      <w:pPr>
        <w:shd w:val="clear" w:color="auto" w:fill="FFFFFF"/>
        <w:spacing w:before="240" w:line="360" w:lineRule="auto"/>
        <w:ind w:right="49"/>
        <w:jc w:val="both"/>
        <w:rPr>
          <w:rFonts w:ascii="Palatino Linotype" w:hAnsi="Palatino Linotype" w:cs="Arial"/>
          <w:b/>
          <w:bCs/>
          <w:color w:val="222222"/>
          <w:lang w:val="es-ES_tradnl" w:eastAsia="es-MX"/>
        </w:rPr>
      </w:pPr>
      <w:r w:rsidRPr="00767393">
        <w:rPr>
          <w:rFonts w:ascii="Palatino Linotype" w:hAnsi="Palatino Linotype" w:cs="Arial"/>
          <w:b/>
          <w:bCs/>
          <w:color w:val="222222"/>
          <w:lang w:val="es-ES_tradnl" w:eastAsia="es-MX"/>
        </w:rPr>
        <w:t xml:space="preserve">TERCERO. </w:t>
      </w:r>
      <w:r w:rsidRPr="00767393">
        <w:rPr>
          <w:rFonts w:ascii="Palatino Linotype" w:hAnsi="Palatino Linotype" w:cs="Arial"/>
          <w:b/>
          <w:color w:val="222222"/>
          <w:lang w:val="es-ES_tradnl" w:eastAsia="es-MX"/>
        </w:rPr>
        <w:t>Notifíquese</w:t>
      </w:r>
      <w:r w:rsidRPr="00767393">
        <w:rPr>
          <w:rFonts w:ascii="Palatino Linotype" w:hAnsi="Palatino Linotype" w:cs="Arial"/>
          <w:b/>
          <w:bCs/>
          <w:color w:val="222222"/>
          <w:lang w:val="es-ES_tradnl" w:eastAsia="es-MX"/>
        </w:rPr>
        <w:t xml:space="preserve"> </w:t>
      </w:r>
      <w:r w:rsidRPr="00767393">
        <w:rPr>
          <w:rFonts w:ascii="Palatino Linotype" w:hAnsi="Palatino Linotype" w:cs="Arial"/>
          <w:color w:val="222222"/>
          <w:lang w:val="es-ES_tradnl" w:eastAsia="es-MX"/>
        </w:rPr>
        <w:t xml:space="preserve">al Titular de la Unidad de Transparencia del </w:t>
      </w:r>
      <w:r w:rsidRPr="00767393">
        <w:rPr>
          <w:rFonts w:ascii="Palatino Linotype" w:hAnsi="Palatino Linotype" w:cs="Arial"/>
          <w:b/>
          <w:bCs/>
          <w:color w:val="222222"/>
          <w:lang w:val="es-ES_tradnl" w:eastAsia="es-MX"/>
        </w:rPr>
        <w:t>SUJETO OBLIGADO la presente resolución vía Sistema de Acceso a la Información Mexiquense (SAIMEX)</w:t>
      </w:r>
      <w:r w:rsidRPr="00767393">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w:t>
      </w:r>
      <w:r w:rsidRPr="00767393">
        <w:rPr>
          <w:rFonts w:ascii="Palatino Linotype" w:hAnsi="Palatino Linotype" w:cs="Arial"/>
          <w:color w:val="222222"/>
          <w:lang w:val="es-ES_tradnl" w:eastAsia="es-MX"/>
        </w:rPr>
        <w:lastRenderedPageBreak/>
        <w:t>plazo de diez días hábiles, debiendo rendir a este Instituto el informe de cumplimiento de la resolución en un plazo de tres días hábiles posteriores.</w:t>
      </w:r>
    </w:p>
    <w:p w14:paraId="37B61DA9" w14:textId="77777777" w:rsidR="00F921F7" w:rsidRPr="00767393" w:rsidRDefault="00F921F7" w:rsidP="00ED47C0">
      <w:pPr>
        <w:shd w:val="clear" w:color="auto" w:fill="FFFFFF"/>
        <w:spacing w:line="360" w:lineRule="auto"/>
        <w:jc w:val="both"/>
        <w:rPr>
          <w:rFonts w:ascii="Palatino Linotype" w:eastAsia="Calibri" w:hAnsi="Palatino Linotype" w:cs="Arial"/>
          <w:b/>
          <w:bCs/>
          <w:color w:val="000000"/>
          <w:lang w:val="es-MX" w:eastAsia="en-US"/>
        </w:rPr>
      </w:pPr>
    </w:p>
    <w:p w14:paraId="5518DBC8" w14:textId="77777777" w:rsidR="00397B04" w:rsidRPr="00767393" w:rsidRDefault="00397B04" w:rsidP="00ED47C0">
      <w:pPr>
        <w:shd w:val="clear" w:color="auto" w:fill="FFFFFF"/>
        <w:spacing w:line="360" w:lineRule="auto"/>
        <w:jc w:val="both"/>
        <w:rPr>
          <w:rFonts w:ascii="Palatino Linotype" w:eastAsia="MS Mincho" w:hAnsi="Palatino Linotype"/>
          <w:color w:val="000000"/>
          <w:shd w:val="clear" w:color="auto" w:fill="FFFFFF"/>
          <w:lang w:val="es-ES_tradnl"/>
        </w:rPr>
      </w:pPr>
      <w:r w:rsidRPr="00767393">
        <w:rPr>
          <w:rFonts w:ascii="Palatino Linotype" w:eastAsia="Calibri" w:hAnsi="Palatino Linotype" w:cs="Arial"/>
          <w:b/>
          <w:bCs/>
          <w:color w:val="000000"/>
          <w:lang w:val="es-MX" w:eastAsia="en-US"/>
        </w:rPr>
        <w:t>CUARTO.</w:t>
      </w:r>
      <w:r w:rsidRPr="00767393">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B4623F" w14:textId="77777777" w:rsidR="00397B04" w:rsidRPr="00767393" w:rsidRDefault="00397B04" w:rsidP="00ED47C0">
      <w:pPr>
        <w:spacing w:line="360" w:lineRule="auto"/>
        <w:rPr>
          <w:rFonts w:ascii="Palatino Linotype" w:eastAsia="MS Mincho" w:hAnsi="Palatino Linotype"/>
        </w:rPr>
      </w:pPr>
    </w:p>
    <w:p w14:paraId="6429D583" w14:textId="77777777" w:rsidR="00397B04" w:rsidRPr="00767393" w:rsidRDefault="00397B04" w:rsidP="00ED47C0">
      <w:pPr>
        <w:shd w:val="clear" w:color="auto" w:fill="FFFFFF"/>
        <w:spacing w:line="360" w:lineRule="auto"/>
        <w:jc w:val="both"/>
        <w:rPr>
          <w:rFonts w:ascii="Palatino Linotype" w:hAnsi="Palatino Linotype"/>
          <w:color w:val="000000" w:themeColor="text1"/>
          <w:lang w:val="es-ES_tradnl"/>
        </w:rPr>
      </w:pPr>
      <w:r w:rsidRPr="00767393">
        <w:rPr>
          <w:rFonts w:ascii="Palatino Linotype" w:hAnsi="Palatino Linotype" w:cs="Arial"/>
          <w:b/>
          <w:lang w:val="es-ES_tradnl"/>
        </w:rPr>
        <w:t xml:space="preserve">QUINTO. </w:t>
      </w:r>
      <w:r w:rsidRPr="00767393">
        <w:rPr>
          <w:rFonts w:ascii="Palatino Linotype" w:hAnsi="Palatino Linotype"/>
          <w:b/>
          <w:bCs/>
          <w:color w:val="222222"/>
        </w:rPr>
        <w:t xml:space="preserve">Notifíquese </w:t>
      </w:r>
      <w:r w:rsidRPr="00767393">
        <w:rPr>
          <w:rFonts w:ascii="Palatino Linotype" w:hAnsi="Palatino Linotype"/>
          <w:bCs/>
          <w:color w:val="222222"/>
        </w:rPr>
        <w:t xml:space="preserve">al </w:t>
      </w:r>
      <w:r w:rsidRPr="00767393">
        <w:rPr>
          <w:rFonts w:ascii="Palatino Linotype" w:hAnsi="Palatino Linotype"/>
          <w:b/>
          <w:bCs/>
          <w:color w:val="222222"/>
        </w:rPr>
        <w:t>RECURRENTE</w:t>
      </w:r>
      <w:r w:rsidRPr="00767393">
        <w:rPr>
          <w:rFonts w:ascii="Palatino Linotype" w:hAnsi="Palatino Linotype"/>
          <w:bCs/>
          <w:color w:val="222222"/>
        </w:rPr>
        <w:t xml:space="preserve"> </w:t>
      </w:r>
      <w:r w:rsidRPr="00767393">
        <w:rPr>
          <w:rFonts w:ascii="Palatino Linotype" w:hAnsi="Palatino Linotype"/>
          <w:lang w:val="es-ES_tradnl"/>
        </w:rPr>
        <w:t xml:space="preserve">la presente resolución vía </w:t>
      </w:r>
      <w:r w:rsidRPr="00767393">
        <w:rPr>
          <w:rFonts w:ascii="Palatino Linotype" w:hAnsi="Palatino Linotype" w:cs="Arial"/>
          <w:lang w:val="es-ES_tradnl"/>
        </w:rPr>
        <w:t xml:space="preserve">Sistema de Acceso a la Información Mexiquense </w:t>
      </w:r>
      <w:r w:rsidRPr="00767393">
        <w:rPr>
          <w:rFonts w:ascii="Palatino Linotype" w:hAnsi="Palatino Linotype" w:cs="Arial"/>
          <w:b/>
          <w:lang w:val="es-ES_tradnl"/>
        </w:rPr>
        <w:t>(SAIMEX).</w:t>
      </w:r>
    </w:p>
    <w:p w14:paraId="33F0FF7F" w14:textId="77777777" w:rsidR="00397B04" w:rsidRPr="00767393" w:rsidRDefault="00397B04" w:rsidP="00ED47C0">
      <w:pPr>
        <w:shd w:val="clear" w:color="auto" w:fill="FFFFFF"/>
        <w:spacing w:line="360" w:lineRule="auto"/>
        <w:jc w:val="both"/>
        <w:rPr>
          <w:rFonts w:ascii="Palatino Linotype" w:hAnsi="Palatino Linotype"/>
          <w:lang w:val="es-ES_tradnl"/>
        </w:rPr>
      </w:pPr>
    </w:p>
    <w:p w14:paraId="3F867D1C" w14:textId="21C0179D" w:rsidR="00397B04" w:rsidRPr="00767393" w:rsidRDefault="00397B04" w:rsidP="00ED47C0">
      <w:pPr>
        <w:spacing w:line="360" w:lineRule="auto"/>
        <w:jc w:val="both"/>
        <w:rPr>
          <w:rFonts w:ascii="Palatino Linotype" w:hAnsi="Palatino Linotype"/>
          <w:b/>
          <w:lang w:val="es-MX" w:eastAsia="es-MX"/>
        </w:rPr>
      </w:pPr>
      <w:r w:rsidRPr="00767393">
        <w:rPr>
          <w:rFonts w:ascii="Palatino Linotype" w:eastAsia="MS Mincho" w:hAnsi="Palatino Linotype"/>
          <w:b/>
          <w:lang w:val="es-MX"/>
        </w:rPr>
        <w:t>SEXTO.</w:t>
      </w:r>
      <w:r w:rsidRPr="00767393">
        <w:rPr>
          <w:rFonts w:ascii="Palatino Linotype" w:eastAsia="MS Mincho" w:hAnsi="Palatino Linotype"/>
          <w:lang w:val="es-MX"/>
        </w:rPr>
        <w:t xml:space="preserve"> </w:t>
      </w:r>
      <w:r w:rsidRPr="00767393">
        <w:rPr>
          <w:rFonts w:ascii="Palatino Linotype" w:eastAsia="MS Mincho" w:hAnsi="Palatino Linotype"/>
        </w:rPr>
        <w:t xml:space="preserve">Se hace del conocimiento del </w:t>
      </w:r>
      <w:r w:rsidRPr="00767393">
        <w:rPr>
          <w:rFonts w:ascii="Palatino Linotype" w:eastAsia="MS Mincho" w:hAnsi="Palatino Linotype"/>
          <w:b/>
          <w:bCs/>
        </w:rPr>
        <w:t>RECURRENTE</w:t>
      </w:r>
      <w:r w:rsidRPr="00767393">
        <w:rPr>
          <w:rFonts w:ascii="Palatino Linotype" w:hAnsi="Palatino Linotype"/>
          <w:bCs/>
          <w:color w:val="222222"/>
          <w:lang w:val="es-ES_tradnl"/>
        </w:rPr>
        <w:t xml:space="preserve"> </w:t>
      </w:r>
      <w:r w:rsidRPr="00767393">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767393">
        <w:rPr>
          <w:rFonts w:ascii="Palatino Linotype" w:eastAsia="MS Mincho" w:hAnsi="Palatino Linotype"/>
          <w:bCs/>
        </w:rPr>
        <w:t>vía juicio de amparo</w:t>
      </w:r>
      <w:r w:rsidRPr="00767393">
        <w:rPr>
          <w:rFonts w:ascii="Palatino Linotype" w:eastAsia="MS Mincho" w:hAnsi="Palatino Linotype"/>
        </w:rPr>
        <w:t> en los términos de las leyes aplicables.</w:t>
      </w:r>
      <w:r w:rsidRPr="00767393">
        <w:rPr>
          <w:rFonts w:ascii="Palatino Linotype" w:eastAsia="MS Mincho" w:hAnsi="Palatino Linotype"/>
        </w:rPr>
        <w:tab/>
      </w:r>
      <w:r w:rsidRPr="00767393">
        <w:rPr>
          <w:rFonts w:ascii="Palatino Linotype" w:hAnsi="Palatino Linotype"/>
          <w:b/>
          <w:lang w:val="es-MX" w:eastAsia="es-MX"/>
        </w:rPr>
        <w:t xml:space="preserve"> </w:t>
      </w:r>
    </w:p>
    <w:p w14:paraId="615696B5" w14:textId="3E0E93D1" w:rsidR="00A52589" w:rsidRPr="00767393" w:rsidRDefault="00A52589" w:rsidP="00ED47C0">
      <w:pPr>
        <w:spacing w:line="360" w:lineRule="auto"/>
        <w:jc w:val="both"/>
        <w:rPr>
          <w:rFonts w:ascii="Palatino Linotype" w:hAnsi="Palatino Linotype"/>
          <w:b/>
          <w:lang w:val="es-MX" w:eastAsia="es-MX"/>
        </w:rPr>
      </w:pPr>
    </w:p>
    <w:p w14:paraId="162A79AC" w14:textId="29C1F3DF" w:rsidR="00E33FCB" w:rsidRDefault="00E33FCB" w:rsidP="00E33FCB">
      <w:pPr>
        <w:spacing w:before="240" w:after="240" w:line="360" w:lineRule="auto"/>
        <w:jc w:val="both"/>
        <w:rPr>
          <w:rFonts w:ascii="Palatino Linotype" w:hAnsi="Palatino Linotype"/>
        </w:rPr>
      </w:pPr>
      <w:r w:rsidRPr="00767393">
        <w:rPr>
          <w:rFonts w:ascii="Palatino Linotype" w:hAnsi="Palatino Linotype"/>
        </w:rPr>
        <w:t xml:space="preserve">ASÍ LO RESUELVE, POR </w:t>
      </w:r>
      <w:r w:rsidR="000340D9" w:rsidRPr="00767393">
        <w:rPr>
          <w:rFonts w:ascii="Palatino Linotype" w:hAnsi="Palatino Linotype"/>
        </w:rPr>
        <w:t>MAYORÍA</w:t>
      </w:r>
      <w:r w:rsidRPr="00767393">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340D9" w:rsidRPr="00767393">
        <w:rPr>
          <w:rFonts w:ascii="Palatino Linotype" w:hAnsi="Palatino Linotype"/>
        </w:rPr>
        <w:t xml:space="preserve"> EMITIENDO VOTO DISIDENTE</w:t>
      </w:r>
      <w:r w:rsidRPr="00767393">
        <w:rPr>
          <w:rFonts w:ascii="Palatino Linotype" w:hAnsi="Palatino Linotype"/>
        </w:rPr>
        <w:t xml:space="preserve"> EN LA TRIGÉSIMA SESIÓN ORDINARIA </w:t>
      </w:r>
      <w:r w:rsidRPr="00767393">
        <w:rPr>
          <w:rFonts w:ascii="Palatino Linotype" w:hAnsi="Palatino Linotype"/>
        </w:rPr>
        <w:lastRenderedPageBreak/>
        <w:t>CELEBRADA EL VEINTICUATRO (24) DE AGOSTO DE DOS MIL VEINTIDÓS, ANTE EL SECRETARIO TÉCNICO DEL PLENO ALEXIS TAPIA RAMÍREZ.</w:t>
      </w:r>
      <w:bookmarkStart w:id="79" w:name="_GoBack"/>
      <w:bookmarkEnd w:id="79"/>
      <w:r w:rsidRPr="00624AAD">
        <w:rPr>
          <w:rFonts w:ascii="Palatino Linotype" w:hAnsi="Palatino Linotype"/>
        </w:rPr>
        <w:t xml:space="preserve"> </w:t>
      </w:r>
    </w:p>
    <w:p w14:paraId="4453F8E6" w14:textId="7FD84CC3" w:rsidR="00090DE6" w:rsidRPr="00ED47C0" w:rsidRDefault="00090DE6" w:rsidP="00ED47C0">
      <w:pPr>
        <w:spacing w:before="240" w:after="240" w:line="360" w:lineRule="auto"/>
        <w:jc w:val="both"/>
        <w:rPr>
          <w:rFonts w:ascii="Palatino Linotype" w:hAnsi="Palatino Linotype"/>
          <w:lang w:val="es-ES_tradnl"/>
        </w:rPr>
      </w:pPr>
    </w:p>
    <w:sectPr w:rsidR="00090DE6" w:rsidRPr="00ED47C0"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5DE12" w14:textId="77777777" w:rsidR="00637DD9" w:rsidRDefault="00637DD9" w:rsidP="00C80F8C">
      <w:r>
        <w:separator/>
      </w:r>
    </w:p>
  </w:endnote>
  <w:endnote w:type="continuationSeparator" w:id="0">
    <w:p w14:paraId="6CE5F3D6" w14:textId="77777777" w:rsidR="00637DD9" w:rsidRDefault="00637DD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CB153AD" w:rsidR="00F00D5B" w:rsidRPr="00817AAB" w:rsidRDefault="00F00D5B"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767393">
      <w:rPr>
        <w:rFonts w:ascii="Palatino Linotype" w:hAnsi="Palatino Linotype" w:cs="Arial"/>
        <w:b/>
        <w:bCs/>
        <w:noProof/>
      </w:rPr>
      <w:t>22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767393">
      <w:rPr>
        <w:rFonts w:ascii="Palatino Linotype" w:hAnsi="Palatino Linotype" w:cs="Arial"/>
        <w:b/>
        <w:bCs/>
        <w:noProof/>
      </w:rPr>
      <w:t>22</w:t>
    </w:r>
    <w:r w:rsidRPr="00817AAB">
      <w:rPr>
        <w:rFonts w:ascii="Palatino Linotype" w:hAnsi="Palatino Linotype" w:cs="Arial"/>
        <w:b/>
        <w:bCs/>
      </w:rPr>
      <w:fldChar w:fldCharType="end"/>
    </w:r>
  </w:p>
  <w:p w14:paraId="1192A578" w14:textId="77777777" w:rsidR="00F00D5B" w:rsidRDefault="00F00D5B" w:rsidP="00935A0D">
    <w:pPr>
      <w:pStyle w:val="Piedepgina"/>
      <w:rPr>
        <w:rFonts w:ascii="Times New Roman" w:hAnsi="Times New Roman" w:cs="Times New Roman"/>
      </w:rPr>
    </w:pPr>
  </w:p>
  <w:p w14:paraId="14A770F8" w14:textId="77777777" w:rsidR="00F00D5B" w:rsidRDefault="00F00D5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EFCF348" w:rsidR="00F00D5B" w:rsidRDefault="00F00D5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6739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67393">
      <w:rPr>
        <w:rFonts w:ascii="Arial" w:hAnsi="Arial" w:cs="Arial"/>
        <w:b/>
        <w:bCs/>
        <w:noProof/>
        <w:sz w:val="20"/>
        <w:szCs w:val="20"/>
      </w:rPr>
      <w:t>22</w:t>
    </w:r>
    <w:r>
      <w:rPr>
        <w:rFonts w:ascii="Arial" w:hAnsi="Arial" w:cs="Arial"/>
        <w:b/>
        <w:bCs/>
        <w:sz w:val="20"/>
        <w:szCs w:val="20"/>
      </w:rPr>
      <w:fldChar w:fldCharType="end"/>
    </w:r>
  </w:p>
  <w:p w14:paraId="5D98ABD5" w14:textId="77777777" w:rsidR="00F00D5B" w:rsidRDefault="00F00D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70DF3" w14:textId="77777777" w:rsidR="00637DD9" w:rsidRDefault="00637DD9" w:rsidP="00C80F8C">
      <w:r>
        <w:separator/>
      </w:r>
    </w:p>
  </w:footnote>
  <w:footnote w:type="continuationSeparator" w:id="0">
    <w:p w14:paraId="30391030" w14:textId="77777777" w:rsidR="00637DD9" w:rsidRDefault="00637DD9" w:rsidP="00C80F8C">
      <w:r>
        <w:continuationSeparator/>
      </w:r>
    </w:p>
  </w:footnote>
  <w:footnote w:id="1">
    <w:p w14:paraId="39D7764F" w14:textId="77777777" w:rsidR="00F00D5B" w:rsidRDefault="00F00D5B"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1A8DFF2E" w14:textId="12E48415" w:rsidR="00F00D5B" w:rsidRDefault="00F00D5B" w:rsidP="009C4F62">
      <w:pPr>
        <w:pStyle w:val="Textonotapie"/>
        <w:jc w:val="both"/>
        <w:rPr>
          <w:lang w:val="es-ES"/>
        </w:rPr>
      </w:pPr>
      <w:r>
        <w:rPr>
          <w:lang w:val="es-ES"/>
        </w:rPr>
        <w:t>(…)</w:t>
      </w:r>
    </w:p>
    <w:p w14:paraId="63ABDA4A" w14:textId="3D488159" w:rsidR="00ED47C0" w:rsidRDefault="00ED47C0" w:rsidP="009C4F62">
      <w:pPr>
        <w:pStyle w:val="Textonotapie"/>
        <w:jc w:val="both"/>
        <w:rPr>
          <w:lang w:val="es-ES"/>
        </w:rPr>
      </w:pPr>
      <w:r w:rsidRPr="00ED47C0">
        <w:rPr>
          <w:lang w:val="es-ES"/>
        </w:rPr>
        <w:t>XIII. La falta, deficiencia o insuficiencia de la fundamentación y/o motivación en la respuesta; y</w:t>
      </w:r>
    </w:p>
    <w:p w14:paraId="6E8E4B42" w14:textId="33042268" w:rsidR="00F00D5B" w:rsidRDefault="00ED47C0" w:rsidP="009C4F62">
      <w:pPr>
        <w:pStyle w:val="Textonotapie"/>
        <w:jc w:val="both"/>
        <w:rPr>
          <w:lang w:val="es-ES"/>
        </w:rPr>
      </w:pPr>
      <w:r>
        <w:rPr>
          <w:lang w:val="es-ES"/>
        </w:rPr>
        <w:t xml:space="preserve"> </w:t>
      </w:r>
      <w:r w:rsidR="00F00D5B">
        <w:rPr>
          <w:lang w:val="es-ES"/>
        </w:rPr>
        <w:t>(…)</w:t>
      </w:r>
    </w:p>
    <w:p w14:paraId="3EBA8880" w14:textId="5E3164DF" w:rsidR="00F00D5B" w:rsidRDefault="00F00D5B" w:rsidP="00A2042B">
      <w:pPr>
        <w:pStyle w:val="Textonotapie"/>
        <w:jc w:val="both"/>
        <w:rPr>
          <w:lang w:val="es-ES"/>
        </w:rPr>
      </w:pPr>
    </w:p>
    <w:p w14:paraId="1867D448" w14:textId="3D0D5CA2" w:rsidR="00F00D5B" w:rsidRDefault="00F00D5B" w:rsidP="009C4F62">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F00D5B" w14:paraId="6B4E3B81" w14:textId="77777777" w:rsidTr="00B4299A">
      <w:tc>
        <w:tcPr>
          <w:tcW w:w="2701" w:type="dxa"/>
          <w:vAlign w:val="center"/>
          <w:hideMark/>
        </w:tcPr>
        <w:p w14:paraId="0ABBC6C0" w14:textId="1226DAAF" w:rsidR="00F00D5B" w:rsidRPr="00B4299A" w:rsidRDefault="00F00D5B"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FB82E30" w:rsidR="00F00D5B" w:rsidRPr="00B4299A" w:rsidRDefault="00D26B4B" w:rsidP="00C36DF2">
          <w:pPr>
            <w:rPr>
              <w:rFonts w:ascii="Palatino Linotype" w:hAnsi="Palatino Linotype"/>
              <w:b/>
              <w:szCs w:val="22"/>
              <w:lang w:val="es-ES_tradnl"/>
            </w:rPr>
          </w:pPr>
          <w:r w:rsidRPr="00D26B4B">
            <w:rPr>
              <w:rFonts w:ascii="Palatino Linotype" w:hAnsi="Palatino Linotype"/>
              <w:b/>
              <w:bCs/>
              <w:szCs w:val="22"/>
            </w:rPr>
            <w:t>07513/INFOEM/IP/RR/2022</w:t>
          </w:r>
        </w:p>
      </w:tc>
    </w:tr>
    <w:tr w:rsidR="00F00D5B" w14:paraId="31CB780F" w14:textId="77777777" w:rsidTr="00B4299A">
      <w:trPr>
        <w:trHeight w:val="228"/>
      </w:trPr>
      <w:tc>
        <w:tcPr>
          <w:tcW w:w="2701" w:type="dxa"/>
          <w:vAlign w:val="center"/>
          <w:hideMark/>
        </w:tcPr>
        <w:p w14:paraId="4F49CB4A" w14:textId="6966D32E" w:rsidR="00F00D5B" w:rsidRPr="00B4299A" w:rsidRDefault="00F00D5B"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AA28862" w:rsidR="00F00D5B" w:rsidRPr="00B4299A" w:rsidRDefault="00D26B4B" w:rsidP="00B96D41">
          <w:pPr>
            <w:jc w:val="both"/>
            <w:rPr>
              <w:rFonts w:ascii="Palatino Linotype" w:hAnsi="Palatino Linotype"/>
              <w:b/>
              <w:szCs w:val="22"/>
              <w:lang w:val="es-ES_tradnl"/>
            </w:rPr>
          </w:pPr>
          <w:r w:rsidRPr="00D26B4B">
            <w:rPr>
              <w:rFonts w:ascii="Palatino Linotype" w:hAnsi="Palatino Linotype"/>
              <w:b/>
              <w:bCs/>
              <w:szCs w:val="22"/>
            </w:rPr>
            <w:t>Ayuntamiento de Chapultepec</w:t>
          </w:r>
        </w:p>
      </w:tc>
    </w:tr>
    <w:tr w:rsidR="00F00D5B" w14:paraId="69050F56" w14:textId="77777777" w:rsidTr="00B4299A">
      <w:tc>
        <w:tcPr>
          <w:tcW w:w="2701" w:type="dxa"/>
          <w:vAlign w:val="center"/>
          <w:hideMark/>
        </w:tcPr>
        <w:p w14:paraId="65C9B735" w14:textId="75C78F81" w:rsidR="00F00D5B" w:rsidRPr="00B4299A" w:rsidRDefault="00F00D5B"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F00D5B" w:rsidRPr="00B4299A" w:rsidRDefault="00F00D5B"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F00D5B" w:rsidRDefault="00F00D5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F00D5B" w:rsidRDefault="00F00D5B"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F00D5B" w:rsidRDefault="00F00D5B"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F00D5B" w14:paraId="477E149B" w14:textId="77777777" w:rsidTr="00CB57FD">
      <w:trPr>
        <w:trHeight w:val="277"/>
      </w:trPr>
      <w:tc>
        <w:tcPr>
          <w:tcW w:w="2693" w:type="dxa"/>
          <w:vAlign w:val="center"/>
          <w:hideMark/>
        </w:tcPr>
        <w:p w14:paraId="5C0586E4" w14:textId="77777777" w:rsidR="00F00D5B" w:rsidRPr="009B3353" w:rsidRDefault="00F00D5B"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1511A69" w:rsidR="00F00D5B" w:rsidRPr="009B3353" w:rsidRDefault="00C96793" w:rsidP="00761460">
          <w:pPr>
            <w:rPr>
              <w:rFonts w:ascii="Palatino Linotype" w:hAnsi="Palatino Linotype"/>
              <w:b/>
              <w:szCs w:val="22"/>
              <w:lang w:val="es-ES_tradnl"/>
            </w:rPr>
          </w:pPr>
          <w:r w:rsidRPr="00C96793">
            <w:rPr>
              <w:rFonts w:ascii="Palatino Linotype" w:hAnsi="Palatino Linotype"/>
              <w:b/>
              <w:szCs w:val="22"/>
              <w:lang w:val="es-ES_tradnl"/>
            </w:rPr>
            <w:t>07513/INFOEM/IP/RR/2022</w:t>
          </w:r>
        </w:p>
      </w:tc>
    </w:tr>
    <w:tr w:rsidR="00F00D5B" w14:paraId="5B5BE21C" w14:textId="77777777" w:rsidTr="00CB57FD">
      <w:tc>
        <w:tcPr>
          <w:tcW w:w="2693" w:type="dxa"/>
          <w:vAlign w:val="center"/>
          <w:hideMark/>
        </w:tcPr>
        <w:p w14:paraId="4AE96902" w14:textId="4E063913" w:rsidR="00F00D5B" w:rsidRPr="009B3353" w:rsidRDefault="00F00D5B"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6276D8D4" w:rsidR="00F00D5B" w:rsidRPr="009B3353" w:rsidRDefault="00767393" w:rsidP="002B7BCC">
          <w:pPr>
            <w:rPr>
              <w:rFonts w:ascii="Palatino Linotype" w:hAnsi="Palatino Linotype"/>
              <w:b/>
              <w:szCs w:val="22"/>
              <w:lang w:val="es-ES_tradnl"/>
            </w:rPr>
          </w:pPr>
          <w:r>
            <w:rPr>
              <w:rFonts w:ascii="Palatino Linotype" w:hAnsi="Palatino Linotype"/>
              <w:b/>
              <w:szCs w:val="22"/>
              <w:lang w:val="es-ES_tradnl"/>
            </w:rPr>
            <w:t>XXXXX XXXXX XXXX</w:t>
          </w:r>
        </w:p>
      </w:tc>
    </w:tr>
    <w:tr w:rsidR="00F00D5B" w14:paraId="22601A11" w14:textId="77777777" w:rsidTr="00CB57FD">
      <w:trPr>
        <w:trHeight w:val="228"/>
      </w:trPr>
      <w:tc>
        <w:tcPr>
          <w:tcW w:w="2693" w:type="dxa"/>
          <w:vAlign w:val="center"/>
          <w:hideMark/>
        </w:tcPr>
        <w:p w14:paraId="6EFE221D" w14:textId="49C5F800" w:rsidR="00F00D5B" w:rsidRPr="009B3353" w:rsidRDefault="00F00D5B"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83141E5" w:rsidR="00F00D5B" w:rsidRPr="009B3353" w:rsidRDefault="00C96793" w:rsidP="003D473A">
          <w:pPr>
            <w:jc w:val="both"/>
            <w:rPr>
              <w:rFonts w:ascii="Palatino Linotype" w:eastAsia="Calibri" w:hAnsi="Palatino Linotype"/>
              <w:b/>
              <w:szCs w:val="22"/>
              <w:lang w:val="es-MX" w:eastAsia="en-US"/>
            </w:rPr>
          </w:pPr>
          <w:r w:rsidRPr="00C96793">
            <w:rPr>
              <w:rFonts w:ascii="Palatino Linotype" w:eastAsia="Calibri" w:hAnsi="Palatino Linotype"/>
              <w:b/>
              <w:szCs w:val="22"/>
              <w:lang w:val="es-MX" w:eastAsia="en-US"/>
            </w:rPr>
            <w:t>Ayuntamiento de Chapultepec</w:t>
          </w:r>
        </w:p>
      </w:tc>
    </w:tr>
    <w:tr w:rsidR="00F00D5B" w14:paraId="2D6C630E" w14:textId="77777777" w:rsidTr="00CB57FD">
      <w:tc>
        <w:tcPr>
          <w:tcW w:w="2693" w:type="dxa"/>
          <w:vAlign w:val="center"/>
          <w:hideMark/>
        </w:tcPr>
        <w:p w14:paraId="5BD4C6DB" w14:textId="7CF21504" w:rsidR="00F00D5B" w:rsidRPr="009B3353" w:rsidRDefault="00F00D5B"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F00D5B" w:rsidRPr="009B3353" w:rsidRDefault="00F00D5B"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F00D5B" w:rsidRDefault="00F00D5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2E14FCB"/>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927D1D"/>
    <w:multiLevelType w:val="hybridMultilevel"/>
    <w:tmpl w:val="BF2A3842"/>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FB4D11"/>
    <w:multiLevelType w:val="hybridMultilevel"/>
    <w:tmpl w:val="BF2A3842"/>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3D1624D"/>
    <w:multiLevelType w:val="hybridMultilevel"/>
    <w:tmpl w:val="169EF2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1"/>
  </w:num>
  <w:num w:numId="3">
    <w:abstractNumId w:val="4"/>
  </w:num>
  <w:num w:numId="4">
    <w:abstractNumId w:val="1"/>
  </w:num>
  <w:num w:numId="5">
    <w:abstractNumId w:val="9"/>
  </w:num>
  <w:num w:numId="6">
    <w:abstractNumId w:val="3"/>
  </w:num>
  <w:num w:numId="7">
    <w:abstractNumId w:val="10"/>
  </w:num>
  <w:num w:numId="8">
    <w:abstractNumId w:val="8"/>
  </w:num>
  <w:num w:numId="9">
    <w:abstractNumId w:val="7"/>
  </w:num>
  <w:num w:numId="10">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2"/>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1C02"/>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0D9"/>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30E4"/>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37B2"/>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199"/>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483"/>
    <w:rsid w:val="00192861"/>
    <w:rsid w:val="00193909"/>
    <w:rsid w:val="00196141"/>
    <w:rsid w:val="00196EF5"/>
    <w:rsid w:val="00197DA4"/>
    <w:rsid w:val="001A0542"/>
    <w:rsid w:val="001A0598"/>
    <w:rsid w:val="001A05BA"/>
    <w:rsid w:val="001A0F86"/>
    <w:rsid w:val="001A1125"/>
    <w:rsid w:val="001A1408"/>
    <w:rsid w:val="001A1810"/>
    <w:rsid w:val="001A2131"/>
    <w:rsid w:val="001A25D5"/>
    <w:rsid w:val="001A2A37"/>
    <w:rsid w:val="001A2FF3"/>
    <w:rsid w:val="001A373A"/>
    <w:rsid w:val="001A37A1"/>
    <w:rsid w:val="001A466C"/>
    <w:rsid w:val="001A4E38"/>
    <w:rsid w:val="001A4F68"/>
    <w:rsid w:val="001A78F5"/>
    <w:rsid w:val="001A7913"/>
    <w:rsid w:val="001B0C32"/>
    <w:rsid w:val="001B234C"/>
    <w:rsid w:val="001B2379"/>
    <w:rsid w:val="001B2D8A"/>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3AF"/>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71B"/>
    <w:rsid w:val="002629E7"/>
    <w:rsid w:val="00265366"/>
    <w:rsid w:val="002657BB"/>
    <w:rsid w:val="00266490"/>
    <w:rsid w:val="0026683E"/>
    <w:rsid w:val="00266A60"/>
    <w:rsid w:val="00267719"/>
    <w:rsid w:val="002677C1"/>
    <w:rsid w:val="00267850"/>
    <w:rsid w:val="00267A6D"/>
    <w:rsid w:val="00270883"/>
    <w:rsid w:val="00271446"/>
    <w:rsid w:val="00271FC2"/>
    <w:rsid w:val="00273204"/>
    <w:rsid w:val="00275423"/>
    <w:rsid w:val="00275AD6"/>
    <w:rsid w:val="00276AEF"/>
    <w:rsid w:val="00276D8F"/>
    <w:rsid w:val="00276F2E"/>
    <w:rsid w:val="00276FDC"/>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42A"/>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5845"/>
    <w:rsid w:val="002D678A"/>
    <w:rsid w:val="002D693B"/>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3F44"/>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1397"/>
    <w:rsid w:val="003915BA"/>
    <w:rsid w:val="00392E2B"/>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7AC"/>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965"/>
    <w:rsid w:val="004E2D51"/>
    <w:rsid w:val="004E37B6"/>
    <w:rsid w:val="004E3AFD"/>
    <w:rsid w:val="004E44D0"/>
    <w:rsid w:val="004E4987"/>
    <w:rsid w:val="004E52D1"/>
    <w:rsid w:val="004E585B"/>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27B1"/>
    <w:rsid w:val="00535560"/>
    <w:rsid w:val="005356D8"/>
    <w:rsid w:val="00537427"/>
    <w:rsid w:val="005379E3"/>
    <w:rsid w:val="00541397"/>
    <w:rsid w:val="005413A9"/>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795"/>
    <w:rsid w:val="0058439D"/>
    <w:rsid w:val="00585149"/>
    <w:rsid w:val="00585B51"/>
    <w:rsid w:val="00585C24"/>
    <w:rsid w:val="00585F8F"/>
    <w:rsid w:val="00586C7B"/>
    <w:rsid w:val="0058743A"/>
    <w:rsid w:val="005875A9"/>
    <w:rsid w:val="00590D33"/>
    <w:rsid w:val="005921E5"/>
    <w:rsid w:val="00592755"/>
    <w:rsid w:val="00593401"/>
    <w:rsid w:val="00593DB7"/>
    <w:rsid w:val="005942BD"/>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9B"/>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DD9"/>
    <w:rsid w:val="00637FDB"/>
    <w:rsid w:val="00640D71"/>
    <w:rsid w:val="00640FB3"/>
    <w:rsid w:val="00641BB7"/>
    <w:rsid w:val="00643D6C"/>
    <w:rsid w:val="006443ED"/>
    <w:rsid w:val="006445D2"/>
    <w:rsid w:val="00645887"/>
    <w:rsid w:val="0064661F"/>
    <w:rsid w:val="00647094"/>
    <w:rsid w:val="006505D9"/>
    <w:rsid w:val="00650880"/>
    <w:rsid w:val="00650D78"/>
    <w:rsid w:val="00651293"/>
    <w:rsid w:val="00653030"/>
    <w:rsid w:val="0065578F"/>
    <w:rsid w:val="00655A5C"/>
    <w:rsid w:val="00655B83"/>
    <w:rsid w:val="00655F33"/>
    <w:rsid w:val="00656AB0"/>
    <w:rsid w:val="00656C59"/>
    <w:rsid w:val="006578C2"/>
    <w:rsid w:val="00661AC2"/>
    <w:rsid w:val="00661B36"/>
    <w:rsid w:val="00663207"/>
    <w:rsid w:val="00663C67"/>
    <w:rsid w:val="00663F26"/>
    <w:rsid w:val="00666655"/>
    <w:rsid w:val="00666C54"/>
    <w:rsid w:val="00667C8B"/>
    <w:rsid w:val="00667D3E"/>
    <w:rsid w:val="00671C15"/>
    <w:rsid w:val="00672C9C"/>
    <w:rsid w:val="00673949"/>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853"/>
    <w:rsid w:val="006C60B5"/>
    <w:rsid w:val="006C693D"/>
    <w:rsid w:val="006C7D68"/>
    <w:rsid w:val="006D07EA"/>
    <w:rsid w:val="006D153C"/>
    <w:rsid w:val="006D16CB"/>
    <w:rsid w:val="006D1A5E"/>
    <w:rsid w:val="006D25FC"/>
    <w:rsid w:val="006D396A"/>
    <w:rsid w:val="006D3F2C"/>
    <w:rsid w:val="006D4186"/>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B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1AC6"/>
    <w:rsid w:val="007624E7"/>
    <w:rsid w:val="00764B6A"/>
    <w:rsid w:val="00766B6B"/>
    <w:rsid w:val="00766D4A"/>
    <w:rsid w:val="00766D7A"/>
    <w:rsid w:val="00767393"/>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DB5"/>
    <w:rsid w:val="007F36DE"/>
    <w:rsid w:val="007F4FC6"/>
    <w:rsid w:val="007F528B"/>
    <w:rsid w:val="007F53C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2F9"/>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D033C"/>
    <w:rsid w:val="008D0725"/>
    <w:rsid w:val="008D0B33"/>
    <w:rsid w:val="008D0B48"/>
    <w:rsid w:val="008D0D2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17A0"/>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074"/>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2B3B"/>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4BE"/>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1A12"/>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36DF2"/>
    <w:rsid w:val="00C400E5"/>
    <w:rsid w:val="00C4201F"/>
    <w:rsid w:val="00C420DF"/>
    <w:rsid w:val="00C4284F"/>
    <w:rsid w:val="00C42ACD"/>
    <w:rsid w:val="00C4317A"/>
    <w:rsid w:val="00C44C62"/>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56C"/>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793"/>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6B4B"/>
    <w:rsid w:val="00D2728D"/>
    <w:rsid w:val="00D27298"/>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87E0B"/>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3FCB"/>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477"/>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7C0"/>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D5B"/>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02E2"/>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1F3B"/>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C4E"/>
    <w:rsid w:val="00F83A74"/>
    <w:rsid w:val="00F84BAA"/>
    <w:rsid w:val="00F84D35"/>
    <w:rsid w:val="00F85756"/>
    <w:rsid w:val="00F85D73"/>
    <w:rsid w:val="00F86921"/>
    <w:rsid w:val="00F86E48"/>
    <w:rsid w:val="00F8725D"/>
    <w:rsid w:val="00F87384"/>
    <w:rsid w:val="00F87F8D"/>
    <w:rsid w:val="00F904F7"/>
    <w:rsid w:val="00F907B2"/>
    <w:rsid w:val="00F90BD9"/>
    <w:rsid w:val="00F90DE0"/>
    <w:rsid w:val="00F91EB7"/>
    <w:rsid w:val="00F92058"/>
    <w:rsid w:val="00F921F7"/>
    <w:rsid w:val="00F923A7"/>
    <w:rsid w:val="00F944D7"/>
    <w:rsid w:val="00F97F78"/>
    <w:rsid w:val="00FA17C7"/>
    <w:rsid w:val="00FA2526"/>
    <w:rsid w:val="00FA43A4"/>
    <w:rsid w:val="00FA499D"/>
    <w:rsid w:val="00FA5129"/>
    <w:rsid w:val="00FA62D8"/>
    <w:rsid w:val="00FA6732"/>
    <w:rsid w:val="00FA7275"/>
    <w:rsid w:val="00FA78E0"/>
    <w:rsid w:val="00FA7B5A"/>
    <w:rsid w:val="00FA7FCA"/>
    <w:rsid w:val="00FA7FF8"/>
    <w:rsid w:val="00FB1D01"/>
    <w:rsid w:val="00FB1D39"/>
    <w:rsid w:val="00FB3A38"/>
    <w:rsid w:val="00FB48D6"/>
    <w:rsid w:val="00FB52E0"/>
    <w:rsid w:val="00FB53E4"/>
    <w:rsid w:val="00FB59B6"/>
    <w:rsid w:val="00FB75C0"/>
    <w:rsid w:val="00FC02EA"/>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0313"/>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B210029-7B35-42AA-A223-C90757F4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043780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04693199">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2037707">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59443836">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187262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6330480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58000670">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18808112">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8723808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7935470">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968041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5938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1356738.page" TargetMode="External"/><Relationship Id="rId4" Type="http://schemas.openxmlformats.org/officeDocument/2006/relationships/settings" Target="settings.xml"/><Relationship Id="rId9" Type="http://schemas.openxmlformats.org/officeDocument/2006/relationships/hyperlink" Target="https://saimex.org.mx/saimex/solicitud/downloadAttach/1448044.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3EDC-C516-455D-BF01-26B3C24B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4248</Words>
  <Characters>23368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2021-11-30T23:45:00Z</cp:lastPrinted>
  <dcterms:created xsi:type="dcterms:W3CDTF">2022-08-17T07:26:00Z</dcterms:created>
  <dcterms:modified xsi:type="dcterms:W3CDTF">2022-09-09T18:11:00Z</dcterms:modified>
</cp:coreProperties>
</file>