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BC1F62" w14:textId="77777777" w:rsidR="000536D9" w:rsidRPr="00F16B80" w:rsidRDefault="000536D9" w:rsidP="000536D9">
      <w:pPr>
        <w:spacing w:before="100" w:beforeAutospacing="1" w:after="100" w:afterAutospacing="1" w:line="360" w:lineRule="auto"/>
        <w:jc w:val="both"/>
        <w:rPr>
          <w:rFonts w:ascii="Palatino Linotype" w:hAnsi="Palatino Linotype"/>
        </w:rPr>
      </w:pPr>
      <w:r w:rsidRPr="00F16B80">
        <w:rPr>
          <w:rFonts w:ascii="Palatino Linotype" w:hAnsi="Palatino Linotype"/>
        </w:rPr>
        <w:t>Resolución del Pleno del Instituto de Transparencia, Acceso a la Información Pública y Protección de Datos Personales del Estado de México y Municipios, con domicilio en Metepec, Estado de México, de fecha cuatro de mayo de dos mil veintidós.</w:t>
      </w:r>
    </w:p>
    <w:p w14:paraId="520CB74F" w14:textId="1474AD4E" w:rsidR="000536D9" w:rsidRPr="00F16B80" w:rsidRDefault="000536D9" w:rsidP="000536D9">
      <w:pPr>
        <w:spacing w:before="100" w:beforeAutospacing="1" w:after="100" w:afterAutospacing="1" w:line="360" w:lineRule="auto"/>
        <w:jc w:val="both"/>
        <w:rPr>
          <w:rFonts w:ascii="Palatino Linotype" w:hAnsi="Palatino Linotype"/>
        </w:rPr>
      </w:pPr>
      <w:r w:rsidRPr="00F16B80">
        <w:rPr>
          <w:rFonts w:ascii="Palatino Linotype" w:hAnsi="Palatino Linotype"/>
          <w:b/>
        </w:rPr>
        <w:t>VISTO</w:t>
      </w:r>
      <w:r w:rsidRPr="00F16B80">
        <w:rPr>
          <w:rFonts w:ascii="Palatino Linotype" w:hAnsi="Palatino Linotype"/>
        </w:rPr>
        <w:t xml:space="preserve"> el expediente formado con motivo del Recurso de Revisión </w:t>
      </w:r>
      <w:r w:rsidRPr="00F16B80">
        <w:rPr>
          <w:rFonts w:ascii="Palatino Linotype" w:hAnsi="Palatino Linotype"/>
          <w:b/>
        </w:rPr>
        <w:t>05562/INFOEM/IP/RR/2022</w:t>
      </w:r>
      <w:r w:rsidRPr="00F16B80">
        <w:rPr>
          <w:rFonts w:ascii="Palatino Linotype" w:hAnsi="Palatino Linotype"/>
        </w:rPr>
        <w:t xml:space="preserve">, promovido por el </w:t>
      </w:r>
      <w:r w:rsidRPr="00F16B80">
        <w:rPr>
          <w:rFonts w:ascii="Palatino Linotype" w:hAnsi="Palatino Linotype"/>
          <w:b/>
        </w:rPr>
        <w:t xml:space="preserve">C. </w:t>
      </w:r>
      <w:r w:rsidR="00D76CD2">
        <w:rPr>
          <w:rFonts w:ascii="Palatino Linotype" w:hAnsi="Palatino Linotype"/>
          <w:b/>
        </w:rPr>
        <w:t xml:space="preserve">XXXXXX </w:t>
      </w:r>
      <w:proofErr w:type="spellStart"/>
      <w:r w:rsidR="00D76CD2">
        <w:rPr>
          <w:rFonts w:ascii="Palatino Linotype" w:hAnsi="Palatino Linotype"/>
          <w:b/>
        </w:rPr>
        <w:t>XXXXXX</w:t>
      </w:r>
      <w:proofErr w:type="spellEnd"/>
      <w:r w:rsidR="00D76CD2">
        <w:rPr>
          <w:rFonts w:ascii="Palatino Linotype" w:hAnsi="Palatino Linotype"/>
          <w:b/>
        </w:rPr>
        <w:t xml:space="preserve"> </w:t>
      </w:r>
      <w:proofErr w:type="spellStart"/>
      <w:r w:rsidR="00D76CD2">
        <w:rPr>
          <w:rFonts w:ascii="Palatino Linotype" w:hAnsi="Palatino Linotype"/>
          <w:b/>
        </w:rPr>
        <w:t>XXXXXX</w:t>
      </w:r>
      <w:proofErr w:type="spellEnd"/>
      <w:r w:rsidRPr="00F16B80">
        <w:rPr>
          <w:rFonts w:ascii="Palatino Linotype" w:hAnsi="Palatino Linotype"/>
          <w:b/>
        </w:rPr>
        <w:t xml:space="preserve">, </w:t>
      </w:r>
      <w:r w:rsidRPr="00F16B80">
        <w:rPr>
          <w:rFonts w:ascii="Palatino Linotype" w:hAnsi="Palatino Linotype"/>
        </w:rPr>
        <w:t xml:space="preserve">a quien en lo sucesivo se le denominará </w:t>
      </w:r>
      <w:r w:rsidRPr="00F16B80">
        <w:rPr>
          <w:rFonts w:ascii="Palatino Linotype" w:hAnsi="Palatino Linotype"/>
          <w:b/>
        </w:rPr>
        <w:t xml:space="preserve">EL </w:t>
      </w:r>
      <w:r w:rsidRPr="00F16B80">
        <w:rPr>
          <w:rFonts w:ascii="Palatino Linotype" w:hAnsi="Palatino Linotype" w:cs="Arial"/>
          <w:b/>
        </w:rPr>
        <w:t>RECURRENTE</w:t>
      </w:r>
      <w:r w:rsidRPr="00F16B80">
        <w:rPr>
          <w:rFonts w:ascii="Palatino Linotype" w:hAnsi="Palatino Linotype"/>
        </w:rPr>
        <w:t>, en contra de la respuesta emitida por el</w:t>
      </w:r>
      <w:r w:rsidRPr="00F16B80">
        <w:rPr>
          <w:rFonts w:ascii="Palatino Linotype" w:hAnsi="Palatino Linotype"/>
          <w:b/>
        </w:rPr>
        <w:t xml:space="preserve"> </w:t>
      </w:r>
      <w:r w:rsidRPr="00F16B80">
        <w:rPr>
          <w:rFonts w:ascii="Palatino Linotype" w:hAnsi="Palatino Linotype" w:cs="Arial"/>
          <w:b/>
        </w:rPr>
        <w:t>Ayuntamiento de Temoaya</w:t>
      </w:r>
      <w:r w:rsidRPr="00F16B80">
        <w:rPr>
          <w:rFonts w:ascii="Palatino Linotype" w:hAnsi="Palatino Linotype"/>
          <w:b/>
        </w:rPr>
        <w:t xml:space="preserve">, </w:t>
      </w:r>
      <w:r w:rsidRPr="00F16B80">
        <w:rPr>
          <w:rFonts w:ascii="Palatino Linotype" w:hAnsi="Palatino Linotype"/>
        </w:rPr>
        <w:t xml:space="preserve">a quien en lo sucesivo se le denominará </w:t>
      </w:r>
      <w:r w:rsidRPr="00F16B80">
        <w:rPr>
          <w:rFonts w:ascii="Palatino Linotype" w:hAnsi="Palatino Linotype"/>
          <w:b/>
        </w:rPr>
        <w:t>EL SUJETO OBLIGADO</w:t>
      </w:r>
      <w:r w:rsidRPr="00F16B80">
        <w:rPr>
          <w:rFonts w:ascii="Palatino Linotype" w:hAnsi="Palatino Linotype"/>
        </w:rPr>
        <w:t>, se procede a dictar la presente resolución con base en lo siguiente:</w:t>
      </w:r>
    </w:p>
    <w:p w14:paraId="4CE14131" w14:textId="77777777" w:rsidR="000536D9" w:rsidRPr="00F16B80" w:rsidRDefault="000536D9" w:rsidP="000536D9">
      <w:pPr>
        <w:spacing w:before="100" w:beforeAutospacing="1" w:after="100" w:afterAutospacing="1" w:line="360" w:lineRule="auto"/>
        <w:jc w:val="center"/>
        <w:rPr>
          <w:rFonts w:ascii="Palatino Linotype" w:hAnsi="Palatino Linotype"/>
          <w:b/>
          <w:bCs/>
          <w:spacing w:val="60"/>
          <w:sz w:val="28"/>
        </w:rPr>
      </w:pPr>
      <w:r w:rsidRPr="00F16B80">
        <w:rPr>
          <w:rFonts w:ascii="Palatino Linotype" w:hAnsi="Palatino Linotype"/>
          <w:b/>
          <w:bCs/>
          <w:spacing w:val="60"/>
          <w:sz w:val="28"/>
        </w:rPr>
        <w:t>ANTECEDENTES:</w:t>
      </w:r>
    </w:p>
    <w:p w14:paraId="788ED96D" w14:textId="77777777" w:rsidR="000536D9" w:rsidRPr="00F16B80" w:rsidRDefault="000536D9" w:rsidP="000536D9">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F16B80">
        <w:rPr>
          <w:rFonts w:ascii="Palatino Linotype" w:hAnsi="Palatino Linotype"/>
          <w:b/>
          <w:sz w:val="28"/>
          <w:szCs w:val="28"/>
        </w:rPr>
        <w:t>I.</w:t>
      </w:r>
      <w:r w:rsidRPr="00F16B80">
        <w:rPr>
          <w:rFonts w:ascii="Palatino Linotype" w:hAnsi="Palatino Linotype"/>
          <w:sz w:val="28"/>
          <w:szCs w:val="28"/>
        </w:rPr>
        <w:t xml:space="preserve"> </w:t>
      </w:r>
      <w:r w:rsidRPr="00F16B80">
        <w:rPr>
          <w:rFonts w:ascii="Palatino Linotype" w:hAnsi="Palatino Linotype"/>
          <w:b/>
          <w:bCs/>
          <w:sz w:val="28"/>
          <w:szCs w:val="28"/>
        </w:rPr>
        <w:t>De la Solicitud de Información:</w:t>
      </w:r>
    </w:p>
    <w:p w14:paraId="1B3828A1" w14:textId="77777777" w:rsidR="000536D9" w:rsidRPr="00F16B80" w:rsidRDefault="000536D9" w:rsidP="000536D9">
      <w:pPr>
        <w:pStyle w:val="Prrafodelista"/>
        <w:tabs>
          <w:tab w:val="left" w:pos="709"/>
        </w:tabs>
        <w:spacing w:before="100" w:beforeAutospacing="1" w:after="100" w:afterAutospacing="1" w:line="360" w:lineRule="auto"/>
        <w:ind w:left="0"/>
        <w:jc w:val="both"/>
        <w:rPr>
          <w:rFonts w:ascii="Palatino Linotype" w:hAnsi="Palatino Linotype"/>
          <w:b/>
        </w:rPr>
      </w:pPr>
      <w:r w:rsidRPr="00F16B80">
        <w:rPr>
          <w:rFonts w:ascii="Palatino Linotype" w:hAnsi="Palatino Linotype"/>
        </w:rPr>
        <w:t xml:space="preserve">En </w:t>
      </w:r>
      <w:r w:rsidRPr="00F16B80">
        <w:rPr>
          <w:rFonts w:ascii="Palatino Linotype" w:hAnsi="Palatino Linotype" w:cs="Arial"/>
        </w:rPr>
        <w:t xml:space="preserve">fecha catorce de marzo de dos mil veintidós, </w:t>
      </w:r>
      <w:r w:rsidRPr="00F16B80">
        <w:rPr>
          <w:rFonts w:ascii="Palatino Linotype" w:hAnsi="Palatino Linotype" w:cs="Arial"/>
          <w:b/>
        </w:rPr>
        <w:t xml:space="preserve">EL RECURRENTE </w:t>
      </w:r>
      <w:r w:rsidRPr="00F16B80">
        <w:rPr>
          <w:rFonts w:ascii="Palatino Linotype" w:hAnsi="Palatino Linotype"/>
        </w:rPr>
        <w:t xml:space="preserve">presentó </w:t>
      </w:r>
      <w:r w:rsidRPr="00F16B80">
        <w:rPr>
          <w:rFonts w:ascii="Palatino Linotype" w:hAnsi="Palatino Linotype" w:cs="Arial"/>
        </w:rPr>
        <w:t xml:space="preserve">a través del Sistema de Acceso a la Información Mexiquense, que en lo subsecuente se denominará </w:t>
      </w:r>
      <w:r w:rsidRPr="00F16B80">
        <w:rPr>
          <w:rFonts w:ascii="Palatino Linotype" w:hAnsi="Palatino Linotype" w:cs="Arial"/>
          <w:b/>
        </w:rPr>
        <w:t>EL SAIMEX,</w:t>
      </w:r>
      <w:r w:rsidRPr="00F16B80">
        <w:rPr>
          <w:rFonts w:ascii="Palatino Linotype" w:hAnsi="Palatino Linotype"/>
        </w:rPr>
        <w:t xml:space="preserve"> ante </w:t>
      </w:r>
      <w:r w:rsidRPr="00F16B80">
        <w:rPr>
          <w:rFonts w:ascii="Palatino Linotype" w:hAnsi="Palatino Linotype"/>
          <w:b/>
        </w:rPr>
        <w:t>EL SUJETO OBLIGADO</w:t>
      </w:r>
      <w:r w:rsidRPr="00F16B80">
        <w:rPr>
          <w:rFonts w:ascii="Palatino Linotype" w:hAnsi="Palatino Linotype"/>
        </w:rPr>
        <w:t xml:space="preserve">, la solicitud de acceso a la Información Pública a la que se le asignó el número </w:t>
      </w:r>
      <w:r w:rsidRPr="00F16B80">
        <w:rPr>
          <w:rFonts w:ascii="Palatino Linotype" w:hAnsi="Palatino Linotype" w:cs="Arial"/>
          <w:b/>
        </w:rPr>
        <w:t>00047/TEMOAYA/IP/2022,</w:t>
      </w:r>
      <w:r w:rsidRPr="00F16B80">
        <w:rPr>
          <w:rFonts w:ascii="Palatino Linotype" w:hAnsi="Palatino Linotype"/>
        </w:rPr>
        <w:t xml:space="preserve"> mediante la cual requirió, lo siguiente:</w:t>
      </w:r>
    </w:p>
    <w:p w14:paraId="547B700B" w14:textId="77777777" w:rsidR="000536D9" w:rsidRPr="00F16B80" w:rsidRDefault="000536D9" w:rsidP="000536D9">
      <w:pPr>
        <w:ind w:left="851" w:right="616"/>
        <w:jc w:val="both"/>
        <w:rPr>
          <w:rFonts w:ascii="Palatino Linotype" w:hAnsi="Palatino Linotype"/>
          <w:i/>
          <w:sz w:val="22"/>
          <w:szCs w:val="22"/>
        </w:rPr>
      </w:pPr>
      <w:r w:rsidRPr="00F16B80">
        <w:rPr>
          <w:rFonts w:ascii="Palatino Linotype" w:hAnsi="Palatino Linotype"/>
          <w:i/>
          <w:sz w:val="22"/>
          <w:szCs w:val="22"/>
        </w:rPr>
        <w:t>“solicito de la contraloría y del departamento de recursos humanos todos los correos electrónicos enviados y recibidos de todo el personal adscrito del 1 de enero 2022 al 11 de marzo de 2022.” (Sic)</w:t>
      </w:r>
    </w:p>
    <w:p w14:paraId="1E8641BF" w14:textId="77777777" w:rsidR="000536D9" w:rsidRPr="00F16B80" w:rsidRDefault="000536D9" w:rsidP="000536D9">
      <w:pPr>
        <w:spacing w:before="100" w:beforeAutospacing="1" w:after="100" w:afterAutospacing="1"/>
        <w:ind w:right="709"/>
        <w:jc w:val="both"/>
        <w:rPr>
          <w:rFonts w:ascii="Palatino Linotype" w:hAnsi="Palatino Linotype"/>
          <w:b/>
        </w:rPr>
      </w:pPr>
      <w:r w:rsidRPr="00F16B80">
        <w:rPr>
          <w:rFonts w:ascii="Palatino Linotype" w:hAnsi="Palatino Linotype"/>
          <w:b/>
        </w:rPr>
        <w:t xml:space="preserve">Modalidad de entrega: </w:t>
      </w:r>
      <w:r w:rsidRPr="00F16B80">
        <w:rPr>
          <w:rFonts w:ascii="Palatino Linotype" w:hAnsi="Palatino Linotype"/>
        </w:rPr>
        <w:t xml:space="preserve">vía </w:t>
      </w:r>
      <w:r w:rsidRPr="00F16B80">
        <w:rPr>
          <w:rFonts w:ascii="Palatino Linotype" w:hAnsi="Palatino Linotype"/>
          <w:b/>
        </w:rPr>
        <w:t>SAIMEX</w:t>
      </w:r>
    </w:p>
    <w:p w14:paraId="1F94F782" w14:textId="77777777" w:rsidR="000536D9" w:rsidRPr="00F16B80" w:rsidRDefault="000536D9" w:rsidP="000536D9">
      <w:pPr>
        <w:spacing w:line="360" w:lineRule="auto"/>
        <w:jc w:val="both"/>
        <w:rPr>
          <w:rFonts w:ascii="Palatino Linotype" w:eastAsia="Palatino Linotype" w:hAnsi="Palatino Linotype" w:cs="Palatino Linotype"/>
          <w:b/>
          <w:sz w:val="28"/>
          <w:szCs w:val="28"/>
        </w:rPr>
      </w:pPr>
      <w:r w:rsidRPr="00F16B80">
        <w:rPr>
          <w:rFonts w:ascii="Palatino Linotype" w:hAnsi="Palatino Linotype" w:cs="Arial"/>
          <w:b/>
          <w:sz w:val="28"/>
          <w:szCs w:val="28"/>
        </w:rPr>
        <w:t xml:space="preserve">II. </w:t>
      </w:r>
      <w:r w:rsidRPr="00F16B80">
        <w:rPr>
          <w:rFonts w:ascii="Palatino Linotype" w:eastAsia="Palatino Linotype" w:hAnsi="Palatino Linotype" w:cs="Palatino Linotype"/>
          <w:b/>
          <w:sz w:val="28"/>
          <w:szCs w:val="28"/>
        </w:rPr>
        <w:t>Turno de requerimiento del Sujeto Obligado</w:t>
      </w:r>
    </w:p>
    <w:p w14:paraId="30E7F5C4" w14:textId="77777777" w:rsidR="000536D9" w:rsidRPr="00F16B80" w:rsidRDefault="000536D9" w:rsidP="000536D9">
      <w:pPr>
        <w:widowControl w:val="0"/>
        <w:spacing w:before="100" w:beforeAutospacing="1" w:after="100" w:afterAutospacing="1" w:line="360" w:lineRule="auto"/>
        <w:jc w:val="both"/>
        <w:rPr>
          <w:rFonts w:ascii="Palatino Linotype" w:eastAsia="Palatino Linotype" w:hAnsi="Palatino Linotype" w:cs="Palatino Linotype"/>
        </w:rPr>
      </w:pPr>
      <w:r w:rsidRPr="00F16B80">
        <w:rPr>
          <w:rFonts w:ascii="Palatino Linotype" w:eastAsia="Palatino Linotype" w:hAnsi="Palatino Linotype" w:cs="Palatino Linotype"/>
        </w:rPr>
        <w:lastRenderedPageBreak/>
        <w:t xml:space="preserve">De las constancias que obran en el expediente electrónico del </w:t>
      </w:r>
      <w:r w:rsidRPr="00F16B80">
        <w:rPr>
          <w:rFonts w:ascii="Palatino Linotype" w:eastAsia="Palatino Linotype" w:hAnsi="Palatino Linotype" w:cs="Palatino Linotype"/>
          <w:b/>
        </w:rPr>
        <w:t>SAIMEX</w:t>
      </w:r>
      <w:r w:rsidRPr="00F16B80">
        <w:rPr>
          <w:rFonts w:ascii="Palatino Linotype" w:eastAsia="Palatino Linotype" w:hAnsi="Palatino Linotype" w:cs="Palatino Linotype"/>
        </w:rPr>
        <w:t xml:space="preserve">, se advierte que el Titular de la Unidad de Transparencia turnó mediante requerimiento del contenido de la solicitud de información a los servidores públicos habilitados que estimó competentes, a efecto de que realizarán la búsqueda y localización de la información solicitada en cumplimiento al artículo 162 de la Ley de Transparencia y Acceso a la Información Pública del Estado de México y Municipios, tal y como se aprecia en la captura de pantalla que se inserta a continuación: </w:t>
      </w:r>
    </w:p>
    <w:p w14:paraId="4DCC3B3E" w14:textId="77777777" w:rsidR="000536D9" w:rsidRPr="00F16B80" w:rsidRDefault="000536D9" w:rsidP="000536D9">
      <w:pPr>
        <w:widowControl w:val="0"/>
        <w:spacing w:line="360" w:lineRule="auto"/>
        <w:jc w:val="center"/>
        <w:rPr>
          <w:rFonts w:ascii="Palatino Linotype" w:eastAsia="Palatino Linotype" w:hAnsi="Palatino Linotype" w:cs="Palatino Linotype"/>
          <w:noProof/>
          <w:lang w:val="es-ES"/>
        </w:rPr>
      </w:pPr>
      <w:r w:rsidRPr="00F16B80">
        <w:rPr>
          <w:noProof/>
          <w:lang w:eastAsia="es-MX"/>
        </w:rPr>
        <w:drawing>
          <wp:inline distT="0" distB="0" distL="0" distR="0" wp14:anchorId="1A401FBA" wp14:editId="290DD6A6">
            <wp:extent cx="5532939" cy="6122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43" t="29973" r="27738" b="57176"/>
                    <a:stretch/>
                  </pic:blipFill>
                  <pic:spPr bwMode="auto">
                    <a:xfrm>
                      <a:off x="0" y="0"/>
                      <a:ext cx="5606089" cy="620345"/>
                    </a:xfrm>
                    <a:prstGeom prst="rect">
                      <a:avLst/>
                    </a:prstGeom>
                    <a:ln>
                      <a:noFill/>
                    </a:ln>
                    <a:extLst>
                      <a:ext uri="{53640926-AAD7-44D8-BBD7-CCE9431645EC}">
                        <a14:shadowObscured xmlns:a14="http://schemas.microsoft.com/office/drawing/2010/main"/>
                      </a:ext>
                    </a:extLst>
                  </pic:spPr>
                </pic:pic>
              </a:graphicData>
            </a:graphic>
          </wp:inline>
        </w:drawing>
      </w:r>
    </w:p>
    <w:p w14:paraId="2F09879A" w14:textId="77777777" w:rsidR="000536D9" w:rsidRPr="00F16B80" w:rsidRDefault="000536D9" w:rsidP="000536D9">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F16B80">
        <w:rPr>
          <w:rFonts w:ascii="Palatino Linotype" w:hAnsi="Palatino Linotype" w:cs="Arial"/>
          <w:b/>
          <w:sz w:val="28"/>
          <w:szCs w:val="28"/>
        </w:rPr>
        <w:t>III. Respuesta del Sujeto Obligado:</w:t>
      </w:r>
    </w:p>
    <w:p w14:paraId="1BA3DCC4" w14:textId="77777777" w:rsidR="000536D9" w:rsidRPr="00F16B80" w:rsidRDefault="000536D9" w:rsidP="000536D9">
      <w:pPr>
        <w:pStyle w:val="Prrafodelista"/>
        <w:tabs>
          <w:tab w:val="left" w:pos="709"/>
        </w:tabs>
        <w:spacing w:before="100" w:beforeAutospacing="1" w:after="100" w:afterAutospacing="1" w:line="360" w:lineRule="auto"/>
        <w:ind w:left="0"/>
        <w:jc w:val="both"/>
        <w:rPr>
          <w:rFonts w:ascii="Palatino Linotype" w:hAnsi="Palatino Linotype" w:cs="Arial"/>
        </w:rPr>
      </w:pPr>
      <w:r w:rsidRPr="00F16B80">
        <w:rPr>
          <w:rFonts w:ascii="Palatino Linotype" w:hAnsi="Palatino Linotype" w:cs="Arial"/>
        </w:rPr>
        <w:t xml:space="preserve">Del expediente electrónico conformado en el </w:t>
      </w:r>
      <w:r w:rsidRPr="00F16B80">
        <w:rPr>
          <w:rFonts w:ascii="Palatino Linotype" w:hAnsi="Palatino Linotype" w:cs="Arial"/>
          <w:b/>
        </w:rPr>
        <w:t>SAIMEX</w:t>
      </w:r>
      <w:r w:rsidRPr="00F16B80">
        <w:rPr>
          <w:rFonts w:ascii="Palatino Linotype" w:hAnsi="Palatino Linotype" w:cs="Arial"/>
        </w:rPr>
        <w:t xml:space="preserve">, del Recurso de Revisión materia del presente estudio, se advierte que en fecha cinco de abril de dos mil veintidós, </w:t>
      </w:r>
      <w:r w:rsidRPr="00F16B80">
        <w:rPr>
          <w:rFonts w:ascii="Palatino Linotype" w:hAnsi="Palatino Linotype" w:cs="Arial"/>
          <w:b/>
        </w:rPr>
        <w:t xml:space="preserve">EL SUJETO OBLIGADO </w:t>
      </w:r>
      <w:r w:rsidRPr="00F16B80">
        <w:rPr>
          <w:rFonts w:ascii="Palatino Linotype" w:hAnsi="Palatino Linotype" w:cs="Arial"/>
        </w:rPr>
        <w:t>dio respuesta a través de los archivos electrónicos que se describen a continuación:</w:t>
      </w:r>
    </w:p>
    <w:p w14:paraId="7858F90E" w14:textId="77777777" w:rsidR="000536D9" w:rsidRPr="00F16B80" w:rsidRDefault="003B6445" w:rsidP="000536D9">
      <w:pPr>
        <w:pStyle w:val="Prrafodelista"/>
        <w:numPr>
          <w:ilvl w:val="0"/>
          <w:numId w:val="5"/>
        </w:numPr>
        <w:tabs>
          <w:tab w:val="left" w:pos="709"/>
        </w:tabs>
        <w:spacing w:before="100" w:beforeAutospacing="1" w:after="100" w:afterAutospacing="1" w:line="360" w:lineRule="auto"/>
        <w:jc w:val="both"/>
        <w:rPr>
          <w:rFonts w:ascii="Palatino Linotype" w:hAnsi="Palatino Linotype" w:cs="Arial"/>
          <w:b/>
        </w:rPr>
      </w:pPr>
      <w:hyperlink r:id="rId9" w:tgtFrame="_blank" w:history="1">
        <w:r w:rsidR="000536D9" w:rsidRPr="00F16B80">
          <w:rPr>
            <w:rFonts w:ascii="Palatino Linotype" w:hAnsi="Palatino Linotype"/>
            <w:b/>
          </w:rPr>
          <w:t>RESPUESTA SAIMEX 0047-2022.pdf</w:t>
        </w:r>
      </w:hyperlink>
      <w:r w:rsidR="000536D9" w:rsidRPr="00F16B80">
        <w:rPr>
          <w:rFonts w:ascii="Palatino Linotype" w:hAnsi="Palatino Linotype" w:cs="Arial"/>
          <w:b/>
        </w:rPr>
        <w:t xml:space="preserve">: </w:t>
      </w:r>
      <w:r w:rsidR="000536D9" w:rsidRPr="00F16B80">
        <w:rPr>
          <w:rFonts w:ascii="Palatino Linotype" w:hAnsi="Palatino Linotype" w:cs="Arial"/>
        </w:rPr>
        <w:t xml:space="preserve">contiene el oficio número DRH/282/2022, de fecha veintiocho de marzo del presente año signado por el Jefe del Departamento de Recursos Humanos, mediante el cual </w:t>
      </w:r>
      <w:r w:rsidR="00576870" w:rsidRPr="00F16B80">
        <w:rPr>
          <w:rFonts w:ascii="Palatino Linotype" w:hAnsi="Palatino Linotype" w:cs="Arial"/>
        </w:rPr>
        <w:t>informó al Titular de la Unidad de Transparencia que a la fecha de su respuesta no se han enviado a otras áreas administrativas correos electrónicos  y sólo se habían recibido tres en esa Jefatura.</w:t>
      </w:r>
    </w:p>
    <w:p w14:paraId="08579496" w14:textId="77777777" w:rsidR="00576870" w:rsidRPr="00F16B80" w:rsidRDefault="003B6445" w:rsidP="000536D9">
      <w:pPr>
        <w:pStyle w:val="Prrafodelista"/>
        <w:numPr>
          <w:ilvl w:val="0"/>
          <w:numId w:val="5"/>
        </w:numPr>
        <w:tabs>
          <w:tab w:val="left" w:pos="709"/>
        </w:tabs>
        <w:spacing w:before="100" w:beforeAutospacing="1" w:after="100" w:afterAutospacing="1" w:line="360" w:lineRule="auto"/>
        <w:jc w:val="both"/>
        <w:rPr>
          <w:rFonts w:ascii="Palatino Linotype" w:hAnsi="Palatino Linotype" w:cs="Arial"/>
          <w:b/>
        </w:rPr>
      </w:pPr>
      <w:hyperlink r:id="rId10" w:tgtFrame="_blank" w:history="1">
        <w:r w:rsidR="000536D9" w:rsidRPr="00F16B80">
          <w:rPr>
            <w:rFonts w:ascii="Palatino Linotype" w:hAnsi="Palatino Linotype"/>
            <w:b/>
          </w:rPr>
          <w:t>CONTRALORIA M. 00047.pdf</w:t>
        </w:r>
      </w:hyperlink>
      <w:r w:rsidR="00576870" w:rsidRPr="00F16B80">
        <w:rPr>
          <w:rFonts w:ascii="Palatino Linotype" w:hAnsi="Palatino Linotype" w:cs="Arial"/>
          <w:b/>
        </w:rPr>
        <w:t xml:space="preserve">: </w:t>
      </w:r>
      <w:r w:rsidR="00576870" w:rsidRPr="00F16B80">
        <w:rPr>
          <w:rFonts w:ascii="Palatino Linotype" w:hAnsi="Palatino Linotype" w:cs="Arial"/>
        </w:rPr>
        <w:t xml:space="preserve">contiene el oficio número CM/0305/2022, de fecha veintidós de marzo de la anualidad, firmado por el Contralor </w:t>
      </w:r>
      <w:r w:rsidR="00576870" w:rsidRPr="00F16B80">
        <w:rPr>
          <w:rFonts w:ascii="Palatino Linotype" w:hAnsi="Palatino Linotype" w:cs="Arial"/>
        </w:rPr>
        <w:lastRenderedPageBreak/>
        <w:t xml:space="preserve">Municipal, </w:t>
      </w:r>
      <w:r w:rsidR="00A53096" w:rsidRPr="00F16B80">
        <w:rPr>
          <w:rFonts w:ascii="Palatino Linotype" w:hAnsi="Palatino Linotype" w:cs="Arial"/>
        </w:rPr>
        <w:t xml:space="preserve">mismo que además de las capturas de pantalla del correo solicitado contiene lo </w:t>
      </w:r>
      <w:r w:rsidR="00576870" w:rsidRPr="00F16B80">
        <w:rPr>
          <w:rFonts w:ascii="Palatino Linotype" w:hAnsi="Palatino Linotype" w:cs="Arial"/>
        </w:rPr>
        <w:t>siguiente:</w:t>
      </w:r>
    </w:p>
    <w:p w14:paraId="22EBF3C5" w14:textId="77777777" w:rsidR="000536D9" w:rsidRPr="00F16B80" w:rsidRDefault="00576870" w:rsidP="00576870">
      <w:pPr>
        <w:pStyle w:val="Prrafodelista"/>
        <w:tabs>
          <w:tab w:val="left" w:pos="709"/>
        </w:tabs>
        <w:spacing w:before="100" w:beforeAutospacing="1" w:after="100" w:afterAutospacing="1" w:line="360" w:lineRule="auto"/>
        <w:ind w:left="720"/>
        <w:jc w:val="center"/>
        <w:rPr>
          <w:rFonts w:ascii="Palatino Linotype" w:hAnsi="Palatino Linotype" w:cs="Arial"/>
          <w:b/>
        </w:rPr>
      </w:pPr>
      <w:r w:rsidRPr="00F16B80">
        <w:rPr>
          <w:noProof/>
          <w:lang w:eastAsia="es-MX"/>
        </w:rPr>
        <w:drawing>
          <wp:inline distT="0" distB="0" distL="0" distR="0" wp14:anchorId="12F05B00" wp14:editId="29DFC76C">
            <wp:extent cx="4325961" cy="28068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855" t="19396" r="5774" b="31726"/>
                    <a:stretch/>
                  </pic:blipFill>
                  <pic:spPr bwMode="auto">
                    <a:xfrm>
                      <a:off x="0" y="0"/>
                      <a:ext cx="4352345" cy="2823930"/>
                    </a:xfrm>
                    <a:prstGeom prst="rect">
                      <a:avLst/>
                    </a:prstGeom>
                    <a:ln>
                      <a:noFill/>
                    </a:ln>
                    <a:extLst>
                      <a:ext uri="{53640926-AAD7-44D8-BBD7-CCE9431645EC}">
                        <a14:shadowObscured xmlns:a14="http://schemas.microsoft.com/office/drawing/2010/main"/>
                      </a:ext>
                    </a:extLst>
                  </pic:spPr>
                </pic:pic>
              </a:graphicData>
            </a:graphic>
          </wp:inline>
        </w:drawing>
      </w:r>
    </w:p>
    <w:p w14:paraId="50F385A9" w14:textId="77777777" w:rsidR="00576870" w:rsidRPr="00F16B80" w:rsidRDefault="00576870" w:rsidP="00576870">
      <w:pPr>
        <w:pStyle w:val="Prrafodelista"/>
        <w:tabs>
          <w:tab w:val="left" w:pos="709"/>
        </w:tabs>
        <w:spacing w:before="100" w:beforeAutospacing="1" w:after="100" w:afterAutospacing="1" w:line="360" w:lineRule="auto"/>
        <w:ind w:left="720"/>
        <w:jc w:val="center"/>
        <w:rPr>
          <w:rFonts w:ascii="Palatino Linotype" w:hAnsi="Palatino Linotype" w:cs="Arial"/>
          <w:b/>
        </w:rPr>
      </w:pPr>
      <w:r w:rsidRPr="00F16B80">
        <w:rPr>
          <w:noProof/>
          <w:lang w:eastAsia="es-MX"/>
        </w:rPr>
        <w:drawing>
          <wp:inline distT="0" distB="0" distL="0" distR="0" wp14:anchorId="08F24B76" wp14:editId="52459D72">
            <wp:extent cx="4228242" cy="842838"/>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280" t="40555" r="5069" b="44330"/>
                    <a:stretch/>
                  </pic:blipFill>
                  <pic:spPr bwMode="auto">
                    <a:xfrm>
                      <a:off x="0" y="0"/>
                      <a:ext cx="4255594" cy="848290"/>
                    </a:xfrm>
                    <a:prstGeom prst="rect">
                      <a:avLst/>
                    </a:prstGeom>
                    <a:ln>
                      <a:noFill/>
                    </a:ln>
                    <a:extLst>
                      <a:ext uri="{53640926-AAD7-44D8-BBD7-CCE9431645EC}">
                        <a14:shadowObscured xmlns:a14="http://schemas.microsoft.com/office/drawing/2010/main"/>
                      </a:ext>
                    </a:extLst>
                  </pic:spPr>
                </pic:pic>
              </a:graphicData>
            </a:graphic>
          </wp:inline>
        </w:drawing>
      </w:r>
    </w:p>
    <w:p w14:paraId="295B8DF8" w14:textId="77777777" w:rsidR="000536D9" w:rsidRPr="00F16B80" w:rsidRDefault="003B6445" w:rsidP="000536D9">
      <w:pPr>
        <w:pStyle w:val="Prrafodelista"/>
        <w:numPr>
          <w:ilvl w:val="0"/>
          <w:numId w:val="5"/>
        </w:numPr>
        <w:tabs>
          <w:tab w:val="left" w:pos="709"/>
        </w:tabs>
        <w:spacing w:before="100" w:beforeAutospacing="1" w:after="100" w:afterAutospacing="1" w:line="360" w:lineRule="auto"/>
        <w:jc w:val="both"/>
        <w:rPr>
          <w:rFonts w:ascii="Palatino Linotype" w:hAnsi="Palatino Linotype" w:cs="Arial"/>
          <w:b/>
        </w:rPr>
      </w:pPr>
      <w:hyperlink r:id="rId13" w:tgtFrame="_blank" w:history="1">
        <w:r w:rsidR="000536D9" w:rsidRPr="00F16B80">
          <w:rPr>
            <w:rFonts w:ascii="Palatino Linotype" w:hAnsi="Palatino Linotype"/>
            <w:b/>
          </w:rPr>
          <w:t>SEGUNDA SESIÓN ORDINARIA.pdf</w:t>
        </w:r>
      </w:hyperlink>
      <w:r w:rsidR="00A53096" w:rsidRPr="00F16B80">
        <w:rPr>
          <w:rFonts w:ascii="Palatino Linotype" w:hAnsi="Palatino Linotype" w:cs="Arial"/>
          <w:b/>
        </w:rPr>
        <w:t xml:space="preserve">: </w:t>
      </w:r>
      <w:r w:rsidR="00A53096" w:rsidRPr="00F16B80">
        <w:rPr>
          <w:rFonts w:ascii="Palatino Linotype" w:hAnsi="Palatino Linotype" w:cs="Arial"/>
        </w:rPr>
        <w:t>contiene el Acta de la Segunda Sesión del Comité de transparencia del Ayuntamiento de Temoaya, de fecha veintinueve de marzo de la anualidad y en la que se aprobó la versión pública de los correos solicitados.</w:t>
      </w:r>
    </w:p>
    <w:p w14:paraId="38623A50" w14:textId="77777777" w:rsidR="000536D9" w:rsidRPr="00F16B80" w:rsidRDefault="00A53096" w:rsidP="000536D9">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F16B80">
        <w:rPr>
          <w:rFonts w:ascii="Palatino Linotype" w:hAnsi="Palatino Linotype" w:cs="Arial"/>
          <w:b/>
          <w:sz w:val="28"/>
          <w:szCs w:val="28"/>
        </w:rPr>
        <w:t>I</w:t>
      </w:r>
      <w:r w:rsidR="000536D9" w:rsidRPr="00F16B80">
        <w:rPr>
          <w:rFonts w:ascii="Palatino Linotype" w:hAnsi="Palatino Linotype" w:cs="Arial"/>
          <w:b/>
          <w:sz w:val="28"/>
          <w:szCs w:val="28"/>
        </w:rPr>
        <w:t>V.</w:t>
      </w:r>
      <w:r w:rsidR="000536D9" w:rsidRPr="00F16B80">
        <w:rPr>
          <w:rFonts w:ascii="Palatino Linotype" w:hAnsi="Palatino Linotype" w:cs="Arial"/>
          <w:sz w:val="28"/>
          <w:szCs w:val="28"/>
        </w:rPr>
        <w:t xml:space="preserve"> </w:t>
      </w:r>
      <w:r w:rsidR="000536D9" w:rsidRPr="00F16B80">
        <w:rPr>
          <w:rFonts w:ascii="Palatino Linotype" w:hAnsi="Palatino Linotype" w:cs="Arial"/>
          <w:b/>
          <w:bCs/>
          <w:sz w:val="28"/>
          <w:szCs w:val="28"/>
        </w:rPr>
        <w:t>Del Recurso de Revisión.</w:t>
      </w:r>
    </w:p>
    <w:p w14:paraId="2B63D306" w14:textId="77777777" w:rsidR="000536D9" w:rsidRPr="00F16B80" w:rsidRDefault="000536D9" w:rsidP="000536D9">
      <w:pPr>
        <w:pStyle w:val="Prrafodelista"/>
        <w:tabs>
          <w:tab w:val="left" w:pos="709"/>
        </w:tabs>
        <w:spacing w:before="100" w:beforeAutospacing="1" w:after="100" w:afterAutospacing="1" w:line="360" w:lineRule="auto"/>
        <w:ind w:left="0"/>
        <w:jc w:val="both"/>
        <w:rPr>
          <w:rFonts w:ascii="Palatino Linotype" w:hAnsi="Palatino Linotype" w:cs="Arial"/>
        </w:rPr>
      </w:pPr>
      <w:r w:rsidRPr="00F16B80">
        <w:rPr>
          <w:rFonts w:ascii="Palatino Linotype" w:hAnsi="Palatino Linotype"/>
        </w:rPr>
        <w:t xml:space="preserve">En fecha </w:t>
      </w:r>
      <w:r w:rsidR="00A53096" w:rsidRPr="00F16B80">
        <w:rPr>
          <w:rFonts w:ascii="Palatino Linotype" w:hAnsi="Palatino Linotype"/>
        </w:rPr>
        <w:t>cinco de abril d</w:t>
      </w:r>
      <w:r w:rsidRPr="00F16B80">
        <w:rPr>
          <w:rFonts w:ascii="Palatino Linotype" w:hAnsi="Palatino Linotype"/>
        </w:rPr>
        <w:t>e dos mil veintidós, el particular presentó ante este Instituto el Recurso de Revisión materia del presente estudio, a través del</w:t>
      </w:r>
      <w:r w:rsidRPr="00F16B80">
        <w:rPr>
          <w:rFonts w:ascii="Palatino Linotype" w:hAnsi="Palatino Linotype"/>
          <w:b/>
        </w:rPr>
        <w:t xml:space="preserve"> SAIMEX, </w:t>
      </w:r>
      <w:r w:rsidRPr="00F16B80">
        <w:rPr>
          <w:rFonts w:ascii="Palatino Linotype" w:hAnsi="Palatino Linotype"/>
        </w:rPr>
        <w:t xml:space="preserve">al que se </w:t>
      </w:r>
      <w:r w:rsidRPr="00F16B80">
        <w:rPr>
          <w:rFonts w:ascii="Palatino Linotype" w:hAnsi="Palatino Linotype"/>
        </w:rPr>
        <w:lastRenderedPageBreak/>
        <w:t xml:space="preserve">le asignó el </w:t>
      </w:r>
      <w:r w:rsidRPr="00F16B80">
        <w:rPr>
          <w:rFonts w:ascii="Palatino Linotype" w:hAnsi="Palatino Linotype" w:cs="Arial"/>
        </w:rPr>
        <w:t xml:space="preserve">número al rubro citado, en contra de la respuesta otorgada por </w:t>
      </w:r>
      <w:r w:rsidRPr="00F16B80">
        <w:rPr>
          <w:rFonts w:ascii="Palatino Linotype" w:hAnsi="Palatino Linotype" w:cs="Arial"/>
          <w:b/>
        </w:rPr>
        <w:t xml:space="preserve">EL SUJETO OBLIGADO </w:t>
      </w:r>
      <w:r w:rsidRPr="00F16B80">
        <w:rPr>
          <w:rFonts w:ascii="Palatino Linotype" w:hAnsi="Palatino Linotype" w:cs="Arial"/>
        </w:rPr>
        <w:t xml:space="preserve">y en el cual </w:t>
      </w:r>
      <w:r w:rsidRPr="00F16B80">
        <w:rPr>
          <w:rFonts w:ascii="Palatino Linotype" w:hAnsi="Palatino Linotype" w:cs="Arial"/>
          <w:b/>
        </w:rPr>
        <w:t xml:space="preserve">EL RECURRENTE </w:t>
      </w:r>
      <w:r w:rsidRPr="00F16B80">
        <w:rPr>
          <w:rFonts w:ascii="Palatino Linotype" w:hAnsi="Palatino Linotype" w:cs="Arial"/>
        </w:rPr>
        <w:t xml:space="preserve">señaló las siguientes manifestaciones: </w:t>
      </w:r>
    </w:p>
    <w:p w14:paraId="2FA35D5B" w14:textId="77777777" w:rsidR="000536D9" w:rsidRPr="00F16B80" w:rsidRDefault="000536D9" w:rsidP="000536D9">
      <w:pPr>
        <w:pStyle w:val="Prrafodelista"/>
        <w:tabs>
          <w:tab w:val="left" w:pos="709"/>
        </w:tabs>
        <w:spacing w:before="100" w:beforeAutospacing="1" w:after="100" w:afterAutospacing="1" w:line="360" w:lineRule="auto"/>
        <w:ind w:left="0"/>
        <w:jc w:val="both"/>
        <w:rPr>
          <w:rFonts w:ascii="Palatino Linotype" w:hAnsi="Palatino Linotype" w:cs="Arial"/>
        </w:rPr>
      </w:pPr>
      <w:r w:rsidRPr="00F16B80">
        <w:rPr>
          <w:rFonts w:ascii="Palatino Linotype" w:hAnsi="Palatino Linotype" w:cs="Arial"/>
          <w:b/>
          <w:bCs/>
        </w:rPr>
        <w:t xml:space="preserve">Acto Impugnado: </w:t>
      </w:r>
    </w:p>
    <w:p w14:paraId="29412D2C" w14:textId="77777777" w:rsidR="000536D9" w:rsidRPr="00F16B80" w:rsidRDefault="000536D9" w:rsidP="000536D9">
      <w:pPr>
        <w:tabs>
          <w:tab w:val="left" w:pos="7936"/>
        </w:tabs>
        <w:ind w:left="851" w:right="902"/>
        <w:jc w:val="both"/>
        <w:rPr>
          <w:rFonts w:ascii="Palatino Linotype" w:hAnsi="Palatino Linotype" w:cs="Arial"/>
          <w:i/>
          <w:sz w:val="22"/>
          <w:szCs w:val="22"/>
          <w:lang w:eastAsia="es-MX"/>
        </w:rPr>
      </w:pPr>
      <w:r w:rsidRPr="00F16B80">
        <w:rPr>
          <w:rFonts w:ascii="Palatino Linotype" w:hAnsi="Palatino Linotype" w:cs="Arial"/>
          <w:i/>
          <w:sz w:val="22"/>
          <w:szCs w:val="22"/>
          <w:lang w:eastAsia="es-MX"/>
        </w:rPr>
        <w:t>“</w:t>
      </w:r>
      <w:r w:rsidR="00A53096" w:rsidRPr="00F16B80">
        <w:rPr>
          <w:rFonts w:ascii="Palatino Linotype" w:hAnsi="Palatino Linotype" w:cs="Arial"/>
          <w:i/>
          <w:sz w:val="22"/>
          <w:szCs w:val="22"/>
          <w:lang w:eastAsia="es-MX"/>
        </w:rPr>
        <w:t>no me dieron toda la información</w:t>
      </w:r>
      <w:r w:rsidRPr="00F16B80">
        <w:rPr>
          <w:rFonts w:ascii="Palatino Linotype" w:hAnsi="Palatino Linotype" w:cs="Arial"/>
          <w:i/>
          <w:sz w:val="22"/>
          <w:szCs w:val="22"/>
          <w:lang w:eastAsia="es-MX"/>
        </w:rPr>
        <w:t>.” (Sic)</w:t>
      </w:r>
    </w:p>
    <w:p w14:paraId="446EC4E7" w14:textId="77777777" w:rsidR="000536D9" w:rsidRPr="00F16B80" w:rsidRDefault="000536D9" w:rsidP="000536D9">
      <w:pPr>
        <w:pStyle w:val="Prrafodelista"/>
        <w:spacing w:before="100" w:beforeAutospacing="1" w:after="100" w:afterAutospacing="1" w:line="360" w:lineRule="auto"/>
        <w:ind w:left="0"/>
        <w:jc w:val="both"/>
        <w:rPr>
          <w:rFonts w:ascii="Palatino Linotype" w:hAnsi="Palatino Linotype"/>
        </w:rPr>
      </w:pPr>
      <w:r w:rsidRPr="00F16B80">
        <w:rPr>
          <w:rFonts w:ascii="Palatino Linotype" w:hAnsi="Palatino Linotype"/>
          <w:b/>
          <w:bCs/>
        </w:rPr>
        <w:t>Razones o motivos de Inconformidad:</w:t>
      </w:r>
    </w:p>
    <w:p w14:paraId="6884BC8A" w14:textId="77777777" w:rsidR="000536D9" w:rsidRPr="00F16B80" w:rsidRDefault="000536D9" w:rsidP="000536D9">
      <w:pPr>
        <w:tabs>
          <w:tab w:val="left" w:pos="7936"/>
        </w:tabs>
        <w:ind w:left="851" w:right="902"/>
        <w:jc w:val="both"/>
        <w:rPr>
          <w:rFonts w:ascii="Palatino Linotype" w:hAnsi="Palatino Linotype" w:cs="Arial"/>
          <w:i/>
          <w:sz w:val="22"/>
          <w:szCs w:val="22"/>
          <w:lang w:eastAsia="es-MX"/>
        </w:rPr>
      </w:pPr>
      <w:r w:rsidRPr="00F16B80">
        <w:rPr>
          <w:rFonts w:ascii="Palatino Linotype" w:hAnsi="Palatino Linotype" w:cs="Arial"/>
          <w:i/>
          <w:sz w:val="22"/>
          <w:szCs w:val="22"/>
          <w:lang w:eastAsia="es-MX"/>
        </w:rPr>
        <w:t>“</w:t>
      </w:r>
      <w:r w:rsidR="00917BAF" w:rsidRPr="00F16B80">
        <w:rPr>
          <w:rFonts w:ascii="Palatino Linotype" w:hAnsi="Palatino Linotype" w:cs="Arial"/>
          <w:i/>
          <w:sz w:val="22"/>
          <w:szCs w:val="22"/>
          <w:lang w:eastAsia="es-MX"/>
        </w:rPr>
        <w:t xml:space="preserve">no dieron la información completa solicito los correos recibidos por el departamento de </w:t>
      </w:r>
      <w:proofErr w:type="spellStart"/>
      <w:r w:rsidR="00917BAF" w:rsidRPr="00F16B80">
        <w:rPr>
          <w:rFonts w:ascii="Palatino Linotype" w:hAnsi="Palatino Linotype" w:cs="Arial"/>
          <w:i/>
          <w:sz w:val="22"/>
          <w:szCs w:val="22"/>
          <w:lang w:eastAsia="es-MX"/>
        </w:rPr>
        <w:t>rh</w:t>
      </w:r>
      <w:proofErr w:type="spellEnd"/>
      <w:r w:rsidRPr="00F16B80">
        <w:rPr>
          <w:rFonts w:ascii="Palatino Linotype" w:hAnsi="Palatino Linotype" w:cs="Arial"/>
          <w:i/>
          <w:sz w:val="22"/>
          <w:szCs w:val="22"/>
          <w:lang w:eastAsia="es-MX"/>
        </w:rPr>
        <w:t>.” (Sic)</w:t>
      </w:r>
    </w:p>
    <w:p w14:paraId="4741E62E" w14:textId="77777777" w:rsidR="000536D9" w:rsidRPr="00F16B80" w:rsidRDefault="000536D9" w:rsidP="000536D9">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F16B80">
        <w:rPr>
          <w:rFonts w:ascii="Palatino Linotype" w:hAnsi="Palatino Linotype" w:cs="Arial"/>
          <w:b/>
          <w:sz w:val="28"/>
          <w:szCs w:val="28"/>
        </w:rPr>
        <w:t>V. Del turno del Recurso de Revisión.</w:t>
      </w:r>
    </w:p>
    <w:p w14:paraId="462849B4" w14:textId="77777777" w:rsidR="000536D9" w:rsidRPr="00F16B80" w:rsidRDefault="000536D9" w:rsidP="000536D9">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F16B80">
        <w:rPr>
          <w:rFonts w:ascii="Palatino Linotype" w:hAnsi="Palatino Linotype" w:cs="Arial"/>
        </w:rPr>
        <w:t xml:space="preserve">En fecha </w:t>
      </w:r>
      <w:r w:rsidR="00917BAF" w:rsidRPr="00F16B80">
        <w:rPr>
          <w:rFonts w:ascii="Palatino Linotype" w:hAnsi="Palatino Linotype" w:cs="Arial"/>
        </w:rPr>
        <w:t xml:space="preserve">cinco de abril </w:t>
      </w:r>
      <w:r w:rsidRPr="00F16B80">
        <w:rPr>
          <w:rFonts w:ascii="Palatino Linotype" w:hAnsi="Palatino Linotype" w:cs="Arial"/>
        </w:rPr>
        <w:t xml:space="preserve">de dos mil veintidós, el Recurso de que se trata se envió electrónicamente al Instituto; por lo que, </w:t>
      </w:r>
      <w:r w:rsidRPr="00F16B80">
        <w:rPr>
          <w:rFonts w:ascii="Palatino Linotype" w:hAnsi="Palatino Linotype" w:cs="Arial"/>
          <w:lang w:val="es-ES_tradnl"/>
        </w:rPr>
        <w:t xml:space="preserve">con fundamento en el </w:t>
      </w:r>
      <w:r w:rsidRPr="00F16B80">
        <w:rPr>
          <w:rFonts w:ascii="Palatino Linotype" w:hAnsi="Palatino Linotype" w:cs="Arial"/>
        </w:rPr>
        <w:t>artículo</w:t>
      </w:r>
      <w:r w:rsidRPr="00F16B80">
        <w:rPr>
          <w:rFonts w:ascii="Palatino Linotype" w:hAnsi="Palatino Linotype" w:cs="Arial"/>
          <w:lang w:val="es-ES_tradnl"/>
        </w:rPr>
        <w:t xml:space="preserve"> 185, </w:t>
      </w:r>
      <w:r w:rsidRPr="00F16B80">
        <w:rPr>
          <w:rFonts w:ascii="Palatino Linotype" w:hAnsi="Palatino Linotype" w:cs="Arial"/>
        </w:rPr>
        <w:t>fracción</w:t>
      </w:r>
      <w:r w:rsidRPr="00F16B80">
        <w:rPr>
          <w:rFonts w:ascii="Palatino Linotype" w:hAnsi="Palatino Linotype" w:cs="Arial"/>
          <w:lang w:val="es-ES_tradnl"/>
        </w:rPr>
        <w:t xml:space="preserve"> I de la </w:t>
      </w:r>
      <w:r w:rsidRPr="00F16B80">
        <w:rPr>
          <w:rFonts w:ascii="Palatino Linotype" w:hAnsi="Palatino Linotype"/>
        </w:rPr>
        <w:t>Ley de Transparencia y Acceso a la Información Pública del Estado de México y Municipios</w:t>
      </w:r>
      <w:r w:rsidRPr="00F16B80">
        <w:rPr>
          <w:rFonts w:ascii="Palatino Linotype" w:hAnsi="Palatino Linotype" w:cs="Arial"/>
          <w:lang w:val="es-ES_tradnl"/>
        </w:rPr>
        <w:t>, se turnó, a través del</w:t>
      </w:r>
      <w:r w:rsidRPr="00F16B80">
        <w:rPr>
          <w:rFonts w:ascii="Palatino Linotype" w:eastAsia="Arial Unicode MS" w:hAnsi="Palatino Linotype" w:cs="Arial"/>
          <w:lang w:val="es-ES_tradnl"/>
        </w:rPr>
        <w:t xml:space="preserve"> </w:t>
      </w:r>
      <w:r w:rsidRPr="00F16B80">
        <w:rPr>
          <w:rFonts w:ascii="Palatino Linotype" w:eastAsia="Arial Unicode MS" w:hAnsi="Palatino Linotype" w:cs="Arial"/>
          <w:b/>
          <w:lang w:val="es-ES_tradnl"/>
        </w:rPr>
        <w:t>SAIMEX</w:t>
      </w:r>
      <w:r w:rsidRPr="00F16B80">
        <w:rPr>
          <w:rFonts w:ascii="Palatino Linotype" w:hAnsi="Palatino Linotype"/>
        </w:rPr>
        <w:t>, a</w:t>
      </w:r>
      <w:r w:rsidR="00917BAF" w:rsidRPr="00F16B80">
        <w:rPr>
          <w:rFonts w:ascii="Palatino Linotype" w:hAnsi="Palatino Linotype"/>
        </w:rPr>
        <w:t xml:space="preserve"> </w:t>
      </w:r>
      <w:r w:rsidRPr="00F16B80">
        <w:rPr>
          <w:rFonts w:ascii="Palatino Linotype" w:hAnsi="Palatino Linotype"/>
        </w:rPr>
        <w:t>l</w:t>
      </w:r>
      <w:r w:rsidR="00917BAF" w:rsidRPr="00F16B80">
        <w:rPr>
          <w:rFonts w:ascii="Palatino Linotype" w:hAnsi="Palatino Linotype"/>
        </w:rPr>
        <w:t>a</w:t>
      </w:r>
      <w:r w:rsidRPr="00F16B80">
        <w:rPr>
          <w:rFonts w:ascii="Palatino Linotype" w:hAnsi="Palatino Linotype"/>
        </w:rPr>
        <w:t xml:space="preserve"> </w:t>
      </w:r>
      <w:r w:rsidRPr="00F16B80">
        <w:rPr>
          <w:rFonts w:ascii="Palatino Linotype" w:hAnsi="Palatino Linotype" w:cs="Arial"/>
          <w:b/>
          <w:lang w:val="es-ES_tradnl"/>
        </w:rPr>
        <w:t>Comisionad</w:t>
      </w:r>
      <w:r w:rsidR="00917BAF" w:rsidRPr="00F16B80">
        <w:rPr>
          <w:rFonts w:ascii="Palatino Linotype" w:hAnsi="Palatino Linotype" w:cs="Arial"/>
          <w:b/>
          <w:lang w:val="es-ES_tradnl"/>
        </w:rPr>
        <w:t>a Sharon Cristina Morales Martínez</w:t>
      </w:r>
      <w:r w:rsidRPr="00F16B80">
        <w:rPr>
          <w:rFonts w:ascii="Palatino Linotype" w:hAnsi="Palatino Linotype" w:cs="Arial"/>
          <w:b/>
          <w:lang w:val="es-ES_tradnl"/>
        </w:rPr>
        <w:t xml:space="preserve">, </w:t>
      </w:r>
      <w:r w:rsidRPr="00F16B80">
        <w:rPr>
          <w:rFonts w:ascii="Palatino Linotype" w:hAnsi="Palatino Linotype" w:cs="Arial"/>
          <w:lang w:val="es-ES_tradnl"/>
        </w:rPr>
        <w:t xml:space="preserve">a efecto de que decretara su admisión o </w:t>
      </w:r>
      <w:proofErr w:type="spellStart"/>
      <w:r w:rsidRPr="00F16B80">
        <w:rPr>
          <w:rFonts w:ascii="Palatino Linotype" w:hAnsi="Palatino Linotype" w:cs="Arial"/>
          <w:lang w:val="es-ES_tradnl"/>
        </w:rPr>
        <w:t>desechamiento</w:t>
      </w:r>
      <w:proofErr w:type="spellEnd"/>
      <w:r w:rsidRPr="00F16B80">
        <w:rPr>
          <w:rFonts w:ascii="Palatino Linotype" w:hAnsi="Palatino Linotype" w:cs="Arial"/>
          <w:lang w:val="es-ES_tradnl"/>
        </w:rPr>
        <w:t>.</w:t>
      </w:r>
    </w:p>
    <w:p w14:paraId="12A053D0" w14:textId="77777777" w:rsidR="000536D9" w:rsidRPr="00F16B80" w:rsidRDefault="000536D9" w:rsidP="000536D9">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F16B80">
        <w:rPr>
          <w:rFonts w:ascii="Palatino Linotype" w:hAnsi="Palatino Linotype" w:cs="Arial"/>
          <w:b/>
          <w:bCs/>
        </w:rPr>
        <w:t>a) Admisión del Recurso de Revisión:</w:t>
      </w:r>
    </w:p>
    <w:p w14:paraId="2BBC08BD" w14:textId="77777777" w:rsidR="000536D9" w:rsidRPr="00F16B80" w:rsidRDefault="000536D9" w:rsidP="000536D9">
      <w:pPr>
        <w:widowControl w:val="0"/>
        <w:tabs>
          <w:tab w:val="left" w:pos="0"/>
        </w:tabs>
        <w:autoSpaceDE w:val="0"/>
        <w:autoSpaceDN w:val="0"/>
        <w:adjustRightInd w:val="0"/>
        <w:spacing w:before="240" w:after="240" w:line="360" w:lineRule="auto"/>
        <w:jc w:val="both"/>
        <w:rPr>
          <w:rFonts w:ascii="Palatino Linotype" w:hAnsi="Palatino Linotype" w:cs="Arial"/>
        </w:rPr>
      </w:pPr>
      <w:r w:rsidRPr="00F16B80">
        <w:rPr>
          <w:rFonts w:ascii="Palatino Linotype" w:hAnsi="Palatino Linotype" w:cs="Arial"/>
        </w:rPr>
        <w:t xml:space="preserve">En fecha </w:t>
      </w:r>
      <w:r w:rsidR="00917BAF" w:rsidRPr="00F16B80">
        <w:rPr>
          <w:rFonts w:ascii="Palatino Linotype" w:hAnsi="Palatino Linotype" w:cs="Arial"/>
        </w:rPr>
        <w:t xml:space="preserve">ocho de abril </w:t>
      </w:r>
      <w:r w:rsidRPr="00F16B80">
        <w:rPr>
          <w:rFonts w:ascii="Palatino Linotype" w:hAnsi="Palatino Linotype" w:cs="Arial"/>
        </w:rPr>
        <w:t xml:space="preserve">de dos mil veintidós, en atención a lo dispuesto en el artículo 185, fracciones I, II y IV, de la </w:t>
      </w:r>
      <w:r w:rsidRPr="00F16B80">
        <w:rPr>
          <w:rFonts w:ascii="Palatino Linotype" w:hAnsi="Palatino Linotype"/>
        </w:rPr>
        <w:t xml:space="preserve">Ley de Transparencia y Acceso a la Información Pública del </w:t>
      </w:r>
      <w:r w:rsidRPr="00F16B80">
        <w:rPr>
          <w:rFonts w:ascii="Palatino Linotype" w:hAnsi="Palatino Linotype" w:cs="Arial"/>
        </w:rPr>
        <w:t>Estado</w:t>
      </w:r>
      <w:r w:rsidRPr="00F16B80">
        <w:rPr>
          <w:rFonts w:ascii="Palatino Linotype" w:hAnsi="Palatino Linotype"/>
        </w:rPr>
        <w:t xml:space="preserve"> de México y </w:t>
      </w:r>
      <w:r w:rsidRPr="00F16B80">
        <w:rPr>
          <w:rFonts w:ascii="Palatino Linotype" w:hAnsi="Palatino Linotype" w:cs="Arial"/>
          <w:lang w:val="es-ES_tradnl"/>
        </w:rPr>
        <w:t>Municipios</w:t>
      </w:r>
      <w:r w:rsidRPr="00F16B80">
        <w:rPr>
          <w:rFonts w:ascii="Palatino Linotype" w:hAnsi="Palatino Linotype"/>
        </w:rPr>
        <w:t xml:space="preserve">, se notificó a las partes el Acuerdo de </w:t>
      </w:r>
      <w:r w:rsidRPr="00F16B80">
        <w:rPr>
          <w:rFonts w:ascii="Palatino Linotype" w:hAnsi="Palatino Linotype" w:cs="Arial"/>
        </w:rPr>
        <w:t>admisión a trámite del referido Recurso de Revisión</w:t>
      </w:r>
      <w:r w:rsidRPr="00F16B80">
        <w:rPr>
          <w:rFonts w:ascii="Palatino Linotype" w:hAnsi="Palatino Linotype" w:cs="Arial"/>
          <w:lang w:val="es-ES_tradnl"/>
        </w:rPr>
        <w:t>;</w:t>
      </w:r>
      <w:r w:rsidRPr="00F16B80">
        <w:rPr>
          <w:rFonts w:ascii="Palatino Linotype" w:hAnsi="Palatino Linotype" w:cs="Arial"/>
        </w:rPr>
        <w:t xml:space="preserve"> así como, la </w:t>
      </w:r>
      <w:r w:rsidRPr="00F16B80">
        <w:rPr>
          <w:rFonts w:ascii="Palatino Linotype" w:hAnsi="Palatino Linotype" w:cs="Arial"/>
          <w:lang w:val="es-ES_tradnl"/>
        </w:rPr>
        <w:t>integración</w:t>
      </w:r>
      <w:r w:rsidRPr="00F16B80">
        <w:rPr>
          <w:rFonts w:ascii="Palatino Linotype" w:hAnsi="Palatino Linotype" w:cs="Arial"/>
        </w:rPr>
        <w:t xml:space="preserve"> del expediente respectivo, mismo que se puso a su disposición, para que en el plazo máximo de siete días hábiles, </w:t>
      </w:r>
      <w:r w:rsidRPr="00F16B80">
        <w:rPr>
          <w:rFonts w:ascii="Palatino Linotype" w:hAnsi="Palatino Linotype" w:cs="Arial"/>
          <w:b/>
        </w:rPr>
        <w:t xml:space="preserve">EL RECURRENTE </w:t>
      </w:r>
      <w:r w:rsidRPr="00F16B80">
        <w:rPr>
          <w:rFonts w:ascii="Palatino Linotype" w:hAnsi="Palatino Linotype" w:cs="Arial"/>
        </w:rPr>
        <w:t xml:space="preserve">realizara manifestaciones, alegatos </w:t>
      </w:r>
      <w:r w:rsidRPr="00F16B80">
        <w:rPr>
          <w:rFonts w:ascii="Palatino Linotype" w:hAnsi="Palatino Linotype" w:cs="Arial"/>
        </w:rPr>
        <w:lastRenderedPageBreak/>
        <w:t xml:space="preserve">y ofreciera las pruebas que a su derecho </w:t>
      </w:r>
      <w:r w:rsidRPr="00F16B80">
        <w:rPr>
          <w:rFonts w:ascii="Palatino Linotype" w:hAnsi="Palatino Linotype" w:cs="Arial"/>
          <w:lang w:val="es-ES_tradnl"/>
        </w:rPr>
        <w:t>conviniera</w:t>
      </w:r>
      <w:r w:rsidRPr="00F16B80">
        <w:rPr>
          <w:rFonts w:ascii="Palatino Linotype" w:hAnsi="Palatino Linotype" w:cs="Arial"/>
        </w:rPr>
        <w:t xml:space="preserve"> y, en el caso del</w:t>
      </w:r>
      <w:r w:rsidRPr="00F16B80">
        <w:rPr>
          <w:rFonts w:ascii="Palatino Linotype" w:hAnsi="Palatino Linotype" w:cs="Arial"/>
          <w:b/>
        </w:rPr>
        <w:t xml:space="preserve"> SUJETO OBLIGADO</w:t>
      </w:r>
      <w:r w:rsidRPr="00F16B80">
        <w:rPr>
          <w:rFonts w:ascii="Palatino Linotype" w:hAnsi="Palatino Linotype" w:cs="Arial"/>
        </w:rPr>
        <w:t>, para que exhibiera el Informe Justificado correspondiente.</w:t>
      </w:r>
    </w:p>
    <w:p w14:paraId="67A7FAA6" w14:textId="77777777" w:rsidR="000536D9" w:rsidRPr="00F16B80" w:rsidRDefault="000536D9" w:rsidP="000536D9">
      <w:pPr>
        <w:pStyle w:val="Prrafodelista"/>
        <w:spacing w:before="240" w:after="240" w:line="360" w:lineRule="auto"/>
        <w:ind w:left="0"/>
        <w:jc w:val="both"/>
        <w:rPr>
          <w:rFonts w:ascii="Palatino Linotype" w:hAnsi="Palatino Linotype" w:cs="Arial"/>
          <w:b/>
          <w:bCs/>
        </w:rPr>
      </w:pPr>
      <w:r w:rsidRPr="00F16B80">
        <w:rPr>
          <w:rFonts w:ascii="Palatino Linotype" w:hAnsi="Palatino Linotype" w:cs="Arial"/>
          <w:b/>
          <w:bCs/>
        </w:rPr>
        <w:t>b) Manifestaciones:</w:t>
      </w:r>
    </w:p>
    <w:p w14:paraId="324790CA" w14:textId="77777777" w:rsidR="00917BAF" w:rsidRPr="00F16B80" w:rsidRDefault="000536D9" w:rsidP="000536D9">
      <w:pPr>
        <w:pStyle w:val="Prrafodelista"/>
        <w:spacing w:before="240" w:after="240" w:line="360" w:lineRule="auto"/>
        <w:ind w:left="0"/>
        <w:jc w:val="both"/>
        <w:rPr>
          <w:rFonts w:ascii="Palatino Linotype" w:hAnsi="Palatino Linotype" w:cs="Arial"/>
        </w:rPr>
      </w:pPr>
      <w:r w:rsidRPr="00F16B80">
        <w:rPr>
          <w:rFonts w:ascii="Palatino Linotype" w:hAnsi="Palatino Linotype" w:cs="Arial"/>
        </w:rPr>
        <w:t xml:space="preserve">De las constancias que obran en el </w:t>
      </w:r>
      <w:r w:rsidRPr="00F16B80">
        <w:rPr>
          <w:rFonts w:ascii="Palatino Linotype" w:hAnsi="Palatino Linotype" w:cs="Arial"/>
          <w:b/>
        </w:rPr>
        <w:t>SAIMEX</w:t>
      </w:r>
      <w:r w:rsidRPr="00F16B80">
        <w:rPr>
          <w:rFonts w:ascii="Palatino Linotype" w:hAnsi="Palatino Linotype" w:cs="Arial"/>
        </w:rPr>
        <w:t xml:space="preserve">, se desprende que </w:t>
      </w:r>
      <w:r w:rsidRPr="00F16B80">
        <w:rPr>
          <w:rFonts w:ascii="Palatino Linotype" w:hAnsi="Palatino Linotype" w:cs="Arial"/>
          <w:b/>
        </w:rPr>
        <w:t xml:space="preserve">EL SUJETO OBLIGADO </w:t>
      </w:r>
      <w:r w:rsidRPr="00F16B80">
        <w:rPr>
          <w:rFonts w:ascii="Palatino Linotype" w:hAnsi="Palatino Linotype" w:cs="Arial"/>
        </w:rPr>
        <w:t>p</w:t>
      </w:r>
      <w:r w:rsidR="00917BAF" w:rsidRPr="00F16B80">
        <w:rPr>
          <w:rFonts w:ascii="Palatino Linotype" w:hAnsi="Palatino Linotype" w:cs="Arial"/>
        </w:rPr>
        <w:t>resentó el informe justificado en fecha dieciocho de abril de dos mil veintidós; mediante el cual</w:t>
      </w:r>
      <w:r w:rsidR="00B0773F" w:rsidRPr="00F16B80">
        <w:rPr>
          <w:rFonts w:ascii="Palatino Linotype" w:hAnsi="Palatino Linotype" w:cs="Arial"/>
        </w:rPr>
        <w:t xml:space="preserve"> se pronunció en atención a los argumentos expuesto por el solicitante y anexó la captura de pantalla de los tres correos recibidos por el Jefe de Recursos Humanos.</w:t>
      </w:r>
    </w:p>
    <w:p w14:paraId="7E8A7117" w14:textId="77777777" w:rsidR="006C25A5" w:rsidRPr="00F16B80" w:rsidRDefault="006C25A5" w:rsidP="000536D9">
      <w:pPr>
        <w:pStyle w:val="Prrafodelista"/>
        <w:spacing w:before="240" w:after="240" w:line="360" w:lineRule="auto"/>
        <w:ind w:left="0"/>
        <w:jc w:val="both"/>
        <w:rPr>
          <w:rFonts w:ascii="Palatino Linotype" w:hAnsi="Palatino Linotype" w:cs="Arial"/>
          <w:b/>
        </w:rPr>
      </w:pPr>
      <w:r w:rsidRPr="00F16B80">
        <w:rPr>
          <w:rFonts w:ascii="Palatino Linotype" w:hAnsi="Palatino Linotype" w:cs="Arial"/>
        </w:rPr>
        <w:t>Destacando que, dicho informe justificado no fue hecho de conocimiento del particular; en razón de que el Recurso de Revisión se encontraba en proceso de sustanciación y en análisis de la información remitida en el mismo, para considerar el poner a la vista del solicitante dicha información; sin embargo, el particular se desistió durante el transcurso del procedimiento; motivo por el cual, dichos documentos no fueron puestos a la vista del particular.</w:t>
      </w:r>
    </w:p>
    <w:p w14:paraId="20218C26" w14:textId="77777777" w:rsidR="000536D9" w:rsidRPr="00F16B80" w:rsidRDefault="000536D9" w:rsidP="000536D9">
      <w:pPr>
        <w:pStyle w:val="Prrafodelista"/>
        <w:spacing w:before="240" w:after="240" w:line="360" w:lineRule="auto"/>
        <w:ind w:left="0"/>
        <w:jc w:val="both"/>
        <w:rPr>
          <w:rFonts w:ascii="Palatino Linotype" w:hAnsi="Palatino Linotype" w:cs="Arial"/>
        </w:rPr>
      </w:pPr>
      <w:r w:rsidRPr="00F16B80">
        <w:rPr>
          <w:rFonts w:ascii="Palatino Linotype" w:hAnsi="Palatino Linotype" w:cs="Arial"/>
        </w:rPr>
        <w:t xml:space="preserve">Por su parte </w:t>
      </w:r>
      <w:r w:rsidRPr="00F16B80">
        <w:rPr>
          <w:rFonts w:ascii="Palatino Linotype" w:hAnsi="Palatino Linotype" w:cs="Arial"/>
          <w:b/>
        </w:rPr>
        <w:t>EL RECURRENTE</w:t>
      </w:r>
      <w:r w:rsidRPr="00F16B80">
        <w:rPr>
          <w:rFonts w:ascii="Palatino Linotype" w:hAnsi="Palatino Linotype" w:cs="Arial"/>
        </w:rPr>
        <w:t xml:space="preserve"> no presentó pruebas ni realizó manifestación alguna en relación al Recurso de Revisión que nos ocupa; sirve de sustento a lo anterior, la captura de pantalla siguiente:</w:t>
      </w:r>
    </w:p>
    <w:p w14:paraId="420A4CF8" w14:textId="77777777" w:rsidR="000536D9" w:rsidRPr="00F16B80" w:rsidRDefault="00B0773F" w:rsidP="000536D9">
      <w:pPr>
        <w:pStyle w:val="Prrafodelista"/>
        <w:spacing w:before="240" w:after="240" w:line="360" w:lineRule="auto"/>
        <w:ind w:left="0"/>
        <w:jc w:val="center"/>
        <w:rPr>
          <w:rFonts w:ascii="Palatino Linotype" w:hAnsi="Palatino Linotype" w:cs="Arial"/>
        </w:rPr>
      </w:pPr>
      <w:r w:rsidRPr="00F16B80">
        <w:rPr>
          <w:noProof/>
          <w:lang w:eastAsia="es-MX"/>
        </w:rPr>
        <w:drawing>
          <wp:inline distT="0" distB="0" distL="0" distR="0" wp14:anchorId="53B6055D" wp14:editId="08F8B0A8">
            <wp:extent cx="4657368" cy="1137037"/>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293" t="28966" r="30420" b="51632"/>
                    <a:stretch/>
                  </pic:blipFill>
                  <pic:spPr bwMode="auto">
                    <a:xfrm>
                      <a:off x="0" y="0"/>
                      <a:ext cx="4684145" cy="1143574"/>
                    </a:xfrm>
                    <a:prstGeom prst="rect">
                      <a:avLst/>
                    </a:prstGeom>
                    <a:ln>
                      <a:noFill/>
                    </a:ln>
                    <a:extLst>
                      <a:ext uri="{53640926-AAD7-44D8-BBD7-CCE9431645EC}">
                        <a14:shadowObscured xmlns:a14="http://schemas.microsoft.com/office/drawing/2010/main"/>
                      </a:ext>
                    </a:extLst>
                  </pic:spPr>
                </pic:pic>
              </a:graphicData>
            </a:graphic>
          </wp:inline>
        </w:drawing>
      </w:r>
    </w:p>
    <w:p w14:paraId="2037A4A8" w14:textId="77777777" w:rsidR="00F16B80" w:rsidRPr="00F16B80" w:rsidRDefault="00F16B80" w:rsidP="000536D9">
      <w:pPr>
        <w:pStyle w:val="Prrafodelista"/>
        <w:spacing w:before="240" w:after="240" w:line="360" w:lineRule="auto"/>
        <w:ind w:left="0"/>
        <w:jc w:val="center"/>
        <w:rPr>
          <w:rFonts w:ascii="Palatino Linotype" w:hAnsi="Palatino Linotype" w:cs="Arial"/>
        </w:rPr>
      </w:pPr>
    </w:p>
    <w:p w14:paraId="11B47D5A" w14:textId="77777777" w:rsidR="000536D9" w:rsidRPr="00F16B80" w:rsidRDefault="00B0773F" w:rsidP="000536D9">
      <w:pPr>
        <w:spacing w:before="100" w:beforeAutospacing="1" w:after="100" w:afterAutospacing="1" w:line="360" w:lineRule="auto"/>
        <w:jc w:val="both"/>
        <w:rPr>
          <w:rFonts w:ascii="Palatino Linotype" w:hAnsi="Palatino Linotype" w:cs="Arial"/>
          <w:b/>
        </w:rPr>
      </w:pPr>
      <w:r w:rsidRPr="00F16B80">
        <w:rPr>
          <w:rFonts w:ascii="Palatino Linotype" w:hAnsi="Palatino Linotype" w:cs="Arial"/>
          <w:b/>
        </w:rPr>
        <w:lastRenderedPageBreak/>
        <w:t>c</w:t>
      </w:r>
      <w:r w:rsidR="000536D9" w:rsidRPr="00F16B80">
        <w:rPr>
          <w:rFonts w:ascii="Palatino Linotype" w:hAnsi="Palatino Linotype" w:cs="Arial"/>
          <w:b/>
        </w:rPr>
        <w:t xml:space="preserve">) </w:t>
      </w:r>
      <w:r w:rsidRPr="00F16B80">
        <w:rPr>
          <w:rFonts w:ascii="Palatino Linotype" w:hAnsi="Palatino Linotype" w:cs="Arial"/>
          <w:b/>
        </w:rPr>
        <w:t>Desistimiento del Recurso de Revisión</w:t>
      </w:r>
      <w:r w:rsidR="000536D9" w:rsidRPr="00F16B80">
        <w:rPr>
          <w:rFonts w:ascii="Palatino Linotype" w:hAnsi="Palatino Linotype" w:cs="Arial"/>
          <w:b/>
        </w:rPr>
        <w:t>:</w:t>
      </w:r>
    </w:p>
    <w:p w14:paraId="5439A1A3" w14:textId="77777777" w:rsidR="00B0773F" w:rsidRDefault="00B0773F" w:rsidP="00B0773F">
      <w:pPr>
        <w:pStyle w:val="Prrafodelista"/>
        <w:spacing w:before="240" w:after="240" w:line="360" w:lineRule="auto"/>
        <w:ind w:left="0"/>
        <w:jc w:val="both"/>
        <w:rPr>
          <w:rFonts w:ascii="Palatino Linotype" w:hAnsi="Palatino Linotype" w:cs="Arial"/>
        </w:rPr>
      </w:pPr>
      <w:r w:rsidRPr="00F16B80">
        <w:rPr>
          <w:rFonts w:ascii="Palatino Linotype" w:hAnsi="Palatino Linotype" w:cs="Arial"/>
        </w:rPr>
        <w:t xml:space="preserve">En fecha veintiséis de abril de dos mil veintidós, mediante el </w:t>
      </w:r>
      <w:r w:rsidRPr="00F16B80">
        <w:rPr>
          <w:rFonts w:ascii="Palatino Linotype" w:hAnsi="Palatino Linotype" w:cs="Arial"/>
          <w:b/>
        </w:rPr>
        <w:t>SAIMEX</w:t>
      </w:r>
      <w:r w:rsidRPr="00F16B80">
        <w:rPr>
          <w:rFonts w:ascii="Palatino Linotype" w:hAnsi="Palatino Linotype" w:cs="Arial"/>
        </w:rPr>
        <w:t xml:space="preserve">, </w:t>
      </w:r>
      <w:r w:rsidRPr="00F16B80">
        <w:rPr>
          <w:rFonts w:ascii="Palatino Linotype" w:hAnsi="Palatino Linotype" w:cs="Arial"/>
          <w:b/>
        </w:rPr>
        <w:t>EL RECURRENTE</w:t>
      </w:r>
      <w:r w:rsidRPr="00F16B80">
        <w:rPr>
          <w:rFonts w:ascii="Palatino Linotype" w:hAnsi="Palatino Linotype" w:cs="Arial"/>
        </w:rPr>
        <w:t xml:space="preserve"> presentó su desistimiento respecto del presente recurso, tal y como muestra a continuación:</w:t>
      </w:r>
    </w:p>
    <w:p w14:paraId="01559F52" w14:textId="7F9B54BF" w:rsidR="00400C8D" w:rsidRPr="00F16B80" w:rsidRDefault="00400C8D" w:rsidP="00B0773F">
      <w:pPr>
        <w:pStyle w:val="Prrafodelista"/>
        <w:spacing w:before="240" w:after="240" w:line="360" w:lineRule="auto"/>
        <w:ind w:left="0"/>
        <w:jc w:val="both"/>
        <w:rPr>
          <w:rFonts w:ascii="Palatino Linotype" w:hAnsi="Palatino Linotype" w:cs="Arial"/>
        </w:rPr>
      </w:pPr>
      <w:r w:rsidRPr="00400C8D">
        <w:rPr>
          <w:rFonts w:ascii="Palatino Linotype" w:hAnsi="Palatino Linotype" w:cs="Arial"/>
        </w:rPr>
        <w:drawing>
          <wp:inline distT="0" distB="0" distL="0" distR="0" wp14:anchorId="050F131C" wp14:editId="2E5CC60E">
            <wp:extent cx="5534797" cy="2524477"/>
            <wp:effectExtent l="0" t="0" r="889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4797" cy="2524477"/>
                    </a:xfrm>
                    <a:prstGeom prst="rect">
                      <a:avLst/>
                    </a:prstGeom>
                  </pic:spPr>
                </pic:pic>
              </a:graphicData>
            </a:graphic>
          </wp:inline>
        </w:drawing>
      </w:r>
    </w:p>
    <w:p w14:paraId="4E0C0A11" w14:textId="77777777" w:rsidR="000536D9" w:rsidRPr="00F16B80" w:rsidRDefault="000536D9" w:rsidP="000536D9">
      <w:pPr>
        <w:pStyle w:val="Prrafodelista"/>
        <w:spacing w:before="240" w:after="240" w:line="360" w:lineRule="auto"/>
        <w:ind w:left="0"/>
        <w:jc w:val="both"/>
        <w:rPr>
          <w:rFonts w:ascii="Palatino Linotype" w:hAnsi="Palatino Linotype" w:cs="Arial"/>
          <w:b/>
          <w:bCs/>
        </w:rPr>
      </w:pPr>
      <w:bookmarkStart w:id="0" w:name="_GoBack"/>
      <w:bookmarkEnd w:id="0"/>
      <w:r w:rsidRPr="00F16B80">
        <w:rPr>
          <w:rFonts w:ascii="Palatino Linotype" w:hAnsi="Palatino Linotype" w:cs="Arial"/>
          <w:b/>
          <w:bCs/>
        </w:rPr>
        <w:t>e) Cierre de Instrucción:</w:t>
      </w:r>
    </w:p>
    <w:p w14:paraId="3EEB005F" w14:textId="77777777" w:rsidR="000536D9" w:rsidRPr="00F16B80" w:rsidRDefault="000536D9" w:rsidP="000536D9">
      <w:pPr>
        <w:spacing w:before="100" w:beforeAutospacing="1" w:after="100" w:afterAutospacing="1" w:line="360" w:lineRule="auto"/>
        <w:jc w:val="both"/>
        <w:rPr>
          <w:rFonts w:ascii="Palatino Linotype" w:hAnsi="Palatino Linotype" w:cs="Arial"/>
        </w:rPr>
      </w:pPr>
      <w:r w:rsidRPr="00F16B80">
        <w:rPr>
          <w:rFonts w:ascii="Palatino Linotype" w:hAnsi="Palatino Linotype" w:cs="Arial"/>
        </w:rPr>
        <w:t xml:space="preserve">Una vez </w:t>
      </w:r>
      <w:r w:rsidRPr="00F16B80">
        <w:rPr>
          <w:rFonts w:ascii="Palatino Linotype" w:hAnsi="Palatino Linotype" w:cs="Arial"/>
          <w:color w:val="000000" w:themeColor="text1"/>
        </w:rPr>
        <w:t>analizado</w:t>
      </w:r>
      <w:r w:rsidRPr="00F16B80">
        <w:rPr>
          <w:rFonts w:ascii="Palatino Linotype" w:hAnsi="Palatino Linotype" w:cs="Arial"/>
        </w:rPr>
        <w:t xml:space="preserve"> el estado procesal que guarda el expediente, el tres de mayo de dos mil veintidós, se acordó el cierre de instrucción; así </w:t>
      </w:r>
      <w:r w:rsidRPr="00F16B80">
        <w:rPr>
          <w:rFonts w:ascii="Palatino Linotype" w:hAnsi="Palatino Linotype" w:cs="Arial"/>
          <w:lang w:val="es-ES_tradnl"/>
        </w:rPr>
        <w:t>como,</w:t>
      </w:r>
      <w:r w:rsidRPr="00F16B80">
        <w:rPr>
          <w:rFonts w:ascii="Palatino Linotype" w:hAnsi="Palatino Linotype" w:cs="Arial"/>
        </w:rPr>
        <w:t xml:space="preserve"> la remisión del mismo a efecto </w:t>
      </w:r>
      <w:r w:rsidRPr="00F16B80">
        <w:rPr>
          <w:rFonts w:ascii="Palatino Linotype" w:hAnsi="Palatino Linotype" w:cs="Arial"/>
          <w:lang w:val="es-ES_tradnl"/>
        </w:rPr>
        <w:t>de</w:t>
      </w:r>
      <w:r w:rsidRPr="00F16B80">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587A2051" w14:textId="77777777" w:rsidR="000536D9" w:rsidRPr="00F16B80" w:rsidRDefault="000536D9" w:rsidP="000536D9">
      <w:pPr>
        <w:pStyle w:val="Prrafodelista"/>
        <w:spacing w:before="240" w:after="240" w:line="360" w:lineRule="auto"/>
        <w:ind w:left="0"/>
        <w:jc w:val="center"/>
        <w:rPr>
          <w:rFonts w:ascii="Palatino Linotype" w:hAnsi="Palatino Linotype"/>
        </w:rPr>
      </w:pPr>
      <w:r w:rsidRPr="00F16B80">
        <w:rPr>
          <w:rFonts w:ascii="Palatino Linotype" w:hAnsi="Palatino Linotype"/>
          <w:b/>
          <w:bCs/>
          <w:spacing w:val="60"/>
          <w:sz w:val="28"/>
        </w:rPr>
        <w:t>CONSIDERANDO:</w:t>
      </w:r>
    </w:p>
    <w:p w14:paraId="60369B2A" w14:textId="77777777" w:rsidR="000536D9" w:rsidRPr="00F16B80" w:rsidRDefault="000536D9" w:rsidP="000536D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F16B80">
        <w:rPr>
          <w:rFonts w:ascii="Palatino Linotype" w:hAnsi="Palatino Linotype"/>
          <w:b/>
          <w:sz w:val="28"/>
          <w:szCs w:val="28"/>
        </w:rPr>
        <w:t>PRIMERO</w:t>
      </w:r>
      <w:r w:rsidRPr="00F16B80">
        <w:rPr>
          <w:rFonts w:ascii="Palatino Linotype" w:hAnsi="Palatino Linotype"/>
          <w:b/>
        </w:rPr>
        <w:t>. Competencia</w:t>
      </w:r>
      <w:r w:rsidRPr="00F16B80">
        <w:rPr>
          <w:rFonts w:ascii="Palatino Linotype" w:hAnsi="Palatino Linotype"/>
        </w:rPr>
        <w:t>.</w:t>
      </w:r>
      <w:r w:rsidRPr="00F16B80">
        <w:rPr>
          <w:rFonts w:ascii="Palatino Linotype" w:hAnsi="Palatino Linotype"/>
          <w:b/>
        </w:rPr>
        <w:t xml:space="preserve"> </w:t>
      </w:r>
    </w:p>
    <w:p w14:paraId="29EB8EFF" w14:textId="77777777" w:rsidR="000536D9" w:rsidRPr="00F16B80" w:rsidRDefault="000536D9" w:rsidP="000536D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F16B80">
        <w:rPr>
          <w:rFonts w:ascii="Palatino Linotype" w:hAnsi="Palatino Linotype"/>
        </w:rPr>
        <w:lastRenderedPageBreak/>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4CD9A653" w14:textId="77777777" w:rsidR="000536D9" w:rsidRPr="00F16B80" w:rsidRDefault="000536D9" w:rsidP="000536D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F16B80">
        <w:rPr>
          <w:rFonts w:ascii="Palatino Linotype" w:hAnsi="Palatino Linotype" w:cs="Arial"/>
          <w:b/>
          <w:sz w:val="28"/>
          <w:szCs w:val="28"/>
        </w:rPr>
        <w:t>SEGUNDO</w:t>
      </w:r>
      <w:r w:rsidRPr="00F16B80">
        <w:rPr>
          <w:rFonts w:ascii="Palatino Linotype" w:hAnsi="Palatino Linotype" w:cs="Arial"/>
          <w:b/>
        </w:rPr>
        <w:t>. Interés.</w:t>
      </w:r>
      <w:r w:rsidRPr="00F16B80">
        <w:rPr>
          <w:rFonts w:ascii="Palatino Linotype" w:hAnsi="Palatino Linotype" w:cs="Arial"/>
        </w:rPr>
        <w:t xml:space="preserve"> </w:t>
      </w:r>
    </w:p>
    <w:p w14:paraId="54CEA840" w14:textId="77777777" w:rsidR="000536D9" w:rsidRPr="00F16B80" w:rsidRDefault="000536D9" w:rsidP="000536D9">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F16B80">
        <w:rPr>
          <w:rFonts w:ascii="Palatino Linotype" w:hAnsi="Palatino Linotype" w:cs="Arial"/>
        </w:rPr>
        <w:t xml:space="preserve">El </w:t>
      </w:r>
      <w:r w:rsidRPr="00F16B80">
        <w:rPr>
          <w:rFonts w:ascii="Palatino Linotype" w:hAnsi="Palatino Linotype"/>
        </w:rPr>
        <w:t xml:space="preserve">Recurso de Revisión </w:t>
      </w:r>
      <w:r w:rsidRPr="00F16B80">
        <w:rPr>
          <w:rFonts w:ascii="Palatino Linotype" w:hAnsi="Palatino Linotype" w:cs="Arial"/>
        </w:rPr>
        <w:t xml:space="preserve">fue </w:t>
      </w:r>
      <w:r w:rsidRPr="00F16B80">
        <w:rPr>
          <w:rFonts w:ascii="Palatino Linotype" w:hAnsi="Palatino Linotype"/>
        </w:rPr>
        <w:t>interpuesto</w:t>
      </w:r>
      <w:r w:rsidRPr="00F16B80">
        <w:rPr>
          <w:rFonts w:ascii="Palatino Linotype" w:hAnsi="Palatino Linotype" w:cs="Arial"/>
        </w:rPr>
        <w:t xml:space="preserve"> por parte legítima en atención a que fue </w:t>
      </w:r>
      <w:r w:rsidRPr="00F16B80">
        <w:rPr>
          <w:rFonts w:ascii="Palatino Linotype" w:hAnsi="Palatino Linotype"/>
        </w:rPr>
        <w:t>presentado</w:t>
      </w:r>
      <w:r w:rsidRPr="00F16B80">
        <w:rPr>
          <w:rFonts w:ascii="Palatino Linotype" w:hAnsi="Palatino Linotype" w:cs="Arial"/>
        </w:rPr>
        <w:t xml:space="preserve"> por </w:t>
      </w:r>
      <w:r w:rsidRPr="00F16B80">
        <w:rPr>
          <w:rFonts w:ascii="Palatino Linotype" w:hAnsi="Palatino Linotype" w:cs="Arial"/>
          <w:b/>
        </w:rPr>
        <w:t>EL RECURRENTE</w:t>
      </w:r>
      <w:r w:rsidRPr="00F16B80">
        <w:rPr>
          <w:rFonts w:ascii="Palatino Linotype" w:hAnsi="Palatino Linotype" w:cs="Arial"/>
          <w:snapToGrid w:val="0"/>
        </w:rPr>
        <w:t xml:space="preserve">, </w:t>
      </w:r>
      <w:r w:rsidRPr="00F16B80">
        <w:rPr>
          <w:rFonts w:ascii="Palatino Linotype" w:hAnsi="Palatino Linotype" w:cs="Arial"/>
        </w:rPr>
        <w:t>quien</w:t>
      </w:r>
      <w:r w:rsidRPr="00F16B80">
        <w:rPr>
          <w:rFonts w:ascii="Palatino Linotype" w:hAnsi="Palatino Linotype" w:cs="Arial"/>
          <w:snapToGrid w:val="0"/>
        </w:rPr>
        <w:t xml:space="preserve"> a través del usuario y contraseña que el mismo creo para poder acceder al Sistema </w:t>
      </w:r>
      <w:r w:rsidRPr="00F16B80">
        <w:rPr>
          <w:rFonts w:ascii="Palatino Linotype" w:hAnsi="Palatino Linotype" w:cs="Arial"/>
          <w:b/>
          <w:snapToGrid w:val="0"/>
        </w:rPr>
        <w:t>SAIMEX</w:t>
      </w:r>
      <w:r w:rsidRPr="00F16B80">
        <w:rPr>
          <w:rFonts w:ascii="Palatino Linotype" w:hAnsi="Palatino Linotype" w:cs="Arial"/>
          <w:snapToGrid w:val="0"/>
        </w:rPr>
        <w:t xml:space="preserve">, es quien </w:t>
      </w:r>
      <w:r w:rsidRPr="00F16B80">
        <w:rPr>
          <w:rFonts w:ascii="Palatino Linotype" w:hAnsi="Palatino Linotype"/>
        </w:rPr>
        <w:t>formuló</w:t>
      </w:r>
      <w:r w:rsidRPr="00F16B80">
        <w:rPr>
          <w:rFonts w:ascii="Palatino Linotype" w:hAnsi="Palatino Linotype" w:cs="Arial"/>
          <w:snapToGrid w:val="0"/>
        </w:rPr>
        <w:t xml:space="preserve"> la </w:t>
      </w:r>
      <w:r w:rsidRPr="00F16B80">
        <w:rPr>
          <w:rFonts w:ascii="Palatino Linotype" w:hAnsi="Palatino Linotype" w:cs="Arial"/>
        </w:rPr>
        <w:t>solicitud</w:t>
      </w:r>
      <w:r w:rsidRPr="00F16B80">
        <w:rPr>
          <w:rFonts w:ascii="Palatino Linotype" w:hAnsi="Palatino Linotype" w:cs="Arial"/>
          <w:snapToGrid w:val="0"/>
        </w:rPr>
        <w:t xml:space="preserve"> de información pública.</w:t>
      </w:r>
    </w:p>
    <w:p w14:paraId="171980E2" w14:textId="77777777" w:rsidR="000536D9" w:rsidRPr="00F16B80" w:rsidRDefault="000536D9" w:rsidP="000536D9">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F16B80">
        <w:rPr>
          <w:rFonts w:ascii="Palatino Linotype" w:hAnsi="Palatino Linotype" w:cs="Arial"/>
          <w:b/>
          <w:sz w:val="28"/>
          <w:szCs w:val="28"/>
        </w:rPr>
        <w:t>TERCERO</w:t>
      </w:r>
      <w:r w:rsidRPr="00F16B80">
        <w:rPr>
          <w:rFonts w:ascii="Palatino Linotype" w:hAnsi="Palatino Linotype" w:cs="Arial"/>
          <w:b/>
        </w:rPr>
        <w:t xml:space="preserve">. Oportunidad. </w:t>
      </w:r>
    </w:p>
    <w:p w14:paraId="48722B94" w14:textId="77777777" w:rsidR="000536D9" w:rsidRPr="00F16B80" w:rsidRDefault="000536D9" w:rsidP="000536D9">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F16B80">
        <w:rPr>
          <w:rFonts w:ascii="Palatino Linotype" w:hAnsi="Palatino Linotype" w:cs="Arial"/>
        </w:rPr>
        <w:t xml:space="preserve">El Recurso de Revisión fue interpuesto dentro del plazo de quince días hábiles, contados a partir del día siguiente al en que </w:t>
      </w:r>
      <w:r w:rsidRPr="00F16B80">
        <w:rPr>
          <w:rFonts w:ascii="Palatino Linotype" w:hAnsi="Palatino Linotype" w:cs="Arial"/>
          <w:b/>
        </w:rPr>
        <w:t xml:space="preserve">EL RECURRENTE </w:t>
      </w:r>
      <w:r w:rsidRPr="00F16B8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5EFE9F8F" w14:textId="77777777" w:rsidR="000536D9" w:rsidRPr="00F16B80" w:rsidRDefault="000536D9" w:rsidP="000536D9">
      <w:pPr>
        <w:ind w:left="720" w:right="709"/>
        <w:contextualSpacing/>
        <w:jc w:val="both"/>
        <w:rPr>
          <w:rFonts w:ascii="Palatino Linotype" w:hAnsi="Palatino Linotype" w:cs="Arial"/>
          <w:i/>
          <w:sz w:val="22"/>
        </w:rPr>
      </w:pPr>
      <w:r w:rsidRPr="00F16B80">
        <w:rPr>
          <w:rFonts w:ascii="Palatino Linotype" w:hAnsi="Palatino Linotype" w:cs="Arial"/>
          <w:i/>
          <w:sz w:val="22"/>
        </w:rPr>
        <w:lastRenderedPageBreak/>
        <w:t>“</w:t>
      </w:r>
      <w:r w:rsidRPr="00F16B80">
        <w:rPr>
          <w:rFonts w:ascii="Palatino Linotype" w:hAnsi="Palatino Linotype" w:cs="Arial"/>
          <w:b/>
          <w:i/>
          <w:sz w:val="22"/>
        </w:rPr>
        <w:t>Artículo 178.</w:t>
      </w:r>
      <w:r w:rsidRPr="00F16B8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93C2623" w14:textId="77777777" w:rsidR="000536D9" w:rsidRPr="00F16B80" w:rsidRDefault="000536D9" w:rsidP="000536D9">
      <w:pPr>
        <w:ind w:left="720" w:right="709"/>
        <w:contextualSpacing/>
        <w:jc w:val="both"/>
        <w:rPr>
          <w:rFonts w:ascii="Palatino Linotype" w:hAnsi="Palatino Linotype" w:cs="Arial"/>
          <w:i/>
          <w:sz w:val="22"/>
        </w:rPr>
      </w:pPr>
    </w:p>
    <w:p w14:paraId="438FE9DA" w14:textId="77777777" w:rsidR="000536D9" w:rsidRPr="00F16B80" w:rsidRDefault="000536D9" w:rsidP="000536D9">
      <w:pPr>
        <w:ind w:left="720" w:right="709"/>
        <w:contextualSpacing/>
        <w:jc w:val="both"/>
        <w:rPr>
          <w:rFonts w:ascii="Palatino Linotype" w:hAnsi="Palatino Linotype" w:cs="Arial"/>
          <w:i/>
          <w:sz w:val="22"/>
        </w:rPr>
      </w:pPr>
      <w:r w:rsidRPr="00F16B8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30B2192" w14:textId="77777777" w:rsidR="000536D9" w:rsidRPr="00F16B80" w:rsidRDefault="000536D9" w:rsidP="000536D9">
      <w:pPr>
        <w:ind w:left="720" w:right="709"/>
        <w:contextualSpacing/>
        <w:jc w:val="both"/>
        <w:rPr>
          <w:rFonts w:ascii="Palatino Linotype" w:hAnsi="Palatino Linotype" w:cs="Arial"/>
          <w:i/>
          <w:sz w:val="22"/>
        </w:rPr>
      </w:pPr>
    </w:p>
    <w:p w14:paraId="5D139B8E" w14:textId="77777777" w:rsidR="000536D9" w:rsidRPr="00F16B80" w:rsidRDefault="000536D9" w:rsidP="000536D9">
      <w:pPr>
        <w:ind w:left="720" w:right="709"/>
        <w:jc w:val="both"/>
        <w:rPr>
          <w:rFonts w:ascii="Palatino Linotype" w:hAnsi="Palatino Linotype" w:cs="Arial"/>
          <w:i/>
          <w:sz w:val="22"/>
        </w:rPr>
      </w:pPr>
      <w:r w:rsidRPr="00F16B80">
        <w:rPr>
          <w:rFonts w:ascii="Palatino Linotype" w:hAnsi="Palatino Linotype" w:cs="Arial"/>
          <w:i/>
          <w:sz w:val="22"/>
        </w:rPr>
        <w:t xml:space="preserve">En el caso de que se interponga ante la Unidad de Transparencia, ésta deberá remitir el Recurso de Revisión al Instituto a más tardar al día </w:t>
      </w:r>
      <w:r w:rsidRPr="00F16B80">
        <w:rPr>
          <w:rFonts w:ascii="Palatino Linotype" w:hAnsi="Palatino Linotype" w:cs="Arial"/>
          <w:i/>
          <w:sz w:val="22"/>
          <w:lang w:eastAsia="es-MX"/>
        </w:rPr>
        <w:t>siguiente</w:t>
      </w:r>
      <w:r w:rsidRPr="00F16B80">
        <w:rPr>
          <w:rFonts w:ascii="Palatino Linotype" w:hAnsi="Palatino Linotype" w:cs="Arial"/>
          <w:i/>
          <w:sz w:val="22"/>
        </w:rPr>
        <w:t xml:space="preserve"> de haberlo recibido.” (Sic)</w:t>
      </w:r>
    </w:p>
    <w:p w14:paraId="5443754C" w14:textId="77777777" w:rsidR="000536D9" w:rsidRPr="00F16B80" w:rsidRDefault="000536D9" w:rsidP="000536D9">
      <w:pPr>
        <w:spacing w:before="240" w:after="100" w:afterAutospacing="1" w:line="360" w:lineRule="auto"/>
        <w:jc w:val="both"/>
        <w:rPr>
          <w:rFonts w:ascii="Palatino Linotype" w:hAnsi="Palatino Linotype" w:cs="Arial"/>
        </w:rPr>
      </w:pPr>
      <w:r w:rsidRPr="00F16B80">
        <w:rPr>
          <w:rFonts w:ascii="Palatino Linotype" w:hAnsi="Palatino Linotype" w:cs="Arial"/>
        </w:rPr>
        <w:t xml:space="preserve">En esa tesitura, atendiendo a que </w:t>
      </w:r>
      <w:r w:rsidRPr="00F16B80">
        <w:rPr>
          <w:rFonts w:ascii="Palatino Linotype" w:hAnsi="Palatino Linotype" w:cs="Arial"/>
          <w:b/>
        </w:rPr>
        <w:t>EL SUJETO OBLIGADO</w:t>
      </w:r>
      <w:r w:rsidRPr="00F16B80">
        <w:rPr>
          <w:rFonts w:ascii="Palatino Linotype" w:hAnsi="Palatino Linotype" w:cs="Arial"/>
        </w:rPr>
        <w:t xml:space="preserve"> notificó la respuesta a la solicitud de acceso a la Información Pública el día</w:t>
      </w:r>
      <w:r w:rsidRPr="00F16B80">
        <w:rPr>
          <w:rFonts w:ascii="Palatino Linotype" w:hAnsi="Palatino Linotype" w:cs="Arial"/>
          <w:b/>
        </w:rPr>
        <w:t xml:space="preserve"> </w:t>
      </w:r>
      <w:r w:rsidR="00B0773F" w:rsidRPr="00F16B80">
        <w:rPr>
          <w:rFonts w:ascii="Palatino Linotype" w:hAnsi="Palatino Linotype" w:cs="Arial"/>
          <w:b/>
        </w:rPr>
        <w:t xml:space="preserve">cinco de abril </w:t>
      </w:r>
      <w:r w:rsidRPr="00F16B80">
        <w:rPr>
          <w:rFonts w:ascii="Palatino Linotype" w:hAnsi="Palatino Linotype" w:cs="Arial"/>
          <w:b/>
        </w:rPr>
        <w:t xml:space="preserve">de dos mil veintidós, </w:t>
      </w:r>
      <w:r w:rsidRPr="00F16B80">
        <w:rPr>
          <w:rFonts w:ascii="Palatino Linotype" w:hAnsi="Palatino Linotype" w:cs="Arial"/>
        </w:rPr>
        <w:t>así, el plazo de quince días hábiles que el artículo 178 de la Ley de la materia otorga al hoy</w:t>
      </w:r>
      <w:r w:rsidRPr="00F16B80">
        <w:rPr>
          <w:rFonts w:ascii="Palatino Linotype" w:hAnsi="Palatino Linotype" w:cs="Arial"/>
          <w:b/>
        </w:rPr>
        <w:t xml:space="preserve"> RECURRENTE</w:t>
      </w:r>
      <w:r w:rsidRPr="00F16B80">
        <w:rPr>
          <w:rFonts w:ascii="Palatino Linotype" w:hAnsi="Palatino Linotype" w:cs="Arial"/>
        </w:rPr>
        <w:t xml:space="preserve"> para presentar el respectivo Recurso de Revisión, transcurrió del </w:t>
      </w:r>
      <w:r w:rsidR="00B0773F" w:rsidRPr="00F16B80">
        <w:rPr>
          <w:rFonts w:ascii="Palatino Linotype" w:hAnsi="Palatino Linotype" w:cs="Arial"/>
          <w:b/>
        </w:rPr>
        <w:t xml:space="preserve">seis de abril al tres de mayo de </w:t>
      </w:r>
      <w:r w:rsidRPr="00F16B80">
        <w:rPr>
          <w:rFonts w:ascii="Palatino Linotype" w:hAnsi="Palatino Linotype" w:cs="Arial"/>
          <w:b/>
        </w:rPr>
        <w:t xml:space="preserve">dos mil veintidós, </w:t>
      </w:r>
      <w:r w:rsidRPr="00F16B80">
        <w:rPr>
          <w:rFonts w:ascii="Palatino Linotype" w:hAnsi="Palatino Linotype" w:cs="Arial"/>
        </w:rPr>
        <w:t xml:space="preserve">sin contemplar en el cómputo los días </w:t>
      </w:r>
      <w:r w:rsidR="00B0773F" w:rsidRPr="00F16B80">
        <w:rPr>
          <w:rFonts w:ascii="Palatino Linotype" w:hAnsi="Palatino Linotype" w:cs="Arial"/>
        </w:rPr>
        <w:t>nueve, diez, dieciséis, diecisiete, veintitrés, veinticuatro</w:t>
      </w:r>
      <w:r w:rsidR="00821149" w:rsidRPr="00F16B80">
        <w:rPr>
          <w:rFonts w:ascii="Palatino Linotype" w:hAnsi="Palatino Linotype" w:cs="Arial"/>
        </w:rPr>
        <w:t>,</w:t>
      </w:r>
      <w:r w:rsidR="00B0773F" w:rsidRPr="00F16B80">
        <w:rPr>
          <w:rFonts w:ascii="Palatino Linotype" w:hAnsi="Palatino Linotype" w:cs="Arial"/>
        </w:rPr>
        <w:t xml:space="preserve"> treinta de abril </w:t>
      </w:r>
      <w:r w:rsidR="00821149" w:rsidRPr="00F16B80">
        <w:rPr>
          <w:rFonts w:ascii="Palatino Linotype" w:hAnsi="Palatino Linotype" w:cs="Arial"/>
        </w:rPr>
        <w:t xml:space="preserve">y uno de mayo de la anualidad, </w:t>
      </w:r>
      <w:r w:rsidRPr="00F16B80">
        <w:rPr>
          <w:rFonts w:ascii="Palatino Linotype" w:hAnsi="Palatino Linotype" w:cs="Arial"/>
        </w:rPr>
        <w:t xml:space="preserve">por corresponder a sábados y domingos, considerados como días inhábiles, en términos del artículo 3, fracción X de la </w:t>
      </w:r>
      <w:r w:rsidRPr="00F16B80">
        <w:rPr>
          <w:rFonts w:ascii="Palatino Linotype" w:hAnsi="Palatino Linotype"/>
        </w:rPr>
        <w:t>Ley de Transparencia y Acceso a la Información Pública del Estado de</w:t>
      </w:r>
      <w:r w:rsidR="00821149" w:rsidRPr="00F16B80">
        <w:rPr>
          <w:rFonts w:ascii="Palatino Linotype" w:hAnsi="Palatino Linotype"/>
        </w:rPr>
        <w:t xml:space="preserve"> México y Municipios; así como los días del once al quince de abril de dos mil veintidós por corresponder a días en los que se suspendieron labores de acuerdo con lo establecido en el Calendario Oficial en materia de Transparencia aprobado por el Pleno de este instituto el quince de diciembre de dos mil veintidós.</w:t>
      </w:r>
    </w:p>
    <w:p w14:paraId="3AF7C5DE" w14:textId="77777777" w:rsidR="000536D9" w:rsidRPr="00F16B80" w:rsidRDefault="000536D9" w:rsidP="000536D9">
      <w:pPr>
        <w:spacing w:before="240" w:after="100" w:afterAutospacing="1" w:line="360" w:lineRule="auto"/>
        <w:jc w:val="both"/>
        <w:rPr>
          <w:rFonts w:ascii="Palatino Linotype" w:hAnsi="Palatino Linotype" w:cs="Arial"/>
        </w:rPr>
      </w:pPr>
      <w:r w:rsidRPr="00F16B80">
        <w:rPr>
          <w:rFonts w:ascii="Palatino Linotype" w:hAnsi="Palatino Linotype" w:cs="Arial"/>
        </w:rPr>
        <w:t>Por tanto, si el Recurso de Revisión que nos ocupa, se interpuso el</w:t>
      </w:r>
      <w:r w:rsidR="00821149" w:rsidRPr="00F16B80">
        <w:rPr>
          <w:rFonts w:ascii="Palatino Linotype" w:hAnsi="Palatino Linotype" w:cs="Arial"/>
          <w:b/>
        </w:rPr>
        <w:t xml:space="preserve"> cinco de abril de </w:t>
      </w:r>
      <w:r w:rsidRPr="00F16B80">
        <w:rPr>
          <w:rFonts w:ascii="Palatino Linotype" w:hAnsi="Palatino Linotype" w:cs="Arial"/>
          <w:b/>
        </w:rPr>
        <w:t xml:space="preserve">dos mil veintidós, </w:t>
      </w:r>
      <w:r w:rsidRPr="00F16B80">
        <w:rPr>
          <w:rFonts w:ascii="Palatino Linotype" w:hAnsi="Palatino Linotype" w:cs="Arial"/>
        </w:rPr>
        <w:t xml:space="preserve">éste se encuentra dentro de los márgenes temporales previstos </w:t>
      </w:r>
      <w:r w:rsidRPr="00F16B80">
        <w:rPr>
          <w:rFonts w:ascii="Palatino Linotype" w:hAnsi="Palatino Linotype" w:cs="Arial"/>
        </w:rPr>
        <w:lastRenderedPageBreak/>
        <w:t>en el precepto legal citado en el párrafo anterior y, por tanto, su interposición se considera oportuna.</w:t>
      </w:r>
    </w:p>
    <w:p w14:paraId="4E6EA6A5" w14:textId="77777777" w:rsidR="000536D9" w:rsidRPr="00F16B80" w:rsidRDefault="000536D9" w:rsidP="000536D9">
      <w:pPr>
        <w:autoSpaceDE w:val="0"/>
        <w:autoSpaceDN w:val="0"/>
        <w:adjustRightInd w:val="0"/>
        <w:spacing w:line="360" w:lineRule="auto"/>
        <w:ind w:right="49"/>
        <w:jc w:val="both"/>
        <w:rPr>
          <w:rFonts w:ascii="Palatino Linotype" w:hAnsi="Palatino Linotype" w:cs="Arial"/>
        </w:rPr>
      </w:pPr>
      <w:r w:rsidRPr="00F16B80">
        <w:rPr>
          <w:rFonts w:ascii="Palatino Linotype" w:hAnsi="Palatino Linotype" w:cs="Arial"/>
          <w:b/>
          <w:sz w:val="28"/>
          <w:szCs w:val="28"/>
        </w:rPr>
        <w:t>CUARTO</w:t>
      </w:r>
      <w:r w:rsidRPr="00F16B80">
        <w:rPr>
          <w:rFonts w:ascii="Palatino Linotype" w:hAnsi="Palatino Linotype" w:cs="Arial"/>
        </w:rPr>
        <w:t xml:space="preserve">. </w:t>
      </w:r>
      <w:r w:rsidRPr="00F16B80">
        <w:rPr>
          <w:rFonts w:ascii="Palatino Linotype" w:hAnsi="Palatino Linotype" w:cs="Arial"/>
          <w:b/>
        </w:rPr>
        <w:t>Procedibilidad</w:t>
      </w:r>
      <w:r w:rsidRPr="00F16B80">
        <w:rPr>
          <w:rFonts w:ascii="Palatino Linotype" w:hAnsi="Palatino Linotype" w:cs="Arial"/>
        </w:rPr>
        <w:t xml:space="preserve">. </w:t>
      </w:r>
    </w:p>
    <w:p w14:paraId="05FBEF59" w14:textId="77777777" w:rsidR="00821149" w:rsidRPr="00F16B80" w:rsidRDefault="00821149" w:rsidP="00821149">
      <w:pPr>
        <w:autoSpaceDE w:val="0"/>
        <w:autoSpaceDN w:val="0"/>
        <w:adjustRightInd w:val="0"/>
        <w:spacing w:before="100" w:beforeAutospacing="1" w:after="100" w:afterAutospacing="1" w:line="360" w:lineRule="auto"/>
        <w:ind w:right="49"/>
        <w:jc w:val="both"/>
        <w:rPr>
          <w:rFonts w:ascii="Palatino Linotype" w:hAnsi="Palatino Linotype"/>
          <w:b/>
        </w:rPr>
      </w:pPr>
      <w:r w:rsidRPr="00F16B80">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F16B80">
        <w:rPr>
          <w:rFonts w:ascii="Palatino Linotype" w:hAnsi="Palatino Linotype"/>
        </w:rPr>
        <w:t xml:space="preserve">Ley de Transparencia y Acceso a la Información Pública del Estado de México y Municipios, en atención a que fue presentado mediante el formato visible en </w:t>
      </w:r>
      <w:r w:rsidRPr="00F16B80">
        <w:rPr>
          <w:rFonts w:ascii="Palatino Linotype" w:hAnsi="Palatino Linotype"/>
          <w:b/>
        </w:rPr>
        <w:t>EL SAIMEX.</w:t>
      </w:r>
    </w:p>
    <w:p w14:paraId="2D19CFEC" w14:textId="77777777" w:rsidR="000536D9" w:rsidRPr="00F16B80" w:rsidRDefault="000536D9" w:rsidP="000536D9">
      <w:pPr>
        <w:spacing w:before="240" w:after="100" w:afterAutospacing="1" w:line="360" w:lineRule="auto"/>
        <w:jc w:val="both"/>
        <w:rPr>
          <w:rFonts w:ascii="Palatino Linotype" w:hAnsi="Palatino Linotype" w:cs="Arial"/>
          <w:lang w:val="es-ES" w:eastAsia="es-MX"/>
        </w:rPr>
      </w:pPr>
      <w:r w:rsidRPr="00F16B80">
        <w:rPr>
          <w:rFonts w:ascii="Palatino Linotype" w:hAnsi="Palatino Linotype" w:cs="Arial"/>
          <w:b/>
          <w:sz w:val="28"/>
          <w:szCs w:val="28"/>
        </w:rPr>
        <w:t xml:space="preserve">QUINTO. </w:t>
      </w:r>
      <w:r w:rsidR="00821149" w:rsidRPr="00F16B80">
        <w:rPr>
          <w:rFonts w:ascii="Palatino Linotype" w:hAnsi="Palatino Linotype" w:cs="Arial"/>
          <w:b/>
          <w:sz w:val="28"/>
          <w:szCs w:val="28"/>
        </w:rPr>
        <w:t>A</w:t>
      </w:r>
      <w:r w:rsidR="00821149" w:rsidRPr="00F16B80">
        <w:rPr>
          <w:rFonts w:ascii="Palatino Linotype" w:hAnsi="Palatino Linotype" w:cs="Arial"/>
          <w:b/>
        </w:rPr>
        <w:t>nálisis de la causal de Sobreseimiento del Recurso de Revisión:</w:t>
      </w:r>
    </w:p>
    <w:p w14:paraId="524A591D" w14:textId="77777777" w:rsidR="00821149" w:rsidRPr="00F16B80" w:rsidRDefault="00821149" w:rsidP="00821149">
      <w:pPr>
        <w:spacing w:line="360" w:lineRule="auto"/>
        <w:jc w:val="both"/>
        <w:rPr>
          <w:rFonts w:ascii="Palatino Linotype" w:hAnsi="Palatino Linotype"/>
        </w:rPr>
      </w:pPr>
      <w:r w:rsidRPr="00F16B80">
        <w:rPr>
          <w:rFonts w:ascii="Palatino Linotype" w:hAnsi="Palatino Linotype"/>
        </w:rPr>
        <w:t xml:space="preserve">Derivado del estudio realizado a las constancias que obran en el expediente electrónico del </w:t>
      </w:r>
      <w:r w:rsidRPr="00F16B80">
        <w:rPr>
          <w:rFonts w:ascii="Palatino Linotype" w:hAnsi="Palatino Linotype"/>
          <w:b/>
        </w:rPr>
        <w:t>SAIMEX</w:t>
      </w:r>
      <w:r w:rsidRPr="00F16B80">
        <w:rPr>
          <w:rFonts w:ascii="Palatino Linotype" w:hAnsi="Palatino Linotype"/>
        </w:rPr>
        <w:t xml:space="preserve">, es que para este Órgano Garante es importante </w:t>
      </w:r>
      <w:r w:rsidRPr="00F16B80">
        <w:rPr>
          <w:rFonts w:ascii="Palatino Linotype" w:hAnsi="Palatino Linotype" w:cs="Arial"/>
          <w:color w:val="000000"/>
          <w:lang w:eastAsia="es-MX"/>
        </w:rPr>
        <w:t xml:space="preserve"> aclarar que</w:t>
      </w:r>
      <w:r w:rsidRPr="00F16B80">
        <w:rPr>
          <w:rFonts w:ascii="Palatino Linotype" w:eastAsia="Arial Unicode MS" w:hAnsi="Palatino Linotype" w:cs="Arial"/>
          <w:color w:val="000000"/>
          <w:lang w:eastAsia="es-MX"/>
        </w:rPr>
        <w:t xml:space="preserve"> el </w:t>
      </w:r>
      <w:r w:rsidRPr="00F16B80">
        <w:rPr>
          <w:rFonts w:ascii="Palatino Linotype" w:eastAsia="Arial Unicode MS" w:hAnsi="Palatino Linotype" w:cs="Arial"/>
          <w:b/>
          <w:color w:val="000000"/>
          <w:lang w:eastAsia="es-MX"/>
        </w:rPr>
        <w:t>Desistimiento</w:t>
      </w:r>
      <w:r w:rsidRPr="00F16B80">
        <w:rPr>
          <w:rFonts w:ascii="Palatino Linotype" w:eastAsia="Arial Unicode MS" w:hAnsi="Palatino Linotype" w:cs="Arial"/>
          <w:color w:val="000000"/>
          <w:lang w:eastAsia="es-MX"/>
        </w:rPr>
        <w:t xml:space="preserve"> sólo pudo ser activado por </w:t>
      </w:r>
      <w:r w:rsidRPr="00F16B80">
        <w:rPr>
          <w:rFonts w:ascii="Palatino Linotype" w:eastAsia="Arial Unicode MS" w:hAnsi="Palatino Linotype" w:cs="Arial"/>
          <w:b/>
          <w:color w:val="000000"/>
          <w:lang w:eastAsia="es-MX"/>
        </w:rPr>
        <w:t>EL</w:t>
      </w:r>
      <w:r w:rsidRPr="00F16B80">
        <w:rPr>
          <w:rFonts w:ascii="Palatino Linotype" w:eastAsia="Arial Unicode MS" w:hAnsi="Palatino Linotype" w:cs="Arial"/>
          <w:color w:val="000000"/>
          <w:lang w:eastAsia="es-MX"/>
        </w:rPr>
        <w:t xml:space="preserve"> </w:t>
      </w:r>
      <w:r w:rsidRPr="00F16B80">
        <w:rPr>
          <w:rFonts w:ascii="Palatino Linotype" w:eastAsia="Arial Unicode MS" w:hAnsi="Palatino Linotype" w:cs="Arial"/>
          <w:b/>
          <w:color w:val="000000"/>
          <w:lang w:eastAsia="es-MX"/>
        </w:rPr>
        <w:t>RECURRENTE</w:t>
      </w:r>
      <w:r w:rsidRPr="00F16B80">
        <w:rPr>
          <w:rFonts w:ascii="Palatino Linotype" w:eastAsia="Arial Unicode MS" w:hAnsi="Palatino Linotype" w:cs="Arial"/>
          <w:color w:val="000000"/>
          <w:lang w:eastAsia="es-MX"/>
        </w:rPr>
        <w:t xml:space="preserve"> mediante el ingreso al </w:t>
      </w:r>
      <w:r w:rsidRPr="00F16B80">
        <w:rPr>
          <w:rFonts w:ascii="Palatino Linotype" w:hAnsi="Palatino Linotype" w:cs="Arial"/>
        </w:rPr>
        <w:t>Sistema</w:t>
      </w:r>
      <w:r w:rsidRPr="00F16B80">
        <w:rPr>
          <w:rFonts w:ascii="Palatino Linotype" w:hAnsi="Palatino Linotype"/>
        </w:rPr>
        <w:t xml:space="preserve"> de Acceso a la Información Mexiquense </w:t>
      </w:r>
      <w:r w:rsidRPr="00F16B80">
        <w:rPr>
          <w:rFonts w:ascii="Palatino Linotype" w:hAnsi="Palatino Linotype"/>
          <w:b/>
        </w:rPr>
        <w:t>SAIMEX</w:t>
      </w:r>
      <w:r w:rsidRPr="00F16B80">
        <w:rPr>
          <w:rFonts w:ascii="Palatino Linotype" w:hAnsi="Palatino Linotype"/>
        </w:rPr>
        <w:t xml:space="preserve">, mediante la utilización de </w:t>
      </w:r>
      <w:r w:rsidRPr="00F16B80">
        <w:rPr>
          <w:rFonts w:ascii="Palatino Linotype" w:eastAsia="Arial Unicode MS" w:hAnsi="Palatino Linotype" w:cs="Arial"/>
          <w:color w:val="000000"/>
          <w:lang w:eastAsia="es-MX"/>
        </w:rPr>
        <w:t xml:space="preserve">su clave de usuario y contraseña, por lo que, no existe duda de que </w:t>
      </w:r>
      <w:r w:rsidRPr="00F16B80">
        <w:rPr>
          <w:rFonts w:ascii="Palatino Linotype" w:hAnsi="Palatino Linotype" w:cs="Arial"/>
          <w:lang w:val="es-ES_tradnl"/>
        </w:rPr>
        <w:t>se</w:t>
      </w:r>
      <w:r w:rsidRPr="00F16B80">
        <w:rPr>
          <w:rFonts w:ascii="Palatino Linotype" w:eastAsia="Arial Unicode MS" w:hAnsi="Palatino Linotype" w:cs="Arial"/>
          <w:color w:val="000000"/>
          <w:lang w:eastAsia="es-MX"/>
        </w:rPr>
        <w:t xml:space="preserve"> </w:t>
      </w:r>
      <w:r w:rsidRPr="00F16B80">
        <w:rPr>
          <w:rFonts w:ascii="Palatino Linotype" w:hAnsi="Palatino Linotype"/>
        </w:rPr>
        <w:t>trata</w:t>
      </w:r>
      <w:r w:rsidRPr="00F16B80">
        <w:rPr>
          <w:rFonts w:ascii="Palatino Linotype" w:eastAsia="Arial Unicode MS" w:hAnsi="Palatino Linotype" w:cs="Arial"/>
          <w:color w:val="000000"/>
          <w:lang w:eastAsia="es-MX"/>
        </w:rPr>
        <w:t xml:space="preserve"> de un </w:t>
      </w:r>
      <w:r w:rsidRPr="00F16B80">
        <w:rPr>
          <w:rFonts w:ascii="Palatino Linotype" w:eastAsia="Arial Unicode MS" w:hAnsi="Palatino Linotype" w:cs="Arial"/>
          <w:b/>
          <w:color w:val="000000"/>
          <w:lang w:eastAsia="es-MX"/>
        </w:rPr>
        <w:t>desistimiento expreso</w:t>
      </w:r>
      <w:r w:rsidRPr="00F16B80">
        <w:rPr>
          <w:rFonts w:ascii="Palatino Linotype" w:eastAsia="Arial Unicode MS" w:hAnsi="Palatino Linotype" w:cs="Arial"/>
          <w:color w:val="000000"/>
          <w:lang w:eastAsia="es-MX"/>
        </w:rPr>
        <w:t xml:space="preserve">, por parte del </w:t>
      </w:r>
      <w:r w:rsidRPr="00F16B80">
        <w:rPr>
          <w:rFonts w:ascii="Palatino Linotype" w:eastAsia="Arial Unicode MS" w:hAnsi="Palatino Linotype" w:cs="Arial"/>
          <w:b/>
          <w:color w:val="000000"/>
          <w:lang w:eastAsia="es-MX"/>
        </w:rPr>
        <w:t>RECURRENTE</w:t>
      </w:r>
      <w:r w:rsidRPr="00F16B80">
        <w:rPr>
          <w:rFonts w:ascii="Palatino Linotype" w:hAnsi="Palatino Linotype" w:cs="Arial"/>
        </w:rPr>
        <w:t xml:space="preserve">. </w:t>
      </w:r>
    </w:p>
    <w:p w14:paraId="09499936" w14:textId="77777777" w:rsidR="00821149" w:rsidRPr="00F16B80" w:rsidRDefault="00821149" w:rsidP="00821149">
      <w:pPr>
        <w:widowControl w:val="0"/>
        <w:autoSpaceDE w:val="0"/>
        <w:autoSpaceDN w:val="0"/>
        <w:adjustRightInd w:val="0"/>
        <w:spacing w:line="360" w:lineRule="auto"/>
        <w:jc w:val="both"/>
        <w:rPr>
          <w:rFonts w:ascii="Palatino Linotype" w:hAnsi="Palatino Linotype" w:cs="Arial"/>
        </w:rPr>
      </w:pPr>
    </w:p>
    <w:p w14:paraId="678760C4" w14:textId="77777777" w:rsidR="00821149" w:rsidRPr="00F16B80" w:rsidRDefault="00821149" w:rsidP="00821149">
      <w:pPr>
        <w:spacing w:line="360" w:lineRule="auto"/>
        <w:jc w:val="both"/>
        <w:rPr>
          <w:rFonts w:ascii="Palatino Linotype" w:hAnsi="Palatino Linotype"/>
        </w:rPr>
      </w:pPr>
      <w:r w:rsidRPr="00F16B80">
        <w:rPr>
          <w:rFonts w:ascii="Palatino Linotype" w:hAnsi="Palatino Linotype"/>
        </w:rPr>
        <w:t>Asimismo, es conviene definir la palabra desistir como abdicar o abandonar un derecho o una acción procesal, tal y como lo señala el Diccionario de la Lengua Española</w:t>
      </w:r>
      <w:r w:rsidRPr="00F16B80">
        <w:rPr>
          <w:rFonts w:ascii="Palatino Linotype" w:hAnsi="Palatino Linotype"/>
          <w:vertAlign w:val="superscript"/>
        </w:rPr>
        <w:footnoteReference w:id="1"/>
      </w:r>
    </w:p>
    <w:p w14:paraId="4F98293A" w14:textId="77777777" w:rsidR="00821149" w:rsidRPr="00F16B80" w:rsidRDefault="00821149" w:rsidP="00821149">
      <w:pPr>
        <w:widowControl w:val="0"/>
        <w:autoSpaceDE w:val="0"/>
        <w:autoSpaceDN w:val="0"/>
        <w:adjustRightInd w:val="0"/>
        <w:spacing w:line="360" w:lineRule="auto"/>
        <w:jc w:val="both"/>
        <w:rPr>
          <w:rFonts w:ascii="Palatino Linotype" w:hAnsi="Palatino Linotype" w:cs="Arial"/>
        </w:rPr>
      </w:pPr>
    </w:p>
    <w:p w14:paraId="1B7270BC" w14:textId="77777777" w:rsidR="00821149" w:rsidRPr="00F16B80" w:rsidRDefault="00821149" w:rsidP="00821149">
      <w:pPr>
        <w:widowControl w:val="0"/>
        <w:autoSpaceDE w:val="0"/>
        <w:autoSpaceDN w:val="0"/>
        <w:adjustRightInd w:val="0"/>
        <w:spacing w:line="360" w:lineRule="auto"/>
        <w:jc w:val="both"/>
        <w:rPr>
          <w:rFonts w:ascii="Palatino Linotype" w:hAnsi="Palatino Linotype"/>
          <w:lang w:val="es-ES"/>
        </w:rPr>
      </w:pPr>
      <w:r w:rsidRPr="00F16B80">
        <w:rPr>
          <w:rFonts w:ascii="Palatino Linotype" w:hAnsi="Palatino Linotype"/>
        </w:rPr>
        <w:t xml:space="preserve">Ahora bien, en materia procesal, el desistimiento debe entenderse, de conformidad </w:t>
      </w:r>
      <w:r w:rsidRPr="00F16B80">
        <w:rPr>
          <w:rFonts w:ascii="Palatino Linotype" w:hAnsi="Palatino Linotype"/>
        </w:rPr>
        <w:lastRenderedPageBreak/>
        <w:t>con el tratadista Cipriano Gómez Lara</w:t>
      </w:r>
      <w:r w:rsidRPr="00F16B80">
        <w:rPr>
          <w:rFonts w:ascii="Palatino Linotype" w:hAnsi="Palatino Linotype"/>
          <w:vertAlign w:val="superscript"/>
        </w:rPr>
        <w:footnoteReference w:id="2"/>
      </w:r>
      <w:r w:rsidRPr="00F16B80">
        <w:rPr>
          <w:rFonts w:ascii="Palatino Linotype" w:hAnsi="Palatino Linotype"/>
        </w:rPr>
        <w:t xml:space="preserve">, </w:t>
      </w:r>
      <w:r w:rsidRPr="00F16B80">
        <w:rPr>
          <w:rFonts w:ascii="Palatino Linotype" w:hAnsi="Palatino Linotype"/>
          <w:lang w:val="es-ES"/>
        </w:rPr>
        <w:t>como una renuncia procesal de derechos o de pretensiones; mismo del cual, a su decir, existen tres tipos a saber</w:t>
      </w:r>
      <w:r w:rsidRPr="00F16B80">
        <w:rPr>
          <w:rFonts w:ascii="Palatino Linotype" w:hAnsi="Palatino Linotype"/>
          <w:vertAlign w:val="superscript"/>
          <w:lang w:val="es-ES"/>
        </w:rPr>
        <w:footnoteReference w:id="3"/>
      </w:r>
      <w:r w:rsidRPr="00F16B80">
        <w:rPr>
          <w:rFonts w:ascii="Palatino Linotype" w:hAnsi="Palatino Linotype"/>
          <w:lang w:val="es-ES"/>
        </w:rPr>
        <w:t>:</w:t>
      </w:r>
    </w:p>
    <w:p w14:paraId="105BADE6" w14:textId="77777777" w:rsidR="00821149" w:rsidRPr="00F16B80" w:rsidRDefault="00821149" w:rsidP="00821149">
      <w:pPr>
        <w:widowControl w:val="0"/>
        <w:autoSpaceDE w:val="0"/>
        <w:autoSpaceDN w:val="0"/>
        <w:adjustRightInd w:val="0"/>
        <w:spacing w:line="360" w:lineRule="auto"/>
        <w:jc w:val="both"/>
        <w:rPr>
          <w:rFonts w:ascii="Palatino Linotype" w:hAnsi="Palatino Linotype" w:cs="Arial"/>
        </w:rPr>
      </w:pPr>
    </w:p>
    <w:p w14:paraId="282AFC9D" w14:textId="77777777" w:rsidR="00821149" w:rsidRPr="00F16B80" w:rsidRDefault="00821149" w:rsidP="00821149">
      <w:pPr>
        <w:numPr>
          <w:ilvl w:val="0"/>
          <w:numId w:val="6"/>
        </w:numPr>
        <w:spacing w:line="360" w:lineRule="auto"/>
        <w:ind w:left="567"/>
        <w:jc w:val="both"/>
        <w:rPr>
          <w:rFonts w:ascii="Palatino Linotype" w:hAnsi="Palatino Linotype"/>
        </w:rPr>
      </w:pPr>
      <w:r w:rsidRPr="00F16B80">
        <w:rPr>
          <w:rFonts w:ascii="Palatino Linotype" w:hAnsi="Palatino Linotype"/>
          <w:b/>
        </w:rPr>
        <w:t>De la demanda:</w:t>
      </w:r>
      <w:r w:rsidRPr="00F16B80">
        <w:rPr>
          <w:rFonts w:ascii="Palatino Linotype" w:hAnsi="Palatino Linotype"/>
        </w:rPr>
        <w:t xml:space="preserve"> </w:t>
      </w:r>
      <w:r w:rsidRPr="00F16B80">
        <w:rPr>
          <w:rFonts w:ascii="Palatino Linotype" w:hAnsi="Palatino Linotype"/>
          <w:lang w:val="es-ES"/>
        </w:rPr>
        <w:t>cuando el actor decide claudicar en su propósito de demandar al deudor, antes de haber sido emplazado a juicio.</w:t>
      </w:r>
    </w:p>
    <w:p w14:paraId="1429E562" w14:textId="77777777" w:rsidR="00821149" w:rsidRPr="00F16B80" w:rsidRDefault="00821149" w:rsidP="00821149">
      <w:pPr>
        <w:spacing w:line="360" w:lineRule="auto"/>
        <w:ind w:left="567"/>
        <w:jc w:val="both"/>
        <w:rPr>
          <w:rFonts w:ascii="Palatino Linotype" w:hAnsi="Palatino Linotype"/>
        </w:rPr>
      </w:pPr>
    </w:p>
    <w:p w14:paraId="2651ABFB" w14:textId="77777777" w:rsidR="00821149" w:rsidRPr="00F16B80" w:rsidRDefault="00821149" w:rsidP="00821149">
      <w:pPr>
        <w:numPr>
          <w:ilvl w:val="0"/>
          <w:numId w:val="6"/>
        </w:numPr>
        <w:spacing w:line="360" w:lineRule="auto"/>
        <w:ind w:left="567"/>
        <w:jc w:val="both"/>
        <w:rPr>
          <w:rFonts w:ascii="Palatino Linotype" w:hAnsi="Palatino Linotype"/>
        </w:rPr>
      </w:pPr>
      <w:r w:rsidRPr="00F16B80">
        <w:rPr>
          <w:rFonts w:ascii="Palatino Linotype" w:hAnsi="Palatino Linotype"/>
          <w:b/>
        </w:rPr>
        <w:t>De la instancia:</w:t>
      </w:r>
      <w:r w:rsidRPr="00F16B80">
        <w:rPr>
          <w:rFonts w:ascii="Palatino Linotype" w:hAnsi="Palatino Linotype"/>
        </w:rPr>
        <w:t xml:space="preserve"> </w:t>
      </w:r>
      <w:r w:rsidRPr="00F16B80">
        <w:rPr>
          <w:rFonts w:ascii="Palatino Linotype" w:hAnsi="Palatino Linotype"/>
          <w:lang w:val="es-ES"/>
        </w:rPr>
        <w:t>implica que se haya iniciado el juicio, se llame al demandado a través del emplazamiento y, antes de concluir el mismo, si el actor decide abandonar la instancia judicial, se pedirá el consentimiento del demandado para tal efecto. Si el demandado está de acuerdo, se concluye con la instancia; en caso de oposición, el juez decide si se prosigue con el juicio o se tiene al actor por desistido de la instancia.</w:t>
      </w:r>
    </w:p>
    <w:p w14:paraId="263F8BAF" w14:textId="77777777" w:rsidR="00821149" w:rsidRPr="00F16B80" w:rsidRDefault="00821149" w:rsidP="00821149">
      <w:pPr>
        <w:spacing w:line="360" w:lineRule="auto"/>
        <w:ind w:left="720"/>
        <w:contextualSpacing/>
        <w:rPr>
          <w:rFonts w:ascii="Palatino Linotype" w:hAnsi="Palatino Linotype"/>
        </w:rPr>
      </w:pPr>
    </w:p>
    <w:p w14:paraId="6EDE87B2" w14:textId="77777777" w:rsidR="00821149" w:rsidRPr="00F16B80" w:rsidRDefault="00821149" w:rsidP="00821149">
      <w:pPr>
        <w:numPr>
          <w:ilvl w:val="0"/>
          <w:numId w:val="6"/>
        </w:numPr>
        <w:spacing w:line="360" w:lineRule="auto"/>
        <w:ind w:left="567"/>
        <w:jc w:val="both"/>
        <w:rPr>
          <w:rFonts w:ascii="Palatino Linotype" w:hAnsi="Palatino Linotype"/>
        </w:rPr>
      </w:pPr>
      <w:r w:rsidRPr="00F16B80">
        <w:rPr>
          <w:rFonts w:ascii="Palatino Linotype" w:hAnsi="Palatino Linotype"/>
          <w:b/>
        </w:rPr>
        <w:t>De la acción:</w:t>
      </w:r>
      <w:r w:rsidRPr="00F16B80">
        <w:rPr>
          <w:rFonts w:ascii="Palatino Linotype" w:hAnsi="Palatino Linotype"/>
        </w:rPr>
        <w:t xml:space="preserve"> </w:t>
      </w:r>
      <w:r w:rsidRPr="00F16B80">
        <w:rPr>
          <w:rFonts w:ascii="Palatino Linotype" w:hAnsi="Palatino Linotype"/>
          <w:lang w:val="es-ES"/>
        </w:rPr>
        <w:t>implica el perdón del actor hacia el demandado, es decir, la renuncia de los derechos que pudiera ejercer sobre el demandado; no necesita el consentimiento de éste, sino que el juez ordenará al actor la ratificación de tal determinación, a fin de estar plenamente seguro de que ésa es la voluntad del actor.</w:t>
      </w:r>
    </w:p>
    <w:p w14:paraId="6A08B0AC" w14:textId="77777777" w:rsidR="00821149" w:rsidRPr="00F16B80" w:rsidRDefault="00821149" w:rsidP="00821149">
      <w:pPr>
        <w:widowControl w:val="0"/>
        <w:autoSpaceDE w:val="0"/>
        <w:autoSpaceDN w:val="0"/>
        <w:adjustRightInd w:val="0"/>
        <w:spacing w:line="360" w:lineRule="auto"/>
        <w:jc w:val="both"/>
        <w:rPr>
          <w:rFonts w:ascii="Palatino Linotype" w:hAnsi="Palatino Linotype" w:cs="Arial"/>
        </w:rPr>
      </w:pPr>
    </w:p>
    <w:p w14:paraId="6A6E9DCF" w14:textId="77777777" w:rsidR="00821149" w:rsidRPr="00F16B80" w:rsidRDefault="00821149" w:rsidP="00821149">
      <w:pPr>
        <w:widowControl w:val="0"/>
        <w:autoSpaceDE w:val="0"/>
        <w:autoSpaceDN w:val="0"/>
        <w:adjustRightInd w:val="0"/>
        <w:spacing w:line="360" w:lineRule="auto"/>
        <w:jc w:val="both"/>
        <w:rPr>
          <w:rFonts w:ascii="Palatino Linotype" w:hAnsi="Palatino Linotype" w:cs="Arial"/>
        </w:rPr>
      </w:pPr>
      <w:r w:rsidRPr="00F16B80">
        <w:rPr>
          <w:rFonts w:ascii="Palatino Linotype" w:hAnsi="Palatino Linotype"/>
        </w:rPr>
        <w:t>Como apoyo de lo anterior, se cita la Tesis 211360. Tribunales Colegiados de Circuito. Octava Época. Semanario Judicial de la Federación. Tomo XIV, Julio de 1994, Pág. 547</w:t>
      </w:r>
      <w:r w:rsidRPr="00F16B80">
        <w:rPr>
          <w:rFonts w:ascii="Palatino Linotype" w:hAnsi="Palatino Linotype" w:cs="Arial"/>
        </w:rPr>
        <w:t xml:space="preserve">, la cual refiere lo siguiente: </w:t>
      </w:r>
    </w:p>
    <w:p w14:paraId="30A8FA8C" w14:textId="77777777" w:rsidR="00821149" w:rsidRPr="00F16B80" w:rsidRDefault="00821149" w:rsidP="00821149">
      <w:pPr>
        <w:widowControl w:val="0"/>
        <w:autoSpaceDE w:val="0"/>
        <w:autoSpaceDN w:val="0"/>
        <w:adjustRightInd w:val="0"/>
        <w:jc w:val="both"/>
        <w:rPr>
          <w:rFonts w:ascii="Palatino Linotype" w:hAnsi="Palatino Linotype" w:cs="Arial"/>
        </w:rPr>
      </w:pPr>
    </w:p>
    <w:p w14:paraId="5DA0995C" w14:textId="77777777" w:rsidR="00821149" w:rsidRPr="00F16B80" w:rsidRDefault="00821149" w:rsidP="00821149">
      <w:pPr>
        <w:tabs>
          <w:tab w:val="left" w:pos="851"/>
        </w:tabs>
        <w:ind w:left="851" w:right="901"/>
        <w:jc w:val="both"/>
        <w:rPr>
          <w:rFonts w:ascii="Palatino Linotype" w:hAnsi="Palatino Linotype" w:cs="Arial"/>
          <w:i/>
          <w:sz w:val="22"/>
        </w:rPr>
      </w:pPr>
      <w:r w:rsidRPr="00F16B80">
        <w:rPr>
          <w:rFonts w:ascii="Palatino Linotype" w:hAnsi="Palatino Linotype" w:cs="Arial"/>
          <w:b/>
          <w:i/>
          <w:sz w:val="22"/>
        </w:rPr>
        <w:lastRenderedPageBreak/>
        <w:t xml:space="preserve">“DESISTIMIENTOS DE LA ACCION Y DE LA DEMANDA. DIFERENCIAS. </w:t>
      </w:r>
      <w:r w:rsidRPr="00F16B80">
        <w:rPr>
          <w:rFonts w:ascii="Palatino Linotype" w:hAnsi="Palatino Linotype" w:cs="Arial"/>
          <w:i/>
          <w:sz w:val="22"/>
        </w:rPr>
        <w:t>No es lo mismo desistir de la acción que de la demanda o instancia, ya que en el desistimiento de la demanda se pierden todos los derechos y situaciones procesales; y si no ha prescrito la acción, puede volverse a ejercitar mediante la presentación de una nueva demanda; mientras que con el desistimiento de la acción se produce la pérdida del derecho que el actor hizo valer en el juicio, porque al renunciar a la acción se renuncia al derecho.”</w:t>
      </w:r>
    </w:p>
    <w:p w14:paraId="752849B7" w14:textId="77777777" w:rsidR="00821149" w:rsidRPr="00F16B80" w:rsidRDefault="00821149" w:rsidP="00821149">
      <w:pPr>
        <w:widowControl w:val="0"/>
        <w:autoSpaceDE w:val="0"/>
        <w:autoSpaceDN w:val="0"/>
        <w:adjustRightInd w:val="0"/>
        <w:jc w:val="both"/>
        <w:rPr>
          <w:rFonts w:ascii="Palatino Linotype" w:hAnsi="Palatino Linotype" w:cs="Arial"/>
          <w:lang w:val="es-ES_tradnl"/>
        </w:rPr>
      </w:pPr>
    </w:p>
    <w:p w14:paraId="25A0F5E1" w14:textId="77777777" w:rsidR="00821149" w:rsidRPr="00F16B80" w:rsidRDefault="00821149" w:rsidP="00821149">
      <w:pPr>
        <w:widowControl w:val="0"/>
        <w:autoSpaceDE w:val="0"/>
        <w:autoSpaceDN w:val="0"/>
        <w:adjustRightInd w:val="0"/>
        <w:spacing w:line="360" w:lineRule="auto"/>
        <w:jc w:val="both"/>
        <w:rPr>
          <w:rFonts w:ascii="Palatino Linotype" w:hAnsi="Palatino Linotype"/>
          <w:color w:val="000000" w:themeColor="text1"/>
        </w:rPr>
      </w:pPr>
      <w:r w:rsidRPr="00F16B80">
        <w:rPr>
          <w:rFonts w:ascii="Palatino Linotype" w:hAnsi="Palatino Linotype" w:cs="Arial"/>
          <w:lang w:val="es-ES_tradnl"/>
        </w:rPr>
        <w:t xml:space="preserve">En atención a las consideraciones anteriores, este Instituto </w:t>
      </w:r>
      <w:r w:rsidRPr="00F16B80">
        <w:rPr>
          <w:rFonts w:ascii="Palatino Linotype" w:hAnsi="Palatino Linotype"/>
          <w:color w:val="000000" w:themeColor="text1"/>
        </w:rPr>
        <w:t xml:space="preserve">advierte que en el presente </w:t>
      </w:r>
      <w:r w:rsidRPr="00F16B80">
        <w:rPr>
          <w:rFonts w:ascii="Palatino Linotype" w:hAnsi="Palatino Linotype"/>
        </w:rPr>
        <w:t>caso</w:t>
      </w:r>
      <w:r w:rsidRPr="00F16B80">
        <w:rPr>
          <w:rFonts w:ascii="Palatino Linotype" w:hAnsi="Palatino Linotype"/>
          <w:color w:val="000000" w:themeColor="text1"/>
        </w:rPr>
        <w:t xml:space="preserve">, se actualiza la hipótesis prevista en </w:t>
      </w:r>
      <w:r w:rsidRPr="00F16B80">
        <w:rPr>
          <w:rFonts w:ascii="Palatino Linotype" w:hAnsi="Palatino Linotype" w:cs="Arial"/>
          <w:lang w:val="es-ES_tradnl"/>
        </w:rPr>
        <w:t xml:space="preserve">el </w:t>
      </w:r>
      <w:r w:rsidRPr="00F16B80">
        <w:rPr>
          <w:rFonts w:ascii="Palatino Linotype" w:hAnsi="Palatino Linotype"/>
          <w:color w:val="000000" w:themeColor="text1"/>
        </w:rPr>
        <w:t>artículo 192, fracción I, de</w:t>
      </w:r>
      <w:r w:rsidRPr="00F16B80">
        <w:rPr>
          <w:rFonts w:ascii="Palatino Linotype" w:hAnsi="Palatino Linotype" w:cs="Arial"/>
          <w:lang w:val="es-ES_tradnl"/>
        </w:rPr>
        <w:t xml:space="preserve"> la </w:t>
      </w:r>
      <w:r w:rsidRPr="00F16B80">
        <w:rPr>
          <w:rFonts w:ascii="Palatino Linotype" w:hAnsi="Palatino Linotype"/>
        </w:rPr>
        <w:t xml:space="preserve">Ley de Transparencia y Acceso a la Información Pública del Estado de México y Municipios, </w:t>
      </w:r>
      <w:r w:rsidRPr="00F16B80">
        <w:rPr>
          <w:rFonts w:ascii="Palatino Linotype" w:hAnsi="Palatino Linotype"/>
          <w:color w:val="000000" w:themeColor="text1"/>
        </w:rPr>
        <w:t xml:space="preserve">que dispone lo siguiente: </w:t>
      </w:r>
    </w:p>
    <w:p w14:paraId="2B059115" w14:textId="77777777" w:rsidR="00821149" w:rsidRPr="00F16B80" w:rsidRDefault="00821149" w:rsidP="00821149">
      <w:pPr>
        <w:widowControl w:val="0"/>
        <w:autoSpaceDE w:val="0"/>
        <w:autoSpaceDN w:val="0"/>
        <w:adjustRightInd w:val="0"/>
        <w:jc w:val="both"/>
        <w:rPr>
          <w:rFonts w:ascii="Palatino Linotype" w:hAnsi="Palatino Linotype"/>
          <w:color w:val="000000"/>
        </w:rPr>
      </w:pPr>
    </w:p>
    <w:p w14:paraId="0F9B8C07" w14:textId="77777777" w:rsidR="00821149" w:rsidRPr="00F16B80" w:rsidRDefault="00821149" w:rsidP="00821149">
      <w:pPr>
        <w:tabs>
          <w:tab w:val="left" w:pos="851"/>
        </w:tabs>
        <w:ind w:left="851" w:right="901"/>
        <w:jc w:val="both"/>
        <w:rPr>
          <w:rFonts w:ascii="Palatino Linotype" w:hAnsi="Palatino Linotype" w:cs="Arial"/>
          <w:i/>
          <w:sz w:val="22"/>
        </w:rPr>
      </w:pPr>
      <w:r w:rsidRPr="00F16B80">
        <w:rPr>
          <w:rFonts w:ascii="Palatino Linotype" w:hAnsi="Palatino Linotype" w:cs="Arial"/>
          <w:i/>
          <w:sz w:val="22"/>
        </w:rPr>
        <w:t>“</w:t>
      </w:r>
      <w:r w:rsidRPr="00F16B80">
        <w:rPr>
          <w:rFonts w:ascii="Palatino Linotype" w:hAnsi="Palatino Linotype" w:cs="Arial"/>
          <w:b/>
          <w:i/>
          <w:sz w:val="22"/>
        </w:rPr>
        <w:t>Artículo 192.</w:t>
      </w:r>
      <w:r w:rsidRPr="00F16B80">
        <w:rPr>
          <w:rFonts w:ascii="Palatino Linotype" w:hAnsi="Palatino Linotype" w:cs="Arial"/>
          <w:i/>
          <w:sz w:val="22"/>
        </w:rPr>
        <w:t xml:space="preserve"> </w:t>
      </w:r>
      <w:r w:rsidRPr="00F16B80">
        <w:rPr>
          <w:rFonts w:ascii="Palatino Linotype" w:hAnsi="Palatino Linotype" w:cs="Arial"/>
          <w:b/>
          <w:i/>
          <w:sz w:val="22"/>
          <w:u w:val="single"/>
        </w:rPr>
        <w:t>El recurso será sobreseído</w:t>
      </w:r>
      <w:r w:rsidRPr="00F16B80">
        <w:rPr>
          <w:rFonts w:ascii="Palatino Linotype" w:hAnsi="Palatino Linotype" w:cs="Arial"/>
          <w:i/>
          <w:sz w:val="22"/>
        </w:rPr>
        <w:t xml:space="preserve">, en todo o en parte, </w:t>
      </w:r>
      <w:r w:rsidRPr="00F16B80">
        <w:rPr>
          <w:rFonts w:ascii="Palatino Linotype" w:hAnsi="Palatino Linotype" w:cs="Arial"/>
          <w:b/>
          <w:i/>
          <w:sz w:val="22"/>
          <w:u w:val="single"/>
        </w:rPr>
        <w:t>cuando una vez admitido</w:t>
      </w:r>
      <w:r w:rsidRPr="00F16B80">
        <w:rPr>
          <w:rFonts w:ascii="Palatino Linotype" w:hAnsi="Palatino Linotype" w:cs="Arial"/>
          <w:i/>
          <w:sz w:val="22"/>
        </w:rPr>
        <w:t xml:space="preserve">, se actualicen alguno de los </w:t>
      </w:r>
      <w:r w:rsidRPr="00F16B80">
        <w:rPr>
          <w:rFonts w:ascii="Palatino Linotype" w:hAnsi="Palatino Linotype" w:cs="Arial"/>
          <w:i/>
          <w:sz w:val="22"/>
          <w:szCs w:val="22"/>
          <w:lang w:val="es-ES"/>
        </w:rPr>
        <w:t>siguientes</w:t>
      </w:r>
      <w:r w:rsidRPr="00F16B80">
        <w:rPr>
          <w:rFonts w:ascii="Palatino Linotype" w:hAnsi="Palatino Linotype" w:cs="Arial"/>
          <w:i/>
          <w:sz w:val="22"/>
        </w:rPr>
        <w:t xml:space="preserve"> supuestos:</w:t>
      </w:r>
    </w:p>
    <w:p w14:paraId="5D57A143" w14:textId="77777777" w:rsidR="00821149" w:rsidRPr="00F16B80" w:rsidRDefault="00821149" w:rsidP="00821149">
      <w:pPr>
        <w:tabs>
          <w:tab w:val="left" w:pos="851"/>
        </w:tabs>
        <w:ind w:left="851" w:right="901"/>
        <w:jc w:val="both"/>
        <w:rPr>
          <w:rFonts w:ascii="Palatino Linotype" w:hAnsi="Palatino Linotype" w:cs="Arial"/>
          <w:b/>
          <w:i/>
          <w:sz w:val="22"/>
        </w:rPr>
      </w:pPr>
    </w:p>
    <w:p w14:paraId="05D27470" w14:textId="77777777" w:rsidR="00821149" w:rsidRPr="00F16B80" w:rsidRDefault="00821149" w:rsidP="00821149">
      <w:pPr>
        <w:tabs>
          <w:tab w:val="left" w:pos="851"/>
        </w:tabs>
        <w:ind w:left="851" w:right="901"/>
        <w:jc w:val="both"/>
        <w:rPr>
          <w:rFonts w:ascii="Palatino Linotype" w:hAnsi="Palatino Linotype" w:cs="Arial"/>
          <w:sz w:val="22"/>
        </w:rPr>
      </w:pPr>
      <w:r w:rsidRPr="00F16B80">
        <w:rPr>
          <w:rFonts w:ascii="Palatino Linotype" w:hAnsi="Palatino Linotype" w:cs="Arial"/>
          <w:b/>
          <w:i/>
          <w:sz w:val="22"/>
        </w:rPr>
        <w:t>I.</w:t>
      </w:r>
      <w:r w:rsidRPr="00F16B80">
        <w:rPr>
          <w:rFonts w:ascii="Palatino Linotype" w:hAnsi="Palatino Linotype" w:cs="Arial"/>
          <w:i/>
          <w:sz w:val="22"/>
        </w:rPr>
        <w:t xml:space="preserve"> </w:t>
      </w:r>
      <w:r w:rsidRPr="00F16B80">
        <w:rPr>
          <w:rFonts w:ascii="Palatino Linotype" w:hAnsi="Palatino Linotype" w:cs="Arial"/>
          <w:b/>
          <w:i/>
          <w:sz w:val="22"/>
          <w:u w:val="single"/>
        </w:rPr>
        <w:t>El recurrente se desista expresamente del recurso</w:t>
      </w:r>
      <w:r w:rsidRPr="00F16B80">
        <w:rPr>
          <w:rFonts w:ascii="Palatino Linotype" w:hAnsi="Palatino Linotype" w:cs="Arial"/>
          <w:i/>
          <w:sz w:val="22"/>
        </w:rPr>
        <w:t>;”</w:t>
      </w:r>
    </w:p>
    <w:p w14:paraId="75C9B225" w14:textId="77777777" w:rsidR="00821149" w:rsidRPr="00F16B80" w:rsidRDefault="00821149" w:rsidP="00821149">
      <w:pPr>
        <w:tabs>
          <w:tab w:val="left" w:pos="851"/>
        </w:tabs>
        <w:ind w:left="851" w:right="901"/>
        <w:jc w:val="both"/>
        <w:rPr>
          <w:rFonts w:ascii="Palatino Linotype" w:hAnsi="Palatino Linotype" w:cs="Arial"/>
          <w:sz w:val="22"/>
        </w:rPr>
      </w:pPr>
      <w:r w:rsidRPr="00F16B80">
        <w:rPr>
          <w:rFonts w:ascii="Palatino Linotype" w:hAnsi="Palatino Linotype" w:cs="Arial"/>
          <w:sz w:val="22"/>
        </w:rPr>
        <w:t>(Énfasis añadido)</w:t>
      </w:r>
    </w:p>
    <w:p w14:paraId="55C41DE4" w14:textId="77777777" w:rsidR="00821149" w:rsidRPr="00F16B80" w:rsidRDefault="00821149" w:rsidP="00821149">
      <w:pPr>
        <w:tabs>
          <w:tab w:val="left" w:pos="851"/>
        </w:tabs>
        <w:ind w:left="851" w:right="901"/>
        <w:jc w:val="both"/>
        <w:rPr>
          <w:rFonts w:ascii="Palatino Linotype" w:hAnsi="Palatino Linotype" w:cs="Arial"/>
          <w:sz w:val="22"/>
        </w:rPr>
      </w:pPr>
    </w:p>
    <w:p w14:paraId="5FBB95C2" w14:textId="77777777" w:rsidR="00821149" w:rsidRPr="00F16B80" w:rsidRDefault="00821149" w:rsidP="00821149">
      <w:pPr>
        <w:widowControl w:val="0"/>
        <w:autoSpaceDE w:val="0"/>
        <w:autoSpaceDN w:val="0"/>
        <w:adjustRightInd w:val="0"/>
        <w:spacing w:line="360" w:lineRule="auto"/>
        <w:jc w:val="both"/>
        <w:rPr>
          <w:rFonts w:ascii="Palatino Linotype" w:eastAsia="Calibri" w:hAnsi="Palatino Linotype" w:cs="Arial"/>
        </w:rPr>
      </w:pPr>
      <w:r w:rsidRPr="00F16B80">
        <w:rPr>
          <w:rFonts w:ascii="Palatino Linotype" w:hAnsi="Palatino Linotype"/>
          <w:color w:val="000000"/>
        </w:rPr>
        <w:t xml:space="preserve">En </w:t>
      </w:r>
      <w:r w:rsidRPr="00F16B80">
        <w:rPr>
          <w:rFonts w:ascii="Palatino Linotype" w:hAnsi="Palatino Linotype"/>
        </w:rPr>
        <w:t>consecuencia</w:t>
      </w:r>
      <w:r w:rsidRPr="00F16B80">
        <w:rPr>
          <w:rFonts w:ascii="Palatino Linotype" w:hAnsi="Palatino Linotype"/>
          <w:color w:val="000000"/>
        </w:rPr>
        <w:t xml:space="preserve">, </w:t>
      </w:r>
      <w:r w:rsidRPr="00F16B80">
        <w:rPr>
          <w:rFonts w:ascii="Palatino Linotype" w:hAnsi="Palatino Linotype"/>
        </w:rPr>
        <w:t xml:space="preserve">se </w:t>
      </w:r>
      <w:r w:rsidRPr="00F16B80">
        <w:rPr>
          <w:rFonts w:ascii="Palatino Linotype" w:hAnsi="Palatino Linotype" w:cs="Arial"/>
          <w:lang w:val="es-ES_tradnl"/>
        </w:rPr>
        <w:t xml:space="preserve">determina </w:t>
      </w:r>
      <w:r w:rsidRPr="00F16B80">
        <w:rPr>
          <w:rFonts w:ascii="Palatino Linotype" w:hAnsi="Palatino Linotype" w:cs="Arial"/>
          <w:b/>
          <w:lang w:val="es-ES_tradnl"/>
        </w:rPr>
        <w:t>SOBRESEER</w:t>
      </w:r>
      <w:r w:rsidRPr="00F16B80">
        <w:rPr>
          <w:rFonts w:ascii="Palatino Linotype" w:hAnsi="Palatino Linotype" w:cs="Arial"/>
          <w:lang w:val="es-ES_tradnl"/>
        </w:rPr>
        <w:t xml:space="preserve"> el presente recurso de revisión, en </w:t>
      </w:r>
      <w:r w:rsidRPr="00F16B80">
        <w:rPr>
          <w:rFonts w:ascii="Palatino Linotype" w:hAnsi="Palatino Linotype"/>
          <w:bCs/>
        </w:rPr>
        <w:t>términos</w:t>
      </w:r>
      <w:r w:rsidRPr="00F16B80">
        <w:rPr>
          <w:rFonts w:ascii="Palatino Linotype" w:hAnsi="Palatino Linotype" w:cs="Arial"/>
          <w:lang w:val="es-ES_tradnl"/>
        </w:rPr>
        <w:t xml:space="preserve"> del artículo 186, fracción I, de la </w:t>
      </w:r>
      <w:r w:rsidRPr="00F16B80">
        <w:rPr>
          <w:rFonts w:ascii="Palatino Linotype" w:eastAsia="Calibri" w:hAnsi="Palatino Linotype" w:cs="Arial"/>
        </w:rPr>
        <w:t>Ley de Transparencia y Acceso a la Información Pública del Estado de México y Municipios:</w:t>
      </w:r>
    </w:p>
    <w:p w14:paraId="3A6D1CD4" w14:textId="77777777" w:rsidR="00821149" w:rsidRPr="00F16B80" w:rsidRDefault="00821149" w:rsidP="00821149">
      <w:pPr>
        <w:widowControl w:val="0"/>
        <w:autoSpaceDE w:val="0"/>
        <w:autoSpaceDN w:val="0"/>
        <w:adjustRightInd w:val="0"/>
        <w:jc w:val="both"/>
        <w:rPr>
          <w:rFonts w:ascii="Palatino Linotype" w:eastAsia="Calibri" w:hAnsi="Palatino Linotype" w:cs="Arial"/>
        </w:rPr>
      </w:pPr>
    </w:p>
    <w:p w14:paraId="06F7B355" w14:textId="77777777" w:rsidR="00821149" w:rsidRPr="00F16B80" w:rsidRDefault="00821149" w:rsidP="00821149">
      <w:pPr>
        <w:tabs>
          <w:tab w:val="left" w:pos="851"/>
        </w:tabs>
        <w:ind w:left="851" w:right="901"/>
        <w:jc w:val="both"/>
        <w:rPr>
          <w:rFonts w:ascii="Palatino Linotype" w:hAnsi="Palatino Linotype" w:cs="Arial"/>
          <w:i/>
          <w:sz w:val="22"/>
        </w:rPr>
      </w:pPr>
      <w:r w:rsidRPr="00F16B80">
        <w:rPr>
          <w:rFonts w:ascii="Palatino Linotype" w:hAnsi="Palatino Linotype" w:cs="Arial"/>
          <w:i/>
          <w:sz w:val="22"/>
        </w:rPr>
        <w:t>“</w:t>
      </w:r>
      <w:r w:rsidRPr="00F16B80">
        <w:rPr>
          <w:rFonts w:ascii="Palatino Linotype" w:hAnsi="Palatino Linotype" w:cs="Arial"/>
          <w:b/>
          <w:i/>
          <w:sz w:val="22"/>
        </w:rPr>
        <w:t xml:space="preserve">Artículo 186. </w:t>
      </w:r>
      <w:r w:rsidRPr="00F16B80">
        <w:rPr>
          <w:rFonts w:ascii="Palatino Linotype" w:hAnsi="Palatino Linotype" w:cs="Arial"/>
          <w:b/>
          <w:i/>
          <w:sz w:val="22"/>
          <w:u w:val="single"/>
        </w:rPr>
        <w:t>Las resoluciones del Instituto podrán</w:t>
      </w:r>
      <w:r w:rsidRPr="00F16B80">
        <w:rPr>
          <w:rFonts w:ascii="Palatino Linotype" w:hAnsi="Palatino Linotype" w:cs="Arial"/>
          <w:i/>
          <w:sz w:val="22"/>
        </w:rPr>
        <w:t xml:space="preserve">: </w:t>
      </w:r>
    </w:p>
    <w:p w14:paraId="67A76DD6" w14:textId="77777777" w:rsidR="00821149" w:rsidRPr="00F16B80" w:rsidRDefault="00821149" w:rsidP="00821149">
      <w:pPr>
        <w:tabs>
          <w:tab w:val="left" w:pos="851"/>
        </w:tabs>
        <w:ind w:left="851" w:right="901"/>
        <w:jc w:val="both"/>
        <w:rPr>
          <w:rFonts w:ascii="Palatino Linotype" w:hAnsi="Palatino Linotype" w:cs="Arial"/>
          <w:b/>
          <w:i/>
          <w:sz w:val="22"/>
        </w:rPr>
      </w:pPr>
    </w:p>
    <w:p w14:paraId="1D2DA028" w14:textId="77777777" w:rsidR="00821149" w:rsidRPr="00F16B80" w:rsidRDefault="00821149" w:rsidP="00821149">
      <w:pPr>
        <w:tabs>
          <w:tab w:val="left" w:pos="851"/>
        </w:tabs>
        <w:ind w:left="851" w:right="901"/>
        <w:jc w:val="both"/>
        <w:rPr>
          <w:rFonts w:ascii="Palatino Linotype" w:hAnsi="Palatino Linotype" w:cs="Arial"/>
          <w:i/>
          <w:sz w:val="22"/>
        </w:rPr>
      </w:pPr>
      <w:r w:rsidRPr="00F16B80">
        <w:rPr>
          <w:rFonts w:ascii="Palatino Linotype" w:hAnsi="Palatino Linotype" w:cs="Arial"/>
          <w:b/>
          <w:i/>
          <w:sz w:val="22"/>
        </w:rPr>
        <w:t xml:space="preserve">I. </w:t>
      </w:r>
      <w:r w:rsidRPr="00F16B80">
        <w:rPr>
          <w:rFonts w:ascii="Palatino Linotype" w:hAnsi="Palatino Linotype" w:cs="Arial"/>
          <w:i/>
          <w:sz w:val="22"/>
        </w:rPr>
        <w:t xml:space="preserve">Desechar o </w:t>
      </w:r>
      <w:r w:rsidRPr="00F16B80">
        <w:rPr>
          <w:rFonts w:ascii="Palatino Linotype" w:hAnsi="Palatino Linotype" w:cs="Arial"/>
          <w:b/>
          <w:i/>
          <w:sz w:val="22"/>
          <w:u w:val="single"/>
        </w:rPr>
        <w:t>sobreseer el recurso</w:t>
      </w:r>
      <w:r w:rsidRPr="00F16B80">
        <w:rPr>
          <w:rFonts w:ascii="Palatino Linotype" w:hAnsi="Palatino Linotype" w:cs="Arial"/>
          <w:i/>
          <w:sz w:val="22"/>
        </w:rPr>
        <w:t xml:space="preserve">;” </w:t>
      </w:r>
    </w:p>
    <w:p w14:paraId="7A65EA35" w14:textId="77777777" w:rsidR="00821149" w:rsidRPr="00F16B80" w:rsidRDefault="00821149" w:rsidP="00821149">
      <w:pPr>
        <w:tabs>
          <w:tab w:val="left" w:pos="851"/>
        </w:tabs>
        <w:ind w:left="851" w:right="901"/>
        <w:jc w:val="both"/>
        <w:rPr>
          <w:rFonts w:ascii="Palatino Linotype" w:hAnsi="Palatino Linotype" w:cs="Arial"/>
          <w:sz w:val="22"/>
        </w:rPr>
      </w:pPr>
      <w:r w:rsidRPr="00F16B80">
        <w:rPr>
          <w:rFonts w:ascii="Palatino Linotype" w:hAnsi="Palatino Linotype" w:cs="Arial"/>
          <w:sz w:val="22"/>
        </w:rPr>
        <w:t>(Énfasis añadido)</w:t>
      </w:r>
    </w:p>
    <w:p w14:paraId="32D6DEA1" w14:textId="77777777" w:rsidR="00821149" w:rsidRPr="00F16B80" w:rsidRDefault="00821149" w:rsidP="00821149">
      <w:pPr>
        <w:tabs>
          <w:tab w:val="left" w:pos="851"/>
        </w:tabs>
        <w:ind w:left="851" w:right="901"/>
        <w:jc w:val="both"/>
        <w:rPr>
          <w:rFonts w:ascii="Palatino Linotype" w:hAnsi="Palatino Linotype" w:cs="Arial"/>
          <w:sz w:val="22"/>
        </w:rPr>
      </w:pPr>
    </w:p>
    <w:p w14:paraId="78278533" w14:textId="77777777" w:rsidR="00821149" w:rsidRPr="00F16B80" w:rsidRDefault="00821149" w:rsidP="00821149">
      <w:pPr>
        <w:widowControl w:val="0"/>
        <w:autoSpaceDE w:val="0"/>
        <w:autoSpaceDN w:val="0"/>
        <w:adjustRightInd w:val="0"/>
        <w:spacing w:line="360" w:lineRule="auto"/>
        <w:jc w:val="both"/>
        <w:rPr>
          <w:rFonts w:ascii="Palatino Linotype" w:hAnsi="Palatino Linotype"/>
          <w:color w:val="000000"/>
          <w:lang w:eastAsia="es-MX"/>
        </w:rPr>
      </w:pPr>
      <w:r w:rsidRPr="00F16B80">
        <w:rPr>
          <w:rFonts w:ascii="Palatino Linotype" w:hAnsi="Palatino Linotype" w:cs="Arial"/>
          <w:lang w:val="es-ES_tradnl"/>
        </w:rPr>
        <w:t>Derivado de lo anterior, es conveniente referir que este Órgano Garante no se pronuncia de la</w:t>
      </w:r>
      <w:r w:rsidRPr="00F16B80">
        <w:rPr>
          <w:rFonts w:ascii="Palatino Linotype" w:hAnsi="Palatino Linotype"/>
        </w:rPr>
        <w:t xml:space="preserve">s razones o motivos de inconformidad expuestos por </w:t>
      </w:r>
      <w:r w:rsidRPr="00F16B80">
        <w:rPr>
          <w:rFonts w:ascii="Palatino Linotype" w:hAnsi="Palatino Linotype" w:cs="Arial"/>
          <w:b/>
        </w:rPr>
        <w:t>EL RECURRENTE</w:t>
      </w:r>
      <w:r w:rsidRPr="00F16B80">
        <w:rPr>
          <w:rFonts w:ascii="Palatino Linotype" w:hAnsi="Palatino Linotype"/>
        </w:rPr>
        <w:t xml:space="preserve">, siendo aplicable </w:t>
      </w:r>
      <w:r w:rsidRPr="00F16B80">
        <w:rPr>
          <w:rFonts w:ascii="Palatino Linotype" w:eastAsia="Calibri" w:hAnsi="Palatino Linotype"/>
          <w:lang w:eastAsia="en-US"/>
        </w:rPr>
        <w:t xml:space="preserve">la jurisprudencia de la décima época </w:t>
      </w:r>
      <w:r w:rsidRPr="00F16B80">
        <w:rPr>
          <w:rFonts w:ascii="Palatino Linotype" w:hAnsi="Palatino Linotype"/>
          <w:color w:val="000000"/>
          <w:lang w:eastAsia="es-MX"/>
        </w:rPr>
        <w:t>visible en el Semanario Judicial de la Federación y su Gaceta. Instancia: Segunda Sala. Tesis 2a./J. 82/2016 (10a.) bajo el número de registro 2012059 cuyo rubro y texto esgrime:</w:t>
      </w:r>
    </w:p>
    <w:p w14:paraId="1F2DF701" w14:textId="77777777" w:rsidR="00821149" w:rsidRPr="00F16B80" w:rsidRDefault="00821149" w:rsidP="00821149">
      <w:pPr>
        <w:widowControl w:val="0"/>
        <w:autoSpaceDE w:val="0"/>
        <w:autoSpaceDN w:val="0"/>
        <w:adjustRightInd w:val="0"/>
        <w:jc w:val="both"/>
        <w:rPr>
          <w:rFonts w:ascii="Palatino Linotype" w:eastAsia="Calibri" w:hAnsi="Palatino Linotype"/>
          <w:lang w:eastAsia="en-US"/>
        </w:rPr>
      </w:pPr>
    </w:p>
    <w:p w14:paraId="4169B668" w14:textId="77777777" w:rsidR="00821149" w:rsidRPr="00F16B80" w:rsidRDefault="00821149" w:rsidP="00821149">
      <w:pPr>
        <w:tabs>
          <w:tab w:val="left" w:pos="851"/>
        </w:tabs>
        <w:ind w:left="851" w:right="901"/>
        <w:jc w:val="both"/>
        <w:rPr>
          <w:rFonts w:ascii="Palatino Linotype" w:hAnsi="Palatino Linotype"/>
          <w:b/>
          <w:bCs/>
          <w:i/>
          <w:sz w:val="22"/>
          <w:szCs w:val="26"/>
          <w:lang w:eastAsia="es-MX"/>
        </w:rPr>
      </w:pPr>
      <w:r w:rsidRPr="00F16B80">
        <w:rPr>
          <w:rFonts w:ascii="Palatino Linotype" w:hAnsi="Palatino Linotype"/>
          <w:b/>
          <w:bCs/>
          <w:i/>
          <w:sz w:val="22"/>
          <w:szCs w:val="26"/>
          <w:lang w:eastAsia="es-MX"/>
        </w:rPr>
        <w:t>“DESISTIMIENTO DE LA ACCIÓN DE AMPARO. SUS CONSECUENCIAS.</w:t>
      </w:r>
    </w:p>
    <w:p w14:paraId="0F8793D8" w14:textId="77777777" w:rsidR="00821149" w:rsidRPr="00F16B80" w:rsidRDefault="00821149" w:rsidP="00821149">
      <w:pPr>
        <w:tabs>
          <w:tab w:val="left" w:pos="851"/>
        </w:tabs>
        <w:ind w:left="851" w:right="901"/>
        <w:jc w:val="both"/>
        <w:rPr>
          <w:rFonts w:ascii="Palatino Linotype" w:hAnsi="Palatino Linotype" w:cs="Arial"/>
          <w:b/>
          <w:i/>
          <w:sz w:val="22"/>
        </w:rPr>
      </w:pPr>
      <w:r w:rsidRPr="00F16B80">
        <w:rPr>
          <w:rFonts w:ascii="Palatino Linotype" w:hAnsi="Palatino Linotype" w:cs="Arial"/>
          <w:i/>
          <w:sz w:val="22"/>
        </w:rPr>
        <w:t xml:space="preserve">El desistimiento de la acción de amparo consiste en la declaración de voluntad del quejoso de no proseguir con el juicio, el cual, debidamente ratificado, conlleva emitir una resolución con la </w:t>
      </w:r>
      <w:r w:rsidRPr="00F16B80">
        <w:rPr>
          <w:rFonts w:ascii="Palatino Linotype" w:hAnsi="Palatino Linotype" w:cs="Arial"/>
          <w:b/>
          <w:i/>
          <w:sz w:val="22"/>
        </w:rPr>
        <w:t>que finaliza la instancia</w:t>
      </w:r>
      <w:r w:rsidRPr="00F16B80">
        <w:rPr>
          <w:rFonts w:ascii="Palatino Linotype" w:hAnsi="Palatino Linotype" w:cs="Arial"/>
          <w:i/>
          <w:sz w:val="22"/>
        </w:rPr>
        <w:t xml:space="preserve"> de amparo, </w:t>
      </w:r>
      <w:r w:rsidRPr="00F16B80">
        <w:rPr>
          <w:rFonts w:ascii="Palatino Linotype" w:hAnsi="Palatino Linotype" w:cs="Arial"/>
          <w:b/>
          <w:i/>
          <w:sz w:val="22"/>
        </w:rPr>
        <w:t>independientemente de la etapa en que se encuentre (desde el inicio del juicio hasta antes de que cause ejecutoria la sentencia que se dicte)</w:t>
      </w:r>
      <w:r w:rsidRPr="00F16B80">
        <w:rPr>
          <w:rFonts w:ascii="Palatino Linotype" w:hAnsi="Palatino Linotype" w:cs="Arial"/>
          <w:i/>
          <w:sz w:val="22"/>
        </w:rPr>
        <w:t xml:space="preserve"> y </w:t>
      </w:r>
      <w:r w:rsidRPr="00F16B80">
        <w:rPr>
          <w:rFonts w:ascii="Palatino Linotype" w:hAnsi="Palatino Linotype" w:cs="Arial"/>
          <w:b/>
          <w:i/>
          <w:sz w:val="22"/>
        </w:rPr>
        <w:t>sin necesidad de examinar los conceptos de violación o, en su caso, los agravios</w:t>
      </w:r>
      <w:r w:rsidRPr="00F16B80">
        <w:rPr>
          <w:rFonts w:ascii="Palatino Linotype" w:hAnsi="Palatino Linotype"/>
          <w:i/>
          <w:sz w:val="22"/>
          <w:szCs w:val="26"/>
          <w:lang w:eastAsia="es-MX"/>
        </w:rPr>
        <w:t>.” (Sic)</w:t>
      </w:r>
    </w:p>
    <w:p w14:paraId="5F3F73B3" w14:textId="77777777" w:rsidR="00821149" w:rsidRPr="00F16B80" w:rsidRDefault="00821149" w:rsidP="00821149">
      <w:pPr>
        <w:tabs>
          <w:tab w:val="left" w:pos="851"/>
        </w:tabs>
        <w:ind w:left="851" w:right="901"/>
        <w:jc w:val="both"/>
        <w:rPr>
          <w:rFonts w:ascii="Palatino Linotype" w:hAnsi="Palatino Linotype"/>
          <w:i/>
          <w:sz w:val="22"/>
          <w:szCs w:val="26"/>
          <w:lang w:eastAsia="es-MX"/>
        </w:rPr>
      </w:pPr>
    </w:p>
    <w:p w14:paraId="204676A4" w14:textId="77777777" w:rsidR="00821149" w:rsidRPr="00F16B80" w:rsidRDefault="00821149" w:rsidP="00821149">
      <w:pPr>
        <w:tabs>
          <w:tab w:val="left" w:pos="709"/>
        </w:tabs>
        <w:spacing w:line="360" w:lineRule="auto"/>
        <w:ind w:right="51"/>
        <w:jc w:val="both"/>
        <w:rPr>
          <w:rFonts w:ascii="Palatino Linotype" w:eastAsia="Calibri" w:hAnsi="Palatino Linotype"/>
          <w:lang w:eastAsia="en-US"/>
        </w:rPr>
      </w:pPr>
      <w:r w:rsidRPr="00F16B80">
        <w:rPr>
          <w:rFonts w:ascii="Palatino Linotype" w:eastAsia="Calibri" w:hAnsi="Palatino Linotype"/>
          <w:lang w:eastAsia="en-US"/>
        </w:rPr>
        <w:t xml:space="preserve">De lo anteriormente citado, se concluye que la manifestación de la voluntad del promovente respecto a </w:t>
      </w:r>
      <w:r w:rsidRPr="00F16B80">
        <w:rPr>
          <w:rFonts w:ascii="Palatino Linotype" w:eastAsia="Calibri" w:hAnsi="Palatino Linotype"/>
          <w:b/>
          <w:lang w:eastAsia="en-US"/>
        </w:rPr>
        <w:t>desistirse</w:t>
      </w:r>
      <w:r w:rsidRPr="00F16B80">
        <w:rPr>
          <w:rFonts w:ascii="Palatino Linotype" w:eastAsia="Calibri" w:hAnsi="Palatino Linotype"/>
          <w:lang w:eastAsia="en-US"/>
        </w:rPr>
        <w:t xml:space="preserve"> de la acción ejercida, se entiende que este acepta de manera expresa que el procedimiento concluya sin suscitar consecuencias de derecho; asimismo, como lo señala la tesis aislada, el desistimiento del recurso por parte del actor genera que el Órgano Resolutor deba desocuparse del análisis de los planteamientos que aducidos en la Litis y únicamente realizar el análisis respecto a las actuaciones que subsistan, sin necesidad de examinar los agravios planteados.</w:t>
      </w:r>
    </w:p>
    <w:p w14:paraId="4A423889" w14:textId="77777777" w:rsidR="000536D9" w:rsidRPr="00F16B80" w:rsidRDefault="000536D9" w:rsidP="000536D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F16B80">
        <w:rPr>
          <w:rFonts w:ascii="Palatino Linotype" w:eastAsia="Calibri" w:hAnsi="Palatino Linotype" w:cs="Arial"/>
          <w:color w:val="000000" w:themeColor="text1"/>
        </w:rPr>
        <w:t xml:space="preserve">Así, con </w:t>
      </w:r>
      <w:r w:rsidRPr="00F16B80">
        <w:rPr>
          <w:rFonts w:ascii="Palatino Linotype" w:hAnsi="Palatino Linotype" w:cs="Arial"/>
          <w:color w:val="000000" w:themeColor="text1"/>
        </w:rPr>
        <w:t>fundamento</w:t>
      </w:r>
      <w:r w:rsidRPr="00F16B80">
        <w:rPr>
          <w:rFonts w:ascii="Palatino Linotype" w:eastAsia="Calibri" w:hAnsi="Palatino Linotype" w:cs="Arial"/>
          <w:color w:val="000000" w:themeColor="text1"/>
        </w:rPr>
        <w:t xml:space="preserve"> en lo prescrito en los artículos 5, </w:t>
      </w:r>
      <w:r w:rsidRPr="00F16B80">
        <w:rPr>
          <w:rFonts w:ascii="Palatino Linotype" w:eastAsia="Calibri" w:hAnsi="Palatino Linotype" w:cs="Arial"/>
          <w:color w:val="000000" w:themeColor="text1"/>
          <w:lang w:val="es-ES_tradnl"/>
        </w:rPr>
        <w:t>párrafos trigésimo, trigésimo primero y trigésimo segundo</w:t>
      </w:r>
      <w:r w:rsidRPr="00F16B80">
        <w:rPr>
          <w:rFonts w:ascii="Palatino Linotype" w:hAnsi="Palatino Linotype" w:cs="Arial"/>
          <w:color w:val="000000" w:themeColor="text1"/>
        </w:rPr>
        <w:t>,</w:t>
      </w:r>
      <w:r w:rsidRPr="00F16B80">
        <w:rPr>
          <w:rFonts w:ascii="Palatino Linotype" w:hAnsi="Palatino Linotype"/>
          <w:color w:val="000000" w:themeColor="text1"/>
        </w:rPr>
        <w:t xml:space="preserve"> fracciones IV y V,</w:t>
      </w:r>
      <w:r w:rsidRPr="00F16B80">
        <w:rPr>
          <w:rFonts w:ascii="Palatino Linotype" w:eastAsia="Calibri" w:hAnsi="Palatino Linotype" w:cs="Arial"/>
          <w:color w:val="000000" w:themeColor="text1"/>
        </w:rPr>
        <w:t xml:space="preserve"> de la Constitución Política del Estado Libre y Soberano de </w:t>
      </w:r>
      <w:r w:rsidRPr="00F16B80">
        <w:rPr>
          <w:rFonts w:ascii="Palatino Linotype" w:hAnsi="Palatino Linotype" w:cs="Arial"/>
          <w:color w:val="000000" w:themeColor="text1"/>
          <w:lang w:val="es-ES_tradnl"/>
        </w:rPr>
        <w:t>México</w:t>
      </w:r>
      <w:r w:rsidRPr="00F16B80">
        <w:rPr>
          <w:rFonts w:ascii="Palatino Linotype" w:eastAsia="Calibri" w:hAnsi="Palatino Linotype" w:cs="Arial"/>
          <w:color w:val="000000" w:themeColor="text1"/>
        </w:rPr>
        <w:t xml:space="preserve">, y los artículos </w:t>
      </w:r>
      <w:r w:rsidRPr="00F16B80">
        <w:rPr>
          <w:rFonts w:ascii="Palatino Linotype" w:hAnsi="Palatino Linotype"/>
          <w:color w:val="000000" w:themeColor="text1"/>
        </w:rPr>
        <w:t xml:space="preserve">2, </w:t>
      </w:r>
      <w:r w:rsidRPr="00F16B80">
        <w:rPr>
          <w:rFonts w:ascii="Palatino Linotype" w:hAnsi="Palatino Linotype" w:cs="Arial"/>
          <w:color w:val="000000" w:themeColor="text1"/>
        </w:rPr>
        <w:t>fracción</w:t>
      </w:r>
      <w:r w:rsidRPr="00F16B80">
        <w:rPr>
          <w:rFonts w:ascii="Palatino Linotype" w:hAnsi="Palatino Linotype"/>
          <w:color w:val="000000" w:themeColor="text1"/>
        </w:rPr>
        <w:t xml:space="preserve"> II, 9, </w:t>
      </w:r>
      <w:r w:rsidRPr="00F16B80">
        <w:rPr>
          <w:rFonts w:ascii="Palatino Linotype" w:hAnsi="Palatino Linotype" w:cs="Arial"/>
          <w:color w:val="000000" w:themeColor="text1"/>
          <w:lang w:val="es-ES_tradnl"/>
        </w:rPr>
        <w:t>29</w:t>
      </w:r>
      <w:r w:rsidRPr="00F16B80">
        <w:rPr>
          <w:rFonts w:ascii="Palatino Linotype" w:hAnsi="Palatino Linotype"/>
          <w:color w:val="000000" w:themeColor="text1"/>
        </w:rPr>
        <w:t>, 36, fracciones I y II, 176, 178, 179, 181, 185, fracción I, 186 y 188,</w:t>
      </w:r>
      <w:r w:rsidRPr="00F16B80">
        <w:rPr>
          <w:rFonts w:ascii="Palatino Linotype" w:eastAsia="Calibri" w:hAnsi="Palatino Linotype" w:cs="Arial"/>
          <w:color w:val="000000" w:themeColor="text1"/>
        </w:rPr>
        <w:t xml:space="preserve"> de la Ley de Transparencia y Acceso a la Información Pública del Estado de México y </w:t>
      </w:r>
      <w:r w:rsidRPr="00F16B80">
        <w:rPr>
          <w:rFonts w:ascii="Palatino Linotype" w:hAnsi="Palatino Linotype" w:cs="Arial"/>
          <w:color w:val="000000" w:themeColor="text1"/>
        </w:rPr>
        <w:t>Municipios</w:t>
      </w:r>
      <w:r w:rsidRPr="00F16B80">
        <w:rPr>
          <w:rFonts w:ascii="Palatino Linotype" w:eastAsia="Calibri" w:hAnsi="Palatino Linotype" w:cs="Arial"/>
          <w:color w:val="000000" w:themeColor="text1"/>
        </w:rPr>
        <w:t xml:space="preserve">, </w:t>
      </w:r>
      <w:r w:rsidRPr="00F16B80">
        <w:rPr>
          <w:rFonts w:ascii="Palatino Linotype" w:hAnsi="Palatino Linotype"/>
          <w:color w:val="000000" w:themeColor="text1"/>
        </w:rPr>
        <w:t>este</w:t>
      </w:r>
      <w:r w:rsidRPr="00F16B80">
        <w:rPr>
          <w:rFonts w:ascii="Palatino Linotype" w:eastAsia="Calibri" w:hAnsi="Palatino Linotype" w:cs="Arial"/>
          <w:color w:val="000000" w:themeColor="text1"/>
        </w:rPr>
        <w:t xml:space="preserve"> Pleno:</w:t>
      </w:r>
    </w:p>
    <w:p w14:paraId="697FBA21" w14:textId="77777777" w:rsidR="000536D9" w:rsidRPr="00F16B80" w:rsidRDefault="000536D9" w:rsidP="000536D9">
      <w:pPr>
        <w:spacing w:before="100" w:beforeAutospacing="1" w:after="100" w:afterAutospacing="1" w:line="360" w:lineRule="auto"/>
        <w:jc w:val="center"/>
        <w:rPr>
          <w:rFonts w:ascii="Palatino Linotype" w:hAnsi="Palatino Linotype"/>
          <w:b/>
          <w:bCs/>
          <w:color w:val="000000" w:themeColor="text1"/>
          <w:spacing w:val="40"/>
          <w:sz w:val="28"/>
        </w:rPr>
      </w:pPr>
      <w:r w:rsidRPr="00F16B80">
        <w:rPr>
          <w:rFonts w:ascii="Palatino Linotype" w:hAnsi="Palatino Linotype"/>
          <w:b/>
          <w:bCs/>
          <w:color w:val="000000" w:themeColor="text1"/>
          <w:spacing w:val="40"/>
          <w:sz w:val="28"/>
        </w:rPr>
        <w:t>RESUELVE</w:t>
      </w:r>
    </w:p>
    <w:p w14:paraId="64148670" w14:textId="77777777" w:rsidR="00821149" w:rsidRPr="00F16B80" w:rsidRDefault="000536D9" w:rsidP="00FD65CF">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F16B80">
        <w:rPr>
          <w:rFonts w:ascii="Palatino Linotype" w:hAnsi="Palatino Linotype" w:cs="Arial"/>
          <w:b/>
          <w:color w:val="000000" w:themeColor="text1"/>
          <w:sz w:val="28"/>
          <w:szCs w:val="28"/>
        </w:rPr>
        <w:t>PRIMERO</w:t>
      </w:r>
      <w:r w:rsidRPr="00F16B80">
        <w:rPr>
          <w:rFonts w:ascii="Palatino Linotype" w:hAnsi="Palatino Linotype" w:cs="Arial"/>
          <w:color w:val="000000" w:themeColor="text1"/>
          <w:sz w:val="28"/>
          <w:szCs w:val="28"/>
        </w:rPr>
        <w:t>.</w:t>
      </w:r>
      <w:r w:rsidRPr="00F16B80">
        <w:rPr>
          <w:rFonts w:ascii="Palatino Linotype" w:hAnsi="Palatino Linotype" w:cs="Arial"/>
          <w:color w:val="000000" w:themeColor="text1"/>
        </w:rPr>
        <w:t xml:space="preserve"> </w:t>
      </w:r>
      <w:r w:rsidR="00821149" w:rsidRPr="00F16B80">
        <w:rPr>
          <w:rFonts w:ascii="Palatino Linotype" w:hAnsi="Palatino Linotype" w:cs="Arial"/>
          <w:color w:val="000000" w:themeColor="text1"/>
        </w:rPr>
        <w:t>Se</w:t>
      </w:r>
      <w:r w:rsidR="00821149" w:rsidRPr="00F16B80">
        <w:rPr>
          <w:rFonts w:ascii="Palatino Linotype" w:hAnsi="Palatino Linotype" w:cs="Arial"/>
          <w:b/>
          <w:color w:val="000000" w:themeColor="text1"/>
        </w:rPr>
        <w:t xml:space="preserve"> SOBRESEE </w:t>
      </w:r>
      <w:r w:rsidR="00821149" w:rsidRPr="00F16B80">
        <w:rPr>
          <w:rFonts w:ascii="Palatino Linotype" w:hAnsi="Palatino Linotype" w:cs="Arial"/>
          <w:color w:val="000000" w:themeColor="text1"/>
        </w:rPr>
        <w:t xml:space="preserve">el </w:t>
      </w:r>
      <w:r w:rsidR="00821149" w:rsidRPr="00F16B80">
        <w:rPr>
          <w:rFonts w:ascii="Palatino Linotype" w:hAnsi="Palatino Linotype" w:cs="Arial"/>
          <w:color w:val="222222"/>
          <w:shd w:val="clear" w:color="auto" w:fill="FFFFFF"/>
        </w:rPr>
        <w:t>recurso</w:t>
      </w:r>
      <w:r w:rsidR="00821149" w:rsidRPr="00F16B80">
        <w:rPr>
          <w:rFonts w:ascii="Palatino Linotype" w:hAnsi="Palatino Linotype" w:cs="Arial"/>
          <w:color w:val="000000" w:themeColor="text1"/>
        </w:rPr>
        <w:t xml:space="preserve"> de </w:t>
      </w:r>
      <w:r w:rsidR="00821149" w:rsidRPr="00F16B80">
        <w:rPr>
          <w:rFonts w:ascii="Palatino Linotype" w:hAnsi="Palatino Linotype"/>
          <w:lang w:eastAsia="es-ES_tradnl"/>
        </w:rPr>
        <w:t>revisión</w:t>
      </w:r>
      <w:r w:rsidR="00821149" w:rsidRPr="00F16B80">
        <w:rPr>
          <w:rFonts w:ascii="Palatino Linotype" w:hAnsi="Palatino Linotype" w:cs="Arial"/>
          <w:color w:val="000000" w:themeColor="text1"/>
        </w:rPr>
        <w:t xml:space="preserve"> número</w:t>
      </w:r>
      <w:r w:rsidR="00821149" w:rsidRPr="00F16B80">
        <w:rPr>
          <w:rFonts w:ascii="Palatino Linotype" w:hAnsi="Palatino Linotype" w:cs="Arial"/>
          <w:b/>
          <w:color w:val="000000" w:themeColor="text1"/>
        </w:rPr>
        <w:t xml:space="preserve"> 05562/INFOEM/IP/RR/2022</w:t>
      </w:r>
      <w:r w:rsidR="00821149" w:rsidRPr="00F16B80">
        <w:rPr>
          <w:rFonts w:ascii="Palatino Linotype" w:hAnsi="Palatino Linotype" w:cs="Arial"/>
          <w:color w:val="000000" w:themeColor="text1"/>
        </w:rPr>
        <w:t xml:space="preserve">, </w:t>
      </w:r>
      <w:r w:rsidR="00821149" w:rsidRPr="00F16B80">
        <w:rPr>
          <w:rFonts w:ascii="Palatino Linotype" w:hAnsi="Palatino Linotype"/>
        </w:rPr>
        <w:t xml:space="preserve">por </w:t>
      </w:r>
      <w:r w:rsidR="00821149" w:rsidRPr="00F16B80">
        <w:rPr>
          <w:rFonts w:ascii="Palatino Linotype" w:hAnsi="Palatino Linotype"/>
          <w:b/>
        </w:rPr>
        <w:t>haberse desistido expresamente EL RECURRENTE</w:t>
      </w:r>
      <w:r w:rsidR="00821149" w:rsidRPr="00F16B80">
        <w:rPr>
          <w:rFonts w:ascii="Palatino Linotype" w:hAnsi="Palatino Linotype"/>
        </w:rPr>
        <w:t>,</w:t>
      </w:r>
      <w:r w:rsidR="00821149" w:rsidRPr="00F16B80">
        <w:rPr>
          <w:rFonts w:ascii="Palatino Linotype" w:hAnsi="Palatino Linotype" w:cs="Arial"/>
          <w:color w:val="000000" w:themeColor="text1"/>
        </w:rPr>
        <w:t xml:space="preserve"> en </w:t>
      </w:r>
      <w:r w:rsidR="00821149" w:rsidRPr="00F16B80">
        <w:rPr>
          <w:rFonts w:ascii="Palatino Linotype" w:hAnsi="Palatino Linotype"/>
          <w:lang w:eastAsia="es-ES_tradnl"/>
        </w:rPr>
        <w:t>términos</w:t>
      </w:r>
      <w:r w:rsidR="00821149" w:rsidRPr="00F16B80">
        <w:rPr>
          <w:rFonts w:ascii="Palatino Linotype" w:hAnsi="Palatino Linotype" w:cs="Arial"/>
          <w:color w:val="000000" w:themeColor="text1"/>
        </w:rPr>
        <w:t xml:space="preserve"> del Considerando</w:t>
      </w:r>
      <w:r w:rsidR="00821149" w:rsidRPr="00F16B80">
        <w:rPr>
          <w:rFonts w:ascii="Palatino Linotype" w:hAnsi="Palatino Linotype" w:cs="Arial"/>
          <w:b/>
          <w:color w:val="000000" w:themeColor="text1"/>
        </w:rPr>
        <w:t xml:space="preserve"> QUINTO </w:t>
      </w:r>
      <w:r w:rsidR="00821149" w:rsidRPr="00F16B80">
        <w:rPr>
          <w:rFonts w:ascii="Palatino Linotype" w:hAnsi="Palatino Linotype" w:cs="Arial"/>
          <w:color w:val="000000" w:themeColor="text1"/>
        </w:rPr>
        <w:t>de la presente resolución.</w:t>
      </w:r>
    </w:p>
    <w:p w14:paraId="02765999" w14:textId="77777777" w:rsidR="00821149" w:rsidRPr="00F16B80" w:rsidRDefault="00821149" w:rsidP="00FD65CF">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color w:val="222222"/>
          <w:shd w:val="clear" w:color="auto" w:fill="FFFFFF"/>
        </w:rPr>
      </w:pPr>
      <w:r w:rsidRPr="00F16B80">
        <w:rPr>
          <w:rFonts w:ascii="Palatino Linotype" w:hAnsi="Palatino Linotype" w:cs="Arial"/>
          <w:b/>
          <w:color w:val="000000" w:themeColor="text1"/>
          <w:sz w:val="28"/>
        </w:rPr>
        <w:lastRenderedPageBreak/>
        <w:t>SEGUNDO</w:t>
      </w:r>
      <w:r w:rsidRPr="00F16B80">
        <w:rPr>
          <w:rFonts w:ascii="Palatino Linotype" w:hAnsi="Palatino Linotype" w:cs="Arial"/>
          <w:b/>
          <w:color w:val="222222"/>
          <w:shd w:val="clear" w:color="auto" w:fill="FFFFFF"/>
        </w:rPr>
        <w:t xml:space="preserve">. Notifíquese </w:t>
      </w:r>
      <w:r w:rsidRPr="00F16B80">
        <w:rPr>
          <w:rFonts w:ascii="Palatino Linotype" w:hAnsi="Palatino Linotype" w:cs="Arial"/>
          <w:color w:val="222222"/>
          <w:shd w:val="clear" w:color="auto" w:fill="FFFFFF"/>
        </w:rPr>
        <w:t xml:space="preserve">al </w:t>
      </w:r>
      <w:r w:rsidRPr="00F16B80">
        <w:rPr>
          <w:rFonts w:ascii="Palatino Linotype" w:hAnsi="Palatino Linotype"/>
          <w:lang w:eastAsia="es-ES_tradnl"/>
        </w:rPr>
        <w:t>Titular</w:t>
      </w:r>
      <w:r w:rsidRPr="00F16B80">
        <w:rPr>
          <w:rFonts w:ascii="Palatino Linotype" w:hAnsi="Palatino Linotype" w:cs="Arial"/>
          <w:color w:val="222222"/>
          <w:shd w:val="clear" w:color="auto" w:fill="FFFFFF"/>
        </w:rPr>
        <w:t xml:space="preserve"> de la Unidad de Transparencia del </w:t>
      </w:r>
      <w:r w:rsidRPr="00F16B80">
        <w:rPr>
          <w:rFonts w:ascii="Palatino Linotype" w:hAnsi="Palatino Linotype" w:cs="Arial"/>
          <w:b/>
          <w:color w:val="222222"/>
          <w:shd w:val="clear" w:color="auto" w:fill="FFFFFF"/>
        </w:rPr>
        <w:t>SUJETO OBLIGADO</w:t>
      </w:r>
      <w:r w:rsidRPr="00F16B80">
        <w:rPr>
          <w:rFonts w:ascii="Palatino Linotype" w:hAnsi="Palatino Linotype" w:cs="Arial"/>
          <w:color w:val="222222"/>
          <w:shd w:val="clear" w:color="auto" w:fill="FFFFFF"/>
        </w:rPr>
        <w:t xml:space="preserve"> para su conocimiento. </w:t>
      </w:r>
    </w:p>
    <w:p w14:paraId="1157ED12" w14:textId="77777777" w:rsidR="00821149" w:rsidRPr="00F16B80" w:rsidRDefault="00821149" w:rsidP="00FD65CF">
      <w:pPr>
        <w:widowControl w:val="0"/>
        <w:tabs>
          <w:tab w:val="left" w:pos="1701"/>
        </w:tabs>
        <w:autoSpaceDE w:val="0"/>
        <w:autoSpaceDN w:val="0"/>
        <w:adjustRightInd w:val="0"/>
        <w:spacing w:before="100" w:beforeAutospacing="1" w:after="100" w:afterAutospacing="1" w:line="360" w:lineRule="auto"/>
        <w:jc w:val="both"/>
        <w:rPr>
          <w:rFonts w:ascii="Palatino Linotype" w:eastAsiaTheme="minorEastAsia" w:hAnsi="Palatino Linotype"/>
          <w:color w:val="222222"/>
          <w:lang w:eastAsia="es-ES_tradnl"/>
        </w:rPr>
      </w:pPr>
      <w:r w:rsidRPr="00F16B80">
        <w:rPr>
          <w:rFonts w:ascii="Palatino Linotype" w:hAnsi="Palatino Linotype" w:cs="Arial"/>
          <w:b/>
          <w:color w:val="000000" w:themeColor="text1"/>
          <w:sz w:val="28"/>
        </w:rPr>
        <w:t>TERCERO</w:t>
      </w:r>
      <w:r w:rsidRPr="00F16B80">
        <w:rPr>
          <w:rFonts w:ascii="Palatino Linotype" w:eastAsiaTheme="minorEastAsia" w:hAnsi="Palatino Linotype"/>
          <w:color w:val="222222"/>
          <w:lang w:eastAsia="es-ES_tradnl"/>
        </w:rPr>
        <w:t xml:space="preserve">. </w:t>
      </w:r>
      <w:r w:rsidRPr="00F16B80">
        <w:rPr>
          <w:rFonts w:ascii="Palatino Linotype" w:eastAsiaTheme="minorEastAsia" w:hAnsi="Palatino Linotype"/>
          <w:b/>
          <w:color w:val="222222"/>
          <w:lang w:eastAsia="es-ES_tradnl"/>
        </w:rPr>
        <w:t>Notifíquese</w:t>
      </w:r>
      <w:r w:rsidRPr="00F16B80">
        <w:rPr>
          <w:rFonts w:ascii="Palatino Linotype" w:eastAsiaTheme="minorEastAsia" w:hAnsi="Palatino Linotype"/>
          <w:color w:val="222222"/>
          <w:lang w:eastAsia="es-ES_tradnl"/>
        </w:rPr>
        <w:t xml:space="preserve"> al </w:t>
      </w:r>
      <w:r w:rsidRPr="00F16B80">
        <w:rPr>
          <w:rFonts w:ascii="Palatino Linotype" w:hAnsi="Palatino Linotype"/>
          <w:b/>
        </w:rPr>
        <w:t>RECURRENTE</w:t>
      </w:r>
      <w:r w:rsidRPr="00F16B80">
        <w:rPr>
          <w:rFonts w:ascii="Palatino Linotype" w:eastAsiaTheme="minorEastAsia" w:hAnsi="Palatino Linotype"/>
          <w:color w:val="222222"/>
          <w:lang w:eastAsia="es-ES_tradnl"/>
        </w:rPr>
        <w:t xml:space="preserve"> la </w:t>
      </w:r>
      <w:r w:rsidRPr="00F16B80">
        <w:rPr>
          <w:rFonts w:ascii="Palatino Linotype" w:hAnsi="Palatino Linotype"/>
          <w:lang w:eastAsia="es-ES_tradnl"/>
        </w:rPr>
        <w:t>presente</w:t>
      </w:r>
      <w:r w:rsidR="00FD65CF" w:rsidRPr="00F16B80">
        <w:rPr>
          <w:rFonts w:ascii="Palatino Linotype" w:eastAsiaTheme="minorEastAsia" w:hAnsi="Palatino Linotype"/>
          <w:color w:val="222222"/>
          <w:lang w:eastAsia="es-ES_tradnl"/>
        </w:rPr>
        <w:t xml:space="preserve"> resolución vía Sistema de Acceso a la Información Mexiquense </w:t>
      </w:r>
      <w:r w:rsidR="00FD65CF" w:rsidRPr="00F16B80">
        <w:rPr>
          <w:rFonts w:ascii="Palatino Linotype" w:eastAsiaTheme="minorEastAsia" w:hAnsi="Palatino Linotype"/>
          <w:b/>
          <w:color w:val="222222"/>
          <w:lang w:eastAsia="es-ES_tradnl"/>
        </w:rPr>
        <w:t>SAIMEX</w:t>
      </w:r>
      <w:r w:rsidR="00FD65CF" w:rsidRPr="00F16B80">
        <w:rPr>
          <w:rFonts w:ascii="Palatino Linotype" w:eastAsiaTheme="minorEastAsia" w:hAnsi="Palatino Linotype"/>
          <w:color w:val="222222"/>
          <w:lang w:eastAsia="es-ES_tradnl"/>
        </w:rPr>
        <w:t>.</w:t>
      </w:r>
    </w:p>
    <w:p w14:paraId="752E7EA4" w14:textId="77777777" w:rsidR="00821149" w:rsidRPr="00F16B80" w:rsidRDefault="00821149" w:rsidP="00FD65CF">
      <w:pPr>
        <w:widowControl w:val="0"/>
        <w:tabs>
          <w:tab w:val="left" w:pos="1701"/>
        </w:tabs>
        <w:autoSpaceDE w:val="0"/>
        <w:autoSpaceDN w:val="0"/>
        <w:adjustRightInd w:val="0"/>
        <w:spacing w:before="100" w:beforeAutospacing="1" w:after="100" w:afterAutospacing="1" w:line="360" w:lineRule="auto"/>
        <w:jc w:val="both"/>
        <w:rPr>
          <w:rFonts w:ascii="Palatino Linotype" w:eastAsiaTheme="minorEastAsia" w:hAnsi="Palatino Linotype"/>
          <w:color w:val="222222"/>
          <w:lang w:eastAsia="es-ES_tradnl"/>
        </w:rPr>
      </w:pPr>
      <w:r w:rsidRPr="00F16B80">
        <w:rPr>
          <w:rFonts w:ascii="Palatino Linotype" w:hAnsi="Palatino Linotype" w:cs="Arial"/>
          <w:b/>
          <w:color w:val="000000" w:themeColor="text1"/>
          <w:sz w:val="28"/>
        </w:rPr>
        <w:t>CUARTO</w:t>
      </w:r>
      <w:r w:rsidRPr="00F16B80">
        <w:rPr>
          <w:rFonts w:ascii="Palatino Linotype" w:eastAsiaTheme="minorEastAsia" w:hAnsi="Palatino Linotype"/>
          <w:b/>
          <w:color w:val="222222"/>
          <w:lang w:eastAsia="es-ES_tradnl"/>
        </w:rPr>
        <w:t>. Hágase del conocimiento</w:t>
      </w:r>
      <w:r w:rsidRPr="00F16B80">
        <w:rPr>
          <w:rFonts w:ascii="Palatino Linotype" w:eastAsiaTheme="minorEastAsia" w:hAnsi="Palatino Linotype"/>
          <w:color w:val="222222"/>
          <w:lang w:eastAsia="es-ES_tradnl"/>
        </w:rPr>
        <w:t xml:space="preserve"> al </w:t>
      </w:r>
      <w:r w:rsidRPr="00F16B80">
        <w:rPr>
          <w:rFonts w:ascii="Palatino Linotype" w:hAnsi="Palatino Linotype"/>
          <w:b/>
        </w:rPr>
        <w:t>RECURRENTE</w:t>
      </w:r>
      <w:r w:rsidRPr="00F16B80">
        <w:rPr>
          <w:rFonts w:ascii="Palatino Linotype" w:eastAsiaTheme="minorEastAsia" w:hAnsi="Palatino Linotype"/>
          <w:color w:val="222222"/>
          <w:lang w:eastAsia="es-ES_tradnl"/>
        </w:rPr>
        <w:t xml:space="preserve"> que de </w:t>
      </w:r>
      <w:r w:rsidRPr="00F16B80">
        <w:rPr>
          <w:rFonts w:ascii="Palatino Linotype" w:hAnsi="Palatino Linotype"/>
          <w:lang w:eastAsia="es-ES_tradnl"/>
        </w:rPr>
        <w:t>conformidad</w:t>
      </w:r>
      <w:r w:rsidRPr="00F16B80">
        <w:rPr>
          <w:rFonts w:ascii="Palatino Linotype" w:eastAsiaTheme="minorEastAsia" w:hAnsi="Palatino Linotype"/>
          <w:color w:val="222222"/>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14:paraId="13BD45C7" w14:textId="77777777" w:rsidR="000536D9" w:rsidRPr="00F16B80" w:rsidRDefault="000536D9" w:rsidP="00821149">
      <w:pPr>
        <w:spacing w:line="360" w:lineRule="auto"/>
        <w:jc w:val="both"/>
        <w:rPr>
          <w:rFonts w:ascii="Palatino Linotype" w:hAnsi="Palatino Linotype" w:cs="Arial"/>
        </w:rPr>
      </w:pPr>
      <w:r w:rsidRPr="00F16B80">
        <w:rPr>
          <w:rFonts w:ascii="Palatino Linotype" w:hAnsi="Palatino Linotype" w:cs="Arial"/>
        </w:rPr>
        <w:t>ASÍ LO RESUELVE, POR UNANIMIDAD DE VOTOS EL PLENO DEL</w:t>
      </w:r>
      <w:r w:rsidRPr="00F16B80">
        <w:rPr>
          <w:rFonts w:ascii="Palatino Linotype" w:eastAsia="Arial Unicode MS" w:hAnsi="Palatino Linotype" w:cs="Arial"/>
        </w:rPr>
        <w:t xml:space="preserve"> INSTITUTO DE </w:t>
      </w:r>
      <w:r w:rsidRPr="00F16B80">
        <w:rPr>
          <w:rFonts w:ascii="Palatino Linotype" w:hAnsi="Palatino Linotype"/>
          <w:lang w:eastAsia="en-US"/>
        </w:rPr>
        <w:t>TRANSPARENCIA</w:t>
      </w:r>
      <w:r w:rsidRPr="00F16B80">
        <w:rPr>
          <w:rFonts w:ascii="Palatino Linotype" w:eastAsia="Arial Unicode MS" w:hAnsi="Palatino Linotype" w:cs="Arial"/>
        </w:rPr>
        <w:t>, ACCESO A LA INFORMACIÓN PÚBLICA Y PROTECCIÓN DE DATOS PERSONALES DEL ESTADO DE MÉXICO Y MUNICIPIOS</w:t>
      </w:r>
      <w:r w:rsidRPr="00F16B80">
        <w:rPr>
          <w:rFonts w:ascii="Palatino Linotype" w:hAnsi="Palatino Linotype" w:cs="Arial"/>
        </w:rPr>
        <w:t>, CONFORMADO POR LOS COMISIONADOS JOSÉ MARTÍNEZ VILCHIS; MARÍA DEL ROSARIO MEJÍA AYALA; SHARON CRISTINA MORALES MARTÍNEZ; LUIS GUSTAVO PARRA NORIEGA Y GUADALUPE RAMÍREZ PEÑA; EN LA DÉCIMA SEXTA SESIÓN ORDINARIA CELEBRADA EL CUATRO DE MAYO DE DOS MIL VEINTIDÓS, ANTE EL SECRETARIO TÉCNICO DEL PLENO, ALEXIS TAPIA RAMÍREZ.</w:t>
      </w:r>
    </w:p>
    <w:p w14:paraId="5F2AA1DB" w14:textId="77777777" w:rsidR="000536D9" w:rsidRDefault="000536D9" w:rsidP="000536D9">
      <w:pPr>
        <w:widowControl w:val="0"/>
        <w:autoSpaceDE w:val="0"/>
        <w:autoSpaceDN w:val="0"/>
        <w:adjustRightInd w:val="0"/>
        <w:spacing w:before="100" w:beforeAutospacing="1" w:after="100" w:afterAutospacing="1" w:line="360" w:lineRule="auto"/>
        <w:jc w:val="both"/>
      </w:pPr>
      <w:r w:rsidRPr="00F16B80">
        <w:rPr>
          <w:rFonts w:ascii="Palatino Linotype" w:hAnsi="Palatino Linotype" w:cs="Arial"/>
          <w:sz w:val="16"/>
          <w:szCs w:val="16"/>
        </w:rPr>
        <w:t>SCMM/BLA/DEMF/AMV</w:t>
      </w:r>
      <w:r w:rsidRPr="00A14CA4">
        <w:rPr>
          <w:rFonts w:ascii="Palatino Linotype" w:hAnsi="Palatino Linotype" w:cs="Arial"/>
          <w:sz w:val="16"/>
          <w:szCs w:val="16"/>
        </w:rPr>
        <w:br w:type="page"/>
      </w:r>
    </w:p>
    <w:p w14:paraId="0190421A" w14:textId="77777777" w:rsidR="000536D9" w:rsidRDefault="000536D9" w:rsidP="000536D9"/>
    <w:p w14:paraId="1644965F" w14:textId="77777777" w:rsidR="000536D9" w:rsidRDefault="000536D9" w:rsidP="000536D9"/>
    <w:p w14:paraId="60497375" w14:textId="77777777" w:rsidR="000536D9" w:rsidRDefault="000536D9" w:rsidP="000536D9"/>
    <w:p w14:paraId="7CDF36A4" w14:textId="77777777" w:rsidR="00B25EA1" w:rsidRDefault="003B6445"/>
    <w:sectPr w:rsidR="00B25EA1" w:rsidSect="001C28E2">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AD1CE1" w14:textId="77777777" w:rsidR="003B6445" w:rsidRDefault="003B6445" w:rsidP="000536D9">
      <w:r>
        <w:separator/>
      </w:r>
    </w:p>
  </w:endnote>
  <w:endnote w:type="continuationSeparator" w:id="0">
    <w:p w14:paraId="712A7CED" w14:textId="77777777" w:rsidR="003B6445" w:rsidRDefault="003B6445" w:rsidP="00053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9C85F" w14:textId="77777777" w:rsidR="005A677C" w:rsidRPr="0010196A" w:rsidRDefault="00816CFB" w:rsidP="001C28E2">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00C8D">
      <w:rPr>
        <w:rFonts w:ascii="Palatino Linotype" w:hAnsi="Palatino Linotype" w:cs="Arial"/>
        <w:bCs/>
        <w:noProof/>
        <w:sz w:val="22"/>
        <w:szCs w:val="22"/>
      </w:rPr>
      <w:t>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00C8D">
      <w:rPr>
        <w:rFonts w:ascii="Palatino Linotype" w:hAnsi="Palatino Linotype" w:cs="Arial"/>
        <w:bCs/>
        <w:noProof/>
        <w:sz w:val="22"/>
        <w:szCs w:val="22"/>
      </w:rPr>
      <w:t>14</w:t>
    </w:r>
    <w:r w:rsidRPr="0010196A">
      <w:rPr>
        <w:rFonts w:ascii="Palatino Linotype" w:hAnsi="Palatino Linotype" w:cs="Arial"/>
        <w:bCs/>
        <w:sz w:val="22"/>
        <w:szCs w:val="22"/>
      </w:rPr>
      <w:fldChar w:fldCharType="end"/>
    </w:r>
  </w:p>
  <w:p w14:paraId="2128C625" w14:textId="77777777" w:rsidR="005A677C" w:rsidRDefault="003B644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AEE60" w14:textId="77777777" w:rsidR="005A677C" w:rsidRPr="0010196A" w:rsidRDefault="00816CFB" w:rsidP="001C28E2">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00C8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00C8D">
      <w:rPr>
        <w:rFonts w:ascii="Palatino Linotype" w:hAnsi="Palatino Linotype" w:cs="Arial"/>
        <w:bCs/>
        <w:noProof/>
        <w:sz w:val="22"/>
        <w:szCs w:val="22"/>
      </w:rPr>
      <w:t>14</w:t>
    </w:r>
    <w:r w:rsidRPr="0010196A">
      <w:rPr>
        <w:rFonts w:ascii="Palatino Linotype" w:hAnsi="Palatino Linotype" w:cs="Arial"/>
        <w:bCs/>
        <w:sz w:val="22"/>
        <w:szCs w:val="22"/>
      </w:rPr>
      <w:fldChar w:fldCharType="end"/>
    </w:r>
  </w:p>
  <w:p w14:paraId="48B7CEED" w14:textId="77777777" w:rsidR="005A677C" w:rsidRDefault="003B64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0CB40" w14:textId="77777777" w:rsidR="003B6445" w:rsidRDefault="003B6445" w:rsidP="000536D9">
      <w:r>
        <w:separator/>
      </w:r>
    </w:p>
  </w:footnote>
  <w:footnote w:type="continuationSeparator" w:id="0">
    <w:p w14:paraId="3D19D12B" w14:textId="77777777" w:rsidR="003B6445" w:rsidRDefault="003B6445" w:rsidP="000536D9">
      <w:r>
        <w:continuationSeparator/>
      </w:r>
    </w:p>
  </w:footnote>
  <w:footnote w:id="1">
    <w:p w14:paraId="06061FC3" w14:textId="77777777" w:rsidR="00821149" w:rsidRPr="005A78E7" w:rsidRDefault="00821149" w:rsidP="00821149">
      <w:pPr>
        <w:pStyle w:val="Textonotapie"/>
        <w:rPr>
          <w:rFonts w:ascii="Palatino Linotype" w:hAnsi="Palatino Linotype"/>
          <w:sz w:val="16"/>
          <w:szCs w:val="16"/>
        </w:rPr>
      </w:pPr>
      <w:r w:rsidRPr="005A78E7">
        <w:rPr>
          <w:rStyle w:val="Refdenotaalpie"/>
          <w:rFonts w:ascii="Palatino Linotype" w:hAnsi="Palatino Linotype"/>
          <w:sz w:val="16"/>
          <w:szCs w:val="16"/>
        </w:rPr>
        <w:footnoteRef/>
      </w:r>
      <w:r w:rsidRPr="005A78E7">
        <w:rPr>
          <w:rFonts w:ascii="Palatino Linotype" w:hAnsi="Palatino Linotype"/>
          <w:sz w:val="16"/>
          <w:szCs w:val="16"/>
        </w:rPr>
        <w:t xml:space="preserve"> En su versión virtual, específicamente en el link </w:t>
      </w:r>
      <w:hyperlink r:id="rId1" w:history="1">
        <w:r w:rsidRPr="005A78E7">
          <w:rPr>
            <w:rStyle w:val="Hipervnculo"/>
            <w:rFonts w:ascii="Palatino Linotype" w:hAnsi="Palatino Linotype"/>
            <w:sz w:val="16"/>
            <w:szCs w:val="16"/>
          </w:rPr>
          <w:t>http://dle.rae.es/?id=D78E0XT</w:t>
        </w:r>
      </w:hyperlink>
      <w:r w:rsidRPr="005A78E7">
        <w:rPr>
          <w:rFonts w:ascii="Palatino Linotype" w:hAnsi="Palatino Linotype"/>
          <w:sz w:val="16"/>
          <w:szCs w:val="16"/>
        </w:rPr>
        <w:t xml:space="preserve"> </w:t>
      </w:r>
    </w:p>
  </w:footnote>
  <w:footnote w:id="2">
    <w:p w14:paraId="33FD3191" w14:textId="77777777" w:rsidR="00821149" w:rsidRPr="00C36DD0" w:rsidRDefault="00821149" w:rsidP="00821149">
      <w:pPr>
        <w:pStyle w:val="Textonotapie"/>
        <w:rPr>
          <w:rFonts w:ascii="Palatino Linotype" w:hAnsi="Palatino Linotype"/>
          <w:sz w:val="16"/>
          <w:szCs w:val="16"/>
          <w:lang w:val="es-ES"/>
        </w:rPr>
      </w:pPr>
      <w:r w:rsidRPr="00B37A0D">
        <w:rPr>
          <w:rStyle w:val="Refdenotaalpie"/>
          <w:rFonts w:ascii="Palatino Linotype" w:hAnsi="Palatino Linotype"/>
          <w:sz w:val="16"/>
          <w:szCs w:val="16"/>
        </w:rPr>
        <w:footnoteRef/>
      </w:r>
      <w:r w:rsidRPr="00B37A0D">
        <w:rPr>
          <w:rFonts w:ascii="Palatino Linotype" w:hAnsi="Palatino Linotype"/>
          <w:sz w:val="16"/>
          <w:szCs w:val="16"/>
        </w:rPr>
        <w:t xml:space="preserve"> </w:t>
      </w:r>
      <w:r>
        <w:rPr>
          <w:rFonts w:ascii="Palatino Linotype" w:hAnsi="Palatino Linotype"/>
          <w:sz w:val="16"/>
          <w:szCs w:val="16"/>
        </w:rPr>
        <w:t xml:space="preserve">Teoría General del Proceso, Editorial Oxford. 10a Edición. </w:t>
      </w:r>
      <w:r>
        <w:rPr>
          <w:rFonts w:ascii="Palatino Linotype" w:hAnsi="Palatino Linotype"/>
          <w:sz w:val="16"/>
          <w:szCs w:val="16"/>
          <w:lang w:val="es-ES"/>
        </w:rPr>
        <w:t>México 2004.</w:t>
      </w:r>
    </w:p>
  </w:footnote>
  <w:footnote w:id="3">
    <w:p w14:paraId="13634439" w14:textId="77777777" w:rsidR="00821149" w:rsidRPr="00072DC2" w:rsidRDefault="00821149" w:rsidP="00821149">
      <w:pPr>
        <w:pStyle w:val="Textonotapie"/>
        <w:rPr>
          <w:rFonts w:ascii="Palatino Linotype" w:hAnsi="Palatino Linotype"/>
          <w:sz w:val="16"/>
          <w:szCs w:val="16"/>
        </w:rPr>
      </w:pPr>
      <w:r w:rsidRPr="00072DC2">
        <w:rPr>
          <w:rStyle w:val="Refdenotaalpie"/>
          <w:rFonts w:ascii="Palatino Linotype" w:hAnsi="Palatino Linotype"/>
          <w:sz w:val="16"/>
          <w:szCs w:val="16"/>
        </w:rPr>
        <w:footnoteRef/>
      </w:r>
      <w:r w:rsidRPr="00072DC2">
        <w:rPr>
          <w:rFonts w:ascii="Palatino Linotype" w:hAnsi="Palatino Linotype"/>
          <w:sz w:val="16"/>
          <w:szCs w:val="16"/>
        </w:rPr>
        <w:t xml:space="preserve"> García, L. Teoría General del Proceso. Red Tercer Milenio. 2012.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5A677C" w:rsidRPr="008F2CCC" w14:paraId="4F82776B" w14:textId="77777777" w:rsidTr="001C28E2">
      <w:tc>
        <w:tcPr>
          <w:tcW w:w="3403" w:type="dxa"/>
          <w:vMerge w:val="restart"/>
          <w:shd w:val="clear" w:color="auto" w:fill="auto"/>
        </w:tcPr>
        <w:p w14:paraId="0994BDD3" w14:textId="77777777" w:rsidR="005A677C" w:rsidRPr="008F2CCC" w:rsidRDefault="00816CFB" w:rsidP="001C28E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716DA75" wp14:editId="42C7BDA1">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A42EB9F" w14:textId="77777777" w:rsidR="005A677C" w:rsidRPr="008F2CCC" w:rsidRDefault="00816CFB" w:rsidP="001C28E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6455ED6E" w14:textId="77777777" w:rsidR="005A677C" w:rsidRPr="00B335A1" w:rsidRDefault="000536D9" w:rsidP="00074932">
          <w:pPr>
            <w:jc w:val="both"/>
            <w:rPr>
              <w:rFonts w:ascii="Palatino Linotype" w:hAnsi="Palatino Linotype"/>
              <w:b/>
              <w:sz w:val="22"/>
              <w:szCs w:val="22"/>
              <w:lang w:val="es-ES_tradnl"/>
            </w:rPr>
          </w:pPr>
          <w:r>
            <w:rPr>
              <w:rFonts w:ascii="Palatino Linotype" w:hAnsi="Palatino Linotype"/>
              <w:b/>
              <w:sz w:val="22"/>
              <w:szCs w:val="22"/>
              <w:lang w:val="es-ES_tradnl"/>
            </w:rPr>
            <w:t>05562</w:t>
          </w:r>
          <w:r w:rsidR="00816CFB">
            <w:rPr>
              <w:rFonts w:ascii="Palatino Linotype" w:hAnsi="Palatino Linotype"/>
              <w:b/>
              <w:sz w:val="22"/>
              <w:szCs w:val="22"/>
              <w:lang w:val="es-ES_tradnl"/>
            </w:rPr>
            <w:t>/INFOEM/IP/RR/2022</w:t>
          </w:r>
        </w:p>
      </w:tc>
    </w:tr>
    <w:tr w:rsidR="00F74155" w:rsidRPr="008F2CCC" w14:paraId="76C5FE7E" w14:textId="77777777" w:rsidTr="001C28E2">
      <w:trPr>
        <w:trHeight w:val="228"/>
      </w:trPr>
      <w:tc>
        <w:tcPr>
          <w:tcW w:w="3403" w:type="dxa"/>
          <w:vMerge/>
          <w:shd w:val="clear" w:color="auto" w:fill="auto"/>
        </w:tcPr>
        <w:p w14:paraId="5B2C1145" w14:textId="77777777" w:rsidR="00F74155" w:rsidRPr="008F2CCC" w:rsidRDefault="003B6445" w:rsidP="00F74155">
          <w:pPr>
            <w:rPr>
              <w:rFonts w:ascii="Palatino Linotype" w:hAnsi="Palatino Linotype"/>
              <w:b/>
              <w:sz w:val="22"/>
              <w:szCs w:val="22"/>
              <w:lang w:val="es-ES_tradnl"/>
            </w:rPr>
          </w:pPr>
        </w:p>
      </w:tc>
      <w:tc>
        <w:tcPr>
          <w:tcW w:w="2552" w:type="dxa"/>
          <w:shd w:val="clear" w:color="auto" w:fill="auto"/>
        </w:tcPr>
        <w:p w14:paraId="449F7642" w14:textId="77777777" w:rsidR="00F74155" w:rsidRPr="008F2CCC" w:rsidRDefault="00816CFB" w:rsidP="00F74155">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348894EC" w14:textId="77777777" w:rsidR="00F74155" w:rsidRPr="00B335A1" w:rsidRDefault="000536D9" w:rsidP="00F74155">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w:t>
          </w:r>
          <w:r w:rsidRPr="00172306">
            <w:rPr>
              <w:rFonts w:ascii="Palatino Linotype" w:hAnsi="Palatino Linotype"/>
              <w:b/>
              <w:sz w:val="22"/>
              <w:szCs w:val="22"/>
              <w:lang w:val="es-ES_tradnl"/>
            </w:rPr>
            <w:t xml:space="preserve">de </w:t>
          </w:r>
          <w:r>
            <w:rPr>
              <w:rFonts w:ascii="Palatino Linotype" w:hAnsi="Palatino Linotype"/>
              <w:b/>
              <w:sz w:val="22"/>
              <w:szCs w:val="22"/>
              <w:lang w:val="es-ES_tradnl"/>
            </w:rPr>
            <w:t>Temoaya</w:t>
          </w:r>
        </w:p>
      </w:tc>
    </w:tr>
    <w:tr w:rsidR="00F74155" w:rsidRPr="008F2CCC" w14:paraId="34D60FFE" w14:textId="77777777" w:rsidTr="001C28E2">
      <w:tc>
        <w:tcPr>
          <w:tcW w:w="3403" w:type="dxa"/>
          <w:vMerge/>
          <w:shd w:val="clear" w:color="auto" w:fill="auto"/>
        </w:tcPr>
        <w:p w14:paraId="24C12308" w14:textId="77777777" w:rsidR="00F74155" w:rsidRPr="008F2CCC" w:rsidRDefault="003B6445" w:rsidP="00F74155">
          <w:pPr>
            <w:rPr>
              <w:rFonts w:ascii="Palatino Linotype" w:hAnsi="Palatino Linotype"/>
              <w:b/>
              <w:sz w:val="22"/>
              <w:szCs w:val="22"/>
              <w:lang w:val="es-ES_tradnl"/>
            </w:rPr>
          </w:pPr>
        </w:p>
      </w:tc>
      <w:tc>
        <w:tcPr>
          <w:tcW w:w="2552" w:type="dxa"/>
          <w:shd w:val="clear" w:color="auto" w:fill="auto"/>
        </w:tcPr>
        <w:p w14:paraId="2069BC1B" w14:textId="77777777" w:rsidR="00F74155" w:rsidRPr="008F2CCC" w:rsidRDefault="00816CFB" w:rsidP="00F74155">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13621541" w14:textId="77777777" w:rsidR="00F74155" w:rsidRPr="008F2CCC" w:rsidRDefault="00816CFB" w:rsidP="00F74155">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133051A7" w14:textId="77777777" w:rsidR="005A677C" w:rsidRDefault="003B6445">
    <w:pPr>
      <w:pStyle w:val="Encabezado"/>
    </w:pPr>
    <w:r>
      <w:rPr>
        <w:rFonts w:ascii="Palatino Linotype" w:hAnsi="Palatino Linotype"/>
        <w:noProof/>
        <w:sz w:val="28"/>
        <w:szCs w:val="28"/>
        <w:lang w:eastAsia="es-MX"/>
      </w:rPr>
      <w:pict w14:anchorId="03C29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5A677C" w:rsidRPr="008F2CCC" w14:paraId="20957499" w14:textId="77777777" w:rsidTr="001C28E2">
      <w:tc>
        <w:tcPr>
          <w:tcW w:w="3403" w:type="dxa"/>
          <w:vMerge w:val="restart"/>
          <w:shd w:val="clear" w:color="auto" w:fill="auto"/>
        </w:tcPr>
        <w:p w14:paraId="071B782C" w14:textId="77777777" w:rsidR="005A677C" w:rsidRPr="008F2CCC" w:rsidRDefault="00816CFB" w:rsidP="001C28E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C48A777" wp14:editId="6A4D54D2">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3DDD872" w14:textId="77777777" w:rsidR="005A677C" w:rsidRPr="008F2CCC" w:rsidRDefault="00816CFB" w:rsidP="001C28E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30C56A8D" w14:textId="77777777" w:rsidR="005A677C" w:rsidRPr="00B335A1" w:rsidRDefault="000536D9" w:rsidP="00C376CF">
          <w:pPr>
            <w:jc w:val="both"/>
            <w:rPr>
              <w:rFonts w:ascii="Palatino Linotype" w:hAnsi="Palatino Linotype"/>
              <w:b/>
              <w:sz w:val="22"/>
              <w:szCs w:val="22"/>
              <w:lang w:val="es-ES_tradnl"/>
            </w:rPr>
          </w:pPr>
          <w:r>
            <w:rPr>
              <w:rFonts w:ascii="Palatino Linotype" w:hAnsi="Palatino Linotype"/>
              <w:b/>
              <w:sz w:val="22"/>
              <w:szCs w:val="22"/>
              <w:lang w:val="es-ES_tradnl"/>
            </w:rPr>
            <w:t>05562</w:t>
          </w:r>
          <w:r w:rsidR="00816CFB">
            <w:rPr>
              <w:rFonts w:ascii="Palatino Linotype" w:hAnsi="Palatino Linotype"/>
              <w:b/>
              <w:sz w:val="22"/>
              <w:szCs w:val="22"/>
              <w:lang w:val="es-ES_tradnl"/>
            </w:rPr>
            <w:t>/INFOEM/IP/RR/2022</w:t>
          </w:r>
        </w:p>
      </w:tc>
    </w:tr>
    <w:tr w:rsidR="005A677C" w:rsidRPr="008F2CCC" w14:paraId="1CB1C811" w14:textId="77777777" w:rsidTr="001C28E2">
      <w:tc>
        <w:tcPr>
          <w:tcW w:w="3403" w:type="dxa"/>
          <w:vMerge/>
          <w:shd w:val="clear" w:color="auto" w:fill="auto"/>
        </w:tcPr>
        <w:p w14:paraId="20A6CF1A" w14:textId="77777777" w:rsidR="005A677C" w:rsidRPr="008F2CCC" w:rsidRDefault="003B6445" w:rsidP="001C28E2">
          <w:pPr>
            <w:rPr>
              <w:rFonts w:ascii="Palatino Linotype" w:hAnsi="Palatino Linotype"/>
              <w:b/>
              <w:sz w:val="22"/>
              <w:szCs w:val="22"/>
              <w:lang w:val="es-ES_tradnl"/>
            </w:rPr>
          </w:pPr>
        </w:p>
      </w:tc>
      <w:tc>
        <w:tcPr>
          <w:tcW w:w="2552" w:type="dxa"/>
          <w:shd w:val="clear" w:color="auto" w:fill="auto"/>
        </w:tcPr>
        <w:p w14:paraId="3A63D0CB" w14:textId="77777777" w:rsidR="005A677C" w:rsidRPr="008F2CCC" w:rsidRDefault="00816CFB" w:rsidP="001C28E2">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224DC601" w14:textId="76686794" w:rsidR="005A677C" w:rsidRPr="00B335A1" w:rsidRDefault="00D76CD2" w:rsidP="001C28E2">
          <w:pPr>
            <w:jc w:val="both"/>
            <w:rPr>
              <w:rFonts w:ascii="Palatino Linotype" w:hAnsi="Palatino Linotype"/>
              <w:b/>
              <w:sz w:val="22"/>
              <w:szCs w:val="22"/>
              <w:lang w:val="es-ES_tradnl"/>
            </w:rPr>
          </w:pPr>
          <w:r>
            <w:rPr>
              <w:noProof/>
              <w:lang w:eastAsia="es-MX"/>
            </w:rPr>
            <w:drawing>
              <wp:anchor distT="0" distB="0" distL="114300" distR="114300" simplePos="0" relativeHeight="251657216" behindDoc="1" locked="0" layoutInCell="0" allowOverlap="1" wp14:anchorId="33BBFF44" wp14:editId="6E9C716D">
                <wp:simplePos x="0" y="0"/>
                <wp:positionH relativeFrom="margin">
                  <wp:posOffset>-2796540</wp:posOffset>
                </wp:positionH>
                <wp:positionV relativeFrom="margin">
                  <wp:posOffset>-403860</wp:posOffset>
                </wp:positionV>
                <wp:extent cx="6858000" cy="9144000"/>
                <wp:effectExtent l="0" t="0" r="0" b="0"/>
                <wp:wrapNone/>
                <wp:docPr id="16" name="Imagen 1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sz w:val="22"/>
              <w:szCs w:val="22"/>
              <w:lang w:val="es-ES_tradnl"/>
            </w:rPr>
            <w:t xml:space="preserve">XXXXXX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p>
      </w:tc>
    </w:tr>
    <w:tr w:rsidR="005A677C" w:rsidRPr="008F2CCC" w14:paraId="37227C55" w14:textId="77777777" w:rsidTr="001C28E2">
      <w:trPr>
        <w:trHeight w:val="228"/>
      </w:trPr>
      <w:tc>
        <w:tcPr>
          <w:tcW w:w="3403" w:type="dxa"/>
          <w:vMerge/>
          <w:shd w:val="clear" w:color="auto" w:fill="auto"/>
        </w:tcPr>
        <w:p w14:paraId="6B54F463" w14:textId="77777777" w:rsidR="005A677C" w:rsidRPr="008F2CCC" w:rsidRDefault="003B6445" w:rsidP="001C28E2">
          <w:pPr>
            <w:rPr>
              <w:rFonts w:ascii="Palatino Linotype" w:hAnsi="Palatino Linotype"/>
              <w:b/>
              <w:sz w:val="22"/>
              <w:szCs w:val="22"/>
              <w:lang w:val="es-ES_tradnl"/>
            </w:rPr>
          </w:pPr>
        </w:p>
      </w:tc>
      <w:tc>
        <w:tcPr>
          <w:tcW w:w="2552" w:type="dxa"/>
          <w:shd w:val="clear" w:color="auto" w:fill="auto"/>
        </w:tcPr>
        <w:p w14:paraId="35306D5B" w14:textId="77777777" w:rsidR="005A677C" w:rsidRPr="008F2CCC" w:rsidRDefault="00816CFB" w:rsidP="001C28E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1DE00B69" w14:textId="77777777" w:rsidR="005A677C" w:rsidRPr="00B335A1" w:rsidRDefault="00816CFB" w:rsidP="000536D9">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w:t>
          </w:r>
          <w:r w:rsidRPr="00172306">
            <w:rPr>
              <w:rFonts w:ascii="Palatino Linotype" w:hAnsi="Palatino Linotype"/>
              <w:b/>
              <w:sz w:val="22"/>
              <w:szCs w:val="22"/>
              <w:lang w:val="es-ES_tradnl"/>
            </w:rPr>
            <w:t xml:space="preserve">de </w:t>
          </w:r>
          <w:r w:rsidR="000536D9">
            <w:rPr>
              <w:rFonts w:ascii="Palatino Linotype" w:hAnsi="Palatino Linotype"/>
              <w:b/>
              <w:sz w:val="22"/>
              <w:szCs w:val="22"/>
              <w:lang w:val="es-ES_tradnl"/>
            </w:rPr>
            <w:t>Temoaya</w:t>
          </w:r>
        </w:p>
      </w:tc>
    </w:tr>
    <w:tr w:rsidR="005A677C" w:rsidRPr="008F2CCC" w14:paraId="464C8C08" w14:textId="77777777" w:rsidTr="001C28E2">
      <w:tc>
        <w:tcPr>
          <w:tcW w:w="3403" w:type="dxa"/>
          <w:vMerge/>
          <w:shd w:val="clear" w:color="auto" w:fill="auto"/>
        </w:tcPr>
        <w:p w14:paraId="4108A3C4" w14:textId="77777777" w:rsidR="005A677C" w:rsidRPr="008F2CCC" w:rsidRDefault="003B6445" w:rsidP="001C28E2">
          <w:pPr>
            <w:rPr>
              <w:rFonts w:ascii="Palatino Linotype" w:hAnsi="Palatino Linotype"/>
              <w:b/>
              <w:sz w:val="22"/>
              <w:szCs w:val="22"/>
              <w:lang w:val="es-ES_tradnl"/>
            </w:rPr>
          </w:pPr>
        </w:p>
      </w:tc>
      <w:tc>
        <w:tcPr>
          <w:tcW w:w="2552" w:type="dxa"/>
          <w:shd w:val="clear" w:color="auto" w:fill="auto"/>
        </w:tcPr>
        <w:p w14:paraId="037F7CB6" w14:textId="77777777" w:rsidR="005A677C" w:rsidRPr="008F2CCC" w:rsidRDefault="00816CFB" w:rsidP="001C28E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4CDFF1D0" w14:textId="77777777" w:rsidR="005A677C" w:rsidRPr="008F2CCC" w:rsidRDefault="00816CFB" w:rsidP="001C28E2">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01A4F616" w14:textId="6E05F3E8" w:rsidR="005A677C" w:rsidRDefault="003B644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24B54"/>
    <w:multiLevelType w:val="hybridMultilevel"/>
    <w:tmpl w:val="48846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8F2158"/>
    <w:multiLevelType w:val="hybridMultilevel"/>
    <w:tmpl w:val="B2FCD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3D16DFD"/>
    <w:multiLevelType w:val="hybridMultilevel"/>
    <w:tmpl w:val="B7420C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6D9"/>
    <w:rsid w:val="000536D9"/>
    <w:rsid w:val="002822FA"/>
    <w:rsid w:val="003B6445"/>
    <w:rsid w:val="00400C8D"/>
    <w:rsid w:val="004A1E73"/>
    <w:rsid w:val="004B0360"/>
    <w:rsid w:val="00546298"/>
    <w:rsid w:val="00574A4C"/>
    <w:rsid w:val="00576870"/>
    <w:rsid w:val="006B6BF4"/>
    <w:rsid w:val="006C25A5"/>
    <w:rsid w:val="00816CFB"/>
    <w:rsid w:val="00821149"/>
    <w:rsid w:val="00917BAF"/>
    <w:rsid w:val="00A4230E"/>
    <w:rsid w:val="00A53096"/>
    <w:rsid w:val="00B0773F"/>
    <w:rsid w:val="00BA1CBF"/>
    <w:rsid w:val="00C36F93"/>
    <w:rsid w:val="00D76CD2"/>
    <w:rsid w:val="00F16B80"/>
    <w:rsid w:val="00FD65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8AC3E5"/>
  <w15:chartTrackingRefBased/>
  <w15:docId w15:val="{84FF62CD-B383-4977-9186-AD68B4038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6D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36D9"/>
    <w:pPr>
      <w:tabs>
        <w:tab w:val="center" w:pos="4419"/>
        <w:tab w:val="right" w:pos="8838"/>
      </w:tabs>
    </w:pPr>
  </w:style>
  <w:style w:type="character" w:customStyle="1" w:styleId="EncabezadoCar">
    <w:name w:val="Encabezado Car"/>
    <w:basedOn w:val="Fuentedeprrafopredeter"/>
    <w:link w:val="Encabezado"/>
    <w:uiPriority w:val="99"/>
    <w:rsid w:val="000536D9"/>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0536D9"/>
    <w:pPr>
      <w:tabs>
        <w:tab w:val="center" w:pos="4419"/>
        <w:tab w:val="right" w:pos="8838"/>
      </w:tabs>
    </w:pPr>
  </w:style>
  <w:style w:type="character" w:customStyle="1" w:styleId="PiedepginaCar">
    <w:name w:val="Pie de página Car"/>
    <w:basedOn w:val="Fuentedeprrafopredeter"/>
    <w:link w:val="Piedepgina"/>
    <w:uiPriority w:val="99"/>
    <w:rsid w:val="000536D9"/>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536D9"/>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536D9"/>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0536D9"/>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21149"/>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21149"/>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8211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1395804.pag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saimex.org.mx/saimex/solicitud/downloadAttach/1395753.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382733.page"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dle.rae.es/?id=D78E0X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A6B8E-9BE2-4E2A-8A82-A27122967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2635</Words>
  <Characters>14494</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2022-05-09T06:29:00Z</cp:lastPrinted>
  <dcterms:created xsi:type="dcterms:W3CDTF">2022-04-29T02:19:00Z</dcterms:created>
  <dcterms:modified xsi:type="dcterms:W3CDTF">2022-06-10T00:04:00Z</dcterms:modified>
</cp:coreProperties>
</file>