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AB7" w:rsidRDefault="00CA3FF8">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D776F">
        <w:rPr>
          <w:rFonts w:ascii="Palatino Linotype" w:eastAsia="Palatino Linotype" w:hAnsi="Palatino Linotype" w:cs="Palatino Linotype"/>
          <w:b/>
        </w:rPr>
        <w:t>veintisiete</w:t>
      </w:r>
      <w:r>
        <w:rPr>
          <w:rFonts w:ascii="Palatino Linotype" w:eastAsia="Palatino Linotype" w:hAnsi="Palatino Linotype" w:cs="Palatino Linotype"/>
          <w:b/>
        </w:rPr>
        <w:t xml:space="preserve"> de enero del dos mil veintidós.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05</w:t>
      </w:r>
      <w:r w:rsidR="00CD776F">
        <w:rPr>
          <w:rFonts w:ascii="Palatino Linotype" w:eastAsia="Palatino Linotype" w:hAnsi="Palatino Linotype" w:cs="Palatino Linotype"/>
          <w:b/>
        </w:rPr>
        <w:t>434</w:t>
      </w:r>
      <w:r>
        <w:rPr>
          <w:rFonts w:ascii="Palatino Linotype" w:eastAsia="Palatino Linotype" w:hAnsi="Palatino Linotype" w:cs="Palatino Linotype"/>
          <w:b/>
        </w:rPr>
        <w:t>/INFOEM/IP/RR/2021</w:t>
      </w:r>
      <w:r>
        <w:rPr>
          <w:rFonts w:ascii="Palatino Linotype" w:eastAsia="Palatino Linotype" w:hAnsi="Palatino Linotype" w:cs="Palatino Linotype"/>
        </w:rPr>
        <w:t xml:space="preserve">, interpuesto </w:t>
      </w:r>
      <w:r w:rsidR="00665723">
        <w:rPr>
          <w:rFonts w:ascii="Palatino Linotype" w:eastAsia="Palatino Linotype" w:hAnsi="Palatino Linotype" w:cs="Palatino Linotype"/>
          <w:b/>
        </w:rPr>
        <w:t>xxxx</w:t>
      </w:r>
      <w:r w:rsidR="00CD776F">
        <w:rPr>
          <w:rFonts w:ascii="Palatino Linotype" w:eastAsia="Palatino Linotype" w:hAnsi="Palatino Linotype" w:cs="Palatino Linotype"/>
          <w:b/>
        </w:rPr>
        <w:t xml:space="preserve"> </w:t>
      </w:r>
      <w:r w:rsidR="00665723">
        <w:rPr>
          <w:rFonts w:ascii="Palatino Linotype" w:eastAsia="Palatino Linotype" w:hAnsi="Palatino Linotype" w:cs="Palatino Linotype"/>
          <w:b/>
        </w:rPr>
        <w:t>xxxxxxx</w:t>
      </w:r>
      <w:bookmarkStart w:id="1" w:name="_GoBack"/>
      <w:bookmarkEnd w:id="1"/>
      <w:r w:rsidR="00CD776F">
        <w:rPr>
          <w:rFonts w:ascii="Palatino Linotype" w:eastAsia="Palatino Linotype" w:hAnsi="Palatino Linotype" w:cs="Palatino Linotype"/>
        </w:rPr>
        <w:t>, quien no proporcionó nombre o seudónimo para ser identificado</w:t>
      </w:r>
      <w:r>
        <w:rPr>
          <w:rFonts w:ascii="Palatino Linotype" w:eastAsia="Palatino Linotype" w:hAnsi="Palatino Linotype" w:cs="Palatino Linotype"/>
        </w:rPr>
        <w:t>, en lo sucesivo</w:t>
      </w:r>
      <w:r w:rsidR="00E953C2">
        <w:rPr>
          <w:rFonts w:ascii="Palatino Linotype" w:eastAsia="Palatino Linotype" w:hAnsi="Palatino Linotype" w:cs="Palatino Linotype"/>
        </w:rPr>
        <w:t xml:space="preserve"> </w:t>
      </w:r>
      <w:r w:rsidR="00E953C2" w:rsidRPr="00E953C2">
        <w:rPr>
          <w:rFonts w:ascii="Palatino Linotype" w:eastAsia="Palatino Linotype" w:hAnsi="Palatino Linotype" w:cs="Palatino Linotype"/>
        </w:rPr>
        <w:t>el</w:t>
      </w:r>
      <w:r w:rsidR="00E953C2">
        <w:rPr>
          <w:rFonts w:ascii="Palatino Linotype" w:eastAsia="Palatino Linotype" w:hAnsi="Palatino Linotype" w:cs="Palatino Linotype"/>
        </w:rPr>
        <w:t xml:space="preserve"> </w:t>
      </w:r>
      <w:r>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Pr>
          <w:rFonts w:ascii="Palatino Linotype" w:eastAsia="Palatino Linotype" w:hAnsi="Palatino Linotype" w:cs="Palatino Linotype"/>
        </w:rPr>
        <w:t xml:space="preserve">, en contra de la falta de respuesta a la solicitud de información con número de folio </w:t>
      </w:r>
      <w:r w:rsidR="00CD776F">
        <w:rPr>
          <w:rFonts w:ascii="Palatino Linotype" w:eastAsia="Palatino Linotype" w:hAnsi="Palatino Linotype" w:cs="Palatino Linotype"/>
          <w:b/>
        </w:rPr>
        <w:t>00562</w:t>
      </w:r>
      <w:r>
        <w:rPr>
          <w:rFonts w:ascii="Palatino Linotype" w:eastAsia="Palatino Linotype" w:hAnsi="Palatino Linotype" w:cs="Palatino Linotype"/>
          <w:b/>
        </w:rPr>
        <w:t>/</w:t>
      </w:r>
      <w:r w:rsidR="00CD776F">
        <w:rPr>
          <w:rFonts w:ascii="Palatino Linotype" w:eastAsia="Palatino Linotype" w:hAnsi="Palatino Linotype" w:cs="Palatino Linotype"/>
          <w:b/>
        </w:rPr>
        <w:t>METEPEC</w:t>
      </w:r>
      <w:r>
        <w:rPr>
          <w:rFonts w:ascii="Palatino Linotype" w:eastAsia="Palatino Linotype" w:hAnsi="Palatino Linotype" w:cs="Palatino Linotype"/>
          <w:b/>
        </w:rPr>
        <w:t>/IP/2021,</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r w:rsidR="00CD776F">
        <w:rPr>
          <w:rFonts w:ascii="Palatino Linotype" w:eastAsia="Palatino Linotype" w:hAnsi="Palatino Linotype" w:cs="Palatino Linotype"/>
          <w:b/>
        </w:rPr>
        <w:t>Metepec</w:t>
      </w:r>
      <w:r>
        <w:rPr>
          <w:rFonts w:ascii="Palatino Linotype" w:eastAsia="Palatino Linotype" w:hAnsi="Palatino Linotype" w:cs="Palatino Linotype"/>
        </w:rPr>
        <w:t xml:space="preserve">, en lo sucesivo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p>
    <w:p w:rsidR="00422AB7" w:rsidRDefault="00CA3FF8">
      <w:pPr>
        <w:numPr>
          <w:ilvl w:val="0"/>
          <w:numId w:val="1"/>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CD776F">
        <w:rPr>
          <w:rFonts w:ascii="Palatino Linotype" w:eastAsia="Palatino Linotype" w:hAnsi="Palatino Linotype" w:cs="Palatino Linotype"/>
        </w:rPr>
        <w:t xml:space="preserve">Con fecha veintinueve </w:t>
      </w:r>
      <w:r>
        <w:rPr>
          <w:rFonts w:ascii="Palatino Linotype" w:eastAsia="Palatino Linotype" w:hAnsi="Palatino Linotype" w:cs="Palatino Linotype"/>
        </w:rPr>
        <w:t>de septiembre de</w:t>
      </w:r>
      <w:r w:rsidR="00E953C2">
        <w:rPr>
          <w:rFonts w:ascii="Palatino Linotype" w:eastAsia="Palatino Linotype" w:hAnsi="Palatino Linotype" w:cs="Palatino Linotype"/>
        </w:rPr>
        <w:t>l dos mil veintiuno, el</w:t>
      </w:r>
      <w:r>
        <w:rPr>
          <w:rFonts w:ascii="Palatino Linotype" w:eastAsia="Palatino Linotype" w:hAnsi="Palatino Linotype" w:cs="Palatino Linotype"/>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a través de</w:t>
      </w:r>
      <w:r w:rsidR="00CD776F">
        <w:rPr>
          <w:rFonts w:ascii="Palatino Linotype" w:eastAsia="Palatino Linotype" w:hAnsi="Palatino Linotype" w:cs="Palatino Linotype"/>
        </w:rPr>
        <w:t xml:space="preserve"> la Plataforma Nacional de Transparencia (PNT) vinculada con el</w:t>
      </w:r>
      <w:r>
        <w:rPr>
          <w:rFonts w:ascii="Palatino Linotype" w:eastAsia="Palatino Linotype" w:hAnsi="Palatino Linotype" w:cs="Palatino Linotype"/>
        </w:rPr>
        <w:t xml:space="preserve">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422AB7" w:rsidRDefault="00CA3FF8">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CD776F" w:rsidRPr="00CD776F">
        <w:rPr>
          <w:rFonts w:ascii="Palatino Linotype" w:eastAsia="Palatino Linotype" w:hAnsi="Palatino Linotype" w:cs="Palatino Linotype"/>
          <w:i/>
          <w:color w:val="000000"/>
          <w:sz w:val="22"/>
          <w:szCs w:val="22"/>
        </w:rPr>
        <w:t>solicito información acerca del servicios detallados de los fuegos artificiales para los festejos del la Independencia nacional para la edición 2021 por lo cual solicito servicios detallado , presupuesto gastado, facturas , contratos y nombre de la empresa que llevo acabo el evento</w:t>
      </w:r>
      <w:r w:rsidR="00245DD1" w:rsidRPr="00245DD1">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color w:val="000000"/>
          <w:sz w:val="22"/>
          <w:szCs w:val="22"/>
        </w:rPr>
        <w:t>” (Sic)</w:t>
      </w:r>
    </w:p>
    <w:p w:rsidR="00422AB7" w:rsidRDefault="00422AB7">
      <w:pPr>
        <w:ind w:right="1043"/>
        <w:jc w:val="both"/>
        <w:rPr>
          <w:rFonts w:ascii="Palatino Linotype" w:eastAsia="Palatino Linotype" w:hAnsi="Palatino Linotype" w:cs="Palatino Linotype"/>
          <w:i/>
        </w:rPr>
      </w:pP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sidR="00CD776F">
        <w:rPr>
          <w:rFonts w:ascii="Palatino Linotype" w:eastAsia="Palatino Linotype" w:hAnsi="Palatino Linotype" w:cs="Palatino Linotype"/>
        </w:rPr>
        <w:t xml:space="preserve">El </w:t>
      </w:r>
      <w:r w:rsidR="00CD776F">
        <w:rPr>
          <w:rFonts w:ascii="Palatino Linotype" w:eastAsia="Palatino Linotype" w:hAnsi="Palatino Linotype" w:cs="Palatino Linotype"/>
          <w:b/>
        </w:rPr>
        <w:t xml:space="preserve">RECURRENTE </w:t>
      </w:r>
      <w:r w:rsidR="00CD776F">
        <w:rPr>
          <w:rFonts w:ascii="Palatino Linotype" w:eastAsia="Palatino Linotype" w:hAnsi="Palatino Linotype" w:cs="Palatino Linotype"/>
        </w:rPr>
        <w:t>no señaló modalidad de entrega; sin embargo, se entenderá vía SAIMEX</w:t>
      </w:r>
      <w:r>
        <w:rPr>
          <w:rFonts w:ascii="Palatino Linotype" w:eastAsia="Palatino Linotype" w:hAnsi="Palatino Linotype" w:cs="Palatino Linotype"/>
        </w:rPr>
        <w:t>.</w:t>
      </w:r>
    </w:p>
    <w:p w:rsidR="00CD776F"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w:t>
      </w:r>
      <w:r w:rsidR="00CD776F">
        <w:rPr>
          <w:rFonts w:ascii="Palatino Linotype" w:eastAsia="Palatino Linotype" w:hAnsi="Palatino Linotype" w:cs="Palatino Linotype"/>
          <w:b/>
        </w:rPr>
        <w:t xml:space="preserve">No se da curso a la solicitud. </w:t>
      </w:r>
      <w:r w:rsidR="00CD776F">
        <w:rPr>
          <w:rFonts w:ascii="Palatino Linotype" w:eastAsia="Palatino Linotype" w:hAnsi="Palatino Linotype" w:cs="Palatino Linotype"/>
        </w:rPr>
        <w:t xml:space="preserve">El veinte de octubre de dos mil veintiuno, el </w:t>
      </w:r>
      <w:r w:rsidR="00CD776F">
        <w:rPr>
          <w:rFonts w:ascii="Palatino Linotype" w:eastAsia="Palatino Linotype" w:hAnsi="Palatino Linotype" w:cs="Palatino Linotype"/>
          <w:b/>
        </w:rPr>
        <w:t xml:space="preserve">SUJETO OBLIGADO </w:t>
      </w:r>
      <w:r w:rsidR="00CD776F">
        <w:rPr>
          <w:rFonts w:ascii="Palatino Linotype" w:eastAsia="Palatino Linotype" w:hAnsi="Palatino Linotype" w:cs="Palatino Linotype"/>
        </w:rPr>
        <w:t xml:space="preserve">manifestó: </w:t>
      </w:r>
    </w:p>
    <w:p w:rsidR="00CD776F" w:rsidRPr="00CD776F" w:rsidRDefault="00CD776F" w:rsidP="00CD776F">
      <w:pPr>
        <w:spacing w:before="240" w:after="240" w:line="360"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CD776F">
        <w:rPr>
          <w:rFonts w:ascii="Palatino Linotype" w:eastAsia="Palatino Linotype" w:hAnsi="Palatino Linotype" w:cs="Palatino Linotype"/>
          <w:i/>
          <w:sz w:val="22"/>
          <w:szCs w:val="22"/>
        </w:rPr>
        <w:t>Con fundamento en el artículo 159 de la Ley de Transparencia y Acceso a la Información Pública del Estado de México y Municipios, y en relación con su solicitud con número de folio 00562/METEPEC/IP/2021 mediante la cual requiere: “solicito información acerca del servicios detallados de los fuegos artificiales para los festejos del la Independencia nacional para la edición 2021 por lo cual solicito servicios detallado , presupuesto gastado, facturas , contratos y nombre de la empresa que llevo acabo el evento” SIC Al respecto, se le requiere respetuosamente se sirva en un plazo no mayor a diez días hábiles especificar que información requiere cuando señala lo anterior, pues para este Sujeto Obligado, los datos ingresados resultan insuficientes o poco claros para proceder con la búsqueda de información. Lo anterior para que, en caso de proceder, se pueda atender eficazmente su requerimiento. 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CD776F" w:rsidRPr="00CD776F" w:rsidRDefault="00CD776F" w:rsidP="00CD776F">
      <w:pPr>
        <w:spacing w:before="240" w:after="240" w:line="360" w:lineRule="auto"/>
        <w:ind w:left="851" w:right="616"/>
        <w:jc w:val="both"/>
        <w:rPr>
          <w:rFonts w:ascii="Palatino Linotype" w:eastAsia="Palatino Linotype" w:hAnsi="Palatino Linotype" w:cs="Palatino Linotype"/>
          <w:i/>
          <w:sz w:val="22"/>
          <w:szCs w:val="22"/>
        </w:rPr>
      </w:pPr>
      <w:r w:rsidRPr="00CD776F">
        <w:rPr>
          <w:rFonts w:ascii="Palatino Linotype" w:eastAsia="Palatino Linotype" w:hAnsi="Palatino Linotype" w:cs="Palatino Linotype"/>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electrónica, a través del SAIMEX.</w:t>
      </w:r>
      <w:r>
        <w:rPr>
          <w:rFonts w:ascii="Palatino Linotype" w:eastAsia="Palatino Linotype" w:hAnsi="Palatino Linotype" w:cs="Palatino Linotype"/>
          <w:i/>
          <w:sz w:val="22"/>
          <w:szCs w:val="22"/>
        </w:rPr>
        <w:t>” (Sic)</w:t>
      </w:r>
    </w:p>
    <w:p w:rsidR="00CD776F" w:rsidRPr="00CD776F" w:rsidRDefault="00CD776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Manifestación a la que adjuntó el archivo electrónico identificado como </w:t>
      </w:r>
      <w:r>
        <w:rPr>
          <w:rFonts w:ascii="Palatino Linotype" w:eastAsia="Palatino Linotype" w:hAnsi="Palatino Linotype" w:cs="Palatino Linotype"/>
          <w:b/>
          <w:i/>
        </w:rPr>
        <w:t xml:space="preserve">576890.pdf; </w:t>
      </w:r>
      <w:r>
        <w:rPr>
          <w:rFonts w:ascii="Palatino Linotype" w:eastAsia="Palatino Linotype" w:hAnsi="Palatino Linotype" w:cs="Palatino Linotype"/>
        </w:rPr>
        <w:t xml:space="preserve">en el que únicamente se observa una hoja en blanco. </w:t>
      </w:r>
    </w:p>
    <w:p w:rsidR="00CD776F" w:rsidRPr="00CD776F" w:rsidRDefault="00CD776F">
      <w:pPr>
        <w:spacing w:before="240" w:after="240" w:line="360" w:lineRule="auto"/>
        <w:jc w:val="both"/>
        <w:rPr>
          <w:rFonts w:ascii="Palatino Linotype" w:eastAsia="Palatino Linotype" w:hAnsi="Palatino Linotype" w:cs="Palatino Linotype"/>
        </w:rPr>
      </w:pPr>
    </w:p>
    <w:p w:rsidR="00422AB7" w:rsidRDefault="00CD776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3. </w:t>
      </w:r>
      <w:r w:rsidR="00CA3FF8">
        <w:rPr>
          <w:rFonts w:ascii="Palatino Linotype" w:eastAsia="Palatino Linotype" w:hAnsi="Palatino Linotype" w:cs="Palatino Linotype"/>
          <w:b/>
        </w:rPr>
        <w:t xml:space="preserve">Respuesta. </w:t>
      </w:r>
      <w:r w:rsidR="00CA3FF8">
        <w:rPr>
          <w:rFonts w:ascii="Palatino Linotype" w:eastAsia="Palatino Linotype" w:hAnsi="Palatino Linotype" w:cs="Palatino Linotype"/>
        </w:rPr>
        <w:t xml:space="preserve">De las constancias que obran en </w:t>
      </w:r>
      <w:r w:rsidR="00CA3FF8">
        <w:rPr>
          <w:rFonts w:ascii="Palatino Linotype" w:eastAsia="Palatino Linotype" w:hAnsi="Palatino Linotype" w:cs="Palatino Linotype"/>
          <w:b/>
        </w:rPr>
        <w:t>SAIMEX</w:t>
      </w:r>
      <w:r w:rsidR="00CA3FF8">
        <w:rPr>
          <w:rFonts w:ascii="Palatino Linotype" w:eastAsia="Palatino Linotype" w:hAnsi="Palatino Linotype" w:cs="Palatino Linotype"/>
        </w:rPr>
        <w:t xml:space="preserve">, se observa que </w:t>
      </w:r>
      <w:r w:rsidR="00CA3FF8">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no emitió respuesta a la solicitu</w:t>
      </w:r>
      <w:r w:rsidR="00E953C2">
        <w:rPr>
          <w:rFonts w:ascii="Palatino Linotype" w:eastAsia="Palatino Linotype" w:hAnsi="Palatino Linotype" w:cs="Palatino Linotype"/>
        </w:rPr>
        <w:t>d de información formulada por el</w:t>
      </w:r>
      <w:r w:rsidR="00CA3FF8">
        <w:rPr>
          <w:rFonts w:ascii="Palatino Linotype" w:eastAsia="Palatino Linotype" w:hAnsi="Palatino Linotype" w:cs="Palatino Linotype"/>
        </w:rPr>
        <w:t xml:space="preserve"> parte </w:t>
      </w:r>
      <w:r w:rsidR="00E953C2">
        <w:rPr>
          <w:rFonts w:ascii="Palatino Linotype" w:eastAsia="Palatino Linotype" w:hAnsi="Palatino Linotype" w:cs="Palatino Linotype"/>
          <w:b/>
        </w:rPr>
        <w:t>RECURRENTE</w:t>
      </w:r>
      <w:r w:rsidR="00CA3FF8">
        <w:rPr>
          <w:rFonts w:ascii="Palatino Linotype" w:eastAsia="Palatino Linotype" w:hAnsi="Palatino Linotype" w:cs="Palatino Linotype"/>
        </w:rPr>
        <w:t>.</w:t>
      </w:r>
    </w:p>
    <w:p w:rsidR="00422AB7" w:rsidRDefault="00CD776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CA3FF8">
        <w:rPr>
          <w:rFonts w:ascii="Palatino Linotype" w:eastAsia="Palatino Linotype" w:hAnsi="Palatino Linotype" w:cs="Palatino Linotype"/>
          <w:b/>
        </w:rPr>
        <w:t xml:space="preserve">. Interposición del recurso de revisión. </w:t>
      </w:r>
      <w:r w:rsidR="00CA3FF8">
        <w:rPr>
          <w:rFonts w:ascii="Palatino Linotype" w:eastAsia="Palatino Linotype" w:hAnsi="Palatino Linotype" w:cs="Palatino Linotype"/>
        </w:rPr>
        <w:t xml:space="preserve">Inconforme el solicitante con la falta de respuesta del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interpuso recurso de revisión a trav</w:t>
      </w:r>
      <w:r>
        <w:rPr>
          <w:rFonts w:ascii="Palatino Linotype" w:eastAsia="Palatino Linotype" w:hAnsi="Palatino Linotype" w:cs="Palatino Linotype"/>
        </w:rPr>
        <w:t>és del SAIMEX en fecha ocho</w:t>
      </w:r>
      <w:r w:rsidR="00CA3FF8">
        <w:rPr>
          <w:rFonts w:ascii="Palatino Linotype" w:eastAsia="Palatino Linotype" w:hAnsi="Palatino Linotype" w:cs="Palatino Linotype"/>
        </w:rPr>
        <w:t xml:space="preserve"> de </w:t>
      </w:r>
      <w:r>
        <w:rPr>
          <w:rFonts w:ascii="Palatino Linotype" w:eastAsia="Palatino Linotype" w:hAnsi="Palatino Linotype" w:cs="Palatino Linotype"/>
        </w:rPr>
        <w:t>noviembre</w:t>
      </w:r>
      <w:r w:rsidR="00CA3FF8">
        <w:rPr>
          <w:rFonts w:ascii="Palatino Linotype" w:eastAsia="Palatino Linotype" w:hAnsi="Palatino Linotype" w:cs="Palatino Linotype"/>
        </w:rPr>
        <w:t xml:space="preserve"> del año dos mil veintiuno, expresando lo siguiente:</w:t>
      </w:r>
    </w:p>
    <w:p w:rsidR="00422AB7" w:rsidRDefault="00CA3FF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422AB7" w:rsidRDefault="00CD776F">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sidRPr="00CD776F">
        <w:rPr>
          <w:rFonts w:ascii="Palatino Linotype" w:eastAsia="Palatino Linotype" w:hAnsi="Palatino Linotype" w:cs="Palatino Linotype"/>
          <w:i/>
          <w:color w:val="000000"/>
          <w:sz w:val="22"/>
          <w:szCs w:val="22"/>
        </w:rPr>
        <w:t>como que se encuentra fuera del marco de la ley , ustedes tienen que dar un respuesta acerca de la contratación del servicio , del presupuesto gastado y demás detalles. asi que solicito haga su trabajo en buscar dichos contratos</w:t>
      </w:r>
      <w:r w:rsidR="00245DD1" w:rsidRPr="00245DD1">
        <w:rPr>
          <w:rFonts w:ascii="Palatino Linotype" w:eastAsia="Palatino Linotype" w:hAnsi="Palatino Linotype" w:cs="Palatino Linotype"/>
          <w:i/>
          <w:color w:val="000000"/>
          <w:sz w:val="22"/>
          <w:szCs w:val="22"/>
        </w:rPr>
        <w:t>.</w:t>
      </w:r>
      <w:r w:rsidR="00CA3FF8">
        <w:rPr>
          <w:rFonts w:ascii="Palatino Linotype" w:eastAsia="Palatino Linotype" w:hAnsi="Palatino Linotype" w:cs="Palatino Linotype"/>
          <w:i/>
          <w:color w:val="000000"/>
          <w:sz w:val="22"/>
          <w:szCs w:val="22"/>
        </w:rPr>
        <w:t>” (Sic)</w:t>
      </w:r>
    </w:p>
    <w:p w:rsidR="00422AB7" w:rsidRDefault="00CA3FF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CD776F" w:rsidRPr="00F45196" w:rsidRDefault="00CD776F" w:rsidP="00F45196">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sidRPr="00F45196">
        <w:rPr>
          <w:rFonts w:ascii="Palatino Linotype" w:eastAsia="Palatino Linotype" w:hAnsi="Palatino Linotype" w:cs="Palatino Linotype"/>
          <w:color w:val="000000"/>
        </w:rPr>
        <w:t xml:space="preserve">A la interposición del recurso de revisión el </w:t>
      </w:r>
      <w:r w:rsidRPr="00F45196">
        <w:rPr>
          <w:rFonts w:ascii="Palatino Linotype" w:eastAsia="Palatino Linotype" w:hAnsi="Palatino Linotype" w:cs="Palatino Linotype"/>
          <w:b/>
          <w:color w:val="000000"/>
        </w:rPr>
        <w:t xml:space="preserve">RECURRENTE </w:t>
      </w:r>
      <w:r w:rsidRPr="00F45196">
        <w:rPr>
          <w:rFonts w:ascii="Palatino Linotype" w:eastAsia="Palatino Linotype" w:hAnsi="Palatino Linotype" w:cs="Palatino Linotype"/>
          <w:color w:val="000000"/>
        </w:rPr>
        <w:t xml:space="preserve">adjuntó archivo electrónico denominado </w:t>
      </w:r>
      <w:r w:rsidRPr="00F45196">
        <w:rPr>
          <w:rFonts w:ascii="Palatino Linotype" w:eastAsia="Palatino Linotype" w:hAnsi="Palatino Linotype" w:cs="Palatino Linotype"/>
          <w:b/>
          <w:color w:val="000000"/>
        </w:rPr>
        <w:t>Archivo16364087</w:t>
      </w:r>
      <w:r w:rsidR="00F45196">
        <w:rPr>
          <w:rFonts w:ascii="Palatino Linotype" w:eastAsia="Palatino Linotype" w:hAnsi="Palatino Linotype" w:cs="Palatino Linotype"/>
          <w:b/>
          <w:color w:val="000000"/>
        </w:rPr>
        <w:t xml:space="preserve">73568; </w:t>
      </w:r>
      <w:r w:rsidR="00F45196">
        <w:rPr>
          <w:rFonts w:ascii="Palatino Linotype" w:eastAsia="Palatino Linotype" w:hAnsi="Palatino Linotype" w:cs="Palatino Linotype"/>
          <w:color w:val="000000"/>
        </w:rPr>
        <w:t xml:space="preserve">documento al  que no es posible acceder. </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CA3FF8">
        <w:rPr>
          <w:rFonts w:ascii="Palatino Linotype" w:eastAsia="Palatino Linotype" w:hAnsi="Palatino Linotype" w:cs="Palatino Linotype"/>
          <w:b/>
        </w:rPr>
        <w:t xml:space="preserve">. Turno. </w:t>
      </w:r>
      <w:r w:rsidR="00CA3FF8">
        <w:rPr>
          <w:rFonts w:ascii="Palatino Linotype" w:eastAsia="Palatino Linotype" w:hAnsi="Palatino Linotype" w:cs="Palatino Linotype"/>
        </w:rPr>
        <w:t xml:space="preserve">De conformidad con el artículo 185 Fracción I </w:t>
      </w:r>
      <w:r w:rsidR="00CA3FF8">
        <w:rPr>
          <w:rFonts w:ascii="Palatino Linotype" w:eastAsia="Palatino Linotype" w:hAnsi="Palatino Linotype" w:cs="Palatino Linotype"/>
          <w:highlight w:val="white"/>
        </w:rPr>
        <w:t>de la Ley Transparencia y Acceso a la Información Pública</w:t>
      </w:r>
      <w:r w:rsidR="00CA3FF8">
        <w:rPr>
          <w:rFonts w:ascii="Palatino Linotype" w:eastAsia="Palatino Linotype" w:hAnsi="Palatino Linotype" w:cs="Palatino Linotype"/>
        </w:rPr>
        <w:t>, el recurso de revisión número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sz w:val="23"/>
          <w:szCs w:val="23"/>
        </w:rPr>
        <w:t>05</w:t>
      </w:r>
      <w:r>
        <w:rPr>
          <w:rFonts w:ascii="Palatino Linotype" w:eastAsia="Palatino Linotype" w:hAnsi="Palatino Linotype" w:cs="Palatino Linotype"/>
          <w:b/>
          <w:sz w:val="23"/>
          <w:szCs w:val="23"/>
        </w:rPr>
        <w:t>434</w:t>
      </w:r>
      <w:r w:rsidR="00CA3FF8">
        <w:rPr>
          <w:rFonts w:ascii="Palatino Linotype" w:eastAsia="Palatino Linotype" w:hAnsi="Palatino Linotype" w:cs="Palatino Linotype"/>
          <w:b/>
          <w:sz w:val="23"/>
          <w:szCs w:val="23"/>
        </w:rPr>
        <w:t xml:space="preserve">/INFOEM/IP/RR/2021 </w:t>
      </w:r>
      <w:r w:rsidR="00CA3FF8">
        <w:rPr>
          <w:rFonts w:ascii="Palatino Linotype" w:eastAsia="Palatino Linotype" w:hAnsi="Palatino Linotype" w:cs="Palatino Linotype"/>
        </w:rPr>
        <w:t xml:space="preserve">fue turnado a la </w:t>
      </w:r>
      <w:r w:rsidR="00CA3FF8">
        <w:rPr>
          <w:rFonts w:ascii="Palatino Linotype" w:eastAsia="Palatino Linotype" w:hAnsi="Palatino Linotype" w:cs="Palatino Linotype"/>
          <w:b/>
        </w:rPr>
        <w:t>Comisionada Guadalupe Ramírez Peña</w:t>
      </w:r>
      <w:r w:rsidR="00CA3FF8">
        <w:rPr>
          <w:rFonts w:ascii="Palatino Linotype" w:eastAsia="Palatino Linotype" w:hAnsi="Palatino Linotype" w:cs="Palatino Linotype"/>
        </w:rPr>
        <w:t>, a efecto de presentar al Pleno el proyecto de resolución correspondiente.</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CA3FF8">
        <w:rPr>
          <w:rFonts w:ascii="Palatino Linotype" w:eastAsia="Palatino Linotype" w:hAnsi="Palatino Linotype" w:cs="Palatino Linotype"/>
          <w:b/>
        </w:rPr>
        <w:t xml:space="preserve">. Admisión. </w:t>
      </w:r>
      <w:r w:rsidR="00CA3FF8">
        <w:rPr>
          <w:rFonts w:ascii="Palatino Linotype" w:eastAsia="Palatino Linotype" w:hAnsi="Palatino Linotype" w:cs="Palatino Linotype"/>
        </w:rPr>
        <w:t xml:space="preserve">En fecha </w:t>
      </w:r>
      <w:r>
        <w:rPr>
          <w:rFonts w:ascii="Palatino Linotype" w:eastAsia="Palatino Linotype" w:hAnsi="Palatino Linotype" w:cs="Palatino Linotype"/>
          <w:b/>
        </w:rPr>
        <w:t>once</w:t>
      </w:r>
      <w:r w:rsidR="00CA3FF8">
        <w:rPr>
          <w:rFonts w:ascii="Palatino Linotype" w:eastAsia="Palatino Linotype" w:hAnsi="Palatino Linotype" w:cs="Palatino Linotype"/>
          <w:b/>
        </w:rPr>
        <w:t xml:space="preserve"> de </w:t>
      </w:r>
      <w:r>
        <w:rPr>
          <w:rFonts w:ascii="Palatino Linotype" w:eastAsia="Palatino Linotype" w:hAnsi="Palatino Linotype" w:cs="Palatino Linotype"/>
          <w:b/>
        </w:rPr>
        <w:t>noviem</w:t>
      </w:r>
      <w:r w:rsidR="00CA3FF8">
        <w:rPr>
          <w:rFonts w:ascii="Palatino Linotype" w:eastAsia="Palatino Linotype" w:hAnsi="Palatino Linotype" w:cs="Palatino Linotype"/>
          <w:b/>
        </w:rPr>
        <w:t>bre del año dos mil veintiuno</w:t>
      </w:r>
      <w:r w:rsidR="00CA3FF8">
        <w:rPr>
          <w:rFonts w:ascii="Palatino Linotype" w:eastAsia="Palatino Linotype" w:hAnsi="Palatino Linotype" w:cs="Palatino Linotype"/>
        </w:rPr>
        <w:t xml:space="preserve">, en términos de lo dispuesto en el artículo 185 fracciones I, II y IV de la Ley de Transparencia y </w:t>
      </w:r>
      <w:r w:rsidR="00CA3FF8">
        <w:rPr>
          <w:rFonts w:ascii="Palatino Linotype" w:eastAsia="Palatino Linotype" w:hAnsi="Palatino Linotype" w:cs="Palatino Linotype"/>
        </w:rPr>
        <w:lastRenderedPageBreak/>
        <w:t>Acceso a la Información Pública del Estado de México y Municipios, se admitió a trámite el recurso de revisión al rubro indicado.</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CA3FF8">
        <w:rPr>
          <w:rFonts w:ascii="Palatino Linotype" w:eastAsia="Palatino Linotype" w:hAnsi="Palatino Linotype" w:cs="Palatino Linotype"/>
          <w:b/>
        </w:rPr>
        <w:t xml:space="preserve">. Manifestaciones. </w:t>
      </w:r>
      <w:r w:rsidR="00CA3FF8">
        <w:rPr>
          <w:rFonts w:ascii="Palatino Linotype" w:eastAsia="Palatino Linotype" w:hAnsi="Palatino Linotype" w:cs="Palatino Linotype"/>
        </w:rPr>
        <w:t xml:space="preserve">De las constancias que obran en el expediente electrónico del SAIMEX se desprende que el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xml:space="preserve"> no rindió su infor</w:t>
      </w:r>
      <w:r w:rsidR="00E953C2">
        <w:rPr>
          <w:rFonts w:ascii="Palatino Linotype" w:eastAsia="Palatino Linotype" w:hAnsi="Palatino Linotype" w:cs="Palatino Linotype"/>
        </w:rPr>
        <w:t>me justificado, del mismo modo el</w:t>
      </w:r>
      <w:r w:rsidR="00CA3FF8">
        <w:rPr>
          <w:rFonts w:ascii="Palatino Linotype" w:eastAsia="Palatino Linotype" w:hAnsi="Palatino Linotype" w:cs="Palatino Linotype"/>
        </w:rPr>
        <w:t xml:space="preserve"> </w:t>
      </w:r>
      <w:r w:rsidR="00E953C2" w:rsidRPr="00E953C2">
        <w:rPr>
          <w:rFonts w:ascii="Palatino Linotype" w:eastAsia="Palatino Linotype" w:hAnsi="Palatino Linotype" w:cs="Palatino Linotype"/>
          <w:b/>
        </w:rPr>
        <w:t>RECURRENTE</w:t>
      </w:r>
      <w:r w:rsidR="00CA3FF8">
        <w:rPr>
          <w:rFonts w:ascii="Palatino Linotype" w:eastAsia="Palatino Linotype" w:hAnsi="Palatino Linotype" w:cs="Palatino Linotype"/>
        </w:rPr>
        <w:t xml:space="preserve"> omitió realizar manifestaciones.</w:t>
      </w:r>
    </w:p>
    <w:p w:rsidR="00422AB7"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8</w:t>
      </w:r>
      <w:r w:rsidR="00CA3FF8">
        <w:rPr>
          <w:rFonts w:ascii="Palatino Linotype" w:eastAsia="Palatino Linotype" w:hAnsi="Palatino Linotype" w:cs="Palatino Linotype"/>
          <w:b/>
        </w:rPr>
        <w:t xml:space="preserve">. Cierre de Instrucción. </w:t>
      </w:r>
      <w:r w:rsidR="00CA3FF8">
        <w:rPr>
          <w:rFonts w:ascii="Palatino Linotype" w:eastAsia="Palatino Linotype" w:hAnsi="Palatino Linotype" w:cs="Palatino Linotype"/>
        </w:rPr>
        <w:t xml:space="preserve">En fecha </w:t>
      </w:r>
      <w:r>
        <w:rPr>
          <w:rFonts w:ascii="Palatino Linotype" w:eastAsia="Palatino Linotype" w:hAnsi="Palatino Linotype" w:cs="Palatino Linotype"/>
          <w:b/>
        </w:rPr>
        <w:t>veinticuatro</w:t>
      </w:r>
      <w:r w:rsidR="00CA3FF8">
        <w:rPr>
          <w:rFonts w:ascii="Palatino Linotype" w:eastAsia="Palatino Linotype" w:hAnsi="Palatino Linotype" w:cs="Palatino Linotype"/>
          <w:b/>
        </w:rPr>
        <w:t xml:space="preserve"> de </w:t>
      </w:r>
      <w:r>
        <w:rPr>
          <w:rFonts w:ascii="Palatino Linotype" w:eastAsia="Palatino Linotype" w:hAnsi="Palatino Linotype" w:cs="Palatino Linotype"/>
          <w:b/>
        </w:rPr>
        <w:t>noviembre</w:t>
      </w:r>
      <w:r w:rsidR="00CA3FF8">
        <w:rPr>
          <w:rFonts w:ascii="Palatino Linotype" w:eastAsia="Palatino Linotype" w:hAnsi="Palatino Linotype" w:cs="Palatino Linotype"/>
          <w:b/>
        </w:rPr>
        <w:t xml:space="preserve"> del año dos mil veintiuno</w:t>
      </w:r>
      <w:r w:rsidR="00CA3FF8">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F45196" w:rsidRDefault="00F4519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CA3FF8">
        <w:rPr>
          <w:rFonts w:ascii="Palatino Linotype" w:eastAsia="Palatino Linotype" w:hAnsi="Palatino Linotype" w:cs="Palatino Linotype"/>
          <w:b/>
        </w:rPr>
        <w:t>.- Ampliación del plazo para emitir resolución.</w:t>
      </w:r>
      <w:r w:rsidR="00CA3FF8">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diecinueve </w:t>
      </w:r>
      <w:r w:rsidR="00CA3FF8">
        <w:rPr>
          <w:rFonts w:ascii="Palatino Linotype" w:eastAsia="Palatino Linotype" w:hAnsi="Palatino Linotype" w:cs="Palatino Linotype"/>
          <w:b/>
        </w:rPr>
        <w:t xml:space="preserve">de </w:t>
      </w:r>
      <w:r w:rsidR="00245DD1">
        <w:rPr>
          <w:rFonts w:ascii="Palatino Linotype" w:eastAsia="Palatino Linotype" w:hAnsi="Palatino Linotype" w:cs="Palatino Linotype"/>
          <w:b/>
        </w:rPr>
        <w:t>enero</w:t>
      </w:r>
      <w:r w:rsidR="00A52187">
        <w:rPr>
          <w:rFonts w:ascii="Palatino Linotype" w:eastAsia="Palatino Linotype" w:hAnsi="Palatino Linotype" w:cs="Palatino Linotype"/>
          <w:b/>
        </w:rPr>
        <w:t xml:space="preserve"> de dos mil veintidós</w:t>
      </w:r>
      <w:r w:rsidR="00CA3FF8">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w:t>
      </w:r>
      <w:r>
        <w:rPr>
          <w:rFonts w:ascii="Palatino Linotype" w:eastAsia="Palatino Linotype" w:hAnsi="Palatino Linotype" w:cs="Palatino Linotype"/>
        </w:rPr>
        <w:t xml:space="preserve"> Estado de México y Municipios.</w:t>
      </w:r>
    </w:p>
    <w:p w:rsidR="00422AB7" w:rsidRDefault="00CA3FF8">
      <w:pPr>
        <w:numPr>
          <w:ilvl w:val="0"/>
          <w:numId w:val="1"/>
        </w:numPr>
        <w:pBdr>
          <w:top w:val="nil"/>
          <w:left w:val="nil"/>
          <w:bottom w:val="nil"/>
          <w:right w:val="nil"/>
          <w:between w:val="nil"/>
        </w:pBdr>
        <w:spacing w:before="240" w:after="240" w:line="360" w:lineRule="auto"/>
        <w:ind w:left="567" w:hanging="425"/>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422AB7" w:rsidRDefault="00CA3FF8">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w:t>
      </w:r>
      <w:r w:rsidR="00E953C2">
        <w:rPr>
          <w:rFonts w:ascii="Palatino Linotype" w:eastAsia="Palatino Linotype" w:hAnsi="Palatino Linotype" w:cs="Palatino Linotype"/>
          <w:highlight w:val="white"/>
        </w:rPr>
        <w:t xml:space="preserve">evisión interpuesto por </w:t>
      </w:r>
      <w:r w:rsidR="00E953C2">
        <w:rPr>
          <w:rFonts w:ascii="Palatino Linotype" w:eastAsia="Palatino Linotype" w:hAnsi="Palatino Linotype" w:cs="Palatino Linotype"/>
          <w:highlight w:val="white"/>
        </w:rPr>
        <w:lastRenderedPageBreak/>
        <w:t>el</w:t>
      </w:r>
      <w:r>
        <w:rPr>
          <w:rFonts w:ascii="Palatino Linotype" w:eastAsia="Palatino Linotype" w:hAnsi="Palatino Linotype" w:cs="Palatino Linotype"/>
          <w:highlight w:val="white"/>
        </w:rPr>
        <w:t xml:space="preserve"> </w:t>
      </w:r>
      <w:r w:rsidR="00E953C2" w:rsidRPr="00E953C2">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sidR="00F45196">
        <w:rPr>
          <w:rFonts w:ascii="Palatino Linotype" w:eastAsia="Palatino Linotype" w:hAnsi="Palatino Linotype" w:cs="Palatino Linotype"/>
        </w:rPr>
        <w:t xml:space="preserve">Es necesario precisar que la manifestación del </w:t>
      </w:r>
      <w:r w:rsidR="00F45196">
        <w:rPr>
          <w:rFonts w:ascii="Palatino Linotype" w:eastAsia="Palatino Linotype" w:hAnsi="Palatino Linotype" w:cs="Palatino Linotype"/>
          <w:b/>
        </w:rPr>
        <w:t xml:space="preserve">SUJETO OBLIGADO </w:t>
      </w:r>
      <w:r w:rsidR="00F45196">
        <w:rPr>
          <w:rFonts w:ascii="Palatino Linotype" w:eastAsia="Palatino Linotype" w:hAnsi="Palatino Linotype" w:cs="Palatino Linotype"/>
        </w:rPr>
        <w:t>no constituye una respuesta a la solicitud de información, sino que se trata de una solicitud de aclaración innecesaria, derivando en una falta de respuesta a la solicitud de información. En este sentido, e</w:t>
      </w:r>
      <w:r>
        <w:rPr>
          <w:rFonts w:ascii="Palatino Linotype" w:eastAsia="Palatino Linotype" w:hAnsi="Palatino Linotype" w:cs="Palatino Linotype"/>
        </w:rPr>
        <w:t>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w:t>
      </w:r>
      <w:r w:rsidR="00E953C2" w:rsidRPr="00E953C2">
        <w:rPr>
          <w:rFonts w:ascii="Palatino Linotype" w:eastAsia="Palatino Linotype" w:hAnsi="Palatino Linotype" w:cs="Palatino Linotype"/>
          <w:i/>
          <w:sz w:val="22"/>
          <w:szCs w:val="22"/>
        </w:rPr>
        <w:t>sujeto obligado</w:t>
      </w:r>
      <w:r w:rsidR="00E953C2">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no entregue la respuesta a la solicitud dentro del plazo previsto en la Ley, la solicitud se entenderá negada y el solicitante podrá interponer el recurso de revisión previsto en este ordenamiento.</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 </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(Énfasis añadido)</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422AB7" w:rsidRDefault="00CA3FF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00E953C2" w:rsidRPr="00E953C2">
        <w:rPr>
          <w:rFonts w:ascii="Palatino Linotype" w:eastAsia="Palatino Linotype" w:hAnsi="Palatino Linotype" w:cs="Palatino Linotype"/>
          <w:i/>
          <w:sz w:val="22"/>
          <w:szCs w:val="22"/>
        </w:rPr>
        <w:t>sujeto obligado</w:t>
      </w:r>
      <w:r>
        <w:rPr>
          <w:rFonts w:ascii="Palatino Linotype" w:eastAsia="Palatino Linotype" w:hAnsi="Palatino Linotype" w:cs="Palatino Linotype"/>
          <w:i/>
          <w:sz w:val="22"/>
          <w:szCs w:val="22"/>
        </w:rPr>
        <w:t xml:space="preserve">.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w:t>
      </w:r>
      <w:r w:rsidR="00E953C2" w:rsidRPr="00E953C2">
        <w:rPr>
          <w:rFonts w:ascii="Palatino Linotype" w:eastAsia="Palatino Linotype" w:hAnsi="Palatino Linotype" w:cs="Palatino Linotype"/>
          <w:i/>
          <w:sz w:val="22"/>
          <w:szCs w:val="22"/>
        </w:rPr>
        <w:t>sujeto obligado</w:t>
      </w:r>
      <w:r>
        <w:rPr>
          <w:rFonts w:ascii="Palatino Linotype" w:eastAsia="Palatino Linotype" w:hAnsi="Palatino Linotype" w:cs="Palatino Linotype"/>
          <w:i/>
          <w:sz w:val="22"/>
          <w:szCs w:val="22"/>
        </w:rPr>
        <w:t>, momento a partir del cual deberá computarse el plazo previsto en el artículo 72 de la citada Ley.”</w:t>
      </w:r>
      <w:r>
        <w:rPr>
          <w:rFonts w:ascii="Palatino Linotype" w:eastAsia="Palatino Linotype" w:hAnsi="Palatino Linotype" w:cs="Palatino Linotype"/>
          <w:i/>
        </w:rPr>
        <w:t xml:space="preserve"> (Sic)</w:t>
      </w:r>
    </w:p>
    <w:p w:rsidR="00422AB7" w:rsidRDefault="00CA3FF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Pr>
          <w:rFonts w:ascii="Palatino Linotype" w:eastAsia="Palatino Linotype" w:hAnsi="Palatino Linotype" w:cs="Palatino Linotype"/>
          <w:b/>
        </w:rPr>
        <w:t xml:space="preserve">en el SAIMEX.  </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422AB7" w:rsidRDefault="00CA3FF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rsidR="00422AB7" w:rsidRDefault="00422AB7">
      <w:pPr>
        <w:ind w:left="851" w:right="851"/>
        <w:jc w:val="both"/>
        <w:rPr>
          <w:rFonts w:ascii="Palatino Linotype" w:eastAsia="Palatino Linotype" w:hAnsi="Palatino Linotype" w:cs="Palatino Linotype"/>
          <w:i/>
        </w:rPr>
      </w:pP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el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estime negado el acceso a la información por la falta de respuesta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w:t>
      </w:r>
      <w:r>
        <w:rPr>
          <w:rFonts w:ascii="Palatino Linotype" w:eastAsia="Palatino Linotype" w:hAnsi="Palatino Linotype" w:cs="Palatino Linotype"/>
        </w:rPr>
        <w:t xml:space="preserve"> luego, en este asunto se actualiza la hipótesis jurídica citada, en atención a que el </w:t>
      </w:r>
      <w:r w:rsidR="00E953C2">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combate falta de trámite por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w:t>
      </w:r>
      <w:r w:rsidR="008E20B9">
        <w:rPr>
          <w:rFonts w:ascii="Palatino Linotype" w:eastAsia="Palatino Linotype" w:hAnsi="Palatino Linotype" w:cs="Palatino Linotype"/>
        </w:rPr>
        <w:t xml:space="preserve"> en el acto impugnado en </w:t>
      </w:r>
      <w:r>
        <w:rPr>
          <w:rFonts w:ascii="Palatino Linotype" w:eastAsia="Palatino Linotype" w:hAnsi="Palatino Linotype" w:cs="Palatino Linotype"/>
        </w:rPr>
        <w:t>contra de ella.</w:t>
      </w:r>
    </w:p>
    <w:p w:rsidR="008E20B9" w:rsidRDefault="008E20B9" w:rsidP="008E20B9">
      <w:pPr>
        <w:autoSpaceDE w:val="0"/>
        <w:autoSpaceDN w:val="0"/>
        <w:adjustRightInd w:val="0"/>
        <w:spacing w:before="240" w:after="360" w:line="360" w:lineRule="auto"/>
        <w:jc w:val="both"/>
        <w:rPr>
          <w:rFonts w:ascii="Palatino Linotype" w:eastAsiaTheme="minorEastAsia" w:hAnsi="Palatino Linotype" w:cs="Bookman Old Style"/>
          <w:lang w:val="es-MX"/>
        </w:rPr>
      </w:pPr>
      <w:r w:rsidRPr="00536FDD">
        <w:rPr>
          <w:rFonts w:ascii="Palatino Linotype" w:eastAsiaTheme="minorEastAsia" w:hAnsi="Palatino Linotype" w:cs="Bookman Old Style"/>
          <w:lang w:val="es-MX"/>
        </w:rPr>
        <w:t>De ahí, que el particular interpone el presente medio de defensa inmerso en la Ley de Transparencia y Acceso a la Información Pública del Estado de México y Municipios, señalando que</w:t>
      </w:r>
      <w:r>
        <w:rPr>
          <w:rFonts w:ascii="Palatino Linotype" w:eastAsiaTheme="minorEastAsia" w:hAnsi="Palatino Linotype" w:cs="Bookman Old Style"/>
          <w:lang w:val="es-MX"/>
        </w:rPr>
        <w:t xml:space="preserve"> </w:t>
      </w:r>
      <w:r w:rsidRPr="008E20B9">
        <w:rPr>
          <w:rFonts w:ascii="Palatino Linotype" w:hAnsi="Palatino Linotype"/>
          <w:i/>
          <w:color w:val="000000"/>
        </w:rPr>
        <w:t>como que se encuentra fuera del marco de la ley , ustedes tienen que dar un respuesta acerca de la contratación del servicio , del presupuesto gastado y demás detalles. asi que solicito haga su trabajo en buscar dichos contratos</w:t>
      </w:r>
      <w:r w:rsidRPr="00536FDD">
        <w:rPr>
          <w:rFonts w:ascii="Palatino Linotype" w:eastAsiaTheme="minorEastAsia" w:hAnsi="Palatino Linotype" w:cs="Bookman Old Style"/>
          <w:lang w:val="es-MX"/>
        </w:rPr>
        <w:t xml:space="preserve"> y por lo tanto interpone el recurso de revisión en cuestión</w:t>
      </w:r>
      <w:r>
        <w:rPr>
          <w:rFonts w:ascii="Palatino Linotype" w:eastAsiaTheme="minorEastAsia" w:hAnsi="Palatino Linotype" w:cs="Bookman Old Style"/>
          <w:lang w:val="es-MX"/>
        </w:rPr>
        <w:t xml:space="preserve">, pero omitió señalar razones o motivos de inconformidad, por lo que de conformidad con el artículo 181, cuarto párrafo de la Ley de Transparencia y Acceso a la Información Pública del Estado de México y Municipios, se aplica la suplencia de la queja a favor del </w:t>
      </w:r>
      <w:r>
        <w:rPr>
          <w:rFonts w:ascii="Palatino Linotype" w:eastAsiaTheme="minorEastAsia" w:hAnsi="Palatino Linotype" w:cs="Bookman Old Style"/>
          <w:b/>
          <w:lang w:val="es-MX"/>
        </w:rPr>
        <w:t>RECURRENTE</w:t>
      </w:r>
      <w:r>
        <w:rPr>
          <w:rFonts w:ascii="Palatino Linotype" w:eastAsiaTheme="minorEastAsia" w:hAnsi="Palatino Linotype" w:cs="Bookman Old Style"/>
          <w:b/>
          <w:i/>
          <w:lang w:val="es-MX"/>
        </w:rPr>
        <w:t xml:space="preserve">, </w:t>
      </w:r>
      <w:r>
        <w:rPr>
          <w:rFonts w:ascii="Palatino Linotype" w:eastAsiaTheme="minorEastAsia" w:hAnsi="Palatino Linotype" w:cs="Bookman Old Style"/>
          <w:lang w:val="es-MX"/>
        </w:rPr>
        <w:t>ya que ésta al no ser especialista en la materia, no señaló razones o motivos de inconformidad y toda vez que es una obligación de este Instituto subsanar las deficiencias de los conceptos de violación y bajo el principio rector de máxima publicidad consagrado en nuestra Constitución Política de los Estados Unidos Mexicanos se subsanan en su deficiencia los motivos de inconformidad.</w:t>
      </w:r>
    </w:p>
    <w:p w:rsidR="008E20B9" w:rsidRPr="00E440AF" w:rsidRDefault="008E20B9" w:rsidP="008E20B9">
      <w:pPr>
        <w:spacing w:before="240" w:after="240" w:line="360" w:lineRule="auto"/>
        <w:jc w:val="both"/>
        <w:rPr>
          <w:rFonts w:ascii="Palatino Linotype" w:hAnsi="Palatino Linotype" w:cs="Arial"/>
        </w:rPr>
      </w:pPr>
      <w:r>
        <w:rPr>
          <w:rFonts w:ascii="Palatino Linotype" w:hAnsi="Palatino Linotype" w:cs="Arial"/>
        </w:rPr>
        <w:t xml:space="preserve">Sirve de sustento a lo anterior la tesis jurisprudencia </w:t>
      </w:r>
      <w:r w:rsidRPr="00E440AF">
        <w:rPr>
          <w:rFonts w:ascii="Palatino Linotype" w:hAnsi="Palatino Linotype" w:cs="Arial"/>
        </w:rPr>
        <w:t>2a./J. 120/2015 (10a.)</w:t>
      </w:r>
      <w:r>
        <w:rPr>
          <w:rFonts w:ascii="Palatino Linotype" w:hAnsi="Palatino Linotype" w:cs="Arial"/>
        </w:rPr>
        <w:t xml:space="preserve"> de la </w:t>
      </w:r>
      <w:r w:rsidRPr="00E440AF">
        <w:rPr>
          <w:rFonts w:ascii="Palatino Linotype" w:hAnsi="Palatino Linotype" w:cs="Arial"/>
        </w:rPr>
        <w:t>Décima Épo</w:t>
      </w:r>
      <w:r>
        <w:rPr>
          <w:rFonts w:ascii="Palatino Linotype" w:hAnsi="Palatino Linotype" w:cs="Arial"/>
        </w:rPr>
        <w:t xml:space="preserve">ca, de Segunda </w:t>
      </w:r>
      <w:r w:rsidRPr="00E440AF">
        <w:rPr>
          <w:rFonts w:ascii="Palatino Linotype" w:hAnsi="Palatino Linotype" w:cs="Arial"/>
        </w:rPr>
        <w:t>Instancia</w:t>
      </w:r>
      <w:r>
        <w:rPr>
          <w:rFonts w:ascii="Palatino Linotype" w:hAnsi="Palatino Linotype" w:cs="Arial"/>
        </w:rPr>
        <w:t xml:space="preserve"> en materia Común de la suprema Corte de Justicia de la Nación, que es del tenor literal siguiente: </w:t>
      </w:r>
    </w:p>
    <w:p w:rsidR="008E20B9" w:rsidRPr="00E440AF" w:rsidRDefault="008E20B9" w:rsidP="008E20B9">
      <w:pPr>
        <w:spacing w:before="240" w:after="240"/>
        <w:ind w:left="851" w:right="902"/>
        <w:jc w:val="both"/>
        <w:rPr>
          <w:rFonts w:ascii="Palatino Linotype" w:hAnsi="Palatino Linotype" w:cs="Arial"/>
          <w:i/>
          <w:sz w:val="20"/>
          <w:szCs w:val="20"/>
        </w:rPr>
      </w:pPr>
      <w:r w:rsidRPr="00E440AF">
        <w:rPr>
          <w:rFonts w:ascii="Palatino Linotype" w:hAnsi="Palatino Linotype" w:cs="Arial"/>
          <w:b/>
          <w:i/>
          <w:sz w:val="20"/>
          <w:szCs w:val="20"/>
        </w:rPr>
        <w:t>“SUPLENCIA DE LA QUEJA DEFICIENTE. SU PROCEDENCIA EN OTRAS MATERIAS, AUN A FALTA DE CONCEPTO DE VIOLACIÓN O AGRAVIO, CUANDO SE ADVIERTA VIOLACIÓN GRAVE Y MANIFIESTA DE LA LEY.</w:t>
      </w:r>
      <w:r>
        <w:rPr>
          <w:rFonts w:ascii="Palatino Linotype" w:hAnsi="Palatino Linotype" w:cs="Arial"/>
          <w:b/>
          <w:i/>
          <w:sz w:val="20"/>
          <w:szCs w:val="20"/>
        </w:rPr>
        <w:t xml:space="preserve"> </w:t>
      </w:r>
      <w:r w:rsidRPr="00E440AF">
        <w:rPr>
          <w:rFonts w:ascii="Palatino Linotype" w:hAnsi="Palatino Linotype" w:cs="Arial"/>
          <w:i/>
          <w:sz w:val="20"/>
          <w:szCs w:val="20"/>
        </w:rPr>
        <w:t>La regulación establecida en el artículo 79, fracción VI, de la Ley de Amparo faculta al juzgador de amparo para suplir la deficiencia de la queja en materias diversas a las que el propio numeral prevé, ante una irregularidad procesal grave y manifiesta en la controversia del amparo, no resuelta en el procedimiento de origen, que afecte al quejoso o recurrente, aun ante la ausencia de concepto de violación o agravio al respecto, ya que revela la intención del legislador de no permitir que una de las partes se beneficie a costa de la indefensión de su contraria, como consecuencia de una actuación ilegal de la autoridad, permitiendo al Juez ejercer un discernimiento en cada caso concreto, en atención a la materia y sujeto de que se trate, lo cual es congruente con el artículo 107, fracción II, antepenúltimo párrafo, de la Constitución Política de los Estados Unidos Mexicanos.</w:t>
      </w:r>
      <w:r>
        <w:rPr>
          <w:rFonts w:ascii="Palatino Linotype" w:hAnsi="Palatino Linotype" w:cs="Arial"/>
          <w:i/>
          <w:sz w:val="20"/>
          <w:szCs w:val="20"/>
        </w:rPr>
        <w:t>”</w:t>
      </w:r>
    </w:p>
    <w:p w:rsidR="008E20B9" w:rsidRDefault="008E20B9" w:rsidP="008E20B9">
      <w:pPr>
        <w:shd w:val="clear" w:color="auto" w:fill="FFFFFF"/>
        <w:spacing w:before="240" w:after="240" w:line="360" w:lineRule="auto"/>
        <w:jc w:val="both"/>
        <w:rPr>
          <w:color w:val="222222"/>
        </w:rPr>
      </w:pPr>
      <w:r>
        <w:rPr>
          <w:rFonts w:ascii="Palatino Linotype" w:hAnsi="Palatino Linotype"/>
          <w:lang w:val="es-MX"/>
        </w:rPr>
        <w:t xml:space="preserve">Lo anterior es así, si se toma en consideración que </w:t>
      </w:r>
      <w:r>
        <w:rPr>
          <w:rFonts w:ascii="Palatino Linotype" w:hAnsi="Palatino Linotype"/>
          <w:color w:val="222222"/>
        </w:rPr>
        <w:t>el derecho de acceso a la información pública tiene sustento en los artículos</w:t>
      </w:r>
      <w:r>
        <w:rPr>
          <w:rStyle w:val="apple-converted-space"/>
          <w:rFonts w:ascii="Palatino Linotype" w:hAnsi="Palatino Linotype"/>
          <w:color w:val="222222"/>
        </w:rPr>
        <w:t> </w:t>
      </w:r>
      <w:r>
        <w:rPr>
          <w:rFonts w:ascii="Palatino Linotype" w:hAnsi="Palatino Linotype"/>
          <w:color w:val="222222"/>
        </w:rPr>
        <w:t>6, apartado A, fracción IV de la Constitución Política de los Estados Unidos Mexicanos; 5, párrafos trigésimo, trigésimo primero y trigésimo segundo, fracciones IV y V de la Constitución Política del Estado Libre y Soberano de México, con relación en los artículos 1, 2 y 4 de</w:t>
      </w:r>
      <w:r>
        <w:rPr>
          <w:rStyle w:val="apple-converted-space"/>
          <w:rFonts w:ascii="Palatino Linotype" w:hAnsi="Palatino Linotype"/>
          <w:color w:val="222222"/>
        </w:rPr>
        <w:t> </w:t>
      </w:r>
      <w:r>
        <w:rPr>
          <w:rFonts w:ascii="Palatino Linotype" w:hAnsi="Palatino Linotype"/>
          <w:color w:val="222222"/>
        </w:rPr>
        <w:t>la Ley de Transparencia y Acceso a la Información Pública del Estado de México y Municipios.</w:t>
      </w:r>
    </w:p>
    <w:p w:rsidR="008E20B9" w:rsidRDefault="008E20B9" w:rsidP="008E20B9"/>
    <w:p w:rsidR="00422AB7" w:rsidRDefault="00CA3FF8">
      <w:pPr>
        <w:tabs>
          <w:tab w:val="left" w:pos="8647"/>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Este Órgano Garante procede del análisis de los agravios hechos valer por el </w:t>
      </w:r>
      <w:r w:rsidR="00E953C2">
        <w:rPr>
          <w:rFonts w:ascii="Palatino Linotype" w:eastAsia="Palatino Linotype" w:hAnsi="Palatino Linotype" w:cs="Palatino Linotype"/>
          <w:b/>
        </w:rPr>
        <w:t>RECURRENTE</w:t>
      </w:r>
      <w:r w:rsidR="00E953C2">
        <w:rPr>
          <w:rFonts w:ascii="Palatino Linotype" w:eastAsia="Palatino Linotype" w:hAnsi="Palatino Linotype" w:cs="Palatino Linotype"/>
        </w:rPr>
        <w:t>,</w:t>
      </w:r>
      <w:r>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dio respuesta a la solicitud de información planteada por el</w:t>
      </w:r>
      <w:r>
        <w:rPr>
          <w:rFonts w:ascii="Palatino Linotype" w:eastAsia="Palatino Linotype" w:hAnsi="Palatino Linotype" w:cs="Palatino Linotype"/>
          <w:b/>
        </w:rPr>
        <w:t xml:space="preserve"> </w:t>
      </w:r>
      <w:r w:rsidR="00E953C2">
        <w:rPr>
          <w:rFonts w:ascii="Palatino Linotype" w:eastAsia="Palatino Linotype" w:hAnsi="Palatino Linotype" w:cs="Palatino Linotype"/>
          <w:b/>
        </w:rPr>
        <w:t>RECURRENTE</w:t>
      </w:r>
      <w:r>
        <w:rPr>
          <w:rFonts w:ascii="Palatino Linotype" w:eastAsia="Palatino Linotype" w:hAnsi="Palatino Linotype" w:cs="Palatino Linotype"/>
          <w:b/>
        </w:rPr>
        <w:t>,</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00</w:t>
      </w:r>
      <w:r w:rsidR="00F45196">
        <w:rPr>
          <w:rFonts w:ascii="Palatino Linotype" w:eastAsia="Palatino Linotype" w:hAnsi="Palatino Linotype" w:cs="Palatino Linotype"/>
          <w:b/>
        </w:rPr>
        <w:t>562</w:t>
      </w:r>
      <w:r>
        <w:rPr>
          <w:rFonts w:ascii="Palatino Linotype" w:eastAsia="Palatino Linotype" w:hAnsi="Palatino Linotype" w:cs="Palatino Linotype"/>
          <w:b/>
        </w:rPr>
        <w:t>/</w:t>
      </w:r>
      <w:r w:rsidR="00F45196">
        <w:rPr>
          <w:rFonts w:ascii="Palatino Linotype" w:eastAsia="Palatino Linotype" w:hAnsi="Palatino Linotype" w:cs="Palatino Linotype"/>
          <w:b/>
        </w:rPr>
        <w:t>METEPEC</w:t>
      </w:r>
      <w:r>
        <w:rPr>
          <w:rFonts w:ascii="Palatino Linotype" w:eastAsia="Palatino Linotype" w:hAnsi="Palatino Linotype" w:cs="Palatino Linotype"/>
          <w:b/>
        </w:rPr>
        <w:t>/IP/2021,</w:t>
      </w:r>
      <w:r>
        <w:rPr>
          <w:rFonts w:ascii="Palatino Linotype" w:eastAsia="Palatino Linotype" w:hAnsi="Palatino Linotype" w:cs="Palatino Linotype"/>
        </w:rPr>
        <w:t xml:space="preserve"> dentro del plazo legal previsto para ello.</w:t>
      </w:r>
    </w:p>
    <w:p w:rsidR="00422AB7" w:rsidRDefault="00CA3FF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422AB7" w:rsidRDefault="00422AB7">
      <w:pPr>
        <w:tabs>
          <w:tab w:val="left" w:pos="709"/>
        </w:tabs>
        <w:ind w:left="851" w:right="850"/>
        <w:jc w:val="both"/>
        <w:rPr>
          <w:rFonts w:ascii="Palatino Linotype" w:eastAsia="Palatino Linotype" w:hAnsi="Palatino Linotype" w:cs="Palatino Linotype"/>
        </w:rPr>
      </w:pPr>
    </w:p>
    <w:p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422AB7" w:rsidRDefault="00CA3FF8">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422AB7" w:rsidRDefault="00CA3FF8">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422AB7" w:rsidRDefault="00422AB7">
      <w:pPr>
        <w:ind w:left="851" w:right="851"/>
        <w:jc w:val="both"/>
        <w:rPr>
          <w:rFonts w:ascii="Palatino Linotype" w:eastAsia="Palatino Linotype" w:hAnsi="Palatino Linotype" w:cs="Palatino Linotype"/>
          <w:i/>
          <w:sz w:val="22"/>
          <w:szCs w:val="22"/>
        </w:rPr>
      </w:pP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422AB7" w:rsidRDefault="00CA3FF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422AB7" w:rsidRDefault="00422AB7">
      <w:pPr>
        <w:ind w:left="851" w:right="851"/>
        <w:jc w:val="both"/>
        <w:rPr>
          <w:rFonts w:ascii="Palatino Linotype" w:eastAsia="Palatino Linotype" w:hAnsi="Palatino Linotype" w:cs="Palatino Linotype"/>
          <w:i/>
          <w:sz w:val="22"/>
          <w:szCs w:val="22"/>
        </w:rPr>
      </w:pPr>
    </w:p>
    <w:p w:rsidR="00422AB7" w:rsidRDefault="00CA3FF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422AB7" w:rsidRDefault="00CA3FF8">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422AB7" w:rsidRDefault="00CA3FF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422AB7" w:rsidRDefault="00CA3FF8">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422AB7" w:rsidRDefault="00422AB7">
      <w:pPr>
        <w:ind w:left="851" w:right="902"/>
        <w:jc w:val="both"/>
        <w:rPr>
          <w:rFonts w:ascii="Palatino Linotype" w:eastAsia="Palatino Linotype" w:hAnsi="Palatino Linotype" w:cs="Palatino Linotype"/>
          <w:sz w:val="22"/>
          <w:szCs w:val="22"/>
        </w:rPr>
      </w:pP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22AB7" w:rsidRDefault="00CA3FF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en el desahogo de la solicitud.” (Sic)</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normatividad en la materia, puesto que no dio trámite ni respuesta a la solicitud de acceso a la información, limitando el derecho de acceso a la información, accionado por el particular.</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Instituto no omite señalar que, si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rsidR="00422AB7" w:rsidRDefault="00CA3FF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Órgano Garante no omite mencionar que, si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sin perder de vista que la Constitución Política de los Estados Unidos Mexicanos le otorga a </w:t>
      </w:r>
      <w:r>
        <w:rPr>
          <w:rFonts w:ascii="Palatino Linotype" w:eastAsia="Palatino Linotype" w:hAnsi="Palatino Linotype" w:cs="Palatino Linotype"/>
          <w:b/>
        </w:rPr>
        <w:t>todos los documentos</w:t>
      </w:r>
      <w:r>
        <w:rPr>
          <w:rFonts w:ascii="Palatino Linotype" w:eastAsia="Palatino Linotype" w:hAnsi="Palatino Linotype" w:cs="Palatino Linotype"/>
        </w:rPr>
        <w:t xml:space="preserve"> en posesión de las autoridades </w:t>
      </w:r>
      <w:r>
        <w:rPr>
          <w:rFonts w:ascii="Palatino Linotype" w:eastAsia="Palatino Linotype" w:hAnsi="Palatino Linotype" w:cs="Palatino Linotype"/>
          <w:b/>
        </w:rPr>
        <w:t>la calidad de públicos</w:t>
      </w:r>
      <w:r>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22AB7" w:rsidRDefault="00CA3FF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determina que la información en su poder, actualiza alguno de los supuestos conforme a las normas aplicables.</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en todo momento, aplicar una prueba de daño.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22AB7" w:rsidRDefault="00CA3FF8">
      <w:pPr>
        <w:numPr>
          <w:ilvl w:val="0"/>
          <w:numId w:val="2"/>
        </w:numPr>
        <w:spacing w:before="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22AB7" w:rsidRDefault="00CA3FF8">
      <w:pPr>
        <w:numPr>
          <w:ilvl w:val="0"/>
          <w:numId w:val="2"/>
        </w:numPr>
        <w:spacing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22AB7" w:rsidRDefault="00CA3FF8">
      <w:pPr>
        <w:numPr>
          <w:ilvl w:val="0"/>
          <w:numId w:val="2"/>
        </w:numPr>
        <w:spacing w:after="280" w:line="360" w:lineRule="auto"/>
        <w:ind w:left="1276" w:hanging="425"/>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422AB7" w:rsidRDefault="00CA3FF8">
      <w:pPr>
        <w:numPr>
          <w:ilvl w:val="0"/>
          <w:numId w:val="3"/>
        </w:numPr>
        <w:spacing w:before="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22AB7" w:rsidRDefault="00CA3FF8">
      <w:pPr>
        <w:numPr>
          <w:ilvl w:val="0"/>
          <w:numId w:val="3"/>
        </w:numPr>
        <w:spacing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22AB7" w:rsidRDefault="00CA3FF8">
      <w:pPr>
        <w:numPr>
          <w:ilvl w:val="0"/>
          <w:numId w:val="3"/>
        </w:numPr>
        <w:spacing w:after="280" w:line="360" w:lineRule="auto"/>
        <w:ind w:left="1134" w:hanging="283"/>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22AB7" w:rsidRDefault="00CA3FF8">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este Órgano Garante de la Protección de Datos Personales no omite mencionar que, si dentro de la información que se ordena su entrega,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advierte documentos que por su propia y especial naturaleza son privados, deberá efectuar el Acuerdo de Clasificación como confidencial, en términos de la legislación aplicable y en los términos abordados con antelación.</w:t>
      </w:r>
    </w:p>
    <w:p w:rsidR="00422AB7" w:rsidRDefault="00CA3FF8">
      <w:pPr>
        <w:spacing w:before="280" w:after="280" w:line="360" w:lineRule="auto"/>
        <w:jc w:val="both"/>
      </w:pPr>
      <w:r>
        <w:rPr>
          <w:rFonts w:ascii="Palatino Linotype" w:eastAsia="Palatino Linotype" w:hAnsi="Palatino Linotype" w:cs="Palatino Linotype"/>
        </w:rPr>
        <w:t xml:space="preserve">Por lo tanto, es importante referir que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antes citadas</w:t>
      </w:r>
      <w:r>
        <w:rPr>
          <w:rFonts w:ascii="Palatino Linotype" w:eastAsia="Palatino Linotype" w:hAnsi="Palatino Linotype" w:cs="Palatino Linotype"/>
          <w:b/>
        </w:rPr>
        <w:t xml:space="preserve"> </w:t>
      </w:r>
      <w:r>
        <w:rPr>
          <w:rFonts w:ascii="Palatino Linotype" w:eastAsia="Palatino Linotype" w:hAnsi="Palatino Linotype" w:cs="Palatino Linotype"/>
        </w:rPr>
        <w:t>que la sustente, en el que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este Instituto estima prudente señalar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22AB7" w:rsidRDefault="00CA3F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22AB7" w:rsidRDefault="00CA3FF8">
      <w:pPr>
        <w:shd w:val="clear" w:color="auto" w:fill="FFFFFF"/>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sidR="00E953C2" w:rsidRPr="00E953C2">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Precedentes: </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422AB7" w:rsidRDefault="00CA3FF8">
      <w:pPr>
        <w:shd w:val="clear" w:color="auto" w:fill="FFFFFF"/>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Abaid Yapur. </w:t>
      </w:r>
    </w:p>
    <w:p w:rsidR="00422AB7" w:rsidRDefault="00CA3FF8">
      <w:pPr>
        <w:shd w:val="clear" w:color="auto" w:fill="FFFFFF"/>
        <w:ind w:left="851" w:right="902"/>
        <w:jc w:val="both"/>
        <w:rPr>
          <w:rFonts w:ascii="Georgia" w:eastAsia="Georgia" w:hAnsi="Georgia" w:cs="Georgia"/>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eastAsia="Palatino Linotype" w:hAnsi="Palatino Linotype" w:cs="Palatino Linotype"/>
          <w:b/>
          <w:i/>
          <w:sz w:val="22"/>
          <w:szCs w:val="22"/>
        </w:rPr>
        <w:t>.”</w:t>
      </w:r>
    </w:p>
    <w:p w:rsidR="00422AB7" w:rsidRDefault="00CA3FF8">
      <w:pPr>
        <w:shd w:val="clear" w:color="auto" w:fill="FFFFFF"/>
        <w:ind w:right="902" w:firstLine="851"/>
        <w:jc w:val="both"/>
        <w:rPr>
          <w:rFonts w:ascii="Georgia" w:eastAsia="Georgia" w:hAnsi="Georgia" w:cs="Georgia"/>
          <w:sz w:val="22"/>
          <w:szCs w:val="22"/>
        </w:rPr>
      </w:pPr>
      <w:r>
        <w:rPr>
          <w:rFonts w:ascii="Palatino Linotype" w:eastAsia="Palatino Linotype" w:hAnsi="Palatino Linotype" w:cs="Palatino Linotype"/>
          <w:sz w:val="22"/>
          <w:szCs w:val="22"/>
        </w:rPr>
        <w:t>(Énfasis añadido)</w:t>
      </w:r>
    </w:p>
    <w:p w:rsidR="00422AB7" w:rsidRDefault="00422AB7">
      <w:pPr>
        <w:shd w:val="clear" w:color="auto" w:fill="FFFFFF"/>
        <w:ind w:right="902" w:firstLine="851"/>
        <w:jc w:val="both"/>
        <w:rPr>
          <w:rFonts w:ascii="Georgia" w:eastAsia="Georgia" w:hAnsi="Georgia" w:cs="Georgia"/>
          <w:sz w:val="22"/>
          <w:szCs w:val="22"/>
        </w:rPr>
      </w:pPr>
    </w:p>
    <w:p w:rsidR="00422AB7" w:rsidRDefault="00CA3FF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mér</w:t>
      </w:r>
      <w:r w:rsidR="008E20B9">
        <w:rPr>
          <w:rFonts w:ascii="Palatino Linotype" w:eastAsia="Palatino Linotype" w:hAnsi="Palatino Linotype" w:cs="Palatino Linotype"/>
        </w:rPr>
        <w:t>ito de todo lo expuesto, ante la</w:t>
      </w:r>
      <w:r>
        <w:rPr>
          <w:rFonts w:ascii="Palatino Linotype" w:eastAsia="Palatino Linotype" w:hAnsi="Palatino Linotype" w:cs="Palatino Linotype"/>
        </w:rPr>
        <w:t xml:space="preserve"> </w:t>
      </w:r>
      <w:r w:rsidR="008E20B9">
        <w:rPr>
          <w:rFonts w:ascii="Palatino Linotype" w:eastAsia="Palatino Linotype" w:hAnsi="Palatino Linotype" w:cs="Palatino Linotype"/>
          <w:b/>
        </w:rPr>
        <w:t>fundadas</w:t>
      </w:r>
      <w:r w:rsidR="008E20B9">
        <w:rPr>
          <w:rFonts w:ascii="Palatino Linotype" w:eastAsia="Palatino Linotype" w:hAnsi="Palatino Linotype" w:cs="Palatino Linotype"/>
        </w:rPr>
        <w:t xml:space="preserve"> </w:t>
      </w:r>
      <w:r>
        <w:rPr>
          <w:rFonts w:ascii="Palatino Linotype" w:eastAsia="Palatino Linotype" w:hAnsi="Palatino Linotype" w:cs="Palatino Linotype"/>
        </w:rPr>
        <w:t xml:space="preserve">razones o motivos de inconformidad </w:t>
      </w:r>
      <w:r w:rsidR="008E20B9">
        <w:rPr>
          <w:rFonts w:ascii="Palatino Linotype" w:eastAsia="Palatino Linotype" w:hAnsi="Palatino Linotype" w:cs="Palatino Linotype"/>
        </w:rPr>
        <w:t>suplidas en su deficiencia</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22AB7" w:rsidRDefault="00CA3FF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Antes de concluir, es de señalar que, como ya se mencionó </w:t>
      </w:r>
      <w:r>
        <w:rPr>
          <w:rFonts w:ascii="Palatino Linotype" w:eastAsia="Palatino Linotype" w:hAnsi="Palatino Linotype" w:cs="Palatino Linotype"/>
          <w:b/>
        </w:rPr>
        <w:t xml:space="preserve">el </w:t>
      </w:r>
      <w:r w:rsidR="00E953C2" w:rsidRPr="00E953C2">
        <w:rPr>
          <w:rFonts w:ascii="Palatino Linotype" w:eastAsia="Palatino Linotype" w:hAnsi="Palatino Linotype" w:cs="Palatino Linotype"/>
          <w:b/>
        </w:rPr>
        <w:t>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22AB7" w:rsidRDefault="00CA3FF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con fundamento en lo prescrito en los artículos 5 </w:t>
      </w:r>
      <w:r>
        <w:rPr>
          <w:rFonts w:ascii="Palatino Linotype" w:eastAsia="Palatino Linotype" w:hAnsi="Palatino Linotype" w:cs="Palatino Linotype"/>
          <w:highlight w:val="white"/>
        </w:rPr>
        <w:t xml:space="preserve">párrafos trigésimo, trigésimo primero y trigésimo segundo fracciones IV y V </w:t>
      </w:r>
      <w:r>
        <w:rPr>
          <w:rFonts w:ascii="Palatino Linotype" w:eastAsia="Palatino Linotype" w:hAnsi="Palatino Linotype" w:cs="Palatino Linotype"/>
        </w:rPr>
        <w:t>de la Constitución Política del Estado Libre y Soberano de México; 2, fracción II; 29, 36 fracciones I y II; 176, 178, 181, 185 de la Ley de Transparencia y Acceso a la Información Pública del Estado de México y Municipios, este Pleno:</w:t>
      </w:r>
    </w:p>
    <w:p w:rsidR="00422AB7" w:rsidRDefault="00CA3FF8">
      <w:pPr>
        <w:numPr>
          <w:ilvl w:val="0"/>
          <w:numId w:val="1"/>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422AB7" w:rsidRDefault="00444FC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 xml:space="preserve">Resultan </w:t>
      </w:r>
      <w:r w:rsidR="00CA3FF8">
        <w:rPr>
          <w:rFonts w:ascii="Palatino Linotype" w:eastAsia="Palatino Linotype" w:hAnsi="Palatino Linotype" w:cs="Palatino Linotype"/>
          <w:b/>
        </w:rPr>
        <w:t>fundados</w:t>
      </w:r>
      <w:r w:rsidR="00CA3FF8">
        <w:rPr>
          <w:rFonts w:ascii="Palatino Linotype" w:eastAsia="Palatino Linotype" w:hAnsi="Palatino Linotype" w:cs="Palatino Linotype"/>
        </w:rPr>
        <w:t xml:space="preserve"> los motivos de inconformidad </w:t>
      </w:r>
      <w:r w:rsidR="008E20B9">
        <w:rPr>
          <w:rFonts w:ascii="Palatino Linotype" w:eastAsia="Palatino Linotype" w:hAnsi="Palatino Linotype" w:cs="Palatino Linotype"/>
        </w:rPr>
        <w:t>suplidos en su deficiencia</w:t>
      </w:r>
      <w:r w:rsidR="00CA3FF8">
        <w:rPr>
          <w:rFonts w:ascii="Palatino Linotype" w:eastAsia="Palatino Linotype" w:hAnsi="Palatino Linotype" w:cs="Palatino Linotype"/>
        </w:rPr>
        <w:t xml:space="preserve">, en términos del </w:t>
      </w:r>
      <w:r w:rsidR="00CA3FF8">
        <w:rPr>
          <w:rFonts w:ascii="Palatino Linotype" w:eastAsia="Palatino Linotype" w:hAnsi="Palatino Linotype" w:cs="Palatino Linotype"/>
          <w:b/>
        </w:rPr>
        <w:t>Considerando Cuarto</w:t>
      </w:r>
      <w:r w:rsidR="00CA3FF8">
        <w:rPr>
          <w:rFonts w:ascii="Palatino Linotype" w:eastAsia="Palatino Linotype" w:hAnsi="Palatino Linotype" w:cs="Palatino Linotype"/>
        </w:rPr>
        <w:t xml:space="preserve"> de la presente resolución.</w:t>
      </w:r>
    </w:p>
    <w:p w:rsidR="00422AB7" w:rsidRDefault="00444F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sidR="00CA3FF8">
        <w:rPr>
          <w:rFonts w:ascii="Palatino Linotype" w:eastAsia="Palatino Linotype" w:hAnsi="Palatino Linotype" w:cs="Palatino Linotype"/>
          <w:b/>
        </w:rPr>
        <w:t>.</w:t>
      </w:r>
      <w:r w:rsidR="00CA3FF8">
        <w:rPr>
          <w:rFonts w:ascii="Palatino Linotype" w:eastAsia="Palatino Linotype" w:hAnsi="Palatino Linotype" w:cs="Palatino Linotype"/>
        </w:rPr>
        <w:t xml:space="preserve"> Se</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color w:val="222222"/>
        </w:rPr>
        <w:t xml:space="preserve">ORDENA </w:t>
      </w:r>
      <w:r w:rsidR="00CA3FF8">
        <w:rPr>
          <w:rFonts w:ascii="Palatino Linotype" w:eastAsia="Palatino Linotype" w:hAnsi="Palatino Linotype" w:cs="Palatino Linotype"/>
          <w:color w:val="222222"/>
        </w:rPr>
        <w:t xml:space="preserve">al </w:t>
      </w:r>
      <w:r w:rsidR="00E953C2" w:rsidRPr="00E953C2">
        <w:rPr>
          <w:rFonts w:ascii="Palatino Linotype" w:eastAsia="Palatino Linotype" w:hAnsi="Palatino Linotype" w:cs="Palatino Linotype"/>
          <w:b/>
          <w:color w:val="222222"/>
        </w:rPr>
        <w:t>SUJETO OBLIGADO</w:t>
      </w:r>
      <w:r w:rsidR="00CA3FF8">
        <w:rPr>
          <w:rFonts w:ascii="Palatino Linotype" w:eastAsia="Palatino Linotype" w:hAnsi="Palatino Linotype" w:cs="Palatino Linotype"/>
          <w:b/>
          <w:color w:val="222222"/>
        </w:rPr>
        <w:t xml:space="preserve"> </w:t>
      </w:r>
      <w:r w:rsidR="00CA3FF8">
        <w:rPr>
          <w:rFonts w:ascii="Palatino Linotype" w:eastAsia="Palatino Linotype" w:hAnsi="Palatino Linotype" w:cs="Palatino Linotype"/>
          <w:color w:val="222222"/>
        </w:rPr>
        <w:t xml:space="preserve">dé trámite a la solicitud de acceso a la información pública que dio origen al recurso de revisión </w:t>
      </w:r>
      <w:r w:rsidR="00CA3FF8">
        <w:rPr>
          <w:rFonts w:ascii="Palatino Linotype" w:eastAsia="Palatino Linotype" w:hAnsi="Palatino Linotype" w:cs="Palatino Linotype"/>
          <w:b/>
        </w:rPr>
        <w:t>05</w:t>
      </w:r>
      <w:r w:rsidR="008E20B9">
        <w:rPr>
          <w:rFonts w:ascii="Palatino Linotype" w:eastAsia="Palatino Linotype" w:hAnsi="Palatino Linotype" w:cs="Palatino Linotype"/>
          <w:b/>
        </w:rPr>
        <w:t>434</w:t>
      </w:r>
      <w:r w:rsidR="00CA3FF8">
        <w:rPr>
          <w:rFonts w:ascii="Palatino Linotype" w:eastAsia="Palatino Linotype" w:hAnsi="Palatino Linotype" w:cs="Palatino Linotype"/>
          <w:b/>
        </w:rPr>
        <w:t>/INFOEM/IP/RR/2021</w:t>
      </w:r>
      <w:r w:rsidR="00CA3FF8">
        <w:rPr>
          <w:rFonts w:ascii="Palatino Linotype" w:eastAsia="Palatino Linotype" w:hAnsi="Palatino Linotype" w:cs="Palatino Linotype"/>
          <w:color w:val="222222"/>
        </w:rPr>
        <w:t>,</w:t>
      </w:r>
      <w:r w:rsidR="00CA3FF8">
        <w:rPr>
          <w:rFonts w:ascii="Palatino Linotype" w:eastAsia="Palatino Linotype" w:hAnsi="Palatino Linotype" w:cs="Palatino Linotype"/>
          <w:b/>
          <w:color w:val="222222"/>
        </w:rPr>
        <w:t xml:space="preserve"> </w:t>
      </w:r>
      <w:r w:rsidR="00CA3FF8">
        <w:rPr>
          <w:rFonts w:ascii="Palatino Linotype" w:eastAsia="Palatino Linotype" w:hAnsi="Palatino Linotype" w:cs="Palatino Linotype"/>
          <w:color w:val="222222"/>
        </w:rPr>
        <w:t xml:space="preserve">vía </w:t>
      </w:r>
      <w:r w:rsidR="00CA3FF8">
        <w:rPr>
          <w:rFonts w:ascii="Palatino Linotype" w:eastAsia="Palatino Linotype" w:hAnsi="Palatino Linotype" w:cs="Palatino Linotype"/>
          <w:b/>
          <w:color w:val="222222"/>
        </w:rPr>
        <w:t xml:space="preserve">SAIMEX, </w:t>
      </w:r>
      <w:r w:rsidR="00CA3FF8">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422AB7" w:rsidRDefault="00444FC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TERCERO</w:t>
      </w:r>
      <w:r w:rsidR="00CA3FF8">
        <w:rPr>
          <w:rFonts w:ascii="Palatino Linotype" w:eastAsia="Palatino Linotype" w:hAnsi="Palatino Linotype" w:cs="Palatino Linotype"/>
          <w:b/>
          <w:color w:val="000000"/>
          <w:highlight w:val="white"/>
        </w:rPr>
        <w:t xml:space="preserve">. </w:t>
      </w:r>
      <w:r w:rsidR="00CA3FF8">
        <w:rPr>
          <w:rFonts w:ascii="Palatino Linotype" w:eastAsia="Palatino Linotype" w:hAnsi="Palatino Linotype" w:cs="Palatino Linotype"/>
          <w:b/>
          <w:color w:val="000000"/>
        </w:rPr>
        <w:t>Notifíquese</w:t>
      </w:r>
      <w:r w:rsidR="00CA3FF8">
        <w:rPr>
          <w:rFonts w:ascii="Palatino Linotype" w:eastAsia="Palatino Linotype" w:hAnsi="Palatino Linotype" w:cs="Palatino Linotype"/>
          <w:b/>
          <w:color w:val="000000"/>
          <w:highlight w:val="white"/>
        </w:rPr>
        <w:t xml:space="preserve"> vía SAIMEX </w:t>
      </w:r>
      <w:r w:rsidR="00CA3FF8">
        <w:rPr>
          <w:rFonts w:ascii="Palatino Linotype" w:eastAsia="Palatino Linotype" w:hAnsi="Palatino Linotype" w:cs="Palatino Linotype"/>
          <w:color w:val="000000"/>
          <w:highlight w:val="white"/>
        </w:rPr>
        <w:t>al Titular de la Unidad de Transparencia del</w:t>
      </w:r>
      <w:r w:rsidR="00CA3FF8">
        <w:rPr>
          <w:rFonts w:ascii="Palatino Linotype" w:eastAsia="Palatino Linotype" w:hAnsi="Palatino Linotype" w:cs="Palatino Linotype"/>
          <w:b/>
          <w:color w:val="000000"/>
          <w:highlight w:val="white"/>
        </w:rPr>
        <w:t xml:space="preserve"> </w:t>
      </w:r>
      <w:r w:rsidR="00E953C2" w:rsidRPr="00E953C2">
        <w:rPr>
          <w:rFonts w:ascii="Palatino Linotype" w:eastAsia="Palatino Linotype" w:hAnsi="Palatino Linotype" w:cs="Palatino Linotype"/>
          <w:b/>
          <w:color w:val="000000"/>
        </w:rPr>
        <w:t>SUJETO OBLIGADO</w:t>
      </w:r>
      <w:r w:rsidR="00CA3FF8">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22AB7" w:rsidRDefault="00444FC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CA3FF8">
        <w:rPr>
          <w:rFonts w:ascii="Palatino Linotype" w:eastAsia="Palatino Linotype" w:hAnsi="Palatino Linotype" w:cs="Palatino Linotype"/>
          <w:b/>
        </w:rPr>
        <w:t>. Notifíquese</w:t>
      </w:r>
      <w:r w:rsidR="00CA3FF8">
        <w:rPr>
          <w:rFonts w:ascii="Palatino Linotype" w:eastAsia="Palatino Linotype" w:hAnsi="Palatino Linotype" w:cs="Palatino Linotype"/>
          <w:b/>
          <w:highlight w:val="white"/>
        </w:rPr>
        <w:t xml:space="preserve"> </w:t>
      </w:r>
      <w:r w:rsidR="00E953C2">
        <w:rPr>
          <w:rFonts w:ascii="Palatino Linotype" w:eastAsia="Palatino Linotype" w:hAnsi="Palatino Linotype" w:cs="Palatino Linotype"/>
          <w:highlight w:val="white"/>
        </w:rPr>
        <w:t>al</w:t>
      </w:r>
      <w:r w:rsidR="00CA3FF8">
        <w:rPr>
          <w:rFonts w:ascii="Palatino Linotype" w:eastAsia="Palatino Linotype" w:hAnsi="Palatino Linotype" w:cs="Palatino Linotype"/>
          <w:highlight w:val="white"/>
        </w:rPr>
        <w:t xml:space="preserve"> </w:t>
      </w:r>
      <w:r w:rsidR="00CA3FF8">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sidR="00CA3FF8">
        <w:rPr>
          <w:rFonts w:ascii="Palatino Linotype" w:eastAsia="Palatino Linotype" w:hAnsi="Palatino Linotype" w:cs="Palatino Linotype"/>
        </w:rPr>
        <w:t xml:space="preserve"> vía SAIMEX</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422AB7" w:rsidRDefault="00444FCE">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QUINTO</w:t>
      </w:r>
      <w:r w:rsidR="00CA3FF8">
        <w:rPr>
          <w:rFonts w:ascii="Palatino Linotype" w:eastAsia="Palatino Linotype" w:hAnsi="Palatino Linotype" w:cs="Palatino Linotype"/>
          <w:b/>
        </w:rPr>
        <w:t>. Notifíquese,</w:t>
      </w:r>
      <w:r w:rsidR="00CA3FF8">
        <w:rPr>
          <w:rFonts w:ascii="Palatino Linotype" w:eastAsia="Palatino Linotype" w:hAnsi="Palatino Linotype" w:cs="Palatino Linotype"/>
        </w:rPr>
        <w:t xml:space="preserve"> vía SAIMEX</w:t>
      </w:r>
      <w:r w:rsidR="00CA3FF8">
        <w:rPr>
          <w:rFonts w:ascii="Palatino Linotype" w:eastAsia="Palatino Linotype" w:hAnsi="Palatino Linotype" w:cs="Palatino Linotype"/>
          <w:b/>
        </w:rPr>
        <w:t xml:space="preserve">, </w:t>
      </w:r>
      <w:r w:rsidR="00E953C2">
        <w:rPr>
          <w:rFonts w:ascii="Palatino Linotype" w:eastAsia="Palatino Linotype" w:hAnsi="Palatino Linotype" w:cs="Palatino Linotype"/>
        </w:rPr>
        <w:t xml:space="preserve">al </w:t>
      </w:r>
      <w:r w:rsidR="00CA3FF8">
        <w:rPr>
          <w:rFonts w:ascii="Palatino Linotype" w:eastAsia="Palatino Linotype" w:hAnsi="Palatino Linotype" w:cs="Palatino Linotype"/>
          <w:b/>
        </w:rPr>
        <w:t>R</w:t>
      </w:r>
      <w:r w:rsidR="00E953C2">
        <w:rPr>
          <w:rFonts w:ascii="Palatino Linotype" w:eastAsia="Palatino Linotype" w:hAnsi="Palatino Linotype" w:cs="Palatino Linotype"/>
          <w:b/>
        </w:rPr>
        <w:t>ECURRENTE</w:t>
      </w:r>
      <w:r w:rsidR="00CA3FF8">
        <w:rPr>
          <w:rFonts w:ascii="Palatino Linotype" w:eastAsia="Palatino Linotype" w:hAnsi="Palatino Linotype" w:cs="Palatino Linotype"/>
        </w:rPr>
        <w:t xml:space="preserve"> </w:t>
      </w:r>
      <w:r w:rsidR="00CA3FF8">
        <w:rPr>
          <w:rFonts w:ascii="Palatino Linotype" w:eastAsia="Palatino Linotype" w:hAnsi="Palatino Linotype" w:cs="Palatino Linotype"/>
          <w:color w:val="222222"/>
        </w:rPr>
        <w:t xml:space="preserve">que la respuesta que dé </w:t>
      </w:r>
      <w:r w:rsidR="00CA3FF8">
        <w:rPr>
          <w:rFonts w:ascii="Palatino Linotype" w:eastAsia="Palatino Linotype" w:hAnsi="Palatino Linotype" w:cs="Palatino Linotype"/>
          <w:b/>
          <w:color w:val="222222"/>
        </w:rPr>
        <w:t xml:space="preserve">el </w:t>
      </w:r>
      <w:r w:rsidR="00E953C2" w:rsidRPr="00E953C2">
        <w:rPr>
          <w:rFonts w:ascii="Palatino Linotype" w:eastAsia="Palatino Linotype" w:hAnsi="Palatino Linotype" w:cs="Palatino Linotype"/>
          <w:b/>
          <w:color w:val="222222"/>
        </w:rPr>
        <w:t>SUJETO OBLIGADO</w:t>
      </w:r>
      <w:r w:rsidR="00E953C2">
        <w:rPr>
          <w:rFonts w:ascii="Palatino Linotype" w:eastAsia="Palatino Linotype" w:hAnsi="Palatino Linotype" w:cs="Palatino Linotype"/>
          <w:color w:val="222222"/>
        </w:rPr>
        <w:t xml:space="preserve"> </w:t>
      </w:r>
      <w:r w:rsidR="00CA3FF8">
        <w:rPr>
          <w:rFonts w:ascii="Palatino Linotype" w:eastAsia="Palatino Linotype" w:hAnsi="Palatino Linotype" w:cs="Palatino Linotype"/>
          <w:color w:val="222222"/>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422AB7" w:rsidRDefault="00444FCE">
      <w:pPr>
        <w:widowControl w:val="0"/>
        <w:tabs>
          <w:tab w:val="left" w:pos="1701"/>
        </w:tabs>
        <w:spacing w:before="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SEXTO</w:t>
      </w:r>
      <w:r w:rsidR="00CA3FF8">
        <w:rPr>
          <w:rFonts w:ascii="Palatino Linotype" w:eastAsia="Palatino Linotype" w:hAnsi="Palatino Linotype" w:cs="Palatino Linotype"/>
          <w:b/>
        </w:rPr>
        <w:t>.</w:t>
      </w:r>
      <w:r w:rsidR="00CA3FF8">
        <w:rPr>
          <w:rFonts w:ascii="Palatino Linotype" w:eastAsia="Palatino Linotype" w:hAnsi="Palatino Linotype" w:cs="Palatino Linotype"/>
          <w:b/>
          <w:highlight w:val="white"/>
        </w:rPr>
        <w:t xml:space="preserve"> </w:t>
      </w:r>
      <w:r w:rsidR="00CA3FF8">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E953C2" w:rsidRPr="00E953C2">
        <w:rPr>
          <w:rFonts w:ascii="Palatino Linotype" w:eastAsia="Palatino Linotype" w:hAnsi="Palatino Linotype" w:cs="Palatino Linotype"/>
          <w:b/>
        </w:rPr>
        <w:t>SUJETO OBLIGADO</w:t>
      </w:r>
      <w:r w:rsidR="00CA3FF8">
        <w:rPr>
          <w:rFonts w:ascii="Palatino Linotype" w:eastAsia="Palatino Linotype" w:hAnsi="Palatino Linotype" w:cs="Palatino Linotype"/>
        </w:rPr>
        <w:t xml:space="preserve"> que, en caso de negarse a cumplir la presente resolución o hacerlo de manera parcial se actuará de conformidad con lo previsto en los artículos 213, 214, 216 y 217 de dicha Ley.</w:t>
      </w:r>
    </w:p>
    <w:p w:rsidR="00422AB7" w:rsidRDefault="00422AB7">
      <w:pPr>
        <w:widowControl w:val="0"/>
        <w:tabs>
          <w:tab w:val="left" w:pos="1701"/>
        </w:tabs>
        <w:spacing w:line="360" w:lineRule="auto"/>
        <w:ind w:right="51"/>
        <w:jc w:val="both"/>
        <w:rPr>
          <w:rFonts w:ascii="Palatino Linotype" w:eastAsia="Palatino Linotype" w:hAnsi="Palatino Linotype" w:cs="Palatino Linotype"/>
        </w:rPr>
      </w:pPr>
    </w:p>
    <w:p w:rsidR="00422AB7" w:rsidRDefault="00444FCE">
      <w:pPr>
        <w:widowControl w:val="0"/>
        <w:tabs>
          <w:tab w:val="left" w:pos="1701"/>
        </w:tabs>
        <w:spacing w:line="360" w:lineRule="auto"/>
        <w:ind w:right="51"/>
        <w:jc w:val="both"/>
        <w:rPr>
          <w:rFonts w:ascii="Palatino Linotype" w:eastAsia="Palatino Linotype" w:hAnsi="Palatino Linotype" w:cs="Palatino Linotype"/>
          <w:highlight w:val="white"/>
        </w:rPr>
      </w:pPr>
      <w:r>
        <w:rPr>
          <w:rFonts w:ascii="Palatino Linotype" w:eastAsia="Palatino Linotype" w:hAnsi="Palatino Linotype" w:cs="Palatino Linotype"/>
          <w:b/>
        </w:rPr>
        <w:t>SÉPTIMO</w:t>
      </w:r>
      <w:r w:rsidR="00CA3FF8">
        <w:rPr>
          <w:rFonts w:ascii="Palatino Linotype" w:eastAsia="Palatino Linotype" w:hAnsi="Palatino Linotype" w:cs="Palatino Linotype"/>
          <w:b/>
        </w:rPr>
        <w:t xml:space="preserve">. </w:t>
      </w:r>
      <w:r w:rsidR="00CA3FF8">
        <w:rPr>
          <w:rFonts w:ascii="Palatino Linotype" w:eastAsia="Palatino Linotype" w:hAnsi="Palatino Linotype" w:cs="Palatino Linotype"/>
          <w:b/>
          <w:highlight w:val="white"/>
        </w:rPr>
        <w:t>Gírese</w:t>
      </w:r>
      <w:r w:rsidR="00CA3FF8">
        <w:rPr>
          <w:rFonts w:ascii="Palatino Linotype" w:eastAsia="Palatino Linotype" w:hAnsi="Palatino Linotype" w:cs="Palatino Linotype"/>
          <w:highlight w:val="white"/>
        </w:rPr>
        <w:t> oficio al Contralor Interno de este Instituto para que actúe en razón de su competencia, en términos de lo expuesto en el Considerando Cuarto de la presente resolución.</w:t>
      </w:r>
    </w:p>
    <w:p w:rsidR="00422AB7" w:rsidRDefault="00422AB7">
      <w:pPr>
        <w:widowControl w:val="0"/>
        <w:tabs>
          <w:tab w:val="left" w:pos="1701"/>
        </w:tabs>
        <w:spacing w:line="360" w:lineRule="auto"/>
        <w:ind w:right="51"/>
        <w:jc w:val="both"/>
        <w:rPr>
          <w:rFonts w:ascii="Palatino Linotype" w:eastAsia="Palatino Linotype" w:hAnsi="Palatino Linotype" w:cs="Palatino Linotype"/>
        </w:rPr>
      </w:pPr>
    </w:p>
    <w:p w:rsidR="00422AB7" w:rsidRDefault="00CA3FF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8E20B9">
        <w:rPr>
          <w:rFonts w:ascii="Palatino Linotype" w:eastAsia="Palatino Linotype" w:hAnsi="Palatino Linotype" w:cs="Palatino Linotype"/>
        </w:rPr>
        <w:t>TERCERA</w:t>
      </w:r>
      <w:r>
        <w:rPr>
          <w:rFonts w:ascii="Palatino Linotype" w:eastAsia="Palatino Linotype" w:hAnsi="Palatino Linotype" w:cs="Palatino Linotype"/>
        </w:rPr>
        <w:t xml:space="preserve"> SESIÓN ORDINARIA CELEBRADA EL </w:t>
      </w:r>
      <w:r w:rsidR="008E20B9">
        <w:rPr>
          <w:rFonts w:ascii="Palatino Linotype" w:eastAsia="Palatino Linotype" w:hAnsi="Palatino Linotype" w:cs="Palatino Linotype"/>
        </w:rPr>
        <w:t>VEINTISIETE</w:t>
      </w:r>
      <w:r>
        <w:rPr>
          <w:rFonts w:ascii="Palatino Linotype" w:eastAsia="Palatino Linotype" w:hAnsi="Palatino Linotype" w:cs="Palatino Linotype"/>
        </w:rPr>
        <w:t xml:space="preserve"> DE ENERO DE DOS MIL VEINTIDÓS, ANTE EL SECRETARIO TÉCNICO DEL PLENO ALEXIS TAPIA RAMÍREZ.</w:t>
      </w:r>
    </w:p>
    <w:p w:rsidR="00422AB7" w:rsidRDefault="008E20B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291465</wp:posOffset>
                </wp:positionH>
                <wp:positionV relativeFrom="paragraph">
                  <wp:posOffset>231139</wp:posOffset>
                </wp:positionV>
                <wp:extent cx="4876800" cy="4010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4876800" cy="401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259E48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18.2pt" to="406.95pt,3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" strokecolor="#5b9bd5 [3204]" strokeweight=".5pt">
                <v:stroke joinstyle="miter"/>
              </v:line>
            </w:pict>
          </mc:Fallback>
        </mc:AlternateContent>
      </w:r>
    </w:p>
    <w:p w:rsidR="00422AB7" w:rsidRDefault="00422AB7"/>
    <w:p w:rsidR="00422AB7" w:rsidRDefault="00422AB7"/>
    <w:p w:rsidR="00422AB7" w:rsidRDefault="00422AB7"/>
    <w:p w:rsidR="00422AB7" w:rsidRDefault="00422AB7">
      <w:bookmarkStart w:id="3" w:name="_heading=h.1fob9te" w:colFirst="0" w:colLast="0"/>
      <w:bookmarkEnd w:id="3"/>
    </w:p>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p w:rsidR="00422AB7" w:rsidRDefault="00422AB7"/>
    <w:sectPr w:rsidR="00422AB7">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782" w:rsidRDefault="002D5782">
      <w:r>
        <w:separator/>
      </w:r>
    </w:p>
  </w:endnote>
  <w:endnote w:type="continuationSeparator" w:id="0">
    <w:p w:rsidR="002D5782" w:rsidRDefault="002D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CA3F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5723">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572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422AB7" w:rsidRDefault="00422AB7">
    <w:pPr>
      <w:pBdr>
        <w:top w:val="nil"/>
        <w:left w:val="nil"/>
        <w:bottom w:val="nil"/>
        <w:right w:val="nil"/>
        <w:between w:val="nil"/>
      </w:pBdr>
      <w:tabs>
        <w:tab w:val="center" w:pos="4252"/>
        <w:tab w:val="right" w:pos="8504"/>
      </w:tabs>
      <w:rPr>
        <w:color w:val="000000"/>
      </w:rPr>
    </w:pPr>
  </w:p>
  <w:p w:rsidR="00422AB7" w:rsidRDefault="00422AB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CA3FF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6572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65723">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rsidR="00422AB7" w:rsidRDefault="00422AB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782" w:rsidRDefault="002D5782">
      <w:r>
        <w:separator/>
      </w:r>
    </w:p>
  </w:footnote>
  <w:footnote w:type="continuationSeparator" w:id="0">
    <w:p w:rsidR="002D5782" w:rsidRDefault="002D5782">
      <w:r>
        <w:continuationSeparator/>
      </w:r>
    </w:p>
  </w:footnote>
  <w:footnote w:id="1">
    <w:p w:rsidR="00422AB7" w:rsidRDefault="00CA3FF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422AB7">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385" w:type="dxa"/>
      <w:tblInd w:w="3261" w:type="dxa"/>
      <w:tblLayout w:type="fixed"/>
      <w:tblLook w:val="0400" w:firstRow="0" w:lastRow="0" w:firstColumn="0" w:lastColumn="0" w:noHBand="0" w:noVBand="1"/>
    </w:tblPr>
    <w:tblGrid>
      <w:gridCol w:w="2409"/>
      <w:gridCol w:w="2976"/>
    </w:tblGrid>
    <w:tr w:rsidR="00422AB7">
      <w:tc>
        <w:tcPr>
          <w:tcW w:w="2409" w:type="dxa"/>
          <w:vAlign w:val="center"/>
        </w:tcPr>
        <w:p w:rsidR="00422AB7" w:rsidRDefault="00CA3FF8">
          <w:pPr>
            <w:ind w:right="-249"/>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422AB7" w:rsidRDefault="00CA3FF8" w:rsidP="008E20B9">
          <w:pPr>
            <w:ind w:firstLine="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w:t>
          </w:r>
          <w:r w:rsidR="008E20B9">
            <w:rPr>
              <w:rFonts w:ascii="Palatino Linotype" w:eastAsia="Palatino Linotype" w:hAnsi="Palatino Linotype" w:cs="Palatino Linotype"/>
              <w:b/>
              <w:sz w:val="21"/>
              <w:szCs w:val="21"/>
            </w:rPr>
            <w:t>434</w:t>
          </w:r>
          <w:r>
            <w:rPr>
              <w:rFonts w:ascii="Palatino Linotype" w:eastAsia="Palatino Linotype" w:hAnsi="Palatino Linotype" w:cs="Palatino Linotype"/>
              <w:b/>
              <w:sz w:val="21"/>
              <w:szCs w:val="21"/>
            </w:rPr>
            <w:t xml:space="preserve">/INFOEM/IP/RR/2021 </w:t>
          </w:r>
        </w:p>
      </w:tc>
    </w:tr>
    <w:tr w:rsidR="00422AB7">
      <w:trPr>
        <w:trHeight w:val="228"/>
      </w:trPr>
      <w:tc>
        <w:tcPr>
          <w:tcW w:w="2409" w:type="dxa"/>
          <w:vAlign w:val="center"/>
        </w:tcPr>
        <w:p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rsidR="00422AB7" w:rsidRDefault="00CA3FF8" w:rsidP="008E20B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8E20B9">
            <w:rPr>
              <w:rFonts w:ascii="Palatino Linotype" w:eastAsia="Palatino Linotype" w:hAnsi="Palatino Linotype" w:cs="Palatino Linotype"/>
              <w:b/>
              <w:sz w:val="21"/>
              <w:szCs w:val="21"/>
            </w:rPr>
            <w:t>Metepec</w:t>
          </w:r>
        </w:p>
      </w:tc>
    </w:tr>
    <w:tr w:rsidR="00422AB7">
      <w:tc>
        <w:tcPr>
          <w:tcW w:w="2409" w:type="dxa"/>
          <w:vAlign w:val="center"/>
        </w:tcPr>
        <w:p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422AB7" w:rsidRDefault="00CA3FF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422AB7" w:rsidRDefault="00CA3FF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0</wp:posOffset>
          </wp:positionH>
          <wp:positionV relativeFrom="paragraph">
            <wp:posOffset>-1249679</wp:posOffset>
          </wp:positionV>
          <wp:extent cx="7635163" cy="9944100"/>
          <wp:effectExtent l="0" t="0" r="0" b="0"/>
          <wp:wrapNone/>
          <wp:docPr id="3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B7" w:rsidRDefault="00CA3FF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
      <w:tblW w:w="6097" w:type="dxa"/>
      <w:tblInd w:w="3119" w:type="dxa"/>
      <w:tblLayout w:type="fixed"/>
      <w:tblLook w:val="0400" w:firstRow="0" w:lastRow="0" w:firstColumn="0" w:lastColumn="0" w:noHBand="0" w:noVBand="1"/>
    </w:tblPr>
    <w:tblGrid>
      <w:gridCol w:w="2410"/>
      <w:gridCol w:w="3687"/>
    </w:tblGrid>
    <w:tr w:rsidR="00422AB7">
      <w:tc>
        <w:tcPr>
          <w:tcW w:w="2410" w:type="dxa"/>
          <w:vAlign w:val="center"/>
        </w:tcPr>
        <w:p w:rsidR="00422AB7" w:rsidRDefault="00CA3FF8">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422AB7" w:rsidRDefault="00245DD1" w:rsidP="00CD776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05</w:t>
          </w:r>
          <w:r w:rsidR="00CD776F">
            <w:rPr>
              <w:rFonts w:ascii="Palatino Linotype" w:eastAsia="Palatino Linotype" w:hAnsi="Palatino Linotype" w:cs="Palatino Linotype"/>
              <w:b/>
              <w:sz w:val="21"/>
              <w:szCs w:val="21"/>
            </w:rPr>
            <w:t>434</w:t>
          </w:r>
          <w:r w:rsidR="00CA3FF8">
            <w:rPr>
              <w:rFonts w:ascii="Palatino Linotype" w:eastAsia="Palatino Linotype" w:hAnsi="Palatino Linotype" w:cs="Palatino Linotype"/>
              <w:b/>
              <w:sz w:val="21"/>
              <w:szCs w:val="21"/>
            </w:rPr>
            <w:t>/INFOEM/IP/RR/2021</w:t>
          </w:r>
        </w:p>
      </w:tc>
    </w:tr>
    <w:tr w:rsidR="00422AB7">
      <w:tc>
        <w:tcPr>
          <w:tcW w:w="2410" w:type="dxa"/>
          <w:vAlign w:val="center"/>
        </w:tcPr>
        <w:p w:rsidR="00422AB7" w:rsidRDefault="00CA3FF8">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422AB7" w:rsidRDefault="00665723" w:rsidP="00665723">
          <w:pPr>
            <w:jc w:val="both"/>
            <w:rPr>
              <w:rFonts w:ascii="Palatino Linotype" w:eastAsia="Palatino Linotype" w:hAnsi="Palatino Linotype" w:cs="Palatino Linotype"/>
              <w:b/>
              <w:sz w:val="21"/>
              <w:szCs w:val="21"/>
            </w:rPr>
          </w:pPr>
          <w:r>
            <w:rPr>
              <w:noProof/>
              <w:lang w:val="es-MX" w:eastAsia="es-MX"/>
            </w:rPr>
            <w:drawing>
              <wp:anchor distT="0" distB="0" distL="0" distR="0" simplePos="0" relativeHeight="251659264" behindDoc="1" locked="0" layoutInCell="1" hidden="0" allowOverlap="1">
                <wp:simplePos x="0" y="0"/>
                <wp:positionH relativeFrom="column">
                  <wp:posOffset>-4667250</wp:posOffset>
                </wp:positionH>
                <wp:positionV relativeFrom="paragraph">
                  <wp:posOffset>-809625</wp:posOffset>
                </wp:positionV>
                <wp:extent cx="7635240" cy="9942830"/>
                <wp:effectExtent l="0" t="0" r="0" b="0"/>
                <wp:wrapNone/>
                <wp:docPr id="3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sz w:val="21"/>
              <w:szCs w:val="21"/>
            </w:rPr>
            <w:t>xxxx</w:t>
          </w:r>
          <w:r w:rsidR="00CD776F">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p>
      </w:tc>
    </w:tr>
    <w:tr w:rsidR="00422AB7">
      <w:trPr>
        <w:trHeight w:val="228"/>
      </w:trPr>
      <w:tc>
        <w:tcPr>
          <w:tcW w:w="2410" w:type="dxa"/>
          <w:vAlign w:val="center"/>
        </w:tcPr>
        <w:p w:rsidR="00422AB7" w:rsidRDefault="00E953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w:t>
          </w:r>
          <w:r w:rsidR="00CA3FF8">
            <w:rPr>
              <w:rFonts w:ascii="Palatino Linotype" w:eastAsia="Palatino Linotype" w:hAnsi="Palatino Linotype" w:cs="Palatino Linotype"/>
              <w:b/>
              <w:sz w:val="21"/>
              <w:szCs w:val="21"/>
            </w:rPr>
            <w:t>bligado:</w:t>
          </w:r>
        </w:p>
      </w:tc>
      <w:tc>
        <w:tcPr>
          <w:tcW w:w="3687" w:type="dxa"/>
          <w:vAlign w:val="center"/>
        </w:tcPr>
        <w:p w:rsidR="00422AB7" w:rsidRDefault="00CD776F" w:rsidP="00245DD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p>
      </w:tc>
    </w:tr>
    <w:tr w:rsidR="00422AB7">
      <w:tc>
        <w:tcPr>
          <w:tcW w:w="2410" w:type="dxa"/>
          <w:vAlign w:val="center"/>
        </w:tcPr>
        <w:p w:rsidR="00422AB7" w:rsidRDefault="00E953C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w:t>
          </w:r>
          <w:r w:rsidR="00CA3FF8">
            <w:rPr>
              <w:rFonts w:ascii="Palatino Linotype" w:eastAsia="Palatino Linotype" w:hAnsi="Palatino Linotype" w:cs="Palatino Linotype"/>
              <w:b/>
              <w:sz w:val="21"/>
              <w:szCs w:val="21"/>
            </w:rPr>
            <w:t>onente:</w:t>
          </w:r>
        </w:p>
      </w:tc>
      <w:tc>
        <w:tcPr>
          <w:tcW w:w="3687" w:type="dxa"/>
          <w:vAlign w:val="center"/>
        </w:tcPr>
        <w:p w:rsidR="00422AB7" w:rsidRDefault="00CA3FF8">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422AB7" w:rsidRDefault="00422AB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71B0D"/>
    <w:multiLevelType w:val="multilevel"/>
    <w:tmpl w:val="0E74F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DE06C01"/>
    <w:multiLevelType w:val="multilevel"/>
    <w:tmpl w:val="8062D3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C6E5BA0"/>
    <w:multiLevelType w:val="multilevel"/>
    <w:tmpl w:val="9E046C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B7"/>
    <w:rsid w:val="000D50FB"/>
    <w:rsid w:val="00245DD1"/>
    <w:rsid w:val="002D5782"/>
    <w:rsid w:val="00422AB7"/>
    <w:rsid w:val="00444FCE"/>
    <w:rsid w:val="00580C5C"/>
    <w:rsid w:val="00665723"/>
    <w:rsid w:val="007025EA"/>
    <w:rsid w:val="008E20B9"/>
    <w:rsid w:val="00A52187"/>
    <w:rsid w:val="00A5554C"/>
    <w:rsid w:val="00AE6510"/>
    <w:rsid w:val="00B53B92"/>
    <w:rsid w:val="00CA3FF8"/>
    <w:rsid w:val="00CD776F"/>
    <w:rsid w:val="00E953C2"/>
    <w:rsid w:val="00EB3747"/>
    <w:rsid w:val="00F451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96D13-24DA-4E0A-91FC-39D7E128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DC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1DC3"/>
    <w:rPr>
      <w:rFonts w:eastAsiaTheme="minorEastAsia"/>
      <w:sz w:val="24"/>
      <w:szCs w:val="24"/>
      <w:lang w:val="es-ES_tradnl" w:eastAsia="es-ES"/>
    </w:rPr>
  </w:style>
  <w:style w:type="paragraph" w:styleId="Piedepgina">
    <w:name w:val="footer"/>
    <w:basedOn w:val="Normal"/>
    <w:link w:val="PiedepginaCar"/>
    <w:uiPriority w:val="99"/>
    <w:unhideWhenUsed/>
    <w:rsid w:val="000B1DC3"/>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1DC3"/>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1DC3"/>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1DC3"/>
    <w:pPr>
      <w:ind w:left="708"/>
    </w:pPr>
    <w:rPr>
      <w:sz w:val="22"/>
      <w:szCs w:val="22"/>
      <w:lang w:val="es-MX" w:eastAsia="en-US"/>
    </w:rPr>
  </w:style>
  <w:style w:type="character" w:customStyle="1" w:styleId="normaltextrun">
    <w:name w:val="normaltextrun"/>
    <w:basedOn w:val="Fuentedeprrafopredeter"/>
    <w:rsid w:val="000B1DC3"/>
  </w:style>
  <w:style w:type="character" w:customStyle="1" w:styleId="apple-converted-space">
    <w:name w:val="apple-converted-space"/>
    <w:basedOn w:val="Fuentedeprrafopredeter"/>
    <w:rsid w:val="000B1DC3"/>
  </w:style>
  <w:style w:type="paragraph" w:styleId="NormalWeb">
    <w:name w:val="Normal (Web)"/>
    <w:basedOn w:val="Normal"/>
    <w:uiPriority w:val="99"/>
    <w:unhideWhenUsed/>
    <w:rsid w:val="000B1DC3"/>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1DC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1DC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0B1DC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573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JV7AAEYMJvkCRxplnjmiDpkng==">AMUW2mU+mWz0SnP33NMcYrxmb/b1GU6ZaleTGAEmgKUOmyP/fyZqyT6Pano28+C9OmOzmDWKDBaYP1FkQLgVZ4jOs2gynD4KmuXj1IWJpQ4zmEfT43XesJzJh2DMQR7ucnUBUSBJdZ1xKc3n5Ffk6oShLPx6nlNKAg==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7435</Words>
  <Characters>40896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dcterms:created xsi:type="dcterms:W3CDTF">2022-01-31T19:10:00Z</dcterms:created>
  <dcterms:modified xsi:type="dcterms:W3CDTF">2022-01-31T19:10:00Z</dcterms:modified>
</cp:coreProperties>
</file>