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B12" w:rsidRDefault="00292EF8">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siete de abril de dos mil veintidós</w:t>
      </w:r>
      <w:r>
        <w:rPr>
          <w:rFonts w:ascii="Palatino Linotype" w:eastAsia="Palatino Linotype" w:hAnsi="Palatino Linotype" w:cs="Palatino Linotype"/>
        </w:rPr>
        <w:t>.</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sz w:val="22"/>
          <w:szCs w:val="22"/>
        </w:rPr>
        <w:t>00864/INFOEM/IP/RR/202</w:t>
      </w:r>
      <w:r>
        <w:rPr>
          <w:rFonts w:ascii="Palatino Linotype" w:eastAsia="Palatino Linotype" w:hAnsi="Palatino Linotype" w:cs="Palatino Linotype"/>
          <w:b/>
          <w:sz w:val="20"/>
          <w:szCs w:val="20"/>
        </w:rPr>
        <w:t>2</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interpuesto por</w:t>
      </w:r>
      <w:r>
        <w:rPr>
          <w:rFonts w:ascii="Palatino Linotype" w:eastAsia="Palatino Linotype" w:hAnsi="Palatino Linotype" w:cs="Palatino Linotype"/>
          <w:b/>
          <w:color w:val="000000"/>
        </w:rPr>
        <w:t xml:space="preserve"> </w:t>
      </w:r>
      <w:r w:rsidR="00B52265" w:rsidRPr="00B52265">
        <w:rPr>
          <w:rFonts w:ascii="Palatino Linotype" w:eastAsia="Palatino Linotype" w:hAnsi="Palatino Linotype" w:cs="Palatino Linotype"/>
          <w:b/>
        </w:rPr>
        <w:t>XXXXX XX XXXXXXXXXXXXX XX XXXXXXXXXXXXX</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falta de respuesta a la solicitud de información con número de folio</w:t>
      </w:r>
      <w:r>
        <w:rPr>
          <w:rFonts w:ascii="Palatino Linotype" w:eastAsia="Palatino Linotype" w:hAnsi="Palatino Linotype" w:cs="Palatino Linotype"/>
          <w:b/>
          <w:color w:val="000000"/>
          <w:sz w:val="22"/>
          <w:szCs w:val="22"/>
        </w:rPr>
        <w:t xml:space="preserve"> 01008/ECATEPEC/IP/2021</w:t>
      </w:r>
      <w:r>
        <w:rPr>
          <w:rFonts w:ascii="Palatino Linotype" w:eastAsia="Palatino Linotype" w:hAnsi="Palatino Linotype" w:cs="Palatino Linotype"/>
        </w:rPr>
        <w:t xml:space="preserve">, del </w:t>
      </w:r>
      <w:r>
        <w:rPr>
          <w:rFonts w:ascii="Palatino Linotype" w:eastAsia="Palatino Linotype" w:hAnsi="Palatino Linotype" w:cs="Palatino Linotype"/>
          <w:b/>
        </w:rPr>
        <w:t>Ayuntamiento de Ecatepec de Morelos</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 siguiente.</w:t>
      </w:r>
    </w:p>
    <w:p w:rsidR="00A43B12" w:rsidRDefault="00292EF8">
      <w:pPr>
        <w:keepNext/>
        <w:keepLines/>
        <w:spacing w:before="40"/>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quince </w:t>
      </w:r>
      <w:r>
        <w:rPr>
          <w:rFonts w:ascii="Palatino Linotype" w:eastAsia="Palatino Linotype" w:hAnsi="Palatino Linotype" w:cs="Palatino Linotype"/>
          <w:b/>
          <w:color w:val="000000"/>
        </w:rPr>
        <w:t>de diciembre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rPr>
        <w:t>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su solicitud de acceso a la información pública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rsidR="00A43B12" w:rsidRDefault="00292EF8">
      <w:pPr>
        <w:spacing w:before="240" w:after="240"/>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al ayuntamiento de Ecatepec de Morelos el In</w:t>
      </w:r>
      <w:r>
        <w:rPr>
          <w:rFonts w:ascii="Palatino Linotype" w:eastAsia="Palatino Linotype" w:hAnsi="Palatino Linotype" w:cs="Palatino Linotype"/>
          <w:b/>
          <w:i/>
          <w:color w:val="000000"/>
          <w:sz w:val="22"/>
          <w:szCs w:val="22"/>
          <w:u w:val="single"/>
        </w:rPr>
        <w:t>forme de Ejecución del Plan de Desarrollo Municipal 2021</w:t>
      </w:r>
      <w:r>
        <w:rPr>
          <w:rFonts w:ascii="Palatino Linotype" w:eastAsia="Palatino Linotype" w:hAnsi="Palatino Linotype" w:cs="Palatino Linotype"/>
          <w:i/>
          <w:color w:val="000000"/>
          <w:sz w:val="22"/>
          <w:szCs w:val="22"/>
        </w:rPr>
        <w:t>” (Sic)</w:t>
      </w:r>
    </w:p>
    <w:p w:rsidR="00A43B12" w:rsidRDefault="00292EF8">
      <w:pPr>
        <w:spacing w:before="240" w:after="240"/>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Modalidad de entrega de la información:</w:t>
      </w:r>
      <w:r>
        <w:rPr>
          <w:rFonts w:ascii="Palatino Linotype" w:eastAsia="Palatino Linotype" w:hAnsi="Palatino Linotype" w:cs="Palatino Linotype"/>
          <w:color w:val="000000"/>
        </w:rPr>
        <w:t xml:space="preserve"> A través del </w:t>
      </w:r>
      <w:r>
        <w:rPr>
          <w:rFonts w:ascii="Palatino Linotype" w:eastAsia="Palatino Linotype" w:hAnsi="Palatino Linotype" w:cs="Palatino Linotype"/>
          <w:b/>
        </w:rPr>
        <w:t>SAIMEX.</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2. Respuesta.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Con base en el detalle de seguimiento que obra en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se advierte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omitió dar contestación a la solicitud de acceso a la información pública.</w:t>
      </w:r>
    </w:p>
    <w:p w:rsidR="00B52265" w:rsidRDefault="00B52265">
      <w:pPr>
        <w:spacing w:before="240" w:after="240" w:line="360" w:lineRule="auto"/>
        <w:jc w:val="both"/>
        <w:rPr>
          <w:rFonts w:ascii="Palatino Linotype" w:eastAsia="Palatino Linotype" w:hAnsi="Palatino Linotype" w:cs="Palatino Linotype"/>
        </w:rPr>
      </w:pPr>
      <w:r>
        <w:object w:dxaOrig="8670" w:dyaOrig="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3.5pt;height:89.25pt" o:ole="">
            <v:imagedata r:id="rId8" o:title=""/>
          </v:shape>
          <o:OLEObject Type="Embed" ProgID="Paint.Picture.1" ShapeID="_x0000_i1031" DrawAspect="Content" ObjectID="_1713343745" r:id="rId9"/>
        </w:object>
      </w:r>
    </w:p>
    <w:p w:rsidR="00A43B12" w:rsidRDefault="00292EF8">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b/>
        </w:rPr>
        <w:t>3.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El recurso de revisión se interpuso a través del SAIMEX, en fecha </w:t>
      </w:r>
      <w:r>
        <w:rPr>
          <w:rFonts w:ascii="Palatino Linotype" w:eastAsia="Palatino Linotype" w:hAnsi="Palatino Linotype" w:cs="Palatino Linotype"/>
          <w:b/>
        </w:rPr>
        <w:t xml:space="preserve">quince </w:t>
      </w:r>
      <w:r>
        <w:rPr>
          <w:rFonts w:ascii="Palatino Linotype" w:eastAsia="Palatino Linotype" w:hAnsi="Palatino Linotype" w:cs="Palatino Linotype"/>
          <w:b/>
          <w:color w:val="000000"/>
        </w:rPr>
        <w:t>de febrero del año dos mil veintidós</w:t>
      </w:r>
      <w:r>
        <w:rPr>
          <w:rFonts w:ascii="Palatino Linotype" w:eastAsia="Palatino Linotype" w:hAnsi="Palatino Linotype" w:cs="Palatino Linotype"/>
        </w:rPr>
        <w:t>, por parte de la solicitante de información, expresando lo siguiente:</w:t>
      </w:r>
    </w:p>
    <w:p w:rsidR="00A43B12" w:rsidRDefault="00292EF8">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A43B12" w:rsidRDefault="00292EF8">
      <w:pPr>
        <w:spacing w:before="240" w:after="240"/>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i/>
          <w:color w:val="000000"/>
          <w:sz w:val="22"/>
          <w:szCs w:val="22"/>
        </w:rPr>
        <w:t xml:space="preserve">“Se interpone el recurso de revisión con base en el artículo 179 de la Ley de Transparencia y Acceso a la Información Pública del Estado de México y sus Municipios debido a la </w:t>
      </w:r>
      <w:r>
        <w:rPr>
          <w:rFonts w:ascii="Palatino Linotype" w:eastAsia="Palatino Linotype" w:hAnsi="Palatino Linotype" w:cs="Palatino Linotype"/>
          <w:b/>
          <w:i/>
          <w:color w:val="000000"/>
          <w:sz w:val="22"/>
          <w:szCs w:val="22"/>
        </w:rPr>
        <w:t>falta de respuesta</w:t>
      </w:r>
      <w:r>
        <w:rPr>
          <w:rFonts w:ascii="Palatino Linotype" w:eastAsia="Palatino Linotype" w:hAnsi="Palatino Linotype" w:cs="Palatino Linotype"/>
          <w:i/>
          <w:color w:val="000000"/>
          <w:sz w:val="22"/>
          <w:szCs w:val="22"/>
        </w:rPr>
        <w:t xml:space="preserve"> de la información solicitada en los plazos establecidos.”</w:t>
      </w:r>
      <w:r>
        <w:rPr>
          <w:rFonts w:ascii="Palatino Linotype" w:eastAsia="Palatino Linotype" w:hAnsi="Palatino Linotype" w:cs="Palatino Linotype"/>
          <w:i/>
          <w:sz w:val="22"/>
          <w:szCs w:val="22"/>
        </w:rPr>
        <w:t xml:space="preserve"> (Sic)</w:t>
      </w:r>
    </w:p>
    <w:p w:rsidR="00A43B12" w:rsidRDefault="00292EF8">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u w:val="single"/>
        </w:rPr>
        <w:t>Incumplimiento a la solicitud del Informe de Ejecución del Plan de Desarrollo Municipal 2021 como lo establece la ley</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i/>
          <w:sz w:val="22"/>
          <w:szCs w:val="22"/>
        </w:rPr>
        <w:t>(Sic) (Énfasis añadido)</w:t>
      </w:r>
    </w:p>
    <w:p w:rsidR="00A43B12" w:rsidRDefault="00292EF8">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fue turnado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 Guadalupe Ramírez Peña</w:t>
      </w:r>
      <w:r>
        <w:rPr>
          <w:rFonts w:ascii="Palatino Linotype" w:eastAsia="Palatino Linotype" w:hAnsi="Palatino Linotype" w:cs="Palatino Linotype"/>
        </w:rPr>
        <w:t>.</w:t>
      </w:r>
      <w:r>
        <w:rPr>
          <w:rFonts w:ascii="Palatino Linotype" w:eastAsia="Palatino Linotype" w:hAnsi="Palatino Linotype" w:cs="Palatino Linotype"/>
          <w:b/>
        </w:rPr>
        <w:t xml:space="preserve"> </w:t>
      </w:r>
    </w:p>
    <w:p w:rsidR="00A43B12" w:rsidRDefault="00292EF8">
      <w:pPr>
        <w:spacing w:before="240" w:after="240" w:line="360" w:lineRule="auto"/>
        <w:jc w:val="both"/>
      </w:pPr>
      <w:r>
        <w:rPr>
          <w:rFonts w:ascii="Palatino Linotype" w:eastAsia="Palatino Linotype" w:hAnsi="Palatino Linotype" w:cs="Palatino Linotype"/>
          <w:b/>
        </w:rPr>
        <w:lastRenderedPageBreak/>
        <w:t>5. Admisión.</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 xml:space="preserve">diecinueve </w:t>
      </w:r>
      <w:r>
        <w:rPr>
          <w:rFonts w:ascii="Palatino Linotype" w:eastAsia="Palatino Linotype" w:hAnsi="Palatino Linotype" w:cs="Palatino Linotype"/>
          <w:b/>
          <w:color w:val="000000"/>
        </w:rPr>
        <w:t>de febrero de dos mil veintidós</w:t>
      </w:r>
      <w:r>
        <w:rPr>
          <w:rFonts w:ascii="Palatino Linotype" w:eastAsia="Palatino Linotype" w:hAnsi="Palatino Linotype" w:cs="Palatino Linotype"/>
        </w:rPr>
        <w:t xml:space="preserve">, este Órgano Garante, admitió a trámite el recurso de revisión respectivo, poniéndose a disposición de las partes, para que un plazo no mayor a siete días hábiles manifestaran lo que a su derecho corresponda, a efecto de ofrecer pruebas, informe justificado y alegatos, lo anterior con fundamento en el artículo 185 fracciones I, II y IV de la Ley de Transparencia y Acceso a la Información Pública del Estado de México y Municipios. </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sz w:val="22"/>
          <w:szCs w:val="22"/>
        </w:rPr>
        <w:t xml:space="preserve"> </w:t>
      </w:r>
      <w:r>
        <w:rPr>
          <w:rFonts w:ascii="Palatino Linotype" w:eastAsia="Palatino Linotype" w:hAnsi="Palatino Linotype" w:cs="Palatino Linotype"/>
        </w:rPr>
        <w:t>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observa que en fecha </w:t>
      </w:r>
      <w:r>
        <w:rPr>
          <w:rFonts w:ascii="Palatino Linotype" w:eastAsia="Palatino Linotype" w:hAnsi="Palatino Linotype" w:cs="Palatino Linotype"/>
          <w:b/>
        </w:rPr>
        <w:t>diez de marzo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remitió los siguientes archivos electrónicos:</w:t>
      </w:r>
    </w:p>
    <w:p w:rsidR="00A43B12" w:rsidRDefault="00292EF8">
      <w:pPr>
        <w:spacing w:before="240" w:after="240" w:line="276"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i/>
        </w:rPr>
        <w:t xml:space="preserve">“PbRM's09a.pdf”: </w:t>
      </w:r>
      <w:r>
        <w:rPr>
          <w:rFonts w:ascii="Palatino Linotype" w:eastAsia="Palatino Linotype" w:hAnsi="Palatino Linotype" w:cs="Palatino Linotype"/>
        </w:rPr>
        <w:t xml:space="preserve">Documento de catorce fojas en el que se advierte el avance presupuestal de ingresos. </w:t>
      </w:r>
    </w:p>
    <w:p w:rsidR="00A43B12" w:rsidRDefault="00292EF8">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399447" cy="4180821"/>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399447" cy="4180821"/>
                    </a:xfrm>
                    <a:prstGeom prst="rect">
                      <a:avLst/>
                    </a:prstGeom>
                    <a:ln/>
                  </pic:spPr>
                </pic:pic>
              </a:graphicData>
            </a:graphic>
          </wp:inline>
        </w:drawing>
      </w:r>
    </w:p>
    <w:p w:rsidR="00A43B12" w:rsidRDefault="00292EF8">
      <w:pPr>
        <w:spacing w:before="240" w:after="240" w:line="276"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b/>
          <w:i/>
        </w:rPr>
        <w:t xml:space="preserve"> “RR.00864-2021.pdf”: </w:t>
      </w:r>
      <w:r>
        <w:rPr>
          <w:rFonts w:ascii="Palatino Linotype" w:eastAsia="Palatino Linotype" w:hAnsi="Palatino Linotype" w:cs="Palatino Linotype"/>
        </w:rPr>
        <w:t>Archivo digital que contiene tres fojas, los cuales consisten en los oficios ST/ECA/0398/2022, por el cual el Secretario Técnico del Gabinete notifica a la Titular de la Unidad de Transparencia que remite en medio magnético, el Informe de Ejecución del Plan del Desarrollo Municipal 2021.</w:t>
      </w:r>
    </w:p>
    <w:p w:rsidR="00A43B12" w:rsidRDefault="00292EF8">
      <w:pPr>
        <w:spacing w:before="240" w:after="240" w:line="276" w:lineRule="auto"/>
        <w:ind w:left="567" w:right="709"/>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4364343" cy="4955348"/>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364343" cy="4955348"/>
                    </a:xfrm>
                    <a:prstGeom prst="rect">
                      <a:avLst/>
                    </a:prstGeom>
                    <a:ln/>
                  </pic:spPr>
                </pic:pic>
              </a:graphicData>
            </a:graphic>
          </wp:inline>
        </w:drawing>
      </w:r>
    </w:p>
    <w:p w:rsidR="00A43B12" w:rsidRDefault="00292EF8">
      <w:pPr>
        <w:tabs>
          <w:tab w:val="center" w:pos="4323"/>
        </w:tabs>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b/>
          <w:i/>
        </w:rPr>
        <w:t xml:space="preserve">“Dictamen de reconducción.pdf”: </w:t>
      </w:r>
      <w:r>
        <w:rPr>
          <w:rFonts w:ascii="Palatino Linotype" w:eastAsia="Palatino Linotype" w:hAnsi="Palatino Linotype" w:cs="Palatino Linotype"/>
        </w:rPr>
        <w:t xml:space="preserve">Este archivo electrónico se compone de setenta y seis fojas, mediante las cuales se da cuenta del dictamen de reconducción y actualización programática – presupuestal para resultados 2021. </w:t>
      </w:r>
    </w:p>
    <w:p w:rsidR="00A43B12" w:rsidRDefault="00292EF8">
      <w:pPr>
        <w:tabs>
          <w:tab w:val="center" w:pos="4323"/>
        </w:tabs>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486400" cy="3762375"/>
            <wp:effectExtent l="0" t="0" r="0" b="0"/>
            <wp:docPr id="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486400" cy="3762375"/>
                    </a:xfrm>
                    <a:prstGeom prst="rect">
                      <a:avLst/>
                    </a:prstGeom>
                    <a:ln/>
                  </pic:spPr>
                </pic:pic>
              </a:graphicData>
            </a:graphic>
          </wp:inline>
        </w:drawing>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 “PbRM's 09b.pdf”: </w:t>
      </w:r>
      <w:r>
        <w:rPr>
          <w:rFonts w:ascii="Palatino Linotype" w:eastAsia="Palatino Linotype" w:hAnsi="Palatino Linotype" w:cs="Palatino Linotype"/>
        </w:rPr>
        <w:t xml:space="preserve">Documento electrónico que se compone de veinte hojas y versa sobre el Estado Comparativo Presupuestal de Ingresos. </w:t>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76201</wp:posOffset>
                </wp:positionH>
                <wp:positionV relativeFrom="paragraph">
                  <wp:posOffset>495300</wp:posOffset>
                </wp:positionV>
                <wp:extent cx="5305425" cy="2247900"/>
                <wp:effectExtent l="0" t="0" r="0" b="0"/>
                <wp:wrapNone/>
                <wp:docPr id="26" name="Conector recto de flecha 26"/>
                <wp:cNvGraphicFramePr/>
                <a:graphic xmlns:a="http://schemas.openxmlformats.org/drawingml/2006/main">
                  <a:graphicData uri="http://schemas.microsoft.com/office/word/2010/wordprocessingShape">
                    <wps:wsp>
                      <wps:cNvCnPr/>
                      <wps:spPr>
                        <a:xfrm>
                          <a:off x="2698050" y="2660813"/>
                          <a:ext cx="5295900" cy="223837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495300</wp:posOffset>
                </wp:positionV>
                <wp:extent cx="5305425" cy="2247900"/>
                <wp:effectExtent b="0" l="0" r="0" t="0"/>
                <wp:wrapNone/>
                <wp:docPr id="26"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305425" cy="2247900"/>
                        </a:xfrm>
                        <a:prstGeom prst="rect"/>
                        <a:ln/>
                      </pic:spPr>
                    </pic:pic>
                  </a:graphicData>
                </a:graphic>
              </wp:anchor>
            </w:drawing>
          </mc:Fallback>
        </mc:AlternateContent>
      </w:r>
    </w:p>
    <w:p w:rsidR="00A43B12" w:rsidRDefault="00292EF8">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361685" cy="4179508"/>
            <wp:effectExtent l="0" t="0" r="0" b="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361685" cy="4179508"/>
                    </a:xfrm>
                    <a:prstGeom prst="rect">
                      <a:avLst/>
                    </a:prstGeom>
                    <a:ln/>
                  </pic:spPr>
                </pic:pic>
              </a:graphicData>
            </a:graphic>
          </wp:inline>
        </w:drawing>
      </w:r>
    </w:p>
    <w:p w:rsidR="00A43B12" w:rsidRDefault="00292EF8">
      <w:pPr>
        <w:spacing w:before="240" w:after="240" w:line="360" w:lineRule="auto"/>
        <w:ind w:left="567" w:right="709"/>
        <w:jc w:val="both"/>
        <w:rPr>
          <w:rFonts w:ascii="Palatino Linotype" w:eastAsia="Palatino Linotype" w:hAnsi="Palatino Linotype" w:cs="Palatino Linotype"/>
        </w:rPr>
      </w:pPr>
      <w:r>
        <w:rPr>
          <w:rFonts w:ascii="Palatino Linotype" w:eastAsia="Palatino Linotype" w:hAnsi="Palatino Linotype" w:cs="Palatino Linotype"/>
          <w:b/>
          <w:i/>
        </w:rPr>
        <w:t xml:space="preserve"> “PbRM's 11.pdf”: </w:t>
      </w:r>
      <w:r>
        <w:rPr>
          <w:rFonts w:ascii="Palatino Linotype" w:eastAsia="Palatino Linotype" w:hAnsi="Palatino Linotype" w:cs="Palatino Linotype"/>
        </w:rPr>
        <w:t>Documento electrónico relativo al Seguimiento trimestral del programa anual de obras, del 1 de enero al 31 de diciembre de 2021.</w:t>
      </w:r>
      <w:r>
        <w:rPr>
          <w:noProof/>
          <w:lang w:val="es-MX" w:eastAsia="es-MX"/>
        </w:rPr>
        <mc:AlternateContent>
          <mc:Choice Requires="wpg">
            <w:drawing>
              <wp:anchor distT="0" distB="0" distL="114300" distR="114300" simplePos="0" relativeHeight="251659264" behindDoc="0" locked="0" layoutInCell="1" hidden="0" allowOverlap="1">
                <wp:simplePos x="0" y="0"/>
                <wp:positionH relativeFrom="column">
                  <wp:posOffset>444500</wp:posOffset>
                </wp:positionH>
                <wp:positionV relativeFrom="paragraph">
                  <wp:posOffset>914400</wp:posOffset>
                </wp:positionV>
                <wp:extent cx="4686300" cy="2181225"/>
                <wp:effectExtent l="0" t="0" r="0" b="0"/>
                <wp:wrapNone/>
                <wp:docPr id="27" name="Conector recto de flecha 27"/>
                <wp:cNvGraphicFramePr/>
                <a:graphic xmlns:a="http://schemas.openxmlformats.org/drawingml/2006/main">
                  <a:graphicData uri="http://schemas.microsoft.com/office/word/2010/wordprocessingShape">
                    <wps:wsp>
                      <wps:cNvCnPr/>
                      <wps:spPr>
                        <a:xfrm>
                          <a:off x="3007613" y="2694150"/>
                          <a:ext cx="4676775" cy="2171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444500</wp:posOffset>
                </wp:positionH>
                <wp:positionV relativeFrom="paragraph">
                  <wp:posOffset>914400</wp:posOffset>
                </wp:positionV>
                <wp:extent cx="4686300" cy="2181225"/>
                <wp:effectExtent b="0" l="0" r="0" t="0"/>
                <wp:wrapNone/>
                <wp:docPr id="27"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4686300" cy="2181225"/>
                        </a:xfrm>
                        <a:prstGeom prst="rect"/>
                        <a:ln/>
                      </pic:spPr>
                    </pic:pic>
                  </a:graphicData>
                </a:graphic>
              </wp:anchor>
            </w:drawing>
          </mc:Fallback>
        </mc:AlternateContent>
      </w:r>
    </w:p>
    <w:p w:rsidR="00A43B12" w:rsidRDefault="00292EF8">
      <w:pPr>
        <w:spacing w:before="240" w:after="240" w:line="360" w:lineRule="auto"/>
        <w:ind w:left="567" w:right="709"/>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486400" cy="4105275"/>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486400" cy="4105275"/>
                    </a:xfrm>
                    <a:prstGeom prst="rect">
                      <a:avLst/>
                    </a:prstGeom>
                    <a:ln/>
                  </pic:spPr>
                </pic:pic>
              </a:graphicData>
            </a:graphic>
          </wp:inline>
        </w:drawing>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“8b-8c (2).pdf”: </w:t>
      </w:r>
      <w:r>
        <w:rPr>
          <w:rFonts w:ascii="Palatino Linotype" w:eastAsia="Palatino Linotype" w:hAnsi="Palatino Linotype" w:cs="Palatino Linotype"/>
        </w:rPr>
        <w:t>Documento de 223 páginas, el cual consiste en el avance trimestral de metas de acción por proyecto.</w:t>
      </w:r>
      <w:r>
        <w:rPr>
          <w:noProof/>
          <w:lang w:val="es-MX" w:eastAsia="es-MX"/>
        </w:rPr>
        <mc:AlternateContent>
          <mc:Choice Requires="wpg">
            <w:drawing>
              <wp:anchor distT="0" distB="0" distL="114300" distR="114300" simplePos="0" relativeHeight="251660288" behindDoc="0" locked="0" layoutInCell="1" hidden="0" allowOverlap="1">
                <wp:simplePos x="0" y="0"/>
                <wp:positionH relativeFrom="column">
                  <wp:posOffset>101601</wp:posOffset>
                </wp:positionH>
                <wp:positionV relativeFrom="paragraph">
                  <wp:posOffset>584200</wp:posOffset>
                </wp:positionV>
                <wp:extent cx="4857750" cy="2562225"/>
                <wp:effectExtent l="0" t="0" r="0" b="0"/>
                <wp:wrapNone/>
                <wp:docPr id="28" name="Conector recto de flecha 28"/>
                <wp:cNvGraphicFramePr/>
                <a:graphic xmlns:a="http://schemas.openxmlformats.org/drawingml/2006/main">
                  <a:graphicData uri="http://schemas.microsoft.com/office/word/2010/wordprocessingShape">
                    <wps:wsp>
                      <wps:cNvCnPr/>
                      <wps:spPr>
                        <a:xfrm>
                          <a:off x="2921888" y="2503650"/>
                          <a:ext cx="4848225" cy="255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http://schemas.microsoft.com/office/drawing/2014/chartex"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584200</wp:posOffset>
                </wp:positionV>
                <wp:extent cx="4857750" cy="2562225"/>
                <wp:effectExtent b="0" l="0" r="0" t="0"/>
                <wp:wrapNone/>
                <wp:docPr id="28"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4857750" cy="2562225"/>
                        </a:xfrm>
                        <a:prstGeom prst="rect"/>
                        <a:ln/>
                      </pic:spPr>
                    </pic:pic>
                  </a:graphicData>
                </a:graphic>
              </wp:anchor>
            </w:drawing>
          </mc:Fallback>
        </mc:AlternateContent>
      </w:r>
    </w:p>
    <w:p w:rsidR="00A43B12" w:rsidRDefault="00292EF8">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454659" cy="5265261"/>
            <wp:effectExtent l="0" t="0" r="0" b="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454659" cy="5265261"/>
                    </a:xfrm>
                    <a:prstGeom prst="rect">
                      <a:avLst/>
                    </a:prstGeom>
                    <a:ln/>
                  </pic:spPr>
                </pic:pic>
              </a:graphicData>
            </a:graphic>
          </wp:inline>
        </w:drawing>
      </w:r>
    </w:p>
    <w:p w:rsidR="00A43B12" w:rsidRDefault="00A43B12">
      <w:pPr>
        <w:spacing w:before="240" w:after="240" w:line="360" w:lineRule="auto"/>
        <w:jc w:val="both"/>
        <w:rPr>
          <w:rFonts w:ascii="Palatino Linotype" w:eastAsia="Palatino Linotype" w:hAnsi="Palatino Linotype" w:cs="Palatino Linotype"/>
          <w:b/>
          <w:i/>
        </w:rPr>
      </w:pPr>
    </w:p>
    <w:p w:rsidR="00A43B12" w:rsidRDefault="00A43B12">
      <w:pPr>
        <w:spacing w:before="240" w:after="240" w:line="360" w:lineRule="auto"/>
        <w:jc w:val="both"/>
        <w:rPr>
          <w:rFonts w:ascii="Palatino Linotype" w:eastAsia="Palatino Linotype" w:hAnsi="Palatino Linotype" w:cs="Palatino Linotype"/>
          <w:b/>
          <w:i/>
        </w:rPr>
      </w:pPr>
    </w:p>
    <w:p w:rsidR="00A43B12" w:rsidRDefault="00A43B12">
      <w:pPr>
        <w:spacing w:before="240" w:after="240" w:line="360" w:lineRule="auto"/>
        <w:jc w:val="both"/>
        <w:rPr>
          <w:rFonts w:ascii="Palatino Linotype" w:eastAsia="Palatino Linotype" w:hAnsi="Palatino Linotype" w:cs="Palatino Linotype"/>
          <w:b/>
          <w:i/>
        </w:rPr>
      </w:pPr>
    </w:p>
    <w:p w:rsidR="00A43B12" w:rsidRDefault="00A43B12">
      <w:pPr>
        <w:spacing w:before="240" w:after="240" w:line="360" w:lineRule="auto"/>
        <w:jc w:val="both"/>
        <w:rPr>
          <w:rFonts w:ascii="Palatino Linotype" w:eastAsia="Palatino Linotype" w:hAnsi="Palatino Linotype" w:cs="Palatino Linotype"/>
          <w:b/>
          <w:i/>
        </w:rPr>
      </w:pPr>
    </w:p>
    <w:p w:rsidR="00A43B12" w:rsidRDefault="00292EF8">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“PbRM´s 10b.pdf”: </w:t>
      </w:r>
      <w:r>
        <w:rPr>
          <w:rFonts w:ascii="Palatino Linotype" w:eastAsia="Palatino Linotype" w:hAnsi="Palatino Linotype" w:cs="Palatino Linotype"/>
        </w:rPr>
        <w:t xml:space="preserve">Documento de once fojas en el que se advierte el avance presupuestal de egresos del 1 de enero al 31 de diciembre de 2021. </w:t>
      </w:r>
    </w:p>
    <w:p w:rsidR="00A43B12" w:rsidRDefault="00292EF8">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5553182" cy="4338424"/>
            <wp:effectExtent l="0" t="0" r="0" b="0"/>
            <wp:docPr id="3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553182" cy="4338424"/>
                    </a:xfrm>
                    <a:prstGeom prst="rect">
                      <a:avLst/>
                    </a:prstGeom>
                    <a:ln/>
                  </pic:spPr>
                </pic:pic>
              </a:graphicData>
            </a:graphic>
          </wp:inline>
        </w:drawing>
      </w:r>
    </w:p>
    <w:p w:rsidR="00A43B12" w:rsidRDefault="00292EF8">
      <w:pPr>
        <w:spacing w:before="240" w:after="240" w:line="276" w:lineRule="auto"/>
        <w:ind w:left="567" w:right="709"/>
        <w:jc w:val="both"/>
        <w:rPr>
          <w:rFonts w:ascii="Palatino Linotype" w:eastAsia="Palatino Linotype" w:hAnsi="Palatino Linotype" w:cs="Palatino Linotype"/>
        </w:rPr>
      </w:pPr>
      <w:r w:rsidRPr="00E85181">
        <w:rPr>
          <w:rFonts w:ascii="Palatino Linotype" w:eastAsia="Palatino Linotype" w:hAnsi="Palatino Linotype" w:cs="Palatino Linotype"/>
          <w:b/>
          <w:i/>
          <w:color w:val="000000" w:themeColor="text1"/>
        </w:rPr>
        <w:t xml:space="preserve">“8b-8c (1).pdf”: </w:t>
      </w:r>
      <w:r>
        <w:rPr>
          <w:rFonts w:ascii="Palatino Linotype" w:eastAsia="Palatino Linotype" w:hAnsi="Palatino Linotype" w:cs="Palatino Linotype"/>
        </w:rPr>
        <w:t>Documento electrónico que consta de 633 fojas y consiste en el consiste en el avance trimestral de metas de acción por proyecto.</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486400" cy="4486275"/>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486400" cy="4486275"/>
                    </a:xfrm>
                    <a:prstGeom prst="rect">
                      <a:avLst/>
                    </a:prstGeom>
                    <a:ln/>
                  </pic:spPr>
                </pic:pic>
              </a:graphicData>
            </a:graphic>
          </wp:inline>
        </w:drawing>
      </w:r>
    </w:p>
    <w:p w:rsidR="00A43B12" w:rsidRDefault="00292EF8">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i/>
        </w:rPr>
        <w:t xml:space="preserve">“PbRM's 10c.pdf”: </w:t>
      </w:r>
      <w:r>
        <w:rPr>
          <w:rFonts w:ascii="Palatino Linotype" w:eastAsia="Palatino Linotype" w:hAnsi="Palatino Linotype" w:cs="Palatino Linotype"/>
        </w:rPr>
        <w:t>Contiene doce fojas y en este archivo se aprecia el estado comparativo presupuestal de egresos.</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486400" cy="4324350"/>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486400" cy="4324350"/>
                    </a:xfrm>
                    <a:prstGeom prst="rect">
                      <a:avLst/>
                    </a:prstGeom>
                    <a:ln/>
                  </pic:spPr>
                </pic:pic>
              </a:graphicData>
            </a:graphic>
          </wp:inline>
        </w:drawing>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“2021 INFORME DE EJECUCION DEL PLAN DE DESARROLLO MUNICIPAL.pdf”: </w:t>
      </w:r>
      <w:r>
        <w:rPr>
          <w:rFonts w:ascii="Palatino Linotype" w:eastAsia="Palatino Linotype" w:hAnsi="Palatino Linotype" w:cs="Palatino Linotype"/>
        </w:rPr>
        <w:t>Contiene el Informe de Ejecución del Plan de Desarrollo Municipal relativo al año 2021, debe precisarse que no se puso a la vista del particular, en virtud de que se dejaron visibles datos personales, tales como perfiles de particulares en redes sociales en la página 36 y 38, nombres, direcciones y números telefónicos de particulares en la página 121, en la página 182 se visualizan nombres de particulares, dirección y números telefónicos, en el numeral 208 se advierte clave catastral, nombre y dirección de particulares.</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 “8b-8c (4).pdf”: </w:t>
      </w:r>
      <w:r>
        <w:rPr>
          <w:rFonts w:ascii="Palatino Linotype" w:eastAsia="Palatino Linotype" w:hAnsi="Palatino Linotype" w:cs="Palatino Linotype"/>
        </w:rPr>
        <w:t>Archivo que consta de 402 fojas, en el que se advierte el avance trimestral de metas de acción por proyecto.</w:t>
      </w:r>
    </w:p>
    <w:p w:rsidR="00A43B12" w:rsidRDefault="00292EF8" w:rsidP="00E85181">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4619625" cy="5362575"/>
            <wp:effectExtent l="0" t="0" r="9525" b="9525"/>
            <wp:docPr id="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619625" cy="5362575"/>
                    </a:xfrm>
                    <a:prstGeom prst="rect">
                      <a:avLst/>
                    </a:prstGeom>
                    <a:ln/>
                  </pic:spPr>
                </pic:pic>
              </a:graphicData>
            </a:graphic>
          </wp:inline>
        </w:drawing>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 “PbRM's 10a.pdf”: </w:t>
      </w:r>
      <w:r>
        <w:rPr>
          <w:rFonts w:ascii="Palatino Linotype" w:eastAsia="Palatino Linotype" w:hAnsi="Palatino Linotype" w:cs="Palatino Linotype"/>
        </w:rPr>
        <w:t>Documento que consta de 120 hojas, en el que se aprecia el avance presupuestal de egresos detallado.</w:t>
      </w:r>
    </w:p>
    <w:p w:rsidR="00A43B12" w:rsidRDefault="00292EF8">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995144" cy="4642074"/>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995144" cy="4642074"/>
                    </a:xfrm>
                    <a:prstGeom prst="rect">
                      <a:avLst/>
                    </a:prstGeom>
                    <a:ln/>
                  </pic:spPr>
                </pic:pic>
              </a:graphicData>
            </a:graphic>
          </wp:inline>
        </w:drawing>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Mediante acuerdo de fecha veintinueve de marzo de dos mil veintidós, dichos documentos se pusieron a la vista del </w:t>
      </w:r>
      <w:r>
        <w:rPr>
          <w:rFonts w:ascii="Palatino Linotype" w:eastAsia="Palatino Linotype" w:hAnsi="Palatino Linotype" w:cs="Palatino Linotype"/>
          <w:b/>
        </w:rPr>
        <w:t xml:space="preserve">Recurrente, con excepción del soporte documental denominado </w:t>
      </w:r>
      <w:r>
        <w:rPr>
          <w:rFonts w:ascii="Palatino Linotype" w:eastAsia="Palatino Linotype" w:hAnsi="Palatino Linotype" w:cs="Palatino Linotype"/>
          <w:b/>
          <w:i/>
        </w:rPr>
        <w:t>“2021 INFORME DE EJECUCION DEL PLAN DE DESARROLLO MUNICIPAL.pdf”</w:t>
      </w:r>
      <w:r>
        <w:rPr>
          <w:rFonts w:ascii="Palatino Linotype" w:eastAsia="Palatino Linotype" w:hAnsi="Palatino Linotype" w:cs="Palatino Linotype"/>
        </w:rPr>
        <w:t xml:space="preserve">, por las razones antes expuestas.  </w:t>
      </w:r>
    </w:p>
    <w:p w:rsidR="00A43B12" w:rsidRDefault="00292EF8">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noProof/>
          <w:lang w:val="es-MX" w:eastAsia="es-MX"/>
        </w:rPr>
        <w:lastRenderedPageBreak/>
        <w:drawing>
          <wp:inline distT="0" distB="0" distL="0" distR="0">
            <wp:extent cx="5061103" cy="415608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061103" cy="4156080"/>
                    </a:xfrm>
                    <a:prstGeom prst="rect">
                      <a:avLst/>
                    </a:prstGeom>
                    <a:ln/>
                  </pic:spPr>
                </pic:pic>
              </a:graphicData>
            </a:graphic>
          </wp:inline>
        </w:drawing>
      </w:r>
    </w:p>
    <w:p w:rsidR="00E85181" w:rsidRDefault="00E85181" w:rsidP="00E8518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 xml:space="preserve">seis </w:t>
      </w:r>
      <w:r>
        <w:rPr>
          <w:rFonts w:ascii="Palatino Linotype" w:eastAsia="Palatino Linotype" w:hAnsi="Palatino Linotype" w:cs="Palatino Linotype"/>
          <w:b/>
          <w:color w:val="000000"/>
        </w:rPr>
        <w:t xml:space="preserve">de abril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rsidR="00E85181" w:rsidRDefault="00E85181">
      <w:pPr>
        <w:spacing w:before="240" w:after="240" w:line="360" w:lineRule="auto"/>
        <w:jc w:val="both"/>
        <w:rPr>
          <w:rFonts w:ascii="Palatino Linotype" w:eastAsia="Palatino Linotype" w:hAnsi="Palatino Linotype" w:cs="Palatino Linotype"/>
          <w:b/>
        </w:rPr>
      </w:pPr>
    </w:p>
    <w:p w:rsidR="00A43B12" w:rsidRDefault="00E8518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w:t>
      </w:r>
      <w:r w:rsidR="00292EF8">
        <w:rPr>
          <w:rFonts w:ascii="Palatino Linotype" w:eastAsia="Palatino Linotype" w:hAnsi="Palatino Linotype" w:cs="Palatino Linotype"/>
          <w:b/>
        </w:rPr>
        <w:t>.- Ampliación del plazo para emitir resolución.</w:t>
      </w:r>
      <w:r w:rsidR="00292EF8">
        <w:rPr>
          <w:rFonts w:ascii="Palatino Linotype" w:eastAsia="Palatino Linotype" w:hAnsi="Palatino Linotype" w:cs="Palatino Linotype"/>
        </w:rPr>
        <w:t xml:space="preserve"> El </w:t>
      </w:r>
      <w:r>
        <w:rPr>
          <w:rFonts w:ascii="Palatino Linotype" w:eastAsia="Palatino Linotype" w:hAnsi="Palatino Linotype" w:cs="Palatino Linotype"/>
          <w:b/>
        </w:rPr>
        <w:t>seis</w:t>
      </w:r>
      <w:r w:rsidR="00292EF8">
        <w:rPr>
          <w:rFonts w:ascii="Palatino Linotype" w:eastAsia="Palatino Linotype" w:hAnsi="Palatino Linotype" w:cs="Palatino Linotype"/>
          <w:b/>
        </w:rPr>
        <w:t xml:space="preserve"> de abril de dos mil veintidós</w:t>
      </w:r>
      <w:r w:rsidR="00292EF8">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con la finalidad de realizar un análisis exhaustivo de las constancias que obran en el expediente electrónico, adoptando las medidas pertinentes, a fin de aminorar los efectos que conlleva.</w:t>
      </w:r>
    </w:p>
    <w:p w:rsidR="00A43B12" w:rsidRDefault="00A43B12">
      <w:pPr>
        <w:keepNext/>
        <w:keepLines/>
        <w:spacing w:before="40"/>
        <w:jc w:val="center"/>
        <w:rPr>
          <w:rFonts w:ascii="Palatino Linotype" w:eastAsia="Palatino Linotype" w:hAnsi="Palatino Linotype" w:cs="Palatino Linotype"/>
          <w:b/>
        </w:rPr>
      </w:pPr>
    </w:p>
    <w:p w:rsidR="00A43B12" w:rsidRDefault="00292EF8">
      <w:pPr>
        <w:keepNext/>
        <w:keepLines/>
        <w:spacing w:before="40"/>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A43B12" w:rsidRDefault="00292EF8">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rsidR="00A43B12" w:rsidRDefault="00292EF8">
      <w:pPr>
        <w:widowControl w:val="0"/>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Procediblidad del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Previo al </w:t>
      </w:r>
      <w:r>
        <w:rPr>
          <w:rFonts w:ascii="Palatino Linotype" w:eastAsia="Palatino Linotype" w:hAnsi="Palatino Linotype" w:cs="Palatino Linotype"/>
        </w:rPr>
        <w:lastRenderedPageBreak/>
        <w:t>estudio del fondo del asunto, se procede a analizar los requisitos de oportunidad y procedibilidad que debe reunir el recurso de revisión, previstos en los artículos 178 y 180 de la Ley de Transparencia y Acceso a la Información Pública del Estado de México y Municipios.</w:t>
      </w:r>
    </w:p>
    <w:p w:rsidR="00A43B12" w:rsidRDefault="00292EF8">
      <w:pPr>
        <w:widowControl w:val="0"/>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Primeramente, es de precisar que la Ley de Transparencia </w:t>
      </w:r>
      <w:r>
        <w:rPr>
          <w:rFonts w:ascii="Palatino Linotype" w:eastAsia="Palatino Linotype" w:hAnsi="Palatino Linotype" w:cs="Palatino Linotype"/>
          <w:color w:val="000000"/>
        </w:rPr>
        <w:t xml:space="preserve">y Acceso a la Información Pública del Estado de México y Municipios, describe el </w:t>
      </w:r>
      <w:r>
        <w:rPr>
          <w:rFonts w:ascii="Palatino Linotype" w:eastAsia="Palatino Linotype" w:hAnsi="Palatino Linotype" w:cs="Palatino Linotype"/>
        </w:rPr>
        <w:t>mecanismo</w:t>
      </w:r>
      <w:r>
        <w:rPr>
          <w:rFonts w:ascii="Palatino Linotype" w:eastAsia="Palatino Linotype" w:hAnsi="Palatino Linotype" w:cs="Palatino Linotype"/>
          <w:color w:val="000000"/>
        </w:rPr>
        <w:t xml:space="preserve"> de procedencia de los recursos de revisión, en ese sentido en su artículo 163 prevé lo siguiente:</w:t>
      </w:r>
    </w:p>
    <w:p w:rsidR="00A43B12" w:rsidRDefault="00292EF8">
      <w:pPr>
        <w:spacing w:before="120" w:after="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163.</w:t>
      </w:r>
      <w:r>
        <w:rPr>
          <w:rFonts w:ascii="Palatino Linotype" w:eastAsia="Palatino Linotype" w:hAnsi="Palatino Linotype" w:cs="Palatino Linotype"/>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A43B12" w:rsidRDefault="00292EF8">
      <w:pPr>
        <w:spacing w:before="120" w:after="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sz w:val="22"/>
          <w:szCs w:val="22"/>
        </w:rPr>
        <w:t>Excepcionalmente</w:t>
      </w:r>
      <w:r>
        <w:rPr>
          <w:rFonts w:ascii="Palatino Linotype" w:eastAsia="Palatino Linotype" w:hAnsi="Palatino Linotype" w:cs="Palatino Linotype"/>
          <w:i/>
          <w:color w:val="000000"/>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A43B12" w:rsidRDefault="00292EF8">
      <w:pPr>
        <w:widowControl w:val="0"/>
        <w:spacing w:before="120" w:after="12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Del precepto legal inserto se advierte que el plazo que le asiste a los sujetos obligados para notificar la respuesta a una solicitud de información pública es de quince días hábiles posteriores a la presentación de ésta.</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w:t>
      </w:r>
      <w:r>
        <w:rPr>
          <w:rFonts w:ascii="Palatino Linotype" w:eastAsia="Palatino Linotype" w:hAnsi="Palatino Linotype" w:cs="Palatino Linotype"/>
        </w:rPr>
        <w:lastRenderedPageBreak/>
        <w:t>Transparencia y Acceso a la Información Pública del Estado de México y Municipios, que señala en su artículo 166 párrafo cuarto:</w:t>
      </w:r>
    </w:p>
    <w:p w:rsidR="00A43B12" w:rsidRDefault="00292EF8">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166. </w:t>
      </w:r>
      <w:r>
        <w:rPr>
          <w:rFonts w:ascii="Palatino Linotype" w:eastAsia="Palatino Linotype" w:hAnsi="Palatino Linotype" w:cs="Palatino Linotype"/>
          <w:i/>
          <w:sz w:val="22"/>
          <w:szCs w:val="22"/>
        </w:rPr>
        <w:t>La obligación de acceso a la información pública se tendrá por cumplida cuando el solicitante tenga a su disposición la información requerida, o cuando realice la consulta de la misma en el lugar en el que ésta se localice.</w:t>
      </w:r>
    </w:p>
    <w:p w:rsidR="00A43B12" w:rsidRDefault="00292EF8">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43B12" w:rsidRDefault="00292EF8">
      <w:pPr>
        <w:spacing w:after="120"/>
        <w:ind w:left="851" w:right="902"/>
        <w:jc w:val="both"/>
        <w:rPr>
          <w:rFonts w:ascii="Palatino Linotype" w:eastAsia="Palatino Linotype" w:hAnsi="Palatino Linotype" w:cs="Palatino Linotype"/>
          <w:i/>
          <w:sz w:val="28"/>
          <w:szCs w:val="28"/>
        </w:rPr>
      </w:pPr>
      <w:r>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pueden ser en cualquier momento;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rsidR="00A43B12" w:rsidRDefault="00292EF8">
      <w:pPr>
        <w:spacing w:after="120"/>
        <w:ind w:left="567"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“CRITERIO 0001-15 NEGATIVA FICTA. PLAZO PARA INTERPONER EL RECURSO DE REVISIÓN TRATÁNDOSE DE</w:t>
      </w:r>
      <w:r>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w:t>
      </w:r>
      <w:r>
        <w:rPr>
          <w:rFonts w:ascii="Palatino Linotype" w:eastAsia="Palatino Linotype" w:hAnsi="Palatino Linotype" w:cs="Palatino Linotype"/>
          <w:i/>
          <w:sz w:val="22"/>
          <w:szCs w:val="22"/>
        </w:rPr>
        <w:lastRenderedPageBreak/>
        <w:t>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43B12" w:rsidRDefault="00292EF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43B12" w:rsidRDefault="00292EF8">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A43B12" w:rsidRDefault="00292EF8">
      <w:pPr>
        <w:spacing w:before="240" w:after="240" w:line="360" w:lineRule="auto"/>
        <w:jc w:val="both"/>
        <w:rPr>
          <w:rFonts w:ascii="Quattrocento Sans" w:eastAsia="Quattrocento Sans" w:hAnsi="Quattrocento Sans" w:cs="Quattrocento Sans"/>
        </w:rPr>
      </w:pPr>
      <w:r>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y, en consecuencia,  resulta conforme a derecho entrar al estudio de fondo y resolver el presente medio </w:t>
      </w:r>
      <w:r>
        <w:rPr>
          <w:rFonts w:ascii="Palatino Linotype" w:eastAsia="Palatino Linotype" w:hAnsi="Palatino Linotype" w:cs="Palatino Linotype"/>
        </w:rPr>
        <w:lastRenderedPageBreak/>
        <w:t>de impugnación, al actualizarse lo dispuesto en los artículos 176 y 179 fracción VII del ordenamiento legal citado, que establecen los supuestos en que puede interponerse el recurso de revisión:</w:t>
      </w:r>
    </w:p>
    <w:p w:rsidR="00A43B12" w:rsidRDefault="00292EF8" w:rsidP="00E85181">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rsidR="00A43B12" w:rsidRDefault="00292EF8" w:rsidP="00E85181">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Bookman Old Style" w:eastAsia="Bookman Old Style" w:hAnsi="Bookman Old Style" w:cs="Bookman Old Style"/>
          <w:sz w:val="20"/>
          <w:szCs w:val="20"/>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A43B12" w:rsidRDefault="00292EF8" w:rsidP="00E85181">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43B12" w:rsidRDefault="00292EF8" w:rsidP="00E85181">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VII. La falta de respuesta a una solicitud de acceso a la información</w:t>
      </w:r>
      <w:r>
        <w:rPr>
          <w:rFonts w:ascii="Palatino Linotype" w:eastAsia="Palatino Linotype" w:hAnsi="Palatino Linotype" w:cs="Palatino Linotype"/>
          <w:i/>
          <w:sz w:val="22"/>
          <w:szCs w:val="22"/>
        </w:rPr>
        <w:t>…”</w:t>
      </w:r>
    </w:p>
    <w:p w:rsidR="00A43B12" w:rsidRDefault="00E85181" w:rsidP="00E85181">
      <w:pPr>
        <w:spacing w:before="240" w:after="240" w:line="360" w:lineRule="auto"/>
        <w:ind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292EF8">
        <w:rPr>
          <w:rFonts w:ascii="Palatino Linotype" w:eastAsia="Palatino Linotype" w:hAnsi="Palatino Linotype" w:cs="Palatino Linotype"/>
          <w:i/>
          <w:sz w:val="22"/>
          <w:szCs w:val="22"/>
        </w:rPr>
        <w:t>(Sic) (Énfasis añadido)</w:t>
      </w:r>
    </w:p>
    <w:p w:rsidR="00A43B12" w:rsidRDefault="00292EF8">
      <w:pPr>
        <w:spacing w:before="280" w:after="28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Tercero. Materia de la revisión.</w:t>
      </w:r>
      <w:r>
        <w:rPr>
          <w:rFonts w:ascii="Palatino Linotype" w:eastAsia="Palatino Linotype" w:hAnsi="Palatino Linotype" w:cs="Palatino Linotype"/>
          <w:b/>
          <w:color w:val="FF0000"/>
        </w:rPr>
        <w:t xml:space="preserve">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el pronunciamiento vertido en informe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A43B12" w:rsidRDefault="00292EF8">
      <w:pPr>
        <w:spacing w:before="240" w:after="240"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En este apartado se expondrán las razones y fundamentos de orden jurídico nacional y estatal que soportan la decisión de este Organismo Garante en el asunto que nos ocupa, tras analizar los motivos de </w:t>
      </w:r>
      <w:r>
        <w:rPr>
          <w:rFonts w:ascii="Palatino Linotype" w:eastAsia="Palatino Linotype" w:hAnsi="Palatino Linotype" w:cs="Palatino Linotype"/>
        </w:rPr>
        <w:lastRenderedPageBreak/>
        <w:t xml:space="preserve">inconformidad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los argumentos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el marco jurídico aplicable.</w:t>
      </w:r>
    </w:p>
    <w:p w:rsidR="00A43B12" w:rsidRDefault="00292EF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Previo al estudio del presente asunto, es conveniente precisar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proporcionara información consistente en lo siguiente:</w:t>
      </w:r>
    </w:p>
    <w:p w:rsidR="00A43B12" w:rsidRDefault="00292EF8">
      <w:pPr>
        <w:spacing w:before="280" w:after="28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El Informe de Ejecución del Plan de Desarrollo Municipal 2021</w:t>
      </w:r>
    </w:p>
    <w:p w:rsidR="00A43B12" w:rsidRDefault="00292E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Sobre el particular, debe precisarse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emitir respuesta, lo cual derivó en la interposición del recurso de revisión que nos ocupa. </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admitido el presente medio de impugnación, el Ayuntamiento de Ecatepec de Morelos en un acto posterior rindió su informe justificado, en el cual remitió diversos archivos, mismos que se describieron de manera puntual en líneas anteriores y que se pusieron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con excepción del soporte documental </w:t>
      </w:r>
      <w:r>
        <w:rPr>
          <w:rFonts w:ascii="Palatino Linotype" w:eastAsia="Palatino Linotype" w:hAnsi="Palatino Linotype" w:cs="Palatino Linotype"/>
          <w:b/>
          <w:i/>
        </w:rPr>
        <w:t xml:space="preserve">“2021 INFORME DE EJECUCION DEL PLAN DE DESARROLLO MUNICIPAL.pdf”, </w:t>
      </w:r>
      <w:r>
        <w:rPr>
          <w:rFonts w:ascii="Palatino Linotype" w:eastAsia="Palatino Linotype" w:hAnsi="Palatino Linotype" w:cs="Palatino Linotype"/>
        </w:rPr>
        <w:t xml:space="preserve">el cual si bien es cierto, contiene la información solicitada, esto es el Informe de Ejecución del Plan de Desarrollo Municipal relativo al año 2021, no menos cierto es que no se puso a la vista del particular, en virtud de que se dejaron visibles datos personales, tales como perfiles de particulares en redes sociales en la página 36 y 38, nombres, direcciones y números telefónicos de particulares en la página 121, en la página 182 se visualizan nombres de particulares, dirección y números telefónicos, en el numeral 208 se advierte clave catastral, nombre y dirección de particulares, por lo que </w:t>
      </w:r>
      <w:r>
        <w:rPr>
          <w:rFonts w:ascii="Palatino Linotype" w:eastAsia="Palatino Linotype" w:hAnsi="Palatino Linotype" w:cs="Palatino Linotype"/>
        </w:rPr>
        <w:lastRenderedPageBreak/>
        <w:t>deberá remitirse en una versión pública correcta, es decir, testando los datos  personales referidos con antelación, toda vez que con su divulgación pudiera afectarse indudablemente la esfera privada de los particulares.</w:t>
      </w:r>
    </w:p>
    <w:p w:rsidR="00A43B12" w:rsidRDefault="00292E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tomando en cuenta la materia de la solicitud, conviene partir de lo establecido en la Constitución Política del Estado Libre y Soberano de México que establece en su artículo 139, fracción I, lo siguiente: </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139.- 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 </w:t>
      </w:r>
    </w:p>
    <w:p w:rsidR="00A43B12" w:rsidRDefault="00292EF8">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 El Sistema Estatal de Planeación Democrática se integra por los planes y programas que formulen las autoridades estatales 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Leyes de la materia proveerán la participación de los sectores público, privado y social en el proceso y el mecanismo de retroalimentación permanente en el sistema. Los planes, programas y acciones que formulen y ejecuten los ayuntamientos en las materias de su competencia, se sujetarán a las disposiciones legales aplicables y serán congruentes con los planes y programas federales, estatales, regionales y metropolitanos, en su caso. </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ciudadanas o ciudadanos del Estado, individualmente o a través de agrupaciones legalmente constituidas podrán participar en el proceso de planeación democrática en los términos establecidos por las leyes para la formulación de planes y programas estatales, municipales, regionales y metropolitanos para la integración social de sus habitantes y el desarrollo de las comunidades.”</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(Énfasis añadido)</w:t>
      </w:r>
    </w:p>
    <w:p w:rsidR="00A43B12" w:rsidRDefault="00292E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citado con antelación, se advierten los principios básicos del proceso de planeación del desarrollo, de tal forma que establece los objetivos generales del Sistema de Planeación Democrática del Estado de México, del que los Ayuntamientos forman parte, dicho sistema se integra por los planes y programas que formulen las autoridades considerando en el proceso, entre otros rubros el control y evaluación de los planes, programas y acciones que regirán el ejercicio de sus funciones. </w:t>
      </w:r>
    </w:p>
    <w:p w:rsidR="00A43B12" w:rsidRDefault="00292E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la fracción X del artículo 31 de la Ley Orgánica Municipal del Estado de México, establece como atribución del ayuntamiento conocer los informes contables y financieros anuales dentro de los tres meses siguientes a la terminación del ejercicio presupuestal que presentará el tesorero con el visto bueno del síndico. </w:t>
      </w:r>
    </w:p>
    <w:p w:rsidR="00A43B12" w:rsidRDefault="00292EF8">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Correlativo a lo anterior, los artículos 115 y 116 del ordenamiento en cita, establecen que la formulación, aprobación, ejecución, control y evaluación del plan y programas municipales estarán a cargo de los órganos, dependencias o servidores públicos que determinen los ayuntamientos, conforme a las normas legales de la materia y las que cada cabildo determine, asimismo, que el Plan de Desarrollo Municipal, debe ser elaborado, aprobado y publicado dentro de los primeros tres meses de la gestión municipal y </w:t>
      </w:r>
      <w:r>
        <w:rPr>
          <w:rFonts w:ascii="Palatino Linotype" w:eastAsia="Palatino Linotype" w:hAnsi="Palatino Linotype" w:cs="Palatino Linotype"/>
          <w:b/>
        </w:rPr>
        <w:t>su evaluación deberá realizarse anualmente, en caso de no hacerse se hará acreedor a las sanciones de las dependencias normativas en el ámbito de su competencia.</w:t>
      </w:r>
    </w:p>
    <w:p w:rsidR="00A43B12" w:rsidRDefault="00292E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su parte, la Ley de Planeación del Estado de México a través de su artículo 19 fracción I, establece como atribución de los ayuntamientos en materia de planeación, entre otras funciones, la de evaluar y controlar el Plan de Desarrollo Municipal y sus programas, a saber: </w:t>
      </w:r>
    </w:p>
    <w:p w:rsidR="00A43B12" w:rsidRDefault="00292EF8">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i/>
          <w:sz w:val="22"/>
          <w:szCs w:val="22"/>
        </w:rPr>
        <w:t xml:space="preserve">Artículo 19.- Compete a los ayuntamientos, en materia de planeación democrática para el desarrollo: </w:t>
      </w:r>
    </w:p>
    <w:p w:rsidR="00A43B12" w:rsidRDefault="00292EF8">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Elaborar, aprobar, ejecutar, dar seguimiento, evaluar y el control del Plan de Desarrollo Municipal y sus programas</w:t>
      </w:r>
      <w:r>
        <w:rPr>
          <w:rFonts w:ascii="Palatino Linotype" w:eastAsia="Palatino Linotype" w:hAnsi="Palatino Linotype" w:cs="Palatino Linotype"/>
          <w:i/>
          <w:sz w:val="22"/>
          <w:szCs w:val="22"/>
        </w:rPr>
        <w:t>;”</w:t>
      </w:r>
    </w:p>
    <w:p w:rsidR="00A43B12" w:rsidRDefault="00292EF8">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Reglamento de Planeación del Estado de México y Municipios, cuyo objeto consiste en definir y detallar lo establecido en la Ley de Planeación del Estado de México y Municipios; precisar la organización y funcionamiento del Sistema de Planeación Democrática para el Desarrollo del Estado de México y Municipios, así como regular la participación de los grupos sociales en dicho sistema, a través de los artículos 18, fracción VI, 20 fracción VI y 71 de dicho ordenamiento que regulan lo siguiente: </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18.- Para efectos de lo dispuesto en el artículo 19 de la Ley, </w:t>
      </w:r>
      <w:r>
        <w:rPr>
          <w:rFonts w:ascii="Palatino Linotype" w:eastAsia="Palatino Linotype" w:hAnsi="Palatino Linotype" w:cs="Palatino Linotype"/>
          <w:b/>
          <w:i/>
          <w:sz w:val="22"/>
          <w:szCs w:val="22"/>
        </w:rPr>
        <w:t>los Ayuntamientos de los municipios del Estado realizarán las siguientes acciones</w:t>
      </w:r>
      <w:r>
        <w:rPr>
          <w:rFonts w:ascii="Palatino Linotype" w:eastAsia="Palatino Linotype" w:hAnsi="Palatino Linotype" w:cs="Palatino Linotype"/>
          <w:i/>
          <w:sz w:val="22"/>
          <w:szCs w:val="22"/>
        </w:rPr>
        <w:t>:</w:t>
      </w:r>
    </w:p>
    <w:p w:rsidR="00A43B12" w:rsidRDefault="00292EF8">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rPr>
        <w:t xml:space="preserve">Integrar en los documentos que contengan la evaluación de los resultados de la ejecución de sus planes de desarrollo, el análisis de congruencia entre las acciones realizadas y las prioridades, objetivos y metas de sus planes de desarrollo y programas; </w:t>
      </w:r>
      <w:r>
        <w:rPr>
          <w:rFonts w:ascii="Palatino Linotype" w:eastAsia="Palatino Linotype" w:hAnsi="Palatino Linotype" w:cs="Palatino Linotype"/>
          <w:i/>
          <w:sz w:val="22"/>
          <w:szCs w:val="22"/>
        </w:rPr>
        <w:t>e</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A43B12" w:rsidRDefault="00292EF8">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20.- </w:t>
      </w:r>
      <w:r>
        <w:rPr>
          <w:rFonts w:ascii="Palatino Linotype" w:eastAsia="Palatino Linotype" w:hAnsi="Palatino Linotype" w:cs="Palatino Linotype"/>
          <w:b/>
          <w:i/>
          <w:sz w:val="22"/>
          <w:szCs w:val="22"/>
        </w:rPr>
        <w:t>En el caso de los Ayuntamientos, las unidades administrativas o servidores públicos que realicen las tareas de información, planeación, programación y evaluación tendrán las siguientes funciones:</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En materia de evaluación: </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Diseñar, instrumentar e implantar un sistema de evaluación y seguimiento que permita medir el desempeño de la Administración Pública Municipal, en términos de los resultados obtenidos en el logro de sus objetivos y metas establecidas en el Plan de Desarrollo Municipal y en los programas de mediano y corto plazo; </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Integrar y reportar al Presidente Municipal y al Cabildo, con la periodicidad que este determine, el informe del comportamiento de los principales indicadores definidos en el Plan de Desarrollo Municipal, así como el avance programático y presupuestal de las metas contenidas en el programa anual; </w:t>
      </w:r>
    </w:p>
    <w:p w:rsidR="00A43B12" w:rsidRDefault="00292EF8">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 Integrar en coordinación con las dependencias y organismos que integran la Administración Pública del Municipio, </w:t>
      </w:r>
      <w:r>
        <w:rPr>
          <w:rFonts w:ascii="Palatino Linotype" w:eastAsia="Palatino Linotype" w:hAnsi="Palatino Linotype" w:cs="Palatino Linotype"/>
          <w:b/>
          <w:i/>
          <w:sz w:val="22"/>
          <w:szCs w:val="22"/>
          <w:u w:val="single"/>
        </w:rPr>
        <w:t>el informe anual de ejecución del Plan de Desarrollo Municipal</w:t>
      </w:r>
      <w:r>
        <w:rPr>
          <w:rFonts w:ascii="Palatino Linotype" w:eastAsia="Palatino Linotype" w:hAnsi="Palatino Linotype" w:cs="Palatino Linotype"/>
          <w:b/>
          <w:i/>
          <w:sz w:val="22"/>
          <w:szCs w:val="22"/>
        </w:rPr>
        <w:t xml:space="preserve">, el cual deberá ser enviado al Órgano Superior de Fiscalización de la Legislatura Local, en forma anexa a la cuenta de la Hacienda Pública del Municipio; </w:t>
      </w:r>
    </w:p>
    <w:p w:rsidR="00A43B12" w:rsidRDefault="00292EF8">
      <w:pPr>
        <w:spacing w:before="240" w:after="240"/>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 Elaborar el dictamen de reconducción de la estrategia de desarrollo del Municipio cuando se actualicen los programas y generen elementos para fundamentar la cancelación, modificación o adecuación de programas y proyectos de acuerdo a lo establecido en los artículos 24 y 38 de la Ley; y </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 Participar en la integración de los informes de Gobierno que anualmente rinde el Presidente Municipal ante el Cabildo.</w:t>
      </w:r>
    </w:p>
    <w:p w:rsidR="00A43B12" w:rsidRDefault="00292EF8">
      <w:pPr>
        <w:spacing w:before="24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71.- Las evaluaciones del Plan de Desarrollo Municipal se realizarán en sesión especial de cabildo y en todos los casos, deberán participar los miembros integrantes del COPLADEMUN.”</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preceptos citados con antelación, se advierte que en efecto el Ayuntamiento cuenta con facultades suficientes para que en ejercicio de las mismas, genere el Informe Anual de Ejecución del Plan de Desarrollo Municipal correspondiente al ejercicio fiscal 2021, mismo que si bien, como se mencionó fue remitido por el Sujeto Obligado mediante informe justificado, no pudo ser puesto a disposición del particular, al advertirse datos personales, tales como perfiles de particulares en redes sociales en la página 36 y 38, nombres, direcciones y números telefónicos de particulares en la página 121, en la página 182 se visualizan nombres de particulares, dirección y números telefónicos, en el numeral 208 se advierte clave catastral, nombre y dirección de particulares.</w:t>
      </w:r>
    </w:p>
    <w:p w:rsidR="00A43B12" w:rsidRDefault="00292E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todos los argumentos de hecho y derecho vertidos en la presente resolución y de las constancias que obran agregadas, resulta procedente ordenar la entrega 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información requerida, misma que fue proporcionada mediante informe justificado, en versión pública. </w:t>
      </w:r>
    </w:p>
    <w:p w:rsidR="00A43B12" w:rsidRDefault="00292EF8">
      <w:pPr>
        <w:spacing w:before="240" w:after="240" w:line="360" w:lineRule="auto"/>
        <w:ind w:right="49" w:firstLine="1"/>
        <w:jc w:val="both"/>
        <w:rPr>
          <w:rFonts w:ascii="Palatino Linotype" w:eastAsia="Palatino Linotype" w:hAnsi="Palatino Linotype" w:cs="Palatino Linotype"/>
        </w:rPr>
      </w:pPr>
      <w:r>
        <w:rPr>
          <w:rFonts w:ascii="Palatino Linotype" w:eastAsia="Palatino Linotype" w:hAnsi="Palatino Linotype" w:cs="Palatino Linotype"/>
        </w:rPr>
        <w:t xml:space="preserve">Por ende, los motivos de inconformidad plateados por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devienen fundados, ante </w:t>
      </w:r>
      <w:r>
        <w:rPr>
          <w:rFonts w:ascii="Palatino Linotype" w:eastAsia="Palatino Linotype" w:hAnsi="Palatino Linotype" w:cs="Palatino Linotype"/>
          <w:color w:val="000000"/>
        </w:rPr>
        <w:t xml:space="preserve">la omisión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para atender la solicitud de información, resulta procedente </w:t>
      </w:r>
      <w:r>
        <w:rPr>
          <w:rFonts w:ascii="Palatino Linotype" w:eastAsia="Palatino Linotype" w:hAnsi="Palatino Linotype" w:cs="Palatino Linotype"/>
        </w:rPr>
        <w:t>or</w:t>
      </w:r>
      <w:r>
        <w:rPr>
          <w:rFonts w:ascii="Palatino Linotype" w:eastAsia="Palatino Linotype" w:hAnsi="Palatino Linotype" w:cs="Palatino Linotype"/>
          <w:color w:val="222222"/>
        </w:rPr>
        <w:t xml:space="preserve">denar </w:t>
      </w:r>
      <w:r>
        <w:rPr>
          <w:rFonts w:ascii="Palatino Linotype" w:eastAsia="Palatino Linotype" w:hAnsi="Palatino Linotype" w:cs="Palatino Linotype"/>
        </w:rPr>
        <w:t xml:space="preserve">al Titular del Órgano de Control y Vigilancia de este Instituto, dé vista a la Contraloría Interna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con fundamento en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los artículos 190 y 223 de la Ley Adjetiva, para que en términos de la Ley de Responsabilidades de los Servidores Públicos del Estado y Municipios, determine el grado de responsabilidad del servidor público ante la falta de respuesta en el plazo señalado en la Ley de Transparencia en la entidad, </w:t>
      </w:r>
      <w:r>
        <w:rPr>
          <w:rFonts w:ascii="Palatino Linotype" w:eastAsia="Palatino Linotype" w:hAnsi="Palatino Linotype" w:cs="Palatino Linotype"/>
        </w:rPr>
        <w:lastRenderedPageBreak/>
        <w:t xml:space="preserve">lo que rredunda en falta de cumplimiento a los artículos 6 de la Constitución Federal y 5 de la Constitución Local, actualizándose lo previsto en el diverso 222 fracción II de la Ley de Transparencia y Acceso a la Información Pública del Estado de México y Municipios, resultando conforme a derecho, ordenar al </w:t>
      </w:r>
      <w:r>
        <w:rPr>
          <w:rFonts w:ascii="Palatino Linotype" w:eastAsia="Palatino Linotype" w:hAnsi="Palatino Linotype" w:cs="Palatino Linotype"/>
          <w:b/>
        </w:rPr>
        <w:t>Ayuntamiento de Ecatepec de Morelos</w:t>
      </w:r>
      <w:r>
        <w:rPr>
          <w:rFonts w:ascii="Palatino Linotype" w:eastAsia="Palatino Linotype" w:hAnsi="Palatino Linotype" w:cs="Palatino Linotype"/>
        </w:rPr>
        <w:t>, atender la solicitud de acceso a la información del particular.</w:t>
      </w:r>
    </w:p>
    <w:p w:rsidR="00A43B12" w:rsidRDefault="00292E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A43B12" w:rsidRDefault="00292EF8">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A43B12" w:rsidRDefault="00292EF8">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A43B12" w:rsidRDefault="00292EF8">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A43B12">
        <w:tc>
          <w:tcPr>
            <w:tcW w:w="4253" w:type="dxa"/>
            <w:gridSpan w:val="2"/>
            <w:tcBorders>
              <w:top w:val="nil"/>
              <w:left w:val="nil"/>
              <w:right w:val="nil"/>
            </w:tcBorders>
          </w:tcPr>
          <w:p w:rsidR="00A43B12" w:rsidRDefault="00292EF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A43B12" w:rsidRDefault="00292EF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A43B12">
        <w:tc>
          <w:tcPr>
            <w:tcW w:w="1134" w:type="dxa"/>
          </w:tcPr>
          <w:p w:rsidR="00A43B12" w:rsidRDefault="00292EF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A43B12" w:rsidRDefault="00292EF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A43B12" w:rsidRDefault="00292EF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A43B12" w:rsidRDefault="00292EF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A43B12">
        <w:tc>
          <w:tcPr>
            <w:tcW w:w="8828" w:type="dxa"/>
            <w:gridSpan w:val="4"/>
          </w:tcPr>
          <w:p w:rsidR="00A43B12" w:rsidRDefault="00292EF8">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Fecha de clasificación</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A43B12">
        <w:tc>
          <w:tcPr>
            <w:tcW w:w="1134"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A43B12">
        <w:tc>
          <w:tcPr>
            <w:tcW w:w="1134" w:type="dxa"/>
          </w:tcPr>
          <w:p w:rsidR="00A43B12" w:rsidRDefault="00A43B12">
            <w:pPr>
              <w:jc w:val="both"/>
              <w:rPr>
                <w:rFonts w:ascii="Palatino Linotype" w:eastAsia="Palatino Linotype" w:hAnsi="Palatino Linotype" w:cs="Palatino Linotype"/>
                <w:b/>
                <w:sz w:val="12"/>
                <w:szCs w:val="12"/>
              </w:rPr>
            </w:pPr>
          </w:p>
        </w:tc>
        <w:tc>
          <w:tcPr>
            <w:tcW w:w="3119" w:type="dxa"/>
          </w:tcPr>
          <w:p w:rsidR="00A43B12" w:rsidRDefault="00A43B12">
            <w:pPr>
              <w:jc w:val="both"/>
              <w:rPr>
                <w:rFonts w:ascii="Palatino Linotype" w:eastAsia="Palatino Linotype" w:hAnsi="Palatino Linotype" w:cs="Palatino Linotype"/>
                <w:sz w:val="12"/>
                <w:szCs w:val="12"/>
              </w:rPr>
            </w:pP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A43B12">
        <w:tc>
          <w:tcPr>
            <w:tcW w:w="1134" w:type="dxa"/>
          </w:tcPr>
          <w:p w:rsidR="00A43B12" w:rsidRDefault="00A43B12">
            <w:pPr>
              <w:jc w:val="both"/>
              <w:rPr>
                <w:rFonts w:ascii="Palatino Linotype" w:eastAsia="Palatino Linotype" w:hAnsi="Palatino Linotype" w:cs="Palatino Linotype"/>
                <w:b/>
                <w:sz w:val="12"/>
                <w:szCs w:val="12"/>
              </w:rPr>
            </w:pPr>
          </w:p>
        </w:tc>
        <w:tc>
          <w:tcPr>
            <w:tcW w:w="3119" w:type="dxa"/>
          </w:tcPr>
          <w:p w:rsidR="00A43B12" w:rsidRDefault="00A43B12">
            <w:pPr>
              <w:jc w:val="both"/>
              <w:rPr>
                <w:rFonts w:ascii="Palatino Linotype" w:eastAsia="Palatino Linotype" w:hAnsi="Palatino Linotype" w:cs="Palatino Linotype"/>
                <w:sz w:val="12"/>
                <w:szCs w:val="12"/>
              </w:rPr>
            </w:pPr>
          </w:p>
        </w:tc>
        <w:tc>
          <w:tcPr>
            <w:tcW w:w="1129" w:type="dxa"/>
          </w:tcPr>
          <w:p w:rsidR="00A43B12" w:rsidRDefault="00292EF8">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A43B12" w:rsidRDefault="00292EF8">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A43B12" w:rsidRDefault="00292EF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expuesto, con fundamento en el artículo 186 fracción III de la Ley de Transparencia y Acceso a la Información Pública del Estado de México y Municipios, este Órgano Garante considera procedente</w:t>
      </w:r>
      <w:r>
        <w:rPr>
          <w:rFonts w:ascii="Palatino Linotype" w:eastAsia="Palatino Linotype" w:hAnsi="Palatino Linotype" w:cs="Palatino Linotype"/>
          <w:b/>
        </w:rPr>
        <w:t xml:space="preserve"> ordenar </w:t>
      </w:r>
      <w:r>
        <w:rPr>
          <w:rFonts w:ascii="Palatino Linotype" w:eastAsia="Palatino Linotype" w:hAnsi="Palatino Linotype" w:cs="Palatino Linotype"/>
        </w:rPr>
        <w:t>la entrega de la información, en versión pública.</w:t>
      </w:r>
    </w:p>
    <w:p w:rsidR="00A43B12" w:rsidRDefault="00292EF8">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fracciones IV y V; 2, fracción II; 29, 36 fracciones I y II; 176, </w:t>
      </w:r>
      <w:r>
        <w:rPr>
          <w:rFonts w:ascii="Palatino Linotype" w:eastAsia="Palatino Linotype" w:hAnsi="Palatino Linotype" w:cs="Palatino Linotype"/>
        </w:rPr>
        <w:lastRenderedPageBreak/>
        <w:t>178, 179, fracción I, 181, 185 de la Ley de Transparencia y Acceso a la Información Pública del Estado de México y Municipios, este Pleno:</w:t>
      </w:r>
    </w:p>
    <w:p w:rsidR="00A43B12" w:rsidRDefault="00292EF8">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 xml:space="preserve">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00864/INFOEM/IP/RR/2022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al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Sujeto Obligado, </w:t>
      </w:r>
      <w:r>
        <w:rPr>
          <w:rFonts w:ascii="Palatino Linotype" w:eastAsia="Palatino Linotype" w:hAnsi="Palatino Linotype" w:cs="Palatino Linotype"/>
          <w:b/>
        </w:rPr>
        <w:t>Ayuntamiento de Ecatepec de Morelos</w:t>
      </w:r>
      <w:r>
        <w:rPr>
          <w:rFonts w:ascii="Palatino Linotype" w:eastAsia="Palatino Linotype" w:hAnsi="Palatino Linotype" w:cs="Palatino Linotype"/>
        </w:rPr>
        <w:t>, atienda la solicitud de información número</w:t>
      </w:r>
      <w:r>
        <w:t xml:space="preserve"> </w:t>
      </w:r>
      <w:r>
        <w:rPr>
          <w:rFonts w:ascii="Palatino Linotype" w:eastAsia="Palatino Linotype" w:hAnsi="Palatino Linotype" w:cs="Palatino Linotype"/>
          <w:b/>
          <w:color w:val="000000"/>
        </w:rPr>
        <w:t>01008/ECATEPEC/IP/2021</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y haga entrega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w:t>
      </w:r>
      <w:r>
        <w:rPr>
          <w:rFonts w:ascii="Palatino Linotype" w:eastAsia="Palatino Linotype" w:hAnsi="Palatino Linotype" w:cs="Palatino Linotype"/>
          <w:b/>
        </w:rPr>
        <w:t>versión pública</w:t>
      </w:r>
      <w:r>
        <w:rPr>
          <w:rFonts w:ascii="Palatino Linotype" w:eastAsia="Palatino Linotype" w:hAnsi="Palatino Linotype" w:cs="Palatino Linotype"/>
        </w:rPr>
        <w:t>,</w:t>
      </w:r>
      <w:r>
        <w:rPr>
          <w:rFonts w:ascii="Palatino Linotype" w:eastAsia="Palatino Linotype" w:hAnsi="Palatino Linotype" w:cs="Palatino Linotype"/>
          <w:b/>
        </w:rPr>
        <w:t xml:space="preserve"> de lo siguiente</w:t>
      </w:r>
      <w:r>
        <w:rPr>
          <w:rFonts w:ascii="Palatino Linotype" w:eastAsia="Palatino Linotype" w:hAnsi="Palatino Linotype" w:cs="Palatino Linotype"/>
        </w:rPr>
        <w:t>:</w:t>
      </w:r>
    </w:p>
    <w:p w:rsidR="00A43B12" w:rsidRDefault="00292EF8">
      <w:pPr>
        <w:numPr>
          <w:ilvl w:val="0"/>
          <w:numId w:val="1"/>
        </w:numPr>
        <w:pBdr>
          <w:top w:val="nil"/>
          <w:left w:val="nil"/>
          <w:bottom w:val="nil"/>
          <w:right w:val="nil"/>
          <w:between w:val="nil"/>
        </w:pBdr>
        <w:ind w:left="567" w:right="709" w:firstLine="0"/>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El Informe de Resultados de la Ejecución del Plan de Desarrollo Municipal, correspondiente al ejercicio fiscal 2021</w:t>
      </w:r>
      <w:r>
        <w:rPr>
          <w:rFonts w:ascii="Palatino Linotype" w:eastAsia="Palatino Linotype" w:hAnsi="Palatino Linotype" w:cs="Palatino Linotype"/>
          <w:b/>
          <w:i/>
          <w:color w:val="000000"/>
        </w:rPr>
        <w:t xml:space="preserve">. </w:t>
      </w:r>
    </w:p>
    <w:p w:rsidR="00A43B12" w:rsidRDefault="00A43B12">
      <w:pPr>
        <w:pBdr>
          <w:top w:val="nil"/>
          <w:left w:val="nil"/>
          <w:bottom w:val="nil"/>
          <w:right w:val="nil"/>
          <w:between w:val="nil"/>
        </w:pBdr>
        <w:ind w:left="567" w:right="709"/>
        <w:jc w:val="both"/>
        <w:rPr>
          <w:rFonts w:ascii="Palatino Linotype" w:eastAsia="Palatino Linotype" w:hAnsi="Palatino Linotype" w:cs="Palatino Linotype"/>
          <w:b/>
          <w:i/>
          <w:color w:val="000000"/>
        </w:rPr>
      </w:pPr>
    </w:p>
    <w:p w:rsidR="00A43B12" w:rsidRDefault="00292EF8">
      <w:pPr>
        <w:pBdr>
          <w:top w:val="nil"/>
          <w:left w:val="nil"/>
          <w:bottom w:val="nil"/>
          <w:right w:val="nil"/>
          <w:between w:val="nil"/>
        </w:pBdr>
        <w:ind w:left="567" w:right="70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w:t>
      </w:r>
    </w:p>
    <w:p w:rsidR="00A43B12" w:rsidRDefault="00A43B12">
      <w:pPr>
        <w:pBdr>
          <w:top w:val="nil"/>
          <w:left w:val="nil"/>
          <w:bottom w:val="nil"/>
          <w:right w:val="nil"/>
          <w:between w:val="nil"/>
        </w:pBdr>
        <w:tabs>
          <w:tab w:val="left" w:pos="8080"/>
        </w:tabs>
        <w:spacing w:after="120"/>
        <w:ind w:left="785" w:right="900"/>
        <w:jc w:val="both"/>
        <w:rPr>
          <w:rFonts w:ascii="Palatino Linotype" w:eastAsia="Palatino Linotype" w:hAnsi="Palatino Linotype" w:cs="Palatino Linotype"/>
          <w:i/>
          <w:color w:val="000000"/>
          <w:sz w:val="22"/>
          <w:szCs w:val="22"/>
        </w:rPr>
      </w:pPr>
    </w:p>
    <w:p w:rsidR="00A43B12" w:rsidRDefault="00292EF8">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white"/>
        </w:rPr>
      </w:pPr>
      <w:r>
        <w:rPr>
          <w:rFonts w:ascii="Palatino Linotype" w:eastAsia="Palatino Linotype" w:hAnsi="Palatino Linotype" w:cs="Palatino Linotype"/>
          <w:b/>
          <w:color w:val="000000"/>
          <w:highlight w:val="white"/>
        </w:rPr>
        <w:t xml:space="preserve">Tercero. </w:t>
      </w:r>
      <w:r>
        <w:rPr>
          <w:rFonts w:ascii="Palatino Linotype" w:eastAsia="Palatino Linotype" w:hAnsi="Palatino Linotype" w:cs="Palatino Linotype"/>
          <w:b/>
          <w:color w:val="000000"/>
        </w:rPr>
        <w:t>Notifíquese</w:t>
      </w:r>
      <w:r>
        <w:rPr>
          <w:rFonts w:ascii="Palatino Linotype" w:eastAsia="Palatino Linotype" w:hAnsi="Palatino Linotype" w:cs="Palatino Linotype"/>
          <w:b/>
          <w:color w:val="000000"/>
          <w:highlight w:val="white"/>
        </w:rPr>
        <w:t xml:space="preserve"> vía SAIMEX </w:t>
      </w:r>
      <w:r>
        <w:rPr>
          <w:rFonts w:ascii="Palatino Linotype" w:eastAsia="Palatino Linotype" w:hAnsi="Palatino Linotype" w:cs="Palatino Linotype"/>
          <w:color w:val="000000"/>
          <w:highlight w:val="white"/>
        </w:rPr>
        <w:t>al Titular de la Unidad de Transparencia del</w:t>
      </w:r>
      <w:r>
        <w:rPr>
          <w:rFonts w:ascii="Palatino Linotype" w:eastAsia="Palatino Linotype" w:hAnsi="Palatino Linotype" w:cs="Palatino Linotype"/>
          <w:b/>
          <w:color w:val="000000"/>
          <w:highlight w:val="white"/>
        </w:rPr>
        <w:t xml:space="preserve">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highlight w:val="whit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w:t>
      </w:r>
      <w:r>
        <w:rPr>
          <w:rFonts w:ascii="Palatino Linotype" w:eastAsia="Palatino Linotype" w:hAnsi="Palatino Linotype" w:cs="Palatino Linotype"/>
          <w:color w:val="000000"/>
          <w:highlight w:val="white"/>
        </w:rPr>
        <w:lastRenderedPageBreak/>
        <w:t>en un plazo de tres días hábiles siguientes sobre el cumplimiento dado a la presente resolución.</w:t>
      </w:r>
    </w:p>
    <w:p w:rsidR="00A43B12" w:rsidRDefault="00292EF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A43B12" w:rsidRDefault="00292EF8">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Quinto. Notifíquese,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color w:val="222222"/>
        </w:rPr>
        <w:t xml:space="preserve">que la respuesta que dé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xml:space="preserve"> derivada de la presente resolución es susceptibles de ser impugnada nuevamente, mediante recurso de revisión, ante el Instituto, en términos del artículo 179, último párrafo de la Ley de Transparencia y Acceso a la Información Pública del Estado de México y Municipios.</w:t>
      </w:r>
    </w:p>
    <w:p w:rsidR="00A43B12" w:rsidRDefault="00292EF8">
      <w:pPr>
        <w:widowControl w:val="0"/>
        <w:tabs>
          <w:tab w:val="left" w:pos="1701"/>
        </w:tabs>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rPr>
        <w:t xml:space="preserve">Con fundamento en el artículo 198 de la Ley de Transparencia y Acceso a la Información Pública del Estado de México y Municipios, se apercibe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caso de negarse a cumplir la presente resolución o hacerlo de manera parcial se actuará de conformidad con lo previsto en los artículos 213, 214, 216 y 217 de dicha Ley.</w:t>
      </w:r>
    </w:p>
    <w:p w:rsidR="00A43B12" w:rsidRDefault="00A43B12">
      <w:pPr>
        <w:spacing w:line="360" w:lineRule="auto"/>
        <w:jc w:val="both"/>
        <w:rPr>
          <w:rFonts w:ascii="Palatino Linotype" w:eastAsia="Palatino Linotype" w:hAnsi="Palatino Linotype" w:cs="Palatino Linotype"/>
          <w:b/>
        </w:rPr>
      </w:pPr>
    </w:p>
    <w:p w:rsidR="00A43B12" w:rsidRDefault="00292EF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Séptimo. Gírese</w:t>
      </w:r>
      <w:r>
        <w:rPr>
          <w:rFonts w:ascii="Palatino Linotype" w:eastAsia="Palatino Linotype" w:hAnsi="Palatino Linotype" w:cs="Palatino Linotype"/>
        </w:rPr>
        <w:t xml:space="preserve"> oficio al </w:t>
      </w:r>
      <w:r>
        <w:rPr>
          <w:rFonts w:ascii="Palatino Linotype" w:eastAsia="Palatino Linotype" w:hAnsi="Palatino Linotype" w:cs="Palatino Linotype"/>
          <w:b/>
        </w:rPr>
        <w:t>Contralor Interno y Órgano de Control y Vigilancia de este Instituto</w:t>
      </w:r>
      <w:r>
        <w:rPr>
          <w:rFonts w:ascii="Palatino Linotype" w:eastAsia="Palatino Linotype" w:hAnsi="Palatino Linotype" w:cs="Palatino Linotype"/>
        </w:rPr>
        <w:t xml:space="preserve"> para hacer de su conocimiento la presente resolución, a fin de que en ejercicio de sus atribuciones y de conformidad al artículo 190, de la Ley de Transparencia y Acceso a la Información Pública del Estado de México y </w:t>
      </w:r>
      <w:r>
        <w:rPr>
          <w:rFonts w:ascii="Palatino Linotype" w:eastAsia="Palatino Linotype" w:hAnsi="Palatino Linotype" w:cs="Palatino Linotype"/>
        </w:rPr>
        <w:lastRenderedPageBreak/>
        <w:t xml:space="preserve">Municipios, determine lo conducente, en términos de lo señalado en 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 </w:t>
      </w:r>
    </w:p>
    <w:p w:rsidR="00A43B12" w:rsidRDefault="00A43B12">
      <w:pPr>
        <w:spacing w:line="360" w:lineRule="auto"/>
        <w:jc w:val="both"/>
        <w:rPr>
          <w:rFonts w:ascii="Palatino Linotype" w:eastAsia="Palatino Linotype" w:hAnsi="Palatino Linotype" w:cs="Palatino Linotype"/>
        </w:rPr>
      </w:pPr>
    </w:p>
    <w:p w:rsidR="00A43B12" w:rsidRDefault="00E85181">
      <w:pPr>
        <w:spacing w:line="360" w:lineRule="auto"/>
        <w:ind w:right="49"/>
        <w:jc w:val="both"/>
        <w:rPr>
          <w:rFonts w:ascii="Palatino Linotype" w:eastAsia="Palatino Linotype" w:hAnsi="Palatino Linotype" w:cs="Palatino Linotype"/>
        </w:rPr>
        <w:sectPr w:rsidR="00A43B12">
          <w:headerReference w:type="default" r:id="rId25"/>
          <w:footerReference w:type="default" r:id="rId26"/>
          <w:headerReference w:type="first" r:id="rId27"/>
          <w:footerReference w:type="first" r:id="rId28"/>
          <w:pgSz w:w="12240" w:h="15840"/>
          <w:pgMar w:top="1985" w:right="1892" w:bottom="1701" w:left="1701" w:header="709" w:footer="709" w:gutter="0"/>
          <w:pgNumType w:start="1"/>
          <w:cols w:space="720"/>
          <w:titlePg/>
        </w:sect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53340</wp:posOffset>
                </wp:positionH>
                <wp:positionV relativeFrom="paragraph">
                  <wp:posOffset>2677794</wp:posOffset>
                </wp:positionV>
                <wp:extent cx="5105400" cy="37242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105400" cy="3724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9B17DD1"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210.85pt" to="406.2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" strokecolor="black [3200]" strokeweight=".5pt">
                <v:stroke joinstyle="miter"/>
              </v:line>
            </w:pict>
          </mc:Fallback>
        </mc:AlternateContent>
      </w:r>
      <w:r w:rsidR="00292EF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w:t>
      </w:r>
      <w:r w:rsidR="00871519">
        <w:rPr>
          <w:rFonts w:ascii="Palatino Linotype" w:eastAsia="Palatino Linotype" w:hAnsi="Palatino Linotype" w:cs="Palatino Linotype"/>
        </w:rPr>
        <w:t>A</w:t>
      </w:r>
      <w:r w:rsidR="00292EF8">
        <w:rPr>
          <w:rFonts w:ascii="Palatino Linotype" w:eastAsia="Palatino Linotype" w:hAnsi="Palatino Linotype" w:cs="Palatino Linotype"/>
        </w:rPr>
        <w:t xml:space="preserve"> TERCERA SESIÓN ORDINARIA CELEBRADA EL SIETE DE ABRIL DE DOS MIL VEINTIDÓS, ANTE EL SECRETARIO TÉCNICO DEL PLENO ALEXIS TAPIA RAMÍREZ.</w:t>
      </w:r>
    </w:p>
    <w:p w:rsidR="00A43B12" w:rsidRDefault="00A43B12">
      <w:pPr>
        <w:spacing w:before="240" w:after="240" w:line="360" w:lineRule="auto"/>
        <w:jc w:val="both"/>
        <w:rPr>
          <w:rFonts w:ascii="Palatino Linotype" w:eastAsia="Palatino Linotype" w:hAnsi="Palatino Linotype" w:cs="Palatino Linotype"/>
        </w:rPr>
      </w:pPr>
    </w:p>
    <w:p w:rsidR="00A43B12" w:rsidRDefault="00A43B12">
      <w:pPr>
        <w:spacing w:before="240" w:after="240" w:line="360" w:lineRule="auto"/>
        <w:jc w:val="both"/>
        <w:rPr>
          <w:rFonts w:ascii="Palatino Linotype" w:eastAsia="Palatino Linotype" w:hAnsi="Palatino Linotype" w:cs="Palatino Linotype"/>
        </w:rPr>
      </w:pPr>
    </w:p>
    <w:sectPr w:rsidR="00A43B12">
      <w:headerReference w:type="first" r:id="rId29"/>
      <w:pgSz w:w="12240" w:h="15840"/>
      <w:pgMar w:top="1985" w:right="1892"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5A3" w:rsidRDefault="006405A3">
      <w:r>
        <w:separator/>
      </w:r>
    </w:p>
  </w:endnote>
  <w:endnote w:type="continuationSeparator" w:id="0">
    <w:p w:rsidR="006405A3" w:rsidRDefault="00640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B12" w:rsidRDefault="00292EF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52265">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52265">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rsidR="00A43B12" w:rsidRDefault="00A43B12">
    <w:pPr>
      <w:pBdr>
        <w:top w:val="nil"/>
        <w:left w:val="nil"/>
        <w:bottom w:val="nil"/>
        <w:right w:val="nil"/>
        <w:between w:val="nil"/>
      </w:pBdr>
      <w:tabs>
        <w:tab w:val="center" w:pos="4252"/>
        <w:tab w:val="right" w:pos="8504"/>
      </w:tabs>
      <w:rPr>
        <w:color w:val="000000"/>
      </w:rPr>
    </w:pPr>
  </w:p>
  <w:p w:rsidR="00A43B12" w:rsidRDefault="00A43B1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B12" w:rsidRDefault="00292EF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B52265">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B52265">
      <w:rPr>
        <w:rFonts w:ascii="Arial" w:eastAsia="Arial" w:hAnsi="Arial" w:cs="Arial"/>
        <w:b/>
        <w:noProof/>
        <w:color w:val="000000"/>
        <w:sz w:val="20"/>
        <w:szCs w:val="20"/>
      </w:rPr>
      <w:t>35</w:t>
    </w:r>
    <w:r>
      <w:rPr>
        <w:rFonts w:ascii="Arial" w:eastAsia="Arial" w:hAnsi="Arial" w:cs="Arial"/>
        <w:b/>
        <w:color w:val="000000"/>
        <w:sz w:val="20"/>
        <w:szCs w:val="20"/>
      </w:rPr>
      <w:fldChar w:fldCharType="end"/>
    </w:r>
  </w:p>
  <w:p w:rsidR="00A43B12" w:rsidRDefault="00A43B1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5A3" w:rsidRDefault="006405A3">
      <w:r>
        <w:separator/>
      </w:r>
    </w:p>
  </w:footnote>
  <w:footnote w:type="continuationSeparator" w:id="0">
    <w:p w:rsidR="006405A3" w:rsidRDefault="006405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B12" w:rsidRDefault="00E85181" w:rsidP="00E85181">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4D900A4" wp14:editId="43FA7D27">
          <wp:simplePos x="0" y="0"/>
          <wp:positionH relativeFrom="page">
            <wp:align>right</wp:align>
          </wp:positionH>
          <wp:positionV relativeFrom="paragraph">
            <wp:posOffset>-450215</wp:posOffset>
          </wp:positionV>
          <wp:extent cx="7635163" cy="9944100"/>
          <wp:effectExtent l="0" t="0" r="4445" b="0"/>
          <wp:wrapNone/>
          <wp:docPr id="3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1"/>
      <w:tblW w:w="5528" w:type="dxa"/>
      <w:tblInd w:w="3261" w:type="dxa"/>
      <w:tblLayout w:type="fixed"/>
      <w:tblLook w:val="0400" w:firstRow="0" w:lastRow="0" w:firstColumn="0" w:lastColumn="0" w:noHBand="0" w:noVBand="1"/>
    </w:tblPr>
    <w:tblGrid>
      <w:gridCol w:w="2552"/>
      <w:gridCol w:w="2976"/>
    </w:tblGrid>
    <w:tr w:rsidR="00A43B12">
      <w:tc>
        <w:tcPr>
          <w:tcW w:w="2552" w:type="dxa"/>
          <w:vAlign w:val="center"/>
        </w:tcPr>
        <w:p w:rsidR="00A43B12" w:rsidRDefault="00292EF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A43B12" w:rsidRDefault="00292EF8">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00864/INFOEM/IP/RR/2022</w:t>
          </w:r>
        </w:p>
      </w:tc>
    </w:tr>
    <w:tr w:rsidR="00A43B12">
      <w:trPr>
        <w:trHeight w:val="228"/>
      </w:trPr>
      <w:tc>
        <w:tcPr>
          <w:tcW w:w="2552" w:type="dxa"/>
          <w:vAlign w:val="center"/>
        </w:tcPr>
        <w:p w:rsidR="00A43B12" w:rsidRDefault="00292EF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A43B12" w:rsidRDefault="00292EF8">
          <w:pPr>
            <w:ind w:right="88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Ecatepec de Morelos</w:t>
          </w:r>
        </w:p>
      </w:tc>
    </w:tr>
    <w:tr w:rsidR="00A43B12">
      <w:tc>
        <w:tcPr>
          <w:tcW w:w="2552" w:type="dxa"/>
          <w:vAlign w:val="center"/>
        </w:tcPr>
        <w:p w:rsidR="00A43B12" w:rsidRDefault="00292EF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rsidR="00A43B12" w:rsidRDefault="00292EF8">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A43B12" w:rsidRDefault="00292EF8">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B12" w:rsidRDefault="00292EF8">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-438784</wp:posOffset>
          </wp:positionV>
          <wp:extent cx="7635600" cy="9943200"/>
          <wp:effectExtent l="0" t="0" r="0" b="0"/>
          <wp:wrapNone/>
          <wp:docPr id="2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38" w:type="dxa"/>
      <w:tblInd w:w="3119" w:type="dxa"/>
      <w:tblLayout w:type="fixed"/>
      <w:tblLook w:val="0400" w:firstRow="0" w:lastRow="0" w:firstColumn="0" w:lastColumn="0" w:noHBand="0" w:noVBand="1"/>
    </w:tblPr>
    <w:tblGrid>
      <w:gridCol w:w="2551"/>
      <w:gridCol w:w="3687"/>
    </w:tblGrid>
    <w:tr w:rsidR="00A43B12">
      <w:tc>
        <w:tcPr>
          <w:tcW w:w="2551" w:type="dxa"/>
          <w:vAlign w:val="center"/>
        </w:tcPr>
        <w:p w:rsidR="00A43B12" w:rsidRDefault="00292EF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rsidR="00A43B12" w:rsidRDefault="00292EF8">
          <w:pPr>
            <w:ind w:right="744"/>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00864/INFOEM/IP/RR/2022 </w:t>
          </w:r>
        </w:p>
      </w:tc>
    </w:tr>
    <w:tr w:rsidR="00A43B12">
      <w:tc>
        <w:tcPr>
          <w:tcW w:w="2551" w:type="dxa"/>
          <w:vAlign w:val="center"/>
        </w:tcPr>
        <w:p w:rsidR="00A43B12" w:rsidRDefault="00292EF8">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Recurrente: </w:t>
          </w:r>
        </w:p>
      </w:tc>
      <w:tc>
        <w:tcPr>
          <w:tcW w:w="3687" w:type="dxa"/>
          <w:vAlign w:val="center"/>
        </w:tcPr>
        <w:p w:rsidR="00A43B12" w:rsidRDefault="00B52265">
          <w:pPr>
            <w:ind w:right="460"/>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XXXXX XX XXXXXXXXXXXXX XX XXXXXXXXXXXXX</w:t>
          </w:r>
        </w:p>
      </w:tc>
    </w:tr>
    <w:tr w:rsidR="00A43B12">
      <w:trPr>
        <w:trHeight w:val="228"/>
      </w:trPr>
      <w:tc>
        <w:tcPr>
          <w:tcW w:w="2551" w:type="dxa"/>
          <w:vAlign w:val="center"/>
        </w:tcPr>
        <w:p w:rsidR="00A43B12" w:rsidRDefault="00292EF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rsidR="00A43B12" w:rsidRDefault="00292EF8">
          <w:pPr>
            <w:ind w:right="460"/>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Ecatepec de Morelos </w:t>
          </w:r>
        </w:p>
      </w:tc>
    </w:tr>
    <w:tr w:rsidR="00A43B12">
      <w:tc>
        <w:tcPr>
          <w:tcW w:w="2551" w:type="dxa"/>
          <w:vAlign w:val="center"/>
        </w:tcPr>
        <w:p w:rsidR="00A43B12" w:rsidRDefault="00292EF8">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rsidR="00A43B12" w:rsidRDefault="00292EF8">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A43B12" w:rsidRDefault="00A43B1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B12" w:rsidRDefault="00292EF8">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A43B12" w:rsidRDefault="00A43B1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8204B8"/>
    <w:multiLevelType w:val="multilevel"/>
    <w:tmpl w:val="534C059A"/>
    <w:lvl w:ilvl="0">
      <w:start w:val="1"/>
      <w:numFmt w:val="bullet"/>
      <w:lvlText w:val="●"/>
      <w:lvlJc w:val="left"/>
      <w:pPr>
        <w:ind w:left="1505" w:hanging="360"/>
      </w:pPr>
      <w:rPr>
        <w:rFonts w:ascii="Noto Sans Symbols" w:eastAsia="Noto Sans Symbols" w:hAnsi="Noto Sans Symbols" w:cs="Noto Sans Symbols"/>
      </w:rPr>
    </w:lvl>
    <w:lvl w:ilvl="1">
      <w:start w:val="1"/>
      <w:numFmt w:val="bullet"/>
      <w:lvlText w:val="o"/>
      <w:lvlJc w:val="left"/>
      <w:pPr>
        <w:ind w:left="2225" w:hanging="360"/>
      </w:pPr>
      <w:rPr>
        <w:rFonts w:ascii="Courier New" w:eastAsia="Courier New" w:hAnsi="Courier New" w:cs="Courier New"/>
      </w:rPr>
    </w:lvl>
    <w:lvl w:ilvl="2">
      <w:start w:val="1"/>
      <w:numFmt w:val="bullet"/>
      <w:lvlText w:val="▪"/>
      <w:lvlJc w:val="left"/>
      <w:pPr>
        <w:ind w:left="2945" w:hanging="360"/>
      </w:pPr>
      <w:rPr>
        <w:rFonts w:ascii="Noto Sans Symbols" w:eastAsia="Noto Sans Symbols" w:hAnsi="Noto Sans Symbols" w:cs="Noto Sans Symbols"/>
      </w:rPr>
    </w:lvl>
    <w:lvl w:ilvl="3">
      <w:start w:val="1"/>
      <w:numFmt w:val="bullet"/>
      <w:lvlText w:val="●"/>
      <w:lvlJc w:val="left"/>
      <w:pPr>
        <w:ind w:left="3665" w:hanging="360"/>
      </w:pPr>
      <w:rPr>
        <w:rFonts w:ascii="Noto Sans Symbols" w:eastAsia="Noto Sans Symbols" w:hAnsi="Noto Sans Symbols" w:cs="Noto Sans Symbols"/>
      </w:rPr>
    </w:lvl>
    <w:lvl w:ilvl="4">
      <w:start w:val="1"/>
      <w:numFmt w:val="bullet"/>
      <w:lvlText w:val="o"/>
      <w:lvlJc w:val="left"/>
      <w:pPr>
        <w:ind w:left="4385" w:hanging="360"/>
      </w:pPr>
      <w:rPr>
        <w:rFonts w:ascii="Courier New" w:eastAsia="Courier New" w:hAnsi="Courier New" w:cs="Courier New"/>
      </w:rPr>
    </w:lvl>
    <w:lvl w:ilvl="5">
      <w:start w:val="1"/>
      <w:numFmt w:val="bullet"/>
      <w:lvlText w:val="▪"/>
      <w:lvlJc w:val="left"/>
      <w:pPr>
        <w:ind w:left="5105" w:hanging="360"/>
      </w:pPr>
      <w:rPr>
        <w:rFonts w:ascii="Noto Sans Symbols" w:eastAsia="Noto Sans Symbols" w:hAnsi="Noto Sans Symbols" w:cs="Noto Sans Symbols"/>
      </w:rPr>
    </w:lvl>
    <w:lvl w:ilvl="6">
      <w:start w:val="1"/>
      <w:numFmt w:val="bullet"/>
      <w:lvlText w:val="●"/>
      <w:lvlJc w:val="left"/>
      <w:pPr>
        <w:ind w:left="5825" w:hanging="360"/>
      </w:pPr>
      <w:rPr>
        <w:rFonts w:ascii="Noto Sans Symbols" w:eastAsia="Noto Sans Symbols" w:hAnsi="Noto Sans Symbols" w:cs="Noto Sans Symbols"/>
      </w:rPr>
    </w:lvl>
    <w:lvl w:ilvl="7">
      <w:start w:val="1"/>
      <w:numFmt w:val="bullet"/>
      <w:lvlText w:val="o"/>
      <w:lvlJc w:val="left"/>
      <w:pPr>
        <w:ind w:left="6545" w:hanging="360"/>
      </w:pPr>
      <w:rPr>
        <w:rFonts w:ascii="Courier New" w:eastAsia="Courier New" w:hAnsi="Courier New" w:cs="Courier New"/>
      </w:rPr>
    </w:lvl>
    <w:lvl w:ilvl="8">
      <w:start w:val="1"/>
      <w:numFmt w:val="bullet"/>
      <w:lvlText w:val="▪"/>
      <w:lvlJc w:val="left"/>
      <w:pPr>
        <w:ind w:left="7265"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B12"/>
    <w:rsid w:val="000C1B4A"/>
    <w:rsid w:val="00292EF8"/>
    <w:rsid w:val="006405A3"/>
    <w:rsid w:val="00871519"/>
    <w:rsid w:val="00A05FF3"/>
    <w:rsid w:val="00A43B12"/>
    <w:rsid w:val="00B52265"/>
    <w:rsid w:val="00D4497D"/>
    <w:rsid w:val="00E851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092374-E811-44C7-A39A-F81CAECD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C0C"/>
    <w:rPr>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8D19A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
    <w:link w:val="SinespaciadoCar"/>
    <w:uiPriority w:val="1"/>
    <w:qFormat/>
    <w:rsid w:val="005B2292"/>
    <w:rPr>
      <w:lang w:val="es-MX" w:eastAsia="es-ES"/>
    </w:rPr>
  </w:style>
  <w:style w:type="character" w:customStyle="1" w:styleId="SinespaciadoCar">
    <w:name w:val="Sin espaciado Car"/>
    <w:aliases w:val="Francesa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rPr>
      <w:rFonts w:eastAsia="MS Mincho"/>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rPr>
      <w:rFonts w:eastAsia="MS Mincho"/>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255CC3"/>
    <w:rPr>
      <w:rFonts w:eastAsia="MS Mincho"/>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3">
    <w:name w:val="Tabla con cuadrícula3"/>
    <w:basedOn w:val="Tablanormal"/>
    <w:next w:val="Tablaconcuadrcula"/>
    <w:uiPriority w:val="59"/>
    <w:rsid w:val="00F35AA6"/>
    <w:rPr>
      <w:rFonts w:eastAsia="MS Mincho"/>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2">
    <w:name w:val="Tabla de lista 1 clara - Énfasis 12"/>
    <w:basedOn w:val="Tablanormal"/>
    <w:next w:val="Tabladelista1clara-nfasis1"/>
    <w:uiPriority w:val="46"/>
    <w:rsid w:val="00F35AA6"/>
    <w:rPr>
      <w:rFonts w:eastAsia="MS Mincho"/>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35AA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4Car">
    <w:name w:val="Título 4 Car"/>
    <w:basedOn w:val="Fuentedeprrafopredeter"/>
    <w:link w:val="Ttulo4"/>
    <w:uiPriority w:val="9"/>
    <w:semiHidden/>
    <w:rsid w:val="008D19AD"/>
    <w:rPr>
      <w:rFonts w:asciiTheme="majorHAnsi" w:eastAsiaTheme="majorEastAsia" w:hAnsiTheme="majorHAnsi" w:cstheme="majorBidi"/>
      <w:i/>
      <w:iCs/>
      <w:color w:val="2E74B5" w:themeColor="accent1" w:themeShade="BF"/>
      <w:sz w:val="24"/>
      <w:szCs w:val="24"/>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eM5SdzDMXfVY3G6puR+DW3dzw==">AMUW2mV6rvsLbTTD5LUwSDy53pwg2v+aWv144GUke/1t/tcf1LxE6UjCI4CuEZDU1SXJ0+5BMC72CpLiN1z8DC/8o5HMXdxBuq3QwYF5mHRvkqfMOnr62++GgtITDvS4GOgy7eYuPnbL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6021</Words>
  <Characters>33120</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sonyy</dc:creator>
  <cp:lastModifiedBy>USUARIO</cp:lastModifiedBy>
  <cp:revision>2</cp:revision>
  <cp:lastPrinted>2022-04-08T15:20:00Z</cp:lastPrinted>
  <dcterms:created xsi:type="dcterms:W3CDTF">2022-05-06T17:03:00Z</dcterms:created>
  <dcterms:modified xsi:type="dcterms:W3CDTF">2022-05-06T17:03:00Z</dcterms:modified>
</cp:coreProperties>
</file>