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3EA888" w14:textId="77777777" w:rsidR="00B7758C" w:rsidRPr="00C938B6" w:rsidRDefault="00B7758C" w:rsidP="005B031E">
      <w:pPr>
        <w:spacing w:line="360" w:lineRule="auto"/>
        <w:contextualSpacing/>
        <w:jc w:val="both"/>
        <w:rPr>
          <w:rFonts w:ascii="Palatino Linotype" w:hAnsi="Palatino Linotype" w:cs="Tahoma"/>
          <w:bCs/>
          <w:sz w:val="22"/>
          <w:szCs w:val="22"/>
        </w:rPr>
      </w:pPr>
    </w:p>
    <w:p w14:paraId="2DD45082" w14:textId="238C5300" w:rsidR="00801872" w:rsidRPr="00C938B6" w:rsidRDefault="00801872" w:rsidP="005B031E">
      <w:pPr>
        <w:spacing w:line="360" w:lineRule="auto"/>
        <w:contextualSpacing/>
        <w:jc w:val="both"/>
        <w:rPr>
          <w:rFonts w:ascii="Palatino Linotype" w:hAnsi="Palatino Linotype"/>
          <w:noProof/>
          <w:sz w:val="22"/>
          <w:szCs w:val="22"/>
          <w:lang w:val="es-ES"/>
        </w:rPr>
      </w:pPr>
      <w:r w:rsidRPr="00C938B6">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710713">
        <w:rPr>
          <w:rFonts w:ascii="Palatino Linotype" w:hAnsi="Palatino Linotype" w:cs="Tahoma"/>
          <w:bCs/>
          <w:sz w:val="22"/>
          <w:szCs w:val="22"/>
        </w:rPr>
        <w:t>cuatro</w:t>
      </w:r>
      <w:r w:rsidR="00A14307">
        <w:rPr>
          <w:rFonts w:ascii="Palatino Linotype" w:hAnsi="Palatino Linotype" w:cs="Tahoma"/>
          <w:bCs/>
          <w:sz w:val="22"/>
          <w:szCs w:val="22"/>
        </w:rPr>
        <w:t xml:space="preserve"> de </w:t>
      </w:r>
      <w:r w:rsidR="00411021">
        <w:rPr>
          <w:rFonts w:ascii="Palatino Linotype" w:hAnsi="Palatino Linotype" w:cs="Tahoma"/>
          <w:bCs/>
          <w:sz w:val="22"/>
          <w:szCs w:val="22"/>
        </w:rPr>
        <w:t>febrero</w:t>
      </w:r>
      <w:r w:rsidR="00A14307">
        <w:rPr>
          <w:rFonts w:ascii="Palatino Linotype" w:hAnsi="Palatino Linotype" w:cs="Tahoma"/>
          <w:bCs/>
          <w:sz w:val="22"/>
          <w:szCs w:val="22"/>
        </w:rPr>
        <w:t xml:space="preserve"> de dos mil veintidós</w:t>
      </w:r>
      <w:r w:rsidRPr="00C938B6">
        <w:rPr>
          <w:rFonts w:ascii="Palatino Linotype" w:hAnsi="Palatino Linotype" w:cs="Tahoma"/>
          <w:bCs/>
          <w:sz w:val="22"/>
          <w:szCs w:val="22"/>
        </w:rPr>
        <w:t>.</w:t>
      </w:r>
    </w:p>
    <w:p w14:paraId="452162AB" w14:textId="77777777" w:rsidR="00801872" w:rsidRPr="00C938B6" w:rsidRDefault="00801872" w:rsidP="005B031E">
      <w:pPr>
        <w:spacing w:line="360" w:lineRule="auto"/>
        <w:contextualSpacing/>
        <w:jc w:val="both"/>
        <w:rPr>
          <w:rFonts w:ascii="Palatino Linotype" w:hAnsi="Palatino Linotype"/>
          <w:noProof/>
          <w:sz w:val="22"/>
          <w:szCs w:val="22"/>
          <w:lang w:val="es-ES"/>
        </w:rPr>
      </w:pPr>
    </w:p>
    <w:p w14:paraId="2CD312FD" w14:textId="4BC7A6E2" w:rsidR="00801872" w:rsidRPr="00C938B6" w:rsidRDefault="187F5008" w:rsidP="005B031E">
      <w:pPr>
        <w:spacing w:line="360" w:lineRule="auto"/>
        <w:contextualSpacing/>
        <w:jc w:val="both"/>
        <w:rPr>
          <w:rFonts w:ascii="Palatino Linotype" w:eastAsia="Calibri" w:hAnsi="Palatino Linotype" w:cs="Tahoma"/>
          <w:sz w:val="22"/>
          <w:szCs w:val="22"/>
          <w:lang w:eastAsia="en-US"/>
        </w:rPr>
      </w:pPr>
      <w:r w:rsidRPr="187F5008">
        <w:rPr>
          <w:rFonts w:ascii="Palatino Linotype" w:hAnsi="Palatino Linotype" w:cs="Tahoma"/>
          <w:b/>
          <w:bCs/>
          <w:color w:val="0D0D0D" w:themeColor="text1" w:themeTint="F2"/>
          <w:sz w:val="22"/>
          <w:szCs w:val="22"/>
        </w:rPr>
        <w:t>VISTO</w:t>
      </w:r>
      <w:r w:rsidRPr="187F5008">
        <w:rPr>
          <w:rFonts w:ascii="Palatino Linotype" w:hAnsi="Palatino Linotype" w:cs="Tahoma"/>
          <w:color w:val="0D0D0D" w:themeColor="text1" w:themeTint="F2"/>
          <w:sz w:val="22"/>
          <w:szCs w:val="22"/>
        </w:rPr>
        <w:t xml:space="preserve"> el expediente conformado con motivo del Recurso de Revisión </w:t>
      </w:r>
      <w:r w:rsidRPr="187F5008">
        <w:rPr>
          <w:rFonts w:ascii="Palatino Linotype" w:eastAsia="Calibri" w:hAnsi="Palatino Linotype" w:cs="Tahoma"/>
          <w:sz w:val="22"/>
          <w:szCs w:val="22"/>
          <w:lang w:eastAsia="en-US"/>
        </w:rPr>
        <w:t xml:space="preserve">05946/INFOEM/IP/RR/2021, </w:t>
      </w:r>
      <w:r w:rsidRPr="187F5008">
        <w:rPr>
          <w:rFonts w:ascii="Palatino Linotype" w:hAnsi="Palatino Linotype" w:cs="Tahoma"/>
          <w:color w:val="0D0D0D" w:themeColor="text1" w:themeTint="F2"/>
          <w:sz w:val="22"/>
          <w:szCs w:val="22"/>
        </w:rPr>
        <w:t>interpuesto por</w:t>
      </w:r>
      <w:r w:rsidRPr="187F5008">
        <w:rPr>
          <w:rFonts w:ascii="Palatino Linotype" w:eastAsia="Calibri" w:hAnsi="Palatino Linotype" w:cs="Tahoma"/>
          <w:sz w:val="22"/>
          <w:szCs w:val="22"/>
          <w:lang w:eastAsia="en-US"/>
        </w:rPr>
        <w:t xml:space="preserve"> </w:t>
      </w:r>
      <w:r w:rsidRPr="187F5008">
        <w:rPr>
          <w:rFonts w:ascii="Palatino Linotype" w:eastAsia="Calibri" w:hAnsi="Palatino Linotype" w:cs="Tahoma"/>
          <w:sz w:val="22"/>
          <w:szCs w:val="22"/>
          <w:highlight w:val="black"/>
          <w:lang w:eastAsia="en-US"/>
        </w:rPr>
        <w:t>XXXXXXXXXXXXXX</w:t>
      </w:r>
      <w:r w:rsidRPr="187F5008">
        <w:rPr>
          <w:rFonts w:ascii="Palatino Linotype" w:hAnsi="Palatino Linotype" w:cs="Tahoma"/>
          <w:color w:val="0D0D0D" w:themeColor="text1" w:themeTint="F2"/>
          <w:sz w:val="22"/>
          <w:szCs w:val="22"/>
        </w:rPr>
        <w:t xml:space="preserve"> en lo sucesivo Recurrente o Particular, </w:t>
      </w:r>
      <w:r w:rsidRPr="187F5008">
        <w:rPr>
          <w:rFonts w:ascii="Palatino Linotype" w:eastAsia="Calibri" w:hAnsi="Palatino Linotype" w:cs="Tahoma"/>
          <w:sz w:val="22"/>
          <w:szCs w:val="22"/>
          <w:lang w:val="es-ES" w:eastAsia="en-US"/>
        </w:rPr>
        <w:t xml:space="preserve">en contra de la respuesta del Sujeto Obligado, </w:t>
      </w:r>
      <w:r w:rsidRPr="187F5008">
        <w:rPr>
          <w:rFonts w:ascii="Palatino Linotype" w:eastAsia="Calibri" w:hAnsi="Palatino Linotype" w:cs="Tahoma"/>
          <w:sz w:val="22"/>
          <w:szCs w:val="22"/>
          <w:lang w:eastAsia="en-US"/>
        </w:rPr>
        <w:t xml:space="preserve">Ayuntamiento de Xalatlaco, </w:t>
      </w:r>
      <w:r w:rsidRPr="187F5008">
        <w:rPr>
          <w:rFonts w:ascii="Palatino Linotype" w:eastAsia="Calibri" w:hAnsi="Palatino Linotype" w:cs="Tahoma"/>
          <w:sz w:val="22"/>
          <w:szCs w:val="22"/>
          <w:lang w:val="es-ES" w:eastAsia="en-US"/>
        </w:rPr>
        <w:t>a la solicitud de acceso a la información</w:t>
      </w:r>
      <w:r w:rsidRPr="187F5008">
        <w:rPr>
          <w:rFonts w:ascii="Palatino Linotype" w:eastAsia="Calibri" w:hAnsi="Palatino Linotype" w:cs="Tahoma"/>
          <w:sz w:val="22"/>
          <w:szCs w:val="22"/>
          <w:lang w:eastAsia="en-US"/>
        </w:rPr>
        <w:t xml:space="preserve"> 00093/XALATLA/IP/2021</w:t>
      </w:r>
      <w:r w:rsidRPr="187F5008">
        <w:rPr>
          <w:rFonts w:ascii="Palatino Linotype" w:eastAsia="Calibri" w:hAnsi="Palatino Linotype" w:cs="Tahoma"/>
          <w:sz w:val="22"/>
          <w:szCs w:val="22"/>
          <w:lang w:val="es-ES" w:eastAsia="en-US"/>
        </w:rPr>
        <w:t>, se emite la presente Resolución, con base en los Antecedentes y Consideraciones que a continuación se exponen:</w:t>
      </w:r>
    </w:p>
    <w:p w14:paraId="388C37B9" w14:textId="77777777" w:rsidR="00801872" w:rsidRPr="00C938B6" w:rsidRDefault="00801872" w:rsidP="005B031E">
      <w:pPr>
        <w:tabs>
          <w:tab w:val="left" w:pos="2835"/>
        </w:tabs>
        <w:spacing w:line="360" w:lineRule="auto"/>
        <w:ind w:right="-93"/>
        <w:contextualSpacing/>
        <w:jc w:val="both"/>
        <w:rPr>
          <w:rFonts w:ascii="Palatino Linotype" w:eastAsia="Calibri" w:hAnsi="Palatino Linotype" w:cs="Tahoma"/>
          <w:b/>
          <w:bCs/>
          <w:sz w:val="22"/>
          <w:szCs w:val="22"/>
          <w:lang w:eastAsia="en-US"/>
        </w:rPr>
      </w:pPr>
    </w:p>
    <w:p w14:paraId="76427671" w14:textId="77777777" w:rsidR="00801872" w:rsidRPr="00C938B6" w:rsidRDefault="00801872" w:rsidP="005B031E">
      <w:pPr>
        <w:spacing w:line="360" w:lineRule="auto"/>
        <w:ind w:right="-93"/>
        <w:contextualSpacing/>
        <w:jc w:val="center"/>
        <w:rPr>
          <w:rFonts w:ascii="Palatino Linotype" w:eastAsia="Calibri" w:hAnsi="Palatino Linotype" w:cs="Tahoma"/>
          <w:b/>
          <w:bCs/>
          <w:sz w:val="22"/>
          <w:szCs w:val="22"/>
          <w:lang w:eastAsia="en-US"/>
        </w:rPr>
      </w:pPr>
      <w:r w:rsidRPr="00C938B6">
        <w:rPr>
          <w:rFonts w:ascii="Palatino Linotype" w:eastAsia="Calibri" w:hAnsi="Palatino Linotype" w:cs="Tahoma"/>
          <w:b/>
          <w:bCs/>
          <w:sz w:val="22"/>
          <w:szCs w:val="22"/>
          <w:lang w:eastAsia="en-US"/>
        </w:rPr>
        <w:t>A N T E C E D E N T E S:</w:t>
      </w:r>
    </w:p>
    <w:p w14:paraId="6EC6BCC4" w14:textId="77777777" w:rsidR="00801872" w:rsidRPr="00C938B6" w:rsidRDefault="00801872" w:rsidP="005B031E">
      <w:pPr>
        <w:spacing w:line="360" w:lineRule="auto"/>
        <w:ind w:right="-93"/>
        <w:contextualSpacing/>
        <w:jc w:val="both"/>
        <w:rPr>
          <w:rFonts w:ascii="Palatino Linotype" w:eastAsia="Calibri" w:hAnsi="Palatino Linotype" w:cs="Tahoma"/>
          <w:bCs/>
          <w:sz w:val="22"/>
          <w:szCs w:val="22"/>
          <w:lang w:eastAsia="en-US"/>
        </w:rPr>
      </w:pPr>
    </w:p>
    <w:p w14:paraId="5944A4CF" w14:textId="77777777" w:rsidR="00801872" w:rsidRPr="00C938B6" w:rsidRDefault="00801872" w:rsidP="005B031E">
      <w:pPr>
        <w:spacing w:line="360" w:lineRule="auto"/>
        <w:contextualSpacing/>
        <w:jc w:val="both"/>
        <w:rPr>
          <w:rFonts w:ascii="Palatino Linotype" w:eastAsia="Calibri" w:hAnsi="Palatino Linotype" w:cs="Tahoma"/>
          <w:b/>
          <w:bCs/>
          <w:sz w:val="22"/>
          <w:szCs w:val="22"/>
          <w:lang w:eastAsia="en-US"/>
        </w:rPr>
      </w:pPr>
      <w:r w:rsidRPr="00C938B6">
        <w:rPr>
          <w:rFonts w:ascii="Palatino Linotype" w:eastAsia="Calibri" w:hAnsi="Palatino Linotype" w:cs="Tahoma"/>
          <w:b/>
          <w:bCs/>
          <w:sz w:val="22"/>
          <w:szCs w:val="22"/>
          <w:lang w:eastAsia="en-US"/>
        </w:rPr>
        <w:t xml:space="preserve">I. Presentación de la solicitud de información.  </w:t>
      </w:r>
    </w:p>
    <w:p w14:paraId="397391E9" w14:textId="77777777" w:rsidR="00801872" w:rsidRPr="00C938B6" w:rsidRDefault="00801872" w:rsidP="005B031E">
      <w:pPr>
        <w:autoSpaceDE w:val="0"/>
        <w:autoSpaceDN w:val="0"/>
        <w:adjustRightInd w:val="0"/>
        <w:spacing w:line="360" w:lineRule="auto"/>
        <w:jc w:val="both"/>
        <w:rPr>
          <w:rFonts w:ascii="Palatino Linotype" w:hAnsi="Palatino Linotype" w:cs="Tahoma"/>
          <w:sz w:val="22"/>
          <w:szCs w:val="22"/>
        </w:rPr>
      </w:pPr>
    </w:p>
    <w:p w14:paraId="7BF8DBE2" w14:textId="6AAE2D73" w:rsidR="00801872" w:rsidRDefault="00801872" w:rsidP="005B031E">
      <w:pPr>
        <w:autoSpaceDE w:val="0"/>
        <w:autoSpaceDN w:val="0"/>
        <w:adjustRightInd w:val="0"/>
        <w:spacing w:line="360" w:lineRule="auto"/>
        <w:jc w:val="both"/>
        <w:rPr>
          <w:rFonts w:ascii="Palatino Linotype" w:hAnsi="Palatino Linotype" w:cs="Tahoma"/>
          <w:sz w:val="22"/>
          <w:szCs w:val="22"/>
        </w:rPr>
      </w:pPr>
      <w:r w:rsidRPr="00C938B6">
        <w:rPr>
          <w:rFonts w:ascii="Palatino Linotype" w:hAnsi="Palatino Linotype" w:cs="Tahoma"/>
          <w:sz w:val="22"/>
          <w:szCs w:val="22"/>
        </w:rPr>
        <w:t xml:space="preserve">Con fecha </w:t>
      </w:r>
      <w:r w:rsidR="00CB6F34">
        <w:rPr>
          <w:rFonts w:ascii="Palatino Linotype" w:hAnsi="Palatino Linotype" w:cs="Tahoma"/>
          <w:sz w:val="22"/>
          <w:szCs w:val="22"/>
        </w:rPr>
        <w:t>tres</w:t>
      </w:r>
      <w:r w:rsidR="00A14307">
        <w:rPr>
          <w:rFonts w:ascii="Palatino Linotype" w:hAnsi="Palatino Linotype" w:cs="Tahoma"/>
          <w:sz w:val="22"/>
          <w:szCs w:val="22"/>
        </w:rPr>
        <w:t xml:space="preserve"> de </w:t>
      </w:r>
      <w:r w:rsidR="008B6C61">
        <w:rPr>
          <w:rFonts w:ascii="Palatino Linotype" w:hAnsi="Palatino Linotype" w:cs="Tahoma"/>
          <w:sz w:val="22"/>
          <w:szCs w:val="22"/>
        </w:rPr>
        <w:t>noviembre</w:t>
      </w:r>
      <w:r w:rsidR="00A14307">
        <w:rPr>
          <w:rFonts w:ascii="Palatino Linotype" w:hAnsi="Palatino Linotype" w:cs="Tahoma"/>
          <w:sz w:val="22"/>
          <w:szCs w:val="22"/>
        </w:rPr>
        <w:t xml:space="preserve"> de dos mil veintiuno, el Particular presentó una solicitud de acceso a la información pública a través del Sistema de Acceso a la Información Mexiquense (SAIMEX)</w:t>
      </w:r>
      <w:r w:rsidR="002D46B4">
        <w:rPr>
          <w:rFonts w:ascii="Palatino Linotype" w:hAnsi="Palatino Linotype" w:cs="Tahoma"/>
          <w:sz w:val="22"/>
          <w:szCs w:val="22"/>
        </w:rPr>
        <w:t xml:space="preserve"> </w:t>
      </w:r>
      <w:r w:rsidR="00BE73E6" w:rsidRPr="00C938B6">
        <w:rPr>
          <w:rFonts w:ascii="Palatino Linotype" w:eastAsia="Calibri" w:hAnsi="Palatino Linotype" w:cs="Tahoma"/>
          <w:color w:val="000000"/>
          <w:sz w:val="22"/>
          <w:szCs w:val="22"/>
          <w:lang w:eastAsia="en-US"/>
        </w:rPr>
        <w:t>mediante la cual requirió:</w:t>
      </w:r>
    </w:p>
    <w:p w14:paraId="0EEE8EAF" w14:textId="77777777" w:rsidR="002D46B4" w:rsidRPr="002D46B4" w:rsidRDefault="002D46B4" w:rsidP="005B031E">
      <w:pPr>
        <w:autoSpaceDE w:val="0"/>
        <w:autoSpaceDN w:val="0"/>
        <w:adjustRightInd w:val="0"/>
        <w:spacing w:line="360" w:lineRule="auto"/>
        <w:jc w:val="both"/>
        <w:rPr>
          <w:rFonts w:ascii="Palatino Linotype" w:hAnsi="Palatino Linotype" w:cs="Tahoma"/>
          <w:sz w:val="22"/>
          <w:szCs w:val="22"/>
        </w:rPr>
      </w:pPr>
    </w:p>
    <w:p w14:paraId="2FEEFDB3" w14:textId="60589B20" w:rsidR="000343A4" w:rsidRDefault="000343A4" w:rsidP="005B031E">
      <w:pPr>
        <w:spacing w:line="360" w:lineRule="auto"/>
        <w:ind w:left="567" w:right="567"/>
        <w:contextualSpacing/>
        <w:rPr>
          <w:rFonts w:ascii="Palatino Linotype" w:hAnsi="Palatino Linotype" w:cs="Tahoma"/>
          <w:b/>
          <w:i/>
          <w:iCs/>
        </w:rPr>
      </w:pPr>
      <w:r w:rsidRPr="000343A4">
        <w:rPr>
          <w:rFonts w:ascii="Palatino Linotype" w:hAnsi="Palatino Linotype" w:cs="Tahoma"/>
          <w:b/>
          <w:bCs/>
          <w:i/>
          <w:iCs/>
        </w:rPr>
        <w:t>00093/XALATLA/IP/2021</w:t>
      </w:r>
    </w:p>
    <w:p w14:paraId="15187AB8" w14:textId="1EEAC75D" w:rsidR="00801872" w:rsidRPr="00C938B6" w:rsidRDefault="00801872" w:rsidP="005B031E">
      <w:pPr>
        <w:spacing w:line="360" w:lineRule="auto"/>
        <w:ind w:left="567" w:right="567"/>
        <w:contextualSpacing/>
        <w:rPr>
          <w:rFonts w:ascii="Palatino Linotype" w:hAnsi="Palatino Linotype" w:cs="Tahoma"/>
          <w:b/>
          <w:i/>
          <w:iCs/>
        </w:rPr>
      </w:pPr>
      <w:r w:rsidRPr="00C938B6">
        <w:rPr>
          <w:rFonts w:ascii="Palatino Linotype" w:hAnsi="Palatino Linotype" w:cs="Tahoma"/>
          <w:b/>
          <w:i/>
          <w:iCs/>
        </w:rPr>
        <w:t>DESCRIPCIÓN CLARA Y PRECISA DE LA INFORMACIÓN SOLICITADA</w:t>
      </w:r>
    </w:p>
    <w:p w14:paraId="6728A402" w14:textId="5164614B" w:rsidR="00801872" w:rsidRPr="00C938B6" w:rsidRDefault="002D46B4" w:rsidP="005B031E">
      <w:pPr>
        <w:spacing w:line="360" w:lineRule="auto"/>
        <w:ind w:left="567" w:right="567"/>
        <w:contextualSpacing/>
        <w:jc w:val="both"/>
        <w:rPr>
          <w:rFonts w:ascii="Palatino Linotype" w:hAnsi="Palatino Linotype"/>
          <w:bCs/>
          <w:i/>
          <w:iCs/>
          <w:color w:val="000000"/>
        </w:rPr>
      </w:pPr>
      <w:bookmarkStart w:id="0" w:name="_Hlk93400387"/>
      <w:r>
        <w:rPr>
          <w:rFonts w:ascii="Palatino Linotype" w:hAnsi="Palatino Linotype"/>
          <w:bCs/>
          <w:i/>
          <w:iCs/>
          <w:color w:val="000000"/>
        </w:rPr>
        <w:t>“</w:t>
      </w:r>
      <w:r w:rsidR="00CB6F34" w:rsidRPr="00CB6F34">
        <w:rPr>
          <w:rFonts w:ascii="Palatino Linotype" w:hAnsi="Palatino Linotype"/>
          <w:bCs/>
          <w:i/>
          <w:iCs/>
          <w:color w:val="000000"/>
        </w:rPr>
        <w:t xml:space="preserve">se requiere el censo más reciente, con el que se factura el alumbrado público del municipio, firmado </w:t>
      </w:r>
      <w:proofErr w:type="gramStart"/>
      <w:r w:rsidR="00CB6F34" w:rsidRPr="00CB6F34">
        <w:rPr>
          <w:rFonts w:ascii="Palatino Linotype" w:hAnsi="Palatino Linotype"/>
          <w:bCs/>
          <w:i/>
          <w:iCs/>
          <w:color w:val="000000"/>
        </w:rPr>
        <w:t>por</w:t>
      </w:r>
      <w:proofErr w:type="gramEnd"/>
      <w:r w:rsidR="00CB6F34" w:rsidRPr="00CB6F34">
        <w:rPr>
          <w:rFonts w:ascii="Palatino Linotype" w:hAnsi="Palatino Linotype"/>
          <w:bCs/>
          <w:i/>
          <w:iCs/>
          <w:color w:val="000000"/>
        </w:rPr>
        <w:t xml:space="preserve"> la Comisión Federal de Electricidad y el Municipio. </w:t>
      </w:r>
      <w:proofErr w:type="gramStart"/>
      <w:r w:rsidR="00CB6F34" w:rsidRPr="00CB6F34">
        <w:rPr>
          <w:rFonts w:ascii="Palatino Linotype" w:hAnsi="Palatino Linotype"/>
          <w:bCs/>
          <w:i/>
          <w:iCs/>
          <w:color w:val="000000"/>
        </w:rPr>
        <w:t>se</w:t>
      </w:r>
      <w:proofErr w:type="gramEnd"/>
      <w:r w:rsidR="00CB6F34" w:rsidRPr="00CB6F34">
        <w:rPr>
          <w:rFonts w:ascii="Palatino Linotype" w:hAnsi="Palatino Linotype"/>
          <w:bCs/>
          <w:i/>
          <w:iCs/>
          <w:color w:val="000000"/>
        </w:rPr>
        <w:t xml:space="preserve"> requiere información sobre la recaudación del DAP más reciente</w:t>
      </w:r>
      <w:r w:rsidR="00801872" w:rsidRPr="00C938B6">
        <w:rPr>
          <w:rFonts w:ascii="Palatino Linotype" w:hAnsi="Palatino Linotype"/>
          <w:bCs/>
          <w:i/>
          <w:iCs/>
          <w:color w:val="000000"/>
        </w:rPr>
        <w:t>”</w:t>
      </w:r>
      <w:r>
        <w:rPr>
          <w:rFonts w:ascii="Palatino Linotype" w:hAnsi="Palatino Linotype"/>
          <w:bCs/>
          <w:i/>
          <w:iCs/>
          <w:color w:val="000000"/>
        </w:rPr>
        <w:t xml:space="preserve">. </w:t>
      </w:r>
      <w:r w:rsidR="00801872" w:rsidRPr="00C938B6">
        <w:rPr>
          <w:rFonts w:ascii="Palatino Linotype" w:hAnsi="Palatino Linotype"/>
          <w:bCs/>
          <w:i/>
          <w:iCs/>
          <w:color w:val="000000"/>
        </w:rPr>
        <w:t xml:space="preserve">(Sic) </w:t>
      </w:r>
    </w:p>
    <w:bookmarkEnd w:id="0"/>
    <w:p w14:paraId="1D28BF4A" w14:textId="77777777" w:rsidR="00801872" w:rsidRPr="00C938B6" w:rsidRDefault="00801872" w:rsidP="005B031E">
      <w:pPr>
        <w:spacing w:line="360" w:lineRule="auto"/>
        <w:ind w:left="567" w:right="567"/>
        <w:contextualSpacing/>
        <w:jc w:val="both"/>
        <w:rPr>
          <w:rFonts w:ascii="Palatino Linotype" w:hAnsi="Palatino Linotype"/>
          <w:bCs/>
          <w:i/>
          <w:iCs/>
          <w:color w:val="000000"/>
        </w:rPr>
      </w:pPr>
    </w:p>
    <w:p w14:paraId="3F3F3633" w14:textId="77777777" w:rsidR="00801872" w:rsidRPr="00C938B6" w:rsidRDefault="00801872" w:rsidP="005B031E">
      <w:pPr>
        <w:tabs>
          <w:tab w:val="left" w:pos="4667"/>
        </w:tabs>
        <w:spacing w:line="360" w:lineRule="auto"/>
        <w:ind w:left="567" w:right="567"/>
        <w:rPr>
          <w:rFonts w:ascii="Palatino Linotype" w:hAnsi="Palatino Linotype" w:cs="Tahoma"/>
          <w:b/>
          <w:bCs/>
          <w:i/>
          <w:iCs/>
        </w:rPr>
      </w:pPr>
      <w:r w:rsidRPr="00C938B6">
        <w:rPr>
          <w:rFonts w:ascii="Palatino Linotype" w:hAnsi="Palatino Linotype" w:cs="Tahoma"/>
          <w:b/>
          <w:bCs/>
          <w:i/>
          <w:iCs/>
        </w:rPr>
        <w:t>“MODALIDAD DE ENTREGA</w:t>
      </w:r>
    </w:p>
    <w:p w14:paraId="512220DB" w14:textId="12F54C12" w:rsidR="002C7AD5" w:rsidRDefault="00801872" w:rsidP="00AA77D7">
      <w:pPr>
        <w:spacing w:line="360" w:lineRule="auto"/>
        <w:ind w:left="567" w:right="567"/>
        <w:rPr>
          <w:rFonts w:ascii="Palatino Linotype" w:hAnsi="Palatino Linotype" w:cs="Arial"/>
          <w:bCs/>
          <w:i/>
          <w:iCs/>
        </w:rPr>
      </w:pPr>
      <w:r w:rsidRPr="00C938B6">
        <w:rPr>
          <w:rFonts w:ascii="Palatino Linotype" w:hAnsi="Palatino Linotype" w:cs="Arial"/>
          <w:bCs/>
          <w:i/>
          <w:iCs/>
        </w:rPr>
        <w:t>A través del SAIMEX</w:t>
      </w:r>
      <w:r w:rsidR="00AA77D7">
        <w:rPr>
          <w:rFonts w:ascii="Palatino Linotype" w:hAnsi="Palatino Linotype" w:cs="Arial"/>
          <w:bCs/>
          <w:i/>
          <w:iCs/>
        </w:rPr>
        <w:t xml:space="preserve">. </w:t>
      </w:r>
    </w:p>
    <w:p w14:paraId="67741AF7" w14:textId="6C3B5A0F" w:rsidR="00CB6F34" w:rsidRDefault="00CB6F34" w:rsidP="00CB6F34">
      <w:pPr>
        <w:spacing w:line="360" w:lineRule="auto"/>
        <w:ind w:right="567"/>
        <w:rPr>
          <w:rFonts w:ascii="Palatino Linotype" w:hAnsi="Palatino Linotype" w:cs="Arial"/>
          <w:bCs/>
        </w:rPr>
      </w:pPr>
    </w:p>
    <w:p w14:paraId="3BFAD39B" w14:textId="5186C964" w:rsidR="00CB6F34" w:rsidRDefault="00CB6F34" w:rsidP="00292718">
      <w:pPr>
        <w:spacing w:line="360" w:lineRule="auto"/>
        <w:ind w:right="-28"/>
        <w:rPr>
          <w:rFonts w:ascii="Palatino Linotype" w:hAnsi="Palatino Linotype" w:cs="Arial"/>
          <w:bCs/>
          <w:sz w:val="22"/>
          <w:szCs w:val="22"/>
        </w:rPr>
      </w:pPr>
      <w:r w:rsidRPr="00CB6F34">
        <w:rPr>
          <w:rFonts w:ascii="Palatino Linotype" w:hAnsi="Palatino Linotype" w:cs="Arial"/>
          <w:bCs/>
          <w:sz w:val="22"/>
          <w:szCs w:val="22"/>
        </w:rPr>
        <w:lastRenderedPageBreak/>
        <w:t>Asimismo</w:t>
      </w:r>
      <w:r>
        <w:rPr>
          <w:rFonts w:ascii="Palatino Linotype" w:hAnsi="Palatino Linotype" w:cs="Arial"/>
          <w:bCs/>
          <w:sz w:val="22"/>
          <w:szCs w:val="22"/>
        </w:rPr>
        <w:t>, adjunt</w:t>
      </w:r>
      <w:r w:rsidR="009F383A">
        <w:rPr>
          <w:rFonts w:ascii="Palatino Linotype" w:hAnsi="Palatino Linotype" w:cs="Arial"/>
          <w:bCs/>
          <w:sz w:val="22"/>
          <w:szCs w:val="22"/>
        </w:rPr>
        <w:t xml:space="preserve">ó a su solicitud un archivo de nombre </w:t>
      </w:r>
      <w:r w:rsidR="009F383A">
        <w:rPr>
          <w:rFonts w:ascii="Palatino Linotype" w:hAnsi="Palatino Linotype" w:cs="Arial"/>
          <w:b/>
          <w:sz w:val="22"/>
          <w:szCs w:val="22"/>
        </w:rPr>
        <w:t>solicitud de información.docx</w:t>
      </w:r>
      <w:r w:rsidR="00903608">
        <w:rPr>
          <w:rFonts w:ascii="Palatino Linotype" w:hAnsi="Palatino Linotype" w:cs="Arial"/>
          <w:b/>
          <w:sz w:val="22"/>
          <w:szCs w:val="22"/>
        </w:rPr>
        <w:t xml:space="preserve"> </w:t>
      </w:r>
      <w:r w:rsidR="00903608">
        <w:rPr>
          <w:rFonts w:ascii="Palatino Linotype" w:hAnsi="Palatino Linotype" w:cs="Arial"/>
          <w:bCs/>
          <w:sz w:val="22"/>
          <w:szCs w:val="22"/>
        </w:rPr>
        <w:t xml:space="preserve">el cual contiene lo siguiente: </w:t>
      </w:r>
    </w:p>
    <w:p w14:paraId="3AE8E5A8" w14:textId="13BF4031" w:rsidR="00903608" w:rsidRDefault="00903608" w:rsidP="00CB6F34">
      <w:pPr>
        <w:spacing w:line="360" w:lineRule="auto"/>
        <w:ind w:right="567"/>
        <w:rPr>
          <w:rFonts w:ascii="Palatino Linotype" w:hAnsi="Palatino Linotype" w:cs="Arial"/>
          <w:bCs/>
          <w:sz w:val="22"/>
          <w:szCs w:val="22"/>
        </w:rPr>
      </w:pPr>
    </w:p>
    <w:p w14:paraId="5081FB8C" w14:textId="77777777" w:rsidR="00903608" w:rsidRPr="00903608" w:rsidRDefault="00903608" w:rsidP="00903608">
      <w:pPr>
        <w:numPr>
          <w:ilvl w:val="0"/>
          <w:numId w:val="26"/>
        </w:numPr>
        <w:spacing w:line="360" w:lineRule="auto"/>
        <w:ind w:right="567"/>
        <w:jc w:val="both"/>
        <w:rPr>
          <w:rFonts w:ascii="Palatino Linotype" w:hAnsi="Palatino Linotype" w:cs="Arial"/>
          <w:bCs/>
          <w:sz w:val="22"/>
          <w:szCs w:val="22"/>
        </w:rPr>
      </w:pPr>
      <w:r w:rsidRPr="00903608">
        <w:rPr>
          <w:rFonts w:ascii="Palatino Linotype" w:hAnsi="Palatino Linotype" w:cs="Arial"/>
          <w:bCs/>
          <w:sz w:val="22"/>
          <w:szCs w:val="22"/>
        </w:rPr>
        <w:t>Se requiere ¿cuánto se factura mensualmente en alumbrado público? y ¿cuánto se recauda por derechos de alumbrado público?, y en su caso, el adeudo que se genera y ¿si ya se pagó o no la diferencia entre facturación y DAP? o ¿si existe un saldo a favor del municipio?, Se requiere la información mes por mes del periodo de 1° de enero de 2020 al 31 de octubre de 2021. Se solicita adicionalmente, los avisos recibos emitidos mes con mes por la Comisión Federal de Electricidad por el mismo periodo.</w:t>
      </w:r>
    </w:p>
    <w:p w14:paraId="259BFD42" w14:textId="77777777" w:rsidR="00903608" w:rsidRPr="00903608" w:rsidRDefault="00903608" w:rsidP="00903608">
      <w:pPr>
        <w:numPr>
          <w:ilvl w:val="0"/>
          <w:numId w:val="26"/>
        </w:numPr>
        <w:spacing w:line="360" w:lineRule="auto"/>
        <w:ind w:right="567"/>
        <w:jc w:val="both"/>
        <w:rPr>
          <w:rFonts w:ascii="Palatino Linotype" w:hAnsi="Palatino Linotype" w:cs="Arial"/>
          <w:bCs/>
          <w:sz w:val="22"/>
          <w:szCs w:val="22"/>
        </w:rPr>
      </w:pPr>
      <w:r w:rsidRPr="00903608">
        <w:rPr>
          <w:rFonts w:ascii="Palatino Linotype" w:hAnsi="Palatino Linotype" w:cs="Arial"/>
          <w:bCs/>
          <w:i/>
          <w:sz w:val="22"/>
          <w:szCs w:val="22"/>
        </w:rPr>
        <w:t xml:space="preserve">Se solicita el censo </w:t>
      </w:r>
      <w:r w:rsidRPr="00903608">
        <w:rPr>
          <w:rFonts w:ascii="Palatino Linotype" w:hAnsi="Palatino Linotype" w:cs="Arial"/>
          <w:bCs/>
          <w:sz w:val="22"/>
          <w:szCs w:val="22"/>
        </w:rPr>
        <w:t>de alumbrado público firmado por la Comisión Federal de Electricidad (CFE) de los ejercicios 2020 o en su caso, el censo más reciente del municipio en colaboración de la CFE, en el que se desglose la siguiente información:</w:t>
      </w:r>
    </w:p>
    <w:p w14:paraId="6C4F86D2" w14:textId="77777777" w:rsidR="00903608" w:rsidRPr="00903608" w:rsidRDefault="00903608" w:rsidP="00903608">
      <w:pPr>
        <w:spacing w:line="360" w:lineRule="auto"/>
        <w:ind w:right="567"/>
        <w:jc w:val="both"/>
        <w:rPr>
          <w:rFonts w:ascii="Palatino Linotype" w:hAnsi="Palatino Linotype" w:cs="Arial"/>
          <w:bCs/>
          <w:sz w:val="22"/>
          <w:szCs w:val="22"/>
          <w:lang w:bidi="es-ES"/>
        </w:rPr>
      </w:pPr>
    </w:p>
    <w:p w14:paraId="4A0334BC" w14:textId="02D1DC50" w:rsidR="00903608" w:rsidRPr="00903608" w:rsidRDefault="00903608" w:rsidP="00903608">
      <w:pPr>
        <w:numPr>
          <w:ilvl w:val="1"/>
          <w:numId w:val="27"/>
        </w:numPr>
        <w:spacing w:line="360" w:lineRule="auto"/>
        <w:ind w:right="567"/>
        <w:jc w:val="both"/>
        <w:rPr>
          <w:rFonts w:ascii="Palatino Linotype" w:hAnsi="Palatino Linotype" w:cs="Arial"/>
          <w:bCs/>
          <w:sz w:val="22"/>
          <w:szCs w:val="22"/>
        </w:rPr>
      </w:pPr>
      <w:r w:rsidRPr="00903608">
        <w:rPr>
          <w:rFonts w:ascii="Palatino Linotype" w:hAnsi="Palatino Linotype" w:cs="Arial"/>
          <w:bCs/>
          <w:sz w:val="22"/>
          <w:szCs w:val="22"/>
        </w:rPr>
        <w:t>Cantidad de luminarias y balastros, el tipo de equipos, la capacidad (</w:t>
      </w:r>
      <w:r w:rsidRPr="00903608">
        <w:rPr>
          <w:rFonts w:ascii="Palatino Linotype" w:hAnsi="Palatino Linotype" w:cs="Arial"/>
          <w:b/>
          <w:bCs/>
          <w:sz w:val="22"/>
          <w:szCs w:val="22"/>
        </w:rPr>
        <w:t>potencia</w:t>
      </w:r>
      <w:r w:rsidRPr="00903608">
        <w:rPr>
          <w:rFonts w:ascii="Palatino Linotype" w:hAnsi="Palatino Linotype" w:cs="Arial"/>
          <w:bCs/>
          <w:sz w:val="22"/>
          <w:szCs w:val="22"/>
        </w:rPr>
        <w:t>), la ubicación (</w:t>
      </w:r>
      <w:r w:rsidRPr="00903608">
        <w:rPr>
          <w:rFonts w:ascii="Palatino Linotype" w:hAnsi="Palatino Linotype" w:cs="Arial"/>
          <w:b/>
          <w:bCs/>
          <w:sz w:val="22"/>
          <w:szCs w:val="22"/>
        </w:rPr>
        <w:t>calle y/o colonia y/o delegación</w:t>
      </w:r>
      <w:r w:rsidRPr="00903608">
        <w:rPr>
          <w:rFonts w:ascii="Palatino Linotype" w:hAnsi="Palatino Linotype" w:cs="Arial"/>
          <w:bCs/>
          <w:sz w:val="22"/>
          <w:szCs w:val="22"/>
        </w:rPr>
        <w:t>), y el tipo de poste en el que están montadas las luminarias (</w:t>
      </w:r>
      <w:r w:rsidRPr="00903608">
        <w:rPr>
          <w:rFonts w:ascii="Palatino Linotype" w:hAnsi="Palatino Linotype" w:cs="Arial"/>
          <w:b/>
          <w:bCs/>
          <w:sz w:val="22"/>
          <w:szCs w:val="22"/>
        </w:rPr>
        <w:t>lámina, concreto, madera etcétera</w:t>
      </w:r>
      <w:r w:rsidRPr="00903608">
        <w:rPr>
          <w:rFonts w:ascii="Palatino Linotype" w:hAnsi="Palatino Linotype" w:cs="Arial"/>
          <w:bCs/>
          <w:sz w:val="22"/>
          <w:szCs w:val="22"/>
        </w:rPr>
        <w:t>).</w:t>
      </w:r>
    </w:p>
    <w:p w14:paraId="780ADEF8" w14:textId="77777777" w:rsidR="00903608" w:rsidRPr="00903608" w:rsidRDefault="00903608" w:rsidP="00903608">
      <w:pPr>
        <w:numPr>
          <w:ilvl w:val="1"/>
          <w:numId w:val="27"/>
        </w:numPr>
        <w:spacing w:line="360" w:lineRule="auto"/>
        <w:ind w:right="567"/>
        <w:jc w:val="both"/>
        <w:rPr>
          <w:rFonts w:ascii="Palatino Linotype" w:hAnsi="Palatino Linotype" w:cs="Arial"/>
          <w:bCs/>
          <w:sz w:val="22"/>
          <w:szCs w:val="22"/>
        </w:rPr>
      </w:pPr>
      <w:r w:rsidRPr="00903608">
        <w:rPr>
          <w:rFonts w:ascii="Palatino Linotype" w:hAnsi="Palatino Linotype" w:cs="Arial"/>
          <w:bCs/>
          <w:sz w:val="22"/>
          <w:szCs w:val="22"/>
        </w:rPr>
        <w:t xml:space="preserve">El </w:t>
      </w:r>
      <w:r w:rsidRPr="00903608">
        <w:rPr>
          <w:rFonts w:ascii="Palatino Linotype" w:hAnsi="Palatino Linotype" w:cs="Arial"/>
          <w:b/>
          <w:bCs/>
          <w:sz w:val="22"/>
          <w:szCs w:val="22"/>
        </w:rPr>
        <w:t xml:space="preserve">Registro Permanente de Usuario </w:t>
      </w:r>
      <w:r w:rsidRPr="00903608">
        <w:rPr>
          <w:rFonts w:ascii="Palatino Linotype" w:hAnsi="Palatino Linotype" w:cs="Arial"/>
          <w:bCs/>
          <w:sz w:val="22"/>
          <w:szCs w:val="22"/>
        </w:rPr>
        <w:t xml:space="preserve">(RPU o RPUs) asignado (s) al servicio de alumbrado público municipal </w:t>
      </w:r>
      <w:r w:rsidRPr="00903608">
        <w:rPr>
          <w:rFonts w:ascii="Palatino Linotype" w:hAnsi="Palatino Linotype" w:cs="Arial"/>
          <w:b/>
          <w:bCs/>
          <w:sz w:val="22"/>
          <w:szCs w:val="22"/>
        </w:rPr>
        <w:t>tanto del servicio estimado como del servicio medido</w:t>
      </w:r>
      <w:r w:rsidRPr="00903608">
        <w:rPr>
          <w:rFonts w:ascii="Palatino Linotype" w:hAnsi="Palatino Linotype" w:cs="Arial"/>
          <w:bCs/>
          <w:sz w:val="22"/>
          <w:szCs w:val="22"/>
        </w:rPr>
        <w:t>.</w:t>
      </w:r>
    </w:p>
    <w:p w14:paraId="5418C5A8" w14:textId="77777777" w:rsidR="00903608" w:rsidRPr="00903608" w:rsidRDefault="00903608" w:rsidP="00903608">
      <w:pPr>
        <w:numPr>
          <w:ilvl w:val="0"/>
          <w:numId w:val="28"/>
        </w:numPr>
        <w:spacing w:line="360" w:lineRule="auto"/>
        <w:ind w:right="567"/>
        <w:jc w:val="both"/>
        <w:rPr>
          <w:rFonts w:ascii="Palatino Linotype" w:hAnsi="Palatino Linotype" w:cs="Arial"/>
          <w:b/>
          <w:bCs/>
          <w:sz w:val="22"/>
          <w:szCs w:val="22"/>
        </w:rPr>
      </w:pPr>
      <w:r w:rsidRPr="00903608">
        <w:rPr>
          <w:rFonts w:ascii="Palatino Linotype" w:hAnsi="Palatino Linotype" w:cs="Arial"/>
          <w:bCs/>
          <w:sz w:val="22"/>
          <w:szCs w:val="22"/>
        </w:rPr>
        <w:t xml:space="preserve">La cantidad desglosada de luminarias y balastros instalados, el tipo de equipos y su capacidad (potencia) </w:t>
      </w:r>
      <w:r w:rsidRPr="00903608">
        <w:rPr>
          <w:rFonts w:ascii="Palatino Linotype" w:hAnsi="Palatino Linotype" w:cs="Arial"/>
          <w:b/>
          <w:bCs/>
          <w:sz w:val="22"/>
          <w:szCs w:val="22"/>
        </w:rPr>
        <w:t>instalados en las avenidas principales del municipio.</w:t>
      </w:r>
    </w:p>
    <w:p w14:paraId="556397B8" w14:textId="77777777" w:rsidR="00903608" w:rsidRPr="00903608" w:rsidRDefault="00903608" w:rsidP="00903608">
      <w:pPr>
        <w:spacing w:line="360" w:lineRule="auto"/>
        <w:ind w:right="567"/>
        <w:jc w:val="both"/>
        <w:rPr>
          <w:rFonts w:ascii="Palatino Linotype" w:hAnsi="Palatino Linotype" w:cs="Arial"/>
          <w:b/>
          <w:bCs/>
          <w:sz w:val="22"/>
          <w:szCs w:val="22"/>
          <w:lang w:bidi="es-ES"/>
        </w:rPr>
      </w:pPr>
    </w:p>
    <w:p w14:paraId="68C057F1" w14:textId="77777777" w:rsidR="00903608" w:rsidRPr="00903608" w:rsidRDefault="00903608" w:rsidP="00903608">
      <w:pPr>
        <w:numPr>
          <w:ilvl w:val="0"/>
          <w:numId w:val="28"/>
        </w:numPr>
        <w:spacing w:line="360" w:lineRule="auto"/>
        <w:ind w:right="567"/>
        <w:jc w:val="both"/>
        <w:rPr>
          <w:rFonts w:ascii="Palatino Linotype" w:hAnsi="Palatino Linotype" w:cs="Arial"/>
          <w:bCs/>
          <w:sz w:val="22"/>
          <w:szCs w:val="22"/>
        </w:rPr>
      </w:pPr>
      <w:r w:rsidRPr="00903608">
        <w:rPr>
          <w:rFonts w:ascii="Palatino Linotype" w:hAnsi="Palatino Linotype" w:cs="Arial"/>
          <w:bCs/>
          <w:sz w:val="22"/>
          <w:szCs w:val="22"/>
        </w:rPr>
        <w:lastRenderedPageBreak/>
        <w:t xml:space="preserve">La cantidad de luminarias y balastros instalados, el tipo de equipos y su capacidad (potencia) instalados que </w:t>
      </w:r>
      <w:r w:rsidRPr="00903608">
        <w:rPr>
          <w:rFonts w:ascii="Palatino Linotype" w:hAnsi="Palatino Linotype" w:cs="Arial"/>
          <w:b/>
          <w:bCs/>
          <w:sz w:val="22"/>
          <w:szCs w:val="22"/>
        </w:rPr>
        <w:t>poseen equipo de medición</w:t>
      </w:r>
      <w:r w:rsidRPr="00903608">
        <w:rPr>
          <w:rFonts w:ascii="Palatino Linotype" w:hAnsi="Palatino Linotype" w:cs="Arial"/>
          <w:bCs/>
          <w:sz w:val="22"/>
          <w:szCs w:val="22"/>
        </w:rPr>
        <w:t>.</w:t>
      </w:r>
    </w:p>
    <w:p w14:paraId="75E3285E" w14:textId="77777777" w:rsidR="00903608" w:rsidRPr="00903608" w:rsidRDefault="00903608" w:rsidP="00CB6F34">
      <w:pPr>
        <w:spacing w:line="360" w:lineRule="auto"/>
        <w:ind w:right="567"/>
        <w:rPr>
          <w:rFonts w:ascii="Palatino Linotype" w:hAnsi="Palatino Linotype" w:cs="Arial"/>
          <w:bCs/>
          <w:sz w:val="22"/>
          <w:szCs w:val="22"/>
        </w:rPr>
      </w:pPr>
    </w:p>
    <w:p w14:paraId="25D9F666" w14:textId="77777777" w:rsidR="00801872" w:rsidRPr="00C938B6" w:rsidRDefault="00801872" w:rsidP="005B031E">
      <w:pPr>
        <w:pStyle w:val="Prrafodelista"/>
        <w:tabs>
          <w:tab w:val="left" w:pos="567"/>
        </w:tabs>
        <w:spacing w:line="360" w:lineRule="auto"/>
        <w:ind w:left="0"/>
        <w:jc w:val="both"/>
        <w:rPr>
          <w:rFonts w:ascii="Palatino Linotype" w:hAnsi="Palatino Linotype" w:cs="Tahoma"/>
          <w:szCs w:val="22"/>
        </w:rPr>
      </w:pPr>
      <w:r w:rsidRPr="00C938B6">
        <w:rPr>
          <w:rFonts w:ascii="Palatino Linotype" w:hAnsi="Palatino Linotype" w:cs="Tahoma"/>
          <w:b/>
          <w:szCs w:val="22"/>
        </w:rPr>
        <w:t>II. Respuesta del Sujeto Obligado.</w:t>
      </w:r>
    </w:p>
    <w:p w14:paraId="35CE8038" w14:textId="77777777" w:rsidR="00801872" w:rsidRPr="00C938B6" w:rsidRDefault="00801872" w:rsidP="005B031E">
      <w:pPr>
        <w:autoSpaceDE w:val="0"/>
        <w:autoSpaceDN w:val="0"/>
        <w:adjustRightInd w:val="0"/>
        <w:spacing w:line="360" w:lineRule="auto"/>
        <w:ind w:right="-28"/>
        <w:jc w:val="both"/>
        <w:rPr>
          <w:rFonts w:ascii="Palatino Linotype" w:hAnsi="Palatino Linotype" w:cs="Tahoma"/>
          <w:bCs/>
          <w:sz w:val="22"/>
          <w:szCs w:val="22"/>
        </w:rPr>
      </w:pPr>
    </w:p>
    <w:p w14:paraId="64837A06" w14:textId="7FE16CF4" w:rsidR="001439DF" w:rsidRPr="00D611AA" w:rsidRDefault="009E7C84" w:rsidP="005B031E">
      <w:pPr>
        <w:autoSpaceDE w:val="0"/>
        <w:autoSpaceDN w:val="0"/>
        <w:adjustRightInd w:val="0"/>
        <w:spacing w:line="360" w:lineRule="auto"/>
        <w:ind w:right="-28"/>
        <w:jc w:val="both"/>
        <w:rPr>
          <w:rFonts w:ascii="Palatino Linotype" w:hAnsi="Palatino Linotype" w:cs="Tahoma"/>
          <w:bCs/>
          <w:sz w:val="22"/>
          <w:szCs w:val="22"/>
        </w:rPr>
      </w:pPr>
      <w:bookmarkStart w:id="1" w:name="_Hlk93400407"/>
      <w:r>
        <w:rPr>
          <w:rFonts w:ascii="Palatino Linotype" w:hAnsi="Palatino Linotype" w:cs="Tahoma"/>
          <w:bCs/>
          <w:sz w:val="22"/>
          <w:szCs w:val="22"/>
        </w:rPr>
        <w:t>De conformidad con el artículo 163, párrafo primero</w:t>
      </w:r>
      <w:r w:rsidR="00A25536">
        <w:rPr>
          <w:rFonts w:ascii="Palatino Linotype" w:hAnsi="Palatino Linotype" w:cs="Tahoma"/>
          <w:bCs/>
          <w:sz w:val="22"/>
          <w:szCs w:val="22"/>
        </w:rPr>
        <w:t xml:space="preserve"> de la Ley de Transparencia y Acceso a la Información Pública del Estado de México y Municipios, el Sujeto Obligado debió dar contestación a la solicitud de acceso a la información; sin embar</w:t>
      </w:r>
      <w:r w:rsidR="006F5CA4">
        <w:rPr>
          <w:rFonts w:ascii="Palatino Linotype" w:hAnsi="Palatino Linotype" w:cs="Tahoma"/>
          <w:bCs/>
          <w:sz w:val="22"/>
          <w:szCs w:val="22"/>
        </w:rPr>
        <w:t xml:space="preserve">go, de las constancias que obran en el expediente electrónico del Sistema de Acceso a la Información Mexiquense (SAIMEX), se advierte que el Ayuntamiento de Xalatlaco, omitió dar respuesta a la solicitud de información, por lo que se </w:t>
      </w:r>
      <w:r w:rsidR="006F5CA4">
        <w:rPr>
          <w:rFonts w:ascii="Palatino Linotype" w:hAnsi="Palatino Linotype" w:cs="Tahoma"/>
          <w:b/>
          <w:sz w:val="22"/>
          <w:szCs w:val="22"/>
        </w:rPr>
        <w:t xml:space="preserve">configura la negativa </w:t>
      </w:r>
      <w:r w:rsidR="00D611AA">
        <w:rPr>
          <w:rFonts w:ascii="Palatino Linotype" w:hAnsi="Palatino Linotype" w:cs="Tahoma"/>
          <w:b/>
          <w:sz w:val="22"/>
          <w:szCs w:val="22"/>
        </w:rPr>
        <w:t xml:space="preserve">ficta </w:t>
      </w:r>
      <w:r w:rsidR="00D611AA">
        <w:rPr>
          <w:rFonts w:ascii="Palatino Linotype" w:hAnsi="Palatino Linotype" w:cs="Tahoma"/>
          <w:bCs/>
          <w:sz w:val="22"/>
          <w:szCs w:val="22"/>
        </w:rPr>
        <w:t xml:space="preserve">a entregar información, prevista en los artículos 166, párrafo cuarto y 178, párrafo segundo de la Ley de Transparencia y Acceso a la Información Pública del Estado de México y Municipios. </w:t>
      </w:r>
    </w:p>
    <w:p w14:paraId="420E2315" w14:textId="77777777" w:rsidR="001439DF" w:rsidRPr="00C938B6" w:rsidRDefault="001439DF" w:rsidP="005B031E">
      <w:pPr>
        <w:autoSpaceDE w:val="0"/>
        <w:autoSpaceDN w:val="0"/>
        <w:adjustRightInd w:val="0"/>
        <w:spacing w:line="360" w:lineRule="auto"/>
        <w:ind w:right="-28"/>
        <w:jc w:val="both"/>
        <w:rPr>
          <w:rFonts w:ascii="Palatino Linotype" w:hAnsi="Palatino Linotype" w:cs="Tahoma"/>
          <w:sz w:val="22"/>
          <w:szCs w:val="22"/>
        </w:rPr>
      </w:pPr>
    </w:p>
    <w:bookmarkEnd w:id="1"/>
    <w:p w14:paraId="17843F84" w14:textId="77777777" w:rsidR="00801872" w:rsidRPr="00C938B6" w:rsidRDefault="00801872" w:rsidP="005B031E">
      <w:pPr>
        <w:autoSpaceDE w:val="0"/>
        <w:autoSpaceDN w:val="0"/>
        <w:adjustRightInd w:val="0"/>
        <w:spacing w:line="360" w:lineRule="auto"/>
        <w:jc w:val="both"/>
        <w:rPr>
          <w:rFonts w:ascii="Palatino Linotype" w:hAnsi="Palatino Linotype" w:cs="Tahoma"/>
          <w:b/>
          <w:sz w:val="22"/>
          <w:szCs w:val="22"/>
        </w:rPr>
      </w:pPr>
      <w:r w:rsidRPr="00C938B6">
        <w:rPr>
          <w:rFonts w:ascii="Palatino Linotype" w:hAnsi="Palatino Linotype" w:cs="Tahoma"/>
          <w:b/>
          <w:sz w:val="22"/>
          <w:szCs w:val="22"/>
        </w:rPr>
        <w:t>III. Interposición del Recurso de Revisión.</w:t>
      </w:r>
    </w:p>
    <w:p w14:paraId="47856147" w14:textId="77777777" w:rsidR="00801872" w:rsidRPr="00C938B6" w:rsidRDefault="00801872" w:rsidP="005B031E">
      <w:pPr>
        <w:widowControl w:val="0"/>
        <w:spacing w:line="360" w:lineRule="auto"/>
        <w:jc w:val="both"/>
        <w:rPr>
          <w:rFonts w:ascii="Palatino Linotype" w:hAnsi="Palatino Linotype" w:cs="Tahoma"/>
          <w:sz w:val="22"/>
          <w:szCs w:val="22"/>
        </w:rPr>
      </w:pPr>
    </w:p>
    <w:p w14:paraId="62F1AEB7" w14:textId="549F82D0" w:rsidR="00801872" w:rsidRPr="00C938B6" w:rsidRDefault="00787658" w:rsidP="005B031E">
      <w:pPr>
        <w:widowControl w:val="0"/>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En fecha </w:t>
      </w:r>
      <w:r w:rsidR="00D611AA">
        <w:rPr>
          <w:rFonts w:ascii="Palatino Linotype" w:hAnsi="Palatino Linotype" w:cs="Tahoma"/>
          <w:sz w:val="22"/>
          <w:szCs w:val="22"/>
          <w:lang w:val="es-ES"/>
        </w:rPr>
        <w:t>veintinueve de noviembre</w:t>
      </w:r>
      <w:r>
        <w:rPr>
          <w:rFonts w:ascii="Palatino Linotype" w:hAnsi="Palatino Linotype" w:cs="Tahoma"/>
          <w:sz w:val="22"/>
          <w:szCs w:val="22"/>
          <w:lang w:val="es-ES"/>
        </w:rPr>
        <w:t xml:space="preserve"> de dos mil veintiuno, a través del </w:t>
      </w:r>
      <w:r w:rsidRPr="00C938B6">
        <w:rPr>
          <w:rFonts w:ascii="Palatino Linotype" w:hAnsi="Palatino Linotype" w:cs="Tahoma"/>
          <w:sz w:val="22"/>
          <w:szCs w:val="22"/>
          <w:lang w:val="es-ES"/>
        </w:rPr>
        <w:t>Sistema de Acceso a la Información Mexiquense (SAIMEX)</w:t>
      </w:r>
      <w:r>
        <w:rPr>
          <w:rFonts w:ascii="Palatino Linotype" w:hAnsi="Palatino Linotype" w:cs="Tahoma"/>
          <w:sz w:val="22"/>
          <w:szCs w:val="22"/>
          <w:lang w:val="es-ES"/>
        </w:rPr>
        <w:t xml:space="preserve">, el Particular </w:t>
      </w:r>
      <w:r w:rsidR="00801872" w:rsidRPr="00C938B6">
        <w:rPr>
          <w:rFonts w:ascii="Palatino Linotype" w:hAnsi="Palatino Linotype" w:cs="Tahoma"/>
          <w:sz w:val="22"/>
          <w:szCs w:val="22"/>
          <w:lang w:val="es-ES"/>
        </w:rPr>
        <w:t>interpuso Recurso de Revisión ante este Instituto</w:t>
      </w:r>
      <w:r>
        <w:rPr>
          <w:rFonts w:ascii="Palatino Linotype" w:hAnsi="Palatino Linotype" w:cs="Tahoma"/>
          <w:sz w:val="22"/>
          <w:szCs w:val="22"/>
          <w:lang w:val="es-ES"/>
        </w:rPr>
        <w:t xml:space="preserve"> </w:t>
      </w:r>
      <w:r w:rsidR="00801872" w:rsidRPr="00C938B6">
        <w:rPr>
          <w:rFonts w:ascii="Palatino Linotype" w:hAnsi="Palatino Linotype" w:cs="Tahoma"/>
          <w:sz w:val="22"/>
          <w:szCs w:val="22"/>
          <w:lang w:val="es-ES"/>
        </w:rPr>
        <w:t xml:space="preserve">en contra de </w:t>
      </w:r>
      <w:r w:rsidR="00B44055">
        <w:rPr>
          <w:rFonts w:ascii="Palatino Linotype" w:hAnsi="Palatino Linotype" w:cs="Tahoma"/>
          <w:sz w:val="22"/>
          <w:szCs w:val="22"/>
          <w:lang w:val="es-ES"/>
        </w:rPr>
        <w:t>la falta de respuesta d</w:t>
      </w:r>
      <w:r w:rsidR="00801872" w:rsidRPr="00C938B6">
        <w:rPr>
          <w:rFonts w:ascii="Palatino Linotype" w:hAnsi="Palatino Linotype" w:cs="Tahoma"/>
          <w:sz w:val="22"/>
          <w:szCs w:val="22"/>
          <w:lang w:val="es-ES"/>
        </w:rPr>
        <w:t xml:space="preserve">el Ayuntamiento de </w:t>
      </w:r>
      <w:r w:rsidR="00B44055">
        <w:rPr>
          <w:rFonts w:ascii="Palatino Linotype" w:hAnsi="Palatino Linotype" w:cs="Tahoma"/>
          <w:sz w:val="22"/>
          <w:szCs w:val="22"/>
          <w:lang w:val="es-ES"/>
        </w:rPr>
        <w:t>Xalatlaco</w:t>
      </w:r>
      <w:r w:rsidR="00F406A7">
        <w:rPr>
          <w:rFonts w:ascii="Palatino Linotype" w:hAnsi="Palatino Linotype" w:cs="Tahoma"/>
          <w:sz w:val="22"/>
          <w:szCs w:val="22"/>
          <w:lang w:val="es-ES"/>
        </w:rPr>
        <w:t xml:space="preserve"> </w:t>
      </w:r>
      <w:r w:rsidR="00801872" w:rsidRPr="00C938B6">
        <w:rPr>
          <w:rFonts w:ascii="Palatino Linotype" w:hAnsi="Palatino Linotype" w:cs="Tahoma"/>
          <w:sz w:val="22"/>
          <w:szCs w:val="22"/>
          <w:lang w:val="es-ES"/>
        </w:rPr>
        <w:t>a la solicitud de información, en los siguientes términos:</w:t>
      </w:r>
    </w:p>
    <w:p w14:paraId="6CC89F15" w14:textId="77777777" w:rsidR="00801872" w:rsidRPr="00C938B6" w:rsidRDefault="00801872" w:rsidP="005B031E">
      <w:pPr>
        <w:widowControl w:val="0"/>
        <w:spacing w:line="360" w:lineRule="auto"/>
        <w:jc w:val="both"/>
        <w:rPr>
          <w:rFonts w:ascii="Palatino Linotype" w:hAnsi="Palatino Linotype" w:cs="Tahoma"/>
          <w:b/>
          <w:bCs/>
          <w:sz w:val="22"/>
          <w:szCs w:val="22"/>
          <w:lang w:val="es-ES"/>
        </w:rPr>
      </w:pPr>
    </w:p>
    <w:p w14:paraId="678BEB74" w14:textId="50E99A83" w:rsidR="00801872" w:rsidRPr="00C938B6" w:rsidRDefault="00787658" w:rsidP="005B031E">
      <w:pPr>
        <w:spacing w:line="360" w:lineRule="auto"/>
        <w:ind w:left="567" w:right="567"/>
        <w:contextualSpacing/>
        <w:jc w:val="both"/>
        <w:rPr>
          <w:rFonts w:ascii="Palatino Linotype" w:hAnsi="Palatino Linotype" w:cs="Tahoma"/>
          <w:b/>
          <w:i/>
          <w:iCs/>
        </w:rPr>
      </w:pPr>
      <w:r>
        <w:rPr>
          <w:rFonts w:ascii="Palatino Linotype" w:hAnsi="Palatino Linotype" w:cs="Tahoma"/>
          <w:b/>
          <w:i/>
          <w:iCs/>
        </w:rPr>
        <w:t xml:space="preserve"> </w:t>
      </w:r>
      <w:r w:rsidR="00801872" w:rsidRPr="00C938B6">
        <w:rPr>
          <w:rFonts w:ascii="Palatino Linotype" w:hAnsi="Palatino Linotype" w:cs="Tahoma"/>
          <w:b/>
          <w:i/>
          <w:iCs/>
        </w:rPr>
        <w:t>ACTO IMPUGNADO</w:t>
      </w:r>
    </w:p>
    <w:p w14:paraId="7DD4A0AC" w14:textId="49420B9A" w:rsidR="00801872" w:rsidRPr="00C938B6" w:rsidRDefault="00787658" w:rsidP="005B031E">
      <w:pPr>
        <w:spacing w:line="360" w:lineRule="auto"/>
        <w:ind w:left="567" w:right="567"/>
        <w:contextualSpacing/>
        <w:jc w:val="both"/>
        <w:rPr>
          <w:rFonts w:ascii="Palatino Linotype" w:hAnsi="Palatino Linotype" w:cs="Tahoma"/>
          <w:i/>
          <w:iCs/>
        </w:rPr>
      </w:pPr>
      <w:r>
        <w:rPr>
          <w:rFonts w:ascii="Palatino Linotype" w:hAnsi="Palatino Linotype" w:cs="Tahoma"/>
          <w:i/>
          <w:iCs/>
        </w:rPr>
        <w:t>“</w:t>
      </w:r>
      <w:r w:rsidR="00B44055" w:rsidRPr="00B44055">
        <w:rPr>
          <w:rFonts w:ascii="Palatino Linotype" w:hAnsi="Palatino Linotype" w:cs="Tahoma"/>
          <w:i/>
          <w:iCs/>
        </w:rPr>
        <w:t>Folio No. 00093/XALATLA/IP/2021, mediante el cual el Sujeto Obligado (municipio de Xalatlaco en el Estado de México) no me ha proporcionado la información solicitada, misma que ha sido clara y precisa. Fecha de la solicitud: 02 de noviembre del 2021</w:t>
      </w:r>
      <w:r w:rsidR="00801872" w:rsidRPr="00C938B6">
        <w:rPr>
          <w:rFonts w:ascii="Palatino Linotype" w:hAnsi="Palatino Linotype" w:cs="Tahoma"/>
          <w:i/>
          <w:iCs/>
        </w:rPr>
        <w:t>”</w:t>
      </w:r>
      <w:r w:rsidR="00DE416D">
        <w:rPr>
          <w:rFonts w:ascii="Palatino Linotype" w:hAnsi="Palatino Linotype" w:cs="Tahoma"/>
          <w:i/>
          <w:iCs/>
        </w:rPr>
        <w:t>.</w:t>
      </w:r>
      <w:r w:rsidR="00801872" w:rsidRPr="00C938B6">
        <w:rPr>
          <w:rFonts w:ascii="Palatino Linotype" w:hAnsi="Palatino Linotype" w:cs="Tahoma"/>
          <w:i/>
          <w:iCs/>
        </w:rPr>
        <w:t xml:space="preserve"> (Sic)</w:t>
      </w:r>
    </w:p>
    <w:p w14:paraId="6124D706" w14:textId="05C4007F" w:rsidR="00801872" w:rsidRDefault="00801872" w:rsidP="005B031E">
      <w:pPr>
        <w:spacing w:line="360" w:lineRule="auto"/>
        <w:ind w:left="567" w:right="567"/>
        <w:contextualSpacing/>
        <w:jc w:val="both"/>
        <w:rPr>
          <w:rFonts w:ascii="Palatino Linotype" w:hAnsi="Palatino Linotype" w:cs="Tahoma"/>
          <w:b/>
        </w:rPr>
      </w:pPr>
    </w:p>
    <w:p w14:paraId="4B53AAAE" w14:textId="63C7A4EF" w:rsidR="00DE416D" w:rsidRDefault="00DE416D" w:rsidP="005B031E">
      <w:pPr>
        <w:spacing w:line="360" w:lineRule="auto"/>
        <w:ind w:left="567" w:right="567"/>
        <w:contextualSpacing/>
        <w:jc w:val="both"/>
        <w:rPr>
          <w:rFonts w:ascii="Palatino Linotype" w:hAnsi="Palatino Linotype" w:cs="Tahoma"/>
          <w:b/>
        </w:rPr>
      </w:pPr>
    </w:p>
    <w:p w14:paraId="7D0F48DA" w14:textId="77777777" w:rsidR="00DE416D" w:rsidRPr="00C938B6" w:rsidRDefault="00DE416D" w:rsidP="005B031E">
      <w:pPr>
        <w:spacing w:line="360" w:lineRule="auto"/>
        <w:ind w:left="567" w:right="567"/>
        <w:contextualSpacing/>
        <w:jc w:val="both"/>
        <w:rPr>
          <w:rFonts w:ascii="Palatino Linotype" w:hAnsi="Palatino Linotype" w:cs="Tahoma"/>
          <w:b/>
        </w:rPr>
      </w:pPr>
    </w:p>
    <w:p w14:paraId="5D59FAC9" w14:textId="57CDF813" w:rsidR="00801872" w:rsidRPr="00C938B6" w:rsidRDefault="00801872" w:rsidP="005B031E">
      <w:pPr>
        <w:spacing w:line="360" w:lineRule="auto"/>
        <w:ind w:left="567" w:right="567"/>
        <w:contextualSpacing/>
        <w:jc w:val="both"/>
        <w:rPr>
          <w:rFonts w:ascii="Palatino Linotype" w:hAnsi="Palatino Linotype" w:cs="Tahoma"/>
          <w:b/>
          <w:i/>
          <w:iCs/>
        </w:rPr>
      </w:pPr>
      <w:r w:rsidRPr="00C938B6">
        <w:rPr>
          <w:rFonts w:ascii="Palatino Linotype" w:hAnsi="Palatino Linotype" w:cs="Tahoma"/>
          <w:b/>
          <w:i/>
          <w:iCs/>
        </w:rPr>
        <w:lastRenderedPageBreak/>
        <w:t>RAZONES O MOTIVOS DE LA INCONFORMIDAD</w:t>
      </w:r>
    </w:p>
    <w:p w14:paraId="5353D53C" w14:textId="70F5CB11" w:rsidR="00BE73E6" w:rsidRDefault="00787658" w:rsidP="005B031E">
      <w:pPr>
        <w:spacing w:line="360" w:lineRule="auto"/>
        <w:ind w:left="567" w:right="567"/>
        <w:contextualSpacing/>
        <w:jc w:val="both"/>
        <w:rPr>
          <w:rFonts w:ascii="Palatino Linotype" w:eastAsia="Calibri" w:hAnsi="Palatino Linotype" w:cs="Tahoma"/>
          <w:bCs/>
          <w:i/>
          <w:iCs/>
          <w:lang w:eastAsia="en-US"/>
        </w:rPr>
      </w:pPr>
      <w:bookmarkStart w:id="2" w:name="_Hlk93400426"/>
      <w:r>
        <w:rPr>
          <w:rFonts w:ascii="Palatino Linotype" w:eastAsia="Calibri" w:hAnsi="Palatino Linotype" w:cs="Tahoma"/>
          <w:bCs/>
          <w:i/>
          <w:iCs/>
          <w:lang w:eastAsia="en-US"/>
        </w:rPr>
        <w:t>“</w:t>
      </w:r>
      <w:r w:rsidR="00DE416D" w:rsidRPr="00DE416D">
        <w:rPr>
          <w:rFonts w:ascii="Palatino Linotype" w:eastAsia="Calibri" w:hAnsi="Palatino Linotype" w:cs="Tahoma"/>
          <w:bCs/>
          <w:i/>
          <w:iCs/>
          <w:lang w:eastAsia="en-US"/>
        </w:rPr>
        <w:t>PLAZO CONCLUIDO PARA DAR RESPUESTA A LA SOLICITUD DE INFORMACIÓN DE FECHA 02 de noviembre del 2021, CON FOLIO No. 00093/XALATLA/IP/2021</w:t>
      </w:r>
      <w:r w:rsidR="00801872" w:rsidRPr="00C938B6">
        <w:rPr>
          <w:rFonts w:ascii="Palatino Linotype" w:eastAsia="Calibri" w:hAnsi="Palatino Linotype" w:cs="Tahoma"/>
          <w:bCs/>
          <w:i/>
          <w:iCs/>
          <w:lang w:eastAsia="en-US"/>
        </w:rPr>
        <w:t>”</w:t>
      </w:r>
      <w:r>
        <w:rPr>
          <w:rFonts w:ascii="Palatino Linotype" w:eastAsia="Calibri" w:hAnsi="Palatino Linotype" w:cs="Tahoma"/>
          <w:bCs/>
          <w:i/>
          <w:iCs/>
          <w:lang w:eastAsia="en-US"/>
        </w:rPr>
        <w:t>.</w:t>
      </w:r>
      <w:r w:rsidR="00801872" w:rsidRPr="00C938B6">
        <w:rPr>
          <w:rFonts w:ascii="Palatino Linotype" w:eastAsia="Calibri" w:hAnsi="Palatino Linotype" w:cs="Tahoma"/>
          <w:bCs/>
          <w:i/>
          <w:iCs/>
          <w:lang w:eastAsia="en-US"/>
        </w:rPr>
        <w:t xml:space="preserve"> (Sic)</w:t>
      </w:r>
    </w:p>
    <w:bookmarkEnd w:id="2"/>
    <w:p w14:paraId="0FDD199C" w14:textId="77777777" w:rsidR="001B04D6" w:rsidRPr="00787658" w:rsidRDefault="001B04D6" w:rsidP="005B031E">
      <w:pPr>
        <w:spacing w:line="360" w:lineRule="auto"/>
        <w:ind w:left="567" w:right="567"/>
        <w:contextualSpacing/>
        <w:jc w:val="both"/>
        <w:rPr>
          <w:rFonts w:ascii="Palatino Linotype" w:hAnsi="Palatino Linotype" w:cs="Tahoma"/>
          <w:b/>
          <w:i/>
          <w:iCs/>
        </w:rPr>
      </w:pPr>
    </w:p>
    <w:p w14:paraId="522834F7" w14:textId="77777777" w:rsidR="00801872" w:rsidRPr="00C938B6" w:rsidRDefault="00801872" w:rsidP="005B031E">
      <w:pPr>
        <w:spacing w:line="360" w:lineRule="auto"/>
        <w:jc w:val="both"/>
        <w:rPr>
          <w:rFonts w:ascii="Palatino Linotype" w:eastAsia="Batang" w:hAnsi="Palatino Linotype" w:cs="Tahoma"/>
          <w:b/>
          <w:bCs/>
          <w:sz w:val="22"/>
          <w:szCs w:val="22"/>
        </w:rPr>
      </w:pPr>
      <w:r w:rsidRPr="00C938B6">
        <w:rPr>
          <w:rFonts w:ascii="Palatino Linotype" w:hAnsi="Palatino Linotype" w:cs="Tahoma"/>
          <w:b/>
          <w:sz w:val="22"/>
          <w:szCs w:val="22"/>
        </w:rPr>
        <w:t xml:space="preserve">IV. </w:t>
      </w:r>
      <w:r w:rsidRPr="00C938B6">
        <w:rPr>
          <w:rFonts w:ascii="Palatino Linotype" w:eastAsia="Batang" w:hAnsi="Palatino Linotype" w:cs="Tahoma"/>
          <w:b/>
          <w:bCs/>
          <w:sz w:val="22"/>
          <w:szCs w:val="22"/>
        </w:rPr>
        <w:t>Trámite del Recurso de Revisión</w:t>
      </w:r>
      <w:r w:rsidRPr="00C938B6">
        <w:rPr>
          <w:rFonts w:ascii="Palatino Linotype" w:hAnsi="Palatino Linotype" w:cs="Tahoma"/>
          <w:b/>
          <w:sz w:val="22"/>
          <w:szCs w:val="22"/>
        </w:rPr>
        <w:t xml:space="preserve"> </w:t>
      </w:r>
      <w:r w:rsidRPr="00C938B6">
        <w:rPr>
          <w:rFonts w:ascii="Palatino Linotype" w:eastAsia="Batang" w:hAnsi="Palatino Linotype" w:cs="Tahoma"/>
          <w:b/>
          <w:bCs/>
          <w:sz w:val="22"/>
          <w:szCs w:val="22"/>
        </w:rPr>
        <w:t>ante el Instituto.</w:t>
      </w:r>
    </w:p>
    <w:p w14:paraId="6B84BD39" w14:textId="77777777" w:rsidR="00801872" w:rsidRPr="00C938B6" w:rsidRDefault="00801872" w:rsidP="005B031E">
      <w:pPr>
        <w:spacing w:line="360" w:lineRule="auto"/>
        <w:jc w:val="both"/>
        <w:rPr>
          <w:rFonts w:ascii="Palatino Linotype" w:eastAsia="Batang" w:hAnsi="Palatino Linotype" w:cs="Tahoma"/>
          <w:b/>
          <w:bCs/>
          <w:sz w:val="22"/>
          <w:szCs w:val="22"/>
        </w:rPr>
      </w:pPr>
    </w:p>
    <w:p w14:paraId="0DF354DA" w14:textId="2FA8DC85" w:rsidR="00801872" w:rsidRDefault="00801872" w:rsidP="005B031E">
      <w:pPr>
        <w:spacing w:line="360" w:lineRule="auto"/>
        <w:jc w:val="both"/>
        <w:rPr>
          <w:rFonts w:ascii="Palatino Linotype" w:eastAsia="Batang" w:hAnsi="Palatino Linotype" w:cs="Tahoma"/>
          <w:sz w:val="22"/>
          <w:szCs w:val="22"/>
        </w:rPr>
      </w:pPr>
      <w:r w:rsidRPr="00C938B6">
        <w:rPr>
          <w:rFonts w:ascii="Palatino Linotype" w:eastAsia="Batang" w:hAnsi="Palatino Linotype" w:cs="Tahoma"/>
          <w:b/>
          <w:bCs/>
          <w:sz w:val="22"/>
          <w:szCs w:val="22"/>
        </w:rPr>
        <w:t xml:space="preserve">a) Turno del Recurso de Revisión. </w:t>
      </w:r>
      <w:r w:rsidR="00787658">
        <w:rPr>
          <w:rFonts w:ascii="Palatino Linotype" w:eastAsia="Batang" w:hAnsi="Palatino Linotype" w:cs="Tahoma"/>
          <w:sz w:val="22"/>
          <w:szCs w:val="22"/>
        </w:rPr>
        <w:t xml:space="preserve">El </w:t>
      </w:r>
      <w:r w:rsidR="00DE416D">
        <w:rPr>
          <w:rFonts w:ascii="Palatino Linotype" w:eastAsia="Batang" w:hAnsi="Palatino Linotype" w:cs="Tahoma"/>
          <w:sz w:val="22"/>
          <w:szCs w:val="22"/>
        </w:rPr>
        <w:t>veintinueve de noviembre</w:t>
      </w:r>
      <w:r w:rsidR="00787658">
        <w:rPr>
          <w:rFonts w:ascii="Palatino Linotype" w:eastAsia="Batang" w:hAnsi="Palatino Linotype" w:cs="Tahoma"/>
          <w:sz w:val="22"/>
          <w:szCs w:val="22"/>
        </w:rPr>
        <w:t xml:space="preserve"> de dos mil veintiuno,</w:t>
      </w:r>
      <w:r w:rsidRPr="00C938B6">
        <w:rPr>
          <w:rFonts w:ascii="Palatino Linotype" w:eastAsia="Batang" w:hAnsi="Palatino Linotype" w:cs="Tahoma"/>
          <w:sz w:val="22"/>
          <w:szCs w:val="22"/>
        </w:rPr>
        <w:t xml:space="preserve"> el </w:t>
      </w:r>
      <w:r w:rsidRPr="00C938B6">
        <w:rPr>
          <w:rFonts w:ascii="Palatino Linotype" w:eastAsia="Batang" w:hAnsi="Palatino Linotype" w:cs="Tahoma"/>
          <w:sz w:val="22"/>
          <w:szCs w:val="22"/>
          <w:lang w:val="es-ES"/>
        </w:rPr>
        <w:t>Sistema de Acceso a la Información Mexiquense (SAIMEX),</w:t>
      </w:r>
      <w:r w:rsidRPr="00C938B6">
        <w:rPr>
          <w:rFonts w:ascii="Palatino Linotype" w:eastAsia="Batang" w:hAnsi="Palatino Linotype" w:cs="Tahoma"/>
          <w:sz w:val="22"/>
          <w:szCs w:val="22"/>
        </w:rPr>
        <w:t xml:space="preserve"> asignó el número de expediente </w:t>
      </w:r>
      <w:r w:rsidR="00787658">
        <w:rPr>
          <w:rFonts w:ascii="Palatino Linotype" w:eastAsia="Calibri" w:hAnsi="Palatino Linotype" w:cs="Tahoma"/>
          <w:b/>
          <w:bCs/>
          <w:sz w:val="22"/>
          <w:szCs w:val="22"/>
        </w:rPr>
        <w:t>0</w:t>
      </w:r>
      <w:r w:rsidR="00DE416D">
        <w:rPr>
          <w:rFonts w:ascii="Palatino Linotype" w:eastAsia="Calibri" w:hAnsi="Palatino Linotype" w:cs="Tahoma"/>
          <w:b/>
          <w:bCs/>
          <w:sz w:val="22"/>
          <w:szCs w:val="22"/>
        </w:rPr>
        <w:t>5946</w:t>
      </w:r>
      <w:r w:rsidRPr="00C938B6">
        <w:rPr>
          <w:rFonts w:ascii="Palatino Linotype" w:eastAsia="Calibri" w:hAnsi="Palatino Linotype" w:cs="Tahoma"/>
          <w:b/>
          <w:bCs/>
          <w:sz w:val="22"/>
          <w:szCs w:val="22"/>
        </w:rPr>
        <w:t>/INFOEM/IP/RR/2021</w:t>
      </w:r>
      <w:r w:rsidRPr="00C938B6">
        <w:rPr>
          <w:rFonts w:ascii="Palatino Linotype" w:eastAsia="Batang" w:hAnsi="Palatino Linotype" w:cs="Tahoma"/>
          <w:sz w:val="22"/>
          <w:szCs w:val="22"/>
        </w:rPr>
        <w:t xml:space="preserve">, al medio de impugnación que nos ocupa, con base en el sistema aprobado por el Pleno de este Órgano Garante </w:t>
      </w:r>
      <w:r w:rsidR="0017321F">
        <w:rPr>
          <w:rFonts w:ascii="Palatino Linotype" w:eastAsia="Batang" w:hAnsi="Palatino Linotype" w:cs="Tahoma"/>
          <w:sz w:val="22"/>
          <w:szCs w:val="22"/>
        </w:rPr>
        <w:t xml:space="preserve">y lo turnó al </w:t>
      </w:r>
      <w:r w:rsidR="0017321F">
        <w:rPr>
          <w:rFonts w:ascii="Palatino Linotype" w:eastAsia="Batang" w:hAnsi="Palatino Linotype" w:cs="Tahoma"/>
          <w:b/>
          <w:bCs/>
          <w:sz w:val="22"/>
          <w:szCs w:val="22"/>
        </w:rPr>
        <w:t>Comisionado Luis Gustavo Parra Noriega</w:t>
      </w:r>
      <w:r w:rsidR="00D22825">
        <w:rPr>
          <w:rFonts w:ascii="Palatino Linotype" w:eastAsia="Batang" w:hAnsi="Palatino Linotype" w:cs="Tahoma"/>
          <w:b/>
          <w:sz w:val="22"/>
          <w:szCs w:val="22"/>
        </w:rPr>
        <w:t xml:space="preserve"> </w:t>
      </w:r>
      <w:r w:rsidR="00D22825" w:rsidRPr="00C938B6">
        <w:rPr>
          <w:rFonts w:ascii="Palatino Linotype" w:eastAsia="Batang" w:hAnsi="Palatino Linotype" w:cs="Tahoma"/>
          <w:sz w:val="22"/>
          <w:szCs w:val="22"/>
        </w:rPr>
        <w:t>para los efectos del artículo 185, fracción I de la Ley de Transparencia y Acceso a la Información Pública del Estado de México y Municipios.</w:t>
      </w:r>
    </w:p>
    <w:p w14:paraId="2F4CB9FB" w14:textId="77777777" w:rsidR="00400954" w:rsidRPr="0017321F" w:rsidRDefault="00400954" w:rsidP="005B031E">
      <w:pPr>
        <w:spacing w:line="360" w:lineRule="auto"/>
        <w:jc w:val="both"/>
        <w:rPr>
          <w:rFonts w:ascii="Palatino Linotype" w:eastAsia="Batang" w:hAnsi="Palatino Linotype" w:cs="Tahoma"/>
          <w:b/>
          <w:sz w:val="22"/>
          <w:szCs w:val="22"/>
        </w:rPr>
      </w:pPr>
    </w:p>
    <w:p w14:paraId="4B0AE7B1" w14:textId="1F4F5A34" w:rsidR="00801872" w:rsidRPr="00C938B6" w:rsidRDefault="00801872" w:rsidP="005B031E">
      <w:pPr>
        <w:spacing w:line="360" w:lineRule="auto"/>
        <w:jc w:val="both"/>
        <w:rPr>
          <w:rFonts w:ascii="Palatino Linotype" w:eastAsia="Batang" w:hAnsi="Palatino Linotype" w:cs="Tahoma"/>
          <w:b/>
          <w:bCs/>
          <w:sz w:val="22"/>
          <w:szCs w:val="22"/>
        </w:rPr>
      </w:pPr>
      <w:r w:rsidRPr="00C938B6">
        <w:rPr>
          <w:rFonts w:ascii="Palatino Linotype" w:eastAsia="Batang" w:hAnsi="Palatino Linotype" w:cs="Tahoma"/>
          <w:b/>
          <w:bCs/>
          <w:sz w:val="22"/>
          <w:szCs w:val="22"/>
        </w:rPr>
        <w:t>b) Admisión del Recurso de Revisión</w:t>
      </w:r>
      <w:r w:rsidRPr="00C938B6">
        <w:rPr>
          <w:rFonts w:ascii="Palatino Linotype" w:eastAsia="Batang" w:hAnsi="Palatino Linotype" w:cs="Tahoma"/>
          <w:b/>
          <w:bCs/>
          <w:sz w:val="22"/>
          <w:szCs w:val="22"/>
          <w:lang w:val="es-ES_tradnl"/>
        </w:rPr>
        <w:t xml:space="preserve">. </w:t>
      </w:r>
      <w:r w:rsidR="00D22825">
        <w:rPr>
          <w:rFonts w:ascii="Palatino Linotype" w:eastAsia="Batang" w:hAnsi="Palatino Linotype" w:cs="Tahoma"/>
          <w:sz w:val="22"/>
          <w:szCs w:val="22"/>
          <w:lang w:val="es-ES_tradnl"/>
        </w:rPr>
        <w:t xml:space="preserve">El </w:t>
      </w:r>
      <w:r w:rsidR="00F7786E">
        <w:rPr>
          <w:rFonts w:ascii="Palatino Linotype" w:eastAsia="Batang" w:hAnsi="Palatino Linotype" w:cs="Tahoma"/>
          <w:sz w:val="22"/>
          <w:szCs w:val="22"/>
          <w:lang w:val="es-ES_tradnl"/>
        </w:rPr>
        <w:t>tres</w:t>
      </w:r>
      <w:r w:rsidR="0017321F">
        <w:rPr>
          <w:rFonts w:ascii="Palatino Linotype" w:eastAsia="Batang" w:hAnsi="Palatino Linotype" w:cs="Tahoma"/>
          <w:sz w:val="22"/>
          <w:szCs w:val="22"/>
          <w:lang w:val="es-ES_tradnl"/>
        </w:rPr>
        <w:t xml:space="preserve"> de diciembre</w:t>
      </w:r>
      <w:r w:rsidR="00D22825">
        <w:rPr>
          <w:rFonts w:ascii="Palatino Linotype" w:eastAsia="Batang" w:hAnsi="Palatino Linotype" w:cs="Tahoma"/>
          <w:sz w:val="22"/>
          <w:szCs w:val="22"/>
          <w:lang w:val="es-ES_tradnl"/>
        </w:rPr>
        <w:t xml:space="preserve"> de dos mil veintiuno</w:t>
      </w:r>
      <w:r w:rsidRPr="00C938B6">
        <w:rPr>
          <w:rFonts w:ascii="Palatino Linotype" w:eastAsia="Batang" w:hAnsi="Palatino Linotype" w:cs="Tahoma"/>
          <w:sz w:val="22"/>
          <w:szCs w:val="22"/>
          <w:lang w:val="es-ES_tradnl"/>
        </w:rPr>
        <w:t>, se acordó la admisión del Recurso de Revisión interpuesto por la Recurrente en contra del Sujeto Obligado, en términos del artículo 185, fracciones I y II de la Ley de Transparencia y Acceso a la Información Pública del Estado de México y Municipios, el cual fue notificado a las pa</w:t>
      </w:r>
      <w:r w:rsidR="00D22825">
        <w:rPr>
          <w:rFonts w:ascii="Palatino Linotype" w:eastAsia="Batang" w:hAnsi="Palatino Linotype" w:cs="Tahoma"/>
          <w:sz w:val="22"/>
          <w:szCs w:val="22"/>
          <w:lang w:val="es-ES_tradnl"/>
        </w:rPr>
        <w:t>rtes en mismo día, m</w:t>
      </w:r>
      <w:r w:rsidR="00BE73E6" w:rsidRPr="00C938B6">
        <w:rPr>
          <w:rFonts w:ascii="Palatino Linotype" w:eastAsia="Batang" w:hAnsi="Palatino Linotype" w:cs="Tahoma"/>
          <w:sz w:val="22"/>
          <w:szCs w:val="22"/>
          <w:lang w:val="es-ES_tradnl"/>
        </w:rPr>
        <w:t>es y año</w:t>
      </w:r>
      <w:r w:rsidR="00D22825">
        <w:rPr>
          <w:rFonts w:ascii="Palatino Linotype" w:eastAsia="Batang" w:hAnsi="Palatino Linotype" w:cs="Tahoma"/>
          <w:sz w:val="22"/>
          <w:szCs w:val="22"/>
          <w:lang w:val="es-ES_tradnl"/>
        </w:rPr>
        <w:t>,</w:t>
      </w:r>
      <w:r w:rsidRPr="00C938B6">
        <w:rPr>
          <w:rFonts w:ascii="Palatino Linotype" w:eastAsia="Batang" w:hAnsi="Palatino Linotype" w:cs="Tahoma"/>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w:t>
      </w:r>
    </w:p>
    <w:p w14:paraId="7C67497D" w14:textId="77777777" w:rsidR="00801872" w:rsidRPr="00C938B6" w:rsidRDefault="00801872" w:rsidP="005B031E">
      <w:pPr>
        <w:spacing w:line="360" w:lineRule="auto"/>
        <w:jc w:val="both"/>
        <w:rPr>
          <w:rFonts w:ascii="Palatino Linotype" w:eastAsia="Batang" w:hAnsi="Palatino Linotype" w:cs="Tahoma"/>
          <w:bCs/>
          <w:sz w:val="22"/>
          <w:szCs w:val="22"/>
        </w:rPr>
      </w:pPr>
    </w:p>
    <w:p w14:paraId="56419303" w14:textId="131986FA" w:rsidR="00F7786E" w:rsidRDefault="00801872" w:rsidP="008F0397">
      <w:pPr>
        <w:widowControl w:val="0"/>
        <w:spacing w:line="360" w:lineRule="auto"/>
        <w:jc w:val="both"/>
        <w:rPr>
          <w:rFonts w:ascii="Palatino Linotype" w:hAnsi="Palatino Linotype"/>
          <w:bCs/>
          <w:sz w:val="22"/>
          <w:szCs w:val="22"/>
          <w:lang w:val="es-ES_tradnl"/>
        </w:rPr>
      </w:pPr>
      <w:r w:rsidRPr="00C938B6">
        <w:rPr>
          <w:rFonts w:ascii="Palatino Linotype" w:hAnsi="Palatino Linotype"/>
          <w:b/>
          <w:bCs/>
          <w:sz w:val="22"/>
          <w:szCs w:val="22"/>
        </w:rPr>
        <w:t xml:space="preserve">c) </w:t>
      </w:r>
      <w:r w:rsidRPr="00C938B6">
        <w:rPr>
          <w:rFonts w:ascii="Palatino Linotype" w:hAnsi="Palatino Linotype"/>
          <w:b/>
          <w:sz w:val="22"/>
          <w:szCs w:val="22"/>
          <w:lang w:val="es-ES_tradnl"/>
        </w:rPr>
        <w:t xml:space="preserve">Informe Justificado. </w:t>
      </w:r>
      <w:r w:rsidRPr="00C938B6">
        <w:rPr>
          <w:rFonts w:ascii="Palatino Linotype" w:hAnsi="Palatino Linotype"/>
          <w:bCs/>
          <w:sz w:val="22"/>
          <w:szCs w:val="22"/>
          <w:lang w:val="es-ES_tradnl"/>
        </w:rPr>
        <w:t>De las constancias que obran en el expediente electrónico, se advierte que</w:t>
      </w:r>
      <w:r w:rsidR="008F0397">
        <w:rPr>
          <w:rFonts w:ascii="Palatino Linotype" w:hAnsi="Palatino Linotype"/>
          <w:bCs/>
          <w:sz w:val="22"/>
          <w:szCs w:val="22"/>
          <w:lang w:val="es-ES_tradnl"/>
        </w:rPr>
        <w:t xml:space="preserve"> </w:t>
      </w:r>
      <w:r w:rsidR="00F7786E">
        <w:rPr>
          <w:rFonts w:ascii="Palatino Linotype" w:hAnsi="Palatino Linotype"/>
          <w:bCs/>
          <w:sz w:val="22"/>
          <w:szCs w:val="22"/>
          <w:lang w:val="es-ES_tradnl"/>
        </w:rPr>
        <w:t xml:space="preserve">el </w:t>
      </w:r>
      <w:r w:rsidR="00292718">
        <w:rPr>
          <w:rFonts w:ascii="Palatino Linotype" w:hAnsi="Palatino Linotype"/>
          <w:bCs/>
          <w:sz w:val="22"/>
          <w:szCs w:val="22"/>
          <w:lang w:val="es-ES_tradnl"/>
        </w:rPr>
        <w:t>P</w:t>
      </w:r>
      <w:r w:rsidR="00F7786E">
        <w:rPr>
          <w:rFonts w:ascii="Palatino Linotype" w:hAnsi="Palatino Linotype"/>
          <w:bCs/>
          <w:sz w:val="22"/>
          <w:szCs w:val="22"/>
          <w:lang w:val="es-ES_tradnl"/>
        </w:rPr>
        <w:t xml:space="preserve">articular no presentó manifestaciones, por su parte, el Sujeto Obligado en fecha seis de diciembre de dos mil veintiuno rindió su respectivo informe justificado, el cual contiene lo siguiente: </w:t>
      </w:r>
    </w:p>
    <w:p w14:paraId="38D79D0E" w14:textId="77777777" w:rsidR="00F7786E" w:rsidRDefault="00F7786E" w:rsidP="008F0397">
      <w:pPr>
        <w:widowControl w:val="0"/>
        <w:spacing w:line="360" w:lineRule="auto"/>
        <w:jc w:val="both"/>
        <w:rPr>
          <w:rFonts w:ascii="Palatino Linotype" w:hAnsi="Palatino Linotype"/>
          <w:bCs/>
          <w:sz w:val="22"/>
          <w:szCs w:val="22"/>
          <w:lang w:val="es-ES_tradnl"/>
        </w:rPr>
      </w:pPr>
    </w:p>
    <w:p w14:paraId="5BABFD31" w14:textId="090B8C80" w:rsidR="00A26524" w:rsidRPr="006B350A" w:rsidRDefault="00F7786E" w:rsidP="00C97226">
      <w:pPr>
        <w:pStyle w:val="Prrafodelista"/>
        <w:widowControl w:val="0"/>
        <w:numPr>
          <w:ilvl w:val="0"/>
          <w:numId w:val="29"/>
        </w:numPr>
        <w:spacing w:line="360" w:lineRule="auto"/>
        <w:ind w:left="567" w:right="539"/>
        <w:jc w:val="both"/>
        <w:rPr>
          <w:rFonts w:ascii="Palatino Linotype" w:hAnsi="Palatino Linotype" w:cs="Arial"/>
          <w:bCs/>
          <w:i/>
          <w:iCs/>
          <w:lang w:val="es-ES_tradnl"/>
        </w:rPr>
      </w:pPr>
      <w:r>
        <w:rPr>
          <w:rFonts w:ascii="Palatino Linotype" w:hAnsi="Palatino Linotype" w:cs="Arial"/>
          <w:b/>
          <w:lang w:val="es-ES_tradnl"/>
        </w:rPr>
        <w:t xml:space="preserve">05946.pdf: </w:t>
      </w:r>
      <w:r w:rsidR="00A52A2E">
        <w:rPr>
          <w:rFonts w:ascii="Palatino Linotype" w:hAnsi="Palatino Linotype" w:cs="Arial"/>
          <w:bCs/>
          <w:lang w:val="es-ES_tradnl"/>
        </w:rPr>
        <w:t xml:space="preserve">Archivo en formato PDF, cuyo contenido versa en cuatro fojas, de las </w:t>
      </w:r>
      <w:r w:rsidR="00A52A2E">
        <w:rPr>
          <w:rFonts w:ascii="Palatino Linotype" w:hAnsi="Palatino Linotype" w:cs="Arial"/>
          <w:bCs/>
          <w:lang w:val="es-ES_tradnl"/>
        </w:rPr>
        <w:lastRenderedPageBreak/>
        <w:t>cuales se puede advertir; un oficio</w:t>
      </w:r>
      <w:r w:rsidR="00915E95">
        <w:rPr>
          <w:rFonts w:ascii="Palatino Linotype" w:hAnsi="Palatino Linotype" w:cs="Arial"/>
          <w:bCs/>
          <w:lang w:val="es-ES_tradnl"/>
        </w:rPr>
        <w:t xml:space="preserve"> de fecha veintinueve de noviembre de dos mil veintiuno,</w:t>
      </w:r>
      <w:r w:rsidR="00A52A2E">
        <w:rPr>
          <w:rFonts w:ascii="Palatino Linotype" w:hAnsi="Palatino Linotype" w:cs="Arial"/>
          <w:bCs/>
          <w:lang w:val="es-ES_tradnl"/>
        </w:rPr>
        <w:t xml:space="preserve"> signado por el Titular </w:t>
      </w:r>
      <w:r w:rsidR="00915E95">
        <w:rPr>
          <w:rFonts w:ascii="Palatino Linotype" w:hAnsi="Palatino Linotype" w:cs="Arial"/>
          <w:bCs/>
          <w:lang w:val="es-ES_tradnl"/>
        </w:rPr>
        <w:t>de la Unidad de Transparencia y Acceso a la Información Pública</w:t>
      </w:r>
      <w:r w:rsidR="00371DC3">
        <w:rPr>
          <w:rFonts w:ascii="Palatino Linotype" w:hAnsi="Palatino Linotype" w:cs="Arial"/>
          <w:bCs/>
          <w:lang w:val="es-ES_tradnl"/>
        </w:rPr>
        <w:t xml:space="preserve"> </w:t>
      </w:r>
      <w:r w:rsidR="00D96426">
        <w:rPr>
          <w:rFonts w:ascii="Palatino Linotype" w:hAnsi="Palatino Linotype" w:cs="Arial"/>
          <w:bCs/>
          <w:lang w:val="es-ES_tradnl"/>
        </w:rPr>
        <w:t xml:space="preserve">dirigido </w:t>
      </w:r>
      <w:r w:rsidR="00371DC3">
        <w:rPr>
          <w:rFonts w:ascii="Palatino Linotype" w:hAnsi="Palatino Linotype" w:cs="Arial"/>
          <w:bCs/>
          <w:lang w:val="es-ES_tradnl"/>
        </w:rPr>
        <w:t>a la Tesorera Municipal</w:t>
      </w:r>
      <w:r w:rsidR="006B350A">
        <w:rPr>
          <w:rFonts w:ascii="Palatino Linotype" w:hAnsi="Palatino Linotype" w:cs="Arial"/>
          <w:bCs/>
          <w:lang w:val="es-ES_tradnl"/>
        </w:rPr>
        <w:t xml:space="preserve">, </w:t>
      </w:r>
      <w:r w:rsidR="00D96426">
        <w:rPr>
          <w:rFonts w:ascii="Palatino Linotype" w:hAnsi="Palatino Linotype" w:cs="Arial"/>
          <w:bCs/>
          <w:lang w:val="es-ES_tradnl"/>
        </w:rPr>
        <w:t xml:space="preserve">mediante el cual le pide </w:t>
      </w:r>
      <w:r w:rsidR="00371DC3">
        <w:rPr>
          <w:rFonts w:ascii="Palatino Linotype" w:hAnsi="Palatino Linotype" w:cs="Arial"/>
          <w:bCs/>
          <w:lang w:val="es-ES_tradnl"/>
        </w:rPr>
        <w:t>brind</w:t>
      </w:r>
      <w:r w:rsidR="006B350A">
        <w:rPr>
          <w:rFonts w:ascii="Palatino Linotype" w:hAnsi="Palatino Linotype" w:cs="Arial"/>
          <w:bCs/>
          <w:lang w:val="es-ES_tradnl"/>
        </w:rPr>
        <w:t>ar</w:t>
      </w:r>
      <w:r w:rsidR="00371DC3" w:rsidRPr="006B350A">
        <w:rPr>
          <w:rFonts w:ascii="Palatino Linotype" w:hAnsi="Palatino Linotype" w:cs="Arial"/>
          <w:bCs/>
          <w:lang w:val="es-ES_tradnl"/>
        </w:rPr>
        <w:t xml:space="preserve"> atención a la solicitud de información</w:t>
      </w:r>
      <w:r w:rsidR="00D96426" w:rsidRPr="006B350A">
        <w:rPr>
          <w:rFonts w:ascii="Palatino Linotype" w:hAnsi="Palatino Linotype" w:cs="Arial"/>
          <w:bCs/>
          <w:lang w:val="es-ES_tradnl"/>
        </w:rPr>
        <w:t>, para ello, le adjunta la solicitud del Particular</w:t>
      </w:r>
      <w:r w:rsidR="009E5CD3" w:rsidRPr="006B350A">
        <w:rPr>
          <w:rFonts w:ascii="Palatino Linotype" w:hAnsi="Palatino Linotype" w:cs="Arial"/>
          <w:bCs/>
          <w:lang w:val="es-ES_tradnl"/>
        </w:rPr>
        <w:t xml:space="preserve"> y</w:t>
      </w:r>
      <w:r w:rsidR="00D96426" w:rsidRPr="006B350A">
        <w:rPr>
          <w:rFonts w:ascii="Palatino Linotype" w:hAnsi="Palatino Linotype" w:cs="Arial"/>
          <w:bCs/>
          <w:lang w:val="es-ES_tradnl"/>
        </w:rPr>
        <w:t>; oficio de fecha treinta de noviembre de dos mil veintiuno, signado por la Tesorera Municipal dirigido al Titular de la Unidad de Transparencia</w:t>
      </w:r>
      <w:r w:rsidR="00591B99" w:rsidRPr="006B350A">
        <w:rPr>
          <w:rFonts w:ascii="Palatino Linotype" w:hAnsi="Palatino Linotype" w:cs="Arial"/>
          <w:bCs/>
          <w:lang w:val="es-ES_tradnl"/>
        </w:rPr>
        <w:t xml:space="preserve"> donde precisa que derivado de una búsqueda exhaustiva en los archivos que obran en la Tesorería Municipal, no se encontró aviso alguno emitido mes con mes por la Comisión Federal de Electricidad por el mismo periodo</w:t>
      </w:r>
      <w:r w:rsidR="000B019D" w:rsidRPr="006B350A">
        <w:rPr>
          <w:rFonts w:ascii="Palatino Linotype" w:hAnsi="Palatino Linotype" w:cs="Arial"/>
          <w:bCs/>
          <w:lang w:val="es-ES_tradnl"/>
        </w:rPr>
        <w:t>, asimismo</w:t>
      </w:r>
      <w:r w:rsidR="009E5CD3" w:rsidRPr="006B350A">
        <w:rPr>
          <w:rFonts w:ascii="Palatino Linotype" w:hAnsi="Palatino Linotype" w:cs="Arial"/>
          <w:bCs/>
          <w:lang w:val="es-ES_tradnl"/>
        </w:rPr>
        <w:t xml:space="preserve">, señala que respecto a ¿Cuánto se factura mensualmente en alumbrado público? y ¿Cuánto se recauda por derechos de alumbrado público?  </w:t>
      </w:r>
      <w:r w:rsidR="006B350A" w:rsidRPr="006B350A">
        <w:rPr>
          <w:rFonts w:ascii="Palatino Linotype" w:hAnsi="Palatino Linotype" w:cs="Arial"/>
          <w:bCs/>
          <w:lang w:val="es-ES_tradnl"/>
        </w:rPr>
        <w:t xml:space="preserve">del periodo comprendido del uno de enero de dos mil veinte al treinta y uno de octubre de dos mil veintiuno, anexa </w:t>
      </w:r>
      <w:r w:rsidR="004C1C19">
        <w:rPr>
          <w:rFonts w:ascii="Palatino Linotype" w:hAnsi="Palatino Linotype" w:cs="Arial"/>
          <w:bCs/>
          <w:lang w:val="es-ES_tradnl"/>
        </w:rPr>
        <w:t>dos tablas de los años 2020 y 2021, que contienen los siguientes datos:</w:t>
      </w:r>
      <w:r w:rsidR="004C1C19">
        <w:rPr>
          <w:rFonts w:ascii="Palatino Linotype" w:hAnsi="Palatino Linotype" w:cs="Arial"/>
          <w:bCs/>
          <w:i/>
          <w:iCs/>
          <w:lang w:val="es-ES_tradnl"/>
        </w:rPr>
        <w:t xml:space="preserve"> </w:t>
      </w:r>
      <w:r w:rsidR="004C1C19">
        <w:rPr>
          <w:rFonts w:ascii="Palatino Linotype" w:hAnsi="Palatino Linotype" w:cs="Arial"/>
          <w:bCs/>
          <w:lang w:val="es-ES_tradnl"/>
        </w:rPr>
        <w:t xml:space="preserve">mes, facturación alumbrado público, derechos de alumbrado público y monto del pago. </w:t>
      </w:r>
    </w:p>
    <w:p w14:paraId="0F37068C" w14:textId="77777777" w:rsidR="00801872" w:rsidRPr="00C938B6" w:rsidRDefault="00801872" w:rsidP="005B031E">
      <w:pPr>
        <w:spacing w:line="360" w:lineRule="auto"/>
        <w:jc w:val="both"/>
        <w:rPr>
          <w:rFonts w:ascii="Palatino Linotype" w:hAnsi="Palatino Linotype" w:cs="Tahoma"/>
          <w:b/>
          <w:sz w:val="22"/>
          <w:szCs w:val="22"/>
        </w:rPr>
      </w:pPr>
    </w:p>
    <w:p w14:paraId="4D02EED8" w14:textId="20585AD2" w:rsidR="00801872" w:rsidRDefault="00801872" w:rsidP="005B031E">
      <w:pPr>
        <w:spacing w:line="360" w:lineRule="auto"/>
        <w:jc w:val="both"/>
        <w:rPr>
          <w:rFonts w:ascii="Palatino Linotype" w:hAnsi="Palatino Linotype" w:cs="Tahoma"/>
          <w:sz w:val="22"/>
          <w:szCs w:val="22"/>
        </w:rPr>
      </w:pPr>
      <w:r w:rsidRPr="00C938B6">
        <w:rPr>
          <w:rFonts w:ascii="Palatino Linotype" w:hAnsi="Palatino Linotype" w:cs="Tahoma"/>
          <w:b/>
          <w:sz w:val="22"/>
          <w:szCs w:val="22"/>
        </w:rPr>
        <w:t>d) Cierre de instrucción.</w:t>
      </w:r>
      <w:r w:rsidRPr="00C938B6">
        <w:rPr>
          <w:rFonts w:ascii="Palatino Linotype" w:hAnsi="Palatino Linotype" w:cs="Tahoma"/>
          <w:sz w:val="22"/>
          <w:szCs w:val="22"/>
        </w:rPr>
        <w:t xml:space="preserve"> </w:t>
      </w:r>
      <w:r w:rsidR="00A26524">
        <w:rPr>
          <w:rFonts w:ascii="Palatino Linotype" w:hAnsi="Palatino Linotype" w:cs="Tahoma"/>
          <w:sz w:val="22"/>
          <w:szCs w:val="22"/>
        </w:rPr>
        <w:t xml:space="preserve">El </w:t>
      </w:r>
      <w:r w:rsidR="00191990">
        <w:rPr>
          <w:rFonts w:ascii="Palatino Linotype" w:hAnsi="Palatino Linotype" w:cs="Tahoma"/>
          <w:sz w:val="22"/>
          <w:szCs w:val="22"/>
        </w:rPr>
        <w:t>veintiséis</w:t>
      </w:r>
      <w:r w:rsidR="00A26524">
        <w:rPr>
          <w:rFonts w:ascii="Palatino Linotype" w:hAnsi="Palatino Linotype" w:cs="Tahoma"/>
          <w:sz w:val="22"/>
          <w:szCs w:val="22"/>
        </w:rPr>
        <w:t xml:space="preserve"> de enero de dos mil veintidós</w:t>
      </w:r>
      <w:r w:rsidRPr="00C938B6">
        <w:rPr>
          <w:rFonts w:ascii="Palatino Linotype" w:hAnsi="Palatino Linotype" w:cs="Tahoma"/>
          <w:sz w:val="22"/>
          <w:szCs w:val="22"/>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Pr="00C938B6">
        <w:rPr>
          <w:rFonts w:ascii="Palatino Linotype" w:hAnsi="Palatino Linotype" w:cs="Tahoma"/>
          <w:sz w:val="22"/>
          <w:szCs w:val="22"/>
          <w:lang w:val="es-ES"/>
        </w:rPr>
        <w:t>Sistema de Acceso a la Información Mexiquense (SAIMEX)</w:t>
      </w:r>
      <w:r w:rsidRPr="00C938B6">
        <w:rPr>
          <w:rFonts w:ascii="Palatino Linotype" w:hAnsi="Palatino Linotype" w:cs="Tahoma"/>
          <w:sz w:val="22"/>
          <w:szCs w:val="22"/>
        </w:rPr>
        <w:t>.</w:t>
      </w:r>
    </w:p>
    <w:p w14:paraId="560C6467" w14:textId="7223B199" w:rsidR="00096A9E" w:rsidRDefault="00096A9E" w:rsidP="005B031E">
      <w:pPr>
        <w:spacing w:line="360" w:lineRule="auto"/>
        <w:jc w:val="both"/>
        <w:rPr>
          <w:rFonts w:ascii="Palatino Linotype" w:hAnsi="Palatino Linotype" w:cs="Tahoma"/>
          <w:sz w:val="22"/>
          <w:szCs w:val="22"/>
        </w:rPr>
      </w:pPr>
    </w:p>
    <w:p w14:paraId="0491A0F9" w14:textId="464C5994" w:rsidR="00801872" w:rsidRDefault="00096A9E" w:rsidP="005B031E">
      <w:pPr>
        <w:spacing w:line="360" w:lineRule="auto"/>
        <w:jc w:val="both"/>
        <w:rPr>
          <w:rFonts w:ascii="Palatino Linotype" w:hAnsi="Palatino Linotype" w:cs="Tahoma"/>
          <w:sz w:val="22"/>
          <w:szCs w:val="22"/>
        </w:rPr>
      </w:pPr>
      <w:r>
        <w:rPr>
          <w:rFonts w:ascii="Palatino Linotype" w:hAnsi="Palatino Linotype" w:cs="Tahoma"/>
          <w:b/>
          <w:bCs/>
          <w:sz w:val="22"/>
          <w:szCs w:val="22"/>
        </w:rPr>
        <w:t>e) Ampliación de plazo para resolver</w:t>
      </w:r>
      <w:r w:rsidR="009A05EF">
        <w:rPr>
          <w:rFonts w:ascii="Palatino Linotype" w:hAnsi="Palatino Linotype" w:cs="Tahoma"/>
          <w:b/>
          <w:bCs/>
          <w:sz w:val="22"/>
          <w:szCs w:val="22"/>
        </w:rPr>
        <w:t xml:space="preserve">. </w:t>
      </w:r>
      <w:r w:rsidR="009A05EF">
        <w:rPr>
          <w:rFonts w:ascii="Palatino Linotype" w:hAnsi="Palatino Linotype" w:cs="Tahoma"/>
          <w:sz w:val="22"/>
          <w:szCs w:val="22"/>
        </w:rPr>
        <w:t>El veintiséis de enero de dos mil veintidós, el Comisionado Ponente, con fundamento en lo dispues</w:t>
      </w:r>
      <w:r w:rsidR="002B1A23">
        <w:rPr>
          <w:rFonts w:ascii="Palatino Linotype" w:hAnsi="Palatino Linotype" w:cs="Tahoma"/>
          <w:sz w:val="22"/>
          <w:szCs w:val="22"/>
        </w:rPr>
        <w:t xml:space="preserve">to por el artículo 181, párrafo tercero, de la Ley de Transparencia y Acceso a la Información Pública del Estado de México y Municipios, acordó ampliar por un periodo de quince días hábiles, el plazo para resolver el Recurso de </w:t>
      </w:r>
      <w:r w:rsidR="002B1A23">
        <w:rPr>
          <w:rFonts w:ascii="Palatino Linotype" w:hAnsi="Palatino Linotype" w:cs="Tahoma"/>
          <w:sz w:val="22"/>
          <w:szCs w:val="22"/>
        </w:rPr>
        <w:lastRenderedPageBreak/>
        <w:t xml:space="preserve">Revisión que nos ocupa; acto que fue notificado a las partes mediante el Sistema de Acceso a la Información Mexiquense (SAIMEX). </w:t>
      </w:r>
    </w:p>
    <w:p w14:paraId="7A1563DF" w14:textId="77777777" w:rsidR="002B1A23" w:rsidRPr="00C938B6" w:rsidRDefault="002B1A23" w:rsidP="005B031E">
      <w:pPr>
        <w:spacing w:line="360" w:lineRule="auto"/>
        <w:jc w:val="both"/>
        <w:rPr>
          <w:rFonts w:ascii="Palatino Linotype" w:hAnsi="Palatino Linotype" w:cs="Tahoma"/>
          <w:sz w:val="22"/>
          <w:szCs w:val="22"/>
        </w:rPr>
      </w:pPr>
    </w:p>
    <w:p w14:paraId="3278182A" w14:textId="7A1A61AB" w:rsidR="005F389E" w:rsidRDefault="00801872" w:rsidP="005B031E">
      <w:pPr>
        <w:spacing w:line="360" w:lineRule="auto"/>
        <w:jc w:val="both"/>
        <w:rPr>
          <w:rFonts w:ascii="Palatino Linotype" w:hAnsi="Palatino Linotype" w:cs="Tahoma"/>
          <w:color w:val="000000"/>
          <w:sz w:val="22"/>
          <w:szCs w:val="22"/>
        </w:rPr>
      </w:pPr>
      <w:r w:rsidRPr="00C938B6">
        <w:rPr>
          <w:rFonts w:ascii="Palatino Linotype" w:hAnsi="Palatino Linotype" w:cs="Tahoma"/>
          <w:color w:val="000000"/>
          <w:sz w:val="22"/>
          <w:szCs w:val="22"/>
        </w:rPr>
        <w:t xml:space="preserve">En razón de que fue debidamente sustanciado e integrado el expediente electrónico y no existe diligencia pendiente de desahogo, se emite la resolución que conforme a Derecho proceda, </w:t>
      </w:r>
      <w:r w:rsidR="002D0ADE" w:rsidRPr="00C938B6">
        <w:rPr>
          <w:rFonts w:ascii="Palatino Linotype" w:hAnsi="Palatino Linotype" w:cs="Tahoma"/>
          <w:color w:val="000000"/>
          <w:sz w:val="22"/>
          <w:szCs w:val="22"/>
        </w:rPr>
        <w:t>de acuerdo con</w:t>
      </w:r>
      <w:r w:rsidRPr="00C938B6">
        <w:rPr>
          <w:rFonts w:ascii="Palatino Linotype" w:hAnsi="Palatino Linotype" w:cs="Tahoma"/>
          <w:color w:val="000000"/>
          <w:sz w:val="22"/>
          <w:szCs w:val="22"/>
        </w:rPr>
        <w:t xml:space="preserve"> los siguientes: </w:t>
      </w:r>
    </w:p>
    <w:p w14:paraId="789A4FDE" w14:textId="77777777" w:rsidR="005F389E" w:rsidRPr="00C938B6" w:rsidRDefault="005F389E" w:rsidP="005B031E">
      <w:pPr>
        <w:spacing w:line="360" w:lineRule="auto"/>
        <w:jc w:val="both"/>
        <w:rPr>
          <w:rFonts w:ascii="Palatino Linotype" w:hAnsi="Palatino Linotype" w:cs="Tahoma"/>
          <w:color w:val="000000"/>
          <w:sz w:val="22"/>
          <w:szCs w:val="22"/>
        </w:rPr>
      </w:pPr>
    </w:p>
    <w:p w14:paraId="5140970D" w14:textId="77777777" w:rsidR="00801872" w:rsidRPr="00C938B6" w:rsidRDefault="00801872" w:rsidP="005B031E">
      <w:pPr>
        <w:spacing w:line="360" w:lineRule="auto"/>
        <w:jc w:val="center"/>
        <w:rPr>
          <w:rFonts w:ascii="Palatino Linotype" w:hAnsi="Palatino Linotype" w:cs="Tahoma"/>
          <w:b/>
          <w:sz w:val="22"/>
          <w:szCs w:val="22"/>
        </w:rPr>
      </w:pPr>
      <w:r w:rsidRPr="00C938B6">
        <w:rPr>
          <w:rFonts w:ascii="Palatino Linotype" w:hAnsi="Palatino Linotype" w:cs="Tahoma"/>
          <w:b/>
          <w:sz w:val="22"/>
          <w:szCs w:val="22"/>
        </w:rPr>
        <w:t>C O N S I D E R A N D O S:</w:t>
      </w:r>
    </w:p>
    <w:p w14:paraId="35EFA683" w14:textId="77777777" w:rsidR="00801872" w:rsidRPr="00C938B6" w:rsidRDefault="00801872" w:rsidP="005B031E">
      <w:pPr>
        <w:spacing w:line="360" w:lineRule="auto"/>
        <w:rPr>
          <w:rFonts w:ascii="Palatino Linotype" w:hAnsi="Palatino Linotype" w:cs="Tahoma"/>
          <w:b/>
          <w:sz w:val="22"/>
          <w:szCs w:val="22"/>
        </w:rPr>
      </w:pPr>
    </w:p>
    <w:p w14:paraId="45D3D2CB" w14:textId="77777777" w:rsidR="00801872" w:rsidRPr="00C938B6" w:rsidRDefault="00801872" w:rsidP="005B031E">
      <w:pPr>
        <w:spacing w:line="360" w:lineRule="auto"/>
        <w:jc w:val="both"/>
        <w:rPr>
          <w:rFonts w:ascii="Palatino Linotype" w:eastAsia="Batang" w:hAnsi="Palatino Linotype" w:cs="Tahoma"/>
          <w:b/>
          <w:bCs/>
          <w:sz w:val="22"/>
          <w:szCs w:val="22"/>
        </w:rPr>
      </w:pPr>
      <w:r w:rsidRPr="00C938B6">
        <w:rPr>
          <w:rFonts w:ascii="Palatino Linotype" w:eastAsia="Batang" w:hAnsi="Palatino Linotype" w:cs="Tahoma"/>
          <w:b/>
          <w:bCs/>
          <w:sz w:val="22"/>
          <w:szCs w:val="22"/>
        </w:rPr>
        <w:t xml:space="preserve">PRIMERO. Competencia. </w:t>
      </w:r>
    </w:p>
    <w:p w14:paraId="6A4AA277" w14:textId="77777777" w:rsidR="00801872" w:rsidRPr="00C938B6" w:rsidRDefault="00801872" w:rsidP="005B031E">
      <w:pPr>
        <w:spacing w:line="360" w:lineRule="auto"/>
        <w:jc w:val="both"/>
        <w:rPr>
          <w:rFonts w:ascii="Palatino Linotype" w:eastAsia="Batang" w:hAnsi="Palatino Linotype" w:cs="Tahoma"/>
          <w:b/>
          <w:bCs/>
          <w:sz w:val="22"/>
          <w:szCs w:val="22"/>
        </w:rPr>
      </w:pPr>
    </w:p>
    <w:p w14:paraId="130CEAD1" w14:textId="1DA5F0DC" w:rsidR="00C97226" w:rsidRDefault="0003468A" w:rsidP="005B031E">
      <w:pPr>
        <w:spacing w:line="360" w:lineRule="auto"/>
        <w:jc w:val="both"/>
        <w:rPr>
          <w:rFonts w:ascii="Palatino Linotype" w:hAnsi="Palatino Linotype" w:cs="Tahoma"/>
          <w:bCs/>
          <w:sz w:val="22"/>
          <w:szCs w:val="22"/>
        </w:rPr>
      </w:pPr>
      <w:r w:rsidRPr="00C938B6">
        <w:rPr>
          <w:rFonts w:ascii="Palatino Linotype" w:hAnsi="Palatino Linotype" w:cs="Tahoma"/>
          <w:bCs/>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w:t>
      </w:r>
      <w:r w:rsidRPr="00C938B6">
        <w:rPr>
          <w:rFonts w:ascii="Palatino Linotype" w:hAnsi="Palatino Linotype" w:cs="Tahoma"/>
          <w:bCs/>
          <w:sz w:val="22"/>
          <w:szCs w:val="22"/>
          <w:lang w:val="x-none"/>
        </w:rPr>
        <w:t>ésimo, trigésimo primero</w:t>
      </w:r>
      <w:r w:rsidRPr="00C938B6">
        <w:rPr>
          <w:rFonts w:ascii="Palatino Linotype" w:hAnsi="Palatino Linotype" w:cs="Tahoma"/>
          <w:bCs/>
          <w:sz w:val="22"/>
          <w:szCs w:val="22"/>
        </w:rPr>
        <w:t xml:space="preserve">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0215EAE9" w14:textId="1DE1AEF5" w:rsidR="00957512" w:rsidRDefault="00957512" w:rsidP="005B031E">
      <w:pPr>
        <w:spacing w:line="360" w:lineRule="auto"/>
        <w:jc w:val="both"/>
        <w:rPr>
          <w:rFonts w:ascii="Palatino Linotype" w:hAnsi="Palatino Linotype" w:cs="Tahoma"/>
          <w:bCs/>
          <w:sz w:val="22"/>
          <w:szCs w:val="22"/>
        </w:rPr>
      </w:pPr>
    </w:p>
    <w:p w14:paraId="7601BD54" w14:textId="3BC92592" w:rsidR="00957512" w:rsidRDefault="00957512" w:rsidP="005B031E">
      <w:pPr>
        <w:spacing w:line="360" w:lineRule="auto"/>
        <w:jc w:val="both"/>
        <w:rPr>
          <w:rFonts w:ascii="Palatino Linotype" w:hAnsi="Palatino Linotype" w:cs="Tahoma"/>
          <w:bCs/>
          <w:sz w:val="22"/>
          <w:szCs w:val="22"/>
        </w:rPr>
      </w:pPr>
    </w:p>
    <w:p w14:paraId="2EB314CD" w14:textId="2731D03F" w:rsidR="00957512" w:rsidRDefault="00957512" w:rsidP="005B031E">
      <w:pPr>
        <w:spacing w:line="360" w:lineRule="auto"/>
        <w:jc w:val="both"/>
        <w:rPr>
          <w:rFonts w:ascii="Palatino Linotype" w:hAnsi="Palatino Linotype" w:cs="Tahoma"/>
          <w:bCs/>
          <w:sz w:val="22"/>
          <w:szCs w:val="22"/>
        </w:rPr>
      </w:pPr>
    </w:p>
    <w:p w14:paraId="3D0EB736" w14:textId="77777777" w:rsidR="00957512" w:rsidRPr="00C97226" w:rsidRDefault="00957512" w:rsidP="005B031E">
      <w:pPr>
        <w:spacing w:line="360" w:lineRule="auto"/>
        <w:jc w:val="both"/>
        <w:rPr>
          <w:rFonts w:ascii="Palatino Linotype" w:hAnsi="Palatino Linotype" w:cs="Tahoma"/>
          <w:bCs/>
          <w:sz w:val="22"/>
          <w:szCs w:val="22"/>
        </w:rPr>
      </w:pPr>
    </w:p>
    <w:p w14:paraId="49902CA0" w14:textId="77777777" w:rsidR="00801872" w:rsidRPr="00C938B6" w:rsidRDefault="00801872" w:rsidP="005B031E">
      <w:pPr>
        <w:spacing w:line="360" w:lineRule="auto"/>
        <w:jc w:val="both"/>
        <w:rPr>
          <w:rFonts w:ascii="Palatino Linotype" w:hAnsi="Palatino Linotype"/>
          <w:color w:val="222222"/>
          <w:lang w:val="es-ES"/>
        </w:rPr>
      </w:pPr>
      <w:r w:rsidRPr="00C938B6">
        <w:rPr>
          <w:rFonts w:ascii="Palatino Linotype" w:hAnsi="Palatino Linotype"/>
          <w:b/>
          <w:bCs/>
          <w:color w:val="000000"/>
          <w:sz w:val="22"/>
          <w:szCs w:val="22"/>
          <w:lang w:val="es-ES"/>
        </w:rPr>
        <w:lastRenderedPageBreak/>
        <w:t>SEGUNDO. Causales de procedencia y sobreseimiento.</w:t>
      </w:r>
    </w:p>
    <w:p w14:paraId="7872E74B" w14:textId="5ADFF415" w:rsidR="00BE73E6" w:rsidRPr="00C938B6" w:rsidRDefault="00801872" w:rsidP="005B031E">
      <w:pPr>
        <w:spacing w:line="360" w:lineRule="auto"/>
        <w:jc w:val="both"/>
        <w:rPr>
          <w:rFonts w:ascii="Palatino Linotype" w:hAnsi="Palatino Linotype"/>
          <w:color w:val="222222"/>
          <w:lang w:val="es-ES"/>
        </w:rPr>
      </w:pPr>
      <w:r w:rsidRPr="00C938B6">
        <w:rPr>
          <w:rFonts w:ascii="Palatino Linotype" w:hAnsi="Palatino Linotype"/>
          <w:color w:val="000000"/>
          <w:sz w:val="22"/>
          <w:szCs w:val="22"/>
          <w:lang w:val="es-ES"/>
        </w:rPr>
        <w:t> </w:t>
      </w:r>
    </w:p>
    <w:p w14:paraId="1902D30E" w14:textId="09AD0B20" w:rsidR="00A26524" w:rsidRDefault="00801872" w:rsidP="001B04D6">
      <w:pPr>
        <w:spacing w:line="360" w:lineRule="auto"/>
        <w:jc w:val="both"/>
        <w:rPr>
          <w:rFonts w:ascii="Palatino Linotype" w:hAnsi="Palatino Linotype"/>
          <w:color w:val="222222"/>
          <w:lang w:val="es-ES"/>
        </w:rPr>
      </w:pPr>
      <w:r w:rsidRPr="00C938B6">
        <w:rPr>
          <w:rFonts w:ascii="Palatino Linotype" w:hAnsi="Palatino Linotype"/>
          <w:color w:val="000000"/>
          <w:sz w:val="22"/>
          <w:szCs w:val="22"/>
          <w:lang w:val="es-ES"/>
        </w:rPr>
        <w:t>De las constancias que forman parte de</w:t>
      </w:r>
      <w:r w:rsidR="00C97226">
        <w:rPr>
          <w:rFonts w:ascii="Palatino Linotype" w:hAnsi="Palatino Linotype"/>
          <w:color w:val="000000"/>
          <w:sz w:val="22"/>
          <w:szCs w:val="22"/>
          <w:lang w:val="es-ES"/>
        </w:rPr>
        <w:t xml:space="preserve">l </w:t>
      </w:r>
      <w:r w:rsidRPr="00C938B6">
        <w:rPr>
          <w:rFonts w:ascii="Palatino Linotype" w:hAnsi="Palatino Linotype"/>
          <w:color w:val="000000"/>
          <w:sz w:val="22"/>
          <w:szCs w:val="22"/>
          <w:lang w:val="es-ES"/>
        </w:rPr>
        <w:t xml:space="preserve">Recurso de Revisión que se analiza, se advierte que previo al estudio del fondo de la </w:t>
      </w:r>
      <w:r w:rsidRPr="00C938B6">
        <w:rPr>
          <w:rFonts w:ascii="Palatino Linotype" w:hAnsi="Palatino Linotype"/>
          <w:i/>
          <w:color w:val="000000"/>
          <w:sz w:val="22"/>
          <w:szCs w:val="22"/>
          <w:lang w:val="es-ES"/>
        </w:rPr>
        <w:t>litis</w:t>
      </w:r>
      <w:r w:rsidRPr="00C938B6">
        <w:rPr>
          <w:rFonts w:ascii="Palatino Linotype" w:hAnsi="Palatino Linotype"/>
          <w:color w:val="000000"/>
          <w:sz w:val="22"/>
          <w:szCs w:val="22"/>
          <w:lang w:val="es-ES"/>
        </w:rPr>
        <w:t>, es necesario estudiar las causales de improcedencia y sobreseimiento que se adviertan, para determinar lo que en Derecho proceda.</w:t>
      </w:r>
    </w:p>
    <w:p w14:paraId="5A803D51" w14:textId="77777777" w:rsidR="005A67B9" w:rsidRPr="001B04D6" w:rsidRDefault="005A67B9" w:rsidP="001B04D6">
      <w:pPr>
        <w:spacing w:line="360" w:lineRule="auto"/>
        <w:jc w:val="both"/>
        <w:rPr>
          <w:rFonts w:ascii="Palatino Linotype" w:hAnsi="Palatino Linotype"/>
          <w:color w:val="222222"/>
          <w:lang w:val="es-ES"/>
        </w:rPr>
      </w:pPr>
    </w:p>
    <w:p w14:paraId="40B0B6C2" w14:textId="77777777" w:rsidR="00801872" w:rsidRPr="00C938B6" w:rsidRDefault="00801872" w:rsidP="005B031E">
      <w:pPr>
        <w:shd w:val="clear" w:color="auto" w:fill="FFFFFF"/>
        <w:spacing w:line="360" w:lineRule="auto"/>
        <w:jc w:val="both"/>
        <w:rPr>
          <w:rFonts w:ascii="Palatino Linotype" w:hAnsi="Palatino Linotype"/>
          <w:color w:val="222222"/>
          <w:lang w:val="es-ES"/>
        </w:rPr>
      </w:pPr>
      <w:r w:rsidRPr="00C938B6">
        <w:rPr>
          <w:rFonts w:ascii="Palatino Linotype" w:hAnsi="Palatino Linotype"/>
          <w:b/>
          <w:bCs/>
          <w:color w:val="000000"/>
          <w:sz w:val="22"/>
          <w:szCs w:val="22"/>
          <w:lang w:val="es-ES"/>
        </w:rPr>
        <w:t>Causales de improcedencia.</w:t>
      </w:r>
    </w:p>
    <w:p w14:paraId="5660127B" w14:textId="77777777" w:rsidR="00801872" w:rsidRPr="00C938B6" w:rsidRDefault="00801872" w:rsidP="005B031E">
      <w:pPr>
        <w:shd w:val="clear" w:color="auto" w:fill="FFFFFF"/>
        <w:spacing w:line="360" w:lineRule="auto"/>
        <w:jc w:val="both"/>
        <w:rPr>
          <w:rFonts w:ascii="Palatino Linotype" w:hAnsi="Palatino Linotype"/>
          <w:color w:val="222222"/>
          <w:lang w:val="es-ES"/>
        </w:rPr>
      </w:pPr>
      <w:r w:rsidRPr="00C938B6">
        <w:rPr>
          <w:rFonts w:ascii="Palatino Linotype" w:hAnsi="Palatino Linotype"/>
          <w:color w:val="000000"/>
          <w:sz w:val="22"/>
          <w:szCs w:val="22"/>
          <w:lang w:val="es-ES"/>
        </w:rPr>
        <w:t> </w:t>
      </w:r>
    </w:p>
    <w:p w14:paraId="3EB1E900" w14:textId="77777777" w:rsidR="00801872" w:rsidRPr="00C938B6" w:rsidRDefault="00801872" w:rsidP="005B031E">
      <w:pPr>
        <w:spacing w:line="360" w:lineRule="auto"/>
        <w:jc w:val="both"/>
        <w:rPr>
          <w:rFonts w:ascii="Palatino Linotype" w:hAnsi="Palatino Linotype" w:cs="Tahoma"/>
          <w:bCs/>
          <w:color w:val="000000"/>
          <w:sz w:val="22"/>
          <w:szCs w:val="22"/>
        </w:rPr>
      </w:pPr>
      <w:r w:rsidRPr="00C938B6">
        <w:rPr>
          <w:rFonts w:ascii="Palatino Linotype" w:hAnsi="Palatino Linotype" w:cs="Tahoma"/>
          <w:bCs/>
          <w:color w:val="000000"/>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A44898E" w14:textId="77777777" w:rsidR="00801872" w:rsidRPr="00C938B6" w:rsidRDefault="00801872" w:rsidP="005B031E">
      <w:pPr>
        <w:spacing w:line="360" w:lineRule="auto"/>
        <w:jc w:val="both"/>
        <w:rPr>
          <w:rFonts w:ascii="Palatino Linotype" w:hAnsi="Palatino Linotype" w:cs="Tahoma"/>
          <w:bCs/>
          <w:color w:val="000000"/>
          <w:sz w:val="22"/>
          <w:szCs w:val="22"/>
        </w:rPr>
      </w:pPr>
      <w:r w:rsidRPr="00C938B6">
        <w:rPr>
          <w:rFonts w:ascii="Palatino Linotype" w:hAnsi="Palatino Linotype" w:cs="Tahoma"/>
          <w:bCs/>
          <w:color w:val="000000"/>
          <w:sz w:val="22"/>
          <w:szCs w:val="22"/>
        </w:rPr>
        <w:t> </w:t>
      </w:r>
    </w:p>
    <w:p w14:paraId="50E41078" w14:textId="78B2A4BB" w:rsidR="00182878" w:rsidRDefault="00801872" w:rsidP="005B031E">
      <w:pPr>
        <w:spacing w:line="360" w:lineRule="auto"/>
        <w:jc w:val="both"/>
        <w:rPr>
          <w:rFonts w:ascii="Palatino Linotype" w:hAnsi="Palatino Linotype" w:cs="Tahoma"/>
          <w:bCs/>
          <w:color w:val="000000"/>
          <w:sz w:val="22"/>
          <w:szCs w:val="22"/>
        </w:rPr>
      </w:pPr>
      <w:r w:rsidRPr="00C938B6">
        <w:rPr>
          <w:rFonts w:ascii="Palatino Linotype" w:hAnsi="Palatino Linotype" w:cs="Tahoma"/>
          <w:bCs/>
          <w:color w:val="000000"/>
          <w:sz w:val="22"/>
          <w:szCs w:val="22"/>
        </w:rPr>
        <w:t>En el presente caso</w:t>
      </w:r>
      <w:r w:rsidRPr="00957512">
        <w:rPr>
          <w:rFonts w:ascii="Palatino Linotype" w:hAnsi="Palatino Linotype" w:cs="Tahoma"/>
          <w:bCs/>
          <w:color w:val="000000"/>
          <w:sz w:val="22"/>
          <w:szCs w:val="22"/>
        </w:rPr>
        <w:t>, </w:t>
      </w:r>
      <w:r w:rsidRPr="00182878">
        <w:rPr>
          <w:rFonts w:ascii="Palatino Linotype" w:hAnsi="Palatino Linotype" w:cs="Tahoma"/>
          <w:b/>
          <w:color w:val="000000"/>
          <w:sz w:val="22"/>
          <w:szCs w:val="22"/>
        </w:rPr>
        <w:t>no se actualiza alguna de las causales de improcedencia</w:t>
      </w:r>
      <w:r w:rsidRPr="00C938B6">
        <w:rPr>
          <w:rFonts w:ascii="Palatino Linotype" w:hAnsi="Palatino Linotype" w:cs="Tahoma"/>
          <w:bCs/>
          <w:color w:val="000000"/>
          <w:sz w:val="22"/>
          <w:szCs w:val="22"/>
        </w:rPr>
        <w:t xml:space="preserve"> establecidas en el ordenamiento jurídico previamente señalado, toda vez que: </w:t>
      </w:r>
      <w:r w:rsidR="00182878">
        <w:rPr>
          <w:rFonts w:ascii="Palatino Linotype" w:hAnsi="Palatino Linotype" w:cs="Tahoma"/>
          <w:bCs/>
          <w:color w:val="000000"/>
          <w:sz w:val="22"/>
          <w:szCs w:val="22"/>
        </w:rPr>
        <w:t>este Instituto no tiene conocimiento de que se encuentre en trámite algún medio de defensa presentado por el Recurrente ante otra instancia; no existió prevención alguna; la veracidad de la respues</w:t>
      </w:r>
      <w:r w:rsidR="00F8196D">
        <w:rPr>
          <w:rFonts w:ascii="Palatino Linotype" w:hAnsi="Palatino Linotype" w:cs="Tahoma"/>
          <w:bCs/>
          <w:color w:val="000000"/>
          <w:sz w:val="22"/>
          <w:szCs w:val="22"/>
        </w:rPr>
        <w:t xml:space="preserve">ta no formó parte del agravio; ni se realizó una consulta o ampliación a los alcances del requerimiento informativo. </w:t>
      </w:r>
    </w:p>
    <w:p w14:paraId="129BA7C6" w14:textId="77777777" w:rsidR="007F4461" w:rsidRDefault="007F4461" w:rsidP="005B031E">
      <w:pPr>
        <w:spacing w:line="360" w:lineRule="auto"/>
        <w:jc w:val="both"/>
        <w:rPr>
          <w:rFonts w:ascii="Palatino Linotype" w:hAnsi="Palatino Linotype" w:cs="Tahoma"/>
          <w:bCs/>
          <w:color w:val="000000"/>
          <w:sz w:val="22"/>
          <w:szCs w:val="22"/>
        </w:rPr>
      </w:pPr>
    </w:p>
    <w:p w14:paraId="44086962" w14:textId="78802214" w:rsidR="007F4461" w:rsidRPr="007F4461" w:rsidRDefault="007F4461" w:rsidP="007F4461">
      <w:pPr>
        <w:spacing w:line="360" w:lineRule="auto"/>
        <w:jc w:val="both"/>
        <w:rPr>
          <w:rFonts w:ascii="Palatino Linotype" w:hAnsi="Palatino Linotype" w:cs="Tahoma"/>
          <w:bCs/>
          <w:color w:val="000000"/>
          <w:sz w:val="22"/>
          <w:szCs w:val="22"/>
          <w:lang w:val="es-ES"/>
        </w:rPr>
      </w:pPr>
      <w:r w:rsidRPr="007F4461">
        <w:rPr>
          <w:rFonts w:ascii="Palatino Linotype" w:hAnsi="Palatino Linotype" w:cs="Tahoma"/>
          <w:bCs/>
          <w:color w:val="000000"/>
          <w:sz w:val="22"/>
          <w:szCs w:val="22"/>
          <w:lang w:val="es-ES"/>
        </w:rPr>
        <w:t xml:space="preserve">Además, de que el Medio de Impugnación fue presentado en tiempo, toda vez que ante la ausencia de la respuesta del Ente Recurrido, se constituyó la </w:t>
      </w:r>
      <w:r w:rsidRPr="007F4461">
        <w:rPr>
          <w:rFonts w:ascii="Palatino Linotype" w:hAnsi="Palatino Linotype" w:cs="Tahoma"/>
          <w:b/>
          <w:bCs/>
          <w:color w:val="000000"/>
          <w:sz w:val="22"/>
          <w:szCs w:val="22"/>
          <w:lang w:val="es-ES"/>
        </w:rPr>
        <w:t>negativa ficta</w:t>
      </w:r>
      <w:r w:rsidRPr="007F4461">
        <w:rPr>
          <w:rFonts w:ascii="Palatino Linotype" w:hAnsi="Palatino Linotype" w:cs="Tahoma"/>
          <w:bCs/>
          <w:color w:val="000000"/>
          <w:sz w:val="22"/>
          <w:szCs w:val="22"/>
          <w:lang w:val="es-ES"/>
        </w:rPr>
        <w:t xml:space="preserve">, que genera la posibilidad de los particulares de interponer un recurso de revisión ante tal omisión, </w:t>
      </w:r>
      <w:r w:rsidRPr="007F4461">
        <w:rPr>
          <w:rFonts w:ascii="Palatino Linotype" w:hAnsi="Palatino Linotype" w:cs="Tahoma"/>
          <w:bCs/>
          <w:color w:val="000000"/>
          <w:sz w:val="22"/>
          <w:szCs w:val="22"/>
          <w:u w:val="single"/>
          <w:lang w:val="es-ES"/>
        </w:rPr>
        <w:t xml:space="preserve">en </w:t>
      </w:r>
      <w:r w:rsidRPr="007F4461">
        <w:rPr>
          <w:rFonts w:ascii="Palatino Linotype" w:hAnsi="Palatino Linotype" w:cs="Tahoma"/>
          <w:bCs/>
          <w:color w:val="000000"/>
          <w:sz w:val="22"/>
          <w:szCs w:val="22"/>
          <w:u w:val="single"/>
          <w:lang w:val="es-ES"/>
        </w:rPr>
        <w:lastRenderedPageBreak/>
        <w:t>cualquier momento</w:t>
      </w:r>
      <w:r w:rsidRPr="007F4461">
        <w:rPr>
          <w:rFonts w:ascii="Palatino Linotype" w:hAnsi="Palatino Linotype" w:cs="Tahoma"/>
          <w:bCs/>
          <w:color w:val="000000"/>
          <w:sz w:val="22"/>
          <w:szCs w:val="22"/>
          <w:lang w:val="es-ES"/>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14:paraId="6B8DE10A" w14:textId="77777777" w:rsidR="005A67B9" w:rsidRPr="00C938B6" w:rsidRDefault="005A67B9" w:rsidP="005B031E">
      <w:pPr>
        <w:spacing w:line="360" w:lineRule="auto"/>
        <w:jc w:val="both"/>
        <w:rPr>
          <w:rFonts w:ascii="Palatino Linotype" w:hAnsi="Palatino Linotype" w:cs="Tahoma"/>
          <w:bCs/>
          <w:color w:val="000000"/>
          <w:sz w:val="22"/>
          <w:szCs w:val="22"/>
        </w:rPr>
      </w:pPr>
    </w:p>
    <w:p w14:paraId="24EAC538" w14:textId="1ED2EFEA" w:rsidR="005A67B9" w:rsidRDefault="007F4461" w:rsidP="00400954">
      <w:pPr>
        <w:spacing w:line="360" w:lineRule="auto"/>
        <w:jc w:val="both"/>
        <w:rPr>
          <w:rFonts w:ascii="Palatino Linotype" w:hAnsi="Palatino Linotype" w:cs="Tahoma"/>
          <w:sz w:val="22"/>
          <w:szCs w:val="22"/>
          <w:lang w:val="es-ES"/>
        </w:rPr>
      </w:pPr>
      <w:r>
        <w:rPr>
          <w:rFonts w:ascii="Palatino Linotype" w:hAnsi="Palatino Linotype" w:cs="Tahoma"/>
          <w:sz w:val="22"/>
          <w:szCs w:val="22"/>
        </w:rPr>
        <w:t>Conforme a lo anterior,</w:t>
      </w:r>
      <w:r w:rsidR="00801872" w:rsidRPr="003066DC">
        <w:rPr>
          <w:rFonts w:ascii="Palatino Linotype" w:hAnsi="Palatino Linotype" w:cs="Tahoma"/>
          <w:sz w:val="22"/>
          <w:szCs w:val="22"/>
        </w:rPr>
        <w:t xml:space="preserve"> se actualiza la causal de procedencia del Recurso de Revisión señalada </w:t>
      </w:r>
      <w:r w:rsidR="00A26524" w:rsidRPr="003066DC">
        <w:rPr>
          <w:rFonts w:ascii="Palatino Linotype" w:hAnsi="Palatino Linotype" w:cs="Tahoma"/>
          <w:sz w:val="22"/>
          <w:szCs w:val="22"/>
        </w:rPr>
        <w:t xml:space="preserve">en el artículo 179, fracción </w:t>
      </w:r>
      <w:r w:rsidR="003066DC" w:rsidRPr="003066DC">
        <w:rPr>
          <w:rFonts w:ascii="Palatino Linotype" w:hAnsi="Palatino Linotype" w:cs="Tahoma"/>
          <w:sz w:val="22"/>
          <w:szCs w:val="22"/>
        </w:rPr>
        <w:t>VII</w:t>
      </w:r>
      <w:r w:rsidR="00A26524" w:rsidRPr="003066DC">
        <w:rPr>
          <w:rFonts w:ascii="Palatino Linotype" w:hAnsi="Palatino Linotype" w:cs="Tahoma"/>
          <w:sz w:val="22"/>
          <w:szCs w:val="22"/>
        </w:rPr>
        <w:t xml:space="preserve"> de la Ley de </w:t>
      </w:r>
      <w:r w:rsidR="00C21A95">
        <w:rPr>
          <w:rFonts w:ascii="Palatino Linotype" w:hAnsi="Palatino Linotype" w:cs="Tahoma"/>
          <w:sz w:val="22"/>
          <w:szCs w:val="22"/>
        </w:rPr>
        <w:t>la materia</w:t>
      </w:r>
      <w:r w:rsidR="00801872" w:rsidRPr="003066DC">
        <w:rPr>
          <w:rFonts w:ascii="Palatino Linotype" w:hAnsi="Palatino Linotype" w:cs="Tahoma"/>
          <w:sz w:val="22"/>
          <w:szCs w:val="22"/>
        </w:rPr>
        <w:t xml:space="preserve">, </w:t>
      </w:r>
      <w:r w:rsidR="00801872" w:rsidRPr="003066DC">
        <w:rPr>
          <w:rFonts w:ascii="Palatino Linotype" w:eastAsia="Calibri" w:hAnsi="Palatino Linotype" w:cs="Tahoma"/>
          <w:color w:val="000000"/>
          <w:sz w:val="22"/>
          <w:szCs w:val="22"/>
          <w:lang w:eastAsia="es-MX"/>
        </w:rPr>
        <w:t xml:space="preserve">pues el </w:t>
      </w:r>
      <w:r w:rsidR="00C21A95">
        <w:rPr>
          <w:rFonts w:ascii="Palatino Linotype" w:eastAsia="Calibri" w:hAnsi="Palatino Linotype" w:cs="Tahoma"/>
          <w:color w:val="000000"/>
          <w:sz w:val="22"/>
          <w:szCs w:val="22"/>
          <w:lang w:eastAsia="es-MX"/>
        </w:rPr>
        <w:t>Solicitante</w:t>
      </w:r>
      <w:r w:rsidR="00801872" w:rsidRPr="003066DC">
        <w:rPr>
          <w:rFonts w:ascii="Palatino Linotype" w:eastAsia="Calibri" w:hAnsi="Palatino Linotype" w:cs="Tahoma"/>
          <w:color w:val="000000"/>
          <w:sz w:val="22"/>
          <w:szCs w:val="22"/>
          <w:lang w:eastAsia="es-MX"/>
        </w:rPr>
        <w:t xml:space="preserve"> se inconformó </w:t>
      </w:r>
      <w:r w:rsidR="00A26524" w:rsidRPr="003066DC">
        <w:rPr>
          <w:rFonts w:ascii="Palatino Linotype" w:hAnsi="Palatino Linotype" w:cs="Tahoma"/>
          <w:sz w:val="22"/>
          <w:szCs w:val="22"/>
          <w:lang w:val="es-ES"/>
        </w:rPr>
        <w:t xml:space="preserve">por la </w:t>
      </w:r>
      <w:r w:rsidR="008A673A">
        <w:rPr>
          <w:rFonts w:ascii="Palatino Linotype" w:hAnsi="Palatino Linotype" w:cs="Tahoma"/>
          <w:sz w:val="22"/>
          <w:szCs w:val="22"/>
          <w:lang w:val="es-ES"/>
        </w:rPr>
        <w:t xml:space="preserve">falta de respuesta del Sujeto Obligado. </w:t>
      </w:r>
    </w:p>
    <w:p w14:paraId="34A4C570" w14:textId="77777777" w:rsidR="00400954" w:rsidRPr="001B04D6" w:rsidRDefault="00400954" w:rsidP="00400954">
      <w:pPr>
        <w:spacing w:line="360" w:lineRule="auto"/>
        <w:jc w:val="both"/>
        <w:rPr>
          <w:rFonts w:ascii="Palatino Linotype" w:hAnsi="Palatino Linotype" w:cs="Tahoma"/>
          <w:sz w:val="22"/>
          <w:szCs w:val="22"/>
          <w:lang w:val="es-ES"/>
        </w:rPr>
      </w:pPr>
    </w:p>
    <w:p w14:paraId="2A2CA5AC" w14:textId="77777777" w:rsidR="00801872" w:rsidRPr="00C938B6" w:rsidRDefault="00801872" w:rsidP="005B031E">
      <w:pPr>
        <w:spacing w:line="360" w:lineRule="auto"/>
        <w:jc w:val="both"/>
        <w:rPr>
          <w:rFonts w:ascii="Palatino Linotype" w:hAnsi="Palatino Linotype" w:cs="Tahoma"/>
          <w:bCs/>
          <w:color w:val="0D0D0D" w:themeColor="text1" w:themeTint="F2"/>
          <w:sz w:val="22"/>
          <w:szCs w:val="22"/>
        </w:rPr>
      </w:pPr>
      <w:r w:rsidRPr="00C938B6">
        <w:rPr>
          <w:rFonts w:ascii="Palatino Linotype" w:hAnsi="Palatino Linotype" w:cs="Tahoma"/>
          <w:b/>
          <w:bCs/>
          <w:color w:val="0D0D0D" w:themeColor="text1" w:themeTint="F2"/>
          <w:sz w:val="22"/>
          <w:szCs w:val="22"/>
        </w:rPr>
        <w:t>Causales de sobreseimiento.</w:t>
      </w:r>
    </w:p>
    <w:p w14:paraId="0DDC7168" w14:textId="77777777" w:rsidR="00801872" w:rsidRPr="00C938B6" w:rsidRDefault="00801872" w:rsidP="005B031E">
      <w:pPr>
        <w:spacing w:line="360" w:lineRule="auto"/>
        <w:jc w:val="both"/>
        <w:rPr>
          <w:rFonts w:ascii="Palatino Linotype" w:hAnsi="Palatino Linotype" w:cs="Tahoma"/>
          <w:bCs/>
          <w:color w:val="0D0D0D" w:themeColor="text1" w:themeTint="F2"/>
          <w:sz w:val="22"/>
          <w:szCs w:val="22"/>
        </w:rPr>
      </w:pPr>
    </w:p>
    <w:p w14:paraId="5CF765EA" w14:textId="77777777" w:rsidR="00801872" w:rsidRPr="00C938B6" w:rsidRDefault="00801872" w:rsidP="005B031E">
      <w:pPr>
        <w:spacing w:line="360" w:lineRule="auto"/>
        <w:jc w:val="both"/>
        <w:rPr>
          <w:rFonts w:ascii="Palatino Linotype" w:hAnsi="Palatino Linotype" w:cs="Tahoma"/>
          <w:bCs/>
          <w:color w:val="0D0D0D" w:themeColor="text1" w:themeTint="F2"/>
          <w:sz w:val="22"/>
          <w:szCs w:val="22"/>
        </w:rPr>
      </w:pPr>
      <w:r w:rsidRPr="00C938B6">
        <w:rPr>
          <w:rFonts w:ascii="Palatino Linotype" w:hAnsi="Palatino Linotype" w:cs="Tahoma"/>
          <w:bCs/>
          <w:color w:val="0D0D0D" w:themeColor="text1" w:themeTint="F2"/>
          <w:sz w:val="22"/>
          <w:szCs w:val="22"/>
        </w:rPr>
        <w:t>Por ser de previo y especial pronunciamiento, este Instituto analiza si se actualiza alguna causal de sobreseimiento.</w:t>
      </w:r>
    </w:p>
    <w:p w14:paraId="1A0DB89F" w14:textId="77777777" w:rsidR="00801872" w:rsidRPr="00C938B6" w:rsidRDefault="00801872" w:rsidP="005B031E">
      <w:pPr>
        <w:spacing w:line="360" w:lineRule="auto"/>
        <w:jc w:val="both"/>
        <w:rPr>
          <w:rFonts w:ascii="Palatino Linotype" w:hAnsi="Palatino Linotype" w:cs="Tahoma"/>
          <w:bCs/>
          <w:color w:val="0D0D0D" w:themeColor="text1" w:themeTint="F2"/>
          <w:sz w:val="22"/>
          <w:szCs w:val="22"/>
        </w:rPr>
      </w:pPr>
    </w:p>
    <w:p w14:paraId="1B7073D8" w14:textId="77777777" w:rsidR="00801872" w:rsidRPr="00C938B6" w:rsidRDefault="00801872" w:rsidP="005B031E">
      <w:pPr>
        <w:spacing w:line="360" w:lineRule="auto"/>
        <w:jc w:val="both"/>
        <w:rPr>
          <w:rFonts w:ascii="Palatino Linotype" w:hAnsi="Palatino Linotype" w:cs="Tahoma"/>
          <w:sz w:val="22"/>
          <w:szCs w:val="24"/>
        </w:rPr>
      </w:pPr>
      <w:r w:rsidRPr="00C938B6">
        <w:rPr>
          <w:rFonts w:ascii="Palatino Linotype" w:hAnsi="Palatino Linotype" w:cs="Tahoma"/>
          <w:sz w:val="22"/>
          <w:szCs w:val="24"/>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4418F544" w14:textId="77777777" w:rsidR="00801872" w:rsidRPr="00C938B6" w:rsidRDefault="00801872" w:rsidP="005B031E">
      <w:pPr>
        <w:spacing w:line="360" w:lineRule="auto"/>
        <w:jc w:val="both"/>
        <w:rPr>
          <w:rFonts w:ascii="Palatino Linotype" w:hAnsi="Palatino Linotype" w:cs="Tahoma"/>
          <w:bCs/>
          <w:color w:val="0D0D0D" w:themeColor="text1" w:themeTint="F2"/>
          <w:sz w:val="22"/>
          <w:szCs w:val="22"/>
        </w:rPr>
      </w:pPr>
    </w:p>
    <w:p w14:paraId="271858C1" w14:textId="18C3F858" w:rsidR="001B04D6" w:rsidRDefault="00801872" w:rsidP="003066DC">
      <w:pPr>
        <w:spacing w:line="360" w:lineRule="auto"/>
        <w:jc w:val="both"/>
        <w:rPr>
          <w:rFonts w:ascii="Palatino Linotype" w:hAnsi="Palatino Linotype" w:cs="Tahoma"/>
          <w:bCs/>
          <w:color w:val="0D0D0D" w:themeColor="text1" w:themeTint="F2"/>
          <w:sz w:val="22"/>
          <w:szCs w:val="22"/>
        </w:rPr>
      </w:pPr>
      <w:r w:rsidRPr="00C938B6">
        <w:rPr>
          <w:rFonts w:ascii="Palatino Linotype" w:hAnsi="Palatino Linotype" w:cs="Tahoma"/>
          <w:bCs/>
          <w:color w:val="0D0D0D" w:themeColor="text1" w:themeTint="F2"/>
          <w:sz w:val="22"/>
          <w:szCs w:val="22"/>
        </w:rPr>
        <w:t xml:space="preserve">Por tales motivos, se considera procedente entrar al fondo del presente asunto. </w:t>
      </w:r>
    </w:p>
    <w:p w14:paraId="311AFA3F" w14:textId="532D5110" w:rsidR="005F389E" w:rsidRDefault="00D05586" w:rsidP="003066DC">
      <w:pPr>
        <w:spacing w:line="360" w:lineRule="auto"/>
        <w:jc w:val="both"/>
        <w:rPr>
          <w:rFonts w:ascii="Palatino Linotype" w:hAnsi="Palatino Linotype" w:cs="Tahoma"/>
          <w:bCs/>
          <w:color w:val="0D0D0D" w:themeColor="text1" w:themeTint="F2"/>
          <w:sz w:val="22"/>
          <w:szCs w:val="22"/>
        </w:rPr>
      </w:pPr>
      <w:r>
        <w:rPr>
          <w:rFonts w:ascii="Palatino Linotype" w:hAnsi="Palatino Linotype" w:cs="Tahoma"/>
          <w:bCs/>
          <w:noProof/>
          <w:color w:val="0D0D0D" w:themeColor="text1" w:themeTint="F2"/>
          <w:sz w:val="22"/>
          <w:szCs w:val="22"/>
          <w:lang w:eastAsia="es-MX"/>
        </w:rPr>
        <mc:AlternateContent>
          <mc:Choice Requires="wps">
            <w:drawing>
              <wp:anchor distT="0" distB="0" distL="114300" distR="114300" simplePos="0" relativeHeight="251664384" behindDoc="0" locked="0" layoutInCell="1" allowOverlap="1" wp14:anchorId="0C8BC708" wp14:editId="3E5B95ED">
                <wp:simplePos x="0" y="0"/>
                <wp:positionH relativeFrom="column">
                  <wp:posOffset>13970</wp:posOffset>
                </wp:positionH>
                <wp:positionV relativeFrom="paragraph">
                  <wp:posOffset>80010</wp:posOffset>
                </wp:positionV>
                <wp:extent cx="5715000" cy="939800"/>
                <wp:effectExtent l="0" t="0" r="19050" b="31750"/>
                <wp:wrapNone/>
                <wp:docPr id="2" name="Conector recto 2"/>
                <wp:cNvGraphicFramePr/>
                <a:graphic xmlns:a="http://schemas.openxmlformats.org/drawingml/2006/main">
                  <a:graphicData uri="http://schemas.microsoft.com/office/word/2010/wordprocessingShape">
                    <wps:wsp>
                      <wps:cNvCnPr/>
                      <wps:spPr>
                        <a:xfrm flipV="1">
                          <a:off x="0" y="0"/>
                          <a:ext cx="5715000" cy="939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E2F82ED">
              <v:line id="Conector recto 2"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1.1pt,6.3pt" to="451.1pt,80.3pt" w14:anchorId="13914B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">
                <v:stroke joinstyle="miter"/>
              </v:line>
            </w:pict>
          </mc:Fallback>
        </mc:AlternateContent>
      </w:r>
    </w:p>
    <w:p w14:paraId="0468A99E" w14:textId="3E3FC6C6" w:rsidR="009D4DA2" w:rsidRDefault="009D4DA2" w:rsidP="003066DC">
      <w:pPr>
        <w:spacing w:line="360" w:lineRule="auto"/>
        <w:jc w:val="both"/>
        <w:rPr>
          <w:rFonts w:ascii="Palatino Linotype" w:hAnsi="Palatino Linotype" w:cs="Tahoma"/>
          <w:bCs/>
          <w:color w:val="0D0D0D" w:themeColor="text1" w:themeTint="F2"/>
          <w:sz w:val="22"/>
          <w:szCs w:val="22"/>
        </w:rPr>
      </w:pPr>
    </w:p>
    <w:p w14:paraId="2FB9727F" w14:textId="786A406F" w:rsidR="009D4DA2" w:rsidRDefault="009D4DA2" w:rsidP="003066DC">
      <w:pPr>
        <w:spacing w:line="360" w:lineRule="auto"/>
        <w:jc w:val="both"/>
        <w:rPr>
          <w:rFonts w:ascii="Palatino Linotype" w:hAnsi="Palatino Linotype" w:cs="Tahoma"/>
          <w:bCs/>
          <w:color w:val="0D0D0D" w:themeColor="text1" w:themeTint="F2"/>
          <w:sz w:val="22"/>
          <w:szCs w:val="22"/>
        </w:rPr>
      </w:pPr>
    </w:p>
    <w:p w14:paraId="1F36DB69" w14:textId="77777777" w:rsidR="009D4DA2" w:rsidRPr="003066DC" w:rsidRDefault="009D4DA2" w:rsidP="003066DC">
      <w:pPr>
        <w:spacing w:line="360" w:lineRule="auto"/>
        <w:jc w:val="both"/>
        <w:rPr>
          <w:rFonts w:ascii="Palatino Linotype" w:hAnsi="Palatino Linotype" w:cs="Tahoma"/>
          <w:bCs/>
          <w:color w:val="0D0D0D" w:themeColor="text1" w:themeTint="F2"/>
          <w:sz w:val="22"/>
          <w:szCs w:val="22"/>
        </w:rPr>
      </w:pPr>
    </w:p>
    <w:p w14:paraId="1A4AF4FA" w14:textId="77777777" w:rsidR="00801872" w:rsidRPr="00C938B6" w:rsidRDefault="00801872" w:rsidP="005B031E">
      <w:pPr>
        <w:spacing w:line="360" w:lineRule="auto"/>
        <w:jc w:val="both"/>
        <w:rPr>
          <w:rFonts w:ascii="Palatino Linotype" w:hAnsi="Palatino Linotype" w:cs="Tahoma"/>
          <w:b/>
          <w:bCs/>
          <w:iCs/>
          <w:sz w:val="22"/>
          <w:szCs w:val="22"/>
          <w:lang w:val="es-ES"/>
        </w:rPr>
      </w:pPr>
      <w:r w:rsidRPr="00C938B6">
        <w:rPr>
          <w:rFonts w:ascii="Palatino Linotype" w:hAnsi="Palatino Linotype" w:cs="Tahoma"/>
          <w:b/>
          <w:bCs/>
          <w:iCs/>
          <w:sz w:val="22"/>
          <w:szCs w:val="22"/>
          <w:lang w:val="es-ES"/>
        </w:rPr>
        <w:lastRenderedPageBreak/>
        <w:t xml:space="preserve">TERCERO. Determinación de la Controversia. </w:t>
      </w:r>
    </w:p>
    <w:p w14:paraId="48A4CBC0" w14:textId="77777777" w:rsidR="00801872" w:rsidRPr="00C938B6" w:rsidRDefault="00801872" w:rsidP="005B031E">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5C70264B" w14:textId="52DB92C2" w:rsidR="005567AB" w:rsidRDefault="00A26524" w:rsidP="00E346C4">
      <w:pPr>
        <w:pStyle w:val="Prrafodelista"/>
        <w:autoSpaceDE w:val="0"/>
        <w:autoSpaceDN w:val="0"/>
        <w:adjustRightInd w:val="0"/>
        <w:spacing w:line="360" w:lineRule="auto"/>
        <w:ind w:left="0" w:right="-28"/>
        <w:jc w:val="both"/>
        <w:rPr>
          <w:rFonts w:ascii="Palatino Linotype" w:eastAsia="Calibri" w:hAnsi="Palatino Linotype" w:cs="Tahoma"/>
          <w:color w:val="000000"/>
          <w:lang w:val="es-ES" w:eastAsia="es-MX"/>
        </w:rPr>
      </w:pPr>
      <w:r w:rsidRPr="00A26524">
        <w:rPr>
          <w:rFonts w:ascii="Palatino Linotype" w:eastAsia="Calibri" w:hAnsi="Palatino Linotype" w:cs="Tahoma"/>
          <w:color w:val="000000"/>
          <w:lang w:val="es-ES" w:eastAsia="es-MX"/>
        </w:rPr>
        <w:t>Una vez realizado el estudio de las constancias que obran en el expediente electrónico en el que se actúa, se advierte que el Solicitante requirió conocer del Sujeto Obligado</w:t>
      </w:r>
      <w:r>
        <w:rPr>
          <w:rFonts w:ascii="Palatino Linotype" w:eastAsia="Calibri" w:hAnsi="Palatino Linotype" w:cs="Tahoma"/>
          <w:color w:val="000000"/>
          <w:lang w:val="es-ES" w:eastAsia="es-MX"/>
        </w:rPr>
        <w:t xml:space="preserve"> </w:t>
      </w:r>
      <w:r w:rsidR="007949B9">
        <w:rPr>
          <w:rFonts w:ascii="Palatino Linotype" w:eastAsia="Calibri" w:hAnsi="Palatino Linotype" w:cs="Tahoma"/>
          <w:color w:val="000000"/>
          <w:lang w:val="es-ES" w:eastAsia="es-MX"/>
        </w:rPr>
        <w:t>a través del Sistema de Acceso a la Información Mexiquense (SAIMEX),</w:t>
      </w:r>
      <w:r w:rsidR="00F52FB0">
        <w:rPr>
          <w:rFonts w:ascii="Palatino Linotype" w:eastAsia="Calibri" w:hAnsi="Palatino Linotype" w:cs="Tahoma"/>
          <w:color w:val="000000"/>
          <w:lang w:val="es-ES" w:eastAsia="es-MX"/>
        </w:rPr>
        <w:t xml:space="preserve"> </w:t>
      </w:r>
      <w:r w:rsidR="005567AB">
        <w:rPr>
          <w:rFonts w:ascii="Palatino Linotype" w:eastAsia="Calibri" w:hAnsi="Palatino Linotype" w:cs="Tahoma"/>
          <w:color w:val="000000"/>
          <w:lang w:val="es-ES" w:eastAsia="es-MX"/>
        </w:rPr>
        <w:t xml:space="preserve">lo siguiente: </w:t>
      </w:r>
    </w:p>
    <w:p w14:paraId="4C99FFC2" w14:textId="77777777" w:rsidR="005567AB" w:rsidRDefault="005567AB" w:rsidP="00E346C4">
      <w:pPr>
        <w:pStyle w:val="Prrafodelista"/>
        <w:autoSpaceDE w:val="0"/>
        <w:autoSpaceDN w:val="0"/>
        <w:adjustRightInd w:val="0"/>
        <w:spacing w:line="360" w:lineRule="auto"/>
        <w:ind w:left="0" w:right="-28"/>
        <w:jc w:val="both"/>
        <w:rPr>
          <w:rFonts w:ascii="Palatino Linotype" w:eastAsia="Calibri" w:hAnsi="Palatino Linotype" w:cs="Tahoma"/>
          <w:color w:val="000000"/>
          <w:lang w:val="es-ES" w:eastAsia="es-MX"/>
        </w:rPr>
      </w:pPr>
    </w:p>
    <w:p w14:paraId="50C51636" w14:textId="7427A2BF" w:rsidR="00881EBF" w:rsidRDefault="00881EBF" w:rsidP="005567AB">
      <w:pPr>
        <w:pStyle w:val="Prrafodelista"/>
        <w:numPr>
          <w:ilvl w:val="0"/>
          <w:numId w:val="48"/>
        </w:numPr>
        <w:autoSpaceDE w:val="0"/>
        <w:autoSpaceDN w:val="0"/>
        <w:adjustRightInd w:val="0"/>
        <w:spacing w:line="360" w:lineRule="auto"/>
        <w:ind w:right="-28"/>
        <w:jc w:val="both"/>
        <w:rPr>
          <w:rFonts w:ascii="Palatino Linotype" w:eastAsia="Calibri" w:hAnsi="Palatino Linotype" w:cs="Tahoma"/>
          <w:color w:val="000000"/>
          <w:lang w:eastAsia="es-MX"/>
        </w:rPr>
      </w:pPr>
      <w:bookmarkStart w:id="3" w:name="_Hlk93946441"/>
      <w:r>
        <w:rPr>
          <w:rFonts w:ascii="Palatino Linotype" w:eastAsia="Calibri" w:hAnsi="Palatino Linotype" w:cs="Tahoma"/>
          <w:color w:val="000000"/>
          <w:lang w:eastAsia="es-MX"/>
        </w:rPr>
        <w:t>Monto de la facturación mensual de energía eléctrica, recaudación del derecho de alumbrado público, y en su caso, el adeudo de factu</w:t>
      </w:r>
      <w:r w:rsidR="00AB3E93">
        <w:rPr>
          <w:rFonts w:ascii="Palatino Linotype" w:eastAsia="Calibri" w:hAnsi="Palatino Linotype" w:cs="Tahoma"/>
          <w:color w:val="000000"/>
          <w:lang w:eastAsia="es-MX"/>
        </w:rPr>
        <w:t xml:space="preserve">ración, así como el pago de la diferencia entre la facturación y el derecho de alumbrado público, y si existe un saldo a favor del municipio, del periodo comprendido del uno de enero de dos mil veinte al treinta y uno de octubre de dos mil veintiuno. </w:t>
      </w:r>
    </w:p>
    <w:p w14:paraId="34C15DF7" w14:textId="77777777" w:rsidR="00740D4A" w:rsidRDefault="009B1346" w:rsidP="004C18C3">
      <w:pPr>
        <w:pStyle w:val="Prrafodelista"/>
        <w:numPr>
          <w:ilvl w:val="0"/>
          <w:numId w:val="48"/>
        </w:numPr>
        <w:autoSpaceDE w:val="0"/>
        <w:autoSpaceDN w:val="0"/>
        <w:adjustRightInd w:val="0"/>
        <w:spacing w:line="360" w:lineRule="auto"/>
        <w:ind w:right="-28"/>
        <w:jc w:val="both"/>
        <w:rPr>
          <w:rFonts w:ascii="Palatino Linotype" w:eastAsia="Calibri" w:hAnsi="Palatino Linotype" w:cs="Tahoma"/>
          <w:color w:val="000000"/>
          <w:lang w:eastAsia="es-MX"/>
        </w:rPr>
      </w:pPr>
      <w:r w:rsidRPr="00740D4A">
        <w:rPr>
          <w:rFonts w:ascii="Palatino Linotype" w:eastAsia="Calibri" w:hAnsi="Palatino Linotype" w:cs="Tahoma"/>
          <w:color w:val="000000"/>
          <w:lang w:eastAsia="es-MX"/>
        </w:rPr>
        <w:t>L</w:t>
      </w:r>
      <w:r w:rsidR="005567AB" w:rsidRPr="00740D4A">
        <w:rPr>
          <w:rFonts w:ascii="Palatino Linotype" w:eastAsia="Calibri" w:hAnsi="Palatino Linotype" w:cs="Tahoma"/>
          <w:color w:val="000000"/>
          <w:lang w:eastAsia="es-MX"/>
        </w:rPr>
        <w:t xml:space="preserve">os recibos emitidos mes con mes por la Comisión Federal de Electricidad </w:t>
      </w:r>
      <w:bookmarkStart w:id="4" w:name="_Hlk93999505"/>
      <w:bookmarkEnd w:id="3"/>
      <w:r w:rsidR="00740D4A">
        <w:rPr>
          <w:rFonts w:ascii="Palatino Linotype" w:eastAsia="Calibri" w:hAnsi="Palatino Linotype" w:cs="Tahoma"/>
          <w:color w:val="000000"/>
          <w:lang w:eastAsia="es-MX"/>
        </w:rPr>
        <w:t xml:space="preserve">del uno de enero de dos mil veinte al treinta y uno de octubre de dos mil veintiuno. </w:t>
      </w:r>
    </w:p>
    <w:p w14:paraId="402596F8" w14:textId="74B70959" w:rsidR="00740D4A" w:rsidRDefault="00740D4A" w:rsidP="004C18C3">
      <w:pPr>
        <w:pStyle w:val="Prrafodelista"/>
        <w:numPr>
          <w:ilvl w:val="0"/>
          <w:numId w:val="48"/>
        </w:numPr>
        <w:autoSpaceDE w:val="0"/>
        <w:autoSpaceDN w:val="0"/>
        <w:adjustRightInd w:val="0"/>
        <w:spacing w:line="360" w:lineRule="auto"/>
        <w:ind w:right="-28"/>
        <w:jc w:val="both"/>
        <w:rPr>
          <w:rFonts w:ascii="Palatino Linotype" w:eastAsia="Calibri" w:hAnsi="Palatino Linotype" w:cs="Tahoma"/>
          <w:color w:val="000000"/>
          <w:lang w:eastAsia="es-MX"/>
        </w:rPr>
      </w:pPr>
      <w:r>
        <w:rPr>
          <w:rFonts w:ascii="Palatino Linotype" w:eastAsia="Calibri" w:hAnsi="Palatino Linotype" w:cs="Tahoma"/>
          <w:iCs/>
          <w:color w:val="000000"/>
          <w:lang w:eastAsia="es-MX"/>
        </w:rPr>
        <w:t xml:space="preserve">El </w:t>
      </w:r>
      <w:r w:rsidR="005567AB" w:rsidRPr="00740D4A">
        <w:rPr>
          <w:rFonts w:ascii="Palatino Linotype" w:eastAsia="Calibri" w:hAnsi="Palatino Linotype" w:cs="Tahoma"/>
          <w:i/>
          <w:color w:val="000000"/>
          <w:lang w:eastAsia="es-MX"/>
        </w:rPr>
        <w:t xml:space="preserve">censo </w:t>
      </w:r>
      <w:r w:rsidR="005567AB" w:rsidRPr="00740D4A">
        <w:rPr>
          <w:rFonts w:ascii="Palatino Linotype" w:eastAsia="Calibri" w:hAnsi="Palatino Linotype" w:cs="Tahoma"/>
          <w:color w:val="000000"/>
          <w:lang w:eastAsia="es-MX"/>
        </w:rPr>
        <w:t xml:space="preserve">de alumbrado público </w:t>
      </w:r>
      <w:r>
        <w:rPr>
          <w:rFonts w:ascii="Palatino Linotype" w:eastAsia="Calibri" w:hAnsi="Palatino Linotype" w:cs="Tahoma"/>
          <w:color w:val="000000"/>
          <w:lang w:eastAsia="es-MX"/>
        </w:rPr>
        <w:t>del año 2020 o en su caso, el censo más reciente del municipio</w:t>
      </w:r>
      <w:r w:rsidR="00D70982">
        <w:rPr>
          <w:rFonts w:ascii="Palatino Linotype" w:eastAsia="Calibri" w:hAnsi="Palatino Linotype" w:cs="Tahoma"/>
          <w:color w:val="000000"/>
          <w:lang w:eastAsia="es-MX"/>
        </w:rPr>
        <w:t xml:space="preserve">, en el que se desglose lo siguiente: </w:t>
      </w:r>
    </w:p>
    <w:p w14:paraId="7E5428CB" w14:textId="77777777" w:rsidR="005567AB" w:rsidRPr="00D70982" w:rsidRDefault="005567AB" w:rsidP="00D70982">
      <w:pPr>
        <w:adjustRightInd w:val="0"/>
        <w:spacing w:line="360" w:lineRule="auto"/>
        <w:ind w:right="-28"/>
        <w:jc w:val="both"/>
        <w:rPr>
          <w:rFonts w:ascii="Palatino Linotype" w:eastAsia="Calibri" w:hAnsi="Palatino Linotype" w:cs="Tahoma"/>
          <w:color w:val="000000"/>
          <w:lang w:val="es-ES" w:eastAsia="es-MX" w:bidi="es-ES"/>
        </w:rPr>
      </w:pPr>
    </w:p>
    <w:p w14:paraId="125B26B9" w14:textId="7AE0E469" w:rsidR="005567AB" w:rsidRPr="005567AB" w:rsidRDefault="005567AB" w:rsidP="005567AB">
      <w:pPr>
        <w:pStyle w:val="Prrafodelista"/>
        <w:numPr>
          <w:ilvl w:val="1"/>
          <w:numId w:val="48"/>
        </w:numPr>
        <w:adjustRightInd w:val="0"/>
        <w:spacing w:line="360" w:lineRule="auto"/>
        <w:ind w:right="539"/>
        <w:jc w:val="both"/>
        <w:rPr>
          <w:rFonts w:ascii="Palatino Linotype" w:eastAsia="Calibri" w:hAnsi="Palatino Linotype" w:cs="Tahoma"/>
          <w:color w:val="000000"/>
          <w:lang w:eastAsia="es-MX"/>
        </w:rPr>
      </w:pPr>
      <w:r w:rsidRPr="005567AB">
        <w:rPr>
          <w:rFonts w:ascii="Palatino Linotype" w:eastAsia="Calibri" w:hAnsi="Palatino Linotype" w:cs="Tahoma"/>
          <w:color w:val="000000"/>
          <w:lang w:eastAsia="es-MX"/>
        </w:rPr>
        <w:t>Cantidad de luminarias y balastros, el tipo de equipos, la capacidad (</w:t>
      </w:r>
      <w:r w:rsidRPr="005567AB">
        <w:rPr>
          <w:rFonts w:ascii="Palatino Linotype" w:eastAsia="Calibri" w:hAnsi="Palatino Linotype" w:cs="Tahoma"/>
          <w:b/>
          <w:color w:val="000000"/>
          <w:lang w:eastAsia="es-MX"/>
        </w:rPr>
        <w:t>potencia</w:t>
      </w:r>
      <w:r w:rsidRPr="005567AB">
        <w:rPr>
          <w:rFonts w:ascii="Palatino Linotype" w:eastAsia="Calibri" w:hAnsi="Palatino Linotype" w:cs="Tahoma"/>
          <w:color w:val="000000"/>
          <w:lang w:eastAsia="es-MX"/>
        </w:rPr>
        <w:t>), la ubicación (</w:t>
      </w:r>
      <w:r w:rsidRPr="005567AB">
        <w:rPr>
          <w:rFonts w:ascii="Palatino Linotype" w:eastAsia="Calibri" w:hAnsi="Palatino Linotype" w:cs="Tahoma"/>
          <w:b/>
          <w:color w:val="000000"/>
          <w:lang w:eastAsia="es-MX"/>
        </w:rPr>
        <w:t>calle y/o colonia y/o delegación</w:t>
      </w:r>
      <w:r w:rsidRPr="005567AB">
        <w:rPr>
          <w:rFonts w:ascii="Palatino Linotype" w:eastAsia="Calibri" w:hAnsi="Palatino Linotype" w:cs="Tahoma"/>
          <w:color w:val="000000"/>
          <w:lang w:eastAsia="es-MX"/>
        </w:rPr>
        <w:t>), y el tipo de poste en el que están montadas las luminarias (</w:t>
      </w:r>
      <w:r w:rsidRPr="005567AB">
        <w:rPr>
          <w:rFonts w:ascii="Palatino Linotype" w:eastAsia="Calibri" w:hAnsi="Palatino Linotype" w:cs="Tahoma"/>
          <w:b/>
          <w:color w:val="000000"/>
          <w:lang w:eastAsia="es-MX"/>
        </w:rPr>
        <w:t>lámina, concreto, madera etcétera</w:t>
      </w:r>
      <w:r w:rsidRPr="005567AB">
        <w:rPr>
          <w:rFonts w:ascii="Palatino Linotype" w:eastAsia="Calibri" w:hAnsi="Palatino Linotype" w:cs="Tahoma"/>
          <w:color w:val="000000"/>
          <w:lang w:eastAsia="es-MX"/>
        </w:rPr>
        <w:t>).</w:t>
      </w:r>
    </w:p>
    <w:p w14:paraId="55D50134" w14:textId="5EC141B3" w:rsidR="005567AB" w:rsidRPr="005567AB" w:rsidRDefault="005567AB" w:rsidP="005567AB">
      <w:pPr>
        <w:pStyle w:val="Prrafodelista"/>
        <w:numPr>
          <w:ilvl w:val="1"/>
          <w:numId w:val="48"/>
        </w:numPr>
        <w:adjustRightInd w:val="0"/>
        <w:spacing w:line="360" w:lineRule="auto"/>
        <w:ind w:right="539"/>
        <w:jc w:val="both"/>
        <w:rPr>
          <w:rFonts w:ascii="Palatino Linotype" w:eastAsia="Calibri" w:hAnsi="Palatino Linotype" w:cs="Tahoma"/>
          <w:color w:val="000000"/>
          <w:lang w:eastAsia="es-MX"/>
        </w:rPr>
      </w:pPr>
      <w:r w:rsidRPr="005567AB">
        <w:rPr>
          <w:rFonts w:ascii="Palatino Linotype" w:eastAsia="Calibri" w:hAnsi="Palatino Linotype" w:cs="Tahoma"/>
          <w:color w:val="000000"/>
          <w:lang w:eastAsia="es-MX"/>
        </w:rPr>
        <w:t xml:space="preserve">El </w:t>
      </w:r>
      <w:r w:rsidRPr="005567AB">
        <w:rPr>
          <w:rFonts w:ascii="Palatino Linotype" w:eastAsia="Calibri" w:hAnsi="Palatino Linotype" w:cs="Tahoma"/>
          <w:b/>
          <w:color w:val="000000"/>
          <w:lang w:eastAsia="es-MX"/>
        </w:rPr>
        <w:t xml:space="preserve">Registro Permanente de Usuario </w:t>
      </w:r>
      <w:r w:rsidRPr="005567AB">
        <w:rPr>
          <w:rFonts w:ascii="Palatino Linotype" w:eastAsia="Calibri" w:hAnsi="Palatino Linotype" w:cs="Tahoma"/>
          <w:color w:val="000000"/>
          <w:lang w:eastAsia="es-MX"/>
        </w:rPr>
        <w:t xml:space="preserve">(RPU o RPUs) asignado (s) al servicio de alumbrado público municipal </w:t>
      </w:r>
      <w:r w:rsidRPr="005567AB">
        <w:rPr>
          <w:rFonts w:ascii="Palatino Linotype" w:eastAsia="Calibri" w:hAnsi="Palatino Linotype" w:cs="Tahoma"/>
          <w:b/>
          <w:color w:val="000000"/>
          <w:lang w:eastAsia="es-MX"/>
        </w:rPr>
        <w:t>tanto del servicio estimado como del servicio medido</w:t>
      </w:r>
      <w:r w:rsidRPr="005567AB">
        <w:rPr>
          <w:rFonts w:ascii="Palatino Linotype" w:eastAsia="Calibri" w:hAnsi="Palatino Linotype" w:cs="Tahoma"/>
          <w:color w:val="000000"/>
          <w:lang w:eastAsia="es-MX"/>
        </w:rPr>
        <w:t>.</w:t>
      </w:r>
    </w:p>
    <w:p w14:paraId="0674A926" w14:textId="6C6027C0" w:rsidR="005567AB" w:rsidRPr="005567AB" w:rsidRDefault="005567AB" w:rsidP="005567AB">
      <w:pPr>
        <w:pStyle w:val="Prrafodelista"/>
        <w:numPr>
          <w:ilvl w:val="1"/>
          <w:numId w:val="48"/>
        </w:numPr>
        <w:adjustRightInd w:val="0"/>
        <w:spacing w:line="360" w:lineRule="auto"/>
        <w:ind w:right="539"/>
        <w:jc w:val="both"/>
        <w:rPr>
          <w:rFonts w:ascii="Palatino Linotype" w:eastAsia="Calibri" w:hAnsi="Palatino Linotype" w:cs="Tahoma"/>
          <w:color w:val="000000"/>
          <w:lang w:eastAsia="es-MX"/>
        </w:rPr>
      </w:pPr>
      <w:r w:rsidRPr="005567AB">
        <w:rPr>
          <w:rFonts w:ascii="Palatino Linotype" w:eastAsia="Calibri" w:hAnsi="Palatino Linotype" w:cs="Tahoma"/>
          <w:color w:val="000000"/>
          <w:lang w:eastAsia="es-MX"/>
        </w:rPr>
        <w:t xml:space="preserve">La cantidad desglosada de luminarias y balastros instalados, el tipo de equipos y su capacidad (potencia) </w:t>
      </w:r>
      <w:r w:rsidRPr="005567AB">
        <w:rPr>
          <w:rFonts w:ascii="Palatino Linotype" w:eastAsia="Calibri" w:hAnsi="Palatino Linotype" w:cs="Tahoma"/>
          <w:b/>
          <w:color w:val="000000"/>
          <w:lang w:eastAsia="es-MX"/>
        </w:rPr>
        <w:t>instalados en las avenidas principales del municipio.</w:t>
      </w:r>
    </w:p>
    <w:p w14:paraId="4489C556" w14:textId="77777777" w:rsidR="005567AB" w:rsidRPr="005567AB" w:rsidRDefault="005567AB" w:rsidP="005567AB">
      <w:pPr>
        <w:pStyle w:val="Prrafodelista"/>
        <w:adjustRightInd w:val="0"/>
        <w:spacing w:line="360" w:lineRule="auto"/>
        <w:ind w:right="539"/>
        <w:jc w:val="both"/>
        <w:rPr>
          <w:rFonts w:ascii="Palatino Linotype" w:eastAsia="Calibri" w:hAnsi="Palatino Linotype" w:cs="Tahoma"/>
          <w:b/>
          <w:color w:val="000000"/>
          <w:lang w:val="es-ES" w:eastAsia="es-MX" w:bidi="es-ES"/>
        </w:rPr>
      </w:pPr>
    </w:p>
    <w:p w14:paraId="03223470" w14:textId="77777777" w:rsidR="00D70982" w:rsidRDefault="005567AB" w:rsidP="00D70982">
      <w:pPr>
        <w:pStyle w:val="Prrafodelista"/>
        <w:numPr>
          <w:ilvl w:val="0"/>
          <w:numId w:val="28"/>
        </w:numPr>
        <w:adjustRightInd w:val="0"/>
        <w:spacing w:line="360" w:lineRule="auto"/>
        <w:ind w:right="539"/>
        <w:jc w:val="both"/>
        <w:rPr>
          <w:rFonts w:ascii="Palatino Linotype" w:eastAsia="Calibri" w:hAnsi="Palatino Linotype" w:cs="Tahoma"/>
          <w:color w:val="000000"/>
          <w:lang w:eastAsia="es-MX"/>
        </w:rPr>
      </w:pPr>
      <w:r w:rsidRPr="005567AB">
        <w:rPr>
          <w:rFonts w:ascii="Palatino Linotype" w:eastAsia="Calibri" w:hAnsi="Palatino Linotype" w:cs="Tahoma"/>
          <w:color w:val="000000"/>
          <w:lang w:eastAsia="es-MX"/>
        </w:rPr>
        <w:lastRenderedPageBreak/>
        <w:t xml:space="preserve">La cantidad de luminarias y balastros instalados, el tipo de equipos y su capacidad (potencia) instalados que </w:t>
      </w:r>
      <w:r w:rsidRPr="005567AB">
        <w:rPr>
          <w:rFonts w:ascii="Palatino Linotype" w:eastAsia="Calibri" w:hAnsi="Palatino Linotype" w:cs="Tahoma"/>
          <w:b/>
          <w:color w:val="000000"/>
          <w:lang w:eastAsia="es-MX"/>
        </w:rPr>
        <w:t>poseen equipo de medición</w:t>
      </w:r>
      <w:r w:rsidRPr="005567AB">
        <w:rPr>
          <w:rFonts w:ascii="Palatino Linotype" w:eastAsia="Calibri" w:hAnsi="Palatino Linotype" w:cs="Tahoma"/>
          <w:color w:val="000000"/>
          <w:lang w:eastAsia="es-MX"/>
        </w:rPr>
        <w:t>.</w:t>
      </w:r>
      <w:bookmarkEnd w:id="4"/>
    </w:p>
    <w:p w14:paraId="1AA9E9B3" w14:textId="77777777" w:rsidR="00D70982" w:rsidRDefault="00D70982" w:rsidP="00D70982">
      <w:pPr>
        <w:adjustRightInd w:val="0"/>
        <w:spacing w:line="360" w:lineRule="auto"/>
        <w:ind w:right="539"/>
        <w:jc w:val="both"/>
        <w:rPr>
          <w:rFonts w:ascii="Palatino Linotype" w:eastAsia="Calibri" w:hAnsi="Palatino Linotype" w:cs="Tahoma"/>
          <w:color w:val="000000"/>
          <w:lang w:val="es-ES" w:eastAsia="es-MX"/>
        </w:rPr>
      </w:pPr>
    </w:p>
    <w:p w14:paraId="10D98864" w14:textId="66E2DDE5" w:rsidR="00872DAC" w:rsidRDefault="005E2557" w:rsidP="00CA0E7F">
      <w:pPr>
        <w:tabs>
          <w:tab w:val="left" w:pos="8080"/>
        </w:tabs>
        <w:adjustRightInd w:val="0"/>
        <w:spacing w:line="360" w:lineRule="auto"/>
        <w:ind w:right="-28"/>
        <w:jc w:val="both"/>
        <w:rPr>
          <w:rFonts w:ascii="Palatino Linotype" w:eastAsia="Calibri" w:hAnsi="Palatino Linotype" w:cs="Tahoma"/>
          <w:bCs/>
          <w:iCs/>
          <w:color w:val="000000"/>
          <w:sz w:val="22"/>
          <w:szCs w:val="24"/>
          <w:lang w:val="es-ES" w:eastAsia="es-MX"/>
        </w:rPr>
      </w:pPr>
      <w:r w:rsidRPr="00D70982">
        <w:rPr>
          <w:rFonts w:ascii="Palatino Linotype" w:eastAsia="Calibri" w:hAnsi="Palatino Linotype" w:cs="Tahoma"/>
          <w:color w:val="000000"/>
          <w:sz w:val="22"/>
          <w:szCs w:val="22"/>
          <w:lang w:val="es-ES" w:eastAsia="es-MX"/>
        </w:rPr>
        <w:t>De las actuaciones que obran en el expediente, se advierte que</w:t>
      </w:r>
      <w:r w:rsidR="00875ADB" w:rsidRPr="00D70982">
        <w:rPr>
          <w:rFonts w:ascii="Palatino Linotype" w:eastAsia="Calibri" w:hAnsi="Palatino Linotype" w:cs="Tahoma"/>
          <w:color w:val="000000"/>
          <w:sz w:val="22"/>
          <w:szCs w:val="22"/>
          <w:lang w:val="es-ES" w:eastAsia="es-MX"/>
        </w:rPr>
        <w:t xml:space="preserve"> el Sujeto Obligado </w:t>
      </w:r>
      <w:r w:rsidRPr="00D70982">
        <w:rPr>
          <w:rFonts w:ascii="Palatino Linotype" w:eastAsia="Calibri" w:hAnsi="Palatino Linotype" w:cs="Tahoma"/>
          <w:color w:val="000000"/>
          <w:sz w:val="22"/>
          <w:szCs w:val="22"/>
          <w:lang w:val="es-ES" w:eastAsia="es-MX"/>
        </w:rPr>
        <w:t>no proporcionó respuesta a la solicitud de información del Particular.</w:t>
      </w:r>
      <w:r w:rsidR="00CA0E7F">
        <w:rPr>
          <w:rFonts w:ascii="Palatino Linotype" w:eastAsia="Calibri" w:hAnsi="Palatino Linotype" w:cs="Tahoma"/>
          <w:color w:val="000000"/>
          <w:sz w:val="22"/>
          <w:szCs w:val="22"/>
          <w:lang w:val="es-ES" w:eastAsia="es-MX"/>
        </w:rPr>
        <w:t xml:space="preserve"> </w:t>
      </w:r>
      <w:r w:rsidR="00A26524" w:rsidRPr="00A26524">
        <w:rPr>
          <w:rFonts w:ascii="Palatino Linotype" w:eastAsia="Calibri" w:hAnsi="Palatino Linotype" w:cs="Tahoma"/>
          <w:bCs/>
          <w:iCs/>
          <w:color w:val="000000"/>
          <w:sz w:val="22"/>
          <w:szCs w:val="24"/>
          <w:lang w:eastAsia="es-MX"/>
        </w:rPr>
        <w:t>En consecuencia</w:t>
      </w:r>
      <w:r w:rsidR="00092205">
        <w:rPr>
          <w:rFonts w:ascii="Palatino Linotype" w:eastAsia="Calibri" w:hAnsi="Palatino Linotype" w:cs="Tahoma"/>
          <w:bCs/>
          <w:iCs/>
          <w:color w:val="000000"/>
          <w:sz w:val="22"/>
          <w:szCs w:val="24"/>
          <w:lang w:val="es-ES" w:eastAsia="es-MX"/>
        </w:rPr>
        <w:t>, el</w:t>
      </w:r>
      <w:r w:rsidR="00A26524" w:rsidRPr="00A26524">
        <w:rPr>
          <w:rFonts w:ascii="Palatino Linotype" w:eastAsia="Calibri" w:hAnsi="Palatino Linotype" w:cs="Tahoma"/>
          <w:bCs/>
          <w:iCs/>
          <w:color w:val="000000"/>
          <w:sz w:val="22"/>
          <w:szCs w:val="24"/>
          <w:lang w:val="es-ES" w:eastAsia="es-MX"/>
        </w:rPr>
        <w:t xml:space="preserve"> Particular se inconformó</w:t>
      </w:r>
      <w:r w:rsidR="00872DAC">
        <w:rPr>
          <w:rFonts w:ascii="Palatino Linotype" w:eastAsia="Calibri" w:hAnsi="Palatino Linotype" w:cs="Tahoma"/>
          <w:bCs/>
          <w:iCs/>
          <w:color w:val="000000"/>
          <w:sz w:val="22"/>
          <w:szCs w:val="24"/>
          <w:lang w:val="es-ES" w:eastAsia="es-MX"/>
        </w:rPr>
        <w:t xml:space="preserve"> medularmente </w:t>
      </w:r>
      <w:r w:rsidR="007713FF">
        <w:rPr>
          <w:rFonts w:ascii="Palatino Linotype" w:eastAsia="Calibri" w:hAnsi="Palatino Linotype" w:cs="Tahoma"/>
          <w:bCs/>
          <w:iCs/>
          <w:color w:val="000000"/>
          <w:sz w:val="22"/>
          <w:szCs w:val="24"/>
          <w:lang w:val="es-ES" w:eastAsia="es-MX"/>
        </w:rPr>
        <w:t>por tal omisión</w:t>
      </w:r>
      <w:r w:rsidR="00967A2E">
        <w:rPr>
          <w:rFonts w:ascii="Palatino Linotype" w:eastAsia="Calibri" w:hAnsi="Palatino Linotype" w:cs="Tahoma"/>
          <w:bCs/>
          <w:iCs/>
          <w:color w:val="000000"/>
          <w:sz w:val="22"/>
          <w:szCs w:val="24"/>
          <w:lang w:val="es-ES" w:eastAsia="es-MX"/>
        </w:rPr>
        <w:t xml:space="preserve">, lo cual actualiza la causal de procedencia establecida en el artículo 179, fracción VII de la Ley de Transparencia y Acceso a la Información Pública del Estado de México y Municipios. </w:t>
      </w:r>
    </w:p>
    <w:p w14:paraId="47F2E3DF" w14:textId="77777777" w:rsidR="00CA0E7F" w:rsidRPr="00CA0E7F" w:rsidRDefault="00CA0E7F" w:rsidP="00CA0E7F">
      <w:pPr>
        <w:tabs>
          <w:tab w:val="left" w:pos="8080"/>
        </w:tabs>
        <w:adjustRightInd w:val="0"/>
        <w:spacing w:line="360" w:lineRule="auto"/>
        <w:ind w:right="-28"/>
        <w:jc w:val="both"/>
        <w:rPr>
          <w:rFonts w:ascii="Palatino Linotype" w:eastAsia="Calibri" w:hAnsi="Palatino Linotype" w:cs="Tahoma"/>
          <w:color w:val="000000"/>
          <w:sz w:val="22"/>
          <w:szCs w:val="28"/>
          <w:lang w:eastAsia="es-MX"/>
        </w:rPr>
      </w:pPr>
    </w:p>
    <w:p w14:paraId="25BECEC4" w14:textId="075B7216" w:rsidR="00A27BAD" w:rsidRDefault="00872DAC" w:rsidP="005B031E">
      <w:pPr>
        <w:spacing w:line="360" w:lineRule="auto"/>
        <w:jc w:val="both"/>
        <w:rPr>
          <w:rFonts w:ascii="Palatino Linotype" w:eastAsia="Calibri" w:hAnsi="Palatino Linotype" w:cs="Tahoma"/>
          <w:bCs/>
          <w:iCs/>
          <w:color w:val="000000"/>
          <w:sz w:val="22"/>
          <w:szCs w:val="24"/>
          <w:lang w:val="es-ES" w:eastAsia="es-MX"/>
        </w:rPr>
      </w:pPr>
      <w:r>
        <w:rPr>
          <w:rFonts w:ascii="Palatino Linotype" w:eastAsia="Calibri" w:hAnsi="Palatino Linotype" w:cs="Tahoma"/>
          <w:bCs/>
          <w:iCs/>
          <w:color w:val="000000"/>
          <w:sz w:val="22"/>
          <w:szCs w:val="24"/>
          <w:lang w:val="es-ES" w:eastAsia="es-MX"/>
        </w:rPr>
        <w:t xml:space="preserve">Posterior a ello, en la etapa </w:t>
      </w:r>
      <w:r w:rsidR="00A142F2">
        <w:rPr>
          <w:rFonts w:ascii="Palatino Linotype" w:eastAsia="Calibri" w:hAnsi="Palatino Linotype" w:cs="Tahoma"/>
          <w:bCs/>
          <w:iCs/>
          <w:color w:val="000000"/>
          <w:sz w:val="22"/>
          <w:szCs w:val="24"/>
          <w:lang w:val="es-ES" w:eastAsia="es-MX"/>
        </w:rPr>
        <w:t>correspondiente</w:t>
      </w:r>
      <w:r>
        <w:rPr>
          <w:rFonts w:ascii="Palatino Linotype" w:eastAsia="Calibri" w:hAnsi="Palatino Linotype" w:cs="Tahoma"/>
          <w:bCs/>
          <w:iCs/>
          <w:color w:val="000000"/>
          <w:sz w:val="22"/>
          <w:szCs w:val="24"/>
          <w:lang w:val="es-ES" w:eastAsia="es-MX"/>
        </w:rPr>
        <w:t>,</w:t>
      </w:r>
      <w:r w:rsidR="00B37587">
        <w:rPr>
          <w:rFonts w:ascii="Palatino Linotype" w:eastAsia="Calibri" w:hAnsi="Palatino Linotype" w:cs="Tahoma"/>
          <w:bCs/>
          <w:iCs/>
          <w:color w:val="000000"/>
          <w:sz w:val="22"/>
          <w:szCs w:val="24"/>
          <w:lang w:val="es-ES" w:eastAsia="es-MX"/>
        </w:rPr>
        <w:t xml:space="preserve"> </w:t>
      </w:r>
      <w:r w:rsidR="00726A4F">
        <w:rPr>
          <w:rFonts w:ascii="Palatino Linotype" w:eastAsia="Calibri" w:hAnsi="Palatino Linotype" w:cs="Tahoma"/>
          <w:bCs/>
          <w:iCs/>
          <w:color w:val="000000"/>
          <w:sz w:val="22"/>
          <w:szCs w:val="24"/>
          <w:lang w:val="es-ES" w:eastAsia="es-MX"/>
        </w:rPr>
        <w:t xml:space="preserve">el </w:t>
      </w:r>
      <w:r w:rsidR="00F9696F">
        <w:rPr>
          <w:rFonts w:ascii="Palatino Linotype" w:eastAsia="Calibri" w:hAnsi="Palatino Linotype" w:cs="Tahoma"/>
          <w:bCs/>
          <w:iCs/>
          <w:color w:val="000000"/>
          <w:sz w:val="22"/>
          <w:szCs w:val="24"/>
          <w:lang w:val="es-ES" w:eastAsia="es-MX"/>
        </w:rPr>
        <w:t>P</w:t>
      </w:r>
      <w:r w:rsidR="00726A4F">
        <w:rPr>
          <w:rFonts w:ascii="Palatino Linotype" w:eastAsia="Calibri" w:hAnsi="Palatino Linotype" w:cs="Tahoma"/>
          <w:bCs/>
          <w:iCs/>
          <w:color w:val="000000"/>
          <w:sz w:val="22"/>
          <w:szCs w:val="24"/>
          <w:lang w:val="es-ES" w:eastAsia="es-MX"/>
        </w:rPr>
        <w:t>articular no presentó manifestaciones, por su parte</w:t>
      </w:r>
      <w:r w:rsidR="007713FF">
        <w:rPr>
          <w:rFonts w:ascii="Palatino Linotype" w:eastAsia="Calibri" w:hAnsi="Palatino Linotype" w:cs="Tahoma"/>
          <w:bCs/>
          <w:iCs/>
          <w:color w:val="000000"/>
          <w:sz w:val="22"/>
          <w:szCs w:val="24"/>
          <w:lang w:val="es-ES" w:eastAsia="es-MX"/>
        </w:rPr>
        <w:t xml:space="preserve">, </w:t>
      </w:r>
      <w:r w:rsidR="00726A4F">
        <w:rPr>
          <w:rFonts w:ascii="Palatino Linotype" w:eastAsia="Calibri" w:hAnsi="Palatino Linotype" w:cs="Tahoma"/>
          <w:bCs/>
          <w:iCs/>
          <w:color w:val="000000"/>
          <w:sz w:val="22"/>
          <w:szCs w:val="24"/>
          <w:lang w:val="es-ES" w:eastAsia="es-MX"/>
        </w:rPr>
        <w:t xml:space="preserve">el Sujeto Obligado mediante informe justificado </w:t>
      </w:r>
      <w:r w:rsidR="00A27BAD">
        <w:rPr>
          <w:rFonts w:ascii="Palatino Linotype" w:eastAsia="Calibri" w:hAnsi="Palatino Linotype" w:cs="Tahoma"/>
          <w:bCs/>
          <w:iCs/>
          <w:color w:val="000000"/>
          <w:sz w:val="22"/>
          <w:szCs w:val="24"/>
          <w:lang w:val="es-ES" w:eastAsia="es-MX"/>
        </w:rPr>
        <w:t>remitió dos tablas de los años 2020 y 2021 que contienen diversos datos como: mes, facturación de alumbrado púbico, derechos de alumbrado público y monto del pago</w:t>
      </w:r>
      <w:r w:rsidR="00AE72FD">
        <w:rPr>
          <w:rFonts w:ascii="Palatino Linotype" w:eastAsia="Calibri" w:hAnsi="Palatino Linotype" w:cs="Tahoma"/>
          <w:bCs/>
          <w:iCs/>
          <w:color w:val="000000"/>
          <w:sz w:val="22"/>
          <w:szCs w:val="24"/>
          <w:lang w:val="es-ES" w:eastAsia="es-MX"/>
        </w:rPr>
        <w:t xml:space="preserve">, refirió que no existe adeudo y se cubre mensualmente, así como que el saldo a favor del municipio es el que se </w:t>
      </w:r>
      <w:r w:rsidR="001873B2">
        <w:rPr>
          <w:rFonts w:ascii="Palatino Linotype" w:eastAsia="Calibri" w:hAnsi="Palatino Linotype" w:cs="Tahoma"/>
          <w:bCs/>
          <w:iCs/>
          <w:color w:val="000000"/>
          <w:sz w:val="22"/>
          <w:szCs w:val="24"/>
          <w:lang w:val="es-ES" w:eastAsia="es-MX"/>
        </w:rPr>
        <w:t>genera</w:t>
      </w:r>
      <w:r w:rsidR="00AE72FD">
        <w:rPr>
          <w:rFonts w:ascii="Palatino Linotype" w:eastAsia="Calibri" w:hAnsi="Palatino Linotype" w:cs="Tahoma"/>
          <w:bCs/>
          <w:iCs/>
          <w:color w:val="000000"/>
          <w:sz w:val="22"/>
          <w:szCs w:val="24"/>
          <w:lang w:val="es-ES" w:eastAsia="es-MX"/>
        </w:rPr>
        <w:t xml:space="preserve"> mes con mes, </w:t>
      </w:r>
      <w:r w:rsidR="002E1D16">
        <w:rPr>
          <w:rFonts w:ascii="Palatino Linotype" w:eastAsia="Calibri" w:hAnsi="Palatino Linotype" w:cs="Tahoma"/>
          <w:bCs/>
          <w:iCs/>
          <w:color w:val="000000"/>
          <w:sz w:val="22"/>
          <w:szCs w:val="24"/>
          <w:lang w:val="es-ES" w:eastAsia="es-MX"/>
        </w:rPr>
        <w:t xml:space="preserve">asimismo, señaló que no se encontró recibo alguno emitido por la Comisión Federal de Electricidad por el mismo periodo. </w:t>
      </w:r>
    </w:p>
    <w:p w14:paraId="6E0949F6" w14:textId="77777777" w:rsidR="00A27BAD" w:rsidRDefault="00A27BAD" w:rsidP="005B031E">
      <w:pPr>
        <w:spacing w:line="360" w:lineRule="auto"/>
        <w:jc w:val="both"/>
        <w:rPr>
          <w:rFonts w:ascii="Palatino Linotype" w:eastAsia="Calibri" w:hAnsi="Palatino Linotype" w:cs="Tahoma"/>
          <w:bCs/>
          <w:iCs/>
          <w:color w:val="000000"/>
          <w:sz w:val="22"/>
          <w:szCs w:val="24"/>
          <w:lang w:val="es-ES" w:eastAsia="es-MX"/>
        </w:rPr>
      </w:pPr>
    </w:p>
    <w:p w14:paraId="0850314B" w14:textId="4347D41F" w:rsidR="00AE141E" w:rsidRDefault="00575188" w:rsidP="005B031E">
      <w:pPr>
        <w:spacing w:line="360" w:lineRule="auto"/>
        <w:jc w:val="both"/>
        <w:rPr>
          <w:rFonts w:ascii="Palatino Linotype" w:eastAsia="Calibri" w:hAnsi="Palatino Linotype" w:cs="Tahoma"/>
          <w:bCs/>
          <w:iCs/>
          <w:color w:val="000000"/>
          <w:sz w:val="22"/>
          <w:szCs w:val="24"/>
          <w:lang w:val="es-ES" w:eastAsia="es-MX"/>
        </w:rPr>
      </w:pPr>
      <w:r>
        <w:rPr>
          <w:rFonts w:ascii="Palatino Linotype" w:eastAsia="Calibri" w:hAnsi="Palatino Linotype" w:cs="Tahoma"/>
          <w:bCs/>
          <w:iCs/>
          <w:color w:val="000000"/>
          <w:sz w:val="22"/>
          <w:szCs w:val="24"/>
          <w:lang w:val="es-ES" w:eastAsia="es-MX"/>
        </w:rPr>
        <w:t xml:space="preserve">Lo anterior, se desprende de las documentales </w:t>
      </w:r>
      <w:r w:rsidR="00620612">
        <w:rPr>
          <w:rFonts w:ascii="Palatino Linotype" w:eastAsia="Calibri" w:hAnsi="Palatino Linotype" w:cs="Tahoma"/>
          <w:bCs/>
          <w:iCs/>
          <w:color w:val="000000"/>
          <w:sz w:val="22"/>
          <w:szCs w:val="24"/>
          <w:lang w:val="es-ES" w:eastAsia="es-MX"/>
        </w:rPr>
        <w:t xml:space="preserve">que obran en el expediente de referencia, materia de la presente resolución, consistente en: la solicitud de acceso a la información y el escrito recursal; instrumentales que se toman en cuenta a efecto de resolver el presente medio de impugnación, conforme a los dispuesto por el artículo 185, fracción IV, de la Ley de Transparencia y Acceso a la Información Pública del Estado de México y Municipios. </w:t>
      </w:r>
    </w:p>
    <w:p w14:paraId="58B27B50" w14:textId="031C90C0" w:rsidR="00853CD1" w:rsidRDefault="00853CD1" w:rsidP="005B031E">
      <w:pPr>
        <w:spacing w:line="360" w:lineRule="auto"/>
        <w:jc w:val="both"/>
        <w:rPr>
          <w:rFonts w:ascii="Palatino Linotype" w:eastAsia="Calibri" w:hAnsi="Palatino Linotype" w:cs="Tahoma"/>
          <w:bCs/>
          <w:iCs/>
          <w:color w:val="000000"/>
          <w:sz w:val="22"/>
          <w:szCs w:val="24"/>
          <w:lang w:val="es-ES" w:eastAsia="es-MX"/>
        </w:rPr>
      </w:pPr>
    </w:p>
    <w:p w14:paraId="79E9CBD8" w14:textId="687C4338" w:rsidR="00F9696F" w:rsidRDefault="00D05586" w:rsidP="005B031E">
      <w:pPr>
        <w:spacing w:line="360" w:lineRule="auto"/>
        <w:jc w:val="both"/>
        <w:rPr>
          <w:rFonts w:ascii="Palatino Linotype" w:eastAsia="Calibri" w:hAnsi="Palatino Linotype" w:cs="Tahoma"/>
          <w:bCs/>
          <w:iCs/>
          <w:color w:val="000000"/>
          <w:sz w:val="22"/>
          <w:szCs w:val="24"/>
          <w:lang w:val="es-ES" w:eastAsia="es-MX"/>
        </w:rPr>
      </w:pPr>
      <w:r>
        <w:rPr>
          <w:rFonts w:ascii="Palatino Linotype" w:eastAsia="Calibri" w:hAnsi="Palatino Linotype" w:cs="Tahoma"/>
          <w:bCs/>
          <w:iCs/>
          <w:noProof/>
          <w:color w:val="000000"/>
          <w:sz w:val="22"/>
          <w:szCs w:val="24"/>
          <w:lang w:eastAsia="es-MX"/>
        </w:rPr>
        <mc:AlternateContent>
          <mc:Choice Requires="wps">
            <w:drawing>
              <wp:anchor distT="0" distB="0" distL="114300" distR="114300" simplePos="0" relativeHeight="251665408" behindDoc="0" locked="0" layoutInCell="1" allowOverlap="1" wp14:anchorId="022BA17A" wp14:editId="56CB73E1">
                <wp:simplePos x="0" y="0"/>
                <wp:positionH relativeFrom="column">
                  <wp:posOffset>299720</wp:posOffset>
                </wp:positionH>
                <wp:positionV relativeFrom="paragraph">
                  <wp:posOffset>99060</wp:posOffset>
                </wp:positionV>
                <wp:extent cx="5200650" cy="1174750"/>
                <wp:effectExtent l="0" t="0" r="19050" b="25400"/>
                <wp:wrapNone/>
                <wp:docPr id="4" name="Conector recto 4"/>
                <wp:cNvGraphicFramePr/>
                <a:graphic xmlns:a="http://schemas.openxmlformats.org/drawingml/2006/main">
                  <a:graphicData uri="http://schemas.microsoft.com/office/word/2010/wordprocessingShape">
                    <wps:wsp>
                      <wps:cNvCnPr/>
                      <wps:spPr>
                        <a:xfrm flipV="1">
                          <a:off x="0" y="0"/>
                          <a:ext cx="5200650" cy="1174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AEDA8EE">
              <v:line id="Conector recto 4"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23.6pt,7.8pt" to="433.1pt,100.3pt" w14:anchorId="61A8E3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">
                <v:stroke joinstyle="miter"/>
              </v:line>
            </w:pict>
          </mc:Fallback>
        </mc:AlternateContent>
      </w:r>
    </w:p>
    <w:p w14:paraId="7FD9EE96" w14:textId="66A2E920" w:rsidR="00F9696F" w:rsidRDefault="00F9696F" w:rsidP="005B031E">
      <w:pPr>
        <w:spacing w:line="360" w:lineRule="auto"/>
        <w:jc w:val="both"/>
        <w:rPr>
          <w:rFonts w:ascii="Palatino Linotype" w:eastAsia="Calibri" w:hAnsi="Palatino Linotype" w:cs="Tahoma"/>
          <w:bCs/>
          <w:iCs/>
          <w:color w:val="000000"/>
          <w:sz w:val="22"/>
          <w:szCs w:val="24"/>
          <w:lang w:val="es-ES" w:eastAsia="es-MX"/>
        </w:rPr>
      </w:pPr>
    </w:p>
    <w:p w14:paraId="12D65B8D" w14:textId="77777777" w:rsidR="00F9696F" w:rsidRPr="00853CD1" w:rsidRDefault="00F9696F" w:rsidP="005B031E">
      <w:pPr>
        <w:spacing w:line="360" w:lineRule="auto"/>
        <w:jc w:val="both"/>
        <w:rPr>
          <w:rFonts w:ascii="Palatino Linotype" w:eastAsia="Calibri" w:hAnsi="Palatino Linotype" w:cs="Tahoma"/>
          <w:bCs/>
          <w:iCs/>
          <w:color w:val="000000"/>
          <w:sz w:val="22"/>
          <w:szCs w:val="24"/>
          <w:lang w:val="es-ES" w:eastAsia="es-MX"/>
        </w:rPr>
      </w:pPr>
    </w:p>
    <w:p w14:paraId="043C9801" w14:textId="77777777" w:rsidR="00801872" w:rsidRPr="00C938B6" w:rsidRDefault="00801872" w:rsidP="005B031E">
      <w:pPr>
        <w:spacing w:line="360" w:lineRule="auto"/>
        <w:jc w:val="both"/>
        <w:rPr>
          <w:rFonts w:ascii="Palatino Linotype" w:hAnsi="Palatino Linotype" w:cs="Tahoma"/>
          <w:b/>
          <w:bCs/>
          <w:iCs/>
          <w:sz w:val="22"/>
          <w:szCs w:val="22"/>
        </w:rPr>
      </w:pPr>
      <w:r w:rsidRPr="00C938B6">
        <w:rPr>
          <w:rFonts w:ascii="Palatino Linotype" w:hAnsi="Palatino Linotype" w:cs="Tahoma"/>
          <w:b/>
          <w:bCs/>
          <w:iCs/>
          <w:sz w:val="22"/>
          <w:szCs w:val="22"/>
          <w:lang w:val="es-ES"/>
        </w:rPr>
        <w:lastRenderedPageBreak/>
        <w:t xml:space="preserve">CUARTO. </w:t>
      </w:r>
      <w:r w:rsidRPr="00C938B6">
        <w:rPr>
          <w:rFonts w:ascii="Palatino Linotype" w:hAnsi="Palatino Linotype" w:cs="Tahoma"/>
          <w:b/>
          <w:bCs/>
          <w:iCs/>
          <w:sz w:val="22"/>
          <w:szCs w:val="22"/>
        </w:rPr>
        <w:t>Marco normativo aplicable en materia de transparencia y acceso a la información pública.</w:t>
      </w:r>
    </w:p>
    <w:p w14:paraId="23A022ED" w14:textId="77777777" w:rsidR="00801872" w:rsidRPr="00C938B6" w:rsidRDefault="00801872" w:rsidP="005B031E">
      <w:pPr>
        <w:autoSpaceDE w:val="0"/>
        <w:autoSpaceDN w:val="0"/>
        <w:adjustRightInd w:val="0"/>
        <w:spacing w:line="360" w:lineRule="auto"/>
        <w:jc w:val="both"/>
        <w:rPr>
          <w:rFonts w:ascii="Palatino Linotype" w:hAnsi="Palatino Linotype" w:cs="Tahoma"/>
          <w:bCs/>
          <w:iCs/>
          <w:sz w:val="22"/>
          <w:szCs w:val="22"/>
          <w:lang w:val="es-ES"/>
        </w:rPr>
      </w:pPr>
    </w:p>
    <w:p w14:paraId="3F4AD1FE" w14:textId="77777777" w:rsidR="00AE588C" w:rsidRPr="007A73E5" w:rsidRDefault="00AE588C" w:rsidP="00AE588C">
      <w:pPr>
        <w:spacing w:line="360" w:lineRule="auto"/>
        <w:jc w:val="both"/>
        <w:rPr>
          <w:rFonts w:ascii="Palatino Linotype" w:hAnsi="Palatino Linotype" w:cs="Tahoma"/>
          <w:bCs/>
          <w:iCs/>
          <w:sz w:val="22"/>
          <w:szCs w:val="22"/>
        </w:rPr>
      </w:pPr>
      <w:r w:rsidRPr="007A73E5">
        <w:rPr>
          <w:rFonts w:ascii="Palatino Linotype" w:hAnsi="Palatino Linotype" w:cs="Tahoma"/>
          <w:bCs/>
          <w:iCs/>
          <w:sz w:val="22"/>
          <w:szCs w:val="22"/>
        </w:rPr>
        <w:t>El Derecho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14:paraId="3466D757" w14:textId="77777777" w:rsidR="00AE588C" w:rsidRPr="007A73E5" w:rsidRDefault="00AE588C" w:rsidP="00AE588C">
      <w:pPr>
        <w:spacing w:line="360" w:lineRule="auto"/>
        <w:jc w:val="both"/>
        <w:rPr>
          <w:rFonts w:ascii="Palatino Linotype" w:hAnsi="Palatino Linotype" w:cs="Tahoma"/>
          <w:bCs/>
          <w:iCs/>
          <w:sz w:val="22"/>
          <w:szCs w:val="22"/>
        </w:rPr>
      </w:pPr>
    </w:p>
    <w:p w14:paraId="685FE4D1" w14:textId="1C293B46" w:rsidR="00AE588C" w:rsidRDefault="00AE588C" w:rsidP="00AE588C">
      <w:pPr>
        <w:spacing w:line="360" w:lineRule="auto"/>
        <w:jc w:val="both"/>
        <w:rPr>
          <w:rFonts w:ascii="Palatino Linotype" w:hAnsi="Palatino Linotype" w:cs="Tahoma"/>
          <w:bCs/>
          <w:iCs/>
          <w:sz w:val="22"/>
          <w:szCs w:val="22"/>
        </w:rPr>
      </w:pPr>
      <w:r w:rsidRPr="007A73E5">
        <w:rPr>
          <w:rFonts w:ascii="Palatino Linotype" w:hAnsi="Palatino Linotype" w:cs="Tahoma"/>
          <w:bCs/>
          <w:iCs/>
          <w:sz w:val="22"/>
          <w:szCs w:val="22"/>
        </w:rPr>
        <w:t>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4D3C059" w14:textId="77777777" w:rsidR="009A0CB6" w:rsidRPr="007A73E5" w:rsidRDefault="009A0CB6" w:rsidP="00AE588C">
      <w:pPr>
        <w:spacing w:line="360" w:lineRule="auto"/>
        <w:jc w:val="both"/>
        <w:rPr>
          <w:rFonts w:ascii="Palatino Linotype" w:hAnsi="Palatino Linotype" w:cs="Tahoma"/>
          <w:bCs/>
          <w:iCs/>
          <w:sz w:val="22"/>
          <w:szCs w:val="22"/>
        </w:rPr>
      </w:pPr>
    </w:p>
    <w:p w14:paraId="41DA1951" w14:textId="77777777" w:rsidR="00AE588C" w:rsidRPr="007A73E5" w:rsidRDefault="00AE588C" w:rsidP="00AE588C">
      <w:pPr>
        <w:spacing w:line="360" w:lineRule="auto"/>
        <w:jc w:val="both"/>
        <w:rPr>
          <w:rFonts w:ascii="Palatino Linotype" w:hAnsi="Palatino Linotype" w:cs="Tahoma"/>
          <w:bCs/>
          <w:iCs/>
          <w:sz w:val="22"/>
          <w:szCs w:val="22"/>
        </w:rPr>
      </w:pPr>
      <w:r w:rsidRPr="007A73E5">
        <w:rPr>
          <w:rFonts w:ascii="Palatino Linotype" w:hAnsi="Palatino Linotype" w:cs="Tahoma"/>
          <w:bCs/>
          <w:iCs/>
          <w:sz w:val="22"/>
          <w:szCs w:val="22"/>
        </w:rPr>
        <w:t>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todo acto que derive del ejercicio de sus faculta</w:t>
      </w:r>
      <w:r>
        <w:rPr>
          <w:rFonts w:ascii="Palatino Linotype" w:hAnsi="Palatino Linotype" w:cs="Tahoma"/>
          <w:bCs/>
          <w:iCs/>
          <w:sz w:val="22"/>
          <w:szCs w:val="22"/>
        </w:rPr>
        <w:t xml:space="preserve">des, competencias o funciones </w:t>
      </w:r>
      <w:r w:rsidRPr="007A73E5">
        <w:rPr>
          <w:rFonts w:ascii="Palatino Linotype" w:hAnsi="Palatino Linotype" w:cs="Tahoma"/>
          <w:bCs/>
          <w:iCs/>
          <w:sz w:val="22"/>
          <w:szCs w:val="22"/>
        </w:rPr>
        <w:t>desde su origen la eventual publicidad y reutilización de la información que generen.</w:t>
      </w:r>
    </w:p>
    <w:p w14:paraId="670A07C6" w14:textId="77777777" w:rsidR="00AE588C" w:rsidRPr="007A73E5" w:rsidRDefault="00AE588C" w:rsidP="00AE588C">
      <w:pPr>
        <w:spacing w:line="360" w:lineRule="auto"/>
        <w:jc w:val="both"/>
        <w:rPr>
          <w:rFonts w:ascii="Palatino Linotype" w:hAnsi="Palatino Linotype" w:cs="Tahoma"/>
          <w:bCs/>
          <w:iCs/>
          <w:sz w:val="22"/>
          <w:szCs w:val="22"/>
        </w:rPr>
      </w:pPr>
    </w:p>
    <w:p w14:paraId="06D91E7C" w14:textId="77777777" w:rsidR="00AE588C" w:rsidRDefault="00AE588C" w:rsidP="00AE588C">
      <w:pPr>
        <w:spacing w:line="360" w:lineRule="auto"/>
        <w:jc w:val="both"/>
        <w:rPr>
          <w:rFonts w:ascii="Palatino Linotype" w:hAnsi="Palatino Linotype" w:cs="Tahoma"/>
          <w:bCs/>
          <w:iCs/>
          <w:sz w:val="22"/>
          <w:szCs w:val="22"/>
        </w:rPr>
      </w:pPr>
      <w:r w:rsidRPr="007A73E5">
        <w:rPr>
          <w:rFonts w:ascii="Palatino Linotype" w:hAnsi="Palatino Linotype" w:cs="Tahoma"/>
          <w:bCs/>
          <w:iCs/>
          <w:sz w:val="22"/>
          <w:szCs w:val="22"/>
        </w:rPr>
        <w:lastRenderedPageBreak/>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A08D7DD" w14:textId="77777777" w:rsidR="007A73E5" w:rsidRPr="00C938B6" w:rsidRDefault="007A73E5" w:rsidP="005B031E">
      <w:pPr>
        <w:spacing w:line="360" w:lineRule="auto"/>
        <w:jc w:val="both"/>
        <w:rPr>
          <w:rFonts w:ascii="Palatino Linotype" w:hAnsi="Palatino Linotype" w:cs="Tahoma"/>
          <w:bCs/>
          <w:iCs/>
          <w:sz w:val="22"/>
          <w:szCs w:val="22"/>
        </w:rPr>
      </w:pPr>
    </w:p>
    <w:p w14:paraId="38362B9A" w14:textId="77777777" w:rsidR="00070F27" w:rsidRPr="00C938B6" w:rsidRDefault="00801872" w:rsidP="005B031E">
      <w:pPr>
        <w:spacing w:line="360" w:lineRule="auto"/>
        <w:jc w:val="both"/>
        <w:rPr>
          <w:rFonts w:ascii="Palatino Linotype" w:hAnsi="Palatino Linotype" w:cs="Tahoma"/>
          <w:b/>
          <w:bCs/>
          <w:iCs/>
          <w:sz w:val="22"/>
          <w:szCs w:val="22"/>
          <w:lang w:val="es-ES"/>
        </w:rPr>
      </w:pPr>
      <w:r w:rsidRPr="00C938B6">
        <w:rPr>
          <w:rFonts w:ascii="Palatino Linotype" w:hAnsi="Palatino Linotype" w:cs="Tahoma"/>
          <w:b/>
          <w:bCs/>
          <w:iCs/>
          <w:sz w:val="22"/>
          <w:szCs w:val="22"/>
          <w:lang w:val="es-ES"/>
        </w:rPr>
        <w:t>Quinto. Estudio de Fondo.</w:t>
      </w:r>
    </w:p>
    <w:p w14:paraId="70DF3E28" w14:textId="7FF07C4F" w:rsidR="00354324" w:rsidRDefault="00354324" w:rsidP="00071E37">
      <w:pPr>
        <w:spacing w:line="360" w:lineRule="auto"/>
        <w:ind w:right="539"/>
        <w:jc w:val="both"/>
        <w:rPr>
          <w:rFonts w:ascii="Palatino Linotype" w:hAnsi="Palatino Linotype" w:cs="Tahoma"/>
          <w:bCs/>
          <w:iCs/>
          <w:szCs w:val="22"/>
        </w:rPr>
      </w:pPr>
    </w:p>
    <w:p w14:paraId="7EE7A227" w14:textId="12348624" w:rsidR="004A2A45" w:rsidRPr="004A2A45" w:rsidRDefault="004A2A45" w:rsidP="004A2A45">
      <w:pPr>
        <w:spacing w:line="360" w:lineRule="auto"/>
        <w:jc w:val="both"/>
        <w:rPr>
          <w:rFonts w:ascii="Palatino Linotype" w:hAnsi="Palatino Linotype" w:cs="Tahoma"/>
          <w:bCs/>
          <w:iCs/>
          <w:sz w:val="22"/>
          <w:szCs w:val="22"/>
        </w:rPr>
      </w:pPr>
      <w:r w:rsidRPr="004A2A45">
        <w:rPr>
          <w:rFonts w:ascii="Palatino Linotype" w:hAnsi="Palatino Linotype" w:cs="Tahoma"/>
          <w:bCs/>
          <w:iCs/>
          <w:sz w:val="22"/>
          <w:szCs w:val="22"/>
        </w:rPr>
        <w:t xml:space="preserve">Expuestas las posturas de las partes, se procede al análisis del agravio hecho valer por el ahora Recurrente, concerniente a la falta de respuesta del </w:t>
      </w:r>
      <w:r w:rsidRPr="004A2A45">
        <w:rPr>
          <w:rFonts w:ascii="Palatino Linotype" w:hAnsi="Palatino Linotype" w:cs="Tahoma"/>
          <w:b/>
          <w:bCs/>
          <w:iCs/>
          <w:sz w:val="22"/>
          <w:szCs w:val="22"/>
        </w:rPr>
        <w:t xml:space="preserve">Ayuntamiento de </w:t>
      </w:r>
      <w:r>
        <w:rPr>
          <w:rFonts w:ascii="Palatino Linotype" w:hAnsi="Palatino Linotype" w:cs="Tahoma"/>
          <w:b/>
          <w:bCs/>
          <w:iCs/>
          <w:sz w:val="22"/>
          <w:szCs w:val="22"/>
        </w:rPr>
        <w:t>Xalatlaco</w:t>
      </w:r>
      <w:r w:rsidRPr="004A2A45">
        <w:rPr>
          <w:rFonts w:ascii="Palatino Linotype" w:hAnsi="Palatino Linotype" w:cs="Tahoma"/>
          <w:bCs/>
          <w:iCs/>
          <w:sz w:val="22"/>
          <w:szCs w:val="22"/>
        </w:rPr>
        <w:t xml:space="preserve">, a la solicitud de información presentada por el </w:t>
      </w:r>
      <w:r w:rsidR="002C0332">
        <w:rPr>
          <w:rFonts w:ascii="Palatino Linotype" w:hAnsi="Palatino Linotype" w:cs="Tahoma"/>
          <w:bCs/>
          <w:iCs/>
          <w:sz w:val="22"/>
          <w:szCs w:val="22"/>
        </w:rPr>
        <w:t>Particular</w:t>
      </w:r>
      <w:r w:rsidR="00710DD3">
        <w:rPr>
          <w:rFonts w:ascii="Palatino Linotype" w:hAnsi="Palatino Linotype" w:cs="Tahoma"/>
          <w:bCs/>
          <w:iCs/>
          <w:sz w:val="22"/>
          <w:szCs w:val="22"/>
        </w:rPr>
        <w:t>, por lo que, e</w:t>
      </w:r>
      <w:r w:rsidRPr="004A2A45">
        <w:rPr>
          <w:rFonts w:ascii="Palatino Linotype" w:hAnsi="Palatino Linotype" w:cs="Tahoma"/>
          <w:bCs/>
          <w:iCs/>
          <w:sz w:val="22"/>
          <w:szCs w:val="22"/>
        </w:rPr>
        <w:t>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1744B31F" w14:textId="77777777" w:rsidR="004A2A45" w:rsidRPr="004A2A45" w:rsidRDefault="004A2A45" w:rsidP="004A2A45">
      <w:pPr>
        <w:spacing w:line="360" w:lineRule="auto"/>
        <w:jc w:val="both"/>
        <w:rPr>
          <w:rFonts w:ascii="Palatino Linotype" w:hAnsi="Palatino Linotype" w:cs="Tahoma"/>
          <w:bCs/>
          <w:iCs/>
          <w:sz w:val="22"/>
          <w:szCs w:val="22"/>
        </w:rPr>
      </w:pPr>
    </w:p>
    <w:p w14:paraId="1118BF3F" w14:textId="0D8A295D" w:rsidR="004A2A45" w:rsidRPr="004A2A45" w:rsidRDefault="004A2A45" w:rsidP="004A2A45">
      <w:pPr>
        <w:numPr>
          <w:ilvl w:val="0"/>
          <w:numId w:val="30"/>
        </w:numPr>
        <w:spacing w:line="360" w:lineRule="auto"/>
        <w:ind w:right="539"/>
        <w:jc w:val="both"/>
        <w:rPr>
          <w:rFonts w:ascii="Palatino Linotype" w:hAnsi="Palatino Linotype" w:cs="Tahoma"/>
          <w:bCs/>
          <w:iCs/>
          <w:sz w:val="22"/>
          <w:szCs w:val="22"/>
        </w:rPr>
      </w:pPr>
      <w:r w:rsidRPr="004A2A45">
        <w:rPr>
          <w:rFonts w:ascii="Palatino Linotype" w:hAnsi="Palatino Linotype" w:cs="Tahoma"/>
          <w:bCs/>
          <w:iCs/>
          <w:sz w:val="22"/>
          <w:szCs w:val="22"/>
        </w:rPr>
        <w:t>Proveer lo necesario para garantizar a toda persona el derecho de acceso a la información pública, a través de procedimientos sencillos, expeditos, oportunos y gratuitos;</w:t>
      </w:r>
    </w:p>
    <w:p w14:paraId="6C22E126" w14:textId="72B2F7F4" w:rsidR="004A2A45" w:rsidRPr="004A2A45" w:rsidRDefault="004A2A45" w:rsidP="004A2A45">
      <w:pPr>
        <w:numPr>
          <w:ilvl w:val="0"/>
          <w:numId w:val="30"/>
        </w:numPr>
        <w:spacing w:line="360" w:lineRule="auto"/>
        <w:ind w:right="539"/>
        <w:jc w:val="both"/>
        <w:rPr>
          <w:rFonts w:ascii="Palatino Linotype" w:hAnsi="Palatino Linotype" w:cs="Tahoma"/>
          <w:bCs/>
          <w:iCs/>
          <w:sz w:val="22"/>
          <w:szCs w:val="22"/>
        </w:rPr>
      </w:pPr>
      <w:r w:rsidRPr="004A2A45">
        <w:rPr>
          <w:rFonts w:ascii="Palatino Linotype" w:hAnsi="Palatino Linotype" w:cs="Tahoma"/>
          <w:bCs/>
          <w:iCs/>
          <w:sz w:val="22"/>
          <w:szCs w:val="22"/>
        </w:rPr>
        <w:t>Transparentar la gestión pública, mediante la difusión de la información generada por los Sujetos Obligados, y</w:t>
      </w:r>
    </w:p>
    <w:p w14:paraId="11244F8A" w14:textId="77777777" w:rsidR="004A2A45" w:rsidRPr="004A2A45" w:rsidRDefault="004A2A45" w:rsidP="004A2A45">
      <w:pPr>
        <w:numPr>
          <w:ilvl w:val="0"/>
          <w:numId w:val="30"/>
        </w:numPr>
        <w:spacing w:line="360" w:lineRule="auto"/>
        <w:ind w:right="539"/>
        <w:jc w:val="both"/>
        <w:rPr>
          <w:rFonts w:ascii="Palatino Linotype" w:hAnsi="Palatino Linotype" w:cs="Tahoma"/>
          <w:bCs/>
          <w:iCs/>
          <w:sz w:val="22"/>
          <w:szCs w:val="22"/>
        </w:rPr>
      </w:pPr>
      <w:r w:rsidRPr="004A2A45">
        <w:rPr>
          <w:rFonts w:ascii="Palatino Linotype" w:hAnsi="Palatino Linotype" w:cs="Tahoma"/>
          <w:bCs/>
          <w:iCs/>
          <w:sz w:val="22"/>
          <w:szCs w:val="22"/>
        </w:rPr>
        <w:t>Promover, fomentar y difundir la cultura de la transparencia en el ejercicio de la función pública, el acceso a la información y la participación ciudadana, así como, la rendición de cuentas.</w:t>
      </w:r>
    </w:p>
    <w:p w14:paraId="390C27CA" w14:textId="77777777" w:rsidR="004A2A45" w:rsidRPr="004A2A45" w:rsidRDefault="004A2A45" w:rsidP="004A2A45">
      <w:pPr>
        <w:spacing w:line="360" w:lineRule="auto"/>
        <w:jc w:val="both"/>
        <w:rPr>
          <w:rFonts w:ascii="Palatino Linotype" w:hAnsi="Palatino Linotype" w:cs="Tahoma"/>
          <w:bCs/>
          <w:iCs/>
          <w:sz w:val="22"/>
          <w:szCs w:val="22"/>
        </w:rPr>
      </w:pPr>
    </w:p>
    <w:p w14:paraId="225F553D" w14:textId="16529973" w:rsidR="004A2A45" w:rsidRPr="004A2A45" w:rsidRDefault="004A2A45" w:rsidP="004A2A45">
      <w:pPr>
        <w:spacing w:line="360" w:lineRule="auto"/>
        <w:jc w:val="both"/>
        <w:rPr>
          <w:rFonts w:ascii="Palatino Linotype" w:hAnsi="Palatino Linotype" w:cs="Tahoma"/>
          <w:bCs/>
          <w:iCs/>
          <w:sz w:val="22"/>
          <w:szCs w:val="22"/>
        </w:rPr>
      </w:pPr>
      <w:r w:rsidRPr="004A2A45">
        <w:rPr>
          <w:rFonts w:ascii="Palatino Linotype" w:hAnsi="Palatino Linotype" w:cs="Tahoma"/>
          <w:bCs/>
          <w:iCs/>
          <w:sz w:val="22"/>
          <w:szCs w:val="22"/>
        </w:rPr>
        <w:t xml:space="preserve">Conforme a lo anterior, se deprende que </w:t>
      </w:r>
      <w:r w:rsidRPr="004A2A45">
        <w:rPr>
          <w:rFonts w:ascii="Palatino Linotype" w:hAnsi="Palatino Linotype" w:cs="Tahoma"/>
          <w:b/>
          <w:bCs/>
          <w:iCs/>
          <w:sz w:val="22"/>
          <w:szCs w:val="22"/>
        </w:rPr>
        <w:t>los objetivos de la Ley de la materia</w:t>
      </w:r>
      <w:r w:rsidRPr="004A2A45">
        <w:rPr>
          <w:rFonts w:ascii="Palatino Linotype" w:hAnsi="Palatino Linotype" w:cs="Tahoma"/>
          <w:bCs/>
          <w:iCs/>
          <w:sz w:val="22"/>
          <w:szCs w:val="22"/>
        </w:rPr>
        <w:t xml:space="preserve"> son establecer las bases que regirán las formas para garantizar el derecho de acceso a la información, </w:t>
      </w:r>
      <w:r w:rsidRPr="004A2A45">
        <w:rPr>
          <w:rFonts w:ascii="Palatino Linotype" w:hAnsi="Palatino Linotype" w:cs="Tahoma"/>
          <w:bCs/>
          <w:iCs/>
          <w:sz w:val="22"/>
          <w:szCs w:val="22"/>
        </w:rPr>
        <w:lastRenderedPageBreak/>
        <w:t>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3E55CB5E" w14:textId="77777777" w:rsidR="004A2A45" w:rsidRPr="004A2A45" w:rsidRDefault="004A2A45" w:rsidP="004A2A45">
      <w:pPr>
        <w:spacing w:line="360" w:lineRule="auto"/>
        <w:jc w:val="both"/>
        <w:rPr>
          <w:rFonts w:ascii="Palatino Linotype" w:hAnsi="Palatino Linotype" w:cs="Tahoma"/>
          <w:bCs/>
          <w:iCs/>
          <w:sz w:val="22"/>
          <w:szCs w:val="22"/>
        </w:rPr>
      </w:pPr>
    </w:p>
    <w:p w14:paraId="7C67B68D" w14:textId="77777777" w:rsidR="004A2A45" w:rsidRPr="004A2A45" w:rsidRDefault="004A2A45" w:rsidP="004A2A45">
      <w:pPr>
        <w:spacing w:line="360" w:lineRule="auto"/>
        <w:jc w:val="both"/>
        <w:rPr>
          <w:rFonts w:ascii="Palatino Linotype" w:hAnsi="Palatino Linotype" w:cs="Tahoma"/>
          <w:bCs/>
          <w:iCs/>
          <w:sz w:val="22"/>
          <w:szCs w:val="22"/>
        </w:rPr>
      </w:pPr>
      <w:r w:rsidRPr="004A2A45">
        <w:rPr>
          <w:rFonts w:ascii="Palatino Linotype" w:hAnsi="Palatino Linotype" w:cs="Tahoma"/>
          <w:bCs/>
          <w:iCs/>
          <w:sz w:val="22"/>
          <w:szCs w:val="22"/>
        </w:rPr>
        <w:t xml:space="preserve">En ese orden de ideas, para la atención de las solicitudes de acceso a la información, debe privilegiarse el </w:t>
      </w:r>
      <w:r w:rsidRPr="004A2A45">
        <w:rPr>
          <w:rFonts w:ascii="Palatino Linotype" w:hAnsi="Palatino Linotype" w:cs="Tahoma"/>
          <w:b/>
          <w:bCs/>
          <w:iCs/>
          <w:sz w:val="22"/>
          <w:szCs w:val="22"/>
        </w:rPr>
        <w:t>principio de máxima publicidad</w:t>
      </w:r>
      <w:r w:rsidRPr="004A2A45">
        <w:rPr>
          <w:rFonts w:ascii="Palatino Linotype" w:hAnsi="Palatino Linotype" w:cs="Tahoma"/>
          <w:bCs/>
          <w:iCs/>
          <w:sz w:val="22"/>
          <w:szCs w:val="22"/>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31D34485" w14:textId="77777777" w:rsidR="004A2A45" w:rsidRPr="004A2A45" w:rsidRDefault="004A2A45" w:rsidP="004A2A45">
      <w:pPr>
        <w:spacing w:line="360" w:lineRule="auto"/>
        <w:jc w:val="both"/>
        <w:rPr>
          <w:rFonts w:ascii="Palatino Linotype" w:hAnsi="Palatino Linotype" w:cs="Tahoma"/>
          <w:bCs/>
          <w:iCs/>
          <w:sz w:val="22"/>
          <w:szCs w:val="22"/>
        </w:rPr>
      </w:pPr>
    </w:p>
    <w:p w14:paraId="10F8818E" w14:textId="77777777" w:rsidR="004A2A45" w:rsidRPr="004A2A45" w:rsidRDefault="004A2A45" w:rsidP="004A2A45">
      <w:pPr>
        <w:spacing w:line="360" w:lineRule="auto"/>
        <w:jc w:val="both"/>
        <w:rPr>
          <w:rFonts w:ascii="Palatino Linotype" w:hAnsi="Palatino Linotype" w:cs="Tahoma"/>
          <w:bCs/>
          <w:iCs/>
          <w:sz w:val="22"/>
          <w:szCs w:val="22"/>
        </w:rPr>
      </w:pPr>
      <w:r w:rsidRPr="004A2A45">
        <w:rPr>
          <w:rFonts w:ascii="Palatino Linotype" w:hAnsi="Palatino Linotype" w:cs="Tahoma"/>
          <w:bCs/>
          <w:iCs/>
          <w:sz w:val="22"/>
          <w:szCs w:val="22"/>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288ED2E5" w14:textId="77777777" w:rsidR="004A2A45" w:rsidRPr="004A2A45" w:rsidRDefault="004A2A45" w:rsidP="004A2A45">
      <w:pPr>
        <w:spacing w:line="360" w:lineRule="auto"/>
        <w:jc w:val="both"/>
        <w:rPr>
          <w:rFonts w:ascii="Palatino Linotype" w:hAnsi="Palatino Linotype" w:cs="Tahoma"/>
          <w:bCs/>
          <w:iCs/>
          <w:sz w:val="22"/>
          <w:szCs w:val="22"/>
        </w:rPr>
      </w:pPr>
    </w:p>
    <w:p w14:paraId="6E7576FA" w14:textId="4EC06438" w:rsidR="004A2A45" w:rsidRPr="004A2A45" w:rsidRDefault="004A2A45" w:rsidP="00F56285">
      <w:pPr>
        <w:numPr>
          <w:ilvl w:val="0"/>
          <w:numId w:val="31"/>
        </w:numPr>
        <w:spacing w:line="360" w:lineRule="auto"/>
        <w:ind w:left="851" w:right="539"/>
        <w:jc w:val="both"/>
        <w:rPr>
          <w:rFonts w:ascii="Palatino Linotype" w:hAnsi="Palatino Linotype" w:cs="Tahoma"/>
          <w:bCs/>
          <w:iCs/>
          <w:sz w:val="22"/>
          <w:szCs w:val="22"/>
        </w:rPr>
      </w:pPr>
      <w:r w:rsidRPr="004A2A45">
        <w:rPr>
          <w:rFonts w:ascii="Palatino Linotype" w:hAnsi="Palatino Linotype" w:cs="Tahoma"/>
          <w:bCs/>
          <w:iCs/>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7687175F" w14:textId="158C0BF6" w:rsidR="004A2A45" w:rsidRPr="004A2A45" w:rsidRDefault="004A2A45" w:rsidP="00F56285">
      <w:pPr>
        <w:numPr>
          <w:ilvl w:val="0"/>
          <w:numId w:val="31"/>
        </w:numPr>
        <w:spacing w:line="360" w:lineRule="auto"/>
        <w:ind w:left="851" w:right="539"/>
        <w:jc w:val="both"/>
        <w:rPr>
          <w:rFonts w:ascii="Palatino Linotype" w:hAnsi="Palatino Linotype" w:cs="Tahoma"/>
          <w:bCs/>
          <w:iCs/>
          <w:sz w:val="22"/>
          <w:szCs w:val="22"/>
        </w:rPr>
      </w:pPr>
      <w:r w:rsidRPr="004A2A45">
        <w:rPr>
          <w:rFonts w:ascii="Palatino Linotype" w:hAnsi="Palatino Linotype" w:cs="Tahoma"/>
          <w:bCs/>
          <w:iCs/>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7351C130" w14:textId="2B0D01F3" w:rsidR="004A2A45" w:rsidRPr="004A2A45" w:rsidRDefault="004A2A45" w:rsidP="00F56285">
      <w:pPr>
        <w:numPr>
          <w:ilvl w:val="0"/>
          <w:numId w:val="31"/>
        </w:numPr>
        <w:spacing w:line="360" w:lineRule="auto"/>
        <w:ind w:left="851" w:right="539"/>
        <w:jc w:val="both"/>
        <w:rPr>
          <w:rFonts w:ascii="Palatino Linotype" w:hAnsi="Palatino Linotype" w:cs="Tahoma"/>
          <w:bCs/>
          <w:iCs/>
          <w:sz w:val="22"/>
          <w:szCs w:val="22"/>
        </w:rPr>
      </w:pPr>
      <w:r w:rsidRPr="004A2A45">
        <w:rPr>
          <w:rFonts w:ascii="Palatino Linotype" w:hAnsi="Palatino Linotype" w:cs="Tahoma"/>
          <w:bCs/>
          <w:iCs/>
          <w:sz w:val="22"/>
          <w:szCs w:val="22"/>
        </w:rPr>
        <w:lastRenderedPageBreak/>
        <w:t xml:space="preserve">Las respuestas a los requerimientos informativos deberán notificarse al interesado en el menor tiempo posible, que no podrá exceder </w:t>
      </w:r>
      <w:r w:rsidRPr="004A2A45">
        <w:rPr>
          <w:rFonts w:ascii="Palatino Linotype" w:hAnsi="Palatino Linotype" w:cs="Tahoma"/>
          <w:b/>
          <w:bCs/>
          <w:iCs/>
          <w:sz w:val="22"/>
          <w:szCs w:val="22"/>
        </w:rPr>
        <w:t>quince días, contados a partir del día siguiente a la presentación de ésta.</w:t>
      </w:r>
      <w:r w:rsidRPr="004A2A45">
        <w:rPr>
          <w:rFonts w:ascii="Palatino Linotype" w:hAnsi="Palatino Linotype" w:cs="Tahoma"/>
          <w:bCs/>
          <w:iCs/>
          <w:sz w:val="22"/>
          <w:szCs w:val="22"/>
        </w:rPr>
        <w:t xml:space="preserve"> Excepcionalmente, el plazo referido podrá ampliarse por siete días hábiles más, cuando existan razones fundadas y motivadas, a través del Comité de Transparencia;</w:t>
      </w:r>
    </w:p>
    <w:p w14:paraId="55E1E1BC" w14:textId="374C9A1B" w:rsidR="004A2A45" w:rsidRPr="004A2A45" w:rsidRDefault="004A2A45" w:rsidP="0080544A">
      <w:pPr>
        <w:numPr>
          <w:ilvl w:val="0"/>
          <w:numId w:val="31"/>
        </w:numPr>
        <w:spacing w:line="360" w:lineRule="auto"/>
        <w:ind w:left="851" w:right="539"/>
        <w:jc w:val="both"/>
        <w:rPr>
          <w:rFonts w:ascii="Palatino Linotype" w:hAnsi="Palatino Linotype" w:cs="Tahoma"/>
          <w:b/>
          <w:bCs/>
          <w:iCs/>
          <w:sz w:val="22"/>
          <w:szCs w:val="22"/>
        </w:rPr>
      </w:pPr>
      <w:r w:rsidRPr="004A2A45">
        <w:rPr>
          <w:rFonts w:ascii="Palatino Linotype" w:hAnsi="Palatino Linotype" w:cs="Tahoma"/>
          <w:bCs/>
          <w:iCs/>
          <w:sz w:val="22"/>
          <w:szCs w:val="22"/>
        </w:rPr>
        <w:t xml:space="preserve">Las Unidades de Transparencia garantizarán que las solicitudes se turnen a todas las áreas competentes que cuenten con la información o deban tenerla de acuerdo </w:t>
      </w:r>
      <w:r w:rsidR="0080544A">
        <w:rPr>
          <w:rFonts w:ascii="Palatino Linotype" w:hAnsi="Palatino Linotype" w:cs="Tahoma"/>
          <w:bCs/>
          <w:iCs/>
          <w:sz w:val="22"/>
          <w:szCs w:val="22"/>
        </w:rPr>
        <w:t>con</w:t>
      </w:r>
      <w:r w:rsidRPr="004A2A45">
        <w:rPr>
          <w:rFonts w:ascii="Palatino Linotype" w:hAnsi="Palatino Linotype" w:cs="Tahoma"/>
          <w:bCs/>
          <w:iCs/>
          <w:sz w:val="22"/>
          <w:szCs w:val="22"/>
        </w:rPr>
        <w:t xml:space="preserve"> sus facultades, funciones y atribuciones, para que realicen una búsqueda exhaustiva y razonable de la documentación solicitada, con el fin de que proporcionen las expresiones documentales </w:t>
      </w:r>
      <w:r w:rsidRPr="004A2A45">
        <w:rPr>
          <w:rFonts w:ascii="Palatino Linotype" w:hAnsi="Palatino Linotype" w:cs="Tahoma"/>
          <w:b/>
          <w:bCs/>
          <w:iCs/>
          <w:sz w:val="22"/>
          <w:szCs w:val="22"/>
        </w:rPr>
        <w:t>que se encuentren en sus archivos o que estén constreñidos a elaborar;</w:t>
      </w:r>
    </w:p>
    <w:p w14:paraId="23DD5EA7" w14:textId="2480335D" w:rsidR="004A2A45" w:rsidRPr="004A2A45" w:rsidRDefault="004A2A45" w:rsidP="00F56285">
      <w:pPr>
        <w:numPr>
          <w:ilvl w:val="0"/>
          <w:numId w:val="31"/>
        </w:numPr>
        <w:spacing w:line="360" w:lineRule="auto"/>
        <w:ind w:left="851" w:right="539"/>
        <w:jc w:val="both"/>
        <w:rPr>
          <w:rFonts w:ascii="Palatino Linotype" w:hAnsi="Palatino Linotype" w:cs="Tahoma"/>
          <w:b/>
          <w:bCs/>
          <w:iCs/>
          <w:sz w:val="22"/>
          <w:szCs w:val="22"/>
        </w:rPr>
      </w:pPr>
      <w:r w:rsidRPr="004A2A45">
        <w:rPr>
          <w:rFonts w:ascii="Palatino Linotype" w:hAnsi="Palatino Linotype" w:cs="Tahoma"/>
          <w:bCs/>
          <w:iCs/>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7E84E5E9" w14:textId="77777777" w:rsidR="004A2A45" w:rsidRPr="004A2A45" w:rsidRDefault="004A2A45" w:rsidP="00F56285">
      <w:pPr>
        <w:numPr>
          <w:ilvl w:val="0"/>
          <w:numId w:val="31"/>
        </w:numPr>
        <w:spacing w:line="360" w:lineRule="auto"/>
        <w:ind w:left="851" w:right="539"/>
        <w:jc w:val="both"/>
        <w:rPr>
          <w:rFonts w:ascii="Palatino Linotype" w:hAnsi="Palatino Linotype" w:cs="Tahoma"/>
          <w:b/>
          <w:bCs/>
          <w:iCs/>
          <w:sz w:val="22"/>
          <w:szCs w:val="22"/>
        </w:rPr>
      </w:pPr>
      <w:r w:rsidRPr="004A2A45">
        <w:rPr>
          <w:rFonts w:ascii="Palatino Linotype" w:hAnsi="Palatino Linotype" w:cs="Tahoma"/>
          <w:bCs/>
          <w:iCs/>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4B751328" w14:textId="77777777" w:rsidR="004A2A45" w:rsidRPr="004A2A45" w:rsidRDefault="004A2A45" w:rsidP="004A2A45">
      <w:pPr>
        <w:spacing w:line="360" w:lineRule="auto"/>
        <w:jc w:val="both"/>
        <w:rPr>
          <w:rFonts w:ascii="Palatino Linotype" w:hAnsi="Palatino Linotype" w:cs="Tahoma"/>
          <w:b/>
          <w:bCs/>
          <w:iCs/>
          <w:sz w:val="22"/>
          <w:szCs w:val="22"/>
        </w:rPr>
      </w:pPr>
    </w:p>
    <w:p w14:paraId="165883CF" w14:textId="64EB6F49" w:rsidR="004A2A45" w:rsidRPr="004A2A45" w:rsidRDefault="004A2A45" w:rsidP="004A2A45">
      <w:pPr>
        <w:spacing w:line="360" w:lineRule="auto"/>
        <w:jc w:val="both"/>
        <w:rPr>
          <w:rFonts w:ascii="Palatino Linotype" w:hAnsi="Palatino Linotype" w:cs="Tahoma"/>
          <w:bCs/>
          <w:iCs/>
          <w:sz w:val="22"/>
          <w:szCs w:val="22"/>
        </w:rPr>
      </w:pPr>
      <w:r w:rsidRPr="004A2A45">
        <w:rPr>
          <w:rFonts w:ascii="Palatino Linotype" w:hAnsi="Palatino Linotype" w:cs="Tahoma"/>
          <w:bCs/>
          <w:iCs/>
          <w:sz w:val="22"/>
          <w:szCs w:val="22"/>
        </w:rPr>
        <w:t>Una vez establecido lo anterior, es de indicar que el agravio del Particular consistió en</w:t>
      </w:r>
      <w:r w:rsidR="002F01FD">
        <w:rPr>
          <w:rFonts w:ascii="Palatino Linotype" w:hAnsi="Palatino Linotype" w:cs="Tahoma"/>
          <w:bCs/>
          <w:iCs/>
          <w:sz w:val="22"/>
          <w:szCs w:val="22"/>
        </w:rPr>
        <w:t xml:space="preserve"> </w:t>
      </w:r>
      <w:r w:rsidR="00710DD3">
        <w:rPr>
          <w:rFonts w:ascii="Palatino Linotype" w:hAnsi="Palatino Linotype" w:cs="Tahoma"/>
          <w:bCs/>
          <w:iCs/>
          <w:sz w:val="22"/>
          <w:szCs w:val="22"/>
        </w:rPr>
        <w:t>que,</w:t>
      </w:r>
      <w:r w:rsidR="002F01FD">
        <w:rPr>
          <w:rFonts w:ascii="Palatino Linotype" w:hAnsi="Palatino Linotype" w:cs="Tahoma"/>
          <w:bCs/>
          <w:iCs/>
          <w:sz w:val="22"/>
          <w:szCs w:val="22"/>
        </w:rPr>
        <w:t xml:space="preserve"> a la fecha de interposición del Recurso de Revisión, el Ayuntamiento de Xalatlaco </w:t>
      </w:r>
      <w:r w:rsidR="004F6EB7">
        <w:rPr>
          <w:rFonts w:ascii="Palatino Linotype" w:hAnsi="Palatino Linotype" w:cs="Tahoma"/>
          <w:bCs/>
          <w:iCs/>
          <w:sz w:val="22"/>
          <w:szCs w:val="22"/>
        </w:rPr>
        <w:t xml:space="preserve">no había registrado respuesta al requerimiento de acceso a la información, el cual se tuvo por presentado el tres de noviembre de dos mil veintiuno. </w:t>
      </w:r>
    </w:p>
    <w:p w14:paraId="5CC56135" w14:textId="781D2BB1" w:rsidR="004A2A45" w:rsidRPr="004A2A45" w:rsidRDefault="004A2A45" w:rsidP="004A2A45">
      <w:pPr>
        <w:spacing w:line="360" w:lineRule="auto"/>
        <w:jc w:val="both"/>
        <w:rPr>
          <w:rFonts w:ascii="Palatino Linotype" w:hAnsi="Palatino Linotype" w:cs="Tahoma"/>
          <w:bCs/>
          <w:iCs/>
          <w:sz w:val="22"/>
          <w:szCs w:val="22"/>
          <w:lang w:val="es-ES"/>
        </w:rPr>
      </w:pPr>
      <w:r w:rsidRPr="004A2A45">
        <w:rPr>
          <w:rFonts w:ascii="Palatino Linotype" w:hAnsi="Palatino Linotype" w:cs="Tahoma"/>
          <w:bCs/>
          <w:iCs/>
          <w:sz w:val="22"/>
          <w:szCs w:val="22"/>
        </w:rPr>
        <w:lastRenderedPageBreak/>
        <w:t xml:space="preserve">En ese orden de ideas, el plazo con el que contaba el Sujeto Obligado para emitir contestación al requerimiento informativo, </w:t>
      </w:r>
      <w:r w:rsidRPr="004A2A45">
        <w:rPr>
          <w:rFonts w:ascii="Palatino Linotype" w:hAnsi="Palatino Linotype" w:cs="Tahoma"/>
          <w:b/>
          <w:bCs/>
          <w:iCs/>
          <w:sz w:val="22"/>
          <w:szCs w:val="22"/>
        </w:rPr>
        <w:t xml:space="preserve">comenzó a correr </w:t>
      </w:r>
      <w:r w:rsidR="00741D97">
        <w:rPr>
          <w:rFonts w:ascii="Palatino Linotype" w:hAnsi="Palatino Linotype" w:cs="Tahoma"/>
          <w:b/>
          <w:bCs/>
          <w:iCs/>
          <w:sz w:val="22"/>
          <w:szCs w:val="22"/>
        </w:rPr>
        <w:t>el cuatro de noviembre</w:t>
      </w:r>
      <w:r w:rsidRPr="004A2A45">
        <w:rPr>
          <w:rFonts w:ascii="Palatino Linotype" w:hAnsi="Palatino Linotype" w:cs="Tahoma"/>
          <w:b/>
          <w:bCs/>
          <w:iCs/>
          <w:sz w:val="22"/>
          <w:szCs w:val="22"/>
        </w:rPr>
        <w:t xml:space="preserve"> y feneció el </w:t>
      </w:r>
      <w:r w:rsidR="00135C93">
        <w:rPr>
          <w:rFonts w:ascii="Palatino Linotype" w:hAnsi="Palatino Linotype" w:cs="Tahoma"/>
          <w:b/>
          <w:bCs/>
          <w:iCs/>
          <w:sz w:val="22"/>
          <w:szCs w:val="22"/>
        </w:rPr>
        <w:t xml:space="preserve">veinticinco </w:t>
      </w:r>
      <w:r w:rsidRPr="004A2A45">
        <w:rPr>
          <w:rFonts w:ascii="Palatino Linotype" w:hAnsi="Palatino Linotype" w:cs="Tahoma"/>
          <w:b/>
          <w:bCs/>
          <w:iCs/>
          <w:sz w:val="22"/>
          <w:szCs w:val="22"/>
        </w:rPr>
        <w:t>de noviembre</w:t>
      </w:r>
      <w:r w:rsidRPr="004A2A45">
        <w:rPr>
          <w:rFonts w:ascii="Palatino Linotype" w:hAnsi="Palatino Linotype" w:cs="Tahoma"/>
          <w:bCs/>
          <w:iCs/>
          <w:sz w:val="22"/>
          <w:szCs w:val="22"/>
        </w:rPr>
        <w:t>, ambos de dos mil veintiuno, lo anterior, sin contar e</w:t>
      </w:r>
      <w:r w:rsidR="00135C93">
        <w:rPr>
          <w:rFonts w:ascii="Palatino Linotype" w:hAnsi="Palatino Linotype" w:cs="Tahoma"/>
          <w:bCs/>
          <w:iCs/>
          <w:sz w:val="22"/>
          <w:szCs w:val="22"/>
        </w:rPr>
        <w:t>l día quince de noviembre de dos mil veintiuno</w:t>
      </w:r>
      <w:r w:rsidRPr="004A2A45">
        <w:rPr>
          <w:rFonts w:ascii="Palatino Linotype" w:hAnsi="Palatino Linotype" w:cs="Tahoma"/>
          <w:bCs/>
          <w:iCs/>
          <w:sz w:val="22"/>
          <w:szCs w:val="22"/>
        </w:rPr>
        <w:t>, al ser inhábil, de conformidad con los artículos 3°, fracción X, de la Ley de Transparencia y Acceso a la Información Pública del Estado de México y Municipios, y</w:t>
      </w:r>
      <w:bookmarkStart w:id="5" w:name="_Hlk65786947"/>
      <w:r w:rsidRPr="004A2A45">
        <w:rPr>
          <w:rFonts w:ascii="Palatino Linotype" w:hAnsi="Palatino Linotype" w:cs="Tahoma"/>
          <w:bCs/>
          <w:iCs/>
          <w:sz w:val="22"/>
          <w:szCs w:val="22"/>
        </w:rPr>
        <w:t xml:space="preserve"> el </w:t>
      </w:r>
      <w:r w:rsidRPr="004A2A45">
        <w:rPr>
          <w:rFonts w:ascii="Palatino Linotype" w:hAnsi="Palatino Linotype" w:cs="Tahoma"/>
          <w:bCs/>
          <w:iCs/>
          <w:sz w:val="22"/>
          <w:szCs w:val="22"/>
          <w:lang w:val="es-ES"/>
        </w:rPr>
        <w:t>Calendario Oficial en Materia de Transparencia, Acceso a la Información Pública y Protección de Datos Personales del Estado de México y Municipios</w:t>
      </w:r>
      <w:bookmarkEnd w:id="5"/>
      <w:r w:rsidR="00BF490F">
        <w:rPr>
          <w:rFonts w:ascii="Palatino Linotype" w:hAnsi="Palatino Linotype" w:cs="Tahoma"/>
          <w:bCs/>
          <w:iCs/>
          <w:sz w:val="22"/>
          <w:szCs w:val="22"/>
          <w:lang w:val="es-ES"/>
        </w:rPr>
        <w:t xml:space="preserve">. </w:t>
      </w:r>
    </w:p>
    <w:p w14:paraId="1B2F1343" w14:textId="77777777" w:rsidR="004A2A45" w:rsidRPr="004A2A45" w:rsidRDefault="004A2A45" w:rsidP="004A2A45">
      <w:pPr>
        <w:spacing w:line="360" w:lineRule="auto"/>
        <w:jc w:val="both"/>
        <w:rPr>
          <w:rFonts w:ascii="Palatino Linotype" w:hAnsi="Palatino Linotype" w:cs="Tahoma"/>
          <w:bCs/>
          <w:iCs/>
          <w:sz w:val="22"/>
          <w:szCs w:val="22"/>
        </w:rPr>
      </w:pPr>
    </w:p>
    <w:p w14:paraId="179F416E" w14:textId="2E08411B" w:rsidR="004A2A45" w:rsidRDefault="004A2A45" w:rsidP="004A2A45">
      <w:pPr>
        <w:spacing w:line="360" w:lineRule="auto"/>
        <w:jc w:val="both"/>
        <w:rPr>
          <w:rFonts w:ascii="Palatino Linotype" w:hAnsi="Palatino Linotype" w:cs="Tahoma"/>
          <w:bCs/>
          <w:iCs/>
          <w:sz w:val="22"/>
          <w:szCs w:val="22"/>
          <w:lang w:val="es-ES"/>
        </w:rPr>
      </w:pPr>
      <w:r w:rsidRPr="004A2A45">
        <w:rPr>
          <w:rFonts w:ascii="Palatino Linotype" w:hAnsi="Palatino Linotype" w:cs="Tahoma"/>
          <w:bCs/>
          <w:iCs/>
          <w:sz w:val="22"/>
          <w:szCs w:val="22"/>
        </w:rPr>
        <w:t xml:space="preserve">Así, este Instituto verificó que, en efecto, no se registró respuesta a la solicitud de información del ahora Recurrente, en el </w:t>
      </w:r>
      <w:r w:rsidRPr="004A2A45">
        <w:rPr>
          <w:rFonts w:ascii="Palatino Linotype" w:hAnsi="Palatino Linotype" w:cs="Tahoma"/>
          <w:bCs/>
          <w:iCs/>
          <w:sz w:val="22"/>
          <w:szCs w:val="22"/>
          <w:lang w:val="es-ES"/>
        </w:rPr>
        <w:t>Sistema de Acceso a la Información Mexiquense (SAIMEX), tal como se observa a continuación:</w:t>
      </w:r>
    </w:p>
    <w:p w14:paraId="0DB68293" w14:textId="77777777" w:rsidR="00775734" w:rsidRPr="004A2A45" w:rsidRDefault="00775734" w:rsidP="004A2A45">
      <w:pPr>
        <w:spacing w:line="360" w:lineRule="auto"/>
        <w:jc w:val="both"/>
        <w:rPr>
          <w:rFonts w:ascii="Palatino Linotype" w:hAnsi="Palatino Linotype" w:cs="Tahoma"/>
          <w:bCs/>
          <w:iCs/>
          <w:sz w:val="22"/>
          <w:szCs w:val="22"/>
          <w:lang w:val="es-ES"/>
        </w:rPr>
      </w:pPr>
    </w:p>
    <w:p w14:paraId="539DD26E" w14:textId="74643963" w:rsidR="004A2A45" w:rsidRPr="004A2A45" w:rsidRDefault="000F1B1E" w:rsidP="00F40283">
      <w:pPr>
        <w:spacing w:line="360" w:lineRule="auto"/>
        <w:jc w:val="center"/>
        <w:rPr>
          <w:rFonts w:ascii="Palatino Linotype" w:hAnsi="Palatino Linotype" w:cs="Tahoma"/>
          <w:bCs/>
          <w:iCs/>
          <w:sz w:val="22"/>
          <w:szCs w:val="22"/>
          <w:lang w:val="es-ES"/>
        </w:rPr>
      </w:pPr>
      <w:r>
        <w:rPr>
          <w:rFonts w:ascii="Palatino Linotype" w:hAnsi="Palatino Linotype" w:cs="Tahoma"/>
          <w:bCs/>
          <w:iCs/>
          <w:noProof/>
          <w:sz w:val="22"/>
          <w:szCs w:val="22"/>
          <w:lang w:eastAsia="es-MX"/>
        </w:rPr>
        <w:drawing>
          <wp:inline distT="0" distB="0" distL="0" distR="0" wp14:anchorId="13CCD782" wp14:editId="500895B6">
            <wp:extent cx="3438525" cy="2036445"/>
            <wp:effectExtent l="0" t="0" r="952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8525" cy="2036445"/>
                    </a:xfrm>
                    <a:prstGeom prst="rect">
                      <a:avLst/>
                    </a:prstGeom>
                    <a:noFill/>
                  </pic:spPr>
                </pic:pic>
              </a:graphicData>
            </a:graphic>
          </wp:inline>
        </w:drawing>
      </w:r>
    </w:p>
    <w:p w14:paraId="689EAC03" w14:textId="77777777" w:rsidR="004A2A45" w:rsidRPr="004A2A45" w:rsidRDefault="004A2A45" w:rsidP="004A2A45">
      <w:pPr>
        <w:spacing w:line="360" w:lineRule="auto"/>
        <w:jc w:val="both"/>
        <w:rPr>
          <w:rFonts w:ascii="Palatino Linotype" w:hAnsi="Palatino Linotype" w:cs="Tahoma"/>
          <w:bCs/>
          <w:iCs/>
          <w:sz w:val="22"/>
          <w:szCs w:val="22"/>
        </w:rPr>
      </w:pPr>
    </w:p>
    <w:p w14:paraId="59D2F849" w14:textId="79F5EA60" w:rsidR="00AD3B9A" w:rsidRDefault="004A2A45" w:rsidP="004A2A45">
      <w:pPr>
        <w:spacing w:line="360" w:lineRule="auto"/>
        <w:jc w:val="both"/>
        <w:rPr>
          <w:rFonts w:ascii="Palatino Linotype" w:hAnsi="Palatino Linotype" w:cs="Tahoma"/>
          <w:b/>
          <w:bCs/>
          <w:iCs/>
          <w:sz w:val="22"/>
          <w:szCs w:val="22"/>
        </w:rPr>
      </w:pPr>
      <w:r w:rsidRPr="004A2A45">
        <w:rPr>
          <w:rFonts w:ascii="Palatino Linotype" w:hAnsi="Palatino Linotype" w:cs="Tahoma"/>
          <w:bCs/>
          <w:iCs/>
          <w:sz w:val="22"/>
          <w:szCs w:val="22"/>
        </w:rPr>
        <w:t xml:space="preserve">Conforme a lo anterior, se colige que, tal como lo precisó la Recurrente, el Ayuntamiento de </w:t>
      </w:r>
      <w:r w:rsidR="00CD5370">
        <w:rPr>
          <w:rFonts w:ascii="Palatino Linotype" w:hAnsi="Palatino Linotype" w:cs="Tahoma"/>
          <w:bCs/>
          <w:iCs/>
          <w:sz w:val="22"/>
          <w:szCs w:val="22"/>
        </w:rPr>
        <w:t>Xalatlaco,</w:t>
      </w:r>
      <w:r w:rsidRPr="004A2A45">
        <w:rPr>
          <w:rFonts w:ascii="Palatino Linotype" w:hAnsi="Palatino Linotype" w:cs="Tahoma"/>
          <w:bCs/>
          <w:iCs/>
          <w:sz w:val="22"/>
          <w:szCs w:val="22"/>
        </w:rPr>
        <w:t xml:space="preserve"> no emitió respuesta para dar contestación a la solicitud de acceso a la información pública, dentro de los plazos establecidos en el artículo 163, de la Ley de Transparencia y Acceso a la Información Pública del Estado de México y Municipios, pues </w:t>
      </w:r>
      <w:r w:rsidRPr="004A2A45">
        <w:rPr>
          <w:rFonts w:ascii="Palatino Linotype" w:hAnsi="Palatino Linotype" w:cs="Tahoma"/>
          <w:b/>
          <w:bCs/>
          <w:iCs/>
          <w:sz w:val="22"/>
          <w:szCs w:val="22"/>
        </w:rPr>
        <w:t xml:space="preserve">tenía hasta el </w:t>
      </w:r>
      <w:r w:rsidR="00CD5370">
        <w:rPr>
          <w:rFonts w:ascii="Palatino Linotype" w:hAnsi="Palatino Linotype" w:cs="Tahoma"/>
          <w:b/>
          <w:bCs/>
          <w:iCs/>
          <w:sz w:val="22"/>
          <w:szCs w:val="22"/>
        </w:rPr>
        <w:t xml:space="preserve">veinticinco </w:t>
      </w:r>
      <w:r w:rsidRPr="004A2A45">
        <w:rPr>
          <w:rFonts w:ascii="Palatino Linotype" w:hAnsi="Palatino Linotype" w:cs="Tahoma"/>
          <w:b/>
          <w:bCs/>
          <w:iCs/>
          <w:sz w:val="22"/>
          <w:szCs w:val="22"/>
        </w:rPr>
        <w:t>de noviembre de dos mil veintiuno</w:t>
      </w:r>
      <w:r w:rsidRPr="004A2A45">
        <w:rPr>
          <w:rFonts w:ascii="Palatino Linotype" w:hAnsi="Palatino Linotype" w:cs="Tahoma"/>
          <w:bCs/>
          <w:iCs/>
          <w:sz w:val="22"/>
          <w:szCs w:val="22"/>
        </w:rPr>
        <w:t xml:space="preserve">, para realizar dicha </w:t>
      </w:r>
      <w:r w:rsidR="00CD5370">
        <w:rPr>
          <w:rFonts w:ascii="Palatino Linotype" w:hAnsi="Palatino Linotype" w:cs="Tahoma"/>
          <w:bCs/>
          <w:iCs/>
          <w:sz w:val="22"/>
          <w:szCs w:val="22"/>
        </w:rPr>
        <w:t>actuación</w:t>
      </w:r>
      <w:r w:rsidRPr="004A2A45">
        <w:rPr>
          <w:rFonts w:ascii="Palatino Linotype" w:hAnsi="Palatino Linotype" w:cs="Tahoma"/>
          <w:bCs/>
          <w:iCs/>
          <w:sz w:val="22"/>
          <w:szCs w:val="22"/>
        </w:rPr>
        <w:t xml:space="preserve">, por lo que es evidente que el agravio es </w:t>
      </w:r>
      <w:r w:rsidRPr="004A2A45">
        <w:rPr>
          <w:rFonts w:ascii="Palatino Linotype" w:hAnsi="Palatino Linotype" w:cs="Tahoma"/>
          <w:b/>
          <w:bCs/>
          <w:iCs/>
          <w:sz w:val="22"/>
          <w:szCs w:val="22"/>
        </w:rPr>
        <w:t>FUNDADO</w:t>
      </w:r>
      <w:r w:rsidR="00775734">
        <w:rPr>
          <w:rFonts w:ascii="Palatino Linotype" w:hAnsi="Palatino Linotype" w:cs="Tahoma"/>
          <w:b/>
          <w:bCs/>
          <w:iCs/>
          <w:sz w:val="22"/>
          <w:szCs w:val="22"/>
        </w:rPr>
        <w:t xml:space="preserve">. </w:t>
      </w:r>
    </w:p>
    <w:p w14:paraId="15ACB499" w14:textId="509AF946" w:rsidR="00FA49D0" w:rsidRDefault="00CA598C" w:rsidP="004A2A45">
      <w:pPr>
        <w:spacing w:line="360" w:lineRule="auto"/>
        <w:jc w:val="both"/>
        <w:rPr>
          <w:rFonts w:ascii="Palatino Linotype" w:hAnsi="Palatino Linotype" w:cs="Tahoma"/>
          <w:iCs/>
          <w:sz w:val="22"/>
          <w:szCs w:val="22"/>
        </w:rPr>
      </w:pPr>
      <w:r w:rsidRPr="00AD3B9A">
        <w:rPr>
          <w:rFonts w:ascii="Palatino Linotype" w:hAnsi="Palatino Linotype" w:cs="Tahoma"/>
          <w:iCs/>
          <w:sz w:val="22"/>
          <w:szCs w:val="22"/>
        </w:rPr>
        <w:lastRenderedPageBreak/>
        <w:t xml:space="preserve">Ahora bien, por otro lado, tenemos que </w:t>
      </w:r>
      <w:r w:rsidR="00657287" w:rsidRPr="00AD3B9A">
        <w:rPr>
          <w:rFonts w:ascii="Palatino Linotype" w:hAnsi="Palatino Linotype" w:cs="Tahoma"/>
          <w:iCs/>
          <w:sz w:val="22"/>
          <w:szCs w:val="22"/>
        </w:rPr>
        <w:t>en fecha seis de diciembre de dos mil veintiuno, el Sujeto Obligado remitió su informe justificado,</w:t>
      </w:r>
      <w:r w:rsidR="001F1E86" w:rsidRPr="00AD3B9A">
        <w:rPr>
          <w:rFonts w:ascii="Palatino Linotype" w:hAnsi="Palatino Linotype" w:cs="Tahoma"/>
          <w:iCs/>
          <w:sz w:val="22"/>
          <w:szCs w:val="22"/>
        </w:rPr>
        <w:t xml:space="preserve"> </w:t>
      </w:r>
      <w:r w:rsidR="001A0B3D">
        <w:rPr>
          <w:rFonts w:ascii="Palatino Linotype" w:hAnsi="Palatino Linotype" w:cs="Tahoma"/>
          <w:iCs/>
          <w:sz w:val="22"/>
          <w:szCs w:val="22"/>
        </w:rPr>
        <w:t>con la finalidad de dar atención a la solicitud de información</w:t>
      </w:r>
      <w:r w:rsidR="001F1E86" w:rsidRPr="00AD3B9A">
        <w:rPr>
          <w:rFonts w:ascii="Palatino Linotype" w:hAnsi="Palatino Linotype" w:cs="Tahoma"/>
          <w:iCs/>
          <w:sz w:val="22"/>
          <w:szCs w:val="22"/>
        </w:rPr>
        <w:t xml:space="preserve"> </w:t>
      </w:r>
      <w:r w:rsidR="001A0B3D">
        <w:rPr>
          <w:rFonts w:ascii="Palatino Linotype" w:hAnsi="Palatino Linotype" w:cs="Tahoma"/>
          <w:iCs/>
          <w:sz w:val="22"/>
          <w:szCs w:val="22"/>
        </w:rPr>
        <w:t>realizada por el</w:t>
      </w:r>
      <w:r w:rsidR="001F1E86" w:rsidRPr="00AD3B9A">
        <w:rPr>
          <w:rFonts w:ascii="Palatino Linotype" w:hAnsi="Palatino Linotype" w:cs="Tahoma"/>
          <w:iCs/>
          <w:sz w:val="22"/>
          <w:szCs w:val="22"/>
        </w:rPr>
        <w:t xml:space="preserve"> Particular</w:t>
      </w:r>
      <w:r w:rsidR="00C54721" w:rsidRPr="00AD3B9A">
        <w:rPr>
          <w:rFonts w:ascii="Palatino Linotype" w:hAnsi="Palatino Linotype" w:cs="Tahoma"/>
          <w:iCs/>
          <w:sz w:val="22"/>
          <w:szCs w:val="22"/>
        </w:rPr>
        <w:t xml:space="preserve">, </w:t>
      </w:r>
      <w:r w:rsidR="00AD3B9A">
        <w:rPr>
          <w:rFonts w:ascii="Palatino Linotype" w:hAnsi="Palatino Linotype" w:cs="Tahoma"/>
          <w:iCs/>
          <w:sz w:val="22"/>
          <w:szCs w:val="22"/>
        </w:rPr>
        <w:t xml:space="preserve">la cual está relacionada al servicio de alumbrado público; al respecto, </w:t>
      </w:r>
      <w:r w:rsidR="00987E30">
        <w:rPr>
          <w:rFonts w:ascii="Palatino Linotype" w:hAnsi="Palatino Linotype" w:cs="Tahoma"/>
          <w:iCs/>
          <w:sz w:val="22"/>
          <w:szCs w:val="22"/>
        </w:rPr>
        <w:t>el artículo 115, fracción III, inciso b), de la Constitución</w:t>
      </w:r>
      <w:r w:rsidR="00FA49D0">
        <w:rPr>
          <w:rFonts w:ascii="Palatino Linotype" w:hAnsi="Palatino Linotype" w:cs="Tahoma"/>
          <w:iCs/>
          <w:sz w:val="22"/>
          <w:szCs w:val="22"/>
        </w:rPr>
        <w:t xml:space="preserve"> Política de los Estados Unidos Mexicanos, establece que los Municipios tendrán a su cargo, diversas funciones y servicios públicos, entre los que se encuentra el de alumbrado público. </w:t>
      </w:r>
    </w:p>
    <w:p w14:paraId="33B47A4C" w14:textId="77777777" w:rsidR="00FA49D0" w:rsidRDefault="00FA49D0" w:rsidP="004A2A45">
      <w:pPr>
        <w:spacing w:line="360" w:lineRule="auto"/>
        <w:jc w:val="both"/>
        <w:rPr>
          <w:rFonts w:ascii="Palatino Linotype" w:hAnsi="Palatino Linotype" w:cs="Tahoma"/>
          <w:iCs/>
          <w:sz w:val="22"/>
          <w:szCs w:val="22"/>
        </w:rPr>
      </w:pPr>
    </w:p>
    <w:p w14:paraId="789ABDE2" w14:textId="69D0D2C6" w:rsidR="00B60549" w:rsidRDefault="00FA49D0" w:rsidP="004A2A45">
      <w:pPr>
        <w:spacing w:line="360" w:lineRule="auto"/>
        <w:jc w:val="both"/>
        <w:rPr>
          <w:rFonts w:ascii="Palatino Linotype" w:hAnsi="Palatino Linotype" w:cs="Tahoma"/>
          <w:iCs/>
          <w:sz w:val="22"/>
          <w:szCs w:val="22"/>
        </w:rPr>
      </w:pPr>
      <w:r>
        <w:rPr>
          <w:rFonts w:ascii="Palatino Linotype" w:hAnsi="Palatino Linotype" w:cs="Tahoma"/>
          <w:iCs/>
          <w:sz w:val="22"/>
          <w:szCs w:val="22"/>
        </w:rPr>
        <w:t xml:space="preserve">De la misma manera, el segundo párrafo del artículo 122 de la Constitución </w:t>
      </w:r>
      <w:r w:rsidR="00B60549">
        <w:rPr>
          <w:rFonts w:ascii="Palatino Linotype" w:hAnsi="Palatino Linotype" w:cs="Tahoma"/>
          <w:iCs/>
          <w:sz w:val="22"/>
          <w:szCs w:val="22"/>
        </w:rPr>
        <w:t xml:space="preserve">Política del Estado Libre y Soberano de México, establece que los Ayuntamientos de los municipios, tendrán a su cargo las </w:t>
      </w:r>
      <w:r w:rsidR="001A0B3D">
        <w:rPr>
          <w:rFonts w:ascii="Palatino Linotype" w:hAnsi="Palatino Linotype" w:cs="Tahoma"/>
          <w:iCs/>
          <w:sz w:val="22"/>
          <w:szCs w:val="22"/>
        </w:rPr>
        <w:t>funciones</w:t>
      </w:r>
      <w:r w:rsidR="00B60549">
        <w:rPr>
          <w:rFonts w:ascii="Palatino Linotype" w:hAnsi="Palatino Linotype" w:cs="Tahoma"/>
          <w:iCs/>
          <w:sz w:val="22"/>
          <w:szCs w:val="22"/>
        </w:rPr>
        <w:t xml:space="preserve"> y servicios públicos que señale la fracción III, del artículo 115 de la Carta Magna. </w:t>
      </w:r>
    </w:p>
    <w:p w14:paraId="0B32D864" w14:textId="77777777" w:rsidR="001A0B3D" w:rsidRDefault="001A0B3D" w:rsidP="004A2A45">
      <w:pPr>
        <w:spacing w:line="360" w:lineRule="auto"/>
        <w:jc w:val="both"/>
        <w:rPr>
          <w:rFonts w:ascii="Palatino Linotype" w:hAnsi="Palatino Linotype" w:cs="Tahoma"/>
          <w:iCs/>
          <w:sz w:val="22"/>
          <w:szCs w:val="22"/>
        </w:rPr>
      </w:pPr>
    </w:p>
    <w:p w14:paraId="10F0FD02" w14:textId="77777777" w:rsidR="00CC0A2E" w:rsidRDefault="00B60549" w:rsidP="004A2A45">
      <w:pPr>
        <w:spacing w:line="360" w:lineRule="auto"/>
        <w:jc w:val="both"/>
        <w:rPr>
          <w:rFonts w:ascii="Palatino Linotype" w:hAnsi="Palatino Linotype" w:cs="Tahoma"/>
          <w:iCs/>
          <w:sz w:val="22"/>
          <w:szCs w:val="22"/>
        </w:rPr>
      </w:pPr>
      <w:r>
        <w:rPr>
          <w:rFonts w:ascii="Palatino Linotype" w:hAnsi="Palatino Linotype" w:cs="Tahoma"/>
          <w:iCs/>
          <w:sz w:val="22"/>
          <w:szCs w:val="22"/>
        </w:rPr>
        <w:t xml:space="preserve">En ese sentido, los artículos 125, fracción II y 126 de la Ley Orgánica Municipal, establecen que los municipios tendrán a su cargo la prestación, explotación, administración y conservación de los servicios públicos municipales, entre los que se encuentran el de Alumbrado Público; además, </w:t>
      </w:r>
      <w:r w:rsidR="00CC0A2E">
        <w:rPr>
          <w:rFonts w:ascii="Palatino Linotype" w:hAnsi="Palatino Linotype" w:cs="Tahoma"/>
          <w:iCs/>
          <w:sz w:val="22"/>
          <w:szCs w:val="22"/>
        </w:rPr>
        <w:t xml:space="preserve">que dicho servicio deberá realizarse por los ayuntamientos, a través de sus unidades administrativas u organismos auxiliares, quienes podrán coordinarse con el Estado y otros municipios para mejorar la eficacia del mismo; por lo cual, podrá concesionarse a terceros, la prestación de esta. </w:t>
      </w:r>
    </w:p>
    <w:p w14:paraId="5B0EDC0E" w14:textId="77777777" w:rsidR="00CC0A2E" w:rsidRDefault="00CC0A2E" w:rsidP="004A2A45">
      <w:pPr>
        <w:spacing w:line="360" w:lineRule="auto"/>
        <w:jc w:val="both"/>
        <w:rPr>
          <w:rFonts w:ascii="Palatino Linotype" w:hAnsi="Palatino Linotype" w:cs="Tahoma"/>
          <w:iCs/>
          <w:sz w:val="22"/>
          <w:szCs w:val="22"/>
        </w:rPr>
      </w:pPr>
    </w:p>
    <w:p w14:paraId="068924F5" w14:textId="2342D6A4" w:rsidR="00CC0A2E" w:rsidRDefault="00CC0A2E" w:rsidP="004A2A45">
      <w:pPr>
        <w:spacing w:line="360" w:lineRule="auto"/>
        <w:jc w:val="both"/>
        <w:rPr>
          <w:rFonts w:ascii="Palatino Linotype" w:hAnsi="Palatino Linotype" w:cs="Tahoma"/>
          <w:iCs/>
          <w:sz w:val="22"/>
          <w:szCs w:val="22"/>
        </w:rPr>
      </w:pPr>
      <w:r>
        <w:rPr>
          <w:rFonts w:ascii="Palatino Linotype" w:hAnsi="Palatino Linotype" w:cs="Tahoma"/>
          <w:iCs/>
          <w:sz w:val="22"/>
          <w:szCs w:val="22"/>
        </w:rPr>
        <w:t>En ese orden de ideas, el Bando Municipal de Xalatlaco,</w:t>
      </w:r>
      <w:r w:rsidR="005B675E">
        <w:rPr>
          <w:rFonts w:ascii="Palatino Linotype" w:hAnsi="Palatino Linotype" w:cs="Tahoma"/>
          <w:iCs/>
          <w:sz w:val="22"/>
          <w:szCs w:val="22"/>
        </w:rPr>
        <w:t xml:space="preserve"> </w:t>
      </w:r>
      <w:r>
        <w:rPr>
          <w:rFonts w:ascii="Palatino Linotype" w:hAnsi="Palatino Linotype" w:cs="Tahoma"/>
          <w:iCs/>
          <w:sz w:val="22"/>
          <w:szCs w:val="22"/>
        </w:rPr>
        <w:t xml:space="preserve">dos mil veintiuno, establece lo siguiente: </w:t>
      </w:r>
    </w:p>
    <w:p w14:paraId="11C4C731" w14:textId="77777777" w:rsidR="00CC0A2E" w:rsidRDefault="00CC0A2E" w:rsidP="004A2A45">
      <w:pPr>
        <w:spacing w:line="360" w:lineRule="auto"/>
        <w:jc w:val="both"/>
        <w:rPr>
          <w:rFonts w:ascii="Palatino Linotype" w:hAnsi="Palatino Linotype" w:cs="Tahoma"/>
          <w:iCs/>
          <w:sz w:val="22"/>
          <w:szCs w:val="22"/>
        </w:rPr>
      </w:pPr>
    </w:p>
    <w:p w14:paraId="15D9698C" w14:textId="63E85DC5" w:rsidR="004F6EB7" w:rsidRDefault="001A605C" w:rsidP="001A0B3D">
      <w:pPr>
        <w:pStyle w:val="Prrafodelista"/>
        <w:numPr>
          <w:ilvl w:val="0"/>
          <w:numId w:val="33"/>
        </w:numPr>
        <w:spacing w:line="360" w:lineRule="auto"/>
        <w:ind w:right="539"/>
        <w:jc w:val="both"/>
        <w:rPr>
          <w:rFonts w:ascii="Palatino Linotype" w:hAnsi="Palatino Linotype" w:cs="Tahoma"/>
          <w:iCs/>
          <w:szCs w:val="22"/>
        </w:rPr>
      </w:pPr>
      <w:r w:rsidRPr="001A605C">
        <w:rPr>
          <w:rFonts w:ascii="Palatino Linotype" w:hAnsi="Palatino Linotype" w:cs="Tahoma"/>
          <w:b/>
          <w:bCs/>
          <w:iCs/>
          <w:szCs w:val="22"/>
        </w:rPr>
        <w:t>(Artículo 71)</w:t>
      </w:r>
      <w:r>
        <w:rPr>
          <w:rFonts w:ascii="Palatino Linotype" w:hAnsi="Palatino Linotype" w:cs="Tahoma"/>
          <w:iCs/>
          <w:szCs w:val="22"/>
        </w:rPr>
        <w:t xml:space="preserve">: </w:t>
      </w:r>
      <w:r w:rsidRPr="001A605C">
        <w:rPr>
          <w:rFonts w:ascii="Palatino Linotype" w:hAnsi="Palatino Linotype" w:cs="Tahoma"/>
          <w:iCs/>
          <w:szCs w:val="22"/>
        </w:rPr>
        <w:t>Los servicios públicos municipales se prestarán con la mayor cobertura y calidad posibles, considerando las condiciones territoriales y socioeconómicas del Municipio, así como la capacidad administrativa y financiera del Ayuntamiento</w:t>
      </w:r>
      <w:r>
        <w:rPr>
          <w:rFonts w:ascii="Palatino Linotype" w:hAnsi="Palatino Linotype" w:cs="Tahoma"/>
          <w:iCs/>
          <w:szCs w:val="22"/>
        </w:rPr>
        <w:t>.</w:t>
      </w:r>
    </w:p>
    <w:p w14:paraId="5C244172" w14:textId="0804F296" w:rsidR="00D818BE" w:rsidRPr="00D818BE" w:rsidRDefault="00D818BE" w:rsidP="001A0B3D">
      <w:pPr>
        <w:pStyle w:val="Prrafodelista"/>
        <w:numPr>
          <w:ilvl w:val="0"/>
          <w:numId w:val="33"/>
        </w:numPr>
        <w:spacing w:line="360" w:lineRule="auto"/>
        <w:ind w:right="539"/>
        <w:jc w:val="both"/>
        <w:rPr>
          <w:rFonts w:ascii="Palatino Linotype" w:eastAsia="Calibri" w:hAnsi="Palatino Linotype" w:cs="Tahoma"/>
          <w:b/>
        </w:rPr>
      </w:pPr>
      <w:r w:rsidRPr="00D818BE">
        <w:rPr>
          <w:rFonts w:ascii="Palatino Linotype" w:eastAsia="Calibri" w:hAnsi="Palatino Linotype" w:cs="Tahoma"/>
          <w:b/>
        </w:rPr>
        <w:lastRenderedPageBreak/>
        <w:t xml:space="preserve">(Artículo </w:t>
      </w:r>
      <w:r>
        <w:rPr>
          <w:rFonts w:ascii="Palatino Linotype" w:eastAsia="Calibri" w:hAnsi="Palatino Linotype" w:cs="Tahoma"/>
          <w:b/>
        </w:rPr>
        <w:t xml:space="preserve">73 </w:t>
      </w:r>
      <w:r w:rsidRPr="00D818BE">
        <w:rPr>
          <w:rFonts w:ascii="Palatino Linotype" w:eastAsia="Calibri" w:hAnsi="Palatino Linotype" w:cs="Tahoma"/>
          <w:b/>
        </w:rPr>
        <w:t xml:space="preserve">y </w:t>
      </w:r>
      <w:r>
        <w:rPr>
          <w:rFonts w:ascii="Palatino Linotype" w:eastAsia="Calibri" w:hAnsi="Palatino Linotype" w:cs="Tahoma"/>
          <w:b/>
        </w:rPr>
        <w:t>74</w:t>
      </w:r>
      <w:r w:rsidRPr="00D818BE">
        <w:rPr>
          <w:rFonts w:ascii="Palatino Linotype" w:eastAsia="Calibri" w:hAnsi="Palatino Linotype" w:cs="Tahoma"/>
          <w:b/>
        </w:rPr>
        <w:t xml:space="preserve">, fracción II): </w:t>
      </w:r>
      <w:r w:rsidRPr="00D818BE">
        <w:rPr>
          <w:rFonts w:ascii="Palatino Linotype" w:eastAsia="Calibri" w:hAnsi="Palatino Linotype" w:cs="Tahoma"/>
          <w:bCs/>
        </w:rPr>
        <w:t>El Ayuntamiento, a través de la Dirección de Servicios Públicos tendrá a su cargo la planeación, implementación, administración y modificación de los servicios públicos municipales, entre los cuales se encuentra el de alumbrado público;</w:t>
      </w:r>
    </w:p>
    <w:p w14:paraId="64623644" w14:textId="488E3D57" w:rsidR="000C61E3" w:rsidRDefault="00CB6F18" w:rsidP="001A0B3D">
      <w:pPr>
        <w:pStyle w:val="Prrafodelista"/>
        <w:numPr>
          <w:ilvl w:val="0"/>
          <w:numId w:val="33"/>
        </w:numPr>
        <w:spacing w:line="360" w:lineRule="auto"/>
        <w:ind w:right="539"/>
        <w:jc w:val="both"/>
        <w:rPr>
          <w:rFonts w:ascii="Palatino Linotype" w:hAnsi="Palatino Linotype" w:cs="Tahoma"/>
          <w:iCs/>
          <w:szCs w:val="22"/>
        </w:rPr>
      </w:pPr>
      <w:r w:rsidRPr="00CB6F18">
        <w:rPr>
          <w:rFonts w:ascii="Palatino Linotype" w:hAnsi="Palatino Linotype" w:cs="Tahoma"/>
          <w:b/>
          <w:bCs/>
          <w:iCs/>
          <w:szCs w:val="22"/>
        </w:rPr>
        <w:t>(Artículo 77):</w:t>
      </w:r>
      <w:r w:rsidRPr="00CB6F18">
        <w:rPr>
          <w:rFonts w:ascii="Palatino Linotype" w:hAnsi="Palatino Linotype" w:cs="Tahoma"/>
          <w:iCs/>
          <w:szCs w:val="22"/>
        </w:rPr>
        <w:t xml:space="preserve"> Los servicios públicos se prestarán a la población municipal de acuerdo con los planes y programas que establezca el Ayuntamiento para tal fin, siempre en forma continua, regular, general y uniforme.</w:t>
      </w:r>
    </w:p>
    <w:p w14:paraId="78AE5CF9" w14:textId="3F948E3C" w:rsidR="004F6EB7" w:rsidRDefault="000E3C4D" w:rsidP="001A0B3D">
      <w:pPr>
        <w:pStyle w:val="Prrafodelista"/>
        <w:numPr>
          <w:ilvl w:val="0"/>
          <w:numId w:val="33"/>
        </w:numPr>
        <w:spacing w:line="360" w:lineRule="auto"/>
        <w:ind w:right="539"/>
        <w:jc w:val="both"/>
        <w:rPr>
          <w:rFonts w:ascii="Palatino Linotype" w:hAnsi="Palatino Linotype" w:cs="Tahoma"/>
          <w:iCs/>
          <w:szCs w:val="22"/>
        </w:rPr>
      </w:pPr>
      <w:r w:rsidRPr="000E3C4D">
        <w:rPr>
          <w:rFonts w:ascii="Palatino Linotype" w:hAnsi="Palatino Linotype" w:cs="Tahoma"/>
          <w:b/>
          <w:bCs/>
          <w:iCs/>
          <w:szCs w:val="22"/>
        </w:rPr>
        <w:t>(Artículo 78):</w:t>
      </w:r>
      <w:r w:rsidRPr="000E3C4D">
        <w:rPr>
          <w:rFonts w:ascii="Palatino Linotype" w:hAnsi="Palatino Linotype" w:cs="Tahoma"/>
          <w:iCs/>
          <w:szCs w:val="22"/>
        </w:rPr>
        <w:t xml:space="preserve"> Corresponde al Ayuntamiento la reglamentación de todo lo concerniente a la organización, administración, funcionamiento, conservación y explotación de los servicios públicos a su cargo.</w:t>
      </w:r>
    </w:p>
    <w:p w14:paraId="41217AD3" w14:textId="7EEE3A53" w:rsidR="000E3C4D" w:rsidRDefault="001C5A10" w:rsidP="001A0B3D">
      <w:pPr>
        <w:pStyle w:val="Prrafodelista"/>
        <w:numPr>
          <w:ilvl w:val="0"/>
          <w:numId w:val="33"/>
        </w:numPr>
        <w:spacing w:line="360" w:lineRule="auto"/>
        <w:ind w:right="539"/>
        <w:jc w:val="both"/>
        <w:rPr>
          <w:rFonts w:ascii="Palatino Linotype" w:hAnsi="Palatino Linotype" w:cs="Tahoma"/>
          <w:iCs/>
          <w:szCs w:val="22"/>
        </w:rPr>
      </w:pPr>
      <w:r w:rsidRPr="001C5A10">
        <w:rPr>
          <w:rFonts w:ascii="Palatino Linotype" w:hAnsi="Palatino Linotype" w:cs="Tahoma"/>
          <w:b/>
          <w:bCs/>
          <w:iCs/>
          <w:szCs w:val="22"/>
        </w:rPr>
        <w:t>(Artículo 86):</w:t>
      </w:r>
      <w:r w:rsidRPr="001C5A10">
        <w:rPr>
          <w:rFonts w:ascii="Palatino Linotype" w:hAnsi="Palatino Linotype" w:cs="Tahoma"/>
          <w:iCs/>
          <w:szCs w:val="22"/>
        </w:rPr>
        <w:t xml:space="preserve"> El Ayuntamiento con base en su potestad de derecho público, podrá requerir a la Comisión Federal de Electricidad la reubicación de postes y transformadores de baja y alta tensión que invadan la vía pública, que afecten la imagen urbana o pongan en peligro la seguridad de particulares del municipio.</w:t>
      </w:r>
    </w:p>
    <w:p w14:paraId="14406DAD" w14:textId="41AC6778" w:rsidR="001C5A10" w:rsidRPr="000E3C4D" w:rsidRDefault="008E7303" w:rsidP="001A0B3D">
      <w:pPr>
        <w:pStyle w:val="Prrafodelista"/>
        <w:numPr>
          <w:ilvl w:val="0"/>
          <w:numId w:val="33"/>
        </w:numPr>
        <w:spacing w:line="360" w:lineRule="auto"/>
        <w:ind w:right="539"/>
        <w:jc w:val="both"/>
        <w:rPr>
          <w:rFonts w:ascii="Palatino Linotype" w:hAnsi="Palatino Linotype" w:cs="Tahoma"/>
          <w:iCs/>
          <w:szCs w:val="22"/>
        </w:rPr>
      </w:pPr>
      <w:r w:rsidRPr="008E7303">
        <w:rPr>
          <w:rFonts w:ascii="Palatino Linotype" w:hAnsi="Palatino Linotype" w:cs="Tahoma"/>
          <w:b/>
          <w:bCs/>
          <w:iCs/>
          <w:szCs w:val="22"/>
        </w:rPr>
        <w:t>(</w:t>
      </w:r>
      <w:r w:rsidR="001C5A10" w:rsidRPr="008E7303">
        <w:rPr>
          <w:rFonts w:ascii="Palatino Linotype" w:hAnsi="Palatino Linotype" w:cs="Tahoma"/>
          <w:b/>
          <w:bCs/>
          <w:iCs/>
          <w:szCs w:val="22"/>
        </w:rPr>
        <w:t>Artículo 87</w:t>
      </w:r>
      <w:r w:rsidRPr="008E7303">
        <w:rPr>
          <w:rFonts w:ascii="Palatino Linotype" w:hAnsi="Palatino Linotype" w:cs="Tahoma"/>
          <w:b/>
          <w:bCs/>
          <w:iCs/>
          <w:szCs w:val="22"/>
        </w:rPr>
        <w:t>):</w:t>
      </w:r>
      <w:r w:rsidR="001C5A10" w:rsidRPr="008E7303">
        <w:rPr>
          <w:rFonts w:ascii="Palatino Linotype" w:hAnsi="Palatino Linotype" w:cs="Tahoma"/>
          <w:b/>
          <w:bCs/>
          <w:iCs/>
          <w:szCs w:val="22"/>
        </w:rPr>
        <w:t xml:space="preserve"> </w:t>
      </w:r>
      <w:r w:rsidR="001C5A10" w:rsidRPr="001C5A10">
        <w:rPr>
          <w:rFonts w:ascii="Palatino Linotype" w:hAnsi="Palatino Linotype" w:cs="Tahoma"/>
          <w:iCs/>
          <w:szCs w:val="22"/>
        </w:rPr>
        <w:t>El Ayuntamiento realizará los trámites ante la Comisión Federal de Electricidad para que ésta realice los estudios de factibilidad y desarrollo de los trabajos de ampliación de la red eléctrica en la Cabecera Municipal y las comunidades que lo requieran. En su caso, las aportaciones económicas para sufragar los costos serán acordadas con los vecinos y el Ayuntamiento</w:t>
      </w:r>
      <w:r w:rsidR="003F0EE7">
        <w:rPr>
          <w:rFonts w:ascii="Palatino Linotype" w:hAnsi="Palatino Linotype" w:cs="Tahoma"/>
          <w:iCs/>
          <w:szCs w:val="22"/>
        </w:rPr>
        <w:t>.</w:t>
      </w:r>
    </w:p>
    <w:p w14:paraId="57091D1D" w14:textId="69AB5F40" w:rsidR="00462751" w:rsidRDefault="00462751" w:rsidP="004A2A45">
      <w:pPr>
        <w:spacing w:line="360" w:lineRule="auto"/>
        <w:jc w:val="both"/>
        <w:rPr>
          <w:rFonts w:ascii="Palatino Linotype" w:hAnsi="Palatino Linotype" w:cs="Tahoma"/>
          <w:iCs/>
          <w:sz w:val="22"/>
          <w:szCs w:val="22"/>
        </w:rPr>
      </w:pPr>
    </w:p>
    <w:p w14:paraId="6E71FF8D" w14:textId="703BF626" w:rsidR="00FF6016" w:rsidRDefault="00FF6016" w:rsidP="004A2A45">
      <w:pPr>
        <w:spacing w:line="360" w:lineRule="auto"/>
        <w:jc w:val="both"/>
        <w:rPr>
          <w:rFonts w:ascii="Palatino Linotype" w:hAnsi="Palatino Linotype" w:cs="Tahoma"/>
          <w:iCs/>
          <w:sz w:val="22"/>
          <w:szCs w:val="22"/>
        </w:rPr>
      </w:pPr>
      <w:r>
        <w:rPr>
          <w:rFonts w:ascii="Palatino Linotype" w:hAnsi="Palatino Linotype" w:cs="Tahoma"/>
          <w:iCs/>
          <w:sz w:val="22"/>
          <w:szCs w:val="22"/>
        </w:rPr>
        <w:t xml:space="preserve">Conforme a la normatividad analizada, se logra observar que el Ayuntamiento de Xalatlaco resulta competente </w:t>
      </w:r>
      <w:r w:rsidR="0063736C">
        <w:rPr>
          <w:rFonts w:ascii="Palatino Linotype" w:hAnsi="Palatino Linotype" w:cs="Tahoma"/>
          <w:iCs/>
          <w:sz w:val="22"/>
          <w:szCs w:val="22"/>
        </w:rPr>
        <w:t xml:space="preserve">para pronunciarse sobre la información requerida, en virtud de ser el encargado de ver todas las cuestiones relacionadas con el servicio público </w:t>
      </w:r>
      <w:r w:rsidR="00E2632C">
        <w:rPr>
          <w:rFonts w:ascii="Palatino Linotype" w:hAnsi="Palatino Linotype" w:cs="Tahoma"/>
          <w:iCs/>
          <w:sz w:val="22"/>
          <w:szCs w:val="22"/>
        </w:rPr>
        <w:t xml:space="preserve">de alumbrado público, dentro de la circunscripción territorial de dicho Municipio. </w:t>
      </w:r>
    </w:p>
    <w:p w14:paraId="475EFCAD" w14:textId="22104FD7" w:rsidR="00150C6D" w:rsidRDefault="00150C6D" w:rsidP="004A2A45">
      <w:pPr>
        <w:spacing w:line="360" w:lineRule="auto"/>
        <w:jc w:val="both"/>
        <w:rPr>
          <w:rFonts w:ascii="Palatino Linotype" w:hAnsi="Palatino Linotype" w:cs="Tahoma"/>
          <w:iCs/>
          <w:sz w:val="22"/>
          <w:szCs w:val="22"/>
        </w:rPr>
      </w:pPr>
    </w:p>
    <w:p w14:paraId="66D3C086" w14:textId="24444DE5" w:rsidR="00150C6D" w:rsidRDefault="005840C3" w:rsidP="004A2A45">
      <w:pPr>
        <w:spacing w:line="360" w:lineRule="auto"/>
        <w:jc w:val="both"/>
        <w:rPr>
          <w:rFonts w:ascii="Palatino Linotype" w:hAnsi="Palatino Linotype" w:cs="Tahoma"/>
          <w:iCs/>
          <w:sz w:val="22"/>
          <w:szCs w:val="22"/>
        </w:rPr>
      </w:pPr>
      <w:r>
        <w:rPr>
          <w:rFonts w:ascii="Palatino Linotype" w:hAnsi="Palatino Linotype" w:cs="Tahoma"/>
          <w:iCs/>
          <w:sz w:val="22"/>
          <w:szCs w:val="22"/>
        </w:rPr>
        <w:lastRenderedPageBreak/>
        <w:t>Del mismo modo, es necesario citar la Ley Orgánica Municipal del Estado de México, que prevé que los Municipios cuentan con diversas áreas administrativas, entre las que se encuentra</w:t>
      </w:r>
      <w:r w:rsidR="00EE31F7">
        <w:rPr>
          <w:rFonts w:ascii="Palatino Linotype" w:hAnsi="Palatino Linotype" w:cs="Tahoma"/>
          <w:iCs/>
          <w:sz w:val="22"/>
          <w:szCs w:val="22"/>
        </w:rPr>
        <w:t>n:</w:t>
      </w:r>
    </w:p>
    <w:p w14:paraId="7494663F" w14:textId="7C237CB0" w:rsidR="005840C3" w:rsidRDefault="005840C3" w:rsidP="004A2A45">
      <w:pPr>
        <w:spacing w:line="360" w:lineRule="auto"/>
        <w:jc w:val="both"/>
        <w:rPr>
          <w:rFonts w:ascii="Palatino Linotype" w:hAnsi="Palatino Linotype" w:cs="Tahoma"/>
          <w:iCs/>
          <w:sz w:val="22"/>
          <w:szCs w:val="22"/>
        </w:rPr>
      </w:pPr>
    </w:p>
    <w:p w14:paraId="07E19A2E" w14:textId="47B66C91" w:rsidR="00301A50" w:rsidRDefault="005840C3" w:rsidP="00170EBD">
      <w:pPr>
        <w:numPr>
          <w:ilvl w:val="0"/>
          <w:numId w:val="45"/>
        </w:numPr>
        <w:spacing w:line="360" w:lineRule="auto"/>
        <w:ind w:right="539"/>
        <w:jc w:val="both"/>
        <w:rPr>
          <w:rFonts w:ascii="Palatino Linotype" w:hAnsi="Palatino Linotype" w:cs="Tahoma"/>
          <w:bCs/>
          <w:iCs/>
          <w:sz w:val="22"/>
          <w:szCs w:val="22"/>
        </w:rPr>
      </w:pPr>
      <w:r w:rsidRPr="005840C3">
        <w:rPr>
          <w:rFonts w:ascii="Palatino Linotype" w:hAnsi="Palatino Linotype" w:cs="Tahoma"/>
          <w:b/>
          <w:iCs/>
          <w:sz w:val="22"/>
          <w:szCs w:val="22"/>
        </w:rPr>
        <w:t>Presidencia Municipal (Artículo 48):</w:t>
      </w:r>
      <w:r w:rsidRPr="005840C3">
        <w:rPr>
          <w:rFonts w:ascii="Palatino Linotype" w:hAnsi="Palatino Linotype" w:cs="Tahoma"/>
          <w:bCs/>
          <w:iCs/>
          <w:sz w:val="22"/>
          <w:szCs w:val="22"/>
        </w:rPr>
        <w:t xml:space="preserve"> Encargada de contratar y concertar en representación del Ayuntamiento y previo acuerdo de este, la realización de obras y prestación de servicios públicos, por terceros; supervisar la administración, registro, control, uso, mantenimiento y conservación adecuados de los bienes del Municipio.</w:t>
      </w:r>
    </w:p>
    <w:p w14:paraId="3C6FD1B7" w14:textId="77777777" w:rsidR="00856A38" w:rsidRDefault="00856A38" w:rsidP="00856A38">
      <w:pPr>
        <w:spacing w:line="360" w:lineRule="auto"/>
        <w:ind w:left="720" w:right="539"/>
        <w:jc w:val="both"/>
        <w:rPr>
          <w:rFonts w:ascii="Palatino Linotype" w:hAnsi="Palatino Linotype" w:cs="Tahoma"/>
          <w:bCs/>
          <w:iCs/>
          <w:sz w:val="22"/>
          <w:szCs w:val="22"/>
        </w:rPr>
      </w:pPr>
    </w:p>
    <w:p w14:paraId="00AFACEE" w14:textId="28CD278F" w:rsidR="00301A50" w:rsidRDefault="00856A38" w:rsidP="00856A38">
      <w:pPr>
        <w:pStyle w:val="Prrafodelista"/>
        <w:numPr>
          <w:ilvl w:val="0"/>
          <w:numId w:val="45"/>
        </w:numPr>
        <w:tabs>
          <w:tab w:val="left" w:pos="4962"/>
        </w:tabs>
        <w:spacing w:line="360" w:lineRule="auto"/>
        <w:ind w:right="539"/>
        <w:jc w:val="both"/>
        <w:rPr>
          <w:rFonts w:ascii="Palatino Linotype" w:eastAsia="Calibri" w:hAnsi="Palatino Linotype" w:cs="Tahoma"/>
          <w:bCs/>
        </w:rPr>
      </w:pPr>
      <w:r w:rsidRPr="00856A38">
        <w:rPr>
          <w:rFonts w:ascii="Palatino Linotype" w:eastAsia="Calibri" w:hAnsi="Palatino Linotype" w:cs="Tahoma"/>
          <w:b/>
        </w:rPr>
        <w:t>Secretaría del Ayuntamiento (Artículo 91):</w:t>
      </w:r>
      <w:r w:rsidRPr="00856A38">
        <w:rPr>
          <w:rFonts w:ascii="Palatino Linotype" w:eastAsia="Calibri" w:hAnsi="Palatino Linotype" w:cs="Tahoma"/>
          <w:bCs/>
        </w:rPr>
        <w:t xml:space="preserve"> Se encarga de asistir a las sesiones del Ayuntamiento y levantar las actas correspondientes; de llevar y conservar los libros de actas de cabildo, con las firmas de los asistentes; publicar los reglamentos, circulares y demás disposiciones municipales de observancia general; elabora el inventario de los bienes muebles e inmuebles municipales, así como, la integración del sistema de información inmobiliaria.</w:t>
      </w:r>
    </w:p>
    <w:p w14:paraId="617356C3" w14:textId="77777777" w:rsidR="00856A38" w:rsidRPr="00856A38" w:rsidRDefault="00856A38" w:rsidP="00856A38">
      <w:pPr>
        <w:tabs>
          <w:tab w:val="left" w:pos="4962"/>
        </w:tabs>
        <w:spacing w:line="360" w:lineRule="auto"/>
        <w:ind w:right="539"/>
        <w:jc w:val="both"/>
        <w:rPr>
          <w:rFonts w:ascii="Palatino Linotype" w:eastAsia="Calibri" w:hAnsi="Palatino Linotype" w:cs="Tahoma"/>
          <w:bCs/>
        </w:rPr>
      </w:pPr>
    </w:p>
    <w:p w14:paraId="5E97B738" w14:textId="74E49832" w:rsidR="005840C3" w:rsidRPr="00301A50" w:rsidRDefault="005840C3" w:rsidP="00170EBD">
      <w:pPr>
        <w:numPr>
          <w:ilvl w:val="0"/>
          <w:numId w:val="45"/>
        </w:numPr>
        <w:spacing w:line="360" w:lineRule="auto"/>
        <w:ind w:right="539"/>
        <w:jc w:val="both"/>
        <w:rPr>
          <w:rFonts w:ascii="Palatino Linotype" w:hAnsi="Palatino Linotype" w:cs="Tahoma"/>
          <w:bCs/>
          <w:iCs/>
          <w:sz w:val="22"/>
          <w:szCs w:val="22"/>
        </w:rPr>
      </w:pPr>
      <w:r w:rsidRPr="00301A50">
        <w:rPr>
          <w:rFonts w:ascii="Palatino Linotype" w:hAnsi="Palatino Linotype" w:cs="Tahoma"/>
          <w:b/>
          <w:iCs/>
          <w:sz w:val="22"/>
          <w:szCs w:val="22"/>
        </w:rPr>
        <w:t>Tesorería Municipal (Artículo 95):</w:t>
      </w:r>
      <w:r w:rsidRPr="00301A50">
        <w:rPr>
          <w:rFonts w:ascii="Palatino Linotype" w:hAnsi="Palatino Linotype" w:cs="Tahoma"/>
          <w:bCs/>
          <w:iCs/>
          <w:sz w:val="22"/>
          <w:szCs w:val="22"/>
        </w:rPr>
        <w:t xml:space="preserve"> Administra la hacienda pública; determina, liquida, recauda, fiscaliza y administra las contribuciones; lleva los registros contables, financieros y administrativos de los ingresos, egresos e inventarios; proporciona oportunamente al ayuntamiento todos los datos o informes que sean necesarios para la formulación del Presupuesto de Egresos Municipales; proporcionar la información financiera relativa a la solución y propone la política de ingresos de la tesorería municipal e interviene en la elaboración del programa financiero municipal.</w:t>
      </w:r>
    </w:p>
    <w:p w14:paraId="0CD60919" w14:textId="7E3340EF" w:rsidR="005840C3" w:rsidRDefault="005840C3" w:rsidP="005840C3">
      <w:pPr>
        <w:spacing w:line="360" w:lineRule="auto"/>
        <w:jc w:val="both"/>
        <w:rPr>
          <w:rFonts w:ascii="Palatino Linotype" w:hAnsi="Palatino Linotype" w:cs="Tahoma"/>
          <w:bCs/>
          <w:iCs/>
          <w:sz w:val="22"/>
          <w:szCs w:val="22"/>
        </w:rPr>
      </w:pPr>
    </w:p>
    <w:p w14:paraId="78736B3D" w14:textId="1806F69B" w:rsidR="005840C3" w:rsidRDefault="005840C3" w:rsidP="004A2A45">
      <w:pPr>
        <w:spacing w:line="360" w:lineRule="auto"/>
        <w:jc w:val="both"/>
        <w:rPr>
          <w:rFonts w:ascii="Palatino Linotype" w:hAnsi="Palatino Linotype" w:cs="Tahoma"/>
          <w:bCs/>
          <w:iCs/>
          <w:sz w:val="22"/>
          <w:szCs w:val="22"/>
        </w:rPr>
      </w:pPr>
      <w:r>
        <w:rPr>
          <w:rFonts w:ascii="Palatino Linotype" w:hAnsi="Palatino Linotype" w:cs="Tahoma"/>
          <w:bCs/>
          <w:iCs/>
          <w:sz w:val="22"/>
          <w:szCs w:val="22"/>
        </w:rPr>
        <w:lastRenderedPageBreak/>
        <w:t xml:space="preserve">Además, el Reglamento Interior de la Administración Pública Municipal de Xalatlaco </w:t>
      </w:r>
      <w:r w:rsidR="000E1D07">
        <w:rPr>
          <w:rFonts w:ascii="Palatino Linotype" w:hAnsi="Palatino Linotype" w:cs="Tahoma"/>
          <w:bCs/>
          <w:iCs/>
          <w:sz w:val="22"/>
          <w:szCs w:val="22"/>
        </w:rPr>
        <w:t>2021, establece</w:t>
      </w:r>
      <w:r w:rsidR="00C8726A">
        <w:rPr>
          <w:rFonts w:ascii="Palatino Linotype" w:hAnsi="Palatino Linotype" w:cs="Tahoma"/>
          <w:bCs/>
          <w:iCs/>
          <w:sz w:val="22"/>
          <w:szCs w:val="22"/>
        </w:rPr>
        <w:t xml:space="preserve"> lo siguiente:</w:t>
      </w:r>
    </w:p>
    <w:p w14:paraId="522F0A7A" w14:textId="71B1C98D" w:rsidR="00107964" w:rsidRDefault="00107964" w:rsidP="004A2A45">
      <w:pPr>
        <w:spacing w:line="360" w:lineRule="auto"/>
        <w:jc w:val="both"/>
        <w:rPr>
          <w:rFonts w:ascii="Palatino Linotype" w:hAnsi="Palatino Linotype" w:cs="Tahoma"/>
          <w:bCs/>
          <w:iCs/>
          <w:sz w:val="22"/>
          <w:szCs w:val="22"/>
        </w:rPr>
      </w:pPr>
    </w:p>
    <w:p w14:paraId="18C67B07" w14:textId="77777777" w:rsidR="00107964" w:rsidRPr="00107964" w:rsidRDefault="00107964" w:rsidP="00107964">
      <w:pPr>
        <w:numPr>
          <w:ilvl w:val="0"/>
          <w:numId w:val="46"/>
        </w:numPr>
        <w:spacing w:line="360" w:lineRule="auto"/>
        <w:ind w:left="709" w:right="539"/>
        <w:jc w:val="both"/>
        <w:rPr>
          <w:rFonts w:ascii="Palatino Linotype" w:hAnsi="Palatino Linotype" w:cs="Tahoma"/>
          <w:b/>
          <w:bCs/>
          <w:iCs/>
          <w:sz w:val="22"/>
          <w:szCs w:val="22"/>
        </w:rPr>
      </w:pPr>
      <w:r w:rsidRPr="00107964">
        <w:rPr>
          <w:rFonts w:ascii="Palatino Linotype" w:hAnsi="Palatino Linotype" w:cs="Tahoma"/>
          <w:b/>
          <w:bCs/>
          <w:iCs/>
          <w:sz w:val="22"/>
          <w:szCs w:val="22"/>
        </w:rPr>
        <w:t xml:space="preserve">Dirección de Servicios Públicos (Artículo 103): </w:t>
      </w:r>
      <w:r w:rsidRPr="00107964">
        <w:rPr>
          <w:rFonts w:ascii="Palatino Linotype" w:hAnsi="Palatino Linotype" w:cs="Tahoma"/>
          <w:bCs/>
          <w:iCs/>
          <w:sz w:val="22"/>
          <w:szCs w:val="22"/>
        </w:rPr>
        <w:t>Que programa, organiza, supervisa, controla y evalúa el desarrollo de los servicios públicos; administra los recursos humanos, materiales, tecnológicos y financieros; apoya y atiende las diferentes peticiones de la comunidad y de las áreas del municipio; instrumenta lo necesario para el mantenimiento óptimo de los vehículos operativos, maquinaria pesada, herramienta y equipo menor, para mejorar el funcionamiento de los servicios públicos.</w:t>
      </w:r>
    </w:p>
    <w:p w14:paraId="6900C909" w14:textId="5E2D5315" w:rsidR="00107964" w:rsidRDefault="00107964" w:rsidP="00107964">
      <w:pPr>
        <w:spacing w:line="360" w:lineRule="auto"/>
        <w:ind w:right="539"/>
        <w:jc w:val="both"/>
        <w:rPr>
          <w:rFonts w:ascii="Palatino Linotype" w:hAnsi="Palatino Linotype" w:cs="Tahoma"/>
          <w:bCs/>
          <w:iCs/>
          <w:sz w:val="22"/>
          <w:szCs w:val="22"/>
        </w:rPr>
      </w:pPr>
    </w:p>
    <w:p w14:paraId="0BD92D4A" w14:textId="6921B923" w:rsidR="00107964" w:rsidRDefault="00107964" w:rsidP="00107964">
      <w:pPr>
        <w:tabs>
          <w:tab w:val="left" w:pos="8080"/>
        </w:tabs>
        <w:spacing w:line="360" w:lineRule="auto"/>
        <w:ind w:right="-28"/>
        <w:jc w:val="both"/>
        <w:rPr>
          <w:rFonts w:ascii="Palatino Linotype" w:hAnsi="Palatino Linotype" w:cs="Tahoma"/>
          <w:bCs/>
          <w:iCs/>
          <w:sz w:val="22"/>
          <w:szCs w:val="22"/>
        </w:rPr>
      </w:pPr>
      <w:r>
        <w:rPr>
          <w:rFonts w:ascii="Palatino Linotype" w:hAnsi="Palatino Linotype" w:cs="Tahoma"/>
          <w:bCs/>
          <w:iCs/>
          <w:sz w:val="22"/>
          <w:szCs w:val="22"/>
        </w:rPr>
        <w:t xml:space="preserve">Conforme a lo anterior, se colige que el Ente Recurrido cuenta con áreas específicas para conocer de la solicitud de información; por lo que, se advierte que, al rendir su informe justificado, no cumplió </w:t>
      </w:r>
      <w:r w:rsidR="00E8606D">
        <w:rPr>
          <w:rFonts w:ascii="Palatino Linotype" w:hAnsi="Palatino Linotype" w:cs="Tahoma"/>
          <w:bCs/>
          <w:iCs/>
          <w:sz w:val="22"/>
          <w:szCs w:val="22"/>
        </w:rPr>
        <w:t xml:space="preserve">cabalmente </w:t>
      </w:r>
      <w:r>
        <w:rPr>
          <w:rFonts w:ascii="Palatino Linotype" w:hAnsi="Palatino Linotype" w:cs="Tahoma"/>
          <w:bCs/>
          <w:iCs/>
          <w:sz w:val="22"/>
          <w:szCs w:val="22"/>
        </w:rPr>
        <w:t xml:space="preserve">con lo establecido en el artículo 162 de la Ley de Transparencia y Acceso a la Información Pública del Estado de México y Municipios, al no gestionar la solicitud de información en todas las unidades administrativas competentes como; la Dirección de Servicios Públicos. </w:t>
      </w:r>
    </w:p>
    <w:p w14:paraId="0587D21C" w14:textId="46942CBA" w:rsidR="00107964" w:rsidRDefault="00107964" w:rsidP="00107964">
      <w:pPr>
        <w:tabs>
          <w:tab w:val="left" w:pos="8080"/>
        </w:tabs>
        <w:spacing w:line="360" w:lineRule="auto"/>
        <w:ind w:right="-28"/>
        <w:jc w:val="both"/>
        <w:rPr>
          <w:rFonts w:ascii="Palatino Linotype" w:hAnsi="Palatino Linotype" w:cs="Tahoma"/>
          <w:bCs/>
          <w:iCs/>
          <w:sz w:val="22"/>
          <w:szCs w:val="22"/>
        </w:rPr>
      </w:pPr>
    </w:p>
    <w:p w14:paraId="3D84AA05" w14:textId="432520C8" w:rsidR="00107964" w:rsidRDefault="00107964" w:rsidP="00107964">
      <w:pPr>
        <w:tabs>
          <w:tab w:val="left" w:pos="8080"/>
        </w:tabs>
        <w:spacing w:line="360" w:lineRule="auto"/>
        <w:ind w:right="-28"/>
        <w:jc w:val="both"/>
        <w:rPr>
          <w:rFonts w:ascii="Palatino Linotype" w:hAnsi="Palatino Linotype" w:cs="Tahoma"/>
          <w:bCs/>
          <w:iCs/>
          <w:sz w:val="22"/>
          <w:szCs w:val="22"/>
        </w:rPr>
      </w:pPr>
      <w:r>
        <w:rPr>
          <w:rFonts w:ascii="Palatino Linotype" w:hAnsi="Palatino Linotype" w:cs="Tahoma"/>
          <w:bCs/>
          <w:iCs/>
          <w:sz w:val="22"/>
          <w:szCs w:val="22"/>
        </w:rPr>
        <w:t xml:space="preserve">Una vez establecido lo anterior, con la finalidad de resolver adecuadamente el Recurso de Revisión que nos ocupa, se elaborará un análisis por cada uno de los puntos requeridos, con el fin de determinar si resulta procedente la entrega de la información. </w:t>
      </w:r>
    </w:p>
    <w:p w14:paraId="79DAA70E" w14:textId="5447B2D4" w:rsidR="0056157A" w:rsidRDefault="0056157A" w:rsidP="004A2A45">
      <w:pPr>
        <w:spacing w:line="360" w:lineRule="auto"/>
        <w:jc w:val="both"/>
        <w:rPr>
          <w:rFonts w:ascii="Palatino Linotype" w:hAnsi="Palatino Linotype" w:cs="Tahoma"/>
          <w:iCs/>
          <w:sz w:val="22"/>
          <w:szCs w:val="22"/>
        </w:rPr>
      </w:pPr>
    </w:p>
    <w:p w14:paraId="5DA45AD6" w14:textId="3882E621" w:rsidR="0056157A" w:rsidRDefault="0056157A" w:rsidP="0056157A">
      <w:pPr>
        <w:pStyle w:val="Prrafodelista"/>
        <w:numPr>
          <w:ilvl w:val="0"/>
          <w:numId w:val="35"/>
        </w:numPr>
        <w:spacing w:line="360" w:lineRule="auto"/>
        <w:jc w:val="both"/>
        <w:rPr>
          <w:rFonts w:ascii="Palatino Linotype" w:hAnsi="Palatino Linotype" w:cs="Tahoma"/>
          <w:b/>
          <w:bCs/>
          <w:iCs/>
          <w:szCs w:val="22"/>
        </w:rPr>
      </w:pPr>
      <w:r w:rsidRPr="0056157A">
        <w:rPr>
          <w:rFonts w:ascii="Palatino Linotype" w:hAnsi="Palatino Linotype" w:cs="Tahoma"/>
          <w:b/>
          <w:bCs/>
          <w:iCs/>
          <w:szCs w:val="22"/>
        </w:rPr>
        <w:t>Requerimiento</w:t>
      </w:r>
      <w:r w:rsidR="00C8726A">
        <w:rPr>
          <w:rFonts w:ascii="Palatino Linotype" w:hAnsi="Palatino Linotype" w:cs="Tahoma"/>
          <w:b/>
          <w:bCs/>
          <w:iCs/>
          <w:szCs w:val="22"/>
        </w:rPr>
        <w:t xml:space="preserve">s 1 y 2. </w:t>
      </w:r>
    </w:p>
    <w:p w14:paraId="4EA9AE21" w14:textId="49C18594" w:rsidR="00D61EF1" w:rsidRDefault="00D61EF1" w:rsidP="00D61EF1">
      <w:pPr>
        <w:pStyle w:val="Prrafodelista"/>
        <w:spacing w:line="360" w:lineRule="auto"/>
        <w:jc w:val="both"/>
        <w:rPr>
          <w:rFonts w:ascii="Palatino Linotype" w:hAnsi="Palatino Linotype" w:cs="Tahoma"/>
          <w:b/>
          <w:bCs/>
          <w:iCs/>
          <w:szCs w:val="22"/>
        </w:rPr>
      </w:pPr>
    </w:p>
    <w:p w14:paraId="42F2633F" w14:textId="77777777" w:rsidR="005A2AA6" w:rsidRPr="005A2AA6" w:rsidRDefault="005A2AA6" w:rsidP="005A2AA6">
      <w:pPr>
        <w:pStyle w:val="Prrafodelista"/>
        <w:numPr>
          <w:ilvl w:val="0"/>
          <w:numId w:val="49"/>
        </w:numPr>
        <w:autoSpaceDE w:val="0"/>
        <w:autoSpaceDN w:val="0"/>
        <w:adjustRightInd w:val="0"/>
        <w:spacing w:line="360" w:lineRule="auto"/>
        <w:ind w:left="567" w:right="539"/>
        <w:jc w:val="both"/>
        <w:rPr>
          <w:rFonts w:ascii="Palatino Linotype" w:eastAsia="Calibri" w:hAnsi="Palatino Linotype" w:cs="Tahoma"/>
          <w:color w:val="000000"/>
          <w:lang w:eastAsia="es-MX"/>
        </w:rPr>
      </w:pPr>
      <w:r w:rsidRPr="005A2AA6">
        <w:rPr>
          <w:rFonts w:ascii="Palatino Linotype" w:eastAsia="Calibri" w:hAnsi="Palatino Linotype" w:cs="Tahoma"/>
          <w:color w:val="000000"/>
          <w:lang w:eastAsia="es-MX"/>
        </w:rPr>
        <w:t xml:space="preserve">Monto de la facturación mensual de energía eléctrica, recaudación del derecho de alumbrado público, y en su caso, el adeudo de facturación, así como el pago de la diferencia entre la facturación y el derecho de alumbrado público, y si existe un </w:t>
      </w:r>
      <w:r w:rsidRPr="005A2AA6">
        <w:rPr>
          <w:rFonts w:ascii="Palatino Linotype" w:eastAsia="Calibri" w:hAnsi="Palatino Linotype" w:cs="Tahoma"/>
          <w:color w:val="000000"/>
          <w:lang w:eastAsia="es-MX"/>
        </w:rPr>
        <w:lastRenderedPageBreak/>
        <w:t xml:space="preserve">saldo a favor del municipio, del periodo comprendido del uno de enero de dos mil veinte al treinta y uno de octubre de dos mil veintiuno. </w:t>
      </w:r>
    </w:p>
    <w:p w14:paraId="1C12C53C" w14:textId="097AB159" w:rsidR="005A2AA6" w:rsidRPr="005A2AA6" w:rsidRDefault="005A2AA6" w:rsidP="005A2AA6">
      <w:pPr>
        <w:pStyle w:val="Prrafodelista"/>
        <w:numPr>
          <w:ilvl w:val="0"/>
          <w:numId w:val="49"/>
        </w:numPr>
        <w:autoSpaceDE w:val="0"/>
        <w:autoSpaceDN w:val="0"/>
        <w:adjustRightInd w:val="0"/>
        <w:spacing w:line="360" w:lineRule="auto"/>
        <w:ind w:left="567" w:right="539"/>
        <w:jc w:val="both"/>
        <w:rPr>
          <w:rFonts w:ascii="Palatino Linotype" w:eastAsia="Calibri" w:hAnsi="Palatino Linotype" w:cs="Tahoma"/>
          <w:color w:val="000000"/>
          <w:lang w:eastAsia="es-MX"/>
        </w:rPr>
      </w:pPr>
      <w:r w:rsidRPr="005A2AA6">
        <w:rPr>
          <w:rFonts w:ascii="Palatino Linotype" w:eastAsia="Calibri" w:hAnsi="Palatino Linotype" w:cs="Tahoma"/>
          <w:color w:val="000000"/>
          <w:lang w:eastAsia="es-MX"/>
        </w:rPr>
        <w:t xml:space="preserve">Los recibos emitidos mes con mes por la Comisión Federal de Electricidad del uno de enero de dos mil veinte al treinta y uno de octubre de dos mil veintiuno. </w:t>
      </w:r>
    </w:p>
    <w:p w14:paraId="3214C9E3" w14:textId="739BEF5A" w:rsidR="00341103" w:rsidRDefault="00341103" w:rsidP="00341103">
      <w:pPr>
        <w:spacing w:line="360" w:lineRule="auto"/>
        <w:jc w:val="both"/>
        <w:rPr>
          <w:rFonts w:ascii="Palatino Linotype" w:hAnsi="Palatino Linotype" w:cs="Tahoma"/>
          <w:iCs/>
          <w:szCs w:val="22"/>
        </w:rPr>
      </w:pPr>
    </w:p>
    <w:p w14:paraId="403A4D80" w14:textId="3A1042B3" w:rsidR="00341103" w:rsidRDefault="00341103" w:rsidP="00341103">
      <w:pPr>
        <w:spacing w:line="360" w:lineRule="auto"/>
        <w:jc w:val="both"/>
        <w:rPr>
          <w:rFonts w:ascii="Palatino Linotype" w:hAnsi="Palatino Linotype" w:cs="Tahoma"/>
          <w:iCs/>
          <w:sz w:val="22"/>
          <w:szCs w:val="24"/>
        </w:rPr>
      </w:pPr>
      <w:r w:rsidRPr="00341103">
        <w:rPr>
          <w:rFonts w:ascii="Palatino Linotype" w:hAnsi="Palatino Linotype" w:cs="Tahoma"/>
          <w:iCs/>
          <w:sz w:val="22"/>
          <w:szCs w:val="24"/>
        </w:rPr>
        <w:t>Al respecto</w:t>
      </w:r>
      <w:r>
        <w:rPr>
          <w:rFonts w:ascii="Palatino Linotype" w:hAnsi="Palatino Linotype" w:cs="Tahoma"/>
          <w:iCs/>
          <w:sz w:val="22"/>
          <w:szCs w:val="24"/>
        </w:rPr>
        <w:t xml:space="preserve">, el Sujeto Obligado proporcionó una relación </w:t>
      </w:r>
      <w:r w:rsidR="00E36823">
        <w:rPr>
          <w:rFonts w:ascii="Palatino Linotype" w:hAnsi="Palatino Linotype" w:cs="Tahoma"/>
          <w:iCs/>
          <w:sz w:val="22"/>
          <w:szCs w:val="24"/>
        </w:rPr>
        <w:t>que refiere</w:t>
      </w:r>
      <w:r w:rsidR="00024E7A">
        <w:rPr>
          <w:rFonts w:ascii="Palatino Linotype" w:hAnsi="Palatino Linotype" w:cs="Tahoma"/>
          <w:iCs/>
          <w:sz w:val="22"/>
          <w:szCs w:val="24"/>
        </w:rPr>
        <w:t xml:space="preserve"> los</w:t>
      </w:r>
      <w:r w:rsidR="00E36823">
        <w:rPr>
          <w:rFonts w:ascii="Palatino Linotype" w:hAnsi="Palatino Linotype" w:cs="Tahoma"/>
          <w:iCs/>
          <w:sz w:val="22"/>
          <w:szCs w:val="24"/>
        </w:rPr>
        <w:t xml:space="preserve"> monto</w:t>
      </w:r>
      <w:r w:rsidR="00024E7A">
        <w:rPr>
          <w:rFonts w:ascii="Palatino Linotype" w:hAnsi="Palatino Linotype" w:cs="Tahoma"/>
          <w:iCs/>
          <w:sz w:val="22"/>
          <w:szCs w:val="24"/>
        </w:rPr>
        <w:t>s</w:t>
      </w:r>
      <w:r w:rsidR="00E36823">
        <w:rPr>
          <w:rFonts w:ascii="Palatino Linotype" w:hAnsi="Palatino Linotype" w:cs="Tahoma"/>
          <w:iCs/>
          <w:sz w:val="22"/>
          <w:szCs w:val="24"/>
        </w:rPr>
        <w:t xml:space="preserve"> de la Facturación de Alumbrado Público; </w:t>
      </w:r>
      <w:r w:rsidR="00024E7A">
        <w:rPr>
          <w:rFonts w:ascii="Palatino Linotype" w:hAnsi="Palatino Linotype" w:cs="Tahoma"/>
          <w:iCs/>
          <w:sz w:val="22"/>
          <w:szCs w:val="24"/>
        </w:rPr>
        <w:t xml:space="preserve">Derechos de Alumbrado Público y Monto del Pago de enero a diciembre de los años dos mil veinte y </w:t>
      </w:r>
      <w:r w:rsidR="00E65CE7">
        <w:rPr>
          <w:rFonts w:ascii="Palatino Linotype" w:hAnsi="Palatino Linotype" w:cs="Tahoma"/>
          <w:iCs/>
          <w:sz w:val="22"/>
          <w:szCs w:val="24"/>
        </w:rPr>
        <w:t xml:space="preserve">de enero a octubre del año </w:t>
      </w:r>
      <w:r w:rsidR="00024E7A">
        <w:rPr>
          <w:rFonts w:ascii="Palatino Linotype" w:hAnsi="Palatino Linotype" w:cs="Tahoma"/>
          <w:iCs/>
          <w:sz w:val="22"/>
          <w:szCs w:val="24"/>
        </w:rPr>
        <w:t xml:space="preserve">dos mil veintiuno, tal como se muestra a continuación: </w:t>
      </w:r>
    </w:p>
    <w:p w14:paraId="3D595C45" w14:textId="283598A3" w:rsidR="009E4654" w:rsidRDefault="009E4654" w:rsidP="00341103">
      <w:pPr>
        <w:spacing w:line="360" w:lineRule="auto"/>
        <w:jc w:val="both"/>
        <w:rPr>
          <w:rFonts w:ascii="Palatino Linotype" w:hAnsi="Palatino Linotype" w:cs="Tahoma"/>
          <w:iCs/>
          <w:sz w:val="22"/>
          <w:szCs w:val="24"/>
        </w:rPr>
      </w:pPr>
    </w:p>
    <w:p w14:paraId="11F61D99" w14:textId="7C04246E" w:rsidR="00DD6A81" w:rsidRPr="009E4654" w:rsidRDefault="009E4654" w:rsidP="009E4654">
      <w:pPr>
        <w:spacing w:line="360" w:lineRule="auto"/>
        <w:jc w:val="both"/>
        <w:rPr>
          <w:rFonts w:ascii="Palatino Linotype" w:hAnsi="Palatino Linotype" w:cs="Tahoma"/>
          <w:iCs/>
          <w:sz w:val="22"/>
          <w:szCs w:val="24"/>
        </w:rPr>
      </w:pPr>
      <w:r w:rsidRPr="009E4654">
        <w:rPr>
          <w:rFonts w:ascii="Palatino Linotype" w:hAnsi="Palatino Linotype" w:cs="Tahoma"/>
          <w:iCs/>
          <w:noProof/>
          <w:sz w:val="22"/>
          <w:szCs w:val="24"/>
          <w:lang w:eastAsia="es-MX"/>
        </w:rPr>
        <w:drawing>
          <wp:inline distT="0" distB="0" distL="0" distR="0" wp14:anchorId="16AE9275" wp14:editId="1B036B62">
            <wp:extent cx="5742940" cy="2295525"/>
            <wp:effectExtent l="0" t="0" r="0" b="9525"/>
            <wp:docPr id="3"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abla&#10;&#10;Descripción generada automáticamente"/>
                    <pic:cNvPicPr/>
                  </pic:nvPicPr>
                  <pic:blipFill>
                    <a:blip r:embed="rId9"/>
                    <a:stretch>
                      <a:fillRect/>
                    </a:stretch>
                  </pic:blipFill>
                  <pic:spPr>
                    <a:xfrm>
                      <a:off x="0" y="0"/>
                      <a:ext cx="5742940" cy="2295525"/>
                    </a:xfrm>
                    <a:prstGeom prst="rect">
                      <a:avLst/>
                    </a:prstGeom>
                  </pic:spPr>
                </pic:pic>
              </a:graphicData>
            </a:graphic>
          </wp:inline>
        </w:drawing>
      </w:r>
    </w:p>
    <w:p w14:paraId="6A126AC7" w14:textId="6513F248" w:rsidR="003F0EE7" w:rsidRDefault="009E4654" w:rsidP="004A2A45">
      <w:pPr>
        <w:spacing w:line="360" w:lineRule="auto"/>
        <w:jc w:val="both"/>
        <w:rPr>
          <w:rFonts w:ascii="Palatino Linotype" w:hAnsi="Palatino Linotype" w:cs="Tahoma"/>
          <w:b/>
          <w:bCs/>
          <w:iCs/>
          <w:szCs w:val="22"/>
        </w:rPr>
      </w:pPr>
      <w:r w:rsidRPr="009E4654">
        <w:rPr>
          <w:rFonts w:ascii="Palatino Linotype" w:hAnsi="Palatino Linotype" w:cs="Tahoma"/>
          <w:b/>
          <w:bCs/>
          <w:iCs/>
          <w:noProof/>
          <w:szCs w:val="22"/>
          <w:lang w:eastAsia="es-MX"/>
        </w:rPr>
        <w:drawing>
          <wp:inline distT="0" distB="0" distL="0" distR="0" wp14:anchorId="6B213932" wp14:editId="6109ED40">
            <wp:extent cx="5742940" cy="2238375"/>
            <wp:effectExtent l="0" t="0" r="0" b="9525"/>
            <wp:docPr id="6"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abla&#10;&#10;Descripción generada automáticamente"/>
                    <pic:cNvPicPr/>
                  </pic:nvPicPr>
                  <pic:blipFill>
                    <a:blip r:embed="rId10"/>
                    <a:stretch>
                      <a:fillRect/>
                    </a:stretch>
                  </pic:blipFill>
                  <pic:spPr>
                    <a:xfrm>
                      <a:off x="0" y="0"/>
                      <a:ext cx="5742940" cy="2238375"/>
                    </a:xfrm>
                    <a:prstGeom prst="rect">
                      <a:avLst/>
                    </a:prstGeom>
                  </pic:spPr>
                </pic:pic>
              </a:graphicData>
            </a:graphic>
          </wp:inline>
        </w:drawing>
      </w:r>
    </w:p>
    <w:p w14:paraId="4942A539" w14:textId="77777777" w:rsidR="008164F6" w:rsidRPr="008164F6" w:rsidRDefault="008164F6" w:rsidP="004A2A45">
      <w:pPr>
        <w:spacing w:line="360" w:lineRule="auto"/>
        <w:jc w:val="both"/>
        <w:rPr>
          <w:rFonts w:ascii="Palatino Linotype" w:hAnsi="Palatino Linotype" w:cs="Tahoma"/>
          <w:b/>
          <w:bCs/>
          <w:iCs/>
          <w:szCs w:val="22"/>
        </w:rPr>
      </w:pPr>
    </w:p>
    <w:p w14:paraId="3AE6DA21" w14:textId="6A413BD6" w:rsidR="00B07413" w:rsidRDefault="00791C1E" w:rsidP="004A2A45">
      <w:pPr>
        <w:spacing w:line="360" w:lineRule="auto"/>
        <w:jc w:val="both"/>
        <w:rPr>
          <w:rFonts w:ascii="Palatino Linotype" w:hAnsi="Palatino Linotype" w:cs="Tahoma"/>
          <w:iCs/>
          <w:sz w:val="22"/>
          <w:szCs w:val="22"/>
        </w:rPr>
      </w:pPr>
      <w:r>
        <w:rPr>
          <w:rFonts w:ascii="Palatino Linotype" w:hAnsi="Palatino Linotype" w:cs="Tahoma"/>
          <w:iCs/>
          <w:sz w:val="22"/>
          <w:szCs w:val="22"/>
        </w:rPr>
        <w:t xml:space="preserve">Asimismo, el Sujeto Obligado </w:t>
      </w:r>
      <w:r w:rsidR="00397521">
        <w:rPr>
          <w:rFonts w:ascii="Palatino Linotype" w:hAnsi="Palatino Linotype" w:cs="Tahoma"/>
          <w:iCs/>
          <w:sz w:val="22"/>
          <w:szCs w:val="22"/>
        </w:rPr>
        <w:t>en relación con el adeudo que se genera</w:t>
      </w:r>
      <w:r w:rsidR="00DF3A66">
        <w:rPr>
          <w:rFonts w:ascii="Palatino Linotype" w:hAnsi="Palatino Linotype" w:cs="Tahoma"/>
          <w:iCs/>
          <w:sz w:val="22"/>
          <w:szCs w:val="22"/>
        </w:rPr>
        <w:t xml:space="preserve"> mencionó que </w:t>
      </w:r>
      <w:r w:rsidR="00DF3A66" w:rsidRPr="00E65CE7">
        <w:rPr>
          <w:rFonts w:ascii="Palatino Linotype" w:hAnsi="Palatino Linotype" w:cs="Tahoma"/>
          <w:b/>
          <w:bCs/>
          <w:iCs/>
          <w:sz w:val="22"/>
          <w:szCs w:val="22"/>
        </w:rPr>
        <w:t>no existía adeudo ya que se cubre mensualmente</w:t>
      </w:r>
      <w:r w:rsidR="009F3A54">
        <w:rPr>
          <w:rFonts w:ascii="Palatino Linotype" w:hAnsi="Palatino Linotype" w:cs="Tahoma"/>
          <w:iCs/>
          <w:sz w:val="22"/>
          <w:szCs w:val="22"/>
        </w:rPr>
        <w:t xml:space="preserve"> y; respecto al saldo a favor del municipio, precisó que es </w:t>
      </w:r>
      <w:r w:rsidR="009F3A54" w:rsidRPr="00E65CE7">
        <w:rPr>
          <w:rFonts w:ascii="Palatino Linotype" w:hAnsi="Palatino Linotype" w:cs="Tahoma"/>
          <w:b/>
          <w:bCs/>
          <w:iCs/>
          <w:sz w:val="22"/>
          <w:szCs w:val="22"/>
        </w:rPr>
        <w:t xml:space="preserve">el derecho de alumbrado público que se </w:t>
      </w:r>
      <w:r w:rsidR="00C42D9E">
        <w:rPr>
          <w:rFonts w:ascii="Palatino Linotype" w:hAnsi="Palatino Linotype" w:cs="Tahoma"/>
          <w:b/>
          <w:bCs/>
          <w:iCs/>
          <w:sz w:val="22"/>
          <w:szCs w:val="22"/>
        </w:rPr>
        <w:t>genera</w:t>
      </w:r>
      <w:r w:rsidR="009F3A54" w:rsidRPr="00E65CE7">
        <w:rPr>
          <w:rFonts w:ascii="Palatino Linotype" w:hAnsi="Palatino Linotype" w:cs="Tahoma"/>
          <w:b/>
          <w:bCs/>
          <w:iCs/>
          <w:sz w:val="22"/>
          <w:szCs w:val="22"/>
        </w:rPr>
        <w:t xml:space="preserve"> mensualmente</w:t>
      </w:r>
      <w:r w:rsidR="003611B0">
        <w:rPr>
          <w:rFonts w:ascii="Palatino Linotype" w:hAnsi="Palatino Linotype" w:cs="Tahoma"/>
          <w:iCs/>
          <w:sz w:val="22"/>
          <w:szCs w:val="22"/>
        </w:rPr>
        <w:t>; sobre dicha situación, cabe señalar que este Instituto no tiene atribuciones para pronunciarse sobre la veracidad de la información</w:t>
      </w:r>
      <w:r w:rsidR="00D07069">
        <w:rPr>
          <w:rFonts w:ascii="Palatino Linotype" w:hAnsi="Palatino Linotype" w:cs="Tahoma"/>
          <w:iCs/>
          <w:sz w:val="22"/>
          <w:szCs w:val="22"/>
        </w:rPr>
        <w:t xml:space="preserve"> proporcionada</w:t>
      </w:r>
      <w:r w:rsidR="003611B0">
        <w:rPr>
          <w:rFonts w:ascii="Palatino Linotype" w:hAnsi="Palatino Linotype" w:cs="Tahoma"/>
          <w:iCs/>
          <w:sz w:val="22"/>
          <w:szCs w:val="22"/>
        </w:rPr>
        <w:t>. Apoya lo anterior, el Criterio histórico 31/10</w:t>
      </w:r>
      <w:r w:rsidR="00DB1FE3">
        <w:rPr>
          <w:rFonts w:ascii="Palatino Linotype" w:hAnsi="Palatino Linotype" w:cs="Tahoma"/>
          <w:iCs/>
          <w:sz w:val="22"/>
          <w:szCs w:val="22"/>
        </w:rPr>
        <w:t xml:space="preserve"> emitido por el Pleno del entonces Instituto Federal de Acceso a la Información y Protección de Datos, que a continuación se cita: </w:t>
      </w:r>
    </w:p>
    <w:p w14:paraId="190431E4" w14:textId="3E3C81F8" w:rsidR="00DB1FE3" w:rsidRDefault="00DB1FE3" w:rsidP="004A2A45">
      <w:pPr>
        <w:spacing w:line="360" w:lineRule="auto"/>
        <w:jc w:val="both"/>
        <w:rPr>
          <w:rFonts w:ascii="Palatino Linotype" w:hAnsi="Palatino Linotype" w:cs="Tahoma"/>
          <w:iCs/>
          <w:sz w:val="22"/>
          <w:szCs w:val="22"/>
        </w:rPr>
      </w:pPr>
    </w:p>
    <w:p w14:paraId="287036B0" w14:textId="04D12DE2" w:rsidR="00CD7528" w:rsidRDefault="00DB1FE3" w:rsidP="00CD7528">
      <w:pPr>
        <w:spacing w:line="360" w:lineRule="auto"/>
        <w:ind w:left="567" w:right="567"/>
        <w:jc w:val="both"/>
        <w:rPr>
          <w:rFonts w:ascii="Palatino Linotype" w:hAnsi="Palatino Linotype" w:cs="Tahoma"/>
          <w:i/>
        </w:rPr>
      </w:pPr>
      <w:r w:rsidRPr="00DB1FE3">
        <w:rPr>
          <w:rFonts w:ascii="Palatino Linotype" w:hAnsi="Palatino Linotype" w:cs="Tahoma"/>
          <w:b/>
          <w:i/>
        </w:rPr>
        <w:t xml:space="preserve">“El Instituto Federal de Acceso a la Información y Protección de Datos </w:t>
      </w:r>
      <w:r w:rsidRPr="00DB1FE3">
        <w:rPr>
          <w:rFonts w:ascii="Palatino Linotype" w:hAnsi="Palatino Linotype" w:cs="Tahoma"/>
          <w:b/>
          <w:i/>
          <w:u w:val="single"/>
        </w:rPr>
        <w:t xml:space="preserve">no cuenta con facultades para pronunciarse respecto de la veracidad de los documentos proporcionados por los sujetos obligados. </w:t>
      </w:r>
      <w:r w:rsidRPr="00DB1FE3">
        <w:rPr>
          <w:rFonts w:ascii="Palatino Linotype" w:hAnsi="Palatino Linotype" w:cs="Tahoma"/>
          <w:i/>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w:t>
      </w:r>
      <w:r w:rsidR="008163AA" w:rsidRPr="00DB1FE3">
        <w:rPr>
          <w:rFonts w:ascii="Palatino Linotype" w:hAnsi="Palatino Linotype" w:cs="Tahoma"/>
          <w:i/>
        </w:rPr>
        <w:t>en respuesta</w:t>
      </w:r>
      <w:r w:rsidRPr="00DB1FE3">
        <w:rPr>
          <w:rFonts w:ascii="Palatino Linotype" w:hAnsi="Palatino Linotype" w:cs="Tahoma"/>
          <w:i/>
        </w:rPr>
        <w:t xml:space="preserve">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7D9F67D" w14:textId="77777777" w:rsidR="00CD7528" w:rsidRPr="00CD7528" w:rsidRDefault="00CD7528" w:rsidP="00CD7528">
      <w:pPr>
        <w:spacing w:line="360" w:lineRule="auto"/>
        <w:ind w:left="567" w:right="567"/>
        <w:jc w:val="both"/>
        <w:rPr>
          <w:rFonts w:ascii="Palatino Linotype" w:hAnsi="Palatino Linotype" w:cs="Tahoma"/>
          <w:i/>
        </w:rPr>
      </w:pPr>
    </w:p>
    <w:p w14:paraId="11C07C6F" w14:textId="321A5A7B" w:rsidR="00B82D83" w:rsidRDefault="00B82D83" w:rsidP="004A2A45">
      <w:pPr>
        <w:spacing w:line="360" w:lineRule="auto"/>
        <w:jc w:val="both"/>
        <w:rPr>
          <w:rFonts w:ascii="Palatino Linotype" w:hAnsi="Palatino Linotype" w:cs="Tahoma"/>
          <w:iCs/>
          <w:sz w:val="22"/>
          <w:szCs w:val="22"/>
        </w:rPr>
      </w:pPr>
      <w:r>
        <w:rPr>
          <w:rFonts w:ascii="Palatino Linotype" w:hAnsi="Palatino Linotype" w:cs="Tahoma"/>
          <w:iCs/>
          <w:sz w:val="22"/>
          <w:szCs w:val="22"/>
        </w:rPr>
        <w:t xml:space="preserve">Por lo anterior, se considera que el Sujeto Obligado </w:t>
      </w:r>
      <w:r w:rsidR="00586853">
        <w:rPr>
          <w:rFonts w:ascii="Palatino Linotype" w:hAnsi="Palatino Linotype" w:cs="Tahoma"/>
          <w:iCs/>
          <w:sz w:val="22"/>
          <w:szCs w:val="22"/>
        </w:rPr>
        <w:t xml:space="preserve">dio respuesta a </w:t>
      </w:r>
      <w:r w:rsidR="00893315">
        <w:rPr>
          <w:rFonts w:ascii="Palatino Linotype" w:hAnsi="Palatino Linotype" w:cs="Tahoma"/>
          <w:iCs/>
          <w:sz w:val="22"/>
          <w:szCs w:val="22"/>
        </w:rPr>
        <w:t>los requerimientos</w:t>
      </w:r>
      <w:r w:rsidR="00586853">
        <w:rPr>
          <w:rFonts w:ascii="Palatino Linotype" w:hAnsi="Palatino Linotype" w:cs="Tahoma"/>
          <w:iCs/>
          <w:sz w:val="22"/>
          <w:szCs w:val="22"/>
        </w:rPr>
        <w:t xml:space="preserve"> del Particular</w:t>
      </w:r>
      <w:r w:rsidR="00C85169">
        <w:rPr>
          <w:rFonts w:ascii="Palatino Linotype" w:hAnsi="Palatino Linotype" w:cs="Tahoma"/>
          <w:iCs/>
          <w:sz w:val="22"/>
          <w:szCs w:val="22"/>
        </w:rPr>
        <w:t xml:space="preserve">, </w:t>
      </w:r>
      <w:r w:rsidR="00586853">
        <w:rPr>
          <w:rFonts w:ascii="Palatino Linotype" w:hAnsi="Palatino Linotype" w:cs="Tahoma"/>
          <w:iCs/>
          <w:sz w:val="22"/>
          <w:szCs w:val="22"/>
        </w:rPr>
        <w:t>al</w:t>
      </w:r>
      <w:r w:rsidR="00840D3B">
        <w:rPr>
          <w:rFonts w:ascii="Palatino Linotype" w:hAnsi="Palatino Linotype" w:cs="Tahoma"/>
          <w:iCs/>
          <w:sz w:val="22"/>
          <w:szCs w:val="22"/>
        </w:rPr>
        <w:t xml:space="preserve"> enviar la información relativa al monto de la facturación mensual de energía eléctrica, la recaudación del derecho de alumbrado público y el monto de pago de la facturación</w:t>
      </w:r>
      <w:r w:rsidR="00756681">
        <w:rPr>
          <w:rFonts w:ascii="Palatino Linotype" w:hAnsi="Palatino Linotype" w:cs="Tahoma"/>
          <w:iCs/>
          <w:sz w:val="22"/>
          <w:szCs w:val="22"/>
        </w:rPr>
        <w:t>, todo relativo de enero a diciembre del dos mil veinte y de enero a octubre de dos mil veintiuno</w:t>
      </w:r>
      <w:r w:rsidR="00C85169">
        <w:rPr>
          <w:rFonts w:ascii="Palatino Linotype" w:hAnsi="Palatino Linotype" w:cs="Tahoma"/>
          <w:iCs/>
          <w:sz w:val="22"/>
          <w:szCs w:val="22"/>
        </w:rPr>
        <w:t xml:space="preserve">; </w:t>
      </w:r>
      <w:r w:rsidR="00840D3B">
        <w:rPr>
          <w:rFonts w:ascii="Palatino Linotype" w:hAnsi="Palatino Linotype" w:cs="Tahoma"/>
          <w:iCs/>
          <w:sz w:val="22"/>
          <w:szCs w:val="22"/>
        </w:rPr>
        <w:t>mencionar que</w:t>
      </w:r>
      <w:r w:rsidR="00586853">
        <w:rPr>
          <w:rFonts w:ascii="Palatino Linotype" w:hAnsi="Palatino Linotype" w:cs="Tahoma"/>
          <w:iCs/>
          <w:sz w:val="22"/>
          <w:szCs w:val="22"/>
        </w:rPr>
        <w:t xml:space="preserve"> </w:t>
      </w:r>
      <w:r w:rsidR="00586853" w:rsidRPr="00893315">
        <w:rPr>
          <w:rFonts w:ascii="Palatino Linotype" w:hAnsi="Palatino Linotype" w:cs="Tahoma"/>
          <w:b/>
          <w:bCs/>
          <w:iCs/>
          <w:sz w:val="22"/>
          <w:szCs w:val="22"/>
        </w:rPr>
        <w:t xml:space="preserve">no existía adeudo </w:t>
      </w:r>
      <w:r w:rsidR="00B82020" w:rsidRPr="00893315">
        <w:rPr>
          <w:rFonts w:ascii="Palatino Linotype" w:hAnsi="Palatino Linotype" w:cs="Tahoma"/>
          <w:b/>
          <w:bCs/>
          <w:iCs/>
          <w:sz w:val="22"/>
          <w:szCs w:val="22"/>
        </w:rPr>
        <w:t>debido a</w:t>
      </w:r>
      <w:r w:rsidR="00586853" w:rsidRPr="00893315">
        <w:rPr>
          <w:rFonts w:ascii="Palatino Linotype" w:hAnsi="Palatino Linotype" w:cs="Tahoma"/>
          <w:b/>
          <w:bCs/>
          <w:iCs/>
          <w:sz w:val="22"/>
          <w:szCs w:val="22"/>
        </w:rPr>
        <w:t xml:space="preserve"> que este se cubre mensualmente</w:t>
      </w:r>
      <w:r w:rsidR="00C85169">
        <w:rPr>
          <w:rFonts w:ascii="Palatino Linotype" w:hAnsi="Palatino Linotype" w:cs="Tahoma"/>
          <w:iCs/>
          <w:sz w:val="22"/>
          <w:szCs w:val="22"/>
        </w:rPr>
        <w:t>;</w:t>
      </w:r>
      <w:r w:rsidR="00586853">
        <w:rPr>
          <w:rFonts w:ascii="Palatino Linotype" w:hAnsi="Palatino Linotype" w:cs="Tahoma"/>
          <w:iCs/>
          <w:sz w:val="22"/>
          <w:szCs w:val="22"/>
        </w:rPr>
        <w:t xml:space="preserve"> así como </w:t>
      </w:r>
      <w:r w:rsidR="00532DAE">
        <w:rPr>
          <w:rFonts w:ascii="Palatino Linotype" w:hAnsi="Palatino Linotype" w:cs="Tahoma"/>
          <w:iCs/>
          <w:sz w:val="22"/>
          <w:szCs w:val="22"/>
        </w:rPr>
        <w:t xml:space="preserve">precisar </w:t>
      </w:r>
      <w:r w:rsidR="00586853">
        <w:rPr>
          <w:rFonts w:ascii="Palatino Linotype" w:hAnsi="Palatino Linotype" w:cs="Tahoma"/>
          <w:iCs/>
          <w:sz w:val="22"/>
          <w:szCs w:val="22"/>
        </w:rPr>
        <w:t xml:space="preserve">que </w:t>
      </w:r>
      <w:r w:rsidR="00586853" w:rsidRPr="00893315">
        <w:rPr>
          <w:rFonts w:ascii="Palatino Linotype" w:hAnsi="Palatino Linotype" w:cs="Tahoma"/>
          <w:b/>
          <w:bCs/>
          <w:iCs/>
          <w:sz w:val="22"/>
          <w:szCs w:val="22"/>
        </w:rPr>
        <w:t xml:space="preserve">el saldo a favor del municipio corresponde al derecho de alumbrado </w:t>
      </w:r>
      <w:r w:rsidR="00586853" w:rsidRPr="00893315">
        <w:rPr>
          <w:rFonts w:ascii="Palatino Linotype" w:hAnsi="Palatino Linotype" w:cs="Tahoma"/>
          <w:b/>
          <w:bCs/>
          <w:iCs/>
          <w:sz w:val="22"/>
          <w:szCs w:val="22"/>
        </w:rPr>
        <w:lastRenderedPageBreak/>
        <w:t>público que se va genera</w:t>
      </w:r>
      <w:r w:rsidR="00C42D9E">
        <w:rPr>
          <w:rFonts w:ascii="Palatino Linotype" w:hAnsi="Palatino Linotype" w:cs="Tahoma"/>
          <w:b/>
          <w:bCs/>
          <w:iCs/>
          <w:sz w:val="22"/>
          <w:szCs w:val="22"/>
        </w:rPr>
        <w:t xml:space="preserve"> </w:t>
      </w:r>
      <w:r w:rsidR="00586853" w:rsidRPr="00893315">
        <w:rPr>
          <w:rFonts w:ascii="Palatino Linotype" w:hAnsi="Palatino Linotype" w:cs="Tahoma"/>
          <w:b/>
          <w:bCs/>
          <w:iCs/>
          <w:sz w:val="22"/>
          <w:szCs w:val="22"/>
        </w:rPr>
        <w:t>mes con mes</w:t>
      </w:r>
      <w:r w:rsidR="00B82020">
        <w:rPr>
          <w:rFonts w:ascii="Palatino Linotype" w:hAnsi="Palatino Linotype" w:cs="Tahoma"/>
          <w:iCs/>
          <w:sz w:val="22"/>
          <w:szCs w:val="22"/>
        </w:rPr>
        <w:t xml:space="preserve">, aunado a ello, es imprescindible </w:t>
      </w:r>
      <w:r w:rsidR="00532DAE">
        <w:rPr>
          <w:rFonts w:ascii="Palatino Linotype" w:hAnsi="Palatino Linotype" w:cs="Tahoma"/>
          <w:iCs/>
          <w:sz w:val="22"/>
          <w:szCs w:val="22"/>
        </w:rPr>
        <w:t xml:space="preserve">señalar </w:t>
      </w:r>
      <w:r w:rsidR="00B82020">
        <w:rPr>
          <w:rFonts w:ascii="Palatino Linotype" w:hAnsi="Palatino Linotype" w:cs="Tahoma"/>
          <w:iCs/>
          <w:sz w:val="22"/>
          <w:szCs w:val="22"/>
        </w:rPr>
        <w:t xml:space="preserve">que </w:t>
      </w:r>
      <w:r w:rsidR="007B2EDA">
        <w:rPr>
          <w:rFonts w:ascii="Palatino Linotype" w:hAnsi="Palatino Linotype" w:cs="Tahoma"/>
          <w:iCs/>
          <w:sz w:val="22"/>
          <w:szCs w:val="22"/>
        </w:rPr>
        <w:t xml:space="preserve">la unidad administrativa que dio respuesta fue la Tesorería Municipal, la cual como se ha analizado </w:t>
      </w:r>
      <w:r w:rsidR="00893315">
        <w:rPr>
          <w:rFonts w:ascii="Palatino Linotype" w:hAnsi="Palatino Linotype" w:cs="Tahoma"/>
          <w:iCs/>
          <w:sz w:val="22"/>
          <w:szCs w:val="22"/>
        </w:rPr>
        <w:t xml:space="preserve">anteriormente </w:t>
      </w:r>
      <w:r w:rsidR="007B2EDA">
        <w:rPr>
          <w:rFonts w:ascii="Palatino Linotype" w:hAnsi="Palatino Linotype" w:cs="Tahoma"/>
          <w:iCs/>
          <w:sz w:val="22"/>
          <w:szCs w:val="22"/>
        </w:rPr>
        <w:t xml:space="preserve">cuenta con las facultades y competencias para conocer, poseer y administrar </w:t>
      </w:r>
      <w:r w:rsidR="00840D3B">
        <w:rPr>
          <w:rFonts w:ascii="Palatino Linotype" w:hAnsi="Palatino Linotype" w:cs="Tahoma"/>
          <w:iCs/>
          <w:sz w:val="22"/>
          <w:szCs w:val="22"/>
        </w:rPr>
        <w:t xml:space="preserve">la información requerida en este punto de la solicitud. </w:t>
      </w:r>
      <w:r w:rsidR="007B2EDA">
        <w:rPr>
          <w:rFonts w:ascii="Palatino Linotype" w:hAnsi="Palatino Linotype" w:cs="Tahoma"/>
          <w:iCs/>
          <w:sz w:val="22"/>
          <w:szCs w:val="22"/>
        </w:rPr>
        <w:t xml:space="preserve"> </w:t>
      </w:r>
      <w:r w:rsidR="00B82020">
        <w:rPr>
          <w:rFonts w:ascii="Palatino Linotype" w:hAnsi="Palatino Linotype" w:cs="Tahoma"/>
          <w:iCs/>
          <w:sz w:val="22"/>
          <w:szCs w:val="22"/>
        </w:rPr>
        <w:t xml:space="preserve"> </w:t>
      </w:r>
    </w:p>
    <w:p w14:paraId="5DBDA9C5" w14:textId="77777777" w:rsidR="00B82020" w:rsidRDefault="00B82020" w:rsidP="004A2A45">
      <w:pPr>
        <w:spacing w:line="360" w:lineRule="auto"/>
        <w:jc w:val="both"/>
        <w:rPr>
          <w:rFonts w:ascii="Palatino Linotype" w:hAnsi="Palatino Linotype" w:cs="Tahoma"/>
          <w:iCs/>
          <w:sz w:val="22"/>
          <w:szCs w:val="22"/>
        </w:rPr>
      </w:pPr>
    </w:p>
    <w:p w14:paraId="36B14112" w14:textId="2448B1EC" w:rsidR="00791C1E" w:rsidRPr="004A2A45" w:rsidRDefault="00CD7528" w:rsidP="004A2A45">
      <w:pPr>
        <w:spacing w:line="360" w:lineRule="auto"/>
        <w:jc w:val="both"/>
        <w:rPr>
          <w:rFonts w:ascii="Palatino Linotype" w:hAnsi="Palatino Linotype" w:cs="Tahoma"/>
          <w:b/>
          <w:bCs/>
          <w:iCs/>
          <w:sz w:val="22"/>
          <w:szCs w:val="22"/>
        </w:rPr>
      </w:pPr>
      <w:r>
        <w:rPr>
          <w:rFonts w:ascii="Palatino Linotype" w:hAnsi="Palatino Linotype" w:cs="Tahoma"/>
          <w:iCs/>
          <w:sz w:val="22"/>
          <w:szCs w:val="22"/>
        </w:rPr>
        <w:t>Ahora bien, en relación</w:t>
      </w:r>
      <w:r w:rsidR="003416A4">
        <w:rPr>
          <w:rFonts w:ascii="Palatino Linotype" w:hAnsi="Palatino Linotype" w:cs="Tahoma"/>
          <w:iCs/>
          <w:sz w:val="22"/>
          <w:szCs w:val="22"/>
        </w:rPr>
        <w:t xml:space="preserve"> </w:t>
      </w:r>
      <w:r w:rsidR="0054395F">
        <w:rPr>
          <w:rFonts w:ascii="Palatino Linotype" w:hAnsi="Palatino Linotype" w:cs="Tahoma"/>
          <w:iCs/>
          <w:sz w:val="22"/>
          <w:szCs w:val="22"/>
        </w:rPr>
        <w:t xml:space="preserve">con </w:t>
      </w:r>
      <w:r w:rsidR="003416A4">
        <w:rPr>
          <w:rFonts w:ascii="Palatino Linotype" w:hAnsi="Palatino Linotype" w:cs="Tahoma"/>
          <w:iCs/>
          <w:sz w:val="22"/>
          <w:szCs w:val="22"/>
        </w:rPr>
        <w:t xml:space="preserve">la petición del Solicitante respecto a los recibos emitidos por la Comisión Federal de Electricidad por el mismo periodo, el Sujeto Obligado informó que </w:t>
      </w:r>
      <w:r w:rsidR="003416A4">
        <w:rPr>
          <w:rFonts w:ascii="Palatino Linotype" w:hAnsi="Palatino Linotype" w:cs="Tahoma"/>
          <w:b/>
          <w:bCs/>
          <w:iCs/>
          <w:sz w:val="22"/>
          <w:szCs w:val="22"/>
        </w:rPr>
        <w:t xml:space="preserve">no se encontró recibo emitido </w:t>
      </w:r>
      <w:r w:rsidR="00ED4337">
        <w:rPr>
          <w:rFonts w:ascii="Palatino Linotype" w:hAnsi="Palatino Linotype" w:cs="Tahoma"/>
          <w:b/>
          <w:bCs/>
          <w:iCs/>
          <w:sz w:val="22"/>
          <w:szCs w:val="22"/>
        </w:rPr>
        <w:t xml:space="preserve">mes con mes por la Comisión Federal de Electricidad por el mismo periodo. </w:t>
      </w:r>
    </w:p>
    <w:p w14:paraId="0822CA03" w14:textId="1C796EA5" w:rsidR="004A2A45" w:rsidRDefault="004A2A45" w:rsidP="004A2A45">
      <w:pPr>
        <w:spacing w:line="360" w:lineRule="auto"/>
        <w:jc w:val="both"/>
        <w:rPr>
          <w:rFonts w:ascii="Palatino Linotype" w:hAnsi="Palatino Linotype" w:cs="Tahoma"/>
          <w:b/>
          <w:bCs/>
          <w:iCs/>
          <w:sz w:val="22"/>
          <w:szCs w:val="22"/>
        </w:rPr>
      </w:pPr>
    </w:p>
    <w:p w14:paraId="447803EC" w14:textId="797005B5" w:rsidR="00412A1C" w:rsidRDefault="009F3A54" w:rsidP="004A2A45">
      <w:pPr>
        <w:spacing w:line="360" w:lineRule="auto"/>
        <w:jc w:val="both"/>
        <w:rPr>
          <w:rFonts w:ascii="Palatino Linotype" w:hAnsi="Palatino Linotype" w:cs="Tahoma"/>
          <w:iCs/>
          <w:sz w:val="22"/>
          <w:szCs w:val="22"/>
        </w:rPr>
      </w:pPr>
      <w:r>
        <w:rPr>
          <w:rFonts w:ascii="Palatino Linotype" w:hAnsi="Palatino Linotype" w:cs="Tahoma"/>
          <w:iCs/>
          <w:sz w:val="22"/>
          <w:szCs w:val="22"/>
        </w:rPr>
        <w:t xml:space="preserve">Por lo anterior, </w:t>
      </w:r>
      <w:r w:rsidR="006C5426">
        <w:rPr>
          <w:rFonts w:ascii="Palatino Linotype" w:hAnsi="Palatino Linotype" w:cs="Tahoma"/>
          <w:iCs/>
          <w:sz w:val="22"/>
          <w:szCs w:val="22"/>
        </w:rPr>
        <w:t xml:space="preserve">es de mencionar </w:t>
      </w:r>
      <w:r w:rsidR="00412A1C">
        <w:rPr>
          <w:rFonts w:ascii="Palatino Linotype" w:hAnsi="Palatino Linotype" w:cs="Tahoma"/>
          <w:iCs/>
          <w:sz w:val="22"/>
          <w:szCs w:val="22"/>
        </w:rPr>
        <w:t xml:space="preserve">que el artículo 344 del Código Financiero del Estado de México y Municipios, indica que la Tesorería registrará contablemente el efecto patrimonial y presupuestal de las operaciones financieras que realicen, en el momento que ocurran; para lo cual todo </w:t>
      </w:r>
      <w:proofErr w:type="gramStart"/>
      <w:r w:rsidR="00412A1C">
        <w:rPr>
          <w:rFonts w:ascii="Palatino Linotype" w:hAnsi="Palatino Linotype" w:cs="Tahoma"/>
          <w:iCs/>
          <w:sz w:val="22"/>
          <w:szCs w:val="22"/>
        </w:rPr>
        <w:t>registro</w:t>
      </w:r>
      <w:proofErr w:type="gramEnd"/>
      <w:r w:rsidR="00412A1C">
        <w:rPr>
          <w:rFonts w:ascii="Palatino Linotype" w:hAnsi="Palatino Linotype" w:cs="Tahoma"/>
          <w:iCs/>
          <w:sz w:val="22"/>
          <w:szCs w:val="22"/>
        </w:rPr>
        <w:t xml:space="preserve"> contable y presupuestal, deberá estar soportado con los documentos comprobatorios originales. </w:t>
      </w:r>
    </w:p>
    <w:p w14:paraId="3DA9AA6B" w14:textId="77777777" w:rsidR="00412A1C" w:rsidRDefault="00412A1C" w:rsidP="004A2A45">
      <w:pPr>
        <w:spacing w:line="360" w:lineRule="auto"/>
        <w:jc w:val="both"/>
        <w:rPr>
          <w:rFonts w:ascii="Palatino Linotype" w:hAnsi="Palatino Linotype" w:cs="Tahoma"/>
          <w:iCs/>
          <w:sz w:val="22"/>
          <w:szCs w:val="22"/>
        </w:rPr>
      </w:pPr>
    </w:p>
    <w:p w14:paraId="799661EA" w14:textId="41140BB1" w:rsidR="00397521" w:rsidRDefault="00412A1C" w:rsidP="004A2A45">
      <w:pPr>
        <w:spacing w:line="360" w:lineRule="auto"/>
        <w:jc w:val="both"/>
        <w:rPr>
          <w:rFonts w:ascii="Palatino Linotype" w:hAnsi="Palatino Linotype" w:cs="Tahoma"/>
          <w:iCs/>
          <w:sz w:val="22"/>
          <w:szCs w:val="22"/>
        </w:rPr>
      </w:pPr>
      <w:r>
        <w:rPr>
          <w:rFonts w:ascii="Palatino Linotype" w:hAnsi="Palatino Linotype" w:cs="Tahoma"/>
          <w:iCs/>
          <w:sz w:val="22"/>
          <w:szCs w:val="22"/>
        </w:rPr>
        <w:t xml:space="preserve">En ese contexto, el “Glosario de Términos Administrativos”, emitido por el Instituto Nacional de Administración Pública, </w:t>
      </w:r>
      <w:r w:rsidR="00C1317D">
        <w:rPr>
          <w:rFonts w:ascii="Palatino Linotype" w:hAnsi="Palatino Linotype" w:cs="Tahoma"/>
          <w:iCs/>
          <w:sz w:val="22"/>
          <w:szCs w:val="22"/>
        </w:rPr>
        <w:t xml:space="preserve">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señalan </w:t>
      </w:r>
      <w:r w:rsidR="000525EA">
        <w:rPr>
          <w:rFonts w:ascii="Palatino Linotype" w:hAnsi="Palatino Linotype" w:cs="Tahoma"/>
          <w:iCs/>
          <w:sz w:val="22"/>
          <w:szCs w:val="22"/>
        </w:rPr>
        <w:t xml:space="preserve">las siguientes definiciones para registro contable y registro presupuestario: </w:t>
      </w:r>
      <w:r w:rsidR="00ED4337">
        <w:rPr>
          <w:rFonts w:ascii="Palatino Linotype" w:hAnsi="Palatino Linotype" w:cs="Tahoma"/>
          <w:iCs/>
          <w:sz w:val="22"/>
          <w:szCs w:val="22"/>
        </w:rPr>
        <w:t xml:space="preserve"> </w:t>
      </w:r>
    </w:p>
    <w:p w14:paraId="17AA2984" w14:textId="0169BD01" w:rsidR="008164F6" w:rsidRDefault="008164F6" w:rsidP="004A2A45">
      <w:pPr>
        <w:spacing w:line="360" w:lineRule="auto"/>
        <w:jc w:val="both"/>
        <w:rPr>
          <w:rFonts w:ascii="Palatino Linotype" w:hAnsi="Palatino Linotype" w:cs="Tahoma"/>
          <w:iCs/>
          <w:sz w:val="22"/>
          <w:szCs w:val="22"/>
        </w:rPr>
      </w:pPr>
    </w:p>
    <w:p w14:paraId="71120F5C" w14:textId="77777777" w:rsidR="000525EA" w:rsidRPr="000525EA" w:rsidRDefault="000525EA" w:rsidP="000525EA">
      <w:pPr>
        <w:numPr>
          <w:ilvl w:val="0"/>
          <w:numId w:val="37"/>
        </w:numPr>
        <w:spacing w:line="360" w:lineRule="auto"/>
        <w:ind w:right="539"/>
        <w:jc w:val="both"/>
        <w:rPr>
          <w:rFonts w:ascii="Palatino Linotype" w:hAnsi="Palatino Linotype" w:cs="Tahoma"/>
          <w:b/>
          <w:bCs/>
          <w:iCs/>
          <w:sz w:val="22"/>
          <w:szCs w:val="22"/>
        </w:rPr>
      </w:pPr>
      <w:r w:rsidRPr="000525EA">
        <w:rPr>
          <w:rFonts w:ascii="Palatino Linotype" w:hAnsi="Palatino Linotype" w:cs="Tahoma"/>
          <w:b/>
          <w:bCs/>
          <w:iCs/>
          <w:sz w:val="22"/>
          <w:szCs w:val="22"/>
        </w:rPr>
        <w:t xml:space="preserve">Registro Contable: </w:t>
      </w:r>
      <w:r w:rsidRPr="000525EA">
        <w:rPr>
          <w:rFonts w:ascii="Palatino Linotype" w:hAnsi="Palatino Linotype" w:cs="Tahoma"/>
          <w:bCs/>
          <w:iCs/>
          <w:sz w:val="22"/>
          <w:szCs w:val="22"/>
        </w:rPr>
        <w:t>Asiento que se realiza en los libros de contabilidad de las actividades relacionadas con el ingreso y egresos de un ente económico.</w:t>
      </w:r>
    </w:p>
    <w:p w14:paraId="5CE437E7" w14:textId="77777777" w:rsidR="000525EA" w:rsidRPr="000525EA" w:rsidRDefault="000525EA" w:rsidP="000525EA">
      <w:pPr>
        <w:numPr>
          <w:ilvl w:val="0"/>
          <w:numId w:val="37"/>
        </w:numPr>
        <w:spacing w:line="360" w:lineRule="auto"/>
        <w:ind w:right="539"/>
        <w:jc w:val="both"/>
        <w:rPr>
          <w:rFonts w:ascii="Palatino Linotype" w:hAnsi="Palatino Linotype" w:cs="Tahoma"/>
          <w:bCs/>
          <w:iCs/>
          <w:sz w:val="22"/>
          <w:szCs w:val="22"/>
        </w:rPr>
      </w:pPr>
      <w:r w:rsidRPr="000525EA">
        <w:rPr>
          <w:rFonts w:ascii="Palatino Linotype" w:hAnsi="Palatino Linotype" w:cs="Tahoma"/>
          <w:b/>
          <w:iCs/>
          <w:sz w:val="22"/>
          <w:szCs w:val="22"/>
        </w:rPr>
        <w:lastRenderedPageBreak/>
        <w:t>Registro Presupuestario:</w:t>
      </w:r>
      <w:r w:rsidRPr="000525EA">
        <w:rPr>
          <w:rFonts w:ascii="Palatino Linotype" w:hAnsi="Palatino Linotype" w:cs="Tahoma"/>
          <w:bCs/>
          <w:iCs/>
          <w:sz w:val="22"/>
          <w:szCs w:val="22"/>
        </w:rPr>
        <w:t xml:space="preserve"> Asiento contable de las erogaciones realizadas por las dependencias y entidades con relación a la asignación, modificación y ejercicio de recursos presupuestarios.</w:t>
      </w:r>
    </w:p>
    <w:p w14:paraId="50847B92" w14:textId="03E77A2D" w:rsidR="000525EA" w:rsidRDefault="000525EA" w:rsidP="004A2A45">
      <w:pPr>
        <w:spacing w:line="360" w:lineRule="auto"/>
        <w:jc w:val="both"/>
        <w:rPr>
          <w:rFonts w:ascii="Palatino Linotype" w:hAnsi="Palatino Linotype" w:cs="Tahoma"/>
          <w:iCs/>
          <w:sz w:val="22"/>
          <w:szCs w:val="22"/>
        </w:rPr>
      </w:pPr>
    </w:p>
    <w:p w14:paraId="6246B24A" w14:textId="56F8E522" w:rsidR="000525EA" w:rsidRDefault="000525EA" w:rsidP="004A2A45">
      <w:pPr>
        <w:spacing w:line="360" w:lineRule="auto"/>
        <w:jc w:val="both"/>
        <w:rPr>
          <w:rFonts w:ascii="Palatino Linotype" w:hAnsi="Palatino Linotype" w:cs="Tahoma"/>
          <w:iCs/>
          <w:sz w:val="22"/>
          <w:szCs w:val="22"/>
        </w:rPr>
      </w:pPr>
      <w:r>
        <w:rPr>
          <w:rFonts w:ascii="Palatino Linotype" w:hAnsi="Palatino Linotype" w:cs="Tahoma"/>
          <w:iCs/>
          <w:sz w:val="22"/>
          <w:szCs w:val="22"/>
        </w:rPr>
        <w:t xml:space="preserve">De tal situación, se desprende </w:t>
      </w:r>
      <w:r w:rsidR="00BB0537">
        <w:rPr>
          <w:rFonts w:ascii="Palatino Linotype" w:hAnsi="Palatino Linotype" w:cs="Tahoma"/>
          <w:iCs/>
          <w:sz w:val="22"/>
          <w:szCs w:val="22"/>
        </w:rPr>
        <w:t xml:space="preserve">que dichos registros son un control financiero que es llevado por la Tesorería Municipal, los cuales deberán ser sustentados con los </w:t>
      </w:r>
      <w:r w:rsidR="00BB0537">
        <w:rPr>
          <w:rFonts w:ascii="Palatino Linotype" w:hAnsi="Palatino Linotype" w:cs="Tahoma"/>
          <w:b/>
          <w:bCs/>
          <w:iCs/>
          <w:sz w:val="22"/>
          <w:szCs w:val="22"/>
        </w:rPr>
        <w:t xml:space="preserve">documentos comprobatorios originales; </w:t>
      </w:r>
      <w:r w:rsidR="00BB0537">
        <w:rPr>
          <w:rFonts w:ascii="Palatino Linotype" w:hAnsi="Palatino Linotype" w:cs="Tahoma"/>
          <w:iCs/>
          <w:sz w:val="22"/>
          <w:szCs w:val="22"/>
        </w:rPr>
        <w:t xml:space="preserve">por lo cual los Comprobantes Fiscales Digitales por Internet, son documentos con los que cuenta el Sujeto </w:t>
      </w:r>
      <w:r w:rsidR="00B71296">
        <w:rPr>
          <w:rFonts w:ascii="Palatino Linotype" w:hAnsi="Palatino Linotype" w:cs="Tahoma"/>
          <w:iCs/>
          <w:sz w:val="22"/>
          <w:szCs w:val="22"/>
        </w:rPr>
        <w:t xml:space="preserve">Obligado, dado que son el comprobante de recursos públicos. </w:t>
      </w:r>
    </w:p>
    <w:p w14:paraId="257B1C60" w14:textId="7EFC4C3D" w:rsidR="00B71296" w:rsidRDefault="00B71296" w:rsidP="004A2A45">
      <w:pPr>
        <w:spacing w:line="360" w:lineRule="auto"/>
        <w:jc w:val="both"/>
        <w:rPr>
          <w:rFonts w:ascii="Palatino Linotype" w:hAnsi="Palatino Linotype" w:cs="Tahoma"/>
          <w:iCs/>
          <w:sz w:val="22"/>
          <w:szCs w:val="22"/>
        </w:rPr>
      </w:pPr>
    </w:p>
    <w:p w14:paraId="3005B74C" w14:textId="13BE5B7D" w:rsidR="00B71296" w:rsidRDefault="00B71296" w:rsidP="004A2A45">
      <w:pPr>
        <w:spacing w:line="360" w:lineRule="auto"/>
        <w:jc w:val="both"/>
        <w:rPr>
          <w:rFonts w:ascii="Palatino Linotype" w:hAnsi="Palatino Linotype" w:cs="Tahoma"/>
          <w:iCs/>
          <w:sz w:val="22"/>
          <w:szCs w:val="22"/>
        </w:rPr>
      </w:pPr>
      <w:r>
        <w:rPr>
          <w:rFonts w:ascii="Palatino Linotype" w:hAnsi="Palatino Linotype" w:cs="Tahoma"/>
          <w:iCs/>
          <w:sz w:val="22"/>
          <w:szCs w:val="22"/>
        </w:rPr>
        <w:t xml:space="preserve">De tal circunstancia, se considera que los documentos que pudieran dar cuenta del importe por concepto de alumbrado público facturado por la Comisión Federal de </w:t>
      </w:r>
      <w:r w:rsidR="006C5426">
        <w:rPr>
          <w:rFonts w:ascii="Palatino Linotype" w:hAnsi="Palatino Linotype" w:cs="Tahoma"/>
          <w:iCs/>
          <w:sz w:val="22"/>
          <w:szCs w:val="22"/>
        </w:rPr>
        <w:t>Electricidad</w:t>
      </w:r>
      <w:r>
        <w:rPr>
          <w:rFonts w:ascii="Palatino Linotype" w:hAnsi="Palatino Linotype" w:cs="Tahoma"/>
          <w:iCs/>
          <w:sz w:val="22"/>
          <w:szCs w:val="22"/>
        </w:rPr>
        <w:t xml:space="preserve"> sería</w:t>
      </w:r>
      <w:r w:rsidR="00912F63">
        <w:rPr>
          <w:rFonts w:ascii="Palatino Linotype" w:hAnsi="Palatino Linotype" w:cs="Tahoma"/>
          <w:iCs/>
          <w:sz w:val="22"/>
          <w:szCs w:val="22"/>
        </w:rPr>
        <w:t>n los</w:t>
      </w:r>
      <w:r>
        <w:rPr>
          <w:rFonts w:ascii="Palatino Linotype" w:hAnsi="Palatino Linotype" w:cs="Tahoma"/>
          <w:iCs/>
          <w:sz w:val="22"/>
          <w:szCs w:val="22"/>
        </w:rPr>
        <w:t xml:space="preserve"> recibo</w:t>
      </w:r>
      <w:r w:rsidR="00912F63">
        <w:rPr>
          <w:rFonts w:ascii="Palatino Linotype" w:hAnsi="Palatino Linotype" w:cs="Tahoma"/>
          <w:iCs/>
          <w:sz w:val="22"/>
          <w:szCs w:val="22"/>
        </w:rPr>
        <w:t>s</w:t>
      </w:r>
      <w:r>
        <w:rPr>
          <w:rFonts w:ascii="Palatino Linotype" w:hAnsi="Palatino Linotype" w:cs="Tahoma"/>
          <w:iCs/>
          <w:sz w:val="22"/>
          <w:szCs w:val="22"/>
        </w:rPr>
        <w:t xml:space="preserve"> expedido</w:t>
      </w:r>
      <w:r w:rsidR="00912F63">
        <w:rPr>
          <w:rFonts w:ascii="Palatino Linotype" w:hAnsi="Palatino Linotype" w:cs="Tahoma"/>
          <w:iCs/>
          <w:sz w:val="22"/>
          <w:szCs w:val="22"/>
        </w:rPr>
        <w:t>s</w:t>
      </w:r>
      <w:r>
        <w:rPr>
          <w:rFonts w:ascii="Palatino Linotype" w:hAnsi="Palatino Linotype" w:cs="Tahoma"/>
          <w:iCs/>
          <w:sz w:val="22"/>
          <w:szCs w:val="22"/>
        </w:rPr>
        <w:t xml:space="preserve"> por dicho ente (</w:t>
      </w:r>
      <w:r w:rsidR="00912F63">
        <w:rPr>
          <w:rFonts w:ascii="Palatino Linotype" w:hAnsi="Palatino Linotype" w:cs="Tahoma"/>
          <w:iCs/>
          <w:sz w:val="22"/>
          <w:szCs w:val="22"/>
        </w:rPr>
        <w:t xml:space="preserve">los cuales fueron solicitados, en el presente caso), así como, su comprobante del pago realizado por el </w:t>
      </w:r>
      <w:r w:rsidR="007E7B6E">
        <w:rPr>
          <w:rFonts w:ascii="Palatino Linotype" w:hAnsi="Palatino Linotype" w:cs="Tahoma"/>
          <w:iCs/>
          <w:sz w:val="22"/>
          <w:szCs w:val="22"/>
        </w:rPr>
        <w:t>Municipio,</w:t>
      </w:r>
      <w:r w:rsidR="009F452B">
        <w:rPr>
          <w:rFonts w:ascii="Palatino Linotype" w:hAnsi="Palatino Linotype" w:cs="Tahoma"/>
          <w:iCs/>
          <w:sz w:val="22"/>
          <w:szCs w:val="22"/>
        </w:rPr>
        <w:t xml:space="preserve"> por ello,</w:t>
      </w:r>
      <w:r w:rsidR="007E7B6E">
        <w:rPr>
          <w:rFonts w:ascii="Palatino Linotype" w:hAnsi="Palatino Linotype" w:cs="Tahoma"/>
          <w:iCs/>
          <w:sz w:val="22"/>
          <w:szCs w:val="22"/>
        </w:rPr>
        <w:t xml:space="preserve"> </w:t>
      </w:r>
      <w:r w:rsidR="00912F63">
        <w:rPr>
          <w:rFonts w:ascii="Palatino Linotype" w:hAnsi="Palatino Linotype" w:cs="Tahoma"/>
          <w:iCs/>
          <w:sz w:val="22"/>
          <w:szCs w:val="22"/>
        </w:rPr>
        <w:t xml:space="preserve">se trae a colación un ejemplo del primero: </w:t>
      </w:r>
    </w:p>
    <w:p w14:paraId="7BEAB933" w14:textId="76CFD6CE" w:rsidR="00912F63" w:rsidRDefault="00912F63" w:rsidP="004A2A45">
      <w:pPr>
        <w:spacing w:line="360" w:lineRule="auto"/>
        <w:jc w:val="both"/>
        <w:rPr>
          <w:rFonts w:ascii="Palatino Linotype" w:hAnsi="Palatino Linotype" w:cs="Tahoma"/>
          <w:iCs/>
          <w:sz w:val="22"/>
          <w:szCs w:val="22"/>
        </w:rPr>
      </w:pPr>
    </w:p>
    <w:p w14:paraId="1E7091A7" w14:textId="1C0F7A91" w:rsidR="00912F63" w:rsidRPr="00BB0537" w:rsidRDefault="000F1B1E" w:rsidP="00912F63">
      <w:pPr>
        <w:spacing w:line="360" w:lineRule="auto"/>
        <w:jc w:val="center"/>
        <w:rPr>
          <w:rFonts w:ascii="Palatino Linotype" w:hAnsi="Palatino Linotype" w:cs="Tahoma"/>
          <w:iCs/>
          <w:sz w:val="22"/>
          <w:szCs w:val="22"/>
        </w:rPr>
      </w:pPr>
      <w:r>
        <w:rPr>
          <w:rFonts w:ascii="Palatino Linotype" w:hAnsi="Palatino Linotype" w:cs="Tahoma"/>
          <w:iCs/>
          <w:noProof/>
          <w:sz w:val="22"/>
          <w:szCs w:val="22"/>
          <w:lang w:eastAsia="es-MX"/>
        </w:rPr>
        <w:drawing>
          <wp:inline distT="0" distB="0" distL="0" distR="0" wp14:anchorId="7FC514B0" wp14:editId="1A0A669E">
            <wp:extent cx="4078605" cy="171323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8605" cy="1713230"/>
                    </a:xfrm>
                    <a:prstGeom prst="rect">
                      <a:avLst/>
                    </a:prstGeom>
                    <a:noFill/>
                  </pic:spPr>
                </pic:pic>
              </a:graphicData>
            </a:graphic>
          </wp:inline>
        </w:drawing>
      </w:r>
    </w:p>
    <w:p w14:paraId="17D6C1EC" w14:textId="789FEB81" w:rsidR="008164F6" w:rsidRDefault="008164F6" w:rsidP="004A2A45">
      <w:pPr>
        <w:spacing w:line="360" w:lineRule="auto"/>
        <w:jc w:val="both"/>
        <w:rPr>
          <w:rFonts w:ascii="Palatino Linotype" w:hAnsi="Palatino Linotype" w:cs="Tahoma"/>
          <w:iCs/>
          <w:sz w:val="22"/>
          <w:szCs w:val="22"/>
        </w:rPr>
      </w:pPr>
    </w:p>
    <w:p w14:paraId="2A1AAB27" w14:textId="133BF70E" w:rsidR="00912F63" w:rsidRDefault="00912F63" w:rsidP="004A2A45">
      <w:pPr>
        <w:spacing w:line="360" w:lineRule="auto"/>
        <w:jc w:val="both"/>
        <w:rPr>
          <w:rFonts w:ascii="Palatino Linotype" w:hAnsi="Palatino Linotype" w:cs="Tahoma"/>
          <w:iCs/>
          <w:sz w:val="22"/>
          <w:szCs w:val="22"/>
        </w:rPr>
      </w:pPr>
      <w:r>
        <w:rPr>
          <w:rFonts w:ascii="Palatino Linotype" w:hAnsi="Palatino Linotype" w:cs="Tahoma"/>
          <w:iCs/>
          <w:sz w:val="22"/>
          <w:szCs w:val="22"/>
        </w:rPr>
        <w:t>Además, se logra observar que entre sus datos principales se encuentra la ubicación del suministro, n</w:t>
      </w:r>
      <w:r w:rsidR="00043EE9">
        <w:rPr>
          <w:rFonts w:ascii="Palatino Linotype" w:hAnsi="Palatino Linotype" w:cs="Tahoma"/>
          <w:iCs/>
          <w:sz w:val="22"/>
          <w:szCs w:val="22"/>
        </w:rPr>
        <w:t xml:space="preserve">úmero de servicio, tarifa y medición, </w:t>
      </w:r>
      <w:r w:rsidR="00043EE9">
        <w:rPr>
          <w:rFonts w:ascii="Palatino Linotype" w:hAnsi="Palatino Linotype" w:cs="Tahoma"/>
          <w:b/>
          <w:bCs/>
          <w:iCs/>
          <w:sz w:val="22"/>
          <w:szCs w:val="22"/>
        </w:rPr>
        <w:t xml:space="preserve">total a pagar </w:t>
      </w:r>
      <w:r w:rsidR="00043EE9">
        <w:rPr>
          <w:rFonts w:ascii="Palatino Linotype" w:hAnsi="Palatino Linotype" w:cs="Tahoma"/>
          <w:iCs/>
          <w:sz w:val="22"/>
          <w:szCs w:val="22"/>
        </w:rPr>
        <w:t xml:space="preserve">y período facturado, y límite de pago, como se observa a continuación: </w:t>
      </w:r>
    </w:p>
    <w:p w14:paraId="7E818097" w14:textId="492F1D03" w:rsidR="00043EE9" w:rsidRDefault="00043EE9" w:rsidP="004A2A45">
      <w:pPr>
        <w:spacing w:line="360" w:lineRule="auto"/>
        <w:jc w:val="both"/>
        <w:rPr>
          <w:rFonts w:ascii="Palatino Linotype" w:hAnsi="Palatino Linotype" w:cs="Tahoma"/>
          <w:iCs/>
          <w:sz w:val="22"/>
          <w:szCs w:val="22"/>
        </w:rPr>
      </w:pPr>
    </w:p>
    <w:p w14:paraId="2F78D52E" w14:textId="4A904B1A" w:rsidR="00043EE9" w:rsidRDefault="000F1B1E" w:rsidP="00043EE9">
      <w:pPr>
        <w:spacing w:line="360" w:lineRule="auto"/>
        <w:ind w:left="567"/>
        <w:jc w:val="both"/>
        <w:rPr>
          <w:rFonts w:ascii="Palatino Linotype" w:hAnsi="Palatino Linotype" w:cs="Tahoma"/>
          <w:iCs/>
          <w:sz w:val="22"/>
          <w:szCs w:val="22"/>
        </w:rPr>
      </w:pPr>
      <w:r>
        <w:rPr>
          <w:rFonts w:ascii="Palatino Linotype" w:hAnsi="Palatino Linotype" w:cs="Tahoma"/>
          <w:iCs/>
          <w:noProof/>
          <w:sz w:val="22"/>
          <w:szCs w:val="22"/>
          <w:lang w:eastAsia="es-MX"/>
        </w:rPr>
        <w:lastRenderedPageBreak/>
        <w:drawing>
          <wp:inline distT="0" distB="0" distL="0" distR="0" wp14:anchorId="77F8C5C8" wp14:editId="458CEDEC">
            <wp:extent cx="5005070" cy="1676400"/>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5070" cy="1676400"/>
                    </a:xfrm>
                    <a:prstGeom prst="rect">
                      <a:avLst/>
                    </a:prstGeom>
                    <a:noFill/>
                  </pic:spPr>
                </pic:pic>
              </a:graphicData>
            </a:graphic>
          </wp:inline>
        </w:drawing>
      </w:r>
    </w:p>
    <w:p w14:paraId="1813D5D0" w14:textId="79E76B26" w:rsidR="00043EE9" w:rsidRPr="00043EE9" w:rsidRDefault="00043EE9" w:rsidP="00043EE9">
      <w:pPr>
        <w:spacing w:line="360" w:lineRule="auto"/>
        <w:ind w:left="567"/>
        <w:jc w:val="both"/>
        <w:rPr>
          <w:rFonts w:ascii="Palatino Linotype" w:hAnsi="Palatino Linotype" w:cs="Tahoma"/>
          <w:iCs/>
          <w:sz w:val="22"/>
          <w:szCs w:val="22"/>
        </w:rPr>
      </w:pPr>
    </w:p>
    <w:p w14:paraId="06B0423D" w14:textId="3E0687DE" w:rsidR="00912F63" w:rsidRDefault="000F1B1E" w:rsidP="000F1B1E">
      <w:pPr>
        <w:spacing w:line="360" w:lineRule="auto"/>
        <w:jc w:val="center"/>
        <w:rPr>
          <w:rFonts w:ascii="Palatino Linotype" w:hAnsi="Palatino Linotype" w:cs="Tahoma"/>
          <w:iCs/>
          <w:sz w:val="22"/>
          <w:szCs w:val="22"/>
        </w:rPr>
      </w:pPr>
      <w:r w:rsidRPr="003D1C70">
        <w:rPr>
          <w:rFonts w:eastAsia="Calibri" w:cs="Tahoma"/>
          <w:bCs/>
          <w:noProof/>
          <w:lang w:eastAsia="es-MX"/>
        </w:rPr>
        <mc:AlternateContent>
          <mc:Choice Requires="wps">
            <w:drawing>
              <wp:anchor distT="0" distB="0" distL="114300" distR="114300" simplePos="0" relativeHeight="251659264" behindDoc="0" locked="0" layoutInCell="1" allowOverlap="1" wp14:anchorId="4105B4E3" wp14:editId="7218E8D9">
                <wp:simplePos x="0" y="0"/>
                <wp:positionH relativeFrom="column">
                  <wp:posOffset>429895</wp:posOffset>
                </wp:positionH>
                <wp:positionV relativeFrom="paragraph">
                  <wp:posOffset>1381125</wp:posOffset>
                </wp:positionV>
                <wp:extent cx="2247900" cy="504825"/>
                <wp:effectExtent l="19050" t="19050" r="19050" b="28575"/>
                <wp:wrapNone/>
                <wp:docPr id="37" name="Rectángulo 37"/>
                <wp:cNvGraphicFramePr/>
                <a:graphic xmlns:a="http://schemas.openxmlformats.org/drawingml/2006/main">
                  <a:graphicData uri="http://schemas.microsoft.com/office/word/2010/wordprocessingShape">
                    <wps:wsp>
                      <wps:cNvSpPr/>
                      <wps:spPr>
                        <a:xfrm>
                          <a:off x="0" y="0"/>
                          <a:ext cx="2247900" cy="50482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C7B798" id="Rectángulo 37" o:spid="_x0000_s1026" style="position:absolute;margin-left:33.85pt;margin-top:108.75pt;width:177pt;height:3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" filled="f" strokecolor="windowText" strokeweight="2.25pt"/>
            </w:pict>
          </mc:Fallback>
        </mc:AlternateContent>
      </w:r>
      <w:r>
        <w:rPr>
          <w:rFonts w:ascii="Palatino Linotype" w:hAnsi="Palatino Linotype" w:cs="Tahoma"/>
          <w:iCs/>
          <w:noProof/>
          <w:sz w:val="22"/>
          <w:szCs w:val="22"/>
          <w:lang w:eastAsia="es-MX"/>
        </w:rPr>
        <w:drawing>
          <wp:inline distT="0" distB="0" distL="0" distR="0" wp14:anchorId="70F82747" wp14:editId="76F8D99F">
            <wp:extent cx="5102860" cy="2377440"/>
            <wp:effectExtent l="0" t="0" r="254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2860" cy="2377440"/>
                    </a:xfrm>
                    <a:prstGeom prst="rect">
                      <a:avLst/>
                    </a:prstGeom>
                    <a:noFill/>
                  </pic:spPr>
                </pic:pic>
              </a:graphicData>
            </a:graphic>
          </wp:inline>
        </w:drawing>
      </w:r>
    </w:p>
    <w:p w14:paraId="1ADDD438" w14:textId="0B6D410D" w:rsidR="00043EE9" w:rsidRDefault="00043EE9" w:rsidP="004A2A45">
      <w:pPr>
        <w:spacing w:line="360" w:lineRule="auto"/>
        <w:jc w:val="both"/>
        <w:rPr>
          <w:rFonts w:ascii="Palatino Linotype" w:hAnsi="Palatino Linotype" w:cs="Tahoma"/>
          <w:iCs/>
          <w:sz w:val="22"/>
          <w:szCs w:val="22"/>
        </w:rPr>
      </w:pPr>
      <w:r>
        <w:rPr>
          <w:rFonts w:ascii="Palatino Linotype" w:hAnsi="Palatino Linotype" w:cs="Tahoma"/>
          <w:iCs/>
          <w:sz w:val="22"/>
          <w:szCs w:val="22"/>
        </w:rPr>
        <w:t xml:space="preserve">Además, que el multicitado recibo, cuenta con un apartado denominado “Desglose del importe a pagar”, el cual contiene, entre otros datos, el adeudo anterior y el Derecho de Alumbrado Público (DAP), tal como se muestra en el siguiente ejemplo: </w:t>
      </w:r>
    </w:p>
    <w:p w14:paraId="664809DE" w14:textId="70DF38C9" w:rsidR="00043EE9" w:rsidRDefault="00043EE9" w:rsidP="004A2A45">
      <w:pPr>
        <w:spacing w:line="360" w:lineRule="auto"/>
        <w:jc w:val="both"/>
        <w:rPr>
          <w:rFonts w:ascii="Palatino Linotype" w:hAnsi="Palatino Linotype" w:cs="Tahoma"/>
          <w:iCs/>
          <w:sz w:val="22"/>
          <w:szCs w:val="22"/>
        </w:rPr>
      </w:pPr>
    </w:p>
    <w:p w14:paraId="3E9257FA" w14:textId="4C77B19A" w:rsidR="00043EE9" w:rsidRDefault="00CF19C8" w:rsidP="00043EE9">
      <w:pPr>
        <w:spacing w:line="360" w:lineRule="auto"/>
        <w:ind w:left="2127"/>
        <w:jc w:val="both"/>
        <w:rPr>
          <w:rFonts w:ascii="Palatino Linotype" w:hAnsi="Palatino Linotype" w:cs="Tahoma"/>
          <w:iCs/>
          <w:sz w:val="22"/>
          <w:szCs w:val="22"/>
        </w:rPr>
      </w:pPr>
      <w:r w:rsidRPr="003D1C70">
        <w:rPr>
          <w:noProof/>
          <w:lang w:eastAsia="es-MX"/>
        </w:rPr>
        <mc:AlternateContent>
          <mc:Choice Requires="wps">
            <w:drawing>
              <wp:anchor distT="0" distB="0" distL="114300" distR="114300" simplePos="0" relativeHeight="251663360" behindDoc="0" locked="0" layoutInCell="1" allowOverlap="1" wp14:anchorId="6CAB6B9C" wp14:editId="08A01FB6">
                <wp:simplePos x="0" y="0"/>
                <wp:positionH relativeFrom="margin">
                  <wp:posOffset>1609725</wp:posOffset>
                </wp:positionH>
                <wp:positionV relativeFrom="paragraph">
                  <wp:posOffset>846455</wp:posOffset>
                </wp:positionV>
                <wp:extent cx="2190750" cy="219075"/>
                <wp:effectExtent l="19050" t="19050" r="19050" b="28575"/>
                <wp:wrapNone/>
                <wp:docPr id="39" name="Rectángulo 39"/>
                <wp:cNvGraphicFramePr/>
                <a:graphic xmlns:a="http://schemas.openxmlformats.org/drawingml/2006/main">
                  <a:graphicData uri="http://schemas.microsoft.com/office/word/2010/wordprocessingShape">
                    <wps:wsp>
                      <wps:cNvSpPr/>
                      <wps:spPr>
                        <a:xfrm>
                          <a:off x="0" y="0"/>
                          <a:ext cx="2190750" cy="219075"/>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6935ACB">
              <v:rect id="Rectángulo 39" style="position:absolute;margin-left:126.75pt;margin-top:66.65pt;width:172.5pt;height:17.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windowText" strokeweight="3pt" w14:anchorId="667BD5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">
                <w10:wrap anchorx="margin"/>
              </v:rect>
            </w:pict>
          </mc:Fallback>
        </mc:AlternateContent>
      </w:r>
      <w:r w:rsidR="00043EE9" w:rsidRPr="003D1C70">
        <w:rPr>
          <w:noProof/>
          <w:lang w:eastAsia="es-MX"/>
        </w:rPr>
        <mc:AlternateContent>
          <mc:Choice Requires="wps">
            <w:drawing>
              <wp:anchor distT="0" distB="0" distL="114300" distR="114300" simplePos="0" relativeHeight="251661312" behindDoc="0" locked="0" layoutInCell="1" allowOverlap="1" wp14:anchorId="00A0C7F8" wp14:editId="0A9F2EB7">
                <wp:simplePos x="0" y="0"/>
                <wp:positionH relativeFrom="column">
                  <wp:posOffset>1609725</wp:posOffset>
                </wp:positionH>
                <wp:positionV relativeFrom="paragraph">
                  <wp:posOffset>370840</wp:posOffset>
                </wp:positionV>
                <wp:extent cx="2171700" cy="171450"/>
                <wp:effectExtent l="19050" t="19050" r="19050" b="19050"/>
                <wp:wrapNone/>
                <wp:docPr id="38" name="Rectángulo 38"/>
                <wp:cNvGraphicFramePr/>
                <a:graphic xmlns:a="http://schemas.openxmlformats.org/drawingml/2006/main">
                  <a:graphicData uri="http://schemas.microsoft.com/office/word/2010/wordprocessingShape">
                    <wps:wsp>
                      <wps:cNvSpPr/>
                      <wps:spPr>
                        <a:xfrm>
                          <a:off x="0" y="0"/>
                          <a:ext cx="2171700" cy="171450"/>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8EC9428">
              <v:rect id="Rectángulo 38" style="position:absolute;margin-left:126.75pt;margin-top:29.2pt;width:171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3pt" w14:anchorId="52D30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"/>
            </w:pict>
          </mc:Fallback>
        </mc:AlternateContent>
      </w:r>
      <w:bookmarkStart w:id="6" w:name="_GoBack"/>
      <w:bookmarkEnd w:id="6"/>
      <w:r w:rsidR="000F1B1E">
        <w:rPr>
          <w:rFonts w:ascii="Palatino Linotype" w:hAnsi="Palatino Linotype" w:cs="Tahoma"/>
          <w:iCs/>
          <w:noProof/>
          <w:sz w:val="22"/>
          <w:szCs w:val="22"/>
          <w:lang w:eastAsia="es-MX"/>
        </w:rPr>
        <w:drawing>
          <wp:inline distT="0" distB="0" distL="0" distR="0" wp14:anchorId="15610A96" wp14:editId="0A507A7D">
            <wp:extent cx="2761615" cy="1134110"/>
            <wp:effectExtent l="0" t="0" r="635"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1615" cy="1134110"/>
                    </a:xfrm>
                    <a:prstGeom prst="rect">
                      <a:avLst/>
                    </a:prstGeom>
                    <a:noFill/>
                  </pic:spPr>
                </pic:pic>
              </a:graphicData>
            </a:graphic>
          </wp:inline>
        </w:drawing>
      </w:r>
    </w:p>
    <w:p w14:paraId="07F2DF4D" w14:textId="77777777" w:rsidR="00043EE9" w:rsidRDefault="00043EE9" w:rsidP="004A2A45">
      <w:pPr>
        <w:spacing w:line="360" w:lineRule="auto"/>
        <w:jc w:val="both"/>
        <w:rPr>
          <w:rFonts w:ascii="Palatino Linotype" w:hAnsi="Palatino Linotype" w:cs="Tahoma"/>
          <w:iCs/>
          <w:sz w:val="22"/>
          <w:szCs w:val="22"/>
        </w:rPr>
      </w:pPr>
    </w:p>
    <w:p w14:paraId="0DFE8472" w14:textId="6DF951A5" w:rsidR="009F452B" w:rsidRDefault="009F452B" w:rsidP="004A2A45">
      <w:pPr>
        <w:spacing w:line="360" w:lineRule="auto"/>
        <w:jc w:val="both"/>
        <w:rPr>
          <w:rFonts w:ascii="Palatino Linotype" w:hAnsi="Palatino Linotype" w:cs="Tahoma"/>
          <w:iCs/>
          <w:sz w:val="22"/>
          <w:szCs w:val="22"/>
        </w:rPr>
      </w:pPr>
    </w:p>
    <w:p w14:paraId="540C687A" w14:textId="261A68CC" w:rsidR="00C67123" w:rsidRDefault="00C85169" w:rsidP="004A2A45">
      <w:pPr>
        <w:spacing w:line="360" w:lineRule="auto"/>
        <w:jc w:val="both"/>
        <w:rPr>
          <w:rFonts w:ascii="Palatino Linotype" w:hAnsi="Palatino Linotype" w:cs="Tahoma"/>
          <w:iCs/>
          <w:sz w:val="22"/>
          <w:szCs w:val="22"/>
        </w:rPr>
      </w:pPr>
      <w:r>
        <w:rPr>
          <w:rFonts w:ascii="Palatino Linotype" w:hAnsi="Palatino Linotype" w:cs="Tahoma"/>
          <w:iCs/>
          <w:sz w:val="22"/>
          <w:szCs w:val="22"/>
        </w:rPr>
        <w:lastRenderedPageBreak/>
        <w:t xml:space="preserve">Una vez referido esto, no pasa desapercibido mencionar que </w:t>
      </w:r>
      <w:r w:rsidR="00883999">
        <w:rPr>
          <w:rFonts w:ascii="Palatino Linotype" w:hAnsi="Palatino Linotype" w:cs="Tahoma"/>
          <w:iCs/>
          <w:sz w:val="22"/>
          <w:szCs w:val="22"/>
        </w:rPr>
        <w:t xml:space="preserve">el Particular en su solicitud de información precisó que requería conocer los “avisos recibos”, sin embargo, el Sujeto Obligado en su informe </w:t>
      </w:r>
      <w:r w:rsidR="00883999">
        <w:rPr>
          <w:rFonts w:ascii="Palatino Linotype" w:hAnsi="Palatino Linotype" w:cs="Tahoma"/>
          <w:iCs/>
          <w:sz w:val="22"/>
          <w:szCs w:val="22"/>
        </w:rPr>
        <w:tab/>
        <w:t xml:space="preserve">justificado </w:t>
      </w:r>
      <w:r w:rsidR="008C3A58">
        <w:rPr>
          <w:rFonts w:ascii="Palatino Linotype" w:hAnsi="Palatino Linotype" w:cs="Tahoma"/>
          <w:iCs/>
          <w:sz w:val="22"/>
          <w:szCs w:val="22"/>
        </w:rPr>
        <w:t xml:space="preserve">refirió no haber encontrado “aviso recibido”, de lo cual se puede colegir </w:t>
      </w:r>
      <w:r w:rsidR="00FA0668">
        <w:rPr>
          <w:rFonts w:ascii="Palatino Linotype" w:hAnsi="Palatino Linotype" w:cs="Tahoma"/>
          <w:iCs/>
          <w:sz w:val="22"/>
          <w:szCs w:val="22"/>
        </w:rPr>
        <w:t>que existió una inadecuada interpretación del requerimiento, es por lo que, en atención a ello y derivado de lo antes expuesto, s</w:t>
      </w:r>
      <w:r w:rsidR="006C5426">
        <w:rPr>
          <w:rFonts w:ascii="Palatino Linotype" w:hAnsi="Palatino Linotype" w:cs="Tahoma"/>
          <w:iCs/>
          <w:sz w:val="22"/>
          <w:szCs w:val="22"/>
        </w:rPr>
        <w:t xml:space="preserve">e considera procedente ordenar la entrega de </w:t>
      </w:r>
      <w:r w:rsidR="00F352AF">
        <w:rPr>
          <w:rFonts w:ascii="Palatino Linotype" w:hAnsi="Palatino Linotype" w:cs="Tahoma"/>
          <w:iCs/>
          <w:sz w:val="22"/>
          <w:szCs w:val="22"/>
        </w:rPr>
        <w:t xml:space="preserve">los </w:t>
      </w:r>
      <w:r w:rsidR="004507D2">
        <w:rPr>
          <w:rFonts w:ascii="Palatino Linotype" w:hAnsi="Palatino Linotype" w:cs="Tahoma"/>
          <w:iCs/>
          <w:sz w:val="22"/>
          <w:szCs w:val="22"/>
        </w:rPr>
        <w:t>recibos emitidos</w:t>
      </w:r>
      <w:r w:rsidR="00EF6227">
        <w:rPr>
          <w:rFonts w:ascii="Palatino Linotype" w:hAnsi="Palatino Linotype" w:cs="Tahoma"/>
          <w:iCs/>
          <w:sz w:val="22"/>
          <w:szCs w:val="22"/>
        </w:rPr>
        <w:t xml:space="preserve"> mensualmente</w:t>
      </w:r>
      <w:r w:rsidR="004507D2">
        <w:rPr>
          <w:rFonts w:ascii="Palatino Linotype" w:hAnsi="Palatino Linotype" w:cs="Tahoma"/>
          <w:iCs/>
          <w:sz w:val="22"/>
          <w:szCs w:val="22"/>
        </w:rPr>
        <w:t xml:space="preserve"> por la Comisión Federal de Electricidad</w:t>
      </w:r>
      <w:r w:rsidR="00EF6227">
        <w:rPr>
          <w:rFonts w:ascii="Palatino Linotype" w:hAnsi="Palatino Linotype" w:cs="Tahoma"/>
          <w:iCs/>
          <w:sz w:val="22"/>
          <w:szCs w:val="22"/>
        </w:rPr>
        <w:t xml:space="preserve">, </w:t>
      </w:r>
      <w:r w:rsidR="004507D2">
        <w:rPr>
          <w:rFonts w:ascii="Palatino Linotype" w:hAnsi="Palatino Linotype" w:cs="Tahoma"/>
          <w:iCs/>
          <w:sz w:val="22"/>
          <w:szCs w:val="22"/>
        </w:rPr>
        <w:t xml:space="preserve">del uno de enero de dos mil veinte al treinta y uno de octubre de dos mil veintiuno, </w:t>
      </w:r>
      <w:r w:rsidR="00DF30CB">
        <w:rPr>
          <w:rFonts w:ascii="Palatino Linotype" w:hAnsi="Palatino Linotype" w:cs="Tahoma"/>
          <w:iCs/>
          <w:sz w:val="22"/>
          <w:szCs w:val="22"/>
        </w:rPr>
        <w:t xml:space="preserve">previa búsqueda exhaustiva y </w:t>
      </w:r>
      <w:r w:rsidR="00F352AF">
        <w:rPr>
          <w:rFonts w:ascii="Palatino Linotype" w:hAnsi="Palatino Linotype" w:cs="Tahoma"/>
          <w:iCs/>
          <w:sz w:val="22"/>
          <w:szCs w:val="22"/>
        </w:rPr>
        <w:t>razonable en los archivo</w:t>
      </w:r>
      <w:r w:rsidR="00C67123">
        <w:rPr>
          <w:rFonts w:ascii="Palatino Linotype" w:hAnsi="Palatino Linotype" w:cs="Tahoma"/>
          <w:iCs/>
          <w:sz w:val="22"/>
          <w:szCs w:val="22"/>
        </w:rPr>
        <w:t>s</w:t>
      </w:r>
      <w:r w:rsidR="00F352AF">
        <w:rPr>
          <w:rFonts w:ascii="Palatino Linotype" w:hAnsi="Palatino Linotype" w:cs="Tahoma"/>
          <w:iCs/>
          <w:sz w:val="22"/>
          <w:szCs w:val="22"/>
        </w:rPr>
        <w:t xml:space="preserve"> </w:t>
      </w:r>
      <w:r w:rsidR="00DF30CB">
        <w:rPr>
          <w:rFonts w:ascii="Palatino Linotype" w:hAnsi="Palatino Linotype" w:cs="Tahoma"/>
          <w:iCs/>
          <w:sz w:val="22"/>
          <w:szCs w:val="22"/>
        </w:rPr>
        <w:t xml:space="preserve">de las áreas competentes </w:t>
      </w:r>
      <w:r w:rsidR="00F352AF">
        <w:rPr>
          <w:rFonts w:ascii="Palatino Linotype" w:hAnsi="Palatino Linotype" w:cs="Tahoma"/>
          <w:iCs/>
          <w:sz w:val="22"/>
          <w:szCs w:val="22"/>
        </w:rPr>
        <w:t>del Sujeto Obligado</w:t>
      </w:r>
      <w:r w:rsidR="00DF30CB">
        <w:rPr>
          <w:rFonts w:ascii="Palatino Linotype" w:hAnsi="Palatino Linotype" w:cs="Tahoma"/>
          <w:iCs/>
          <w:sz w:val="22"/>
          <w:szCs w:val="22"/>
        </w:rPr>
        <w:t xml:space="preserve">. </w:t>
      </w:r>
    </w:p>
    <w:p w14:paraId="062ECB7A" w14:textId="77777777" w:rsidR="00ED29C0" w:rsidRDefault="00ED29C0" w:rsidP="004A2A45">
      <w:pPr>
        <w:spacing w:line="360" w:lineRule="auto"/>
        <w:jc w:val="both"/>
        <w:rPr>
          <w:rFonts w:ascii="Palatino Linotype" w:hAnsi="Palatino Linotype" w:cs="Tahoma"/>
          <w:iCs/>
          <w:sz w:val="22"/>
          <w:szCs w:val="22"/>
        </w:rPr>
      </w:pPr>
    </w:p>
    <w:p w14:paraId="54C30300" w14:textId="6BC8EDF2" w:rsidR="00043EE9" w:rsidRPr="00ED29C0" w:rsidRDefault="003529A5" w:rsidP="00ED29C0">
      <w:pPr>
        <w:pStyle w:val="Prrafodelista"/>
        <w:numPr>
          <w:ilvl w:val="0"/>
          <w:numId w:val="47"/>
        </w:numPr>
        <w:spacing w:line="360" w:lineRule="auto"/>
        <w:ind w:left="426"/>
        <w:jc w:val="both"/>
        <w:rPr>
          <w:rFonts w:ascii="Palatino Linotype" w:hAnsi="Palatino Linotype" w:cs="Tahoma"/>
          <w:b/>
          <w:bCs/>
          <w:iCs/>
          <w:szCs w:val="22"/>
        </w:rPr>
      </w:pPr>
      <w:r w:rsidRPr="00ED29C0">
        <w:rPr>
          <w:rFonts w:ascii="Palatino Linotype" w:hAnsi="Palatino Linotype" w:cs="Tahoma"/>
          <w:b/>
          <w:bCs/>
          <w:iCs/>
          <w:szCs w:val="22"/>
        </w:rPr>
        <w:t xml:space="preserve">Requerimiento </w:t>
      </w:r>
      <w:r w:rsidR="00301A50">
        <w:rPr>
          <w:rFonts w:ascii="Palatino Linotype" w:hAnsi="Palatino Linotype" w:cs="Tahoma"/>
          <w:b/>
          <w:bCs/>
          <w:iCs/>
          <w:szCs w:val="22"/>
        </w:rPr>
        <w:t>3</w:t>
      </w:r>
      <w:r w:rsidRPr="00ED29C0">
        <w:rPr>
          <w:rFonts w:ascii="Palatino Linotype" w:hAnsi="Palatino Linotype" w:cs="Tahoma"/>
          <w:b/>
          <w:bCs/>
          <w:iCs/>
          <w:szCs w:val="22"/>
        </w:rPr>
        <w:t xml:space="preserve">. </w:t>
      </w:r>
    </w:p>
    <w:p w14:paraId="22FBE944" w14:textId="42895C06" w:rsidR="004254E9" w:rsidRPr="004254E9" w:rsidRDefault="004254E9" w:rsidP="004254E9">
      <w:pPr>
        <w:spacing w:line="360" w:lineRule="auto"/>
        <w:jc w:val="both"/>
        <w:rPr>
          <w:rFonts w:ascii="Palatino Linotype" w:hAnsi="Palatino Linotype" w:cs="Tahoma"/>
          <w:iCs/>
          <w:szCs w:val="22"/>
        </w:rPr>
      </w:pPr>
    </w:p>
    <w:p w14:paraId="2AEBD7B5" w14:textId="71F8093B" w:rsidR="003529A5" w:rsidRPr="002A7404" w:rsidRDefault="002A7404" w:rsidP="004D02ED">
      <w:pPr>
        <w:pStyle w:val="Prrafodelista"/>
        <w:numPr>
          <w:ilvl w:val="0"/>
          <w:numId w:val="44"/>
        </w:numPr>
        <w:spacing w:line="360" w:lineRule="auto"/>
        <w:ind w:left="993" w:right="539"/>
        <w:jc w:val="both"/>
        <w:rPr>
          <w:rFonts w:ascii="Palatino Linotype" w:hAnsi="Palatino Linotype" w:cs="Tahoma"/>
          <w:iCs/>
          <w:szCs w:val="22"/>
        </w:rPr>
      </w:pPr>
      <w:r>
        <w:rPr>
          <w:rFonts w:ascii="Palatino Linotype" w:hAnsi="Palatino Linotype" w:cs="Tahoma"/>
          <w:i/>
          <w:iCs/>
          <w:szCs w:val="22"/>
        </w:rPr>
        <w:t xml:space="preserve">El </w:t>
      </w:r>
      <w:r w:rsidR="003529A5" w:rsidRPr="002A7404">
        <w:rPr>
          <w:rFonts w:ascii="Palatino Linotype" w:hAnsi="Palatino Linotype" w:cs="Tahoma"/>
          <w:i/>
          <w:iCs/>
          <w:szCs w:val="22"/>
        </w:rPr>
        <w:t xml:space="preserve">censo </w:t>
      </w:r>
      <w:r w:rsidR="003529A5" w:rsidRPr="002A7404">
        <w:rPr>
          <w:rFonts w:ascii="Palatino Linotype" w:hAnsi="Palatino Linotype" w:cs="Tahoma"/>
          <w:iCs/>
          <w:szCs w:val="22"/>
        </w:rPr>
        <w:t>de alumbrado público</w:t>
      </w:r>
      <w:r w:rsidR="004D02ED">
        <w:rPr>
          <w:rFonts w:ascii="Palatino Linotype" w:hAnsi="Palatino Linotype" w:cs="Tahoma"/>
          <w:iCs/>
          <w:szCs w:val="22"/>
        </w:rPr>
        <w:t xml:space="preserve"> </w:t>
      </w:r>
      <w:r w:rsidR="003529A5" w:rsidRPr="002A7404">
        <w:rPr>
          <w:rFonts w:ascii="Palatino Linotype" w:hAnsi="Palatino Linotype" w:cs="Tahoma"/>
          <w:iCs/>
          <w:szCs w:val="22"/>
        </w:rPr>
        <w:t>de los ejercicios 2020 o en su caso, el censo más reciente del municipio en colaboración de la CFE, en el que se desglose la siguiente información:</w:t>
      </w:r>
    </w:p>
    <w:p w14:paraId="34BEFFD7" w14:textId="77777777" w:rsidR="003529A5" w:rsidRPr="003529A5" w:rsidRDefault="003529A5" w:rsidP="003529A5">
      <w:pPr>
        <w:spacing w:line="360" w:lineRule="auto"/>
        <w:jc w:val="both"/>
        <w:rPr>
          <w:rFonts w:ascii="Palatino Linotype" w:hAnsi="Palatino Linotype" w:cs="Tahoma"/>
          <w:iCs/>
          <w:sz w:val="22"/>
          <w:szCs w:val="22"/>
          <w:lang w:bidi="es-ES"/>
        </w:rPr>
      </w:pPr>
    </w:p>
    <w:p w14:paraId="0AA52D2E" w14:textId="77777777" w:rsidR="002A7404" w:rsidRDefault="003529A5" w:rsidP="002A7404">
      <w:pPr>
        <w:pStyle w:val="Prrafodelista"/>
        <w:numPr>
          <w:ilvl w:val="0"/>
          <w:numId w:val="38"/>
        </w:numPr>
        <w:spacing w:line="360" w:lineRule="auto"/>
        <w:ind w:left="993" w:right="539"/>
        <w:jc w:val="both"/>
        <w:rPr>
          <w:rFonts w:ascii="Palatino Linotype" w:hAnsi="Palatino Linotype" w:cs="Tahoma"/>
          <w:iCs/>
          <w:szCs w:val="22"/>
        </w:rPr>
      </w:pPr>
      <w:r w:rsidRPr="002A7404">
        <w:rPr>
          <w:rFonts w:ascii="Palatino Linotype" w:hAnsi="Palatino Linotype" w:cs="Tahoma"/>
          <w:iCs/>
          <w:szCs w:val="22"/>
        </w:rPr>
        <w:t>Cantidad de luminarias y balastros, el tipo de equipos, la capacidad (potencia), la ubicación (calle y/o colonia y/o delegación), y el tipo de poste en el que están montadas las luminarias (lámina, concreto, madera etcétera).</w:t>
      </w:r>
    </w:p>
    <w:p w14:paraId="2DB49A67" w14:textId="3612CF3D" w:rsidR="003529A5" w:rsidRPr="002A7404" w:rsidRDefault="003529A5" w:rsidP="002A7404">
      <w:pPr>
        <w:pStyle w:val="Prrafodelista"/>
        <w:numPr>
          <w:ilvl w:val="0"/>
          <w:numId w:val="38"/>
        </w:numPr>
        <w:spacing w:line="360" w:lineRule="auto"/>
        <w:ind w:left="993" w:right="539"/>
        <w:jc w:val="both"/>
        <w:rPr>
          <w:rFonts w:ascii="Palatino Linotype" w:hAnsi="Palatino Linotype" w:cs="Tahoma"/>
          <w:iCs/>
          <w:szCs w:val="22"/>
        </w:rPr>
      </w:pPr>
      <w:r w:rsidRPr="002A7404">
        <w:rPr>
          <w:rFonts w:ascii="Palatino Linotype" w:hAnsi="Palatino Linotype" w:cs="Tahoma"/>
          <w:iCs/>
          <w:szCs w:val="22"/>
        </w:rPr>
        <w:t>El Registro Permanente de Usuario (RPU o RPUs) asignado (s) al servicio de alumbrado público municipal tanto del servicio estimado como del servicio medido.</w:t>
      </w:r>
    </w:p>
    <w:p w14:paraId="4091538C" w14:textId="77777777" w:rsidR="002A7404" w:rsidRDefault="003529A5" w:rsidP="002A7404">
      <w:pPr>
        <w:numPr>
          <w:ilvl w:val="0"/>
          <w:numId w:val="38"/>
        </w:numPr>
        <w:spacing w:line="360" w:lineRule="auto"/>
        <w:ind w:left="993" w:right="539"/>
        <w:jc w:val="both"/>
        <w:rPr>
          <w:rFonts w:ascii="Palatino Linotype" w:hAnsi="Palatino Linotype" w:cs="Tahoma"/>
          <w:iCs/>
          <w:sz w:val="22"/>
          <w:szCs w:val="22"/>
        </w:rPr>
      </w:pPr>
      <w:r w:rsidRPr="003529A5">
        <w:rPr>
          <w:rFonts w:ascii="Palatino Linotype" w:hAnsi="Palatino Linotype" w:cs="Tahoma"/>
          <w:iCs/>
          <w:sz w:val="22"/>
          <w:szCs w:val="22"/>
        </w:rPr>
        <w:t>La cantidad desglosada de luminarias y balastros instalados, el tipo de equipos y su capacidad (potencia) instalados en las avenidas principales del municipio.</w:t>
      </w:r>
    </w:p>
    <w:p w14:paraId="38BBA04E" w14:textId="4CBE6E11" w:rsidR="003529A5" w:rsidRPr="003529A5" w:rsidRDefault="003529A5" w:rsidP="002A7404">
      <w:pPr>
        <w:numPr>
          <w:ilvl w:val="0"/>
          <w:numId w:val="38"/>
        </w:numPr>
        <w:spacing w:line="360" w:lineRule="auto"/>
        <w:ind w:left="993" w:right="539"/>
        <w:jc w:val="both"/>
        <w:rPr>
          <w:rFonts w:ascii="Palatino Linotype" w:hAnsi="Palatino Linotype" w:cs="Tahoma"/>
          <w:iCs/>
          <w:sz w:val="22"/>
          <w:szCs w:val="22"/>
        </w:rPr>
      </w:pPr>
      <w:r w:rsidRPr="003529A5">
        <w:rPr>
          <w:rFonts w:ascii="Palatino Linotype" w:hAnsi="Palatino Linotype" w:cs="Tahoma"/>
          <w:iCs/>
          <w:sz w:val="22"/>
          <w:szCs w:val="22"/>
        </w:rPr>
        <w:t>La cantidad de luminarias y balastros instalados, el tipo de equipos y su capacidad (potencia) instalados que poseen equipo de medición.</w:t>
      </w:r>
    </w:p>
    <w:p w14:paraId="1E97FDB2" w14:textId="4ED133E5" w:rsidR="003529A5" w:rsidRDefault="003529A5" w:rsidP="004A2A45">
      <w:pPr>
        <w:spacing w:line="360" w:lineRule="auto"/>
        <w:jc w:val="both"/>
        <w:rPr>
          <w:rFonts w:ascii="Palatino Linotype" w:hAnsi="Palatino Linotype" w:cs="Tahoma"/>
          <w:b/>
          <w:bCs/>
          <w:iCs/>
          <w:sz w:val="22"/>
          <w:szCs w:val="22"/>
        </w:rPr>
      </w:pPr>
    </w:p>
    <w:p w14:paraId="4AC0BB06" w14:textId="2F156547" w:rsidR="00D6317A" w:rsidRDefault="00D6317A" w:rsidP="004A2A45">
      <w:pPr>
        <w:spacing w:line="360" w:lineRule="auto"/>
        <w:jc w:val="both"/>
        <w:rPr>
          <w:rFonts w:ascii="Palatino Linotype" w:hAnsi="Palatino Linotype" w:cs="Tahoma"/>
          <w:iCs/>
          <w:sz w:val="22"/>
          <w:szCs w:val="22"/>
        </w:rPr>
      </w:pPr>
      <w:r>
        <w:rPr>
          <w:rFonts w:ascii="Palatino Linotype" w:hAnsi="Palatino Linotype" w:cs="Tahoma"/>
          <w:iCs/>
          <w:sz w:val="22"/>
          <w:szCs w:val="22"/>
        </w:rPr>
        <w:lastRenderedPageBreak/>
        <w:t xml:space="preserve">En principio cabe señalar que un censo es un proceso por medio del cual se realiza el conteo y </w:t>
      </w:r>
      <w:r w:rsidR="002D0ADE">
        <w:rPr>
          <w:rFonts w:ascii="Palatino Linotype" w:hAnsi="Palatino Linotype" w:cs="Tahoma"/>
          <w:iCs/>
          <w:sz w:val="22"/>
          <w:szCs w:val="22"/>
        </w:rPr>
        <w:t>diagnóstico</w:t>
      </w:r>
      <w:r>
        <w:rPr>
          <w:rFonts w:ascii="Palatino Linotype" w:hAnsi="Palatino Linotype" w:cs="Tahoma"/>
          <w:iCs/>
          <w:sz w:val="22"/>
          <w:szCs w:val="22"/>
        </w:rPr>
        <w:t xml:space="preserve"> de un tema en específico; en ese orden de ideas, este Instituto localizó el documento denominado Procedimiento del Control de Servicios de Alumbrado Público </w:t>
      </w:r>
      <w:r w:rsidRPr="002C6077">
        <w:rPr>
          <w:rFonts w:ascii="Palatino Linotype" w:hAnsi="Palatino Linotype" w:cs="Tahoma"/>
          <w:iCs/>
        </w:rPr>
        <w:t xml:space="preserve">(consultado el </w:t>
      </w:r>
      <w:r w:rsidR="00D57AE6" w:rsidRPr="002C6077">
        <w:rPr>
          <w:rFonts w:ascii="Palatino Linotype" w:hAnsi="Palatino Linotype" w:cs="Tahoma"/>
          <w:iCs/>
        </w:rPr>
        <w:t xml:space="preserve">veinticinco de enero de dos mil veintidós, en la página electrónica </w:t>
      </w:r>
      <w:hyperlink r:id="rId15" w:history="1">
        <w:r w:rsidR="00D57AE6" w:rsidRPr="002C6077">
          <w:rPr>
            <w:rStyle w:val="Hipervnculo"/>
            <w:rFonts w:ascii="Palatino Linotype" w:hAnsi="Palatino Linotype" w:cs="Tahoma"/>
            <w:iCs/>
          </w:rPr>
          <w:t>https://www.gob.mx/cms/uploads/attachment/file/127275/Proc_Control_Servicios_Alumbrado_P_blico_2011.pdf</w:t>
        </w:r>
      </w:hyperlink>
      <w:r w:rsidR="00D57AE6" w:rsidRPr="002C6077">
        <w:rPr>
          <w:rFonts w:ascii="Palatino Linotype" w:hAnsi="Palatino Linotype" w:cs="Tahoma"/>
          <w:iCs/>
        </w:rPr>
        <w:t xml:space="preserve">, a las once horas con diez minutos) </w:t>
      </w:r>
      <w:r w:rsidR="00D57AE6">
        <w:rPr>
          <w:rFonts w:ascii="Palatino Linotype" w:hAnsi="Palatino Linotype" w:cs="Tahoma"/>
          <w:iCs/>
          <w:sz w:val="22"/>
          <w:szCs w:val="22"/>
        </w:rPr>
        <w:t xml:space="preserve">realizado por la Subdirección de Distribución de la Comisión Federal de Electricidad, que establece que los censos de alumbrado público deberán realizarse conjuntamente con los funcionarios autorizados por la autoridad municipal. </w:t>
      </w:r>
    </w:p>
    <w:p w14:paraId="3A9CBC04" w14:textId="77777777" w:rsidR="00ED29C0" w:rsidRDefault="00ED29C0" w:rsidP="004A2A45">
      <w:pPr>
        <w:spacing w:line="360" w:lineRule="auto"/>
        <w:jc w:val="both"/>
        <w:rPr>
          <w:rFonts w:ascii="Palatino Linotype" w:hAnsi="Palatino Linotype" w:cs="Tahoma"/>
          <w:iCs/>
          <w:sz w:val="22"/>
          <w:szCs w:val="22"/>
        </w:rPr>
      </w:pPr>
    </w:p>
    <w:p w14:paraId="79C47FDB" w14:textId="0BB30462" w:rsidR="00D57AE6" w:rsidRDefault="00D57AE6" w:rsidP="004A2A45">
      <w:pPr>
        <w:spacing w:line="360" w:lineRule="auto"/>
        <w:jc w:val="both"/>
        <w:rPr>
          <w:rFonts w:ascii="Palatino Linotype" w:hAnsi="Palatino Linotype" w:cs="Tahoma"/>
          <w:iCs/>
          <w:sz w:val="22"/>
          <w:szCs w:val="22"/>
        </w:rPr>
      </w:pPr>
      <w:r>
        <w:rPr>
          <w:rFonts w:ascii="Palatino Linotype" w:hAnsi="Palatino Linotype" w:cs="Tahoma"/>
          <w:iCs/>
          <w:sz w:val="22"/>
          <w:szCs w:val="22"/>
        </w:rPr>
        <w:t xml:space="preserve">Al respecto, la Comisión Federal de Electricidad debe notificar al Presidente Municipal, mediante oficio el programa de levantamiento del censo con un mes de anticipación; por otra parte, cabe </w:t>
      </w:r>
      <w:r w:rsidR="00C74E9B">
        <w:rPr>
          <w:rFonts w:ascii="Palatino Linotype" w:hAnsi="Palatino Linotype" w:cs="Tahoma"/>
          <w:iCs/>
          <w:sz w:val="22"/>
          <w:szCs w:val="22"/>
        </w:rPr>
        <w:t xml:space="preserve">precisar que la elaboración de los censos de alumbrado </w:t>
      </w:r>
      <w:r w:rsidR="002D0ADE">
        <w:rPr>
          <w:rFonts w:ascii="Palatino Linotype" w:hAnsi="Palatino Linotype" w:cs="Tahoma"/>
          <w:iCs/>
          <w:sz w:val="22"/>
          <w:szCs w:val="22"/>
        </w:rPr>
        <w:t>público</w:t>
      </w:r>
      <w:r w:rsidR="00C74E9B">
        <w:rPr>
          <w:rFonts w:ascii="Palatino Linotype" w:hAnsi="Palatino Linotype" w:cs="Tahoma"/>
          <w:iCs/>
          <w:sz w:val="22"/>
          <w:szCs w:val="22"/>
        </w:rPr>
        <w:t xml:space="preserve"> se debe realizar de la siguiente manera: </w:t>
      </w:r>
    </w:p>
    <w:p w14:paraId="0657957C" w14:textId="690E5956" w:rsidR="00C74E9B" w:rsidRDefault="00C74E9B" w:rsidP="004A2A45">
      <w:pPr>
        <w:spacing w:line="360" w:lineRule="auto"/>
        <w:jc w:val="both"/>
        <w:rPr>
          <w:rFonts w:ascii="Palatino Linotype" w:hAnsi="Palatino Linotype" w:cs="Tahoma"/>
          <w:iCs/>
          <w:sz w:val="22"/>
          <w:szCs w:val="22"/>
        </w:rPr>
      </w:pPr>
    </w:p>
    <w:p w14:paraId="45F84F59" w14:textId="77777777" w:rsidR="00C74E9B" w:rsidRPr="00C74E9B" w:rsidRDefault="00C74E9B" w:rsidP="00C74E9B">
      <w:pPr>
        <w:numPr>
          <w:ilvl w:val="0"/>
          <w:numId w:val="39"/>
        </w:numPr>
        <w:spacing w:line="360" w:lineRule="auto"/>
        <w:ind w:right="539"/>
        <w:jc w:val="both"/>
        <w:rPr>
          <w:rFonts w:ascii="Palatino Linotype" w:hAnsi="Palatino Linotype" w:cs="Tahoma"/>
          <w:bCs/>
          <w:iCs/>
          <w:sz w:val="22"/>
          <w:szCs w:val="22"/>
        </w:rPr>
      </w:pPr>
      <w:r w:rsidRPr="00C74E9B">
        <w:rPr>
          <w:rFonts w:ascii="Palatino Linotype" w:hAnsi="Palatino Linotype" w:cs="Tahoma"/>
          <w:bCs/>
          <w:iCs/>
          <w:sz w:val="22"/>
          <w:szCs w:val="22"/>
        </w:rPr>
        <w:t>Ciudades con más de 100,000 usuarios.</w:t>
      </w:r>
    </w:p>
    <w:p w14:paraId="6208DC80" w14:textId="77777777" w:rsidR="00C74E9B" w:rsidRPr="00C74E9B" w:rsidRDefault="00C74E9B" w:rsidP="00C74E9B">
      <w:pPr>
        <w:numPr>
          <w:ilvl w:val="0"/>
          <w:numId w:val="39"/>
        </w:numPr>
        <w:spacing w:line="360" w:lineRule="auto"/>
        <w:ind w:right="539"/>
        <w:jc w:val="both"/>
        <w:rPr>
          <w:rFonts w:ascii="Palatino Linotype" w:hAnsi="Palatino Linotype" w:cs="Tahoma"/>
          <w:bCs/>
          <w:iCs/>
          <w:sz w:val="22"/>
          <w:szCs w:val="22"/>
        </w:rPr>
      </w:pPr>
      <w:r w:rsidRPr="00C74E9B">
        <w:rPr>
          <w:rFonts w:ascii="Palatino Linotype" w:hAnsi="Palatino Linotype" w:cs="Tahoma"/>
          <w:bCs/>
          <w:iCs/>
          <w:sz w:val="22"/>
          <w:szCs w:val="22"/>
        </w:rPr>
        <w:t>El resto de las ciudades, cuando menos una vez al año.</w:t>
      </w:r>
    </w:p>
    <w:p w14:paraId="09000C2B" w14:textId="0A14C57E" w:rsidR="00C74E9B" w:rsidRPr="00C74E9B" w:rsidRDefault="00C74E9B" w:rsidP="00C74E9B">
      <w:pPr>
        <w:numPr>
          <w:ilvl w:val="0"/>
          <w:numId w:val="39"/>
        </w:numPr>
        <w:spacing w:line="360" w:lineRule="auto"/>
        <w:ind w:right="539"/>
        <w:jc w:val="both"/>
        <w:rPr>
          <w:rFonts w:ascii="Palatino Linotype" w:hAnsi="Palatino Linotype" w:cs="Tahoma"/>
          <w:bCs/>
          <w:iCs/>
          <w:sz w:val="22"/>
          <w:szCs w:val="22"/>
        </w:rPr>
      </w:pPr>
      <w:r w:rsidRPr="00C74E9B">
        <w:rPr>
          <w:rFonts w:ascii="Palatino Linotype" w:hAnsi="Palatino Linotype" w:cs="Tahoma"/>
          <w:b/>
          <w:bCs/>
          <w:iCs/>
          <w:sz w:val="22"/>
          <w:szCs w:val="22"/>
        </w:rPr>
        <w:t>Censos entregados a las administraciones estatales o municipales salientes:</w:t>
      </w:r>
      <w:r w:rsidRPr="00C74E9B">
        <w:rPr>
          <w:rFonts w:ascii="Palatino Linotype" w:hAnsi="Palatino Linotype" w:cs="Tahoma"/>
          <w:bCs/>
          <w:iCs/>
          <w:sz w:val="22"/>
          <w:szCs w:val="22"/>
        </w:rPr>
        <w:t xml:space="preserve"> En los casos en que las administraciones estatales o municipales se encuentren en el último año de gestión, el censo de alumbrado se deberá presentar con una anticipación de seis meses antes de la entrega de poderes a la nueva administración, a fin de evitar retrasos en la gestión de la autorización de cobro de los nuevos importes facturados o de los ajustes a la facturación que resulten de la actualización de los censos.</w:t>
      </w:r>
    </w:p>
    <w:p w14:paraId="31002126" w14:textId="0211DB67" w:rsidR="00AD4B80" w:rsidRDefault="00AD4B80" w:rsidP="004A2A45">
      <w:pPr>
        <w:spacing w:line="360" w:lineRule="auto"/>
        <w:jc w:val="both"/>
        <w:rPr>
          <w:rFonts w:ascii="Palatino Linotype" w:hAnsi="Palatino Linotype" w:cs="Tahoma"/>
          <w:iCs/>
          <w:sz w:val="22"/>
          <w:szCs w:val="22"/>
        </w:rPr>
      </w:pPr>
    </w:p>
    <w:p w14:paraId="021AAEE7" w14:textId="485A0556" w:rsidR="00AD4B80" w:rsidRDefault="00AD4B80" w:rsidP="004A2A45">
      <w:pPr>
        <w:spacing w:line="360" w:lineRule="auto"/>
        <w:jc w:val="both"/>
        <w:rPr>
          <w:rFonts w:ascii="Palatino Linotype" w:hAnsi="Palatino Linotype" w:cs="Tahoma"/>
          <w:iCs/>
          <w:sz w:val="22"/>
          <w:szCs w:val="22"/>
        </w:rPr>
      </w:pPr>
      <w:r>
        <w:rPr>
          <w:rFonts w:ascii="Palatino Linotype" w:hAnsi="Palatino Linotype" w:cs="Tahoma"/>
          <w:iCs/>
          <w:sz w:val="22"/>
          <w:szCs w:val="22"/>
        </w:rPr>
        <w:t xml:space="preserve">Además, dicho censo se conformará por los siguientes Anexos: </w:t>
      </w:r>
    </w:p>
    <w:p w14:paraId="408BA23D" w14:textId="47DBCA83" w:rsidR="00AD4B80" w:rsidRDefault="00AD4B80" w:rsidP="004A2A45">
      <w:pPr>
        <w:spacing w:line="360" w:lineRule="auto"/>
        <w:jc w:val="both"/>
        <w:rPr>
          <w:rFonts w:ascii="Palatino Linotype" w:hAnsi="Palatino Linotype" w:cs="Tahoma"/>
          <w:iCs/>
          <w:sz w:val="22"/>
          <w:szCs w:val="22"/>
        </w:rPr>
      </w:pPr>
    </w:p>
    <w:p w14:paraId="05C264C8" w14:textId="77777777" w:rsidR="00AD4B80" w:rsidRPr="00AD4B80" w:rsidRDefault="00AD4B80" w:rsidP="00AD4B80">
      <w:pPr>
        <w:numPr>
          <w:ilvl w:val="0"/>
          <w:numId w:val="40"/>
        </w:numPr>
        <w:spacing w:line="360" w:lineRule="auto"/>
        <w:jc w:val="both"/>
        <w:rPr>
          <w:rFonts w:ascii="Palatino Linotype" w:hAnsi="Palatino Linotype" w:cs="Tahoma"/>
          <w:bCs/>
          <w:iCs/>
          <w:sz w:val="22"/>
          <w:szCs w:val="22"/>
        </w:rPr>
      </w:pPr>
      <w:r w:rsidRPr="00AD4B80">
        <w:rPr>
          <w:rFonts w:ascii="Palatino Linotype" w:hAnsi="Palatino Linotype" w:cs="Tahoma"/>
          <w:bCs/>
          <w:iCs/>
          <w:sz w:val="22"/>
          <w:szCs w:val="22"/>
        </w:rPr>
        <w:t>Convenio;</w:t>
      </w:r>
    </w:p>
    <w:p w14:paraId="0DA10202" w14:textId="77777777" w:rsidR="00AD4B80" w:rsidRPr="00AD4B80" w:rsidRDefault="00AD4B80" w:rsidP="00AD4B80">
      <w:pPr>
        <w:numPr>
          <w:ilvl w:val="0"/>
          <w:numId w:val="40"/>
        </w:numPr>
        <w:spacing w:line="360" w:lineRule="auto"/>
        <w:jc w:val="both"/>
        <w:rPr>
          <w:rFonts w:ascii="Palatino Linotype" w:hAnsi="Palatino Linotype" w:cs="Tahoma"/>
          <w:bCs/>
          <w:iCs/>
          <w:sz w:val="22"/>
          <w:szCs w:val="22"/>
        </w:rPr>
      </w:pPr>
      <w:r w:rsidRPr="00AD4B80">
        <w:rPr>
          <w:rFonts w:ascii="Palatino Linotype" w:hAnsi="Palatino Linotype" w:cs="Tahoma"/>
          <w:bCs/>
          <w:iCs/>
          <w:sz w:val="22"/>
          <w:szCs w:val="22"/>
        </w:rPr>
        <w:lastRenderedPageBreak/>
        <w:t>Desglose del censo;</w:t>
      </w:r>
    </w:p>
    <w:p w14:paraId="74D6C6CA" w14:textId="77777777" w:rsidR="00AD4B80" w:rsidRPr="00AD4B80" w:rsidRDefault="00AD4B80" w:rsidP="00AD4B80">
      <w:pPr>
        <w:numPr>
          <w:ilvl w:val="0"/>
          <w:numId w:val="40"/>
        </w:numPr>
        <w:spacing w:line="360" w:lineRule="auto"/>
        <w:jc w:val="both"/>
        <w:rPr>
          <w:rFonts w:ascii="Palatino Linotype" w:hAnsi="Palatino Linotype" w:cs="Tahoma"/>
          <w:bCs/>
          <w:iCs/>
          <w:sz w:val="22"/>
          <w:szCs w:val="22"/>
        </w:rPr>
      </w:pPr>
      <w:r w:rsidRPr="00AD4B80">
        <w:rPr>
          <w:rFonts w:ascii="Palatino Linotype" w:hAnsi="Palatino Linotype" w:cs="Tahoma"/>
          <w:bCs/>
          <w:iCs/>
          <w:sz w:val="22"/>
          <w:szCs w:val="22"/>
        </w:rPr>
        <w:t>Resumen del censo;</w:t>
      </w:r>
    </w:p>
    <w:p w14:paraId="6E9518D5" w14:textId="77777777" w:rsidR="00AD4B80" w:rsidRPr="00AD4B80" w:rsidRDefault="00AD4B80" w:rsidP="00AD4B80">
      <w:pPr>
        <w:numPr>
          <w:ilvl w:val="0"/>
          <w:numId w:val="40"/>
        </w:numPr>
        <w:spacing w:line="360" w:lineRule="auto"/>
        <w:jc w:val="both"/>
        <w:rPr>
          <w:rFonts w:ascii="Palatino Linotype" w:hAnsi="Palatino Linotype" w:cs="Tahoma"/>
          <w:bCs/>
          <w:iCs/>
          <w:sz w:val="22"/>
          <w:szCs w:val="22"/>
        </w:rPr>
      </w:pPr>
      <w:r w:rsidRPr="00AD4B80">
        <w:rPr>
          <w:rFonts w:ascii="Palatino Linotype" w:hAnsi="Palatino Linotype" w:cs="Tahoma"/>
          <w:bCs/>
          <w:iCs/>
          <w:sz w:val="22"/>
          <w:szCs w:val="22"/>
        </w:rPr>
        <w:t>Minuta;</w:t>
      </w:r>
    </w:p>
    <w:p w14:paraId="68E6A17B" w14:textId="77777777" w:rsidR="00AD4B80" w:rsidRPr="00AD4B80" w:rsidRDefault="00AD4B80" w:rsidP="00AD4B80">
      <w:pPr>
        <w:numPr>
          <w:ilvl w:val="0"/>
          <w:numId w:val="40"/>
        </w:numPr>
        <w:spacing w:line="360" w:lineRule="auto"/>
        <w:jc w:val="both"/>
        <w:rPr>
          <w:rFonts w:ascii="Palatino Linotype" w:hAnsi="Palatino Linotype" w:cs="Tahoma"/>
          <w:bCs/>
          <w:iCs/>
          <w:sz w:val="22"/>
          <w:szCs w:val="22"/>
        </w:rPr>
      </w:pPr>
      <w:r w:rsidRPr="00AD4B80">
        <w:rPr>
          <w:rFonts w:ascii="Palatino Linotype" w:hAnsi="Palatino Linotype" w:cs="Tahoma"/>
          <w:bCs/>
          <w:iCs/>
          <w:sz w:val="22"/>
          <w:szCs w:val="22"/>
        </w:rPr>
        <w:t xml:space="preserve">Reporte de alta, bajas o modificaciones; </w:t>
      </w:r>
    </w:p>
    <w:p w14:paraId="72CDE07E" w14:textId="77777777" w:rsidR="00AD4B80" w:rsidRPr="00AD4B80" w:rsidRDefault="00AD4B80" w:rsidP="00AD4B80">
      <w:pPr>
        <w:numPr>
          <w:ilvl w:val="0"/>
          <w:numId w:val="40"/>
        </w:numPr>
        <w:spacing w:line="360" w:lineRule="auto"/>
        <w:jc w:val="both"/>
        <w:rPr>
          <w:rFonts w:ascii="Palatino Linotype" w:hAnsi="Palatino Linotype" w:cs="Tahoma"/>
          <w:bCs/>
          <w:iCs/>
          <w:sz w:val="22"/>
          <w:szCs w:val="22"/>
        </w:rPr>
      </w:pPr>
      <w:r w:rsidRPr="00AD4B80">
        <w:rPr>
          <w:rFonts w:ascii="Palatino Linotype" w:hAnsi="Palatino Linotype" w:cs="Tahoma"/>
          <w:bCs/>
          <w:iCs/>
          <w:sz w:val="22"/>
          <w:szCs w:val="22"/>
        </w:rPr>
        <w:t>Reporte de correcciones de lámparas 24 horas, y</w:t>
      </w:r>
    </w:p>
    <w:p w14:paraId="5F2A48CB" w14:textId="77777777" w:rsidR="00AD4B80" w:rsidRPr="00AD4B80" w:rsidRDefault="00AD4B80" w:rsidP="00AD4B80">
      <w:pPr>
        <w:numPr>
          <w:ilvl w:val="0"/>
          <w:numId w:val="40"/>
        </w:numPr>
        <w:spacing w:line="360" w:lineRule="auto"/>
        <w:jc w:val="both"/>
        <w:rPr>
          <w:rFonts w:ascii="Palatino Linotype" w:hAnsi="Palatino Linotype" w:cs="Tahoma"/>
          <w:bCs/>
          <w:iCs/>
          <w:sz w:val="22"/>
          <w:szCs w:val="22"/>
        </w:rPr>
      </w:pPr>
      <w:r w:rsidRPr="00AD4B80">
        <w:rPr>
          <w:rFonts w:ascii="Palatino Linotype" w:hAnsi="Palatino Linotype" w:cs="Tahoma"/>
          <w:bCs/>
          <w:iCs/>
          <w:sz w:val="22"/>
          <w:szCs w:val="22"/>
        </w:rPr>
        <w:t>Formato de verificación de ahorros de lámparas de alumbrado público con atenuador.</w:t>
      </w:r>
    </w:p>
    <w:p w14:paraId="55F4E0F3" w14:textId="77777777" w:rsidR="00AD4B80" w:rsidRPr="00D6317A" w:rsidRDefault="00AD4B80" w:rsidP="004A2A45">
      <w:pPr>
        <w:spacing w:line="360" w:lineRule="auto"/>
        <w:jc w:val="both"/>
        <w:rPr>
          <w:rFonts w:ascii="Palatino Linotype" w:hAnsi="Palatino Linotype" w:cs="Tahoma"/>
          <w:iCs/>
          <w:sz w:val="22"/>
          <w:szCs w:val="22"/>
        </w:rPr>
      </w:pPr>
    </w:p>
    <w:p w14:paraId="674F4AD3" w14:textId="4D7DF905" w:rsidR="003A3ADE" w:rsidRDefault="003A3ADE" w:rsidP="005B031E">
      <w:pPr>
        <w:spacing w:line="360" w:lineRule="auto"/>
        <w:jc w:val="both"/>
        <w:rPr>
          <w:rFonts w:ascii="Palatino Linotype" w:hAnsi="Palatino Linotype" w:cs="Tahoma"/>
          <w:bCs/>
          <w:iCs/>
          <w:sz w:val="22"/>
          <w:szCs w:val="22"/>
          <w:lang w:val="es-ES"/>
        </w:rPr>
      </w:pPr>
      <w:r>
        <w:rPr>
          <w:rFonts w:ascii="Palatino Linotype" w:hAnsi="Palatino Linotype" w:cs="Tahoma"/>
          <w:bCs/>
          <w:iCs/>
          <w:sz w:val="22"/>
          <w:szCs w:val="22"/>
          <w:lang w:val="es-ES"/>
        </w:rPr>
        <w:t xml:space="preserve">En ese contexto, de las documentales que obran en el expediente electrónico se advierte que el Sujeto Obligado no </w:t>
      </w:r>
      <w:r w:rsidR="00CE08B0">
        <w:rPr>
          <w:rFonts w:ascii="Palatino Linotype" w:hAnsi="Palatino Linotype" w:cs="Tahoma"/>
          <w:bCs/>
          <w:iCs/>
          <w:sz w:val="22"/>
          <w:szCs w:val="22"/>
          <w:lang w:val="es-ES"/>
        </w:rPr>
        <w:t>se pronunció sobre este</w:t>
      </w:r>
      <w:r w:rsidR="00AF483C">
        <w:rPr>
          <w:rFonts w:ascii="Palatino Linotype" w:hAnsi="Palatino Linotype" w:cs="Tahoma"/>
          <w:bCs/>
          <w:iCs/>
          <w:sz w:val="22"/>
          <w:szCs w:val="22"/>
          <w:lang w:val="es-ES"/>
        </w:rPr>
        <w:t xml:space="preserve"> requerimiento</w:t>
      </w:r>
      <w:r w:rsidR="009D255A">
        <w:rPr>
          <w:rFonts w:ascii="Palatino Linotype" w:hAnsi="Palatino Linotype" w:cs="Tahoma"/>
          <w:bCs/>
          <w:iCs/>
          <w:sz w:val="22"/>
          <w:szCs w:val="22"/>
          <w:lang w:val="es-ES"/>
        </w:rPr>
        <w:t xml:space="preserve">; por lo que, al no </w:t>
      </w:r>
      <w:r w:rsidR="00CE08B0">
        <w:rPr>
          <w:rFonts w:ascii="Palatino Linotype" w:hAnsi="Palatino Linotype" w:cs="Tahoma"/>
          <w:bCs/>
          <w:iCs/>
          <w:sz w:val="22"/>
          <w:szCs w:val="22"/>
          <w:lang w:val="es-ES"/>
        </w:rPr>
        <w:t>proporcionar información relativa a</w:t>
      </w:r>
      <w:r w:rsidR="009D255A">
        <w:rPr>
          <w:rFonts w:ascii="Palatino Linotype" w:hAnsi="Palatino Linotype" w:cs="Tahoma"/>
          <w:bCs/>
          <w:iCs/>
          <w:sz w:val="22"/>
          <w:szCs w:val="22"/>
          <w:lang w:val="es-ES"/>
        </w:rPr>
        <w:t xml:space="preserve"> este punto de la solicitud, este deberá realizar una búsqueda </w:t>
      </w:r>
      <w:r w:rsidR="002E32A1">
        <w:rPr>
          <w:rFonts w:ascii="Palatino Linotype" w:hAnsi="Palatino Linotype" w:cs="Tahoma"/>
          <w:bCs/>
          <w:iCs/>
          <w:sz w:val="22"/>
          <w:szCs w:val="22"/>
          <w:lang w:val="es-ES"/>
        </w:rPr>
        <w:t xml:space="preserve">exhaustiva y razonable en todos los archivos, sobre todo </w:t>
      </w:r>
      <w:r w:rsidR="00BE0F47">
        <w:rPr>
          <w:rFonts w:ascii="Palatino Linotype" w:hAnsi="Palatino Linotype" w:cs="Tahoma"/>
          <w:bCs/>
          <w:iCs/>
          <w:sz w:val="22"/>
          <w:szCs w:val="22"/>
          <w:lang w:val="es-ES"/>
        </w:rPr>
        <w:t>de la Dirección de Ser</w:t>
      </w:r>
      <w:r w:rsidR="00FB1A26">
        <w:rPr>
          <w:rFonts w:ascii="Palatino Linotype" w:hAnsi="Palatino Linotype" w:cs="Tahoma"/>
          <w:bCs/>
          <w:iCs/>
          <w:sz w:val="22"/>
          <w:szCs w:val="22"/>
          <w:lang w:val="es-ES"/>
        </w:rPr>
        <w:t>vicios Públicos y la Secretaría del Ayuntamiento a efecto de que proporcione todos los documentos que conforman e</w:t>
      </w:r>
      <w:r w:rsidR="001A1F1A">
        <w:rPr>
          <w:rFonts w:ascii="Palatino Linotype" w:hAnsi="Palatino Linotype" w:cs="Tahoma"/>
          <w:bCs/>
          <w:iCs/>
          <w:sz w:val="22"/>
          <w:szCs w:val="22"/>
          <w:lang w:val="es-ES"/>
        </w:rPr>
        <w:t xml:space="preserve">l </w:t>
      </w:r>
      <w:r w:rsidR="00DF30CB">
        <w:rPr>
          <w:rFonts w:ascii="Palatino Linotype" w:hAnsi="Palatino Linotype" w:cs="Tahoma"/>
          <w:bCs/>
          <w:iCs/>
          <w:sz w:val="22"/>
          <w:szCs w:val="22"/>
          <w:lang w:val="es-ES"/>
        </w:rPr>
        <w:t xml:space="preserve">censo del año dos mil veinte o en su caso el censo más reciente generado </w:t>
      </w:r>
      <w:r w:rsidR="006B2037">
        <w:rPr>
          <w:rFonts w:ascii="Palatino Linotype" w:hAnsi="Palatino Linotype" w:cs="Tahoma"/>
          <w:bCs/>
          <w:iCs/>
          <w:sz w:val="22"/>
          <w:szCs w:val="22"/>
          <w:lang w:val="es-ES"/>
        </w:rPr>
        <w:t>por el Ayuntamiento de Xalatlaco</w:t>
      </w:r>
      <w:r w:rsidR="001B7EE6">
        <w:rPr>
          <w:rFonts w:ascii="Palatino Linotype" w:hAnsi="Palatino Linotype" w:cs="Tahoma"/>
          <w:bCs/>
          <w:iCs/>
          <w:sz w:val="22"/>
          <w:szCs w:val="22"/>
          <w:lang w:val="es-ES"/>
        </w:rPr>
        <w:t>.</w:t>
      </w:r>
    </w:p>
    <w:p w14:paraId="01D2167A" w14:textId="73B4F200" w:rsidR="001B7EE6" w:rsidRDefault="001B7EE6" w:rsidP="005B031E">
      <w:pPr>
        <w:spacing w:line="360" w:lineRule="auto"/>
        <w:jc w:val="both"/>
        <w:rPr>
          <w:rFonts w:ascii="Palatino Linotype" w:hAnsi="Palatino Linotype" w:cs="Tahoma"/>
          <w:bCs/>
          <w:iCs/>
          <w:sz w:val="22"/>
          <w:szCs w:val="22"/>
          <w:lang w:val="es-ES"/>
        </w:rPr>
      </w:pPr>
    </w:p>
    <w:p w14:paraId="7FB4E63B" w14:textId="1D56439D" w:rsidR="001B7EE6" w:rsidRDefault="001B7EE6" w:rsidP="005B031E">
      <w:pPr>
        <w:spacing w:line="360" w:lineRule="auto"/>
        <w:jc w:val="both"/>
        <w:rPr>
          <w:rFonts w:ascii="Palatino Linotype" w:hAnsi="Palatino Linotype" w:cs="Tahoma"/>
          <w:bCs/>
          <w:iCs/>
          <w:sz w:val="22"/>
          <w:szCs w:val="22"/>
          <w:lang w:val="es-ES"/>
        </w:rPr>
      </w:pPr>
      <w:r>
        <w:rPr>
          <w:rFonts w:ascii="Palatino Linotype" w:hAnsi="Palatino Linotype" w:cs="Tahoma"/>
          <w:bCs/>
          <w:iCs/>
          <w:sz w:val="22"/>
          <w:szCs w:val="22"/>
          <w:lang w:val="es-ES"/>
        </w:rPr>
        <w:t xml:space="preserve">Por otra parte, </w:t>
      </w:r>
      <w:r w:rsidR="009856C6">
        <w:rPr>
          <w:rFonts w:ascii="Palatino Linotype" w:hAnsi="Palatino Linotype" w:cs="Tahoma"/>
          <w:bCs/>
          <w:iCs/>
          <w:sz w:val="22"/>
          <w:szCs w:val="22"/>
          <w:lang w:val="es-ES"/>
        </w:rPr>
        <w:t>cabe recordar que el Solicitante requirió el Registro Permanente de Usuario</w:t>
      </w:r>
      <w:r w:rsidR="00205699">
        <w:rPr>
          <w:rFonts w:ascii="Palatino Linotype" w:hAnsi="Palatino Linotype" w:cs="Tahoma"/>
          <w:bCs/>
          <w:iCs/>
          <w:sz w:val="22"/>
          <w:szCs w:val="22"/>
          <w:lang w:val="es-ES"/>
        </w:rPr>
        <w:t xml:space="preserve"> asignado al servicio de alumbrado público, del servicio estimado y medido, en ese contexto resulta necesario traer a colación el Acuerdo Número A/031/2016 que establece que el registro permanente de usuario es el número único de identificación. </w:t>
      </w:r>
    </w:p>
    <w:p w14:paraId="116CACB7" w14:textId="112A9152" w:rsidR="00205699" w:rsidRDefault="00205699" w:rsidP="005B031E">
      <w:pPr>
        <w:spacing w:line="360" w:lineRule="auto"/>
        <w:jc w:val="both"/>
        <w:rPr>
          <w:rFonts w:ascii="Palatino Linotype" w:hAnsi="Palatino Linotype" w:cs="Tahoma"/>
          <w:bCs/>
          <w:iCs/>
          <w:sz w:val="22"/>
          <w:szCs w:val="22"/>
          <w:lang w:val="es-ES"/>
        </w:rPr>
      </w:pPr>
    </w:p>
    <w:p w14:paraId="3625D232" w14:textId="77777777" w:rsidR="002769C1" w:rsidRDefault="00205699" w:rsidP="005B031E">
      <w:pPr>
        <w:spacing w:line="360" w:lineRule="auto"/>
        <w:jc w:val="both"/>
        <w:rPr>
          <w:rFonts w:ascii="Palatino Linotype" w:hAnsi="Palatino Linotype" w:cs="Tahoma"/>
          <w:bCs/>
          <w:iCs/>
          <w:sz w:val="22"/>
          <w:szCs w:val="22"/>
          <w:lang w:val="es-ES"/>
        </w:rPr>
      </w:pPr>
      <w:r>
        <w:rPr>
          <w:rFonts w:ascii="Palatino Linotype" w:hAnsi="Palatino Linotype" w:cs="Tahoma"/>
          <w:bCs/>
          <w:iCs/>
          <w:sz w:val="22"/>
          <w:szCs w:val="22"/>
          <w:lang w:val="es-ES"/>
        </w:rPr>
        <w:t>En ese orden de ideas, los Lineamientos para la asignación del Registro Móvil de Usuario (RMU), establece lo siguiente:</w:t>
      </w:r>
    </w:p>
    <w:p w14:paraId="2915AA0B" w14:textId="1EAEE221" w:rsidR="00205699" w:rsidRDefault="00205699" w:rsidP="005B031E">
      <w:pPr>
        <w:spacing w:line="360" w:lineRule="auto"/>
        <w:jc w:val="both"/>
        <w:rPr>
          <w:rFonts w:ascii="Palatino Linotype" w:hAnsi="Palatino Linotype" w:cs="Tahoma"/>
          <w:bCs/>
          <w:iCs/>
          <w:sz w:val="22"/>
          <w:szCs w:val="22"/>
          <w:lang w:val="es-ES"/>
        </w:rPr>
      </w:pPr>
      <w:r>
        <w:rPr>
          <w:rFonts w:ascii="Palatino Linotype" w:hAnsi="Palatino Linotype" w:cs="Tahoma"/>
          <w:bCs/>
          <w:iCs/>
          <w:sz w:val="22"/>
          <w:szCs w:val="22"/>
          <w:lang w:val="es-ES"/>
        </w:rPr>
        <w:t xml:space="preserve"> </w:t>
      </w:r>
    </w:p>
    <w:p w14:paraId="13025BF9" w14:textId="5C15B628" w:rsidR="002769C1" w:rsidRDefault="002769C1" w:rsidP="00B03550">
      <w:pPr>
        <w:numPr>
          <w:ilvl w:val="0"/>
          <w:numId w:val="41"/>
        </w:numPr>
        <w:shd w:val="clear" w:color="auto" w:fill="FFFFFF"/>
        <w:spacing w:line="360" w:lineRule="auto"/>
        <w:contextualSpacing/>
        <w:rPr>
          <w:rFonts w:ascii="Palatino Linotype" w:eastAsia="Calibri" w:hAnsi="Palatino Linotype" w:cs="Tahoma"/>
          <w:bCs/>
          <w:sz w:val="22"/>
          <w:szCs w:val="22"/>
        </w:rPr>
      </w:pPr>
      <w:r w:rsidRPr="002769C1">
        <w:rPr>
          <w:rFonts w:ascii="Palatino Linotype" w:eastAsia="Calibri" w:hAnsi="Palatino Linotype" w:cs="Tahoma"/>
          <w:bCs/>
          <w:sz w:val="22"/>
          <w:szCs w:val="22"/>
        </w:rPr>
        <w:t>El Registro Móvil de Usuario reemplazará al Registro Permanente de Usuario, utilizado por la Comisión Federal de Electricidad</w:t>
      </w:r>
      <w:r w:rsidR="00950A44">
        <w:rPr>
          <w:rFonts w:ascii="Palatino Linotype" w:eastAsia="Calibri" w:hAnsi="Palatino Linotype" w:cs="Tahoma"/>
          <w:bCs/>
          <w:sz w:val="22"/>
          <w:szCs w:val="22"/>
        </w:rPr>
        <w:t>.</w:t>
      </w:r>
    </w:p>
    <w:p w14:paraId="47FA1564" w14:textId="77777777" w:rsidR="00950A44" w:rsidRPr="00950A44" w:rsidRDefault="00950A44" w:rsidP="00B03550">
      <w:pPr>
        <w:shd w:val="clear" w:color="auto" w:fill="FFFFFF"/>
        <w:spacing w:line="360" w:lineRule="auto"/>
        <w:ind w:left="720"/>
        <w:contextualSpacing/>
        <w:rPr>
          <w:rFonts w:ascii="Palatino Linotype" w:eastAsia="Calibri" w:hAnsi="Palatino Linotype" w:cs="Tahoma"/>
          <w:bCs/>
          <w:sz w:val="22"/>
          <w:szCs w:val="22"/>
        </w:rPr>
      </w:pPr>
    </w:p>
    <w:p w14:paraId="5C8F2716" w14:textId="77777777" w:rsidR="002769C1" w:rsidRPr="002769C1" w:rsidRDefault="002769C1" w:rsidP="00B03550">
      <w:pPr>
        <w:numPr>
          <w:ilvl w:val="0"/>
          <w:numId w:val="41"/>
        </w:numPr>
        <w:shd w:val="clear" w:color="auto" w:fill="FFFFFF"/>
        <w:spacing w:line="360" w:lineRule="auto"/>
        <w:contextualSpacing/>
        <w:rPr>
          <w:rFonts w:ascii="Palatino Linotype" w:eastAsia="Calibri" w:hAnsi="Palatino Linotype" w:cs="Tahoma"/>
          <w:bCs/>
          <w:sz w:val="22"/>
          <w:szCs w:val="22"/>
        </w:rPr>
      </w:pPr>
      <w:r w:rsidRPr="002769C1">
        <w:rPr>
          <w:rFonts w:ascii="Palatino Linotype" w:eastAsia="Calibri" w:hAnsi="Palatino Linotype" w:cs="Tahoma"/>
          <w:bCs/>
          <w:sz w:val="22"/>
          <w:szCs w:val="22"/>
        </w:rPr>
        <w:t>La asignación del RMU a cada Usuario Final estará a cargo del Suministrador.</w:t>
      </w:r>
    </w:p>
    <w:p w14:paraId="7ADB69B4" w14:textId="77777777" w:rsidR="002769C1" w:rsidRPr="002769C1" w:rsidRDefault="002769C1" w:rsidP="00B03550">
      <w:pPr>
        <w:spacing w:line="360" w:lineRule="auto"/>
        <w:ind w:left="720"/>
        <w:contextualSpacing/>
        <w:rPr>
          <w:rFonts w:ascii="Palatino Linotype" w:eastAsia="Calibri" w:hAnsi="Palatino Linotype" w:cs="Tahoma"/>
          <w:bCs/>
          <w:sz w:val="22"/>
          <w:szCs w:val="22"/>
        </w:rPr>
      </w:pPr>
    </w:p>
    <w:p w14:paraId="4E73221D" w14:textId="77777777" w:rsidR="002769C1" w:rsidRPr="002769C1" w:rsidRDefault="002769C1" w:rsidP="002769C1">
      <w:pPr>
        <w:numPr>
          <w:ilvl w:val="0"/>
          <w:numId w:val="41"/>
        </w:numPr>
        <w:shd w:val="clear" w:color="auto" w:fill="FFFFFF"/>
        <w:spacing w:line="360" w:lineRule="auto"/>
        <w:contextualSpacing/>
        <w:rPr>
          <w:rFonts w:ascii="Palatino Linotype" w:eastAsia="Calibri" w:hAnsi="Palatino Linotype" w:cs="Tahoma"/>
          <w:bCs/>
          <w:sz w:val="22"/>
          <w:szCs w:val="22"/>
        </w:rPr>
      </w:pPr>
      <w:r w:rsidRPr="002769C1">
        <w:rPr>
          <w:rFonts w:ascii="Palatino Linotype" w:eastAsia="Calibri" w:hAnsi="Palatino Linotype" w:cs="Tahoma"/>
          <w:bCs/>
          <w:sz w:val="22"/>
          <w:szCs w:val="22"/>
        </w:rPr>
        <w:t>El RMU se asignará y estará asociado a una instalación eléctrica independiente, en donde puede coexistir dos o más registros en el mismo inmueble o instalación.</w:t>
      </w:r>
    </w:p>
    <w:p w14:paraId="31F098F7" w14:textId="77777777" w:rsidR="002769C1" w:rsidRPr="002769C1" w:rsidRDefault="002769C1" w:rsidP="002769C1">
      <w:pPr>
        <w:ind w:left="720"/>
        <w:contextualSpacing/>
        <w:rPr>
          <w:rFonts w:ascii="Palatino Linotype" w:eastAsia="Calibri" w:hAnsi="Palatino Linotype" w:cs="Tahoma"/>
          <w:bCs/>
          <w:sz w:val="22"/>
          <w:szCs w:val="22"/>
        </w:rPr>
      </w:pPr>
    </w:p>
    <w:p w14:paraId="7628FAD1" w14:textId="77777777" w:rsidR="002769C1" w:rsidRPr="002769C1" w:rsidRDefault="002769C1" w:rsidP="002769C1">
      <w:pPr>
        <w:numPr>
          <w:ilvl w:val="0"/>
          <w:numId w:val="41"/>
        </w:numPr>
        <w:shd w:val="clear" w:color="auto" w:fill="FFFFFF"/>
        <w:spacing w:line="360" w:lineRule="auto"/>
        <w:contextualSpacing/>
        <w:rPr>
          <w:rFonts w:ascii="Palatino Linotype" w:eastAsia="Calibri" w:hAnsi="Palatino Linotype" w:cs="Tahoma"/>
          <w:bCs/>
          <w:sz w:val="22"/>
          <w:szCs w:val="22"/>
        </w:rPr>
      </w:pPr>
      <w:r w:rsidRPr="002769C1">
        <w:rPr>
          <w:rFonts w:ascii="Palatino Linotype" w:eastAsia="Calibri" w:hAnsi="Palatino Linotype" w:cs="Tahoma"/>
          <w:bCs/>
          <w:sz w:val="22"/>
          <w:szCs w:val="22"/>
        </w:rPr>
        <w:t>Dicho registro se conforma de quince caracteres alfanuméricos, tal como se observa a continuación:</w:t>
      </w:r>
    </w:p>
    <w:p w14:paraId="1D2B21E2" w14:textId="77777777" w:rsidR="002769C1" w:rsidRPr="002769C1" w:rsidRDefault="002769C1" w:rsidP="002769C1">
      <w:pPr>
        <w:shd w:val="clear" w:color="auto" w:fill="FFFFFF"/>
        <w:spacing w:line="360" w:lineRule="auto"/>
        <w:ind w:left="720"/>
        <w:contextualSpacing/>
        <w:rPr>
          <w:rFonts w:ascii="Palatino Linotype" w:eastAsia="Calibri" w:hAnsi="Palatino Linotype" w:cs="Tahoma"/>
          <w:bCs/>
          <w:sz w:val="22"/>
          <w:szCs w:val="22"/>
        </w:rPr>
      </w:pPr>
    </w:p>
    <w:p w14:paraId="1ABF9B9E" w14:textId="77777777" w:rsidR="002769C1" w:rsidRPr="002769C1" w:rsidRDefault="002769C1" w:rsidP="002769C1">
      <w:pPr>
        <w:shd w:val="clear" w:color="auto" w:fill="FFFFFF"/>
        <w:spacing w:line="360" w:lineRule="auto"/>
        <w:ind w:left="720"/>
        <w:contextualSpacing/>
        <w:jc w:val="center"/>
        <w:rPr>
          <w:rFonts w:ascii="Palatino Linotype" w:eastAsia="Calibri" w:hAnsi="Palatino Linotype" w:cs="Tahoma"/>
          <w:bCs/>
          <w:sz w:val="22"/>
          <w:szCs w:val="22"/>
        </w:rPr>
      </w:pPr>
      <w:r w:rsidRPr="002769C1">
        <w:rPr>
          <w:rFonts w:ascii="Palatino Linotype" w:hAnsi="Palatino Linotype"/>
          <w:noProof/>
          <w:sz w:val="22"/>
          <w:szCs w:val="28"/>
          <w:lang w:eastAsia="es-MX"/>
        </w:rPr>
        <w:drawing>
          <wp:inline distT="0" distB="0" distL="0" distR="0" wp14:anchorId="5C259D3C" wp14:editId="2A0DFB03">
            <wp:extent cx="3524250" cy="1261046"/>
            <wp:effectExtent l="0" t="0" r="0" b="0"/>
            <wp:docPr id="75" name="Imagen 7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descr="Tabla&#10;&#10;Descripción generada automáticamente"/>
                    <pic:cNvPicPr/>
                  </pic:nvPicPr>
                  <pic:blipFill rotWithShape="1">
                    <a:blip r:embed="rId16"/>
                    <a:srcRect l="8812" r="10344" b="50000"/>
                    <a:stretch/>
                  </pic:blipFill>
                  <pic:spPr bwMode="auto">
                    <a:xfrm>
                      <a:off x="0" y="0"/>
                      <a:ext cx="3593291" cy="1285750"/>
                    </a:xfrm>
                    <a:prstGeom prst="rect">
                      <a:avLst/>
                    </a:prstGeom>
                    <a:ln>
                      <a:noFill/>
                    </a:ln>
                    <a:extLst>
                      <a:ext uri="{53640926-AAD7-44D8-BBD7-CCE9431645EC}">
                        <a14:shadowObscured xmlns:a14="http://schemas.microsoft.com/office/drawing/2010/main"/>
                      </a:ext>
                    </a:extLst>
                  </pic:spPr>
                </pic:pic>
              </a:graphicData>
            </a:graphic>
          </wp:inline>
        </w:drawing>
      </w:r>
    </w:p>
    <w:p w14:paraId="43C1BEEF" w14:textId="77777777" w:rsidR="002769C1" w:rsidRPr="002769C1" w:rsidRDefault="002769C1" w:rsidP="002769C1">
      <w:pPr>
        <w:shd w:val="clear" w:color="auto" w:fill="FFFFFF"/>
        <w:spacing w:line="360" w:lineRule="auto"/>
        <w:ind w:left="720"/>
        <w:contextualSpacing/>
        <w:rPr>
          <w:rFonts w:ascii="Palatino Linotype" w:eastAsia="Calibri" w:hAnsi="Palatino Linotype" w:cs="Tahoma"/>
          <w:bCs/>
          <w:sz w:val="22"/>
          <w:szCs w:val="22"/>
        </w:rPr>
      </w:pPr>
    </w:p>
    <w:p w14:paraId="7AC6BC0D" w14:textId="77777777" w:rsidR="002769C1" w:rsidRPr="002769C1" w:rsidRDefault="002769C1" w:rsidP="002769C1">
      <w:pPr>
        <w:shd w:val="clear" w:color="auto" w:fill="FFFFFF"/>
        <w:spacing w:line="360" w:lineRule="auto"/>
        <w:ind w:left="720"/>
        <w:contextualSpacing/>
        <w:jc w:val="center"/>
        <w:rPr>
          <w:rFonts w:ascii="Palatino Linotype" w:eastAsia="Calibri" w:hAnsi="Palatino Linotype" w:cs="Tahoma"/>
          <w:bCs/>
          <w:sz w:val="22"/>
          <w:szCs w:val="22"/>
        </w:rPr>
      </w:pPr>
      <w:r w:rsidRPr="002769C1">
        <w:rPr>
          <w:rFonts w:ascii="Palatino Linotype" w:hAnsi="Palatino Linotype"/>
          <w:noProof/>
          <w:sz w:val="22"/>
          <w:szCs w:val="28"/>
          <w:lang w:eastAsia="es-MX"/>
        </w:rPr>
        <w:drawing>
          <wp:inline distT="0" distB="0" distL="0" distR="0" wp14:anchorId="7563715C" wp14:editId="0300DD5F">
            <wp:extent cx="3774016" cy="990600"/>
            <wp:effectExtent l="0" t="0" r="0" b="0"/>
            <wp:docPr id="76" name="Imagen 7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76" descr="Tabla&#10;&#10;Descripción generada automáticamente"/>
                    <pic:cNvPicPr/>
                  </pic:nvPicPr>
                  <pic:blipFill rotWithShape="1">
                    <a:blip r:embed="rId16"/>
                    <a:srcRect l="3580" t="56622" r="7378" b="2980"/>
                    <a:stretch/>
                  </pic:blipFill>
                  <pic:spPr bwMode="auto">
                    <a:xfrm>
                      <a:off x="0" y="0"/>
                      <a:ext cx="3836556" cy="1007016"/>
                    </a:xfrm>
                    <a:prstGeom prst="rect">
                      <a:avLst/>
                    </a:prstGeom>
                    <a:ln>
                      <a:noFill/>
                    </a:ln>
                    <a:extLst>
                      <a:ext uri="{53640926-AAD7-44D8-BBD7-CCE9431645EC}">
                        <a14:shadowObscured xmlns:a14="http://schemas.microsoft.com/office/drawing/2010/main"/>
                      </a:ext>
                    </a:extLst>
                  </pic:spPr>
                </pic:pic>
              </a:graphicData>
            </a:graphic>
          </wp:inline>
        </w:drawing>
      </w:r>
    </w:p>
    <w:p w14:paraId="352927C6" w14:textId="77777777" w:rsidR="002769C1" w:rsidRPr="002769C1" w:rsidRDefault="002769C1" w:rsidP="002769C1">
      <w:pPr>
        <w:shd w:val="clear" w:color="auto" w:fill="FFFFFF"/>
        <w:spacing w:line="360" w:lineRule="auto"/>
        <w:rPr>
          <w:rFonts w:ascii="Palatino Linotype" w:eastAsia="Calibri" w:hAnsi="Palatino Linotype" w:cs="Tahoma"/>
          <w:bCs/>
          <w:sz w:val="22"/>
          <w:szCs w:val="22"/>
        </w:rPr>
      </w:pPr>
    </w:p>
    <w:p w14:paraId="06E7A3E3" w14:textId="77777777" w:rsidR="002769C1" w:rsidRPr="002769C1" w:rsidRDefault="002769C1" w:rsidP="002769C1">
      <w:pPr>
        <w:shd w:val="clear" w:color="auto" w:fill="FFFFFF"/>
        <w:spacing w:line="360" w:lineRule="auto"/>
        <w:jc w:val="both"/>
        <w:rPr>
          <w:rFonts w:ascii="Palatino Linotype" w:eastAsia="Calibri" w:hAnsi="Palatino Linotype" w:cs="Tahoma"/>
          <w:bCs/>
          <w:sz w:val="22"/>
          <w:szCs w:val="22"/>
        </w:rPr>
      </w:pPr>
      <w:r w:rsidRPr="002769C1">
        <w:rPr>
          <w:rFonts w:ascii="Palatino Linotype" w:eastAsia="Calibri" w:hAnsi="Palatino Linotype" w:cs="Tahoma"/>
          <w:bCs/>
          <w:sz w:val="22"/>
          <w:szCs w:val="22"/>
        </w:rPr>
        <w:t>Ahora bien, conforme a la Resolución por la que la Comisión Reguladora de Energía modifica los incisos IV, VII y VIII, del apéndice III, del anexo a la Resolución RES/999/2015 por la que se expiden las disposiciones administrativas de carácter general que establecen las condiciones generales para la prestación del suministro eléctrico, publicada el 18 de febrero de 2016, establece que el RMU estará compuesto por 27 caracteres alfanuméricos, tal como se observa:</w:t>
      </w:r>
    </w:p>
    <w:p w14:paraId="7F86DD7B" w14:textId="77777777" w:rsidR="002769C1" w:rsidRPr="002769C1" w:rsidRDefault="002769C1" w:rsidP="002769C1">
      <w:pPr>
        <w:shd w:val="clear" w:color="auto" w:fill="FFFFFF"/>
        <w:spacing w:line="360" w:lineRule="auto"/>
        <w:rPr>
          <w:rFonts w:ascii="Palatino Linotype" w:eastAsia="Calibri" w:hAnsi="Palatino Linotype" w:cs="Tahoma"/>
          <w:bCs/>
          <w:sz w:val="22"/>
          <w:szCs w:val="22"/>
        </w:rPr>
      </w:pPr>
    </w:p>
    <w:p w14:paraId="73EBA35A" w14:textId="77777777" w:rsidR="002769C1" w:rsidRPr="002769C1" w:rsidRDefault="002769C1" w:rsidP="002769C1">
      <w:pPr>
        <w:shd w:val="clear" w:color="auto" w:fill="FFFFFF"/>
        <w:spacing w:line="360" w:lineRule="auto"/>
        <w:jc w:val="center"/>
        <w:rPr>
          <w:rFonts w:ascii="Palatino Linotype" w:eastAsia="Calibri" w:hAnsi="Palatino Linotype" w:cs="Tahoma"/>
          <w:bCs/>
          <w:sz w:val="22"/>
          <w:szCs w:val="22"/>
        </w:rPr>
      </w:pPr>
      <w:r w:rsidRPr="002769C1">
        <w:rPr>
          <w:rFonts w:ascii="Palatino Linotype" w:hAnsi="Palatino Linotype"/>
          <w:noProof/>
          <w:sz w:val="22"/>
          <w:szCs w:val="22"/>
          <w:lang w:eastAsia="es-MX"/>
        </w:rPr>
        <w:lastRenderedPageBreak/>
        <w:drawing>
          <wp:inline distT="0" distB="0" distL="0" distR="0" wp14:anchorId="53393E3B" wp14:editId="56154A88">
            <wp:extent cx="4076700" cy="1088920"/>
            <wp:effectExtent l="0" t="0" r="0" b="0"/>
            <wp:docPr id="77" name="Imagen 77" descr="Diagram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n 77" descr="Diagrama, Texto&#10;&#10;Descripción generada automáticamente con confianza media"/>
                    <pic:cNvPicPr/>
                  </pic:nvPicPr>
                  <pic:blipFill>
                    <a:blip r:embed="rId17"/>
                    <a:stretch>
                      <a:fillRect/>
                    </a:stretch>
                  </pic:blipFill>
                  <pic:spPr>
                    <a:xfrm>
                      <a:off x="0" y="0"/>
                      <a:ext cx="4097571" cy="1094495"/>
                    </a:xfrm>
                    <a:prstGeom prst="rect">
                      <a:avLst/>
                    </a:prstGeom>
                  </pic:spPr>
                </pic:pic>
              </a:graphicData>
            </a:graphic>
          </wp:inline>
        </w:drawing>
      </w:r>
    </w:p>
    <w:p w14:paraId="31E6B4A6" w14:textId="77777777" w:rsidR="002769C1" w:rsidRPr="002769C1" w:rsidRDefault="002769C1" w:rsidP="002769C1">
      <w:pPr>
        <w:shd w:val="clear" w:color="auto" w:fill="FFFFFF"/>
        <w:spacing w:line="360" w:lineRule="auto"/>
        <w:rPr>
          <w:rFonts w:ascii="Palatino Linotype" w:eastAsia="Calibri" w:hAnsi="Palatino Linotype" w:cs="Tahoma"/>
          <w:bCs/>
          <w:sz w:val="22"/>
          <w:szCs w:val="22"/>
        </w:rPr>
      </w:pPr>
    </w:p>
    <w:p w14:paraId="618B8D76" w14:textId="6FB3033C" w:rsidR="000F5943" w:rsidRPr="0036345D" w:rsidRDefault="002769C1" w:rsidP="002769C1">
      <w:pPr>
        <w:spacing w:line="360" w:lineRule="auto"/>
        <w:jc w:val="both"/>
        <w:rPr>
          <w:rFonts w:ascii="Palatino Linotype" w:hAnsi="Palatino Linotype" w:cs="Tahoma"/>
          <w:iCs/>
          <w:sz w:val="22"/>
          <w:szCs w:val="22"/>
        </w:rPr>
      </w:pPr>
      <w:r w:rsidRPr="002769C1">
        <w:rPr>
          <w:rFonts w:ascii="Palatino Linotype" w:eastAsia="Calibri" w:hAnsi="Palatino Linotype" w:cs="Tahoma"/>
          <w:bCs/>
          <w:sz w:val="22"/>
          <w:szCs w:val="22"/>
        </w:rPr>
        <w:t>De tales consideraciones, se advierte que la pretensión del Particular es obtener el Registro Móvil de Usuario asignado al servicio de alumbrado público, del servicio estimado y medido; en ese sentido</w:t>
      </w:r>
      <w:r>
        <w:rPr>
          <w:rFonts w:ascii="Palatino Linotype" w:eastAsia="Calibri" w:hAnsi="Palatino Linotype" w:cs="Tahoma"/>
          <w:bCs/>
          <w:sz w:val="22"/>
          <w:szCs w:val="22"/>
        </w:rPr>
        <w:t>, resulta importante precisar que dicho dato se localiza en el recibo expedido por la Comisión Federal de Electricidad; documentos que no proporcionó el Sujeto Obligado</w:t>
      </w:r>
      <w:r w:rsidR="0014566F">
        <w:rPr>
          <w:rFonts w:ascii="Palatino Linotype" w:eastAsia="Calibri" w:hAnsi="Palatino Linotype" w:cs="Tahoma"/>
          <w:bCs/>
          <w:sz w:val="22"/>
          <w:szCs w:val="22"/>
        </w:rPr>
        <w:t xml:space="preserve">, por lo anteriormente expuesto, </w:t>
      </w:r>
      <w:r w:rsidR="0014566F">
        <w:rPr>
          <w:rFonts w:ascii="Palatino Linotype" w:hAnsi="Palatino Linotype" w:cs="Tahoma"/>
          <w:iCs/>
          <w:sz w:val="22"/>
          <w:szCs w:val="22"/>
        </w:rPr>
        <w:t xml:space="preserve">se considera procedente ordenar la entrega, previa búsqueda exhaustiva y razonable en los archivos de las áreas competentes del Sujeto Obligado, el censo de alumbrado público </w:t>
      </w:r>
      <w:r w:rsidR="0036345D">
        <w:rPr>
          <w:rFonts w:ascii="Palatino Linotype" w:hAnsi="Palatino Linotype" w:cs="Tahoma"/>
          <w:iCs/>
          <w:sz w:val="22"/>
          <w:szCs w:val="22"/>
        </w:rPr>
        <w:t xml:space="preserve">del año 2020 o en su caso, el más reciente, en colaboración con la Comisión Federal de Electricidad con el desglose de la información solicitada. </w:t>
      </w:r>
    </w:p>
    <w:p w14:paraId="4933A8C4" w14:textId="5DDE37AD" w:rsidR="00B678A1" w:rsidRDefault="00B678A1" w:rsidP="002769C1">
      <w:pPr>
        <w:spacing w:line="360" w:lineRule="auto"/>
        <w:jc w:val="both"/>
        <w:rPr>
          <w:rFonts w:ascii="Palatino Linotype" w:eastAsia="Calibri" w:hAnsi="Palatino Linotype" w:cs="Tahoma"/>
          <w:bCs/>
          <w:sz w:val="22"/>
          <w:szCs w:val="22"/>
        </w:rPr>
      </w:pPr>
    </w:p>
    <w:p w14:paraId="310AC4D6" w14:textId="14ADFF5C" w:rsidR="00B678A1" w:rsidRDefault="006324C2" w:rsidP="002769C1">
      <w:pPr>
        <w:spacing w:line="360" w:lineRule="auto"/>
        <w:jc w:val="both"/>
        <w:rPr>
          <w:rFonts w:ascii="Palatino Linotype" w:eastAsia="Calibri" w:hAnsi="Palatino Linotype" w:cs="Tahoma"/>
          <w:bCs/>
          <w:sz w:val="22"/>
          <w:szCs w:val="22"/>
        </w:rPr>
      </w:pPr>
      <w:r>
        <w:rPr>
          <w:rFonts w:ascii="Palatino Linotype" w:eastAsia="Calibri" w:hAnsi="Palatino Linotype" w:cs="Tahoma"/>
          <w:bCs/>
          <w:sz w:val="22"/>
          <w:szCs w:val="22"/>
        </w:rPr>
        <w:t>Finalmente</w:t>
      </w:r>
      <w:r w:rsidR="00B678A1">
        <w:rPr>
          <w:rFonts w:ascii="Palatino Linotype" w:eastAsia="Calibri" w:hAnsi="Palatino Linotype" w:cs="Tahoma"/>
          <w:bCs/>
          <w:sz w:val="22"/>
          <w:szCs w:val="22"/>
        </w:rPr>
        <w:t xml:space="preserve">, no pasa desapercibido </w:t>
      </w:r>
      <w:r>
        <w:rPr>
          <w:rFonts w:ascii="Palatino Linotype" w:eastAsia="Calibri" w:hAnsi="Palatino Linotype" w:cs="Tahoma"/>
          <w:bCs/>
          <w:sz w:val="22"/>
          <w:szCs w:val="22"/>
        </w:rPr>
        <w:t xml:space="preserve">mencionar </w:t>
      </w:r>
      <w:r w:rsidR="00B678A1">
        <w:rPr>
          <w:rFonts w:ascii="Palatino Linotype" w:eastAsia="Calibri" w:hAnsi="Palatino Linotype" w:cs="Tahoma"/>
          <w:bCs/>
          <w:sz w:val="22"/>
          <w:szCs w:val="22"/>
        </w:rPr>
        <w:t xml:space="preserve">que la información que daría cuenta de lo solicitado, podría contener datos confidenciales: por lo que, en su caso deberá entregar versión pública en la que se eliminen estos, junto con el </w:t>
      </w:r>
      <w:r w:rsidR="000D4A03">
        <w:rPr>
          <w:rFonts w:ascii="Palatino Linotype" w:eastAsia="Calibri" w:hAnsi="Palatino Linotype" w:cs="Tahoma"/>
          <w:bCs/>
          <w:sz w:val="22"/>
          <w:szCs w:val="22"/>
        </w:rPr>
        <w:t xml:space="preserve">acuerdo del Comité de Transparencia, en el que </w:t>
      </w:r>
      <w:r w:rsidR="000D4A03" w:rsidRPr="000D4A03">
        <w:rPr>
          <w:rFonts w:ascii="Palatino Linotype" w:eastAsia="Calibri" w:hAnsi="Palatino Linotype" w:cs="Tahoma"/>
          <w:bCs/>
          <w:sz w:val="22"/>
          <w:szCs w:val="22"/>
        </w:rPr>
        <w:t>funde y motive la eliminación de la información, de conformidad con lo establecido en los artículos 49, fracciones II y VIII, 128, 132, fracción I, 138, 143 y 149 de la Ley de Transparencia y Acceso a la Información Pública de Estado de México y Municipios.</w:t>
      </w:r>
    </w:p>
    <w:p w14:paraId="44A8F0DC" w14:textId="77777777" w:rsidR="002769C1" w:rsidRPr="002769C1" w:rsidRDefault="002769C1" w:rsidP="002769C1">
      <w:pPr>
        <w:spacing w:line="360" w:lineRule="auto"/>
        <w:jc w:val="both"/>
        <w:rPr>
          <w:rFonts w:ascii="Palatino Linotype" w:eastAsia="Calibri" w:hAnsi="Palatino Linotype" w:cs="Tahoma"/>
          <w:bCs/>
          <w:sz w:val="22"/>
          <w:szCs w:val="22"/>
        </w:rPr>
      </w:pPr>
    </w:p>
    <w:p w14:paraId="667C40F3" w14:textId="77777777" w:rsidR="00801872" w:rsidRPr="00C938B6" w:rsidRDefault="00801872" w:rsidP="005B031E">
      <w:pPr>
        <w:spacing w:line="360" w:lineRule="auto"/>
        <w:jc w:val="both"/>
        <w:rPr>
          <w:rFonts w:ascii="Palatino Linotype" w:hAnsi="Palatino Linotype" w:cs="Tahoma"/>
          <w:b/>
          <w:sz w:val="22"/>
          <w:szCs w:val="22"/>
          <w:lang w:eastAsia="es-MX"/>
        </w:rPr>
      </w:pPr>
      <w:r w:rsidRPr="00C938B6">
        <w:rPr>
          <w:rFonts w:ascii="Palatino Linotype" w:hAnsi="Palatino Linotype" w:cs="Tahoma"/>
          <w:b/>
          <w:sz w:val="22"/>
          <w:szCs w:val="22"/>
          <w:lang w:eastAsia="es-MX"/>
        </w:rPr>
        <w:t xml:space="preserve">SEXTO. Decisión. </w:t>
      </w:r>
    </w:p>
    <w:p w14:paraId="47D4AB01" w14:textId="77777777" w:rsidR="00801872" w:rsidRPr="00D24EFE" w:rsidRDefault="00801872" w:rsidP="005B031E">
      <w:pPr>
        <w:spacing w:line="360" w:lineRule="auto"/>
        <w:jc w:val="both"/>
        <w:rPr>
          <w:rFonts w:ascii="Palatino Linotype" w:hAnsi="Palatino Linotype" w:cs="Tahoma"/>
          <w:bCs/>
          <w:sz w:val="22"/>
          <w:szCs w:val="22"/>
          <w:lang w:eastAsia="es-MX"/>
        </w:rPr>
      </w:pPr>
    </w:p>
    <w:p w14:paraId="21601CA8" w14:textId="44AC100A" w:rsidR="00606A84" w:rsidRDefault="00801872" w:rsidP="005B031E">
      <w:pPr>
        <w:spacing w:line="360" w:lineRule="auto"/>
        <w:jc w:val="both"/>
        <w:rPr>
          <w:rFonts w:ascii="Palatino Linotype" w:hAnsi="Palatino Linotype" w:cs="Tahoma"/>
          <w:iCs/>
          <w:sz w:val="22"/>
          <w:szCs w:val="22"/>
          <w:lang w:val="es-ES_tradnl"/>
        </w:rPr>
      </w:pPr>
      <w:r w:rsidRPr="00C938B6">
        <w:rPr>
          <w:rFonts w:ascii="Palatino Linotype" w:hAnsi="Palatino Linotype" w:cs="Tahoma"/>
          <w:sz w:val="22"/>
          <w:szCs w:val="22"/>
        </w:rPr>
        <w:t>Con fundamento en el artículo 186, fracción I</w:t>
      </w:r>
      <w:r w:rsidR="00AD5F62">
        <w:rPr>
          <w:rFonts w:ascii="Palatino Linotype" w:hAnsi="Palatino Linotype" w:cs="Tahoma"/>
          <w:sz w:val="22"/>
          <w:szCs w:val="22"/>
        </w:rPr>
        <w:t xml:space="preserve">V </w:t>
      </w:r>
      <w:r w:rsidRPr="00C938B6">
        <w:rPr>
          <w:rFonts w:ascii="Palatino Linotype" w:hAnsi="Palatino Linotype" w:cs="Tahoma"/>
          <w:sz w:val="22"/>
          <w:szCs w:val="22"/>
        </w:rPr>
        <w:t xml:space="preserve">de la Ley de Transparencia y Acceso a la Información Pública del Estado de México y Municipios, este Instituto considera procedente </w:t>
      </w:r>
      <w:r w:rsidR="00DB505F">
        <w:rPr>
          <w:rFonts w:ascii="Palatino Linotype" w:hAnsi="Palatino Linotype" w:cs="Tahoma"/>
          <w:b/>
          <w:bCs/>
          <w:iCs/>
          <w:sz w:val="22"/>
          <w:szCs w:val="22"/>
          <w:lang w:val="es-ES_tradnl"/>
        </w:rPr>
        <w:t xml:space="preserve">ORDENAR </w:t>
      </w:r>
      <w:r w:rsidR="00DB505F">
        <w:rPr>
          <w:rFonts w:ascii="Palatino Linotype" w:hAnsi="Palatino Linotype" w:cs="Tahoma"/>
          <w:iCs/>
          <w:sz w:val="22"/>
          <w:szCs w:val="22"/>
          <w:lang w:val="es-ES_tradnl"/>
        </w:rPr>
        <w:t>al Sujeto Obligado que proporcione</w:t>
      </w:r>
      <w:r w:rsidR="00994A8C">
        <w:rPr>
          <w:rFonts w:ascii="Palatino Linotype" w:hAnsi="Palatino Linotype" w:cs="Tahoma"/>
          <w:iCs/>
          <w:sz w:val="22"/>
          <w:szCs w:val="22"/>
          <w:lang w:val="es-ES_tradnl"/>
        </w:rPr>
        <w:t xml:space="preserve">, previa búsqueda exhaustiva y razonable en </w:t>
      </w:r>
      <w:r w:rsidR="00994A8C">
        <w:rPr>
          <w:rFonts w:ascii="Palatino Linotype" w:hAnsi="Palatino Linotype" w:cs="Tahoma"/>
          <w:iCs/>
          <w:sz w:val="22"/>
          <w:szCs w:val="22"/>
          <w:lang w:val="es-ES_tradnl"/>
        </w:rPr>
        <w:lastRenderedPageBreak/>
        <w:t>todas las áreas competentes,</w:t>
      </w:r>
      <w:r w:rsidR="00890977">
        <w:rPr>
          <w:rFonts w:ascii="Palatino Linotype" w:hAnsi="Palatino Linotype" w:cs="Tahoma"/>
          <w:iCs/>
          <w:sz w:val="22"/>
          <w:szCs w:val="22"/>
          <w:lang w:val="es-ES_tradnl"/>
        </w:rPr>
        <w:t xml:space="preserve"> </w:t>
      </w:r>
      <w:r w:rsidR="00994A8C">
        <w:rPr>
          <w:rFonts w:ascii="Palatino Linotype" w:hAnsi="Palatino Linotype" w:cs="Tahoma"/>
          <w:iCs/>
          <w:sz w:val="22"/>
          <w:szCs w:val="22"/>
          <w:lang w:val="es-ES_tradnl"/>
        </w:rPr>
        <w:t>a través del Sistema de Acceso a la Información Mexiquense (SAIMEX)</w:t>
      </w:r>
      <w:r w:rsidR="00606A84">
        <w:rPr>
          <w:rFonts w:ascii="Palatino Linotype" w:hAnsi="Palatino Linotype" w:cs="Tahoma"/>
          <w:iCs/>
          <w:sz w:val="22"/>
          <w:szCs w:val="22"/>
          <w:lang w:val="es-ES_tradnl"/>
        </w:rPr>
        <w:t xml:space="preserve">, </w:t>
      </w:r>
      <w:r w:rsidR="00890977">
        <w:rPr>
          <w:rFonts w:ascii="Palatino Linotype" w:hAnsi="Palatino Linotype" w:cs="Tahoma"/>
          <w:iCs/>
          <w:sz w:val="22"/>
          <w:szCs w:val="22"/>
          <w:lang w:val="es-ES_tradnl"/>
        </w:rPr>
        <w:t>de ser el caso</w:t>
      </w:r>
      <w:r w:rsidR="00606A84">
        <w:rPr>
          <w:rFonts w:ascii="Palatino Linotype" w:hAnsi="Palatino Linotype" w:cs="Tahoma"/>
          <w:iCs/>
          <w:sz w:val="22"/>
          <w:szCs w:val="22"/>
          <w:lang w:val="es-ES_tradnl"/>
        </w:rPr>
        <w:t xml:space="preserve">, en versión pública, los documentos donde conste lo siguiente: </w:t>
      </w:r>
    </w:p>
    <w:p w14:paraId="17F03936" w14:textId="77777777" w:rsidR="00890977" w:rsidRDefault="00890977" w:rsidP="005B031E">
      <w:pPr>
        <w:spacing w:line="360" w:lineRule="auto"/>
        <w:jc w:val="both"/>
        <w:rPr>
          <w:rFonts w:ascii="Palatino Linotype" w:hAnsi="Palatino Linotype" w:cs="Tahoma"/>
          <w:iCs/>
          <w:sz w:val="22"/>
          <w:szCs w:val="22"/>
          <w:lang w:val="es-ES_tradnl"/>
        </w:rPr>
      </w:pPr>
    </w:p>
    <w:p w14:paraId="2B890FF7" w14:textId="75CF7D78" w:rsidR="00DB505F" w:rsidRPr="00890977" w:rsidRDefault="00606A84" w:rsidP="00186E47">
      <w:pPr>
        <w:pStyle w:val="Prrafodelista"/>
        <w:numPr>
          <w:ilvl w:val="0"/>
          <w:numId w:val="36"/>
        </w:numPr>
        <w:spacing w:line="360" w:lineRule="auto"/>
        <w:ind w:right="539"/>
        <w:jc w:val="both"/>
        <w:rPr>
          <w:rFonts w:ascii="Palatino Linotype" w:hAnsi="Palatino Linotype" w:cs="Tahoma"/>
          <w:b/>
          <w:bCs/>
          <w:iCs/>
          <w:szCs w:val="22"/>
          <w:lang w:val="es-ES_tradnl"/>
        </w:rPr>
      </w:pPr>
      <w:r w:rsidRPr="00890977">
        <w:rPr>
          <w:rFonts w:ascii="Palatino Linotype" w:hAnsi="Palatino Linotype" w:cs="Tahoma"/>
          <w:b/>
          <w:bCs/>
          <w:iCs/>
          <w:szCs w:val="22"/>
          <w:lang w:val="es-ES_tradnl"/>
        </w:rPr>
        <w:t xml:space="preserve">Los recibos emitidos mes con mes por la Comisión Federal de Electricidad </w:t>
      </w:r>
      <w:r w:rsidR="00692640" w:rsidRPr="00890977">
        <w:rPr>
          <w:rFonts w:ascii="Palatino Linotype" w:hAnsi="Palatino Linotype" w:cs="Tahoma"/>
          <w:b/>
          <w:bCs/>
          <w:iCs/>
          <w:szCs w:val="22"/>
          <w:lang w:val="es-ES_tradnl"/>
        </w:rPr>
        <w:t xml:space="preserve">del uno de enero de dos mil veinte al treinta y uno de octubre de dos mil veintiuno. </w:t>
      </w:r>
    </w:p>
    <w:p w14:paraId="1EBEADC8" w14:textId="77777777" w:rsidR="00243760" w:rsidRPr="00037E68" w:rsidRDefault="00243760" w:rsidP="00243760">
      <w:pPr>
        <w:pStyle w:val="Prrafodelista"/>
        <w:numPr>
          <w:ilvl w:val="0"/>
          <w:numId w:val="36"/>
        </w:numPr>
        <w:spacing w:line="360" w:lineRule="auto"/>
        <w:ind w:right="539"/>
        <w:jc w:val="both"/>
        <w:rPr>
          <w:rFonts w:ascii="Palatino Linotype" w:hAnsi="Palatino Linotype" w:cs="Tahoma"/>
          <w:szCs w:val="22"/>
        </w:rPr>
      </w:pPr>
      <w:r w:rsidRPr="00037E68">
        <w:rPr>
          <w:rFonts w:ascii="Palatino Linotype" w:hAnsi="Palatino Linotype" w:cs="Tahoma"/>
          <w:b/>
          <w:bCs/>
          <w:iCs/>
          <w:szCs w:val="22"/>
          <w:lang w:val="es-ES_tradnl"/>
        </w:rPr>
        <w:t xml:space="preserve">Censo o documento análogo </w:t>
      </w:r>
      <w:r>
        <w:rPr>
          <w:rFonts w:ascii="Palatino Linotype" w:hAnsi="Palatino Linotype" w:cs="Tahoma"/>
          <w:b/>
          <w:bCs/>
          <w:iCs/>
          <w:szCs w:val="22"/>
          <w:lang w:val="es-ES_tradnl"/>
        </w:rPr>
        <w:t xml:space="preserve">del año dos mil veinte o en su caso, el más reciente, </w:t>
      </w:r>
      <w:r w:rsidRPr="00037E68">
        <w:rPr>
          <w:rFonts w:ascii="Palatino Linotype" w:hAnsi="Palatino Linotype" w:cs="Tahoma"/>
          <w:b/>
          <w:bCs/>
          <w:iCs/>
          <w:szCs w:val="22"/>
          <w:lang w:val="es-ES_tradnl"/>
        </w:rPr>
        <w:t xml:space="preserve">que contenga el número de luminarias y balastros, el tipo de equipo o poste, capacidad, ubicación y en su caso, de las localizadas en avenidas principales y que posean equipo de medición. </w:t>
      </w:r>
    </w:p>
    <w:p w14:paraId="04D8AA98" w14:textId="3AA3E3BD" w:rsidR="00211F5B" w:rsidRPr="00606A84" w:rsidRDefault="00211F5B" w:rsidP="00211F5B">
      <w:pPr>
        <w:pStyle w:val="Prrafodelista"/>
        <w:spacing w:line="360" w:lineRule="auto"/>
        <w:jc w:val="both"/>
        <w:rPr>
          <w:rFonts w:ascii="Palatino Linotype" w:hAnsi="Palatino Linotype" w:cs="Tahoma"/>
          <w:iCs/>
          <w:szCs w:val="22"/>
          <w:lang w:val="es-ES_tradnl"/>
        </w:rPr>
      </w:pPr>
    </w:p>
    <w:p w14:paraId="36DEADC0" w14:textId="4E7F2ACE" w:rsidR="0007377F" w:rsidRDefault="00211F5B" w:rsidP="0007377F">
      <w:pPr>
        <w:spacing w:line="360" w:lineRule="auto"/>
        <w:jc w:val="both"/>
        <w:rPr>
          <w:rFonts w:ascii="Palatino Linotype" w:hAnsi="Palatino Linotype" w:cs="Tahoma"/>
          <w:iCs/>
          <w:sz w:val="22"/>
          <w:szCs w:val="22"/>
          <w:lang w:val="es-ES_tradnl"/>
        </w:rPr>
      </w:pPr>
      <w:r>
        <w:rPr>
          <w:rFonts w:ascii="Palatino Linotype" w:hAnsi="Palatino Linotype" w:cs="Tahoma"/>
          <w:iCs/>
          <w:sz w:val="22"/>
          <w:szCs w:val="22"/>
          <w:lang w:val="es-ES_tradnl"/>
        </w:rPr>
        <w:t xml:space="preserve">En el caso de que </w:t>
      </w:r>
      <w:r w:rsidR="00F95C6A">
        <w:rPr>
          <w:rFonts w:ascii="Palatino Linotype" w:hAnsi="Palatino Linotype" w:cs="Tahoma"/>
          <w:iCs/>
          <w:sz w:val="22"/>
          <w:szCs w:val="22"/>
          <w:lang w:val="es-ES_tradnl"/>
        </w:rPr>
        <w:t xml:space="preserve">los documentos localizados, contengan datos o información clasificada, en términos del artículo 143 de la Ley de la materia, el Sujeto Obligado deberá elaborar las versiones públicas respectivas. </w:t>
      </w:r>
      <w:r w:rsidR="00186E47">
        <w:rPr>
          <w:rFonts w:ascii="Palatino Linotype" w:hAnsi="Palatino Linotype" w:cs="Tahoma"/>
          <w:iCs/>
          <w:sz w:val="22"/>
          <w:szCs w:val="22"/>
          <w:lang w:val="es-ES_tradnl"/>
        </w:rPr>
        <w:t>En ese tenor, deberá emitir y entregar</w:t>
      </w:r>
      <w:r w:rsidR="0065478B">
        <w:rPr>
          <w:rFonts w:ascii="Palatino Linotype" w:hAnsi="Palatino Linotype" w:cs="Tahoma"/>
          <w:iCs/>
          <w:sz w:val="22"/>
          <w:szCs w:val="22"/>
          <w:lang w:val="es-ES_tradnl"/>
        </w:rPr>
        <w:t xml:space="preserve"> el acuerdo de su Comité de Transparencia, en donde, de manera fundada y motivada, confirme dicha clasificación. </w:t>
      </w:r>
    </w:p>
    <w:p w14:paraId="7F9A066F" w14:textId="77777777" w:rsidR="0007377F" w:rsidRPr="0007377F" w:rsidRDefault="0007377F" w:rsidP="0007377F">
      <w:pPr>
        <w:spacing w:line="360" w:lineRule="auto"/>
        <w:jc w:val="both"/>
        <w:rPr>
          <w:rFonts w:ascii="Palatino Linotype" w:hAnsi="Palatino Linotype" w:cs="Tahoma"/>
          <w:iCs/>
          <w:sz w:val="22"/>
          <w:szCs w:val="22"/>
          <w:lang w:val="es-ES_tradnl"/>
        </w:rPr>
      </w:pPr>
    </w:p>
    <w:p w14:paraId="1FD5F139" w14:textId="54172878" w:rsidR="00801872" w:rsidRPr="00C938B6" w:rsidRDefault="006F32E9" w:rsidP="005B031E">
      <w:pPr>
        <w:autoSpaceDE w:val="0"/>
        <w:autoSpaceDN w:val="0"/>
        <w:adjustRightInd w:val="0"/>
        <w:spacing w:line="360" w:lineRule="auto"/>
        <w:jc w:val="both"/>
        <w:rPr>
          <w:rFonts w:ascii="Palatino Linotype" w:eastAsia="Calibri" w:hAnsi="Palatino Linotype" w:cs="Tahoma"/>
          <w:b/>
          <w:bCs/>
          <w:iCs/>
          <w:sz w:val="22"/>
          <w:szCs w:val="22"/>
          <w:lang w:val="es-ES" w:eastAsia="en-US"/>
        </w:rPr>
      </w:pPr>
      <w:r>
        <w:rPr>
          <w:rFonts w:ascii="Palatino Linotype" w:eastAsia="Calibri" w:hAnsi="Palatino Linotype" w:cs="Tahoma"/>
          <w:b/>
          <w:bCs/>
          <w:iCs/>
          <w:sz w:val="22"/>
          <w:szCs w:val="22"/>
          <w:lang w:val="es-ES" w:eastAsia="en-US"/>
        </w:rPr>
        <w:t>Términos de la Resolución</w:t>
      </w:r>
      <w:r w:rsidR="00D51254">
        <w:rPr>
          <w:rFonts w:ascii="Palatino Linotype" w:eastAsia="Calibri" w:hAnsi="Palatino Linotype" w:cs="Tahoma"/>
          <w:b/>
          <w:bCs/>
          <w:iCs/>
          <w:sz w:val="22"/>
          <w:szCs w:val="22"/>
          <w:lang w:val="es-ES" w:eastAsia="en-US"/>
        </w:rPr>
        <w:t xml:space="preserve"> para el Recurrente</w:t>
      </w:r>
      <w:r>
        <w:rPr>
          <w:rFonts w:ascii="Palatino Linotype" w:eastAsia="Calibri" w:hAnsi="Palatino Linotype" w:cs="Tahoma"/>
          <w:b/>
          <w:bCs/>
          <w:iCs/>
          <w:sz w:val="22"/>
          <w:szCs w:val="22"/>
          <w:lang w:val="es-ES" w:eastAsia="en-US"/>
        </w:rPr>
        <w:t xml:space="preserve">. </w:t>
      </w:r>
    </w:p>
    <w:p w14:paraId="6D93DF56" w14:textId="77777777" w:rsidR="00801872" w:rsidRPr="00C938B6" w:rsidRDefault="00801872" w:rsidP="005B031E">
      <w:pPr>
        <w:autoSpaceDE w:val="0"/>
        <w:autoSpaceDN w:val="0"/>
        <w:adjustRightInd w:val="0"/>
        <w:spacing w:line="360" w:lineRule="auto"/>
        <w:jc w:val="both"/>
        <w:rPr>
          <w:rFonts w:ascii="Palatino Linotype" w:eastAsia="Calibri" w:hAnsi="Palatino Linotype" w:cs="Tahoma"/>
          <w:b/>
          <w:bCs/>
          <w:iCs/>
          <w:sz w:val="22"/>
          <w:szCs w:val="22"/>
          <w:lang w:val="es-ES" w:eastAsia="en-US"/>
        </w:rPr>
      </w:pPr>
    </w:p>
    <w:p w14:paraId="3D0E089E" w14:textId="38607C6E" w:rsidR="0007377F" w:rsidRDefault="00065B2F" w:rsidP="005B031E">
      <w:pPr>
        <w:widowControl w:val="0"/>
        <w:spacing w:line="360" w:lineRule="auto"/>
        <w:jc w:val="both"/>
        <w:rPr>
          <w:rFonts w:ascii="Palatino Linotype" w:eastAsia="Calibri" w:hAnsi="Palatino Linotype" w:cs="Tahoma"/>
          <w:bCs/>
          <w:iCs/>
          <w:sz w:val="22"/>
          <w:szCs w:val="22"/>
          <w:lang w:val="es-ES" w:eastAsia="en-US"/>
        </w:rPr>
      </w:pPr>
      <w:r w:rsidRPr="00CB4A69">
        <w:rPr>
          <w:rFonts w:ascii="Palatino Linotype" w:eastAsia="Calibri" w:hAnsi="Palatino Linotype" w:cs="Tahoma"/>
          <w:bCs/>
          <w:iCs/>
          <w:sz w:val="22"/>
          <w:szCs w:val="22"/>
          <w:lang w:val="es-ES" w:eastAsia="en-US"/>
        </w:rPr>
        <w:t xml:space="preserve">Se </w:t>
      </w:r>
      <w:r w:rsidR="00801872" w:rsidRPr="00CB4A69">
        <w:rPr>
          <w:rFonts w:ascii="Palatino Linotype" w:eastAsia="Calibri" w:hAnsi="Palatino Linotype" w:cs="Tahoma"/>
          <w:bCs/>
          <w:iCs/>
          <w:sz w:val="22"/>
          <w:szCs w:val="22"/>
          <w:lang w:val="es-ES" w:eastAsia="en-US"/>
        </w:rPr>
        <w:t xml:space="preserve">hace </w:t>
      </w:r>
      <w:r w:rsidR="006F32E9" w:rsidRPr="00CB4A69">
        <w:rPr>
          <w:rFonts w:ascii="Palatino Linotype" w:eastAsia="Calibri" w:hAnsi="Palatino Linotype" w:cs="Tahoma"/>
          <w:bCs/>
          <w:iCs/>
          <w:sz w:val="22"/>
          <w:szCs w:val="22"/>
          <w:lang w:val="es-ES" w:eastAsia="en-US"/>
        </w:rPr>
        <w:t xml:space="preserve">del conocimiento al Particular </w:t>
      </w:r>
      <w:r w:rsidR="00801872" w:rsidRPr="00CB4A69">
        <w:rPr>
          <w:rFonts w:ascii="Palatino Linotype" w:eastAsia="Calibri" w:hAnsi="Palatino Linotype" w:cs="Tahoma"/>
          <w:bCs/>
          <w:iCs/>
          <w:sz w:val="22"/>
          <w:szCs w:val="22"/>
          <w:lang w:val="es-ES" w:eastAsia="en-US"/>
        </w:rPr>
        <w:t>que en el prese</w:t>
      </w:r>
      <w:r w:rsidRPr="00CB4A69">
        <w:rPr>
          <w:rFonts w:ascii="Palatino Linotype" w:eastAsia="Calibri" w:hAnsi="Palatino Linotype" w:cs="Tahoma"/>
          <w:bCs/>
          <w:iCs/>
          <w:sz w:val="22"/>
          <w:szCs w:val="22"/>
          <w:lang w:val="es-ES" w:eastAsia="en-US"/>
        </w:rPr>
        <w:t xml:space="preserve">nte caso se le </w:t>
      </w:r>
      <w:r w:rsidR="00D51254" w:rsidRPr="00CB4A69">
        <w:rPr>
          <w:rFonts w:ascii="Palatino Linotype" w:eastAsia="Calibri" w:hAnsi="Palatino Linotype" w:cs="Tahoma"/>
          <w:bCs/>
          <w:iCs/>
          <w:sz w:val="22"/>
          <w:szCs w:val="22"/>
          <w:lang w:val="es-ES" w:eastAsia="en-US"/>
        </w:rPr>
        <w:t xml:space="preserve">concede </w:t>
      </w:r>
      <w:r w:rsidRPr="00CB4A69">
        <w:rPr>
          <w:rFonts w:ascii="Palatino Linotype" w:eastAsia="Calibri" w:hAnsi="Palatino Linotype" w:cs="Tahoma"/>
          <w:bCs/>
          <w:iCs/>
          <w:sz w:val="22"/>
          <w:szCs w:val="22"/>
          <w:lang w:val="es-ES" w:eastAsia="en-US"/>
        </w:rPr>
        <w:t xml:space="preserve">la razón </w:t>
      </w:r>
      <w:r w:rsidR="0007377F">
        <w:rPr>
          <w:rFonts w:ascii="Palatino Linotype" w:eastAsia="Calibri" w:hAnsi="Palatino Linotype" w:cs="Tahoma"/>
          <w:bCs/>
          <w:iCs/>
          <w:sz w:val="22"/>
          <w:szCs w:val="22"/>
          <w:lang w:val="es-ES" w:eastAsia="en-US"/>
        </w:rPr>
        <w:t xml:space="preserve">dado que el Sujeto Obligado no dio respuesta a su solicitud de información y en informe justificado no proporcionó </w:t>
      </w:r>
      <w:r w:rsidR="00AF6BDD">
        <w:rPr>
          <w:rFonts w:ascii="Palatino Linotype" w:eastAsia="Calibri" w:hAnsi="Palatino Linotype" w:cs="Tahoma"/>
          <w:bCs/>
          <w:iCs/>
          <w:sz w:val="22"/>
          <w:szCs w:val="22"/>
          <w:lang w:val="es-ES" w:eastAsia="en-US"/>
        </w:rPr>
        <w:t xml:space="preserve">la documentación de manera completa. </w:t>
      </w:r>
    </w:p>
    <w:p w14:paraId="21C432CA" w14:textId="77777777" w:rsidR="001123D1" w:rsidRPr="00CB4A69" w:rsidRDefault="001123D1" w:rsidP="005B031E">
      <w:pPr>
        <w:widowControl w:val="0"/>
        <w:spacing w:line="360" w:lineRule="auto"/>
        <w:jc w:val="both"/>
        <w:rPr>
          <w:rFonts w:ascii="Palatino Linotype" w:eastAsia="Calibri" w:hAnsi="Palatino Linotype" w:cs="Tahoma"/>
          <w:bCs/>
          <w:iCs/>
          <w:sz w:val="22"/>
          <w:szCs w:val="22"/>
          <w:lang w:val="es-ES" w:eastAsia="en-US"/>
        </w:rPr>
      </w:pPr>
    </w:p>
    <w:p w14:paraId="5765D138" w14:textId="3BD6A998" w:rsidR="00801872" w:rsidRDefault="00F171E4" w:rsidP="005B031E">
      <w:pPr>
        <w:spacing w:line="360" w:lineRule="auto"/>
        <w:jc w:val="both"/>
        <w:rPr>
          <w:rFonts w:ascii="Palatino Linotype" w:eastAsia="Calibri" w:hAnsi="Palatino Linotype" w:cs="Tahoma"/>
          <w:bCs/>
          <w:iCs/>
          <w:sz w:val="22"/>
          <w:szCs w:val="22"/>
          <w:lang w:eastAsia="en-US"/>
        </w:rPr>
      </w:pPr>
      <w:r>
        <w:rPr>
          <w:rFonts w:ascii="Palatino Linotype" w:eastAsia="Calibri" w:hAnsi="Palatino Linotype" w:cs="Tahoma"/>
          <w:bCs/>
          <w:iCs/>
          <w:sz w:val="22"/>
          <w:szCs w:val="22"/>
          <w:lang w:eastAsia="en-US"/>
        </w:rPr>
        <w:t>Por último</w:t>
      </w:r>
      <w:r w:rsidR="007A067A" w:rsidRPr="00CB4A69">
        <w:rPr>
          <w:rFonts w:ascii="Palatino Linotype" w:eastAsia="Calibri" w:hAnsi="Palatino Linotype" w:cs="Tahoma"/>
          <w:bCs/>
          <w:iCs/>
          <w:sz w:val="22"/>
          <w:szCs w:val="22"/>
          <w:lang w:eastAsia="en-US"/>
        </w:rPr>
        <w:t xml:space="preserve">, es imprescindible mencionar que la labor de este Instituto </w:t>
      </w:r>
      <w:r w:rsidR="00D51254" w:rsidRPr="00CB4A69">
        <w:rPr>
          <w:rFonts w:ascii="Palatino Linotype" w:eastAsia="Calibri" w:hAnsi="Palatino Linotype" w:cs="Tahoma"/>
          <w:bCs/>
          <w:iCs/>
          <w:sz w:val="22"/>
          <w:szCs w:val="22"/>
          <w:lang w:eastAsia="en-US"/>
        </w:rPr>
        <w:t>es</w:t>
      </w:r>
      <w:r w:rsidR="007A067A" w:rsidRPr="00CB4A69">
        <w:rPr>
          <w:rFonts w:ascii="Palatino Linotype" w:eastAsia="Calibri" w:hAnsi="Palatino Linotype" w:cs="Tahoma"/>
          <w:bCs/>
          <w:iCs/>
          <w:sz w:val="22"/>
          <w:szCs w:val="22"/>
          <w:lang w:eastAsia="en-US"/>
        </w:rPr>
        <w:t xml:space="preserve"> apoyar a la población </w:t>
      </w:r>
      <w:r w:rsidR="00D51254" w:rsidRPr="00CB4A69">
        <w:rPr>
          <w:rFonts w:ascii="Palatino Linotype" w:eastAsia="Calibri" w:hAnsi="Palatino Linotype" w:cs="Tahoma"/>
          <w:bCs/>
          <w:iCs/>
          <w:sz w:val="22"/>
          <w:szCs w:val="22"/>
          <w:lang w:eastAsia="en-US"/>
        </w:rPr>
        <w:t>para que</w:t>
      </w:r>
      <w:r w:rsidR="007A067A" w:rsidRPr="00CB4A69">
        <w:rPr>
          <w:rFonts w:ascii="Palatino Linotype" w:eastAsia="Calibri" w:hAnsi="Palatino Linotype" w:cs="Tahoma"/>
          <w:bCs/>
          <w:iCs/>
          <w:sz w:val="22"/>
          <w:szCs w:val="22"/>
          <w:lang w:eastAsia="en-US"/>
        </w:rPr>
        <w:t xml:space="preserve"> </w:t>
      </w:r>
      <w:r w:rsidR="00D51254" w:rsidRPr="00CB4A69">
        <w:rPr>
          <w:rFonts w:ascii="Palatino Linotype" w:eastAsia="Calibri" w:hAnsi="Palatino Linotype" w:cs="Tahoma"/>
          <w:bCs/>
          <w:iCs/>
          <w:sz w:val="22"/>
          <w:szCs w:val="22"/>
          <w:lang w:eastAsia="en-US"/>
        </w:rPr>
        <w:t xml:space="preserve">acceda </w:t>
      </w:r>
      <w:r w:rsidR="007A067A" w:rsidRPr="00CB4A69">
        <w:rPr>
          <w:rFonts w:ascii="Palatino Linotype" w:eastAsia="Calibri" w:hAnsi="Palatino Linotype" w:cs="Tahoma"/>
          <w:bCs/>
          <w:iCs/>
          <w:sz w:val="22"/>
          <w:szCs w:val="22"/>
          <w:lang w:eastAsia="en-US"/>
        </w:rPr>
        <w:t>a la información pública que se encuentre en posesión de los sujetos obligados y garantizar la protección de los datos personales.</w:t>
      </w:r>
      <w:r w:rsidR="007A067A" w:rsidRPr="007A067A">
        <w:rPr>
          <w:rFonts w:ascii="Palatino Linotype" w:eastAsia="Calibri" w:hAnsi="Palatino Linotype" w:cs="Tahoma"/>
          <w:bCs/>
          <w:iCs/>
          <w:sz w:val="22"/>
          <w:szCs w:val="22"/>
          <w:lang w:eastAsia="en-US"/>
        </w:rPr>
        <w:t xml:space="preserve"> </w:t>
      </w:r>
    </w:p>
    <w:p w14:paraId="2F428446" w14:textId="2A00FC8A" w:rsidR="00414AA4" w:rsidRDefault="00414AA4" w:rsidP="005B031E">
      <w:pPr>
        <w:spacing w:line="360" w:lineRule="auto"/>
        <w:jc w:val="both"/>
        <w:rPr>
          <w:rFonts w:ascii="Palatino Linotype" w:eastAsia="Calibri" w:hAnsi="Palatino Linotype" w:cs="Tahoma"/>
          <w:bCs/>
          <w:iCs/>
          <w:sz w:val="22"/>
          <w:szCs w:val="22"/>
          <w:lang w:val="es-ES" w:eastAsia="en-US"/>
        </w:rPr>
      </w:pPr>
    </w:p>
    <w:p w14:paraId="2D44B6E2" w14:textId="77777777" w:rsidR="00A14C32" w:rsidRDefault="00A14C32" w:rsidP="005B031E">
      <w:pPr>
        <w:spacing w:line="360" w:lineRule="auto"/>
        <w:jc w:val="both"/>
        <w:rPr>
          <w:rFonts w:ascii="Palatino Linotype" w:eastAsia="Calibri" w:hAnsi="Palatino Linotype" w:cs="Tahoma"/>
          <w:bCs/>
          <w:iCs/>
          <w:sz w:val="22"/>
          <w:szCs w:val="22"/>
          <w:lang w:val="es-ES" w:eastAsia="en-US"/>
        </w:rPr>
      </w:pPr>
    </w:p>
    <w:p w14:paraId="4B5677AF" w14:textId="08659AE2" w:rsidR="001A2454" w:rsidRDefault="001A2454" w:rsidP="001A2454">
      <w:pPr>
        <w:spacing w:line="360" w:lineRule="auto"/>
        <w:jc w:val="both"/>
        <w:rPr>
          <w:rFonts w:ascii="Palatino Linotype" w:eastAsia="Calibri" w:hAnsi="Palatino Linotype" w:cs="Tahoma"/>
          <w:b/>
          <w:iCs/>
          <w:sz w:val="22"/>
          <w:szCs w:val="22"/>
          <w:lang w:val="es-ES" w:eastAsia="en-US"/>
        </w:rPr>
      </w:pPr>
      <w:r w:rsidRPr="001A2454">
        <w:rPr>
          <w:rFonts w:ascii="Palatino Linotype" w:eastAsia="Calibri" w:hAnsi="Palatino Linotype" w:cs="Tahoma"/>
          <w:b/>
          <w:iCs/>
          <w:sz w:val="22"/>
          <w:szCs w:val="22"/>
          <w:lang w:val="es-ES" w:eastAsia="en-US"/>
        </w:rPr>
        <w:lastRenderedPageBreak/>
        <w:t>SÉPTIMO. Vista a la Contraloría Interna y Órgano de Control y Vigilancia.</w:t>
      </w:r>
    </w:p>
    <w:p w14:paraId="3CF390FD" w14:textId="77777777" w:rsidR="001A2454" w:rsidRPr="001A2454" w:rsidRDefault="001A2454" w:rsidP="001A2454">
      <w:pPr>
        <w:spacing w:line="360" w:lineRule="auto"/>
        <w:jc w:val="both"/>
        <w:rPr>
          <w:rFonts w:ascii="Palatino Linotype" w:eastAsia="Calibri" w:hAnsi="Palatino Linotype" w:cs="Tahoma"/>
          <w:b/>
          <w:iCs/>
          <w:sz w:val="22"/>
          <w:szCs w:val="22"/>
          <w:lang w:val="es-ES" w:eastAsia="en-US"/>
        </w:rPr>
      </w:pPr>
    </w:p>
    <w:p w14:paraId="495AE14C" w14:textId="082A7F76" w:rsidR="001A2454" w:rsidRPr="001A2454" w:rsidRDefault="001A2454" w:rsidP="001A2454">
      <w:pPr>
        <w:spacing w:line="360" w:lineRule="auto"/>
        <w:jc w:val="both"/>
        <w:rPr>
          <w:rFonts w:ascii="Palatino Linotype" w:eastAsia="Calibri" w:hAnsi="Palatino Linotype" w:cs="Tahoma"/>
          <w:bCs/>
          <w:iCs/>
          <w:sz w:val="22"/>
          <w:szCs w:val="22"/>
          <w:lang w:val="es-ES" w:eastAsia="en-US"/>
        </w:rPr>
      </w:pPr>
      <w:r w:rsidRPr="001A2454">
        <w:rPr>
          <w:rFonts w:ascii="Palatino Linotype" w:eastAsia="Calibri" w:hAnsi="Palatino Linotype" w:cs="Tahoma"/>
          <w:bCs/>
          <w:iCs/>
          <w:sz w:val="22"/>
          <w:szCs w:val="22"/>
          <w:lang w:val="es-ES" w:eastAsia="en-US"/>
        </w:rPr>
        <w:t>En el caso en estudio, ha quedado acreditado que el Ayuntamiento de</w:t>
      </w:r>
      <w:r>
        <w:rPr>
          <w:rFonts w:ascii="Palatino Linotype" w:eastAsia="Calibri" w:hAnsi="Palatino Linotype" w:cs="Tahoma"/>
          <w:bCs/>
          <w:iCs/>
          <w:sz w:val="22"/>
          <w:szCs w:val="22"/>
          <w:lang w:val="es-ES" w:eastAsia="en-US"/>
        </w:rPr>
        <w:t xml:space="preserve"> Xalatlaco</w:t>
      </w:r>
      <w:r w:rsidRPr="001A2454">
        <w:rPr>
          <w:rFonts w:ascii="Palatino Linotype" w:eastAsia="Calibri" w:hAnsi="Palatino Linotype" w:cs="Tahoma"/>
          <w:bCs/>
          <w:iCs/>
          <w:sz w:val="22"/>
          <w:szCs w:val="22"/>
          <w:lang w:val="es-ES" w:eastAsia="en-US"/>
        </w:rPr>
        <w:t xml:space="preserve"> omitió dar</w:t>
      </w:r>
      <w:r w:rsidR="00F41820">
        <w:rPr>
          <w:rFonts w:ascii="Palatino Linotype" w:eastAsia="Calibri" w:hAnsi="Palatino Linotype" w:cs="Tahoma"/>
          <w:bCs/>
          <w:iCs/>
          <w:sz w:val="22"/>
          <w:szCs w:val="22"/>
          <w:lang w:val="es-ES" w:eastAsia="en-US"/>
        </w:rPr>
        <w:t xml:space="preserve"> </w:t>
      </w:r>
      <w:r w:rsidRPr="001A2454">
        <w:rPr>
          <w:rFonts w:ascii="Palatino Linotype" w:eastAsia="Calibri" w:hAnsi="Palatino Linotype" w:cs="Tahoma"/>
          <w:bCs/>
          <w:iCs/>
          <w:sz w:val="22"/>
          <w:szCs w:val="22"/>
          <w:lang w:val="es-ES" w:eastAsia="en-US"/>
        </w:rPr>
        <w:t>respuesta en el plazo señalado en el artículo 163 de la Ley de Transparencia y Acceso a la</w:t>
      </w:r>
      <w:r w:rsidR="00F41820">
        <w:rPr>
          <w:rFonts w:ascii="Palatino Linotype" w:eastAsia="Calibri" w:hAnsi="Palatino Linotype" w:cs="Tahoma"/>
          <w:bCs/>
          <w:iCs/>
          <w:sz w:val="22"/>
          <w:szCs w:val="22"/>
          <w:lang w:val="es-ES" w:eastAsia="en-US"/>
        </w:rPr>
        <w:t xml:space="preserve"> </w:t>
      </w:r>
      <w:r w:rsidRPr="001A2454">
        <w:rPr>
          <w:rFonts w:ascii="Palatino Linotype" w:eastAsia="Calibri" w:hAnsi="Palatino Linotype" w:cs="Tahoma"/>
          <w:bCs/>
          <w:iCs/>
          <w:sz w:val="22"/>
          <w:szCs w:val="22"/>
          <w:lang w:val="es-ES" w:eastAsia="en-US"/>
        </w:rPr>
        <w:t>Información Pública del Estado de México y Municipios.</w:t>
      </w:r>
    </w:p>
    <w:p w14:paraId="3E82077D" w14:textId="77777777" w:rsidR="001A2454" w:rsidRPr="001A2454" w:rsidRDefault="001A2454" w:rsidP="001A2454">
      <w:pPr>
        <w:spacing w:line="360" w:lineRule="auto"/>
        <w:jc w:val="both"/>
        <w:rPr>
          <w:rFonts w:ascii="Palatino Linotype" w:eastAsia="Calibri" w:hAnsi="Palatino Linotype" w:cs="Tahoma"/>
          <w:bCs/>
          <w:iCs/>
          <w:sz w:val="22"/>
          <w:szCs w:val="22"/>
          <w:lang w:val="es-ES" w:eastAsia="en-US"/>
        </w:rPr>
      </w:pPr>
    </w:p>
    <w:p w14:paraId="047B2E50" w14:textId="031E738A" w:rsidR="001A2454" w:rsidRPr="001A2454" w:rsidRDefault="001A2454" w:rsidP="001A2454">
      <w:pPr>
        <w:spacing w:line="360" w:lineRule="auto"/>
        <w:jc w:val="both"/>
        <w:rPr>
          <w:rFonts w:ascii="Palatino Linotype" w:eastAsia="Calibri" w:hAnsi="Palatino Linotype" w:cs="Tahoma"/>
          <w:bCs/>
          <w:iCs/>
          <w:sz w:val="22"/>
          <w:szCs w:val="22"/>
          <w:lang w:val="es-ES" w:eastAsia="en-US"/>
        </w:rPr>
      </w:pPr>
      <w:r w:rsidRPr="001A2454">
        <w:rPr>
          <w:rFonts w:ascii="Palatino Linotype" w:eastAsia="Calibri" w:hAnsi="Palatino Linotype" w:cs="Tahoma"/>
          <w:bCs/>
          <w:iCs/>
          <w:sz w:val="22"/>
          <w:szCs w:val="22"/>
          <w:lang w:val="es-ES" w:eastAsia="en-US"/>
        </w:rPr>
        <w:t>Al respecto, el artículo 36, fracción X, del ordenamiento jurídico en cita, establece que es</w:t>
      </w:r>
      <w:r>
        <w:rPr>
          <w:rFonts w:ascii="Palatino Linotype" w:eastAsia="Calibri" w:hAnsi="Palatino Linotype" w:cs="Tahoma"/>
          <w:bCs/>
          <w:iCs/>
          <w:sz w:val="22"/>
          <w:szCs w:val="22"/>
          <w:lang w:val="es-ES" w:eastAsia="en-US"/>
        </w:rPr>
        <w:t xml:space="preserve"> </w:t>
      </w:r>
      <w:r w:rsidRPr="001A2454">
        <w:rPr>
          <w:rFonts w:ascii="Palatino Linotype" w:eastAsia="Calibri" w:hAnsi="Palatino Linotype" w:cs="Tahoma"/>
          <w:bCs/>
          <w:iCs/>
          <w:sz w:val="22"/>
          <w:szCs w:val="22"/>
          <w:lang w:val="es-ES" w:eastAsia="en-US"/>
        </w:rPr>
        <w:t>atribución de este Instituto hacer del conocimiento del Órgano Interno de Control o</w:t>
      </w:r>
      <w:r>
        <w:rPr>
          <w:rFonts w:ascii="Palatino Linotype" w:eastAsia="Calibri" w:hAnsi="Palatino Linotype" w:cs="Tahoma"/>
          <w:bCs/>
          <w:iCs/>
          <w:sz w:val="22"/>
          <w:szCs w:val="22"/>
          <w:lang w:val="es-ES" w:eastAsia="en-US"/>
        </w:rPr>
        <w:t xml:space="preserve"> </w:t>
      </w:r>
      <w:r w:rsidRPr="001A2454">
        <w:rPr>
          <w:rFonts w:ascii="Palatino Linotype" w:eastAsia="Calibri" w:hAnsi="Palatino Linotype" w:cs="Tahoma"/>
          <w:bCs/>
          <w:iCs/>
          <w:sz w:val="22"/>
          <w:szCs w:val="22"/>
          <w:lang w:val="es-ES" w:eastAsia="en-US"/>
        </w:rPr>
        <w:t>equivalente de cada Sujeto Obligado las infracciones a esta Ley. En ese sentido, de</w:t>
      </w:r>
      <w:r>
        <w:rPr>
          <w:rFonts w:ascii="Palatino Linotype" w:eastAsia="Calibri" w:hAnsi="Palatino Linotype" w:cs="Tahoma"/>
          <w:bCs/>
          <w:iCs/>
          <w:sz w:val="22"/>
          <w:szCs w:val="22"/>
          <w:lang w:val="es-ES" w:eastAsia="en-US"/>
        </w:rPr>
        <w:t xml:space="preserve"> </w:t>
      </w:r>
      <w:r w:rsidRPr="001A2454">
        <w:rPr>
          <w:rFonts w:ascii="Palatino Linotype" w:eastAsia="Calibri" w:hAnsi="Palatino Linotype" w:cs="Tahoma"/>
          <w:bCs/>
          <w:iCs/>
          <w:sz w:val="22"/>
          <w:szCs w:val="22"/>
          <w:lang w:val="es-ES" w:eastAsia="en-US"/>
        </w:rPr>
        <w:t>conformidad con lo previsto en el artículo 222, fracción II, de dicho ordenamiento, son</w:t>
      </w:r>
      <w:r>
        <w:rPr>
          <w:rFonts w:ascii="Palatino Linotype" w:eastAsia="Calibri" w:hAnsi="Palatino Linotype" w:cs="Tahoma"/>
          <w:bCs/>
          <w:iCs/>
          <w:sz w:val="22"/>
          <w:szCs w:val="22"/>
          <w:lang w:val="es-ES" w:eastAsia="en-US"/>
        </w:rPr>
        <w:t xml:space="preserve"> </w:t>
      </w:r>
      <w:r w:rsidRPr="001A2454">
        <w:rPr>
          <w:rFonts w:ascii="Palatino Linotype" w:eastAsia="Calibri" w:hAnsi="Palatino Linotype" w:cs="Tahoma"/>
          <w:bCs/>
          <w:iCs/>
          <w:sz w:val="22"/>
          <w:szCs w:val="22"/>
          <w:lang w:val="es-ES" w:eastAsia="en-US"/>
        </w:rPr>
        <w:t>causas de responsabilidad administrativa los incumplimientos de las obligaciones</w:t>
      </w:r>
      <w:r>
        <w:rPr>
          <w:rFonts w:ascii="Palatino Linotype" w:eastAsia="Calibri" w:hAnsi="Palatino Linotype" w:cs="Tahoma"/>
          <w:bCs/>
          <w:iCs/>
          <w:sz w:val="22"/>
          <w:szCs w:val="22"/>
          <w:lang w:val="es-ES" w:eastAsia="en-US"/>
        </w:rPr>
        <w:t xml:space="preserve"> </w:t>
      </w:r>
      <w:r w:rsidRPr="001A2454">
        <w:rPr>
          <w:rFonts w:ascii="Palatino Linotype" w:eastAsia="Calibri" w:hAnsi="Palatino Linotype" w:cs="Tahoma"/>
          <w:bCs/>
          <w:iCs/>
          <w:sz w:val="22"/>
          <w:szCs w:val="22"/>
          <w:lang w:val="es-ES" w:eastAsia="en-US"/>
        </w:rPr>
        <w:t>establecida en la Ley de la materia, entre otras conductas, la falta de respuesta a las</w:t>
      </w:r>
      <w:r>
        <w:rPr>
          <w:rFonts w:ascii="Palatino Linotype" w:eastAsia="Calibri" w:hAnsi="Palatino Linotype" w:cs="Tahoma"/>
          <w:bCs/>
          <w:iCs/>
          <w:sz w:val="22"/>
          <w:szCs w:val="22"/>
          <w:lang w:val="es-ES" w:eastAsia="en-US"/>
        </w:rPr>
        <w:t xml:space="preserve"> </w:t>
      </w:r>
      <w:r w:rsidRPr="001A2454">
        <w:rPr>
          <w:rFonts w:ascii="Palatino Linotype" w:eastAsia="Calibri" w:hAnsi="Palatino Linotype" w:cs="Tahoma"/>
          <w:bCs/>
          <w:iCs/>
          <w:sz w:val="22"/>
          <w:szCs w:val="22"/>
          <w:lang w:val="es-ES" w:eastAsia="en-US"/>
        </w:rPr>
        <w:t>solicitudes de información en los plazos señalados, a saber, dentro de los quince días</w:t>
      </w:r>
      <w:r>
        <w:rPr>
          <w:rFonts w:ascii="Palatino Linotype" w:eastAsia="Calibri" w:hAnsi="Palatino Linotype" w:cs="Tahoma"/>
          <w:bCs/>
          <w:iCs/>
          <w:sz w:val="22"/>
          <w:szCs w:val="22"/>
          <w:lang w:val="es-ES" w:eastAsia="en-US"/>
        </w:rPr>
        <w:t xml:space="preserve"> </w:t>
      </w:r>
      <w:r w:rsidRPr="001A2454">
        <w:rPr>
          <w:rFonts w:ascii="Palatino Linotype" w:eastAsia="Calibri" w:hAnsi="Palatino Linotype" w:cs="Tahoma"/>
          <w:bCs/>
          <w:iCs/>
          <w:sz w:val="22"/>
          <w:szCs w:val="22"/>
          <w:lang w:val="es-ES" w:eastAsia="en-US"/>
        </w:rPr>
        <w:t>siguientes a la presentación del requerimiento.</w:t>
      </w:r>
    </w:p>
    <w:p w14:paraId="04AC675E" w14:textId="77777777" w:rsidR="001A2454" w:rsidRPr="001A2454" w:rsidRDefault="001A2454" w:rsidP="001A2454">
      <w:pPr>
        <w:spacing w:line="360" w:lineRule="auto"/>
        <w:jc w:val="both"/>
        <w:rPr>
          <w:rFonts w:ascii="Palatino Linotype" w:eastAsia="Calibri" w:hAnsi="Palatino Linotype" w:cs="Tahoma"/>
          <w:bCs/>
          <w:iCs/>
          <w:sz w:val="22"/>
          <w:szCs w:val="22"/>
          <w:lang w:val="es-ES" w:eastAsia="en-US"/>
        </w:rPr>
      </w:pPr>
    </w:p>
    <w:p w14:paraId="6FC9E6D5" w14:textId="26A3CA2D" w:rsidR="001A2454" w:rsidRPr="00C938B6" w:rsidRDefault="001A2454" w:rsidP="001A2454">
      <w:pPr>
        <w:spacing w:line="360" w:lineRule="auto"/>
        <w:jc w:val="both"/>
        <w:rPr>
          <w:rFonts w:ascii="Palatino Linotype" w:eastAsia="Calibri" w:hAnsi="Palatino Linotype" w:cs="Tahoma"/>
          <w:bCs/>
          <w:iCs/>
          <w:sz w:val="22"/>
          <w:szCs w:val="22"/>
          <w:lang w:val="es-ES" w:eastAsia="en-US"/>
        </w:rPr>
      </w:pPr>
      <w:r w:rsidRPr="001A2454">
        <w:rPr>
          <w:rFonts w:ascii="Palatino Linotype" w:eastAsia="Calibri" w:hAnsi="Palatino Linotype" w:cs="Tahoma"/>
          <w:bCs/>
          <w:iCs/>
          <w:sz w:val="22"/>
          <w:szCs w:val="22"/>
          <w:lang w:val="es-ES" w:eastAsia="en-US"/>
        </w:rPr>
        <w:t>Por su parte, el artículo 223 de la Ley de Transparencia y Acceso a la Información Pública</w:t>
      </w:r>
      <w:r w:rsidR="001B6D3C">
        <w:rPr>
          <w:rFonts w:ascii="Palatino Linotype" w:eastAsia="Calibri" w:hAnsi="Palatino Linotype" w:cs="Tahoma"/>
          <w:bCs/>
          <w:iCs/>
          <w:sz w:val="22"/>
          <w:szCs w:val="22"/>
          <w:lang w:val="es-ES" w:eastAsia="en-US"/>
        </w:rPr>
        <w:t xml:space="preserve"> </w:t>
      </w:r>
      <w:r w:rsidRPr="001A2454">
        <w:rPr>
          <w:rFonts w:ascii="Palatino Linotype" w:eastAsia="Calibri" w:hAnsi="Palatino Linotype" w:cs="Tahoma"/>
          <w:bCs/>
          <w:iCs/>
          <w:sz w:val="22"/>
          <w:szCs w:val="22"/>
          <w:lang w:val="es-ES" w:eastAsia="en-US"/>
        </w:rPr>
        <w:t>del Estado de México y Municipios, prevé que este Instituto deberá dar vista a la</w:t>
      </w:r>
      <w:r w:rsidR="001B6D3C">
        <w:rPr>
          <w:rFonts w:ascii="Palatino Linotype" w:eastAsia="Calibri" w:hAnsi="Palatino Linotype" w:cs="Tahoma"/>
          <w:bCs/>
          <w:iCs/>
          <w:sz w:val="22"/>
          <w:szCs w:val="22"/>
          <w:lang w:val="es-ES" w:eastAsia="en-US"/>
        </w:rPr>
        <w:t xml:space="preserve"> </w:t>
      </w:r>
      <w:r w:rsidRPr="001A2454">
        <w:rPr>
          <w:rFonts w:ascii="Palatino Linotype" w:eastAsia="Calibri" w:hAnsi="Palatino Linotype" w:cs="Tahoma"/>
          <w:bCs/>
          <w:iCs/>
          <w:sz w:val="22"/>
          <w:szCs w:val="22"/>
          <w:lang w:val="es-ES" w:eastAsia="en-US"/>
        </w:rPr>
        <w:t>Contraloría Interna, con el fin de que determine el grado de responsabilidad de los</w:t>
      </w:r>
      <w:r w:rsidR="001B6D3C">
        <w:rPr>
          <w:rFonts w:ascii="Palatino Linotype" w:eastAsia="Calibri" w:hAnsi="Palatino Linotype" w:cs="Tahoma"/>
          <w:bCs/>
          <w:iCs/>
          <w:sz w:val="22"/>
          <w:szCs w:val="22"/>
          <w:lang w:val="es-ES" w:eastAsia="en-US"/>
        </w:rPr>
        <w:t xml:space="preserve"> </w:t>
      </w:r>
      <w:r w:rsidRPr="001A2454">
        <w:rPr>
          <w:rFonts w:ascii="Palatino Linotype" w:eastAsia="Calibri" w:hAnsi="Palatino Linotype" w:cs="Tahoma"/>
          <w:bCs/>
          <w:iCs/>
          <w:sz w:val="22"/>
          <w:szCs w:val="22"/>
          <w:lang w:val="es-ES" w:eastAsia="en-US"/>
        </w:rPr>
        <w:t>servidores públicos que incumplan con las obligaciones establecidas en la Ley.</w:t>
      </w:r>
    </w:p>
    <w:p w14:paraId="50EB6737" w14:textId="71E38404" w:rsidR="001B6D3C" w:rsidRDefault="001B6D3C" w:rsidP="005B031E">
      <w:pPr>
        <w:autoSpaceDE w:val="0"/>
        <w:autoSpaceDN w:val="0"/>
        <w:adjustRightInd w:val="0"/>
        <w:spacing w:line="360" w:lineRule="auto"/>
        <w:jc w:val="both"/>
        <w:rPr>
          <w:rFonts w:ascii="Palatino Linotype" w:eastAsia="Calibri" w:hAnsi="Palatino Linotype" w:cs="Tahoma"/>
          <w:bCs/>
          <w:iCs/>
          <w:sz w:val="22"/>
          <w:szCs w:val="22"/>
          <w:lang w:eastAsia="en-US"/>
        </w:rPr>
      </w:pPr>
    </w:p>
    <w:p w14:paraId="404C81E4" w14:textId="64E808FE" w:rsidR="001B6D3C" w:rsidRDefault="001B6D3C" w:rsidP="001B6D3C">
      <w:pPr>
        <w:autoSpaceDE w:val="0"/>
        <w:autoSpaceDN w:val="0"/>
        <w:adjustRightInd w:val="0"/>
        <w:spacing w:line="360" w:lineRule="auto"/>
        <w:jc w:val="both"/>
        <w:rPr>
          <w:rFonts w:ascii="Palatino Linotype" w:eastAsia="Calibri" w:hAnsi="Palatino Linotype" w:cs="Tahoma"/>
          <w:bCs/>
          <w:iCs/>
          <w:sz w:val="22"/>
          <w:szCs w:val="22"/>
          <w:lang w:eastAsia="en-US"/>
        </w:rPr>
      </w:pPr>
      <w:r w:rsidRPr="001B6D3C">
        <w:rPr>
          <w:rFonts w:ascii="Palatino Linotype" w:eastAsia="Calibri" w:hAnsi="Palatino Linotype" w:cs="Tahoma"/>
          <w:bCs/>
          <w:iCs/>
          <w:sz w:val="22"/>
          <w:szCs w:val="22"/>
          <w:lang w:eastAsia="en-US"/>
        </w:rPr>
        <w:t xml:space="preserve">Sobre el </w:t>
      </w:r>
      <w:r w:rsidR="00292718">
        <w:rPr>
          <w:rFonts w:ascii="Palatino Linotype" w:eastAsia="Calibri" w:hAnsi="Palatino Linotype" w:cs="Tahoma"/>
          <w:bCs/>
          <w:iCs/>
          <w:sz w:val="22"/>
          <w:szCs w:val="22"/>
          <w:lang w:eastAsia="en-US"/>
        </w:rPr>
        <w:t>P</w:t>
      </w:r>
      <w:r w:rsidRPr="001B6D3C">
        <w:rPr>
          <w:rFonts w:ascii="Palatino Linotype" w:eastAsia="Calibri" w:hAnsi="Palatino Linotype" w:cs="Tahoma"/>
          <w:bCs/>
          <w:iCs/>
          <w:sz w:val="22"/>
          <w:szCs w:val="22"/>
          <w:lang w:eastAsia="en-US"/>
        </w:rPr>
        <w:t>articular, si bien, la presente resolución no tiene por objetivo investigar y</w:t>
      </w:r>
      <w:r>
        <w:rPr>
          <w:rFonts w:ascii="Palatino Linotype" w:eastAsia="Calibri" w:hAnsi="Palatino Linotype" w:cs="Tahoma"/>
          <w:bCs/>
          <w:iCs/>
          <w:sz w:val="22"/>
          <w:szCs w:val="22"/>
          <w:lang w:eastAsia="en-US"/>
        </w:rPr>
        <w:t xml:space="preserve"> </w:t>
      </w:r>
      <w:r w:rsidRPr="001B6D3C">
        <w:rPr>
          <w:rFonts w:ascii="Palatino Linotype" w:eastAsia="Calibri" w:hAnsi="Palatino Linotype" w:cs="Tahoma"/>
          <w:bCs/>
          <w:iCs/>
          <w:sz w:val="22"/>
          <w:szCs w:val="22"/>
          <w:lang w:eastAsia="en-US"/>
        </w:rPr>
        <w:t>determinar posibles violaciones al derecho de acceso a la información, toda vez que este</w:t>
      </w:r>
      <w:r>
        <w:rPr>
          <w:rFonts w:ascii="Palatino Linotype" w:eastAsia="Calibri" w:hAnsi="Palatino Linotype" w:cs="Tahoma"/>
          <w:bCs/>
          <w:iCs/>
          <w:sz w:val="22"/>
          <w:szCs w:val="22"/>
          <w:lang w:eastAsia="en-US"/>
        </w:rPr>
        <w:t xml:space="preserve"> </w:t>
      </w:r>
      <w:r w:rsidRPr="001B6D3C">
        <w:rPr>
          <w:rFonts w:ascii="Palatino Linotype" w:eastAsia="Calibri" w:hAnsi="Palatino Linotype" w:cs="Tahoma"/>
          <w:bCs/>
          <w:iCs/>
          <w:sz w:val="22"/>
          <w:szCs w:val="22"/>
          <w:lang w:eastAsia="en-US"/>
        </w:rPr>
        <w:t>Organismo Autónomo, advirtió la falta de respuesta del Sujeto Obligado, se considera</w:t>
      </w:r>
      <w:r>
        <w:rPr>
          <w:rFonts w:ascii="Palatino Linotype" w:eastAsia="Calibri" w:hAnsi="Palatino Linotype" w:cs="Tahoma"/>
          <w:bCs/>
          <w:iCs/>
          <w:sz w:val="22"/>
          <w:szCs w:val="22"/>
          <w:lang w:eastAsia="en-US"/>
        </w:rPr>
        <w:t xml:space="preserve"> </w:t>
      </w:r>
      <w:r w:rsidRPr="001B6D3C">
        <w:rPr>
          <w:rFonts w:ascii="Palatino Linotype" w:eastAsia="Calibri" w:hAnsi="Palatino Linotype" w:cs="Tahoma"/>
          <w:bCs/>
          <w:iCs/>
          <w:sz w:val="22"/>
          <w:szCs w:val="22"/>
          <w:lang w:eastAsia="en-US"/>
        </w:rPr>
        <w:t>procedente dar vista al Contralor Interno y Titular del Órgano de Control y Vigilancia de</w:t>
      </w:r>
      <w:r>
        <w:rPr>
          <w:rFonts w:ascii="Palatino Linotype" w:eastAsia="Calibri" w:hAnsi="Palatino Linotype" w:cs="Tahoma"/>
          <w:bCs/>
          <w:iCs/>
          <w:sz w:val="22"/>
          <w:szCs w:val="22"/>
          <w:lang w:eastAsia="en-US"/>
        </w:rPr>
        <w:t xml:space="preserve"> </w:t>
      </w:r>
      <w:r w:rsidRPr="001B6D3C">
        <w:rPr>
          <w:rFonts w:ascii="Palatino Linotype" w:eastAsia="Calibri" w:hAnsi="Palatino Linotype" w:cs="Tahoma"/>
          <w:bCs/>
          <w:iCs/>
          <w:sz w:val="22"/>
          <w:szCs w:val="22"/>
          <w:lang w:eastAsia="en-US"/>
        </w:rPr>
        <w:t>este Instituto.</w:t>
      </w:r>
    </w:p>
    <w:p w14:paraId="40DDFD7B" w14:textId="77777777" w:rsidR="001B6D3C" w:rsidRDefault="001B6D3C" w:rsidP="001B6D3C">
      <w:pPr>
        <w:autoSpaceDE w:val="0"/>
        <w:autoSpaceDN w:val="0"/>
        <w:adjustRightInd w:val="0"/>
        <w:spacing w:line="360" w:lineRule="auto"/>
        <w:jc w:val="both"/>
        <w:rPr>
          <w:rFonts w:ascii="Palatino Linotype" w:eastAsia="Calibri" w:hAnsi="Palatino Linotype" w:cs="Tahoma"/>
          <w:bCs/>
          <w:iCs/>
          <w:sz w:val="22"/>
          <w:szCs w:val="22"/>
          <w:lang w:eastAsia="en-US"/>
        </w:rPr>
      </w:pPr>
    </w:p>
    <w:p w14:paraId="7818318C" w14:textId="748FEFB2" w:rsidR="00801872" w:rsidRPr="00C938B6" w:rsidRDefault="00801872" w:rsidP="005B031E">
      <w:pPr>
        <w:autoSpaceDE w:val="0"/>
        <w:autoSpaceDN w:val="0"/>
        <w:adjustRightInd w:val="0"/>
        <w:spacing w:line="360" w:lineRule="auto"/>
        <w:jc w:val="both"/>
        <w:rPr>
          <w:rFonts w:ascii="Palatino Linotype" w:eastAsia="Calibri" w:hAnsi="Palatino Linotype" w:cs="Tahoma"/>
          <w:bCs/>
          <w:iCs/>
          <w:sz w:val="22"/>
          <w:szCs w:val="22"/>
          <w:lang w:eastAsia="en-US"/>
        </w:rPr>
      </w:pPr>
      <w:r w:rsidRPr="00C938B6">
        <w:rPr>
          <w:rFonts w:ascii="Palatino Linotype" w:eastAsia="Calibri" w:hAnsi="Palatino Linotype" w:cs="Tahoma"/>
          <w:bCs/>
          <w:iCs/>
          <w:sz w:val="22"/>
          <w:szCs w:val="22"/>
          <w:lang w:eastAsia="en-US"/>
        </w:rPr>
        <w:t>Por lo expuesto y fundado, este Pleno:</w:t>
      </w:r>
    </w:p>
    <w:p w14:paraId="5331D0C1" w14:textId="77777777" w:rsidR="00801872" w:rsidRPr="00C938B6" w:rsidRDefault="00801872" w:rsidP="005B031E">
      <w:pPr>
        <w:autoSpaceDE w:val="0"/>
        <w:autoSpaceDN w:val="0"/>
        <w:adjustRightInd w:val="0"/>
        <w:spacing w:line="360" w:lineRule="auto"/>
        <w:jc w:val="both"/>
        <w:rPr>
          <w:rFonts w:ascii="Palatino Linotype" w:eastAsia="Calibri" w:hAnsi="Palatino Linotype" w:cs="Tahoma"/>
          <w:bCs/>
          <w:iCs/>
          <w:sz w:val="22"/>
          <w:szCs w:val="22"/>
          <w:lang w:eastAsia="en-US"/>
        </w:rPr>
      </w:pPr>
    </w:p>
    <w:p w14:paraId="21497BEA" w14:textId="3EB8BFD4" w:rsidR="00744C4C" w:rsidRDefault="00801872" w:rsidP="005B031E">
      <w:pPr>
        <w:spacing w:line="360" w:lineRule="auto"/>
        <w:ind w:right="-28"/>
        <w:jc w:val="center"/>
        <w:rPr>
          <w:rFonts w:ascii="Palatino Linotype" w:eastAsia="Calibri" w:hAnsi="Palatino Linotype" w:cs="Tahoma"/>
          <w:b/>
          <w:bCs/>
          <w:sz w:val="22"/>
          <w:szCs w:val="22"/>
        </w:rPr>
      </w:pPr>
      <w:r w:rsidRPr="00C938B6">
        <w:rPr>
          <w:rFonts w:ascii="Palatino Linotype" w:eastAsia="Calibri" w:hAnsi="Palatino Linotype" w:cs="Tahoma"/>
          <w:b/>
          <w:bCs/>
          <w:sz w:val="22"/>
          <w:szCs w:val="22"/>
        </w:rPr>
        <w:lastRenderedPageBreak/>
        <w:t>R E S U E L V E:</w:t>
      </w:r>
    </w:p>
    <w:p w14:paraId="50A40932" w14:textId="77777777" w:rsidR="005B031E" w:rsidRPr="005B031E" w:rsidRDefault="005B031E" w:rsidP="005B031E">
      <w:pPr>
        <w:spacing w:line="360" w:lineRule="auto"/>
        <w:ind w:right="-28"/>
        <w:jc w:val="center"/>
        <w:rPr>
          <w:rFonts w:ascii="Palatino Linotype" w:eastAsia="Calibri" w:hAnsi="Palatino Linotype" w:cs="Tahoma"/>
          <w:b/>
          <w:bCs/>
          <w:sz w:val="22"/>
          <w:szCs w:val="22"/>
        </w:rPr>
      </w:pPr>
    </w:p>
    <w:p w14:paraId="195F5C82" w14:textId="5FAAB503" w:rsidR="001B6D3C" w:rsidRPr="005B3F08" w:rsidRDefault="001B6D3C" w:rsidP="001B6D3C">
      <w:pPr>
        <w:spacing w:line="360" w:lineRule="auto"/>
        <w:jc w:val="both"/>
        <w:rPr>
          <w:rFonts w:ascii="Palatino Linotype" w:hAnsi="Palatino Linotype" w:cs="Tahoma"/>
          <w:sz w:val="22"/>
          <w:szCs w:val="22"/>
        </w:rPr>
      </w:pPr>
      <w:r w:rsidRPr="001B6D3C">
        <w:rPr>
          <w:rFonts w:ascii="Palatino Linotype" w:hAnsi="Palatino Linotype" w:cs="Tahoma"/>
          <w:b/>
          <w:bCs/>
          <w:sz w:val="22"/>
          <w:szCs w:val="22"/>
        </w:rPr>
        <w:t xml:space="preserve">PRIMERO. </w:t>
      </w:r>
      <w:r w:rsidRPr="005B3F08">
        <w:rPr>
          <w:rFonts w:ascii="Palatino Linotype" w:hAnsi="Palatino Linotype" w:cs="Tahoma"/>
          <w:sz w:val="22"/>
          <w:szCs w:val="22"/>
        </w:rPr>
        <w:t xml:space="preserve">Resultan </w:t>
      </w:r>
      <w:r w:rsidRPr="005B3F08">
        <w:rPr>
          <w:rFonts w:ascii="Palatino Linotype" w:hAnsi="Palatino Linotype" w:cs="Tahoma"/>
          <w:b/>
          <w:bCs/>
          <w:sz w:val="22"/>
          <w:szCs w:val="22"/>
        </w:rPr>
        <w:t xml:space="preserve">FUNDADAS </w:t>
      </w:r>
      <w:r w:rsidRPr="005B3F08">
        <w:rPr>
          <w:rFonts w:ascii="Palatino Linotype" w:hAnsi="Palatino Linotype" w:cs="Tahoma"/>
          <w:sz w:val="22"/>
          <w:szCs w:val="22"/>
        </w:rPr>
        <w:t>las razones o motivos de inconformidad hechos valer</w:t>
      </w:r>
      <w:r w:rsidR="005B3F08" w:rsidRPr="005B3F08">
        <w:rPr>
          <w:rFonts w:ascii="Palatino Linotype" w:hAnsi="Palatino Linotype" w:cs="Tahoma"/>
          <w:sz w:val="22"/>
          <w:szCs w:val="22"/>
        </w:rPr>
        <w:t xml:space="preserve"> </w:t>
      </w:r>
      <w:r w:rsidRPr="005B3F08">
        <w:rPr>
          <w:rFonts w:ascii="Palatino Linotype" w:hAnsi="Palatino Linotype" w:cs="Tahoma"/>
          <w:sz w:val="22"/>
          <w:szCs w:val="22"/>
        </w:rPr>
        <w:t xml:space="preserve">por el Particular en el Recurso de Revisión </w:t>
      </w:r>
      <w:r w:rsidRPr="00DA2FF2">
        <w:rPr>
          <w:rFonts w:ascii="Palatino Linotype" w:hAnsi="Palatino Linotype" w:cs="Tahoma"/>
          <w:b/>
          <w:bCs/>
          <w:sz w:val="22"/>
          <w:szCs w:val="22"/>
        </w:rPr>
        <w:t>05</w:t>
      </w:r>
      <w:r w:rsidR="00A30646" w:rsidRPr="00DA2FF2">
        <w:rPr>
          <w:rFonts w:ascii="Palatino Linotype" w:hAnsi="Palatino Linotype" w:cs="Tahoma"/>
          <w:b/>
          <w:bCs/>
          <w:sz w:val="22"/>
          <w:szCs w:val="22"/>
        </w:rPr>
        <w:t>946</w:t>
      </w:r>
      <w:r w:rsidRPr="00DA2FF2">
        <w:rPr>
          <w:rFonts w:ascii="Palatino Linotype" w:hAnsi="Palatino Linotype" w:cs="Tahoma"/>
          <w:b/>
          <w:bCs/>
          <w:sz w:val="22"/>
          <w:szCs w:val="22"/>
        </w:rPr>
        <w:t>/INFOEM/IP/RR/2021</w:t>
      </w:r>
      <w:r w:rsidRPr="005B3F08">
        <w:rPr>
          <w:rFonts w:ascii="Palatino Linotype" w:hAnsi="Palatino Linotype" w:cs="Tahoma"/>
          <w:sz w:val="22"/>
          <w:szCs w:val="22"/>
        </w:rPr>
        <w:t>, en términos de</w:t>
      </w:r>
      <w:r w:rsidR="00D05586">
        <w:rPr>
          <w:rFonts w:ascii="Palatino Linotype" w:hAnsi="Palatino Linotype" w:cs="Tahoma"/>
          <w:sz w:val="22"/>
          <w:szCs w:val="22"/>
        </w:rPr>
        <w:t xml:space="preserve"> los</w:t>
      </w:r>
      <w:r w:rsidR="005B3F08">
        <w:rPr>
          <w:rFonts w:ascii="Palatino Linotype" w:hAnsi="Palatino Linotype" w:cs="Tahoma"/>
          <w:sz w:val="22"/>
          <w:szCs w:val="22"/>
        </w:rPr>
        <w:t xml:space="preserve"> </w:t>
      </w:r>
      <w:r w:rsidR="00D05586">
        <w:rPr>
          <w:rFonts w:ascii="Palatino Linotype" w:hAnsi="Palatino Linotype" w:cs="Tahoma"/>
          <w:sz w:val="22"/>
          <w:szCs w:val="22"/>
        </w:rPr>
        <w:t>C</w:t>
      </w:r>
      <w:r w:rsidRPr="005B3F08">
        <w:rPr>
          <w:rFonts w:ascii="Palatino Linotype" w:hAnsi="Palatino Linotype" w:cs="Tahoma"/>
          <w:sz w:val="22"/>
          <w:szCs w:val="22"/>
        </w:rPr>
        <w:t>onsiderando</w:t>
      </w:r>
      <w:r w:rsidR="00D05586">
        <w:rPr>
          <w:rFonts w:ascii="Palatino Linotype" w:hAnsi="Palatino Linotype" w:cs="Tahoma"/>
          <w:sz w:val="22"/>
          <w:szCs w:val="22"/>
        </w:rPr>
        <w:t>s</w:t>
      </w:r>
      <w:r w:rsidRPr="005B3F08">
        <w:rPr>
          <w:rFonts w:ascii="Palatino Linotype" w:hAnsi="Palatino Linotype" w:cs="Tahoma"/>
          <w:sz w:val="22"/>
          <w:szCs w:val="22"/>
        </w:rPr>
        <w:t xml:space="preserve"> </w:t>
      </w:r>
      <w:r w:rsidRPr="005B3F08">
        <w:rPr>
          <w:rFonts w:ascii="Palatino Linotype" w:hAnsi="Palatino Linotype" w:cs="Tahoma"/>
          <w:b/>
          <w:bCs/>
          <w:sz w:val="22"/>
          <w:szCs w:val="22"/>
        </w:rPr>
        <w:t>QUINTO y SEXTO</w:t>
      </w:r>
      <w:r w:rsidRPr="005B3F08">
        <w:rPr>
          <w:rFonts w:ascii="Palatino Linotype" w:hAnsi="Palatino Linotype" w:cs="Tahoma"/>
          <w:sz w:val="22"/>
          <w:szCs w:val="22"/>
        </w:rPr>
        <w:t xml:space="preserve"> de la presente Resolución.</w:t>
      </w:r>
    </w:p>
    <w:p w14:paraId="7A6CAA49" w14:textId="77777777" w:rsidR="001B6D3C" w:rsidRPr="001B6D3C" w:rsidRDefault="001B6D3C" w:rsidP="001B6D3C">
      <w:pPr>
        <w:spacing w:line="360" w:lineRule="auto"/>
        <w:jc w:val="both"/>
        <w:rPr>
          <w:rFonts w:ascii="Palatino Linotype" w:hAnsi="Palatino Linotype" w:cs="Tahoma"/>
          <w:b/>
          <w:bCs/>
          <w:sz w:val="22"/>
          <w:szCs w:val="22"/>
        </w:rPr>
      </w:pPr>
    </w:p>
    <w:p w14:paraId="5F5EACC8" w14:textId="15A2334A" w:rsidR="00B71ED2" w:rsidRDefault="001B6D3C" w:rsidP="001B6D3C">
      <w:pPr>
        <w:spacing w:line="360" w:lineRule="auto"/>
        <w:jc w:val="both"/>
        <w:rPr>
          <w:rFonts w:ascii="Palatino Linotype" w:hAnsi="Palatino Linotype" w:cs="Tahoma"/>
          <w:sz w:val="22"/>
          <w:szCs w:val="22"/>
        </w:rPr>
      </w:pPr>
      <w:r w:rsidRPr="001B6D3C">
        <w:rPr>
          <w:rFonts w:ascii="Palatino Linotype" w:hAnsi="Palatino Linotype" w:cs="Tahoma"/>
          <w:b/>
          <w:bCs/>
          <w:sz w:val="22"/>
          <w:szCs w:val="22"/>
        </w:rPr>
        <w:t xml:space="preserve">SEGUNDO. </w:t>
      </w:r>
      <w:r w:rsidRPr="002F0FAA">
        <w:rPr>
          <w:rFonts w:ascii="Palatino Linotype" w:hAnsi="Palatino Linotype" w:cs="Tahoma"/>
          <w:sz w:val="22"/>
          <w:szCs w:val="22"/>
        </w:rPr>
        <w:t xml:space="preserve">Se </w:t>
      </w:r>
      <w:r w:rsidRPr="001B6D3C">
        <w:rPr>
          <w:rFonts w:ascii="Palatino Linotype" w:hAnsi="Palatino Linotype" w:cs="Tahoma"/>
          <w:b/>
          <w:bCs/>
          <w:sz w:val="22"/>
          <w:szCs w:val="22"/>
        </w:rPr>
        <w:t xml:space="preserve">ORDENA </w:t>
      </w:r>
      <w:r w:rsidRPr="00A30646">
        <w:rPr>
          <w:rFonts w:ascii="Palatino Linotype" w:hAnsi="Palatino Linotype" w:cs="Tahoma"/>
          <w:sz w:val="22"/>
          <w:szCs w:val="22"/>
        </w:rPr>
        <w:t>al Sujeto Obligado, a efecto de que</w:t>
      </w:r>
      <w:r w:rsidR="00B71ED2">
        <w:rPr>
          <w:rFonts w:ascii="Palatino Linotype" w:hAnsi="Palatino Linotype" w:cs="Tahoma"/>
          <w:sz w:val="22"/>
          <w:szCs w:val="22"/>
        </w:rPr>
        <w:t xml:space="preserve">, previa búsqueda exhaustiva y razonable en todas las áreas competentes, entregue a través del Sistema de Acceso a la Información Mexiquense (SAIMEX), </w:t>
      </w:r>
      <w:r w:rsidR="00DA2FF2">
        <w:rPr>
          <w:rFonts w:ascii="Palatino Linotype" w:hAnsi="Palatino Linotype" w:cs="Tahoma"/>
          <w:sz w:val="22"/>
          <w:szCs w:val="22"/>
        </w:rPr>
        <w:t>de ser el</w:t>
      </w:r>
      <w:r w:rsidR="00B71ED2">
        <w:rPr>
          <w:rFonts w:ascii="Palatino Linotype" w:hAnsi="Palatino Linotype" w:cs="Tahoma"/>
          <w:sz w:val="22"/>
          <w:szCs w:val="22"/>
        </w:rPr>
        <w:t xml:space="preserve"> caso en versión pública, lo siguiente: </w:t>
      </w:r>
    </w:p>
    <w:p w14:paraId="0A9668AB" w14:textId="77777777" w:rsidR="00DA2FF2" w:rsidRDefault="00DA2FF2" w:rsidP="001B6D3C">
      <w:pPr>
        <w:spacing w:line="360" w:lineRule="auto"/>
        <w:jc w:val="both"/>
        <w:rPr>
          <w:rFonts w:ascii="Palatino Linotype" w:hAnsi="Palatino Linotype" w:cs="Tahoma"/>
          <w:sz w:val="22"/>
          <w:szCs w:val="22"/>
        </w:rPr>
      </w:pPr>
    </w:p>
    <w:p w14:paraId="1BED5F7F" w14:textId="7641CB51" w:rsidR="00037E68" w:rsidRPr="00D05586" w:rsidRDefault="00C21F9F" w:rsidP="00037E68">
      <w:pPr>
        <w:pStyle w:val="Prrafodelista"/>
        <w:numPr>
          <w:ilvl w:val="0"/>
          <w:numId w:val="42"/>
        </w:numPr>
        <w:spacing w:line="360" w:lineRule="auto"/>
        <w:ind w:left="993" w:right="539"/>
        <w:jc w:val="both"/>
        <w:rPr>
          <w:rFonts w:ascii="Palatino Linotype" w:hAnsi="Palatino Linotype" w:cs="Tahoma"/>
          <w:szCs w:val="22"/>
        </w:rPr>
      </w:pPr>
      <w:r w:rsidRPr="00D05586">
        <w:rPr>
          <w:rFonts w:ascii="Palatino Linotype" w:hAnsi="Palatino Linotype" w:cs="Tahoma"/>
          <w:szCs w:val="22"/>
        </w:rPr>
        <w:t xml:space="preserve">Recibos emitidos </w:t>
      </w:r>
      <w:r w:rsidR="00A40A52" w:rsidRPr="00D05586">
        <w:rPr>
          <w:rFonts w:ascii="Palatino Linotype" w:hAnsi="Palatino Linotype" w:cs="Tahoma"/>
          <w:szCs w:val="22"/>
        </w:rPr>
        <w:t>mensualmente</w:t>
      </w:r>
      <w:r w:rsidR="0065161D" w:rsidRPr="00D05586">
        <w:rPr>
          <w:rFonts w:ascii="Palatino Linotype" w:hAnsi="Palatino Linotype" w:cs="Tahoma"/>
          <w:szCs w:val="22"/>
        </w:rPr>
        <w:t xml:space="preserve"> por la Comisión Federal de Electricidad del periodo comprendido del </w:t>
      </w:r>
      <w:r w:rsidR="00D05586">
        <w:rPr>
          <w:rFonts w:ascii="Palatino Linotype" w:hAnsi="Palatino Linotype" w:cs="Tahoma"/>
          <w:szCs w:val="22"/>
        </w:rPr>
        <w:t>primero</w:t>
      </w:r>
      <w:r w:rsidR="0065161D" w:rsidRPr="00D05586">
        <w:rPr>
          <w:rFonts w:ascii="Palatino Linotype" w:hAnsi="Palatino Linotype" w:cs="Tahoma"/>
          <w:szCs w:val="22"/>
        </w:rPr>
        <w:t xml:space="preserve"> de enero </w:t>
      </w:r>
      <w:r w:rsidR="00B21C6C" w:rsidRPr="00D05586">
        <w:rPr>
          <w:rFonts w:ascii="Palatino Linotype" w:hAnsi="Palatino Linotype" w:cs="Tahoma"/>
          <w:szCs w:val="22"/>
        </w:rPr>
        <w:t>de dos mil veinte al treinta y uno de o</w:t>
      </w:r>
      <w:r w:rsidR="0065161D" w:rsidRPr="00D05586">
        <w:rPr>
          <w:rFonts w:ascii="Palatino Linotype" w:hAnsi="Palatino Linotype" w:cs="Tahoma"/>
          <w:szCs w:val="22"/>
        </w:rPr>
        <w:t>ctubre de dos mil veintiuno y;</w:t>
      </w:r>
    </w:p>
    <w:p w14:paraId="7A431A6E" w14:textId="4A66140F" w:rsidR="0065161D" w:rsidRPr="00D05586" w:rsidRDefault="00CD7714" w:rsidP="00037E68">
      <w:pPr>
        <w:pStyle w:val="Prrafodelista"/>
        <w:numPr>
          <w:ilvl w:val="0"/>
          <w:numId w:val="42"/>
        </w:numPr>
        <w:spacing w:line="360" w:lineRule="auto"/>
        <w:ind w:left="993" w:right="539"/>
        <w:jc w:val="both"/>
        <w:rPr>
          <w:rFonts w:ascii="Palatino Linotype" w:hAnsi="Palatino Linotype" w:cs="Tahoma"/>
          <w:szCs w:val="22"/>
        </w:rPr>
      </w:pPr>
      <w:r w:rsidRPr="00D05586">
        <w:rPr>
          <w:rFonts w:ascii="Palatino Linotype" w:hAnsi="Palatino Linotype" w:cs="Tahoma"/>
          <w:iCs/>
          <w:szCs w:val="22"/>
          <w:lang w:val="es-ES_tradnl"/>
        </w:rPr>
        <w:t xml:space="preserve">Censo o documento análogo </w:t>
      </w:r>
      <w:r w:rsidR="00037E68" w:rsidRPr="00D05586">
        <w:rPr>
          <w:rFonts w:ascii="Palatino Linotype" w:hAnsi="Palatino Linotype" w:cs="Tahoma"/>
          <w:iCs/>
          <w:szCs w:val="22"/>
          <w:lang w:val="es-ES_tradnl"/>
        </w:rPr>
        <w:t xml:space="preserve">del año dos mil veinte o en su caso, el más reciente, </w:t>
      </w:r>
      <w:r w:rsidRPr="00D05586">
        <w:rPr>
          <w:rFonts w:ascii="Palatino Linotype" w:hAnsi="Palatino Linotype" w:cs="Tahoma"/>
          <w:iCs/>
          <w:szCs w:val="22"/>
          <w:lang w:val="es-ES_tradnl"/>
        </w:rPr>
        <w:t>que contenga el número de luminarias y balastros, el tipo de equipo o poste, capacidad, ubicación y en su caso, de las localizadas en avenidas principales y</w:t>
      </w:r>
      <w:r w:rsidR="002C62E4" w:rsidRPr="00D05586">
        <w:rPr>
          <w:rFonts w:ascii="Palatino Linotype" w:hAnsi="Palatino Linotype" w:cs="Tahoma"/>
          <w:iCs/>
          <w:szCs w:val="22"/>
          <w:lang w:val="es-ES_tradnl"/>
        </w:rPr>
        <w:t xml:space="preserve"> aquellas</w:t>
      </w:r>
      <w:r w:rsidRPr="00D05586">
        <w:rPr>
          <w:rFonts w:ascii="Palatino Linotype" w:hAnsi="Palatino Linotype" w:cs="Tahoma"/>
          <w:iCs/>
          <w:szCs w:val="22"/>
          <w:lang w:val="es-ES_tradnl"/>
        </w:rPr>
        <w:t xml:space="preserve"> que posean equipo de medición. </w:t>
      </w:r>
    </w:p>
    <w:p w14:paraId="14F8D830" w14:textId="3BE28033" w:rsidR="001B6D3C" w:rsidRDefault="001B6D3C" w:rsidP="001B6D3C">
      <w:pPr>
        <w:spacing w:line="360" w:lineRule="auto"/>
        <w:jc w:val="both"/>
        <w:rPr>
          <w:rFonts w:ascii="Palatino Linotype" w:hAnsi="Palatino Linotype" w:cs="Tahoma"/>
          <w:b/>
          <w:bCs/>
          <w:sz w:val="22"/>
          <w:szCs w:val="22"/>
        </w:rPr>
      </w:pPr>
    </w:p>
    <w:p w14:paraId="6A22C2D7" w14:textId="32BC5553" w:rsidR="0065161D" w:rsidRPr="0065161D" w:rsidRDefault="0065161D" w:rsidP="0065161D">
      <w:pPr>
        <w:spacing w:line="360" w:lineRule="auto"/>
        <w:jc w:val="both"/>
        <w:rPr>
          <w:rFonts w:ascii="Palatino Linotype" w:hAnsi="Palatino Linotype" w:cs="Tahoma"/>
          <w:iCs/>
          <w:sz w:val="22"/>
          <w:szCs w:val="22"/>
        </w:rPr>
      </w:pPr>
      <w:r w:rsidRPr="0065161D">
        <w:rPr>
          <w:rFonts w:ascii="Palatino Linotype" w:hAnsi="Palatino Linotype" w:cs="Tahoma"/>
          <w:iCs/>
          <w:sz w:val="22"/>
          <w:szCs w:val="22"/>
        </w:rPr>
        <w:t>En el caso de que los documentos localizados, contengan datos o información clasificada</w:t>
      </w:r>
      <w:r w:rsidR="00D05586">
        <w:rPr>
          <w:rFonts w:ascii="Palatino Linotype" w:hAnsi="Palatino Linotype" w:cs="Tahoma"/>
          <w:iCs/>
          <w:sz w:val="22"/>
          <w:szCs w:val="22"/>
        </w:rPr>
        <w:t xml:space="preserve"> como confidencial</w:t>
      </w:r>
      <w:r w:rsidRPr="0065161D">
        <w:rPr>
          <w:rFonts w:ascii="Palatino Linotype" w:hAnsi="Palatino Linotype" w:cs="Tahoma"/>
          <w:iCs/>
          <w:sz w:val="22"/>
          <w:szCs w:val="22"/>
        </w:rPr>
        <w:t>, en términos del artículo 143</w:t>
      </w:r>
      <w:r w:rsidR="00D05586">
        <w:rPr>
          <w:rFonts w:ascii="Palatino Linotype" w:hAnsi="Palatino Linotype" w:cs="Tahoma"/>
          <w:iCs/>
          <w:sz w:val="22"/>
          <w:szCs w:val="22"/>
        </w:rPr>
        <w:t>, fracción I</w:t>
      </w:r>
      <w:r w:rsidRPr="0065161D">
        <w:rPr>
          <w:rFonts w:ascii="Palatino Linotype" w:hAnsi="Palatino Linotype" w:cs="Tahoma"/>
          <w:iCs/>
          <w:sz w:val="22"/>
          <w:szCs w:val="22"/>
        </w:rPr>
        <w:t xml:space="preserve"> de la Ley de la materia, el Sujeto Obligado deberá elaborar las versiones públicas respectivas. En ese tenor, deberá emitir y entregar el acuerdo de su Comité de Transparencia, en donde, de manera fundada y motivada, confirme dicha clasificación.</w:t>
      </w:r>
    </w:p>
    <w:p w14:paraId="7B5CFAEB" w14:textId="08F94D13" w:rsidR="0065161D" w:rsidRPr="001B6D3C" w:rsidRDefault="00110EDE" w:rsidP="00110EDE">
      <w:pPr>
        <w:tabs>
          <w:tab w:val="left" w:pos="2385"/>
        </w:tabs>
        <w:spacing w:line="360" w:lineRule="auto"/>
        <w:jc w:val="both"/>
        <w:rPr>
          <w:rFonts w:ascii="Palatino Linotype" w:hAnsi="Palatino Linotype" w:cs="Tahoma"/>
          <w:b/>
          <w:bCs/>
          <w:sz w:val="22"/>
          <w:szCs w:val="22"/>
        </w:rPr>
      </w:pPr>
      <w:r>
        <w:rPr>
          <w:rFonts w:ascii="Palatino Linotype" w:hAnsi="Palatino Linotype" w:cs="Tahoma"/>
          <w:b/>
          <w:bCs/>
          <w:sz w:val="22"/>
          <w:szCs w:val="22"/>
        </w:rPr>
        <w:tab/>
      </w:r>
    </w:p>
    <w:p w14:paraId="6A723B4C" w14:textId="0470E791" w:rsidR="001B6D3C" w:rsidRPr="00226429" w:rsidRDefault="001B6D3C" w:rsidP="001B6D3C">
      <w:pPr>
        <w:spacing w:line="360" w:lineRule="auto"/>
        <w:jc w:val="both"/>
        <w:rPr>
          <w:rFonts w:ascii="Palatino Linotype" w:hAnsi="Palatino Linotype" w:cs="Tahoma"/>
          <w:sz w:val="22"/>
          <w:szCs w:val="22"/>
        </w:rPr>
      </w:pPr>
      <w:r w:rsidRPr="001B6D3C">
        <w:rPr>
          <w:rFonts w:ascii="Palatino Linotype" w:hAnsi="Palatino Linotype" w:cs="Tahoma"/>
          <w:b/>
          <w:bCs/>
          <w:sz w:val="22"/>
          <w:szCs w:val="22"/>
        </w:rPr>
        <w:t xml:space="preserve">TERCERO. </w:t>
      </w:r>
      <w:r w:rsidRPr="00226429">
        <w:rPr>
          <w:rFonts w:ascii="Palatino Linotype" w:hAnsi="Palatino Linotype" w:cs="Tahoma"/>
          <w:sz w:val="22"/>
          <w:szCs w:val="22"/>
        </w:rPr>
        <w:t>Con fundamento en el artículo 179, párrafo segundo, de la Ley de</w:t>
      </w:r>
      <w:r w:rsidR="007048EC">
        <w:rPr>
          <w:rFonts w:ascii="Palatino Linotype" w:hAnsi="Palatino Linotype" w:cs="Tahoma"/>
          <w:sz w:val="22"/>
          <w:szCs w:val="22"/>
        </w:rPr>
        <w:t xml:space="preserve"> </w:t>
      </w:r>
      <w:r w:rsidRPr="00226429">
        <w:rPr>
          <w:rFonts w:ascii="Palatino Linotype" w:hAnsi="Palatino Linotype" w:cs="Tahoma"/>
          <w:sz w:val="22"/>
          <w:szCs w:val="22"/>
        </w:rPr>
        <w:t>Transparencia y Acceso a la Información Pública del Estado de México y Municipios, se</w:t>
      </w:r>
      <w:r w:rsidR="007048EC">
        <w:rPr>
          <w:rFonts w:ascii="Palatino Linotype" w:hAnsi="Palatino Linotype" w:cs="Tahoma"/>
          <w:sz w:val="22"/>
          <w:szCs w:val="22"/>
        </w:rPr>
        <w:t xml:space="preserve"> </w:t>
      </w:r>
      <w:r w:rsidRPr="00226429">
        <w:rPr>
          <w:rFonts w:ascii="Palatino Linotype" w:hAnsi="Palatino Linotype" w:cs="Tahoma"/>
          <w:sz w:val="22"/>
          <w:szCs w:val="22"/>
        </w:rPr>
        <w:t>hace del conocimiento del Recurrente que tiene derecho a interponer nuevamente Recurso</w:t>
      </w:r>
      <w:r w:rsidR="007048EC">
        <w:rPr>
          <w:rFonts w:ascii="Palatino Linotype" w:hAnsi="Palatino Linotype" w:cs="Tahoma"/>
          <w:sz w:val="22"/>
          <w:szCs w:val="22"/>
        </w:rPr>
        <w:t xml:space="preserve"> </w:t>
      </w:r>
      <w:r w:rsidRPr="00226429">
        <w:rPr>
          <w:rFonts w:ascii="Palatino Linotype" w:hAnsi="Palatino Linotype" w:cs="Tahoma"/>
          <w:sz w:val="22"/>
          <w:szCs w:val="22"/>
        </w:rPr>
        <w:t xml:space="preserve">de Revisión </w:t>
      </w:r>
      <w:r w:rsidRPr="00226429">
        <w:rPr>
          <w:rFonts w:ascii="Palatino Linotype" w:hAnsi="Palatino Linotype" w:cs="Tahoma"/>
          <w:sz w:val="22"/>
          <w:szCs w:val="22"/>
        </w:rPr>
        <w:lastRenderedPageBreak/>
        <w:t>ante este Instituto, por la respuesta que dé el Sujeto Obligado, en</w:t>
      </w:r>
      <w:r w:rsidR="007048EC">
        <w:rPr>
          <w:rFonts w:ascii="Palatino Linotype" w:hAnsi="Palatino Linotype" w:cs="Tahoma"/>
          <w:sz w:val="22"/>
          <w:szCs w:val="22"/>
        </w:rPr>
        <w:t xml:space="preserve"> </w:t>
      </w:r>
      <w:r w:rsidRPr="00226429">
        <w:rPr>
          <w:rFonts w:ascii="Palatino Linotype" w:hAnsi="Palatino Linotype" w:cs="Tahoma"/>
          <w:sz w:val="22"/>
          <w:szCs w:val="22"/>
        </w:rPr>
        <w:t>cumplimiento a esta Resolución.</w:t>
      </w:r>
    </w:p>
    <w:p w14:paraId="3B59B78A" w14:textId="77777777" w:rsidR="001B6D3C" w:rsidRPr="001B6D3C" w:rsidRDefault="001B6D3C" w:rsidP="001B6D3C">
      <w:pPr>
        <w:spacing w:line="360" w:lineRule="auto"/>
        <w:jc w:val="both"/>
        <w:rPr>
          <w:rFonts w:ascii="Palatino Linotype" w:hAnsi="Palatino Linotype" w:cs="Tahoma"/>
          <w:b/>
          <w:bCs/>
          <w:sz w:val="22"/>
          <w:szCs w:val="22"/>
        </w:rPr>
      </w:pPr>
    </w:p>
    <w:p w14:paraId="3ABCB68A" w14:textId="7718D11C" w:rsidR="001B6D3C" w:rsidRPr="00226429" w:rsidRDefault="001B6D3C" w:rsidP="001B6D3C">
      <w:pPr>
        <w:spacing w:line="360" w:lineRule="auto"/>
        <w:jc w:val="both"/>
        <w:rPr>
          <w:rFonts w:ascii="Palatino Linotype" w:hAnsi="Palatino Linotype" w:cs="Tahoma"/>
          <w:sz w:val="22"/>
          <w:szCs w:val="22"/>
        </w:rPr>
      </w:pPr>
      <w:r w:rsidRPr="001B6D3C">
        <w:rPr>
          <w:rFonts w:ascii="Palatino Linotype" w:hAnsi="Palatino Linotype" w:cs="Tahoma"/>
          <w:b/>
          <w:bCs/>
          <w:sz w:val="22"/>
          <w:szCs w:val="22"/>
        </w:rPr>
        <w:t xml:space="preserve">CUARTO. NOTIFÍQUESE </w:t>
      </w:r>
      <w:r w:rsidRPr="00226429">
        <w:rPr>
          <w:rFonts w:ascii="Palatino Linotype" w:hAnsi="Palatino Linotype" w:cs="Tahoma"/>
          <w:sz w:val="22"/>
          <w:szCs w:val="22"/>
        </w:rPr>
        <w:t>la</w:t>
      </w:r>
      <w:r w:rsidRPr="001B6D3C">
        <w:rPr>
          <w:rFonts w:ascii="Palatino Linotype" w:hAnsi="Palatino Linotype" w:cs="Tahoma"/>
          <w:b/>
          <w:bCs/>
          <w:sz w:val="22"/>
          <w:szCs w:val="22"/>
        </w:rPr>
        <w:t xml:space="preserve"> </w:t>
      </w:r>
      <w:r w:rsidRPr="00226429">
        <w:rPr>
          <w:rFonts w:ascii="Palatino Linotype" w:hAnsi="Palatino Linotype" w:cs="Tahoma"/>
          <w:sz w:val="22"/>
          <w:szCs w:val="22"/>
        </w:rPr>
        <w:t>presente resolución al Titular de la Unidad de Transparencia</w:t>
      </w:r>
      <w:r w:rsidR="00226429">
        <w:rPr>
          <w:rFonts w:ascii="Palatino Linotype" w:hAnsi="Palatino Linotype" w:cs="Tahoma"/>
          <w:sz w:val="22"/>
          <w:szCs w:val="22"/>
        </w:rPr>
        <w:t xml:space="preserve"> </w:t>
      </w:r>
      <w:r w:rsidRPr="00226429">
        <w:rPr>
          <w:rFonts w:ascii="Palatino Linotype" w:hAnsi="Palatino Linotype" w:cs="Tahoma"/>
          <w:sz w:val="22"/>
          <w:szCs w:val="22"/>
        </w:rPr>
        <w:t>del Sujeto Obligado, para que conforme al artículo 186 último párrafo, 189 segundo párrafo</w:t>
      </w:r>
      <w:r w:rsidR="00226429">
        <w:rPr>
          <w:rFonts w:ascii="Palatino Linotype" w:hAnsi="Palatino Linotype" w:cs="Tahoma"/>
          <w:sz w:val="22"/>
          <w:szCs w:val="22"/>
        </w:rPr>
        <w:t xml:space="preserve"> </w:t>
      </w:r>
      <w:r w:rsidRPr="00226429">
        <w:rPr>
          <w:rFonts w:ascii="Palatino Linotype" w:hAnsi="Palatino Linotype" w:cs="Tahoma"/>
          <w:sz w:val="22"/>
          <w:szCs w:val="22"/>
        </w:rPr>
        <w:t>y 194 de la Ley de Transparencia y Acceso a la Información Pública del Estado de México</w:t>
      </w:r>
      <w:r w:rsidR="00226429">
        <w:rPr>
          <w:rFonts w:ascii="Palatino Linotype" w:hAnsi="Palatino Linotype" w:cs="Tahoma"/>
          <w:sz w:val="22"/>
          <w:szCs w:val="22"/>
        </w:rPr>
        <w:t xml:space="preserve"> </w:t>
      </w:r>
      <w:r w:rsidRPr="00226429">
        <w:rPr>
          <w:rFonts w:ascii="Palatino Linotype" w:hAnsi="Palatino Linotype" w:cs="Tahoma"/>
          <w:sz w:val="22"/>
          <w:szCs w:val="22"/>
        </w:rPr>
        <w:t>y Municipios; dé cumplimiento a lo ordenado dentro del plazo de diez días hábiles, e</w:t>
      </w:r>
      <w:r w:rsidR="00226429">
        <w:rPr>
          <w:rFonts w:ascii="Palatino Linotype" w:hAnsi="Palatino Linotype" w:cs="Tahoma"/>
          <w:sz w:val="22"/>
          <w:szCs w:val="22"/>
        </w:rPr>
        <w:t xml:space="preserve"> </w:t>
      </w:r>
      <w:r w:rsidRPr="00226429">
        <w:rPr>
          <w:rFonts w:ascii="Palatino Linotype" w:hAnsi="Palatino Linotype" w:cs="Tahoma"/>
          <w:sz w:val="22"/>
          <w:szCs w:val="22"/>
        </w:rPr>
        <w:t>informe a este Instituto en un plazo de tres días hábiles siguientes sobre el cumplimiento</w:t>
      </w:r>
      <w:r w:rsidR="00226429">
        <w:rPr>
          <w:rFonts w:ascii="Palatino Linotype" w:hAnsi="Palatino Linotype" w:cs="Tahoma"/>
          <w:sz w:val="22"/>
          <w:szCs w:val="22"/>
        </w:rPr>
        <w:t xml:space="preserve"> </w:t>
      </w:r>
      <w:r w:rsidRPr="00226429">
        <w:rPr>
          <w:rFonts w:ascii="Palatino Linotype" w:hAnsi="Palatino Linotype" w:cs="Tahoma"/>
          <w:sz w:val="22"/>
          <w:szCs w:val="22"/>
        </w:rPr>
        <w:t>dado a la presente.</w:t>
      </w:r>
    </w:p>
    <w:p w14:paraId="3301EC7B" w14:textId="77777777" w:rsidR="00F41820" w:rsidRDefault="00F41820" w:rsidP="001B6D3C">
      <w:pPr>
        <w:spacing w:line="360" w:lineRule="auto"/>
        <w:jc w:val="both"/>
        <w:rPr>
          <w:rFonts w:ascii="Palatino Linotype" w:hAnsi="Palatino Linotype" w:cs="Tahoma"/>
          <w:b/>
          <w:bCs/>
          <w:sz w:val="22"/>
          <w:szCs w:val="22"/>
        </w:rPr>
      </w:pPr>
    </w:p>
    <w:p w14:paraId="0D0EA7F7" w14:textId="653590F2" w:rsidR="001B6D3C" w:rsidRPr="001B6D3C" w:rsidRDefault="001B6D3C" w:rsidP="001B6D3C">
      <w:pPr>
        <w:spacing w:line="360" w:lineRule="auto"/>
        <w:jc w:val="both"/>
        <w:rPr>
          <w:rFonts w:ascii="Palatino Linotype" w:hAnsi="Palatino Linotype" w:cs="Tahoma"/>
          <w:sz w:val="22"/>
          <w:szCs w:val="22"/>
        </w:rPr>
      </w:pPr>
      <w:r w:rsidRPr="001B6D3C">
        <w:rPr>
          <w:rFonts w:ascii="Palatino Linotype" w:hAnsi="Palatino Linotype" w:cs="Tahoma"/>
          <w:b/>
          <w:bCs/>
          <w:sz w:val="22"/>
          <w:szCs w:val="22"/>
        </w:rPr>
        <w:t xml:space="preserve">QUINTO. </w:t>
      </w:r>
      <w:r w:rsidRPr="00226429">
        <w:rPr>
          <w:rFonts w:ascii="Palatino Linotype" w:hAnsi="Palatino Linotype" w:cs="Tahoma"/>
          <w:b/>
          <w:bCs/>
          <w:sz w:val="22"/>
          <w:szCs w:val="22"/>
        </w:rPr>
        <w:t xml:space="preserve">NOTIFÍQUESE </w:t>
      </w:r>
      <w:r w:rsidRPr="001B6D3C">
        <w:rPr>
          <w:rFonts w:ascii="Palatino Linotype" w:hAnsi="Palatino Linotype" w:cs="Tahoma"/>
          <w:sz w:val="22"/>
          <w:szCs w:val="22"/>
        </w:rPr>
        <w:t>al Recurrente la presente Resolución, a través del Sistema de</w:t>
      </w:r>
      <w:r>
        <w:rPr>
          <w:rFonts w:ascii="Palatino Linotype" w:hAnsi="Palatino Linotype" w:cs="Tahoma"/>
          <w:sz w:val="22"/>
          <w:szCs w:val="22"/>
        </w:rPr>
        <w:t xml:space="preserve"> </w:t>
      </w:r>
      <w:r w:rsidRPr="001B6D3C">
        <w:rPr>
          <w:rFonts w:ascii="Palatino Linotype" w:hAnsi="Palatino Linotype" w:cs="Tahoma"/>
          <w:sz w:val="22"/>
          <w:szCs w:val="22"/>
        </w:rPr>
        <w:t>Acceso a la Información Mexiquense (SAIMEX); asimismo, se hace de su conocimiento</w:t>
      </w:r>
      <w:r>
        <w:rPr>
          <w:rFonts w:ascii="Palatino Linotype" w:hAnsi="Palatino Linotype" w:cs="Tahoma"/>
          <w:sz w:val="22"/>
          <w:szCs w:val="22"/>
        </w:rPr>
        <w:t xml:space="preserve"> </w:t>
      </w:r>
      <w:r w:rsidRPr="001B6D3C">
        <w:rPr>
          <w:rFonts w:ascii="Palatino Linotype" w:hAnsi="Palatino Linotype" w:cs="Tahoma"/>
          <w:sz w:val="22"/>
          <w:szCs w:val="22"/>
        </w:rPr>
        <w:t>que de conformidad con lo establecido en el artículo 196 de la Ley de Transparencia y</w:t>
      </w:r>
      <w:r>
        <w:rPr>
          <w:rFonts w:ascii="Palatino Linotype" w:hAnsi="Palatino Linotype" w:cs="Tahoma"/>
          <w:sz w:val="22"/>
          <w:szCs w:val="22"/>
        </w:rPr>
        <w:t xml:space="preserve"> </w:t>
      </w:r>
      <w:r w:rsidRPr="001B6D3C">
        <w:rPr>
          <w:rFonts w:ascii="Palatino Linotype" w:hAnsi="Palatino Linotype" w:cs="Tahoma"/>
          <w:sz w:val="22"/>
          <w:szCs w:val="22"/>
        </w:rPr>
        <w:t>Acceso a la Información Pública del Estado de México y Municipios, podrá promover Juicio de Amparo en términos de las leyes aplicables.</w:t>
      </w:r>
    </w:p>
    <w:p w14:paraId="064E6D60" w14:textId="77777777" w:rsidR="001B6D3C" w:rsidRPr="001B6D3C" w:rsidRDefault="001B6D3C" w:rsidP="001B6D3C">
      <w:pPr>
        <w:spacing w:line="360" w:lineRule="auto"/>
        <w:jc w:val="both"/>
        <w:rPr>
          <w:rFonts w:ascii="Palatino Linotype" w:hAnsi="Palatino Linotype" w:cs="Tahoma"/>
          <w:b/>
          <w:bCs/>
          <w:sz w:val="22"/>
          <w:szCs w:val="22"/>
        </w:rPr>
      </w:pPr>
    </w:p>
    <w:p w14:paraId="049328F4" w14:textId="61F4C963" w:rsidR="001B6D3C" w:rsidRPr="001B6D3C" w:rsidRDefault="001B6D3C" w:rsidP="001B6D3C">
      <w:pPr>
        <w:spacing w:line="360" w:lineRule="auto"/>
        <w:jc w:val="both"/>
        <w:rPr>
          <w:rFonts w:ascii="Palatino Linotype" w:hAnsi="Palatino Linotype" w:cs="Tahoma"/>
          <w:b/>
          <w:bCs/>
          <w:sz w:val="22"/>
          <w:szCs w:val="22"/>
        </w:rPr>
      </w:pPr>
      <w:r w:rsidRPr="001B6D3C">
        <w:rPr>
          <w:rFonts w:ascii="Palatino Linotype" w:hAnsi="Palatino Linotype" w:cs="Tahoma"/>
          <w:b/>
          <w:bCs/>
          <w:sz w:val="22"/>
          <w:szCs w:val="22"/>
        </w:rPr>
        <w:t xml:space="preserve">SEXTO. </w:t>
      </w:r>
      <w:r w:rsidRPr="001B6D3C">
        <w:rPr>
          <w:rFonts w:ascii="Palatino Linotype" w:hAnsi="Palatino Linotype" w:cs="Tahoma"/>
          <w:sz w:val="22"/>
          <w:szCs w:val="22"/>
        </w:rPr>
        <w:t>Con fundamento en el artículo 198 de la Ley de Transparencia y Acceso a la Información Pública del Estado de México y Municipios, se apercibe al Sujeto Obligado a que, en caso de negarse a cumplir la presente resolución o hacerlo de manera parcial se actuará de conformidad con lo previsto en los artículos 213, 214, 216 y 217 de dicha Ley.</w:t>
      </w:r>
    </w:p>
    <w:p w14:paraId="1C96BD22" w14:textId="77777777" w:rsidR="001B6D3C" w:rsidRPr="001B6D3C" w:rsidRDefault="001B6D3C" w:rsidP="001B6D3C">
      <w:pPr>
        <w:spacing w:line="360" w:lineRule="auto"/>
        <w:jc w:val="both"/>
        <w:rPr>
          <w:rFonts w:ascii="Palatino Linotype" w:hAnsi="Palatino Linotype" w:cs="Tahoma"/>
          <w:b/>
          <w:bCs/>
          <w:sz w:val="22"/>
          <w:szCs w:val="22"/>
        </w:rPr>
      </w:pPr>
    </w:p>
    <w:p w14:paraId="0AF1C2CC" w14:textId="302B6C3E" w:rsidR="001B04D6" w:rsidRDefault="001B6D3C" w:rsidP="001B6D3C">
      <w:pPr>
        <w:spacing w:line="360" w:lineRule="auto"/>
        <w:jc w:val="both"/>
        <w:rPr>
          <w:rFonts w:ascii="Palatino Linotype" w:hAnsi="Palatino Linotype" w:cs="Tahoma"/>
          <w:sz w:val="22"/>
          <w:szCs w:val="22"/>
        </w:rPr>
      </w:pPr>
      <w:r w:rsidRPr="001B6D3C">
        <w:rPr>
          <w:rFonts w:ascii="Palatino Linotype" w:hAnsi="Palatino Linotype" w:cs="Tahoma"/>
          <w:b/>
          <w:bCs/>
          <w:sz w:val="22"/>
          <w:szCs w:val="22"/>
        </w:rPr>
        <w:t xml:space="preserve">SÉPTIMO. </w:t>
      </w:r>
      <w:r w:rsidRPr="001B6D3C">
        <w:rPr>
          <w:rFonts w:ascii="Palatino Linotype" w:hAnsi="Palatino Linotype" w:cs="Tahoma"/>
          <w:sz w:val="22"/>
          <w:szCs w:val="22"/>
        </w:rPr>
        <w:t>Con fundamento en lo dispuesto en los artículos 190 de la Ley de Transparencia</w:t>
      </w:r>
      <w:r>
        <w:rPr>
          <w:rFonts w:ascii="Palatino Linotype" w:hAnsi="Palatino Linotype" w:cs="Tahoma"/>
          <w:sz w:val="22"/>
          <w:szCs w:val="22"/>
        </w:rPr>
        <w:t xml:space="preserve"> </w:t>
      </w:r>
      <w:r w:rsidRPr="001B6D3C">
        <w:rPr>
          <w:rFonts w:ascii="Palatino Linotype" w:hAnsi="Palatino Linotype" w:cs="Tahoma"/>
          <w:sz w:val="22"/>
          <w:szCs w:val="22"/>
        </w:rPr>
        <w:t>y Acceso a la Información Pública del Estado de México y Municipios, gírese oficio al</w:t>
      </w:r>
      <w:r>
        <w:rPr>
          <w:rFonts w:ascii="Palatino Linotype" w:hAnsi="Palatino Linotype" w:cs="Tahoma"/>
          <w:sz w:val="22"/>
          <w:szCs w:val="22"/>
        </w:rPr>
        <w:t xml:space="preserve"> </w:t>
      </w:r>
      <w:r w:rsidRPr="001B6D3C">
        <w:rPr>
          <w:rFonts w:ascii="Palatino Linotype" w:hAnsi="Palatino Linotype" w:cs="Tahoma"/>
          <w:sz w:val="22"/>
          <w:szCs w:val="22"/>
        </w:rPr>
        <w:t>Contralor Interno y Titular del Órgano de Control y Vigilancia de este Instituto con la</w:t>
      </w:r>
      <w:r>
        <w:rPr>
          <w:rFonts w:ascii="Palatino Linotype" w:hAnsi="Palatino Linotype" w:cs="Tahoma"/>
          <w:sz w:val="22"/>
          <w:szCs w:val="22"/>
        </w:rPr>
        <w:t xml:space="preserve"> </w:t>
      </w:r>
      <w:r w:rsidRPr="001B6D3C">
        <w:rPr>
          <w:rFonts w:ascii="Palatino Linotype" w:hAnsi="Palatino Linotype" w:cs="Tahoma"/>
          <w:sz w:val="22"/>
          <w:szCs w:val="22"/>
        </w:rPr>
        <w:t>finalidad de que actúe en razón de su competencia, en términos de lo dispuesto en el</w:t>
      </w:r>
      <w:r>
        <w:rPr>
          <w:rFonts w:ascii="Palatino Linotype" w:hAnsi="Palatino Linotype" w:cs="Tahoma"/>
          <w:sz w:val="22"/>
          <w:szCs w:val="22"/>
        </w:rPr>
        <w:t xml:space="preserve"> </w:t>
      </w:r>
      <w:r w:rsidRPr="001B6D3C">
        <w:rPr>
          <w:rFonts w:ascii="Palatino Linotype" w:hAnsi="Palatino Linotype" w:cs="Tahoma"/>
          <w:sz w:val="22"/>
          <w:szCs w:val="22"/>
        </w:rPr>
        <w:t>Considerando SÉPTIMO de la presente Resolución.</w:t>
      </w:r>
    </w:p>
    <w:p w14:paraId="33041051" w14:textId="77777777" w:rsidR="001B6D3C" w:rsidRPr="001B6D3C" w:rsidRDefault="001B6D3C" w:rsidP="001B6D3C">
      <w:pPr>
        <w:spacing w:line="360" w:lineRule="auto"/>
        <w:rPr>
          <w:rFonts w:ascii="Palatino Linotype" w:eastAsia="Calibri" w:hAnsi="Palatino Linotype" w:cs="Tahoma"/>
          <w:sz w:val="22"/>
          <w:szCs w:val="22"/>
          <w:lang w:val="es-ES_tradnl" w:eastAsia="en-US"/>
        </w:rPr>
      </w:pPr>
    </w:p>
    <w:p w14:paraId="71584A6E" w14:textId="6451846A" w:rsidR="00801872" w:rsidRPr="00C938B6" w:rsidRDefault="00801872" w:rsidP="005B031E">
      <w:pPr>
        <w:spacing w:line="360" w:lineRule="auto"/>
        <w:jc w:val="both"/>
        <w:rPr>
          <w:rFonts w:ascii="Palatino Linotype" w:hAnsi="Palatino Linotype" w:cs="Tahoma"/>
          <w:sz w:val="22"/>
          <w:szCs w:val="22"/>
          <w:lang w:eastAsia="es-MX"/>
        </w:rPr>
      </w:pPr>
      <w:r w:rsidRPr="00C938B6">
        <w:rPr>
          <w:rFonts w:ascii="Palatino Linotype" w:hAnsi="Palatino Linotype" w:cs="Tahoma"/>
          <w:sz w:val="22"/>
          <w:szCs w:val="22"/>
          <w:lang w:eastAsia="es-MX"/>
        </w:rPr>
        <w:lastRenderedPageBreak/>
        <w:t xml:space="preserve">ASÍ, POR </w:t>
      </w:r>
      <w:r w:rsidRPr="00C938B6">
        <w:rPr>
          <w:rFonts w:ascii="Palatino Linotype" w:hAnsi="Palatino Linotype" w:cs="Tahoma"/>
          <w:b/>
          <w:sz w:val="22"/>
          <w:szCs w:val="22"/>
          <w:lang w:eastAsia="es-MX"/>
        </w:rPr>
        <w:t>UNANIMIDAD</w:t>
      </w:r>
      <w:r w:rsidRPr="00C938B6">
        <w:rPr>
          <w:rFonts w:ascii="Palatino Linotype" w:hAnsi="Palatino Linotype" w:cs="Tahoma"/>
          <w:sz w:val="22"/>
          <w:szCs w:val="22"/>
          <w:lang w:eastAsia="es-MX"/>
        </w:rPr>
        <w:t xml:space="preserve"> DE VOTOS, LO RESOLVIERON Y FIRMAN LOS COMISIONADOS DEL INSTITUTO DE TRANSPARENCIA, ACCESO A LA INFORMACIÓN PÚBLICA Y PROTECCIÓN DE DATOS PERSONALES DEL ESTADO DE MÉXICO Y MUNICIPIOS, </w:t>
      </w:r>
      <w:r w:rsidR="00DD525B" w:rsidRPr="00C938B6">
        <w:rPr>
          <w:rFonts w:ascii="Palatino Linotype" w:hAnsi="Palatino Linotype" w:cs="Tahoma"/>
          <w:bCs/>
          <w:sz w:val="22"/>
          <w:szCs w:val="22"/>
          <w:lang w:eastAsia="es-MX"/>
        </w:rPr>
        <w:t>CONFORMADO POR LOS COMISIONADOS JOSÉ MARTÍNEZ VILC</w:t>
      </w:r>
      <w:r w:rsidR="008713C8" w:rsidRPr="00C938B6">
        <w:rPr>
          <w:rFonts w:ascii="Palatino Linotype" w:hAnsi="Palatino Linotype" w:cs="Tahoma"/>
          <w:bCs/>
          <w:sz w:val="22"/>
          <w:szCs w:val="22"/>
          <w:lang w:eastAsia="es-MX"/>
        </w:rPr>
        <w:t>HIS, MARÍA DEL ROSARIO MEJÍA AYALA, SHARON CRISTINA MORALES MARTÍNEZ</w:t>
      </w:r>
      <w:r w:rsidR="008713C8">
        <w:rPr>
          <w:rFonts w:ascii="Palatino Linotype" w:hAnsi="Palatino Linotype" w:cs="Tahoma"/>
          <w:bCs/>
          <w:sz w:val="22"/>
          <w:szCs w:val="22"/>
          <w:lang w:eastAsia="es-MX"/>
        </w:rPr>
        <w:t xml:space="preserve"> (AUSENCIA JUSTIFICADA)</w:t>
      </w:r>
      <w:r w:rsidR="008713C8" w:rsidRPr="00C938B6">
        <w:rPr>
          <w:rFonts w:ascii="Palatino Linotype" w:hAnsi="Palatino Linotype" w:cs="Tahoma"/>
          <w:bCs/>
          <w:sz w:val="22"/>
          <w:szCs w:val="22"/>
          <w:lang w:eastAsia="es-MX"/>
        </w:rPr>
        <w:t xml:space="preserve">, LUIS </w:t>
      </w:r>
      <w:r w:rsidR="00DD525B" w:rsidRPr="00C938B6">
        <w:rPr>
          <w:rFonts w:ascii="Palatino Linotype" w:hAnsi="Palatino Linotype" w:cs="Tahoma"/>
          <w:bCs/>
          <w:sz w:val="22"/>
          <w:szCs w:val="22"/>
          <w:lang w:eastAsia="es-MX"/>
        </w:rPr>
        <w:t>GUSTAVO PARRA NORIEGA Y GUADALUPE RAMÍREZ PEÑA</w:t>
      </w:r>
      <w:r w:rsidRPr="00C938B6">
        <w:rPr>
          <w:rFonts w:ascii="Palatino Linotype" w:hAnsi="Palatino Linotype" w:cs="Tahoma"/>
          <w:sz w:val="22"/>
          <w:szCs w:val="22"/>
          <w:lang w:eastAsia="es-MX"/>
        </w:rPr>
        <w:t xml:space="preserve">, EN LA </w:t>
      </w:r>
      <w:r w:rsidR="000A50FD">
        <w:rPr>
          <w:rFonts w:ascii="Palatino Linotype" w:hAnsi="Palatino Linotype" w:cs="Tahoma"/>
          <w:sz w:val="22"/>
          <w:szCs w:val="22"/>
          <w:lang w:eastAsia="es-MX"/>
        </w:rPr>
        <w:t>SEGUNDA</w:t>
      </w:r>
      <w:r w:rsidRPr="00C938B6">
        <w:rPr>
          <w:rFonts w:ascii="Palatino Linotype" w:hAnsi="Palatino Linotype" w:cs="Tahoma"/>
          <w:sz w:val="22"/>
          <w:szCs w:val="22"/>
          <w:lang w:eastAsia="es-MX"/>
        </w:rPr>
        <w:t xml:space="preserve"> SESIÓN ORDINARIA, </w:t>
      </w:r>
      <w:r w:rsidR="008713C8" w:rsidRPr="00C938B6">
        <w:rPr>
          <w:rFonts w:ascii="Palatino Linotype" w:hAnsi="Palatino Linotype" w:cs="Tahoma"/>
          <w:sz w:val="22"/>
          <w:szCs w:val="22"/>
          <w:lang w:eastAsia="es-MX"/>
        </w:rPr>
        <w:t xml:space="preserve">CELEBRADA EL </w:t>
      </w:r>
      <w:r w:rsidR="008713C8">
        <w:rPr>
          <w:rFonts w:ascii="Palatino Linotype" w:hAnsi="Palatino Linotype" w:cs="Tahoma"/>
          <w:bCs/>
          <w:sz w:val="22"/>
          <w:szCs w:val="22"/>
          <w:lang w:eastAsia="es-MX"/>
        </w:rPr>
        <w:t xml:space="preserve">CUATRO DE FEBRERO </w:t>
      </w:r>
      <w:r w:rsidR="009B1725">
        <w:rPr>
          <w:rFonts w:ascii="Palatino Linotype" w:hAnsi="Palatino Linotype" w:cs="Tahoma"/>
          <w:bCs/>
          <w:sz w:val="22"/>
          <w:szCs w:val="22"/>
          <w:lang w:eastAsia="es-MX"/>
        </w:rPr>
        <w:t>DE DOS MIL VEINTIDÓS</w:t>
      </w:r>
      <w:r w:rsidRPr="00C938B6">
        <w:rPr>
          <w:rFonts w:ascii="Palatino Linotype" w:hAnsi="Palatino Linotype" w:cs="Tahoma"/>
          <w:sz w:val="22"/>
          <w:szCs w:val="22"/>
          <w:lang w:eastAsia="es-MX"/>
        </w:rPr>
        <w:t>, ANTE EL SECRETARIO TÉCNICO DEL PLENO, ALEXIS TAPIA RAMÍREZ.</w:t>
      </w:r>
    </w:p>
    <w:p w14:paraId="6D10F8F2" w14:textId="5958F0A7" w:rsidR="00710713" w:rsidRDefault="00710713">
      <w:pPr>
        <w:spacing w:after="160" w:line="259" w:lineRule="auto"/>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br w:type="page"/>
      </w:r>
    </w:p>
    <w:p w14:paraId="441525B6" w14:textId="77777777" w:rsidR="00541D73" w:rsidRPr="00C938B6" w:rsidRDefault="00541D73" w:rsidP="005B031E">
      <w:pPr>
        <w:spacing w:line="360" w:lineRule="auto"/>
        <w:rPr>
          <w:rFonts w:ascii="Palatino Linotype" w:eastAsia="Calibri" w:hAnsi="Palatino Linotype" w:cs="Tahoma"/>
          <w:b/>
          <w:bCs/>
          <w:sz w:val="22"/>
          <w:szCs w:val="22"/>
          <w:lang w:eastAsia="en-US"/>
        </w:rPr>
      </w:pPr>
    </w:p>
    <w:sectPr w:rsidR="00541D73" w:rsidRPr="00C938B6" w:rsidSect="00043737">
      <w:headerReference w:type="even" r:id="rId18"/>
      <w:headerReference w:type="default" r:id="rId19"/>
      <w:footerReference w:type="default" r:id="rId20"/>
      <w:headerReference w:type="first" r:id="rId21"/>
      <w:footerReference w:type="first" r:id="rId22"/>
      <w:pgSz w:w="12240" w:h="15840"/>
      <w:pgMar w:top="80" w:right="1608" w:bottom="1134" w:left="1588" w:header="454"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CC8553" w14:textId="77777777" w:rsidR="00775BA3" w:rsidRDefault="00775BA3" w:rsidP="00801872">
      <w:r>
        <w:separator/>
      </w:r>
    </w:p>
  </w:endnote>
  <w:endnote w:type="continuationSeparator" w:id="0">
    <w:p w14:paraId="011424F3" w14:textId="77777777" w:rsidR="00775BA3" w:rsidRDefault="00775BA3" w:rsidP="00801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0A694AEC" w14:textId="77777777" w:rsidR="005B031E" w:rsidRPr="00C13895" w:rsidRDefault="005B031E">
            <w:pPr>
              <w:pStyle w:val="Piedepgina"/>
              <w:jc w:val="right"/>
              <w:rPr>
                <w:sz w:val="26"/>
                <w:szCs w:val="26"/>
              </w:rPr>
            </w:pPr>
          </w:p>
          <w:p w14:paraId="046BF6F6" w14:textId="77777777" w:rsidR="005B031E" w:rsidRDefault="005B031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F1B1E">
              <w:rPr>
                <w:b/>
                <w:bCs/>
                <w:noProof/>
              </w:rPr>
              <w:t>35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F1B1E">
              <w:rPr>
                <w:b/>
                <w:bCs/>
                <w:noProof/>
              </w:rPr>
              <w:t>35</w:t>
            </w:r>
            <w:r>
              <w:rPr>
                <w:b/>
                <w:bCs/>
                <w:sz w:val="24"/>
                <w:szCs w:val="24"/>
              </w:rPr>
              <w:fldChar w:fldCharType="end"/>
            </w:r>
          </w:p>
        </w:sdtContent>
      </w:sdt>
    </w:sdtContent>
  </w:sdt>
  <w:p w14:paraId="3CEDE9D3" w14:textId="77777777" w:rsidR="005B031E" w:rsidRDefault="005B031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3AB6FCB5" w14:textId="77777777" w:rsidR="005B031E" w:rsidRDefault="005B031E">
            <w:pPr>
              <w:pStyle w:val="Piedepgina"/>
              <w:jc w:val="right"/>
            </w:pPr>
          </w:p>
          <w:p w14:paraId="1909745D" w14:textId="77777777" w:rsidR="005B031E" w:rsidRDefault="005B031E">
            <w:pPr>
              <w:pStyle w:val="Piedepgina"/>
              <w:jc w:val="right"/>
            </w:pPr>
          </w:p>
          <w:p w14:paraId="1AC1C7A3" w14:textId="77777777" w:rsidR="005B031E" w:rsidRDefault="005B031E">
            <w:pPr>
              <w:pStyle w:val="Piedepgina"/>
              <w:jc w:val="right"/>
            </w:pPr>
          </w:p>
          <w:p w14:paraId="1714865E" w14:textId="77777777" w:rsidR="005B031E" w:rsidRDefault="005B031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F1B1E">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F1B1E">
              <w:rPr>
                <w:b/>
                <w:bCs/>
                <w:noProof/>
              </w:rPr>
              <w:t>35</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C1232F" w14:textId="77777777" w:rsidR="00775BA3" w:rsidRDefault="00775BA3" w:rsidP="00801872">
      <w:r>
        <w:separator/>
      </w:r>
    </w:p>
  </w:footnote>
  <w:footnote w:type="continuationSeparator" w:id="0">
    <w:p w14:paraId="39C03D10" w14:textId="77777777" w:rsidR="00775BA3" w:rsidRDefault="00775BA3" w:rsidP="008018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F2E5E" w14:textId="77777777" w:rsidR="005B031E" w:rsidRDefault="00775BA3">
    <w:pPr>
      <w:pStyle w:val="Encabezado"/>
    </w:pPr>
    <w:r>
      <w:rPr>
        <w:noProof/>
        <w:lang w:eastAsia="es-MX"/>
      </w:rPr>
      <w:pict w14:anchorId="62B826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2" o:spid="_x0000_s2051" type="#_x0000_t75" alt="marcaaguaINFOEM" style="position:absolute;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agua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13F9D" w14:textId="0AEF3FF8" w:rsidR="005B031E" w:rsidRPr="009E6858" w:rsidRDefault="00775BA3" w:rsidP="00070F27">
    <w:pPr>
      <w:tabs>
        <w:tab w:val="left" w:pos="3416"/>
      </w:tabs>
      <w:rPr>
        <w:sz w:val="22"/>
        <w:szCs w:val="22"/>
      </w:rPr>
    </w:pPr>
    <w:r>
      <w:rPr>
        <w:noProof/>
        <w:sz w:val="14"/>
        <w:lang w:eastAsia="es-MX"/>
      </w:rPr>
      <w:pict w14:anchorId="0BDCAE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3" o:spid="_x0000_s2050" type="#_x0000_t75" alt="marcaaguaINFOEM" style="position:absolute;margin-left:-91.4pt;margin-top:-135pt;width:663.5pt;height:12in;z-index:-251656192;mso-wrap-edited:f;mso-width-percent:0;mso-height-percent:0;mso-position-horizontal-relative:margin;mso-position-vertical-relative:margin;mso-width-percent:0;mso-height-percent:0" o:allowincell="f">
          <v:imagedata r:id="rId1" o:title="marcaaguaINFOEM"/>
          <w10:wrap anchorx="margin" anchory="margin"/>
        </v:shape>
      </w:pict>
    </w:r>
  </w:p>
  <w:tbl>
    <w:tblPr>
      <w:tblW w:w="10170" w:type="dxa"/>
      <w:tblLayout w:type="fixed"/>
      <w:tblLook w:val="04A0" w:firstRow="1" w:lastRow="0" w:firstColumn="1" w:lastColumn="0" w:noHBand="0" w:noVBand="1"/>
    </w:tblPr>
    <w:tblGrid>
      <w:gridCol w:w="2977"/>
      <w:gridCol w:w="7193"/>
    </w:tblGrid>
    <w:tr w:rsidR="005B031E" w:rsidRPr="005C106F" w14:paraId="63E08C3E" w14:textId="77777777" w:rsidTr="00070F27">
      <w:trPr>
        <w:trHeight w:val="70"/>
      </w:trPr>
      <w:tc>
        <w:tcPr>
          <w:tcW w:w="2977" w:type="dxa"/>
          <w:shd w:val="clear" w:color="auto" w:fill="auto"/>
        </w:tcPr>
        <w:p w14:paraId="08521BB7" w14:textId="77777777" w:rsidR="005B031E" w:rsidRPr="005C106F" w:rsidRDefault="005B031E" w:rsidP="00070F27">
          <w:pPr>
            <w:tabs>
              <w:tab w:val="right" w:pos="4273"/>
            </w:tabs>
            <w:rPr>
              <w:rFonts w:ascii="Garamond" w:eastAsia="Calibri" w:hAnsi="Garamond"/>
              <w:sz w:val="16"/>
              <w:szCs w:val="16"/>
            </w:rPr>
          </w:pPr>
        </w:p>
      </w:tc>
      <w:tc>
        <w:tcPr>
          <w:tcW w:w="7193" w:type="dxa"/>
          <w:shd w:val="clear" w:color="auto" w:fill="auto"/>
        </w:tcPr>
        <w:p w14:paraId="4C6F44B5" w14:textId="0FD5EF6D" w:rsidR="00922FAF" w:rsidRDefault="00922FAF"/>
        <w:tbl>
          <w:tblPr>
            <w:tblStyle w:val="Tablaconcuadrcula"/>
            <w:tblW w:w="6090" w:type="dxa"/>
            <w:tblInd w:w="8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686"/>
          </w:tblGrid>
          <w:tr w:rsidR="005B031E" w14:paraId="1009EACB" w14:textId="77777777" w:rsidTr="00400954">
            <w:trPr>
              <w:trHeight w:val="329"/>
            </w:trPr>
            <w:tc>
              <w:tcPr>
                <w:tcW w:w="2404" w:type="dxa"/>
                <w:vAlign w:val="bottom"/>
              </w:tcPr>
              <w:p w14:paraId="50FDFF5D" w14:textId="69731127" w:rsidR="00A430C1" w:rsidRPr="008B41A2" w:rsidRDefault="005B031E" w:rsidP="00A430C1">
                <w:pPr>
                  <w:tabs>
                    <w:tab w:val="right" w:pos="8838"/>
                  </w:tabs>
                  <w:ind w:right="-105"/>
                  <w:rPr>
                    <w:rFonts w:ascii="Palatino Linotype" w:eastAsia="Calibri" w:hAnsi="Palatino Linotype" w:cs="Tahoma"/>
                    <w:b/>
                    <w:sz w:val="22"/>
                    <w:szCs w:val="22"/>
                    <w:lang w:val="es-MX"/>
                  </w:rPr>
                </w:pPr>
                <w:bookmarkStart w:id="7" w:name="_Hlk93421933"/>
                <w:r w:rsidRPr="008B41A2">
                  <w:rPr>
                    <w:rFonts w:ascii="Palatino Linotype" w:eastAsia="Calibri" w:hAnsi="Palatino Linotype" w:cs="Tahoma"/>
                    <w:b/>
                    <w:sz w:val="22"/>
                    <w:szCs w:val="22"/>
                    <w:lang w:val="es-MX"/>
                  </w:rPr>
                  <w:t>Recurso de Revisión:</w:t>
                </w:r>
              </w:p>
            </w:tc>
            <w:tc>
              <w:tcPr>
                <w:tcW w:w="3686" w:type="dxa"/>
              </w:tcPr>
              <w:p w14:paraId="4EA7A24B" w14:textId="4F677C8F" w:rsidR="001B04D6" w:rsidRPr="00A430C1" w:rsidRDefault="005B031E" w:rsidP="00400954">
                <w:pPr>
                  <w:tabs>
                    <w:tab w:val="left" w:pos="2294"/>
                    <w:tab w:val="right" w:pos="8838"/>
                  </w:tabs>
                  <w:ind w:right="731"/>
                  <w:jc w:val="both"/>
                  <w:rPr>
                    <w:rFonts w:ascii="Palatino Linotype" w:eastAsia="Calibri" w:hAnsi="Palatino Linotype" w:cs="Tahoma"/>
                    <w:bCs/>
                    <w:sz w:val="22"/>
                    <w:szCs w:val="22"/>
                    <w:lang w:val="es-MX"/>
                  </w:rPr>
                </w:pPr>
                <w:r>
                  <w:rPr>
                    <w:rFonts w:ascii="Palatino Linotype" w:eastAsia="Calibri" w:hAnsi="Palatino Linotype" w:cs="Tahoma"/>
                    <w:bCs/>
                    <w:sz w:val="22"/>
                    <w:szCs w:val="22"/>
                    <w:lang w:val="es-MX"/>
                  </w:rPr>
                  <w:t>0</w:t>
                </w:r>
                <w:r w:rsidR="004E1762">
                  <w:rPr>
                    <w:rFonts w:ascii="Palatino Linotype" w:eastAsia="Calibri" w:hAnsi="Palatino Linotype" w:cs="Tahoma"/>
                    <w:bCs/>
                    <w:sz w:val="22"/>
                    <w:szCs w:val="22"/>
                    <w:lang w:val="es-MX"/>
                  </w:rPr>
                  <w:t>5946</w:t>
                </w:r>
                <w:r w:rsidRPr="00801872">
                  <w:rPr>
                    <w:rFonts w:ascii="Palatino Linotype" w:eastAsia="Calibri" w:hAnsi="Palatino Linotype" w:cs="Tahoma"/>
                    <w:bCs/>
                    <w:sz w:val="22"/>
                    <w:szCs w:val="22"/>
                    <w:lang w:val="es-MX"/>
                  </w:rPr>
                  <w:t>/INFOEM/IP/RR/2021</w:t>
                </w:r>
              </w:p>
            </w:tc>
          </w:tr>
          <w:tr w:rsidR="005B031E" w14:paraId="12CFD000" w14:textId="77777777" w:rsidTr="00400954">
            <w:trPr>
              <w:trHeight w:val="244"/>
            </w:trPr>
            <w:tc>
              <w:tcPr>
                <w:tcW w:w="2404" w:type="dxa"/>
              </w:tcPr>
              <w:p w14:paraId="67813586" w14:textId="77777777" w:rsidR="005B031E" w:rsidRPr="008B41A2" w:rsidRDefault="005B031E" w:rsidP="00A430C1">
                <w:pPr>
                  <w:tabs>
                    <w:tab w:val="right" w:pos="8838"/>
                  </w:tabs>
                  <w:ind w:right="-105"/>
                  <w:rPr>
                    <w:rFonts w:ascii="Palatino Linotype" w:eastAsia="Calibri" w:hAnsi="Palatino Linotype" w:cs="Tahoma"/>
                    <w:b/>
                    <w:sz w:val="22"/>
                    <w:szCs w:val="22"/>
                    <w:lang w:val="es-MX"/>
                  </w:rPr>
                </w:pPr>
                <w:r w:rsidRPr="008B41A2">
                  <w:rPr>
                    <w:rFonts w:ascii="Palatino Linotype" w:eastAsia="Calibri" w:hAnsi="Palatino Linotype" w:cs="Tahoma"/>
                    <w:b/>
                    <w:sz w:val="22"/>
                    <w:szCs w:val="22"/>
                    <w:lang w:val="es-MX"/>
                  </w:rPr>
                  <w:t>Sujeto Obligado:</w:t>
                </w:r>
              </w:p>
            </w:tc>
            <w:tc>
              <w:tcPr>
                <w:tcW w:w="3686" w:type="dxa"/>
              </w:tcPr>
              <w:p w14:paraId="62EF5654" w14:textId="55D0A1FB" w:rsidR="005B031E" w:rsidRPr="00801872" w:rsidRDefault="005B031E" w:rsidP="00400954">
                <w:pPr>
                  <w:tabs>
                    <w:tab w:val="right" w:pos="8838"/>
                  </w:tabs>
                  <w:ind w:right="731"/>
                  <w:jc w:val="both"/>
                  <w:rPr>
                    <w:rFonts w:ascii="Palatino Linotype" w:eastAsia="Calibri" w:hAnsi="Palatino Linotype" w:cs="Tahoma"/>
                    <w:sz w:val="22"/>
                    <w:szCs w:val="22"/>
                    <w:lang w:val="es-MX"/>
                  </w:rPr>
                </w:pPr>
                <w:r w:rsidRPr="00801872">
                  <w:rPr>
                    <w:rFonts w:ascii="Palatino Linotype" w:eastAsia="Calibri" w:hAnsi="Palatino Linotype" w:cs="Tahoma"/>
                    <w:bCs/>
                    <w:sz w:val="22"/>
                    <w:szCs w:val="22"/>
                    <w:lang w:val="es-MX"/>
                  </w:rPr>
                  <w:t>Ayuntamiento de</w:t>
                </w:r>
                <w:r w:rsidR="00D26D02">
                  <w:rPr>
                    <w:rFonts w:ascii="Palatino Linotype" w:eastAsia="Calibri" w:hAnsi="Palatino Linotype" w:cs="Tahoma"/>
                    <w:bCs/>
                    <w:sz w:val="22"/>
                    <w:szCs w:val="22"/>
                    <w:lang w:val="es-MX"/>
                  </w:rPr>
                  <w:t xml:space="preserve"> </w:t>
                </w:r>
                <w:r w:rsidR="004E1762">
                  <w:rPr>
                    <w:rFonts w:ascii="Palatino Linotype" w:eastAsia="Calibri" w:hAnsi="Palatino Linotype" w:cs="Tahoma"/>
                    <w:bCs/>
                    <w:sz w:val="22"/>
                    <w:szCs w:val="22"/>
                    <w:lang w:val="es-MX"/>
                  </w:rPr>
                  <w:t>Xalatlaco</w:t>
                </w:r>
              </w:p>
            </w:tc>
          </w:tr>
          <w:tr w:rsidR="005B031E" w14:paraId="364C666C" w14:textId="3B5932FE" w:rsidTr="00400954">
            <w:trPr>
              <w:trHeight w:val="244"/>
            </w:trPr>
            <w:tc>
              <w:tcPr>
                <w:tcW w:w="2404" w:type="dxa"/>
              </w:tcPr>
              <w:p w14:paraId="496B50AA" w14:textId="77777777" w:rsidR="005B031E" w:rsidRPr="008B41A2" w:rsidRDefault="005B031E" w:rsidP="00A430C1">
                <w:pPr>
                  <w:tabs>
                    <w:tab w:val="right" w:pos="8838"/>
                  </w:tabs>
                  <w:ind w:right="-105"/>
                  <w:rPr>
                    <w:rFonts w:ascii="Palatino Linotype" w:eastAsia="Calibri" w:hAnsi="Palatino Linotype" w:cs="Tahoma"/>
                    <w:b/>
                    <w:sz w:val="22"/>
                    <w:szCs w:val="22"/>
                    <w:lang w:val="es-MX"/>
                  </w:rPr>
                </w:pPr>
                <w:r w:rsidRPr="008B41A2">
                  <w:rPr>
                    <w:rFonts w:ascii="Palatino Linotype" w:eastAsia="Calibri" w:hAnsi="Palatino Linotype" w:cs="Tahoma"/>
                    <w:b/>
                    <w:sz w:val="22"/>
                    <w:szCs w:val="22"/>
                    <w:lang w:val="es-MX"/>
                  </w:rPr>
                  <w:t>Comisionado Ponente:</w:t>
                </w:r>
              </w:p>
            </w:tc>
            <w:tc>
              <w:tcPr>
                <w:tcW w:w="3686" w:type="dxa"/>
              </w:tcPr>
              <w:p w14:paraId="35025A3B" w14:textId="77777777" w:rsidR="005B031E" w:rsidRPr="008B41A2" w:rsidRDefault="005B031E" w:rsidP="00400954">
                <w:pPr>
                  <w:tabs>
                    <w:tab w:val="right" w:pos="8838"/>
                  </w:tabs>
                  <w:ind w:right="731"/>
                  <w:jc w:val="both"/>
                  <w:rPr>
                    <w:rFonts w:ascii="Palatino Linotype" w:eastAsia="Calibri" w:hAnsi="Palatino Linotype" w:cs="Tahoma"/>
                    <w:b/>
                    <w:sz w:val="22"/>
                    <w:szCs w:val="22"/>
                    <w:lang w:val="es-MX"/>
                  </w:rPr>
                </w:pPr>
                <w:r w:rsidRPr="008B41A2">
                  <w:rPr>
                    <w:rFonts w:ascii="Palatino Linotype" w:eastAsia="Calibri" w:hAnsi="Palatino Linotype" w:cs="Tahoma"/>
                    <w:sz w:val="22"/>
                    <w:szCs w:val="22"/>
                    <w:lang w:val="es-MX"/>
                  </w:rPr>
                  <w:t>Luis Gustavo Parra Noriega</w:t>
                </w:r>
              </w:p>
            </w:tc>
          </w:tr>
          <w:bookmarkEnd w:id="7"/>
        </w:tbl>
        <w:p w14:paraId="2C0200AC" w14:textId="77777777" w:rsidR="005B031E" w:rsidRPr="005C106F" w:rsidRDefault="005B031E" w:rsidP="00070F27">
          <w:pPr>
            <w:tabs>
              <w:tab w:val="right" w:pos="8838"/>
            </w:tabs>
            <w:ind w:left="-28"/>
            <w:rPr>
              <w:rFonts w:ascii="Arial" w:eastAsia="Calibri" w:hAnsi="Arial" w:cs="Arial"/>
              <w:b/>
            </w:rPr>
          </w:pPr>
        </w:p>
      </w:tc>
    </w:tr>
  </w:tbl>
  <w:p w14:paraId="3871047C" w14:textId="77777777" w:rsidR="005B031E" w:rsidRPr="009E6858" w:rsidRDefault="005B031E" w:rsidP="00070F27">
    <w:pPr>
      <w:tabs>
        <w:tab w:val="left" w:pos="3416"/>
      </w:tabs>
      <w:rPr>
        <w:sz w:val="22"/>
        <w:szCs w:val="22"/>
      </w:rPr>
    </w:pPr>
  </w:p>
  <w:p w14:paraId="62C5DA58" w14:textId="140B8139" w:rsidR="005B031E" w:rsidRDefault="00400954" w:rsidP="00400954">
    <w:pPr>
      <w:pStyle w:val="Encabezado"/>
      <w:tabs>
        <w:tab w:val="clear" w:pos="4419"/>
        <w:tab w:val="clear" w:pos="8838"/>
        <w:tab w:val="left" w:pos="1425"/>
      </w:tabs>
      <w:rPr>
        <w:sz w:val="14"/>
      </w:rPr>
    </w:pPr>
    <w:r>
      <w:rPr>
        <w:sz w:val="14"/>
      </w:rPr>
      <w:tab/>
    </w:r>
  </w:p>
  <w:p w14:paraId="5B563EE1" w14:textId="77777777" w:rsidR="005B031E" w:rsidRPr="00443C6B" w:rsidRDefault="005B031E" w:rsidP="00070F27">
    <w:pPr>
      <w:pStyle w:val="Encabezado"/>
      <w:rPr>
        <w:sz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670" w:type="dxa"/>
      <w:tblInd w:w="3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92"/>
      <w:gridCol w:w="3178"/>
    </w:tblGrid>
    <w:tr w:rsidR="005B031E" w:rsidRPr="00264223" w14:paraId="6494D751" w14:textId="77777777" w:rsidTr="187F5008">
      <w:trPr>
        <w:trHeight w:val="284"/>
      </w:trPr>
      <w:tc>
        <w:tcPr>
          <w:tcW w:w="2492" w:type="dxa"/>
        </w:tcPr>
        <w:p w14:paraId="64B4D5CB" w14:textId="77777777" w:rsidR="005B031E" w:rsidRPr="00D3618F" w:rsidRDefault="005B031E" w:rsidP="00070F27">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Recurso de Revisión:</w:t>
          </w:r>
        </w:p>
      </w:tc>
      <w:tc>
        <w:tcPr>
          <w:tcW w:w="3178" w:type="dxa"/>
        </w:tcPr>
        <w:p w14:paraId="087AA83D" w14:textId="097A723A" w:rsidR="005B031E" w:rsidRPr="00801872" w:rsidRDefault="0078241B" w:rsidP="00070F27">
          <w:pPr>
            <w:tabs>
              <w:tab w:val="right" w:pos="8838"/>
            </w:tabs>
            <w:ind w:left="-28"/>
            <w:jc w:val="both"/>
            <w:rPr>
              <w:rFonts w:ascii="Palatino Linotype" w:eastAsia="Calibri" w:hAnsi="Palatino Linotype" w:cs="Tahoma"/>
              <w:sz w:val="22"/>
              <w:szCs w:val="22"/>
              <w:lang w:eastAsia="en-US"/>
            </w:rPr>
          </w:pPr>
          <w:r>
            <w:rPr>
              <w:rFonts w:ascii="Palatino Linotype" w:eastAsia="Calibri" w:hAnsi="Palatino Linotype" w:cs="Tahoma"/>
              <w:bCs/>
              <w:sz w:val="22"/>
              <w:szCs w:val="22"/>
              <w:lang w:val="es-MX" w:eastAsia="en-US"/>
            </w:rPr>
            <w:t>0</w:t>
          </w:r>
          <w:r w:rsidR="00653A8B">
            <w:rPr>
              <w:rFonts w:ascii="Palatino Linotype" w:eastAsia="Calibri" w:hAnsi="Palatino Linotype" w:cs="Tahoma"/>
              <w:bCs/>
              <w:sz w:val="22"/>
              <w:szCs w:val="22"/>
              <w:lang w:val="es-MX" w:eastAsia="en-US"/>
            </w:rPr>
            <w:t>5946</w:t>
          </w:r>
          <w:r w:rsidR="005B031E" w:rsidRPr="00801872">
            <w:rPr>
              <w:rFonts w:ascii="Palatino Linotype" w:eastAsia="Calibri" w:hAnsi="Palatino Linotype" w:cs="Tahoma"/>
              <w:bCs/>
              <w:sz w:val="22"/>
              <w:szCs w:val="22"/>
              <w:lang w:val="es-MX" w:eastAsia="en-US"/>
            </w:rPr>
            <w:t>/INFOEM/IP/RR/2021</w:t>
          </w:r>
        </w:p>
      </w:tc>
    </w:tr>
    <w:tr w:rsidR="005B031E" w:rsidRPr="00264223" w14:paraId="250F2B47" w14:textId="77777777" w:rsidTr="187F5008">
      <w:trPr>
        <w:trHeight w:val="104"/>
      </w:trPr>
      <w:tc>
        <w:tcPr>
          <w:tcW w:w="2492" w:type="dxa"/>
        </w:tcPr>
        <w:p w14:paraId="3D15303E" w14:textId="77777777" w:rsidR="005B031E" w:rsidRPr="00D3618F" w:rsidRDefault="005B031E" w:rsidP="00070F27">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Recurrente:</w:t>
          </w:r>
        </w:p>
      </w:tc>
      <w:tc>
        <w:tcPr>
          <w:tcW w:w="3178" w:type="dxa"/>
        </w:tcPr>
        <w:p w14:paraId="70E890FD" w14:textId="2C53240B" w:rsidR="005B031E" w:rsidRPr="00EE2A06" w:rsidRDefault="187F5008" w:rsidP="187F5008">
          <w:pPr>
            <w:tabs>
              <w:tab w:val="right" w:pos="8838"/>
            </w:tabs>
            <w:ind w:left="-28" w:right="318"/>
            <w:jc w:val="both"/>
            <w:rPr>
              <w:highlight w:val="black"/>
              <w:lang w:val="es-MX" w:eastAsia="en-US"/>
            </w:rPr>
          </w:pPr>
          <w:r w:rsidRPr="187F5008">
            <w:rPr>
              <w:rFonts w:ascii="Palatino Linotype" w:eastAsia="Calibri" w:hAnsi="Palatino Linotype" w:cs="Tahoma"/>
              <w:sz w:val="22"/>
              <w:szCs w:val="22"/>
              <w:highlight w:val="black"/>
              <w:lang w:val="es-MX" w:eastAsia="en-US"/>
            </w:rPr>
            <w:t>XXXXXXXXXXXXXXX</w:t>
          </w:r>
        </w:p>
      </w:tc>
    </w:tr>
    <w:tr w:rsidR="005B031E" w:rsidRPr="00264223" w14:paraId="180767EA" w14:textId="77777777" w:rsidTr="187F5008">
      <w:trPr>
        <w:trHeight w:val="234"/>
      </w:trPr>
      <w:tc>
        <w:tcPr>
          <w:tcW w:w="2492" w:type="dxa"/>
        </w:tcPr>
        <w:p w14:paraId="51FC15E3" w14:textId="77777777" w:rsidR="005B031E" w:rsidRPr="00D3618F" w:rsidRDefault="005B031E" w:rsidP="00070F27">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Sujeto Obligado:</w:t>
          </w:r>
        </w:p>
      </w:tc>
      <w:tc>
        <w:tcPr>
          <w:tcW w:w="3178" w:type="dxa"/>
        </w:tcPr>
        <w:p w14:paraId="4EE0902A" w14:textId="3077B405" w:rsidR="005B031E" w:rsidRPr="00801872" w:rsidRDefault="005B031E" w:rsidP="00A14307">
          <w:pPr>
            <w:tabs>
              <w:tab w:val="right" w:pos="8838"/>
            </w:tabs>
            <w:ind w:left="-28"/>
            <w:jc w:val="both"/>
            <w:rPr>
              <w:rFonts w:ascii="Palatino Linotype" w:eastAsia="Calibri" w:hAnsi="Palatino Linotype" w:cs="Tahoma"/>
              <w:sz w:val="22"/>
              <w:szCs w:val="22"/>
              <w:lang w:val="es-MX" w:eastAsia="en-US"/>
            </w:rPr>
          </w:pPr>
          <w:r w:rsidRPr="00801872">
            <w:rPr>
              <w:rFonts w:ascii="Palatino Linotype" w:eastAsia="Calibri" w:hAnsi="Palatino Linotype" w:cs="Tahoma"/>
              <w:bCs/>
              <w:sz w:val="22"/>
              <w:szCs w:val="22"/>
              <w:lang w:val="es-MX" w:eastAsia="en-US"/>
            </w:rPr>
            <w:t>Ayuntamien</w:t>
          </w:r>
          <w:r>
            <w:rPr>
              <w:rFonts w:ascii="Palatino Linotype" w:eastAsia="Calibri" w:hAnsi="Palatino Linotype" w:cs="Tahoma"/>
              <w:bCs/>
              <w:sz w:val="22"/>
              <w:szCs w:val="22"/>
              <w:lang w:val="es-MX" w:eastAsia="en-US"/>
            </w:rPr>
            <w:t xml:space="preserve">to de </w:t>
          </w:r>
          <w:r w:rsidR="00653A8B">
            <w:rPr>
              <w:rFonts w:ascii="Palatino Linotype" w:eastAsia="Calibri" w:hAnsi="Palatino Linotype" w:cs="Tahoma"/>
              <w:bCs/>
              <w:sz w:val="22"/>
              <w:szCs w:val="22"/>
              <w:lang w:val="es-MX" w:eastAsia="en-US"/>
            </w:rPr>
            <w:t>Xalatlaco</w:t>
          </w:r>
        </w:p>
      </w:tc>
    </w:tr>
    <w:tr w:rsidR="005B031E" w:rsidRPr="00264223" w14:paraId="0CF1E97B" w14:textId="77777777" w:rsidTr="187F5008">
      <w:trPr>
        <w:trHeight w:val="234"/>
      </w:trPr>
      <w:tc>
        <w:tcPr>
          <w:tcW w:w="2492" w:type="dxa"/>
        </w:tcPr>
        <w:p w14:paraId="6F2A2883" w14:textId="77777777" w:rsidR="005B031E" w:rsidRPr="00D3618F" w:rsidRDefault="005B031E" w:rsidP="00070F27">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Comisionado Ponente:</w:t>
          </w:r>
        </w:p>
      </w:tc>
      <w:tc>
        <w:tcPr>
          <w:tcW w:w="3178" w:type="dxa"/>
        </w:tcPr>
        <w:p w14:paraId="3F6125BF" w14:textId="77777777" w:rsidR="005B031E" w:rsidRPr="00D3618F" w:rsidRDefault="005B031E" w:rsidP="00070F27">
          <w:pPr>
            <w:tabs>
              <w:tab w:val="right" w:pos="8838"/>
            </w:tabs>
            <w:ind w:left="-28"/>
            <w:rPr>
              <w:rFonts w:ascii="Palatino Linotype" w:eastAsia="Calibri" w:hAnsi="Palatino Linotype" w:cs="Tahoma"/>
              <w:sz w:val="22"/>
              <w:szCs w:val="22"/>
              <w:lang w:val="es-MX" w:eastAsia="en-US"/>
            </w:rPr>
          </w:pPr>
          <w:r w:rsidRPr="00D3618F">
            <w:rPr>
              <w:rFonts w:ascii="Palatino Linotype" w:eastAsia="Calibri" w:hAnsi="Palatino Linotype" w:cs="Tahoma"/>
              <w:sz w:val="22"/>
              <w:szCs w:val="22"/>
              <w:lang w:val="es-MX" w:eastAsia="en-US"/>
            </w:rPr>
            <w:t>Luis Gustavo Parra Noriega</w:t>
          </w:r>
        </w:p>
      </w:tc>
    </w:tr>
  </w:tbl>
  <w:p w14:paraId="3796C609" w14:textId="553B8185" w:rsidR="005B031E" w:rsidRDefault="00775BA3" w:rsidP="00AA77D7">
    <w:pPr>
      <w:tabs>
        <w:tab w:val="left" w:pos="1860"/>
      </w:tabs>
    </w:pPr>
    <w:r>
      <w:rPr>
        <w:noProof/>
        <w:lang w:eastAsia="es-MX"/>
      </w:rPr>
      <w:pict w14:anchorId="1F251A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1" o:spid="_x0000_s2049" type="#_x0000_t75" alt="marcaaguaINFOEM" style="position:absolute;margin-left:-92.55pt;margin-top:-120.95pt;width:663.5pt;height:12in;z-index:-251655168;mso-wrap-edited:f;mso-width-percent:0;mso-height-percent:0;mso-position-horizontal-relative:margin;mso-position-vertical-relative:margin;mso-width-percent:0;mso-height-percent:0" o:allowincell="f">
          <v:imagedata r:id="rId1" o:title="marcaaguaINFOEM"/>
          <w10:wrap anchorx="margin" anchory="margin"/>
        </v:shape>
      </w:pict>
    </w:r>
    <w:r w:rsidR="00AA77D7">
      <w:tab/>
    </w:r>
  </w:p>
  <w:p w14:paraId="3B80ADB1" w14:textId="52942715" w:rsidR="00AA77D7" w:rsidRDefault="00AA77D7" w:rsidP="00AA77D7">
    <w:pPr>
      <w:tabs>
        <w:tab w:val="left" w:pos="186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81BF3"/>
    <w:multiLevelType w:val="hybridMultilevel"/>
    <w:tmpl w:val="CF7A1820"/>
    <w:lvl w:ilvl="0" w:tplc="080A0001">
      <w:start w:val="1"/>
      <w:numFmt w:val="bullet"/>
      <w:lvlText w:val=""/>
      <w:lvlJc w:val="left"/>
      <w:pPr>
        <w:ind w:left="365" w:hanging="360"/>
      </w:pPr>
      <w:rPr>
        <w:rFonts w:ascii="Symbol" w:hAnsi="Symbol" w:hint="default"/>
      </w:rPr>
    </w:lvl>
    <w:lvl w:ilvl="1" w:tplc="080A0003" w:tentative="1">
      <w:start w:val="1"/>
      <w:numFmt w:val="bullet"/>
      <w:lvlText w:val="o"/>
      <w:lvlJc w:val="left"/>
      <w:pPr>
        <w:ind w:left="1085" w:hanging="360"/>
      </w:pPr>
      <w:rPr>
        <w:rFonts w:ascii="Courier New" w:hAnsi="Courier New" w:cs="Courier New" w:hint="default"/>
      </w:rPr>
    </w:lvl>
    <w:lvl w:ilvl="2" w:tplc="080A0005" w:tentative="1">
      <w:start w:val="1"/>
      <w:numFmt w:val="bullet"/>
      <w:lvlText w:val=""/>
      <w:lvlJc w:val="left"/>
      <w:pPr>
        <w:ind w:left="1805" w:hanging="360"/>
      </w:pPr>
      <w:rPr>
        <w:rFonts w:ascii="Wingdings" w:hAnsi="Wingdings" w:hint="default"/>
      </w:rPr>
    </w:lvl>
    <w:lvl w:ilvl="3" w:tplc="080A0001" w:tentative="1">
      <w:start w:val="1"/>
      <w:numFmt w:val="bullet"/>
      <w:lvlText w:val=""/>
      <w:lvlJc w:val="left"/>
      <w:pPr>
        <w:ind w:left="2525" w:hanging="360"/>
      </w:pPr>
      <w:rPr>
        <w:rFonts w:ascii="Symbol" w:hAnsi="Symbol" w:hint="default"/>
      </w:rPr>
    </w:lvl>
    <w:lvl w:ilvl="4" w:tplc="080A0003" w:tentative="1">
      <w:start w:val="1"/>
      <w:numFmt w:val="bullet"/>
      <w:lvlText w:val="o"/>
      <w:lvlJc w:val="left"/>
      <w:pPr>
        <w:ind w:left="3245" w:hanging="360"/>
      </w:pPr>
      <w:rPr>
        <w:rFonts w:ascii="Courier New" w:hAnsi="Courier New" w:cs="Courier New" w:hint="default"/>
      </w:rPr>
    </w:lvl>
    <w:lvl w:ilvl="5" w:tplc="080A0005" w:tentative="1">
      <w:start w:val="1"/>
      <w:numFmt w:val="bullet"/>
      <w:lvlText w:val=""/>
      <w:lvlJc w:val="left"/>
      <w:pPr>
        <w:ind w:left="3965" w:hanging="360"/>
      </w:pPr>
      <w:rPr>
        <w:rFonts w:ascii="Wingdings" w:hAnsi="Wingdings" w:hint="default"/>
      </w:rPr>
    </w:lvl>
    <w:lvl w:ilvl="6" w:tplc="080A0001" w:tentative="1">
      <w:start w:val="1"/>
      <w:numFmt w:val="bullet"/>
      <w:lvlText w:val=""/>
      <w:lvlJc w:val="left"/>
      <w:pPr>
        <w:ind w:left="4685" w:hanging="360"/>
      </w:pPr>
      <w:rPr>
        <w:rFonts w:ascii="Symbol" w:hAnsi="Symbol" w:hint="default"/>
      </w:rPr>
    </w:lvl>
    <w:lvl w:ilvl="7" w:tplc="080A0003" w:tentative="1">
      <w:start w:val="1"/>
      <w:numFmt w:val="bullet"/>
      <w:lvlText w:val="o"/>
      <w:lvlJc w:val="left"/>
      <w:pPr>
        <w:ind w:left="5405" w:hanging="360"/>
      </w:pPr>
      <w:rPr>
        <w:rFonts w:ascii="Courier New" w:hAnsi="Courier New" w:cs="Courier New" w:hint="default"/>
      </w:rPr>
    </w:lvl>
    <w:lvl w:ilvl="8" w:tplc="080A0005" w:tentative="1">
      <w:start w:val="1"/>
      <w:numFmt w:val="bullet"/>
      <w:lvlText w:val=""/>
      <w:lvlJc w:val="left"/>
      <w:pPr>
        <w:ind w:left="6125" w:hanging="360"/>
      </w:pPr>
      <w:rPr>
        <w:rFonts w:ascii="Wingdings" w:hAnsi="Wingdings" w:hint="default"/>
      </w:rPr>
    </w:lvl>
  </w:abstractNum>
  <w:abstractNum w:abstractNumId="1" w15:restartNumberingAfterBreak="0">
    <w:nsid w:val="004C04CA"/>
    <w:multiLevelType w:val="hybridMultilevel"/>
    <w:tmpl w:val="8DD0D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046CCC"/>
    <w:multiLevelType w:val="hybridMultilevel"/>
    <w:tmpl w:val="38825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94340C"/>
    <w:multiLevelType w:val="hybridMultilevel"/>
    <w:tmpl w:val="28CED12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E42F6F"/>
    <w:multiLevelType w:val="hybridMultilevel"/>
    <w:tmpl w:val="B6788CB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A463F6E"/>
    <w:multiLevelType w:val="hybridMultilevel"/>
    <w:tmpl w:val="E3E2D798"/>
    <w:lvl w:ilvl="0" w:tplc="0BCCCBEE">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BB71DF8"/>
    <w:multiLevelType w:val="hybridMultilevel"/>
    <w:tmpl w:val="0AF4A222"/>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B26871"/>
    <w:multiLevelType w:val="hybridMultilevel"/>
    <w:tmpl w:val="2A1035A2"/>
    <w:lvl w:ilvl="0" w:tplc="14EADA18">
      <w:start w:val="3"/>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1F81C95"/>
    <w:multiLevelType w:val="hybridMultilevel"/>
    <w:tmpl w:val="D3BEC362"/>
    <w:lvl w:ilvl="0" w:tplc="189C8860">
      <w:start w:val="3"/>
      <w:numFmt w:val="lowerLetter"/>
      <w:lvlText w:val="%1."/>
      <w:lvlJc w:val="left"/>
      <w:pPr>
        <w:ind w:left="1542" w:hanging="336"/>
      </w:pPr>
      <w:rPr>
        <w:rFonts w:ascii="Palatino Linotype" w:eastAsia="Arial" w:hAnsi="Palatino Linotype" w:cs="Arial" w:hint="default"/>
        <w:w w:val="100"/>
        <w:sz w:val="22"/>
        <w:szCs w:val="22"/>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10" w15:restartNumberingAfterBreak="0">
    <w:nsid w:val="13747061"/>
    <w:multiLevelType w:val="hybridMultilevel"/>
    <w:tmpl w:val="FD183502"/>
    <w:lvl w:ilvl="0" w:tplc="40F8B688">
      <w:start w:val="1"/>
      <w:numFmt w:val="lowerLetter"/>
      <w:lvlText w:val="%1)"/>
      <w:lvlJc w:val="left"/>
      <w:pPr>
        <w:ind w:left="720" w:hanging="360"/>
      </w:pPr>
      <w:rPr>
        <w:rFonts w:hint="default"/>
        <w:b/>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7F619A"/>
    <w:multiLevelType w:val="hybridMultilevel"/>
    <w:tmpl w:val="A69AE98C"/>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17A96550"/>
    <w:multiLevelType w:val="hybridMultilevel"/>
    <w:tmpl w:val="38A46176"/>
    <w:lvl w:ilvl="0" w:tplc="080A0001">
      <w:start w:val="1"/>
      <w:numFmt w:val="bullet"/>
      <w:lvlText w:val=""/>
      <w:lvlJc w:val="left"/>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B1F202D"/>
    <w:multiLevelType w:val="hybridMultilevel"/>
    <w:tmpl w:val="FDD2EE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E206EAA"/>
    <w:multiLevelType w:val="hybridMultilevel"/>
    <w:tmpl w:val="AE22DC18"/>
    <w:lvl w:ilvl="0" w:tplc="080A0001">
      <w:start w:val="1"/>
      <w:numFmt w:val="bullet"/>
      <w:lvlText w:val=""/>
      <w:lvlJc w:val="left"/>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FBA60E1"/>
    <w:multiLevelType w:val="hybridMultilevel"/>
    <w:tmpl w:val="E4E00840"/>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2C8004E"/>
    <w:multiLevelType w:val="hybridMultilevel"/>
    <w:tmpl w:val="A53C8A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3E37B93"/>
    <w:multiLevelType w:val="hybridMultilevel"/>
    <w:tmpl w:val="F852F47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28B320C4"/>
    <w:multiLevelType w:val="hybridMultilevel"/>
    <w:tmpl w:val="887EBC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9002483"/>
    <w:multiLevelType w:val="hybridMultilevel"/>
    <w:tmpl w:val="19B0C15C"/>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D5D091D"/>
    <w:multiLevelType w:val="hybridMultilevel"/>
    <w:tmpl w:val="864E04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C31EC9"/>
    <w:multiLevelType w:val="hybridMultilevel"/>
    <w:tmpl w:val="2C68FB8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321A771E">
      <w:start w:val="1"/>
      <w:numFmt w:val="lowerLetter"/>
      <w:lvlText w:val="%2."/>
      <w:lvlJc w:val="left"/>
      <w:pPr>
        <w:ind w:left="1542" w:hanging="336"/>
      </w:pPr>
      <w:rPr>
        <w:rFonts w:ascii="Palatino Linotype" w:eastAsia="Arial" w:hAnsi="Palatino Linotype"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3" w15:restartNumberingAfterBreak="0">
    <w:nsid w:val="42B01A64"/>
    <w:multiLevelType w:val="hybridMultilevel"/>
    <w:tmpl w:val="3228851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4" w15:restartNumberingAfterBreak="0">
    <w:nsid w:val="437C2083"/>
    <w:multiLevelType w:val="hybridMultilevel"/>
    <w:tmpl w:val="E5BCD96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46043C82"/>
    <w:multiLevelType w:val="hybridMultilevel"/>
    <w:tmpl w:val="F92481A4"/>
    <w:lvl w:ilvl="0" w:tplc="14EADA18">
      <w:start w:val="3"/>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62C5596"/>
    <w:multiLevelType w:val="hybridMultilevel"/>
    <w:tmpl w:val="5F14D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6963E22"/>
    <w:multiLevelType w:val="hybridMultilevel"/>
    <w:tmpl w:val="A9489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73D2FC6"/>
    <w:multiLevelType w:val="hybridMultilevel"/>
    <w:tmpl w:val="11EE56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C406A2A"/>
    <w:multiLevelType w:val="hybridMultilevel"/>
    <w:tmpl w:val="06CAF0FA"/>
    <w:lvl w:ilvl="0" w:tplc="080A0001">
      <w:start w:val="1"/>
      <w:numFmt w:val="bullet"/>
      <w:lvlText w:val=""/>
      <w:lvlJc w:val="left"/>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E2C357E"/>
    <w:multiLevelType w:val="hybridMultilevel"/>
    <w:tmpl w:val="CCEAB80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F2755DE"/>
    <w:multiLevelType w:val="hybridMultilevel"/>
    <w:tmpl w:val="61406A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55D16E5"/>
    <w:multiLevelType w:val="hybridMultilevel"/>
    <w:tmpl w:val="0138FDF8"/>
    <w:lvl w:ilvl="0" w:tplc="40F8B688">
      <w:start w:val="1"/>
      <w:numFmt w:val="lowerLetter"/>
      <w:lvlText w:val="%1)"/>
      <w:lvlJc w:val="left"/>
      <w:pPr>
        <w:ind w:left="720" w:hanging="360"/>
      </w:pPr>
      <w:rPr>
        <w:rFonts w:hint="default"/>
        <w:b/>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977031C"/>
    <w:multiLevelType w:val="hybridMultilevel"/>
    <w:tmpl w:val="E33E7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B1F0183"/>
    <w:multiLevelType w:val="hybridMultilevel"/>
    <w:tmpl w:val="379498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1954D16"/>
    <w:multiLevelType w:val="hybridMultilevel"/>
    <w:tmpl w:val="14C659AC"/>
    <w:lvl w:ilvl="0" w:tplc="14EADA18">
      <w:start w:val="3"/>
      <w:numFmt w:val="bullet"/>
      <w:lvlText w:val="-"/>
      <w:lvlJc w:val="left"/>
      <w:pPr>
        <w:ind w:left="1440" w:hanging="360"/>
      </w:pPr>
      <w:rPr>
        <w:rFonts w:ascii="Palatino Linotype" w:eastAsia="Calibri" w:hAnsi="Palatino Linotype" w:cs="Tahoma"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65E5435F"/>
    <w:multiLevelType w:val="hybridMultilevel"/>
    <w:tmpl w:val="BBC4D93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A355389"/>
    <w:multiLevelType w:val="hybridMultilevel"/>
    <w:tmpl w:val="2C8A34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DA06D26"/>
    <w:multiLevelType w:val="hybridMultilevel"/>
    <w:tmpl w:val="2A4882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DED7307"/>
    <w:multiLevelType w:val="hybridMultilevel"/>
    <w:tmpl w:val="78A869C8"/>
    <w:lvl w:ilvl="0" w:tplc="7AD27094">
      <w:start w:val="1"/>
      <w:numFmt w:val="decimal"/>
      <w:lvlText w:val="%1."/>
      <w:lvlJc w:val="left"/>
      <w:pPr>
        <w:tabs>
          <w:tab w:val="num" w:pos="720"/>
        </w:tabs>
        <w:ind w:left="720" w:hanging="360"/>
      </w:pPr>
      <w:rPr>
        <w:b/>
        <w:lang w:val="es-MX"/>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1" w15:restartNumberingAfterBreak="0">
    <w:nsid w:val="75311B9E"/>
    <w:multiLevelType w:val="hybridMultilevel"/>
    <w:tmpl w:val="AC247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3" w15:restartNumberingAfterBreak="0">
    <w:nsid w:val="7B9142C9"/>
    <w:multiLevelType w:val="hybridMultilevel"/>
    <w:tmpl w:val="A0B489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BCD352D"/>
    <w:multiLevelType w:val="hybridMultilevel"/>
    <w:tmpl w:val="A22CEA14"/>
    <w:lvl w:ilvl="0" w:tplc="27D225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D2126BE"/>
    <w:multiLevelType w:val="hybridMultilevel"/>
    <w:tmpl w:val="09205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E874A25"/>
    <w:multiLevelType w:val="hybridMultilevel"/>
    <w:tmpl w:val="6FE2BB2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num>
  <w:num w:numId="4">
    <w:abstractNumId w:val="40"/>
  </w:num>
  <w:num w:numId="5">
    <w:abstractNumId w:val="5"/>
  </w:num>
  <w:num w:numId="6">
    <w:abstractNumId w:val="35"/>
  </w:num>
  <w:num w:numId="7">
    <w:abstractNumId w:val="27"/>
  </w:num>
  <w:num w:numId="8">
    <w:abstractNumId w:val="15"/>
  </w:num>
  <w:num w:numId="9">
    <w:abstractNumId w:val="2"/>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1"/>
  </w:num>
  <w:num w:numId="13">
    <w:abstractNumId w:val="16"/>
  </w:num>
  <w:num w:numId="14">
    <w:abstractNumId w:val="30"/>
  </w:num>
  <w:num w:numId="15">
    <w:abstractNumId w:val="38"/>
  </w:num>
  <w:num w:numId="16">
    <w:abstractNumId w:val="7"/>
  </w:num>
  <w:num w:numId="17">
    <w:abstractNumId w:val="31"/>
  </w:num>
  <w:num w:numId="18">
    <w:abstractNumId w:val="11"/>
  </w:num>
  <w:num w:numId="19">
    <w:abstractNumId w:val="14"/>
  </w:num>
  <w:num w:numId="20">
    <w:abstractNumId w:val="43"/>
  </w:num>
  <w:num w:numId="21">
    <w:abstractNumId w:val="41"/>
  </w:num>
  <w:num w:numId="22">
    <w:abstractNumId w:val="44"/>
  </w:num>
  <w:num w:numId="23">
    <w:abstractNumId w:val="10"/>
  </w:num>
  <w:num w:numId="24">
    <w:abstractNumId w:val="33"/>
  </w:num>
  <w:num w:numId="25">
    <w:abstractNumId w:val="24"/>
  </w:num>
  <w:num w:numId="26">
    <w:abstractNumId w:val="13"/>
  </w:num>
  <w:num w:numId="27">
    <w:abstractNumId w:val="22"/>
  </w:num>
  <w:num w:numId="28">
    <w:abstractNumId w:val="9"/>
  </w:num>
  <w:num w:numId="29">
    <w:abstractNumId w:val="23"/>
  </w:num>
  <w:num w:numId="30">
    <w:abstractNumId w:val="18"/>
  </w:num>
  <w:num w:numId="31">
    <w:abstractNumId w:val="42"/>
  </w:num>
  <w:num w:numId="32">
    <w:abstractNumId w:val="4"/>
  </w:num>
  <w:num w:numId="33">
    <w:abstractNumId w:val="28"/>
  </w:num>
  <w:num w:numId="34">
    <w:abstractNumId w:val="21"/>
  </w:num>
  <w:num w:numId="35">
    <w:abstractNumId w:val="19"/>
  </w:num>
  <w:num w:numId="36">
    <w:abstractNumId w:val="12"/>
  </w:num>
  <w:num w:numId="37">
    <w:abstractNumId w:val="34"/>
  </w:num>
  <w:num w:numId="38">
    <w:abstractNumId w:val="37"/>
  </w:num>
  <w:num w:numId="39">
    <w:abstractNumId w:val="1"/>
  </w:num>
  <w:num w:numId="40">
    <w:abstractNumId w:val="46"/>
  </w:num>
  <w:num w:numId="41">
    <w:abstractNumId w:val="6"/>
  </w:num>
  <w:num w:numId="42">
    <w:abstractNumId w:val="26"/>
  </w:num>
  <w:num w:numId="43">
    <w:abstractNumId w:val="8"/>
  </w:num>
  <w:num w:numId="44">
    <w:abstractNumId w:val="36"/>
  </w:num>
  <w:num w:numId="45">
    <w:abstractNumId w:val="3"/>
  </w:num>
  <w:num w:numId="46">
    <w:abstractNumId w:val="45"/>
  </w:num>
  <w:num w:numId="47">
    <w:abstractNumId w:val="29"/>
  </w:num>
  <w:num w:numId="48">
    <w:abstractNumId w:val="17"/>
  </w:num>
  <w:num w:numId="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872"/>
    <w:rsid w:val="000078E2"/>
    <w:rsid w:val="00023EA0"/>
    <w:rsid w:val="00024E7A"/>
    <w:rsid w:val="0003087D"/>
    <w:rsid w:val="000343A4"/>
    <w:rsid w:val="0003468A"/>
    <w:rsid w:val="00034A73"/>
    <w:rsid w:val="00034FC0"/>
    <w:rsid w:val="00037E68"/>
    <w:rsid w:val="00041F6E"/>
    <w:rsid w:val="00043737"/>
    <w:rsid w:val="00043EE9"/>
    <w:rsid w:val="000525EA"/>
    <w:rsid w:val="00060B7A"/>
    <w:rsid w:val="00065B2F"/>
    <w:rsid w:val="00070F27"/>
    <w:rsid w:val="00071E37"/>
    <w:rsid w:val="0007377F"/>
    <w:rsid w:val="00074739"/>
    <w:rsid w:val="00075A4B"/>
    <w:rsid w:val="000802BA"/>
    <w:rsid w:val="00092205"/>
    <w:rsid w:val="00096A9E"/>
    <w:rsid w:val="000A50FD"/>
    <w:rsid w:val="000B019D"/>
    <w:rsid w:val="000B1FB0"/>
    <w:rsid w:val="000C1535"/>
    <w:rsid w:val="000C51D5"/>
    <w:rsid w:val="000C61E3"/>
    <w:rsid w:val="000D258C"/>
    <w:rsid w:val="000D4A03"/>
    <w:rsid w:val="000E1D07"/>
    <w:rsid w:val="000E3C4D"/>
    <w:rsid w:val="000E6359"/>
    <w:rsid w:val="000F0ADC"/>
    <w:rsid w:val="000F1B1E"/>
    <w:rsid w:val="000F35A3"/>
    <w:rsid w:val="000F5943"/>
    <w:rsid w:val="00101876"/>
    <w:rsid w:val="0010299B"/>
    <w:rsid w:val="00103F66"/>
    <w:rsid w:val="001055DC"/>
    <w:rsid w:val="00106C3E"/>
    <w:rsid w:val="00107964"/>
    <w:rsid w:val="00110EDE"/>
    <w:rsid w:val="001123D1"/>
    <w:rsid w:val="001136DA"/>
    <w:rsid w:val="00127A9F"/>
    <w:rsid w:val="00130EE0"/>
    <w:rsid w:val="001336FA"/>
    <w:rsid w:val="001339AD"/>
    <w:rsid w:val="00135C93"/>
    <w:rsid w:val="001439DF"/>
    <w:rsid w:val="0014566F"/>
    <w:rsid w:val="00150C6D"/>
    <w:rsid w:val="00152591"/>
    <w:rsid w:val="00171E9B"/>
    <w:rsid w:val="00172D7F"/>
    <w:rsid w:val="0017321F"/>
    <w:rsid w:val="00182878"/>
    <w:rsid w:val="00186E47"/>
    <w:rsid w:val="001873B2"/>
    <w:rsid w:val="00191990"/>
    <w:rsid w:val="00195818"/>
    <w:rsid w:val="001A0B3D"/>
    <w:rsid w:val="001A1F1A"/>
    <w:rsid w:val="001A2454"/>
    <w:rsid w:val="001A605C"/>
    <w:rsid w:val="001A6682"/>
    <w:rsid w:val="001B04D6"/>
    <w:rsid w:val="001B1857"/>
    <w:rsid w:val="001B6D3C"/>
    <w:rsid w:val="001B7EE6"/>
    <w:rsid w:val="001C5A10"/>
    <w:rsid w:val="001D1806"/>
    <w:rsid w:val="001D2966"/>
    <w:rsid w:val="001D488C"/>
    <w:rsid w:val="001D62DD"/>
    <w:rsid w:val="001E3977"/>
    <w:rsid w:val="001E4A02"/>
    <w:rsid w:val="001E78FC"/>
    <w:rsid w:val="001F1E86"/>
    <w:rsid w:val="001F3EEC"/>
    <w:rsid w:val="001F71DD"/>
    <w:rsid w:val="00205699"/>
    <w:rsid w:val="00207963"/>
    <w:rsid w:val="00211F5B"/>
    <w:rsid w:val="002151CA"/>
    <w:rsid w:val="00217267"/>
    <w:rsid w:val="00226429"/>
    <w:rsid w:val="002265A6"/>
    <w:rsid w:val="002338DE"/>
    <w:rsid w:val="00235A8B"/>
    <w:rsid w:val="00236BC8"/>
    <w:rsid w:val="00243760"/>
    <w:rsid w:val="0025185F"/>
    <w:rsid w:val="00252C23"/>
    <w:rsid w:val="00253D2D"/>
    <w:rsid w:val="00256BB9"/>
    <w:rsid w:val="002604AE"/>
    <w:rsid w:val="00262576"/>
    <w:rsid w:val="002769C1"/>
    <w:rsid w:val="002825A6"/>
    <w:rsid w:val="002859A3"/>
    <w:rsid w:val="00292718"/>
    <w:rsid w:val="00294619"/>
    <w:rsid w:val="002A010F"/>
    <w:rsid w:val="002A4677"/>
    <w:rsid w:val="002A4971"/>
    <w:rsid w:val="002A4AA3"/>
    <w:rsid w:val="002A4D09"/>
    <w:rsid w:val="002A7404"/>
    <w:rsid w:val="002B1A23"/>
    <w:rsid w:val="002B3241"/>
    <w:rsid w:val="002B6B16"/>
    <w:rsid w:val="002C0332"/>
    <w:rsid w:val="002C6077"/>
    <w:rsid w:val="002C62E4"/>
    <w:rsid w:val="002C7AD5"/>
    <w:rsid w:val="002D0ADE"/>
    <w:rsid w:val="002D21BD"/>
    <w:rsid w:val="002D2674"/>
    <w:rsid w:val="002D46B4"/>
    <w:rsid w:val="002D4B8C"/>
    <w:rsid w:val="002D6AAD"/>
    <w:rsid w:val="002D78E7"/>
    <w:rsid w:val="002E1B6D"/>
    <w:rsid w:val="002E1D16"/>
    <w:rsid w:val="002E32A1"/>
    <w:rsid w:val="002F01FD"/>
    <w:rsid w:val="002F0FAA"/>
    <w:rsid w:val="002F6C59"/>
    <w:rsid w:val="00300F47"/>
    <w:rsid w:val="00301A50"/>
    <w:rsid w:val="0030378D"/>
    <w:rsid w:val="003066DC"/>
    <w:rsid w:val="00307F2A"/>
    <w:rsid w:val="00315DFF"/>
    <w:rsid w:val="0031635A"/>
    <w:rsid w:val="00332413"/>
    <w:rsid w:val="00332D94"/>
    <w:rsid w:val="00341103"/>
    <w:rsid w:val="003416A4"/>
    <w:rsid w:val="00343F89"/>
    <w:rsid w:val="003529A5"/>
    <w:rsid w:val="00354324"/>
    <w:rsid w:val="003563DE"/>
    <w:rsid w:val="00360711"/>
    <w:rsid w:val="003611B0"/>
    <w:rsid w:val="0036345D"/>
    <w:rsid w:val="00364D96"/>
    <w:rsid w:val="003674EC"/>
    <w:rsid w:val="00371DC3"/>
    <w:rsid w:val="00376518"/>
    <w:rsid w:val="00384B58"/>
    <w:rsid w:val="00387923"/>
    <w:rsid w:val="00387C7E"/>
    <w:rsid w:val="00397521"/>
    <w:rsid w:val="0039798B"/>
    <w:rsid w:val="00397A89"/>
    <w:rsid w:val="003A3ADE"/>
    <w:rsid w:val="003B28BE"/>
    <w:rsid w:val="003C1F5C"/>
    <w:rsid w:val="003D1338"/>
    <w:rsid w:val="003E229F"/>
    <w:rsid w:val="003E3B5D"/>
    <w:rsid w:val="003F0487"/>
    <w:rsid w:val="003F0EE7"/>
    <w:rsid w:val="003F6E48"/>
    <w:rsid w:val="00400954"/>
    <w:rsid w:val="0040451E"/>
    <w:rsid w:val="0040592C"/>
    <w:rsid w:val="0041020E"/>
    <w:rsid w:val="00411021"/>
    <w:rsid w:val="004125C3"/>
    <w:rsid w:val="004127BB"/>
    <w:rsid w:val="00412A1C"/>
    <w:rsid w:val="00414AA4"/>
    <w:rsid w:val="00416ADD"/>
    <w:rsid w:val="004254E9"/>
    <w:rsid w:val="0043375F"/>
    <w:rsid w:val="00437B8E"/>
    <w:rsid w:val="0045005B"/>
    <w:rsid w:val="004507D2"/>
    <w:rsid w:val="00462751"/>
    <w:rsid w:val="00473E60"/>
    <w:rsid w:val="00474F5D"/>
    <w:rsid w:val="00475478"/>
    <w:rsid w:val="00475C22"/>
    <w:rsid w:val="004859E4"/>
    <w:rsid w:val="00491CCB"/>
    <w:rsid w:val="00492A84"/>
    <w:rsid w:val="004A2A45"/>
    <w:rsid w:val="004A5A0A"/>
    <w:rsid w:val="004A619B"/>
    <w:rsid w:val="004C1C19"/>
    <w:rsid w:val="004D02ED"/>
    <w:rsid w:val="004D470B"/>
    <w:rsid w:val="004D7A1F"/>
    <w:rsid w:val="004D7FB1"/>
    <w:rsid w:val="004E1762"/>
    <w:rsid w:val="004E23E3"/>
    <w:rsid w:val="004E483B"/>
    <w:rsid w:val="004F60EC"/>
    <w:rsid w:val="004F6EB7"/>
    <w:rsid w:val="0050442C"/>
    <w:rsid w:val="00515D69"/>
    <w:rsid w:val="00520C7D"/>
    <w:rsid w:val="00527F3B"/>
    <w:rsid w:val="00532DAE"/>
    <w:rsid w:val="00541D73"/>
    <w:rsid w:val="0054395F"/>
    <w:rsid w:val="00545FA5"/>
    <w:rsid w:val="0055145B"/>
    <w:rsid w:val="005567AB"/>
    <w:rsid w:val="0056157A"/>
    <w:rsid w:val="00564A6C"/>
    <w:rsid w:val="00574420"/>
    <w:rsid w:val="00575188"/>
    <w:rsid w:val="005806C9"/>
    <w:rsid w:val="00582FC8"/>
    <w:rsid w:val="005840C3"/>
    <w:rsid w:val="00584958"/>
    <w:rsid w:val="00586853"/>
    <w:rsid w:val="00590C97"/>
    <w:rsid w:val="00591B99"/>
    <w:rsid w:val="00593B21"/>
    <w:rsid w:val="005A2AA6"/>
    <w:rsid w:val="005A47EA"/>
    <w:rsid w:val="005A67B9"/>
    <w:rsid w:val="005B031E"/>
    <w:rsid w:val="005B2FFC"/>
    <w:rsid w:val="005B3F08"/>
    <w:rsid w:val="005B4FC7"/>
    <w:rsid w:val="005B55FD"/>
    <w:rsid w:val="005B675E"/>
    <w:rsid w:val="005C1A87"/>
    <w:rsid w:val="005D3C1D"/>
    <w:rsid w:val="005E1243"/>
    <w:rsid w:val="005E2557"/>
    <w:rsid w:val="005F389E"/>
    <w:rsid w:val="00601767"/>
    <w:rsid w:val="00602761"/>
    <w:rsid w:val="00606A00"/>
    <w:rsid w:val="00606A84"/>
    <w:rsid w:val="006112BF"/>
    <w:rsid w:val="0061170B"/>
    <w:rsid w:val="00620612"/>
    <w:rsid w:val="006255F2"/>
    <w:rsid w:val="006324C2"/>
    <w:rsid w:val="00635C76"/>
    <w:rsid w:val="0063736C"/>
    <w:rsid w:val="006401A9"/>
    <w:rsid w:val="00640B63"/>
    <w:rsid w:val="00641A26"/>
    <w:rsid w:val="00642623"/>
    <w:rsid w:val="0065161D"/>
    <w:rsid w:val="00653A8B"/>
    <w:rsid w:val="0065478B"/>
    <w:rsid w:val="00655632"/>
    <w:rsid w:val="006563FF"/>
    <w:rsid w:val="00657287"/>
    <w:rsid w:val="0065749C"/>
    <w:rsid w:val="006638B9"/>
    <w:rsid w:val="00674438"/>
    <w:rsid w:val="006838F6"/>
    <w:rsid w:val="00692640"/>
    <w:rsid w:val="0069308A"/>
    <w:rsid w:val="006A6D99"/>
    <w:rsid w:val="006B2037"/>
    <w:rsid w:val="006B350A"/>
    <w:rsid w:val="006B6131"/>
    <w:rsid w:val="006C5426"/>
    <w:rsid w:val="006E20B5"/>
    <w:rsid w:val="006E788D"/>
    <w:rsid w:val="006F32E9"/>
    <w:rsid w:val="006F5CA4"/>
    <w:rsid w:val="007031D0"/>
    <w:rsid w:val="007048EC"/>
    <w:rsid w:val="00710713"/>
    <w:rsid w:val="00710DD3"/>
    <w:rsid w:val="00710F3D"/>
    <w:rsid w:val="00723D2B"/>
    <w:rsid w:val="00726A4F"/>
    <w:rsid w:val="00733729"/>
    <w:rsid w:val="00740D4A"/>
    <w:rsid w:val="00741D97"/>
    <w:rsid w:val="00742B69"/>
    <w:rsid w:val="007432EF"/>
    <w:rsid w:val="00744C4C"/>
    <w:rsid w:val="00752B10"/>
    <w:rsid w:val="00756681"/>
    <w:rsid w:val="007614A8"/>
    <w:rsid w:val="007713FF"/>
    <w:rsid w:val="00772848"/>
    <w:rsid w:val="00775734"/>
    <w:rsid w:val="00775BA3"/>
    <w:rsid w:val="0077787E"/>
    <w:rsid w:val="0078241B"/>
    <w:rsid w:val="00785E75"/>
    <w:rsid w:val="00787658"/>
    <w:rsid w:val="00791C1E"/>
    <w:rsid w:val="007921D3"/>
    <w:rsid w:val="007949B9"/>
    <w:rsid w:val="0079752A"/>
    <w:rsid w:val="007A067A"/>
    <w:rsid w:val="007A4D0C"/>
    <w:rsid w:val="007A73E5"/>
    <w:rsid w:val="007B2EDA"/>
    <w:rsid w:val="007B4AD4"/>
    <w:rsid w:val="007C01EA"/>
    <w:rsid w:val="007C207D"/>
    <w:rsid w:val="007C5D03"/>
    <w:rsid w:val="007D1414"/>
    <w:rsid w:val="007D7F2E"/>
    <w:rsid w:val="007E7B6E"/>
    <w:rsid w:val="007F4461"/>
    <w:rsid w:val="007F4ADF"/>
    <w:rsid w:val="0080119B"/>
    <w:rsid w:val="00801872"/>
    <w:rsid w:val="0080544A"/>
    <w:rsid w:val="008156DF"/>
    <w:rsid w:val="008163AA"/>
    <w:rsid w:val="008164F6"/>
    <w:rsid w:val="00821CCF"/>
    <w:rsid w:val="00822030"/>
    <w:rsid w:val="00830541"/>
    <w:rsid w:val="008317C0"/>
    <w:rsid w:val="00840D3B"/>
    <w:rsid w:val="008438C2"/>
    <w:rsid w:val="008450D2"/>
    <w:rsid w:val="00853CD1"/>
    <w:rsid w:val="00856A38"/>
    <w:rsid w:val="00863EDC"/>
    <w:rsid w:val="008648CC"/>
    <w:rsid w:val="00866E63"/>
    <w:rsid w:val="00867038"/>
    <w:rsid w:val="00867749"/>
    <w:rsid w:val="008713C8"/>
    <w:rsid w:val="00872DAC"/>
    <w:rsid w:val="0087388E"/>
    <w:rsid w:val="00875ADB"/>
    <w:rsid w:val="00881057"/>
    <w:rsid w:val="00881EBF"/>
    <w:rsid w:val="00883999"/>
    <w:rsid w:val="00890977"/>
    <w:rsid w:val="00891512"/>
    <w:rsid w:val="00893315"/>
    <w:rsid w:val="008A4325"/>
    <w:rsid w:val="008A673A"/>
    <w:rsid w:val="008A79F0"/>
    <w:rsid w:val="008B0BC7"/>
    <w:rsid w:val="008B0C71"/>
    <w:rsid w:val="008B6C61"/>
    <w:rsid w:val="008C3A58"/>
    <w:rsid w:val="008C4347"/>
    <w:rsid w:val="008C4680"/>
    <w:rsid w:val="008C5511"/>
    <w:rsid w:val="008E58C1"/>
    <w:rsid w:val="008E5FE9"/>
    <w:rsid w:val="008E7303"/>
    <w:rsid w:val="008F0397"/>
    <w:rsid w:val="008F1800"/>
    <w:rsid w:val="008F49ED"/>
    <w:rsid w:val="008F7EB2"/>
    <w:rsid w:val="00901D31"/>
    <w:rsid w:val="00902436"/>
    <w:rsid w:val="00903608"/>
    <w:rsid w:val="00903B3F"/>
    <w:rsid w:val="00912F63"/>
    <w:rsid w:val="00915E95"/>
    <w:rsid w:val="00922FAF"/>
    <w:rsid w:val="00932541"/>
    <w:rsid w:val="00940BF3"/>
    <w:rsid w:val="00942CBB"/>
    <w:rsid w:val="0094775E"/>
    <w:rsid w:val="00950A44"/>
    <w:rsid w:val="00954192"/>
    <w:rsid w:val="00957512"/>
    <w:rsid w:val="00967A2E"/>
    <w:rsid w:val="00974045"/>
    <w:rsid w:val="009856C6"/>
    <w:rsid w:val="00987E30"/>
    <w:rsid w:val="00994A8C"/>
    <w:rsid w:val="00995B1A"/>
    <w:rsid w:val="00997388"/>
    <w:rsid w:val="009A05EF"/>
    <w:rsid w:val="009A0CB6"/>
    <w:rsid w:val="009A36B3"/>
    <w:rsid w:val="009A4479"/>
    <w:rsid w:val="009A544E"/>
    <w:rsid w:val="009A7B33"/>
    <w:rsid w:val="009B07BB"/>
    <w:rsid w:val="009B1346"/>
    <w:rsid w:val="009B1725"/>
    <w:rsid w:val="009B786C"/>
    <w:rsid w:val="009C181C"/>
    <w:rsid w:val="009C390B"/>
    <w:rsid w:val="009D255A"/>
    <w:rsid w:val="009D4DA2"/>
    <w:rsid w:val="009D4E62"/>
    <w:rsid w:val="009E23B1"/>
    <w:rsid w:val="009E3BE1"/>
    <w:rsid w:val="009E4515"/>
    <w:rsid w:val="009E4654"/>
    <w:rsid w:val="009E5CD3"/>
    <w:rsid w:val="009E7C84"/>
    <w:rsid w:val="009F383A"/>
    <w:rsid w:val="009F3A54"/>
    <w:rsid w:val="009F452B"/>
    <w:rsid w:val="009F646C"/>
    <w:rsid w:val="009F70D4"/>
    <w:rsid w:val="00A02D95"/>
    <w:rsid w:val="00A02DF7"/>
    <w:rsid w:val="00A142F2"/>
    <w:rsid w:val="00A14307"/>
    <w:rsid w:val="00A14C32"/>
    <w:rsid w:val="00A25536"/>
    <w:rsid w:val="00A25E7F"/>
    <w:rsid w:val="00A26524"/>
    <w:rsid w:val="00A27BAD"/>
    <w:rsid w:val="00A27DAA"/>
    <w:rsid w:val="00A30646"/>
    <w:rsid w:val="00A33AA3"/>
    <w:rsid w:val="00A37CB6"/>
    <w:rsid w:val="00A37DC1"/>
    <w:rsid w:val="00A40A52"/>
    <w:rsid w:val="00A430C1"/>
    <w:rsid w:val="00A4759C"/>
    <w:rsid w:val="00A505C7"/>
    <w:rsid w:val="00A52A2E"/>
    <w:rsid w:val="00A57DD1"/>
    <w:rsid w:val="00A60C77"/>
    <w:rsid w:val="00A649D5"/>
    <w:rsid w:val="00A71509"/>
    <w:rsid w:val="00A76D2C"/>
    <w:rsid w:val="00A81EBA"/>
    <w:rsid w:val="00A87A2A"/>
    <w:rsid w:val="00A9388D"/>
    <w:rsid w:val="00A9630F"/>
    <w:rsid w:val="00AA2F8F"/>
    <w:rsid w:val="00AA68C9"/>
    <w:rsid w:val="00AA77D7"/>
    <w:rsid w:val="00AB3C86"/>
    <w:rsid w:val="00AB3E93"/>
    <w:rsid w:val="00AB5C2F"/>
    <w:rsid w:val="00AC3A84"/>
    <w:rsid w:val="00AC612B"/>
    <w:rsid w:val="00AC68FD"/>
    <w:rsid w:val="00AD3B9A"/>
    <w:rsid w:val="00AD4B80"/>
    <w:rsid w:val="00AD5E5F"/>
    <w:rsid w:val="00AD5F62"/>
    <w:rsid w:val="00AD62F4"/>
    <w:rsid w:val="00AE0BAF"/>
    <w:rsid w:val="00AE141E"/>
    <w:rsid w:val="00AE588C"/>
    <w:rsid w:val="00AE72FD"/>
    <w:rsid w:val="00AE7C1B"/>
    <w:rsid w:val="00AF483C"/>
    <w:rsid w:val="00AF6BDD"/>
    <w:rsid w:val="00B00156"/>
    <w:rsid w:val="00B03550"/>
    <w:rsid w:val="00B06594"/>
    <w:rsid w:val="00B07413"/>
    <w:rsid w:val="00B11030"/>
    <w:rsid w:val="00B11582"/>
    <w:rsid w:val="00B15A0A"/>
    <w:rsid w:val="00B168C9"/>
    <w:rsid w:val="00B20B5E"/>
    <w:rsid w:val="00B21C6C"/>
    <w:rsid w:val="00B23FD5"/>
    <w:rsid w:val="00B36E9E"/>
    <w:rsid w:val="00B37587"/>
    <w:rsid w:val="00B437F1"/>
    <w:rsid w:val="00B44055"/>
    <w:rsid w:val="00B46984"/>
    <w:rsid w:val="00B60549"/>
    <w:rsid w:val="00B611ED"/>
    <w:rsid w:val="00B61959"/>
    <w:rsid w:val="00B678A1"/>
    <w:rsid w:val="00B71296"/>
    <w:rsid w:val="00B71ED2"/>
    <w:rsid w:val="00B7758C"/>
    <w:rsid w:val="00B82020"/>
    <w:rsid w:val="00B82D83"/>
    <w:rsid w:val="00B862EA"/>
    <w:rsid w:val="00B923AD"/>
    <w:rsid w:val="00BA1B3A"/>
    <w:rsid w:val="00BA2A4D"/>
    <w:rsid w:val="00BB0537"/>
    <w:rsid w:val="00BB1D38"/>
    <w:rsid w:val="00BB3364"/>
    <w:rsid w:val="00BB7253"/>
    <w:rsid w:val="00BC39B8"/>
    <w:rsid w:val="00BD0E92"/>
    <w:rsid w:val="00BE0F47"/>
    <w:rsid w:val="00BE73E6"/>
    <w:rsid w:val="00BF0A51"/>
    <w:rsid w:val="00BF0B30"/>
    <w:rsid w:val="00BF2486"/>
    <w:rsid w:val="00BF490F"/>
    <w:rsid w:val="00BF6AC0"/>
    <w:rsid w:val="00C104D7"/>
    <w:rsid w:val="00C1317D"/>
    <w:rsid w:val="00C15DDB"/>
    <w:rsid w:val="00C206D3"/>
    <w:rsid w:val="00C21A95"/>
    <w:rsid w:val="00C21F9F"/>
    <w:rsid w:val="00C22BF7"/>
    <w:rsid w:val="00C23326"/>
    <w:rsid w:val="00C33D34"/>
    <w:rsid w:val="00C347DE"/>
    <w:rsid w:val="00C42D9E"/>
    <w:rsid w:val="00C4395D"/>
    <w:rsid w:val="00C44163"/>
    <w:rsid w:val="00C44663"/>
    <w:rsid w:val="00C44E82"/>
    <w:rsid w:val="00C456D2"/>
    <w:rsid w:val="00C54721"/>
    <w:rsid w:val="00C55496"/>
    <w:rsid w:val="00C611D0"/>
    <w:rsid w:val="00C66758"/>
    <w:rsid w:val="00C67123"/>
    <w:rsid w:val="00C71402"/>
    <w:rsid w:val="00C730BB"/>
    <w:rsid w:val="00C74E9B"/>
    <w:rsid w:val="00C825FA"/>
    <w:rsid w:val="00C835DC"/>
    <w:rsid w:val="00C85169"/>
    <w:rsid w:val="00C8726A"/>
    <w:rsid w:val="00C91429"/>
    <w:rsid w:val="00C938B6"/>
    <w:rsid w:val="00C96572"/>
    <w:rsid w:val="00C97226"/>
    <w:rsid w:val="00CA0034"/>
    <w:rsid w:val="00CA0E7F"/>
    <w:rsid w:val="00CA25E1"/>
    <w:rsid w:val="00CA3344"/>
    <w:rsid w:val="00CA598C"/>
    <w:rsid w:val="00CB046A"/>
    <w:rsid w:val="00CB0B0D"/>
    <w:rsid w:val="00CB4A69"/>
    <w:rsid w:val="00CB6F18"/>
    <w:rsid w:val="00CB6F34"/>
    <w:rsid w:val="00CC04B2"/>
    <w:rsid w:val="00CC0A2E"/>
    <w:rsid w:val="00CC29AB"/>
    <w:rsid w:val="00CC2C72"/>
    <w:rsid w:val="00CC5B7A"/>
    <w:rsid w:val="00CC5D88"/>
    <w:rsid w:val="00CC7082"/>
    <w:rsid w:val="00CD0A7E"/>
    <w:rsid w:val="00CD0ADE"/>
    <w:rsid w:val="00CD194C"/>
    <w:rsid w:val="00CD5370"/>
    <w:rsid w:val="00CD7528"/>
    <w:rsid w:val="00CD7714"/>
    <w:rsid w:val="00CE08B0"/>
    <w:rsid w:val="00CE5080"/>
    <w:rsid w:val="00CF1624"/>
    <w:rsid w:val="00CF19C8"/>
    <w:rsid w:val="00CF4337"/>
    <w:rsid w:val="00D037F1"/>
    <w:rsid w:val="00D05586"/>
    <w:rsid w:val="00D07069"/>
    <w:rsid w:val="00D072E8"/>
    <w:rsid w:val="00D16C0D"/>
    <w:rsid w:val="00D22279"/>
    <w:rsid w:val="00D22825"/>
    <w:rsid w:val="00D24EFE"/>
    <w:rsid w:val="00D250FD"/>
    <w:rsid w:val="00D25A94"/>
    <w:rsid w:val="00D26D02"/>
    <w:rsid w:val="00D275D7"/>
    <w:rsid w:val="00D30983"/>
    <w:rsid w:val="00D36E27"/>
    <w:rsid w:val="00D42A57"/>
    <w:rsid w:val="00D43E9A"/>
    <w:rsid w:val="00D44C54"/>
    <w:rsid w:val="00D47385"/>
    <w:rsid w:val="00D51254"/>
    <w:rsid w:val="00D539E9"/>
    <w:rsid w:val="00D54923"/>
    <w:rsid w:val="00D555FD"/>
    <w:rsid w:val="00D57AE6"/>
    <w:rsid w:val="00D611AA"/>
    <w:rsid w:val="00D61A1B"/>
    <w:rsid w:val="00D61EF1"/>
    <w:rsid w:val="00D62084"/>
    <w:rsid w:val="00D6317A"/>
    <w:rsid w:val="00D70982"/>
    <w:rsid w:val="00D818BE"/>
    <w:rsid w:val="00D866C1"/>
    <w:rsid w:val="00D867F3"/>
    <w:rsid w:val="00D944B3"/>
    <w:rsid w:val="00D96426"/>
    <w:rsid w:val="00DA0388"/>
    <w:rsid w:val="00DA0CD4"/>
    <w:rsid w:val="00DA2FF2"/>
    <w:rsid w:val="00DB1FE3"/>
    <w:rsid w:val="00DB505F"/>
    <w:rsid w:val="00DC7066"/>
    <w:rsid w:val="00DD525B"/>
    <w:rsid w:val="00DD6A81"/>
    <w:rsid w:val="00DE02EE"/>
    <w:rsid w:val="00DE0616"/>
    <w:rsid w:val="00DE12CB"/>
    <w:rsid w:val="00DE416D"/>
    <w:rsid w:val="00DF17F3"/>
    <w:rsid w:val="00DF1B80"/>
    <w:rsid w:val="00DF30CB"/>
    <w:rsid w:val="00DF3A66"/>
    <w:rsid w:val="00DF7CA4"/>
    <w:rsid w:val="00E07083"/>
    <w:rsid w:val="00E15DE7"/>
    <w:rsid w:val="00E2632C"/>
    <w:rsid w:val="00E268B2"/>
    <w:rsid w:val="00E30382"/>
    <w:rsid w:val="00E308F6"/>
    <w:rsid w:val="00E346C4"/>
    <w:rsid w:val="00E36823"/>
    <w:rsid w:val="00E36B4D"/>
    <w:rsid w:val="00E4182F"/>
    <w:rsid w:val="00E41E78"/>
    <w:rsid w:val="00E45DD2"/>
    <w:rsid w:val="00E46A1A"/>
    <w:rsid w:val="00E553BD"/>
    <w:rsid w:val="00E64745"/>
    <w:rsid w:val="00E647CA"/>
    <w:rsid w:val="00E65CE7"/>
    <w:rsid w:val="00E757CE"/>
    <w:rsid w:val="00E80038"/>
    <w:rsid w:val="00E85AAD"/>
    <w:rsid w:val="00E85BA8"/>
    <w:rsid w:val="00E8606D"/>
    <w:rsid w:val="00EB4B0D"/>
    <w:rsid w:val="00EC4DCE"/>
    <w:rsid w:val="00EC557D"/>
    <w:rsid w:val="00EC59A5"/>
    <w:rsid w:val="00EC6AA2"/>
    <w:rsid w:val="00ED29C0"/>
    <w:rsid w:val="00ED4337"/>
    <w:rsid w:val="00ED5A16"/>
    <w:rsid w:val="00EE31F7"/>
    <w:rsid w:val="00EE6571"/>
    <w:rsid w:val="00EF0DBE"/>
    <w:rsid w:val="00EF3B94"/>
    <w:rsid w:val="00EF5F04"/>
    <w:rsid w:val="00EF6227"/>
    <w:rsid w:val="00EF7978"/>
    <w:rsid w:val="00F0534A"/>
    <w:rsid w:val="00F10C35"/>
    <w:rsid w:val="00F11251"/>
    <w:rsid w:val="00F16DED"/>
    <w:rsid w:val="00F171E4"/>
    <w:rsid w:val="00F2173B"/>
    <w:rsid w:val="00F22D69"/>
    <w:rsid w:val="00F259A0"/>
    <w:rsid w:val="00F30CE3"/>
    <w:rsid w:val="00F3173E"/>
    <w:rsid w:val="00F352AF"/>
    <w:rsid w:val="00F373B4"/>
    <w:rsid w:val="00F40283"/>
    <w:rsid w:val="00F406A7"/>
    <w:rsid w:val="00F41820"/>
    <w:rsid w:val="00F473C4"/>
    <w:rsid w:val="00F5017D"/>
    <w:rsid w:val="00F525A7"/>
    <w:rsid w:val="00F52FB0"/>
    <w:rsid w:val="00F55834"/>
    <w:rsid w:val="00F55F11"/>
    <w:rsid w:val="00F56285"/>
    <w:rsid w:val="00F57C48"/>
    <w:rsid w:val="00F76246"/>
    <w:rsid w:val="00F7786E"/>
    <w:rsid w:val="00F80DD7"/>
    <w:rsid w:val="00F8196D"/>
    <w:rsid w:val="00F822DE"/>
    <w:rsid w:val="00F95842"/>
    <w:rsid w:val="00F95C6A"/>
    <w:rsid w:val="00F9696F"/>
    <w:rsid w:val="00FA0668"/>
    <w:rsid w:val="00FA1EDD"/>
    <w:rsid w:val="00FA457E"/>
    <w:rsid w:val="00FA4909"/>
    <w:rsid w:val="00FA49D0"/>
    <w:rsid w:val="00FA572C"/>
    <w:rsid w:val="00FB1A26"/>
    <w:rsid w:val="00FB68E4"/>
    <w:rsid w:val="00FC5646"/>
    <w:rsid w:val="00FC70C1"/>
    <w:rsid w:val="00FD4868"/>
    <w:rsid w:val="00FD50FD"/>
    <w:rsid w:val="00FE46FC"/>
    <w:rsid w:val="00FF104C"/>
    <w:rsid w:val="00FF40B7"/>
    <w:rsid w:val="00FF6016"/>
    <w:rsid w:val="00FF744F"/>
    <w:rsid w:val="187F50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BC3FC6"/>
  <w15:chartTrackingRefBased/>
  <w15:docId w15:val="{A3B55E22-F7CE-4246-82E3-1E962B5DD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872"/>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1872"/>
    <w:pPr>
      <w:tabs>
        <w:tab w:val="center" w:pos="4419"/>
        <w:tab w:val="right" w:pos="8838"/>
      </w:tabs>
    </w:pPr>
  </w:style>
  <w:style w:type="character" w:customStyle="1" w:styleId="EncabezadoCar">
    <w:name w:val="Encabezado Car"/>
    <w:basedOn w:val="Fuentedeprrafopredeter"/>
    <w:link w:val="Encabezado"/>
    <w:uiPriority w:val="99"/>
    <w:rsid w:val="00801872"/>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801872"/>
    <w:pPr>
      <w:tabs>
        <w:tab w:val="center" w:pos="4419"/>
        <w:tab w:val="right" w:pos="8838"/>
      </w:tabs>
    </w:pPr>
  </w:style>
  <w:style w:type="character" w:customStyle="1" w:styleId="PiedepginaCar">
    <w:name w:val="Pie de página Car"/>
    <w:basedOn w:val="Fuentedeprrafopredeter"/>
    <w:link w:val="Piedepgina"/>
    <w:uiPriority w:val="99"/>
    <w:rsid w:val="00801872"/>
    <w:rPr>
      <w:rFonts w:ascii="Times New Roman" w:eastAsia="Times New Roman" w:hAnsi="Times New Roman" w:cs="Times New Roman"/>
      <w:sz w:val="20"/>
      <w:szCs w:val="20"/>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0187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80187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801872"/>
    <w:rPr>
      <w:color w:val="0563C1" w:themeColor="hyperlink"/>
      <w:u w:val="single"/>
    </w:rPr>
  </w:style>
  <w:style w:type="table" w:styleId="Tablaconcuadrcula">
    <w:name w:val="Table Grid"/>
    <w:basedOn w:val="Tablanormal"/>
    <w:uiPriority w:val="39"/>
    <w:rsid w:val="0080187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BE73E6"/>
    <w:rPr>
      <w:sz w:val="16"/>
      <w:szCs w:val="16"/>
    </w:rPr>
  </w:style>
  <w:style w:type="paragraph" w:styleId="Textocomentario">
    <w:name w:val="annotation text"/>
    <w:basedOn w:val="Normal"/>
    <w:link w:val="TextocomentarioCar"/>
    <w:uiPriority w:val="99"/>
    <w:semiHidden/>
    <w:unhideWhenUsed/>
    <w:rsid w:val="00BE73E6"/>
  </w:style>
  <w:style w:type="character" w:customStyle="1" w:styleId="TextocomentarioCar">
    <w:name w:val="Texto comentario Car"/>
    <w:basedOn w:val="Fuentedeprrafopredeter"/>
    <w:link w:val="Textocomentario"/>
    <w:uiPriority w:val="99"/>
    <w:semiHidden/>
    <w:rsid w:val="00BE73E6"/>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E73E6"/>
    <w:rPr>
      <w:b/>
      <w:bCs/>
    </w:rPr>
  </w:style>
  <w:style w:type="character" w:customStyle="1" w:styleId="AsuntodelcomentarioCar">
    <w:name w:val="Asunto del comentario Car"/>
    <w:basedOn w:val="TextocomentarioCar"/>
    <w:link w:val="Asuntodelcomentario"/>
    <w:uiPriority w:val="99"/>
    <w:semiHidden/>
    <w:rsid w:val="00BE73E6"/>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BE73E6"/>
    <w:rPr>
      <w:sz w:val="18"/>
      <w:szCs w:val="18"/>
    </w:rPr>
  </w:style>
  <w:style w:type="character" w:customStyle="1" w:styleId="TextodegloboCar">
    <w:name w:val="Texto de globo Car"/>
    <w:basedOn w:val="Fuentedeprrafopredeter"/>
    <w:link w:val="Textodeglobo"/>
    <w:uiPriority w:val="99"/>
    <w:semiHidden/>
    <w:rsid w:val="00BE73E6"/>
    <w:rPr>
      <w:rFonts w:ascii="Times New Roman" w:eastAsia="Times New Roman" w:hAnsi="Times New Roman" w:cs="Times New Roman"/>
      <w:sz w:val="18"/>
      <w:szCs w:val="18"/>
      <w:lang w:eastAsia="es-ES"/>
    </w:rPr>
  </w:style>
  <w:style w:type="character" w:customStyle="1" w:styleId="Mencinsinresolver1">
    <w:name w:val="Mención sin resolver1"/>
    <w:basedOn w:val="Fuentedeprrafopredeter"/>
    <w:uiPriority w:val="99"/>
    <w:semiHidden/>
    <w:unhideWhenUsed/>
    <w:rsid w:val="00B15A0A"/>
    <w:rPr>
      <w:color w:val="605E5C"/>
      <w:shd w:val="clear" w:color="auto" w:fill="E1DFDD"/>
    </w:rPr>
  </w:style>
  <w:style w:type="character" w:styleId="Hipervnculovisitado">
    <w:name w:val="FollowedHyperlink"/>
    <w:basedOn w:val="Fuentedeprrafopredeter"/>
    <w:uiPriority w:val="99"/>
    <w:semiHidden/>
    <w:unhideWhenUsed/>
    <w:rsid w:val="00674438"/>
    <w:rPr>
      <w:color w:val="954F72" w:themeColor="followedHyperlink"/>
      <w:u w:val="single"/>
    </w:rPr>
  </w:style>
  <w:style w:type="paragraph" w:styleId="Revisin">
    <w:name w:val="Revision"/>
    <w:hidden/>
    <w:uiPriority w:val="99"/>
    <w:semiHidden/>
    <w:rsid w:val="00867749"/>
    <w:pPr>
      <w:spacing w:after="0" w:line="240" w:lineRule="auto"/>
    </w:pPr>
    <w:rPr>
      <w:rFonts w:ascii="Times New Roman" w:eastAsia="Times New Roman" w:hAnsi="Times New Roman" w:cs="Times New Roman"/>
      <w:sz w:val="20"/>
      <w:szCs w:val="20"/>
      <w:lang w:eastAsia="es-ES"/>
    </w:rPr>
  </w:style>
  <w:style w:type="character" w:customStyle="1" w:styleId="Mencinsinresolver2">
    <w:name w:val="Mención sin resolver2"/>
    <w:basedOn w:val="Fuentedeprrafopredeter"/>
    <w:uiPriority w:val="99"/>
    <w:semiHidden/>
    <w:unhideWhenUsed/>
    <w:rsid w:val="00F473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957461">
      <w:bodyDiv w:val="1"/>
      <w:marLeft w:val="0"/>
      <w:marRight w:val="0"/>
      <w:marTop w:val="0"/>
      <w:marBottom w:val="0"/>
      <w:divBdr>
        <w:top w:val="none" w:sz="0" w:space="0" w:color="auto"/>
        <w:left w:val="none" w:sz="0" w:space="0" w:color="auto"/>
        <w:bottom w:val="none" w:sz="0" w:space="0" w:color="auto"/>
        <w:right w:val="none" w:sz="0" w:space="0" w:color="auto"/>
      </w:divBdr>
    </w:div>
    <w:div w:id="352000097">
      <w:bodyDiv w:val="1"/>
      <w:marLeft w:val="0"/>
      <w:marRight w:val="0"/>
      <w:marTop w:val="0"/>
      <w:marBottom w:val="0"/>
      <w:divBdr>
        <w:top w:val="none" w:sz="0" w:space="0" w:color="auto"/>
        <w:left w:val="none" w:sz="0" w:space="0" w:color="auto"/>
        <w:bottom w:val="none" w:sz="0" w:space="0" w:color="auto"/>
        <w:right w:val="none" w:sz="0" w:space="0" w:color="auto"/>
      </w:divBdr>
    </w:div>
    <w:div w:id="361133144">
      <w:bodyDiv w:val="1"/>
      <w:marLeft w:val="0"/>
      <w:marRight w:val="0"/>
      <w:marTop w:val="0"/>
      <w:marBottom w:val="0"/>
      <w:divBdr>
        <w:top w:val="none" w:sz="0" w:space="0" w:color="auto"/>
        <w:left w:val="none" w:sz="0" w:space="0" w:color="auto"/>
        <w:bottom w:val="none" w:sz="0" w:space="0" w:color="auto"/>
        <w:right w:val="none" w:sz="0" w:space="0" w:color="auto"/>
      </w:divBdr>
    </w:div>
    <w:div w:id="432481020">
      <w:bodyDiv w:val="1"/>
      <w:marLeft w:val="0"/>
      <w:marRight w:val="0"/>
      <w:marTop w:val="0"/>
      <w:marBottom w:val="0"/>
      <w:divBdr>
        <w:top w:val="none" w:sz="0" w:space="0" w:color="auto"/>
        <w:left w:val="none" w:sz="0" w:space="0" w:color="auto"/>
        <w:bottom w:val="none" w:sz="0" w:space="0" w:color="auto"/>
        <w:right w:val="none" w:sz="0" w:space="0" w:color="auto"/>
      </w:divBdr>
    </w:div>
    <w:div w:id="612059298">
      <w:bodyDiv w:val="1"/>
      <w:marLeft w:val="0"/>
      <w:marRight w:val="0"/>
      <w:marTop w:val="0"/>
      <w:marBottom w:val="0"/>
      <w:divBdr>
        <w:top w:val="none" w:sz="0" w:space="0" w:color="auto"/>
        <w:left w:val="none" w:sz="0" w:space="0" w:color="auto"/>
        <w:bottom w:val="none" w:sz="0" w:space="0" w:color="auto"/>
        <w:right w:val="none" w:sz="0" w:space="0" w:color="auto"/>
      </w:divBdr>
    </w:div>
    <w:div w:id="860361524">
      <w:bodyDiv w:val="1"/>
      <w:marLeft w:val="0"/>
      <w:marRight w:val="0"/>
      <w:marTop w:val="0"/>
      <w:marBottom w:val="0"/>
      <w:divBdr>
        <w:top w:val="none" w:sz="0" w:space="0" w:color="auto"/>
        <w:left w:val="none" w:sz="0" w:space="0" w:color="auto"/>
        <w:bottom w:val="none" w:sz="0" w:space="0" w:color="auto"/>
        <w:right w:val="none" w:sz="0" w:space="0" w:color="auto"/>
      </w:divBdr>
    </w:div>
    <w:div w:id="1034385739">
      <w:bodyDiv w:val="1"/>
      <w:marLeft w:val="0"/>
      <w:marRight w:val="0"/>
      <w:marTop w:val="0"/>
      <w:marBottom w:val="0"/>
      <w:divBdr>
        <w:top w:val="none" w:sz="0" w:space="0" w:color="auto"/>
        <w:left w:val="none" w:sz="0" w:space="0" w:color="auto"/>
        <w:bottom w:val="none" w:sz="0" w:space="0" w:color="auto"/>
        <w:right w:val="none" w:sz="0" w:space="0" w:color="auto"/>
      </w:divBdr>
    </w:div>
    <w:div w:id="1497570727">
      <w:bodyDiv w:val="1"/>
      <w:marLeft w:val="0"/>
      <w:marRight w:val="0"/>
      <w:marTop w:val="0"/>
      <w:marBottom w:val="0"/>
      <w:divBdr>
        <w:top w:val="none" w:sz="0" w:space="0" w:color="auto"/>
        <w:left w:val="none" w:sz="0" w:space="0" w:color="auto"/>
        <w:bottom w:val="none" w:sz="0" w:space="0" w:color="auto"/>
        <w:right w:val="none" w:sz="0" w:space="0" w:color="auto"/>
      </w:divBdr>
    </w:div>
    <w:div w:id="1647320954">
      <w:bodyDiv w:val="1"/>
      <w:marLeft w:val="0"/>
      <w:marRight w:val="0"/>
      <w:marTop w:val="0"/>
      <w:marBottom w:val="0"/>
      <w:divBdr>
        <w:top w:val="none" w:sz="0" w:space="0" w:color="auto"/>
        <w:left w:val="none" w:sz="0" w:space="0" w:color="auto"/>
        <w:bottom w:val="none" w:sz="0" w:space="0" w:color="auto"/>
        <w:right w:val="none" w:sz="0" w:space="0" w:color="auto"/>
      </w:divBdr>
      <w:divsChild>
        <w:div w:id="1690330538">
          <w:marLeft w:val="0"/>
          <w:marRight w:val="0"/>
          <w:marTop w:val="0"/>
          <w:marBottom w:val="0"/>
          <w:divBdr>
            <w:top w:val="none" w:sz="0" w:space="0" w:color="auto"/>
            <w:left w:val="none" w:sz="0" w:space="0" w:color="auto"/>
            <w:bottom w:val="none" w:sz="0" w:space="0" w:color="auto"/>
            <w:right w:val="none" w:sz="0" w:space="0" w:color="auto"/>
          </w:divBdr>
        </w:div>
      </w:divsChild>
    </w:div>
    <w:div w:id="1761675960">
      <w:bodyDiv w:val="1"/>
      <w:marLeft w:val="0"/>
      <w:marRight w:val="0"/>
      <w:marTop w:val="0"/>
      <w:marBottom w:val="0"/>
      <w:divBdr>
        <w:top w:val="none" w:sz="0" w:space="0" w:color="auto"/>
        <w:left w:val="none" w:sz="0" w:space="0" w:color="auto"/>
        <w:bottom w:val="none" w:sz="0" w:space="0" w:color="auto"/>
        <w:right w:val="none" w:sz="0" w:space="0" w:color="auto"/>
      </w:divBdr>
    </w:div>
    <w:div w:id="1774200214">
      <w:bodyDiv w:val="1"/>
      <w:marLeft w:val="0"/>
      <w:marRight w:val="0"/>
      <w:marTop w:val="0"/>
      <w:marBottom w:val="0"/>
      <w:divBdr>
        <w:top w:val="none" w:sz="0" w:space="0" w:color="auto"/>
        <w:left w:val="none" w:sz="0" w:space="0" w:color="auto"/>
        <w:bottom w:val="none" w:sz="0" w:space="0" w:color="auto"/>
        <w:right w:val="none" w:sz="0" w:space="0" w:color="auto"/>
      </w:divBdr>
    </w:div>
    <w:div w:id="1789079934">
      <w:bodyDiv w:val="1"/>
      <w:marLeft w:val="0"/>
      <w:marRight w:val="0"/>
      <w:marTop w:val="0"/>
      <w:marBottom w:val="0"/>
      <w:divBdr>
        <w:top w:val="none" w:sz="0" w:space="0" w:color="auto"/>
        <w:left w:val="none" w:sz="0" w:space="0" w:color="auto"/>
        <w:bottom w:val="none" w:sz="0" w:space="0" w:color="auto"/>
        <w:right w:val="none" w:sz="0" w:space="0" w:color="auto"/>
      </w:divBdr>
    </w:div>
    <w:div w:id="1849829723">
      <w:bodyDiv w:val="1"/>
      <w:marLeft w:val="0"/>
      <w:marRight w:val="0"/>
      <w:marTop w:val="0"/>
      <w:marBottom w:val="0"/>
      <w:divBdr>
        <w:top w:val="none" w:sz="0" w:space="0" w:color="auto"/>
        <w:left w:val="none" w:sz="0" w:space="0" w:color="auto"/>
        <w:bottom w:val="none" w:sz="0" w:space="0" w:color="auto"/>
        <w:right w:val="none" w:sz="0" w:space="0" w:color="auto"/>
      </w:divBdr>
    </w:div>
    <w:div w:id="1904020892">
      <w:bodyDiv w:val="1"/>
      <w:marLeft w:val="0"/>
      <w:marRight w:val="0"/>
      <w:marTop w:val="0"/>
      <w:marBottom w:val="0"/>
      <w:divBdr>
        <w:top w:val="none" w:sz="0" w:space="0" w:color="auto"/>
        <w:left w:val="none" w:sz="0" w:space="0" w:color="auto"/>
        <w:bottom w:val="none" w:sz="0" w:space="0" w:color="auto"/>
        <w:right w:val="none" w:sz="0" w:space="0" w:color="auto"/>
      </w:divBdr>
    </w:div>
    <w:div w:id="2010984947">
      <w:bodyDiv w:val="1"/>
      <w:marLeft w:val="0"/>
      <w:marRight w:val="0"/>
      <w:marTop w:val="0"/>
      <w:marBottom w:val="0"/>
      <w:divBdr>
        <w:top w:val="none" w:sz="0" w:space="0" w:color="auto"/>
        <w:left w:val="none" w:sz="0" w:space="0" w:color="auto"/>
        <w:bottom w:val="none" w:sz="0" w:space="0" w:color="auto"/>
        <w:right w:val="none" w:sz="0" w:space="0" w:color="auto"/>
      </w:divBdr>
    </w:div>
    <w:div w:id="202731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gob.mx/cms/uploads/attachment/file/127275/Proc_Control_Servicios_Alumbrado_P_blico_2011.pdf"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compat>
    <w:useFELayout/>
    <w:compatSetting w:name="compatibilityMode" w:uri="http://schemas.microsoft.com/office/word" w:val="12"/>
  </w:compat>
  <w:rsids>
    <w:rsidRoot w:val="00460648"/>
    <w:rsid w:val="00460648"/>
    <w:rsid w:val="00D95A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A3F04-27AD-483C-9772-AFDC040E4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7857</Words>
  <Characters>43216</Characters>
  <Application>Microsoft Office Word</Application>
  <DocSecurity>0</DocSecurity>
  <Lines>360</Lines>
  <Paragraphs>101</Paragraphs>
  <ScaleCrop>false</ScaleCrop>
  <Company/>
  <LinksUpToDate>false</LinksUpToDate>
  <CharactersWithSpaces>50972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9</cp:revision>
  <cp:lastPrinted>2022-01-12T15:44:00Z</cp:lastPrinted>
  <dcterms:created xsi:type="dcterms:W3CDTF">2022-01-26T23:07:00Z</dcterms:created>
  <dcterms:modified xsi:type="dcterms:W3CDTF">2022-05-06T19:02:00Z</dcterms:modified>
</cp:coreProperties>
</file>