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3B05D854" w:rsidR="007F7B11" w:rsidRPr="00D11D93"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bookmarkStart w:id="0" w:name="_GoBack"/>
      <w:bookmarkEnd w:id="0"/>
      <w:r w:rsidRPr="00D11D93">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D43086" w:rsidRPr="00D11D93">
        <w:rPr>
          <w:rFonts w:ascii="Palatino Linotype" w:eastAsiaTheme="minorEastAsia" w:hAnsi="Palatino Linotype" w:cstheme="minorBidi"/>
          <w:lang w:val="es-ES_tradnl"/>
        </w:rPr>
        <w:t>n Metepec, E</w:t>
      </w:r>
      <w:r w:rsidR="0007224B" w:rsidRPr="00D11D93">
        <w:rPr>
          <w:rFonts w:ascii="Palatino Linotype" w:eastAsiaTheme="minorEastAsia" w:hAnsi="Palatino Linotype" w:cstheme="minorBidi"/>
          <w:lang w:val="es-ES_tradnl"/>
        </w:rPr>
        <w:t>stado de México; de veinte (20</w:t>
      </w:r>
      <w:r w:rsidRPr="00D11D93">
        <w:rPr>
          <w:rFonts w:ascii="Palatino Linotype" w:eastAsiaTheme="minorEastAsia" w:hAnsi="Palatino Linotype" w:cstheme="minorBidi"/>
          <w:lang w:val="es-ES_tradnl"/>
        </w:rPr>
        <w:t>) de</w:t>
      </w:r>
      <w:r w:rsidR="0007224B" w:rsidRPr="00D11D93">
        <w:rPr>
          <w:rFonts w:ascii="Palatino Linotype" w:eastAsiaTheme="minorEastAsia" w:hAnsi="Palatino Linotype" w:cstheme="minorBidi"/>
          <w:lang w:val="es-ES_tradnl"/>
        </w:rPr>
        <w:t xml:space="preserve"> abril </w:t>
      </w:r>
      <w:r w:rsidRPr="00D11D93">
        <w:rPr>
          <w:rFonts w:ascii="Palatino Linotype" w:eastAsiaTheme="minorEastAsia" w:hAnsi="Palatino Linotype" w:cstheme="minorBidi"/>
          <w:lang w:val="es-ES_tradnl"/>
        </w:rPr>
        <w:t>de dos mil veintidós.</w:t>
      </w:r>
    </w:p>
    <w:p w14:paraId="646C1826" w14:textId="0ECF8D21" w:rsidR="007B5808" w:rsidRPr="00D11D93" w:rsidRDefault="00D43086" w:rsidP="00CA6269">
      <w:pPr>
        <w:tabs>
          <w:tab w:val="left" w:pos="3465"/>
        </w:tabs>
        <w:spacing w:before="240" w:after="360" w:line="360" w:lineRule="auto"/>
        <w:jc w:val="both"/>
        <w:rPr>
          <w:rFonts w:ascii="Palatino Linotype" w:eastAsia="MS Mincho" w:hAnsi="Palatino Linotype"/>
          <w:lang w:val="es-ES_tradnl"/>
        </w:rPr>
      </w:pPr>
      <w:r w:rsidRPr="00D11D93">
        <w:rPr>
          <w:rFonts w:ascii="Palatino Linotype" w:eastAsiaTheme="minorEastAsia" w:hAnsi="Palatino Linotype" w:cstheme="minorBidi"/>
          <w:b/>
          <w:color w:val="000000" w:themeColor="text1"/>
          <w:lang w:val="es-ES_tradnl"/>
        </w:rPr>
        <w:t>VISTO</w:t>
      </w:r>
      <w:r w:rsidRPr="00D11D93">
        <w:rPr>
          <w:rFonts w:ascii="Palatino Linotype" w:eastAsiaTheme="minorEastAsia" w:hAnsi="Palatino Linotype" w:cstheme="minorBidi"/>
          <w:color w:val="000000" w:themeColor="text1"/>
          <w:lang w:val="es-ES_tradnl"/>
        </w:rPr>
        <w:t xml:space="preserve"> el expediente electrónico formado con motivo del recurso de revisión</w:t>
      </w:r>
      <w:r w:rsidR="0007224B" w:rsidRPr="00D11D93">
        <w:rPr>
          <w:rFonts w:ascii="Palatino Linotype" w:eastAsiaTheme="minorEastAsia" w:hAnsi="Palatino Linotype" w:cstheme="minorBidi"/>
          <w:b/>
          <w:bCs/>
          <w:color w:val="000000" w:themeColor="text1"/>
        </w:rPr>
        <w:t> 00998/INFOEM/IP/RR/2022</w:t>
      </w:r>
      <w:r w:rsidR="0007224B" w:rsidRPr="00D11D93">
        <w:rPr>
          <w:rFonts w:ascii="Palatino Linotype" w:eastAsiaTheme="minorEastAsia" w:hAnsi="Palatino Linotype" w:cstheme="minorBidi"/>
          <w:b/>
          <w:bCs/>
          <w:color w:val="000000" w:themeColor="text1"/>
          <w:lang w:val="es-ES_tradnl"/>
        </w:rPr>
        <w:t xml:space="preserve">, </w:t>
      </w:r>
      <w:r w:rsidR="0007224B" w:rsidRPr="00D11D93">
        <w:rPr>
          <w:rFonts w:ascii="Palatino Linotype" w:eastAsia="MS Mincho" w:hAnsi="Palatino Linotype"/>
          <w:lang w:val="es-ES_tradnl"/>
        </w:rPr>
        <w:t xml:space="preserve">promovido por </w:t>
      </w:r>
      <w:r w:rsidR="00CF2B2D">
        <w:rPr>
          <w:rFonts w:ascii="Palatino Linotype" w:eastAsia="MS Mincho" w:hAnsi="Palatino Linotype"/>
          <w:b/>
          <w:lang w:val="es-ES_tradnl"/>
        </w:rPr>
        <w:t xml:space="preserve">XXXX XXXXX </w:t>
      </w:r>
      <w:proofErr w:type="spellStart"/>
      <w:r w:rsidR="00CF2B2D">
        <w:rPr>
          <w:rFonts w:ascii="Palatino Linotype" w:eastAsia="MS Mincho" w:hAnsi="Palatino Linotype"/>
          <w:b/>
          <w:lang w:val="es-ES_tradnl"/>
        </w:rPr>
        <w:t>XXXXX</w:t>
      </w:r>
      <w:proofErr w:type="spellEnd"/>
      <w:r w:rsidR="0007224B" w:rsidRPr="00D11D93">
        <w:rPr>
          <w:rFonts w:ascii="Palatino Linotype" w:eastAsia="MS Mincho" w:hAnsi="Palatino Linotype"/>
        </w:rPr>
        <w:t xml:space="preserve"> </w:t>
      </w:r>
      <w:r w:rsidR="0007224B" w:rsidRPr="00D11D93">
        <w:rPr>
          <w:rFonts w:ascii="Palatino Linotype" w:eastAsia="MS Mincho" w:hAnsi="Palatino Linotype"/>
          <w:lang w:val="es-ES_tradnl"/>
        </w:rPr>
        <w:t xml:space="preserve">en su calidad de </w:t>
      </w:r>
      <w:r w:rsidR="0007224B" w:rsidRPr="00D11D93">
        <w:rPr>
          <w:rFonts w:ascii="Palatino Linotype" w:eastAsia="MS Mincho" w:hAnsi="Palatino Linotype"/>
          <w:b/>
          <w:lang w:val="es-ES_tradnl"/>
        </w:rPr>
        <w:t>RECURRENTE</w:t>
      </w:r>
      <w:r w:rsidR="0007224B" w:rsidRPr="00D11D93">
        <w:rPr>
          <w:rFonts w:ascii="Palatino Linotype" w:eastAsia="MS Mincho" w:hAnsi="Palatino Linotype"/>
          <w:lang w:val="es-ES_tradnl"/>
        </w:rPr>
        <w:t xml:space="preserve">, en contra de la respuesta del </w:t>
      </w:r>
      <w:r w:rsidR="0007224B" w:rsidRPr="00D11D93">
        <w:rPr>
          <w:rFonts w:ascii="Palatino Linotype" w:eastAsia="MS Mincho" w:hAnsi="Palatino Linotype"/>
          <w:b/>
          <w:lang w:val="es-ES_tradnl"/>
        </w:rPr>
        <w:t>Organismo Público Descentralizado para la Prestación de Servicios de Agua Potable Alcantarillado y Saneamiento de Coacalco de Berriozábal</w:t>
      </w:r>
      <w:r w:rsidR="0007224B" w:rsidRPr="00D11D93">
        <w:rPr>
          <w:rFonts w:ascii="Palatino Linotype" w:eastAsia="MS Mincho" w:hAnsi="Palatino Linotype"/>
          <w:b/>
          <w:bCs/>
        </w:rPr>
        <w:t xml:space="preserve"> </w:t>
      </w:r>
      <w:r w:rsidR="0007224B" w:rsidRPr="00D11D93">
        <w:rPr>
          <w:rFonts w:ascii="Palatino Linotype" w:eastAsia="MS Mincho" w:hAnsi="Palatino Linotype"/>
          <w:lang w:val="es-ES_tradnl"/>
        </w:rPr>
        <w:t>en lo sucesivo el</w:t>
      </w:r>
      <w:r w:rsidR="0007224B" w:rsidRPr="00D11D93">
        <w:rPr>
          <w:rFonts w:ascii="Palatino Linotype" w:eastAsia="MS Mincho" w:hAnsi="Palatino Linotype"/>
          <w:b/>
          <w:lang w:val="es-ES_tradnl"/>
        </w:rPr>
        <w:t xml:space="preserve"> SUJETO OBLIGADO, </w:t>
      </w:r>
      <w:r w:rsidR="0007224B" w:rsidRPr="00D11D93">
        <w:rPr>
          <w:rFonts w:ascii="Palatino Linotype" w:eastAsia="MS Mincho" w:hAnsi="Palatino Linotype"/>
          <w:lang w:val="es-ES_tradnl"/>
        </w:rPr>
        <w:t>se procede a dictar la presente resolución, con base en los siguientes:</w:t>
      </w:r>
    </w:p>
    <w:p w14:paraId="62E6CFD9" w14:textId="6A7D8E82" w:rsidR="000C53E4" w:rsidRPr="00D11D93"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1" w:name="_Toc461555884"/>
      <w:bookmarkStart w:id="2" w:name="_Toc466371847"/>
      <w:bookmarkStart w:id="3" w:name="_Toc99999250"/>
      <w:r w:rsidRPr="00D11D93">
        <w:rPr>
          <w:rFonts w:ascii="Palatino Linotype" w:eastAsiaTheme="majorEastAsia" w:hAnsi="Palatino Linotype" w:cstheme="majorBidi"/>
          <w:b/>
          <w:lang w:val="es-MX" w:eastAsia="en-US"/>
        </w:rPr>
        <w:t>ANTECEDENTES</w:t>
      </w:r>
      <w:bookmarkEnd w:id="1"/>
      <w:bookmarkEnd w:id="2"/>
      <w:bookmarkEnd w:id="3"/>
    </w:p>
    <w:p w14:paraId="6DD0F7E0" w14:textId="77777777" w:rsidR="00D13A6B" w:rsidRPr="00D11D93"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3BE3FE15" w:rsidR="007F7B11" w:rsidRPr="00D11D93" w:rsidRDefault="007F7B11" w:rsidP="00CA6269">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D11D93">
        <w:rPr>
          <w:rFonts w:ascii="Palatino Linotype" w:eastAsia="Calibri" w:hAnsi="Palatino Linotype" w:cs="Arial"/>
        </w:rPr>
        <w:t xml:space="preserve">El </w:t>
      </w:r>
      <w:r w:rsidR="007B5808" w:rsidRPr="00D11D93">
        <w:rPr>
          <w:rFonts w:ascii="Palatino Linotype" w:eastAsia="Calibri" w:hAnsi="Palatino Linotype" w:cs="Arial"/>
        </w:rPr>
        <w:t>diecinueve (19</w:t>
      </w:r>
      <w:r w:rsidR="000C53E4" w:rsidRPr="00D11D93">
        <w:rPr>
          <w:rFonts w:ascii="Palatino Linotype" w:eastAsia="Calibri" w:hAnsi="Palatino Linotype" w:cs="Arial"/>
        </w:rPr>
        <w:t>) de</w:t>
      </w:r>
      <w:r w:rsidR="007B5808" w:rsidRPr="00D11D93">
        <w:rPr>
          <w:rFonts w:ascii="Palatino Linotype" w:eastAsia="Calibri" w:hAnsi="Palatino Linotype" w:cs="Arial"/>
        </w:rPr>
        <w:t xml:space="preserve"> enero de dos mil veintidós</w:t>
      </w:r>
      <w:r w:rsidRPr="00D11D93">
        <w:rPr>
          <w:rFonts w:ascii="Palatino Linotype" w:eastAsiaTheme="minorEastAsia" w:hAnsi="Palatino Linotype" w:cstheme="minorBidi"/>
          <w:b/>
          <w:lang w:val="es-ES_tradnl"/>
        </w:rPr>
        <w:t xml:space="preserve">, </w:t>
      </w:r>
      <w:r w:rsidRPr="00D11D93">
        <w:rPr>
          <w:rFonts w:ascii="Palatino Linotype" w:eastAsia="Calibri" w:hAnsi="Palatino Linotype" w:cs="Arial"/>
        </w:rPr>
        <w:t xml:space="preserve">se presentó ante el </w:t>
      </w:r>
      <w:r w:rsidRPr="00D11D93">
        <w:rPr>
          <w:rFonts w:ascii="Palatino Linotype" w:eastAsia="Calibri" w:hAnsi="Palatino Linotype" w:cs="Arial"/>
          <w:b/>
        </w:rPr>
        <w:t>SUJETO OBLIGADO</w:t>
      </w:r>
      <w:r w:rsidRPr="00D11D93">
        <w:rPr>
          <w:rFonts w:ascii="Palatino Linotype" w:eastAsia="Calibri" w:hAnsi="Palatino Linotype" w:cs="Arial"/>
          <w:lang w:val="es-ES_tradnl"/>
        </w:rPr>
        <w:t xml:space="preserve"> vía </w:t>
      </w:r>
      <w:r w:rsidRPr="00D11D93">
        <w:rPr>
          <w:rFonts w:ascii="Palatino Linotype" w:eastAsia="Calibri" w:hAnsi="Palatino Linotype" w:cs="Arial"/>
        </w:rPr>
        <w:t xml:space="preserve">Sistema de Acceso a la Información Mexiquense </w:t>
      </w:r>
      <w:r w:rsidRPr="00D11D93">
        <w:rPr>
          <w:rFonts w:ascii="Palatino Linotype" w:eastAsia="Calibri" w:hAnsi="Palatino Linotype" w:cs="Arial"/>
          <w:b/>
        </w:rPr>
        <w:t>SAIMEX</w:t>
      </w:r>
      <w:r w:rsidRPr="00D11D93">
        <w:rPr>
          <w:rFonts w:ascii="Palatino Linotype" w:eastAsia="Calibri" w:hAnsi="Palatino Linotype" w:cs="Arial"/>
        </w:rPr>
        <w:t xml:space="preserve">, la solicitud de información pública registrada con el número </w:t>
      </w:r>
      <w:r w:rsidR="007B5808" w:rsidRPr="00D11D93">
        <w:rPr>
          <w:rFonts w:ascii="Palatino Linotype" w:eastAsia="Calibri" w:hAnsi="Palatino Linotype" w:cs="Arial"/>
          <w:b/>
          <w:bCs/>
        </w:rPr>
        <w:t>00004/OASCOACALC/IP/2022</w:t>
      </w:r>
      <w:r w:rsidR="00D43086" w:rsidRPr="00D11D93">
        <w:rPr>
          <w:rFonts w:ascii="Palatino Linotype" w:eastAsia="Calibri" w:hAnsi="Palatino Linotype" w:cs="Arial"/>
          <w:b/>
          <w:bCs/>
        </w:rPr>
        <w:t xml:space="preserve"> </w:t>
      </w:r>
      <w:r w:rsidRPr="00D11D93">
        <w:rPr>
          <w:rFonts w:ascii="Palatino Linotype" w:eastAsia="Calibri" w:hAnsi="Palatino Linotype" w:cs="Arial"/>
        </w:rPr>
        <w:t>mediante la cual solicitó:</w:t>
      </w:r>
    </w:p>
    <w:p w14:paraId="718F0BAA" w14:textId="77777777" w:rsidR="007F7B11" w:rsidRPr="00D11D93"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270EF866" w14:textId="0C6103DF" w:rsidR="007F7B11" w:rsidRPr="00D11D93" w:rsidRDefault="007F7B11" w:rsidP="00D43086">
      <w:pPr>
        <w:spacing w:line="360" w:lineRule="auto"/>
        <w:ind w:left="567" w:right="567"/>
        <w:contextualSpacing/>
        <w:jc w:val="both"/>
        <w:rPr>
          <w:rFonts w:ascii="Palatino Linotype" w:eastAsiaTheme="minorEastAsia" w:hAnsi="Palatino Linotype" w:cstheme="minorBidi"/>
          <w:color w:val="000000"/>
          <w:lang w:val="es-ES_tradnl"/>
        </w:rPr>
      </w:pPr>
      <w:r w:rsidRPr="00D11D93">
        <w:rPr>
          <w:rFonts w:ascii="Palatino Linotype" w:eastAsiaTheme="minorEastAsia" w:hAnsi="Palatino Linotype" w:cstheme="minorBidi"/>
          <w:i/>
          <w:color w:val="000000"/>
          <w:lang w:val="es-ES_tradnl"/>
        </w:rPr>
        <w:t>“</w:t>
      </w:r>
      <w:r w:rsidR="007B5808" w:rsidRPr="00D11D93">
        <w:rPr>
          <w:rFonts w:ascii="Palatino Linotype" w:eastAsiaTheme="minorEastAsia" w:hAnsi="Palatino Linotype" w:cstheme="minorBidi"/>
          <w:i/>
          <w:color w:val="000000"/>
          <w:lang w:val="es-ES_tradnl"/>
        </w:rPr>
        <w:t xml:space="preserve">SOLICITO ME INFORMEN LOS TIPOS DE TOMAS DE AGUA QUE CUENTA LA POBLACION COACALCO, ¿NUMERO TOTAL DE TOMAS DE AGUA?, ¿NUMERO TOTAL DE TOMAS DE AGUA DE TIPO </w:t>
      </w:r>
      <w:r w:rsidR="007B5808" w:rsidRPr="00D11D93">
        <w:rPr>
          <w:rFonts w:ascii="Palatino Linotype" w:eastAsiaTheme="minorEastAsia" w:hAnsi="Palatino Linotype" w:cstheme="minorBidi"/>
          <w:i/>
          <w:color w:val="000000"/>
          <w:lang w:val="es-ES_tradnl"/>
        </w:rPr>
        <w:lastRenderedPageBreak/>
        <w:t>DOMESTICO?, ¿NUMERO TOTAL DE TOMAS DE AGUA DE TIPO INDUSTRIAL? Y ¿NUMERO TOTAL DE TOMAS DE AGUA DE TIPO POPULAR?</w:t>
      </w:r>
      <w:proofErr w:type="gramStart"/>
      <w:r w:rsidR="000C53E4" w:rsidRPr="00D11D93">
        <w:rPr>
          <w:rFonts w:ascii="Palatino Linotype" w:eastAsiaTheme="minorEastAsia" w:hAnsi="Palatino Linotype" w:cstheme="minorBidi"/>
          <w:i/>
          <w:color w:val="000000"/>
          <w:lang w:val="es-ES_tradnl"/>
        </w:rPr>
        <w:t>.</w:t>
      </w:r>
      <w:r w:rsidRPr="00D11D93">
        <w:rPr>
          <w:rFonts w:ascii="Palatino Linotype" w:eastAsiaTheme="minorEastAsia" w:hAnsi="Palatino Linotype" w:cstheme="minorBidi"/>
          <w:i/>
          <w:color w:val="000000"/>
          <w:lang w:val="es-ES_tradnl"/>
        </w:rPr>
        <w:t>”</w:t>
      </w:r>
      <w:proofErr w:type="gramEnd"/>
      <w:r w:rsidRPr="00D11D93">
        <w:rPr>
          <w:rFonts w:ascii="Palatino Linotype" w:eastAsiaTheme="minorEastAsia" w:hAnsi="Palatino Linotype" w:cstheme="minorBidi"/>
          <w:color w:val="000000"/>
          <w:lang w:val="es-ES_tradnl"/>
        </w:rPr>
        <w:t xml:space="preserve"> (Sic)</w:t>
      </w:r>
    </w:p>
    <w:p w14:paraId="12B29490" w14:textId="77777777" w:rsidR="00D43086" w:rsidRPr="00D11D93" w:rsidRDefault="00D43086" w:rsidP="00D43086">
      <w:pPr>
        <w:spacing w:line="360" w:lineRule="auto"/>
        <w:ind w:left="567" w:right="567"/>
        <w:contextualSpacing/>
        <w:jc w:val="both"/>
        <w:rPr>
          <w:rFonts w:ascii="Palatino Linotype" w:eastAsiaTheme="minorEastAsia" w:hAnsi="Palatino Linotype" w:cstheme="minorBidi"/>
          <w:color w:val="000000"/>
          <w:lang w:val="es-ES_tradnl"/>
        </w:rPr>
      </w:pPr>
    </w:p>
    <w:p w14:paraId="7A8253AD" w14:textId="400D92F6" w:rsidR="00E176F9" w:rsidRPr="00D11D93"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D11D93">
        <w:rPr>
          <w:rFonts w:ascii="Palatino Linotype" w:eastAsia="Calibri" w:hAnsi="Palatino Linotype" w:cs="Arial"/>
          <w:lang w:val="es-AR"/>
        </w:rPr>
        <w:t xml:space="preserve">De las constancias </w:t>
      </w:r>
      <w:r w:rsidRPr="00D11D93">
        <w:rPr>
          <w:rFonts w:ascii="Palatino Linotype" w:hAnsi="Palatino Linotype" w:cs="Arial"/>
        </w:rPr>
        <w:t xml:space="preserve">que obran en el expediente, se aprecia que el entonces </w:t>
      </w:r>
      <w:r w:rsidRPr="00D11D93">
        <w:rPr>
          <w:rFonts w:ascii="Palatino Linotype" w:hAnsi="Palatino Linotype" w:cs="Arial"/>
          <w:b/>
        </w:rPr>
        <w:t>SOLICITANTE</w:t>
      </w:r>
      <w:r w:rsidRPr="00D11D93">
        <w:rPr>
          <w:rFonts w:ascii="Palatino Linotype" w:hAnsi="Palatino Linotype" w:cs="Arial"/>
        </w:rPr>
        <w:t xml:space="preserve"> señaló como modalidad de entrega de la información:</w:t>
      </w:r>
      <w:r w:rsidRPr="00D11D93">
        <w:rPr>
          <w:rFonts w:ascii="Palatino Linotype" w:hAnsi="Palatino Linotype" w:cs="Arial"/>
          <w:b/>
        </w:rPr>
        <w:t xml:space="preserve"> </w:t>
      </w:r>
      <w:r w:rsidRPr="00D11D93">
        <w:rPr>
          <w:rFonts w:ascii="Palatino Linotype" w:eastAsiaTheme="minorEastAsia" w:hAnsi="Palatino Linotype" w:cstheme="minorBidi"/>
          <w:b/>
          <w:lang w:val="es-ES_tradnl"/>
        </w:rPr>
        <w:t xml:space="preserve">A través del </w:t>
      </w:r>
      <w:r w:rsidR="0060001F" w:rsidRPr="00D11D93">
        <w:rPr>
          <w:rFonts w:ascii="Palatino Linotype" w:eastAsiaTheme="minorEastAsia" w:hAnsi="Palatino Linotype" w:cstheme="minorBidi"/>
          <w:b/>
          <w:lang w:val="es-ES_tradnl"/>
        </w:rPr>
        <w:t>SAIMEX</w:t>
      </w:r>
      <w:r w:rsidRPr="00D11D93">
        <w:rPr>
          <w:rFonts w:ascii="Palatino Linotype" w:eastAsiaTheme="minorEastAsia" w:hAnsi="Palatino Linotype" w:cstheme="minorBidi"/>
          <w:b/>
          <w:lang w:val="es-ES_tradnl"/>
        </w:rPr>
        <w:t>.</w:t>
      </w:r>
    </w:p>
    <w:p w14:paraId="63CBCB65" w14:textId="77777777" w:rsidR="00E176F9" w:rsidRPr="00D11D93"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18D43B7D" w:rsidR="00E176F9" w:rsidRPr="00D11D93"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D11D93">
        <w:rPr>
          <w:rFonts w:ascii="Palatino Linotype" w:eastAsiaTheme="minorEastAsia" w:hAnsi="Palatino Linotype" w:cstheme="minorBidi"/>
          <w:color w:val="000000" w:themeColor="text1"/>
          <w:lang w:val="es-ES_tradnl"/>
        </w:rPr>
        <w:t xml:space="preserve">El </w:t>
      </w:r>
      <w:r w:rsidR="007B5808" w:rsidRPr="00D11D93">
        <w:rPr>
          <w:rFonts w:ascii="Palatino Linotype" w:eastAsiaTheme="minorEastAsia" w:hAnsi="Palatino Linotype" w:cstheme="minorBidi"/>
          <w:color w:val="000000" w:themeColor="text1"/>
          <w:lang w:val="es-ES_tradnl"/>
        </w:rPr>
        <w:t>dieciséis (16</w:t>
      </w:r>
      <w:r w:rsidRPr="00D11D93">
        <w:rPr>
          <w:rFonts w:ascii="Palatino Linotype" w:eastAsiaTheme="minorEastAsia" w:hAnsi="Palatino Linotype" w:cstheme="minorBidi"/>
          <w:color w:val="000000" w:themeColor="text1"/>
          <w:lang w:val="es-ES_tradnl"/>
        </w:rPr>
        <w:t>) de</w:t>
      </w:r>
      <w:r w:rsidR="00D43086" w:rsidRPr="00D11D93">
        <w:rPr>
          <w:rFonts w:ascii="Palatino Linotype" w:eastAsiaTheme="minorEastAsia" w:hAnsi="Palatino Linotype" w:cstheme="minorBidi"/>
          <w:color w:val="000000" w:themeColor="text1"/>
          <w:lang w:val="es-ES_tradnl"/>
        </w:rPr>
        <w:t xml:space="preserve"> febrero</w:t>
      </w:r>
      <w:r w:rsidRPr="00D11D93">
        <w:rPr>
          <w:rFonts w:ascii="Palatino Linotype" w:eastAsiaTheme="minorEastAsia" w:hAnsi="Palatino Linotype" w:cstheme="minorBidi"/>
          <w:color w:val="000000" w:themeColor="text1"/>
          <w:lang w:val="es-ES_tradnl"/>
        </w:rPr>
        <w:t xml:space="preserve"> </w:t>
      </w:r>
      <w:r w:rsidR="00D43086" w:rsidRPr="00D11D93">
        <w:rPr>
          <w:rFonts w:ascii="Palatino Linotype" w:eastAsiaTheme="minorEastAsia" w:hAnsi="Palatino Linotype" w:cstheme="minorBidi"/>
          <w:color w:val="000000" w:themeColor="text1"/>
          <w:lang w:val="es-ES_tradnl"/>
        </w:rPr>
        <w:t>de dos mil veintidós</w:t>
      </w:r>
      <w:r w:rsidRPr="00D11D93">
        <w:rPr>
          <w:rFonts w:ascii="Palatino Linotype" w:eastAsiaTheme="minorEastAsia" w:hAnsi="Palatino Linotype" w:cstheme="minorBidi"/>
          <w:color w:val="000000" w:themeColor="text1"/>
          <w:lang w:val="es-ES_tradnl"/>
        </w:rPr>
        <w:t xml:space="preserve">, el </w:t>
      </w:r>
      <w:r w:rsidRPr="00D11D93">
        <w:rPr>
          <w:rFonts w:ascii="Palatino Linotype" w:eastAsiaTheme="minorEastAsia" w:hAnsi="Palatino Linotype" w:cstheme="minorBidi"/>
          <w:b/>
          <w:color w:val="000000" w:themeColor="text1"/>
          <w:lang w:val="es-ES_tradnl"/>
        </w:rPr>
        <w:t>SUJETO OBLIGADO</w:t>
      </w:r>
      <w:r w:rsidRPr="00D11D9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D11D93"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E17B106" w14:textId="77777777" w:rsidR="007B5808" w:rsidRPr="00D11D93" w:rsidRDefault="00E176F9" w:rsidP="007B580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w:t>
      </w:r>
      <w:r w:rsidR="007B5808" w:rsidRPr="00D11D93">
        <w:rPr>
          <w:rFonts w:ascii="Palatino Linotype" w:eastAsiaTheme="minorEastAsia" w:hAnsi="Palatino Linotype" w:cstheme="minorBidi"/>
          <w:i/>
          <w:noProof/>
          <w:color w:val="000000" w:themeColor="text1"/>
          <w:lang w:val="es-MX" w:eastAsia="es-MX"/>
        </w:rPr>
        <w:t>Descentralizado para la Prestación de Servicios de Agua Potable Alcantarillado y Saneamiento de Coacalco de Berriozábal, México a 16 de Febrero de 2022</w:t>
      </w:r>
    </w:p>
    <w:p w14:paraId="2DEF0D2C" w14:textId="17A2D509" w:rsidR="007B5808" w:rsidRPr="00D11D93" w:rsidRDefault="007B5808" w:rsidP="007B580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 xml:space="preserve">Nombre del solicitante: </w:t>
      </w:r>
      <w:r w:rsidR="00CF2B2D">
        <w:rPr>
          <w:rFonts w:ascii="Palatino Linotype" w:eastAsiaTheme="minorEastAsia" w:hAnsi="Palatino Linotype" w:cstheme="minorBidi"/>
          <w:i/>
          <w:noProof/>
          <w:color w:val="000000" w:themeColor="text1"/>
          <w:lang w:val="es-MX" w:eastAsia="es-MX"/>
        </w:rPr>
        <w:t>XXXX XXXX XXXXX</w:t>
      </w:r>
    </w:p>
    <w:p w14:paraId="46D915B2" w14:textId="77777777" w:rsidR="007B5808" w:rsidRPr="00D11D93" w:rsidRDefault="007B5808" w:rsidP="007B580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Folio de la solicitud: 00004/OASCOACALC/IP/2022</w:t>
      </w:r>
    </w:p>
    <w:p w14:paraId="5D9FDACD" w14:textId="77777777" w:rsidR="007B5808" w:rsidRPr="00D11D93" w:rsidRDefault="007B5808" w:rsidP="007B5808">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12216CC" w14:textId="77777777" w:rsidR="007B5808" w:rsidRPr="00D11D93" w:rsidRDefault="007B5808" w:rsidP="007B580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99DB2A" w14:textId="2E681F02" w:rsidR="007B5808" w:rsidRPr="00D11D93" w:rsidRDefault="007B5808" w:rsidP="007B580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lastRenderedPageBreak/>
        <w:t>Confundamento en los articulos 53 fraccion II y 163 de la Ley de Transparencia y Acceso a la Informacion Publica del Estado de Mexico y Municipios la Gerencia Comercial notifica su respuesta anexando su oficio, y asu vez la Unidad de Transparencia procede, a dar respuesta en tiempo y forma ala respuesta integradora.</w:t>
      </w:r>
    </w:p>
    <w:p w14:paraId="5612E856" w14:textId="77777777" w:rsidR="007B5808" w:rsidRPr="00D11D93" w:rsidRDefault="007B5808" w:rsidP="007B5808">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FB8908A" w14:textId="77777777" w:rsidR="007B5808" w:rsidRPr="00D11D93" w:rsidRDefault="007B5808" w:rsidP="007B5808">
      <w:pPr>
        <w:spacing w:line="360" w:lineRule="auto"/>
        <w:ind w:left="567" w:right="567"/>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ATENTAMENTE</w:t>
      </w:r>
    </w:p>
    <w:p w14:paraId="1093F52C" w14:textId="23A1233F" w:rsidR="00E176F9" w:rsidRPr="00D11D93" w:rsidRDefault="007B5808" w:rsidP="007B5808">
      <w:pPr>
        <w:spacing w:line="360" w:lineRule="auto"/>
        <w:ind w:left="567" w:right="567"/>
        <w:rPr>
          <w:rFonts w:ascii="Palatino Linotype" w:eastAsiaTheme="minorEastAsia" w:hAnsi="Palatino Linotype" w:cstheme="minorBidi"/>
          <w:i/>
          <w:noProof/>
          <w:color w:val="000000" w:themeColor="text1"/>
          <w:lang w:val="es-MX" w:eastAsia="es-MX"/>
        </w:rPr>
      </w:pPr>
      <w:r w:rsidRPr="00D11D93">
        <w:rPr>
          <w:rFonts w:ascii="Palatino Linotype" w:eastAsiaTheme="minorEastAsia" w:hAnsi="Palatino Linotype" w:cstheme="minorBidi"/>
          <w:i/>
          <w:noProof/>
          <w:color w:val="000000" w:themeColor="text1"/>
          <w:lang w:val="es-MX" w:eastAsia="es-MX"/>
        </w:rPr>
        <w:t>C.P. Juan Carlos Díaz López</w:t>
      </w:r>
      <w:r w:rsidR="00E176F9" w:rsidRPr="00D11D93">
        <w:rPr>
          <w:rFonts w:ascii="Palatino Linotype" w:eastAsiaTheme="minorEastAsia" w:hAnsi="Palatino Linotype" w:cstheme="minorBidi"/>
          <w:i/>
          <w:noProof/>
          <w:color w:val="000000" w:themeColor="text1"/>
          <w:lang w:val="es-MX" w:eastAsia="es-MX"/>
        </w:rPr>
        <w:t>.” (Sic)</w:t>
      </w:r>
    </w:p>
    <w:p w14:paraId="17316424" w14:textId="77777777" w:rsidR="00E176F9" w:rsidRPr="00D11D93"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6759040F" w:rsidR="00E176F9" w:rsidRPr="00D11D93"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11D93">
        <w:rPr>
          <w:rFonts w:ascii="Palatino Linotype" w:eastAsiaTheme="minorEastAsia" w:hAnsi="Palatino Linotype" w:cstheme="minorBidi"/>
          <w:color w:val="000000" w:themeColor="text1"/>
          <w:lang w:val="es-ES_tradnl"/>
        </w:rPr>
        <w:t xml:space="preserve">Asimismo, el </w:t>
      </w:r>
      <w:r w:rsidRPr="00D11D93">
        <w:rPr>
          <w:rFonts w:ascii="Palatino Linotype" w:eastAsiaTheme="minorEastAsia" w:hAnsi="Palatino Linotype" w:cstheme="minorBidi"/>
          <w:b/>
          <w:bCs/>
          <w:color w:val="000000" w:themeColor="text1"/>
          <w:lang w:val="es-ES_tradnl"/>
        </w:rPr>
        <w:t>SUJETO OBLIGADO</w:t>
      </w:r>
      <w:r w:rsidRPr="00D11D93">
        <w:rPr>
          <w:rFonts w:ascii="Palatino Linotype" w:eastAsiaTheme="minorEastAsia" w:hAnsi="Palatino Linotype" w:cstheme="minorBidi"/>
          <w:color w:val="000000" w:themeColor="text1"/>
          <w:lang w:val="es-ES_tradnl"/>
        </w:rPr>
        <w:t xml:space="preserve"> adjuntó a su respuesta el archivo electrónico que se describen a continuación:</w:t>
      </w:r>
    </w:p>
    <w:p w14:paraId="69F168F8" w14:textId="77777777" w:rsidR="00E176F9" w:rsidRPr="00D11D93" w:rsidRDefault="00E176F9" w:rsidP="00CA6269">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358D8AF" w14:textId="2142203D" w:rsidR="00327F54" w:rsidRPr="00D11D93" w:rsidRDefault="007B5808" w:rsidP="00582959">
      <w:pPr>
        <w:numPr>
          <w:ilvl w:val="0"/>
          <w:numId w:val="27"/>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proofErr w:type="spellStart"/>
      <w:r w:rsidRPr="00D11D93">
        <w:rPr>
          <w:rFonts w:ascii="Palatino Linotype" w:hAnsi="Palatino Linotype"/>
          <w:b/>
        </w:rPr>
        <w:t>saimex</w:t>
      </w:r>
      <w:proofErr w:type="spellEnd"/>
      <w:r w:rsidRPr="00D11D93">
        <w:rPr>
          <w:rFonts w:ascii="Palatino Linotype" w:hAnsi="Palatino Linotype"/>
          <w:b/>
        </w:rPr>
        <w:t xml:space="preserve"> 4.pdf</w:t>
      </w:r>
      <w:hyperlink r:id="rId8" w:tgtFrame="_blank" w:history="1"/>
      <w:r w:rsidR="00E176F9" w:rsidRPr="00D11D93">
        <w:rPr>
          <w:rFonts w:ascii="Palatino Linotype" w:eastAsiaTheme="minorEastAsia" w:hAnsi="Palatino Linotype" w:cstheme="minorBidi"/>
          <w:b/>
          <w:color w:val="000000" w:themeColor="text1"/>
          <w:lang w:val="es-ES_tradnl"/>
        </w:rPr>
        <w:t>:</w:t>
      </w:r>
      <w:r w:rsidR="00E176F9" w:rsidRPr="00D11D93">
        <w:rPr>
          <w:rFonts w:ascii="Palatino Linotype" w:eastAsiaTheme="minorEastAsia" w:hAnsi="Palatino Linotype" w:cstheme="minorBidi"/>
          <w:color w:val="000000" w:themeColor="text1"/>
          <w:lang w:val="es-ES_tradnl"/>
        </w:rPr>
        <w:t xml:space="preserve"> Documento </w:t>
      </w:r>
      <w:r w:rsidRPr="00D11D93">
        <w:rPr>
          <w:rFonts w:ascii="Palatino Linotype" w:eastAsiaTheme="minorEastAsia" w:hAnsi="Palatino Linotype" w:cstheme="minorBidi"/>
          <w:color w:val="000000" w:themeColor="text1"/>
          <w:lang w:val="es-ES_tradnl"/>
        </w:rPr>
        <w:t>electrónico que en una  (01</w:t>
      </w:r>
      <w:r w:rsidR="00E176F9" w:rsidRPr="00D11D93">
        <w:rPr>
          <w:rFonts w:ascii="Palatino Linotype" w:eastAsiaTheme="minorEastAsia" w:hAnsi="Palatino Linotype" w:cstheme="minorBidi"/>
          <w:color w:val="000000" w:themeColor="text1"/>
          <w:lang w:val="es-ES_tradnl"/>
        </w:rPr>
        <w:t>) hoja</w:t>
      </w:r>
      <w:r w:rsidR="00582959" w:rsidRPr="00D11D93">
        <w:rPr>
          <w:rFonts w:ascii="Palatino Linotype" w:eastAsiaTheme="minorEastAsia" w:hAnsi="Palatino Linotype" w:cstheme="minorBidi"/>
          <w:color w:val="000000" w:themeColor="text1"/>
          <w:lang w:val="es-ES_tradnl"/>
        </w:rPr>
        <w:t xml:space="preserve"> contiene el </w:t>
      </w:r>
      <w:r w:rsidR="00582959" w:rsidRPr="00D11D93">
        <w:rPr>
          <w:rFonts w:ascii="Palatino Linotype" w:hAnsi="Palatino Linotype"/>
        </w:rPr>
        <w:t>o</w:t>
      </w:r>
      <w:r w:rsidR="00E176F9" w:rsidRPr="00D11D93">
        <w:rPr>
          <w:rFonts w:ascii="Palatino Linotype" w:hAnsi="Palatino Linotype"/>
        </w:rPr>
        <w:t xml:space="preserve">ficio </w:t>
      </w:r>
      <w:r w:rsidRPr="00D11D93">
        <w:rPr>
          <w:rFonts w:ascii="Palatino Linotype" w:hAnsi="Palatino Linotype"/>
        </w:rPr>
        <w:t>SAPASAC/GC032/2022</w:t>
      </w:r>
      <w:r w:rsidR="00E176F9" w:rsidRPr="00D11D93">
        <w:rPr>
          <w:rFonts w:ascii="Palatino Linotype" w:hAnsi="Palatino Linotype"/>
        </w:rPr>
        <w:t>, dirigido al</w:t>
      </w:r>
      <w:r w:rsidR="00327F54" w:rsidRPr="00D11D93">
        <w:rPr>
          <w:rFonts w:ascii="Palatino Linotype" w:hAnsi="Palatino Linotype"/>
        </w:rPr>
        <w:t xml:space="preserve"> </w:t>
      </w:r>
      <w:r w:rsidRPr="00D11D93">
        <w:rPr>
          <w:rFonts w:ascii="Palatino Linotype" w:hAnsi="Palatino Linotype"/>
        </w:rPr>
        <w:t xml:space="preserve">Titular de la Unidad de Transparencia y Acceso a la Información Pública  </w:t>
      </w:r>
      <w:r w:rsidR="00E176F9" w:rsidRPr="00D11D93">
        <w:rPr>
          <w:rFonts w:ascii="Palatino Linotype" w:hAnsi="Palatino Linotype"/>
        </w:rPr>
        <w:t>y suscrito por el</w:t>
      </w:r>
      <w:r w:rsidRPr="00D11D93">
        <w:rPr>
          <w:rFonts w:ascii="Palatino Linotype" w:hAnsi="Palatino Linotype"/>
        </w:rPr>
        <w:t xml:space="preserve"> Gerente Comercial S.A.P.A.S.A.C</w:t>
      </w:r>
      <w:r w:rsidR="00E176F9" w:rsidRPr="00D11D93">
        <w:rPr>
          <w:rFonts w:ascii="Palatino Linotype" w:hAnsi="Palatino Linotype"/>
        </w:rPr>
        <w:t>, mediante el cual se</w:t>
      </w:r>
      <w:r w:rsidR="00B626C6" w:rsidRPr="00D11D93">
        <w:rPr>
          <w:rFonts w:ascii="Palatino Linotype" w:hAnsi="Palatino Linotype"/>
        </w:rPr>
        <w:t xml:space="preserve"> refiere que: </w:t>
      </w:r>
    </w:p>
    <w:p w14:paraId="520FF912" w14:textId="77777777" w:rsidR="00327F54" w:rsidRPr="00D11D93" w:rsidRDefault="00327F54" w:rsidP="00327F54">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64F1693" w14:textId="1B39CD06" w:rsidR="007B5808" w:rsidRPr="00D11D93" w:rsidRDefault="00B626C6"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rPr>
        <w:t>“</w:t>
      </w:r>
      <w:r w:rsidRPr="00D11D93">
        <w:rPr>
          <w:rFonts w:ascii="Palatino Linotype" w:hAnsi="Palatino Linotype"/>
          <w:i/>
        </w:rPr>
        <w:t>…</w:t>
      </w:r>
      <w:r w:rsidR="00327F54" w:rsidRPr="00D11D93">
        <w:rPr>
          <w:rFonts w:ascii="Palatino Linotype" w:hAnsi="Palatino Linotype"/>
          <w:i/>
        </w:rPr>
        <w:t xml:space="preserve"> </w:t>
      </w:r>
      <w:r w:rsidR="007B5808" w:rsidRPr="00D11D93">
        <w:rPr>
          <w:rFonts w:ascii="Palatino Linotype" w:hAnsi="Palatino Linotype"/>
          <w:i/>
        </w:rPr>
        <w:t xml:space="preserve">El ocurrente solicito me informen los tipos de agua que cuenta la población de Coacalco. </w:t>
      </w:r>
    </w:p>
    <w:p w14:paraId="5C0732EE" w14:textId="77777777" w:rsidR="007B5808" w:rsidRPr="00D11D93" w:rsidRDefault="007B580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p>
    <w:p w14:paraId="137B1CA0" w14:textId="55458400" w:rsidR="007B5808" w:rsidRPr="00D11D93" w:rsidRDefault="007B580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DOMESTICO y COMERCIAL</w:t>
      </w:r>
    </w:p>
    <w:p w14:paraId="66E5C5BF" w14:textId="1246405C" w:rsidR="007B5808" w:rsidRPr="00D11D93" w:rsidRDefault="007B5808" w:rsidP="00E43C17">
      <w:pPr>
        <w:pStyle w:val="Prrafodelista"/>
        <w:numPr>
          <w:ilvl w:val="0"/>
          <w:numId w:val="27"/>
        </w:numPr>
        <w:tabs>
          <w:tab w:val="left" w:pos="284"/>
          <w:tab w:val="left" w:pos="851"/>
          <w:tab w:val="left" w:pos="993"/>
          <w:tab w:val="left" w:pos="1134"/>
        </w:tabs>
        <w:spacing w:line="360" w:lineRule="auto"/>
        <w:ind w:left="851" w:right="616" w:firstLine="0"/>
        <w:contextualSpacing/>
        <w:jc w:val="both"/>
        <w:rPr>
          <w:rFonts w:ascii="Palatino Linotype" w:hAnsi="Palatino Linotype"/>
          <w:i/>
        </w:rPr>
      </w:pPr>
      <w:r w:rsidRPr="00D11D93">
        <w:rPr>
          <w:rFonts w:ascii="Palatino Linotype" w:hAnsi="Palatino Linotype"/>
          <w:i/>
        </w:rPr>
        <w:lastRenderedPageBreak/>
        <w:t>Número total de tomas de agua.</w:t>
      </w:r>
    </w:p>
    <w:p w14:paraId="564E3B50" w14:textId="2CC3758B" w:rsidR="007B5808" w:rsidRPr="00D11D93" w:rsidRDefault="00BD498E" w:rsidP="00E43C17">
      <w:pPr>
        <w:pStyle w:val="Prrafodelista"/>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111, 10</w:t>
      </w:r>
      <w:r w:rsidR="007B5808" w:rsidRPr="00D11D93">
        <w:rPr>
          <w:rFonts w:ascii="Palatino Linotype" w:hAnsi="Palatino Linotype"/>
          <w:i/>
        </w:rPr>
        <w:t>2</w:t>
      </w:r>
    </w:p>
    <w:p w14:paraId="2C1FCA29" w14:textId="4306A142" w:rsidR="007B5808" w:rsidRPr="00D11D93" w:rsidRDefault="007B5808" w:rsidP="00E43C17">
      <w:pPr>
        <w:pStyle w:val="Prrafodelista"/>
        <w:numPr>
          <w:ilvl w:val="0"/>
          <w:numId w:val="27"/>
        </w:numPr>
        <w:tabs>
          <w:tab w:val="left" w:pos="284"/>
          <w:tab w:val="left" w:pos="851"/>
          <w:tab w:val="left" w:pos="993"/>
          <w:tab w:val="left" w:pos="1134"/>
        </w:tabs>
        <w:spacing w:line="360" w:lineRule="auto"/>
        <w:ind w:left="851" w:right="616" w:firstLine="0"/>
        <w:contextualSpacing/>
        <w:jc w:val="both"/>
        <w:rPr>
          <w:rFonts w:ascii="Palatino Linotype" w:hAnsi="Palatino Linotype"/>
          <w:i/>
        </w:rPr>
      </w:pPr>
      <w:r w:rsidRPr="00D11D93">
        <w:rPr>
          <w:rFonts w:ascii="Palatino Linotype" w:hAnsi="Palatino Linotype"/>
          <w:i/>
        </w:rPr>
        <w:t xml:space="preserve">Número total de tomas de agua de tipo doméstico. </w:t>
      </w:r>
    </w:p>
    <w:p w14:paraId="70654BBF" w14:textId="13673B16" w:rsidR="007B5808" w:rsidRPr="00D11D93" w:rsidRDefault="007B580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102,391</w:t>
      </w:r>
    </w:p>
    <w:p w14:paraId="7A526878" w14:textId="0C8CF916" w:rsidR="007B5808" w:rsidRPr="00D11D93" w:rsidRDefault="007B5808" w:rsidP="00E43C17">
      <w:pPr>
        <w:pStyle w:val="Prrafodelista"/>
        <w:numPr>
          <w:ilvl w:val="0"/>
          <w:numId w:val="27"/>
        </w:numPr>
        <w:tabs>
          <w:tab w:val="left" w:pos="284"/>
          <w:tab w:val="left" w:pos="851"/>
          <w:tab w:val="left" w:pos="993"/>
          <w:tab w:val="left" w:pos="1134"/>
        </w:tabs>
        <w:spacing w:line="360" w:lineRule="auto"/>
        <w:ind w:left="851" w:right="616" w:firstLine="0"/>
        <w:contextualSpacing/>
        <w:jc w:val="both"/>
        <w:rPr>
          <w:rFonts w:ascii="Palatino Linotype" w:hAnsi="Palatino Linotype"/>
          <w:i/>
        </w:rPr>
      </w:pPr>
      <w:r w:rsidRPr="00D11D93">
        <w:rPr>
          <w:rFonts w:ascii="Palatino Linotype" w:hAnsi="Palatino Linotype"/>
          <w:i/>
        </w:rPr>
        <w:t xml:space="preserve">Número total de tomas de agua de tipo industrial. </w:t>
      </w:r>
    </w:p>
    <w:p w14:paraId="173C7D2A" w14:textId="124CCE07" w:rsidR="007B5808" w:rsidRPr="00D11D93" w:rsidRDefault="007B580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 xml:space="preserve">Esta Gerencia Comercial no tiene identificado en el sistema digital ni en físico tomas industriales. </w:t>
      </w:r>
    </w:p>
    <w:p w14:paraId="534B7ED0" w14:textId="4E65A5ED" w:rsidR="007B5808" w:rsidRPr="00D11D93" w:rsidRDefault="007B580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Informo que esta información solicitada no es procedente de acuerdo al artículo 12</w:t>
      </w:r>
      <w:r w:rsidR="005866B8" w:rsidRPr="00D11D93">
        <w:rPr>
          <w:rFonts w:ascii="Palatino Linotype" w:hAnsi="Palatino Linotype"/>
          <w:i/>
        </w:rPr>
        <w:t xml:space="preserve"> la Ley de Transparencia y Acceso a la Información Pública.</w:t>
      </w:r>
    </w:p>
    <w:p w14:paraId="0191B8A8" w14:textId="64EE5B95" w:rsidR="005866B8" w:rsidRPr="00D11D93" w:rsidRDefault="005866B8" w:rsidP="00E43C17">
      <w:pPr>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w:t>
      </w:r>
    </w:p>
    <w:p w14:paraId="273C3E18" w14:textId="57C05589" w:rsidR="005866B8" w:rsidRPr="00D11D93" w:rsidRDefault="005866B8" w:rsidP="00E43C17">
      <w:pPr>
        <w:pStyle w:val="Prrafodelista"/>
        <w:numPr>
          <w:ilvl w:val="0"/>
          <w:numId w:val="27"/>
        </w:numPr>
        <w:tabs>
          <w:tab w:val="left" w:pos="284"/>
          <w:tab w:val="left" w:pos="851"/>
          <w:tab w:val="left" w:pos="993"/>
          <w:tab w:val="left" w:pos="1134"/>
        </w:tabs>
        <w:spacing w:line="360" w:lineRule="auto"/>
        <w:ind w:left="851" w:right="616" w:firstLine="0"/>
        <w:contextualSpacing/>
        <w:jc w:val="both"/>
        <w:rPr>
          <w:rFonts w:ascii="Palatino Linotype" w:hAnsi="Palatino Linotype"/>
          <w:i/>
        </w:rPr>
      </w:pPr>
      <w:r w:rsidRPr="00D11D93">
        <w:rPr>
          <w:rFonts w:ascii="Palatino Linotype" w:hAnsi="Palatino Linotype"/>
          <w:i/>
        </w:rPr>
        <w:t xml:space="preserve">Número total de tomas de agua tipo popular. </w:t>
      </w:r>
    </w:p>
    <w:p w14:paraId="454734C5" w14:textId="3EB55B12" w:rsidR="005866B8" w:rsidRPr="00D11D93" w:rsidRDefault="005866B8" w:rsidP="00E43C17">
      <w:pPr>
        <w:pStyle w:val="Prrafodelista"/>
        <w:tabs>
          <w:tab w:val="left" w:pos="284"/>
          <w:tab w:val="left" w:pos="851"/>
          <w:tab w:val="left" w:pos="993"/>
          <w:tab w:val="left" w:pos="1134"/>
        </w:tabs>
        <w:spacing w:line="360" w:lineRule="auto"/>
        <w:ind w:left="851" w:right="616"/>
        <w:contextualSpacing/>
        <w:jc w:val="both"/>
        <w:rPr>
          <w:rFonts w:ascii="Palatino Linotype" w:hAnsi="Palatino Linotype"/>
          <w:i/>
        </w:rPr>
      </w:pPr>
      <w:r w:rsidRPr="00D11D93">
        <w:rPr>
          <w:rFonts w:ascii="Palatino Linotype" w:hAnsi="Palatino Linotype"/>
          <w:i/>
        </w:rPr>
        <w:t>64,865</w:t>
      </w:r>
    </w:p>
    <w:p w14:paraId="089E5F29" w14:textId="3091AB44" w:rsidR="005866B8" w:rsidRPr="00D11D93" w:rsidRDefault="005866B8" w:rsidP="00E43C17">
      <w:pPr>
        <w:tabs>
          <w:tab w:val="left" w:pos="284"/>
          <w:tab w:val="left" w:pos="851"/>
          <w:tab w:val="left" w:pos="993"/>
          <w:tab w:val="left" w:pos="1134"/>
        </w:tabs>
        <w:spacing w:line="360" w:lineRule="auto"/>
        <w:ind w:left="851" w:right="616"/>
        <w:contextualSpacing/>
        <w:jc w:val="both"/>
        <w:rPr>
          <w:rFonts w:ascii="Palatino Linotype" w:hAnsi="Palatino Linotype"/>
        </w:rPr>
      </w:pPr>
      <w:r w:rsidRPr="00D11D93">
        <w:rPr>
          <w:rFonts w:ascii="Palatino Linotype" w:hAnsi="Palatino Linotype"/>
        </w:rPr>
        <w:t xml:space="preserve">    (…)”</w:t>
      </w:r>
    </w:p>
    <w:p w14:paraId="53D87692" w14:textId="77777777" w:rsidR="005866B8" w:rsidRPr="00D11D93" w:rsidRDefault="005866B8" w:rsidP="005866B8">
      <w:pPr>
        <w:tabs>
          <w:tab w:val="left" w:pos="284"/>
          <w:tab w:val="left" w:pos="426"/>
          <w:tab w:val="left" w:pos="993"/>
          <w:tab w:val="left" w:pos="1134"/>
        </w:tabs>
        <w:spacing w:line="360" w:lineRule="auto"/>
        <w:ind w:right="616"/>
        <w:contextualSpacing/>
        <w:jc w:val="both"/>
        <w:rPr>
          <w:rFonts w:ascii="Palatino Linotype" w:hAnsi="Palatino Linotype"/>
        </w:rPr>
      </w:pPr>
    </w:p>
    <w:p w14:paraId="6A58B120" w14:textId="7AEEB547" w:rsidR="005866B8" w:rsidRPr="00D11D93" w:rsidRDefault="00624938" w:rsidP="005866B8">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hAnsi="Palatino Linotype"/>
        </w:rPr>
      </w:pPr>
      <w:hyperlink r:id="rId9" w:tgtFrame="_blank" w:history="1">
        <w:proofErr w:type="spellStart"/>
        <w:r w:rsidR="005866B8" w:rsidRPr="00D11D93">
          <w:rPr>
            <w:rStyle w:val="Hipervnculo"/>
            <w:rFonts w:ascii="Palatino Linotype" w:hAnsi="Palatino Linotype"/>
            <w:b/>
            <w:bCs/>
            <w:color w:val="auto"/>
            <w:u w:val="none"/>
          </w:rPr>
          <w:t>contestacion</w:t>
        </w:r>
        <w:proofErr w:type="spellEnd"/>
        <w:r w:rsidR="005866B8" w:rsidRPr="00D11D93">
          <w:rPr>
            <w:rStyle w:val="Hipervnculo"/>
            <w:rFonts w:ascii="Palatino Linotype" w:hAnsi="Palatino Linotype"/>
            <w:b/>
            <w:bCs/>
            <w:color w:val="auto"/>
            <w:u w:val="none"/>
          </w:rPr>
          <w:t xml:space="preserve"> 4.pdf</w:t>
        </w:r>
      </w:hyperlink>
      <w:r w:rsidR="005866B8" w:rsidRPr="00D11D93">
        <w:rPr>
          <w:rFonts w:ascii="Palatino Linotype" w:hAnsi="Palatino Linotype"/>
        </w:rPr>
        <w:t>: Documento electrónico que en dos (02) hojas contiene el oficio SAPASAC/DG/UT/009/2022 dirigido al Solicitante y suscrito por el Titular de la Unidad de Transparencia y Acceso a la Información Del Organismo Público Descentralizado S.A.P.A.S.A.C , mediante el cual se refiere:</w:t>
      </w:r>
    </w:p>
    <w:p w14:paraId="32AD6DB0" w14:textId="77777777"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rPr>
      </w:pPr>
    </w:p>
    <w:p w14:paraId="4255CD62" w14:textId="643E90F2"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rPr>
        <w:t>“</w:t>
      </w:r>
      <w:r w:rsidRPr="00D11D93">
        <w:rPr>
          <w:rFonts w:ascii="Palatino Linotype" w:hAnsi="Palatino Linotype"/>
          <w:i/>
        </w:rPr>
        <w:t xml:space="preserve">1.- Solicito los tipos de tomas de agua de cuenta la población de Coacalco. </w:t>
      </w:r>
    </w:p>
    <w:p w14:paraId="392F3CDC" w14:textId="799185E0"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lastRenderedPageBreak/>
        <w:t>DOMESTICO y COMERCIAL</w:t>
      </w:r>
    </w:p>
    <w:p w14:paraId="7E4604B4" w14:textId="324721B5"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2.- Número total de tomas de agua de tipo doméstico. </w:t>
      </w:r>
    </w:p>
    <w:p w14:paraId="6DE4E38F" w14:textId="323351FE"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102,391</w:t>
      </w:r>
    </w:p>
    <w:p w14:paraId="00FAD7BE" w14:textId="0B0A7D56"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3.- Número total de tomas de agua tipo doméstico. </w:t>
      </w:r>
    </w:p>
    <w:p w14:paraId="780C9362" w14:textId="6CD84088"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102,391</w:t>
      </w:r>
    </w:p>
    <w:p w14:paraId="2C7703C4" w14:textId="263A5930"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4.- número de tomas de tipo industrial. </w:t>
      </w:r>
    </w:p>
    <w:p w14:paraId="474E69B6" w14:textId="769126C4"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Esta Gerencia Comercial no tiene identificado en el sistema digital no en archivo físico tomas industriales. </w:t>
      </w:r>
    </w:p>
    <w:p w14:paraId="5B8F03E8" w14:textId="77777777"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p>
    <w:p w14:paraId="1895CF20" w14:textId="6E4BB71A"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proofErr w:type="spellStart"/>
      <w:r w:rsidRPr="00D11D93">
        <w:rPr>
          <w:rFonts w:ascii="Palatino Linotype" w:hAnsi="Palatino Linotype"/>
          <w:i/>
        </w:rPr>
        <w:t>Articulo</w:t>
      </w:r>
      <w:proofErr w:type="spellEnd"/>
      <w:r w:rsidRPr="00D11D93">
        <w:rPr>
          <w:rFonts w:ascii="Palatino Linotype" w:hAnsi="Palatino Linotype"/>
          <w:i/>
        </w:rPr>
        <w:t xml:space="preserve"> 12 de la Ley de Transparencia y acceso a la información Pública. </w:t>
      </w:r>
    </w:p>
    <w:p w14:paraId="69BC472B" w14:textId="636D0753"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w:t>
      </w:r>
    </w:p>
    <w:p w14:paraId="68BEF9EE" w14:textId="1E51307C"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5.- Numero de tomas de tipo popular. </w:t>
      </w:r>
    </w:p>
    <w:p w14:paraId="479E4887" w14:textId="29A74F7B"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D11D93">
        <w:rPr>
          <w:rFonts w:ascii="Palatino Linotype" w:hAnsi="Palatino Linotype"/>
          <w:i/>
        </w:rPr>
        <w:t xml:space="preserve">64,865 </w:t>
      </w:r>
    </w:p>
    <w:p w14:paraId="6D7C588D" w14:textId="6749D62C" w:rsidR="005866B8" w:rsidRPr="00D11D93" w:rsidRDefault="005866B8" w:rsidP="005866B8">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rPr>
      </w:pPr>
      <w:r w:rsidRPr="00D11D93">
        <w:rPr>
          <w:rFonts w:ascii="Palatino Linotype" w:hAnsi="Palatino Linotype"/>
        </w:rPr>
        <w:t>(…)”</w:t>
      </w:r>
    </w:p>
    <w:p w14:paraId="150B245F" w14:textId="77777777" w:rsidR="007B5808" w:rsidRPr="00D11D93" w:rsidRDefault="007B5808" w:rsidP="00B209F5">
      <w:pPr>
        <w:tabs>
          <w:tab w:val="left" w:pos="284"/>
          <w:tab w:val="left" w:pos="426"/>
          <w:tab w:val="left" w:pos="993"/>
          <w:tab w:val="left" w:pos="1134"/>
        </w:tabs>
        <w:spacing w:line="360" w:lineRule="auto"/>
        <w:ind w:left="567" w:right="616"/>
        <w:contextualSpacing/>
        <w:jc w:val="both"/>
        <w:rPr>
          <w:rFonts w:ascii="Palatino Linotype" w:hAnsi="Palatino Linotype"/>
        </w:rPr>
      </w:pPr>
    </w:p>
    <w:p w14:paraId="5FCB9BAC" w14:textId="3443C3A5" w:rsidR="0060001F" w:rsidRPr="00D11D93" w:rsidRDefault="007F7B11"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D11D93">
        <w:rPr>
          <w:rFonts w:ascii="Palatino Linotype" w:hAnsi="Palatino Linotype" w:cs="Arial"/>
          <w:lang w:val="es-ES_tradnl"/>
        </w:rPr>
        <w:t>Derivado de la respuesta</w:t>
      </w:r>
      <w:r w:rsidR="005B4859" w:rsidRPr="00D11D93">
        <w:rPr>
          <w:rFonts w:ascii="Palatino Linotype" w:hAnsi="Palatino Linotype" w:cs="Arial"/>
          <w:lang w:val="es-ES_tradnl"/>
        </w:rPr>
        <w:t xml:space="preserve"> otorgada</w:t>
      </w:r>
      <w:r w:rsidRPr="00D11D93">
        <w:rPr>
          <w:rFonts w:ascii="Palatino Linotype" w:hAnsi="Palatino Linotype" w:cs="Arial"/>
          <w:lang w:val="es-ES_tradnl"/>
        </w:rPr>
        <w:t>, el</w:t>
      </w:r>
      <w:r w:rsidRPr="00D11D93">
        <w:rPr>
          <w:rFonts w:ascii="Palatino Linotype" w:hAnsi="Palatino Linotype" w:cs="Arial"/>
        </w:rPr>
        <w:t xml:space="preserve"> </w:t>
      </w:r>
      <w:r w:rsidR="005866B8" w:rsidRPr="00D11D93">
        <w:rPr>
          <w:rFonts w:ascii="Palatino Linotype" w:hAnsi="Palatino Linotype" w:cs="Arial"/>
        </w:rPr>
        <w:t>dieciocho (18</w:t>
      </w:r>
      <w:r w:rsidRPr="00D11D93">
        <w:rPr>
          <w:rFonts w:ascii="Palatino Linotype" w:hAnsi="Palatino Linotype" w:cs="Arial"/>
        </w:rPr>
        <w:t>) de</w:t>
      </w:r>
      <w:r w:rsidR="005B4859" w:rsidRPr="00D11D93">
        <w:rPr>
          <w:rFonts w:ascii="Palatino Linotype" w:hAnsi="Palatino Linotype" w:cs="Arial"/>
        </w:rPr>
        <w:t xml:space="preserve"> febrero</w:t>
      </w:r>
      <w:r w:rsidR="00B537D4" w:rsidRPr="00D11D93">
        <w:rPr>
          <w:rFonts w:ascii="Palatino Linotype" w:hAnsi="Palatino Linotype" w:cs="Arial"/>
        </w:rPr>
        <w:t xml:space="preserve"> </w:t>
      </w:r>
      <w:r w:rsidR="005B4859" w:rsidRPr="00D11D93">
        <w:rPr>
          <w:rFonts w:ascii="Palatino Linotype" w:hAnsi="Palatino Linotype" w:cs="Arial"/>
        </w:rPr>
        <w:t>d</w:t>
      </w:r>
      <w:r w:rsidR="0060001F" w:rsidRPr="00D11D93">
        <w:rPr>
          <w:rFonts w:ascii="Palatino Linotype" w:hAnsi="Palatino Linotype" w:cs="Arial"/>
        </w:rPr>
        <w:t xml:space="preserve">e dos </w:t>
      </w:r>
      <w:r w:rsidR="005B4859" w:rsidRPr="00D11D93">
        <w:rPr>
          <w:rFonts w:ascii="Palatino Linotype" w:hAnsi="Palatino Linotype" w:cs="Arial"/>
        </w:rPr>
        <w:t>mil veintidós</w:t>
      </w:r>
      <w:r w:rsidRPr="00D11D93">
        <w:rPr>
          <w:rFonts w:ascii="Palatino Linotype" w:hAnsi="Palatino Linotype" w:cs="Arial"/>
        </w:rPr>
        <w:t>, el particular interpuso el recurso de revisión con número indicado al rubro y señalando como:</w:t>
      </w:r>
    </w:p>
    <w:p w14:paraId="2D1E09E7" w14:textId="77777777" w:rsidR="0060001F" w:rsidRPr="00D11D93" w:rsidRDefault="0060001F" w:rsidP="00CA6269">
      <w:pPr>
        <w:pStyle w:val="Prrafodelista"/>
        <w:spacing w:line="360" w:lineRule="auto"/>
        <w:rPr>
          <w:rFonts w:ascii="Palatino Linotype" w:hAnsi="Palatino Linotype" w:cs="Arial"/>
          <w:b/>
        </w:rPr>
      </w:pPr>
    </w:p>
    <w:p w14:paraId="46AD8467" w14:textId="7B504A74" w:rsidR="007F7B11" w:rsidRPr="00D11D93" w:rsidRDefault="007F7B11" w:rsidP="00C71C52">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D11D93">
        <w:rPr>
          <w:rFonts w:ascii="Palatino Linotype" w:hAnsi="Palatino Linotype" w:cs="Arial"/>
          <w:b/>
        </w:rPr>
        <w:t>Acto impugnado:</w:t>
      </w:r>
      <w:r w:rsidRPr="00D11D93">
        <w:rPr>
          <w:rFonts w:ascii="Palatino Linotype" w:hAnsi="Palatino Linotype" w:cs="Arial"/>
        </w:rPr>
        <w:t xml:space="preserve"> </w:t>
      </w:r>
      <w:r w:rsidRPr="00D11D93">
        <w:rPr>
          <w:rFonts w:ascii="Palatino Linotype" w:hAnsi="Palatino Linotype" w:cs="Arial"/>
          <w:i/>
        </w:rPr>
        <w:t>“</w:t>
      </w:r>
      <w:r w:rsidR="00C71C52" w:rsidRPr="00D11D93">
        <w:rPr>
          <w:rFonts w:ascii="Palatino Linotype" w:hAnsi="Palatino Linotype" w:cs="Arial"/>
          <w:i/>
        </w:rPr>
        <w:t>LA AUTORIDAD NO DIO LA INFORMACIÓN COMPLETA</w:t>
      </w:r>
      <w:r w:rsidRPr="00D11D93">
        <w:rPr>
          <w:rFonts w:ascii="Palatino Linotype" w:hAnsi="Palatino Linotype" w:cs="Arial"/>
          <w:i/>
        </w:rPr>
        <w:t>” (Sic).</w:t>
      </w:r>
    </w:p>
    <w:p w14:paraId="09BD370B" w14:textId="77777777" w:rsidR="007F7B11" w:rsidRPr="00D11D93"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19619DB3" w:rsidR="007F7B11" w:rsidRPr="00D11D93" w:rsidRDefault="007F7B11" w:rsidP="00C71C52">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D11D93">
        <w:rPr>
          <w:rFonts w:ascii="Palatino Linotype" w:hAnsi="Palatino Linotype" w:cs="Arial"/>
          <w:b/>
        </w:rPr>
        <w:t>Razones o motivos de inconformidad:</w:t>
      </w:r>
      <w:r w:rsidRPr="00D11D93">
        <w:rPr>
          <w:rFonts w:ascii="Palatino Linotype" w:hAnsi="Palatino Linotype" w:cs="Arial"/>
        </w:rPr>
        <w:t xml:space="preserve"> </w:t>
      </w:r>
      <w:r w:rsidRPr="00D11D93">
        <w:rPr>
          <w:rFonts w:ascii="Palatino Linotype" w:hAnsi="Palatino Linotype" w:cs="Arial"/>
          <w:i/>
        </w:rPr>
        <w:t>“</w:t>
      </w:r>
      <w:r w:rsidR="00C71C52" w:rsidRPr="00D11D93">
        <w:rPr>
          <w:rFonts w:ascii="Palatino Linotype" w:hAnsi="Palatino Linotype" w:cs="Arial"/>
          <w:i/>
        </w:rPr>
        <w:t>ENTREGA DE INFORMACIÓN INCOMPLETA</w:t>
      </w:r>
      <w:r w:rsidR="00B537D4" w:rsidRPr="00D11D93">
        <w:rPr>
          <w:rFonts w:ascii="Palatino Linotype" w:hAnsi="Palatino Linotype" w:cs="Arial"/>
          <w:i/>
        </w:rPr>
        <w:t>.</w:t>
      </w:r>
      <w:r w:rsidRPr="00D11D93">
        <w:rPr>
          <w:rFonts w:ascii="Palatino Linotype" w:hAnsi="Palatino Linotype" w:cs="Arial"/>
          <w:i/>
        </w:rPr>
        <w:t>” (Sic).</w:t>
      </w:r>
    </w:p>
    <w:p w14:paraId="6F0D0AC4" w14:textId="77777777" w:rsidR="007F7B11" w:rsidRPr="00D11D93"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D11D93"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11D93">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D11D93">
        <w:rPr>
          <w:rFonts w:ascii="Palatino Linotype" w:eastAsia="Calibri" w:hAnsi="Palatino Linotype" w:cs="Arial"/>
          <w:b/>
        </w:rPr>
        <w:t>Ley de Transparencia y Acceso a la Información Pública del Estado de México y Municipios</w:t>
      </w:r>
      <w:r w:rsidRPr="00D11D93">
        <w:rPr>
          <w:rFonts w:ascii="Palatino Linotype" w:eastAsia="Calibri" w:hAnsi="Palatino Linotype" w:cs="Arial"/>
        </w:rPr>
        <w:t xml:space="preserve">, se turnó a la </w:t>
      </w:r>
      <w:r w:rsidRPr="00D11D93">
        <w:rPr>
          <w:rFonts w:ascii="Palatino Linotype" w:eastAsia="Calibri" w:hAnsi="Palatino Linotype" w:cs="Arial"/>
          <w:b/>
        </w:rPr>
        <w:t>Comisionada María del Rosario Mejía Ayala</w:t>
      </w:r>
      <w:r w:rsidRPr="00D11D93">
        <w:rPr>
          <w:rFonts w:ascii="Palatino Linotype" w:eastAsia="Calibri" w:hAnsi="Palatino Linotype" w:cs="Arial"/>
        </w:rPr>
        <w:t>, con el objeto de su análisis.</w:t>
      </w:r>
    </w:p>
    <w:p w14:paraId="0A930C08" w14:textId="77777777" w:rsidR="007F7B11" w:rsidRPr="00D11D93"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4AE57906" w:rsidR="007F7B11" w:rsidRPr="00D11D93"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11D93">
        <w:rPr>
          <w:rFonts w:ascii="Palatino Linotype" w:eastAsia="Calibri" w:hAnsi="Palatino Linotype" w:cs="Arial"/>
        </w:rPr>
        <w:t>La Comisionada Ponente, con fundamento en lo dispuesto por el artículo 185 fracción II de la ley de la materia, a tr</w:t>
      </w:r>
      <w:r w:rsidR="00B537D4" w:rsidRPr="00D11D93">
        <w:rPr>
          <w:rFonts w:ascii="Palatino Linotype" w:eastAsia="Calibri" w:hAnsi="Palatino Linotype" w:cs="Arial"/>
        </w:rPr>
        <w:t>avés del acuerdo de adm</w:t>
      </w:r>
      <w:r w:rsidR="00C71C52" w:rsidRPr="00D11D93">
        <w:rPr>
          <w:rFonts w:ascii="Palatino Linotype" w:eastAsia="Calibri" w:hAnsi="Palatino Linotype" w:cs="Arial"/>
        </w:rPr>
        <w:t>isión de veintitrés</w:t>
      </w:r>
      <w:r w:rsidR="0060001F" w:rsidRPr="00D11D93">
        <w:rPr>
          <w:rFonts w:ascii="Palatino Linotype" w:eastAsia="Calibri" w:hAnsi="Palatino Linotype" w:cs="Arial"/>
        </w:rPr>
        <w:t xml:space="preserve"> </w:t>
      </w:r>
      <w:r w:rsidR="00C71C52" w:rsidRPr="00D11D93">
        <w:rPr>
          <w:rFonts w:ascii="Palatino Linotype" w:eastAsia="Calibri" w:hAnsi="Palatino Linotype" w:cs="Arial"/>
        </w:rPr>
        <w:t xml:space="preserve"> (23</w:t>
      </w:r>
      <w:r w:rsidR="00AD0232" w:rsidRPr="00D11D93">
        <w:rPr>
          <w:rFonts w:ascii="Palatino Linotype" w:eastAsia="Calibri" w:hAnsi="Palatino Linotype" w:cs="Arial"/>
        </w:rPr>
        <w:t>) de</w:t>
      </w:r>
      <w:r w:rsidR="005B4859" w:rsidRPr="00D11D93">
        <w:rPr>
          <w:rFonts w:ascii="Palatino Linotype" w:eastAsia="Calibri" w:hAnsi="Palatino Linotype" w:cs="Arial"/>
        </w:rPr>
        <w:t xml:space="preserve"> febrero </w:t>
      </w:r>
      <w:r w:rsidRPr="00D11D93">
        <w:rPr>
          <w:rFonts w:ascii="Palatino Linotype" w:eastAsia="Calibri" w:hAnsi="Palatino Linotype" w:cs="Arial"/>
        </w:rPr>
        <w:t xml:space="preserve">de dos mil </w:t>
      </w:r>
      <w:r w:rsidR="005B4859" w:rsidRPr="00D11D93">
        <w:rPr>
          <w:rFonts w:ascii="Palatino Linotype" w:eastAsia="Calibri" w:hAnsi="Palatino Linotype" w:cs="Arial"/>
        </w:rPr>
        <w:t>veintidós,</w:t>
      </w:r>
      <w:r w:rsidRPr="00D11D93">
        <w:rPr>
          <w:rFonts w:ascii="Palatino Linotype" w:eastAsia="Calibri" w:hAnsi="Palatino Linotype" w:cs="Arial"/>
        </w:rPr>
        <w:t xml:space="preserve"> puso a disposición de las partes el expediente electrónico </w:t>
      </w:r>
      <w:r w:rsidRPr="00D11D93">
        <w:rPr>
          <w:rFonts w:ascii="Palatino Linotype" w:eastAsia="Calibri" w:hAnsi="Palatino Linotype" w:cs="Arial"/>
          <w:lang w:val="es-ES_tradnl"/>
        </w:rPr>
        <w:t xml:space="preserve">vía </w:t>
      </w:r>
      <w:r w:rsidRPr="00D11D93">
        <w:rPr>
          <w:rFonts w:ascii="Palatino Linotype" w:eastAsia="Calibri" w:hAnsi="Palatino Linotype" w:cs="Arial"/>
        </w:rPr>
        <w:t xml:space="preserve">Sistema de Acceso a la Información Mexiquense </w:t>
      </w:r>
      <w:r w:rsidRPr="00D11D93">
        <w:rPr>
          <w:rFonts w:ascii="Palatino Linotype" w:eastAsia="Calibri" w:hAnsi="Palatino Linotype" w:cs="Arial"/>
          <w:b/>
        </w:rPr>
        <w:t xml:space="preserve">SAIMEX </w:t>
      </w:r>
      <w:r w:rsidRPr="00D11D93">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D11D93">
        <w:rPr>
          <w:rFonts w:ascii="Palatino Linotype" w:eastAsia="Calibri" w:hAnsi="Palatino Linotype" w:cs="Arial"/>
          <w:b/>
        </w:rPr>
        <w:t>SUJETO OBLIGADO</w:t>
      </w:r>
      <w:r w:rsidRPr="00D11D93">
        <w:rPr>
          <w:rFonts w:ascii="Palatino Linotype" w:eastAsia="Calibri" w:hAnsi="Palatino Linotype" w:cs="Arial"/>
        </w:rPr>
        <w:t xml:space="preserve"> presentara el Informe Justificado procedente.</w:t>
      </w:r>
    </w:p>
    <w:p w14:paraId="52E9C0C3" w14:textId="77777777" w:rsidR="007F7B11" w:rsidRPr="00D11D93"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0513AC11" w14:textId="11126CFE" w:rsidR="00C71C52" w:rsidRPr="00D11D93" w:rsidRDefault="007F7B11" w:rsidP="00C71C52">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11D93">
        <w:rPr>
          <w:rFonts w:ascii="Palatino Linotype" w:eastAsia="Calibri" w:hAnsi="Palatino Linotype" w:cs="Arial"/>
          <w:color w:val="000000" w:themeColor="text1"/>
        </w:rPr>
        <w:t xml:space="preserve">De </w:t>
      </w:r>
      <w:r w:rsidRPr="00D11D93">
        <w:rPr>
          <w:rFonts w:ascii="Palatino Linotype" w:eastAsiaTheme="minorEastAsia" w:hAnsi="Palatino Linotype" w:cstheme="minorBidi"/>
          <w:color w:val="000000"/>
        </w:rPr>
        <w:t xml:space="preserve">las </w:t>
      </w:r>
      <w:r w:rsidRPr="00D11D93">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D11D93">
        <w:rPr>
          <w:rFonts w:ascii="Palatino Linotype" w:eastAsiaTheme="minorEastAsia" w:hAnsi="Palatino Linotype" w:cstheme="minorBidi"/>
          <w:b/>
          <w:color w:val="000000"/>
          <w:lang w:val="es-ES_tradnl"/>
        </w:rPr>
        <w:t xml:space="preserve">SUJETO OBLIGADO </w:t>
      </w:r>
      <w:r w:rsidRPr="00D11D93">
        <w:rPr>
          <w:rFonts w:ascii="Palatino Linotype" w:eastAsiaTheme="minorEastAsia" w:hAnsi="Palatino Linotype" w:cstheme="minorBidi"/>
          <w:color w:val="000000"/>
          <w:lang w:val="es-ES_tradnl"/>
        </w:rPr>
        <w:t>rindió informe justificado</w:t>
      </w:r>
      <w:r w:rsidR="005B4859" w:rsidRPr="00D11D93">
        <w:rPr>
          <w:rFonts w:ascii="Palatino Linotype" w:eastAsiaTheme="minorEastAsia" w:hAnsi="Palatino Linotype" w:cstheme="minorBidi"/>
          <w:color w:val="000000"/>
          <w:lang w:val="es-ES_tradnl"/>
        </w:rPr>
        <w:t xml:space="preserve"> </w:t>
      </w:r>
      <w:r w:rsidR="00C71C52" w:rsidRPr="00D11D93">
        <w:rPr>
          <w:rFonts w:ascii="Palatino Linotype" w:eastAsiaTheme="minorEastAsia" w:hAnsi="Palatino Linotype" w:cstheme="minorBidi"/>
          <w:color w:val="000000"/>
          <w:lang w:val="es-ES_tradnl"/>
        </w:rPr>
        <w:lastRenderedPageBreak/>
        <w:t>en un primer momento en fecha cuatro (04</w:t>
      </w:r>
      <w:r w:rsidR="00324F98" w:rsidRPr="00D11D93">
        <w:rPr>
          <w:rFonts w:ascii="Palatino Linotype" w:eastAsiaTheme="minorEastAsia" w:hAnsi="Palatino Linotype" w:cstheme="minorBidi"/>
          <w:color w:val="000000"/>
          <w:lang w:val="es-ES_tradnl"/>
        </w:rPr>
        <w:t>) de</w:t>
      </w:r>
      <w:r w:rsidR="00C71C52" w:rsidRPr="00D11D93">
        <w:rPr>
          <w:rFonts w:ascii="Palatino Linotype" w:eastAsiaTheme="minorEastAsia" w:hAnsi="Palatino Linotype" w:cstheme="minorBidi"/>
          <w:color w:val="000000"/>
          <w:lang w:val="es-ES_tradnl"/>
        </w:rPr>
        <w:t xml:space="preserve"> marzo</w:t>
      </w:r>
      <w:r w:rsidR="00AD0232" w:rsidRPr="00D11D93">
        <w:rPr>
          <w:rFonts w:ascii="Palatino Linotype" w:eastAsiaTheme="minorEastAsia" w:hAnsi="Palatino Linotype" w:cstheme="minorBidi"/>
          <w:color w:val="000000"/>
          <w:lang w:val="es-ES_tradnl"/>
        </w:rPr>
        <w:t xml:space="preserve"> de dos mil</w:t>
      </w:r>
      <w:r w:rsidR="005B4859" w:rsidRPr="00D11D93">
        <w:rPr>
          <w:rFonts w:ascii="Palatino Linotype" w:eastAsiaTheme="minorEastAsia" w:hAnsi="Palatino Linotype" w:cstheme="minorBidi"/>
          <w:color w:val="000000"/>
          <w:lang w:val="es-ES_tradnl"/>
        </w:rPr>
        <w:t xml:space="preserve"> veintidós</w:t>
      </w:r>
      <w:r w:rsidRPr="00D11D93">
        <w:rPr>
          <w:rFonts w:ascii="Palatino Linotype" w:eastAsiaTheme="minorEastAsia" w:hAnsi="Palatino Linotype" w:cstheme="minorBidi"/>
          <w:color w:val="000000"/>
          <w:lang w:val="es-ES_tradnl"/>
        </w:rPr>
        <w:t>;</w:t>
      </w:r>
      <w:r w:rsidR="005B4859" w:rsidRPr="00D11D93">
        <w:rPr>
          <w:rFonts w:ascii="Palatino Linotype" w:eastAsiaTheme="minorEastAsia" w:hAnsi="Palatino Linotype" w:cstheme="minorBidi"/>
          <w:color w:val="000000"/>
          <w:lang w:val="es-ES_tradnl"/>
        </w:rPr>
        <w:t xml:space="preserve"> mismo</w:t>
      </w:r>
      <w:r w:rsidR="00C71C52" w:rsidRPr="00D11D93">
        <w:rPr>
          <w:rFonts w:ascii="Palatino Linotype" w:eastAsiaTheme="minorEastAsia" w:hAnsi="Palatino Linotype" w:cstheme="minorBidi"/>
          <w:color w:val="000000"/>
          <w:lang w:val="es-ES_tradnl"/>
        </w:rPr>
        <w:t xml:space="preserve"> que </w:t>
      </w:r>
      <w:r w:rsidR="001C1B7A" w:rsidRPr="00D11D93">
        <w:rPr>
          <w:rFonts w:ascii="Palatino Linotype" w:eastAsiaTheme="minorEastAsia" w:hAnsi="Palatino Linotype" w:cstheme="minorBidi"/>
          <w:color w:val="000000"/>
          <w:lang w:val="es-ES_tradnl"/>
        </w:rPr>
        <w:t>se</w:t>
      </w:r>
      <w:r w:rsidR="005B4859" w:rsidRPr="00D11D93">
        <w:rPr>
          <w:rFonts w:ascii="Palatino Linotype" w:eastAsiaTheme="minorEastAsia" w:hAnsi="Palatino Linotype" w:cstheme="minorBidi"/>
          <w:color w:val="000000"/>
          <w:lang w:val="es-ES_tradnl"/>
        </w:rPr>
        <w:t xml:space="preserve"> hizo de conocimiento del particular mediante acuerdo de </w:t>
      </w:r>
      <w:r w:rsidR="00C71C52" w:rsidRPr="00D11D93">
        <w:rPr>
          <w:rFonts w:ascii="Palatino Linotype" w:eastAsiaTheme="minorEastAsia" w:hAnsi="Palatino Linotype" w:cstheme="minorBidi"/>
          <w:color w:val="000000"/>
          <w:lang w:val="es-ES_tradnl"/>
        </w:rPr>
        <w:t>fecha veintinueve (29</w:t>
      </w:r>
      <w:r w:rsidR="005B4859" w:rsidRPr="00D11D93">
        <w:rPr>
          <w:rFonts w:ascii="Palatino Linotype" w:eastAsiaTheme="minorEastAsia" w:hAnsi="Palatino Linotype" w:cstheme="minorBidi"/>
          <w:color w:val="000000"/>
          <w:lang w:val="es-ES_tradnl"/>
        </w:rPr>
        <w:t>) de marzo de dos</w:t>
      </w:r>
      <w:r w:rsidR="000C31FF" w:rsidRPr="00D11D93">
        <w:rPr>
          <w:rFonts w:ascii="Palatino Linotype" w:eastAsiaTheme="minorEastAsia" w:hAnsi="Palatino Linotype" w:cstheme="minorBidi"/>
          <w:color w:val="000000"/>
          <w:lang w:val="es-ES_tradnl"/>
        </w:rPr>
        <w:t xml:space="preserve"> mil veintidós</w:t>
      </w:r>
      <w:r w:rsidR="001C1B7A" w:rsidRPr="00D11D93">
        <w:rPr>
          <w:rFonts w:ascii="Palatino Linotype" w:eastAsiaTheme="minorEastAsia" w:hAnsi="Palatino Linotype" w:cstheme="minorBidi"/>
          <w:color w:val="000000"/>
          <w:lang w:val="es-ES_tradnl"/>
        </w:rPr>
        <w:t xml:space="preserve">, </w:t>
      </w:r>
      <w:r w:rsidR="00C71C52" w:rsidRPr="00D11D93">
        <w:rPr>
          <w:rFonts w:ascii="Palatino Linotype" w:eastAsiaTheme="minorEastAsia" w:hAnsi="Palatino Linotype" w:cstheme="minorBidi"/>
          <w:color w:val="000000"/>
          <w:lang w:val="es-ES_tradnl"/>
        </w:rPr>
        <w:t xml:space="preserve">posteriormente, el treinta y uno (31) de marzo de dos mil veintidós se realizó entrega de un alcance al informe justificado, mismo que fue notificado en fecha cuatro (04) de abril de dos mil veintidós, y a efecto de que no exista opacidad, se describen a continuación: </w:t>
      </w:r>
    </w:p>
    <w:p w14:paraId="337817A1" w14:textId="670253AE" w:rsidR="004F4E3A" w:rsidRPr="00D11D93" w:rsidRDefault="004F4E3A" w:rsidP="00CA6269">
      <w:pPr>
        <w:tabs>
          <w:tab w:val="left" w:pos="284"/>
        </w:tabs>
        <w:spacing w:before="240" w:after="240" w:line="360" w:lineRule="auto"/>
        <w:contextualSpacing/>
        <w:rPr>
          <w:rFonts w:ascii="Palatino Linotype" w:eastAsia="Calibri" w:hAnsi="Palatino Linotype" w:cs="Arial"/>
          <w:color w:val="000000" w:themeColor="text1"/>
        </w:rPr>
      </w:pPr>
    </w:p>
    <w:p w14:paraId="02EAE5E0" w14:textId="75F5C4CB" w:rsidR="00324F98" w:rsidRPr="00D11D93" w:rsidRDefault="00C71C52" w:rsidP="00C71C52">
      <w:pPr>
        <w:pStyle w:val="Prrafodelista"/>
        <w:numPr>
          <w:ilvl w:val="0"/>
          <w:numId w:val="27"/>
        </w:numPr>
        <w:tabs>
          <w:tab w:val="left" w:pos="284"/>
        </w:tabs>
        <w:spacing w:before="240" w:after="240" w:line="360" w:lineRule="auto"/>
        <w:ind w:right="738"/>
        <w:contextualSpacing/>
        <w:jc w:val="both"/>
        <w:rPr>
          <w:rFonts w:ascii="Palatino Linotype" w:eastAsia="Calibri" w:hAnsi="Palatino Linotype" w:cs="Arial"/>
          <w:color w:val="000000" w:themeColor="text1"/>
        </w:rPr>
      </w:pPr>
      <w:r w:rsidRPr="00D11D93">
        <w:rPr>
          <w:rFonts w:ascii="Palatino Linotype" w:eastAsia="Calibri" w:hAnsi="Palatino Linotype" w:cs="Arial"/>
          <w:b/>
        </w:rPr>
        <w:t>RR01-2022.pdf</w:t>
      </w:r>
      <w:r w:rsidR="00D13A6B" w:rsidRPr="00D11D93">
        <w:rPr>
          <w:rFonts w:ascii="Palatino Linotype" w:eastAsia="Calibri" w:hAnsi="Palatino Linotype" w:cs="Arial"/>
          <w:b/>
        </w:rPr>
        <w:t>:</w:t>
      </w:r>
      <w:r w:rsidR="00D13A6B" w:rsidRPr="00D11D93">
        <w:rPr>
          <w:rFonts w:ascii="Palatino Linotype" w:eastAsia="Calibri" w:hAnsi="Palatino Linotype" w:cs="Arial"/>
        </w:rPr>
        <w:t xml:space="preserve"> </w:t>
      </w:r>
      <w:r w:rsidR="00D13A6B" w:rsidRPr="00D11D93">
        <w:rPr>
          <w:rFonts w:ascii="Palatino Linotype" w:eastAsia="Calibri" w:hAnsi="Palatino Linotype" w:cs="Arial"/>
          <w:color w:val="000000" w:themeColor="text1"/>
        </w:rPr>
        <w:t xml:space="preserve">Documento </w:t>
      </w:r>
      <w:r w:rsidR="009057A0" w:rsidRPr="00D11D93">
        <w:rPr>
          <w:rFonts w:ascii="Palatino Linotype" w:eastAsia="Calibri" w:hAnsi="Palatino Linotype" w:cs="Arial"/>
          <w:color w:val="000000" w:themeColor="text1"/>
        </w:rPr>
        <w:t xml:space="preserve">electrónico que </w:t>
      </w:r>
      <w:r w:rsidR="00324F98" w:rsidRPr="00D11D93">
        <w:rPr>
          <w:rFonts w:ascii="Palatino Linotype" w:eastAsia="Calibri" w:hAnsi="Palatino Linotype" w:cs="Arial"/>
          <w:color w:val="000000" w:themeColor="text1"/>
        </w:rPr>
        <w:t xml:space="preserve">en </w:t>
      </w:r>
      <w:r w:rsidRPr="00D11D93">
        <w:rPr>
          <w:rFonts w:ascii="Palatino Linotype" w:eastAsia="Calibri" w:hAnsi="Palatino Linotype" w:cs="Arial"/>
          <w:color w:val="000000" w:themeColor="text1"/>
        </w:rPr>
        <w:t>dos (02) hojas contiene el oficio SAPASAC/DG/UT/RR/01/2022 dirigido al Solicitante y suscrito por el Titular de la Unidad de Transparencia y Acceso a la Información del Organismo Público Descentralizado S.A.P.A.S.A, mediante el cual se refiere:</w:t>
      </w:r>
    </w:p>
    <w:p w14:paraId="708BA0D8" w14:textId="77777777" w:rsidR="00C71C52" w:rsidRPr="00D11D93" w:rsidRDefault="00C71C52" w:rsidP="00C71C52">
      <w:pPr>
        <w:pStyle w:val="Prrafodelista"/>
        <w:tabs>
          <w:tab w:val="left" w:pos="284"/>
        </w:tabs>
        <w:spacing w:before="240" w:after="240" w:line="360" w:lineRule="auto"/>
        <w:ind w:left="720" w:right="738"/>
        <w:contextualSpacing/>
        <w:jc w:val="both"/>
        <w:rPr>
          <w:rFonts w:ascii="Palatino Linotype" w:eastAsia="Calibri" w:hAnsi="Palatino Linotype" w:cs="Arial"/>
          <w:color w:val="000000" w:themeColor="text1"/>
        </w:rPr>
      </w:pPr>
    </w:p>
    <w:p w14:paraId="39EC23DE" w14:textId="77777777" w:rsidR="003B268D" w:rsidRPr="00D11D93" w:rsidRDefault="003B268D"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color w:val="000000" w:themeColor="text1"/>
        </w:rPr>
        <w:t>“</w:t>
      </w:r>
      <w:r w:rsidRPr="00D11D93">
        <w:rPr>
          <w:rFonts w:ascii="Palatino Linotype" w:eastAsia="Calibri" w:hAnsi="Palatino Linotype" w:cs="Arial"/>
          <w:i/>
          <w:color w:val="000000" w:themeColor="text1"/>
        </w:rPr>
        <w:t>1.-Solicito los tipos de tomas de agua que cuenta la Población de Coacalco.</w:t>
      </w:r>
    </w:p>
    <w:p w14:paraId="015B3CFD" w14:textId="2B15E76D" w:rsidR="001F27F6" w:rsidRPr="00D11D93" w:rsidRDefault="003B268D"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El municipio cuenta con servidores domésticos y no </w:t>
      </w:r>
      <w:proofErr w:type="spellStart"/>
      <w:r w:rsidRPr="00D11D93">
        <w:rPr>
          <w:rFonts w:ascii="Palatino Linotype" w:eastAsia="Calibri" w:hAnsi="Palatino Linotype" w:cs="Arial"/>
          <w:i/>
          <w:color w:val="000000" w:themeColor="text1"/>
        </w:rPr>
        <w:t>domestico</w:t>
      </w:r>
      <w:proofErr w:type="spellEnd"/>
      <w:r w:rsidRPr="00D11D93">
        <w:rPr>
          <w:rFonts w:ascii="Palatino Linotype" w:eastAsia="Calibri" w:hAnsi="Palatino Linotype" w:cs="Arial"/>
          <w:i/>
          <w:color w:val="000000" w:themeColor="text1"/>
        </w:rPr>
        <w:t xml:space="preserve">. </w:t>
      </w:r>
    </w:p>
    <w:p w14:paraId="5BA985D9" w14:textId="20DAD0D6" w:rsidR="003B268D" w:rsidRPr="00D11D93" w:rsidRDefault="003B268D"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Con fundamento en el Código Financiero del Estado de México y Municipios (art. 130 bis) y las facultades y atribuciones del Consejo del Organismo Público Descentralizado por sus siglas S.AP.A.S.A.C. </w:t>
      </w:r>
      <w:proofErr w:type="gramStart"/>
      <w:r w:rsidRPr="00D11D93">
        <w:rPr>
          <w:rFonts w:ascii="Palatino Linotype" w:eastAsia="Calibri" w:hAnsi="Palatino Linotype" w:cs="Arial"/>
          <w:i/>
          <w:color w:val="000000" w:themeColor="text1"/>
        </w:rPr>
        <w:t>en</w:t>
      </w:r>
      <w:proofErr w:type="gramEnd"/>
      <w:r w:rsidRPr="00D11D93">
        <w:rPr>
          <w:rFonts w:ascii="Palatino Linotype" w:eastAsia="Calibri" w:hAnsi="Palatino Linotype" w:cs="Arial"/>
          <w:i/>
          <w:color w:val="000000" w:themeColor="text1"/>
        </w:rPr>
        <w:t xml:space="preserve"> el artículo 8, 9 y 10 del reglamento Orgánico vigente. </w:t>
      </w:r>
    </w:p>
    <w:p w14:paraId="025C059C" w14:textId="77777777" w:rsidR="003B268D" w:rsidRPr="00D11D93" w:rsidRDefault="003B268D"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p>
    <w:p w14:paraId="1F4FF050" w14:textId="04782092" w:rsidR="003B268D" w:rsidRPr="00D11D93" w:rsidRDefault="003B268D"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2.- número total de tomas de agua. </w:t>
      </w:r>
    </w:p>
    <w:p w14:paraId="3ACF66D2" w14:textId="77777777"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lastRenderedPageBreak/>
        <w:t xml:space="preserve">En una búsqueda exhaustiva en nuestro sistema de padrón de usuarios de uno doméstico y no domestico se tienen. 111,102 registros de tomas de agua. </w:t>
      </w:r>
    </w:p>
    <w:p w14:paraId="542755F8" w14:textId="6C26DDBF"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3.- Número total de tomas de agua de tipo doméstico. </w:t>
      </w:r>
    </w:p>
    <w:p w14:paraId="2A15E5E5" w14:textId="4EA1FB19"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En una búsqueda exhaustiva en nuestro sistema de padrón de usuarios de uso doméstico se tienen. 102, 391 registro de tomas de agua. </w:t>
      </w:r>
    </w:p>
    <w:p w14:paraId="71C5DC51" w14:textId="4FD8E414"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4.- número de tomas de tipo industrial. </w:t>
      </w:r>
    </w:p>
    <w:p w14:paraId="7F61391C" w14:textId="6A0ABF05"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En una búsqueda exhaustiva de nuestro sistema de registros de tomas de agua y en el padrón de usuarios de este Organismo Descentralizado. No se encontró el concepto de toma industrial. Solo uso Doméstico y uso Comercial </w:t>
      </w:r>
      <w:proofErr w:type="gramStart"/>
      <w:r w:rsidRPr="00D11D93">
        <w:rPr>
          <w:rFonts w:ascii="Palatino Linotype" w:eastAsia="Calibri" w:hAnsi="Palatino Linotype" w:cs="Arial"/>
          <w:i/>
          <w:color w:val="000000" w:themeColor="text1"/>
        </w:rPr>
        <w:t xml:space="preserve">( </w:t>
      </w:r>
      <w:proofErr w:type="spellStart"/>
      <w:r w:rsidRPr="00D11D93">
        <w:rPr>
          <w:rFonts w:ascii="Palatino Linotype" w:eastAsia="Calibri" w:hAnsi="Palatino Linotype" w:cs="Arial"/>
          <w:i/>
          <w:color w:val="000000" w:themeColor="text1"/>
        </w:rPr>
        <w:t>articulo</w:t>
      </w:r>
      <w:proofErr w:type="spellEnd"/>
      <w:proofErr w:type="gramEnd"/>
      <w:r w:rsidRPr="00D11D93">
        <w:rPr>
          <w:rFonts w:ascii="Palatino Linotype" w:eastAsia="Calibri" w:hAnsi="Palatino Linotype" w:cs="Arial"/>
          <w:i/>
          <w:color w:val="000000" w:themeColor="text1"/>
        </w:rPr>
        <w:t xml:space="preserve"> 130 Bis. Del Código Financiero del Estado de México y Municipios) </w:t>
      </w:r>
    </w:p>
    <w:p w14:paraId="27FD16A9" w14:textId="77777777"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p>
    <w:p w14:paraId="335B11D5" w14:textId="1BE07245"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w:t>
      </w:r>
    </w:p>
    <w:p w14:paraId="0C8C8CBF" w14:textId="1DB31D5E"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5.- Numero de tomas tipo popular. </w:t>
      </w:r>
    </w:p>
    <w:p w14:paraId="3FD38309" w14:textId="77777777"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En una búsqueda de nuestro sistema del padrón de usuarios de uso doméstico están registradas 64,865 tomas de agua de tipo popular. </w:t>
      </w:r>
    </w:p>
    <w:p w14:paraId="75F83392" w14:textId="77777777"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sidRPr="00D11D93">
        <w:rPr>
          <w:rFonts w:ascii="Palatino Linotype" w:eastAsia="Calibri" w:hAnsi="Palatino Linotype" w:cs="Arial"/>
          <w:color w:val="000000" w:themeColor="text1"/>
        </w:rPr>
        <w:t>(….)”</w:t>
      </w:r>
    </w:p>
    <w:p w14:paraId="0BD24BD0" w14:textId="4DDF5E93" w:rsidR="003B268D" w:rsidRPr="00D11D93" w:rsidRDefault="003B268D" w:rsidP="003B268D">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sidRPr="00D11D93">
        <w:rPr>
          <w:rFonts w:ascii="Palatino Linotype" w:eastAsia="Calibri" w:hAnsi="Palatino Linotype" w:cs="Arial"/>
          <w:color w:val="000000" w:themeColor="text1"/>
        </w:rPr>
        <w:t xml:space="preserve"> </w:t>
      </w:r>
    </w:p>
    <w:p w14:paraId="53DE86E9" w14:textId="5E65E3D8" w:rsidR="00181DE8" w:rsidRPr="00D11D93" w:rsidRDefault="00624938" w:rsidP="009A66E3">
      <w:pPr>
        <w:pStyle w:val="Prrafodelista"/>
        <w:numPr>
          <w:ilvl w:val="0"/>
          <w:numId w:val="27"/>
        </w:numPr>
        <w:tabs>
          <w:tab w:val="left" w:pos="284"/>
        </w:tabs>
        <w:spacing w:before="240" w:after="240" w:line="360" w:lineRule="auto"/>
        <w:ind w:right="738"/>
        <w:contextualSpacing/>
        <w:jc w:val="both"/>
        <w:rPr>
          <w:rFonts w:ascii="Palatino Linotype" w:eastAsia="Calibri" w:hAnsi="Palatino Linotype" w:cs="Arial"/>
          <w:color w:val="000000" w:themeColor="text1"/>
        </w:rPr>
      </w:pPr>
      <w:hyperlink r:id="rId10" w:history="1">
        <w:r w:rsidR="009A66E3" w:rsidRPr="00D11D93">
          <w:rPr>
            <w:rStyle w:val="Hipervnculo"/>
            <w:rFonts w:ascii="Palatino Linotype" w:eastAsia="Calibri" w:hAnsi="Palatino Linotype" w:cs="Arial"/>
            <w:b/>
            <w:bCs/>
            <w:color w:val="auto"/>
            <w:u w:val="none"/>
          </w:rPr>
          <w:t>INFORME JUSTIFICADO COMISIONADA.pdf</w:t>
        </w:r>
      </w:hyperlink>
      <w:r w:rsidR="003B268D" w:rsidRPr="00D11D93">
        <w:rPr>
          <w:rFonts w:ascii="Palatino Linotype" w:eastAsia="Calibri" w:hAnsi="Palatino Linotype" w:cs="Arial"/>
          <w:b/>
        </w:rPr>
        <w:t>:</w:t>
      </w:r>
      <w:r w:rsidR="003B268D" w:rsidRPr="00D11D93">
        <w:rPr>
          <w:rFonts w:ascii="Palatino Linotype" w:eastAsia="Calibri" w:hAnsi="Palatino Linotype" w:cs="Arial"/>
        </w:rPr>
        <w:t xml:space="preserve"> </w:t>
      </w:r>
      <w:r w:rsidR="009A66E3" w:rsidRPr="00D11D93">
        <w:rPr>
          <w:rFonts w:ascii="Palatino Linotype" w:eastAsia="Calibri" w:hAnsi="Palatino Linotype" w:cs="Arial"/>
          <w:color w:val="000000" w:themeColor="text1"/>
        </w:rPr>
        <w:t>Documento electrónico que en una (01) hoja</w:t>
      </w:r>
      <w:r w:rsidR="003B268D" w:rsidRPr="00D11D93">
        <w:rPr>
          <w:rFonts w:ascii="Palatino Linotype" w:eastAsia="Calibri" w:hAnsi="Palatino Linotype" w:cs="Arial"/>
          <w:color w:val="000000" w:themeColor="text1"/>
        </w:rPr>
        <w:t xml:space="preserve"> contiene el</w:t>
      </w:r>
      <w:r w:rsidR="009A66E3" w:rsidRPr="00D11D93">
        <w:rPr>
          <w:rFonts w:ascii="Palatino Linotype" w:eastAsia="Calibri" w:hAnsi="Palatino Linotype" w:cs="Arial"/>
          <w:color w:val="000000" w:themeColor="text1"/>
        </w:rPr>
        <w:t xml:space="preserve"> oficio SAPASAC/DG/UT/RR/01/2022</w:t>
      </w:r>
      <w:r w:rsidR="003B268D" w:rsidRPr="00D11D93">
        <w:rPr>
          <w:rFonts w:ascii="Palatino Linotype" w:eastAsia="Calibri" w:hAnsi="Palatino Linotype" w:cs="Arial"/>
          <w:color w:val="000000" w:themeColor="text1"/>
        </w:rPr>
        <w:t xml:space="preserve"> dirigido a</w:t>
      </w:r>
      <w:r w:rsidR="009A66E3" w:rsidRPr="00D11D93">
        <w:rPr>
          <w:rFonts w:ascii="Palatino Linotype" w:eastAsia="Calibri" w:hAnsi="Palatino Linotype" w:cs="Arial"/>
          <w:color w:val="000000" w:themeColor="text1"/>
        </w:rPr>
        <w:t xml:space="preserve"> </w:t>
      </w:r>
      <w:r w:rsidR="003B268D" w:rsidRPr="00D11D93">
        <w:rPr>
          <w:rFonts w:ascii="Palatino Linotype" w:eastAsia="Calibri" w:hAnsi="Palatino Linotype" w:cs="Arial"/>
          <w:color w:val="000000" w:themeColor="text1"/>
        </w:rPr>
        <w:t>l</w:t>
      </w:r>
      <w:r w:rsidR="009A66E3" w:rsidRPr="00D11D93">
        <w:rPr>
          <w:rFonts w:ascii="Palatino Linotype" w:eastAsia="Calibri" w:hAnsi="Palatino Linotype" w:cs="Arial"/>
          <w:color w:val="000000" w:themeColor="text1"/>
        </w:rPr>
        <w:t xml:space="preserve">a Comisionada María del Rosario Mejía Ayala </w:t>
      </w:r>
      <w:r w:rsidR="003B268D" w:rsidRPr="00D11D93">
        <w:rPr>
          <w:rFonts w:ascii="Palatino Linotype" w:eastAsia="Calibri" w:hAnsi="Palatino Linotype" w:cs="Arial"/>
          <w:color w:val="000000" w:themeColor="text1"/>
        </w:rPr>
        <w:t xml:space="preserve">y suscrito por el Titular de la Unidad de </w:t>
      </w:r>
      <w:r w:rsidR="003B268D" w:rsidRPr="00D11D93">
        <w:rPr>
          <w:rFonts w:ascii="Palatino Linotype" w:eastAsia="Calibri" w:hAnsi="Palatino Linotype" w:cs="Arial"/>
          <w:color w:val="000000" w:themeColor="text1"/>
        </w:rPr>
        <w:lastRenderedPageBreak/>
        <w:t>Transparencia y Acceso</w:t>
      </w:r>
      <w:r w:rsidR="009A66E3" w:rsidRPr="00D11D93">
        <w:rPr>
          <w:rFonts w:ascii="Palatino Linotype" w:eastAsia="Calibri" w:hAnsi="Palatino Linotype" w:cs="Arial"/>
          <w:color w:val="000000" w:themeColor="text1"/>
        </w:rPr>
        <w:t xml:space="preserve"> a la Información Pública del Organismo Público Descentralizado S</w:t>
      </w:r>
      <w:r w:rsidR="003B268D" w:rsidRPr="00D11D93">
        <w:rPr>
          <w:rFonts w:ascii="Palatino Linotype" w:eastAsia="Calibri" w:hAnsi="Palatino Linotype" w:cs="Arial"/>
          <w:color w:val="000000" w:themeColor="text1"/>
        </w:rPr>
        <w:t>.A.P.A.S.A, mediante el cual se refiere:</w:t>
      </w:r>
    </w:p>
    <w:p w14:paraId="05E2C018" w14:textId="77777777" w:rsidR="00543928" w:rsidRPr="00D11D93" w:rsidRDefault="00543928" w:rsidP="00543928">
      <w:pPr>
        <w:pStyle w:val="Prrafodelista"/>
        <w:tabs>
          <w:tab w:val="left" w:pos="284"/>
        </w:tabs>
        <w:spacing w:before="240" w:after="240" w:line="360" w:lineRule="auto"/>
        <w:ind w:left="720" w:right="738"/>
        <w:contextualSpacing/>
        <w:jc w:val="both"/>
        <w:rPr>
          <w:rFonts w:ascii="Palatino Linotype" w:eastAsia="Calibri" w:hAnsi="Palatino Linotype" w:cs="Arial"/>
          <w:color w:val="000000" w:themeColor="text1"/>
        </w:rPr>
      </w:pPr>
    </w:p>
    <w:p w14:paraId="2D15F425" w14:textId="4BF37218" w:rsidR="00B209F5" w:rsidRPr="00D11D93"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D11D93">
        <w:rPr>
          <w:rFonts w:ascii="Palatino Linotype" w:eastAsia="Calibri" w:hAnsi="Palatino Linotype" w:cs="Arial"/>
          <w:i/>
          <w:color w:val="000000" w:themeColor="text1"/>
        </w:rPr>
        <w:t xml:space="preserve">“… </w:t>
      </w:r>
      <w:r w:rsidR="009A66E3" w:rsidRPr="00D11D93">
        <w:rPr>
          <w:rFonts w:ascii="Palatino Linotype" w:eastAsia="Calibri" w:hAnsi="Palatino Linotype" w:cs="Arial"/>
          <w:i/>
          <w:color w:val="000000" w:themeColor="text1"/>
        </w:rPr>
        <w:t>En una búsqueda exhaustiva de nuestro sistema de registros de tomas de agua y en el padrón de usuarios de este Organismo de Descentralización. No se encontró el concepto de toma industrial. Solo uso Comercial de las cuales hasta el día de hoy existen 8,711 (Artículo 130 Bis. Del código financiero del Estado de México y Municipios)</w:t>
      </w:r>
      <w:r w:rsidR="00B209F5" w:rsidRPr="00D11D93">
        <w:rPr>
          <w:rFonts w:ascii="Palatino Linotype" w:eastAsia="Calibri" w:hAnsi="Palatino Linotype" w:cs="Arial"/>
          <w:i/>
          <w:color w:val="000000" w:themeColor="text1"/>
        </w:rPr>
        <w:t>…”</w:t>
      </w:r>
    </w:p>
    <w:p w14:paraId="63878AC4" w14:textId="77777777" w:rsidR="00E76B48" w:rsidRPr="00D11D93" w:rsidRDefault="00E76B48" w:rsidP="009A66E3">
      <w:pPr>
        <w:tabs>
          <w:tab w:val="left" w:pos="284"/>
        </w:tabs>
        <w:spacing w:before="240" w:after="240" w:line="360" w:lineRule="auto"/>
        <w:ind w:right="738"/>
        <w:contextualSpacing/>
        <w:jc w:val="both"/>
        <w:rPr>
          <w:rFonts w:ascii="Palatino Linotype" w:eastAsia="Calibri" w:hAnsi="Palatino Linotype" w:cs="Arial"/>
          <w:color w:val="000000" w:themeColor="text1"/>
        </w:rPr>
      </w:pPr>
      <w:bookmarkStart w:id="4" w:name="_Toc461555889"/>
      <w:bookmarkStart w:id="5" w:name="_Toc466371858"/>
    </w:p>
    <w:p w14:paraId="4DED528E" w14:textId="68FF4B1D" w:rsidR="00CE0F45" w:rsidRPr="00D11D93" w:rsidRDefault="00CE0F45" w:rsidP="00CE0F45">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11D93">
        <w:rPr>
          <w:rFonts w:ascii="Palatino Linotype" w:eastAsia="Calibri" w:hAnsi="Palatino Linotype" w:cs="Arial"/>
          <w:lang w:val="es-ES_tradnl"/>
        </w:rPr>
        <w:t>La</w:t>
      </w:r>
      <w:r w:rsidRPr="00D11D93">
        <w:rPr>
          <w:rFonts w:ascii="Palatino Linotype" w:eastAsiaTheme="minorEastAsia" w:hAnsi="Palatino Linotype" w:cstheme="minorBidi"/>
          <w:lang w:val="es-ES_tradnl"/>
        </w:rPr>
        <w:t xml:space="preserve"> Comisionada Ponente decretó el cierre del periodo de instrucción</w:t>
      </w:r>
      <w:r w:rsidRPr="00D11D93">
        <w:rPr>
          <w:rFonts w:ascii="Palatino Linotype" w:eastAsiaTheme="minorEastAsia" w:hAnsi="Palatino Linotype" w:cs="Arial"/>
          <w:lang w:val="es-ES_tradnl"/>
        </w:rPr>
        <w:t xml:space="preserve"> </w:t>
      </w:r>
      <w:r w:rsidR="009A66E3" w:rsidRPr="00D11D93">
        <w:rPr>
          <w:rFonts w:ascii="Palatino Linotype" w:eastAsiaTheme="minorEastAsia" w:hAnsi="Palatino Linotype" w:cstheme="minorBidi"/>
          <w:lang w:val="es-ES_tradnl"/>
        </w:rPr>
        <w:t>mediante acuerdo de ocho (08</w:t>
      </w:r>
      <w:r w:rsidRPr="00D11D93">
        <w:rPr>
          <w:rFonts w:ascii="Palatino Linotype" w:eastAsiaTheme="minorEastAsia" w:hAnsi="Palatino Linotype" w:cstheme="minorBidi"/>
          <w:lang w:val="es-ES_tradnl"/>
        </w:rPr>
        <w:t>) de</w:t>
      </w:r>
      <w:r w:rsidR="009A66E3" w:rsidRPr="00D11D93">
        <w:rPr>
          <w:rFonts w:ascii="Palatino Linotype" w:eastAsiaTheme="minorEastAsia" w:hAnsi="Palatino Linotype" w:cstheme="minorBidi"/>
          <w:lang w:val="es-ES_tradnl"/>
        </w:rPr>
        <w:t xml:space="preserve"> abril </w:t>
      </w:r>
      <w:r w:rsidRPr="00D11D93">
        <w:rPr>
          <w:rFonts w:ascii="Palatino Linotype" w:eastAsiaTheme="minorEastAsia" w:hAnsi="Palatino Linotype" w:cstheme="minorBidi"/>
          <w:lang w:val="es-ES_tradnl"/>
        </w:rPr>
        <w:t xml:space="preserve">de dos mil veintidós. </w:t>
      </w:r>
    </w:p>
    <w:p w14:paraId="3084EEE5" w14:textId="77777777" w:rsidR="007F7B11" w:rsidRPr="00D11D93"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D11D93"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6" w:name="_Toc99999251"/>
      <w:r w:rsidRPr="00D11D93">
        <w:rPr>
          <w:rFonts w:ascii="Palatino Linotype" w:eastAsiaTheme="majorEastAsia" w:hAnsi="Palatino Linotype" w:cstheme="majorBidi"/>
          <w:b/>
          <w:color w:val="000000" w:themeColor="text1"/>
          <w:lang w:val="es-MX" w:eastAsia="en-US"/>
        </w:rPr>
        <w:t>CONSIDERANDO</w:t>
      </w:r>
      <w:bookmarkEnd w:id="4"/>
      <w:bookmarkEnd w:id="5"/>
      <w:bookmarkEnd w:id="6"/>
    </w:p>
    <w:p w14:paraId="47519C7A" w14:textId="77777777" w:rsidR="007F7B11" w:rsidRPr="00D11D93" w:rsidRDefault="007F7B11" w:rsidP="00CA6269">
      <w:pPr>
        <w:spacing w:line="360" w:lineRule="auto"/>
        <w:rPr>
          <w:rFonts w:ascii="Palatino Linotype" w:eastAsiaTheme="minorEastAsia" w:hAnsi="Palatino Linotype" w:cstheme="minorBidi"/>
          <w:lang w:val="es-MX" w:eastAsia="en-US"/>
        </w:rPr>
      </w:pPr>
    </w:p>
    <w:p w14:paraId="20ECDB0D" w14:textId="66F01E66" w:rsidR="007F7B11" w:rsidRPr="00D11D93"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7" w:name="_Toc461555890"/>
      <w:bookmarkStart w:id="8" w:name="_Toc466371859"/>
      <w:bookmarkStart w:id="9" w:name="_Toc99999252"/>
      <w:r w:rsidRPr="00D11D93">
        <w:rPr>
          <w:rFonts w:ascii="Palatino Linotype" w:eastAsiaTheme="majorEastAsia" w:hAnsi="Palatino Linotype" w:cstheme="majorBidi"/>
          <w:b/>
          <w:lang w:val="es-MX" w:eastAsia="en-US"/>
        </w:rPr>
        <w:t>PRIMERO. De la competencia</w:t>
      </w:r>
      <w:bookmarkEnd w:id="7"/>
      <w:bookmarkEnd w:id="8"/>
      <w:r w:rsidR="00543928" w:rsidRPr="00D11D93">
        <w:rPr>
          <w:rFonts w:ascii="Palatino Linotype" w:eastAsiaTheme="majorEastAsia" w:hAnsi="Palatino Linotype" w:cstheme="majorBidi"/>
          <w:b/>
          <w:lang w:val="es-MX" w:eastAsia="en-US"/>
        </w:rPr>
        <w:t>.</w:t>
      </w:r>
      <w:bookmarkEnd w:id="9"/>
    </w:p>
    <w:p w14:paraId="399C3653" w14:textId="77777777" w:rsidR="007F7B11" w:rsidRPr="00D11D93" w:rsidRDefault="007F7B11" w:rsidP="00CA6269">
      <w:pPr>
        <w:spacing w:line="360" w:lineRule="auto"/>
        <w:rPr>
          <w:rFonts w:ascii="Palatino Linotype" w:eastAsiaTheme="minorEastAsia" w:hAnsi="Palatino Linotype" w:cstheme="minorBidi"/>
          <w:lang w:val="es-MX" w:eastAsia="en-US"/>
        </w:rPr>
      </w:pPr>
    </w:p>
    <w:p w14:paraId="5385D441" w14:textId="7FCC67E4" w:rsidR="00EB08EE" w:rsidRPr="00D11D93" w:rsidRDefault="00EB08EE" w:rsidP="00BC32C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D11D9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11D93">
        <w:rPr>
          <w:rFonts w:ascii="Palatino Linotype" w:eastAsia="Calibri" w:hAnsi="Palatino Linotype"/>
          <w:b/>
        </w:rPr>
        <w:t>Constitución Política de los Estados Unidos Mexicanos</w:t>
      </w:r>
      <w:r w:rsidRPr="00D11D93">
        <w:rPr>
          <w:rFonts w:ascii="Palatino Linotype" w:eastAsia="Calibri" w:hAnsi="Palatino Linotype"/>
        </w:rPr>
        <w:t xml:space="preserve">; </w:t>
      </w:r>
      <w:r w:rsidRPr="00D11D93">
        <w:rPr>
          <w:rFonts w:ascii="Palatino Linotype" w:eastAsia="Calibri" w:hAnsi="Palatino Linotype" w:cs="Arial"/>
          <w:bCs/>
          <w:color w:val="222222"/>
          <w:shd w:val="clear" w:color="auto" w:fill="FFFFFF"/>
          <w:lang w:eastAsia="en-US"/>
        </w:rPr>
        <w:t>5, párrafo</w:t>
      </w:r>
      <w:r w:rsidRPr="00D11D93">
        <w:rPr>
          <w:rFonts w:ascii="Palatino Linotype" w:eastAsia="Calibri" w:hAnsi="Palatino Linotype"/>
          <w:lang w:val="es-MX" w:eastAsia="en-US"/>
        </w:rPr>
        <w:t xml:space="preserve"> </w:t>
      </w:r>
      <w:r w:rsidRPr="00D11D93">
        <w:rPr>
          <w:rFonts w:ascii="Palatino Linotype" w:eastAsia="Calibri" w:hAnsi="Palatino Linotype"/>
          <w:lang w:val="es-MX" w:eastAsia="en-US"/>
        </w:rPr>
        <w:lastRenderedPageBreak/>
        <w:t>trigésimo, trigésimo primero y trigésimo segundo, fracciones I, II, III, IV y V</w:t>
      </w:r>
      <w:r w:rsidRPr="00D11D93">
        <w:rPr>
          <w:rFonts w:ascii="Palatino Linotype" w:eastAsia="MS Mincho" w:hAnsi="Palatino Linotype"/>
          <w:lang w:val="es-ES_tradnl"/>
        </w:rPr>
        <w:t xml:space="preserve"> </w:t>
      </w:r>
      <w:r w:rsidRPr="00D11D93">
        <w:rPr>
          <w:rFonts w:ascii="Palatino Linotype" w:eastAsia="Calibri" w:hAnsi="Palatino Linotype"/>
        </w:rPr>
        <w:t xml:space="preserve">de la </w:t>
      </w:r>
      <w:r w:rsidRPr="00D11D93">
        <w:rPr>
          <w:rFonts w:ascii="Palatino Linotype" w:eastAsia="Calibri" w:hAnsi="Palatino Linotype"/>
          <w:b/>
        </w:rPr>
        <w:t>Constitución Política del Estado Libre y Soberano de México</w:t>
      </w:r>
      <w:r w:rsidRPr="00D11D93">
        <w:rPr>
          <w:rFonts w:ascii="Palatino Linotype" w:eastAsia="Calibri" w:hAnsi="Palatino Linotype"/>
        </w:rPr>
        <w:t xml:space="preserve">; artículos 1, 2 fracción II, 13, 29, 36 fracciones I y II, 176, 178, 179, 181 párrafo tercero y 185 </w:t>
      </w:r>
      <w:r w:rsidRPr="00D11D93">
        <w:rPr>
          <w:rFonts w:ascii="Palatino Linotype" w:eastAsia="Calibri" w:hAnsi="Palatino Linotype" w:cs="Arial"/>
        </w:rPr>
        <w:t xml:space="preserve">de la </w:t>
      </w:r>
      <w:r w:rsidRPr="00D11D93">
        <w:rPr>
          <w:rFonts w:ascii="Palatino Linotype" w:eastAsia="Calibri" w:hAnsi="Palatino Linotype" w:cs="Arial"/>
          <w:b/>
        </w:rPr>
        <w:t>Ley de Transparencia y Acceso a la Información Pública del Estado de México y Municipios</w:t>
      </w:r>
      <w:r w:rsidRPr="00D11D93">
        <w:rPr>
          <w:rFonts w:ascii="Palatino Linotype" w:eastAsia="Calibri" w:hAnsi="Palatino Linotype" w:cs="Arial"/>
        </w:rPr>
        <w:t xml:space="preserve">; </w:t>
      </w:r>
      <w:r w:rsidRPr="00D11D93">
        <w:rPr>
          <w:rFonts w:ascii="Palatino Linotype" w:eastAsia="Calibri" w:hAnsi="Palatino Linotype" w:cs="Arial"/>
          <w:b/>
        </w:rPr>
        <w:t>7, 9 fracciones I y XXIV, y 11</w:t>
      </w:r>
      <w:r w:rsidRPr="00D11D93">
        <w:rPr>
          <w:rFonts w:ascii="Palatino Linotype" w:eastAsia="Calibri" w:hAnsi="Palatino Linotype" w:cs="Arial"/>
        </w:rPr>
        <w:t xml:space="preserve"> del </w:t>
      </w:r>
      <w:r w:rsidRPr="00D11D93">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D11D93"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D11D93"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10" w:name="_Toc461555891"/>
      <w:bookmarkStart w:id="11" w:name="_Toc466371860"/>
      <w:bookmarkStart w:id="12" w:name="_Toc99999253"/>
      <w:r w:rsidRPr="00D11D93">
        <w:rPr>
          <w:rFonts w:ascii="Palatino Linotype" w:eastAsiaTheme="majorEastAsia" w:hAnsi="Palatino Linotype" w:cstheme="majorBidi"/>
          <w:b/>
          <w:lang w:val="es-MX" w:eastAsia="en-US"/>
        </w:rPr>
        <w:t>SEGUNDO. De la oportunidad y procedencia.</w:t>
      </w:r>
      <w:bookmarkEnd w:id="10"/>
      <w:bookmarkEnd w:id="11"/>
      <w:bookmarkEnd w:id="12"/>
    </w:p>
    <w:p w14:paraId="20E58107" w14:textId="77777777" w:rsidR="00D43086" w:rsidRPr="00D11D93" w:rsidRDefault="00D43086" w:rsidP="00D43086">
      <w:pPr>
        <w:keepNext/>
        <w:keepLines/>
        <w:tabs>
          <w:tab w:val="left" w:pos="0"/>
        </w:tabs>
        <w:spacing w:line="360" w:lineRule="auto"/>
        <w:contextualSpacing/>
        <w:outlineLvl w:val="0"/>
        <w:rPr>
          <w:rFonts w:ascii="Palatino Linotype" w:eastAsia="MS Gothic" w:hAnsi="Palatino Linotype"/>
          <w:b/>
          <w:lang w:val="es-MX" w:eastAsia="en-US"/>
        </w:rPr>
      </w:pPr>
    </w:p>
    <w:p w14:paraId="1F93BE37" w14:textId="72F3CA01" w:rsidR="00D43086" w:rsidRPr="00D11D93" w:rsidRDefault="00D43086" w:rsidP="00D43086">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D11D93">
        <w:rPr>
          <w:rFonts w:ascii="Palatino Linotype" w:eastAsia="Calibri" w:hAnsi="Palatino Linotype" w:cs="Arial"/>
          <w:lang w:val="es-ES_tradnl"/>
        </w:rPr>
        <w:t xml:space="preserve">El medio de impugnación fue presentado a través del </w:t>
      </w:r>
      <w:r w:rsidRPr="00D11D93">
        <w:rPr>
          <w:rFonts w:ascii="Palatino Linotype" w:eastAsia="Calibri" w:hAnsi="Palatino Linotype" w:cs="Arial"/>
          <w:b/>
          <w:lang w:val="es-ES_tradnl"/>
        </w:rPr>
        <w:t>SAIMEX,</w:t>
      </w:r>
      <w:r w:rsidRPr="00D11D9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11D93">
        <w:rPr>
          <w:rFonts w:ascii="Palatino Linotype" w:eastAsia="Calibri" w:hAnsi="Palatino Linotype" w:cs="Arial"/>
          <w:b/>
          <w:lang w:val="es-ES_tradnl"/>
        </w:rPr>
        <w:t>SUJETO OBLIGADO</w:t>
      </w:r>
      <w:r w:rsidR="00543928" w:rsidRPr="00D11D93">
        <w:rPr>
          <w:rFonts w:ascii="Palatino Linotype" w:eastAsia="Calibri" w:hAnsi="Palatino Linotype" w:cs="Arial"/>
          <w:lang w:val="es-ES_tradnl"/>
        </w:rPr>
        <w:t xml:space="preserve"> entregó respuesta el día dieciséis (16</w:t>
      </w:r>
      <w:r w:rsidRPr="00D11D93">
        <w:rPr>
          <w:rFonts w:ascii="Palatino Linotype" w:eastAsia="Calibri" w:hAnsi="Palatino Linotype" w:cs="Arial"/>
          <w:lang w:val="es-ES_tradnl"/>
        </w:rPr>
        <w:t>) de</w:t>
      </w:r>
      <w:r w:rsidR="00683BAF" w:rsidRPr="00D11D93">
        <w:rPr>
          <w:rFonts w:ascii="Palatino Linotype" w:eastAsia="Calibri" w:hAnsi="Palatino Linotype" w:cs="Arial"/>
          <w:lang w:val="es-ES_tradnl"/>
        </w:rPr>
        <w:t xml:space="preserve"> febrero de dos mil </w:t>
      </w:r>
      <w:r w:rsidR="00E76B48" w:rsidRPr="00D11D93">
        <w:rPr>
          <w:rFonts w:ascii="Palatino Linotype" w:eastAsia="Calibri" w:hAnsi="Palatino Linotype" w:cs="Arial"/>
          <w:lang w:val="es-ES_tradnl"/>
        </w:rPr>
        <w:t>veintidós</w:t>
      </w:r>
      <w:r w:rsidRPr="00D11D93">
        <w:rPr>
          <w:rFonts w:ascii="Palatino Linotype" w:eastAsia="Calibri" w:hAnsi="Palatino Linotype" w:cs="Arial"/>
          <w:lang w:val="es-MX" w:eastAsia="en-US"/>
        </w:rPr>
        <w:t>, el plazo para interponer el recurso</w:t>
      </w:r>
      <w:r w:rsidR="00543928" w:rsidRPr="00D11D93">
        <w:rPr>
          <w:rFonts w:ascii="Palatino Linotype" w:eastAsia="Calibri" w:hAnsi="Palatino Linotype" w:cs="Arial"/>
          <w:lang w:val="es-MX" w:eastAsia="en-US"/>
        </w:rPr>
        <w:t xml:space="preserve"> de revisión trascurrió del diecisiete (17</w:t>
      </w:r>
      <w:r w:rsidR="00683BAF" w:rsidRPr="00D11D93">
        <w:rPr>
          <w:rFonts w:ascii="Palatino Linotype" w:eastAsia="Calibri" w:hAnsi="Palatino Linotype" w:cs="Arial"/>
          <w:lang w:val="es-MX" w:eastAsia="en-US"/>
        </w:rPr>
        <w:t xml:space="preserve">) </w:t>
      </w:r>
      <w:r w:rsidR="00135E57" w:rsidRPr="00D11D93">
        <w:rPr>
          <w:rFonts w:ascii="Palatino Linotype" w:eastAsia="Calibri" w:hAnsi="Palatino Linotype" w:cs="Arial"/>
          <w:lang w:val="es-MX" w:eastAsia="en-US"/>
        </w:rPr>
        <w:t>de febrero al diez (10</w:t>
      </w:r>
      <w:r w:rsidRPr="00D11D93">
        <w:rPr>
          <w:rFonts w:ascii="Palatino Linotype" w:eastAsia="Calibri" w:hAnsi="Palatino Linotype" w:cs="Arial"/>
          <w:lang w:val="es-MX" w:eastAsia="en-US"/>
        </w:rPr>
        <w:t>) de</w:t>
      </w:r>
      <w:r w:rsidR="00135E57" w:rsidRPr="00D11D93">
        <w:rPr>
          <w:rFonts w:ascii="Palatino Linotype" w:eastAsia="Calibri" w:hAnsi="Palatino Linotype" w:cs="Arial"/>
          <w:lang w:val="es-MX" w:eastAsia="en-US"/>
        </w:rPr>
        <w:t xml:space="preserve"> marzo</w:t>
      </w:r>
      <w:r w:rsidR="00E76B48" w:rsidRPr="00D11D93">
        <w:rPr>
          <w:rFonts w:ascii="Palatino Linotype" w:eastAsia="Calibri" w:hAnsi="Palatino Linotype" w:cs="Arial"/>
          <w:lang w:val="es-MX" w:eastAsia="en-US"/>
        </w:rPr>
        <w:t xml:space="preserve"> de dos mil veintidós</w:t>
      </w:r>
      <w:r w:rsidRPr="00D11D93">
        <w:rPr>
          <w:rFonts w:ascii="Palatino Linotype" w:eastAsia="Calibri" w:hAnsi="Palatino Linotype" w:cs="Arial"/>
          <w:lang w:val="es-MX" w:eastAsia="en-US"/>
        </w:rPr>
        <w:t>, por lo que si el particular interpuso</w:t>
      </w:r>
      <w:r w:rsidR="00135E57" w:rsidRPr="00D11D93">
        <w:rPr>
          <w:rFonts w:ascii="Palatino Linotype" w:eastAsia="Calibri" w:hAnsi="Palatino Linotype" w:cs="Arial"/>
          <w:lang w:val="es-MX" w:eastAsia="en-US"/>
        </w:rPr>
        <w:t xml:space="preserve"> recurso de revisión el dieciocho (18</w:t>
      </w:r>
      <w:r w:rsidRPr="00D11D93">
        <w:rPr>
          <w:rFonts w:ascii="Palatino Linotype" w:eastAsia="Calibri" w:hAnsi="Palatino Linotype" w:cs="Arial"/>
          <w:lang w:val="es-MX" w:eastAsia="en-US"/>
        </w:rPr>
        <w:t>) de</w:t>
      </w:r>
      <w:r w:rsidR="00E76B48" w:rsidRPr="00D11D93">
        <w:rPr>
          <w:rFonts w:ascii="Palatino Linotype" w:eastAsia="Calibri" w:hAnsi="Palatino Linotype" w:cs="Arial"/>
          <w:lang w:val="es-MX" w:eastAsia="en-US"/>
        </w:rPr>
        <w:t xml:space="preserve"> febrero</w:t>
      </w:r>
      <w:r w:rsidR="00135E57" w:rsidRPr="00D11D93">
        <w:rPr>
          <w:rFonts w:ascii="Palatino Linotype" w:eastAsia="Calibri" w:hAnsi="Palatino Linotype" w:cs="Arial"/>
          <w:lang w:val="es-MX" w:eastAsia="en-US"/>
        </w:rPr>
        <w:t xml:space="preserve"> de dos mil veintidós,</w:t>
      </w:r>
      <w:r w:rsidR="00E76B48" w:rsidRPr="00D11D93">
        <w:rPr>
          <w:rFonts w:ascii="Palatino Linotype" w:eastAsia="Calibri" w:hAnsi="Palatino Linotype" w:cs="Arial"/>
          <w:lang w:val="es-MX" w:eastAsia="en-US"/>
        </w:rPr>
        <w:t xml:space="preserve"> </w:t>
      </w:r>
      <w:r w:rsidRPr="00D11D93">
        <w:rPr>
          <w:rFonts w:ascii="Palatino Linotype" w:hAnsi="Palatino Linotype"/>
          <w:lang w:val="es-ES_tradnl"/>
        </w:rPr>
        <w:t xml:space="preserve">se encuentra dentro del periodo establecido por la Ley. </w:t>
      </w:r>
    </w:p>
    <w:p w14:paraId="3280687A" w14:textId="68214420" w:rsidR="00D43086" w:rsidRPr="00D11D93" w:rsidRDefault="00D43086" w:rsidP="00D43086">
      <w:pPr>
        <w:pStyle w:val="Ttulo1"/>
        <w:spacing w:line="360" w:lineRule="auto"/>
        <w:jc w:val="both"/>
        <w:rPr>
          <w:rFonts w:ascii="Palatino Linotype" w:hAnsi="Palatino Linotype" w:cs="Arial"/>
          <w:b/>
          <w:sz w:val="24"/>
          <w:szCs w:val="24"/>
        </w:rPr>
      </w:pPr>
      <w:bookmarkStart w:id="13" w:name="_Toc89170794"/>
      <w:bookmarkStart w:id="14" w:name="_Toc89335547"/>
      <w:bookmarkStart w:id="15" w:name="_Toc89964362"/>
      <w:bookmarkStart w:id="16" w:name="_Toc98350361"/>
      <w:bookmarkStart w:id="17" w:name="_Toc99999254"/>
      <w:r w:rsidRPr="00D11D93">
        <w:rPr>
          <w:rFonts w:ascii="Palatino Linotype" w:hAnsi="Palatino Linotype"/>
          <w:b/>
          <w:color w:val="auto"/>
          <w:sz w:val="24"/>
          <w:szCs w:val="24"/>
        </w:rPr>
        <w:t>II</w:t>
      </w:r>
      <w:bookmarkStart w:id="18" w:name="_Toc82023088"/>
      <w:bookmarkStart w:id="19" w:name="_Toc82784385"/>
      <w:bookmarkStart w:id="20" w:name="_Toc84940707"/>
      <w:bookmarkStart w:id="21" w:name="_Toc89964363"/>
      <w:bookmarkStart w:id="22" w:name="_Toc98350362"/>
      <w:bookmarkEnd w:id="13"/>
      <w:bookmarkEnd w:id="14"/>
      <w:bookmarkEnd w:id="15"/>
      <w:bookmarkEnd w:id="16"/>
      <w:r w:rsidRPr="00D11D93">
        <w:rPr>
          <w:rFonts w:ascii="Palatino Linotype" w:hAnsi="Palatino Linotype"/>
          <w:b/>
          <w:color w:val="auto"/>
          <w:sz w:val="24"/>
          <w:szCs w:val="24"/>
        </w:rPr>
        <w:t xml:space="preserve">. </w:t>
      </w:r>
      <w:bookmarkStart w:id="23" w:name="_Toc67587987"/>
      <w:bookmarkStart w:id="24" w:name="_Toc68804763"/>
      <w:bookmarkEnd w:id="18"/>
      <w:bookmarkEnd w:id="19"/>
      <w:bookmarkEnd w:id="20"/>
      <w:r w:rsidRPr="00D11D93">
        <w:rPr>
          <w:rFonts w:ascii="Palatino Linotype" w:hAnsi="Palatino Linotype"/>
          <w:b/>
          <w:color w:val="000000" w:themeColor="text1"/>
          <w:sz w:val="24"/>
          <w:szCs w:val="24"/>
          <w:lang w:val="es-MX" w:eastAsia="en-US"/>
        </w:rPr>
        <w:t xml:space="preserve">De la determinación sobre la </w:t>
      </w:r>
      <w:proofErr w:type="spellStart"/>
      <w:r w:rsidRPr="00D11D93">
        <w:rPr>
          <w:rFonts w:ascii="Palatino Linotype" w:hAnsi="Palatino Linotype"/>
          <w:b/>
          <w:color w:val="000000" w:themeColor="text1"/>
          <w:sz w:val="24"/>
          <w:szCs w:val="24"/>
          <w:lang w:val="es-MX" w:eastAsia="en-US"/>
        </w:rPr>
        <w:t>procedibilidad</w:t>
      </w:r>
      <w:proofErr w:type="spellEnd"/>
      <w:r w:rsidRPr="00D11D93">
        <w:rPr>
          <w:rFonts w:ascii="Palatino Linotype" w:hAnsi="Palatino Linotype"/>
          <w:b/>
          <w:color w:val="000000" w:themeColor="text1"/>
          <w:sz w:val="24"/>
          <w:szCs w:val="24"/>
          <w:lang w:val="es-MX" w:eastAsia="en-US"/>
        </w:rPr>
        <w:t xml:space="preserve"> del recurso.</w:t>
      </w:r>
      <w:bookmarkEnd w:id="17"/>
      <w:bookmarkEnd w:id="21"/>
      <w:bookmarkEnd w:id="22"/>
      <w:bookmarkEnd w:id="23"/>
      <w:bookmarkEnd w:id="24"/>
      <w:r w:rsidRPr="00D11D93">
        <w:rPr>
          <w:rFonts w:ascii="Palatino Linotype" w:hAnsi="Palatino Linotype"/>
          <w:b/>
          <w:color w:val="000000" w:themeColor="text1"/>
          <w:sz w:val="24"/>
          <w:szCs w:val="24"/>
          <w:lang w:val="es-MX" w:eastAsia="en-US"/>
        </w:rPr>
        <w:t xml:space="preserve"> </w:t>
      </w:r>
    </w:p>
    <w:p w14:paraId="0334F16E" w14:textId="77777777" w:rsidR="00D43086" w:rsidRPr="00D11D93" w:rsidRDefault="00D43086" w:rsidP="00D43086">
      <w:pPr>
        <w:spacing w:line="360" w:lineRule="auto"/>
        <w:rPr>
          <w:rFonts w:ascii="Palatino Linotype" w:hAnsi="Palatino Linotype"/>
          <w:lang w:val="es-MX" w:eastAsia="en-US"/>
        </w:rPr>
      </w:pPr>
    </w:p>
    <w:p w14:paraId="63B996C5" w14:textId="0098D58A" w:rsidR="007F7B11" w:rsidRPr="00D11D93" w:rsidRDefault="00D43086" w:rsidP="00D43086">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D11D93">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550094" w14:textId="77777777" w:rsidR="007E3C71" w:rsidRPr="00D11D93" w:rsidRDefault="007E3C71" w:rsidP="007E3C71">
      <w:pPr>
        <w:pStyle w:val="Prrafodelista"/>
        <w:spacing w:after="160" w:line="360" w:lineRule="auto"/>
        <w:ind w:left="0" w:right="49"/>
        <w:contextualSpacing/>
        <w:jc w:val="both"/>
        <w:rPr>
          <w:rFonts w:ascii="Palatino Linotype" w:hAnsi="Palatino Linotype"/>
          <w:lang w:val="es-ES_tradnl"/>
        </w:rPr>
      </w:pPr>
    </w:p>
    <w:p w14:paraId="0B2DFE50" w14:textId="20552733" w:rsidR="00CD2AC2" w:rsidRPr="00D11D93" w:rsidRDefault="007F7B11" w:rsidP="00567210">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5" w:name="_Toc500360400"/>
      <w:bookmarkStart w:id="26" w:name="_Toc459174366"/>
      <w:bookmarkStart w:id="27" w:name="_Toc459659884"/>
      <w:bookmarkStart w:id="28" w:name="_Toc461687280"/>
      <w:bookmarkStart w:id="29" w:name="_Toc462771051"/>
      <w:bookmarkStart w:id="30" w:name="_Toc464139201"/>
      <w:bookmarkStart w:id="31" w:name="_Toc495427545"/>
      <w:bookmarkStart w:id="32" w:name="_Toc499296549"/>
      <w:bookmarkStart w:id="33" w:name="_Toc99999255"/>
      <w:r w:rsidRPr="00D11D93">
        <w:rPr>
          <w:rFonts w:ascii="Palatino Linotype" w:eastAsiaTheme="majorEastAsia" w:hAnsi="Palatino Linotype" w:cstheme="majorBidi"/>
          <w:b/>
          <w:color w:val="000000" w:themeColor="text1"/>
          <w:lang w:val="es-MX" w:eastAsia="en-US"/>
        </w:rPr>
        <w:t xml:space="preserve">TERCERO. </w:t>
      </w:r>
      <w:r w:rsidRPr="00D11D93">
        <w:rPr>
          <w:rFonts w:ascii="Palatino Linotype" w:eastAsiaTheme="majorEastAsia" w:hAnsi="Palatino Linotype" w:cstheme="majorBidi"/>
          <w:b/>
          <w:lang w:val="es-MX" w:eastAsia="en-US"/>
        </w:rPr>
        <w:t>De las causales del sobreseimiento.</w:t>
      </w:r>
      <w:bookmarkEnd w:id="25"/>
      <w:bookmarkEnd w:id="26"/>
      <w:bookmarkEnd w:id="27"/>
      <w:bookmarkEnd w:id="28"/>
      <w:bookmarkEnd w:id="29"/>
      <w:bookmarkEnd w:id="30"/>
      <w:bookmarkEnd w:id="31"/>
      <w:bookmarkEnd w:id="32"/>
      <w:bookmarkEnd w:id="33"/>
    </w:p>
    <w:p w14:paraId="7DCD8ADE" w14:textId="77777777" w:rsidR="00CD2AC2" w:rsidRPr="00D11D93" w:rsidRDefault="00CD2AC2" w:rsidP="00567210">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076043C4" w14:textId="77777777" w:rsidR="00E433A7" w:rsidRPr="00D11D93" w:rsidRDefault="00567210" w:rsidP="00E433A7">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bookmarkStart w:id="34" w:name="_Toc497905366"/>
      <w:bookmarkStart w:id="35" w:name="_Toc495427547"/>
      <w:bookmarkStart w:id="36" w:name="_Toc466377653"/>
      <w:bookmarkStart w:id="37" w:name="_Toc466371865"/>
      <w:r w:rsidRPr="00D11D93">
        <w:rPr>
          <w:rFonts w:ascii="Palatino Linotype" w:eastAsia="MS Mincho" w:hAnsi="Palatino Linotype" w:cs="Arial"/>
          <w:lang w:val="es-ES_tradnl"/>
        </w:rPr>
        <w:t xml:space="preserve">El recurso revisión tiene como finalidad reparar cualquier posible afectación al derecho de acceso a la información pública en términos del Título Octavo de la Ley de </w:t>
      </w:r>
      <w:r w:rsidRPr="00D11D93">
        <w:rPr>
          <w:rFonts w:ascii="Palatino Linotype" w:eastAsia="Calibri" w:hAnsi="Palatino Linotype" w:cs="Arial"/>
          <w:lang w:val="es-ES_tradnl"/>
        </w:rPr>
        <w:t>Transparencia, Acceso a la Información Pública del Estado de México y Municipios</w:t>
      </w:r>
      <w:r w:rsidRPr="00D11D93">
        <w:rPr>
          <w:rFonts w:ascii="Palatino Linotype" w:eastAsia="MS Mincho" w:hAnsi="Palatino Linotype" w:cs="Arial"/>
          <w:lang w:val="es-ES_tradnl"/>
        </w:rPr>
        <w:t xml:space="preserve">, y determinar la confirmación; revocación o modificación; </w:t>
      </w:r>
      <w:proofErr w:type="spellStart"/>
      <w:r w:rsidRPr="00D11D93">
        <w:rPr>
          <w:rFonts w:ascii="Palatino Linotype" w:eastAsia="MS Mincho" w:hAnsi="Palatino Linotype" w:cs="Arial"/>
          <w:lang w:val="es-ES_tradnl"/>
        </w:rPr>
        <w:t>desechamiento</w:t>
      </w:r>
      <w:proofErr w:type="spellEnd"/>
      <w:r w:rsidRPr="00D11D93">
        <w:rPr>
          <w:rFonts w:ascii="Palatino Linotype" w:eastAsia="MS Mincho" w:hAnsi="Palatino Linotype" w:cs="Arial"/>
          <w:lang w:val="es-ES_tradnl"/>
        </w:rPr>
        <w:t xml:space="preserve"> o </w:t>
      </w:r>
      <w:r w:rsidRPr="00D11D93">
        <w:rPr>
          <w:rFonts w:ascii="Palatino Linotype" w:eastAsia="MS Mincho" w:hAnsi="Palatino Linotype" w:cs="Arial"/>
          <w:b/>
          <w:u w:val="single"/>
          <w:lang w:val="es-ES_tradnl"/>
        </w:rPr>
        <w:t>sobreseimiento</w:t>
      </w:r>
      <w:r w:rsidRPr="00D11D93">
        <w:rPr>
          <w:rFonts w:ascii="Palatino Linotype" w:eastAsia="MS Mincho" w:hAnsi="Palatino Linotype" w:cs="Arial"/>
          <w:lang w:val="es-ES_tradnl"/>
        </w:rPr>
        <w:t xml:space="preserve">; y en su caso ordenar la entrega de la información con respecto a la respuesta emitida por el </w:t>
      </w:r>
      <w:r w:rsidRPr="00D11D93">
        <w:rPr>
          <w:rFonts w:ascii="Palatino Linotype" w:eastAsia="MS Mincho" w:hAnsi="Palatino Linotype" w:cs="Arial"/>
          <w:b/>
          <w:lang w:val="es-ES_tradnl"/>
        </w:rPr>
        <w:t>SUJETO</w:t>
      </w:r>
      <w:r w:rsidRPr="00D11D93">
        <w:rPr>
          <w:rFonts w:ascii="Palatino Linotype" w:eastAsia="MS Mincho" w:hAnsi="Palatino Linotype" w:cs="Arial"/>
          <w:lang w:val="es-ES_tradnl"/>
        </w:rPr>
        <w:t xml:space="preserve"> </w:t>
      </w:r>
      <w:r w:rsidRPr="00D11D93">
        <w:rPr>
          <w:rFonts w:ascii="Palatino Linotype" w:eastAsia="MS Mincho" w:hAnsi="Palatino Linotype" w:cs="Arial"/>
          <w:b/>
          <w:lang w:val="es-ES_tradnl"/>
        </w:rPr>
        <w:t>OBLIGADO</w:t>
      </w:r>
      <w:r w:rsidRPr="00D11D93">
        <w:rPr>
          <w:rFonts w:ascii="Palatino Linotype" w:eastAsia="MS Mincho" w:hAnsi="Palatino Linotype" w:cs="Arial"/>
          <w:lang w:val="es-ES_tradnl"/>
        </w:rPr>
        <w:t>.</w:t>
      </w:r>
    </w:p>
    <w:p w14:paraId="0FD3D926" w14:textId="77777777" w:rsidR="00E433A7" w:rsidRPr="00D11D93" w:rsidRDefault="00E433A7" w:rsidP="00E433A7">
      <w:pPr>
        <w:pStyle w:val="Prrafodelista"/>
        <w:spacing w:line="360" w:lineRule="auto"/>
        <w:ind w:left="0" w:right="49"/>
        <w:contextualSpacing/>
        <w:jc w:val="both"/>
        <w:rPr>
          <w:rFonts w:ascii="Palatino Linotype" w:eastAsia="MS Mincho" w:hAnsi="Palatino Linotype" w:cs="Arial"/>
          <w:lang w:val="es-ES_tradnl"/>
        </w:rPr>
      </w:pPr>
    </w:p>
    <w:p w14:paraId="061EC879" w14:textId="77777777" w:rsidR="00E433A7" w:rsidRPr="00D11D93" w:rsidRDefault="00E433A7" w:rsidP="00E433A7">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Cambria" w:hAnsi="Palatino Linotype" w:cs="Arial"/>
          <w:lang w:val="es-MX" w:eastAsia="en-US"/>
        </w:rPr>
        <w:t xml:space="preserve">En ese sentido,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w:t>
      </w:r>
      <w:r w:rsidRPr="00D11D93">
        <w:rPr>
          <w:rFonts w:ascii="Palatino Linotype" w:eastAsia="Cambria" w:hAnsi="Palatino Linotype" w:cs="Arial"/>
          <w:lang w:val="es-MX" w:eastAsia="en-US"/>
        </w:rPr>
        <w:lastRenderedPageBreak/>
        <w:t xml:space="preserve">lo establecido en el artículo 8 de la </w:t>
      </w:r>
      <w:r w:rsidRPr="00D11D93">
        <w:rPr>
          <w:rFonts w:ascii="Palatino Linotype" w:eastAsia="Calibri" w:hAnsi="Palatino Linotype" w:cs="Arial"/>
          <w:b/>
          <w:lang w:eastAsia="en-US"/>
        </w:rPr>
        <w:t>Ley de Transparencia y Acceso a la Información Pública del Estado de México y Municipios</w:t>
      </w:r>
      <w:r w:rsidRPr="00D11D93">
        <w:rPr>
          <w:rFonts w:ascii="Palatino Linotype" w:hAnsi="Palatino Linotype" w:cs="Arial"/>
          <w:lang w:eastAsia="es-MX"/>
        </w:rPr>
        <w:t>.</w:t>
      </w:r>
    </w:p>
    <w:p w14:paraId="4626FB00" w14:textId="77777777" w:rsidR="00E433A7" w:rsidRPr="00D11D93" w:rsidRDefault="00E433A7" w:rsidP="00E433A7">
      <w:pPr>
        <w:pStyle w:val="Prrafodelista"/>
        <w:rPr>
          <w:rFonts w:ascii="Palatino Linotype" w:eastAsia="MS Mincho" w:hAnsi="Palatino Linotype" w:cs="Arial"/>
          <w:lang w:val="es-MX"/>
        </w:rPr>
      </w:pPr>
    </w:p>
    <w:p w14:paraId="3C6DA458" w14:textId="6FF351C5" w:rsidR="00E433A7" w:rsidRPr="00D11D93" w:rsidRDefault="00E433A7" w:rsidP="00E433A7">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MS Mincho" w:hAnsi="Palatino Linotype" w:cs="Arial"/>
          <w:lang w:val="es-MX"/>
        </w:rPr>
        <w:t xml:space="preserve">Así, de la lectura a la solicitud de información se observa que el particular requirió al </w:t>
      </w:r>
      <w:r w:rsidRPr="00D11D93">
        <w:rPr>
          <w:rFonts w:ascii="Palatino Linotype" w:eastAsia="MS Mincho" w:hAnsi="Palatino Linotype" w:cs="Arial"/>
          <w:b/>
          <w:lang w:val="es-MX"/>
        </w:rPr>
        <w:t>Organismo Público Descentralizado para la Prestación de Servicios de Agua Potable Alcantarillado y Saneamiento de Coacalco de Berriozábal</w:t>
      </w:r>
      <w:r w:rsidRPr="00D11D93">
        <w:rPr>
          <w:rFonts w:ascii="Palatino Linotype" w:eastAsia="MS Mincho" w:hAnsi="Palatino Linotype" w:cs="Arial"/>
          <w:lang w:val="es-MX"/>
        </w:rPr>
        <w:t xml:space="preserve"> acceder a información relacionada con el tipo y numero de tomas en la entidad, por lo que previo al estudio del asunto, </w:t>
      </w:r>
      <w:r w:rsidRPr="00D11D93">
        <w:rPr>
          <w:rFonts w:ascii="Palatino Linotype" w:eastAsia="Calibri" w:hAnsi="Palatino Linotype"/>
        </w:rPr>
        <w:t xml:space="preserve">este Pleno considera necesario </w:t>
      </w:r>
      <w:r w:rsidRPr="00D11D93">
        <w:rPr>
          <w:rFonts w:ascii="Palatino Linotype" w:eastAsia="Calibri" w:hAnsi="Palatino Linotype" w:cs="Arial"/>
        </w:rPr>
        <w:t xml:space="preserve">mencionar que, por cuestiones de claridad y transparencia en la decisión, </w:t>
      </w:r>
      <w:r w:rsidRPr="00D11D93">
        <w:rPr>
          <w:rFonts w:ascii="Palatino Linotype" w:eastAsia="Calibri" w:hAnsi="Palatino Linotype"/>
          <w:color w:val="000000"/>
        </w:rPr>
        <w:t>se estima pertinente elaborar un cuadro de análisis, mismo que se inserta a continuación:</w:t>
      </w:r>
    </w:p>
    <w:p w14:paraId="24A7ED2A" w14:textId="77777777" w:rsidR="00E433A7" w:rsidRPr="00D11D93" w:rsidRDefault="00E433A7" w:rsidP="00E433A7">
      <w:pPr>
        <w:pStyle w:val="Prrafodelista"/>
        <w:spacing w:line="360" w:lineRule="auto"/>
        <w:ind w:left="0" w:right="49"/>
        <w:contextualSpacing/>
        <w:jc w:val="both"/>
        <w:rPr>
          <w:rFonts w:ascii="Palatino Linotype" w:eastAsia="MS Mincho" w:hAnsi="Palatino Linotype" w:cs="Arial"/>
          <w:lang w:val="es-ES_tradnl"/>
        </w:rPr>
      </w:pPr>
    </w:p>
    <w:tbl>
      <w:tblPr>
        <w:tblStyle w:val="Tablaconcuadrcula21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E433A7" w:rsidRPr="00D11D93" w14:paraId="3517DEDF" w14:textId="77777777" w:rsidTr="00F2609B">
        <w:trPr>
          <w:trHeight w:val="581"/>
        </w:trPr>
        <w:tc>
          <w:tcPr>
            <w:tcW w:w="9356" w:type="dxa"/>
            <w:gridSpan w:val="5"/>
          </w:tcPr>
          <w:p w14:paraId="55469245" w14:textId="77777777" w:rsidR="00E433A7" w:rsidRPr="00D11D93" w:rsidRDefault="00E433A7" w:rsidP="00E433A7">
            <w:pPr>
              <w:spacing w:line="360" w:lineRule="auto"/>
              <w:jc w:val="center"/>
              <w:rPr>
                <w:rFonts w:ascii="Palatino Linotype" w:eastAsia="Calibri" w:hAnsi="Palatino Linotype"/>
                <w:b/>
                <w:bCs/>
                <w:sz w:val="24"/>
                <w:szCs w:val="24"/>
                <w:lang w:val="es-MX"/>
              </w:rPr>
            </w:pPr>
          </w:p>
          <w:p w14:paraId="0F6633CA" w14:textId="77777777" w:rsidR="00E433A7" w:rsidRPr="00D11D93" w:rsidRDefault="00E433A7" w:rsidP="00E433A7">
            <w:pPr>
              <w:spacing w:line="360" w:lineRule="auto"/>
              <w:jc w:val="center"/>
              <w:rPr>
                <w:rFonts w:ascii="Palatino Linotype" w:hAnsi="Palatino Linotype"/>
                <w:sz w:val="24"/>
                <w:szCs w:val="24"/>
              </w:rPr>
            </w:pPr>
            <w:r w:rsidRPr="00D11D93">
              <w:rPr>
                <w:rFonts w:ascii="Palatino Linotype" w:eastAsia="Calibri" w:hAnsi="Palatino Linotype"/>
                <w:b/>
                <w:bCs/>
                <w:sz w:val="24"/>
                <w:szCs w:val="24"/>
                <w:lang w:val="es-MX"/>
              </w:rPr>
              <w:t xml:space="preserve">Solicitud: </w:t>
            </w:r>
            <w:r w:rsidRPr="00D11D93">
              <w:rPr>
                <w:rFonts w:ascii="Palatino Linotype" w:hAnsi="Palatino Linotype"/>
                <w:b/>
                <w:bCs/>
                <w:color w:val="FF0000"/>
                <w:sz w:val="24"/>
                <w:szCs w:val="24"/>
                <w:lang w:eastAsia="es-ES"/>
              </w:rPr>
              <w:t xml:space="preserve">  </w:t>
            </w:r>
            <w:r w:rsidRPr="00D11D93">
              <w:rPr>
                <w:rFonts w:ascii="Palatino Linotype" w:hAnsi="Palatino Linotype"/>
                <w:sz w:val="24"/>
                <w:szCs w:val="24"/>
              </w:rPr>
              <w:t xml:space="preserve"> </w:t>
            </w:r>
          </w:p>
          <w:p w14:paraId="5EDD943D" w14:textId="695E5E67" w:rsidR="00E433A7" w:rsidRPr="00D11D93" w:rsidRDefault="00E433A7" w:rsidP="00E433A7">
            <w:pPr>
              <w:spacing w:line="360" w:lineRule="auto"/>
              <w:jc w:val="center"/>
              <w:rPr>
                <w:rFonts w:ascii="Palatino Linotype" w:eastAsia="Calibri" w:hAnsi="Palatino Linotype"/>
                <w:b/>
                <w:bCs/>
                <w:sz w:val="24"/>
                <w:szCs w:val="24"/>
              </w:rPr>
            </w:pPr>
            <w:r w:rsidRPr="00D11D93">
              <w:rPr>
                <w:rFonts w:ascii="Palatino Linotype" w:eastAsia="Calibri" w:hAnsi="Palatino Linotype"/>
                <w:b/>
                <w:bCs/>
                <w:sz w:val="24"/>
                <w:szCs w:val="24"/>
              </w:rPr>
              <w:t>00004/OASCOACALC/IP/2022</w:t>
            </w:r>
          </w:p>
          <w:p w14:paraId="758CC96A" w14:textId="77777777" w:rsidR="00E433A7" w:rsidRPr="00D11D93" w:rsidRDefault="00E433A7" w:rsidP="00E433A7">
            <w:pPr>
              <w:spacing w:line="360" w:lineRule="auto"/>
              <w:rPr>
                <w:rFonts w:ascii="Palatino Linotype" w:eastAsia="Calibri" w:hAnsi="Palatino Linotype"/>
                <w:b/>
                <w:bCs/>
                <w:sz w:val="24"/>
                <w:szCs w:val="24"/>
                <w:lang w:val="es-MX"/>
              </w:rPr>
            </w:pPr>
          </w:p>
        </w:tc>
      </w:tr>
      <w:tr w:rsidR="00E433A7" w:rsidRPr="00D11D93" w14:paraId="2F5D899F" w14:textId="77777777" w:rsidTr="00F2609B">
        <w:trPr>
          <w:trHeight w:val="582"/>
        </w:trPr>
        <w:tc>
          <w:tcPr>
            <w:tcW w:w="709" w:type="dxa"/>
            <w:shd w:val="clear" w:color="auto" w:fill="DBDBDB"/>
          </w:tcPr>
          <w:p w14:paraId="6FCDD21F" w14:textId="77777777" w:rsidR="00E433A7" w:rsidRPr="00D11D93" w:rsidRDefault="00E433A7" w:rsidP="00E433A7">
            <w:pPr>
              <w:spacing w:line="360" w:lineRule="auto"/>
              <w:rPr>
                <w:rFonts w:ascii="Palatino Linotype" w:eastAsia="Calibri" w:hAnsi="Palatino Linotype"/>
                <w:sz w:val="24"/>
                <w:szCs w:val="24"/>
                <w:lang w:val="es-MX"/>
              </w:rPr>
            </w:pPr>
          </w:p>
          <w:p w14:paraId="4602E98B"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No.</w:t>
            </w:r>
          </w:p>
        </w:tc>
        <w:tc>
          <w:tcPr>
            <w:tcW w:w="1843" w:type="dxa"/>
            <w:shd w:val="clear" w:color="auto" w:fill="DBDBDB"/>
          </w:tcPr>
          <w:p w14:paraId="78C6641E"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6DFBBEF1"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Información Requerida:</w:t>
            </w:r>
          </w:p>
        </w:tc>
        <w:tc>
          <w:tcPr>
            <w:tcW w:w="2552" w:type="dxa"/>
            <w:shd w:val="clear" w:color="auto" w:fill="DBDBDB"/>
          </w:tcPr>
          <w:p w14:paraId="6DD9210E"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3DD5F984"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Información entregada en respuesta:</w:t>
            </w:r>
          </w:p>
        </w:tc>
        <w:tc>
          <w:tcPr>
            <w:tcW w:w="2693" w:type="dxa"/>
            <w:shd w:val="clear" w:color="auto" w:fill="DBDBDB"/>
          </w:tcPr>
          <w:p w14:paraId="54D2184A"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1AFAB8D6"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1F919713"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¿Satisface la solicitud?</w:t>
            </w:r>
          </w:p>
        </w:tc>
      </w:tr>
      <w:tr w:rsidR="00E433A7" w:rsidRPr="00D11D93" w14:paraId="62078267" w14:textId="77777777" w:rsidTr="00F2609B">
        <w:trPr>
          <w:trHeight w:val="582"/>
        </w:trPr>
        <w:tc>
          <w:tcPr>
            <w:tcW w:w="709" w:type="dxa"/>
            <w:shd w:val="clear" w:color="auto" w:fill="FFFFFF" w:themeFill="background1"/>
          </w:tcPr>
          <w:p w14:paraId="32756ACF" w14:textId="77777777" w:rsidR="00E433A7" w:rsidRPr="00D11D93" w:rsidRDefault="00E433A7" w:rsidP="00E433A7">
            <w:pPr>
              <w:spacing w:line="360" w:lineRule="auto"/>
              <w:rPr>
                <w:rFonts w:ascii="Palatino Linotype" w:eastAsia="Calibri" w:hAnsi="Palatino Linotype"/>
                <w:sz w:val="24"/>
                <w:szCs w:val="24"/>
                <w:lang w:val="es-MX"/>
              </w:rPr>
            </w:pPr>
            <w:r w:rsidRPr="00D11D93">
              <w:rPr>
                <w:rFonts w:ascii="Palatino Linotype" w:eastAsia="Calibri" w:hAnsi="Palatino Linotype"/>
                <w:sz w:val="24"/>
                <w:szCs w:val="24"/>
                <w:lang w:val="es-MX"/>
              </w:rPr>
              <w:t>1</w:t>
            </w:r>
          </w:p>
        </w:tc>
        <w:tc>
          <w:tcPr>
            <w:tcW w:w="1843" w:type="dxa"/>
            <w:shd w:val="clear" w:color="auto" w:fill="FFFFFF" w:themeFill="background1"/>
          </w:tcPr>
          <w:p w14:paraId="5FF23528" w14:textId="3AA73614" w:rsidR="00E433A7" w:rsidRPr="00D11D93" w:rsidRDefault="00E433A7" w:rsidP="00E433A7">
            <w:pPr>
              <w:spacing w:line="360" w:lineRule="auto"/>
              <w:jc w:val="both"/>
              <w:rPr>
                <w:rFonts w:ascii="Palatino Linotype" w:hAnsi="Palatino Linotype"/>
                <w:sz w:val="24"/>
                <w:szCs w:val="24"/>
              </w:rPr>
            </w:pPr>
            <w:r w:rsidRPr="00D11D93">
              <w:rPr>
                <w:rFonts w:ascii="Palatino Linotype" w:eastAsia="MS Mincho" w:hAnsi="Palatino Linotype"/>
                <w:i/>
                <w:color w:val="000000"/>
                <w:sz w:val="24"/>
                <w:szCs w:val="24"/>
                <w:lang w:val="es-ES_tradnl" w:eastAsia="es-ES"/>
              </w:rPr>
              <w:t xml:space="preserve"> </w:t>
            </w:r>
            <w:r w:rsidRPr="00D11D93">
              <w:rPr>
                <w:rFonts w:ascii="Palatino Linotype" w:hAnsi="Palatino Linotype"/>
                <w:sz w:val="24"/>
                <w:szCs w:val="24"/>
              </w:rPr>
              <w:t xml:space="preserve"> </w:t>
            </w:r>
            <w:r w:rsidRPr="00D11D93">
              <w:rPr>
                <w:rFonts w:ascii="Palatino Linotype" w:hAnsi="Palatino Linotype"/>
                <w:color w:val="000000"/>
                <w:sz w:val="24"/>
                <w:szCs w:val="24"/>
                <w:lang w:eastAsia="es-ES"/>
              </w:rPr>
              <w:t xml:space="preserve"> “</w:t>
            </w:r>
            <w:r w:rsidRPr="00D11D93">
              <w:rPr>
                <w:rFonts w:ascii="Palatino Linotype" w:hAnsi="Palatino Linotype"/>
                <w:sz w:val="24"/>
                <w:szCs w:val="24"/>
              </w:rPr>
              <w:t xml:space="preserve">TIPOS DE TOMAS DE </w:t>
            </w:r>
            <w:r w:rsidRPr="00D11D93">
              <w:rPr>
                <w:rFonts w:ascii="Palatino Linotype" w:hAnsi="Palatino Linotype"/>
                <w:sz w:val="24"/>
                <w:szCs w:val="24"/>
              </w:rPr>
              <w:lastRenderedPageBreak/>
              <w:t>AGUA QUE CUENTA LA POBLACION COACALCO” (Sic)</w:t>
            </w:r>
          </w:p>
        </w:tc>
        <w:tc>
          <w:tcPr>
            <w:tcW w:w="2552" w:type="dxa"/>
            <w:shd w:val="clear" w:color="auto" w:fill="FFFFFF" w:themeFill="background1"/>
          </w:tcPr>
          <w:p w14:paraId="3DAB15B9" w14:textId="13E255CC" w:rsidR="00E433A7" w:rsidRPr="00D11D93" w:rsidRDefault="00E433A7" w:rsidP="00E433A7">
            <w:pPr>
              <w:tabs>
                <w:tab w:val="left" w:pos="284"/>
                <w:tab w:val="left" w:pos="426"/>
                <w:tab w:val="left" w:pos="993"/>
                <w:tab w:val="left" w:pos="1134"/>
              </w:tabs>
              <w:spacing w:line="360" w:lineRule="auto"/>
              <w:ind w:right="39"/>
              <w:contextualSpacing/>
              <w:jc w:val="both"/>
              <w:rPr>
                <w:rFonts w:ascii="Palatino Linotype" w:hAnsi="Palatino Linotype"/>
                <w:i/>
                <w:sz w:val="24"/>
                <w:szCs w:val="24"/>
              </w:rPr>
            </w:pPr>
            <w:r w:rsidRPr="00D11D93">
              <w:rPr>
                <w:rFonts w:ascii="Palatino Linotype" w:hAnsi="Palatino Linotype"/>
                <w:i/>
                <w:sz w:val="24"/>
                <w:szCs w:val="24"/>
              </w:rPr>
              <w:lastRenderedPageBreak/>
              <w:t>“DOMESTICO y COMERCIAL” (Sic)</w:t>
            </w:r>
          </w:p>
          <w:p w14:paraId="47FC495F" w14:textId="70245A5A" w:rsidR="00E433A7" w:rsidRPr="00D11D93" w:rsidRDefault="00E433A7" w:rsidP="00E433A7">
            <w:pPr>
              <w:tabs>
                <w:tab w:val="left" w:pos="284"/>
              </w:tabs>
              <w:spacing w:before="240" w:after="240" w:line="276" w:lineRule="auto"/>
              <w:ind w:left="29" w:right="39"/>
              <w:contextualSpacing/>
              <w:jc w:val="both"/>
              <w:rPr>
                <w:rFonts w:ascii="Palatino Linotype" w:eastAsia="Calibri" w:hAnsi="Palatino Linotype"/>
                <w:sz w:val="24"/>
                <w:szCs w:val="24"/>
                <w:lang w:val="es-MX"/>
              </w:rPr>
            </w:pPr>
          </w:p>
        </w:tc>
        <w:tc>
          <w:tcPr>
            <w:tcW w:w="2693" w:type="dxa"/>
            <w:shd w:val="clear" w:color="auto" w:fill="FFFFFF" w:themeFill="background1"/>
          </w:tcPr>
          <w:p w14:paraId="3DB2E580" w14:textId="14285245" w:rsidR="00E433A7" w:rsidRPr="00D11D93" w:rsidRDefault="00E433A7" w:rsidP="00E433A7">
            <w:pPr>
              <w:tabs>
                <w:tab w:val="left" w:pos="284"/>
              </w:tabs>
              <w:spacing w:before="240" w:after="240" w:line="360" w:lineRule="auto"/>
              <w:ind w:left="28" w:right="39" w:hanging="28"/>
              <w:contextualSpacing/>
              <w:jc w:val="both"/>
              <w:rPr>
                <w:rFonts w:ascii="Palatino Linotype" w:eastAsia="Calibri" w:hAnsi="Palatino Linotype" w:cs="Arial"/>
                <w:i/>
                <w:color w:val="000000"/>
                <w:sz w:val="24"/>
                <w:szCs w:val="24"/>
              </w:rPr>
            </w:pPr>
            <w:r w:rsidRPr="00D11D93">
              <w:rPr>
                <w:rFonts w:ascii="Palatino Linotype" w:eastAsia="Calibri" w:hAnsi="Palatino Linotype"/>
                <w:sz w:val="24"/>
                <w:szCs w:val="24"/>
                <w:lang w:val="es-MX"/>
              </w:rPr>
              <w:lastRenderedPageBreak/>
              <w:t xml:space="preserve"> </w:t>
            </w:r>
            <w:r w:rsidRPr="00D11D93">
              <w:rPr>
                <w:rFonts w:ascii="Palatino Linotype" w:eastAsia="Calibri" w:hAnsi="Palatino Linotype" w:cs="Arial"/>
                <w:b/>
                <w:color w:val="000000" w:themeColor="text1"/>
                <w:sz w:val="24"/>
                <w:szCs w:val="24"/>
              </w:rPr>
              <w:t xml:space="preserve"> </w:t>
            </w:r>
            <w:r w:rsidRPr="00D11D93">
              <w:rPr>
                <w:rFonts w:ascii="Palatino Linotype" w:eastAsia="Calibri" w:hAnsi="Palatino Linotype" w:cs="Arial"/>
                <w:i/>
                <w:color w:val="000000"/>
                <w:sz w:val="24"/>
                <w:szCs w:val="24"/>
              </w:rPr>
              <w:t xml:space="preserve">“El municipio cuenta con servidores </w:t>
            </w:r>
            <w:r w:rsidRPr="00D11D93">
              <w:rPr>
                <w:rFonts w:ascii="Palatino Linotype" w:eastAsia="Calibri" w:hAnsi="Palatino Linotype" w:cs="Arial"/>
                <w:i/>
                <w:color w:val="000000"/>
                <w:sz w:val="24"/>
                <w:szCs w:val="24"/>
              </w:rPr>
              <w:lastRenderedPageBreak/>
              <w:t xml:space="preserve">domésticos y no </w:t>
            </w:r>
            <w:proofErr w:type="spellStart"/>
            <w:r w:rsidRPr="00D11D93">
              <w:rPr>
                <w:rFonts w:ascii="Palatino Linotype" w:eastAsia="Calibri" w:hAnsi="Palatino Linotype" w:cs="Arial"/>
                <w:i/>
                <w:color w:val="000000"/>
                <w:sz w:val="24"/>
                <w:szCs w:val="24"/>
              </w:rPr>
              <w:t>domestico</w:t>
            </w:r>
            <w:proofErr w:type="spellEnd"/>
            <w:r w:rsidRPr="00D11D93">
              <w:rPr>
                <w:rFonts w:ascii="Palatino Linotype" w:eastAsia="Calibri" w:hAnsi="Palatino Linotype" w:cs="Arial"/>
                <w:i/>
                <w:color w:val="000000"/>
                <w:sz w:val="24"/>
                <w:szCs w:val="24"/>
              </w:rPr>
              <w:t xml:space="preserve">. </w:t>
            </w:r>
          </w:p>
          <w:p w14:paraId="131B2FD4" w14:textId="7F0E46D5" w:rsidR="00E433A7" w:rsidRPr="00D11D93" w:rsidRDefault="00E433A7" w:rsidP="00E433A7">
            <w:pPr>
              <w:tabs>
                <w:tab w:val="left" w:pos="284"/>
              </w:tabs>
              <w:spacing w:before="240" w:after="240" w:line="360" w:lineRule="auto"/>
              <w:ind w:left="28" w:right="39" w:hanging="28"/>
              <w:contextualSpacing/>
              <w:jc w:val="both"/>
              <w:rPr>
                <w:rFonts w:ascii="Palatino Linotype" w:eastAsia="Calibri" w:hAnsi="Palatino Linotype" w:cs="Arial"/>
                <w:i/>
                <w:color w:val="000000"/>
                <w:sz w:val="24"/>
                <w:szCs w:val="24"/>
              </w:rPr>
            </w:pPr>
            <w:r w:rsidRPr="00D11D93">
              <w:rPr>
                <w:rFonts w:ascii="Palatino Linotype" w:eastAsia="Calibri" w:hAnsi="Palatino Linotype" w:cs="Arial"/>
                <w:i/>
                <w:color w:val="000000"/>
                <w:sz w:val="24"/>
                <w:szCs w:val="24"/>
              </w:rPr>
              <w:t xml:space="preserve">Con fundamento en el Código Financiero del Estado de México y Municipios (art. 130 bis) y las facultades y atribuciones del Consejo del Organismo Público Descentralizado por sus siglas S.AP.A.S.A.C. </w:t>
            </w:r>
            <w:proofErr w:type="gramStart"/>
            <w:r w:rsidRPr="00D11D93">
              <w:rPr>
                <w:rFonts w:ascii="Palatino Linotype" w:eastAsia="Calibri" w:hAnsi="Palatino Linotype" w:cs="Arial"/>
                <w:i/>
                <w:color w:val="000000"/>
                <w:sz w:val="24"/>
                <w:szCs w:val="24"/>
              </w:rPr>
              <w:t>en</w:t>
            </w:r>
            <w:proofErr w:type="gramEnd"/>
            <w:r w:rsidRPr="00D11D93">
              <w:rPr>
                <w:rFonts w:ascii="Palatino Linotype" w:eastAsia="Calibri" w:hAnsi="Palatino Linotype" w:cs="Arial"/>
                <w:i/>
                <w:color w:val="000000"/>
                <w:sz w:val="24"/>
                <w:szCs w:val="24"/>
              </w:rPr>
              <w:t xml:space="preserve"> el artículo 8, 9 y 10 del reglamento Orgánico vigente. “(Sic)</w:t>
            </w:r>
          </w:p>
          <w:p w14:paraId="349799C7" w14:textId="77777777" w:rsidR="00E433A7" w:rsidRPr="00D11D93" w:rsidRDefault="00E433A7" w:rsidP="00E433A7">
            <w:pPr>
              <w:spacing w:line="360" w:lineRule="auto"/>
              <w:ind w:left="28"/>
              <w:jc w:val="both"/>
              <w:rPr>
                <w:rFonts w:ascii="Palatino Linotype" w:eastAsia="Calibri" w:hAnsi="Palatino Linotype"/>
                <w:sz w:val="24"/>
                <w:szCs w:val="24"/>
              </w:rPr>
            </w:pPr>
          </w:p>
          <w:p w14:paraId="2CEE48D6" w14:textId="77777777" w:rsidR="00E433A7" w:rsidRPr="00D11D93" w:rsidRDefault="00E433A7" w:rsidP="00E433A7">
            <w:pPr>
              <w:spacing w:line="360" w:lineRule="auto"/>
              <w:ind w:left="28" w:hanging="28"/>
              <w:jc w:val="both"/>
              <w:rPr>
                <w:rFonts w:ascii="Palatino Linotype" w:eastAsia="Calibri" w:hAnsi="Palatino Linotype"/>
                <w:sz w:val="24"/>
                <w:szCs w:val="24"/>
                <w:lang w:val="es-MX"/>
              </w:rPr>
            </w:pPr>
          </w:p>
        </w:tc>
        <w:tc>
          <w:tcPr>
            <w:tcW w:w="1559" w:type="dxa"/>
            <w:shd w:val="clear" w:color="auto" w:fill="FFFFFF" w:themeFill="background1"/>
          </w:tcPr>
          <w:p w14:paraId="4C6D0019"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0CA9AE6E"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6495624A"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51E890CA"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 xml:space="preserve">SÍ </w:t>
            </w:r>
          </w:p>
        </w:tc>
      </w:tr>
      <w:tr w:rsidR="00E433A7" w:rsidRPr="00D11D93" w14:paraId="18554CB4" w14:textId="77777777" w:rsidTr="00F2609B">
        <w:trPr>
          <w:trHeight w:val="582"/>
        </w:trPr>
        <w:tc>
          <w:tcPr>
            <w:tcW w:w="709" w:type="dxa"/>
            <w:shd w:val="clear" w:color="auto" w:fill="FFFFFF" w:themeFill="background1"/>
          </w:tcPr>
          <w:p w14:paraId="55228E45" w14:textId="77777777" w:rsidR="00E433A7" w:rsidRPr="00D11D93" w:rsidRDefault="00E433A7" w:rsidP="00E433A7">
            <w:pPr>
              <w:spacing w:line="360" w:lineRule="auto"/>
              <w:rPr>
                <w:rFonts w:ascii="Palatino Linotype" w:eastAsia="Calibri" w:hAnsi="Palatino Linotype"/>
                <w:b/>
                <w:sz w:val="24"/>
                <w:szCs w:val="24"/>
                <w:lang w:val="es-MX"/>
              </w:rPr>
            </w:pPr>
            <w:r w:rsidRPr="00D11D93">
              <w:rPr>
                <w:rFonts w:ascii="Palatino Linotype" w:eastAsia="Calibri" w:hAnsi="Palatino Linotype"/>
                <w:b/>
                <w:sz w:val="24"/>
                <w:szCs w:val="24"/>
                <w:lang w:val="es-MX"/>
              </w:rPr>
              <w:lastRenderedPageBreak/>
              <w:t>2</w:t>
            </w:r>
          </w:p>
        </w:tc>
        <w:tc>
          <w:tcPr>
            <w:tcW w:w="1843" w:type="dxa"/>
            <w:shd w:val="clear" w:color="auto" w:fill="FFFFFF" w:themeFill="background1"/>
          </w:tcPr>
          <w:p w14:paraId="29B8D9A4" w14:textId="08E58B53" w:rsidR="00E433A7" w:rsidRPr="00D11D93" w:rsidRDefault="00E433A7" w:rsidP="00E433A7">
            <w:pPr>
              <w:spacing w:line="360" w:lineRule="auto"/>
              <w:jc w:val="both"/>
              <w:rPr>
                <w:rFonts w:ascii="Palatino Linotype" w:eastAsia="MS Mincho" w:hAnsi="Palatino Linotype"/>
                <w:i/>
                <w:color w:val="000000"/>
                <w:sz w:val="24"/>
                <w:szCs w:val="24"/>
                <w:lang w:val="es-ES_tradnl"/>
              </w:rPr>
            </w:pPr>
            <w:r w:rsidRPr="00D11D93">
              <w:rPr>
                <w:rFonts w:ascii="Palatino Linotype" w:eastAsia="MS Mincho" w:hAnsi="Palatino Linotype"/>
                <w:i/>
                <w:color w:val="000000"/>
                <w:sz w:val="24"/>
                <w:szCs w:val="24"/>
                <w:lang w:val="es-ES_tradnl"/>
              </w:rPr>
              <w:t>“</w:t>
            </w:r>
            <w:r w:rsidRPr="00D11D93">
              <w:rPr>
                <w:rFonts w:ascii="Palatino Linotype" w:hAnsi="Palatino Linotype"/>
                <w:color w:val="000000"/>
                <w:sz w:val="24"/>
                <w:szCs w:val="24"/>
                <w:lang w:eastAsia="es-ES"/>
              </w:rPr>
              <w:t xml:space="preserve"> </w:t>
            </w:r>
            <w:r w:rsidRPr="00D11D93">
              <w:rPr>
                <w:rFonts w:ascii="Palatino Linotype" w:eastAsia="MS Mincho" w:hAnsi="Palatino Linotype"/>
                <w:i/>
                <w:color w:val="000000"/>
                <w:sz w:val="24"/>
                <w:szCs w:val="24"/>
              </w:rPr>
              <w:t>¿NUMERO TOTAL DE TOMAS DE AGUA?</w:t>
            </w:r>
            <w:proofErr w:type="gramStart"/>
            <w:r w:rsidRPr="00D11D93">
              <w:rPr>
                <w:rFonts w:ascii="Palatino Linotype" w:eastAsia="MS Mincho" w:hAnsi="Palatino Linotype"/>
                <w:i/>
                <w:color w:val="000000"/>
                <w:sz w:val="24"/>
                <w:szCs w:val="24"/>
                <w:lang w:val="es-ES_tradnl"/>
              </w:rPr>
              <w:t>.”</w:t>
            </w:r>
            <w:proofErr w:type="gramEnd"/>
            <w:r w:rsidRPr="00D11D93">
              <w:rPr>
                <w:rFonts w:ascii="Palatino Linotype" w:eastAsia="MS Mincho" w:hAnsi="Palatino Linotype"/>
                <w:i/>
                <w:color w:val="000000"/>
                <w:sz w:val="24"/>
                <w:szCs w:val="24"/>
                <w:lang w:val="es-ES_tradnl"/>
              </w:rPr>
              <w:t xml:space="preserve"> (Sic)</w:t>
            </w:r>
          </w:p>
        </w:tc>
        <w:tc>
          <w:tcPr>
            <w:tcW w:w="2552" w:type="dxa"/>
            <w:shd w:val="clear" w:color="auto" w:fill="FFFFFF" w:themeFill="background1"/>
          </w:tcPr>
          <w:p w14:paraId="176B33D6" w14:textId="77777777" w:rsidR="00712805" w:rsidRPr="00D11D93" w:rsidRDefault="00712805" w:rsidP="00712805">
            <w:pPr>
              <w:tabs>
                <w:tab w:val="left" w:pos="284"/>
                <w:tab w:val="left" w:pos="426"/>
                <w:tab w:val="left" w:pos="993"/>
                <w:tab w:val="left" w:pos="1134"/>
              </w:tabs>
              <w:spacing w:line="360" w:lineRule="auto"/>
              <w:ind w:left="720" w:right="616"/>
              <w:contextualSpacing/>
              <w:jc w:val="both"/>
              <w:rPr>
                <w:rFonts w:ascii="Palatino Linotype" w:hAnsi="Palatino Linotype"/>
                <w:i/>
                <w:sz w:val="24"/>
                <w:szCs w:val="24"/>
              </w:rPr>
            </w:pPr>
          </w:p>
          <w:p w14:paraId="0B24A218" w14:textId="6FC0A70A" w:rsidR="00712805" w:rsidRPr="00D11D93" w:rsidRDefault="00AC2F82" w:rsidP="00712805">
            <w:pPr>
              <w:tabs>
                <w:tab w:val="left" w:pos="284"/>
                <w:tab w:val="left" w:pos="426"/>
                <w:tab w:val="left" w:pos="993"/>
                <w:tab w:val="left" w:pos="1134"/>
              </w:tabs>
              <w:spacing w:line="360" w:lineRule="auto"/>
              <w:ind w:right="616"/>
              <w:contextualSpacing/>
              <w:jc w:val="center"/>
              <w:rPr>
                <w:rFonts w:ascii="Palatino Linotype" w:hAnsi="Palatino Linotype"/>
                <w:i/>
                <w:sz w:val="24"/>
                <w:szCs w:val="24"/>
              </w:rPr>
            </w:pPr>
            <w:r w:rsidRPr="00D11D93">
              <w:rPr>
                <w:rFonts w:ascii="Palatino Linotype" w:hAnsi="Palatino Linotype"/>
                <w:i/>
                <w:sz w:val="24"/>
                <w:szCs w:val="24"/>
              </w:rPr>
              <w:t>111, 10</w:t>
            </w:r>
            <w:r w:rsidR="00712805" w:rsidRPr="00D11D93">
              <w:rPr>
                <w:rFonts w:ascii="Palatino Linotype" w:hAnsi="Palatino Linotype"/>
                <w:i/>
                <w:sz w:val="24"/>
                <w:szCs w:val="24"/>
              </w:rPr>
              <w:t>2</w:t>
            </w:r>
          </w:p>
          <w:p w14:paraId="0BECB0D4" w14:textId="078EC4E8" w:rsidR="00E433A7" w:rsidRPr="00D11D93" w:rsidRDefault="00E433A7" w:rsidP="00712805">
            <w:pPr>
              <w:widowControl w:val="0"/>
              <w:tabs>
                <w:tab w:val="left" w:pos="-59"/>
              </w:tabs>
              <w:autoSpaceDE w:val="0"/>
              <w:autoSpaceDN w:val="0"/>
              <w:adjustRightInd w:val="0"/>
              <w:spacing w:before="240" w:after="240" w:line="360" w:lineRule="auto"/>
              <w:ind w:right="39" w:hanging="59"/>
              <w:contextualSpacing/>
              <w:jc w:val="both"/>
              <w:rPr>
                <w:rFonts w:ascii="Palatino Linotype" w:eastAsiaTheme="minorEastAsia" w:hAnsi="Palatino Linotype" w:cstheme="minorBidi"/>
                <w:color w:val="000000" w:themeColor="text1"/>
                <w:sz w:val="24"/>
                <w:szCs w:val="24"/>
                <w:lang w:val="es-ES_tradnl"/>
              </w:rPr>
            </w:pPr>
          </w:p>
        </w:tc>
        <w:tc>
          <w:tcPr>
            <w:tcW w:w="2693" w:type="dxa"/>
            <w:shd w:val="clear" w:color="auto" w:fill="FFFFFF" w:themeFill="background1"/>
          </w:tcPr>
          <w:p w14:paraId="2C930F7B" w14:textId="77777777" w:rsidR="00712805" w:rsidRPr="00D11D93" w:rsidRDefault="00712805" w:rsidP="00712805">
            <w:pPr>
              <w:tabs>
                <w:tab w:val="left" w:pos="284"/>
                <w:tab w:val="left" w:pos="1587"/>
              </w:tabs>
              <w:spacing w:before="240" w:after="240" w:line="360" w:lineRule="auto"/>
              <w:ind w:left="28" w:right="39" w:hanging="28"/>
              <w:contextualSpacing/>
              <w:jc w:val="both"/>
              <w:rPr>
                <w:rFonts w:ascii="Palatino Linotype" w:eastAsia="Calibri" w:hAnsi="Palatino Linotype" w:cs="Arial"/>
                <w:i/>
                <w:color w:val="000000"/>
                <w:sz w:val="24"/>
                <w:szCs w:val="24"/>
              </w:rPr>
            </w:pPr>
            <w:r w:rsidRPr="00D11D93">
              <w:rPr>
                <w:rFonts w:ascii="Palatino Linotype" w:eastAsia="Calibri" w:hAnsi="Palatino Linotype" w:cs="Arial"/>
                <w:i/>
                <w:color w:val="000000"/>
                <w:sz w:val="24"/>
                <w:szCs w:val="24"/>
              </w:rPr>
              <w:t xml:space="preserve">En una búsqueda exhaustiva en nuestro sistema de padrón de usuarios de uno doméstico y no domestico </w:t>
            </w:r>
            <w:r w:rsidRPr="00D11D93">
              <w:rPr>
                <w:rFonts w:ascii="Palatino Linotype" w:eastAsia="Calibri" w:hAnsi="Palatino Linotype" w:cs="Arial"/>
                <w:i/>
                <w:color w:val="000000"/>
                <w:sz w:val="24"/>
                <w:szCs w:val="24"/>
              </w:rPr>
              <w:lastRenderedPageBreak/>
              <w:t xml:space="preserve">se tienen. 111,102 registros de tomas de agua. </w:t>
            </w:r>
          </w:p>
          <w:p w14:paraId="12485C5B" w14:textId="06B0464D" w:rsidR="00E433A7" w:rsidRPr="00D11D93" w:rsidRDefault="00E433A7" w:rsidP="00E433A7">
            <w:pPr>
              <w:spacing w:line="360" w:lineRule="auto"/>
              <w:ind w:left="28"/>
              <w:jc w:val="both"/>
              <w:rPr>
                <w:rFonts w:ascii="Palatino Linotype" w:eastAsia="Calibri" w:hAnsi="Palatino Linotype"/>
                <w:sz w:val="24"/>
                <w:szCs w:val="24"/>
                <w:lang w:val="es-MX"/>
              </w:rPr>
            </w:pPr>
          </w:p>
        </w:tc>
        <w:tc>
          <w:tcPr>
            <w:tcW w:w="1559" w:type="dxa"/>
            <w:shd w:val="clear" w:color="auto" w:fill="FFFFFF" w:themeFill="background1"/>
          </w:tcPr>
          <w:p w14:paraId="7D0BD065"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49469B84"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34C8F54A" w14:textId="77777777" w:rsidR="00E433A7" w:rsidRPr="00D11D93" w:rsidRDefault="00E433A7" w:rsidP="00E433A7">
            <w:pPr>
              <w:spacing w:line="360" w:lineRule="auto"/>
              <w:jc w:val="center"/>
              <w:rPr>
                <w:rFonts w:ascii="Palatino Linotype" w:eastAsia="Calibri" w:hAnsi="Palatino Linotype"/>
                <w:sz w:val="24"/>
                <w:szCs w:val="24"/>
                <w:lang w:val="es-MX"/>
              </w:rPr>
            </w:pPr>
          </w:p>
          <w:p w14:paraId="1C76E5A9" w14:textId="77777777" w:rsidR="00E433A7" w:rsidRPr="00D11D93" w:rsidRDefault="00E433A7" w:rsidP="00E433A7">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SÍ</w:t>
            </w:r>
          </w:p>
        </w:tc>
      </w:tr>
      <w:tr w:rsidR="00E433A7" w:rsidRPr="00D11D93" w14:paraId="3DE6F15D" w14:textId="77777777" w:rsidTr="00F2609B">
        <w:trPr>
          <w:trHeight w:val="582"/>
        </w:trPr>
        <w:tc>
          <w:tcPr>
            <w:tcW w:w="709" w:type="dxa"/>
            <w:shd w:val="clear" w:color="auto" w:fill="FFFFFF" w:themeFill="background1"/>
          </w:tcPr>
          <w:p w14:paraId="1B6C53BC" w14:textId="77777777" w:rsidR="00E433A7" w:rsidRPr="00D11D93" w:rsidRDefault="00E433A7" w:rsidP="00E433A7">
            <w:pPr>
              <w:spacing w:line="360" w:lineRule="auto"/>
              <w:rPr>
                <w:rFonts w:ascii="Palatino Linotype" w:eastAsia="Calibri" w:hAnsi="Palatino Linotype"/>
                <w:b/>
                <w:sz w:val="24"/>
                <w:szCs w:val="24"/>
                <w:lang w:val="es-MX"/>
              </w:rPr>
            </w:pPr>
            <w:r w:rsidRPr="00D11D93">
              <w:rPr>
                <w:rFonts w:ascii="Palatino Linotype" w:eastAsia="Calibri" w:hAnsi="Palatino Linotype"/>
                <w:b/>
                <w:sz w:val="24"/>
                <w:szCs w:val="24"/>
                <w:lang w:val="es-MX"/>
              </w:rPr>
              <w:lastRenderedPageBreak/>
              <w:t>3</w:t>
            </w:r>
          </w:p>
        </w:tc>
        <w:tc>
          <w:tcPr>
            <w:tcW w:w="1843" w:type="dxa"/>
            <w:shd w:val="clear" w:color="auto" w:fill="FFFFFF" w:themeFill="background1"/>
          </w:tcPr>
          <w:p w14:paraId="25D50B92" w14:textId="2FB8CDE2" w:rsidR="00E433A7" w:rsidRPr="00D11D93" w:rsidRDefault="00E433A7" w:rsidP="00E433A7">
            <w:pPr>
              <w:spacing w:line="360" w:lineRule="auto"/>
              <w:jc w:val="both"/>
              <w:rPr>
                <w:rFonts w:ascii="Palatino Linotype" w:eastAsia="MS Mincho" w:hAnsi="Palatino Linotype"/>
                <w:i/>
                <w:color w:val="000000"/>
                <w:sz w:val="24"/>
                <w:szCs w:val="24"/>
                <w:lang w:val="es-ES_tradnl"/>
              </w:rPr>
            </w:pPr>
            <w:r w:rsidRPr="00D11D93">
              <w:rPr>
                <w:rFonts w:ascii="Palatino Linotype" w:eastAsia="MS Mincho" w:hAnsi="Palatino Linotype"/>
                <w:i/>
                <w:color w:val="000000"/>
                <w:sz w:val="24"/>
                <w:szCs w:val="24"/>
              </w:rPr>
              <w:t>“¿NUMERO TOTAL DE TOMAS DE AGUA DE TIPO DOMESTICO?” (Sic)</w:t>
            </w:r>
          </w:p>
        </w:tc>
        <w:tc>
          <w:tcPr>
            <w:tcW w:w="2552" w:type="dxa"/>
            <w:shd w:val="clear" w:color="auto" w:fill="FFFFFF" w:themeFill="background1"/>
          </w:tcPr>
          <w:p w14:paraId="0FCA7B30" w14:textId="77777777" w:rsidR="00712805" w:rsidRPr="00D11D93" w:rsidRDefault="00712805" w:rsidP="00712805">
            <w:pPr>
              <w:tabs>
                <w:tab w:val="left" w:pos="284"/>
                <w:tab w:val="left" w:pos="426"/>
                <w:tab w:val="left" w:pos="993"/>
                <w:tab w:val="left" w:pos="1134"/>
              </w:tabs>
              <w:spacing w:line="360" w:lineRule="auto"/>
              <w:ind w:left="720" w:right="616"/>
              <w:contextualSpacing/>
              <w:jc w:val="both"/>
              <w:rPr>
                <w:rFonts w:ascii="Palatino Linotype" w:hAnsi="Palatino Linotype"/>
                <w:i/>
                <w:sz w:val="24"/>
                <w:szCs w:val="24"/>
              </w:rPr>
            </w:pPr>
          </w:p>
          <w:p w14:paraId="65E4A632" w14:textId="77777777" w:rsidR="00712805" w:rsidRPr="00D11D93" w:rsidRDefault="00712805" w:rsidP="00712805">
            <w:pPr>
              <w:tabs>
                <w:tab w:val="left" w:pos="284"/>
                <w:tab w:val="left" w:pos="426"/>
                <w:tab w:val="left" w:pos="993"/>
                <w:tab w:val="left" w:pos="1134"/>
              </w:tabs>
              <w:spacing w:line="360" w:lineRule="auto"/>
              <w:ind w:left="720" w:right="616"/>
              <w:contextualSpacing/>
              <w:jc w:val="both"/>
              <w:rPr>
                <w:rFonts w:ascii="Palatino Linotype" w:hAnsi="Palatino Linotype"/>
                <w:i/>
                <w:sz w:val="24"/>
                <w:szCs w:val="24"/>
              </w:rPr>
            </w:pPr>
          </w:p>
          <w:p w14:paraId="40F19ABF" w14:textId="77777777" w:rsidR="00712805" w:rsidRPr="00D11D93" w:rsidRDefault="00712805" w:rsidP="00712805">
            <w:pPr>
              <w:tabs>
                <w:tab w:val="left" w:pos="284"/>
                <w:tab w:val="left" w:pos="426"/>
                <w:tab w:val="left" w:pos="993"/>
                <w:tab w:val="left" w:pos="1134"/>
              </w:tabs>
              <w:spacing w:line="360" w:lineRule="auto"/>
              <w:ind w:left="720" w:right="616"/>
              <w:contextualSpacing/>
              <w:jc w:val="both"/>
              <w:rPr>
                <w:rFonts w:ascii="Palatino Linotype" w:hAnsi="Palatino Linotype"/>
                <w:i/>
                <w:sz w:val="24"/>
                <w:szCs w:val="24"/>
              </w:rPr>
            </w:pPr>
            <w:r w:rsidRPr="00D11D93">
              <w:rPr>
                <w:rFonts w:ascii="Palatino Linotype" w:hAnsi="Palatino Linotype"/>
                <w:i/>
                <w:sz w:val="24"/>
                <w:szCs w:val="24"/>
              </w:rPr>
              <w:t>102,391</w:t>
            </w:r>
          </w:p>
          <w:p w14:paraId="7929A352" w14:textId="3D1DF29F" w:rsidR="00E433A7" w:rsidRPr="00D11D93" w:rsidRDefault="00E433A7" w:rsidP="00E433A7">
            <w:pPr>
              <w:widowControl w:val="0"/>
              <w:tabs>
                <w:tab w:val="left" w:pos="0"/>
              </w:tabs>
              <w:autoSpaceDE w:val="0"/>
              <w:autoSpaceDN w:val="0"/>
              <w:adjustRightInd w:val="0"/>
              <w:spacing w:before="240" w:after="240" w:line="360" w:lineRule="auto"/>
              <w:ind w:right="39"/>
              <w:contextualSpacing/>
              <w:jc w:val="both"/>
              <w:rPr>
                <w:rFonts w:ascii="Palatino Linotype" w:eastAsia="Calibri" w:hAnsi="Palatino Linotype" w:cs="Arial"/>
                <w:b/>
                <w:bCs/>
                <w:i/>
                <w:sz w:val="24"/>
                <w:szCs w:val="24"/>
                <w:lang w:val="es-ES_tradnl"/>
              </w:rPr>
            </w:pPr>
          </w:p>
          <w:p w14:paraId="4D6B8556" w14:textId="77777777" w:rsidR="00E433A7" w:rsidRPr="00D11D93" w:rsidRDefault="00E433A7" w:rsidP="00E433A7">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tc>
        <w:tc>
          <w:tcPr>
            <w:tcW w:w="2693" w:type="dxa"/>
            <w:shd w:val="clear" w:color="auto" w:fill="FFFFFF" w:themeFill="background1"/>
          </w:tcPr>
          <w:p w14:paraId="150CE819" w14:textId="3FA78849" w:rsidR="00E433A7" w:rsidRPr="00D11D93" w:rsidRDefault="00E433A7" w:rsidP="00712805">
            <w:pPr>
              <w:tabs>
                <w:tab w:val="left" w:pos="284"/>
              </w:tabs>
              <w:spacing w:before="240" w:after="240" w:line="360" w:lineRule="auto"/>
              <w:ind w:left="28" w:right="39"/>
              <w:contextualSpacing/>
              <w:jc w:val="both"/>
              <w:rPr>
                <w:rFonts w:ascii="Palatino Linotype" w:eastAsia="Calibri" w:hAnsi="Palatino Linotype" w:cs="Arial"/>
                <w:i/>
                <w:color w:val="000000"/>
                <w:sz w:val="24"/>
                <w:szCs w:val="24"/>
              </w:rPr>
            </w:pPr>
            <w:r w:rsidRPr="00D11D93">
              <w:rPr>
                <w:rFonts w:ascii="Palatino Linotype" w:eastAsia="Calibri" w:hAnsi="Palatino Linotype"/>
                <w:i/>
                <w:sz w:val="24"/>
                <w:szCs w:val="24"/>
              </w:rPr>
              <w:t>“</w:t>
            </w:r>
            <w:r w:rsidR="00712805" w:rsidRPr="00D11D93">
              <w:rPr>
                <w:rFonts w:ascii="Palatino Linotype" w:eastAsia="Calibri" w:hAnsi="Palatino Linotype" w:cs="Arial"/>
                <w:i/>
                <w:color w:val="000000"/>
                <w:sz w:val="24"/>
                <w:szCs w:val="24"/>
              </w:rPr>
              <w:t>En una búsqueda exhaustiva en nuestro sistema de padrón de usuarios de uso doméstico se tienen. 102, 391 registro de tomas de agua.</w:t>
            </w:r>
            <w:r w:rsidRPr="00D11D93">
              <w:rPr>
                <w:rFonts w:ascii="Palatino Linotype" w:eastAsia="Calibri" w:hAnsi="Palatino Linotype"/>
                <w:i/>
                <w:sz w:val="24"/>
                <w:szCs w:val="24"/>
              </w:rPr>
              <w:t>” (Sic)</w:t>
            </w:r>
          </w:p>
          <w:p w14:paraId="2B30CCEB" w14:textId="77777777" w:rsidR="00E433A7" w:rsidRPr="00D11D93" w:rsidRDefault="00E433A7" w:rsidP="00E433A7">
            <w:pPr>
              <w:spacing w:line="360" w:lineRule="auto"/>
              <w:ind w:left="28"/>
              <w:jc w:val="both"/>
              <w:rPr>
                <w:rFonts w:ascii="Palatino Linotype" w:eastAsia="Calibri" w:hAnsi="Palatino Linotype"/>
                <w:b/>
                <w:sz w:val="24"/>
                <w:szCs w:val="24"/>
              </w:rPr>
            </w:pPr>
          </w:p>
        </w:tc>
        <w:tc>
          <w:tcPr>
            <w:tcW w:w="1559" w:type="dxa"/>
            <w:shd w:val="clear" w:color="auto" w:fill="FFFFFF" w:themeFill="background1"/>
          </w:tcPr>
          <w:p w14:paraId="0A3211F1" w14:textId="1393FF60" w:rsidR="00E433A7" w:rsidRPr="00D11D93" w:rsidRDefault="00EC357E" w:rsidP="00EC357E">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SÍ</w:t>
            </w:r>
            <w:r w:rsidR="00E433A7" w:rsidRPr="00D11D93">
              <w:rPr>
                <w:rFonts w:ascii="Palatino Linotype" w:eastAsia="Calibri" w:hAnsi="Palatino Linotype"/>
                <w:sz w:val="24"/>
                <w:szCs w:val="24"/>
                <w:lang w:val="es-MX"/>
              </w:rPr>
              <w:t xml:space="preserve"> </w:t>
            </w:r>
          </w:p>
        </w:tc>
      </w:tr>
      <w:tr w:rsidR="00E433A7" w:rsidRPr="00D11D93" w14:paraId="4B6E04FA" w14:textId="77777777" w:rsidTr="00F2609B">
        <w:trPr>
          <w:trHeight w:val="582"/>
        </w:trPr>
        <w:tc>
          <w:tcPr>
            <w:tcW w:w="709" w:type="dxa"/>
            <w:shd w:val="clear" w:color="auto" w:fill="FFFFFF" w:themeFill="background1"/>
          </w:tcPr>
          <w:p w14:paraId="5FC65A12" w14:textId="77777777" w:rsidR="00E433A7" w:rsidRPr="00D11D93" w:rsidRDefault="00E433A7" w:rsidP="00E433A7">
            <w:pPr>
              <w:spacing w:line="360" w:lineRule="auto"/>
              <w:rPr>
                <w:rFonts w:ascii="Palatino Linotype" w:eastAsia="Calibri" w:hAnsi="Palatino Linotype"/>
                <w:b/>
                <w:sz w:val="24"/>
                <w:szCs w:val="24"/>
                <w:lang w:val="es-MX"/>
              </w:rPr>
            </w:pPr>
          </w:p>
          <w:p w14:paraId="577A43D9" w14:textId="77777777" w:rsidR="00E433A7" w:rsidRPr="00D11D93" w:rsidRDefault="00E433A7" w:rsidP="00E433A7">
            <w:pPr>
              <w:spacing w:line="360" w:lineRule="auto"/>
              <w:rPr>
                <w:rFonts w:ascii="Palatino Linotype" w:eastAsia="Calibri" w:hAnsi="Palatino Linotype"/>
                <w:b/>
                <w:sz w:val="24"/>
                <w:szCs w:val="24"/>
                <w:lang w:val="es-MX"/>
              </w:rPr>
            </w:pPr>
            <w:r w:rsidRPr="00D11D93">
              <w:rPr>
                <w:rFonts w:ascii="Palatino Linotype" w:eastAsia="Calibri" w:hAnsi="Palatino Linotype"/>
                <w:b/>
                <w:sz w:val="24"/>
                <w:szCs w:val="24"/>
                <w:lang w:val="es-MX"/>
              </w:rPr>
              <w:t>4</w:t>
            </w:r>
          </w:p>
        </w:tc>
        <w:tc>
          <w:tcPr>
            <w:tcW w:w="1843" w:type="dxa"/>
            <w:shd w:val="clear" w:color="auto" w:fill="FFFFFF" w:themeFill="background1"/>
          </w:tcPr>
          <w:p w14:paraId="0889B779" w14:textId="775E3191" w:rsidR="00E433A7" w:rsidRPr="00D11D93" w:rsidRDefault="00E433A7" w:rsidP="00E433A7">
            <w:pPr>
              <w:spacing w:line="360" w:lineRule="auto"/>
              <w:jc w:val="both"/>
              <w:rPr>
                <w:rFonts w:ascii="Palatino Linotype" w:eastAsia="MS Mincho" w:hAnsi="Palatino Linotype"/>
                <w:i/>
                <w:color w:val="000000"/>
                <w:sz w:val="24"/>
                <w:szCs w:val="24"/>
                <w:lang w:val="es-ES_tradnl"/>
              </w:rPr>
            </w:pPr>
            <w:proofErr w:type="gramStart"/>
            <w:r w:rsidRPr="00D11D93">
              <w:rPr>
                <w:rFonts w:ascii="Palatino Linotype" w:eastAsia="MS Mincho" w:hAnsi="Palatino Linotype"/>
                <w:i/>
                <w:color w:val="000000"/>
                <w:sz w:val="24"/>
                <w:szCs w:val="24"/>
              </w:rPr>
              <w:t>“</w:t>
            </w:r>
            <w:r w:rsidRPr="00D11D93">
              <w:rPr>
                <w:rFonts w:ascii="Palatino Linotype" w:hAnsi="Palatino Linotype"/>
                <w:sz w:val="24"/>
                <w:szCs w:val="24"/>
              </w:rPr>
              <w:t xml:space="preserve"> </w:t>
            </w:r>
            <w:r w:rsidRPr="00D11D93">
              <w:rPr>
                <w:rFonts w:ascii="Palatino Linotype" w:eastAsia="MS Mincho" w:hAnsi="Palatino Linotype"/>
                <w:i/>
                <w:color w:val="000000"/>
                <w:sz w:val="24"/>
                <w:szCs w:val="24"/>
              </w:rPr>
              <w:t>¿</w:t>
            </w:r>
            <w:proofErr w:type="gramEnd"/>
            <w:r w:rsidRPr="00D11D93">
              <w:rPr>
                <w:rFonts w:ascii="Palatino Linotype" w:eastAsia="MS Mincho" w:hAnsi="Palatino Linotype"/>
                <w:i/>
                <w:color w:val="000000"/>
                <w:sz w:val="24"/>
                <w:szCs w:val="24"/>
              </w:rPr>
              <w:t>NUMERO TOTAL DE TOMAS DE AGUA DE TIPO INDUSTRIAL?” (Sic)</w:t>
            </w:r>
          </w:p>
        </w:tc>
        <w:tc>
          <w:tcPr>
            <w:tcW w:w="2552" w:type="dxa"/>
            <w:shd w:val="clear" w:color="auto" w:fill="FFFFFF" w:themeFill="background1"/>
          </w:tcPr>
          <w:p w14:paraId="097FA732" w14:textId="45F0B134" w:rsidR="00712805" w:rsidRPr="00D11D93" w:rsidRDefault="00712805" w:rsidP="00712805">
            <w:pPr>
              <w:tabs>
                <w:tab w:val="left" w:pos="284"/>
                <w:tab w:val="left" w:pos="426"/>
                <w:tab w:val="left" w:pos="993"/>
                <w:tab w:val="left" w:pos="1134"/>
              </w:tabs>
              <w:spacing w:line="360" w:lineRule="auto"/>
              <w:ind w:left="29" w:right="39" w:hanging="29"/>
              <w:contextualSpacing/>
              <w:jc w:val="both"/>
              <w:rPr>
                <w:rFonts w:ascii="Palatino Linotype" w:hAnsi="Palatino Linotype"/>
                <w:i/>
                <w:sz w:val="24"/>
                <w:szCs w:val="24"/>
              </w:rPr>
            </w:pPr>
            <w:r w:rsidRPr="00D11D93">
              <w:rPr>
                <w:rFonts w:ascii="Palatino Linotype" w:hAnsi="Palatino Linotype"/>
                <w:i/>
                <w:sz w:val="24"/>
                <w:szCs w:val="24"/>
              </w:rPr>
              <w:t xml:space="preserve">“Esta Gerencia Comercial no tiene identificado en el sistema digital ni en físico tomas industriales. </w:t>
            </w:r>
          </w:p>
          <w:p w14:paraId="013DD6E0" w14:textId="7F89C6D0" w:rsidR="00712805" w:rsidRPr="00D11D93" w:rsidRDefault="00712805" w:rsidP="00712805">
            <w:pPr>
              <w:tabs>
                <w:tab w:val="left" w:pos="284"/>
                <w:tab w:val="left" w:pos="426"/>
                <w:tab w:val="left" w:pos="993"/>
                <w:tab w:val="left" w:pos="1134"/>
              </w:tabs>
              <w:spacing w:line="360" w:lineRule="auto"/>
              <w:ind w:left="29" w:right="39" w:hanging="29"/>
              <w:contextualSpacing/>
              <w:jc w:val="both"/>
              <w:rPr>
                <w:rFonts w:ascii="Palatino Linotype" w:hAnsi="Palatino Linotype"/>
                <w:i/>
                <w:sz w:val="24"/>
                <w:szCs w:val="24"/>
              </w:rPr>
            </w:pPr>
            <w:r w:rsidRPr="00D11D93">
              <w:rPr>
                <w:rFonts w:ascii="Palatino Linotype" w:hAnsi="Palatino Linotype"/>
                <w:i/>
                <w:sz w:val="24"/>
                <w:szCs w:val="24"/>
              </w:rPr>
              <w:t xml:space="preserve">Informo que esta información solicitada no es procedente de </w:t>
            </w:r>
            <w:r w:rsidRPr="00D11D93">
              <w:rPr>
                <w:rFonts w:ascii="Palatino Linotype" w:hAnsi="Palatino Linotype"/>
                <w:i/>
                <w:sz w:val="24"/>
                <w:szCs w:val="24"/>
              </w:rPr>
              <w:lastRenderedPageBreak/>
              <w:t>acuerdo al artículo 12 la Ley de Transparencia y Acceso a la Información Pública.” (Sic)</w:t>
            </w:r>
          </w:p>
          <w:p w14:paraId="2650560E" w14:textId="2A203F7A" w:rsidR="00E433A7" w:rsidRPr="00D11D93" w:rsidRDefault="00E433A7" w:rsidP="00712805">
            <w:pPr>
              <w:widowControl w:val="0"/>
              <w:tabs>
                <w:tab w:val="left" w:pos="0"/>
              </w:tabs>
              <w:autoSpaceDE w:val="0"/>
              <w:autoSpaceDN w:val="0"/>
              <w:adjustRightInd w:val="0"/>
              <w:spacing w:before="240" w:after="240" w:line="360" w:lineRule="auto"/>
              <w:ind w:right="39"/>
              <w:contextualSpacing/>
              <w:jc w:val="both"/>
              <w:rPr>
                <w:rFonts w:ascii="Palatino Linotype" w:eastAsia="Calibri" w:hAnsi="Palatino Linotype" w:cs="Arial"/>
                <w:bCs/>
                <w:i/>
                <w:sz w:val="24"/>
                <w:szCs w:val="24"/>
              </w:rPr>
            </w:pPr>
          </w:p>
        </w:tc>
        <w:tc>
          <w:tcPr>
            <w:tcW w:w="2693" w:type="dxa"/>
            <w:shd w:val="clear" w:color="auto" w:fill="FFFFFF" w:themeFill="background1"/>
          </w:tcPr>
          <w:p w14:paraId="73021A4B" w14:textId="0D8B2DC3" w:rsidR="00E433A7" w:rsidRPr="00D11D93" w:rsidRDefault="00712805" w:rsidP="00AC2F82">
            <w:pPr>
              <w:spacing w:line="360" w:lineRule="auto"/>
              <w:jc w:val="both"/>
              <w:rPr>
                <w:rFonts w:ascii="Palatino Linotype" w:eastAsia="Calibri" w:hAnsi="Palatino Linotype"/>
                <w:b/>
                <w:sz w:val="24"/>
                <w:szCs w:val="24"/>
              </w:rPr>
            </w:pPr>
            <w:r w:rsidRPr="00D11D93">
              <w:rPr>
                <w:rFonts w:ascii="Palatino Linotype" w:eastAsia="Calibri" w:hAnsi="Palatino Linotype" w:cs="Arial"/>
                <w:i/>
                <w:color w:val="000000"/>
                <w:sz w:val="24"/>
                <w:szCs w:val="24"/>
                <w:lang w:eastAsia="es-ES"/>
              </w:rPr>
              <w:lastRenderedPageBreak/>
              <w:t xml:space="preserve">“… En una búsqueda exhaustiva de nuestro sistema de registros de tomas de agua y en el padrón de usuarios de este Organismo de Descentralización. No se encontró el concepto de toma industrial. Solo uso </w:t>
            </w:r>
            <w:r w:rsidRPr="00D11D93">
              <w:rPr>
                <w:rFonts w:ascii="Palatino Linotype" w:eastAsia="Calibri" w:hAnsi="Palatino Linotype" w:cs="Arial"/>
                <w:i/>
                <w:color w:val="000000"/>
                <w:sz w:val="24"/>
                <w:szCs w:val="24"/>
                <w:lang w:eastAsia="es-ES"/>
              </w:rPr>
              <w:lastRenderedPageBreak/>
              <w:t>Comercial de las cuales hasta el día de hoy existen 8,711 (Artículo 130 Bis. Del código financiero del Estado de México y Municipios)…”</w:t>
            </w:r>
          </w:p>
        </w:tc>
        <w:tc>
          <w:tcPr>
            <w:tcW w:w="1559" w:type="dxa"/>
            <w:shd w:val="clear" w:color="auto" w:fill="FFFFFF" w:themeFill="background1"/>
          </w:tcPr>
          <w:p w14:paraId="32B7ACD4" w14:textId="77777777" w:rsidR="00E433A7" w:rsidRPr="00D11D93" w:rsidRDefault="00E433A7" w:rsidP="00E433A7">
            <w:pPr>
              <w:spacing w:line="360" w:lineRule="auto"/>
              <w:jc w:val="center"/>
              <w:rPr>
                <w:rFonts w:ascii="Palatino Linotype" w:eastAsia="Calibri" w:hAnsi="Palatino Linotype"/>
                <w:sz w:val="24"/>
                <w:szCs w:val="24"/>
              </w:rPr>
            </w:pPr>
            <w:r w:rsidRPr="00D11D93">
              <w:rPr>
                <w:rFonts w:ascii="Palatino Linotype" w:eastAsia="Calibri" w:hAnsi="Palatino Linotype"/>
                <w:sz w:val="24"/>
                <w:szCs w:val="24"/>
              </w:rPr>
              <w:lastRenderedPageBreak/>
              <w:t xml:space="preserve">SÍ </w:t>
            </w:r>
          </w:p>
        </w:tc>
      </w:tr>
      <w:tr w:rsidR="00E433A7" w:rsidRPr="00D11D93" w14:paraId="13844A68" w14:textId="77777777" w:rsidTr="00F2609B">
        <w:trPr>
          <w:trHeight w:val="582"/>
        </w:trPr>
        <w:tc>
          <w:tcPr>
            <w:tcW w:w="709" w:type="dxa"/>
            <w:shd w:val="clear" w:color="auto" w:fill="FFFFFF" w:themeFill="background1"/>
          </w:tcPr>
          <w:p w14:paraId="56C1BAFE" w14:textId="77777777" w:rsidR="00E433A7" w:rsidRPr="00D11D93" w:rsidRDefault="00E433A7" w:rsidP="00E433A7">
            <w:pPr>
              <w:spacing w:line="360" w:lineRule="auto"/>
              <w:rPr>
                <w:rFonts w:ascii="Palatino Linotype" w:eastAsia="Calibri" w:hAnsi="Palatino Linotype"/>
                <w:b/>
                <w:sz w:val="24"/>
                <w:szCs w:val="24"/>
                <w:lang w:val="es-MX"/>
              </w:rPr>
            </w:pPr>
            <w:r w:rsidRPr="00D11D93">
              <w:rPr>
                <w:rFonts w:ascii="Palatino Linotype" w:eastAsia="Calibri" w:hAnsi="Palatino Linotype"/>
                <w:b/>
                <w:sz w:val="24"/>
                <w:szCs w:val="24"/>
                <w:lang w:val="es-MX"/>
              </w:rPr>
              <w:lastRenderedPageBreak/>
              <w:t>5</w:t>
            </w:r>
          </w:p>
        </w:tc>
        <w:tc>
          <w:tcPr>
            <w:tcW w:w="1843" w:type="dxa"/>
            <w:shd w:val="clear" w:color="auto" w:fill="FFFFFF" w:themeFill="background1"/>
          </w:tcPr>
          <w:p w14:paraId="612F89BF" w14:textId="7CFA9005" w:rsidR="00E433A7" w:rsidRPr="00D11D93" w:rsidRDefault="00712805" w:rsidP="00712805">
            <w:pPr>
              <w:spacing w:line="360" w:lineRule="auto"/>
              <w:jc w:val="both"/>
              <w:rPr>
                <w:rFonts w:ascii="Palatino Linotype" w:eastAsia="MS Mincho" w:hAnsi="Palatino Linotype"/>
                <w:i/>
                <w:color w:val="000000"/>
                <w:sz w:val="24"/>
                <w:szCs w:val="24"/>
                <w:lang w:val="es-ES_tradnl"/>
              </w:rPr>
            </w:pPr>
            <w:r w:rsidRPr="00D11D93">
              <w:rPr>
                <w:rFonts w:ascii="Palatino Linotype" w:eastAsia="MS Mincho" w:hAnsi="Palatino Linotype"/>
                <w:i/>
                <w:color w:val="000000"/>
                <w:sz w:val="24"/>
                <w:szCs w:val="24"/>
              </w:rPr>
              <w:t>¿NUMERO TOTAL DE TOMAS DE AGUA DE TIPO POPULAR?</w:t>
            </w:r>
          </w:p>
        </w:tc>
        <w:tc>
          <w:tcPr>
            <w:tcW w:w="2552" w:type="dxa"/>
            <w:shd w:val="clear" w:color="auto" w:fill="FFFFFF" w:themeFill="background1"/>
          </w:tcPr>
          <w:p w14:paraId="058A49D3" w14:textId="77777777" w:rsidR="00712805" w:rsidRPr="00D11D93" w:rsidRDefault="00712805" w:rsidP="00712805">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p w14:paraId="253ECFDD" w14:textId="77777777" w:rsidR="00712805" w:rsidRPr="00D11D93" w:rsidRDefault="00712805" w:rsidP="00712805">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p w14:paraId="75B90B34" w14:textId="77777777" w:rsidR="00712805" w:rsidRPr="00D11D93" w:rsidRDefault="00712805" w:rsidP="00712805">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p w14:paraId="77C45EAB" w14:textId="6C37732B" w:rsidR="00E433A7" w:rsidRPr="00D11D93" w:rsidRDefault="00E433A7" w:rsidP="00712805">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r w:rsidRPr="00D11D93">
              <w:rPr>
                <w:rFonts w:ascii="Palatino Linotype" w:eastAsia="Calibri" w:hAnsi="Palatino Linotype" w:cs="Arial"/>
                <w:bCs/>
                <w:i/>
                <w:sz w:val="24"/>
                <w:szCs w:val="24"/>
                <w:lang w:val="es-ES_tradnl"/>
              </w:rPr>
              <w:t>“</w:t>
            </w:r>
            <w:r w:rsidR="00712805" w:rsidRPr="00D11D93">
              <w:rPr>
                <w:rFonts w:ascii="Palatino Linotype" w:eastAsia="Calibri" w:hAnsi="Palatino Linotype" w:cs="Arial"/>
                <w:bCs/>
                <w:i/>
                <w:sz w:val="24"/>
                <w:szCs w:val="24"/>
                <w:lang w:val="es-ES_tradnl"/>
              </w:rPr>
              <w:t>64,865</w:t>
            </w:r>
            <w:r w:rsidRPr="00D11D93">
              <w:rPr>
                <w:rFonts w:ascii="Palatino Linotype" w:eastAsia="Calibri" w:hAnsi="Palatino Linotype" w:cs="Arial"/>
                <w:bCs/>
                <w:i/>
                <w:sz w:val="24"/>
                <w:szCs w:val="24"/>
                <w:lang w:val="es-ES_tradnl"/>
              </w:rPr>
              <w:t xml:space="preserve">. “ (Sic) </w:t>
            </w:r>
          </w:p>
        </w:tc>
        <w:tc>
          <w:tcPr>
            <w:tcW w:w="2693" w:type="dxa"/>
            <w:shd w:val="clear" w:color="auto" w:fill="FFFFFF" w:themeFill="background1"/>
          </w:tcPr>
          <w:p w14:paraId="4370B0BF" w14:textId="62D311D9" w:rsidR="00E433A7" w:rsidRPr="00D11D93" w:rsidRDefault="00E433A7" w:rsidP="00712805">
            <w:pPr>
              <w:spacing w:line="360" w:lineRule="auto"/>
              <w:ind w:left="28"/>
              <w:jc w:val="both"/>
              <w:rPr>
                <w:rFonts w:ascii="Palatino Linotype" w:eastAsia="Calibri" w:hAnsi="Palatino Linotype"/>
                <w:sz w:val="24"/>
                <w:szCs w:val="24"/>
              </w:rPr>
            </w:pPr>
            <w:r w:rsidRPr="00D11D93">
              <w:rPr>
                <w:rFonts w:ascii="Palatino Linotype" w:eastAsia="Calibri" w:hAnsi="Palatino Linotype"/>
                <w:i/>
                <w:sz w:val="24"/>
                <w:szCs w:val="24"/>
              </w:rPr>
              <w:t>“</w:t>
            </w:r>
            <w:r w:rsidR="00712805" w:rsidRPr="00D11D93">
              <w:rPr>
                <w:rFonts w:ascii="Palatino Linotype" w:eastAsia="Calibri" w:hAnsi="Palatino Linotype"/>
                <w:i/>
                <w:sz w:val="24"/>
                <w:szCs w:val="24"/>
              </w:rPr>
              <w:t>En una búsqueda de nuestro sistema del padrón de usuarios de uso doméstico están registradas 64,865 tomas de agua de tipo popular</w:t>
            </w:r>
            <w:r w:rsidRPr="00D11D93">
              <w:rPr>
                <w:rFonts w:ascii="Palatino Linotype" w:eastAsia="Calibri" w:hAnsi="Palatino Linotype"/>
                <w:i/>
                <w:sz w:val="24"/>
                <w:szCs w:val="24"/>
              </w:rPr>
              <w:t>.” (Sic)</w:t>
            </w:r>
          </w:p>
        </w:tc>
        <w:tc>
          <w:tcPr>
            <w:tcW w:w="1559" w:type="dxa"/>
            <w:shd w:val="clear" w:color="auto" w:fill="FFFFFF" w:themeFill="background1"/>
          </w:tcPr>
          <w:p w14:paraId="55395525" w14:textId="662028BE" w:rsidR="00E433A7" w:rsidRPr="00D11D93" w:rsidRDefault="00EC357E" w:rsidP="00EC357E">
            <w:pPr>
              <w:spacing w:line="360" w:lineRule="auto"/>
              <w:jc w:val="center"/>
              <w:rPr>
                <w:rFonts w:ascii="Palatino Linotype" w:eastAsia="Calibri" w:hAnsi="Palatino Linotype"/>
                <w:sz w:val="24"/>
                <w:szCs w:val="24"/>
                <w:lang w:val="es-MX"/>
              </w:rPr>
            </w:pPr>
            <w:r w:rsidRPr="00D11D93">
              <w:rPr>
                <w:rFonts w:ascii="Palatino Linotype" w:eastAsia="Calibri" w:hAnsi="Palatino Linotype"/>
                <w:sz w:val="24"/>
                <w:szCs w:val="24"/>
                <w:lang w:val="es-MX"/>
              </w:rPr>
              <w:t>SÍ</w:t>
            </w:r>
          </w:p>
        </w:tc>
      </w:tr>
    </w:tbl>
    <w:p w14:paraId="47B4274C" w14:textId="77777777" w:rsidR="00E433A7" w:rsidRPr="00D11D93" w:rsidRDefault="00E433A7" w:rsidP="00E433A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305181E4" w14:textId="77777777" w:rsidR="00E433A7" w:rsidRPr="00D11D93" w:rsidRDefault="00E433A7" w:rsidP="00567210">
      <w:pPr>
        <w:spacing w:line="360" w:lineRule="auto"/>
        <w:ind w:right="49"/>
        <w:contextualSpacing/>
        <w:jc w:val="both"/>
        <w:rPr>
          <w:rFonts w:ascii="Palatino Linotype" w:eastAsia="MS Mincho" w:hAnsi="Palatino Linotype" w:cs="Arial"/>
          <w:lang w:val="es-ES_tradnl"/>
        </w:rPr>
      </w:pPr>
    </w:p>
    <w:p w14:paraId="44512519" w14:textId="77777777" w:rsidR="00AC2F82" w:rsidRPr="00D11D93" w:rsidRDefault="00AC2F82" w:rsidP="00EC357E">
      <w:pPr>
        <w:spacing w:line="360" w:lineRule="auto"/>
        <w:ind w:right="49"/>
        <w:contextualSpacing/>
        <w:jc w:val="both"/>
        <w:rPr>
          <w:rFonts w:ascii="Palatino Linotype" w:eastAsia="MS Mincho" w:hAnsi="Palatino Linotype" w:cs="Arial"/>
          <w:lang w:val="es-ES_tradnl"/>
        </w:rPr>
      </w:pPr>
    </w:p>
    <w:p w14:paraId="780905F2" w14:textId="77777777" w:rsidR="00AC2F82" w:rsidRPr="00D11D93" w:rsidRDefault="00AC2F82" w:rsidP="00AC2F82">
      <w:pPr>
        <w:spacing w:line="360" w:lineRule="auto"/>
        <w:ind w:right="49"/>
        <w:contextualSpacing/>
        <w:jc w:val="both"/>
        <w:rPr>
          <w:rFonts w:ascii="Palatino Linotype" w:eastAsia="MS Mincho" w:hAnsi="Palatino Linotype" w:cs="Arial"/>
          <w:lang w:val="es-ES_tradnl"/>
        </w:rPr>
      </w:pPr>
    </w:p>
    <w:p w14:paraId="3503E4D7" w14:textId="105964C4" w:rsidR="007E3C71" w:rsidRPr="00D11D93"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Calibri" w:hAnsi="Palatino Linotype" w:cs="Arial"/>
          <w:color w:val="000000" w:themeColor="text1"/>
          <w:lang w:val="es-MX" w:eastAsia="en-US"/>
        </w:rPr>
        <w:t xml:space="preserve">Ahora bien, en el caso concreto y derivado del razonamiento lógico-jurídico de las constancias que obran en el expediente electrónico al rubro indicado, es de señalar que el </w:t>
      </w:r>
      <w:r w:rsidRPr="00D11D93">
        <w:rPr>
          <w:rFonts w:ascii="Palatino Linotype" w:eastAsia="MS Mincho" w:hAnsi="Palatino Linotype" w:cs="Arial"/>
          <w:color w:val="000000" w:themeColor="text1"/>
          <w:lang w:val="es-ES_tradnl"/>
        </w:rPr>
        <w:t>ah</w:t>
      </w:r>
      <w:r w:rsidR="007E3C71" w:rsidRPr="00D11D93">
        <w:rPr>
          <w:rFonts w:ascii="Palatino Linotype" w:eastAsia="MS Mincho" w:hAnsi="Palatino Linotype" w:cs="Arial"/>
          <w:color w:val="000000" w:themeColor="text1"/>
          <w:lang w:val="es-ES_tradnl"/>
        </w:rPr>
        <w:t xml:space="preserve">ora recurrente, </w:t>
      </w:r>
      <w:r w:rsidR="00EC357E" w:rsidRPr="00D11D93">
        <w:rPr>
          <w:rFonts w:ascii="Palatino Linotype" w:eastAsia="MS Mincho" w:hAnsi="Palatino Linotype" w:cs="Arial"/>
          <w:color w:val="000000" w:themeColor="text1"/>
          <w:lang w:val="es-ES_tradnl"/>
        </w:rPr>
        <w:t>solicitó diversa información estadística en relación al tipo y número de tomas de agua en la entidad.</w:t>
      </w:r>
    </w:p>
    <w:p w14:paraId="524D5622" w14:textId="77777777" w:rsidR="00567210" w:rsidRPr="00D11D93" w:rsidRDefault="00567210" w:rsidP="00567210">
      <w:pPr>
        <w:spacing w:line="360" w:lineRule="auto"/>
        <w:ind w:right="49"/>
        <w:contextualSpacing/>
        <w:jc w:val="both"/>
        <w:rPr>
          <w:rFonts w:ascii="Palatino Linotype" w:eastAsia="MS Mincho" w:hAnsi="Palatino Linotype" w:cs="Arial"/>
          <w:lang w:val="es-ES_tradnl"/>
        </w:rPr>
      </w:pPr>
    </w:p>
    <w:p w14:paraId="0C7ABD4C" w14:textId="77777777" w:rsidR="005F555C" w:rsidRPr="00D11D93" w:rsidRDefault="00EC357E" w:rsidP="005F555C">
      <w:pPr>
        <w:numPr>
          <w:ilvl w:val="0"/>
          <w:numId w:val="12"/>
        </w:numPr>
        <w:spacing w:line="360" w:lineRule="auto"/>
        <w:ind w:left="0" w:right="49" w:firstLine="0"/>
        <w:contextualSpacing/>
        <w:jc w:val="both"/>
        <w:rPr>
          <w:rFonts w:ascii="Palatino Linotype" w:eastAsia="MS Mincho" w:hAnsi="Palatino Linotype"/>
          <w:i/>
          <w:lang w:val="es-ES_tradnl"/>
        </w:rPr>
      </w:pPr>
      <w:r w:rsidRPr="00D11D93">
        <w:rPr>
          <w:rFonts w:ascii="Palatino Linotype" w:eastAsia="MS Mincho" w:hAnsi="Palatino Linotype"/>
          <w:lang w:val="es-ES_tradnl"/>
        </w:rPr>
        <w:t>En ese sentido, es posible advertir que</w:t>
      </w:r>
      <w:r w:rsidR="005F555C" w:rsidRPr="00D11D93">
        <w:rPr>
          <w:rFonts w:ascii="Palatino Linotype" w:eastAsia="MS Mincho" w:hAnsi="Palatino Linotype"/>
          <w:lang w:val="es-ES_tradnl"/>
        </w:rPr>
        <w:t xml:space="preserve"> si bien</w:t>
      </w:r>
      <w:r w:rsidRPr="00D11D93">
        <w:rPr>
          <w:rFonts w:ascii="Palatino Linotype" w:eastAsia="MS Mincho" w:hAnsi="Palatino Linotype"/>
          <w:lang w:val="es-ES_tradnl"/>
        </w:rPr>
        <w:t xml:space="preserve"> el </w:t>
      </w:r>
      <w:r w:rsidRPr="00D11D93">
        <w:rPr>
          <w:rFonts w:ascii="Palatino Linotype" w:eastAsia="MS Mincho" w:hAnsi="Palatino Linotype"/>
          <w:b/>
          <w:lang w:val="es-ES_tradnl"/>
        </w:rPr>
        <w:t>SUJETO</w:t>
      </w:r>
      <w:r w:rsidR="005F555C" w:rsidRPr="00D11D93">
        <w:rPr>
          <w:rFonts w:ascii="Palatino Linotype" w:eastAsia="MS Mincho" w:hAnsi="Palatino Linotype"/>
          <w:b/>
          <w:lang w:val="es-ES_tradnl"/>
        </w:rPr>
        <w:t xml:space="preserve"> </w:t>
      </w:r>
      <w:r w:rsidRPr="00D11D93">
        <w:rPr>
          <w:rFonts w:ascii="Palatino Linotype" w:eastAsia="MS Mincho" w:hAnsi="Palatino Linotype"/>
          <w:b/>
          <w:lang w:val="es-ES_tradnl"/>
        </w:rPr>
        <w:t xml:space="preserve">OBLIGADO </w:t>
      </w:r>
      <w:r w:rsidRPr="00D11D93">
        <w:rPr>
          <w:rFonts w:ascii="Palatino Linotype" w:eastAsia="MS Mincho" w:hAnsi="Palatino Linotype"/>
          <w:lang w:val="es-ES_tradnl"/>
        </w:rPr>
        <w:t xml:space="preserve">mediante respuesta señaló: a) los tipos de tomas de agua con los que cuenta el ayuntamiento; b) el número total de tomas de agua; c) el número total de tomas de </w:t>
      </w:r>
      <w:r w:rsidR="005F555C" w:rsidRPr="00D11D93">
        <w:rPr>
          <w:rFonts w:ascii="Palatino Linotype" w:eastAsia="MS Mincho" w:hAnsi="Palatino Linotype"/>
          <w:lang w:val="es-ES_tradnl"/>
        </w:rPr>
        <w:t>tipo domestico; d) y el número total de tomas de tipo popular</w:t>
      </w:r>
      <w:r w:rsidRPr="00D11D93">
        <w:rPr>
          <w:rFonts w:ascii="Palatino Linotype" w:eastAsia="MS Mincho" w:hAnsi="Palatino Linotype"/>
          <w:lang w:val="es-ES_tradnl"/>
        </w:rPr>
        <w:t xml:space="preserve">, </w:t>
      </w:r>
      <w:r w:rsidR="005F555C" w:rsidRPr="00D11D93">
        <w:rPr>
          <w:rFonts w:ascii="Palatino Linotype" w:eastAsia="MS Mincho" w:hAnsi="Palatino Linotype"/>
          <w:lang w:val="es-ES_tradnl"/>
        </w:rPr>
        <w:t>lo cierto es que</w:t>
      </w:r>
      <w:r w:rsidRPr="00D11D93">
        <w:rPr>
          <w:rFonts w:ascii="Palatino Linotype" w:eastAsia="MS Mincho" w:hAnsi="Palatino Linotype"/>
          <w:lang w:val="es-ES_tradnl"/>
        </w:rPr>
        <w:t xml:space="preserve"> el particular se inconforma por la entrega de información incompl</w:t>
      </w:r>
      <w:r w:rsidR="005F555C" w:rsidRPr="00D11D93">
        <w:rPr>
          <w:rFonts w:ascii="Palatino Linotype" w:eastAsia="MS Mincho" w:hAnsi="Palatino Linotype"/>
          <w:lang w:val="es-ES_tradnl"/>
        </w:rPr>
        <w:t xml:space="preserve">eta, por lo que </w:t>
      </w:r>
      <w:r w:rsidRPr="00D11D93">
        <w:rPr>
          <w:rFonts w:ascii="Palatino Linotype" w:eastAsia="MS Mincho" w:hAnsi="Palatino Linotype"/>
          <w:lang w:val="es-ES_tradnl"/>
        </w:rPr>
        <w:t xml:space="preserve">resulta de interés para este Órgano Garante lo </w:t>
      </w:r>
      <w:r w:rsidR="005F555C" w:rsidRPr="00D11D93">
        <w:rPr>
          <w:rFonts w:ascii="Palatino Linotype" w:eastAsia="MS Mincho" w:hAnsi="Palatino Linotype"/>
          <w:lang w:val="es-ES_tradnl"/>
        </w:rPr>
        <w:t>relativo</w:t>
      </w:r>
      <w:r w:rsidRPr="00D11D93">
        <w:rPr>
          <w:rFonts w:ascii="Palatino Linotype" w:eastAsia="MS Mincho" w:hAnsi="Palatino Linotype"/>
          <w:lang w:val="es-ES_tradnl"/>
        </w:rPr>
        <w:t xml:space="preserve"> al </w:t>
      </w:r>
      <w:r w:rsidR="005F555C" w:rsidRPr="00D11D93">
        <w:rPr>
          <w:rFonts w:ascii="Palatino Linotype" w:eastAsia="MS Mincho" w:hAnsi="Palatino Linotype"/>
          <w:lang w:val="es-ES_tradnl"/>
        </w:rPr>
        <w:t xml:space="preserve">“número de total de tomas tipo de industrial”. </w:t>
      </w:r>
    </w:p>
    <w:p w14:paraId="74892D7F" w14:textId="77777777" w:rsidR="005F555C" w:rsidRPr="00D11D93" w:rsidRDefault="005F555C" w:rsidP="005F555C">
      <w:pPr>
        <w:pStyle w:val="Prrafodelista"/>
        <w:rPr>
          <w:rFonts w:ascii="Palatino Linotype" w:eastAsia="MS Mincho" w:hAnsi="Palatino Linotype"/>
          <w:lang w:val="es-ES_tradnl"/>
        </w:rPr>
      </w:pPr>
    </w:p>
    <w:p w14:paraId="13326643" w14:textId="60EB2DD3" w:rsidR="005F555C" w:rsidRPr="00D11D93" w:rsidRDefault="005F555C" w:rsidP="005F555C">
      <w:pPr>
        <w:numPr>
          <w:ilvl w:val="0"/>
          <w:numId w:val="12"/>
        </w:numPr>
        <w:spacing w:line="360" w:lineRule="auto"/>
        <w:ind w:left="0" w:right="49" w:firstLine="0"/>
        <w:contextualSpacing/>
        <w:jc w:val="both"/>
        <w:rPr>
          <w:rFonts w:ascii="Palatino Linotype" w:eastAsia="MS Mincho" w:hAnsi="Palatino Linotype"/>
          <w:i/>
          <w:lang w:val="es-ES_tradnl"/>
        </w:rPr>
      </w:pPr>
      <w:r w:rsidRPr="00D11D93">
        <w:rPr>
          <w:rFonts w:ascii="Palatino Linotype" w:eastAsia="MS Mincho" w:hAnsi="Palatino Linotype"/>
          <w:lang w:val="es-ES_tradnl"/>
        </w:rPr>
        <w:t xml:space="preserve"> Lo anterior porque si bien en un primer momento el particular refirió el tipo de toma no domestica como industrial, lo cierto es que </w:t>
      </w:r>
      <w:r w:rsidRPr="00D11D93">
        <w:rPr>
          <w:rFonts w:ascii="Palatino Linotype" w:eastAsia="MS Mincho" w:hAnsi="Palatino Linotype"/>
        </w:rPr>
        <w:t>al no ser experto en la materia, eventualmente pudiera no indicar correctamente la información que desea obtener, en relación a el tipo de toma de agua,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F89CB12" w14:textId="77777777" w:rsidR="005F555C" w:rsidRPr="00D11D93" w:rsidRDefault="005F555C" w:rsidP="005F555C">
      <w:pPr>
        <w:tabs>
          <w:tab w:val="left" w:pos="5430"/>
        </w:tabs>
        <w:spacing w:before="240" w:after="240" w:line="360" w:lineRule="auto"/>
        <w:ind w:left="567" w:right="616"/>
        <w:contextualSpacing/>
        <w:jc w:val="both"/>
        <w:rPr>
          <w:rFonts w:ascii="Palatino Linotype" w:eastAsia="MS Mincho" w:hAnsi="Palatino Linotype"/>
        </w:rPr>
      </w:pPr>
      <w:r w:rsidRPr="00D11D93">
        <w:rPr>
          <w:rFonts w:ascii="Palatino Linotype" w:eastAsia="MS Mincho" w:hAnsi="Palatino Linotype"/>
        </w:rPr>
        <w:tab/>
      </w:r>
    </w:p>
    <w:p w14:paraId="344023E4" w14:textId="77777777" w:rsidR="005F555C" w:rsidRPr="00D11D93" w:rsidRDefault="005F555C" w:rsidP="005F555C">
      <w:pPr>
        <w:autoSpaceDE w:val="0"/>
        <w:autoSpaceDN w:val="0"/>
        <w:adjustRightInd w:val="0"/>
        <w:spacing w:line="360" w:lineRule="auto"/>
        <w:ind w:left="567" w:right="616"/>
        <w:jc w:val="both"/>
        <w:rPr>
          <w:rFonts w:ascii="Palatino Linotype" w:eastAsia="MS Mincho" w:hAnsi="Palatino Linotype" w:cs="Bookman Old Style"/>
          <w:i/>
        </w:rPr>
      </w:pPr>
      <w:r w:rsidRPr="00D11D93">
        <w:rPr>
          <w:rFonts w:ascii="Palatino Linotype" w:eastAsia="MS Mincho" w:hAnsi="Palatino Linotype" w:cs="Bookman Old Style,Bold"/>
          <w:b/>
          <w:bCs/>
          <w:i/>
        </w:rPr>
        <w:t xml:space="preserve">“Artículo 13. </w:t>
      </w:r>
      <w:r w:rsidRPr="00D11D93">
        <w:rPr>
          <w:rFonts w:ascii="Palatino Linotype" w:eastAsia="MS Mincho" w:hAnsi="Palatino Linotype" w:cs="Bookman Old Style"/>
          <w:i/>
        </w:rPr>
        <w:t xml:space="preserve">El Instituto, en el ámbito de sus atribuciones, deberá </w:t>
      </w:r>
      <w:r w:rsidRPr="00D11D93">
        <w:rPr>
          <w:rFonts w:ascii="Palatino Linotype" w:eastAsia="MS Mincho" w:hAnsi="Palatino Linotype" w:cs="Bookman Old Style"/>
          <w:b/>
          <w:i/>
        </w:rPr>
        <w:t xml:space="preserve">suplir cualquier deficiencia </w:t>
      </w:r>
      <w:r w:rsidRPr="00D11D93">
        <w:rPr>
          <w:rFonts w:ascii="Palatino Linotype" w:eastAsia="MS Mincho" w:hAnsi="Palatino Linotype" w:cs="Bookman Old Style"/>
          <w:i/>
        </w:rPr>
        <w:t>para garantizar el ejercicio del derecho de acceso a la información.”</w:t>
      </w:r>
    </w:p>
    <w:p w14:paraId="1BADBE11" w14:textId="77777777" w:rsidR="005F555C" w:rsidRPr="00D11D93" w:rsidRDefault="005F555C" w:rsidP="005F555C">
      <w:pPr>
        <w:autoSpaceDE w:val="0"/>
        <w:autoSpaceDN w:val="0"/>
        <w:adjustRightInd w:val="0"/>
        <w:spacing w:line="360" w:lineRule="auto"/>
        <w:ind w:left="567" w:right="616"/>
        <w:jc w:val="both"/>
        <w:rPr>
          <w:rFonts w:ascii="Palatino Linotype" w:eastAsia="MS Mincho" w:hAnsi="Palatino Linotype" w:cs="Bookman Old Style"/>
          <w:i/>
        </w:rPr>
      </w:pPr>
    </w:p>
    <w:p w14:paraId="73615CA7" w14:textId="77777777" w:rsidR="005F555C" w:rsidRPr="00D11D93" w:rsidRDefault="005F555C" w:rsidP="005F555C">
      <w:pPr>
        <w:autoSpaceDE w:val="0"/>
        <w:autoSpaceDN w:val="0"/>
        <w:adjustRightInd w:val="0"/>
        <w:spacing w:line="360" w:lineRule="auto"/>
        <w:ind w:left="567" w:right="616"/>
        <w:jc w:val="both"/>
        <w:rPr>
          <w:rFonts w:ascii="Palatino Linotype" w:eastAsia="MS Mincho" w:hAnsi="Palatino Linotype"/>
          <w:i/>
          <w:color w:val="000000"/>
        </w:rPr>
      </w:pPr>
      <w:r w:rsidRPr="00D11D93">
        <w:rPr>
          <w:rFonts w:ascii="Palatino Linotype" w:eastAsia="MS Mincho" w:hAnsi="Palatino Linotype"/>
          <w:i/>
          <w:color w:val="000000"/>
        </w:rPr>
        <w:t>“</w:t>
      </w:r>
      <w:r w:rsidRPr="00D11D93">
        <w:rPr>
          <w:rFonts w:ascii="Palatino Linotype" w:eastAsia="MS Mincho" w:hAnsi="Palatino Linotype"/>
          <w:b/>
          <w:i/>
          <w:color w:val="000000"/>
        </w:rPr>
        <w:t>Artículo 181</w:t>
      </w:r>
    </w:p>
    <w:p w14:paraId="792C61A2" w14:textId="77777777" w:rsidR="005F555C" w:rsidRPr="00D11D93" w:rsidRDefault="005F555C" w:rsidP="005F555C">
      <w:pPr>
        <w:autoSpaceDE w:val="0"/>
        <w:autoSpaceDN w:val="0"/>
        <w:adjustRightInd w:val="0"/>
        <w:spacing w:line="360" w:lineRule="auto"/>
        <w:ind w:left="567" w:right="616"/>
        <w:jc w:val="both"/>
        <w:rPr>
          <w:rFonts w:ascii="Palatino Linotype" w:eastAsia="MS Mincho" w:hAnsi="Palatino Linotype"/>
          <w:i/>
          <w:color w:val="000000"/>
        </w:rPr>
      </w:pPr>
      <w:r w:rsidRPr="00D11D93">
        <w:rPr>
          <w:rFonts w:ascii="Palatino Linotype" w:eastAsia="MS Mincho" w:hAnsi="Palatino Linotype"/>
          <w:i/>
          <w:color w:val="000000"/>
        </w:rPr>
        <w:t>…</w:t>
      </w:r>
    </w:p>
    <w:p w14:paraId="36AA8481" w14:textId="77777777" w:rsidR="005F555C" w:rsidRPr="00D11D93" w:rsidRDefault="005F555C" w:rsidP="005F555C">
      <w:pPr>
        <w:autoSpaceDE w:val="0"/>
        <w:autoSpaceDN w:val="0"/>
        <w:adjustRightInd w:val="0"/>
        <w:spacing w:line="360" w:lineRule="auto"/>
        <w:ind w:left="567" w:right="616"/>
        <w:jc w:val="both"/>
        <w:rPr>
          <w:rFonts w:ascii="Palatino Linotype" w:eastAsia="MS Mincho" w:hAnsi="Palatino Linotype" w:cs="Bookman Old Style"/>
          <w:i/>
        </w:rPr>
      </w:pPr>
      <w:r w:rsidRPr="00D11D93">
        <w:rPr>
          <w:rFonts w:ascii="Palatino Linotype" w:eastAsia="MS Mincho" w:hAnsi="Palatino Linotype" w:cs="Bookman Old Style"/>
          <w:i/>
        </w:rPr>
        <w:t xml:space="preserve">Durante el procedimiento deberá aplicarse la </w:t>
      </w:r>
      <w:r w:rsidRPr="00D11D93">
        <w:rPr>
          <w:rFonts w:ascii="Palatino Linotype" w:eastAsia="MS Mincho" w:hAnsi="Palatino Linotype" w:cs="Bookman Old Style"/>
          <w:b/>
          <w:i/>
        </w:rPr>
        <w:t>suplencia de la queja a favor del recurrente</w:t>
      </w:r>
      <w:r w:rsidRPr="00D11D93">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46AA1E0F" w14:textId="77777777" w:rsidR="005F555C" w:rsidRPr="00D11D93" w:rsidRDefault="005F555C" w:rsidP="005F555C">
      <w:pPr>
        <w:autoSpaceDE w:val="0"/>
        <w:autoSpaceDN w:val="0"/>
        <w:adjustRightInd w:val="0"/>
        <w:spacing w:line="360" w:lineRule="auto"/>
        <w:ind w:left="851" w:right="567"/>
        <w:jc w:val="both"/>
        <w:rPr>
          <w:rFonts w:ascii="Palatino Linotype" w:eastAsia="MS Mincho" w:hAnsi="Palatino Linotype"/>
          <w:i/>
          <w:color w:val="000000"/>
        </w:rPr>
      </w:pPr>
      <w:r w:rsidRPr="00D11D93">
        <w:rPr>
          <w:rFonts w:ascii="Palatino Linotype" w:eastAsia="MS Mincho" w:hAnsi="Palatino Linotype"/>
          <w:i/>
          <w:color w:val="000000"/>
        </w:rPr>
        <w:t>…</w:t>
      </w:r>
    </w:p>
    <w:p w14:paraId="4E10154E" w14:textId="77777777" w:rsidR="00CB1E70" w:rsidRPr="00D11D93" w:rsidRDefault="00CB1E70" w:rsidP="00CB1E70">
      <w:pPr>
        <w:spacing w:before="240" w:after="240" w:line="360" w:lineRule="auto"/>
        <w:ind w:right="49"/>
        <w:contextualSpacing/>
        <w:jc w:val="both"/>
        <w:rPr>
          <w:rFonts w:ascii="Palatino Linotype" w:eastAsia="MS Mincho" w:hAnsi="Palatino Linotype"/>
        </w:rPr>
      </w:pPr>
    </w:p>
    <w:p w14:paraId="65D5B4B3" w14:textId="24FC47DD" w:rsidR="005F555C" w:rsidRPr="00D11D93" w:rsidRDefault="007548A3" w:rsidP="005F555C">
      <w:pPr>
        <w:numPr>
          <w:ilvl w:val="0"/>
          <w:numId w:val="12"/>
        </w:numPr>
        <w:spacing w:before="240" w:after="240" w:line="360" w:lineRule="auto"/>
        <w:ind w:left="0" w:right="49" w:firstLine="0"/>
        <w:contextualSpacing/>
        <w:jc w:val="both"/>
        <w:rPr>
          <w:rFonts w:ascii="Palatino Linotype" w:eastAsia="MS Mincho" w:hAnsi="Palatino Linotype"/>
        </w:rPr>
      </w:pPr>
      <w:r w:rsidRPr="00D11D93">
        <w:rPr>
          <w:rFonts w:ascii="Palatino Linotype" w:eastAsia="MS Mincho" w:hAnsi="Palatino Linotype"/>
        </w:rPr>
        <w:t xml:space="preserve">Se advierte </w:t>
      </w:r>
      <w:r w:rsidR="005F555C" w:rsidRPr="00D11D93">
        <w:rPr>
          <w:rFonts w:ascii="Palatino Linotype" w:eastAsia="MS Mincho" w:hAnsi="Palatino Linotype"/>
        </w:rPr>
        <w:t xml:space="preserve">que de conformidad con la información remitida mediante </w:t>
      </w:r>
      <w:r w:rsidRPr="00D11D93">
        <w:rPr>
          <w:rFonts w:ascii="Palatino Linotype" w:eastAsia="MS Mincho" w:hAnsi="Palatino Linotype"/>
        </w:rPr>
        <w:t>alcáncense</w:t>
      </w:r>
      <w:r w:rsidR="005F555C" w:rsidRPr="00D11D93">
        <w:rPr>
          <w:rFonts w:ascii="Palatino Linotype" w:eastAsia="MS Mincho" w:hAnsi="Palatino Linotype"/>
        </w:rPr>
        <w:t xml:space="preserve"> al informe </w:t>
      </w:r>
      <w:r w:rsidRPr="00D11D93">
        <w:rPr>
          <w:rFonts w:ascii="Palatino Linotype" w:eastAsia="MS Mincho" w:hAnsi="Palatino Linotype"/>
        </w:rPr>
        <w:t>justificado</w:t>
      </w:r>
      <w:r w:rsidR="005F555C" w:rsidRPr="00D11D93">
        <w:rPr>
          <w:rFonts w:ascii="Palatino Linotype" w:eastAsia="MS Mincho" w:hAnsi="Palatino Linotype"/>
        </w:rPr>
        <w:t xml:space="preserve"> mediante oficio </w:t>
      </w:r>
      <w:r w:rsidRPr="00D11D93">
        <w:rPr>
          <w:rFonts w:ascii="Palatino Linotype" w:eastAsia="MS Mincho" w:hAnsi="Palatino Linotype"/>
        </w:rPr>
        <w:t xml:space="preserve">SAPASAC/DG/UT/RR/01/2022 dirigido a la Comisionada María del Rosario Mejía Ayala y suscrito por el Titular de la Unidad de Transparencia y Acceso a la Información Pública del Organismo Público Descentralizado S.A.P.A.S.A,  se refiere que existen 8,711 once tomas de uso comercial o no doméstico, como a continuación se observa: </w:t>
      </w:r>
    </w:p>
    <w:p w14:paraId="03C45D59" w14:textId="77777777" w:rsidR="007548A3" w:rsidRPr="00D11D93" w:rsidRDefault="007548A3" w:rsidP="007548A3">
      <w:pPr>
        <w:spacing w:before="240" w:after="240" w:line="360" w:lineRule="auto"/>
        <w:ind w:right="49"/>
        <w:contextualSpacing/>
        <w:jc w:val="both"/>
        <w:rPr>
          <w:rFonts w:ascii="Palatino Linotype" w:eastAsia="MS Mincho" w:hAnsi="Palatino Linotype"/>
        </w:rPr>
      </w:pPr>
    </w:p>
    <w:p w14:paraId="7D5DA753" w14:textId="453934B6" w:rsidR="007548A3" w:rsidRPr="00D11D93" w:rsidRDefault="007548A3" w:rsidP="007548A3">
      <w:pPr>
        <w:spacing w:before="240" w:after="240" w:line="360" w:lineRule="auto"/>
        <w:ind w:right="49"/>
        <w:contextualSpacing/>
        <w:jc w:val="center"/>
        <w:rPr>
          <w:rFonts w:ascii="Palatino Linotype" w:eastAsia="MS Mincho" w:hAnsi="Palatino Linotype"/>
        </w:rPr>
      </w:pPr>
      <w:r w:rsidRPr="00D11D93">
        <w:rPr>
          <w:rFonts w:ascii="Palatino Linotype" w:hAnsi="Palatino Linotype"/>
          <w:noProof/>
          <w:lang w:val="es-MX" w:eastAsia="es-MX"/>
        </w:rPr>
        <w:lastRenderedPageBreak/>
        <w:drawing>
          <wp:inline distT="0" distB="0" distL="0" distR="0" wp14:anchorId="3EA7F3D9" wp14:editId="4220EA2B">
            <wp:extent cx="6229350" cy="2076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329" t="50048" r="9029" b="28830"/>
                    <a:stretch/>
                  </pic:blipFill>
                  <pic:spPr bwMode="auto">
                    <a:xfrm>
                      <a:off x="0" y="0"/>
                      <a:ext cx="6232963" cy="2077654"/>
                    </a:xfrm>
                    <a:prstGeom prst="rect">
                      <a:avLst/>
                    </a:prstGeom>
                    <a:ln>
                      <a:noFill/>
                    </a:ln>
                    <a:extLst>
                      <a:ext uri="{53640926-AAD7-44D8-BBD7-CCE9431645EC}">
                        <a14:shadowObscured xmlns:a14="http://schemas.microsoft.com/office/drawing/2010/main"/>
                      </a:ext>
                    </a:extLst>
                  </pic:spPr>
                </pic:pic>
              </a:graphicData>
            </a:graphic>
          </wp:inline>
        </w:drawing>
      </w:r>
    </w:p>
    <w:p w14:paraId="0788F7D8" w14:textId="77777777" w:rsidR="00567210" w:rsidRPr="00D11D93" w:rsidRDefault="00567210" w:rsidP="00567210">
      <w:pPr>
        <w:spacing w:line="360" w:lineRule="auto"/>
        <w:ind w:right="49"/>
        <w:rPr>
          <w:rFonts w:ascii="Palatino Linotype" w:eastAsia="MS Mincho" w:hAnsi="Palatino Linotype"/>
        </w:rPr>
      </w:pPr>
    </w:p>
    <w:p w14:paraId="7C344BB7" w14:textId="77777777" w:rsidR="007548A3" w:rsidRPr="00D11D93" w:rsidRDefault="007548A3" w:rsidP="00567210">
      <w:pPr>
        <w:spacing w:line="360" w:lineRule="auto"/>
        <w:ind w:right="49"/>
        <w:rPr>
          <w:rFonts w:ascii="Palatino Linotype" w:eastAsia="MS Mincho" w:hAnsi="Palatino Linotype" w:cs="Arial"/>
          <w:lang w:val="es-ES_tradnl"/>
        </w:rPr>
      </w:pPr>
    </w:p>
    <w:p w14:paraId="2C98C72D" w14:textId="1BD958E7" w:rsidR="00567210" w:rsidRPr="00D11D93" w:rsidRDefault="00567210" w:rsidP="00567210">
      <w:pPr>
        <w:spacing w:line="360" w:lineRule="auto"/>
        <w:ind w:right="49"/>
        <w:contextualSpacing/>
        <w:jc w:val="center"/>
        <w:rPr>
          <w:rFonts w:ascii="Palatino Linotype" w:eastAsia="MS Mincho" w:hAnsi="Palatino Linotype" w:cs="Arial"/>
          <w:lang w:val="es-ES_tradnl"/>
        </w:rPr>
      </w:pPr>
    </w:p>
    <w:p w14:paraId="7C1DDB8A" w14:textId="77777777" w:rsidR="00567210" w:rsidRPr="00D11D93" w:rsidRDefault="00567210" w:rsidP="00567210">
      <w:pPr>
        <w:spacing w:line="360" w:lineRule="auto"/>
        <w:ind w:right="49"/>
        <w:contextualSpacing/>
        <w:jc w:val="center"/>
        <w:rPr>
          <w:rFonts w:ascii="Palatino Linotype" w:eastAsia="MS Mincho" w:hAnsi="Palatino Linotype" w:cs="Arial"/>
          <w:lang w:val="es-ES_tradnl"/>
        </w:rPr>
      </w:pPr>
    </w:p>
    <w:p w14:paraId="5AC82CB6" w14:textId="4DF6A118" w:rsidR="00567210" w:rsidRPr="00D11D93"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MS Mincho" w:hAnsi="Palatino Linotype"/>
          <w:lang w:val="es-ES_tradnl"/>
        </w:rPr>
        <w:t xml:space="preserve">Al respecto, el Pleno de este Instituto advierte que la información remitida mediante </w:t>
      </w:r>
      <w:r w:rsidR="007548A3" w:rsidRPr="00D11D93">
        <w:rPr>
          <w:rFonts w:ascii="Palatino Linotype" w:eastAsia="MS Mincho" w:hAnsi="Palatino Linotype"/>
          <w:lang w:val="es-ES_tradnl"/>
        </w:rPr>
        <w:t xml:space="preserve">alcance al </w:t>
      </w:r>
      <w:r w:rsidRPr="00D11D93">
        <w:rPr>
          <w:rFonts w:ascii="Palatino Linotype" w:eastAsia="MS Mincho" w:hAnsi="Palatino Linotype"/>
          <w:lang w:val="es-ES_tradnl"/>
        </w:rPr>
        <w:t xml:space="preserve">informe justificado, subsanó la respuesta otorgada en un primer momento, ello, debido a que si bien la respuesta inicial del </w:t>
      </w:r>
      <w:r w:rsidRPr="00D11D93">
        <w:rPr>
          <w:rFonts w:ascii="Palatino Linotype" w:eastAsia="MS Mincho" w:hAnsi="Palatino Linotype"/>
          <w:b/>
          <w:lang w:val="es-ES_tradnl"/>
        </w:rPr>
        <w:t>SUJETO OBLIGADO</w:t>
      </w:r>
      <w:r w:rsidRPr="00D11D93">
        <w:rPr>
          <w:rFonts w:ascii="Palatino Linotype" w:eastAsia="MS Mincho" w:hAnsi="Palatino Linotype"/>
          <w:lang w:val="es-ES_tradnl"/>
        </w:rPr>
        <w:t xml:space="preserve"> resultó desfavorable en razón de que no se precisó de manera</w:t>
      </w:r>
      <w:r w:rsidR="007548A3" w:rsidRPr="00D11D93">
        <w:rPr>
          <w:rFonts w:ascii="Palatino Linotype" w:eastAsia="MS Mincho" w:hAnsi="Palatino Linotype"/>
          <w:lang w:val="es-ES_tradnl"/>
        </w:rPr>
        <w:t xml:space="preserve"> concreta y precisa el número total de tomas de agua no domésticas</w:t>
      </w:r>
      <w:r w:rsidRPr="00D11D93">
        <w:rPr>
          <w:rFonts w:ascii="Palatino Linotype" w:eastAsia="MS Mincho" w:hAnsi="Palatino Linotype"/>
          <w:lang w:val="es-ES_tradnl"/>
        </w:rPr>
        <w:t>, a posteriori el documento que remite la autoridad responsable contiene la informació</w:t>
      </w:r>
      <w:r w:rsidR="007548A3" w:rsidRPr="00D11D93">
        <w:rPr>
          <w:rFonts w:ascii="Palatino Linotype" w:eastAsia="MS Mincho" w:hAnsi="Palatino Linotype"/>
          <w:lang w:val="es-ES_tradnl"/>
        </w:rPr>
        <w:t xml:space="preserve">n solicitada por el recurrente, en la consideración de que la información otorgada de remitió a través de la Gerencia Comercial, misma que de conformidad con el </w:t>
      </w:r>
      <w:r w:rsidR="00CB1E70" w:rsidRPr="00D11D93">
        <w:rPr>
          <w:rFonts w:ascii="Palatino Linotype" w:eastAsia="MS Mincho" w:hAnsi="Palatino Linotype" w:cs="Arial"/>
        </w:rPr>
        <w:t xml:space="preserve">Reglamento Interno del Organismo Público Descentralizado para la Prestación de los Servicios de Agua Potable, </w:t>
      </w:r>
      <w:r w:rsidR="00CB1E70" w:rsidRPr="00D11D93">
        <w:rPr>
          <w:rFonts w:ascii="Palatino Linotype" w:eastAsia="MS Mincho" w:hAnsi="Palatino Linotype" w:cs="Arial"/>
        </w:rPr>
        <w:lastRenderedPageBreak/>
        <w:t>Alcantarillado y Saneamiento del Municipio de Coacalco (S.A.P.A.S.A.C.)</w:t>
      </w:r>
      <w:r w:rsidR="00CB1E70" w:rsidRPr="00D11D93">
        <w:rPr>
          <w:rStyle w:val="Refdenotaalpie"/>
          <w:rFonts w:ascii="Palatino Linotype" w:eastAsia="MS Mincho" w:hAnsi="Palatino Linotype" w:cs="Arial"/>
        </w:rPr>
        <w:footnoteReference w:id="1"/>
      </w:r>
      <w:r w:rsidR="00CB1E70" w:rsidRPr="00D11D93">
        <w:rPr>
          <w:rFonts w:ascii="Palatino Linotype" w:eastAsia="MS Mincho" w:hAnsi="Palatino Linotype" w:cs="Arial"/>
        </w:rPr>
        <w:t xml:space="preserve">, cuenta con el Departamento de Censos, como a continuación se observa: </w:t>
      </w:r>
    </w:p>
    <w:p w14:paraId="098EE8F8" w14:textId="77777777" w:rsidR="00CB1E70" w:rsidRPr="00D11D93" w:rsidRDefault="00CB1E70" w:rsidP="00CB1E70">
      <w:pPr>
        <w:spacing w:line="360" w:lineRule="auto"/>
        <w:ind w:right="49"/>
        <w:contextualSpacing/>
        <w:jc w:val="both"/>
        <w:rPr>
          <w:rFonts w:ascii="Palatino Linotype" w:eastAsia="MS Mincho" w:hAnsi="Palatino Linotype" w:cs="Arial"/>
        </w:rPr>
      </w:pPr>
    </w:p>
    <w:p w14:paraId="4A8C1E00" w14:textId="1DB1EE4F"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“Artículo 31.- La Gerencia Comercial, tendrá las siguientes facultades y atribuciones, mismas que podrá delegarlas por escrito a sus subordinados:</w:t>
      </w:r>
    </w:p>
    <w:p w14:paraId="15D454BE"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p>
    <w:p w14:paraId="5AACE563" w14:textId="19F9CA90"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w:t>
      </w:r>
    </w:p>
    <w:p w14:paraId="1EDCC092" w14:textId="77777777" w:rsidR="00CB1E70" w:rsidRPr="00D11D93" w:rsidRDefault="00CB1E70" w:rsidP="00CB1E70">
      <w:pPr>
        <w:spacing w:line="360" w:lineRule="auto"/>
        <w:ind w:left="567" w:right="616"/>
        <w:contextualSpacing/>
        <w:jc w:val="both"/>
        <w:rPr>
          <w:rFonts w:ascii="Palatino Linotype" w:eastAsia="MS Mincho" w:hAnsi="Palatino Linotype" w:cs="Arial"/>
          <w:i/>
          <w:lang w:val="es-ES_tradnl"/>
        </w:rPr>
      </w:pPr>
    </w:p>
    <w:p w14:paraId="1B4B7920" w14:textId="76DDFCD5" w:rsidR="00CB1E70" w:rsidRPr="00D11D93" w:rsidRDefault="00CB1E70" w:rsidP="00CB1E70">
      <w:pPr>
        <w:spacing w:line="360" w:lineRule="auto"/>
        <w:ind w:left="567" w:right="616"/>
        <w:contextualSpacing/>
        <w:jc w:val="both"/>
        <w:rPr>
          <w:rFonts w:ascii="Palatino Linotype" w:eastAsia="MS Mincho" w:hAnsi="Palatino Linotype" w:cs="Arial"/>
          <w:b/>
          <w:i/>
        </w:rPr>
      </w:pPr>
      <w:r w:rsidRPr="00D11D93">
        <w:rPr>
          <w:rFonts w:ascii="Palatino Linotype" w:eastAsia="MS Mincho" w:hAnsi="Palatino Linotype" w:cs="Arial"/>
          <w:b/>
          <w:i/>
        </w:rPr>
        <w:t>XIX. Integrar, actualizar y resguardar los registros informáticos, estadísticos y cartográficos de la toma y los usuarios;</w:t>
      </w:r>
    </w:p>
    <w:p w14:paraId="5CF30BCF" w14:textId="7DAC083E"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w:t>
      </w:r>
    </w:p>
    <w:p w14:paraId="4BC53F50" w14:textId="40BB0922"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Para el desempeño de sus facultades y atribuciones de la Gerencia Comercial, contará con las siguientes unidades administrativas:</w:t>
      </w:r>
    </w:p>
    <w:p w14:paraId="39DBE649"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p>
    <w:p w14:paraId="66379622"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 xml:space="preserve">I. Departamento de Agua Comercial </w:t>
      </w:r>
    </w:p>
    <w:p w14:paraId="55657A3B"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II. Departamento de Atención a Contribuyentes;</w:t>
      </w:r>
    </w:p>
    <w:p w14:paraId="2AA3C795" w14:textId="77777777" w:rsidR="00CB1E70" w:rsidRPr="00D11D93" w:rsidRDefault="00CB1E70" w:rsidP="00CB1E70">
      <w:pPr>
        <w:spacing w:line="360" w:lineRule="auto"/>
        <w:ind w:left="567" w:right="616"/>
        <w:contextualSpacing/>
        <w:jc w:val="both"/>
        <w:rPr>
          <w:rFonts w:ascii="Palatino Linotype" w:eastAsia="MS Mincho" w:hAnsi="Palatino Linotype" w:cs="Arial"/>
          <w:b/>
          <w:i/>
        </w:rPr>
      </w:pPr>
      <w:r w:rsidRPr="00D11D93">
        <w:rPr>
          <w:rFonts w:ascii="Palatino Linotype" w:eastAsia="MS Mincho" w:hAnsi="Palatino Linotype" w:cs="Arial"/>
          <w:b/>
          <w:i/>
        </w:rPr>
        <w:t xml:space="preserve"> III. Departamento de Censos; </w:t>
      </w:r>
    </w:p>
    <w:p w14:paraId="0B12EBD3"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 xml:space="preserve">IV. Departamento de Ejecución Fiscal; </w:t>
      </w:r>
    </w:p>
    <w:p w14:paraId="0C8312BC" w14:textId="77777777"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 xml:space="preserve">V. Departamento de Inspección y Lecturas; </w:t>
      </w:r>
    </w:p>
    <w:p w14:paraId="0DA735BF" w14:textId="1B6A9B29" w:rsidR="00CB1E70" w:rsidRPr="00D11D93" w:rsidRDefault="00CB1E70" w:rsidP="00CB1E70">
      <w:pPr>
        <w:spacing w:line="360" w:lineRule="auto"/>
        <w:ind w:left="567" w:right="616"/>
        <w:contextualSpacing/>
        <w:jc w:val="both"/>
        <w:rPr>
          <w:rFonts w:ascii="Palatino Linotype" w:eastAsia="MS Mincho" w:hAnsi="Palatino Linotype" w:cs="Arial"/>
          <w:i/>
        </w:rPr>
      </w:pPr>
      <w:r w:rsidRPr="00D11D93">
        <w:rPr>
          <w:rFonts w:ascii="Palatino Linotype" w:eastAsia="MS Mincho" w:hAnsi="Palatino Linotype" w:cs="Arial"/>
          <w:i/>
        </w:rPr>
        <w:t>VI. Departamento de Información Ciudadana.”</w:t>
      </w:r>
    </w:p>
    <w:p w14:paraId="171E6E12" w14:textId="77777777" w:rsidR="00CB1E70" w:rsidRPr="00D11D93" w:rsidRDefault="00CB1E70" w:rsidP="00CB1E70">
      <w:pPr>
        <w:spacing w:line="360" w:lineRule="auto"/>
        <w:ind w:right="49"/>
        <w:contextualSpacing/>
        <w:jc w:val="both"/>
        <w:rPr>
          <w:rFonts w:ascii="Palatino Linotype" w:eastAsia="MS Mincho" w:hAnsi="Palatino Linotype" w:cs="Arial"/>
          <w:lang w:val="es-ES_tradnl"/>
        </w:rPr>
      </w:pPr>
    </w:p>
    <w:p w14:paraId="4C6836DB" w14:textId="77777777" w:rsidR="00567210" w:rsidRPr="00D11D93"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Calibri" w:hAnsi="Palatino Linotype"/>
          <w:lang w:val="es-MX"/>
        </w:rPr>
        <w:t xml:space="preserve">Precisado lo anterior, es necesario referir que </w:t>
      </w:r>
      <w:r w:rsidRPr="00D11D93">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D11D93">
        <w:rPr>
          <w:rFonts w:ascii="Palatino Linotype" w:eastAsia="MS Mincho" w:hAnsi="Palatino Linotype"/>
          <w:b/>
          <w:lang w:val="es-ES_tradnl" w:eastAsia="es-ES_tradnl"/>
        </w:rPr>
        <w:t>(SAIMEX).</w:t>
      </w:r>
    </w:p>
    <w:p w14:paraId="550D493F" w14:textId="77777777" w:rsidR="00567210" w:rsidRPr="00D11D93" w:rsidRDefault="00567210" w:rsidP="00567210">
      <w:pPr>
        <w:spacing w:line="360" w:lineRule="auto"/>
        <w:ind w:right="49"/>
        <w:contextualSpacing/>
        <w:jc w:val="both"/>
        <w:rPr>
          <w:rFonts w:ascii="Palatino Linotype" w:eastAsia="MS Mincho" w:hAnsi="Palatino Linotype" w:cs="Arial"/>
          <w:lang w:val="es-ES_tradnl"/>
        </w:rPr>
      </w:pPr>
    </w:p>
    <w:p w14:paraId="79BFDFFB" w14:textId="77777777" w:rsidR="00567210" w:rsidRPr="00D11D93"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D11D93">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5100A82D" w14:textId="77777777" w:rsidR="00567210" w:rsidRPr="00D11D93" w:rsidRDefault="00567210" w:rsidP="00567210">
      <w:pPr>
        <w:spacing w:line="360" w:lineRule="auto"/>
        <w:ind w:right="49"/>
        <w:contextualSpacing/>
        <w:jc w:val="both"/>
        <w:rPr>
          <w:rFonts w:ascii="Palatino Linotype" w:eastAsia="MS Mincho" w:hAnsi="Palatino Linotype" w:cs="Arial"/>
          <w:lang w:val="es-ES_tradnl"/>
        </w:rPr>
      </w:pPr>
    </w:p>
    <w:p w14:paraId="2140BA44" w14:textId="77777777" w:rsidR="00567210" w:rsidRPr="00D11D93" w:rsidRDefault="00567210" w:rsidP="00567210">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D11D93">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D11D93">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D11D93">
        <w:rPr>
          <w:rFonts w:ascii="Palatino Linotype" w:eastAsia="MS Mincho" w:hAnsi="Palatino Linotype"/>
          <w:i/>
          <w:lang w:val="es-ES_tradnl" w:eastAsia="es-ES_tradnl"/>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B36761B" w14:textId="77777777" w:rsidR="00567210" w:rsidRPr="00D11D93" w:rsidRDefault="00567210" w:rsidP="00567210">
      <w:pPr>
        <w:widowControl w:val="0"/>
        <w:numPr>
          <w:ilvl w:val="0"/>
          <w:numId w:val="1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D11D93">
        <w:rPr>
          <w:rFonts w:ascii="Palatino Linotype" w:eastAsia="MS Mincho" w:hAnsi="Palatino Linotype"/>
          <w:lang w:val="es-ES_tradnl" w:eastAsia="es-ES_tradnl"/>
        </w:rPr>
        <w:t xml:space="preserve">Numerales que compelen al </w:t>
      </w:r>
      <w:r w:rsidRPr="00D11D93">
        <w:rPr>
          <w:rFonts w:ascii="Palatino Linotype" w:eastAsia="MS Mincho" w:hAnsi="Palatino Linotype"/>
          <w:b/>
          <w:lang w:val="es-ES_tradnl" w:eastAsia="es-ES_tradnl"/>
        </w:rPr>
        <w:t>SUJETO OBLIGADO</w:t>
      </w:r>
      <w:r w:rsidRPr="00D11D93">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035DB484" w14:textId="77777777" w:rsidR="00567210" w:rsidRPr="00D11D93" w:rsidRDefault="00567210" w:rsidP="00567210">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3CE2E31A" w14:textId="77777777" w:rsidR="00567210" w:rsidRPr="00D11D93" w:rsidRDefault="00567210" w:rsidP="00567210">
      <w:pPr>
        <w:numPr>
          <w:ilvl w:val="0"/>
          <w:numId w:val="12"/>
        </w:numPr>
        <w:spacing w:line="360" w:lineRule="auto"/>
        <w:ind w:left="0" w:firstLine="0"/>
        <w:contextualSpacing/>
        <w:jc w:val="both"/>
        <w:rPr>
          <w:rFonts w:ascii="Palatino Linotype" w:eastAsia="Calibri" w:hAnsi="Palatino Linotype"/>
        </w:rPr>
      </w:pPr>
      <w:r w:rsidRPr="00D11D93">
        <w:rPr>
          <w:rFonts w:ascii="Palatino Linotype" w:eastAsia="Calibri" w:hAnsi="Palatino Linotype"/>
          <w:lang w:val="es-MX"/>
        </w:rPr>
        <w:t xml:space="preserve">Así, </w:t>
      </w:r>
      <w:r w:rsidRPr="00D11D93">
        <w:rPr>
          <w:rFonts w:ascii="Palatino Linotype" w:eastAsia="Calibri" w:hAnsi="Palatino Linotype"/>
          <w:lang w:val="es-ES_tradnl"/>
        </w:rPr>
        <w:t xml:space="preserve">por cuanto hace a las causas de sobreseimiento contenidas en la fracción III del artículo 192 de la </w:t>
      </w:r>
      <w:r w:rsidRPr="00D11D93">
        <w:rPr>
          <w:rFonts w:ascii="Palatino Linotype" w:eastAsia="Calibri" w:hAnsi="Palatino Linotype"/>
          <w:b/>
          <w:lang w:val="es-ES_tradnl"/>
        </w:rPr>
        <w:t>Ley de Transparencia y Acceso a la Información Pública del Estado de México y Municipios</w:t>
      </w:r>
      <w:r w:rsidRPr="00D11D93">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D11D93">
        <w:rPr>
          <w:rFonts w:ascii="Palatino Linotype" w:eastAsia="Calibri" w:hAnsi="Palatino Linotype"/>
          <w:b/>
          <w:lang w:val="es-ES_tradnl"/>
        </w:rPr>
        <w:t>RECURRENTE</w:t>
      </w:r>
      <w:r w:rsidRPr="00D11D93">
        <w:rPr>
          <w:rFonts w:ascii="Palatino Linotype" w:eastAsia="Calibri" w:hAnsi="Palatino Linotype"/>
          <w:lang w:val="es-ES_tradnl"/>
        </w:rPr>
        <w:t xml:space="preserve"> o que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 xml:space="preserve"> </w:t>
      </w:r>
      <w:r w:rsidRPr="00D11D93">
        <w:rPr>
          <w:rFonts w:ascii="Palatino Linotype" w:eastAsia="Calibri" w:hAnsi="Palatino Linotype"/>
          <w:b/>
          <w:u w:val="single"/>
          <w:lang w:val="es-ES_tradnl"/>
        </w:rPr>
        <w:t>modifique o revoque el acto</w:t>
      </w:r>
      <w:r w:rsidRPr="00D11D93">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672F2A4B" w14:textId="77777777" w:rsidR="00567210" w:rsidRPr="00D11D93" w:rsidRDefault="00567210" w:rsidP="00567210">
      <w:pPr>
        <w:spacing w:line="360" w:lineRule="auto"/>
        <w:jc w:val="both"/>
        <w:rPr>
          <w:rFonts w:ascii="Palatino Linotype" w:eastAsia="Calibri" w:hAnsi="Palatino Linotype"/>
        </w:rPr>
      </w:pPr>
    </w:p>
    <w:p w14:paraId="177674E3" w14:textId="77777777" w:rsidR="00567210" w:rsidRPr="00D11D93" w:rsidRDefault="00567210" w:rsidP="00567210">
      <w:pPr>
        <w:numPr>
          <w:ilvl w:val="0"/>
          <w:numId w:val="12"/>
        </w:numPr>
        <w:spacing w:line="360" w:lineRule="auto"/>
        <w:ind w:left="0" w:firstLine="0"/>
        <w:contextualSpacing/>
        <w:jc w:val="both"/>
        <w:rPr>
          <w:rFonts w:ascii="Palatino Linotype" w:eastAsia="Calibri" w:hAnsi="Palatino Linotype"/>
        </w:rPr>
      </w:pPr>
      <w:r w:rsidRPr="00D11D93">
        <w:rPr>
          <w:rFonts w:ascii="Palatino Linotype" w:eastAsia="Calibri" w:hAnsi="Palatino Linotype"/>
          <w:lang w:val="es-ES_tradnl"/>
        </w:rPr>
        <w:lastRenderedPageBreak/>
        <w:t xml:space="preserve">Para los efectos de esta resolución, es oportuno precisar los alcances jurídicos de la fracción III de la disposición legal transcrita. Así, procede el sobreseimiento del recurso de revisión cuando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w:t>
      </w:r>
    </w:p>
    <w:p w14:paraId="366EE2AF" w14:textId="77777777" w:rsidR="00567210" w:rsidRPr="00D11D93" w:rsidRDefault="00567210" w:rsidP="00567210">
      <w:pPr>
        <w:spacing w:line="360" w:lineRule="auto"/>
        <w:jc w:val="both"/>
        <w:rPr>
          <w:rFonts w:ascii="Palatino Linotype" w:eastAsia="Calibri" w:hAnsi="Palatino Linotype"/>
        </w:rPr>
      </w:pPr>
    </w:p>
    <w:p w14:paraId="56FB3295" w14:textId="77777777" w:rsidR="00567210" w:rsidRPr="00D11D93" w:rsidRDefault="00567210" w:rsidP="00567210">
      <w:pPr>
        <w:numPr>
          <w:ilvl w:val="0"/>
          <w:numId w:val="32"/>
        </w:numPr>
        <w:spacing w:line="360" w:lineRule="auto"/>
        <w:ind w:left="567" w:right="616"/>
        <w:contextualSpacing/>
        <w:jc w:val="both"/>
        <w:rPr>
          <w:rFonts w:ascii="Palatino Linotype" w:eastAsia="MS Mincho" w:hAnsi="Palatino Linotype" w:cs="Arial"/>
          <w:lang w:val="es-ES_tradnl"/>
        </w:rPr>
      </w:pPr>
      <w:r w:rsidRPr="00D11D93">
        <w:rPr>
          <w:rFonts w:ascii="Palatino Linotype" w:eastAsia="MS Mincho" w:hAnsi="Palatino Linotype" w:cs="Arial"/>
          <w:b/>
          <w:lang w:val="es-ES_tradnl"/>
        </w:rPr>
        <w:t>Modifique el acto impugnado:</w:t>
      </w:r>
      <w:r w:rsidRPr="00D11D93">
        <w:rPr>
          <w:rFonts w:ascii="Palatino Linotype" w:eastAsia="MS Mincho" w:hAnsi="Palatino Linotype" w:cs="Arial"/>
          <w:lang w:val="es-ES_tradnl"/>
        </w:rPr>
        <w:t xml:space="preserve"> Se actualiza cuando el </w:t>
      </w:r>
      <w:r w:rsidRPr="00D11D93">
        <w:rPr>
          <w:rFonts w:ascii="Palatino Linotype" w:eastAsia="MS Mincho" w:hAnsi="Palatino Linotype" w:cs="Arial"/>
          <w:b/>
          <w:lang w:val="es-ES_tradnl"/>
        </w:rPr>
        <w:t>SUJETO OBLIGADO</w:t>
      </w:r>
      <w:r w:rsidRPr="00D11D93">
        <w:rPr>
          <w:rFonts w:ascii="Palatino Linotype" w:eastAsia="MS Mincho" w:hAnsi="Palatino Linotype" w:cs="Arial"/>
          <w:lang w:val="es-ES_tradnl"/>
        </w:rPr>
        <w:t xml:space="preserve"> después de haber otorgado una respuesta y hasta antes de dictada la resolución del recurso de revisión, emite una diversa en la que subsane las deficiencias que hubiera tenido.</w:t>
      </w:r>
    </w:p>
    <w:p w14:paraId="7DD06441" w14:textId="77777777" w:rsidR="00567210" w:rsidRPr="00D11D93" w:rsidRDefault="00567210" w:rsidP="00567210">
      <w:pPr>
        <w:spacing w:line="360" w:lineRule="auto"/>
        <w:ind w:left="1068" w:right="567"/>
        <w:contextualSpacing/>
        <w:jc w:val="both"/>
        <w:rPr>
          <w:rFonts w:ascii="Palatino Linotype" w:eastAsia="MS Mincho" w:hAnsi="Palatino Linotype" w:cs="Arial"/>
          <w:lang w:val="es-ES_tradnl"/>
        </w:rPr>
      </w:pPr>
    </w:p>
    <w:p w14:paraId="3EA3018E" w14:textId="77777777" w:rsidR="00567210" w:rsidRPr="00D11D93" w:rsidRDefault="00567210" w:rsidP="00567210">
      <w:pPr>
        <w:numPr>
          <w:ilvl w:val="0"/>
          <w:numId w:val="32"/>
        </w:numPr>
        <w:spacing w:line="360" w:lineRule="auto"/>
        <w:ind w:left="567" w:right="616"/>
        <w:contextualSpacing/>
        <w:jc w:val="both"/>
        <w:rPr>
          <w:rFonts w:ascii="Palatino Linotype" w:eastAsia="MS Mincho" w:hAnsi="Palatino Linotype" w:cs="Arial"/>
          <w:lang w:val="es-ES_tradnl"/>
        </w:rPr>
      </w:pPr>
      <w:r w:rsidRPr="00D11D93">
        <w:rPr>
          <w:rFonts w:ascii="Palatino Linotype" w:eastAsia="MS Mincho" w:hAnsi="Palatino Linotype" w:cs="Arial"/>
          <w:b/>
          <w:lang w:val="es-ES_tradnl"/>
        </w:rPr>
        <w:t>Revoque el acto impugnado:</w:t>
      </w:r>
      <w:r w:rsidRPr="00D11D93">
        <w:rPr>
          <w:rFonts w:ascii="Palatino Linotype" w:eastAsia="MS Mincho" w:hAnsi="Palatino Linotype" w:cs="Arial"/>
          <w:lang w:val="es-ES_tradnl"/>
        </w:rPr>
        <w:t xml:space="preserve"> En este supuesto, el </w:t>
      </w:r>
      <w:r w:rsidRPr="00D11D93">
        <w:rPr>
          <w:rFonts w:ascii="Palatino Linotype" w:eastAsia="MS Mincho" w:hAnsi="Palatino Linotype" w:cs="Arial"/>
          <w:b/>
          <w:lang w:val="es-ES_tradnl"/>
        </w:rPr>
        <w:t>SUJETO OBLIGADO</w:t>
      </w:r>
      <w:r w:rsidRPr="00D11D93">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0E7F8CD1" w14:textId="77777777" w:rsidR="00567210" w:rsidRPr="00D11D93" w:rsidRDefault="00567210" w:rsidP="00567210">
      <w:pPr>
        <w:spacing w:line="360" w:lineRule="auto"/>
        <w:ind w:right="616"/>
        <w:contextualSpacing/>
        <w:jc w:val="both"/>
        <w:rPr>
          <w:rFonts w:ascii="Palatino Linotype" w:eastAsia="MS Mincho" w:hAnsi="Palatino Linotype" w:cs="Arial"/>
          <w:lang w:val="es-ES_tradnl"/>
        </w:rPr>
      </w:pPr>
    </w:p>
    <w:p w14:paraId="4E49D470"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167B478" w14:textId="77777777" w:rsidR="00567210" w:rsidRPr="00D11D93" w:rsidRDefault="00567210" w:rsidP="00567210">
      <w:pPr>
        <w:spacing w:line="360" w:lineRule="auto"/>
        <w:jc w:val="both"/>
        <w:rPr>
          <w:rFonts w:ascii="Palatino Linotype" w:eastAsia="Calibri" w:hAnsi="Palatino Linotype"/>
          <w:lang w:val="es-ES_tradnl"/>
        </w:rPr>
      </w:pPr>
    </w:p>
    <w:p w14:paraId="028302AA"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lastRenderedPageBreak/>
        <w:t xml:space="preserve">En el presente asunto, este Pleno advierte que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 xml:space="preserve"> con la información enviada a través del informe de justificación, </w:t>
      </w:r>
      <w:r w:rsidRPr="00D11D93">
        <w:rPr>
          <w:rFonts w:ascii="Palatino Linotype" w:eastAsia="Calibri" w:hAnsi="Palatino Linotype"/>
          <w:b/>
          <w:lang w:val="es-ES_tradnl"/>
        </w:rPr>
        <w:t>modifica</w:t>
      </w:r>
      <w:r w:rsidRPr="00D11D93">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7709E788" w14:textId="77777777" w:rsidR="00567210" w:rsidRPr="00D11D93" w:rsidRDefault="00567210" w:rsidP="00567210">
      <w:pPr>
        <w:ind w:left="720"/>
        <w:contextualSpacing/>
        <w:rPr>
          <w:rFonts w:ascii="Palatino Linotype" w:eastAsia="Calibri" w:hAnsi="Palatino Linotype"/>
          <w:lang w:val="es-ES_tradnl"/>
        </w:rPr>
      </w:pPr>
    </w:p>
    <w:p w14:paraId="52044573"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11D93">
        <w:rPr>
          <w:rFonts w:ascii="Palatino Linotype" w:eastAsia="Calibri" w:hAnsi="Palatino Linotype"/>
          <w:b/>
          <w:lang w:val="es-ES_tradnl"/>
        </w:rPr>
        <w:t>SUJETOS OBLIGADOS</w:t>
      </w:r>
      <w:r w:rsidRPr="00D11D93">
        <w:rPr>
          <w:rFonts w:ascii="Palatino Linotype" w:eastAsia="Calibri" w:hAnsi="Palatino Linotype"/>
          <w:lang w:val="es-ES_tradnl"/>
        </w:rPr>
        <w:t xml:space="preserve"> o la negativa de entrega de la misma, derivada de la solicitud de información pública.</w:t>
      </w:r>
    </w:p>
    <w:p w14:paraId="08E933CF" w14:textId="77777777" w:rsidR="00567210" w:rsidRPr="00D11D93" w:rsidRDefault="00567210" w:rsidP="00567210">
      <w:pPr>
        <w:rPr>
          <w:rFonts w:ascii="Palatino Linotype" w:eastAsia="Calibri" w:hAnsi="Palatino Linotype"/>
          <w:lang w:val="es-ES_tradnl"/>
        </w:rPr>
      </w:pPr>
    </w:p>
    <w:p w14:paraId="7575364E"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De este modo, cuando el </w:t>
      </w:r>
      <w:r w:rsidRPr="00D11D93">
        <w:rPr>
          <w:rFonts w:ascii="Palatino Linotype" w:eastAsia="Calibri" w:hAnsi="Palatino Linotype"/>
          <w:b/>
          <w:lang w:val="es-ES_tradnl"/>
        </w:rPr>
        <w:t xml:space="preserve">SUJETO OBLIGADO, </w:t>
      </w:r>
      <w:r w:rsidRPr="00D11D93">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D11D93">
        <w:rPr>
          <w:rFonts w:ascii="Palatino Linotype" w:eastAsia="Calibri" w:hAnsi="Palatino Linotype"/>
          <w:i/>
          <w:lang w:val="es-ES_tradnl"/>
        </w:rPr>
        <w:t>litis</w:t>
      </w:r>
      <w:proofErr w:type="spellEnd"/>
      <w:r w:rsidRPr="00D11D93">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2CB151B0" w14:textId="77777777" w:rsidR="00567210" w:rsidRPr="00D11D93" w:rsidRDefault="00567210" w:rsidP="00567210">
      <w:pPr>
        <w:rPr>
          <w:rFonts w:ascii="Palatino Linotype" w:eastAsia="Calibri" w:hAnsi="Palatino Linotype"/>
          <w:lang w:val="es-ES_tradnl"/>
        </w:rPr>
      </w:pPr>
    </w:p>
    <w:p w14:paraId="29979073"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lastRenderedPageBreak/>
        <w:t>Sirve de sustento a lo anterior la siguiente jurisprudencia por contradicción, cuyo rubro, texto y datos de identificación son los siguientes:</w:t>
      </w:r>
    </w:p>
    <w:p w14:paraId="368D5881" w14:textId="77777777" w:rsidR="00567210" w:rsidRPr="00D11D93" w:rsidRDefault="00567210" w:rsidP="00567210">
      <w:pPr>
        <w:spacing w:line="360" w:lineRule="auto"/>
        <w:ind w:left="567" w:right="616"/>
        <w:contextualSpacing/>
        <w:jc w:val="both"/>
        <w:rPr>
          <w:rFonts w:ascii="Palatino Linotype" w:eastAsia="Calibri" w:hAnsi="Palatino Linotype"/>
          <w:lang w:val="es-ES_tradnl"/>
        </w:rPr>
      </w:pPr>
    </w:p>
    <w:p w14:paraId="678926B3" w14:textId="77777777" w:rsidR="00567210" w:rsidRPr="00D11D93" w:rsidRDefault="00567210" w:rsidP="00567210">
      <w:pPr>
        <w:spacing w:line="360" w:lineRule="auto"/>
        <w:ind w:left="567" w:right="616"/>
        <w:contextualSpacing/>
        <w:jc w:val="both"/>
        <w:rPr>
          <w:rFonts w:ascii="Palatino Linotype" w:eastAsia="Calibri" w:hAnsi="Palatino Linotype"/>
          <w:i/>
          <w:lang w:val="es-ES_tradnl"/>
        </w:rPr>
      </w:pPr>
      <w:r w:rsidRPr="00D11D93">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11D93">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w:t>
      </w:r>
      <w:r w:rsidRPr="00D11D93">
        <w:rPr>
          <w:rFonts w:ascii="Palatino Linotype" w:eastAsia="Calibri" w:hAnsi="Palatino Linotype"/>
          <w:i/>
          <w:lang w:val="es-ES_tradnl"/>
        </w:rPr>
        <w:lastRenderedPageBreak/>
        <w:t>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39E9911" w14:textId="77777777" w:rsidR="00567210" w:rsidRPr="00D11D93" w:rsidRDefault="00567210" w:rsidP="00567210">
      <w:pPr>
        <w:spacing w:line="360" w:lineRule="auto"/>
        <w:ind w:left="708"/>
        <w:contextualSpacing/>
        <w:jc w:val="both"/>
        <w:rPr>
          <w:rFonts w:ascii="Palatino Linotype" w:eastAsia="Calibri" w:hAnsi="Palatino Linotype"/>
          <w:i/>
          <w:lang w:val="es-ES_tradnl"/>
        </w:rPr>
      </w:pPr>
    </w:p>
    <w:p w14:paraId="4662D434"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La anterior jurisprudencia resulta aplicable al presente asunto, en dos aspectos:</w:t>
      </w:r>
    </w:p>
    <w:p w14:paraId="58739D1D" w14:textId="77777777" w:rsidR="00567210" w:rsidRPr="00D11D93" w:rsidRDefault="00567210" w:rsidP="00567210">
      <w:pPr>
        <w:spacing w:line="360" w:lineRule="auto"/>
        <w:ind w:left="426"/>
        <w:contextualSpacing/>
        <w:jc w:val="both"/>
        <w:rPr>
          <w:rFonts w:ascii="Palatino Linotype" w:eastAsia="Calibri" w:hAnsi="Palatino Linotype"/>
          <w:lang w:val="es-ES_tradnl"/>
        </w:rPr>
      </w:pPr>
    </w:p>
    <w:p w14:paraId="665F53A6" w14:textId="77777777" w:rsidR="00567210" w:rsidRPr="00D11D93" w:rsidRDefault="00567210" w:rsidP="00567210">
      <w:pPr>
        <w:numPr>
          <w:ilvl w:val="0"/>
          <w:numId w:val="34"/>
        </w:numPr>
        <w:spacing w:line="360" w:lineRule="auto"/>
        <w:ind w:left="567" w:right="616"/>
        <w:contextualSpacing/>
        <w:jc w:val="both"/>
        <w:rPr>
          <w:rFonts w:ascii="Palatino Linotype" w:eastAsia="Calibri" w:hAnsi="Palatino Linotype"/>
          <w:lang w:val="es-ES_tradnl"/>
        </w:rPr>
      </w:pPr>
      <w:r w:rsidRPr="00D11D93">
        <w:rPr>
          <w:rFonts w:ascii="Palatino Linotype" w:eastAsia="Calibri" w:hAnsi="Palatino Linotype"/>
          <w:b/>
          <w:lang w:val="es-ES_tradnl"/>
        </w:rPr>
        <w:t>La cesación de los efectos perniciosos del acto de autoridad:</w:t>
      </w:r>
      <w:r w:rsidRPr="00D11D93">
        <w:rPr>
          <w:rFonts w:ascii="Palatino Linotype" w:eastAsia="Calibri" w:hAnsi="Palatino Linotype"/>
          <w:lang w:val="es-ES_tradnl"/>
        </w:rPr>
        <w:t xml:space="preserve"> Al respecto, la Ley de Transparencia contempla la figura jurídica del sobreseimiento cuando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 xml:space="preserve"> de </w:t>
      </w:r>
      <w:r w:rsidRPr="00D11D93">
        <w:rPr>
          <w:rFonts w:ascii="Palatino Linotype" w:eastAsia="Calibri" w:hAnsi="Palatino Linotype"/>
          <w:i/>
          <w:lang w:val="es-ES_tradnl"/>
        </w:rPr>
        <w:t>motu proprio</w:t>
      </w:r>
      <w:r w:rsidRPr="00D11D93">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7218F9A4" w14:textId="77777777" w:rsidR="00567210" w:rsidRPr="00D11D93" w:rsidRDefault="00567210" w:rsidP="00567210">
      <w:pPr>
        <w:ind w:left="567" w:right="616"/>
        <w:contextualSpacing/>
        <w:rPr>
          <w:rFonts w:ascii="Palatino Linotype" w:eastAsia="Calibri" w:hAnsi="Palatino Linotype"/>
          <w:lang w:val="es-ES_tradnl"/>
        </w:rPr>
      </w:pPr>
    </w:p>
    <w:p w14:paraId="432E0FD3" w14:textId="77777777" w:rsidR="00567210" w:rsidRPr="00D11D93" w:rsidRDefault="00567210" w:rsidP="00567210">
      <w:pPr>
        <w:numPr>
          <w:ilvl w:val="0"/>
          <w:numId w:val="34"/>
        </w:numPr>
        <w:spacing w:line="360" w:lineRule="auto"/>
        <w:ind w:left="567" w:right="616"/>
        <w:contextualSpacing/>
        <w:jc w:val="both"/>
        <w:rPr>
          <w:rFonts w:ascii="Palatino Linotype" w:eastAsia="Calibri" w:hAnsi="Palatino Linotype"/>
          <w:lang w:val="es-ES_tradnl"/>
        </w:rPr>
      </w:pPr>
      <w:r w:rsidRPr="00D11D93">
        <w:rPr>
          <w:rFonts w:ascii="Palatino Linotype" w:eastAsia="Calibri" w:hAnsi="Palatino Linotype"/>
          <w:b/>
          <w:lang w:val="es-ES_tradnl"/>
        </w:rPr>
        <w:t>El momento procesal para modificar el acto impugnado:</w:t>
      </w:r>
      <w:r w:rsidRPr="00D11D93">
        <w:rPr>
          <w:rFonts w:ascii="Palatino Linotype" w:eastAsia="Calibri" w:hAnsi="Palatino Linotype"/>
          <w:lang w:val="es-ES_tradnl"/>
        </w:rPr>
        <w:t xml:space="preserve"> Para que se actualice el sobreseimiento de un recurso de revisión,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 xml:space="preserve"> puede entregar o completar la información al momento de rendir su informe de justificación o </w:t>
      </w:r>
      <w:r w:rsidRPr="00D11D93">
        <w:rPr>
          <w:rFonts w:ascii="Palatino Linotype" w:eastAsia="Calibri" w:hAnsi="Palatino Linotype"/>
          <w:b/>
          <w:u w:val="single"/>
          <w:lang w:val="es-ES_tradnl"/>
        </w:rPr>
        <w:t>posteriormente</w:t>
      </w:r>
      <w:r w:rsidRPr="00D11D93">
        <w:rPr>
          <w:rFonts w:ascii="Palatino Linotype" w:eastAsia="Calibri" w:hAnsi="Palatino Linotype"/>
          <w:lang w:val="es-ES_tradnl"/>
        </w:rPr>
        <w:t xml:space="preserve"> a éste, siempre y cuando el Pleno del Instituto no haya dictado resolución definitiva.</w:t>
      </w:r>
    </w:p>
    <w:p w14:paraId="5921E63F" w14:textId="77777777" w:rsidR="00567210" w:rsidRPr="00D11D93" w:rsidRDefault="00567210" w:rsidP="00567210">
      <w:pPr>
        <w:spacing w:line="360" w:lineRule="auto"/>
        <w:jc w:val="both"/>
        <w:rPr>
          <w:rFonts w:ascii="Palatino Linotype" w:eastAsia="Calibri" w:hAnsi="Palatino Linotype"/>
          <w:lang w:val="es-ES_tradnl"/>
        </w:rPr>
      </w:pPr>
    </w:p>
    <w:p w14:paraId="048ADB81"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lastRenderedPageBreak/>
        <w:t xml:space="preserve">Además, de acuerdo con el procesalista Niceto Alcalá-Zamora y Castillo en su obra </w:t>
      </w:r>
      <w:r w:rsidRPr="00D11D93">
        <w:rPr>
          <w:rFonts w:ascii="Palatino Linotype" w:eastAsia="Calibri" w:hAnsi="Palatino Linotype"/>
          <w:i/>
          <w:lang w:val="es-ES_tradnl"/>
        </w:rPr>
        <w:t>“Cuestiones de Terminología Procesal”</w:t>
      </w:r>
      <w:r w:rsidRPr="00D11D93">
        <w:rPr>
          <w:rFonts w:ascii="Palatino Linotype" w:eastAsia="Calibri" w:hAnsi="Palatino Linotype"/>
          <w:lang w:val="es-ES_tradnl"/>
        </w:rPr>
        <w:t xml:space="preserve">, el sobreseimiento es </w:t>
      </w:r>
      <w:r w:rsidRPr="00D11D93">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5E138475" w14:textId="77777777" w:rsidR="00567210" w:rsidRPr="00D11D93" w:rsidRDefault="00567210" w:rsidP="00567210">
      <w:pPr>
        <w:spacing w:line="360" w:lineRule="auto"/>
        <w:jc w:val="both"/>
        <w:rPr>
          <w:rFonts w:ascii="Palatino Linotype" w:eastAsia="Calibri" w:hAnsi="Palatino Linotype"/>
          <w:lang w:val="es-ES_tradnl"/>
        </w:rPr>
      </w:pPr>
    </w:p>
    <w:p w14:paraId="2DCD56DE"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Eduardo Pallares, en su artículo </w:t>
      </w:r>
      <w:r w:rsidRPr="00D11D93">
        <w:rPr>
          <w:rFonts w:ascii="Palatino Linotype" w:eastAsia="Calibri" w:hAnsi="Palatino Linotype"/>
          <w:i/>
          <w:lang w:val="es-ES_tradnl"/>
        </w:rPr>
        <w:t>“La caducidad y el sobreseimiento en el amparo”</w:t>
      </w:r>
      <w:r w:rsidRPr="00D11D93">
        <w:rPr>
          <w:rFonts w:ascii="Palatino Linotype" w:eastAsia="Calibri" w:hAnsi="Palatino Linotype"/>
          <w:lang w:val="es-ES_tradnl"/>
        </w:rPr>
        <w:t xml:space="preserve">, cita la definición de Aguilera Paz, aduciendo que se </w:t>
      </w:r>
      <w:r w:rsidRPr="00D11D93">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D11D93">
        <w:rPr>
          <w:rFonts w:ascii="Palatino Linotype" w:eastAsia="Calibri" w:hAnsi="Palatino Linotype"/>
          <w:lang w:val="es-ES_tradnl"/>
        </w:rPr>
        <w:t>. Asimismo señala que existe el sobreseimiento provisional y el definitivo</w:t>
      </w:r>
      <w:r w:rsidRPr="00D11D93">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398A5EBC" w14:textId="77777777" w:rsidR="00567210" w:rsidRPr="00D11D93" w:rsidRDefault="00567210" w:rsidP="00567210">
      <w:pPr>
        <w:spacing w:line="360" w:lineRule="auto"/>
        <w:jc w:val="both"/>
        <w:rPr>
          <w:rFonts w:ascii="Palatino Linotype" w:eastAsia="Calibri" w:hAnsi="Palatino Linotype"/>
          <w:lang w:val="es-ES_tradnl"/>
        </w:rPr>
      </w:pPr>
    </w:p>
    <w:p w14:paraId="0C613535"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Así, para la doctrina el sobreseimiento provoca que un procedimiento se suspenda o se resuelva en definitiva </w:t>
      </w:r>
      <w:r w:rsidRPr="00D11D93">
        <w:rPr>
          <w:rFonts w:ascii="Palatino Linotype" w:eastAsia="Calibri" w:hAnsi="Palatino Linotype"/>
          <w:b/>
          <w:u w:val="single"/>
          <w:lang w:val="es-ES_tradnl"/>
        </w:rPr>
        <w:t xml:space="preserve">sin que se entre al estudio de los agravios o motivos de inconformidad. </w:t>
      </w:r>
      <w:r w:rsidRPr="00D11D93">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0842DCBE" w14:textId="77777777" w:rsidR="00567210" w:rsidRPr="00D11D93" w:rsidRDefault="00567210" w:rsidP="00567210">
      <w:pPr>
        <w:spacing w:line="360" w:lineRule="auto"/>
        <w:ind w:left="426"/>
        <w:contextualSpacing/>
        <w:jc w:val="both"/>
        <w:rPr>
          <w:rFonts w:ascii="Palatino Linotype" w:eastAsia="Calibri" w:hAnsi="Palatino Linotype"/>
          <w:lang w:val="es-ES_tradnl"/>
        </w:rPr>
      </w:pPr>
    </w:p>
    <w:p w14:paraId="081B1821" w14:textId="77777777" w:rsidR="00567210" w:rsidRPr="00D11D93" w:rsidRDefault="00567210" w:rsidP="00567210">
      <w:pPr>
        <w:spacing w:line="360" w:lineRule="auto"/>
        <w:ind w:left="567" w:right="616"/>
        <w:contextualSpacing/>
        <w:jc w:val="both"/>
        <w:rPr>
          <w:rFonts w:ascii="Palatino Linotype" w:eastAsia="Calibri" w:hAnsi="Palatino Linotype"/>
          <w:i/>
          <w:lang w:val="es-AR"/>
        </w:rPr>
      </w:pPr>
      <w:r w:rsidRPr="00D11D93">
        <w:rPr>
          <w:rFonts w:ascii="Palatino Linotype" w:eastAsia="Calibri" w:hAnsi="Palatino Linotype"/>
          <w:b/>
          <w:i/>
          <w:lang w:val="es-AR"/>
        </w:rPr>
        <w:lastRenderedPageBreak/>
        <w:t>SOBRESEIMIENTO EN EL JUICIO DE AMPARO DIRECTO. IMPIDE EL ESTUDIO DE LAS VIOLACIONES PROCESALES PLANTEADAS EN LOS CONCEPTOS DE VIOLACIÓN. El sobreseimiento</w:t>
      </w:r>
      <w:r w:rsidRPr="00D11D93">
        <w:rPr>
          <w:rFonts w:ascii="Palatino Linotype" w:eastAsia="Calibri" w:hAnsi="Palatino Linotype"/>
          <w:i/>
          <w:lang w:val="es-AR"/>
        </w:rPr>
        <w:t xml:space="preserve"> en el juicio de amparo directo </w:t>
      </w:r>
      <w:r w:rsidRPr="00D11D93">
        <w:rPr>
          <w:rFonts w:ascii="Palatino Linotype" w:eastAsia="Calibri" w:hAnsi="Palatino Linotype"/>
          <w:b/>
          <w:i/>
          <w:lang w:val="es-AR"/>
        </w:rPr>
        <w:t>provoca la terminación de la controversia planteada</w:t>
      </w:r>
      <w:r w:rsidRPr="00D11D93">
        <w:rPr>
          <w:rFonts w:ascii="Palatino Linotype" w:eastAsia="Calibri" w:hAnsi="Palatino Linotype"/>
          <w:i/>
          <w:lang w:val="es-AR"/>
        </w:rPr>
        <w:t xml:space="preserve"> por el quejoso en la demanda de amparo</w:t>
      </w:r>
      <w:r w:rsidRPr="00D11D93">
        <w:rPr>
          <w:rFonts w:ascii="Palatino Linotype" w:eastAsia="Calibri" w:hAnsi="Palatino Linotype"/>
          <w:b/>
          <w:i/>
          <w:lang w:val="es-AR"/>
        </w:rPr>
        <w:t>, sin hacer un pronunciamiento de fondo sobre la legalidad o ilegalidad de la sentencia reclamada</w:t>
      </w:r>
      <w:r w:rsidRPr="00D11D93">
        <w:rPr>
          <w:rFonts w:ascii="Palatino Linotype" w:eastAsia="Calibri" w:hAnsi="Palatino Linotype"/>
          <w:i/>
          <w:lang w:val="es-AR"/>
        </w:rPr>
        <w:t xml:space="preserve">. </w:t>
      </w:r>
      <w:r w:rsidRPr="00D11D93">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11D93">
        <w:rPr>
          <w:rFonts w:ascii="Palatino Linotype" w:eastAsia="Calibri" w:hAnsi="Palatino Linotype"/>
          <w:i/>
          <w:lang w:val="es-AR"/>
        </w:rPr>
        <w:t>.</w:t>
      </w:r>
    </w:p>
    <w:p w14:paraId="127958D2" w14:textId="77777777" w:rsidR="00567210" w:rsidRPr="00D11D93" w:rsidRDefault="00567210" w:rsidP="00567210">
      <w:pPr>
        <w:spacing w:line="360" w:lineRule="auto"/>
        <w:ind w:left="567" w:right="616"/>
        <w:contextualSpacing/>
        <w:jc w:val="both"/>
        <w:rPr>
          <w:rFonts w:ascii="Palatino Linotype" w:eastAsia="Calibri" w:hAnsi="Palatino Linotype"/>
          <w:i/>
          <w:lang w:val="es-AR"/>
        </w:rPr>
      </w:pPr>
      <w:r w:rsidRPr="00D11D93">
        <w:rPr>
          <w:rFonts w:ascii="Palatino Linotype" w:eastAsia="Calibri" w:hAnsi="Palatino Linotype"/>
          <w:i/>
          <w:lang w:val="es-AR"/>
        </w:rPr>
        <w:t>SÉPTIMO TRIBUNAL COLEGIADO EN MATERIA CIVIL DEL PRIMER CIRCUITO.</w:t>
      </w:r>
    </w:p>
    <w:p w14:paraId="545137EB" w14:textId="77777777" w:rsidR="00567210" w:rsidRPr="00D11D93" w:rsidRDefault="00567210" w:rsidP="00567210">
      <w:pPr>
        <w:spacing w:line="360" w:lineRule="auto"/>
        <w:ind w:left="567" w:right="616"/>
        <w:contextualSpacing/>
        <w:jc w:val="both"/>
        <w:rPr>
          <w:rFonts w:ascii="Palatino Linotype" w:eastAsia="Calibri" w:hAnsi="Palatino Linotype"/>
          <w:b/>
          <w:i/>
          <w:lang w:val="es-AR"/>
        </w:rPr>
      </w:pPr>
      <w:r w:rsidRPr="00D11D93">
        <w:rPr>
          <w:rFonts w:ascii="Palatino Linotype" w:eastAsia="Calibri" w:hAnsi="Palatino Linotype"/>
          <w:i/>
          <w:lang w:val="es-AR"/>
        </w:rPr>
        <w:t xml:space="preserve">Amparo directo 699/2008. Mariana Leticia González </w:t>
      </w:r>
      <w:proofErr w:type="spellStart"/>
      <w:r w:rsidRPr="00D11D93">
        <w:rPr>
          <w:rFonts w:ascii="Palatino Linotype" w:eastAsia="Calibri" w:hAnsi="Palatino Linotype"/>
          <w:i/>
          <w:lang w:val="es-AR"/>
        </w:rPr>
        <w:t>Steele</w:t>
      </w:r>
      <w:proofErr w:type="spellEnd"/>
      <w:r w:rsidRPr="00D11D93">
        <w:rPr>
          <w:rFonts w:ascii="Palatino Linotype" w:eastAsia="Calibri" w:hAnsi="Palatino Linotype"/>
          <w:i/>
          <w:lang w:val="es-AR"/>
        </w:rPr>
        <w:t>. 13 de noviembre de 2008. Unanimidad de votos. Ponente: Sara Judith Montalvo Trejo. Secretario: Arnulfo Mateos García.</w:t>
      </w:r>
    </w:p>
    <w:p w14:paraId="4ADB2516" w14:textId="77777777" w:rsidR="00567210" w:rsidRPr="00D11D93" w:rsidRDefault="00567210" w:rsidP="00567210">
      <w:pPr>
        <w:spacing w:line="360" w:lineRule="auto"/>
        <w:ind w:left="567" w:right="616"/>
        <w:contextualSpacing/>
        <w:jc w:val="both"/>
        <w:rPr>
          <w:rFonts w:ascii="Palatino Linotype" w:eastAsia="Calibri" w:hAnsi="Palatino Linotype"/>
          <w:i/>
          <w:lang w:val="es-AR"/>
        </w:rPr>
      </w:pPr>
    </w:p>
    <w:p w14:paraId="542A9A5A" w14:textId="77777777" w:rsidR="00567210" w:rsidRPr="00D11D93" w:rsidRDefault="00567210" w:rsidP="00567210">
      <w:pPr>
        <w:spacing w:line="360" w:lineRule="auto"/>
        <w:ind w:left="567" w:right="616"/>
        <w:contextualSpacing/>
        <w:jc w:val="both"/>
        <w:rPr>
          <w:rFonts w:ascii="Palatino Linotype" w:eastAsia="Calibri" w:hAnsi="Palatino Linotype"/>
          <w:lang w:val="es-AR"/>
        </w:rPr>
      </w:pPr>
      <w:r w:rsidRPr="00D11D93">
        <w:rPr>
          <w:rFonts w:ascii="Palatino Linotype" w:eastAsia="Calibri" w:hAnsi="Palatino Linotype"/>
          <w:lang w:val="es-AR"/>
        </w:rPr>
        <w:t>(Énfasis añadido)</w:t>
      </w:r>
    </w:p>
    <w:p w14:paraId="017054FA" w14:textId="77777777" w:rsidR="00567210" w:rsidRPr="00D11D93" w:rsidRDefault="00567210" w:rsidP="00567210">
      <w:pPr>
        <w:spacing w:line="360" w:lineRule="auto"/>
        <w:ind w:left="426"/>
        <w:contextualSpacing/>
        <w:jc w:val="both"/>
        <w:rPr>
          <w:rFonts w:ascii="Palatino Linotype" w:eastAsia="Calibri" w:hAnsi="Palatino Linotype"/>
          <w:lang w:val="es-ES_tradnl"/>
        </w:rPr>
      </w:pPr>
    </w:p>
    <w:p w14:paraId="4D78ABF9"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lastRenderedPageBreak/>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296A4F4B" w14:textId="77777777" w:rsidR="00567210" w:rsidRPr="00D11D93" w:rsidRDefault="00567210" w:rsidP="00567210">
      <w:pPr>
        <w:spacing w:line="360" w:lineRule="auto"/>
        <w:jc w:val="both"/>
        <w:rPr>
          <w:rFonts w:ascii="Palatino Linotype" w:eastAsia="Calibri" w:hAnsi="Palatino Linotype"/>
          <w:lang w:val="es-ES_tradnl"/>
        </w:rPr>
      </w:pPr>
    </w:p>
    <w:p w14:paraId="6E70BB66"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Por lo que para que se actualice el sobreseimiento de un recurso de revisión, el </w:t>
      </w:r>
      <w:r w:rsidRPr="00D11D93">
        <w:rPr>
          <w:rFonts w:ascii="Palatino Linotype" w:eastAsia="Calibri" w:hAnsi="Palatino Linotype"/>
          <w:b/>
          <w:lang w:val="es-ES_tradnl"/>
        </w:rPr>
        <w:t>SUJETO OBLIGADO</w:t>
      </w:r>
      <w:r w:rsidRPr="00D11D93">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5D21902" w14:textId="77777777" w:rsidR="00567210" w:rsidRPr="00D11D93" w:rsidRDefault="00567210" w:rsidP="00567210">
      <w:pPr>
        <w:spacing w:line="360" w:lineRule="auto"/>
        <w:jc w:val="both"/>
        <w:rPr>
          <w:rFonts w:ascii="Palatino Linotype" w:eastAsia="Calibri" w:hAnsi="Palatino Linotype"/>
          <w:lang w:val="es-ES_tradnl"/>
        </w:rPr>
      </w:pPr>
    </w:p>
    <w:p w14:paraId="181663BB"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CO"/>
        </w:rPr>
        <w:t xml:space="preserve">Bajo ese tenor y en términos del artículo 186 fracción I este Pleno determina el </w:t>
      </w:r>
      <w:r w:rsidRPr="00D11D93">
        <w:rPr>
          <w:rFonts w:ascii="Palatino Linotype" w:eastAsia="Calibri" w:hAnsi="Palatino Linotype"/>
          <w:b/>
          <w:lang w:val="es-CO"/>
        </w:rPr>
        <w:t xml:space="preserve">SOBRESEIMIENTO </w:t>
      </w:r>
      <w:r w:rsidRPr="00D11D93">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DFCB61B" w14:textId="77777777" w:rsidR="00567210" w:rsidRPr="00D11D93" w:rsidRDefault="00567210" w:rsidP="00567210">
      <w:pPr>
        <w:spacing w:line="360" w:lineRule="auto"/>
        <w:jc w:val="both"/>
        <w:rPr>
          <w:rFonts w:ascii="Palatino Linotype" w:eastAsia="Calibri" w:hAnsi="Palatino Linotype"/>
          <w:lang w:val="es-ES_tradnl"/>
        </w:rPr>
      </w:pPr>
    </w:p>
    <w:p w14:paraId="52E2F3FD" w14:textId="77777777" w:rsidR="00567210" w:rsidRPr="00D11D93"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D11D93">
        <w:rPr>
          <w:rFonts w:ascii="Palatino Linotype" w:eastAsia="Calibri" w:hAnsi="Palatino Linotype"/>
          <w:lang w:val="es-ES_tradnl"/>
        </w:rPr>
        <w:t xml:space="preserve">Por lo anteriormente expuesto y fundado, este </w:t>
      </w:r>
      <w:r w:rsidRPr="00D11D93">
        <w:rPr>
          <w:rFonts w:ascii="Palatino Linotype" w:eastAsia="Calibri" w:hAnsi="Palatino Linotype"/>
          <w:b/>
          <w:bCs/>
          <w:lang w:val="es-ES_tradnl"/>
        </w:rPr>
        <w:t>ÓRGANO GARANTE</w:t>
      </w:r>
      <w:r w:rsidRPr="00D11D93">
        <w:rPr>
          <w:rFonts w:ascii="Palatino Linotype" w:eastAsia="Calibri" w:hAnsi="Palatino Linotype"/>
          <w:lang w:val="es-ES_tradnl"/>
        </w:rPr>
        <w:t xml:space="preserve"> emite los siguientes:</w:t>
      </w:r>
    </w:p>
    <w:p w14:paraId="67B70401" w14:textId="77777777" w:rsidR="00567210" w:rsidRPr="00D11D93" w:rsidRDefault="00567210" w:rsidP="00567210">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67CA5876" w14:textId="58B09F20" w:rsidR="00E43C17" w:rsidRPr="00D11D93" w:rsidRDefault="00567210" w:rsidP="00567210">
      <w:pPr>
        <w:keepNext/>
        <w:keepLines/>
        <w:suppressAutoHyphens/>
        <w:spacing w:before="240" w:line="360" w:lineRule="auto"/>
        <w:outlineLvl w:val="0"/>
        <w:rPr>
          <w:rFonts w:ascii="Palatino Linotype" w:hAnsi="Palatino Linotype"/>
          <w:b/>
          <w:color w:val="000000"/>
        </w:rPr>
      </w:pPr>
      <w:bookmarkStart w:id="38" w:name="_Toc99999256"/>
      <w:r w:rsidRPr="00D11D93">
        <w:rPr>
          <w:rFonts w:ascii="Palatino Linotype" w:hAnsi="Palatino Linotype"/>
          <w:b/>
          <w:color w:val="000000"/>
        </w:rPr>
        <w:lastRenderedPageBreak/>
        <w:t>CUARTO. De la decisión.</w:t>
      </w:r>
      <w:bookmarkEnd w:id="38"/>
      <w:r w:rsidRPr="00D11D93">
        <w:rPr>
          <w:rFonts w:ascii="Palatino Linotype" w:hAnsi="Palatino Linotype"/>
          <w:b/>
          <w:color w:val="000000"/>
        </w:rPr>
        <w:t xml:space="preserve"> </w:t>
      </w:r>
    </w:p>
    <w:p w14:paraId="3B262B99" w14:textId="77777777" w:rsidR="00E43C17" w:rsidRPr="00D11D93" w:rsidRDefault="00E43C17" w:rsidP="00567210">
      <w:pPr>
        <w:keepNext/>
        <w:keepLines/>
        <w:suppressAutoHyphens/>
        <w:spacing w:before="240" w:line="360" w:lineRule="auto"/>
        <w:outlineLvl w:val="0"/>
        <w:rPr>
          <w:rFonts w:ascii="Palatino Linotype" w:hAnsi="Palatino Linotype"/>
          <w:b/>
          <w:color w:val="000000"/>
        </w:rPr>
      </w:pPr>
    </w:p>
    <w:p w14:paraId="67FA8376" w14:textId="0AD57CEC" w:rsidR="00567210" w:rsidRPr="00D11D93" w:rsidRDefault="00567210" w:rsidP="00567210">
      <w:pPr>
        <w:numPr>
          <w:ilvl w:val="0"/>
          <w:numId w:val="35"/>
        </w:numPr>
        <w:suppressAutoHyphens/>
        <w:spacing w:before="240" w:after="240" w:line="360" w:lineRule="auto"/>
        <w:ind w:left="0" w:right="49" w:firstLine="0"/>
        <w:contextualSpacing/>
        <w:jc w:val="both"/>
        <w:rPr>
          <w:rFonts w:ascii="Palatino Linotype" w:hAnsi="Palatino Linotype" w:cs="Arial"/>
          <w:lang w:val="es-MX" w:eastAsia="es-ES_tradnl"/>
        </w:rPr>
      </w:pPr>
      <w:r w:rsidRPr="00D11D93">
        <w:rPr>
          <w:rFonts w:ascii="Palatino Linotype" w:hAnsi="Palatino Linotype" w:cs="Tahoma"/>
          <w:lang w:val="es-MX"/>
        </w:rPr>
        <w:t xml:space="preserve">Con base en todo lo expuesto, con fundamento en el artículo 186, fracción I, en relación con la fracción III del artículo 192 de la Ley de Transparencia y Acceso a la Información Pública del Estado de México y Municipios, este Instituto considera procedente </w:t>
      </w:r>
      <w:r w:rsidRPr="00D11D93">
        <w:rPr>
          <w:rFonts w:ascii="Palatino Linotype" w:hAnsi="Palatino Linotype" w:cs="Tahoma"/>
          <w:b/>
          <w:lang w:val="es-MX"/>
        </w:rPr>
        <w:t xml:space="preserve">SOBRESEER </w:t>
      </w:r>
      <w:r w:rsidRPr="00D11D93">
        <w:rPr>
          <w:rFonts w:ascii="Palatino Linotype" w:hAnsi="Palatino Linotype" w:cs="Tahoma"/>
          <w:lang w:val="es-MX"/>
        </w:rPr>
        <w:t>el presente recurso de revisión.</w:t>
      </w:r>
      <w:r w:rsidRPr="00D11D93">
        <w:rPr>
          <w:rFonts w:ascii="Palatino Linotype" w:hAnsi="Palatino Linotype" w:cs="Tahoma"/>
          <w:b/>
          <w:lang w:val="es-MX"/>
        </w:rPr>
        <w:t xml:space="preserve"> </w:t>
      </w:r>
    </w:p>
    <w:p w14:paraId="12050408" w14:textId="77777777" w:rsidR="00B46BA6" w:rsidRPr="00D11D93" w:rsidRDefault="00B46BA6" w:rsidP="00B46BA6">
      <w:pPr>
        <w:suppressAutoHyphens/>
        <w:spacing w:before="240" w:after="240" w:line="360" w:lineRule="auto"/>
        <w:ind w:right="49"/>
        <w:contextualSpacing/>
        <w:jc w:val="both"/>
        <w:rPr>
          <w:rFonts w:ascii="Palatino Linotype" w:hAnsi="Palatino Linotype" w:cs="Arial"/>
          <w:lang w:val="es-MX" w:eastAsia="es-ES_tradnl"/>
        </w:rPr>
      </w:pPr>
    </w:p>
    <w:p w14:paraId="10923F2E" w14:textId="1BCB7B61" w:rsidR="002A1F6E" w:rsidRPr="00D11D93" w:rsidRDefault="00567210" w:rsidP="00567210">
      <w:pPr>
        <w:numPr>
          <w:ilvl w:val="0"/>
          <w:numId w:val="35"/>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D11D93">
        <w:rPr>
          <w:rFonts w:ascii="Palatino Linotype" w:hAnsi="Palatino Linotype" w:cs="Arial"/>
          <w:color w:val="000000"/>
          <w:lang w:val="es-ES_tradnl"/>
        </w:rPr>
        <w:t xml:space="preserve">Por lo anteriormente expuesto y fundado, este </w:t>
      </w:r>
      <w:r w:rsidRPr="00D11D93">
        <w:rPr>
          <w:rFonts w:ascii="Palatino Linotype" w:hAnsi="Palatino Linotype" w:cs="Arial"/>
          <w:b/>
          <w:color w:val="000000"/>
          <w:lang w:val="es-ES_tradnl"/>
        </w:rPr>
        <w:t>ÓRGANO GARANTE</w:t>
      </w:r>
      <w:r w:rsidRPr="00D11D93">
        <w:rPr>
          <w:rFonts w:ascii="Palatino Linotype" w:hAnsi="Palatino Linotype" w:cs="Arial"/>
          <w:color w:val="000000"/>
          <w:lang w:val="es-ES_tradnl"/>
        </w:rPr>
        <w:t xml:space="preserve"> emite los siguientes: </w:t>
      </w:r>
    </w:p>
    <w:p w14:paraId="6848EBF0" w14:textId="77777777" w:rsidR="00567210" w:rsidRPr="00D11D93" w:rsidRDefault="00567210" w:rsidP="002A1F6E">
      <w:pPr>
        <w:rPr>
          <w:rFonts w:ascii="Palatino Linotype" w:hAnsi="Palatino Linotype" w:cs="Arial"/>
          <w:lang w:val="es-ES_tradnl"/>
        </w:rPr>
      </w:pPr>
    </w:p>
    <w:p w14:paraId="558E7E1C" w14:textId="77777777" w:rsidR="00567210" w:rsidRPr="00D11D93" w:rsidRDefault="00567210" w:rsidP="00567210">
      <w:pPr>
        <w:keepNext/>
        <w:keepLines/>
        <w:spacing w:before="240" w:line="360" w:lineRule="auto"/>
        <w:jc w:val="center"/>
        <w:outlineLvl w:val="0"/>
        <w:rPr>
          <w:rFonts w:ascii="Palatino Linotype" w:eastAsia="MS Gothic" w:hAnsi="Palatino Linotype"/>
          <w:b/>
          <w:color w:val="000000" w:themeColor="text1"/>
          <w:lang w:val="es-MX" w:eastAsia="en-US"/>
        </w:rPr>
      </w:pPr>
      <w:bookmarkStart w:id="39" w:name="_Toc99999257"/>
      <w:r w:rsidRPr="00D11D93">
        <w:rPr>
          <w:rFonts w:ascii="Palatino Linotype" w:eastAsia="MS Gothic" w:hAnsi="Palatino Linotype"/>
          <w:b/>
          <w:color w:val="000000" w:themeColor="text1"/>
          <w:lang w:val="es-MX" w:eastAsia="en-US"/>
        </w:rPr>
        <w:t>R E S O L U T I V O S</w:t>
      </w:r>
      <w:bookmarkEnd w:id="34"/>
      <w:bookmarkEnd w:id="35"/>
      <w:bookmarkEnd w:id="36"/>
      <w:bookmarkEnd w:id="37"/>
      <w:bookmarkEnd w:id="39"/>
    </w:p>
    <w:p w14:paraId="5688CD11" w14:textId="77777777" w:rsidR="00567210" w:rsidRPr="00D11D93" w:rsidRDefault="00567210" w:rsidP="00567210">
      <w:pPr>
        <w:rPr>
          <w:rFonts w:ascii="Palatino Linotype" w:eastAsia="MS Mincho" w:hAnsi="Palatino Linotype"/>
          <w:lang w:val="es-MX" w:eastAsia="en-US"/>
        </w:rPr>
      </w:pPr>
    </w:p>
    <w:p w14:paraId="592FD74C" w14:textId="1F0D2FCF" w:rsidR="00567210" w:rsidRPr="00D11D93" w:rsidRDefault="00567210" w:rsidP="00567210">
      <w:pPr>
        <w:spacing w:line="360" w:lineRule="auto"/>
        <w:jc w:val="both"/>
        <w:rPr>
          <w:rFonts w:ascii="Palatino Linotype" w:eastAsia="MS Gothic" w:hAnsi="Palatino Linotype"/>
          <w:lang w:val="es-MX" w:eastAsia="en-US"/>
        </w:rPr>
      </w:pPr>
      <w:bookmarkStart w:id="40" w:name="_Toc528153793"/>
      <w:bookmarkStart w:id="41" w:name="_Toc514231051"/>
      <w:bookmarkStart w:id="42" w:name="_Toc512329343"/>
      <w:bookmarkStart w:id="43" w:name="_Toc503290282"/>
      <w:bookmarkStart w:id="44" w:name="_Toc500264545"/>
      <w:bookmarkStart w:id="45" w:name="_Toc500245736"/>
      <w:bookmarkStart w:id="46" w:name="_Toc499757019"/>
      <w:bookmarkStart w:id="47" w:name="_Toc499756976"/>
      <w:bookmarkStart w:id="48" w:name="_Toc496100164"/>
      <w:bookmarkStart w:id="49" w:name="_Toc496099787"/>
      <w:bookmarkStart w:id="50" w:name="_Toc462228127"/>
      <w:bookmarkStart w:id="51" w:name="_Toc462228047"/>
      <w:bookmarkStart w:id="52" w:name="_Toc461648680"/>
      <w:bookmarkStart w:id="53" w:name="_Toc461648588"/>
      <w:r w:rsidRPr="00D11D93">
        <w:rPr>
          <w:rFonts w:ascii="Palatino Linotype" w:eastAsia="MS Gothic" w:hAnsi="Palatino Linotype"/>
          <w:b/>
          <w:lang w:val="es-MX" w:eastAsia="en-US"/>
        </w:rPr>
        <w:t xml:space="preserve">PRIMERO. </w:t>
      </w:r>
      <w:r w:rsidRPr="00D11D93">
        <w:rPr>
          <w:rFonts w:ascii="Palatino Linotype" w:eastAsia="MS Gothic" w:hAnsi="Palatino Linotype"/>
          <w:lang w:val="es-MX" w:eastAsia="en-US"/>
        </w:rPr>
        <w:t>Se</w:t>
      </w:r>
      <w:r w:rsidRPr="00D11D93">
        <w:rPr>
          <w:rFonts w:ascii="Palatino Linotype" w:eastAsia="MS Gothic" w:hAnsi="Palatino Linotype"/>
          <w:b/>
          <w:lang w:val="es-MX" w:eastAsia="en-US"/>
        </w:rPr>
        <w:t xml:space="preserve"> SOBRESEE </w:t>
      </w:r>
      <w:r w:rsidRPr="00D11D93">
        <w:rPr>
          <w:rFonts w:ascii="Palatino Linotype" w:eastAsia="MS Gothic" w:hAnsi="Palatino Linotype"/>
          <w:lang w:val="es-MX" w:eastAsia="en-US"/>
        </w:rPr>
        <w:t>el recurso de revisión número</w:t>
      </w:r>
      <w:r w:rsidR="00B46BA6" w:rsidRPr="00D11D93">
        <w:rPr>
          <w:rFonts w:ascii="Palatino Linotype" w:eastAsia="MS Gothic" w:hAnsi="Palatino Linotype"/>
          <w:lang w:val="es-MX" w:eastAsia="en-US"/>
        </w:rPr>
        <w:t xml:space="preserve"> </w:t>
      </w:r>
      <w:r w:rsidR="00E43C17" w:rsidRPr="00D11D93">
        <w:rPr>
          <w:rFonts w:ascii="Palatino Linotype" w:eastAsia="MS Gothic" w:hAnsi="Palatino Linotype"/>
          <w:b/>
          <w:lang w:val="es-MX" w:eastAsia="en-US"/>
        </w:rPr>
        <w:t>00998/INFOEM/IP/RR/2022</w:t>
      </w:r>
      <w:r w:rsidR="00E43C17" w:rsidRPr="00D11D93">
        <w:rPr>
          <w:rFonts w:ascii="Palatino Linotype" w:eastAsia="MS Gothic" w:hAnsi="Palatino Linotype"/>
          <w:lang w:val="es-MX" w:eastAsia="en-US"/>
        </w:rPr>
        <w:t xml:space="preserve"> </w:t>
      </w:r>
      <w:r w:rsidRPr="00D11D93">
        <w:rPr>
          <w:rFonts w:ascii="Palatino Linotype" w:eastAsia="MS Gothic" w:hAnsi="Palatino Linotype"/>
          <w:lang w:val="es-MX" w:eastAsia="en-US"/>
        </w:rPr>
        <w:t xml:space="preserve">en razón de que, al </w:t>
      </w:r>
      <w:r w:rsidRPr="00D11D93">
        <w:rPr>
          <w:rFonts w:ascii="Palatino Linotype" w:eastAsia="MS Gothic" w:hAnsi="Palatino Linotype"/>
          <w:b/>
          <w:lang w:val="es-MX" w:eastAsia="en-US"/>
        </w:rPr>
        <w:t>MODIFICAR</w:t>
      </w:r>
      <w:r w:rsidRPr="00D11D93">
        <w:rPr>
          <w:rFonts w:ascii="Palatino Linotype" w:eastAsia="MS Gothic" w:hAnsi="Palatino Linotype"/>
          <w:lang w:val="es-MX" w:eastAsia="en-US"/>
        </w:rPr>
        <w:t xml:space="preserve"> la respuesta inicial, el recurso de revisión quedó sin materia en términos del Considerando </w:t>
      </w:r>
      <w:r w:rsidRPr="00D11D93">
        <w:rPr>
          <w:rFonts w:ascii="Palatino Linotype" w:eastAsia="MS Gothic" w:hAnsi="Palatino Linotype"/>
          <w:b/>
          <w:lang w:val="es-MX" w:eastAsia="en-US"/>
        </w:rPr>
        <w:t>TERCERO</w:t>
      </w:r>
      <w:r w:rsidRPr="00D11D93">
        <w:rPr>
          <w:rFonts w:ascii="Palatino Linotype" w:eastAsia="MS Gothic" w:hAnsi="Palatino Linotype"/>
          <w:lang w:val="es-MX" w:eastAsia="en-US"/>
        </w:rPr>
        <w:t xml:space="preserve"> de la presente resolución.    </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B635B73" w14:textId="77777777" w:rsidR="00567210" w:rsidRPr="00D11D93" w:rsidRDefault="00567210" w:rsidP="00567210">
      <w:pPr>
        <w:spacing w:line="360" w:lineRule="auto"/>
        <w:jc w:val="both"/>
        <w:rPr>
          <w:rFonts w:ascii="Palatino Linotype" w:eastAsia="MS Mincho" w:hAnsi="Palatino Linotype"/>
          <w:lang w:val="es-ES_tradnl"/>
        </w:rPr>
      </w:pPr>
    </w:p>
    <w:p w14:paraId="4DB80047" w14:textId="77777777" w:rsidR="00567210" w:rsidRPr="00D11D93" w:rsidRDefault="00567210" w:rsidP="00567210">
      <w:pPr>
        <w:spacing w:line="360" w:lineRule="auto"/>
        <w:jc w:val="both"/>
        <w:rPr>
          <w:rFonts w:ascii="Palatino Linotype" w:eastAsia="Calibri" w:hAnsi="Palatino Linotype" w:cs="Arial"/>
          <w:b/>
          <w:bCs/>
        </w:rPr>
      </w:pPr>
      <w:r w:rsidRPr="00D11D93">
        <w:rPr>
          <w:rFonts w:ascii="Palatino Linotype" w:eastAsia="Calibri" w:hAnsi="Palatino Linotype" w:cs="Arial"/>
          <w:b/>
          <w:bCs/>
        </w:rPr>
        <w:t xml:space="preserve">SEGUNDO. Notifíquese </w:t>
      </w:r>
      <w:r w:rsidRPr="00D11D93">
        <w:rPr>
          <w:rFonts w:ascii="Palatino Linotype" w:eastAsia="Calibri" w:hAnsi="Palatino Linotype" w:cs="Arial"/>
          <w:bCs/>
        </w:rPr>
        <w:t xml:space="preserve">a través del Sistema de Acceso a la Información Mexiquense </w:t>
      </w:r>
      <w:r w:rsidRPr="00D11D93">
        <w:rPr>
          <w:rFonts w:ascii="Palatino Linotype" w:eastAsia="Calibri" w:hAnsi="Palatino Linotype" w:cs="Arial"/>
          <w:b/>
          <w:bCs/>
        </w:rPr>
        <w:t xml:space="preserve">(SAIMEX) </w:t>
      </w:r>
      <w:r w:rsidRPr="00D11D93">
        <w:rPr>
          <w:rFonts w:ascii="Palatino Linotype" w:eastAsia="Calibri" w:hAnsi="Palatino Linotype" w:cs="Arial"/>
          <w:bCs/>
        </w:rPr>
        <w:t>la presente resolución a la Titular de la Unidad de Transparencia del</w:t>
      </w:r>
      <w:r w:rsidRPr="00D11D93">
        <w:rPr>
          <w:rFonts w:ascii="Palatino Linotype" w:eastAsia="Calibri" w:hAnsi="Palatino Linotype" w:cs="Arial"/>
          <w:b/>
          <w:bCs/>
        </w:rPr>
        <w:t xml:space="preserve"> SUJETO OBLIGADO. </w:t>
      </w:r>
    </w:p>
    <w:p w14:paraId="26EF71CC" w14:textId="77777777" w:rsidR="00567210" w:rsidRPr="00D11D93" w:rsidRDefault="00567210" w:rsidP="00567210">
      <w:pPr>
        <w:spacing w:line="360" w:lineRule="auto"/>
        <w:jc w:val="both"/>
        <w:rPr>
          <w:rFonts w:ascii="Palatino Linotype" w:eastAsia="Calibri" w:hAnsi="Palatino Linotype" w:cs="Arial"/>
          <w:b/>
          <w:bCs/>
        </w:rPr>
      </w:pPr>
    </w:p>
    <w:p w14:paraId="4AED55F5" w14:textId="77777777" w:rsidR="00567210" w:rsidRPr="00D11D93" w:rsidRDefault="00567210" w:rsidP="00567210">
      <w:pPr>
        <w:spacing w:line="360" w:lineRule="auto"/>
        <w:jc w:val="both"/>
        <w:rPr>
          <w:rFonts w:ascii="Palatino Linotype" w:hAnsi="Palatino Linotype"/>
          <w:color w:val="222222"/>
          <w:lang w:eastAsia="es-MX"/>
        </w:rPr>
      </w:pPr>
      <w:r w:rsidRPr="00D11D93">
        <w:rPr>
          <w:rFonts w:ascii="Palatino Linotype" w:hAnsi="Palatino Linotype" w:cs="Arial"/>
          <w:b/>
          <w:lang w:val="es-ES_tradnl"/>
        </w:rPr>
        <w:lastRenderedPageBreak/>
        <w:t xml:space="preserve">TERCERO. </w:t>
      </w:r>
      <w:r w:rsidRPr="00D11D93">
        <w:rPr>
          <w:rFonts w:ascii="Palatino Linotype" w:hAnsi="Palatino Linotype"/>
          <w:b/>
          <w:bCs/>
          <w:color w:val="222222"/>
        </w:rPr>
        <w:t xml:space="preserve">Notifíquese </w:t>
      </w:r>
      <w:r w:rsidRPr="00D11D93">
        <w:rPr>
          <w:rFonts w:ascii="Palatino Linotype" w:hAnsi="Palatino Linotype"/>
          <w:bCs/>
          <w:color w:val="222222"/>
        </w:rPr>
        <w:t xml:space="preserve">al </w:t>
      </w:r>
      <w:r w:rsidRPr="00D11D93">
        <w:rPr>
          <w:rFonts w:ascii="Palatino Linotype" w:eastAsia="MS Mincho" w:hAnsi="Palatino Linotype"/>
          <w:b/>
          <w:lang w:val="es-ES_tradnl"/>
        </w:rPr>
        <w:t xml:space="preserve">RECURRENTE </w:t>
      </w:r>
      <w:r w:rsidRPr="00D11D93">
        <w:rPr>
          <w:rFonts w:ascii="Palatino Linotype" w:eastAsia="Calibri" w:hAnsi="Palatino Linotype" w:cs="Arial"/>
          <w:bCs/>
        </w:rPr>
        <w:t xml:space="preserve">a través del Sistema de Acceso a la Información Mexiquense </w:t>
      </w:r>
      <w:r w:rsidRPr="00D11D93">
        <w:rPr>
          <w:rFonts w:ascii="Palatino Linotype" w:eastAsia="Calibri" w:hAnsi="Palatino Linotype" w:cs="Arial"/>
          <w:b/>
          <w:bCs/>
        </w:rPr>
        <w:t xml:space="preserve">(SAIMEX) </w:t>
      </w:r>
      <w:r w:rsidRPr="00D11D93">
        <w:rPr>
          <w:rFonts w:ascii="Palatino Linotype" w:hAnsi="Palatino Linotype"/>
          <w:color w:val="222222"/>
          <w:lang w:eastAsia="es-MX"/>
        </w:rPr>
        <w:t>la presente resolución.</w:t>
      </w:r>
    </w:p>
    <w:p w14:paraId="0E077059" w14:textId="77777777" w:rsidR="00567210" w:rsidRPr="00D11D93" w:rsidRDefault="00567210" w:rsidP="00567210">
      <w:pPr>
        <w:spacing w:line="360" w:lineRule="auto"/>
        <w:jc w:val="both"/>
        <w:rPr>
          <w:rFonts w:ascii="Palatino Linotype" w:hAnsi="Palatino Linotype"/>
          <w:color w:val="222222"/>
          <w:lang w:eastAsia="es-MX"/>
        </w:rPr>
      </w:pPr>
    </w:p>
    <w:p w14:paraId="4E6DBFBA" w14:textId="77777777" w:rsidR="00567210" w:rsidRPr="00D11D93" w:rsidRDefault="00567210" w:rsidP="00567210">
      <w:pPr>
        <w:spacing w:line="360" w:lineRule="auto"/>
        <w:jc w:val="both"/>
        <w:rPr>
          <w:rFonts w:ascii="Palatino Linotype" w:eastAsia="MS Mincho" w:hAnsi="Palatino Linotype"/>
        </w:rPr>
      </w:pPr>
      <w:r w:rsidRPr="00D11D93">
        <w:rPr>
          <w:rFonts w:ascii="Palatino Linotype" w:eastAsia="MS Mincho" w:hAnsi="Palatino Linotype"/>
          <w:b/>
          <w:lang w:val="es-MX"/>
        </w:rPr>
        <w:t>CUARTO.</w:t>
      </w:r>
      <w:r w:rsidRPr="00D11D93">
        <w:rPr>
          <w:rFonts w:ascii="Palatino Linotype" w:eastAsia="MS Mincho" w:hAnsi="Palatino Linotype"/>
          <w:lang w:val="es-MX"/>
        </w:rPr>
        <w:t xml:space="preserve"> </w:t>
      </w:r>
      <w:r w:rsidRPr="00D11D93">
        <w:rPr>
          <w:rFonts w:ascii="Palatino Linotype" w:eastAsia="MS Mincho" w:hAnsi="Palatino Linotype"/>
        </w:rPr>
        <w:t xml:space="preserve">Se hace del conocimiento del </w:t>
      </w:r>
      <w:r w:rsidRPr="00D11D93">
        <w:rPr>
          <w:rFonts w:ascii="Palatino Linotype" w:eastAsia="MS Mincho" w:hAnsi="Palatino Linotype"/>
          <w:b/>
          <w:lang w:val="es-ES_tradnl"/>
        </w:rPr>
        <w:t xml:space="preserve">RECURRENTE </w:t>
      </w:r>
      <w:r w:rsidRPr="00D11D93">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D11D93">
        <w:rPr>
          <w:rFonts w:ascii="Palatino Linotype" w:eastAsia="MS Mincho" w:hAnsi="Palatino Linotype"/>
          <w:bCs/>
        </w:rPr>
        <w:t xml:space="preserve">vía juicio de amparo </w:t>
      </w:r>
      <w:r w:rsidRPr="00D11D93">
        <w:rPr>
          <w:rFonts w:ascii="Palatino Linotype" w:eastAsia="MS Mincho" w:hAnsi="Palatino Linotype"/>
        </w:rPr>
        <w:t>en los términos de las leyes aplicables.</w:t>
      </w:r>
    </w:p>
    <w:p w14:paraId="636121A7" w14:textId="77777777" w:rsidR="00567210" w:rsidRPr="00D11D93" w:rsidRDefault="00567210" w:rsidP="00567210">
      <w:pPr>
        <w:spacing w:line="360" w:lineRule="auto"/>
        <w:jc w:val="both"/>
        <w:rPr>
          <w:rFonts w:ascii="Palatino Linotype" w:eastAsia="MS Mincho" w:hAnsi="Palatino Linotype"/>
        </w:rPr>
      </w:pPr>
    </w:p>
    <w:p w14:paraId="00133489" w14:textId="77777777" w:rsidR="00D11D93" w:rsidRPr="00624AAD" w:rsidRDefault="00D11D93" w:rsidP="00D11D93">
      <w:pPr>
        <w:spacing w:before="240" w:after="240" w:line="360" w:lineRule="auto"/>
        <w:ind w:firstLine="1"/>
        <w:jc w:val="both"/>
        <w:rPr>
          <w:rFonts w:ascii="Palatino Linotype" w:hAnsi="Palatino Linotype"/>
        </w:rPr>
      </w:pPr>
      <w:bookmarkStart w:id="54" w:name="_Hlk99014733"/>
      <w:r w:rsidRPr="00D11D9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54"/>
    <w:p w14:paraId="4453F8E6" w14:textId="4987DE0A" w:rsidR="00090DE6" w:rsidRPr="00E43C17" w:rsidRDefault="00090DE6" w:rsidP="00CA6269">
      <w:pPr>
        <w:spacing w:line="360" w:lineRule="auto"/>
        <w:rPr>
          <w:rFonts w:ascii="Palatino Linotype" w:hAnsi="Palatino Linotype"/>
        </w:rPr>
      </w:pPr>
    </w:p>
    <w:sectPr w:rsidR="00090DE6" w:rsidRPr="00E43C17"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03699" w14:textId="77777777" w:rsidR="00624938" w:rsidRDefault="00624938" w:rsidP="00C80F8C">
      <w:r>
        <w:separator/>
      </w:r>
    </w:p>
  </w:endnote>
  <w:endnote w:type="continuationSeparator" w:id="0">
    <w:p w14:paraId="03BC4404" w14:textId="77777777" w:rsidR="00624938" w:rsidRDefault="006249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0C84CF8" w:rsidR="003B268D" w:rsidRPr="00817AAB" w:rsidRDefault="003B268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F2B2D">
      <w:rPr>
        <w:rFonts w:ascii="Palatino Linotype" w:hAnsi="Palatino Linotype" w:cs="Arial"/>
        <w:b/>
        <w:bCs/>
        <w:noProof/>
      </w:rPr>
      <w:t>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F2B2D">
      <w:rPr>
        <w:rFonts w:ascii="Palatino Linotype" w:hAnsi="Palatino Linotype" w:cs="Arial"/>
        <w:b/>
        <w:bCs/>
        <w:noProof/>
      </w:rPr>
      <w:t>30</w:t>
    </w:r>
    <w:r w:rsidRPr="00817AAB">
      <w:rPr>
        <w:rFonts w:ascii="Palatino Linotype" w:hAnsi="Palatino Linotype" w:cs="Arial"/>
        <w:b/>
        <w:bCs/>
      </w:rPr>
      <w:fldChar w:fldCharType="end"/>
    </w:r>
  </w:p>
  <w:p w14:paraId="1192A578" w14:textId="77777777" w:rsidR="003B268D" w:rsidRDefault="003B268D" w:rsidP="00935A0D">
    <w:pPr>
      <w:pStyle w:val="Piedepgina"/>
      <w:rPr>
        <w:rFonts w:ascii="Times New Roman" w:hAnsi="Times New Roman" w:cs="Times New Roman"/>
      </w:rPr>
    </w:pPr>
  </w:p>
  <w:p w14:paraId="14A770F8" w14:textId="77777777" w:rsidR="003B268D" w:rsidRDefault="003B268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8FE0DB9" w:rsidR="003B268D" w:rsidRDefault="003B268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F2B2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F2B2D">
      <w:rPr>
        <w:rFonts w:ascii="Arial" w:hAnsi="Arial" w:cs="Arial"/>
        <w:b/>
        <w:bCs/>
        <w:noProof/>
        <w:sz w:val="20"/>
        <w:szCs w:val="20"/>
      </w:rPr>
      <w:t>30</w:t>
    </w:r>
    <w:r>
      <w:rPr>
        <w:rFonts w:ascii="Arial" w:hAnsi="Arial" w:cs="Arial"/>
        <w:b/>
        <w:bCs/>
        <w:sz w:val="20"/>
        <w:szCs w:val="20"/>
      </w:rPr>
      <w:fldChar w:fldCharType="end"/>
    </w:r>
  </w:p>
  <w:p w14:paraId="5D98ABD5" w14:textId="77777777" w:rsidR="003B268D" w:rsidRDefault="003B26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B62E1" w14:textId="77777777" w:rsidR="00624938" w:rsidRDefault="00624938" w:rsidP="00C80F8C">
      <w:r>
        <w:separator/>
      </w:r>
    </w:p>
  </w:footnote>
  <w:footnote w:type="continuationSeparator" w:id="0">
    <w:p w14:paraId="4291F372" w14:textId="77777777" w:rsidR="00624938" w:rsidRDefault="00624938" w:rsidP="00C80F8C">
      <w:r>
        <w:continuationSeparator/>
      </w:r>
    </w:p>
  </w:footnote>
  <w:footnote w:id="1">
    <w:p w14:paraId="7CB9F248" w14:textId="0B25D028" w:rsidR="00CB1E70" w:rsidRPr="00CB1E70" w:rsidRDefault="00CB1E70">
      <w:pPr>
        <w:pStyle w:val="Textonotapie"/>
        <w:rPr>
          <w:lang w:val="es-ES"/>
        </w:rPr>
      </w:pPr>
      <w:r>
        <w:rPr>
          <w:rStyle w:val="Refdenotaalpie"/>
        </w:rPr>
        <w:footnoteRef/>
      </w:r>
      <w:r>
        <w:t xml:space="preserve"> </w:t>
      </w:r>
      <w:hyperlink r:id="rId1" w:history="1">
        <w:r w:rsidRPr="00B7303E">
          <w:rPr>
            <w:rStyle w:val="Hipervnculo"/>
          </w:rPr>
          <w:t>https://files.coacalco.gob.mx/GACETA70.pdf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B268D" w14:paraId="6B4E3B81" w14:textId="77777777" w:rsidTr="00B4299A">
      <w:tc>
        <w:tcPr>
          <w:tcW w:w="2701" w:type="dxa"/>
          <w:vAlign w:val="center"/>
          <w:hideMark/>
        </w:tcPr>
        <w:p w14:paraId="0ABBC6C0" w14:textId="1226DAAF" w:rsidR="003B268D" w:rsidRPr="00B4299A" w:rsidRDefault="003B268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EA392F0" w:rsidR="003B268D" w:rsidRPr="00B4299A" w:rsidRDefault="003B268D" w:rsidP="0007224B">
          <w:pPr>
            <w:rPr>
              <w:rFonts w:ascii="Palatino Linotype" w:hAnsi="Palatino Linotype"/>
              <w:b/>
              <w:szCs w:val="22"/>
              <w:lang w:val="es-ES_tradnl"/>
            </w:rPr>
          </w:pPr>
          <w:r w:rsidRPr="0007224B">
            <w:rPr>
              <w:rFonts w:ascii="Palatino Linotype" w:hAnsi="Palatino Linotype"/>
              <w:b/>
              <w:szCs w:val="22"/>
              <w:lang w:val="es-ES_tradnl"/>
            </w:rPr>
            <w:t>00998/INFOEM/IP/RR/2022</w:t>
          </w:r>
        </w:p>
      </w:tc>
    </w:tr>
    <w:tr w:rsidR="003B268D" w14:paraId="31CB780F" w14:textId="77777777" w:rsidTr="00B4299A">
      <w:trPr>
        <w:trHeight w:val="228"/>
      </w:trPr>
      <w:tc>
        <w:tcPr>
          <w:tcW w:w="2701" w:type="dxa"/>
          <w:vAlign w:val="center"/>
          <w:hideMark/>
        </w:tcPr>
        <w:p w14:paraId="4F49CB4A" w14:textId="6966D32E" w:rsidR="003B268D" w:rsidRPr="00B4299A" w:rsidRDefault="003B268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9359913" w:rsidR="003B268D" w:rsidRPr="00B4299A" w:rsidRDefault="003B268D" w:rsidP="00E176F9">
          <w:pPr>
            <w:jc w:val="both"/>
            <w:rPr>
              <w:rFonts w:ascii="Palatino Linotype" w:hAnsi="Palatino Linotype"/>
              <w:b/>
              <w:szCs w:val="22"/>
              <w:lang w:val="es-ES_tradnl"/>
            </w:rPr>
          </w:pPr>
          <w:r w:rsidRPr="0007224B">
            <w:rPr>
              <w:rFonts w:ascii="Palatino Linotype" w:hAnsi="Palatino Linotype"/>
              <w:b/>
              <w:szCs w:val="22"/>
              <w:lang w:val="es-ES_tradnl"/>
            </w:rPr>
            <w:t>Organismo Público Descentralizado para la Prestación de Servicios de Agua Potable Alcantarillado y Saneamiento de Coacalco de Berriozábal</w:t>
          </w:r>
        </w:p>
      </w:tc>
    </w:tr>
    <w:tr w:rsidR="003B268D" w14:paraId="69050F56" w14:textId="77777777" w:rsidTr="00B4299A">
      <w:tc>
        <w:tcPr>
          <w:tcW w:w="2701" w:type="dxa"/>
          <w:vAlign w:val="center"/>
          <w:hideMark/>
        </w:tcPr>
        <w:p w14:paraId="65C9B735" w14:textId="75C78F81" w:rsidR="003B268D" w:rsidRPr="00B4299A" w:rsidRDefault="003B268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B268D" w:rsidRPr="00B4299A" w:rsidRDefault="003B268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3B268D" w:rsidRDefault="003B268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B268D" w:rsidRDefault="003B268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B268D" w:rsidRDefault="003B268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B268D" w14:paraId="477E149B" w14:textId="77777777" w:rsidTr="00CB57FD">
      <w:trPr>
        <w:trHeight w:val="277"/>
      </w:trPr>
      <w:tc>
        <w:tcPr>
          <w:tcW w:w="2693" w:type="dxa"/>
          <w:vAlign w:val="center"/>
          <w:hideMark/>
        </w:tcPr>
        <w:p w14:paraId="5C0586E4" w14:textId="77777777"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DBD6765" w:rsidR="003B268D" w:rsidRPr="009B3353" w:rsidRDefault="003B268D" w:rsidP="00761460">
          <w:pPr>
            <w:rPr>
              <w:rFonts w:ascii="Palatino Linotype" w:hAnsi="Palatino Linotype"/>
              <w:b/>
              <w:szCs w:val="22"/>
              <w:lang w:val="es-ES_tradnl"/>
            </w:rPr>
          </w:pPr>
          <w:r w:rsidRPr="0007224B">
            <w:rPr>
              <w:rFonts w:ascii="Palatino Linotype" w:hAnsi="Palatino Linotype"/>
              <w:b/>
              <w:szCs w:val="22"/>
              <w:lang w:val="es-ES_tradnl"/>
            </w:rPr>
            <w:t>00998/INFOEM/IP/RR/2022</w:t>
          </w:r>
        </w:p>
      </w:tc>
    </w:tr>
    <w:tr w:rsidR="003B268D" w14:paraId="5B5BE21C" w14:textId="77777777" w:rsidTr="00CB57FD">
      <w:tc>
        <w:tcPr>
          <w:tcW w:w="2693" w:type="dxa"/>
          <w:vAlign w:val="center"/>
          <w:hideMark/>
        </w:tcPr>
        <w:p w14:paraId="4AE96902" w14:textId="4E063913"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52B594F" w:rsidR="003B268D" w:rsidRPr="009B3353" w:rsidRDefault="00CF2B2D" w:rsidP="002B7BCC">
          <w:pPr>
            <w:rPr>
              <w:rFonts w:ascii="Palatino Linotype" w:hAnsi="Palatino Linotype"/>
              <w:b/>
              <w:szCs w:val="22"/>
              <w:lang w:val="es-ES_tradnl"/>
            </w:rPr>
          </w:pPr>
          <w:r>
            <w:rPr>
              <w:rFonts w:ascii="Palatino Linotype" w:hAnsi="Palatino Linotype"/>
              <w:b/>
              <w:szCs w:val="22"/>
              <w:lang w:val="es-ES_tradnl"/>
            </w:rPr>
            <w:t>XXXX XXXXX XXXX</w:t>
          </w:r>
        </w:p>
      </w:tc>
    </w:tr>
    <w:tr w:rsidR="003B268D" w14:paraId="22601A11" w14:textId="77777777" w:rsidTr="00CB57FD">
      <w:trPr>
        <w:trHeight w:val="228"/>
      </w:trPr>
      <w:tc>
        <w:tcPr>
          <w:tcW w:w="2693" w:type="dxa"/>
          <w:vAlign w:val="center"/>
          <w:hideMark/>
        </w:tcPr>
        <w:p w14:paraId="6EFE221D" w14:textId="49C5F800"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B653243" w:rsidR="003B268D" w:rsidRPr="009B3353" w:rsidRDefault="003B268D" w:rsidP="007F7B11">
          <w:pPr>
            <w:jc w:val="both"/>
            <w:rPr>
              <w:rFonts w:ascii="Palatino Linotype" w:eastAsia="Calibri" w:hAnsi="Palatino Linotype"/>
              <w:b/>
              <w:szCs w:val="22"/>
              <w:lang w:val="es-MX" w:eastAsia="en-US"/>
            </w:rPr>
          </w:pPr>
          <w:r w:rsidRPr="0007224B">
            <w:rPr>
              <w:rFonts w:ascii="Palatino Linotype" w:eastAsia="Calibri" w:hAnsi="Palatino Linotype"/>
              <w:b/>
              <w:szCs w:val="22"/>
              <w:lang w:val="es-MX" w:eastAsia="en-US"/>
            </w:rPr>
            <w:t>Organismo Público Descentralizado para la Prestación de Servicios de Agua Potable Alcantarillado y Saneamiento de Coacalco de Berriozábal</w:t>
          </w:r>
        </w:p>
      </w:tc>
    </w:tr>
    <w:tr w:rsidR="003B268D" w14:paraId="2D6C630E" w14:textId="77777777" w:rsidTr="00CB57FD">
      <w:tc>
        <w:tcPr>
          <w:tcW w:w="2693" w:type="dxa"/>
          <w:vAlign w:val="center"/>
          <w:hideMark/>
        </w:tcPr>
        <w:p w14:paraId="5BD4C6DB" w14:textId="7CF21504" w:rsidR="003B268D" w:rsidRPr="009B3353" w:rsidRDefault="003B268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B268D" w:rsidRPr="009B3353" w:rsidRDefault="003B268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B268D" w:rsidRDefault="003B268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841CC6"/>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64929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D8321B"/>
    <w:multiLevelType w:val="hybridMultilevel"/>
    <w:tmpl w:val="5846EA66"/>
    <w:lvl w:ilvl="0" w:tplc="E16EFDF6">
      <w:start w:val="29"/>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8">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5475B5"/>
    <w:multiLevelType w:val="hybridMultilevel"/>
    <w:tmpl w:val="5EB251A0"/>
    <w:lvl w:ilvl="0" w:tplc="B452440C">
      <w:start w:val="17"/>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9"/>
  </w:num>
  <w:num w:numId="2">
    <w:abstractNumId w:val="7"/>
  </w:num>
  <w:num w:numId="3">
    <w:abstractNumId w:val="31"/>
  </w:num>
  <w:num w:numId="4">
    <w:abstractNumId w:val="30"/>
  </w:num>
  <w:num w:numId="5">
    <w:abstractNumId w:val="28"/>
  </w:num>
  <w:num w:numId="6">
    <w:abstractNumId w:val="6"/>
  </w:num>
  <w:num w:numId="7">
    <w:abstractNumId w:val="10"/>
  </w:num>
  <w:num w:numId="8">
    <w:abstractNumId w:val="22"/>
  </w:num>
  <w:num w:numId="9">
    <w:abstractNumId w:val="20"/>
  </w:num>
  <w:num w:numId="10">
    <w:abstractNumId w:val="4"/>
  </w:num>
  <w:num w:numId="11">
    <w:abstractNumId w:val="2"/>
  </w:num>
  <w:num w:numId="12">
    <w:abstractNumId w:val="13"/>
  </w:num>
  <w:num w:numId="13">
    <w:abstractNumId w:val="18"/>
  </w:num>
  <w:num w:numId="14">
    <w:abstractNumId w:val="0"/>
  </w:num>
  <w:num w:numId="15">
    <w:abstractNumId w:val="8"/>
  </w:num>
  <w:num w:numId="16">
    <w:abstractNumId w:val="5"/>
  </w:num>
  <w:num w:numId="17">
    <w:abstractNumId w:val="15"/>
  </w:num>
  <w:num w:numId="18">
    <w:abstractNumId w:val="3"/>
  </w:num>
  <w:num w:numId="19">
    <w:abstractNumId w:val="33"/>
  </w:num>
  <w:num w:numId="20">
    <w:abstractNumId w:val="25"/>
  </w:num>
  <w:num w:numId="21">
    <w:abstractNumId w:val="29"/>
  </w:num>
  <w:num w:numId="22">
    <w:abstractNumId w:val="16"/>
  </w:num>
  <w:num w:numId="23">
    <w:abstractNumId w:val="21"/>
  </w:num>
  <w:num w:numId="24">
    <w:abstractNumId w:val="19"/>
  </w:num>
  <w:num w:numId="25">
    <w:abstractNumId w:val="23"/>
  </w:num>
  <w:num w:numId="26">
    <w:abstractNumId w:val="26"/>
  </w:num>
  <w:num w:numId="27">
    <w:abstractNumId w:val="12"/>
  </w:num>
  <w:num w:numId="28">
    <w:abstractNumId w:val="27"/>
  </w:num>
  <w:num w:numId="29">
    <w:abstractNumId w:val="32"/>
  </w:num>
  <w:num w:numId="30">
    <w:abstractNumId w:val="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7"/>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6370"/>
    <w:rsid w:val="00057073"/>
    <w:rsid w:val="00060CD1"/>
    <w:rsid w:val="0006184D"/>
    <w:rsid w:val="000646E3"/>
    <w:rsid w:val="000667E0"/>
    <w:rsid w:val="00070A81"/>
    <w:rsid w:val="00071462"/>
    <w:rsid w:val="00071A99"/>
    <w:rsid w:val="0007224B"/>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1FF"/>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5E57"/>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1DE8"/>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7F6"/>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1F6E"/>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27F54"/>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27CC"/>
    <w:rsid w:val="00384CD8"/>
    <w:rsid w:val="00387128"/>
    <w:rsid w:val="00392E2B"/>
    <w:rsid w:val="003930ED"/>
    <w:rsid w:val="003A0689"/>
    <w:rsid w:val="003A0C73"/>
    <w:rsid w:val="003A11DD"/>
    <w:rsid w:val="003A1270"/>
    <w:rsid w:val="003A19EE"/>
    <w:rsid w:val="003A2B96"/>
    <w:rsid w:val="003A3683"/>
    <w:rsid w:val="003A5891"/>
    <w:rsid w:val="003A5A6E"/>
    <w:rsid w:val="003A5E0F"/>
    <w:rsid w:val="003A6186"/>
    <w:rsid w:val="003A6534"/>
    <w:rsid w:val="003A78A7"/>
    <w:rsid w:val="003A7A6D"/>
    <w:rsid w:val="003A7E31"/>
    <w:rsid w:val="003A7F01"/>
    <w:rsid w:val="003B268D"/>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6E8"/>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578D"/>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27A7E"/>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0147"/>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1C4A"/>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6EF5"/>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0E2"/>
    <w:rsid w:val="00535560"/>
    <w:rsid w:val="005356D8"/>
    <w:rsid w:val="00537427"/>
    <w:rsid w:val="00541397"/>
    <w:rsid w:val="005413A9"/>
    <w:rsid w:val="00541C7E"/>
    <w:rsid w:val="00542386"/>
    <w:rsid w:val="00542D8A"/>
    <w:rsid w:val="00543427"/>
    <w:rsid w:val="00543928"/>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67210"/>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2959"/>
    <w:rsid w:val="00583795"/>
    <w:rsid w:val="0058439D"/>
    <w:rsid w:val="00585149"/>
    <w:rsid w:val="00585C24"/>
    <w:rsid w:val="00585F8F"/>
    <w:rsid w:val="005866B8"/>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4859"/>
    <w:rsid w:val="005B52FE"/>
    <w:rsid w:val="005B6938"/>
    <w:rsid w:val="005B6F32"/>
    <w:rsid w:val="005B7350"/>
    <w:rsid w:val="005C0E6F"/>
    <w:rsid w:val="005C222C"/>
    <w:rsid w:val="005C27BF"/>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5C"/>
    <w:rsid w:val="005F557E"/>
    <w:rsid w:val="005F5725"/>
    <w:rsid w:val="005F666A"/>
    <w:rsid w:val="005F684F"/>
    <w:rsid w:val="005F7AD4"/>
    <w:rsid w:val="0060001F"/>
    <w:rsid w:val="0060026F"/>
    <w:rsid w:val="006002A0"/>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938"/>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BAF"/>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2805"/>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48A3"/>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808"/>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3C71"/>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A2C"/>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01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6E3"/>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2F82"/>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09F5"/>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6BA6"/>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1ED4"/>
    <w:rsid w:val="00BC250E"/>
    <w:rsid w:val="00BC30AA"/>
    <w:rsid w:val="00BC32C9"/>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98E"/>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C52"/>
    <w:rsid w:val="00C71FD4"/>
    <w:rsid w:val="00C731DC"/>
    <w:rsid w:val="00C7372B"/>
    <w:rsid w:val="00C73907"/>
    <w:rsid w:val="00C73F83"/>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1E70"/>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C2"/>
    <w:rsid w:val="00CD2AE3"/>
    <w:rsid w:val="00CD491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0F45"/>
    <w:rsid w:val="00CE1592"/>
    <w:rsid w:val="00CE234D"/>
    <w:rsid w:val="00CE40D0"/>
    <w:rsid w:val="00CE4301"/>
    <w:rsid w:val="00CE468E"/>
    <w:rsid w:val="00CE46FC"/>
    <w:rsid w:val="00CE481E"/>
    <w:rsid w:val="00CE4AA8"/>
    <w:rsid w:val="00CE657B"/>
    <w:rsid w:val="00CF2B2D"/>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D9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3086"/>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3A7"/>
    <w:rsid w:val="00E43B4A"/>
    <w:rsid w:val="00E43C17"/>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76B48"/>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367"/>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7E"/>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DE0"/>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 w:type="table" w:customStyle="1" w:styleId="Tablaconcuadrcula21111">
    <w:name w:val="Tabla con cuadrícula21111"/>
    <w:basedOn w:val="Tablanormal"/>
    <w:next w:val="Tablaconcuadrcula"/>
    <w:uiPriority w:val="39"/>
    <w:rsid w:val="00E433A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0005617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1336174">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8269397">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88264120">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884425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1389106.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336146.pag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files.coacalco.gob.mx/GACETA7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2B56E-8A02-48E5-AB87-9BC9B1342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30</Pages>
  <Words>4715</Words>
  <Characters>25934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19</cp:revision>
  <cp:lastPrinted>2021-10-06T19:46:00Z</cp:lastPrinted>
  <dcterms:created xsi:type="dcterms:W3CDTF">2022-04-05T00:35:00Z</dcterms:created>
  <dcterms:modified xsi:type="dcterms:W3CDTF">2022-05-17T18:52:00Z</dcterms:modified>
</cp:coreProperties>
</file>