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primero de junio de dos mil veintidós. </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03164/INFOEM/IP/RR/2022</w:t>
      </w:r>
      <w:r>
        <w:rPr>
          <w:rFonts w:ascii="Palatino Linotype" w:eastAsia="Palatino Linotype" w:hAnsi="Palatino Linotype" w:cs="Palatino Linotype"/>
        </w:rPr>
        <w:t xml:space="preserve">, interpuesto por </w:t>
      </w:r>
      <w:r w:rsidR="002D73D9">
        <w:rPr>
          <w:rFonts w:ascii="Palatino Linotype" w:eastAsia="Palatino Linotype" w:hAnsi="Palatino Linotype" w:cs="Palatino Linotype"/>
          <w:b/>
        </w:rPr>
        <w:t>XXXXX XXXXX XXXXX XXXXXX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Coacalco de Berriozábal,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C8730C" w:rsidRDefault="00D23B6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ocho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00052/COACALCO/IP/2022, </w:t>
      </w:r>
      <w:r>
        <w:rPr>
          <w:rFonts w:ascii="Palatino Linotype" w:eastAsia="Palatino Linotype" w:hAnsi="Palatino Linotype" w:cs="Palatino Linotype"/>
        </w:rPr>
        <w:t xml:space="preserve">mediante la cual requirió la información siguiente: </w:t>
      </w:r>
    </w:p>
    <w:p w:rsidR="00C8730C"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“STIMADO (A) TITULAR DE LA UNIDAD DE TRANSPARENCIA POR ESTE MEDIO SOLICITO SE ME PROPORCIONE COPIA DE LOS CERTIFICADOS DE COMPETENCIA LABORAL, ASÍ COMO TELÉFONO Y CORREO INSTITUCIONAL DE LOS SIGUIENTES SERVIDORES PÚBLICOS: SECRETARIO DEL AYUNTAMIENTO • TESORERO MUNICIPAL • CONTRALOR MUNICIPAL • DIRECTOR DE OBRAS PÚBLICAS O EQUIVALENTE • DIRECTOR DE DESARROLLO URBANO O EQUIVALENTE • TITULAR O EQUIVALENTE DE LA OFICIALÍA </w:t>
      </w:r>
      <w:r>
        <w:rPr>
          <w:rFonts w:ascii="Palatino Linotype" w:eastAsia="Palatino Linotype" w:hAnsi="Palatino Linotype" w:cs="Palatino Linotype"/>
          <w:i/>
          <w:sz w:val="22"/>
          <w:szCs w:val="22"/>
        </w:rPr>
        <w:lastRenderedPageBreak/>
        <w:t>MEDIADORA-CALIFICADORA. TITULAR O EQUIVALENTE DE LA DEFENSORÍA MUNICIPAL DE DERECHOS HUMANOS. TITULAR O EQUIVALENTE DE CATASTRO. TITULAR O EQUIVALENTE DE MEJORA REGULATORIA. • TITULAR DE LA UNIDAD DE TRANSPARENCIA Y ACCESO A LA INFORMACIÓN O EQUIVALENTE AGRADEZCO LA ATENCIÓN AL PRESENTE (Sic)</w:t>
      </w:r>
    </w:p>
    <w:p w:rsidR="00C8730C" w:rsidRDefault="00C8730C">
      <w:pPr>
        <w:spacing w:line="360" w:lineRule="auto"/>
        <w:jc w:val="both"/>
        <w:rPr>
          <w:rFonts w:ascii="Palatino Linotype" w:eastAsia="Palatino Linotype" w:hAnsi="Palatino Linotype" w:cs="Palatino Linotype"/>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C8730C" w:rsidRDefault="00C8730C">
      <w:pPr>
        <w:spacing w:line="360" w:lineRule="auto"/>
        <w:jc w:val="both"/>
        <w:rPr>
          <w:rFonts w:ascii="Palatino Linotype" w:eastAsia="Palatino Linotype" w:hAnsi="Palatino Linotype" w:cs="Palatino Linotype"/>
        </w:rPr>
      </w:pPr>
    </w:p>
    <w:p w:rsidR="00C8730C" w:rsidRDefault="00D23B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primero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C8730C" w:rsidRDefault="00D23B6E">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53 Fracción II y 163 de la Ley de Transparencia y Acceso a la Información Pública del Estado de México y Municipios, se da respuesta a la presente solicitud con el oficio que emite la Dirección de Administración y del cual se anexa copia, así como la respuesta integradora por parte de la Unidad de Transparencia cumpliendo en tiempo y forma con lo solicitado...” (Sic)</w:t>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siguientes archivos:</w:t>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w:t>
      </w:r>
      <w:hyperlink r:id="rId8">
        <w:r>
          <w:rPr>
            <w:rFonts w:ascii="Palatino Linotype" w:eastAsia="Palatino Linotype" w:hAnsi="Palatino Linotype" w:cs="Palatino Linotype"/>
          </w:rPr>
          <w:t>CONTESTACION DE ADMON 00052_2022.pdf</w:t>
        </w:r>
      </w:hyperlink>
      <w:r>
        <w:rPr>
          <w:rFonts w:ascii="Palatino Linotype" w:eastAsia="Palatino Linotype" w:hAnsi="Palatino Linotype" w:cs="Palatino Linotype"/>
        </w:rPr>
        <w:t>”, el cual contiene la respuesta de la Dirección Administración del Ayuntamiento de Coacalco de Berriozábal, a través del cual señaló que los servidores públicos de esta administración se encuentran dentro del periodo para obtener la certificación de competencia laboral, de acuerdo al fundamento de la Ley Orgánica Municipal.</w:t>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proporcionó el nombre, teléfono y correo electrónico del Titular Tesorería, Secretaría del Ayuntamiento, Obras Públicas, Desarrollo Urbano, mejora </w:t>
      </w:r>
      <w:r>
        <w:rPr>
          <w:rFonts w:ascii="Palatino Linotype" w:eastAsia="Palatino Linotype" w:hAnsi="Palatino Linotype" w:cs="Palatino Linotype"/>
        </w:rPr>
        <w:lastRenderedPageBreak/>
        <w:t>regulatoria, contraloría, derechos humanos y transparencia, como se advierte a continuación:</w:t>
      </w:r>
    </w:p>
    <w:p w:rsidR="00C8730C" w:rsidRDefault="00D23B6E">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412446" cy="6323162"/>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l="43021" t="17156" r="23997" b="2829"/>
                    <a:stretch>
                      <a:fillRect/>
                    </a:stretch>
                  </pic:blipFill>
                  <pic:spPr>
                    <a:xfrm>
                      <a:off x="0" y="0"/>
                      <a:ext cx="5412446" cy="6323162"/>
                    </a:xfrm>
                    <a:prstGeom prst="rect">
                      <a:avLst/>
                    </a:prstGeom>
                    <a:ln/>
                  </pic:spPr>
                </pic:pic>
              </a:graphicData>
            </a:graphic>
          </wp:inline>
        </w:drawing>
      </w:r>
    </w:p>
    <w:p w:rsidR="00C8730C" w:rsidRDefault="00D23B6E">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237835" cy="1687315"/>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6248" t="30371" r="12777" b="43880"/>
                    <a:stretch>
                      <a:fillRect/>
                    </a:stretch>
                  </pic:blipFill>
                  <pic:spPr>
                    <a:xfrm>
                      <a:off x="0" y="0"/>
                      <a:ext cx="5237835" cy="1687315"/>
                    </a:xfrm>
                    <a:prstGeom prst="rect">
                      <a:avLst/>
                    </a:prstGeom>
                    <a:ln/>
                  </pic:spPr>
                </pic:pic>
              </a:graphicData>
            </a:graphic>
          </wp:inline>
        </w:drawing>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RESPUESTA AL SOLICITANTE 00052_2022.pdf</w:t>
        </w:r>
      </w:hyperlink>
      <w:r>
        <w:rPr>
          <w:rFonts w:ascii="Palatino Linotype" w:eastAsia="Palatino Linotype" w:hAnsi="Palatino Linotype" w:cs="Palatino Linotype"/>
        </w:rPr>
        <w:t xml:space="preserve">”, el cual contiene el oficio del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del cual informó al solicitante la respuesta otorgada por el Servidor Público Habilitado de la Dirección de Administración.</w:t>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C8730C" w:rsidRDefault="00D23B6E">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DEFICIENCIA O INSUFICIENCIA DE LA FUNDAMENTACIÓN Y DE LA MOTIVACIÓN EN LA RESPUESTA” (Sic)</w:t>
      </w:r>
    </w:p>
    <w:p w:rsidR="00C8730C" w:rsidRDefault="00C8730C">
      <w:pPr>
        <w:ind w:left="851" w:right="902"/>
        <w:jc w:val="both"/>
        <w:rPr>
          <w:rFonts w:ascii="Palatino Linotype" w:eastAsia="Palatino Linotype" w:hAnsi="Palatino Linotype" w:cs="Palatino Linotype"/>
          <w:i/>
          <w:sz w:val="22"/>
          <w:szCs w:val="22"/>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C8730C" w:rsidRDefault="00D23B6E">
      <w:pPr>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“DEFICIENCIA O INSUFICIENCIA EN LA FUNDAMENTACIÓN DE LA RESPUESTA QUE ME ENTREGARON, YA QUE LA MISMA CARECE DE MOTIVACIÓN Y POR ENDE NO COMPRENDO EL MOTIVO POR EL CUAL NO ME PUEDEN HACER ENTREGA DE LA INFORMACIÓN SOLICITADA.” (Sic)</w:t>
      </w:r>
    </w:p>
    <w:p w:rsidR="00C8730C" w:rsidRDefault="00C8730C">
      <w:pPr>
        <w:ind w:left="851" w:right="902"/>
        <w:jc w:val="both"/>
        <w:rPr>
          <w:rFonts w:ascii="Palatino Linotype" w:eastAsia="Palatino Linotype" w:hAnsi="Palatino Linotype" w:cs="Palatino Linotype"/>
          <w:i/>
          <w:sz w:val="22"/>
          <w:szCs w:val="22"/>
        </w:rPr>
      </w:pPr>
    </w:p>
    <w:p w:rsidR="00C8730C" w:rsidRDefault="00D23B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C8730C" w:rsidRDefault="00C8730C">
      <w:pPr>
        <w:spacing w:line="360" w:lineRule="auto"/>
        <w:ind w:right="51"/>
        <w:jc w:val="both"/>
        <w:rPr>
          <w:rFonts w:ascii="Palatino Linotype" w:eastAsia="Palatino Linotype" w:hAnsi="Palatino Linotype" w:cs="Palatino Linotype"/>
        </w:rPr>
      </w:pPr>
    </w:p>
    <w:p w:rsidR="00C8730C" w:rsidRDefault="00D23B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ocho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C8730C" w:rsidRDefault="00D23B6E">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diecisiete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 informe justificado, mediante los siguientes archivos electrónicos:</w:t>
      </w:r>
    </w:p>
    <w:p w:rsidR="00FF241D" w:rsidRDefault="00D23B6E" w:rsidP="00FF241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2">
        <w:r>
          <w:rPr>
            <w:rFonts w:ascii="Palatino Linotype" w:eastAsia="Palatino Linotype" w:hAnsi="Palatino Linotype" w:cs="Palatino Linotype"/>
          </w:rPr>
          <w:t>RESPUESTA AL SOLICITANTE 03164_2022.pdf</w:t>
        </w:r>
      </w:hyperlink>
      <w:r w:rsidR="00FF241D">
        <w:rPr>
          <w:rFonts w:ascii="Palatino Linotype" w:eastAsia="Palatino Linotype" w:hAnsi="Palatino Linotype" w:cs="Palatino Linotype"/>
        </w:rPr>
        <w:t xml:space="preserve">”, el cual contiene el oficio del Titular de la Unidad de Transparencia del </w:t>
      </w:r>
      <w:r w:rsidR="00FF241D">
        <w:rPr>
          <w:rFonts w:ascii="Palatino Linotype" w:eastAsia="Palatino Linotype" w:hAnsi="Palatino Linotype" w:cs="Palatino Linotype"/>
          <w:b/>
        </w:rPr>
        <w:t>SUJETO OBLIGADO</w:t>
      </w:r>
      <w:r w:rsidR="00FF241D">
        <w:rPr>
          <w:rFonts w:ascii="Palatino Linotype" w:eastAsia="Palatino Linotype" w:hAnsi="Palatino Linotype" w:cs="Palatino Linotype"/>
        </w:rPr>
        <w:t>, a través del cual informó al solicitante el informe justificado del Servidor Público Habilitado de la Dirección de Administración.</w:t>
      </w:r>
    </w:p>
    <w:p w:rsidR="00FF241D" w:rsidRDefault="00D23B6E" w:rsidP="00FF241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13">
        <w:r>
          <w:rPr>
            <w:rFonts w:ascii="Palatino Linotype" w:eastAsia="Palatino Linotype" w:hAnsi="Palatino Linotype" w:cs="Palatino Linotype"/>
          </w:rPr>
          <w:t>CONTESTACION ADMON RR_03164_2022.pdf</w:t>
        </w:r>
      </w:hyperlink>
      <w:r>
        <w:rPr>
          <w:rFonts w:ascii="Palatino Linotype" w:eastAsia="Palatino Linotype" w:hAnsi="Palatino Linotype" w:cs="Palatino Linotype"/>
        </w:rPr>
        <w:t xml:space="preserve">”, </w:t>
      </w:r>
      <w:r w:rsidR="00FF241D">
        <w:rPr>
          <w:rFonts w:ascii="Palatino Linotype" w:eastAsia="Palatino Linotype" w:hAnsi="Palatino Linotype" w:cs="Palatino Linotype"/>
        </w:rPr>
        <w:t xml:space="preserve">el cual corresponde al informe justificado de la Dirección de Administración del </w:t>
      </w:r>
      <w:r w:rsidR="00FF241D" w:rsidRPr="00FF241D">
        <w:rPr>
          <w:rFonts w:ascii="Palatino Linotype" w:eastAsia="Palatino Linotype" w:hAnsi="Palatino Linotype" w:cs="Palatino Linotype"/>
          <w:b/>
        </w:rPr>
        <w:t>SUJETO OBLIGADO</w:t>
      </w:r>
      <w:r w:rsidR="00FF241D">
        <w:rPr>
          <w:rFonts w:ascii="Palatino Linotype" w:eastAsia="Palatino Linotype" w:hAnsi="Palatino Linotype" w:cs="Palatino Linotype"/>
        </w:rPr>
        <w:t>, en donde señalo en lo medular el fundamento legal de su respuesta, como se observa a continuación:</w:t>
      </w:r>
    </w:p>
    <w:p w:rsidR="00FF241D" w:rsidRDefault="00FF241D" w:rsidP="00FF241D">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14:anchorId="3F4DE7BE" wp14:editId="2AC02DE8">
            <wp:extent cx="5462842" cy="6005779"/>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325" t="20865" r="23613"/>
                    <a:stretch/>
                  </pic:blipFill>
                  <pic:spPr bwMode="auto">
                    <a:xfrm>
                      <a:off x="0" y="0"/>
                      <a:ext cx="5483725" cy="6028738"/>
                    </a:xfrm>
                    <a:prstGeom prst="rect">
                      <a:avLst/>
                    </a:prstGeom>
                    <a:ln>
                      <a:noFill/>
                    </a:ln>
                    <a:extLst>
                      <a:ext uri="{53640926-AAD7-44D8-BBD7-CCE9431645EC}">
                        <a14:shadowObscured xmlns:a14="http://schemas.microsoft.com/office/drawing/2010/main"/>
                      </a:ext>
                    </a:extLst>
                  </pic:spPr>
                </pic:pic>
              </a:graphicData>
            </a:graphic>
          </wp:inline>
        </w:drawing>
      </w:r>
    </w:p>
    <w:p w:rsidR="00FF241D" w:rsidRDefault="00FF241D" w:rsidP="00FF241D">
      <w:pPr>
        <w:spacing w:after="240" w:line="360" w:lineRule="auto"/>
        <w:jc w:val="both"/>
        <w:rPr>
          <w:rFonts w:ascii="Palatino Linotype" w:eastAsia="Palatino Linotype" w:hAnsi="Palatino Linotype" w:cs="Palatino Linotype"/>
        </w:rPr>
      </w:pPr>
      <w:r>
        <w:rPr>
          <w:noProof/>
          <w:lang w:val="es-MX"/>
        </w:rPr>
        <w:lastRenderedPageBreak/>
        <w:drawing>
          <wp:inline distT="0" distB="0" distL="0" distR="0" wp14:anchorId="29ADD481" wp14:editId="0CBE2DB0">
            <wp:extent cx="5433907" cy="373075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280" t="15997" r="21660" b="10027"/>
                    <a:stretch/>
                  </pic:blipFill>
                  <pic:spPr bwMode="auto">
                    <a:xfrm>
                      <a:off x="0" y="0"/>
                      <a:ext cx="5458200" cy="3747431"/>
                    </a:xfrm>
                    <a:prstGeom prst="rect">
                      <a:avLst/>
                    </a:prstGeom>
                    <a:ln>
                      <a:noFill/>
                    </a:ln>
                    <a:extLst>
                      <a:ext uri="{53640926-AAD7-44D8-BBD7-CCE9431645EC}">
                        <a14:shadowObscured xmlns:a14="http://schemas.microsoft.com/office/drawing/2010/main"/>
                      </a:ext>
                    </a:extLst>
                  </pic:spPr>
                </pic:pic>
              </a:graphicData>
            </a:graphic>
          </wp:inline>
        </w:drawing>
      </w:r>
    </w:p>
    <w:p w:rsidR="00FF241D" w:rsidRDefault="00FF241D" w:rsidP="00FF241D">
      <w:pPr>
        <w:spacing w:after="240" w:line="360" w:lineRule="auto"/>
        <w:jc w:val="both"/>
        <w:rPr>
          <w:rFonts w:ascii="Palatino Linotype" w:eastAsia="Palatino Linotype" w:hAnsi="Palatino Linotype" w:cs="Palatino Linotype"/>
        </w:rPr>
      </w:pPr>
      <w:r>
        <w:rPr>
          <w:noProof/>
          <w:lang w:val="es-MX"/>
        </w:rPr>
        <w:drawing>
          <wp:inline distT="0" distB="0" distL="0" distR="0" wp14:anchorId="626F81AB" wp14:editId="0980E8FD">
            <wp:extent cx="5483447" cy="1777594"/>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62" t="32457" r="2873" b="37630"/>
                    <a:stretch/>
                  </pic:blipFill>
                  <pic:spPr bwMode="auto">
                    <a:xfrm>
                      <a:off x="0" y="0"/>
                      <a:ext cx="5527469" cy="1791865"/>
                    </a:xfrm>
                    <a:prstGeom prst="rect">
                      <a:avLst/>
                    </a:prstGeom>
                    <a:ln>
                      <a:noFill/>
                    </a:ln>
                    <a:extLst>
                      <a:ext uri="{53640926-AAD7-44D8-BBD7-CCE9431645EC}">
                        <a14:shadowObscured xmlns:a14="http://schemas.microsoft.com/office/drawing/2010/main"/>
                      </a:ext>
                    </a:extLst>
                  </pic:spPr>
                </pic:pic>
              </a:graphicData>
            </a:graphic>
          </wp:inline>
        </w:drawing>
      </w:r>
    </w:p>
    <w:p w:rsidR="00C8730C" w:rsidRDefault="00FF241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D23B6E">
        <w:rPr>
          <w:rFonts w:ascii="Palatino Linotype" w:eastAsia="Palatino Linotype" w:hAnsi="Palatino Linotype" w:cs="Palatino Linotype"/>
        </w:rPr>
        <w:t>“</w:t>
      </w:r>
      <w:hyperlink r:id="rId17">
        <w:r w:rsidR="00D23B6E">
          <w:rPr>
            <w:rFonts w:ascii="Palatino Linotype" w:eastAsia="Palatino Linotype" w:hAnsi="Palatino Linotype" w:cs="Palatino Linotype"/>
          </w:rPr>
          <w:t>RR_03164_2022.pdf</w:t>
        </w:r>
      </w:hyperlink>
      <w:r w:rsidR="00D23B6E">
        <w:rPr>
          <w:rFonts w:ascii="Palatino Linotype" w:eastAsia="Palatino Linotype" w:hAnsi="Palatino Linotype" w:cs="Palatino Linotype"/>
        </w:rPr>
        <w:t xml:space="preserve">”, el cual contiene el informe justificado del </w:t>
      </w:r>
      <w:r w:rsidR="00D23B6E" w:rsidRPr="00FF241D">
        <w:rPr>
          <w:rFonts w:ascii="Palatino Linotype" w:eastAsia="Palatino Linotype" w:hAnsi="Palatino Linotype" w:cs="Palatino Linotype"/>
          <w:b/>
        </w:rPr>
        <w:t>SUJETO OBLIGADO</w:t>
      </w:r>
      <w:r w:rsidR="00D23B6E">
        <w:rPr>
          <w:rFonts w:ascii="Palatino Linotype" w:eastAsia="Palatino Linotype" w:hAnsi="Palatino Linotype" w:cs="Palatino Linotype"/>
        </w:rPr>
        <w:t xml:space="preserve">, a través del cual </w:t>
      </w:r>
      <w:r>
        <w:rPr>
          <w:rFonts w:ascii="Palatino Linotype" w:eastAsia="Palatino Linotype" w:hAnsi="Palatino Linotype" w:cs="Palatino Linotype"/>
        </w:rPr>
        <w:t>señaló sustancialmente los manifestado por su Dirección de Administración</w:t>
      </w:r>
      <w:r w:rsidR="00D23B6E">
        <w:rPr>
          <w:rFonts w:ascii="Palatino Linotype" w:eastAsia="Palatino Linotype" w:hAnsi="Palatino Linotype" w:cs="Palatino Linotype"/>
        </w:rPr>
        <w:t xml:space="preserve">. </w:t>
      </w:r>
    </w:p>
    <w:p w:rsidR="00C8730C" w:rsidRDefault="00D23B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C8730C" w:rsidRDefault="00D23B6E">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dieciséis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veintitrés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8730C" w:rsidRDefault="00D23B6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C8730C" w:rsidRDefault="00C8730C">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w:t>
      </w:r>
      <w:bookmarkStart w:id="3" w:name="_GoBack"/>
      <w:r>
        <w:rPr>
          <w:rFonts w:ascii="Palatino Linotype" w:eastAsia="Palatino Linotype" w:hAnsi="Palatino Linotype" w:cs="Palatino Linotype"/>
        </w:rPr>
        <w:t>Mex</w:t>
      </w:r>
      <w:bookmarkEnd w:id="3"/>
      <w:r>
        <w:rPr>
          <w:rFonts w:ascii="Palatino Linotype" w:eastAsia="Palatino Linotype" w:hAnsi="Palatino Linotype" w:cs="Palatino Linotype"/>
        </w:rPr>
        <w:t>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8730C"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C8730C" w:rsidRDefault="00D23B6E">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primero de marzo de dos mil veintidós,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esto es, al primer día hábil en que tuvo conocimiento de la respuesta impugnada.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se identificó como “</w:t>
      </w:r>
      <w:r w:rsidR="002D73D9">
        <w:rPr>
          <w:rFonts w:ascii="Palatino Linotype" w:eastAsia="Palatino Linotype" w:hAnsi="Palatino Linotype" w:cs="Palatino Linotype"/>
          <w:b/>
        </w:rPr>
        <w:t>XXXXX XXXXX XXXXX XXXX</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8730C" w:rsidRDefault="00D23B6E">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Las solicitudes </w:t>
      </w:r>
      <w:r>
        <w:rPr>
          <w:rFonts w:ascii="Palatino Linotype" w:eastAsia="Palatino Linotype" w:hAnsi="Palatino Linotype" w:cs="Palatino Linotype"/>
          <w:i/>
        </w:rPr>
        <w:t xml:space="preserve">anónimas, con </w:t>
      </w:r>
      <w:r>
        <w:rPr>
          <w:rFonts w:ascii="Palatino Linotype" w:eastAsia="Palatino Linotype" w:hAnsi="Palatino Linotype" w:cs="Palatino Linotype"/>
          <w:b/>
          <w:i/>
        </w:rPr>
        <w:t>nombre incompleto o seudónimo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w:t>
      </w:r>
      <w:r>
        <w:rPr>
          <w:rFonts w:ascii="Palatino Linotype" w:eastAsia="Palatino Linotype" w:hAnsi="Palatino Linotype" w:cs="Palatino Linotype"/>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acuerdo al artículo 179, fracción XIII de la Ley de Transparencia y Acceso a la Información Pública del Estado de México y Municipios; que a la letra dice:</w:t>
      </w:r>
    </w:p>
    <w:p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XIII. La falta, deficiencia o insuficiencia de la fundamentación y/o motivación en la respuesta…” (Sic)</w:t>
      </w:r>
    </w:p>
    <w:p w:rsidR="00FF241D" w:rsidRDefault="00FF241D" w:rsidP="00FF241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Análisis de las causales de improcedencia y sobreseimiento.  </w:t>
      </w:r>
      <w:r>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241D" w:rsidRDefault="00FF241D" w:rsidP="00FF24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w:t>
      </w:r>
      <w:r>
        <w:rPr>
          <w:rFonts w:ascii="Palatino Linotype" w:eastAsia="Palatino Linotype" w:hAnsi="Palatino Linotype" w:cs="Palatino Linotype"/>
        </w:rPr>
        <w:lastRenderedPageBreak/>
        <w:t>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Del análisis de la solicitud de información pública que motivó el recurso de revisión que ahora se resuelve, se advierte que el particular requirió al Ayuntamiento de Coacalco de Berriozábal; de su Secretario del Ayuntamiento, Tesorero Municipal, Contralor Municipal, Director de Obras Públicas o equivalente, Director de Desarrollo Urbano o equivalente, Titular o equivalente de la Oficialía Mediadora-Calificadora, titular o equivalente de la Defensoría Municipal de Derechos Humanos, titular o equivalente de Catastro, titular o equivalente de Mejora Regulatoria y titular de la Unidad de Transparencia y Acceso a la información o equivalente, copia de lo siguiente:</w:t>
      </w:r>
    </w:p>
    <w:p w:rsidR="00C8730C" w:rsidRDefault="00D23B6E">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Certificados de Competencia Laboral;</w:t>
      </w:r>
    </w:p>
    <w:p w:rsidR="00C8730C" w:rsidRDefault="00D23B6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Teléfono; y </w:t>
      </w:r>
    </w:p>
    <w:p w:rsidR="00C8730C" w:rsidRDefault="00D23B6E">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Correo Institucional</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la Dirección Administración del Ayuntamiento de Coacalco de Berriozábal, a través </w:t>
      </w:r>
      <w:r>
        <w:rPr>
          <w:rFonts w:ascii="Palatino Linotype" w:eastAsia="Palatino Linotype" w:hAnsi="Palatino Linotype" w:cs="Palatino Linotype"/>
        </w:rPr>
        <w:lastRenderedPageBreak/>
        <w:t>del cual señaló que los servidores públicos de esta administración se encuentran dentro del periodo para obtener la certificación de competencia laboral, de acuerdo al fundament</w:t>
      </w:r>
      <w:r w:rsidR="00FF241D">
        <w:rPr>
          <w:rFonts w:ascii="Palatino Linotype" w:eastAsia="Palatino Linotype" w:hAnsi="Palatino Linotype" w:cs="Palatino Linotype"/>
        </w:rPr>
        <w:t>o de la Ley Orgánica Municipal, sin señalar el precepto legal en donde sustentó su manifestación.</w:t>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otra parte, proporcionó el nombre, teléfono y correo electrónico del Titular Tesorería, Secretaría del Ayuntamiento, Obras Públicas, Desarrollo Urbano, mejora regulatoria, contraloría, derechos humanos y transparencia, como se advierte a continuación:</w:t>
      </w:r>
    </w:p>
    <w:p w:rsidR="00C8730C" w:rsidRDefault="00D23B6E">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237835" cy="1687315"/>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6248" t="30371" r="12777" b="43880"/>
                    <a:stretch>
                      <a:fillRect/>
                    </a:stretch>
                  </pic:blipFill>
                  <pic:spPr>
                    <a:xfrm>
                      <a:off x="0" y="0"/>
                      <a:ext cx="5237835" cy="1687315"/>
                    </a:xfrm>
                    <a:prstGeom prst="rect">
                      <a:avLst/>
                    </a:prstGeom>
                    <a:ln/>
                  </pic:spPr>
                </pic:pic>
              </a:graphicData>
            </a:graphic>
          </wp:inline>
        </w:drawing>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 respuesta el solicitante se inconformó, por la “DEFICIENCIA O INSUFICIENCIA EN LA FUNDAMENTACIÓN DE LA RESPUESTA QUE ME ENTREGARON, YA QUE LA MISMA CARECE DE MOTIVACIÓN Y POR ENDE </w:t>
      </w:r>
      <w:r>
        <w:rPr>
          <w:rFonts w:ascii="Palatino Linotype" w:eastAsia="Palatino Linotype" w:hAnsi="Palatino Linotype" w:cs="Palatino Linotype"/>
          <w:u w:val="single"/>
        </w:rPr>
        <w:t>NO COMPRENDO EL MOTIVO POR EL CUAL NO ME PUEDEN HACER ENTREGA DE LA INFORMACIÓN SOLICITADA</w:t>
      </w:r>
      <w:r>
        <w:rPr>
          <w:rFonts w:ascii="Palatino Linotype" w:eastAsia="Palatino Linotype" w:hAnsi="Palatino Linotype" w:cs="Palatino Linotype"/>
        </w:rPr>
        <w:t>.” (Sic)</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donde en lo medular </w:t>
      </w:r>
      <w:r w:rsidR="00763B55">
        <w:rPr>
          <w:rFonts w:ascii="Palatino Linotype" w:eastAsia="Palatino Linotype" w:hAnsi="Palatino Linotype" w:cs="Palatino Linotype"/>
        </w:rPr>
        <w:t xml:space="preserve">señaló que el fundamento legal de los servidores públicos de esta administración que se encuentran dentro del periodo </w:t>
      </w:r>
      <w:r w:rsidR="00763B55">
        <w:rPr>
          <w:rFonts w:ascii="Palatino Linotype" w:eastAsia="Palatino Linotype" w:hAnsi="Palatino Linotype" w:cs="Palatino Linotype"/>
        </w:rPr>
        <w:lastRenderedPageBreak/>
        <w:t>para obtener la certificación de competencia laboral, es en términos de lo señalado por los artículos 96, 96 Ter, 96 Quintus, 96 Septies, 96 Nonies y 113 de la Ley Orgánica Municipal, subrayando lo siguiente:</w:t>
      </w:r>
    </w:p>
    <w:p w:rsidR="00763B55" w:rsidRDefault="00763B55">
      <w:pPr>
        <w:spacing w:before="240" w:after="240" w:line="360" w:lineRule="auto"/>
        <w:jc w:val="both"/>
        <w:rPr>
          <w:rFonts w:ascii="Palatino Linotype" w:eastAsia="Palatino Linotype" w:hAnsi="Palatino Linotype" w:cs="Palatino Linotype"/>
        </w:rPr>
      </w:pPr>
      <w:r>
        <w:rPr>
          <w:noProof/>
          <w:lang w:val="es-MX"/>
        </w:rPr>
        <w:drawing>
          <wp:inline distT="0" distB="0" distL="0" distR="0" wp14:anchorId="09B81C04" wp14:editId="1D78847E">
            <wp:extent cx="5690870" cy="72420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198" t="55177" r="17353" b="35544"/>
                    <a:stretch/>
                  </pic:blipFill>
                  <pic:spPr bwMode="auto">
                    <a:xfrm>
                      <a:off x="0" y="0"/>
                      <a:ext cx="5741380" cy="730633"/>
                    </a:xfrm>
                    <a:prstGeom prst="rect">
                      <a:avLst/>
                    </a:prstGeom>
                    <a:ln>
                      <a:noFill/>
                    </a:ln>
                    <a:extLst>
                      <a:ext uri="{53640926-AAD7-44D8-BBD7-CCE9431645EC}">
                        <a14:shadowObscured xmlns:a14="http://schemas.microsoft.com/office/drawing/2010/main"/>
                      </a:ext>
                    </a:extLst>
                  </pic:spPr>
                </pic:pic>
              </a:graphicData>
            </a:graphic>
          </wp:inline>
        </w:drawing>
      </w:r>
    </w:p>
    <w:p w:rsidR="00C8730C" w:rsidRDefault="00D23B6E">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Precisado lo anterior, respecto de las certificaciones de competencia laboral, el artículo 32 fracción IV de la Ley Orgánica Municipal del Estado de México, señala lo conducente:</w:t>
      </w:r>
    </w:p>
    <w:p w:rsidR="00C8730C" w:rsidRDefault="00D23B6E">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(Sic)</w:t>
      </w:r>
    </w:p>
    <w:p w:rsidR="00C8730C" w:rsidRDefault="00C8730C">
      <w:pPr>
        <w:ind w:left="851" w:right="902"/>
        <w:jc w:val="both"/>
        <w:rPr>
          <w:rFonts w:ascii="Palatino Linotype" w:eastAsia="Palatino Linotype" w:hAnsi="Palatino Linotype" w:cs="Palatino Linotype"/>
          <w:i/>
          <w:sz w:val="22"/>
          <w:szCs w:val="22"/>
        </w:rPr>
      </w:pPr>
    </w:p>
    <w:p w:rsidR="00C8730C" w:rsidRDefault="00D23B6E">
      <w:pPr>
        <w:pBdr>
          <w:top w:val="nil"/>
          <w:left w:val="nil"/>
          <w:bottom w:val="nil"/>
          <w:right w:val="nil"/>
          <w:between w:val="nil"/>
        </w:pBdr>
        <w:spacing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color w:val="000000"/>
        </w:rPr>
        <w:t>De lo anterior se advierte que se debe contar con certificación de competencia laboral en la materia para ocupar los cargos de Secretario</w:t>
      </w:r>
      <w:r w:rsidR="00F6574D">
        <w:rPr>
          <w:rFonts w:ascii="Palatino Linotype" w:eastAsia="Palatino Linotype" w:hAnsi="Palatino Linotype" w:cs="Palatino Linotype"/>
          <w:color w:val="000000"/>
        </w:rPr>
        <w:t xml:space="preserve"> del Ayuntamiento</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Tesorero</w:t>
      </w:r>
      <w:r w:rsidR="00F6574D">
        <w:rPr>
          <w:rFonts w:ascii="Palatino Linotype" w:eastAsia="Palatino Linotype" w:hAnsi="Palatino Linotype" w:cs="Palatino Linotype"/>
        </w:rPr>
        <w:t xml:space="preserve"> Municipal</w:t>
      </w:r>
      <w:r>
        <w:rPr>
          <w:rFonts w:ascii="Palatino Linotype" w:eastAsia="Palatino Linotype" w:hAnsi="Palatino Linotype" w:cs="Palatino Linotype"/>
        </w:rPr>
        <w:t xml:space="preserve">, Contralor Municipal, Director de Obras Públicas, Director de </w:t>
      </w:r>
      <w:r>
        <w:rPr>
          <w:rFonts w:ascii="Palatino Linotype" w:eastAsia="Palatino Linotype" w:hAnsi="Palatino Linotype" w:cs="Palatino Linotype"/>
        </w:rPr>
        <w:lastRenderedPageBreak/>
        <w:t xml:space="preserve">Desarrollo Urbano, Coordinador General Municipal de Mejora Regulatoria,  y titulares de unidades administrativas entre ellos en el caso que nos ocupa Titular de la Oficialía Mediadora-Conciliadora, titular o equivalente de la Defensoría </w:t>
      </w:r>
      <w:r w:rsidR="00F6574D">
        <w:rPr>
          <w:rFonts w:ascii="Palatino Linotype" w:eastAsia="Palatino Linotype" w:hAnsi="Palatino Linotype" w:cs="Palatino Linotype"/>
        </w:rPr>
        <w:t xml:space="preserve">Municipal de Derechos Humanos, </w:t>
      </w:r>
      <w:r>
        <w:rPr>
          <w:rFonts w:ascii="Palatino Linotype" w:eastAsia="Palatino Linotype" w:hAnsi="Palatino Linotype" w:cs="Palatino Linotype"/>
        </w:rPr>
        <w:t>titular o equivalente de Catastro</w:t>
      </w:r>
      <w:r w:rsidR="00F6574D">
        <w:rPr>
          <w:rFonts w:ascii="Palatino Linotype" w:eastAsia="Palatino Linotype" w:hAnsi="Palatino Linotype" w:cs="Palatino Linotype"/>
        </w:rPr>
        <w:t xml:space="preserve"> y </w:t>
      </w:r>
      <w:r w:rsidR="00F6574D" w:rsidRPr="00F6574D">
        <w:rPr>
          <w:rFonts w:ascii="Palatino Linotype" w:eastAsia="Palatino Linotype" w:hAnsi="Palatino Linotype" w:cs="Palatino Linotype"/>
        </w:rPr>
        <w:t xml:space="preserve">Titular </w:t>
      </w:r>
      <w:r w:rsidR="00F6574D">
        <w:rPr>
          <w:rFonts w:ascii="Palatino Linotype" w:eastAsia="Palatino Linotype" w:hAnsi="Palatino Linotype" w:cs="Palatino Linotype"/>
        </w:rPr>
        <w:t>de La Unidad de Transparencia y Acceso a l</w:t>
      </w:r>
      <w:r w:rsidR="00F6574D" w:rsidRPr="00F6574D">
        <w:rPr>
          <w:rFonts w:ascii="Palatino Linotype" w:eastAsia="Palatino Linotype" w:hAnsi="Palatino Linotype" w:cs="Palatino Linotype"/>
        </w:rPr>
        <w:t>a Información</w:t>
      </w:r>
      <w:r w:rsidR="00F6574D">
        <w:rPr>
          <w:rFonts w:ascii="Palatino Linotype" w:eastAsia="Palatino Linotype" w:hAnsi="Palatino Linotype" w:cs="Palatino Linotype"/>
        </w:rPr>
        <w:t xml:space="preserve">, </w:t>
      </w:r>
      <w:r>
        <w:rPr>
          <w:rFonts w:ascii="Palatino Linotype" w:eastAsia="Palatino Linotype" w:hAnsi="Palatino Linotype" w:cs="Palatino Linotype"/>
        </w:rPr>
        <w:t>dichas certificaciones también se establecen en los artículos 81 Bis, 85 Sexies, 92, 96 septies, 113, 96 Ter, 147 I fracción VIII, , Quintus, Septies, Nonies y Undecies de la Ley Orgánica Municipal</w:t>
      </w:r>
      <w:r w:rsidR="00F6574D">
        <w:rPr>
          <w:rFonts w:ascii="Palatino Linotype" w:eastAsia="Palatino Linotype" w:hAnsi="Palatino Linotype" w:cs="Palatino Linotype"/>
        </w:rPr>
        <w:t xml:space="preserve"> del Estado de México y 57 Ley de Transparencia y Acceso a la Información Pública del Estado de México y Municipios</w:t>
      </w:r>
      <w:r>
        <w:rPr>
          <w:rFonts w:ascii="Palatino Linotype" w:eastAsia="Palatino Linotype" w:hAnsi="Palatino Linotype" w:cs="Palatino Linotype"/>
        </w:rPr>
        <w:t xml:space="preserve">, mismos que a manera de resumen establecen lo siguiente: </w:t>
      </w:r>
    </w:p>
    <w:tbl>
      <w:tblPr>
        <w:tblStyle w:val="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C8730C">
        <w:tc>
          <w:tcPr>
            <w:tcW w:w="4414" w:type="dxa"/>
            <w:shd w:val="clear" w:color="auto" w:fill="538135"/>
          </w:tcPr>
          <w:p w:rsidR="00C8730C" w:rsidRDefault="00D23B6E">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Denominación del cargo conforme a la Ley Orgánica Municipal</w:t>
            </w:r>
          </w:p>
        </w:tc>
        <w:tc>
          <w:tcPr>
            <w:tcW w:w="4414" w:type="dxa"/>
            <w:shd w:val="clear" w:color="auto" w:fill="538135"/>
          </w:tcPr>
          <w:p w:rsidR="00C8730C" w:rsidRDefault="00D23B6E">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Requisito conforme a la Ley Orgánica Municipal</w:t>
            </w:r>
          </w:p>
        </w:tc>
      </w:tr>
      <w:tr w:rsidR="00C8730C">
        <w:tc>
          <w:tcPr>
            <w:tcW w:w="4414" w:type="dxa"/>
          </w:tcPr>
          <w:p w:rsidR="00C8730C" w:rsidRDefault="00D23B6E">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Secretario</w:t>
            </w:r>
          </w:p>
        </w:tc>
        <w:tc>
          <w:tcPr>
            <w:tcW w:w="4414" w:type="dxa"/>
          </w:tcPr>
          <w:p w:rsidR="00C8730C" w:rsidRDefault="00D23B6E">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0"/>
                <w:szCs w:val="20"/>
              </w:rPr>
              <w:t xml:space="preserve">Contar con la certificación de competencia laboral </w:t>
            </w:r>
            <w:r>
              <w:rPr>
                <w:rFonts w:ascii="Palatino Linotype" w:eastAsia="Palatino Linotype" w:hAnsi="Palatino Linotype" w:cs="Palatino Linotype"/>
                <w:i/>
                <w:color w:val="000000"/>
                <w:sz w:val="20"/>
                <w:szCs w:val="20"/>
              </w:rPr>
              <w:t xml:space="preserve">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dentro de los seis meses siguientes a la fecha en que inicie funciones</w:t>
            </w:r>
            <w:r>
              <w:rPr>
                <w:rFonts w:ascii="Palatino Linotype" w:eastAsia="Palatino Linotype" w:hAnsi="Palatino Linotype" w:cs="Palatino Linotype"/>
                <w:i/>
                <w:color w:val="000000"/>
                <w:sz w:val="20"/>
                <w:szCs w:val="20"/>
              </w:rPr>
              <w:t>.</w:t>
            </w:r>
          </w:p>
        </w:tc>
      </w:tr>
      <w:tr w:rsidR="00C8730C">
        <w:tc>
          <w:tcPr>
            <w:tcW w:w="4414" w:type="dxa"/>
          </w:tcPr>
          <w:p w:rsidR="00C8730C" w:rsidRDefault="00D23B6E">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Tesorero</w:t>
            </w:r>
          </w:p>
        </w:tc>
        <w:tc>
          <w:tcPr>
            <w:tcW w:w="4414" w:type="dxa"/>
          </w:tcPr>
          <w:p w:rsidR="00C8730C" w:rsidRDefault="00D23B6E">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0"/>
                <w:szCs w:val="20"/>
              </w:rPr>
              <w:t xml:space="preserve">Tener los conocimientos suficientes para poder desempeñar el cargo, a juicio del Ayuntamiento; </w:t>
            </w:r>
            <w:r>
              <w:rPr>
                <w:rFonts w:ascii="Palatino Linotype" w:eastAsia="Palatino Linotype" w:hAnsi="Palatino Linotype" w:cs="Palatino Linotype"/>
                <w:b/>
                <w:i/>
                <w:color w:val="000000"/>
                <w:sz w:val="20"/>
                <w:szCs w:val="20"/>
              </w:rPr>
              <w:t>contar con título profesional en las áreas jurídicas, económicas o contables</w:t>
            </w:r>
            <w:r>
              <w:rPr>
                <w:rFonts w:ascii="Palatino Linotype" w:eastAsia="Palatino Linotype" w:hAnsi="Palatino Linotype" w:cs="Palatino Linotype"/>
                <w:i/>
                <w:color w:val="000000"/>
                <w:sz w:val="20"/>
                <w:szCs w:val="20"/>
              </w:rPr>
              <w:t xml:space="preserve"> administrativas, </w:t>
            </w:r>
            <w:r>
              <w:rPr>
                <w:rFonts w:ascii="Palatino Linotype" w:eastAsia="Palatino Linotype" w:hAnsi="Palatino Linotype" w:cs="Palatino Linotype"/>
                <w:b/>
                <w:i/>
                <w:color w:val="000000"/>
                <w:sz w:val="20"/>
                <w:szCs w:val="20"/>
              </w:rPr>
              <w:t>con experiencia mínima de un año</w:t>
            </w:r>
            <w:r>
              <w:rPr>
                <w:rFonts w:ascii="Palatino Linotype" w:eastAsia="Palatino Linotype" w:hAnsi="Palatino Linotype" w:cs="Palatino Linotype"/>
                <w:i/>
                <w:color w:val="000000"/>
                <w:sz w:val="20"/>
                <w:szCs w:val="20"/>
              </w:rPr>
              <w:t xml:space="preserve">, con anterioridad a la fecha de su designación, </w:t>
            </w:r>
            <w:r>
              <w:rPr>
                <w:rFonts w:ascii="Palatino Linotype" w:eastAsia="Palatino Linotype" w:hAnsi="Palatino Linotype" w:cs="Palatino Linotype"/>
                <w:b/>
                <w:i/>
                <w:color w:val="000000"/>
                <w:sz w:val="20"/>
                <w:szCs w:val="20"/>
              </w:rPr>
              <w:t xml:space="preserve">y con certificación de competencia laboral </w:t>
            </w:r>
            <w:r>
              <w:rPr>
                <w:rFonts w:ascii="Palatino Linotype" w:eastAsia="Palatino Linotype" w:hAnsi="Palatino Linotype" w:cs="Palatino Linotype"/>
                <w:i/>
                <w:color w:val="000000"/>
                <w:sz w:val="20"/>
                <w:szCs w:val="20"/>
              </w:rPr>
              <w:t xml:space="preserve">en funciones expedida por el Instituto Hacendario del </w:t>
            </w:r>
            <w:r>
              <w:rPr>
                <w:rFonts w:ascii="Palatino Linotype" w:eastAsia="Palatino Linotype" w:hAnsi="Palatino Linotype" w:cs="Palatino Linotype"/>
                <w:i/>
                <w:color w:val="000000"/>
                <w:sz w:val="20"/>
                <w:szCs w:val="20"/>
              </w:rPr>
              <w:lastRenderedPageBreak/>
              <w:t xml:space="preserve">Estado de México o por alguna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El requisito de la certificación de competencia laboral, deberá acreditarse dentro de los seis meses siguientes a la fecha en que inicie funciones.</w:t>
            </w:r>
          </w:p>
        </w:tc>
      </w:tr>
      <w:tr w:rsidR="00C8730C">
        <w:tc>
          <w:tcPr>
            <w:tcW w:w="4414" w:type="dxa"/>
          </w:tcPr>
          <w:p w:rsidR="00C8730C" w:rsidRDefault="00D23B6E">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Obras Públicas</w:t>
            </w:r>
          </w:p>
        </w:tc>
        <w:tc>
          <w:tcPr>
            <w:tcW w:w="4414" w:type="dxa"/>
          </w:tcPr>
          <w:p w:rsidR="00C8730C" w:rsidRDefault="00D23B6E">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Obras Públicas o Titular de la Unidad Administrativa equivalente, además de los requisitos del artículo 32 de esta Ley, </w:t>
            </w:r>
            <w:r>
              <w:rPr>
                <w:rFonts w:ascii="Palatino Linotype" w:eastAsia="Palatino Linotype" w:hAnsi="Palatino Linotype" w:cs="Palatino Linotype"/>
                <w:b/>
                <w:i/>
                <w:color w:val="000000"/>
                <w:sz w:val="20"/>
                <w:szCs w:val="20"/>
              </w:rPr>
              <w:t>requiere contar con título profesional en ingeniería, arquitectura o alguna área afín, o contar con una experiencia mínima de un año, con anterioridad a la fecha de su designación.</w:t>
            </w:r>
          </w:p>
          <w:p w:rsidR="00C8730C" w:rsidRDefault="00D23B6E">
            <w:pPr>
              <w:spacing w:before="240" w:after="24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0"/>
                <w:szCs w:val="20"/>
              </w:rPr>
              <w:t xml:space="preserve">Además, deberá acreditar, dentro de los seis meses siguientes a la fecha en que inicie funciones, la certificación de competencia laboral </w:t>
            </w:r>
            <w:r>
              <w:rPr>
                <w:rFonts w:ascii="Palatino Linotype" w:eastAsia="Palatino Linotype" w:hAnsi="Palatino Linotype" w:cs="Palatino Linotype"/>
                <w:i/>
                <w:color w:val="000000"/>
                <w:sz w:val="20"/>
                <w:szCs w:val="20"/>
              </w:rPr>
              <w:t>expedida por el Instituto Hacendario delEstado de México o por alguna otra institución con reconocimiento de validez oficial, que asegure los conocimientos y habilidades para desempeñar el cargo, de conformidad con los aspectos técnicos y operativos aplicables al Estado de México.</w:t>
            </w:r>
          </w:p>
        </w:tc>
      </w:tr>
      <w:tr w:rsidR="00C8730C">
        <w:tc>
          <w:tcPr>
            <w:tcW w:w="4414" w:type="dxa"/>
          </w:tcPr>
          <w:p w:rsidR="00C8730C" w:rsidRDefault="00D23B6E">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Desarrollo Urbano</w:t>
            </w:r>
          </w:p>
        </w:tc>
        <w:tc>
          <w:tcPr>
            <w:tcW w:w="4414" w:type="dxa"/>
          </w:tcPr>
          <w:p w:rsidR="00C8730C" w:rsidRDefault="00D23B6E">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Artículo 96 Septies.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w:t>
            </w:r>
            <w:r>
              <w:rPr>
                <w:rFonts w:ascii="Palatino Linotype" w:eastAsia="Palatino Linotype" w:hAnsi="Palatino Linotype" w:cs="Palatino Linotype"/>
                <w:i/>
                <w:color w:val="000000"/>
                <w:sz w:val="20"/>
                <w:szCs w:val="20"/>
              </w:rPr>
              <w:lastRenderedPageBreak/>
              <w:t>habilidades para desempeñar el cargo, de conformidad con los aspectos técnicos y operativos aplicables al Estado de México.</w:t>
            </w:r>
          </w:p>
        </w:tc>
      </w:tr>
      <w:tr w:rsidR="00C8730C">
        <w:tc>
          <w:tcPr>
            <w:tcW w:w="4414" w:type="dxa"/>
          </w:tcPr>
          <w:p w:rsidR="00C8730C" w:rsidRDefault="00D23B6E">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Contralor Municipal</w:t>
            </w:r>
          </w:p>
        </w:tc>
        <w:tc>
          <w:tcPr>
            <w:tcW w:w="4414" w:type="dxa"/>
          </w:tcPr>
          <w:p w:rsidR="00C8730C" w:rsidRDefault="00D23B6E">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Artículo 113.- Para ser contralor se requiere cumplir con los requisitos que se exigen para ser tesorero municipal, a excepción de la caución correspondiente. (Sic)</w:t>
            </w:r>
          </w:p>
        </w:tc>
      </w:tr>
      <w:tr w:rsidR="00C8730C">
        <w:tc>
          <w:tcPr>
            <w:tcW w:w="4414" w:type="dxa"/>
          </w:tcPr>
          <w:p w:rsidR="00C8730C" w:rsidRDefault="00D23B6E">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Coordinador General Municipal de Mejora Regulatoria</w:t>
            </w:r>
          </w:p>
        </w:tc>
        <w:tc>
          <w:tcPr>
            <w:tcW w:w="4414" w:type="dxa"/>
          </w:tcPr>
          <w:p w:rsidR="00C8730C" w:rsidRDefault="00D23B6E">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Coordinador General Municipal de Mejora Regulatoria,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 xml:space="preserve">además deberá acreditar, dentro de los seis meses siguientes a la fecha en que inicie sus funciones, el diplomado en materia de mejora regulatoria </w:t>
            </w:r>
            <w:r>
              <w:rPr>
                <w:rFonts w:ascii="Palatino Linotype" w:eastAsia="Palatino Linotype" w:hAnsi="Palatino Linotype" w:cs="Palatino Linotype"/>
                <w:i/>
                <w:color w:val="000000"/>
                <w:sz w:val="20"/>
                <w:szCs w:val="20"/>
              </w:rPr>
              <w:t xml:space="preserve">expedido por el Instituto de Profesionalización de los Servidores Públicos del Estado de México </w:t>
            </w:r>
            <w:r>
              <w:rPr>
                <w:rFonts w:ascii="Palatino Linotype" w:eastAsia="Palatino Linotype" w:hAnsi="Palatino Linotype" w:cs="Palatino Linotype"/>
                <w:b/>
                <w:i/>
                <w:color w:val="000000"/>
                <w:sz w:val="20"/>
                <w:szCs w:val="20"/>
              </w:rPr>
              <w:t xml:space="preserve">o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C8730C">
        <w:tc>
          <w:tcPr>
            <w:tcW w:w="4414" w:type="dxa"/>
          </w:tcPr>
          <w:p w:rsidR="00C8730C" w:rsidRDefault="00D23B6E">
            <w:pPr>
              <w:spacing w:before="240" w:after="240" w:line="36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rPr>
              <w:t>Titular o Equivalente de la Defensoría Municipal de Derechos Humanos</w:t>
            </w:r>
          </w:p>
        </w:tc>
        <w:tc>
          <w:tcPr>
            <w:tcW w:w="4414" w:type="dxa"/>
          </w:tcPr>
          <w:p w:rsidR="00C8730C" w:rsidRDefault="00D23B6E">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Artículo 147 I.- La o el Defensor Municipal de Derechos Humanos debe reunir los requisitos siguientes:</w:t>
            </w:r>
          </w:p>
          <w:p w:rsidR="00C8730C" w:rsidRDefault="00D23B6E">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C8730C" w:rsidRDefault="00D23B6E">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VIII. Certificación en materia de derechos humanos, que para tal efecto emita la Comisión de Derechos Humanos del Estado de México.</w:t>
            </w:r>
          </w:p>
        </w:tc>
      </w:tr>
      <w:tr w:rsidR="00F6574D" w:rsidTr="00F6574D">
        <w:trPr>
          <w:trHeight w:val="5185"/>
        </w:trPr>
        <w:tc>
          <w:tcPr>
            <w:tcW w:w="4414" w:type="dxa"/>
          </w:tcPr>
          <w:p w:rsidR="00F6574D" w:rsidRDefault="00F6574D">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Titular de la Unidad de Transparencia</w:t>
            </w:r>
          </w:p>
        </w:tc>
        <w:tc>
          <w:tcPr>
            <w:tcW w:w="4414" w:type="dxa"/>
          </w:tcPr>
          <w:p w:rsidR="00F6574D" w:rsidRPr="00F6574D" w:rsidRDefault="00F6574D" w:rsidP="00F6574D">
            <w:pPr>
              <w:ind w:left="567" w:right="567"/>
              <w:jc w:val="center"/>
              <w:rPr>
                <w:rFonts w:ascii="Palatino Linotype" w:eastAsia="Palatino Linotype" w:hAnsi="Palatino Linotype" w:cs="Palatino Linotype"/>
                <w:b/>
                <w:i/>
                <w:sz w:val="20"/>
                <w:szCs w:val="20"/>
                <w:u w:val="single"/>
              </w:rPr>
            </w:pPr>
            <w:r w:rsidRPr="00F6574D">
              <w:rPr>
                <w:rFonts w:ascii="Palatino Linotype" w:eastAsia="Palatino Linotype" w:hAnsi="Palatino Linotype" w:cs="Palatino Linotype"/>
                <w:b/>
                <w:i/>
                <w:sz w:val="20"/>
                <w:szCs w:val="20"/>
                <w:u w:val="single"/>
              </w:rPr>
              <w:t>Capítulo III</w:t>
            </w:r>
          </w:p>
          <w:p w:rsidR="00F6574D" w:rsidRPr="00F6574D" w:rsidRDefault="00F6574D" w:rsidP="00F6574D">
            <w:pPr>
              <w:ind w:left="567" w:right="567"/>
              <w:jc w:val="center"/>
              <w:rPr>
                <w:rFonts w:ascii="Palatino Linotype" w:eastAsia="Palatino Linotype" w:hAnsi="Palatino Linotype" w:cs="Palatino Linotype"/>
                <w:b/>
                <w:i/>
                <w:sz w:val="20"/>
                <w:szCs w:val="20"/>
                <w:u w:val="single"/>
              </w:rPr>
            </w:pPr>
            <w:r w:rsidRPr="00F6574D">
              <w:rPr>
                <w:rFonts w:ascii="Palatino Linotype" w:eastAsia="Palatino Linotype" w:hAnsi="Palatino Linotype" w:cs="Palatino Linotype"/>
                <w:b/>
                <w:i/>
                <w:sz w:val="20"/>
                <w:szCs w:val="20"/>
                <w:u w:val="single"/>
              </w:rPr>
              <w:t>De las Unidades de Transparencia</w:t>
            </w:r>
          </w:p>
          <w:p w:rsidR="00F6574D" w:rsidRPr="00F6574D" w:rsidRDefault="00F6574D" w:rsidP="00F6574D">
            <w:pPr>
              <w:ind w:left="567" w:right="567"/>
              <w:jc w:val="center"/>
              <w:rPr>
                <w:rFonts w:ascii="Palatino Linotype" w:eastAsia="Palatino Linotype" w:hAnsi="Palatino Linotype" w:cs="Palatino Linotype"/>
                <w:i/>
                <w:sz w:val="20"/>
                <w:szCs w:val="20"/>
              </w:rPr>
            </w:pPr>
          </w:p>
          <w:p w:rsidR="00F6574D" w:rsidRPr="00F6574D" w:rsidRDefault="00F6574D" w:rsidP="00F6574D">
            <w:pPr>
              <w:ind w:left="567" w:right="567"/>
              <w:jc w:val="both"/>
              <w:rPr>
                <w:rFonts w:ascii="Palatino Linotype" w:eastAsia="Palatino Linotype" w:hAnsi="Palatino Linotype" w:cs="Palatino Linotype"/>
                <w:i/>
                <w:sz w:val="20"/>
                <w:szCs w:val="20"/>
              </w:rPr>
            </w:pPr>
            <w:bookmarkStart w:id="5" w:name="_heading=h.17dp8vu" w:colFirst="0" w:colLast="0"/>
            <w:bookmarkEnd w:id="5"/>
            <w:r w:rsidRPr="00F6574D">
              <w:rPr>
                <w:rFonts w:ascii="Palatino Linotype" w:eastAsia="Palatino Linotype" w:hAnsi="Palatino Linotype" w:cs="Palatino Linotype"/>
                <w:b/>
                <w:i/>
                <w:sz w:val="20"/>
                <w:szCs w:val="20"/>
              </w:rPr>
              <w:t>Artículo 57.</w:t>
            </w:r>
            <w:r w:rsidRPr="00F6574D">
              <w:rPr>
                <w:rFonts w:ascii="Palatino Linotype" w:eastAsia="Palatino Linotype" w:hAnsi="Palatino Linotype" w:cs="Palatino Linotype"/>
                <w:i/>
                <w:sz w:val="20"/>
                <w:szCs w:val="20"/>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00F6574D" w:rsidRPr="00F6574D" w:rsidRDefault="00F6574D" w:rsidP="00F6574D">
            <w:pPr>
              <w:ind w:left="567" w:right="567"/>
              <w:jc w:val="both"/>
              <w:rPr>
                <w:rFonts w:ascii="Palatino Linotype" w:eastAsia="Palatino Linotype" w:hAnsi="Palatino Linotype" w:cs="Palatino Linotype"/>
                <w:i/>
                <w:sz w:val="20"/>
                <w:szCs w:val="20"/>
              </w:rPr>
            </w:pPr>
          </w:p>
          <w:p w:rsidR="00F6574D" w:rsidRPr="00F6574D" w:rsidRDefault="00F6574D" w:rsidP="00F6574D">
            <w:pPr>
              <w:spacing w:after="160"/>
              <w:ind w:left="567" w:right="567"/>
              <w:jc w:val="both"/>
              <w:rPr>
                <w:rFonts w:ascii="Palatino Linotype" w:eastAsia="Palatino Linotype" w:hAnsi="Palatino Linotype" w:cs="Palatino Linotype"/>
                <w:i/>
                <w:sz w:val="20"/>
                <w:szCs w:val="20"/>
              </w:rPr>
            </w:pPr>
            <w:r w:rsidRPr="00F6574D">
              <w:rPr>
                <w:rFonts w:ascii="Palatino Linotype" w:eastAsia="Palatino Linotype" w:hAnsi="Palatino Linotype" w:cs="Palatino Linotype"/>
                <w:i/>
                <w:sz w:val="20"/>
                <w:szCs w:val="20"/>
              </w:rPr>
              <w:t xml:space="preserve">I. Contar con conocimiento o, tratándose de las entidades gubernamentales estatales y los municipios </w:t>
            </w:r>
            <w:r w:rsidRPr="00F6574D">
              <w:rPr>
                <w:rFonts w:ascii="Palatino Linotype" w:eastAsia="Palatino Linotype" w:hAnsi="Palatino Linotype" w:cs="Palatino Linotype"/>
                <w:b/>
                <w:i/>
                <w:sz w:val="20"/>
                <w:szCs w:val="20"/>
              </w:rPr>
              <w:t>certificación en materia de acceso a la información, transparencia y protección de datos personales</w:t>
            </w:r>
            <w:r w:rsidRPr="00F6574D">
              <w:rPr>
                <w:rFonts w:ascii="Palatino Linotype" w:eastAsia="Palatino Linotype" w:hAnsi="Palatino Linotype" w:cs="Palatino Linotype"/>
                <w:i/>
                <w:sz w:val="20"/>
                <w:szCs w:val="20"/>
              </w:rPr>
              <w:t>, que para tal efecto emita el Instituto;</w:t>
            </w:r>
          </w:p>
          <w:p w:rsidR="00F6574D" w:rsidRPr="00F6574D" w:rsidRDefault="00F6574D" w:rsidP="00F6574D">
            <w:pPr>
              <w:ind w:left="567" w:right="567"/>
              <w:jc w:val="both"/>
              <w:rPr>
                <w:rFonts w:ascii="Palatino Linotype" w:eastAsia="Palatino Linotype" w:hAnsi="Palatino Linotype" w:cs="Palatino Linotype"/>
                <w:i/>
                <w:sz w:val="20"/>
                <w:szCs w:val="20"/>
              </w:rPr>
            </w:pPr>
            <w:r w:rsidRPr="00F6574D">
              <w:rPr>
                <w:rFonts w:ascii="Palatino Linotype" w:eastAsia="Palatino Linotype" w:hAnsi="Palatino Linotype" w:cs="Palatino Linotype"/>
                <w:i/>
                <w:sz w:val="20"/>
                <w:szCs w:val="20"/>
              </w:rPr>
              <w:t>II. Experiencia en materia de acceso a la información y protección de datos personales; y</w:t>
            </w:r>
          </w:p>
          <w:p w:rsidR="00F6574D" w:rsidRPr="00F6574D" w:rsidRDefault="00F6574D" w:rsidP="00F6574D">
            <w:pPr>
              <w:ind w:left="567" w:right="567"/>
              <w:jc w:val="both"/>
              <w:rPr>
                <w:rFonts w:ascii="Palatino Linotype" w:eastAsia="Palatino Linotype" w:hAnsi="Palatino Linotype" w:cs="Palatino Linotype"/>
                <w:i/>
                <w:sz w:val="20"/>
                <w:szCs w:val="20"/>
              </w:rPr>
            </w:pPr>
          </w:p>
          <w:p w:rsidR="00F6574D" w:rsidRPr="00F6574D" w:rsidRDefault="00F6574D" w:rsidP="00F6574D">
            <w:pPr>
              <w:ind w:left="567" w:right="567"/>
              <w:jc w:val="both"/>
              <w:rPr>
                <w:rFonts w:ascii="Palatino Linotype" w:eastAsia="Palatino Linotype" w:hAnsi="Palatino Linotype" w:cs="Palatino Linotype"/>
                <w:i/>
                <w:sz w:val="20"/>
                <w:szCs w:val="20"/>
              </w:rPr>
            </w:pPr>
            <w:r w:rsidRPr="00F6574D">
              <w:rPr>
                <w:rFonts w:ascii="Palatino Linotype" w:eastAsia="Palatino Linotype" w:hAnsi="Palatino Linotype" w:cs="Palatino Linotype"/>
                <w:i/>
                <w:sz w:val="20"/>
                <w:szCs w:val="20"/>
              </w:rPr>
              <w:t>III. Habilidades de organización y comunicación, así como visión y liderazgo.” (Sic)</w:t>
            </w:r>
          </w:p>
        </w:tc>
      </w:tr>
    </w:tbl>
    <w:p w:rsidR="00C8730C" w:rsidRDefault="00D23B6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bien se desprende del cuadro anterior, la Ley determina los cargos que necesitan acreditar una certificación por parte del Instituto Hacendario</w:t>
      </w:r>
      <w:r w:rsidR="00F6574D">
        <w:rPr>
          <w:rFonts w:ascii="Palatino Linotype" w:eastAsia="Palatino Linotype" w:hAnsi="Palatino Linotype" w:cs="Palatino Linotype"/>
          <w:color w:val="000000"/>
        </w:rPr>
        <w:t xml:space="preserve"> del Estado de México (IHAEM) y </w:t>
      </w:r>
      <w:r>
        <w:rPr>
          <w:rFonts w:ascii="Palatino Linotype" w:eastAsia="Palatino Linotype" w:hAnsi="Palatino Linotype" w:cs="Palatino Linotype"/>
          <w:color w:val="000000"/>
        </w:rPr>
        <w:t xml:space="preserve">Comisión de Derecho Humanos, misma que deberá expedirse dentro del periodo de seis meses posterior al inicio de sus funciones, es decir que los nuevos servidores públicos cuentan con seis meses para certificarse. </w:t>
      </w:r>
    </w:p>
    <w:p w:rsidR="00C8730C" w:rsidRDefault="00D23B6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es de recordar que a través de la Comisión Certificadora de Competencia Laboral de los Servidores Públicos del Estado de México (COCERTEM) que el IHAEM certifica a los servidores públicos mencionados con </w:t>
      </w:r>
      <w:r>
        <w:rPr>
          <w:rFonts w:ascii="Palatino Linotype" w:eastAsia="Palatino Linotype" w:hAnsi="Palatino Linotype" w:cs="Palatino Linotype"/>
          <w:color w:val="000000"/>
        </w:rPr>
        <w:lastRenderedPageBreak/>
        <w:t>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xml:space="preserve">. </w:t>
      </w:r>
    </w:p>
    <w:p w:rsidR="00C8730C" w:rsidRDefault="00D23B6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al fin, la COCERTEM desarrolla planes de evaluación con los candidatos para establecer la fecha y hora en que se llevará a cabo el proceso de evaluación, indicándole los derechos y obligaciones correspondientes; además la evaluación se 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por la Comisión en el cual se manifiesta la competencia de una persona para desempeñar una función productiva, por cumplir los requisitos de una o algunas Normas de Competencia Laboral.</w:t>
      </w:r>
    </w:p>
    <w:p w:rsidR="00C8730C" w:rsidRDefault="00D23B6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tales efectos, la COCERTEM ha desarrollado un calendario de evaluaciones aplicable para el mes de enero de dos mil veintidós, para que los nuevos servidores </w:t>
      </w:r>
      <w:r>
        <w:rPr>
          <w:rFonts w:ascii="Palatino Linotype" w:eastAsia="Palatino Linotype" w:hAnsi="Palatino Linotype" w:cs="Palatino Linotype"/>
          <w:color w:val="000000"/>
        </w:rPr>
        <w:lastRenderedPageBreak/>
        <w:t>públicos obtengan la certificación correspondiente, por ello a manera de referencia se toma el siguiente extracto del calendario.</w:t>
      </w:r>
    </w:p>
    <w:p w:rsidR="00C8730C" w:rsidRDefault="00D23B6E">
      <w:pPr>
        <w:spacing w:before="240" w:after="240" w:line="360" w:lineRule="auto"/>
        <w:jc w:val="both"/>
        <w:rPr>
          <w:rFonts w:ascii="Palatino Linotype" w:eastAsia="Palatino Linotype" w:hAnsi="Palatino Linotype" w:cs="Palatino Linotype"/>
          <w:color w:val="000000"/>
        </w:rPr>
      </w:pPr>
      <w:r>
        <w:rPr>
          <w:noProof/>
          <w:lang w:val="es-MX"/>
        </w:rPr>
        <w:drawing>
          <wp:inline distT="0" distB="0" distL="0" distR="0">
            <wp:extent cx="5555330" cy="4924799"/>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42220" t="6959" r="30065" b="9880"/>
                    <a:stretch>
                      <a:fillRect/>
                    </a:stretch>
                  </pic:blipFill>
                  <pic:spPr>
                    <a:xfrm>
                      <a:off x="0" y="0"/>
                      <a:ext cx="5555330" cy="4924799"/>
                    </a:xfrm>
                    <a:prstGeom prst="rect">
                      <a:avLst/>
                    </a:prstGeom>
                    <a:ln/>
                  </pic:spPr>
                </pic:pic>
              </a:graphicData>
            </a:graphic>
          </wp:inline>
        </w:drawing>
      </w:r>
    </w:p>
    <w:p w:rsidR="00C8730C" w:rsidRDefault="00D23B6E" w:rsidP="00763B5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puede observar de la imagen anterior, para el proceso de certificación de la COCERTEM se estableció una convocatoria para el mes de enero del año en curso, en donde se dan </w:t>
      </w:r>
      <w:r>
        <w:rPr>
          <w:rFonts w:ascii="Palatino Linotype" w:eastAsia="Palatino Linotype" w:hAnsi="Palatino Linotype" w:cs="Palatino Linotype"/>
        </w:rPr>
        <w:t>distintas</w:t>
      </w:r>
      <w:r>
        <w:rPr>
          <w:rFonts w:ascii="Palatino Linotype" w:eastAsia="Palatino Linotype" w:hAnsi="Palatino Linotype" w:cs="Palatino Linotype"/>
          <w:color w:val="000000"/>
        </w:rPr>
        <w:t xml:space="preserve"> fechas para la certificación de los servidores públicos que vayan a desempeñarse en las funciones establecidas por la Ley Orgánica Municipal, por lo que al momento de emitir la presente resolución ya fue concluido el primer </w:t>
      </w:r>
      <w:r>
        <w:rPr>
          <w:rFonts w:ascii="Palatino Linotype" w:eastAsia="Palatino Linotype" w:hAnsi="Palatino Linotype" w:cs="Palatino Linotype"/>
          <w:color w:val="000000"/>
        </w:rPr>
        <w:lastRenderedPageBreak/>
        <w:t>periodo y por ello solamente siguen abiertas las demás convocatorias emitidas con posterioridad al mes de enero del 2022, de ahí que, los servidores públicos referidos en la solicitud, adscritos al Ayuntamiento de Coacalco de Berriozábal, aún se encuentran e</w:t>
      </w:r>
      <w:r w:rsidR="00763B55">
        <w:rPr>
          <w:rFonts w:ascii="Palatino Linotype" w:eastAsia="Palatino Linotype" w:hAnsi="Palatino Linotype" w:cs="Palatino Linotype"/>
          <w:color w:val="000000"/>
        </w:rPr>
        <w:t>n tiempo de poder certificarse.</w:t>
      </w:r>
    </w:p>
    <w:p w:rsidR="00F6574D" w:rsidRDefault="00A9178B" w:rsidP="00A9178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Circunstancia que sucede de igual forma para la C</w:t>
      </w:r>
      <w:r w:rsidR="00F6574D">
        <w:rPr>
          <w:rFonts w:ascii="Palatino Linotype" w:eastAsia="Palatino Linotype" w:hAnsi="Palatino Linotype" w:cs="Palatino Linotype"/>
          <w:color w:val="000000"/>
        </w:rPr>
        <w:t>ertificación de Competencia Laboral del Titular de la Unidad de Transparencia,</w:t>
      </w:r>
      <w:r w:rsidR="00F6574D">
        <w:rPr>
          <w:rFonts w:ascii="Palatino Linotype" w:eastAsia="Palatino Linotype" w:hAnsi="Palatino Linotype" w:cs="Palatino Linotype"/>
        </w:rPr>
        <w:t xml:space="preserve"> </w:t>
      </w:r>
      <w:r>
        <w:rPr>
          <w:rFonts w:ascii="Palatino Linotype" w:eastAsia="Palatino Linotype" w:hAnsi="Palatino Linotype" w:cs="Palatino Linotype"/>
        </w:rPr>
        <w:t xml:space="preserve">ya que </w:t>
      </w:r>
      <w:r w:rsidR="00F6574D">
        <w:rPr>
          <w:rFonts w:ascii="Palatino Linotype" w:eastAsia="Palatino Linotype" w:hAnsi="Palatino Linotype" w:cs="Palatino Linotype"/>
        </w:rPr>
        <w:t xml:space="preserve">certificado del estándar de competencia laboral EC 1057 “Garantizar el derecho de acceso a la información pública” es el documento idóneo para colmar el derecho de acceso a la información del particular, en virtud de ello, se destaca que la entrega de los certificados a los servidores públicos inscritos en la convocatoria de fecha catorce de febrero del año 2022 emitida por el Instituto de Transparencia, Acceso a La Información Pública y Protección de Datos Personales del Estado de México y Municipios; así, el Titular de la Unidad de Transparencia adscrito al </w:t>
      </w:r>
      <w:r w:rsidR="00F6574D">
        <w:rPr>
          <w:rFonts w:ascii="Palatino Linotype" w:eastAsia="Palatino Linotype" w:hAnsi="Palatino Linotype" w:cs="Palatino Linotype"/>
          <w:b/>
        </w:rPr>
        <w:t>SUJETO OBLIGADO</w:t>
      </w:r>
      <w:r w:rsidR="00F6574D">
        <w:rPr>
          <w:rFonts w:ascii="Palatino Linotype" w:eastAsia="Palatino Linotype" w:hAnsi="Palatino Linotype" w:cs="Palatino Linotype"/>
        </w:rPr>
        <w:t xml:space="preserve"> se encuentra </w:t>
      </w:r>
      <w:r>
        <w:rPr>
          <w:rFonts w:ascii="Palatino Linotype" w:eastAsia="Palatino Linotype" w:hAnsi="Palatino Linotype" w:cs="Palatino Linotype"/>
        </w:rPr>
        <w:t xml:space="preserve">imposibilitado para </w:t>
      </w:r>
      <w:r w:rsidR="00F6574D">
        <w:rPr>
          <w:rFonts w:ascii="Palatino Linotype" w:eastAsia="Palatino Linotype" w:hAnsi="Palatino Linotype" w:cs="Palatino Linotype"/>
        </w:rPr>
        <w:t xml:space="preserve">entregar la Certificación de Competencia laboral que lo acredite para ocupar el cargo; </w:t>
      </w:r>
      <w:r>
        <w:rPr>
          <w:rFonts w:ascii="Palatino Linotype" w:eastAsia="Palatino Linotype" w:hAnsi="Palatino Linotype" w:cs="Palatino Linotype"/>
        </w:rPr>
        <w:t xml:space="preserve">en razón de que es </w:t>
      </w:r>
      <w:r w:rsidR="00F6574D">
        <w:rPr>
          <w:rFonts w:ascii="Palatino Linotype" w:eastAsia="Palatino Linotype" w:hAnsi="Palatino Linotype" w:cs="Palatino Linotype"/>
        </w:rPr>
        <w:t xml:space="preserve">obvio que a la fecha de la solicitud (ocho de febrero del año en curso) el </w:t>
      </w:r>
      <w:r w:rsidR="00F6574D" w:rsidRPr="00A9178B">
        <w:rPr>
          <w:rFonts w:ascii="Palatino Linotype" w:eastAsia="Palatino Linotype" w:hAnsi="Palatino Linotype" w:cs="Palatino Linotype"/>
          <w:b/>
        </w:rPr>
        <w:t>SUJETO OBLIGADO</w:t>
      </w:r>
      <w:r>
        <w:rPr>
          <w:rFonts w:ascii="Palatino Linotype" w:eastAsia="Palatino Linotype" w:hAnsi="Palatino Linotype" w:cs="Palatino Linotype"/>
        </w:rPr>
        <w:t>, no tiene dicha certificación.</w:t>
      </w:r>
    </w:p>
    <w:p w:rsidR="00763B55" w:rsidRDefault="00763B55" w:rsidP="00763B5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Máxime, </w:t>
      </w:r>
      <w:r w:rsidR="00E415DF">
        <w:rPr>
          <w:rFonts w:ascii="Palatino Linotype" w:eastAsia="Palatino Linotype" w:hAnsi="Palatino Linotype" w:cs="Palatino Linotype"/>
          <w:color w:val="000000"/>
        </w:rPr>
        <w:t xml:space="preserve">que no se debe perder de vista que la actual administración del Ayuntamiento de Coacalco de Berriozábal 2022-2024, entró en funciones el pasado primero de enero del año 2022, relegando la administración 2019-2021, lo anterior en términos de lo señalado por los artículos 16 primer párrafo y 19 de la Ley Orgánica Municipal del Estado de México, que señalan lo conducente: </w:t>
      </w:r>
    </w:p>
    <w:p w:rsidR="00E415DF" w:rsidRDefault="00E415DF" w:rsidP="00763B55">
      <w:pPr>
        <w:spacing w:before="240" w:after="240" w:line="360" w:lineRule="auto"/>
        <w:jc w:val="both"/>
        <w:rPr>
          <w:rFonts w:ascii="Palatino Linotype" w:eastAsia="Palatino Linotype" w:hAnsi="Palatino Linotype" w:cs="Palatino Linotype"/>
          <w:color w:val="000000"/>
        </w:rPr>
      </w:pPr>
    </w:p>
    <w:p w:rsidR="00E415DF" w:rsidRDefault="00E415DF" w:rsidP="00E415DF">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sidRPr="00E415DF">
        <w:rPr>
          <w:rFonts w:ascii="Palatino Linotype" w:eastAsia="Palatino Linotype" w:hAnsi="Palatino Linotype" w:cs="Palatino Linotype"/>
          <w:i/>
          <w:color w:val="000000"/>
          <w:sz w:val="22"/>
          <w:szCs w:val="22"/>
        </w:rPr>
        <w:t xml:space="preserve">Artículo 16.- </w:t>
      </w:r>
      <w:r w:rsidRPr="00E415DF">
        <w:rPr>
          <w:rFonts w:ascii="Palatino Linotype" w:eastAsia="Palatino Linotype" w:hAnsi="Palatino Linotype" w:cs="Palatino Linotype"/>
          <w:b/>
          <w:i/>
          <w:color w:val="000000"/>
          <w:sz w:val="22"/>
          <w:szCs w:val="22"/>
        </w:rPr>
        <w:t>Los Ayuntamientos se renovarán cada tres años, iniciarán su periodo el 1 de enero del año inmediato siguiente al de las elecciones municipales ordinarias y concluirán el 31 de diciembre del año de las elecciones para su renovación</w:t>
      </w:r>
      <w:r w:rsidRPr="00E415DF">
        <w:rPr>
          <w:rFonts w:ascii="Palatino Linotype" w:eastAsia="Palatino Linotype" w:hAnsi="Palatino Linotype" w:cs="Palatino Linotype"/>
          <w:i/>
          <w:color w:val="000000"/>
          <w:sz w:val="22"/>
          <w:szCs w:val="22"/>
        </w:rPr>
        <w:t>; y se integrarán por:</w:t>
      </w:r>
    </w:p>
    <w:p w:rsidR="00E415DF" w:rsidRDefault="00E415DF" w:rsidP="00E415DF">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E415DF" w:rsidRDefault="00E415DF" w:rsidP="00E415DF">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w:t>
      </w:r>
      <w:r>
        <w:rPr>
          <w:rFonts w:ascii="Palatino Linotype" w:eastAsia="Palatino Linotype" w:hAnsi="Palatino Linotype" w:cs="Palatino Linotype"/>
          <w:b/>
          <w:i/>
          <w:color w:val="000000"/>
          <w:sz w:val="22"/>
          <w:szCs w:val="22"/>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sz w:val="22"/>
          <w:szCs w:val="22"/>
        </w:rPr>
        <w:t xml:space="preserve">, cuyo presidente municipal hará la siguiente declaratoria formal y solemne: “Queda legítimamente instalado el ayuntamiento del municipio de…, que deberá funcionar durante los años de…”. </w:t>
      </w:r>
    </w:p>
    <w:p w:rsidR="00E415DF" w:rsidRDefault="00E415DF" w:rsidP="00E415DF">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La inasistencia de los integrantes del ayuntamiento saliente no será obstáculo para que se dé por instalado el entrante, sin perjuicio de las sanciones que establezcan las disposiciones jurídicas aplicables. </w:t>
      </w:r>
      <w:r>
        <w:rPr>
          <w:rFonts w:ascii="Palatino Linotype" w:eastAsia="Palatino Linotype" w:hAnsi="Palatino Linotype" w:cs="Palatino Linotype"/>
          <w:b/>
          <w:i/>
          <w:color w:val="000000"/>
          <w:sz w:val="22"/>
          <w:szCs w:val="22"/>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E415DF" w:rsidRDefault="00E415DF" w:rsidP="00E415DF">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municipal.”(Sic)</w:t>
      </w:r>
    </w:p>
    <w:p w:rsidR="00763B55" w:rsidRDefault="00763B55" w:rsidP="00763B5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w:t>
      </w:r>
      <w:r w:rsidR="00A9178B">
        <w:rPr>
          <w:rFonts w:ascii="Palatino Linotype" w:eastAsia="Palatino Linotype" w:hAnsi="Palatino Linotype" w:cs="Palatino Linotype"/>
          <w:color w:val="000000"/>
        </w:rPr>
        <w:t>regresando</w:t>
      </w:r>
      <w:r w:rsidR="00E415DF">
        <w:rPr>
          <w:rFonts w:ascii="Palatino Linotype" w:eastAsia="Palatino Linotype" w:hAnsi="Palatino Linotype" w:cs="Palatino Linotype"/>
          <w:color w:val="000000"/>
        </w:rPr>
        <w:t xml:space="preserve"> a los motivos de inconformidad del </w:t>
      </w:r>
      <w:r w:rsidR="00E415DF" w:rsidRPr="00F6574D">
        <w:rPr>
          <w:rFonts w:ascii="Palatino Linotype" w:eastAsia="Palatino Linotype" w:hAnsi="Palatino Linotype" w:cs="Palatino Linotype"/>
          <w:b/>
          <w:color w:val="000000"/>
        </w:rPr>
        <w:t>RECURRENTE</w:t>
      </w:r>
      <w:r w:rsidR="00E415DF">
        <w:rPr>
          <w:rFonts w:ascii="Palatino Linotype" w:eastAsia="Palatino Linotype" w:hAnsi="Palatino Linotype" w:cs="Palatino Linotype"/>
          <w:color w:val="000000"/>
        </w:rPr>
        <w:t xml:space="preserve"> se advierte que este sólo se inconformó de lo siguiente: </w:t>
      </w:r>
    </w:p>
    <w:p w:rsidR="00A9178B" w:rsidRPr="00A9178B" w:rsidRDefault="00A9178B" w:rsidP="00A9178B">
      <w:pPr>
        <w:spacing w:before="240" w:after="240"/>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A9178B">
        <w:rPr>
          <w:rFonts w:ascii="Palatino Linotype" w:eastAsia="Palatino Linotype" w:hAnsi="Palatino Linotype" w:cs="Palatino Linotype"/>
          <w:i/>
          <w:color w:val="000000"/>
          <w:sz w:val="22"/>
          <w:szCs w:val="22"/>
        </w:rPr>
        <w:t>DEFICIENCIA O INSUFICIENCIA EN LA FUNDAMENTACIÓN DE LA RESPUESTA QUE ME ENTREGARON, YA QUE LA MISMA CARECE DE MOTIVACIÓN Y POR ENDE NO COMPRENDO EL MOTIVO POR EL CUAL NO ME PUEDEN HACER ENTREGA DE LA INFORMACIÓN SOLICITADA.</w:t>
      </w:r>
      <w:r>
        <w:rPr>
          <w:rFonts w:ascii="Palatino Linotype" w:eastAsia="Palatino Linotype" w:hAnsi="Palatino Linotype" w:cs="Palatino Linotype"/>
          <w:i/>
          <w:color w:val="000000"/>
          <w:sz w:val="22"/>
          <w:szCs w:val="22"/>
        </w:rPr>
        <w:t>” (Sic)</w:t>
      </w:r>
    </w:p>
    <w:p w:rsidR="00E415DF" w:rsidRDefault="00E415DF" w:rsidP="00763B55">
      <w:pPr>
        <w:spacing w:before="240" w:after="240" w:line="360" w:lineRule="auto"/>
        <w:jc w:val="both"/>
        <w:rPr>
          <w:rFonts w:ascii="Palatino Linotype" w:eastAsia="Palatino Linotype" w:hAnsi="Palatino Linotype" w:cs="Palatino Linotype"/>
        </w:rPr>
      </w:pPr>
    </w:p>
    <w:p w:rsidR="00344F56" w:rsidRDefault="00A9178B"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se traduce que requiere el fundamento legal por el cual el </w:t>
      </w:r>
      <w:r w:rsidRPr="00A9178B">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o baso sus argumentos para dar dicha respuesta; es decir, de la respuesta el </w:t>
      </w:r>
      <w:r w:rsidRPr="00A9178B">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sólo se concretó a señalar que los servidores públicos de su administración se encuentran dentro del periodo para obtener la certificación de competencia laboral, de acuerdo al fundamento de la Ley Orgánica Municipal, sin indicar el precepto legal u artículo de dicha Ley Orgánica; sin embargo a través de su informe justificado el Ayuntamiento de Coacalco de Berriozábal a través de su Dirección de Administración indicó </w:t>
      </w:r>
      <w:r w:rsidR="00344F56">
        <w:rPr>
          <w:rFonts w:ascii="Palatino Linotype" w:eastAsia="Palatino Linotype" w:hAnsi="Palatino Linotype" w:cs="Palatino Linotype"/>
        </w:rPr>
        <w:t>que el fundamento legal de los servidores públicos de su administración que se encuentran dentro del periodo para obtener la certificación de competencia laboral, es en términos de lo señalado por los artículos 96, 96 Ter, 96 Quintus, 96 Septies, 96 Nonies y 113 de la Ley Orgánica Municipal, destacando o subrayando que la certificación de competencia laboral deberá acreditarse dentro de los seis meses siguientes a la fecha en que inicie sus funciones, c</w:t>
      </w:r>
      <w:r w:rsidR="00344F56" w:rsidRPr="00344F56">
        <w:rPr>
          <w:rFonts w:ascii="Palatino Linotype" w:eastAsia="Palatino Linotype" w:hAnsi="Palatino Linotype" w:cs="Palatino Linotype"/>
        </w:rPr>
        <w:t xml:space="preserve">olmando </w:t>
      </w:r>
      <w:r w:rsidR="00344F56">
        <w:rPr>
          <w:rFonts w:ascii="Palatino Linotype" w:eastAsia="Palatino Linotype" w:hAnsi="Palatino Linotype" w:cs="Palatino Linotype"/>
        </w:rPr>
        <w:t xml:space="preserve">con ello el derecho de acceso a la información del </w:t>
      </w:r>
      <w:r w:rsidR="00344F56" w:rsidRPr="00344F56">
        <w:rPr>
          <w:rFonts w:ascii="Palatino Linotype" w:eastAsia="Palatino Linotype" w:hAnsi="Palatino Linotype" w:cs="Palatino Linotype"/>
          <w:b/>
        </w:rPr>
        <w:t>RECURRENTE</w:t>
      </w:r>
      <w:r w:rsidR="00344F56">
        <w:rPr>
          <w:rFonts w:ascii="Palatino Linotype" w:eastAsia="Palatino Linotype" w:hAnsi="Palatino Linotype" w:cs="Palatino Linotype"/>
        </w:rPr>
        <w:t xml:space="preserve">, al proporcionarle el fundamento legal del que se quejó. </w:t>
      </w:r>
    </w:p>
    <w:p w:rsidR="00C8730C" w:rsidRDefault="00C8730C">
      <w:pPr>
        <w:tabs>
          <w:tab w:val="left" w:pos="0"/>
        </w:tabs>
        <w:spacing w:line="360" w:lineRule="auto"/>
        <w:jc w:val="both"/>
        <w:rPr>
          <w:rFonts w:ascii="Palatino Linotype" w:eastAsia="Palatino Linotype" w:hAnsi="Palatino Linotype" w:cs="Palatino Linotype"/>
        </w:rPr>
      </w:pPr>
    </w:p>
    <w:p w:rsidR="00A9178B" w:rsidRDefault="00A9178B">
      <w:pPr>
        <w:tabs>
          <w:tab w:val="left" w:pos="0"/>
        </w:tabs>
        <w:spacing w:line="360" w:lineRule="auto"/>
        <w:jc w:val="both"/>
        <w:rPr>
          <w:rFonts w:ascii="Palatino Linotype" w:eastAsia="Palatino Linotype" w:hAnsi="Palatino Linotype" w:cs="Palatino Linotype"/>
        </w:rPr>
      </w:pPr>
    </w:p>
    <w:p w:rsidR="00C8730C" w:rsidRDefault="00344F56">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w:t>
      </w:r>
      <w:r w:rsidR="00D23B6E">
        <w:rPr>
          <w:rFonts w:ascii="Palatino Linotype" w:eastAsia="Palatino Linotype" w:hAnsi="Palatino Linotype" w:cs="Palatino Linotype"/>
        </w:rPr>
        <w:t xml:space="preserve">, </w:t>
      </w:r>
      <w:r>
        <w:rPr>
          <w:rFonts w:ascii="Palatino Linotype" w:eastAsia="Palatino Linotype" w:hAnsi="Palatino Linotype" w:cs="Palatino Linotype"/>
        </w:rPr>
        <w:t xml:space="preserve">no pasa desapercibido para este Organismo Garante que </w:t>
      </w:r>
      <w:r w:rsidR="00D23B6E">
        <w:rPr>
          <w:rFonts w:ascii="Palatino Linotype" w:eastAsia="Palatino Linotype" w:hAnsi="Palatino Linotype" w:cs="Palatino Linotype"/>
        </w:rPr>
        <w:t xml:space="preserve">sobre el número telefónico y correo institucional del Secretario del Ayuntamiento, Tesorero Municipal, Contralor Municipal, Director de Obras Públicas, Director de Desarrollo Urbano, Defensoría Municipal de Derechos Humanos, Titular o equivalente de Mejora Regulatoria y Titular de la Unidad de Transparencia y Acceso a la información o equivalente, el </w:t>
      </w:r>
      <w:r w:rsidR="00D23B6E">
        <w:rPr>
          <w:rFonts w:ascii="Palatino Linotype" w:eastAsia="Palatino Linotype" w:hAnsi="Palatino Linotype" w:cs="Palatino Linotype"/>
          <w:b/>
        </w:rPr>
        <w:t>SUJETO OBLIGADO</w:t>
      </w:r>
      <w:r w:rsidR="00D23B6E">
        <w:rPr>
          <w:rFonts w:ascii="Palatino Linotype" w:eastAsia="Palatino Linotype" w:hAnsi="Palatino Linotype" w:cs="Palatino Linotype"/>
        </w:rPr>
        <w:t xml:space="preserve"> en respuesta entregó los números telefónicos y correos institucionales; no así del Titular o equivalente de la Oficialía Mediadora-Calificadora y Titular o equivalente de Catastro; sin embargo, a través de su informe justificado el Ayuntamiento de Coacalco De Berriozábal hizo la siguiente aclaración, respecto de estos servidores públicos:</w:t>
      </w:r>
    </w:p>
    <w:p w:rsidR="00C8730C" w:rsidRDefault="00C8730C">
      <w:pPr>
        <w:shd w:val="clear" w:color="auto" w:fill="FFFFFF"/>
        <w:spacing w:line="360" w:lineRule="auto"/>
        <w:jc w:val="both"/>
        <w:rPr>
          <w:rFonts w:ascii="Palatino Linotype" w:eastAsia="Palatino Linotype" w:hAnsi="Palatino Linotype" w:cs="Palatino Linotype"/>
          <w:color w:val="000000"/>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Entregado los siguientes números telefónicos y correos institucionales del Titular de la Oficialía Mediadora-Calificadora y Titular de Catastro, conforme a la siguiente imagen:</w:t>
      </w:r>
    </w:p>
    <w:p w:rsidR="00C8730C" w:rsidRDefault="00D23B6E">
      <w:pPr>
        <w:spacing w:line="360" w:lineRule="auto"/>
        <w:jc w:val="both"/>
        <w:rPr>
          <w:rFonts w:ascii="Palatino Linotype" w:eastAsia="Palatino Linotype" w:hAnsi="Palatino Linotype" w:cs="Palatino Linotype"/>
        </w:rPr>
      </w:pPr>
      <w:r>
        <w:rPr>
          <w:noProof/>
          <w:lang w:val="es-MX"/>
        </w:rPr>
        <w:drawing>
          <wp:inline distT="0" distB="0" distL="0" distR="0">
            <wp:extent cx="5505450" cy="1822450"/>
            <wp:effectExtent l="0" t="0" r="0" b="0"/>
            <wp:docPr id="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30324" t="26565" r="6540" b="48883"/>
                    <a:stretch>
                      <a:fillRect/>
                    </a:stretch>
                  </pic:blipFill>
                  <pic:spPr>
                    <a:xfrm>
                      <a:off x="0" y="0"/>
                      <a:ext cx="5505450" cy="1822450"/>
                    </a:xfrm>
                    <a:prstGeom prst="rect">
                      <a:avLst/>
                    </a:prstGeom>
                    <a:ln/>
                  </pic:spPr>
                </pic:pic>
              </a:graphicData>
            </a:graphic>
          </wp:inline>
        </w:drawing>
      </w:r>
      <w:r>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4152900</wp:posOffset>
                </wp:positionH>
                <wp:positionV relativeFrom="paragraph">
                  <wp:posOffset>1054100</wp:posOffset>
                </wp:positionV>
                <wp:extent cx="523875" cy="352425"/>
                <wp:effectExtent l="0" t="0" r="0" b="0"/>
                <wp:wrapNone/>
                <wp:docPr id="35" name="Flecha izquierda 35"/>
                <wp:cNvGraphicFramePr/>
                <a:graphic xmlns:a="http://schemas.openxmlformats.org/drawingml/2006/main">
                  <a:graphicData uri="http://schemas.microsoft.com/office/word/2010/wordprocessingShape">
                    <wps:wsp>
                      <wps:cNvSpPr/>
                      <wps:spPr>
                        <a:xfrm>
                          <a:off x="5088825" y="3608550"/>
                          <a:ext cx="514350" cy="342900"/>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FF241D" w:rsidRDefault="00FF241D">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5" o:spid="_x0000_s1026" type="#_x0000_t66" style="position:absolute;left:0;text-align:left;margin-left:327pt;margin-top:83pt;width:41.2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" adj="72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FF241D" w:rsidRDefault="00FF241D">
                      <w:pPr>
                        <w:textDirection w:val="btLr"/>
                      </w:pPr>
                    </w:p>
                  </w:txbxContent>
                </v:textbox>
              </v:shape>
            </w:pict>
          </mc:Fallback>
        </mc:AlternateContent>
      </w:r>
      <w:r>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4089400</wp:posOffset>
                </wp:positionH>
                <wp:positionV relativeFrom="paragraph">
                  <wp:posOffset>1524000</wp:posOffset>
                </wp:positionV>
                <wp:extent cx="523875" cy="352425"/>
                <wp:effectExtent l="0" t="0" r="0" b="0"/>
                <wp:wrapNone/>
                <wp:docPr id="37" name="Flecha izquierda 37"/>
                <wp:cNvGraphicFramePr/>
                <a:graphic xmlns:a="http://schemas.openxmlformats.org/drawingml/2006/main">
                  <a:graphicData uri="http://schemas.microsoft.com/office/word/2010/wordprocessingShape">
                    <wps:wsp>
                      <wps:cNvSpPr/>
                      <wps:spPr>
                        <a:xfrm>
                          <a:off x="5088825" y="3608550"/>
                          <a:ext cx="514350" cy="342900"/>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FF241D" w:rsidRDefault="00FF241D">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 id="Flecha izquierda 37" o:spid="_x0000_s1027" type="#_x0000_t66" style="position:absolute;left:0;text-align:left;margin-left:322pt;margin-top:120pt;width:41.25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" adj="72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FF241D" w:rsidRDefault="00FF241D">
                      <w:pPr>
                        <w:textDirection w:val="btLr"/>
                      </w:pPr>
                    </w:p>
                  </w:txbxContent>
                </v:textbox>
              </v:shape>
            </w:pict>
          </mc:Fallback>
        </mc:AlternateContent>
      </w:r>
    </w:p>
    <w:p w:rsidR="00344F56" w:rsidRDefault="00344F56">
      <w:pPr>
        <w:spacing w:line="360" w:lineRule="auto"/>
        <w:jc w:val="both"/>
        <w:rPr>
          <w:rFonts w:ascii="Palatino Linotype" w:eastAsia="Palatino Linotype" w:hAnsi="Palatino Linotype" w:cs="Palatino Linotype"/>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Colmando con ello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además de la vista que se le diera a esté no manifestó inconformidad alguna sobre la información remitida en informe justificado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C8730C" w:rsidRDefault="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y más importante</w:t>
      </w:r>
      <w:r w:rsidR="00D23B6E">
        <w:rPr>
          <w:rFonts w:ascii="Palatino Linotype" w:eastAsia="Palatino Linotype" w:hAnsi="Palatino Linotype" w:cs="Palatino Linotype"/>
        </w:rPr>
        <w:t xml:space="preserve">, </w:t>
      </w:r>
      <w:r>
        <w:rPr>
          <w:rFonts w:ascii="Palatino Linotype" w:eastAsia="Palatino Linotype" w:hAnsi="Palatino Linotype" w:cs="Palatino Linotype"/>
        </w:rPr>
        <w:t>en su conjunto,</w:t>
      </w:r>
      <w:r w:rsidR="00D23B6E">
        <w:rPr>
          <w:rFonts w:ascii="Palatino Linotype" w:eastAsia="Palatino Linotype" w:hAnsi="Palatino Linotype" w:cs="Palatino Linotype"/>
        </w:rPr>
        <w:t xml:space="preserve"> el área del </w:t>
      </w:r>
      <w:r w:rsidR="00D23B6E">
        <w:rPr>
          <w:rFonts w:ascii="Palatino Linotype" w:eastAsia="Palatino Linotype" w:hAnsi="Palatino Linotype" w:cs="Palatino Linotype"/>
          <w:b/>
        </w:rPr>
        <w:t>SUJETO OBLIGADO</w:t>
      </w:r>
      <w:r w:rsidR="00D23B6E">
        <w:rPr>
          <w:rFonts w:ascii="Palatino Linotype" w:eastAsia="Palatino Linotype" w:hAnsi="Palatino Linotype" w:cs="Palatino Linotype"/>
        </w:rPr>
        <w:t xml:space="preserve"> que proporcionó la información fue al Dirección de Administración que de acuerdo al artículo 54 del Bando Municipal del Municipio de Coacalco de Berriozábal para el año 2022, es el competente para conocer de la información solicitada, que señala:</w:t>
      </w:r>
    </w:p>
    <w:p w:rsidR="00C8730C" w:rsidRDefault="00D23B6E">
      <w:pPr>
        <w:spacing w:before="240" w:after="240" w:line="360" w:lineRule="auto"/>
        <w:jc w:val="both"/>
        <w:rPr>
          <w:rFonts w:ascii="Palatino Linotype" w:eastAsia="Palatino Linotype" w:hAnsi="Palatino Linotype" w:cs="Palatino Linotype"/>
        </w:rPr>
      </w:pPr>
      <w:r>
        <w:rPr>
          <w:noProof/>
          <w:lang w:val="es-MX"/>
        </w:rPr>
        <w:drawing>
          <wp:inline distT="0" distB="0" distL="0" distR="0">
            <wp:extent cx="5562817" cy="1642295"/>
            <wp:effectExtent l="0" t="0" r="0" b="0"/>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l="34421" t="29629" r="14137" b="39646"/>
                    <a:stretch>
                      <a:fillRect/>
                    </a:stretch>
                  </pic:blipFill>
                  <pic:spPr>
                    <a:xfrm>
                      <a:off x="0" y="0"/>
                      <a:ext cx="5562817" cy="1642295"/>
                    </a:xfrm>
                    <a:prstGeom prst="rect">
                      <a:avLst/>
                    </a:prstGeom>
                    <a:ln/>
                  </pic:spPr>
                </pic:pic>
              </a:graphicData>
            </a:graphic>
          </wp:inline>
        </w:drawing>
      </w:r>
    </w:p>
    <w:p w:rsidR="00C8730C" w:rsidRDefault="005F5C1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También</w:t>
      </w:r>
      <w:r w:rsidR="00D23B6E">
        <w:rPr>
          <w:rFonts w:ascii="Palatino Linotype" w:eastAsia="Palatino Linotype" w:hAnsi="Palatino Linotype" w:cs="Palatino Linotype"/>
        </w:rPr>
        <w:t>, esté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C8730C" w:rsidRDefault="00D23B6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w:t>
      </w:r>
      <w:r>
        <w:rPr>
          <w:rFonts w:ascii="Palatino Linotype" w:eastAsia="Palatino Linotype" w:hAnsi="Palatino Linotype" w:cs="Palatino Linotype"/>
          <w:i/>
          <w:sz w:val="22"/>
          <w:szCs w:val="22"/>
        </w:rPr>
        <w:lastRenderedPageBreak/>
        <w:t>49 y 50 de la Ley Federal de Transparencia y Acceso a la Información Pública Gubernamental no se prevé una causal que permita al Instituto Federal de Acceso a la Información y Protección de Datos conocer, vía recurso revisión, al respecto.” (Sic)</w:t>
      </w:r>
    </w:p>
    <w:p w:rsidR="00C8730C" w:rsidRDefault="00C8730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8730C" w:rsidRDefault="00D23B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344F56" w:rsidRDefault="00344F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44F56" w:rsidRDefault="00344F56" w:rsidP="00344F5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w:t>
      </w:r>
      <w:r w:rsidR="005F5C11">
        <w:rPr>
          <w:rFonts w:ascii="Palatino Linotype" w:eastAsia="Palatino Linotype" w:hAnsi="Palatino Linotype" w:cs="Palatino Linotype"/>
        </w:rPr>
        <w:t xml:space="preserve"> de todo lo anterior</w:t>
      </w:r>
      <w:r>
        <w:rPr>
          <w:rFonts w:ascii="Palatino Linotype" w:eastAsia="Palatino Linotype" w:hAnsi="Palatino Linotype" w:cs="Palatino Linotype"/>
        </w:rPr>
        <w:t>, se actualiza la causal de sobreseimiento prevista en la fracción III del artículo 192 de la Ley de Transparencia y Acceso a la Información Pública del Estado de México y Municipios, que dispone lo siguiente:</w:t>
      </w:r>
    </w:p>
    <w:p w:rsidR="00344F56" w:rsidRDefault="00344F56" w:rsidP="00344F56">
      <w:pPr>
        <w:spacing w:line="360" w:lineRule="auto"/>
        <w:jc w:val="both"/>
        <w:rPr>
          <w:rFonts w:ascii="Palatino Linotype" w:eastAsia="Palatino Linotype" w:hAnsi="Palatino Linotype" w:cs="Palatino Linotype"/>
          <w:color w:val="FF0000"/>
        </w:rPr>
      </w:pPr>
    </w:p>
    <w:p w:rsidR="00344F56" w:rsidRDefault="00344F56" w:rsidP="00344F5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344F56" w:rsidRDefault="00344F56" w:rsidP="00344F5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344F56" w:rsidRDefault="00344F56" w:rsidP="00344F56">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344F56" w:rsidRDefault="00344F56" w:rsidP="00344F56">
      <w:pPr>
        <w:spacing w:line="360" w:lineRule="auto"/>
        <w:jc w:val="both"/>
        <w:rPr>
          <w:rFonts w:ascii="Palatino Linotype" w:eastAsia="Palatino Linotype" w:hAnsi="Palatino Linotype" w:cs="Palatino Linotype"/>
          <w:b/>
          <w:i/>
        </w:rPr>
      </w:pPr>
    </w:p>
    <w:p w:rsidR="00344F56" w:rsidRDefault="00344F56" w:rsidP="00344F5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344F56" w:rsidRDefault="00344F56" w:rsidP="00344F56">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tanto, en el presente caso queda sin materia toda vez que con 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respuesta al remitir </w:t>
      </w:r>
      <w:r w:rsidR="005F5C11">
        <w:rPr>
          <w:rFonts w:ascii="Palatino Linotype" w:eastAsia="Palatino Linotype" w:hAnsi="Palatino Linotype" w:cs="Palatino Linotype"/>
        </w:rPr>
        <w:t>el fundamento legal de los servidores públicos de su administración que se encuentran dentro del periodo para obtener la certificación de competencia laboral</w:t>
      </w:r>
      <w:r>
        <w:rPr>
          <w:rFonts w:ascii="Palatino Linotype" w:eastAsia="Palatino Linotype" w:hAnsi="Palatino Linotype" w:cs="Palatino Linotype"/>
        </w:rPr>
        <w:t>.</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es evidente que con ello queda sin materia el presente recurso de revisión, ya que la inconformidad sobre </w:t>
      </w:r>
      <w:r w:rsidR="005F5C11">
        <w:rPr>
          <w:rFonts w:ascii="Palatino Linotype" w:eastAsia="Palatino Linotype" w:hAnsi="Palatino Linotype" w:cs="Palatino Linotype"/>
        </w:rPr>
        <w:t xml:space="preserve">falta </w:t>
      </w:r>
      <w:r w:rsidR="005F5C11" w:rsidRPr="005F5C11">
        <w:rPr>
          <w:rFonts w:ascii="Palatino Linotype" w:eastAsia="Palatino Linotype" w:hAnsi="Palatino Linotype" w:cs="Palatino Linotype"/>
        </w:rPr>
        <w:t>deficiencia o insuficiencia en la fundamentación de la respuest</w:t>
      </w:r>
      <w:r w:rsidR="005F5C11">
        <w:rPr>
          <w:rFonts w:ascii="Palatino Linotype" w:eastAsia="Palatino Linotype" w:hAnsi="Palatino Linotype" w:cs="Palatino Linotype"/>
        </w:rPr>
        <w:t>a</w:t>
      </w:r>
      <w:r>
        <w:rPr>
          <w:rFonts w:ascii="Palatino Linotype" w:eastAsia="Palatino Linotype" w:hAnsi="Palatino Linotype" w:cs="Palatino Linotype"/>
        </w:rPr>
        <w:t>, se subsanó con la información entr</w:t>
      </w:r>
      <w:r w:rsidR="005F5C11">
        <w:rPr>
          <w:rFonts w:ascii="Palatino Linotype" w:eastAsia="Palatino Linotype" w:hAnsi="Palatino Linotype" w:cs="Palatino Linotype"/>
        </w:rPr>
        <w:t>egada en</w:t>
      </w:r>
      <w:r>
        <w:rPr>
          <w:rFonts w:ascii="Palatino Linotype" w:eastAsia="Palatino Linotype" w:hAnsi="Palatino Linotype" w:cs="Palatino Linotype"/>
        </w:rPr>
        <w:t xml:space="preserve"> informe justificado dentro del apartado de manifestaciones del SAIMEX, que fue puesta a la vista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ya no cobraría sentido; y si respecto de la </w:t>
      </w:r>
      <w:r>
        <w:rPr>
          <w:rFonts w:ascii="Palatino Linotype" w:eastAsia="Palatino Linotype" w:hAnsi="Palatino Linotype" w:cs="Palatino Linotype"/>
        </w:rPr>
        <w:lastRenderedPageBreak/>
        <w:t>misma no formuló alegato alguno dentro del plazo concedido para tal efecto se entiende que se encuentra satisfecho.</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344F56" w:rsidRDefault="00344F56" w:rsidP="00344F56">
      <w:pPr>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rsidR="00344F56" w:rsidRDefault="00344F56" w:rsidP="00344F56">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344F56" w:rsidRDefault="00344F56" w:rsidP="00344F56">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344F56" w:rsidRDefault="00344F56" w:rsidP="00344F56">
      <w:pPr>
        <w:ind w:left="567" w:right="567"/>
        <w:jc w:val="both"/>
        <w:rPr>
          <w:rFonts w:ascii="Palatino Linotype" w:eastAsia="Palatino Linotype" w:hAnsi="Palatino Linotype" w:cs="Palatino Linotype"/>
          <w:i/>
          <w:sz w:val="22"/>
          <w:szCs w:val="22"/>
        </w:rPr>
      </w:pPr>
    </w:p>
    <w:p w:rsidR="00344F56" w:rsidRDefault="00344F56" w:rsidP="00344F5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rsidR="00344F56" w:rsidRDefault="00344F56" w:rsidP="00344F56">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344F56" w:rsidRDefault="00344F56" w:rsidP="00344F56">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344F56" w:rsidRDefault="00344F56" w:rsidP="00344F56">
      <w:pPr>
        <w:ind w:left="567" w:right="567"/>
        <w:jc w:val="both"/>
        <w:rPr>
          <w:rFonts w:ascii="Palatino Linotype" w:eastAsia="Palatino Linotype" w:hAnsi="Palatino Linotype" w:cs="Palatino Linotype"/>
          <w:i/>
          <w:sz w:val="22"/>
          <w:szCs w:val="22"/>
        </w:rPr>
      </w:pPr>
    </w:p>
    <w:p w:rsidR="00344F56" w:rsidRDefault="00344F56" w:rsidP="00344F5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344F56" w:rsidRDefault="00344F56" w:rsidP="00344F56">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III.R E S U E L V E:</w:t>
      </w:r>
    </w:p>
    <w:p w:rsidR="00344F56" w:rsidRDefault="00344F56" w:rsidP="00344F5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sidR="005F5C11">
        <w:rPr>
          <w:rFonts w:ascii="Palatino Linotype" w:eastAsia="Palatino Linotype" w:hAnsi="Palatino Linotype" w:cs="Palatino Linotype"/>
          <w:b/>
          <w:highlight w:val="white"/>
        </w:rPr>
        <w:t>03164</w:t>
      </w:r>
      <w:r>
        <w:rPr>
          <w:rFonts w:ascii="Palatino Linotype" w:eastAsia="Palatino Linotype" w:hAnsi="Palatino Linotype" w:cs="Palatino Linotype"/>
          <w:b/>
          <w:highlight w:val="white"/>
        </w:rPr>
        <w:t>/INFOEM/IP/RR/2022</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modificar la respuesta el recurso de revisión quedó sin materia de </w:t>
      </w:r>
      <w:r>
        <w:rPr>
          <w:rFonts w:ascii="Palatino Linotype" w:eastAsia="Palatino Linotype" w:hAnsi="Palatino Linotype" w:cs="Palatino Linotype"/>
        </w:rPr>
        <w:lastRenderedPageBreak/>
        <w:t>conformidad con lo dispuesto en la fracción III del artículo 192, en términos del Considerando Tercero de la presente resolución.</w:t>
      </w:r>
    </w:p>
    <w:p w:rsidR="00344F56" w:rsidRDefault="00344F56" w:rsidP="00344F56">
      <w:pPr>
        <w:spacing w:line="360" w:lineRule="auto"/>
        <w:jc w:val="both"/>
        <w:rPr>
          <w:rFonts w:ascii="Palatino Linotype" w:eastAsia="Palatino Linotype" w:hAnsi="Palatino Linotype" w:cs="Palatino Linotype"/>
          <w:b/>
          <w:sz w:val="20"/>
          <w:szCs w:val="20"/>
        </w:rPr>
      </w:pPr>
    </w:p>
    <w:p w:rsidR="00344F56" w:rsidRDefault="00344F56" w:rsidP="00344F56">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Segundo. Notifíquese vía </w:t>
      </w:r>
      <w:r>
        <w:rPr>
          <w:rFonts w:ascii="Palatino Linotype" w:eastAsia="Palatino Linotype" w:hAnsi="Palatino Linotype" w:cs="Palatino Linotype"/>
        </w:rPr>
        <w:t>Sistema de Acceso a la Información Mexiquense (</w:t>
      </w:r>
      <w:r>
        <w:rPr>
          <w:rFonts w:ascii="Palatino Linotype" w:eastAsia="Palatino Linotype" w:hAnsi="Palatino Linotype" w:cs="Palatino Linotype"/>
          <w:b/>
          <w:highlight w:val="white"/>
        </w:rPr>
        <w:t>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conocimiento. </w:t>
      </w:r>
    </w:p>
    <w:p w:rsidR="00344F56" w:rsidRDefault="00344F56" w:rsidP="00344F56">
      <w:pPr>
        <w:spacing w:line="360" w:lineRule="auto"/>
        <w:jc w:val="both"/>
        <w:rPr>
          <w:rFonts w:ascii="Palatino Linotype" w:eastAsia="Palatino Linotype" w:hAnsi="Palatino Linotype" w:cs="Palatino Linotype"/>
          <w:highlight w:val="white"/>
        </w:rPr>
      </w:pPr>
    </w:p>
    <w:p w:rsidR="00344F56" w:rsidRDefault="00344F56" w:rsidP="00344F5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a través </w:t>
      </w:r>
      <w:r>
        <w:rPr>
          <w:rFonts w:ascii="Palatino Linotype" w:eastAsia="Palatino Linotype" w:hAnsi="Palatino Linotype" w:cs="Palatino Linotype"/>
        </w:rPr>
        <w:t>del Sistema de Acceso a la Información Mexiquense</w:t>
      </w:r>
      <w:r>
        <w:rPr>
          <w:rFonts w:ascii="Palatino Linotype" w:eastAsia="Palatino Linotype" w:hAnsi="Palatino Linotype" w:cs="Palatino Linotype"/>
          <w:color w:val="980000"/>
          <w:highlight w:val="green"/>
        </w:rPr>
        <w:t xml:space="preserv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C8730C" w:rsidRDefault="00D23B6E">
      <w:pPr>
        <w:spacing w:before="240" w:after="240" w:line="360" w:lineRule="auto"/>
        <w:jc w:val="both"/>
        <w:rPr>
          <w:rFonts w:ascii="Palatino Linotype" w:eastAsia="Palatino Linotype" w:hAnsi="Palatino Linotype" w:cs="Palatino Linotype"/>
        </w:rPr>
      </w:pPr>
      <w:bookmarkStart w:id="6" w:name="_heading=h.3rdcrjn" w:colFirst="0" w:colLast="0"/>
      <w:bookmarkEnd w:id="6"/>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PRIMERO DE JUNIO DE DOS MIL VEINTIDÓS, ANTE EL SECRETARIO TÉCNICO DEL PLENO ALEXIS TAPIA RAMÍREZ.</w:t>
      </w:r>
    </w:p>
    <w:sectPr w:rsidR="00C8730C">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CE5" w:rsidRDefault="00E14CE5">
      <w:r>
        <w:separator/>
      </w:r>
    </w:p>
  </w:endnote>
  <w:endnote w:type="continuationSeparator" w:id="0">
    <w:p w:rsidR="00E14CE5" w:rsidRDefault="00E14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1D" w:rsidRDefault="00FF24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D73D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D73D9">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rsidR="00FF241D" w:rsidRDefault="00FF241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1D" w:rsidRDefault="00FF24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D73D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D73D9">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rsidR="00FF241D" w:rsidRDefault="00FF241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CE5" w:rsidRDefault="00E14CE5">
      <w:r>
        <w:separator/>
      </w:r>
    </w:p>
  </w:footnote>
  <w:footnote w:type="continuationSeparator" w:id="0">
    <w:p w:rsidR="00E14CE5" w:rsidRDefault="00E14CE5">
      <w:r>
        <w:continuationSeparator/>
      </w:r>
    </w:p>
  </w:footnote>
  <w:footnote w:id="1">
    <w:p w:rsidR="00FF241D" w:rsidRDefault="00FF241D">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Certificación, disponible en http://ihaem.edomex.gob.mx/que_es la_certificacion.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07" w:rsidRDefault="00A77307">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FF241D">
      <w:tc>
        <w:tcPr>
          <w:tcW w:w="2489" w:type="dxa"/>
          <w:shd w:val="clear" w:color="auto" w:fill="auto"/>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FF241D" w:rsidRDefault="00FF241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03164/INFOEM/IP/RR/2022</w:t>
          </w:r>
        </w:p>
      </w:tc>
    </w:tr>
    <w:tr w:rsidR="00FF241D">
      <w:trPr>
        <w:trHeight w:val="228"/>
      </w:trPr>
      <w:tc>
        <w:tcPr>
          <w:tcW w:w="2489"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FF241D" w:rsidRDefault="00FF241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FF241D">
      <w:tc>
        <w:tcPr>
          <w:tcW w:w="2489" w:type="dxa"/>
          <w:shd w:val="clear" w:color="auto" w:fill="auto"/>
          <w:vAlign w:val="center"/>
        </w:tcPr>
        <w:p w:rsidR="00FF241D" w:rsidRDefault="00FF241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FF241D" w:rsidRDefault="00FF241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77307" w:rsidRDefault="00A7730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1D" w:rsidRDefault="00FF241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FF241D">
      <w:tc>
        <w:tcPr>
          <w:tcW w:w="2551"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FF241D" w:rsidRDefault="00FF241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03164/INFOEM/IP/RR/2022</w:t>
          </w:r>
        </w:p>
      </w:tc>
    </w:tr>
    <w:tr w:rsidR="00FF241D">
      <w:trPr>
        <w:trHeight w:val="130"/>
      </w:trPr>
      <w:tc>
        <w:tcPr>
          <w:tcW w:w="2551"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FF241D" w:rsidRDefault="002D73D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 XXXXX.</w:t>
          </w:r>
        </w:p>
      </w:tc>
    </w:tr>
    <w:tr w:rsidR="00FF241D">
      <w:trPr>
        <w:trHeight w:val="228"/>
      </w:trPr>
      <w:tc>
        <w:tcPr>
          <w:tcW w:w="2551"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FF241D" w:rsidRDefault="00FF241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FF241D">
      <w:tc>
        <w:tcPr>
          <w:tcW w:w="2551"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FF241D" w:rsidRDefault="00FF241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F241D" w:rsidRDefault="00FF241D">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2D73D9"/>
    <w:rsid w:val="00344F56"/>
    <w:rsid w:val="005F5C11"/>
    <w:rsid w:val="00763B55"/>
    <w:rsid w:val="00A77307"/>
    <w:rsid w:val="00A9178B"/>
    <w:rsid w:val="00C8730C"/>
    <w:rsid w:val="00CE7E05"/>
    <w:rsid w:val="00D23B6E"/>
    <w:rsid w:val="00D51873"/>
    <w:rsid w:val="00E14CE5"/>
    <w:rsid w:val="00E415DF"/>
    <w:rsid w:val="00F6574D"/>
    <w:rsid w:val="00F7048A"/>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9956.page" TargetMode="External"/><Relationship Id="rId13" Type="http://schemas.openxmlformats.org/officeDocument/2006/relationships/hyperlink" Target="https://www.saimex.org.mx/saimex/solicitud/downloadAttach/1369214.page"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aimex.org.mx/saimex/solicitud/downloadAttach/1369213.page" TargetMode="External"/><Relationship Id="rId17" Type="http://schemas.openxmlformats.org/officeDocument/2006/relationships/hyperlink" Target="https://www.saimex.org.mx/saimex/solicitud/downloadAttach/1369215.pag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9957.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30</Pages>
  <Words>6325</Words>
  <Characters>34791</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Jhancarlo</cp:lastModifiedBy>
  <cp:revision>3</cp:revision>
  <dcterms:created xsi:type="dcterms:W3CDTF">2022-05-26T17:29:00Z</dcterms:created>
  <dcterms:modified xsi:type="dcterms:W3CDTF">2022-07-07T16:22:00Z</dcterms:modified>
</cp:coreProperties>
</file>