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2C1" w:rsidRDefault="00B872C1">
      <w:pPr>
        <w:widowControl w:val="0"/>
        <w:pBdr>
          <w:top w:val="nil"/>
          <w:left w:val="nil"/>
          <w:bottom w:val="nil"/>
          <w:right w:val="nil"/>
          <w:between w:val="nil"/>
        </w:pBdr>
        <w:spacing w:line="276" w:lineRule="auto"/>
      </w:pPr>
    </w:p>
    <w:p w:rsidR="00B872C1" w:rsidRDefault="00B872C1">
      <w:pPr>
        <w:widowControl w:val="0"/>
        <w:pBdr>
          <w:top w:val="nil"/>
          <w:left w:val="nil"/>
          <w:bottom w:val="nil"/>
          <w:right w:val="nil"/>
          <w:between w:val="nil"/>
        </w:pBdr>
        <w:spacing w:line="276" w:lineRule="auto"/>
      </w:pPr>
    </w:p>
    <w:p w:rsidR="00B872C1" w:rsidRDefault="00B872C1">
      <w:pPr>
        <w:widowControl w:val="0"/>
        <w:pBdr>
          <w:top w:val="nil"/>
          <w:left w:val="nil"/>
          <w:bottom w:val="nil"/>
          <w:right w:val="nil"/>
          <w:between w:val="nil"/>
        </w:pBdr>
        <w:spacing w:line="276" w:lineRule="auto"/>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veinte de abril de dos mil veintidós. </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00717/INFOEM/IP/RR/2022, </w:t>
      </w:r>
      <w:r>
        <w:rPr>
          <w:rFonts w:ascii="Palatino Linotype" w:eastAsia="Palatino Linotype" w:hAnsi="Palatino Linotype" w:cs="Palatino Linotype"/>
        </w:rPr>
        <w:t xml:space="preserve">promovido por la C. </w:t>
      </w:r>
      <w:r w:rsidR="006C464C">
        <w:rPr>
          <w:rFonts w:ascii="Palatino Linotype" w:eastAsia="Palatino Linotype" w:hAnsi="Palatino Linotype" w:cs="Palatino Linotype"/>
          <w:b/>
        </w:rPr>
        <w:t xml:space="preserve">XXXXXX XXXXX </w:t>
      </w:r>
      <w:proofErr w:type="spellStart"/>
      <w:r w:rsidR="006C464C">
        <w:rPr>
          <w:rFonts w:ascii="Palatino Linotype" w:eastAsia="Palatino Linotype" w:hAnsi="Palatino Linotype" w:cs="Palatino Linotype"/>
          <w:b/>
        </w:rPr>
        <w:t>XXXXX</w:t>
      </w:r>
      <w:proofErr w:type="spellEnd"/>
      <w:r>
        <w:rPr>
          <w:rFonts w:ascii="Palatino Linotype" w:eastAsia="Palatino Linotype" w:hAnsi="Palatino Linotype" w:cs="Palatino Linotype"/>
        </w:rPr>
        <w:t xml:space="preserve">, a quien en lo sucesivo se le denominara como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procede a dictar la presente resolución con base en lo siguiente:</w:t>
      </w:r>
    </w:p>
    <w:p w:rsidR="00B872C1" w:rsidRDefault="00B872C1">
      <w:pPr>
        <w:spacing w:line="360" w:lineRule="auto"/>
        <w:jc w:val="both"/>
        <w:rPr>
          <w:rFonts w:ascii="Palatino Linotype" w:eastAsia="Palatino Linotype" w:hAnsi="Palatino Linotype" w:cs="Palatino Linotype"/>
          <w:b/>
        </w:rPr>
      </w:pPr>
    </w:p>
    <w:p w:rsidR="00B872C1" w:rsidRDefault="00701E7C">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rsidR="00B872C1" w:rsidRDefault="00B872C1">
      <w:pPr>
        <w:rPr>
          <w:rFonts w:ascii="Palatino Linotype" w:eastAsia="Palatino Linotype" w:hAnsi="Palatino Linotype" w:cs="Palatino Linotype"/>
          <w:b/>
        </w:rPr>
      </w:pPr>
    </w:p>
    <w:p w:rsidR="00B872C1" w:rsidRDefault="00701E7C">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Pr>
          <w:rFonts w:ascii="Palatino Linotype" w:eastAsia="Palatino Linotype" w:hAnsi="Palatino Linotype" w:cs="Palatino Linotype"/>
          <w:b/>
          <w:sz w:val="28"/>
          <w:szCs w:val="28"/>
        </w:rPr>
        <w:t>I.</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Solicitud de Información</w:t>
      </w:r>
    </w:p>
    <w:p w:rsidR="00B872C1" w:rsidRDefault="00701E7C">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Pr>
          <w:rFonts w:ascii="Palatino Linotype" w:eastAsia="Palatino Linotype" w:hAnsi="Palatino Linotype" w:cs="Palatino Linotype"/>
        </w:rPr>
        <w:t xml:space="preserve">En fecha diecisiete de enero de dos mil veintidós,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 xml:space="preserve">00256/TOLUCA/IP/2022, </w:t>
      </w:r>
      <w:r>
        <w:rPr>
          <w:rFonts w:ascii="Palatino Linotype" w:eastAsia="Palatino Linotype" w:hAnsi="Palatino Linotype" w:cs="Palatino Linotype"/>
        </w:rPr>
        <w:t xml:space="preserve">mediante el cual </w:t>
      </w:r>
      <w:proofErr w:type="gramStart"/>
      <w:r>
        <w:rPr>
          <w:rFonts w:ascii="Palatino Linotype" w:eastAsia="Palatino Linotype" w:hAnsi="Palatino Linotype" w:cs="Palatino Linotype"/>
        </w:rPr>
        <w:t>requirió</w:t>
      </w:r>
      <w:proofErr w:type="gramEnd"/>
      <w:r>
        <w:rPr>
          <w:rFonts w:ascii="Palatino Linotype" w:eastAsia="Palatino Linotype" w:hAnsi="Palatino Linotype" w:cs="Palatino Linotype"/>
        </w:rPr>
        <w:t>, lo siguiente:</w:t>
      </w:r>
    </w:p>
    <w:p w:rsidR="00B872C1" w:rsidRDefault="00701E7C">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“¿Cuántas defunciones por Coronavirus se han registrado en la colonia Centro, Sor Juana </w:t>
      </w:r>
      <w:proofErr w:type="spellStart"/>
      <w:r>
        <w:rPr>
          <w:rFonts w:ascii="Palatino Linotype" w:eastAsia="Palatino Linotype" w:hAnsi="Palatino Linotype" w:cs="Palatino Linotype"/>
          <w:i/>
          <w:sz w:val="22"/>
          <w:szCs w:val="22"/>
        </w:rPr>
        <w:t>Ines</w:t>
      </w:r>
      <w:proofErr w:type="spellEnd"/>
      <w:r>
        <w:rPr>
          <w:rFonts w:ascii="Palatino Linotype" w:eastAsia="Palatino Linotype" w:hAnsi="Palatino Linotype" w:cs="Palatino Linotype"/>
          <w:i/>
          <w:sz w:val="22"/>
          <w:szCs w:val="22"/>
        </w:rPr>
        <w:t xml:space="preserve"> De la Cruz, Morelos, y en todas las delegaciones de Toluca? ¿Cuál es la colonia con más reportes de baches en todo el Municipio? Cuál es la colonia con más </w:t>
      </w:r>
      <w:r>
        <w:rPr>
          <w:rFonts w:ascii="Palatino Linotype" w:eastAsia="Palatino Linotype" w:hAnsi="Palatino Linotype" w:cs="Palatino Linotype"/>
          <w:i/>
          <w:sz w:val="22"/>
          <w:szCs w:val="22"/>
        </w:rPr>
        <w:lastRenderedPageBreak/>
        <w:t>robos casa-hogar</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¿Cuál es la colonia con mayor índice de homicidios? ¿Cuál es la colonia en el municipio de Toluca con menor contaminación ambiental? ¿Cuál es la colonia con mayor número de habitantes con edades entre 15 y 20 años? ¿Cuál es el porcentaje de desempleo en el municipio de Toluca? ¿En qué porcentaje aumentaron los desempleos desde el año 2020? ¿Cuál es la colonia con mayor índice de pobreza? ¿Cuál es el trastorno de salud mental más frecuente en los adolescentes de Toluca? ¿Cuántas personas con trastorno depresivo mayor se registraron en Toluca en el 2020? ¿Cuántas personas con trastornos de ansiedad se registraron en Toluca en el 2020? ¿Cuánto incremento o decremento el índice de suicidios de 2019 a 2020? 15. ¿Cuál es la razón de defunción más frecuente en las personas entre 25 y 35 años? Cuantas personas han muerto de COVID en Toluca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Cuantos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del Gobierno Municipal se han contagiado y cuantos han muerto. </w:t>
      </w:r>
      <w:proofErr w:type="spellStart"/>
      <w:r>
        <w:rPr>
          <w:rFonts w:ascii="Palatino Linotype" w:eastAsia="Palatino Linotype" w:hAnsi="Palatino Linotype" w:cs="Palatino Linotype"/>
          <w:i/>
          <w:sz w:val="22"/>
          <w:szCs w:val="22"/>
        </w:rPr>
        <w:t>Cuales</w:t>
      </w:r>
      <w:proofErr w:type="spellEnd"/>
      <w:r>
        <w:rPr>
          <w:rFonts w:ascii="Palatino Linotype" w:eastAsia="Palatino Linotype" w:hAnsi="Palatino Linotype" w:cs="Palatino Linotype"/>
          <w:i/>
          <w:sz w:val="22"/>
          <w:szCs w:val="22"/>
        </w:rPr>
        <w:t xml:space="preserve"> son los protocolos de sana distancia emplean en las oficinas Cuantos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están vacunados contra el </w:t>
      </w:r>
      <w:proofErr w:type="spellStart"/>
      <w:r>
        <w:rPr>
          <w:rFonts w:ascii="Palatino Linotype" w:eastAsia="Palatino Linotype" w:hAnsi="Palatino Linotype" w:cs="Palatino Linotype"/>
          <w:i/>
          <w:sz w:val="22"/>
          <w:szCs w:val="22"/>
        </w:rPr>
        <w:t>Covid</w:t>
      </w:r>
      <w:proofErr w:type="spellEnd"/>
      <w:r>
        <w:rPr>
          <w:rFonts w:ascii="Palatino Linotype" w:eastAsia="Palatino Linotype" w:hAnsi="Palatino Linotype" w:cs="Palatino Linotype"/>
          <w:i/>
          <w:sz w:val="22"/>
          <w:szCs w:val="22"/>
        </w:rPr>
        <w:t xml:space="preserve"> Cuantos no se han vacunado contra el COVID Cual es el horario laboral de todas las dependencias.”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B872C1" w:rsidRDefault="00B872C1">
      <w:pPr>
        <w:tabs>
          <w:tab w:val="left" w:pos="851"/>
        </w:tabs>
        <w:ind w:right="901"/>
        <w:jc w:val="both"/>
        <w:rPr>
          <w:rFonts w:ascii="Palatino Linotype" w:eastAsia="Palatino Linotype" w:hAnsi="Palatino Linotype" w:cs="Palatino Linotype"/>
          <w:sz w:val="22"/>
          <w:szCs w:val="22"/>
        </w:rPr>
      </w:pPr>
    </w:p>
    <w:p w:rsidR="00B872C1" w:rsidRDefault="00701E7C">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p>
    <w:p w:rsidR="00B872C1" w:rsidRDefault="00B872C1">
      <w:pPr>
        <w:widowControl w:val="0"/>
        <w:spacing w:line="360" w:lineRule="auto"/>
        <w:jc w:val="both"/>
        <w:rPr>
          <w:rFonts w:ascii="Palatino Linotype" w:eastAsia="Palatino Linotype" w:hAnsi="Palatino Linotype" w:cs="Palatino Linotype"/>
          <w:b/>
        </w:rPr>
      </w:pPr>
    </w:p>
    <w:p w:rsidR="00B872C1" w:rsidRDefault="00701E7C">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 Declaración de Incompetencia del Sujeto Obligado</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veinte de enero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declaró incompetente de forma parcial en términos de los establecido por la Ley de Transparencia y Acceso a la Información Pública del Estado de México y Municipios en su artículo 167, por medio del archivo denominado </w:t>
      </w:r>
      <w:r>
        <w:rPr>
          <w:rFonts w:ascii="Palatino Linotype" w:eastAsia="Palatino Linotype" w:hAnsi="Palatino Linotype" w:cs="Palatino Linotype"/>
          <w:i/>
        </w:rPr>
        <w:t xml:space="preserve">Incom_00256_2022.pdf </w:t>
      </w:r>
      <w:r>
        <w:rPr>
          <w:rFonts w:ascii="Palatino Linotype" w:eastAsia="Palatino Linotype" w:hAnsi="Palatino Linotype" w:cs="Palatino Linotype"/>
        </w:rPr>
        <w:t xml:space="preserve">del cual se advierte el Acuerdo de Incompetencia Parcial de fecha veinte de enero de dos mil veintidós firmado por la Titular de la Unidad de Transparencia señalando que no es la autoridad competente para conocer de los cuestionamientos siguientes: </w:t>
      </w:r>
      <w:r>
        <w:rPr>
          <w:rFonts w:ascii="Palatino Linotype" w:eastAsia="Palatino Linotype" w:hAnsi="Palatino Linotype" w:cs="Palatino Linotype"/>
          <w:i/>
          <w:sz w:val="22"/>
          <w:szCs w:val="22"/>
        </w:rPr>
        <w:t xml:space="preserve">¿Cuántas defunciones por Coronavirus se han registrado en la colonia Centro, Sor Juana </w:t>
      </w:r>
      <w:proofErr w:type="spellStart"/>
      <w:r>
        <w:rPr>
          <w:rFonts w:ascii="Palatino Linotype" w:eastAsia="Palatino Linotype" w:hAnsi="Palatino Linotype" w:cs="Palatino Linotype"/>
          <w:i/>
          <w:sz w:val="22"/>
          <w:szCs w:val="22"/>
        </w:rPr>
        <w:t>Ines</w:t>
      </w:r>
      <w:proofErr w:type="spellEnd"/>
      <w:r>
        <w:rPr>
          <w:rFonts w:ascii="Palatino Linotype" w:eastAsia="Palatino Linotype" w:hAnsi="Palatino Linotype" w:cs="Palatino Linotype"/>
          <w:i/>
          <w:sz w:val="22"/>
          <w:szCs w:val="22"/>
        </w:rPr>
        <w:t xml:space="preserve"> De la Cruz, Morelos, y en todas las delegaciones de Toluca? Cuál es la colonia con más robos casa-hogar</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¿Cuál es la colonia con mayor índice de homicidios? ¿Cuál es la colonia en el municipio de Toluca con menor contaminación ambiental? ¿Cuál es la colonia con mayor número de habitantes con edades entre 15 y 20 años? ¿Cuál </w:t>
      </w:r>
      <w:r>
        <w:rPr>
          <w:rFonts w:ascii="Palatino Linotype" w:eastAsia="Palatino Linotype" w:hAnsi="Palatino Linotype" w:cs="Palatino Linotype"/>
          <w:i/>
          <w:sz w:val="22"/>
          <w:szCs w:val="22"/>
        </w:rPr>
        <w:lastRenderedPageBreak/>
        <w:t>es el porcentaje de desempleo en el municipio de Toluca? ¿En qué porcentaje aumentaron los desempleos desde el año 2020? ¿Cuál es la colonia con mayor índice de pobreza? ¿Cuál es el trastorno de salud mental más frecuente en los adolescentes de Toluca? ¿Cuántas personas con trastorno depresivo mayor se registraron en Toluca en el 2020? ¿Cuántas personas con trastornos de ansiedad se registraron en Toluca en el 2020? ¿Cuánto incremento o decremento el índice de suicidios de 2019 a 2020? 15. ¿Cuál es la razón de defunción más frecuente en las personas entre 25 y 35 años? Cuantas personas han muerto de COVID en Toluca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 </w:t>
      </w:r>
      <w:r>
        <w:rPr>
          <w:rFonts w:ascii="Palatino Linotype" w:eastAsia="Palatino Linotype" w:hAnsi="Palatino Linotype" w:cs="Palatino Linotype"/>
        </w:rPr>
        <w:t xml:space="preserve">señalando como autoridades competentes para responder a los cuestionamientos anteriores a la Fiscalía General de Justicia del Estado de México, la Secretaría de Salud del Gobierno del Estado de México, el Instituto Nacional de  Estadística,  Geografía e Informática (INEGI), Secretaría de Medio Ambiente del Estado de México y al Sistema Municipal para el Desarrollo de Integral de la Familia del Municipio de Toluca. </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Declarándose competente para dar respuesta, únicamente de la parte de la solicitud en donde se requiere conocer: “</w:t>
      </w:r>
      <w:r>
        <w:rPr>
          <w:rFonts w:ascii="Palatino Linotype" w:eastAsia="Palatino Linotype" w:hAnsi="Palatino Linotype" w:cs="Palatino Linotype"/>
          <w:i/>
          <w:sz w:val="22"/>
          <w:szCs w:val="22"/>
        </w:rPr>
        <w:t xml:space="preserve">¿Cuál es la colonia con más reportes de baches en todo el </w:t>
      </w:r>
      <w:proofErr w:type="spellStart"/>
      <w:r>
        <w:rPr>
          <w:rFonts w:ascii="Palatino Linotype" w:eastAsia="Palatino Linotype" w:hAnsi="Palatino Linotype" w:cs="Palatino Linotype"/>
          <w:i/>
          <w:sz w:val="22"/>
          <w:szCs w:val="22"/>
        </w:rPr>
        <w:t>Municipio</w:t>
      </w:r>
      <w:proofErr w:type="gramStart"/>
      <w:r>
        <w:rPr>
          <w:rFonts w:ascii="Palatino Linotype" w:eastAsia="Palatino Linotype" w:hAnsi="Palatino Linotype" w:cs="Palatino Linotype"/>
          <w:i/>
          <w:sz w:val="22"/>
          <w:szCs w:val="22"/>
        </w:rPr>
        <w:t>?Cuantos</w:t>
      </w:r>
      <w:proofErr w:type="spellEnd"/>
      <w:proofErr w:type="gramEnd"/>
      <w:r>
        <w:rPr>
          <w:rFonts w:ascii="Palatino Linotype" w:eastAsia="Palatino Linotype" w:hAnsi="Palatino Linotype" w:cs="Palatino Linotype"/>
          <w:i/>
          <w:sz w:val="22"/>
          <w:szCs w:val="22"/>
        </w:rPr>
        <w:t xml:space="preserve">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del Gobierno Municipal se han contagiado y cuantos han muerto. </w:t>
      </w:r>
      <w:proofErr w:type="spellStart"/>
      <w:r>
        <w:rPr>
          <w:rFonts w:ascii="Palatino Linotype" w:eastAsia="Palatino Linotype" w:hAnsi="Palatino Linotype" w:cs="Palatino Linotype"/>
          <w:i/>
          <w:sz w:val="22"/>
          <w:szCs w:val="22"/>
        </w:rPr>
        <w:t>Cuales</w:t>
      </w:r>
      <w:proofErr w:type="spellEnd"/>
      <w:r>
        <w:rPr>
          <w:rFonts w:ascii="Palatino Linotype" w:eastAsia="Palatino Linotype" w:hAnsi="Palatino Linotype" w:cs="Palatino Linotype"/>
          <w:i/>
          <w:sz w:val="22"/>
          <w:szCs w:val="22"/>
        </w:rPr>
        <w:t xml:space="preserve"> son los protocolos de sana distancia emplean en las oficinas Cuantos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están vacunados contra el </w:t>
      </w:r>
      <w:proofErr w:type="spellStart"/>
      <w:r>
        <w:rPr>
          <w:rFonts w:ascii="Palatino Linotype" w:eastAsia="Palatino Linotype" w:hAnsi="Palatino Linotype" w:cs="Palatino Linotype"/>
          <w:i/>
          <w:sz w:val="22"/>
          <w:szCs w:val="22"/>
        </w:rPr>
        <w:t>Covid</w:t>
      </w:r>
      <w:proofErr w:type="spellEnd"/>
      <w:r>
        <w:rPr>
          <w:rFonts w:ascii="Palatino Linotype" w:eastAsia="Palatino Linotype" w:hAnsi="Palatino Linotype" w:cs="Palatino Linotype"/>
          <w:i/>
          <w:sz w:val="22"/>
          <w:szCs w:val="22"/>
        </w:rPr>
        <w:t xml:space="preserve"> Cuantos no se han vacunado contra el COVID,  Cual es el horario laboral de todas las dependencias.” (Sic)</w:t>
      </w:r>
    </w:p>
    <w:p w:rsidR="00B872C1" w:rsidRDefault="00B872C1">
      <w:pPr>
        <w:spacing w:line="360" w:lineRule="auto"/>
        <w:jc w:val="both"/>
        <w:rPr>
          <w:rFonts w:ascii="Palatino Linotype" w:eastAsia="Palatino Linotype" w:hAnsi="Palatino Linotype" w:cs="Palatino Linotype"/>
          <w:i/>
          <w:sz w:val="22"/>
          <w:szCs w:val="22"/>
        </w:rPr>
      </w:pPr>
    </w:p>
    <w:p w:rsidR="00B872C1" w:rsidRDefault="00701E7C">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Turno de requerimiento del Sujeto Obligado</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obran en el expediente electrónico del SAIMEX se advierte que la Titular de la Unidad de Transparencia turnó el contenido de la solicitud a los servidores públicos habilitados que estimó competentes, en términos de lo establecido </w:t>
      </w:r>
      <w:r>
        <w:rPr>
          <w:rFonts w:ascii="Palatino Linotype" w:eastAsia="Palatino Linotype" w:hAnsi="Palatino Linotype" w:cs="Palatino Linotype"/>
        </w:rPr>
        <w:lastRenderedPageBreak/>
        <w:t>por el artículo 162 de la Ley de Transparencia y Acceso a la Información Pública del Estado de México y Municipios como se puede apreciar en la imagen que se inserta a continuación:</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791200" cy="1787808"/>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t="15069"/>
                    <a:stretch>
                      <a:fillRect/>
                    </a:stretch>
                  </pic:blipFill>
                  <pic:spPr>
                    <a:xfrm>
                      <a:off x="0" y="0"/>
                      <a:ext cx="5791200" cy="1787808"/>
                    </a:xfrm>
                    <a:prstGeom prst="rect">
                      <a:avLst/>
                    </a:prstGeom>
                    <a:ln/>
                  </pic:spPr>
                </pic:pic>
              </a:graphicData>
            </a:graphic>
          </wp:inline>
        </w:drawing>
      </w:r>
    </w:p>
    <w:p w:rsidR="00B872C1" w:rsidRDefault="00B872C1">
      <w:pPr>
        <w:widowControl w:val="0"/>
        <w:jc w:val="both"/>
        <w:rPr>
          <w:rFonts w:ascii="Palatino Linotype" w:eastAsia="Palatino Linotype" w:hAnsi="Palatino Linotype" w:cs="Palatino Linotype"/>
          <w:b/>
        </w:rPr>
      </w:pPr>
    </w:p>
    <w:p w:rsidR="00B872C1" w:rsidRDefault="00701E7C">
      <w:pPr>
        <w:widowControl w:val="0"/>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Respuesta del Sujeto Obligado</w:t>
      </w: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ocho de febrero de dos mil veintidós, los servidores públicos habilitados dieron respuesta a la solicitud de información, la cual fue notificada a la particular en la misma fecha. </w:t>
      </w:r>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“Toluca, México a 08 de Febrero de 2022</w:t>
      </w:r>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del solicitante: </w:t>
      </w:r>
      <w:r w:rsidR="006C464C">
        <w:rPr>
          <w:rFonts w:ascii="Palatino Linotype" w:eastAsia="Palatino Linotype" w:hAnsi="Palatino Linotype" w:cs="Palatino Linotype"/>
          <w:i/>
          <w:sz w:val="22"/>
          <w:szCs w:val="22"/>
        </w:rPr>
        <w:t xml:space="preserve">XXXXXX XXXXX </w:t>
      </w:r>
      <w:proofErr w:type="spellStart"/>
      <w:r w:rsidR="006C464C">
        <w:rPr>
          <w:rFonts w:ascii="Palatino Linotype" w:eastAsia="Palatino Linotype" w:hAnsi="Palatino Linotype" w:cs="Palatino Linotype"/>
          <w:i/>
          <w:sz w:val="22"/>
          <w:szCs w:val="22"/>
        </w:rPr>
        <w:t>XXXXX</w:t>
      </w:r>
      <w:proofErr w:type="spellEnd"/>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00256/TOLUCA/IP/2022</w:t>
      </w:r>
    </w:p>
    <w:p w:rsidR="00B872C1" w:rsidRDefault="00B872C1">
      <w:pPr>
        <w:widowControl w:val="0"/>
        <w:ind w:left="850" w:right="899"/>
        <w:jc w:val="both"/>
        <w:rPr>
          <w:rFonts w:ascii="Palatino Linotype" w:eastAsia="Palatino Linotype" w:hAnsi="Palatino Linotype" w:cs="Palatino Linotype"/>
          <w:i/>
          <w:sz w:val="22"/>
          <w:szCs w:val="22"/>
        </w:rPr>
      </w:pPr>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00256/TOLUCA/IP/2022, me permito adjuntar al presente la respuesta correspondiente. Sin más por el momento, le envío un cordial saludo</w:t>
      </w:r>
    </w:p>
    <w:p w:rsidR="00B872C1" w:rsidRDefault="00B872C1">
      <w:pPr>
        <w:widowControl w:val="0"/>
        <w:ind w:left="850" w:right="899"/>
        <w:jc w:val="both"/>
        <w:rPr>
          <w:rFonts w:ascii="Palatino Linotype" w:eastAsia="Palatino Linotype" w:hAnsi="Palatino Linotype" w:cs="Palatino Linotype"/>
          <w:i/>
          <w:sz w:val="22"/>
          <w:szCs w:val="22"/>
        </w:rPr>
      </w:pPr>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B872C1" w:rsidRDefault="00701E7C">
      <w:pPr>
        <w:widowControl w:val="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rsidR="00B872C1" w:rsidRDefault="00B872C1">
      <w:pPr>
        <w:widowControl w:val="0"/>
        <w:spacing w:line="360" w:lineRule="auto"/>
        <w:jc w:val="both"/>
        <w:rPr>
          <w:rFonts w:ascii="Palatino Linotype" w:eastAsia="Palatino Linotype" w:hAnsi="Palatino Linotype" w:cs="Palatino Linotype"/>
        </w:rPr>
      </w:pP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dicha respuesta adjuntó diversos archivos, los cuales se describen a continuación: </w:t>
      </w:r>
    </w:p>
    <w:p w:rsidR="00B872C1" w:rsidRDefault="00701E7C">
      <w:pPr>
        <w:widowControl w:val="0"/>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denominado </w:t>
      </w:r>
      <w:r>
        <w:rPr>
          <w:rFonts w:ascii="Palatino Linotype" w:eastAsia="Palatino Linotype" w:hAnsi="Palatino Linotype" w:cs="Palatino Linotype"/>
          <w:i/>
        </w:rPr>
        <w:t>“Tol-pdf-upl-pdm-2019-2021.pdf</w:t>
      </w:r>
      <w:r>
        <w:rPr>
          <w:rFonts w:ascii="Palatino Linotype" w:eastAsia="Palatino Linotype" w:hAnsi="Palatino Linotype" w:cs="Palatino Linotype"/>
        </w:rPr>
        <w:t xml:space="preserve">” que consta de 392 hojas de las cuales se advierte la Gaceta Municipal Especial del Ayuntamiento de Toluca de fecha veintinueve de marzo de dos mil diecinueve que contiene la publicación del Plan de Desarrollo Municipal de Toluca 2019-2021. </w:t>
      </w:r>
    </w:p>
    <w:p w:rsidR="00B872C1" w:rsidRDefault="00701E7C">
      <w:pPr>
        <w:widowControl w:val="0"/>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de nombre </w:t>
      </w:r>
      <w:r>
        <w:rPr>
          <w:rFonts w:ascii="Palatino Linotype" w:eastAsia="Palatino Linotype" w:hAnsi="Palatino Linotype" w:cs="Palatino Linotype"/>
          <w:i/>
        </w:rPr>
        <w:t>“Población Toluca-Localidad.pdf”</w:t>
      </w:r>
      <w:r>
        <w:rPr>
          <w:rFonts w:ascii="Palatino Linotype" w:eastAsia="Palatino Linotype" w:hAnsi="Palatino Linotype" w:cs="Palatino Linotype"/>
        </w:rPr>
        <w:t xml:space="preserve"> mismo que contiene ocho hojas en donde se aprecia un tabla de la población urbana y rural de Toluca, señalando Localidad y número de población total, así como gráficas de porcentaje de población urbana y rural. </w:t>
      </w:r>
    </w:p>
    <w:p w:rsidR="00B872C1" w:rsidRDefault="00701E7C">
      <w:pPr>
        <w:widowControl w:val="0"/>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denominado niños y adolescentes.pdf que indica la población infantil del 2000 al 2015 segmentada por hombres y mujeres, la cantidad de menores trabajadores  en el año 2017, la dependencia infantil según sexo en el año 2015 y el volumen y participación de la población juvenil. </w:t>
      </w:r>
    </w:p>
    <w:p w:rsidR="00B872C1" w:rsidRDefault="00701E7C">
      <w:pPr>
        <w:widowControl w:val="0"/>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de nombre REPORTE VACUNACION.pdf: que es un informe expedido por la Dirección de Recursos Humanos, dependiente de la Dirección General de Administración en donde señala la cantidad de servidores públicos por dirección o con esquema de vacunación contra COVID-19 competo y el personal sin vacuna. </w:t>
      </w:r>
    </w:p>
    <w:p w:rsidR="00B872C1" w:rsidRDefault="00701E7C">
      <w:pPr>
        <w:widowControl w:val="0"/>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denominado REPORTE COVID.pdf, que de igual manera fue expedido por la Dirección de Recursos Humanos donde señala por área o dirección, el número de casos positivos de COVID, sospechosos y fallecidos hasta enero del 2022. </w:t>
      </w:r>
    </w:p>
    <w:p w:rsidR="00B872C1" w:rsidRDefault="00701E7C">
      <w:pPr>
        <w:widowControl w:val="0"/>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de nombre Respuesta_SAIMEX_0256_2022....</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en el cual se </w:t>
      </w:r>
      <w:r>
        <w:rPr>
          <w:rFonts w:ascii="Palatino Linotype" w:eastAsia="Palatino Linotype" w:hAnsi="Palatino Linotype" w:cs="Palatino Linotype"/>
        </w:rPr>
        <w:lastRenderedPageBreak/>
        <w:t xml:space="preserve">advierte la respuesta formal emitida por la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la solicitud de Acceso a la Información. </w:t>
      </w: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B872C1" w:rsidRDefault="00701E7C">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IV. Del Recurso de Revisión</w:t>
      </w:r>
      <w:r>
        <w:rPr>
          <w:rFonts w:ascii="Palatino Linotype" w:eastAsia="Palatino Linotype" w:hAnsi="Palatino Linotype" w:cs="Palatino Linotype"/>
          <w:b/>
        </w:rPr>
        <w:t>.</w:t>
      </w: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r>
        <w:rPr>
          <w:rFonts w:ascii="Palatino Linotype" w:eastAsia="Palatino Linotype" w:hAnsi="Palatino Linotype" w:cs="Palatino Linotype"/>
        </w:rPr>
        <w:t>Inconforme por la respuesta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el diez de febrero de dos mil veintidós,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El cual fue registrado en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y se le asignó el número de expediente </w:t>
      </w:r>
      <w:r>
        <w:rPr>
          <w:rFonts w:ascii="Palatino Linotype" w:eastAsia="Palatino Linotype" w:hAnsi="Palatino Linotype" w:cs="Palatino Linotype"/>
          <w:b/>
        </w:rPr>
        <w:t xml:space="preserve">00717/INFOEM/IP/RR/2022, </w:t>
      </w:r>
      <w:r>
        <w:rPr>
          <w:rFonts w:ascii="Palatino Linotype" w:eastAsia="Palatino Linotype" w:hAnsi="Palatino Linotype" w:cs="Palatino Linotype"/>
        </w:rPr>
        <w:t xml:space="preserve">donde los motivos de agravio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fueron los siguientes:</w:t>
      </w:r>
    </w:p>
    <w:p w:rsidR="00B872C1" w:rsidRDefault="00B872C1">
      <w:pPr>
        <w:spacing w:line="360" w:lineRule="auto"/>
        <w:ind w:left="-57" w:right="-57"/>
        <w:jc w:val="both"/>
        <w:rPr>
          <w:rFonts w:ascii="Palatino Linotype" w:eastAsia="Palatino Linotype" w:hAnsi="Palatino Linotype" w:cs="Palatino Linotype"/>
        </w:rPr>
      </w:pPr>
    </w:p>
    <w:p w:rsidR="00B872C1" w:rsidRDefault="00701E7C">
      <w:pPr>
        <w:spacing w:line="360" w:lineRule="auto"/>
        <w:ind w:left="-57" w:right="-57"/>
        <w:jc w:val="both"/>
        <w:rPr>
          <w:rFonts w:ascii="Palatino Linotype" w:eastAsia="Palatino Linotype" w:hAnsi="Palatino Linotype" w:cs="Palatino Linotype"/>
          <w:b/>
          <w:u w:val="single"/>
        </w:rPr>
      </w:pPr>
      <w:r>
        <w:rPr>
          <w:rFonts w:ascii="Palatino Linotype" w:eastAsia="Palatino Linotype" w:hAnsi="Palatino Linotype" w:cs="Palatino Linotype"/>
          <w:b/>
          <w:u w:val="single"/>
        </w:rPr>
        <w:t>Acto Impugnado:</w:t>
      </w:r>
      <w:r>
        <w:rPr>
          <w:b/>
          <w:u w:val="single"/>
        </w:rPr>
        <w:t xml:space="preserve"> </w:t>
      </w:r>
    </w:p>
    <w:p w:rsidR="00B872C1" w:rsidRDefault="00701E7C">
      <w:pPr>
        <w:tabs>
          <w:tab w:val="left" w:pos="709"/>
        </w:tabs>
        <w:spacing w:before="66"/>
        <w:ind w:left="850"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B872C1" w:rsidRDefault="00B872C1">
      <w:pPr>
        <w:tabs>
          <w:tab w:val="left" w:pos="709"/>
        </w:tabs>
        <w:spacing w:before="66"/>
        <w:ind w:left="850" w:right="899"/>
        <w:rPr>
          <w:rFonts w:ascii="Palatino Linotype" w:eastAsia="Palatino Linotype" w:hAnsi="Palatino Linotype" w:cs="Palatino Linotype"/>
          <w:b/>
          <w:i/>
          <w:sz w:val="20"/>
          <w:szCs w:val="20"/>
          <w:u w:val="single"/>
        </w:rPr>
      </w:pPr>
    </w:p>
    <w:p w:rsidR="00B872C1" w:rsidRDefault="00701E7C">
      <w:pPr>
        <w:tabs>
          <w:tab w:val="left" w:pos="709"/>
        </w:tabs>
        <w:spacing w:before="66"/>
        <w:rPr>
          <w:rFonts w:ascii="Palatino Linotype" w:eastAsia="Palatino Linotype" w:hAnsi="Palatino Linotype" w:cs="Palatino Linotype"/>
          <w:b/>
          <w:u w:val="single"/>
        </w:rPr>
      </w:pPr>
      <w:r>
        <w:rPr>
          <w:rFonts w:ascii="Palatino Linotype" w:eastAsia="Palatino Linotype" w:hAnsi="Palatino Linotype" w:cs="Palatino Linotype"/>
          <w:b/>
          <w:u w:val="single"/>
        </w:rPr>
        <w:t>Razones o motivos de la inconformidad:</w:t>
      </w:r>
    </w:p>
    <w:p w:rsidR="00B872C1" w:rsidRDefault="00B872C1">
      <w:pPr>
        <w:tabs>
          <w:tab w:val="left" w:pos="709"/>
        </w:tabs>
        <w:spacing w:before="66"/>
        <w:rPr>
          <w:rFonts w:ascii="Palatino Linotype" w:eastAsia="Palatino Linotype" w:hAnsi="Palatino Linotype" w:cs="Palatino Linotype"/>
        </w:rPr>
      </w:pPr>
    </w:p>
    <w:p w:rsidR="00B872C1" w:rsidRDefault="00701E7C">
      <w:pPr>
        <w:ind w:left="850" w:right="89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“No me entregaron la información solicitada, ni los oficios de respuesta de las áreas a las que fue turnada la solicitud, con esa respuesta no colma lo solicitado por no incluir la expresión documental.”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B872C1" w:rsidRDefault="00B872C1">
      <w:pPr>
        <w:spacing w:line="360" w:lineRule="auto"/>
        <w:jc w:val="both"/>
        <w:rPr>
          <w:rFonts w:ascii="Palatino Linotype" w:eastAsia="Palatino Linotype" w:hAnsi="Palatino Linotype" w:cs="Palatino Linotype"/>
          <w:sz w:val="22"/>
          <w:szCs w:val="22"/>
        </w:rPr>
      </w:pPr>
    </w:p>
    <w:p w:rsidR="00B872C1" w:rsidRDefault="00701E7C">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V. Del turno del Recurso de Revisión. </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diez de febrero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w:t>
      </w:r>
      <w:r>
        <w:rPr>
          <w:rFonts w:ascii="Palatino Linotype" w:eastAsia="Palatino Linotype" w:hAnsi="Palatino Linotype" w:cs="Palatino Linotype"/>
        </w:rPr>
        <w:lastRenderedPageBreak/>
        <w:t xml:space="preserve">Pública del Estado de México y Municipios, se turnó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a efecto de decretar su admisión o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B872C1" w:rsidRDefault="00B872C1">
      <w:pPr>
        <w:spacing w:line="360" w:lineRule="auto"/>
        <w:jc w:val="both"/>
        <w:rPr>
          <w:rFonts w:ascii="Palatino Linotype" w:eastAsia="Palatino Linotype" w:hAnsi="Palatino Linotype" w:cs="Palatino Linotype"/>
        </w:rPr>
      </w:pPr>
    </w:p>
    <w:p w:rsidR="00B872C1" w:rsidRDefault="00701E7C">
      <w:pPr>
        <w:tabs>
          <w:tab w:val="center" w:pos="4252"/>
          <w:tab w:val="right" w:pos="850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Admisión del Recurso de Revisión</w:t>
      </w:r>
    </w:p>
    <w:p w:rsidR="00B872C1" w:rsidRDefault="00701E7C">
      <w:pPr>
        <w:tabs>
          <w:tab w:val="center" w:pos="4252"/>
          <w:tab w:val="right" w:pos="85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obran en 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advierte que en fecha quince de febrero de dos mil veintidós, se acordó la admisión a trámite del recurso de revisión que nos ocupan; así como la integración del expediente respectivo, mismo que se puso a disposición de las partes, para que en un plazo máximo de siete días hábiles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manifestara lo que a su derecho conviniera, a efecto de presentar pruebas y alegatos; así como, para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rindiera el correspondiente</w:t>
      </w:r>
      <w:r>
        <w:rPr>
          <w:rFonts w:ascii="Palatino Linotype" w:eastAsia="Palatino Linotype" w:hAnsi="Palatino Linotype" w:cs="Palatino Linotype"/>
          <w:b/>
        </w:rPr>
        <w:t xml:space="preserve"> </w:t>
      </w:r>
      <w:r>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rsidR="00B872C1" w:rsidRDefault="00B872C1">
      <w:pPr>
        <w:tabs>
          <w:tab w:val="center" w:pos="4252"/>
          <w:tab w:val="right" w:pos="8504"/>
        </w:tabs>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Informe Justificado</w:t>
      </w:r>
    </w:p>
    <w:p w:rsidR="00B872C1" w:rsidRDefault="00701E7C">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las constancias que obran en el expediente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las manifestaciones que conforme a derecho le correspondían. </w:t>
      </w:r>
    </w:p>
    <w:p w:rsidR="00B872C1" w:rsidRDefault="00B872C1">
      <w:pPr>
        <w:widowControl w:val="0"/>
        <w:tabs>
          <w:tab w:val="left" w:pos="0"/>
        </w:tabs>
        <w:spacing w:line="360" w:lineRule="auto"/>
        <w:jc w:val="both"/>
        <w:rPr>
          <w:rFonts w:ascii="Palatino Linotype" w:eastAsia="Palatino Linotype" w:hAnsi="Palatino Linotype" w:cs="Palatino Linotype"/>
        </w:rPr>
      </w:pPr>
    </w:p>
    <w:p w:rsidR="00B872C1" w:rsidRDefault="00701E7C">
      <w:pPr>
        <w:widowControl w:val="0"/>
        <w:tabs>
          <w:tab w:val="left" w:pos="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presentó su Informe Justificado, mediante el documento denominado </w:t>
      </w:r>
      <w:r>
        <w:rPr>
          <w:rFonts w:ascii="Palatino Linotype" w:eastAsia="Palatino Linotype" w:hAnsi="Palatino Linotype" w:cs="Palatino Linotype"/>
          <w:i/>
        </w:rPr>
        <w:tab/>
        <w:t xml:space="preserve">Informe Justificado 00687_2022.pdf </w:t>
      </w:r>
      <w:r>
        <w:rPr>
          <w:rFonts w:ascii="Palatino Linotype" w:eastAsia="Palatino Linotype" w:hAnsi="Palatino Linotype" w:cs="Palatino Linotype"/>
        </w:rPr>
        <w:t xml:space="preserve">de cuyo contenido se </w:t>
      </w:r>
      <w:r>
        <w:rPr>
          <w:rFonts w:ascii="Palatino Linotype" w:eastAsia="Palatino Linotype" w:hAnsi="Palatino Linotype" w:cs="Palatino Linotype"/>
        </w:rPr>
        <w:lastRenderedPageBreak/>
        <w:t xml:space="preserve">advierte el oficio UT/RR/0023/2022 firmado por la Titular de la Unidad de Transparencia en fecha veintidós de febrero de dos mil veintidós en el cual  ratifica su respuesta primigenia, en lo que respecta a la incompetencia parcial y las respuestas otorgadas con motivo del resto de la solicitud de información </w:t>
      </w:r>
    </w:p>
    <w:p w:rsidR="00B872C1" w:rsidRDefault="00B872C1">
      <w:pPr>
        <w:widowControl w:val="0"/>
        <w:tabs>
          <w:tab w:val="left" w:pos="0"/>
        </w:tabs>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 Del </w:t>
      </w:r>
      <w:proofErr w:type="spellStart"/>
      <w:r>
        <w:rPr>
          <w:rFonts w:ascii="Palatino Linotype" w:eastAsia="Palatino Linotype" w:hAnsi="Palatino Linotype" w:cs="Palatino Linotype"/>
          <w:b/>
        </w:rPr>
        <w:t>returno</w:t>
      </w:r>
      <w:proofErr w:type="spellEnd"/>
      <w:r>
        <w:rPr>
          <w:rFonts w:ascii="Palatino Linotype" w:eastAsia="Palatino Linotype" w:hAnsi="Palatino Linotype" w:cs="Palatino Linotype"/>
          <w:b/>
        </w:rPr>
        <w:t xml:space="preserve"> del Recurso de Revisión</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Novena Sesión Ordinaria de fecha nueve de marzo de dos mil veintidós, por acuerdo del Pleno de este Órgano Garante, fue </w:t>
      </w:r>
      <w:proofErr w:type="spellStart"/>
      <w:r>
        <w:rPr>
          <w:rFonts w:ascii="Palatino Linotype" w:eastAsia="Palatino Linotype" w:hAnsi="Palatino Linotype" w:cs="Palatino Linotype"/>
        </w:rPr>
        <w:t>returnado</w:t>
      </w:r>
      <w:proofErr w:type="spellEnd"/>
      <w:r>
        <w:rPr>
          <w:rFonts w:ascii="Palatino Linotype" w:eastAsia="Palatino Linotype" w:hAnsi="Palatino Linotype" w:cs="Palatino Linotype"/>
        </w:rPr>
        <w:t xml:space="preserve"> el Recurso de Revisión número</w:t>
      </w:r>
      <w:r>
        <w:rPr>
          <w:rFonts w:ascii="Palatino Linotype" w:eastAsia="Palatino Linotype" w:hAnsi="Palatino Linotype" w:cs="Palatino Linotype"/>
          <w:b/>
        </w:rPr>
        <w:t xml:space="preserve"> 00717/INFOEM/IP/RR/2022 </w:t>
      </w:r>
      <w:r>
        <w:rPr>
          <w:rFonts w:ascii="Palatino Linotype" w:eastAsia="Palatino Linotype" w:hAnsi="Palatino Linotype" w:cs="Palatino Linotype"/>
        </w:rPr>
        <w:t xml:space="preserve">a la </w:t>
      </w:r>
      <w:r>
        <w:rPr>
          <w:rFonts w:ascii="Palatino Linotype" w:eastAsia="Palatino Linotype" w:hAnsi="Palatino Linotype" w:cs="Palatino Linotype"/>
          <w:b/>
        </w:rPr>
        <w:t>Comisionada Sharon Cristina Morales Martínez</w:t>
      </w:r>
      <w:r>
        <w:rPr>
          <w:rFonts w:ascii="Palatino Linotype" w:eastAsia="Palatino Linotype" w:hAnsi="Palatino Linotype" w:cs="Palatino Linotype"/>
        </w:rPr>
        <w:t xml:space="preserve"> para su resolución y presentación al Pleno.</w:t>
      </w:r>
    </w:p>
    <w:p w:rsidR="00B872C1" w:rsidRDefault="00B872C1">
      <w:pPr>
        <w:spacing w:line="360" w:lineRule="auto"/>
        <w:jc w:val="both"/>
        <w:rPr>
          <w:rFonts w:ascii="Palatino Linotype" w:eastAsia="Palatino Linotype" w:hAnsi="Palatino Linotype" w:cs="Palatino Linotype"/>
          <w:b/>
        </w:rPr>
      </w:pPr>
    </w:p>
    <w:p w:rsidR="00B872C1" w:rsidRDefault="00701E7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d) De la ampliación </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primero de abril de dos mil veintidós, se notificó el acuerdo de ampliación de plazo para resolver el presente Recurso de Revisión, previsto en el artículo 181, tercer párrafo de la Ley de Transparencia y Acceso a la Información Pública del Estado de México y Municipios; y, </w:t>
      </w:r>
    </w:p>
    <w:p w:rsidR="00B872C1" w:rsidRDefault="00B872C1">
      <w:pPr>
        <w:spacing w:line="360" w:lineRule="auto"/>
        <w:jc w:val="both"/>
        <w:rPr>
          <w:rFonts w:ascii="Palatino Linotype" w:eastAsia="Palatino Linotype" w:hAnsi="Palatino Linotype" w:cs="Palatino Linotype"/>
          <w:b/>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e) Cierre de Instrucción</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analizado el estado procesal que guardaba el expediente, en fecha  19 de abril de dos mil veintidós, la </w:t>
      </w:r>
      <w:r>
        <w:rPr>
          <w:rFonts w:ascii="Palatino Linotype" w:eastAsia="Palatino Linotype" w:hAnsi="Palatino Linotype" w:cs="Palatino Linotype"/>
          <w:b/>
        </w:rPr>
        <w:t xml:space="preserve">Comisionada Sharon Cristina Morales Martínez </w:t>
      </w:r>
      <w:r>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w:t>
      </w:r>
      <w:r>
        <w:rPr>
          <w:rFonts w:ascii="Palatino Linotype" w:eastAsia="Palatino Linotype" w:hAnsi="Palatino Linotype" w:cs="Palatino Linotype"/>
        </w:rPr>
        <w:lastRenderedPageBreak/>
        <w:t>Transparencia y Acceso a la Información Pública del Estado de México y Municipios; y,</w:t>
      </w: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701E7C">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CONSIDERANDO</w:t>
      </w:r>
    </w:p>
    <w:p w:rsidR="00B872C1" w:rsidRDefault="00B872C1">
      <w:pPr>
        <w:jc w:val="center"/>
        <w:rPr>
          <w:rFonts w:ascii="Palatino Linotype" w:eastAsia="Palatino Linotype" w:hAnsi="Palatino Linotype" w:cs="Palatino Linotype"/>
          <w:b/>
          <w:sz w:val="28"/>
          <w:szCs w:val="28"/>
        </w:rPr>
      </w:pPr>
    </w:p>
    <w:p w:rsidR="00B872C1" w:rsidRDefault="00701E7C">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Competencia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rsidR="00B872C1" w:rsidRDefault="00701E7C">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B872C1" w:rsidRDefault="00B872C1">
      <w:pPr>
        <w:widowControl w:val="0"/>
        <w:tabs>
          <w:tab w:val="left" w:pos="1701"/>
          <w:tab w:val="left" w:pos="2977"/>
        </w:tabs>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Interés. </w:t>
      </w:r>
    </w:p>
    <w:p w:rsidR="00B872C1" w:rsidRDefault="00701E7C">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Los Recursos de Revisión materia del presente estudio fueron interpuestos por parte legítima, en atención a que se presentó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 xml:space="preserve">SUJETO </w:t>
      </w:r>
      <w:r>
        <w:rPr>
          <w:rFonts w:ascii="Palatino Linotype" w:eastAsia="Palatino Linotype" w:hAnsi="Palatino Linotype" w:cs="Palatino Linotype"/>
          <w:b/>
          <w:color w:val="000000"/>
        </w:rPr>
        <w:lastRenderedPageBreak/>
        <w:t xml:space="preserve">OBLIGADO, </w:t>
      </w:r>
      <w:r>
        <w:rPr>
          <w:rFonts w:ascii="Palatino Linotype" w:eastAsia="Palatino Linotype" w:hAnsi="Palatino Linotype" w:cs="Palatino Linotype"/>
          <w:color w:val="000000"/>
        </w:rPr>
        <w:t xml:space="preserve">pues para ello, es necesario que el particular ingrese al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mediante la utilización de su clave de usuario y contraseña.</w:t>
      </w:r>
    </w:p>
    <w:p w:rsidR="00B872C1" w:rsidRDefault="00B872C1">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B872C1" w:rsidRDefault="00701E7C">
      <w:pPr>
        <w:tabs>
          <w:tab w:val="center" w:pos="4252"/>
          <w:tab w:val="right" w:pos="8504"/>
        </w:tabs>
        <w:spacing w:line="360" w:lineRule="auto"/>
        <w:ind w:left="-57"/>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Oportunidad</w:t>
      </w:r>
      <w:r>
        <w:rPr>
          <w:rFonts w:ascii="Palatino Linotype" w:eastAsia="Palatino Linotype" w:hAnsi="Palatino Linotype" w:cs="Palatino Linotype"/>
          <w:color w:val="000000"/>
        </w:rPr>
        <w:t xml:space="preserve">. </w:t>
      </w:r>
    </w:p>
    <w:p w:rsidR="00B872C1" w:rsidRDefault="00701E7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Pr>
          <w:rFonts w:ascii="Palatino Linotype" w:eastAsia="Palatino Linotype" w:hAnsi="Palatino Linotype" w:cs="Palatino Linotype"/>
          <w:b/>
        </w:rPr>
        <w:t>LA</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rsidR="00B872C1" w:rsidRDefault="00B872C1">
      <w:pPr>
        <w:ind w:left="720" w:right="709"/>
        <w:jc w:val="both"/>
        <w:rPr>
          <w:rFonts w:ascii="Palatino Linotype" w:eastAsia="Palatino Linotype" w:hAnsi="Palatino Linotype" w:cs="Palatino Linotype"/>
          <w:i/>
          <w:sz w:val="22"/>
          <w:szCs w:val="22"/>
        </w:rPr>
      </w:pPr>
    </w:p>
    <w:p w:rsidR="00B872C1" w:rsidRDefault="00701E7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872C1" w:rsidRDefault="00B872C1">
      <w:pPr>
        <w:ind w:left="851" w:right="899"/>
        <w:jc w:val="both"/>
        <w:rPr>
          <w:rFonts w:ascii="Palatino Linotype" w:eastAsia="Palatino Linotype" w:hAnsi="Palatino Linotype" w:cs="Palatino Linotype"/>
          <w:i/>
          <w:sz w:val="22"/>
          <w:szCs w:val="22"/>
        </w:rPr>
      </w:pPr>
    </w:p>
    <w:p w:rsidR="00B872C1" w:rsidRDefault="00701E7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872C1" w:rsidRDefault="00B872C1">
      <w:pPr>
        <w:ind w:left="851" w:right="899"/>
        <w:jc w:val="both"/>
        <w:rPr>
          <w:rFonts w:ascii="Palatino Linotype" w:eastAsia="Palatino Linotype" w:hAnsi="Palatino Linotype" w:cs="Palatino Linotype"/>
          <w:i/>
          <w:sz w:val="22"/>
          <w:szCs w:val="22"/>
        </w:rPr>
      </w:pPr>
    </w:p>
    <w:p w:rsidR="00B872C1" w:rsidRDefault="00701E7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B872C1" w:rsidRDefault="00B872C1">
      <w:pPr>
        <w:ind w:left="720" w:right="709"/>
        <w:jc w:val="both"/>
        <w:rPr>
          <w:rFonts w:ascii="Palatino Linotype" w:eastAsia="Palatino Linotype" w:hAnsi="Palatino Linotype" w:cs="Palatino Linotype"/>
          <w:i/>
          <w:sz w:val="22"/>
          <w:szCs w:val="22"/>
        </w:rPr>
      </w:pPr>
    </w:p>
    <w:p w:rsidR="00B872C1" w:rsidRDefault="00701E7C">
      <w:pPr>
        <w:spacing w:line="360" w:lineRule="auto"/>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acceso a la información pública el día</w:t>
      </w:r>
      <w:r>
        <w:rPr>
          <w:rFonts w:ascii="Palatino Linotype" w:eastAsia="Palatino Linotype" w:hAnsi="Palatino Linotype" w:cs="Palatino Linotype"/>
          <w:b/>
        </w:rPr>
        <w:t xml:space="preserve"> ocho de febrero de dos mil veintidós</w:t>
      </w:r>
      <w:r>
        <w:rPr>
          <w:rFonts w:ascii="Palatino Linotype" w:eastAsia="Palatino Linotype" w:hAnsi="Palatino Linotype" w:cs="Palatino Linotype"/>
        </w:rPr>
        <w:t>; así, el plazo de quince días hábiles que el artículo 178 de la Ley de la materia otorga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para presentar el respectivo recurso de revisión, transcurrió del </w:t>
      </w:r>
      <w:r>
        <w:rPr>
          <w:rFonts w:ascii="Palatino Linotype" w:eastAsia="Palatino Linotype" w:hAnsi="Palatino Linotype" w:cs="Palatino Linotype"/>
          <w:b/>
        </w:rPr>
        <w:t xml:space="preserve">nueve de febrero al primero de marzo de dos mil veintidós, </w:t>
      </w:r>
      <w:r>
        <w:rPr>
          <w:rFonts w:ascii="Palatino Linotype" w:eastAsia="Palatino Linotype" w:hAnsi="Palatino Linotype" w:cs="Palatino Linotype"/>
        </w:rPr>
        <w:t xml:space="preserve">sin contemplar en el cómputo los días doce, diecinueve, veinte, veintiséis y veintisiete  de febrero de dos mil </w:t>
      </w:r>
      <w:r>
        <w:rPr>
          <w:rFonts w:ascii="Palatino Linotype" w:eastAsia="Palatino Linotype" w:hAnsi="Palatino Linotype" w:cs="Palatino Linotype"/>
        </w:rPr>
        <w:lastRenderedPageBreak/>
        <w:t xml:space="preserve">veintidós por corresponder a sábados y domingos, considerados como días inhábiles, en términos del artículo 3, fracción X de la Ley de Transparencia y Acceso a la Información Pública del Estado de México y Municipios. </w:t>
      </w:r>
    </w:p>
    <w:p w:rsidR="00B872C1" w:rsidRDefault="00B872C1">
      <w:pPr>
        <w:spacing w:line="360" w:lineRule="auto"/>
        <w:jc w:val="both"/>
        <w:rPr>
          <w:rFonts w:ascii="Palatino Linotype" w:eastAsia="Palatino Linotype" w:hAnsi="Palatino Linotype" w:cs="Palatino Linotype"/>
        </w:rPr>
      </w:pPr>
      <w:bookmarkStart w:id="4" w:name="_heading=h.mx41zcgdnw0f" w:colFirst="0" w:colLast="0"/>
      <w:bookmarkEnd w:id="4"/>
    </w:p>
    <w:p w:rsidR="00B872C1" w:rsidRDefault="00701E7C">
      <w:pPr>
        <w:spacing w:line="360" w:lineRule="auto"/>
        <w:jc w:val="both"/>
        <w:rPr>
          <w:rFonts w:ascii="Palatino Linotype" w:eastAsia="Palatino Linotype" w:hAnsi="Palatino Linotype" w:cs="Palatino Linotype"/>
        </w:rPr>
      </w:pPr>
      <w:bookmarkStart w:id="5" w:name="_heading=h.o6sewjs6zihd" w:colFirst="0" w:colLast="0"/>
      <w:bookmarkEnd w:id="5"/>
      <w:r>
        <w:rPr>
          <w:rFonts w:ascii="Palatino Linotype" w:eastAsia="Palatino Linotype" w:hAnsi="Palatino Linotype" w:cs="Palatino Linotype"/>
        </w:rPr>
        <w:t>En ese tenor, si el recurso de revisión que nos ocupa, se interpuso el</w:t>
      </w:r>
      <w:r>
        <w:rPr>
          <w:rFonts w:ascii="Palatino Linotype" w:eastAsia="Palatino Linotype" w:hAnsi="Palatino Linotype" w:cs="Palatino Linotype"/>
          <w:b/>
        </w:rPr>
        <w:t xml:space="preserve"> once de febrero de dos mil veintidós,</w:t>
      </w:r>
      <w:r>
        <w:rPr>
          <w:rFonts w:ascii="Palatino Linotype" w:eastAsia="Palatino Linotype" w:hAnsi="Palatino Linotype" w:cs="Palatino Linotype"/>
        </w:rPr>
        <w:t xml:space="preserve"> éste se encuentra dentro de los márgenes temporales previstos en el citado precepto legal y, por tanto, se considera oportuno.</w:t>
      </w:r>
    </w:p>
    <w:p w:rsidR="00B872C1" w:rsidRDefault="00B872C1">
      <w:pPr>
        <w:spacing w:line="360" w:lineRule="auto"/>
        <w:ind w:right="49"/>
        <w:jc w:val="both"/>
        <w:rPr>
          <w:rFonts w:ascii="Palatino Linotype" w:eastAsia="Palatino Linotype" w:hAnsi="Palatino Linotype" w:cs="Palatino Linotype"/>
          <w:b/>
          <w:sz w:val="28"/>
          <w:szCs w:val="28"/>
        </w:rPr>
      </w:pP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Pr>
          <w:rFonts w:ascii="Palatino Linotype" w:eastAsia="Palatino Linotype" w:hAnsi="Palatino Linotype" w:cs="Palatino Linotype"/>
          <w:b/>
        </w:rPr>
        <w:t>EL SAIMEX</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Estudio y resolución del asunto. </w:t>
      </w: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ese tenor, para un mejor estudio y comprensión del asunto que se resuelve, es preciso recordar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solicitó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siguiente: </w:t>
      </w:r>
    </w:p>
    <w:p w:rsidR="00B872C1" w:rsidRDefault="00701E7C">
      <w:pPr>
        <w:ind w:left="850" w:right="899"/>
        <w:jc w:val="both"/>
        <w:rPr>
          <w:rFonts w:ascii="Palatino Linotype" w:eastAsia="Palatino Linotype" w:hAnsi="Palatino Linotype" w:cs="Palatino Linotype"/>
          <w:i/>
          <w:sz w:val="32"/>
          <w:szCs w:val="32"/>
        </w:rPr>
      </w:pPr>
      <w:r>
        <w:rPr>
          <w:rFonts w:ascii="Palatino Linotype" w:eastAsia="Palatino Linotype" w:hAnsi="Palatino Linotype" w:cs="Palatino Linotype"/>
          <w:i/>
          <w:sz w:val="22"/>
          <w:szCs w:val="22"/>
        </w:rPr>
        <w:t xml:space="preserve">“¿Cuántas defunciones por Coronavirus se han registrado en la colonia Centro, Sor Juana </w:t>
      </w:r>
      <w:proofErr w:type="spellStart"/>
      <w:r>
        <w:rPr>
          <w:rFonts w:ascii="Palatino Linotype" w:eastAsia="Palatino Linotype" w:hAnsi="Palatino Linotype" w:cs="Palatino Linotype"/>
          <w:i/>
          <w:sz w:val="22"/>
          <w:szCs w:val="22"/>
        </w:rPr>
        <w:t>Ines</w:t>
      </w:r>
      <w:proofErr w:type="spellEnd"/>
      <w:r>
        <w:rPr>
          <w:rFonts w:ascii="Palatino Linotype" w:eastAsia="Palatino Linotype" w:hAnsi="Palatino Linotype" w:cs="Palatino Linotype"/>
          <w:i/>
          <w:sz w:val="22"/>
          <w:szCs w:val="22"/>
        </w:rPr>
        <w:t xml:space="preserve"> De la Cruz, Morelos, y en todas las delegaciones de Toluca? ¿Cuál es la colonia con más reportes de baches en todo el Municipio? Cuál es la colonia con más robos casa-hogar</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¿Cuál es la colonia con mayor índice de homicidios? ¿Cuál es la colonia en el municipio de Toluca con menor contaminación ambiental? ¿Cuál es la colonia con mayor número de habitantes con edades entre 15 y 20 años? ¿Cuál es el porcentaje de desempleo en el municipio de Toluca? ¿En qué porcentaje aumentaron los desempleos desde el año 2020? ¿Cuál es la colonia con mayor índice de pobreza? </w:t>
      </w:r>
      <w:r>
        <w:rPr>
          <w:rFonts w:ascii="Palatino Linotype" w:eastAsia="Palatino Linotype" w:hAnsi="Palatino Linotype" w:cs="Palatino Linotype"/>
          <w:i/>
          <w:sz w:val="22"/>
          <w:szCs w:val="22"/>
        </w:rPr>
        <w:lastRenderedPageBreak/>
        <w:t>¿Cuál es el trastorno de salud mental más frecuente en los adolescentes de Toluca? ¿Cuántas personas con trastorno depresivo mayor se registraron en Toluca en el 2020? ¿Cuántas personas con trastornos de ansiedad se registraron en Toluca en el 2020? ¿Cuánto incremento o decremento el índice de suicidios de 2019 a 2020? 15. ¿Cuál es la razón de defunción más frecuente en las personas entre 25 y 35 años? Cuantas personas han muerto de COVID en Toluca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Cuantos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del Gobierno Municipal se han contagiado y cuantos han muerto. </w:t>
      </w:r>
      <w:proofErr w:type="spellStart"/>
      <w:r>
        <w:rPr>
          <w:rFonts w:ascii="Palatino Linotype" w:eastAsia="Palatino Linotype" w:hAnsi="Palatino Linotype" w:cs="Palatino Linotype"/>
          <w:i/>
          <w:sz w:val="22"/>
          <w:szCs w:val="22"/>
        </w:rPr>
        <w:t>Cuales</w:t>
      </w:r>
      <w:proofErr w:type="spellEnd"/>
      <w:r>
        <w:rPr>
          <w:rFonts w:ascii="Palatino Linotype" w:eastAsia="Palatino Linotype" w:hAnsi="Palatino Linotype" w:cs="Palatino Linotype"/>
          <w:i/>
          <w:sz w:val="22"/>
          <w:szCs w:val="22"/>
        </w:rPr>
        <w:t xml:space="preserve"> son los protocolos de sana distancia emplean en las oficinas Cuantos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están vacunados contra el </w:t>
      </w:r>
      <w:proofErr w:type="spellStart"/>
      <w:r>
        <w:rPr>
          <w:rFonts w:ascii="Palatino Linotype" w:eastAsia="Palatino Linotype" w:hAnsi="Palatino Linotype" w:cs="Palatino Linotype"/>
          <w:i/>
          <w:sz w:val="22"/>
          <w:szCs w:val="22"/>
        </w:rPr>
        <w:t>Covid</w:t>
      </w:r>
      <w:proofErr w:type="spellEnd"/>
      <w:r>
        <w:rPr>
          <w:rFonts w:ascii="Palatino Linotype" w:eastAsia="Palatino Linotype" w:hAnsi="Palatino Linotype" w:cs="Palatino Linotype"/>
          <w:i/>
          <w:sz w:val="22"/>
          <w:szCs w:val="22"/>
        </w:rPr>
        <w:t xml:space="preserve"> Cuantos no se han vacunado contra el COVID Cual es el horario laboral de todas las dependencias.” (Sic)</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declaró incompetente de forma parcial por medio del archivo denominado </w:t>
      </w:r>
      <w:r>
        <w:rPr>
          <w:rFonts w:ascii="Palatino Linotype" w:eastAsia="Palatino Linotype" w:hAnsi="Palatino Linotype" w:cs="Palatino Linotype"/>
          <w:i/>
        </w:rPr>
        <w:t xml:space="preserve">Incom_00256_2022.pdf , </w:t>
      </w:r>
      <w:r>
        <w:rPr>
          <w:rFonts w:ascii="Palatino Linotype" w:eastAsia="Palatino Linotype" w:hAnsi="Palatino Linotype" w:cs="Palatino Linotype"/>
        </w:rPr>
        <w:t xml:space="preserve">en términos de los establecido por la Ley de </w:t>
      </w:r>
      <w:proofErr w:type="spellStart"/>
      <w:r>
        <w:rPr>
          <w:rFonts w:ascii="Palatino Linotype" w:eastAsia="Palatino Linotype" w:hAnsi="Palatino Linotype" w:cs="Palatino Linotype"/>
        </w:rPr>
        <w:t>Trasnparencia</w:t>
      </w:r>
      <w:proofErr w:type="spellEnd"/>
      <w:r>
        <w:rPr>
          <w:rFonts w:ascii="Palatino Linotype" w:eastAsia="Palatino Linotype" w:hAnsi="Palatino Linotype" w:cs="Palatino Linotype"/>
        </w:rPr>
        <w:t xml:space="preserve"> y Acceso a la Información Pública del Estado de México y </w:t>
      </w:r>
      <w:proofErr w:type="spellStart"/>
      <w:r>
        <w:rPr>
          <w:rFonts w:ascii="Palatino Linotype" w:eastAsia="Palatino Linotype" w:hAnsi="Palatino Linotype" w:cs="Palatino Linotype"/>
        </w:rPr>
        <w:t>Municpios</w:t>
      </w:r>
      <w:proofErr w:type="spellEnd"/>
      <w:r>
        <w:rPr>
          <w:rFonts w:ascii="Palatino Linotype" w:eastAsia="Palatino Linotype" w:hAnsi="Palatino Linotype" w:cs="Palatino Linotype"/>
        </w:rPr>
        <w:t xml:space="preserve"> en su artículo 167, señalando que no es la autoridad competente para conocer de los cuestionamientos siguientes: </w:t>
      </w:r>
      <w:r>
        <w:rPr>
          <w:rFonts w:ascii="Palatino Linotype" w:eastAsia="Palatino Linotype" w:hAnsi="Palatino Linotype" w:cs="Palatino Linotype"/>
          <w:i/>
          <w:sz w:val="22"/>
          <w:szCs w:val="22"/>
        </w:rPr>
        <w:t xml:space="preserve">¿Cuántas defunciones por Coronavirus se han registrado en la colonia Centro, Sor Juana </w:t>
      </w:r>
      <w:proofErr w:type="spellStart"/>
      <w:r>
        <w:rPr>
          <w:rFonts w:ascii="Palatino Linotype" w:eastAsia="Palatino Linotype" w:hAnsi="Palatino Linotype" w:cs="Palatino Linotype"/>
          <w:i/>
          <w:sz w:val="22"/>
          <w:szCs w:val="22"/>
        </w:rPr>
        <w:t>Ines</w:t>
      </w:r>
      <w:proofErr w:type="spellEnd"/>
      <w:r>
        <w:rPr>
          <w:rFonts w:ascii="Palatino Linotype" w:eastAsia="Palatino Linotype" w:hAnsi="Palatino Linotype" w:cs="Palatino Linotype"/>
          <w:i/>
          <w:sz w:val="22"/>
          <w:szCs w:val="22"/>
        </w:rPr>
        <w:t xml:space="preserve"> De la Cruz, Morelos, y en todas las delegaciones de Toluca? Cuál es la colonia con más robos casa-hogar</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¿Cuál es la colonia con mayor índice de homicidios? ¿Cuál es la colonia en el municipio de Toluca con menor contaminación ambiental? ¿Cuál es la colonia con mayor número de habitantes con edades entre 15 y 20 años? ¿Cuál es el porcentaje de desempleo en el municipio de Toluca? ¿En qué porcentaje aumentaron los desempleos desde el año 2020? ¿Cuál es la colonia con mayor índice de pobreza? ¿Cuál es el trastorno de salud mental más frecuente en los adolescentes de Toluca? ¿Cuántas personas con trastorno depresivo mayor se registraron en Toluca en el 2020? ¿Cuántas personas con trastornos de ansiedad se registraron en Toluca en el 2020? ¿Cuánto incremento o decremento el índice de suicidios de 2019 a 2020? 15. ¿Cuál es la razón de defunción más frecuente en las personas entre 25 y 35 años? Cuantas personas han muerto de COVID en Toluca</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(Sic) </w:t>
      </w:r>
      <w:r>
        <w:rPr>
          <w:rFonts w:ascii="Palatino Linotype" w:eastAsia="Palatino Linotype" w:hAnsi="Palatino Linotype" w:cs="Palatino Linotype"/>
        </w:rPr>
        <w:t xml:space="preserve">señalando como autoridades competentes para responder a los cuestionamientos anteriores a la Fiscalía General de </w:t>
      </w:r>
      <w:r>
        <w:rPr>
          <w:rFonts w:ascii="Palatino Linotype" w:eastAsia="Palatino Linotype" w:hAnsi="Palatino Linotype" w:cs="Palatino Linotype"/>
        </w:rPr>
        <w:lastRenderedPageBreak/>
        <w:t xml:space="preserve">Justicia del Estado de México, la Secretaría de Salud del Gobierno del Estado de México, el Instituto Nacional de  Estadística,  Geografía e Informática (INEGI), Secretaría de Medio Ambiente del Estado de México y al Sistema Municipal para el Desarrollo de Integral de la Familia del Municipio de Toluca.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Declarándose competente para dar respuesta, únicamente de la parte de la solicitud en donde se requiere conocer: “</w:t>
      </w:r>
      <w:r>
        <w:rPr>
          <w:rFonts w:ascii="Palatino Linotype" w:eastAsia="Palatino Linotype" w:hAnsi="Palatino Linotype" w:cs="Palatino Linotype"/>
          <w:i/>
          <w:sz w:val="22"/>
          <w:szCs w:val="22"/>
        </w:rPr>
        <w:t xml:space="preserve">¿Cuál es la colonia con más reportes de baches en todo el </w:t>
      </w:r>
      <w:proofErr w:type="spellStart"/>
      <w:r>
        <w:rPr>
          <w:rFonts w:ascii="Palatino Linotype" w:eastAsia="Palatino Linotype" w:hAnsi="Palatino Linotype" w:cs="Palatino Linotype"/>
          <w:i/>
          <w:sz w:val="22"/>
          <w:szCs w:val="22"/>
        </w:rPr>
        <w:t>Municipio</w:t>
      </w:r>
      <w:proofErr w:type="gramStart"/>
      <w:r>
        <w:rPr>
          <w:rFonts w:ascii="Palatino Linotype" w:eastAsia="Palatino Linotype" w:hAnsi="Palatino Linotype" w:cs="Palatino Linotype"/>
          <w:i/>
          <w:sz w:val="22"/>
          <w:szCs w:val="22"/>
        </w:rPr>
        <w:t>?Cuantos</w:t>
      </w:r>
      <w:proofErr w:type="spellEnd"/>
      <w:proofErr w:type="gramEnd"/>
      <w:r>
        <w:rPr>
          <w:rFonts w:ascii="Palatino Linotype" w:eastAsia="Palatino Linotype" w:hAnsi="Palatino Linotype" w:cs="Palatino Linotype"/>
          <w:i/>
          <w:sz w:val="22"/>
          <w:szCs w:val="22"/>
        </w:rPr>
        <w:t xml:space="preserve">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del Gobierno Municipal se han contagiado y cuantos han muerto. </w:t>
      </w:r>
      <w:proofErr w:type="spellStart"/>
      <w:r>
        <w:rPr>
          <w:rFonts w:ascii="Palatino Linotype" w:eastAsia="Palatino Linotype" w:hAnsi="Palatino Linotype" w:cs="Palatino Linotype"/>
          <w:i/>
          <w:sz w:val="22"/>
          <w:szCs w:val="22"/>
        </w:rPr>
        <w:t>Cuales</w:t>
      </w:r>
      <w:proofErr w:type="spellEnd"/>
      <w:r>
        <w:rPr>
          <w:rFonts w:ascii="Palatino Linotype" w:eastAsia="Palatino Linotype" w:hAnsi="Palatino Linotype" w:cs="Palatino Linotype"/>
          <w:i/>
          <w:sz w:val="22"/>
          <w:szCs w:val="22"/>
        </w:rPr>
        <w:t xml:space="preserve"> son los protocolos de sana distancia emplean en las oficinas Cuantos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están vacunados contra el </w:t>
      </w:r>
      <w:proofErr w:type="spellStart"/>
      <w:r>
        <w:rPr>
          <w:rFonts w:ascii="Palatino Linotype" w:eastAsia="Palatino Linotype" w:hAnsi="Palatino Linotype" w:cs="Palatino Linotype"/>
          <w:i/>
          <w:sz w:val="22"/>
          <w:szCs w:val="22"/>
        </w:rPr>
        <w:t>Covid</w:t>
      </w:r>
      <w:proofErr w:type="spellEnd"/>
      <w:r>
        <w:rPr>
          <w:rFonts w:ascii="Palatino Linotype" w:eastAsia="Palatino Linotype" w:hAnsi="Palatino Linotype" w:cs="Palatino Linotype"/>
          <w:i/>
          <w:sz w:val="22"/>
          <w:szCs w:val="22"/>
        </w:rPr>
        <w:t xml:space="preserve"> Cuantos no se han vacunado contra el COVID,  Cual es el horario laboral de todas las dependencias.” (Sic)</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respuesta, el particular presentó el medio de impugnación en estudio, en el que se duele de que no se le entregara la información solicitada, </w:t>
      </w:r>
      <w:proofErr w:type="spellStart"/>
      <w:r>
        <w:rPr>
          <w:rFonts w:ascii="Palatino Linotype" w:eastAsia="Palatino Linotype" w:hAnsi="Palatino Linotype" w:cs="Palatino Linotype"/>
        </w:rPr>
        <w:t>asi</w:t>
      </w:r>
      <w:proofErr w:type="spellEnd"/>
      <w:r>
        <w:rPr>
          <w:rFonts w:ascii="Palatino Linotype" w:eastAsia="Palatino Linotype" w:hAnsi="Palatino Linotype" w:cs="Palatino Linotype"/>
        </w:rPr>
        <w:t xml:space="preserve"> como los oficios de las áreas a las cuales les fue turnada la solicitud de información.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una vez abierta la etapa de manifestaciones se aprecia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no realizó manifestación alguna y por su parte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presentó su Informe Justificado mediante el cual ratifica su respuesta primigenia, relativa </w:t>
      </w:r>
      <w:proofErr w:type="spellStart"/>
      <w:r>
        <w:rPr>
          <w:rFonts w:ascii="Palatino Linotype" w:eastAsia="Palatino Linotype" w:hAnsi="Palatino Linotype" w:cs="Palatino Linotype"/>
        </w:rPr>
        <w:t>relativa</w:t>
      </w:r>
      <w:proofErr w:type="spellEnd"/>
      <w:r>
        <w:rPr>
          <w:rFonts w:ascii="Palatino Linotype" w:eastAsia="Palatino Linotype" w:hAnsi="Palatino Linotype" w:cs="Palatino Linotype"/>
        </w:rPr>
        <w:t xml:space="preserve"> a la incompetencia parcial y las respuestas otorgadas para la parte de la solicitud sobre la cual se indicó competente.</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lo que respecta a los motivos de inconformidad vertidos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el Informe Justificado,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pronunció indicando que no </w:t>
      </w:r>
      <w:r>
        <w:rPr>
          <w:rFonts w:ascii="Palatino Linotype" w:eastAsia="Palatino Linotype" w:hAnsi="Palatino Linotype" w:cs="Palatino Linotype"/>
        </w:rPr>
        <w:lastRenderedPageBreak/>
        <w:t xml:space="preserve">tiene la obligación de generar documentos a modo ni al grado de desagregación solicitado por los particulares, así mismo, manifiesta que la Titular de la  Unidad de Transparencia, se de conocimiento de la particular la información  entregada por los servidores públicos habilitados, ya que al haber escogido como medio de notificación el SAIMEX, la particular acepta que la información se le sea dada por ese medio, sin que exista obligación de que las autoridades entreguen la respuesta en papel membretado.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Una vez realizadas las precisiones anteriores, se procede a analizar la totalidad de las constancias que obran en el expediente electrónico del SAIMEX para determinar si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puede tener por satisfecho el derecho de Acceso a la Información del </w:t>
      </w:r>
      <w:r>
        <w:rPr>
          <w:rFonts w:ascii="Palatino Linotype" w:eastAsia="Palatino Linotype" w:hAnsi="Palatino Linotype" w:cs="Palatino Linotype"/>
          <w:b/>
        </w:rPr>
        <w:t xml:space="preserve">RECURRENTE. </w:t>
      </w:r>
    </w:p>
    <w:p w:rsidR="00B872C1" w:rsidRDefault="00B872C1">
      <w:pPr>
        <w:spacing w:line="360" w:lineRule="auto"/>
        <w:ind w:right="49"/>
        <w:jc w:val="both"/>
        <w:rPr>
          <w:rFonts w:ascii="Palatino Linotype" w:eastAsia="Palatino Linotype" w:hAnsi="Palatino Linotype" w:cs="Palatino Linotype"/>
          <w:b/>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y para mayor claridad, se puede desagregar la información solicitada y las respuestas otorgadas a la misma, de la forma que a continuación se muestra: </w:t>
      </w:r>
    </w:p>
    <w:tbl>
      <w:tblPr>
        <w:tblStyle w:val="afe"/>
        <w:tblW w:w="912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4215"/>
        <w:gridCol w:w="1845"/>
      </w:tblGrid>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b/>
              </w:rPr>
            </w:pPr>
            <w:r>
              <w:rPr>
                <w:rFonts w:ascii="Palatino Linotype" w:eastAsia="Palatino Linotype" w:hAnsi="Palatino Linotype" w:cs="Palatino Linotype"/>
                <w:b/>
              </w:rPr>
              <w:t xml:space="preserve">Solicitud </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b/>
              </w:rPr>
            </w:pPr>
            <w:r>
              <w:rPr>
                <w:rFonts w:ascii="Palatino Linotype" w:eastAsia="Palatino Linotype" w:hAnsi="Palatino Linotype" w:cs="Palatino Linotype"/>
                <w:b/>
              </w:rPr>
              <w:t xml:space="preserve">Respuesta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b/>
              </w:rPr>
            </w:pPr>
            <w:r>
              <w:rPr>
                <w:rFonts w:ascii="Palatino Linotype" w:eastAsia="Palatino Linotype" w:hAnsi="Palatino Linotype" w:cs="Palatino Linotype"/>
                <w:b/>
              </w:rPr>
              <w:t>¿Colma?</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 xml:space="preserve">¿Cuántas defunciones por Coronavirus se han registrado en la colonia Centro, Sor Juana </w:t>
            </w:r>
            <w:proofErr w:type="spellStart"/>
            <w:r>
              <w:rPr>
                <w:rFonts w:ascii="Palatino Linotype" w:eastAsia="Palatino Linotype" w:hAnsi="Palatino Linotype" w:cs="Palatino Linotype"/>
                <w:i/>
              </w:rPr>
              <w:t>Ines</w:t>
            </w:r>
            <w:proofErr w:type="spellEnd"/>
            <w:r>
              <w:rPr>
                <w:rFonts w:ascii="Palatino Linotype" w:eastAsia="Palatino Linotype" w:hAnsi="Palatino Linotype" w:cs="Palatino Linotype"/>
                <w:i/>
              </w:rPr>
              <w:t xml:space="preserve"> De la Cruz, Morelos, y en todas las delegaciones de Toluca?</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p w:rsidR="00B872C1" w:rsidRDefault="00B872C1">
            <w:pPr>
              <w:widowControl w:val="0"/>
              <w:pBdr>
                <w:top w:val="nil"/>
                <w:left w:val="nil"/>
                <w:bottom w:val="nil"/>
                <w:right w:val="nil"/>
                <w:between w:val="nil"/>
              </w:pBdr>
              <w:rPr>
                <w:rFonts w:ascii="Palatino Linotype" w:eastAsia="Palatino Linotype" w:hAnsi="Palatino Linotype" w:cs="Palatino Linotype"/>
              </w:rPr>
            </w:pP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Sí</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 xml:space="preserve">¿Cuál es la colonia con más reportes de baches en todo el Municipio? </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Según la información del Registro Interno de Servicios Públicos, la delegación de San Mateo </w:t>
            </w:r>
            <w:proofErr w:type="spellStart"/>
            <w:r>
              <w:rPr>
                <w:rFonts w:ascii="Palatino Linotype" w:eastAsia="Palatino Linotype" w:hAnsi="Palatino Linotype" w:cs="Palatino Linotype"/>
              </w:rPr>
              <w:t>Otzacatipan</w:t>
            </w:r>
            <w:proofErr w:type="spellEnd"/>
          </w:p>
          <w:p w:rsidR="00B872C1" w:rsidRDefault="00B872C1">
            <w:pPr>
              <w:widowControl w:val="0"/>
              <w:pBdr>
                <w:top w:val="nil"/>
                <w:left w:val="nil"/>
                <w:bottom w:val="nil"/>
                <w:right w:val="nil"/>
                <w:between w:val="nil"/>
              </w:pBdr>
              <w:rPr>
                <w:rFonts w:ascii="Palatino Linotype" w:eastAsia="Palatino Linotype" w:hAnsi="Palatino Linotype" w:cs="Palatino Linotype"/>
              </w:rPr>
            </w:pP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lastRenderedPageBreak/>
              <w:t>¿Cuál es la colonia con más robos casa-hogar?</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parcialmente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la colonia en el municipio de Toluca con menor contaminación ambiental?</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la colonia con mayor número de habitantes con edades entre 15 y 20 años?</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parcialmente </w:t>
            </w:r>
          </w:p>
        </w:tc>
      </w:tr>
      <w:tr w:rsidR="00B872C1">
        <w:trPr>
          <w:trHeight w:val="1085"/>
        </w:trPr>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el porcentaje de desempleo en el municipio de Toluca?</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¿En qué porcentaje aumentaron los desempleos desde el año 2020?</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la colonia con mayor índice de pobreza?</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Incompetencia</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rPr>
          <w:trHeight w:val="1130"/>
        </w:trPr>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el trastorno de salud mental más frecuente en los adolescentes de Toluca?</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p w:rsidR="00B872C1" w:rsidRDefault="00B872C1">
            <w:pPr>
              <w:widowControl w:val="0"/>
              <w:pBdr>
                <w:top w:val="nil"/>
                <w:left w:val="nil"/>
                <w:bottom w:val="nil"/>
                <w:right w:val="nil"/>
                <w:between w:val="nil"/>
              </w:pBdr>
              <w:rPr>
                <w:rFonts w:ascii="Palatino Linotype" w:eastAsia="Palatino Linotype" w:hAnsi="Palatino Linotype" w:cs="Palatino Linotype"/>
              </w:rPr>
            </w:pP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parcialmente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¿Cuántas personas con trastorno depresivo mayor se registraron en Toluca en el 2020?</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¿Cuántas personas con trastornos de ansiedad se registraron en Toluca en el 2020?</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Sí </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 xml:space="preserve">¿Cuánto incremento o decremento el índice de </w:t>
            </w:r>
            <w:r>
              <w:rPr>
                <w:rFonts w:ascii="Palatino Linotype" w:eastAsia="Palatino Linotype" w:hAnsi="Palatino Linotype" w:cs="Palatino Linotype"/>
                <w:i/>
              </w:rPr>
              <w:lastRenderedPageBreak/>
              <w:t xml:space="preserve">suicidios de 2019 a 2020? </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Sí</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la razón de defunción más frecuente en las personas entre 25 y 35 años?</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Sí</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 xml:space="preserve">¿Cuántas personas han muerto de COVID en Toluca? </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Incompetencia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Sí</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¿Cuántos servidores públicos del Gobierno Municipal se han contagiado y cuántos han muerto?</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jc w:val="both"/>
              <w:rPr>
                <w:rFonts w:ascii="Palatino Linotype" w:eastAsia="Palatino Linotype" w:hAnsi="Palatino Linotype" w:cs="Palatino Linotype"/>
                <w:b/>
              </w:rPr>
            </w:pP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da respuesta mediante el documento denominado </w:t>
            </w:r>
            <w:r>
              <w:rPr>
                <w:rFonts w:ascii="Palatino Linotype" w:eastAsia="Palatino Linotype" w:hAnsi="Palatino Linotype" w:cs="Palatino Linotype"/>
                <w:i/>
              </w:rPr>
              <w:t>REPORTE COVID.pdf,</w:t>
            </w:r>
            <w:r>
              <w:rPr>
                <w:rFonts w:ascii="Palatino Linotype" w:eastAsia="Palatino Linotype" w:hAnsi="Palatino Linotype" w:cs="Palatino Linotype"/>
              </w:rPr>
              <w:t xml:space="preserve"> expedido por la Dirección de Recursos Humanos donde señala por área o dirección, el número de casos positivos de COVID, sospechosos y fallecidos hasta enero del 2022.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Sí</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¿Cuáles son los protocolos de sana distancia emplean en las oficinas?</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La información relacionada con la pandemia de Covid-19 puede ser consultada en la liga siguiente: https://www2.toluca.gob.mx/covid-%2019/</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Parcialmente</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 xml:space="preserve">¿Cuántos servidores públicos están vacunados contra el </w:t>
            </w:r>
            <w:proofErr w:type="spellStart"/>
            <w:r>
              <w:rPr>
                <w:rFonts w:ascii="Palatino Linotype" w:eastAsia="Palatino Linotype" w:hAnsi="Palatino Linotype" w:cs="Palatino Linotype"/>
                <w:i/>
              </w:rPr>
              <w:t>Covid</w:t>
            </w:r>
            <w:proofErr w:type="spellEnd"/>
            <w:r>
              <w:rPr>
                <w:rFonts w:ascii="Palatino Linotype" w:eastAsia="Palatino Linotype" w:hAnsi="Palatino Linotype" w:cs="Palatino Linotype"/>
                <w:i/>
              </w:rPr>
              <w:t xml:space="preserve"> y Cuántos no se han vacunado contra el COVID?</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jc w:val="both"/>
              <w:rPr>
                <w:rFonts w:ascii="Palatino Linotype" w:eastAsia="Palatino Linotype" w:hAnsi="Palatino Linotype" w:cs="Palatino Linotype"/>
              </w:rPr>
            </w:pP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hace entrega del documento de nombre </w:t>
            </w:r>
            <w:r>
              <w:rPr>
                <w:rFonts w:ascii="Palatino Linotype" w:eastAsia="Palatino Linotype" w:hAnsi="Palatino Linotype" w:cs="Palatino Linotype"/>
                <w:i/>
              </w:rPr>
              <w:t>REPORTE VACUNACION.pdf:</w:t>
            </w:r>
            <w:r>
              <w:rPr>
                <w:rFonts w:ascii="Palatino Linotype" w:eastAsia="Palatino Linotype" w:hAnsi="Palatino Linotype" w:cs="Palatino Linotype"/>
              </w:rPr>
              <w:t xml:space="preserve"> que es un informe expedido por la Dirección de Recursos Humanos, dependiente de la Dirección General de Administración en donde señala la cantidad de servidores públicos por dirección o con esquema de vacunación contra COVID-19 competo y el personal sin vacuna.</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Sí</w:t>
            </w:r>
          </w:p>
        </w:tc>
      </w:tr>
      <w:tr w:rsidR="00B872C1">
        <w:tc>
          <w:tcPr>
            <w:tcW w:w="3060"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i/>
              </w:rPr>
            </w:pPr>
            <w:r>
              <w:rPr>
                <w:rFonts w:ascii="Palatino Linotype" w:eastAsia="Palatino Linotype" w:hAnsi="Palatino Linotype" w:cs="Palatino Linotype"/>
                <w:i/>
              </w:rPr>
              <w:t>¿Cuál es el horario laboral de todas las dependencias?</w:t>
            </w:r>
          </w:p>
        </w:tc>
        <w:tc>
          <w:tcPr>
            <w:tcW w:w="421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No hay pronunciamiento </w:t>
            </w:r>
          </w:p>
        </w:tc>
        <w:tc>
          <w:tcPr>
            <w:tcW w:w="1845" w:type="dxa"/>
            <w:shd w:val="clear" w:color="auto" w:fill="auto"/>
            <w:tcMar>
              <w:top w:w="100" w:type="dxa"/>
              <w:left w:w="100" w:type="dxa"/>
              <w:bottom w:w="100" w:type="dxa"/>
              <w:right w:w="100" w:type="dxa"/>
            </w:tcMar>
          </w:tcPr>
          <w:p w:rsidR="00B872C1" w:rsidRDefault="00701E7C">
            <w:pPr>
              <w:widowControl w:val="0"/>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No </w:t>
            </w:r>
          </w:p>
        </w:tc>
      </w:tr>
    </w:tbl>
    <w:p w:rsidR="00B872C1" w:rsidRDefault="00B872C1">
      <w:pPr>
        <w:spacing w:line="360" w:lineRule="auto"/>
        <w:ind w:right="49"/>
        <w:jc w:val="both"/>
        <w:rPr>
          <w:rFonts w:ascii="Palatino Linotype" w:eastAsia="Palatino Linotype" w:hAnsi="Palatino Linotype" w:cs="Palatino Linotype"/>
          <w:b/>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primera instancia, se tiene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al dar respuesta se declaró incompetente de forma parcial, indicando que diversos cuestionamientos hechos por la particular corresponden a atribuciones de otras instituciones, entre la cuales se encuentra el siguiente: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u w:val="single"/>
        </w:rPr>
        <w:t>El Instituto Nacional de  Estadística,  Geografía e Informática (INEGI)</w:t>
      </w:r>
      <w:r>
        <w:rPr>
          <w:rFonts w:ascii="Palatino Linotype" w:eastAsia="Palatino Linotype" w:hAnsi="Palatino Linotype" w:cs="Palatino Linotype"/>
        </w:rPr>
        <w:t xml:space="preserve"> es un organismo público autónomo responsable de normar y coordinar el Sistema Nacional de Información Estadística y Geográfica, así como de captar y difundir información de México en cuanto al territorio, los recursos, la población y economía. El cual encuentra su fundamento jurídico en el artículo  26 constitucional apartado B el cual a la letra dispone lo siguiente: </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26.</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B. </w:t>
      </w:r>
      <w:r>
        <w:rPr>
          <w:rFonts w:ascii="Palatino Linotype" w:eastAsia="Palatino Linotype" w:hAnsi="Palatino Linotype" w:cs="Palatino Linotype"/>
          <w:i/>
          <w:sz w:val="22"/>
          <w:szCs w:val="22"/>
        </w:rPr>
        <w:t xml:space="preserve">El Estado contará con un Sistema Nacional de Información Estadística y Geográfica cuyos datos serán considerados oficiales. Para la Federación, las entidades federativas, los Municipios y las demarcaciones territoriales de la Ciudad de México, los datos contenidos en el Sistema serán de uso obligatorio en los términos que establezca la ley. </w:t>
      </w:r>
    </w:p>
    <w:p w:rsidR="00B872C1" w:rsidRDefault="00B872C1">
      <w:pPr>
        <w:ind w:left="850" w:right="899"/>
        <w:jc w:val="both"/>
        <w:rPr>
          <w:rFonts w:ascii="Palatino Linotype" w:eastAsia="Palatino Linotype" w:hAnsi="Palatino Linotype" w:cs="Palatino Linotype"/>
          <w:i/>
          <w:sz w:val="22"/>
          <w:szCs w:val="22"/>
        </w:rPr>
      </w:pP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responsabilidad de normar y coordinar dicho Sistema estará a cargo de un organismo con autonomía técnica y de gestión, personalidad jurídica y patrimonio propios, con las facultades necesarias para regular la captación, procesamiento y publicación de la información que se genere y proveer a su observancia. </w:t>
      </w:r>
    </w:p>
    <w:p w:rsidR="00B872C1" w:rsidRDefault="00B872C1">
      <w:pPr>
        <w:ind w:left="850" w:right="899"/>
        <w:jc w:val="both"/>
        <w:rPr>
          <w:rFonts w:ascii="Palatino Linotype" w:eastAsia="Palatino Linotype" w:hAnsi="Palatino Linotype" w:cs="Palatino Linotype"/>
          <w:i/>
          <w:sz w:val="22"/>
          <w:szCs w:val="22"/>
        </w:rPr>
      </w:pPr>
    </w:p>
    <w:p w:rsidR="00B872C1" w:rsidRDefault="00701E7C">
      <w:pPr>
        <w:ind w:left="850" w:right="899"/>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El organismo tendrá una Junta de Gobierno integrada por cinco miembros, uno de los cuales fungirá como Presidente de ésta y del propio organismo; serán designados por el Presidente de la República con la aprobación de la Cámara de Senadores o en sus recesos por la Comisión Permanente del Congreso de la Unión. La ley establecerá las bases de organización y funcionamiento del Sistema Nacional de Información Estadística y Geográfica, de acuerdo con los principios de accesibilidad a la información, transparencia, objetividad e independencia; los requisitos que deberán </w:t>
      </w:r>
      <w:r>
        <w:rPr>
          <w:rFonts w:ascii="Palatino Linotype" w:eastAsia="Palatino Linotype" w:hAnsi="Palatino Linotype" w:cs="Palatino Linotype"/>
          <w:i/>
          <w:sz w:val="22"/>
          <w:szCs w:val="22"/>
        </w:rPr>
        <w:lastRenderedPageBreak/>
        <w:t>cumplir los miembros de la Junta de Gobierno, la duración y escalonamiento de su encargo.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anterior se observa que el Estado contará con un Sistema Nacional de  Información Estadística y Geográfica que estará a cargo de un Organismo Autónomo que tendrá patrimonio y personalidad propia.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 ello en mente, el Reglamento Interior del Instituto Nacional de Estadística y Geografía señala que el Instituto contará con un presidente el cual se auxiliará de diversas Unidades Administrativas y Direcciones Generales, tal y como lo establece el artículo 3 de dicho Reglamento, el cual se transcribe a continuación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el desahogo de las atribuciones que la Ley le confiere, el Presidente del Instituto, contará con el apoyo de las Unidades Administrativas y de las Direcciones Generales Adjuntas que a continuación se indican: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Dirección General de Estadísticas Sociodemográficas: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Dirección General Adjunta del Censo de Población y Vivienda;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Dirección General Adjunta de Encuestas Sociodemográficas;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Dirección General Adjunta de Infraestructura Estadística, y </w:t>
      </w:r>
    </w:p>
    <w:p w:rsidR="00B872C1" w:rsidRDefault="00701E7C">
      <w:pPr>
        <w:ind w:left="1570" w:right="899"/>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d)Dirección</w:t>
      </w:r>
      <w:proofErr w:type="gramEnd"/>
      <w:r>
        <w:rPr>
          <w:rFonts w:ascii="Palatino Linotype" w:eastAsia="Palatino Linotype" w:hAnsi="Palatino Linotype" w:cs="Palatino Linotype"/>
          <w:i/>
          <w:sz w:val="22"/>
          <w:szCs w:val="22"/>
        </w:rPr>
        <w:t xml:space="preserve"> General Adjunta de Registros Administrativos Sociodemográficos.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proofErr w:type="spellStart"/>
      <w:r>
        <w:rPr>
          <w:rFonts w:ascii="Palatino Linotype" w:eastAsia="Palatino Linotype" w:hAnsi="Palatino Linotype" w:cs="Palatino Linotype"/>
          <w:i/>
          <w:sz w:val="22"/>
          <w:szCs w:val="22"/>
        </w:rPr>
        <w:t>Bis.Dirección</w:t>
      </w:r>
      <w:proofErr w:type="spellEnd"/>
      <w:r>
        <w:rPr>
          <w:rFonts w:ascii="Palatino Linotype" w:eastAsia="Palatino Linotype" w:hAnsi="Palatino Linotype" w:cs="Palatino Linotype"/>
          <w:i/>
          <w:sz w:val="22"/>
          <w:szCs w:val="22"/>
        </w:rPr>
        <w:t xml:space="preserve"> General de Estadísticas de Gobierno, Seguridad Pública y Justicia: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Dirección General Adjunta de Políticas de Información Gubernamental y Censos Nacionales de Gobierno;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Dirección General Adjunta de Modelos de Información Gubernamental y Encuestas Nacionales de Gobierno, Victimización, Seguridad y Justicia, y </w:t>
      </w:r>
    </w:p>
    <w:p w:rsidR="00B872C1" w:rsidRDefault="00701E7C">
      <w:pPr>
        <w:ind w:left="1570" w:right="899"/>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c)Dirección</w:t>
      </w:r>
      <w:proofErr w:type="gramEnd"/>
      <w:r>
        <w:rPr>
          <w:rFonts w:ascii="Palatino Linotype" w:eastAsia="Palatino Linotype" w:hAnsi="Palatino Linotype" w:cs="Palatino Linotype"/>
          <w:i/>
          <w:sz w:val="22"/>
          <w:szCs w:val="22"/>
        </w:rPr>
        <w:t xml:space="preserve"> General Adjunta de Desarrollo de Información Gubernamental, Índices e Indicadores.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II. Dirección General de Estadísticas Económicas: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Dirección General Adjunta de Censos Económicos y Agropecuarios;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Dirección General Adjunta de Encuestas Económicas;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Dirección General Adjunta de Cuentas Nacionales;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Dirección General Adjunta de Índices de Precios, y</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 Dirección General Adjunta de Registros Administrativos Económicos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Dirección General de Integración, Análisis e Investigación: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Dirección General Adjunta de Integración de Información;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Dirección General Adjunta de Análisis y Estudios Económicos, y</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Dirección General Adjunta de Investigación;</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Dirección General de Coordinación del Sistema Nacional de Información Estadística y Geográfica:</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Dirección General Adjunta de Planeación e Infraestructura;</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Dirección General Adjunta de Coordinación de los Subsistemas Nacionales de Información;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Derogado.</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Derogado.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Dirección General de Vinculación y Servicio Público de Información: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Dirección General Adjunta de Comunicación;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Dirección General Adjunta de Vinculación, y</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Dirección General Adjunta del Servicio Público de Información.</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Dirección General de Administración: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Dirección General Adjunta de Recursos Humanos;</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Dirección General Adjunta de Programación, Organización y Presupuesto;</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Dirección General Adjunta de Recursos Materiales y Servicios Generales;</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 Dirección General Adjunta de Administración de Riesgos y Transparencia.</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Derogado.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Coordinación General de Asuntos Jurídicos;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Coordinación General de Informática;</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Coordinación General de Operación Regional:</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Diez Direcciones Regionales, las cuales operarán en la sede y con competencia en las circunscripciones territoriales que a continuación se señalan:</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Noreste.- Con sede en Monterrey, Nuevo León, circunscripción: estados de Nuevo León, Coahuila y Tamaulipas;</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Norte.- Con sede en Durango, Durango, circunscripción: estados de Durango, Chihuahua y Zacatecas;</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Noroeste.- Con sede en Hermosillo, Sonora, circunscripción: estados de Sonora, Baja California, Baja California Sur y Sinaloa;</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Occidente.- Con sede en Guadalajara, Jalisco, circunscripción: estados de Jalisco, Colima, Michoacán y Nayarit;</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5) Centro Norte.- Con sede en San Luis Potosí, San Luis Potosí, circunscripción: estados de San Luis Potosí, Aguascalientes, Guanajuato y Querétaro;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 Centro Sur.- Con sede en Toluca, Estado de México, circunscripción: estados de México, Guerrero y Morelos;</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 Oriente.- Con sede en Puebla, Puebla, circunscripción: estados de Puebla, Hidalgo, Tlaxcala y Veracruz;</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8) Sur.- Con sede en Oaxaca, Oaxaca, circunscripción: estados de Oaxaca Chiapas y Tabasco;</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9) Sureste.- Con sede en Mérida, Yucatán, circunscripción: estados de Yucatán, Campeche y Quintana Roo, y</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Con sede en la Ciudad de México, circunscripción: Ciudad de México“ </w:t>
      </w:r>
    </w:p>
    <w:p w:rsidR="00B872C1" w:rsidRDefault="00701E7C">
      <w:pPr>
        <w:ind w:left="157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tal manera que, el Instituto se conformará de diversas unidades dedicadas, entre otras cosas, a la recopilación de información estadística de temas variados, entre los cuales se encuentran la información Demográfica y Social,  Económica y Financiera, Geográfica y del Medio Ambiente, Información del Gobierno, Seguridad Pública e Impartición de Justicia y la Información referente a los sectores académico, privado e internacional. Sobre lo anterior versa el artículo 9  siguiente:</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w:t>
      </w:r>
      <w:r>
        <w:rPr>
          <w:rFonts w:ascii="Palatino Linotype" w:eastAsia="Palatino Linotype" w:hAnsi="Palatino Linotype" w:cs="Palatino Linotype"/>
          <w:i/>
          <w:sz w:val="22"/>
          <w:szCs w:val="22"/>
        </w:rPr>
        <w:t xml:space="preserve"> En términos de lo dispuesto por la Ley, y atendiendo a las determinaciones adoptadas por la Junta de Gobierno con posterioridad a la entrada en vigor de la misma, las funciones del Instituto se organizan a partir los siguientes sectores: </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Información Demográfica y Social;</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Información Geográfica y del Medio Ambiente; </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IV. Información de Gobierno, Seguridad Pública e Impartición de Justicia, y </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 Relaciones con los sectores académico, privado e internacional.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Corresponderá al Presidente del Instituto determinar el sector que, de entre los antes señalados, deberá atender y coordinar cada uno de los Vicepresidentes de la Junta de Gobierno como parte de su labor ordinaria y cotidiana dentro del Instituto.”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pues, como ha sido mencionado, dentro de la estructura orgánica del Instituto existen diversas Direcciones Generales dedicadas a cada uno de los sectores pilares de su funcionamiento. Siendo importante para el caso que nos ocupa resaltar las facultades </w:t>
      </w:r>
      <w:proofErr w:type="spellStart"/>
      <w:r>
        <w:rPr>
          <w:rFonts w:ascii="Palatino Linotype" w:eastAsia="Palatino Linotype" w:hAnsi="Palatino Linotype" w:cs="Palatino Linotype"/>
        </w:rPr>
        <w:t>atribuídas</w:t>
      </w:r>
      <w:proofErr w:type="spellEnd"/>
      <w:r>
        <w:rPr>
          <w:rFonts w:ascii="Palatino Linotype" w:eastAsia="Palatino Linotype" w:hAnsi="Palatino Linotype" w:cs="Palatino Linotype"/>
        </w:rPr>
        <w:t xml:space="preserve"> a las Direcciones Generales  de Estadísticas Sociodemográficas y Geografía y Medio Ambiente, mismas que tienen sus atribuciones enlistadas en los  artículos 14 y 24 del mismo Reglamento Interno.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“De la Dirección General de Estadísticas Sociodemográficas.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w:t>
      </w:r>
      <w:r>
        <w:rPr>
          <w:rFonts w:ascii="Palatino Linotype" w:eastAsia="Palatino Linotype" w:hAnsi="Palatino Linotype" w:cs="Palatino Linotype"/>
          <w:i/>
          <w:sz w:val="22"/>
          <w:szCs w:val="22"/>
        </w:rPr>
        <w:t xml:space="preserve"> Son atribuciones específicas de la Dirección General de Estadísticas Sociodemográficas, las siguientes: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Coordinar la generación de información Estadística con base en el levantamiento de censos y encuestas, así como en la explotación de registros administrativos de las Unidades del Estado, de manera que contribuyan al conocimiento de la realidad nacional en el ámbito sociodemográfico;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Dirigir, con el apoyo de las Unidades Administrativas del Instituto, la realización de los censos nacionales de población y vivienda, los conteos nacionales de población, las encuestas en hogares, las encuestas especiales, y la explotación de los registros administrativos de carácter sociodemográfico;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Colaborar con la Dirección General de Geografía y Medio Ambiente en la construcción y actualización de un marco </w:t>
      </w:r>
      <w:proofErr w:type="spellStart"/>
      <w:r>
        <w:rPr>
          <w:rFonts w:ascii="Palatino Linotype" w:eastAsia="Palatino Linotype" w:hAnsi="Palatino Linotype" w:cs="Palatino Linotype"/>
          <w:i/>
          <w:sz w:val="22"/>
          <w:szCs w:val="22"/>
        </w:rPr>
        <w:t>geoestadístico</w:t>
      </w:r>
      <w:proofErr w:type="spellEnd"/>
      <w:r>
        <w:rPr>
          <w:rFonts w:ascii="Palatino Linotype" w:eastAsia="Palatino Linotype" w:hAnsi="Palatino Linotype" w:cs="Palatino Linotype"/>
          <w:i/>
          <w:sz w:val="22"/>
          <w:szCs w:val="22"/>
        </w:rPr>
        <w:t xml:space="preserve"> que permita la representación espacial de las variables estadísticas de los temas de su competencia y observar su aplicación en los proyectos que se lleven a cabo;</w:t>
      </w:r>
    </w:p>
    <w:p w:rsidR="00B872C1" w:rsidRDefault="00B872C1">
      <w:pPr>
        <w:spacing w:line="360" w:lineRule="auto"/>
        <w:ind w:right="49"/>
        <w:jc w:val="both"/>
        <w:rPr>
          <w:rFonts w:ascii="Palatino Linotype" w:eastAsia="Palatino Linotype" w:hAnsi="Palatino Linotype" w:cs="Palatino Linotype"/>
          <w:sz w:val="22"/>
          <w:szCs w:val="22"/>
        </w:rPr>
      </w:pP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De la Dirección General de Geografía y Medio Ambiente.</w:t>
      </w:r>
      <w:r>
        <w:rPr>
          <w:rFonts w:ascii="Palatino Linotype" w:eastAsia="Palatino Linotype" w:hAnsi="Palatino Linotype" w:cs="Palatino Linotype"/>
          <w:i/>
          <w:sz w:val="22"/>
          <w:szCs w:val="22"/>
        </w:rPr>
        <w:t xml:space="preserve">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Son atribuciones específicas de la Dirección General de Geografía y Medio Ambiente las siguientes: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Coordinar los procesos de diseño, captación, producción, actualización, organización, procesamiento, integración y compilación de la información geográfica y del medio ambiente y coadyuvar en la publicación y difusión de dicha información con la Dirección General de Vinculación y Servicio Público de Información y conservarla en los términos que al efecto determine la Dirección General de Coordinación del Sistema Nacional de Información Estadística y Geográfica;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Coordinar la construcción de un marco </w:t>
      </w:r>
      <w:proofErr w:type="spellStart"/>
      <w:r>
        <w:rPr>
          <w:rFonts w:ascii="Palatino Linotype" w:eastAsia="Palatino Linotype" w:hAnsi="Palatino Linotype" w:cs="Palatino Linotype"/>
          <w:i/>
          <w:sz w:val="22"/>
          <w:szCs w:val="22"/>
        </w:rPr>
        <w:t>geoestadístico</w:t>
      </w:r>
      <w:proofErr w:type="spellEnd"/>
      <w:r>
        <w:rPr>
          <w:rFonts w:ascii="Palatino Linotype" w:eastAsia="Palatino Linotype" w:hAnsi="Palatino Linotype" w:cs="Palatino Linotype"/>
          <w:i/>
          <w:sz w:val="22"/>
          <w:szCs w:val="22"/>
        </w:rPr>
        <w:t xml:space="preserve"> que permita la representación espacial de las variables estadísticas y observar su aplicación en los proyectos que se lleven a cabo;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Coordinar la integración y actualización del acervo de información geográfica y del medio ambiente, al cual se incorporará la generada por las Unidades del Estado en los términos que al efecto determine la Dirección General de Coordinación del Sistema Nacional de Información Estadística y Geográfica;</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XXXII. Generar e integrar estadísticas básicas y derivadas con base en encuestas en hogares y en establecimientos económicos, en encuestas especiales, en los censos nacionales de gobierno, y en la explotación de registros administrativos que aporten información sobre el estado de los recursos</w:t>
      </w:r>
    </w:p>
    <w:p w:rsidR="00B872C1" w:rsidRDefault="00701E7C">
      <w:pPr>
        <w:ind w:left="850" w:right="899"/>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naturales</w:t>
      </w:r>
      <w:proofErr w:type="gramEnd"/>
      <w:r>
        <w:rPr>
          <w:rFonts w:ascii="Palatino Linotype" w:eastAsia="Palatino Linotype" w:hAnsi="Palatino Linotype" w:cs="Palatino Linotype"/>
          <w:i/>
          <w:sz w:val="22"/>
          <w:szCs w:val="22"/>
        </w:rPr>
        <w:t xml:space="preserve"> y el medio ambiente;”</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De la interpretación armónica de los preceptos antes citados se puede advertir que el Instituto Nacional de Estadística y Geografía tiene facultades para conocer de la información referente a datos estadísticos en temas sociodemográficos y ambientales, luego entonces, pueden conocer los puntos de la solicitud de información materia del presente recurso en lo que respecta a  </w:t>
      </w:r>
      <w:r>
        <w:rPr>
          <w:rFonts w:ascii="Palatino Linotype" w:eastAsia="Palatino Linotype" w:hAnsi="Palatino Linotype" w:cs="Palatino Linotype"/>
          <w:i/>
        </w:rPr>
        <w:t>¿Cuál es la colonia en el municipio de Toluca con menor contaminación ambiental?, ¿Cuál es el porcentaje de desempleo en el municipio de Toluca?, ¿En qué porcentaje aumentaron los desempleos desde el año 2020?, ¿Cuál es la colonia con mayor índice de pobreza?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rPr>
        <w:t xml:space="preserve">Por lo que, se confirma la incompetencia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pues la misma fue notificada en tiempo y forma.</w:t>
      </w:r>
      <w:r>
        <w:rPr>
          <w:rFonts w:ascii="Palatino Linotype" w:eastAsia="Palatino Linotype" w:hAnsi="Palatino Linotype" w:cs="Palatino Linotype"/>
          <w:sz w:val="22"/>
          <w:szCs w:val="22"/>
        </w:rPr>
        <w:t xml:space="preserve">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preciso mencionar que sobre la información referente a </w:t>
      </w:r>
      <w:r>
        <w:rPr>
          <w:rFonts w:ascii="Palatino Linotype" w:eastAsia="Palatino Linotype" w:hAnsi="Palatino Linotype" w:cs="Palatino Linotype"/>
          <w:i/>
        </w:rPr>
        <w:t xml:space="preserve">¿Cuál es la colonia con mayor número de habitantes con edades entre 15 y 20 años? </w:t>
      </w:r>
      <w:r>
        <w:rPr>
          <w:rFonts w:ascii="Palatino Linotype" w:eastAsia="Palatino Linotype" w:hAnsi="Palatino Linotype" w:cs="Palatino Linotype"/>
        </w:rPr>
        <w:t xml:space="preserve">si bien, corresponde a información que conforme a sus atribuciones puede ser generada por el Instituto Nacional de Estadística y Geografía, en respuesta primigenia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remite el documento  denominado  Población Toluca-Localidad.pdf  del cual se puede apreciar </w:t>
      </w:r>
      <w:r>
        <w:rPr>
          <w:rFonts w:ascii="Palatino Linotype" w:eastAsia="Palatino Linotype" w:hAnsi="Palatino Linotype" w:cs="Palatino Linotype"/>
        </w:rPr>
        <w:lastRenderedPageBreak/>
        <w:t xml:space="preserve">una tabla con la población de Estado de México segregada por diversos rangos de edad correspondiente al año 2010.  Información que no corresponde con lo solicitado, siendo además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se había declarado incompetente de dicha parte de la solicitud, por lo que su respuesta carece de congruencia. Al respecto, conviene citar el criterio orientador 002/2017 del INAI, y la tesis 1a. CCCXXVII/2014 (10a.) emitida por la Primera Sala de la Suprema Corte de Justicia de la Nación, cuyo tenor es el siguiente:</w:t>
      </w:r>
    </w:p>
    <w:p w:rsidR="00B872C1" w:rsidRDefault="00B872C1">
      <w:pPr>
        <w:ind w:right="902"/>
        <w:jc w:val="both"/>
        <w:rPr>
          <w:rFonts w:ascii="Palatino Linotype" w:eastAsia="Palatino Linotype" w:hAnsi="Palatino Linotype" w:cs="Palatino Linotype"/>
        </w:rPr>
      </w:pPr>
    </w:p>
    <w:p w:rsidR="00B872C1" w:rsidRDefault="00701E7C">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Sus alcances para garantizar el derecho de acceso a la información.</w:t>
      </w:r>
      <w:r>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B872C1" w:rsidRDefault="00B872C1">
      <w:pPr>
        <w:widowControl w:val="0"/>
        <w:tabs>
          <w:tab w:val="left" w:pos="1701"/>
          <w:tab w:val="left" w:pos="1843"/>
        </w:tabs>
        <w:spacing w:line="360" w:lineRule="auto"/>
        <w:ind w:right="49"/>
        <w:jc w:val="both"/>
        <w:rPr>
          <w:rFonts w:ascii="Palatino Linotype" w:eastAsia="Palatino Linotype" w:hAnsi="Palatino Linotype" w:cs="Palatino Linotype"/>
        </w:rPr>
      </w:pPr>
      <w:bookmarkStart w:id="6" w:name="_heading=h.h5f6uylknmte" w:colFirst="0" w:colLast="0"/>
      <w:bookmarkEnd w:id="6"/>
    </w:p>
    <w:p w:rsidR="00B872C1" w:rsidRDefault="00701E7C">
      <w:pPr>
        <w:widowControl w:val="0"/>
        <w:tabs>
          <w:tab w:val="left" w:pos="1701"/>
          <w:tab w:val="left" w:pos="184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rsidR="00B872C1" w:rsidRDefault="00B872C1">
      <w:pPr>
        <w:widowControl w:val="0"/>
        <w:tabs>
          <w:tab w:val="left" w:pos="1701"/>
          <w:tab w:val="left" w:pos="1843"/>
        </w:tabs>
        <w:spacing w:line="360" w:lineRule="auto"/>
        <w:ind w:right="49"/>
        <w:jc w:val="both"/>
        <w:rPr>
          <w:rFonts w:ascii="Palatino Linotype" w:eastAsia="Palatino Linotype" w:hAnsi="Palatino Linotype" w:cs="Palatino Linotype"/>
        </w:rPr>
      </w:pPr>
    </w:p>
    <w:p w:rsidR="00B872C1" w:rsidRDefault="00701E7C">
      <w:pPr>
        <w:widowControl w:val="0"/>
        <w:tabs>
          <w:tab w:val="left" w:pos="1701"/>
          <w:tab w:val="left" w:pos="1843"/>
        </w:tabs>
        <w:spacing w:line="360" w:lineRule="auto"/>
        <w:ind w:right="49"/>
        <w:jc w:val="both"/>
        <w:rPr>
          <w:rFonts w:ascii="Palatino Linotype" w:eastAsia="Palatino Linotype" w:hAnsi="Palatino Linotype" w:cs="Palatino Linotype"/>
          <w:sz w:val="26"/>
          <w:szCs w:val="26"/>
        </w:rPr>
      </w:pPr>
      <w:r>
        <w:rPr>
          <w:rFonts w:ascii="Palatino Linotype" w:eastAsia="Palatino Linotype" w:hAnsi="Palatino Linotype" w:cs="Palatino Linotype"/>
        </w:rPr>
        <w:t xml:space="preserve">Por lo que si bien la información tiene cierta relación con lo solicitado, no se refiere a </w:t>
      </w:r>
      <w:r>
        <w:rPr>
          <w:rFonts w:ascii="Palatino Linotype" w:eastAsia="Palatino Linotype" w:hAnsi="Palatino Linotype" w:cs="Palatino Linotype"/>
        </w:rPr>
        <w:lastRenderedPageBreak/>
        <w:t xml:space="preserve">los puntos requeridos, por la particular ni al año. Así pues conviene mencionar que   de la investigación hecha por este Instituto, se advierte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publicó</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un conjunto de información sociodemográfica del municipio de Toluca de acuerdo con el censo poblacional realizado por el INEGI en el año 2020, del cual se observa información del porcentaje poblacional por rango de edad, en diferentes localidades del Municipio de Toluca, luego entonces,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 si bien es cierto no es el generador primigenio de la información si puede poseerla o administrar en ejercicio de sus funciones. Se insertan imágenes de dicho documento para mayor certeza jurídica. </w:t>
      </w:r>
    </w:p>
    <w:p w:rsidR="00B872C1" w:rsidRDefault="00B872C1">
      <w:pPr>
        <w:spacing w:line="360" w:lineRule="auto"/>
        <w:ind w:right="49"/>
        <w:jc w:val="both"/>
        <w:rPr>
          <w:rFonts w:ascii="Palatino Linotype" w:eastAsia="Palatino Linotype" w:hAnsi="Palatino Linotype" w:cs="Palatino Linotype"/>
        </w:rPr>
      </w:pP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drawing>
          <wp:inline distT="114300" distB="114300" distL="114300" distR="114300">
            <wp:extent cx="5791835" cy="3009900"/>
            <wp:effectExtent l="0" t="0" r="0" b="0"/>
            <wp:docPr id="1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791835" cy="3009900"/>
                    </a:xfrm>
                    <a:prstGeom prst="rect">
                      <a:avLst/>
                    </a:prstGeom>
                    <a:ln/>
                  </pic:spPr>
                </pic:pic>
              </a:graphicData>
            </a:graphic>
          </wp:inline>
        </w:drawing>
      </w: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114300" distB="114300" distL="114300" distR="114300">
            <wp:extent cx="5791835" cy="173990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91835" cy="1739900"/>
                    </a:xfrm>
                    <a:prstGeom prst="rect">
                      <a:avLst/>
                    </a:prstGeom>
                    <a:ln/>
                  </pic:spPr>
                </pic:pic>
              </a:graphicData>
            </a:graphic>
          </wp:inline>
        </w:drawing>
      </w: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drawing>
          <wp:inline distT="114300" distB="114300" distL="114300" distR="114300">
            <wp:extent cx="5791835" cy="1689100"/>
            <wp:effectExtent l="0" t="0" r="0" b="0"/>
            <wp:docPr id="1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91835" cy="1689100"/>
                    </a:xfrm>
                    <a:prstGeom prst="rect">
                      <a:avLst/>
                    </a:prstGeom>
                    <a:ln/>
                  </pic:spPr>
                </pic:pic>
              </a:graphicData>
            </a:graphic>
          </wp:inline>
        </w:drawing>
      </w: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las imágenes insertas se puede apreciar que existe información estadística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posee y que puede satisfacer la información solicitada por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 xml:space="preserve">En consecuencia, deberá realizar una búsqueda exhaustiva y razonable dentro de sus archivos de la información relativa a la colonia con mayor número de habitantes con edades entre 15 y 20 años en el año 2020.  </w:t>
      </w:r>
    </w:p>
    <w:p w:rsidR="00B872C1" w:rsidRDefault="00B872C1">
      <w:pPr>
        <w:spacing w:line="360" w:lineRule="auto"/>
        <w:ind w:right="49"/>
        <w:jc w:val="both"/>
        <w:rPr>
          <w:rFonts w:ascii="Palatino Linotype" w:eastAsia="Palatino Linotype" w:hAnsi="Palatino Linotype" w:cs="Palatino Linotype"/>
          <w:b/>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los requerimientos donde la particular solicita: </w:t>
      </w:r>
      <w:r>
        <w:rPr>
          <w:rFonts w:ascii="Palatino Linotype" w:eastAsia="Palatino Linotype" w:hAnsi="Palatino Linotype" w:cs="Palatino Linotype"/>
          <w:i/>
        </w:rPr>
        <w:t>¿Cuál es el trastorno de salud mental más frecuente en los adolescentes de Toluca?, ¿Cuántas personas con trastorno depresivo mayor se registraron en Toluca en el 2020?, ¿Cuántas personas con trastornos de ansiedad se registraron en Toluca en el 2020?, ¿Cuánto incremento o decremento el índice de suicidios de 2019 a 2020?,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refiere su incompetencia, señalando que existen otras autoridades que por sus atribuciones pueden conocer de la </w:t>
      </w:r>
      <w:r>
        <w:rPr>
          <w:rFonts w:ascii="Palatino Linotype" w:eastAsia="Palatino Linotype" w:hAnsi="Palatino Linotype" w:cs="Palatino Linotype"/>
        </w:rPr>
        <w:lastRenderedPageBreak/>
        <w:t>información solicitada como la Secretaría de Salud del Estado de México. En tal sentido, la Ley General de Salud  indica que será facultad de la Secretaría de Salud en coordinación con las Entidades Federativas, la prevención de trastornos mentales y de los comportamientos que desembocan en actos de suicidio, ya sean tentativos o consumados, como lo manifiesta el artículo 73 Bis de dicha ley:</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73 Bis. </w:t>
      </w:r>
      <w:r>
        <w:rPr>
          <w:rFonts w:ascii="Palatino Linotype" w:eastAsia="Palatino Linotype" w:hAnsi="Palatino Linotype" w:cs="Palatino Linotype"/>
          <w:i/>
          <w:sz w:val="22"/>
          <w:szCs w:val="22"/>
        </w:rPr>
        <w:t xml:space="preserve">Corresponde a la Secretaria de Salud en coordinación con los Gobiernos de las Entidades Federativas en materia de prevención de trastornos mentales y del comportamiento que desembocan en actos tentativos o consumados de suicidio: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Promover y apoyar la investigación de las causas del suicidio y de la conducta suicida;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Realizar acciones programáticas y de prevención del suicidio, dirigidas a toda la población y en particular a los grupos considerados de alto riesgo.”</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 </w:t>
      </w:r>
    </w:p>
    <w:p w:rsidR="00B872C1" w:rsidRDefault="00B872C1">
      <w:pPr>
        <w:ind w:left="850" w:right="899"/>
        <w:jc w:val="both"/>
        <w:rPr>
          <w:rFonts w:ascii="Palatino Linotype" w:eastAsia="Palatino Linotype" w:hAnsi="Palatino Linotype" w:cs="Palatino Linotype"/>
          <w:i/>
          <w:sz w:val="22"/>
          <w:szCs w:val="22"/>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el artículo 73 Bis 1 dispone que la Secretaría podrá emitir disposiciones de carácter general para la detección  control de trastornos mentales y comportamientos que puedan derivar en suicidio, conservando la información que para tales efectos se genere. Dicho precepto se transcribe a continuación: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 xml:space="preserve">Artículo 73 Bis 1. </w:t>
      </w:r>
      <w:r>
        <w:rPr>
          <w:rFonts w:ascii="Palatino Linotype" w:eastAsia="Palatino Linotype" w:hAnsi="Palatino Linotype" w:cs="Palatino Linotype"/>
          <w:i/>
          <w:sz w:val="22"/>
          <w:szCs w:val="22"/>
        </w:rPr>
        <w:t xml:space="preserve">Corresponde a la Secretaría de Salud emitir las disposiciones de carácter general para la detección control y vigilancia epidemiológica de los </w:t>
      </w:r>
      <w:r>
        <w:rPr>
          <w:rFonts w:ascii="Palatino Linotype" w:eastAsia="Palatino Linotype" w:hAnsi="Palatino Linotype" w:cs="Palatino Linotype"/>
          <w:b/>
          <w:i/>
          <w:sz w:val="22"/>
          <w:szCs w:val="22"/>
        </w:rPr>
        <w:t>trastornos mentales y del comportamiento que pueden derivar en intento de suicidio o suicidio</w:t>
      </w:r>
      <w:r>
        <w:rPr>
          <w:rFonts w:ascii="Palatino Linotype" w:eastAsia="Palatino Linotype" w:hAnsi="Palatino Linotype" w:cs="Palatino Linotype"/>
          <w:i/>
          <w:sz w:val="22"/>
          <w:szCs w:val="22"/>
        </w:rPr>
        <w:t xml:space="preserve"> consumado, entre los usuarios de los servicios de atención médica, así como, organizar y</w:t>
      </w:r>
      <w:r>
        <w:rPr>
          <w:rFonts w:ascii="Palatino Linotype" w:eastAsia="Palatino Linotype" w:hAnsi="Palatino Linotype" w:cs="Palatino Linotype"/>
          <w:b/>
          <w:i/>
          <w:sz w:val="22"/>
          <w:szCs w:val="22"/>
        </w:rPr>
        <w:t xml:space="preserve"> conservar la información que se genere</w:t>
      </w:r>
      <w:r>
        <w:rPr>
          <w:rFonts w:ascii="Palatino Linotype" w:eastAsia="Palatino Linotype" w:hAnsi="Palatino Linotype" w:cs="Palatino Linotype"/>
          <w:i/>
          <w:sz w:val="22"/>
          <w:szCs w:val="22"/>
        </w:rPr>
        <w:t>, con base en indicadores epidemiológicos, para efectos de la construcción de instrumentos de política pública en la materia.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legales citados se desprende que la Secretaría de Salud conocerá de los temas relacionados con salud mental y conductas que puedan derivar en suicidio. </w:t>
      </w:r>
      <w:r>
        <w:rPr>
          <w:rFonts w:ascii="Palatino Linotype" w:eastAsia="Palatino Linotype" w:hAnsi="Palatino Linotype" w:cs="Palatino Linotype"/>
        </w:rPr>
        <w:lastRenderedPageBreak/>
        <w:t>situación que se verifica también en el ámbito local dentro del Reglamento de Salud del Estado de México, el cual en su artículo 13 señala cuales son considerados como servicios de salud básicos, entre los cuales se encuentra la salud mental contemplada en su fracción VI. Como se puede apreciar a continuación:</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w:t>
      </w:r>
      <w:r>
        <w:rPr>
          <w:rFonts w:ascii="Palatino Linotype" w:eastAsia="Palatino Linotype" w:hAnsi="Palatino Linotype" w:cs="Palatino Linotype"/>
          <w:i/>
          <w:sz w:val="22"/>
          <w:szCs w:val="22"/>
        </w:rPr>
        <w:t xml:space="preserve"> Para los efectos del derecho a la protección de la salud, se consideran servicios básicos los referentes 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educación para la salud, la promoción del saneamiento básico y el mejoramiento de las condiciones sanitarias del ambiente.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prevención y el control de las enfermedades transmisibles, de las no transmisibles más frecuentes y de los accidentes.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atención médica, que comprende actividades preventivas, curativas y de rehabilitación, incluyendo la atención de urgencias.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La atención materno-infantil.</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 planificación familiar. </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La salud mental.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 prevención y el control de las enfermedades bucodentales.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La disponibilidad de medicamentos y otros insumos esenciales para la salud.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La promoción del mejoramiento de la nutrición.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La asistencia social a los grupos más vulnerables.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Las demás que establezcan otras disposiciones legales.”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el artículo 29 del reglamento en comento señala que la Secretaría de Salud podrá llevar a cabo las acciones que de forma directa o indirecta contribuyan al fomento de la salud mental de la población como se puede advertir a continuación: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Para la promoción y atención de salud mental, la Secretaría y las instituciones de salud en coordinación con las autoridades competentes en cada materia, fomentarán y apoyarán: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El desarrollo y difusión de actividades educativas, </w:t>
      </w:r>
      <w:proofErr w:type="gramStart"/>
      <w:r>
        <w:rPr>
          <w:rFonts w:ascii="Palatino Linotype" w:eastAsia="Palatino Linotype" w:hAnsi="Palatino Linotype" w:cs="Palatino Linotype"/>
          <w:i/>
          <w:sz w:val="22"/>
          <w:szCs w:val="22"/>
        </w:rPr>
        <w:t>socio culturales y recreativas, destinadas</w:t>
      </w:r>
      <w:proofErr w:type="gramEnd"/>
      <w:r>
        <w:rPr>
          <w:rFonts w:ascii="Palatino Linotype" w:eastAsia="Palatino Linotype" w:hAnsi="Palatino Linotype" w:cs="Palatino Linotype"/>
          <w:i/>
          <w:sz w:val="22"/>
          <w:szCs w:val="22"/>
        </w:rPr>
        <w:t xml:space="preserve"> preferentemente a la infancia y a la juventud.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realización y difusión de programas para la prevención del uso de sustancias psicotrópicas, estupefacientes, inhalantes y otras sustancias que puedan causar alteraciones mentales o dependencia a éstas.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III. La atención a los enfermos mentales que se encuentren en reclusorios del Estado o en otras instituciones estatales no especializados en salud mental.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Las demás acciones que directa o indirectamente contribuyan al fomento de la salud mental de la población.</w:t>
      </w:r>
      <w:r>
        <w:rPr>
          <w:rFonts w:ascii="Palatino Linotype" w:eastAsia="Palatino Linotype" w:hAnsi="Palatino Linotype" w:cs="Palatino Linotype"/>
          <w:i/>
          <w:sz w:val="22"/>
          <w:szCs w:val="22"/>
        </w:rPr>
        <w:t>”</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consecuencia es congruente determinar que la Secretaría de Salud del Estado de México tiene facultades para conocer de la información relacionada con </w:t>
      </w:r>
      <w:r>
        <w:rPr>
          <w:rFonts w:ascii="Palatino Linotype" w:eastAsia="Palatino Linotype" w:hAnsi="Palatino Linotype" w:cs="Palatino Linotype"/>
          <w:i/>
        </w:rPr>
        <w:t xml:space="preserve">¿Cuál es el trastorno de salud mental más frecuente en los adolescentes de Toluca?, ¿Cuántas personas con trastorno depresivo mayor se registraron en Toluca en el 2020?, ¿Cuántas personas con trastornos de ansiedad se registraron en Toluca en el 2020?, ¿Cuánto incremento o decremento el índice de suicidios de 2019 a 2020?, </w:t>
      </w:r>
      <w:r>
        <w:rPr>
          <w:rFonts w:ascii="Palatino Linotype" w:eastAsia="Palatino Linotype" w:hAnsi="Palatino Linotype" w:cs="Palatino Linotype"/>
        </w:rPr>
        <w:t xml:space="preserve">por lo que se tienen por colmadas dichas partes de la solicitud con la declaración de incompetencia del </w:t>
      </w:r>
      <w:r>
        <w:rPr>
          <w:rFonts w:ascii="Palatino Linotype" w:eastAsia="Palatino Linotype" w:hAnsi="Palatino Linotype" w:cs="Palatino Linotype"/>
          <w:b/>
        </w:rPr>
        <w:t xml:space="preserve">SUJETO OBLIGADO. </w:t>
      </w:r>
    </w:p>
    <w:p w:rsidR="00B872C1" w:rsidRDefault="00B872C1">
      <w:pPr>
        <w:spacing w:line="360" w:lineRule="auto"/>
        <w:ind w:right="49"/>
        <w:jc w:val="both"/>
        <w:rPr>
          <w:rFonts w:ascii="Palatino Linotype" w:eastAsia="Palatino Linotype" w:hAnsi="Palatino Linotype" w:cs="Palatino Linotype"/>
          <w:b/>
        </w:rPr>
      </w:pP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Mismo es el caso respecto de los requerimientos tendientes a conocer: </w:t>
      </w:r>
      <w:r>
        <w:rPr>
          <w:rFonts w:ascii="Palatino Linotype" w:eastAsia="Palatino Linotype" w:hAnsi="Palatino Linotype" w:cs="Palatino Linotype"/>
          <w:i/>
        </w:rPr>
        <w:t xml:space="preserve">¿Cuántas defunciones por Coronavirus se han registrado en la colonia Centro, Sor Juana </w:t>
      </w:r>
      <w:proofErr w:type="spellStart"/>
      <w:r>
        <w:rPr>
          <w:rFonts w:ascii="Palatino Linotype" w:eastAsia="Palatino Linotype" w:hAnsi="Palatino Linotype" w:cs="Palatino Linotype"/>
          <w:i/>
        </w:rPr>
        <w:t>Ines</w:t>
      </w:r>
      <w:proofErr w:type="spellEnd"/>
      <w:r>
        <w:rPr>
          <w:rFonts w:ascii="Palatino Linotype" w:eastAsia="Palatino Linotype" w:hAnsi="Palatino Linotype" w:cs="Palatino Linotype"/>
          <w:i/>
        </w:rPr>
        <w:t xml:space="preserve"> De la Cruz, Morelos, y en todas las delegaciones de Toluca</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Cuántas personas han muerto de COVID en Toluca?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rPr>
        <w:t xml:space="preserve">mismos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señaló no ser competente de atender pues no cuenta con facultades para generar, poseer o administrar la información solicitada. </w:t>
      </w:r>
    </w:p>
    <w:p w:rsidR="00B872C1" w:rsidRDefault="00B872C1">
      <w:pPr>
        <w:widowControl w:val="0"/>
        <w:spacing w:line="360" w:lineRule="auto"/>
        <w:jc w:val="both"/>
        <w:rPr>
          <w:rFonts w:ascii="Palatino Linotype" w:eastAsia="Palatino Linotype" w:hAnsi="Palatino Linotype" w:cs="Palatino Linotype"/>
        </w:rPr>
      </w:pP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este Instituto advierte que la Secretaría de Salud del Estado de México en su página oficial tiene un apartado específico para temas relacionados con el Covid-19  como se puede apreciar a continuación de las capturas de pantalla de la liga: </w:t>
      </w:r>
      <w:hyperlink r:id="rId12">
        <w:r>
          <w:rPr>
            <w:rFonts w:ascii="Palatino Linotype" w:eastAsia="Palatino Linotype" w:hAnsi="Palatino Linotype" w:cs="Palatino Linotype"/>
            <w:color w:val="1155CC"/>
            <w:u w:val="single"/>
          </w:rPr>
          <w:t>https://salud.edomex.gob.mx/salud/covid</w:t>
        </w:r>
      </w:hyperlink>
      <w:r>
        <w:rPr>
          <w:rFonts w:ascii="Palatino Linotype" w:eastAsia="Palatino Linotype" w:hAnsi="Palatino Linotype" w:cs="Palatino Linotype"/>
        </w:rPr>
        <w:t xml:space="preserve">  </w:t>
      </w:r>
    </w:p>
    <w:p w:rsidR="00B872C1" w:rsidRDefault="00701E7C">
      <w:pPr>
        <w:widowControl w:val="0"/>
        <w:spacing w:line="360" w:lineRule="auto"/>
        <w:jc w:val="both"/>
        <w:rPr>
          <w:rFonts w:ascii="Palatino Linotype" w:eastAsia="Palatino Linotype" w:hAnsi="Palatino Linotype" w:cs="Palatino Linotype"/>
        </w:rPr>
      </w:pPr>
      <w:bookmarkStart w:id="7" w:name="_GoBack"/>
      <w:bookmarkEnd w:id="7"/>
      <w:r>
        <w:rPr>
          <w:rFonts w:ascii="Palatino Linotype" w:eastAsia="Palatino Linotype" w:hAnsi="Palatino Linotype" w:cs="Palatino Linotype"/>
          <w:noProof/>
        </w:rPr>
        <w:lastRenderedPageBreak/>
        <w:drawing>
          <wp:inline distT="114300" distB="114300" distL="114300" distR="114300">
            <wp:extent cx="5791200" cy="1534110"/>
            <wp:effectExtent l="0" t="0" r="0" b="0"/>
            <wp:docPr id="1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b="72834"/>
                    <a:stretch>
                      <a:fillRect/>
                    </a:stretch>
                  </pic:blipFill>
                  <pic:spPr>
                    <a:xfrm>
                      <a:off x="0" y="0"/>
                      <a:ext cx="5791200" cy="1534110"/>
                    </a:xfrm>
                    <a:prstGeom prst="rect">
                      <a:avLst/>
                    </a:prstGeom>
                    <a:ln/>
                  </pic:spPr>
                </pic:pic>
              </a:graphicData>
            </a:graphic>
          </wp:inline>
        </w:drawing>
      </w:r>
    </w:p>
    <w:p w:rsidR="00B872C1" w:rsidRDefault="00701E7C">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543550" cy="2458035"/>
            <wp:effectExtent l="0" t="0" r="0" b="0"/>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51948" b="2628"/>
                    <a:stretch>
                      <a:fillRect/>
                    </a:stretch>
                  </pic:blipFill>
                  <pic:spPr>
                    <a:xfrm>
                      <a:off x="0" y="0"/>
                      <a:ext cx="5543550" cy="2458035"/>
                    </a:xfrm>
                    <a:prstGeom prst="rect">
                      <a:avLst/>
                    </a:prstGeom>
                    <a:ln/>
                  </pic:spPr>
                </pic:pic>
              </a:graphicData>
            </a:graphic>
          </wp:inline>
        </w:drawing>
      </w: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dicha página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muestra una base de datos referente a los casos positivos y defunciones por COVID-19  segregada por municipios del Estado de México. Se inserta captura de pantalla de dicho apartado para mayor referencia: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extent cx="5104448" cy="3211586"/>
            <wp:effectExtent l="0" t="0" r="0" b="0"/>
            <wp:docPr id="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b="7716"/>
                    <a:stretch>
                      <a:fillRect/>
                    </a:stretch>
                  </pic:blipFill>
                  <pic:spPr>
                    <a:xfrm>
                      <a:off x="0" y="0"/>
                      <a:ext cx="5104448" cy="3211586"/>
                    </a:xfrm>
                    <a:prstGeom prst="rect">
                      <a:avLst/>
                    </a:prstGeom>
                    <a:ln/>
                  </pic:spPr>
                </pic:pic>
              </a:graphicData>
            </a:graphic>
          </wp:inline>
        </w:drawing>
      </w:r>
    </w:p>
    <w:p w:rsidR="00B872C1" w:rsidRDefault="00701E7C">
      <w:pPr>
        <w:spacing w:line="360" w:lineRule="auto"/>
        <w:ind w:right="49"/>
        <w:rPr>
          <w:rFonts w:ascii="Palatino Linotype" w:eastAsia="Palatino Linotype" w:hAnsi="Palatino Linotype" w:cs="Palatino Linotype"/>
        </w:rPr>
      </w:pPr>
      <w:r>
        <w:rPr>
          <w:rFonts w:ascii="Palatino Linotype" w:eastAsia="Palatino Linotype" w:hAnsi="Palatino Linotype" w:cs="Palatino Linotype"/>
        </w:rPr>
        <w:t xml:space="preserve">De tal manera que se puede apreciar dicha información es generada, poseía y administrada por la Secretaría de Salud del Estado de México. </w:t>
      </w:r>
    </w:p>
    <w:p w:rsidR="00B872C1" w:rsidRDefault="00B872C1">
      <w:pPr>
        <w:spacing w:line="360" w:lineRule="auto"/>
        <w:ind w:right="49"/>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en lo que respecta a </w:t>
      </w:r>
      <w:r>
        <w:rPr>
          <w:rFonts w:ascii="Palatino Linotype" w:eastAsia="Palatino Linotype" w:hAnsi="Palatino Linotype" w:cs="Palatino Linotype"/>
          <w:i/>
        </w:rPr>
        <w:t xml:space="preserve">¿Cuál es el trastorno de salud mental más frecuente en los adolescentes de Toluca?, </w:t>
      </w:r>
      <w:r>
        <w:rPr>
          <w:rFonts w:ascii="Palatino Linotype" w:eastAsia="Palatino Linotype" w:hAnsi="Palatino Linotype" w:cs="Palatino Linotype"/>
        </w:rPr>
        <w:t xml:space="preserve">en primera instancia se advierte que dicho requerimiento por su naturaleza pudiera encuadrar dentro de la información que es competencia de la Secretaría de Salud; sin embargo, dentro de la normativa interna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observa la existencia de la Dirección General de Bienestar Social, la cual para llevar a </w:t>
      </w:r>
      <w:proofErr w:type="spellStart"/>
      <w:r>
        <w:rPr>
          <w:rFonts w:ascii="Palatino Linotype" w:eastAsia="Palatino Linotype" w:hAnsi="Palatino Linotype" w:cs="Palatino Linotype"/>
        </w:rPr>
        <w:t>acabo</w:t>
      </w:r>
      <w:proofErr w:type="spellEnd"/>
      <w:r>
        <w:rPr>
          <w:rFonts w:ascii="Palatino Linotype" w:eastAsia="Palatino Linotype" w:hAnsi="Palatino Linotype" w:cs="Palatino Linotype"/>
        </w:rPr>
        <w:t xml:space="preserve"> sus facultades, se auxiliará de diversas direcciones como la Dirección de Apoyo a la Juventud. </w:t>
      </w: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“SECCIÓN DECIMA CUARTA </w:t>
      </w: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DE LA DIRECCIÓN GENERAL DE BIENESTAR SOCIAL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3.68</w:t>
      </w:r>
      <w:r>
        <w:rPr>
          <w:rFonts w:ascii="Palatino Linotype" w:eastAsia="Palatino Linotype" w:hAnsi="Palatino Linotype" w:cs="Palatino Linotype"/>
          <w:i/>
          <w:sz w:val="22"/>
          <w:szCs w:val="22"/>
        </w:rPr>
        <w:t>. La o el titular de la Dirección General de Bienestar Social, tendrá las siguientes atribuciones: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Para el ejercicio de sus atribuciones, la Dirección General de Bienestar Social se auxiliará de la Dirección de Cultura, de la </w:t>
      </w:r>
      <w:r>
        <w:rPr>
          <w:rFonts w:ascii="Palatino Linotype" w:eastAsia="Palatino Linotype" w:hAnsi="Palatino Linotype" w:cs="Palatino Linotype"/>
          <w:b/>
          <w:i/>
          <w:sz w:val="22"/>
          <w:szCs w:val="22"/>
        </w:rPr>
        <w:t>Dirección de Apoyo a la Juventud,</w:t>
      </w:r>
      <w:r>
        <w:rPr>
          <w:rFonts w:ascii="Palatino Linotype" w:eastAsia="Palatino Linotype" w:hAnsi="Palatino Linotype" w:cs="Palatino Linotype"/>
          <w:i/>
          <w:sz w:val="22"/>
          <w:szCs w:val="22"/>
        </w:rPr>
        <w:t xml:space="preserve"> Dirección de Atención a la Mujer, Dirección de Programas Sociales y Apoyo a la Educación y Dirección de Fomento y Orientación para la Convivencia Social.”</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ind w:right="49"/>
        <w:jc w:val="both"/>
        <w:rPr>
          <w:rFonts w:ascii="Palatino Linotype" w:eastAsia="Palatino Linotype" w:hAnsi="Palatino Linotype" w:cs="Palatino Linotype"/>
          <w:b/>
        </w:rPr>
      </w:pPr>
    </w:p>
    <w:p w:rsidR="00B872C1" w:rsidRDefault="00701E7C">
      <w:pPr>
        <w:spacing w:line="360" w:lineRule="auto"/>
        <w:ind w:right="4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rPr>
        <w:t>Dicha Dirección tendrá dentro de sus atribuciones las de coadyuvar con las dependencias de salud para brindar atención a la juventud en ciertos sectores como la salud mental, situación prevista por el Código Reglamentario del Ayuntamiento de Toluca en su artículo 3.70, fracción IX, mismo que se cita a continuación:</w:t>
      </w:r>
    </w:p>
    <w:p w:rsidR="00B872C1" w:rsidRDefault="00701E7C">
      <w:pPr>
        <w:ind w:left="850" w:right="899"/>
        <w:jc w:val="both"/>
        <w:rPr>
          <w:rFonts w:ascii="Palatino Linotype" w:eastAsia="Palatino Linotype" w:hAnsi="Palatino Linotype" w:cs="Palatino Linotype"/>
          <w:b/>
          <w:i/>
          <w:sz w:val="22"/>
          <w:szCs w:val="22"/>
          <w:u w:val="single"/>
        </w:rPr>
      </w:pPr>
      <w:proofErr w:type="gramStart"/>
      <w:r>
        <w:rPr>
          <w:rFonts w:ascii="Palatino Linotype" w:eastAsia="Palatino Linotype" w:hAnsi="Palatino Linotype" w:cs="Palatino Linotype"/>
          <w:b/>
          <w:i/>
          <w:sz w:val="22"/>
          <w:szCs w:val="22"/>
          <w:u w:val="single"/>
        </w:rPr>
        <w:t>“​​SUBSECCIÓN</w:t>
      </w:r>
      <w:proofErr w:type="gramEnd"/>
      <w:r>
        <w:rPr>
          <w:rFonts w:ascii="Palatino Linotype" w:eastAsia="Palatino Linotype" w:hAnsi="Palatino Linotype" w:cs="Palatino Linotype"/>
          <w:b/>
          <w:i/>
          <w:sz w:val="22"/>
          <w:szCs w:val="22"/>
          <w:u w:val="single"/>
        </w:rPr>
        <w:t xml:space="preserve"> SEGUNDA </w:t>
      </w: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DIRECCIÓN DE APOYO A LA JUVENTUD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3.70.</w:t>
      </w:r>
      <w:r>
        <w:rPr>
          <w:rFonts w:ascii="Palatino Linotype" w:eastAsia="Palatino Linotype" w:hAnsi="Palatino Linotype" w:cs="Palatino Linotype"/>
          <w:i/>
          <w:sz w:val="22"/>
          <w:szCs w:val="22"/>
        </w:rPr>
        <w:t xml:space="preserve"> La o el titular de la Dirección de Apoyo a la Juventud, tendrá las siguientes atribuciones: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Proponer el programa municipal de atención a la juventud;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Planear, programar, coordinar, promover, ejecutar y evaluar el programa municipal de atención a la juventud;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Coordinar y fortalecer los trabajos de las dependencias municipales, que tengan relación con los jóvenes;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Coadyuvar en la atención a los problemas de salud de los jóvenes, principalmente en los renglones de medicina preventiva, orientación en el campo de la sexualidad, planificación familiar, adicciones y salud mental;”</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B872C1" w:rsidRDefault="00B872C1">
      <w:pPr>
        <w:spacing w:line="360" w:lineRule="auto"/>
        <w:ind w:right="49"/>
        <w:jc w:val="both"/>
        <w:rPr>
          <w:rFonts w:ascii="Palatino Linotype" w:eastAsia="Palatino Linotype" w:hAnsi="Palatino Linotype" w:cs="Palatino Linotype"/>
          <w:b/>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tal manera que para brindar certeza jurídica a la particular y en atención al principio de máxima publicidad para poder colmar la pretensión de la solicitante será necesario que</w:t>
      </w:r>
      <w:r>
        <w:rPr>
          <w:rFonts w:ascii="Palatino Linotype" w:eastAsia="Palatino Linotype" w:hAnsi="Palatino Linotype" w:cs="Palatino Linotype"/>
          <w:b/>
        </w:rPr>
        <w:t xml:space="preserve"> EL SUJETO OBLIGADO</w:t>
      </w:r>
      <w:r>
        <w:rPr>
          <w:rFonts w:ascii="Palatino Linotype" w:eastAsia="Palatino Linotype" w:hAnsi="Palatino Linotype" w:cs="Palatino Linotype"/>
        </w:rPr>
        <w:t xml:space="preserve"> lleve a cabo una búsqueda dentro de sus archivos y se pronuncie si cuenta con la información solicitada.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Sobre lo anterior, no se advierte que la particular haya expresado una temporalidad específica para esta parte de la solicitud no obstante del conjunto de información requerida en la solicitud de acceso a la información pública se desprende que la intención de la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conocer los datos relativos a los años 2019 y 2020, por lo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deberá pronunciarse si cuenta con el soporte documental donde conste el trastorno de salud mental más frecuente en los adolescentes de Toluca para los años 2019 y 2020.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relación a la última parte de la solicitud sobre la cual el ente recurrido manifestó su incompetencia, donde la particular solicita lo siguiente: </w:t>
      </w:r>
      <w:r>
        <w:rPr>
          <w:rFonts w:ascii="Palatino Linotype" w:eastAsia="Palatino Linotype" w:hAnsi="Palatino Linotype" w:cs="Palatino Linotype"/>
          <w:i/>
        </w:rPr>
        <w:t xml:space="preserve">¿Cuál es la colonia con más robos casa-hogar? </w:t>
      </w:r>
      <w:r>
        <w:rPr>
          <w:rFonts w:ascii="Palatino Linotype" w:eastAsia="Palatino Linotype" w:hAnsi="Palatino Linotype" w:cs="Palatino Linotype"/>
        </w:rPr>
        <w:t xml:space="preserve">A lo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refiere que por sus atribuciones la autoridad encargada de generar la respuesta es la Fiscalía General de Justicia del Estado de México. Así pues, resulta procedente traer a colación el contenido del Bando Municipal del Municipio de Toluca, el cual, en su capítulo segundo regula la composición de la administración pública municipal señalando en sus artículos 22 y 23  que su para el desempeño de sus actividades, el Presidente municipal como titular del Ayuntamiento se apoyará de diversas dependencia, entre la cuales se encuentra la Dirección General de Seguridad Pública: </w:t>
      </w:r>
    </w:p>
    <w:p w:rsidR="00B872C1" w:rsidRDefault="00B872C1">
      <w:pPr>
        <w:spacing w:line="360" w:lineRule="auto"/>
        <w:jc w:val="both"/>
        <w:rPr>
          <w:rFonts w:ascii="Palatino Linotype" w:eastAsia="Palatino Linotype" w:hAnsi="Palatino Linotype" w:cs="Palatino Linotype"/>
        </w:rPr>
      </w:pP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“CAPÍTULO SEGUNDO </w:t>
      </w: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DE LA ORGANIZACIÓN ADMINISTRATIVA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22. </w:t>
      </w:r>
      <w:r>
        <w:rPr>
          <w:rFonts w:ascii="Palatino Linotype" w:eastAsia="Palatino Linotype" w:hAnsi="Palatino Linotype" w:cs="Palatino Linotype"/>
          <w:i/>
          <w:sz w:val="22"/>
          <w:szCs w:val="22"/>
        </w:rPr>
        <w:t>La administración pública municipal será centralizada, desconcentrada, descentralizada y autónoma. Su organización y funcionamiento se regirá por la Ley Orgánica Municipal, este Bando Municipal, el Código Reglamentario Municipal y otras normas jurídicas aplicables.</w:t>
      </w:r>
    </w:p>
    <w:p w:rsidR="00B872C1" w:rsidRDefault="00B872C1">
      <w:pPr>
        <w:ind w:left="850" w:right="899"/>
        <w:jc w:val="both"/>
        <w:rPr>
          <w:rFonts w:ascii="Palatino Linotype" w:eastAsia="Palatino Linotype" w:hAnsi="Palatino Linotype" w:cs="Palatino Linotype"/>
          <w:b/>
          <w:i/>
          <w:sz w:val="22"/>
          <w:szCs w:val="22"/>
        </w:rPr>
      </w:pP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23.</w:t>
      </w:r>
      <w:r>
        <w:rPr>
          <w:rFonts w:ascii="Palatino Linotype" w:eastAsia="Palatino Linotype" w:hAnsi="Palatino Linotype" w:cs="Palatino Linotype"/>
          <w:i/>
          <w:sz w:val="22"/>
          <w:szCs w:val="22"/>
        </w:rPr>
        <w:t xml:space="preserve"> Para la consulta, estudio, planeación y despacho de los asuntos en los diversos ramos de la administración pública municipal, la o el Presidente Municipal se auxiliará de la Secretaría del Ayuntamiento y de las siguientes: </w:t>
      </w:r>
    </w:p>
    <w:p w:rsidR="00B872C1" w:rsidRDefault="00B872C1">
      <w:pPr>
        <w:ind w:left="850" w:right="899"/>
        <w:jc w:val="both"/>
        <w:rPr>
          <w:rFonts w:ascii="Palatino Linotype" w:eastAsia="Palatino Linotype" w:hAnsi="Palatino Linotype" w:cs="Palatino Linotype"/>
          <w:b/>
          <w:i/>
          <w:sz w:val="22"/>
          <w:szCs w:val="22"/>
        </w:rPr>
      </w:pP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DEPENDENCIAS: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Tesorería Municipal;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Contraloría;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Dirección General de Gobierno; </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4. Dirección General de Seguridad Pública;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Dirección General de Administración;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Dirección General de Medio Ambiente;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Dirección General de Servicios Públicos;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Dirección General de Desarrollo Urbano y Obra Pública;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Dirección General de Desarrollo Económico; y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10. Dirección General de Bienestar Social”</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mismo bando en su capítulo tercero señala las atribuciones de las autoridades municipales en materia de Seguridad Pública de la cual en su artículo 74 fracción XIII se advierte existe la facultad de que se generen informes y estadísticas sobre las actividades  delictivas en el municipio, el cual refiere: </w:t>
      </w: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w:t>
      </w:r>
      <w:r>
        <w:rPr>
          <w:rFonts w:ascii="Palatino Linotype" w:eastAsia="Palatino Linotype" w:hAnsi="Palatino Linotype" w:cs="Palatino Linotype"/>
          <w:b/>
          <w:i/>
          <w:sz w:val="22"/>
          <w:szCs w:val="22"/>
          <w:u w:val="single"/>
        </w:rPr>
        <w:t xml:space="preserve">CAPÍTULO TERCERO </w:t>
      </w:r>
    </w:p>
    <w:p w:rsidR="00B872C1" w:rsidRDefault="00701E7C">
      <w:pPr>
        <w:ind w:left="850"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DE LAS ATRIBUCIONES EN MATERIA DE SEGURIDAD PÚBLICA </w:t>
      </w:r>
    </w:p>
    <w:p w:rsidR="00B872C1" w:rsidRDefault="00B872C1">
      <w:pPr>
        <w:ind w:left="850" w:right="899"/>
        <w:jc w:val="both"/>
        <w:rPr>
          <w:rFonts w:ascii="Palatino Linotype" w:eastAsia="Palatino Linotype" w:hAnsi="Palatino Linotype" w:cs="Palatino Linotype"/>
          <w:i/>
          <w:sz w:val="22"/>
          <w:szCs w:val="22"/>
        </w:rPr>
      </w:pP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74.</w:t>
      </w:r>
      <w:r>
        <w:rPr>
          <w:rFonts w:ascii="Palatino Linotype" w:eastAsia="Palatino Linotype" w:hAnsi="Palatino Linotype" w:cs="Palatino Linotype"/>
          <w:i/>
          <w:sz w:val="22"/>
          <w:szCs w:val="22"/>
        </w:rPr>
        <w:t xml:space="preserve"> Son atribuciones de las autoridades municipales en materia de Seguridad Pública las siguientes:</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XIII. Generar informes y estadísticas sobre actividades delictivas en el municipio;</w:t>
      </w:r>
      <w:r>
        <w:rPr>
          <w:rFonts w:ascii="Palatino Linotype" w:eastAsia="Palatino Linotype" w:hAnsi="Palatino Linotype" w:cs="Palatino Linotype"/>
          <w:i/>
          <w:sz w:val="22"/>
          <w:szCs w:val="22"/>
        </w:rPr>
        <w:t>”</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ind w:right="899"/>
        <w:jc w:val="both"/>
        <w:rPr>
          <w:rFonts w:ascii="Palatino Linotype" w:eastAsia="Palatino Linotype" w:hAnsi="Palatino Linotype" w:cs="Palatino Linotype"/>
          <w:i/>
          <w:sz w:val="22"/>
          <w:szCs w:val="22"/>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el Código Reglamentario del Ayuntamiento de Toluca, contempla la existencia de una Dirección Operativa perteneciente a la Dirección de Seguridad Pública y  la cual tendrá dentro de sus atribuciones las de general, actualizar y </w:t>
      </w:r>
      <w:r>
        <w:rPr>
          <w:rFonts w:ascii="Palatino Linotype" w:eastAsia="Palatino Linotype" w:hAnsi="Palatino Linotype" w:cs="Palatino Linotype"/>
        </w:rPr>
        <w:lastRenderedPageBreak/>
        <w:t xml:space="preserve">sistematizar  la información delictiva del municipio como lo señala el artículo 3.33 en sus fracciones V y VIII, a saber: </w:t>
      </w:r>
    </w:p>
    <w:p w:rsidR="00B872C1" w:rsidRDefault="00701E7C">
      <w:pP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3.33 </w:t>
      </w:r>
      <w:r>
        <w:rPr>
          <w:rFonts w:ascii="Palatino Linotype" w:eastAsia="Palatino Linotype" w:hAnsi="Palatino Linotype" w:cs="Palatino Linotype"/>
          <w:i/>
          <w:sz w:val="22"/>
          <w:szCs w:val="22"/>
        </w:rPr>
        <w:t>La o el titular de la Dirección Operativa tiene las siguientes atribuciones:</w:t>
      </w:r>
    </w:p>
    <w:p w:rsidR="00B872C1" w:rsidRDefault="00701E7C">
      <w:pPr>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 xml:space="preserve">V. Establecer, coordinar, supervisar y actualizar los mecanismos de control de los bienes muebles e inmuebles del Ayuntamiento a su cargo, del armamento asignado al personal, y de la </w:t>
      </w:r>
      <w:r>
        <w:rPr>
          <w:rFonts w:ascii="Palatino Linotype" w:eastAsia="Palatino Linotype" w:hAnsi="Palatino Linotype" w:cs="Palatino Linotype"/>
          <w:b/>
          <w:i/>
          <w:sz w:val="22"/>
          <w:szCs w:val="22"/>
        </w:rPr>
        <w:t>estadística criminal del municipio;</w:t>
      </w:r>
    </w:p>
    <w:p w:rsidR="00B872C1" w:rsidRDefault="00701E7C">
      <w:pPr>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VIII. Generar, organizar, sistematizar y</w:t>
      </w:r>
      <w:r>
        <w:rPr>
          <w:rFonts w:ascii="Palatino Linotype" w:eastAsia="Palatino Linotype" w:hAnsi="Palatino Linotype" w:cs="Palatino Linotype"/>
          <w:b/>
          <w:i/>
          <w:sz w:val="22"/>
          <w:szCs w:val="22"/>
        </w:rPr>
        <w:t xml:space="preserve"> actualizar información delictiva de tipo analítica, técnica e integral;”</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anterior se desprende que la Dirección de Seguridad Pública a través de la Dirección Operativa podrá generar información estadística relacionada a hechos criminales ocurridos dentro del municipio. Razón por la cual la Titular de la Unidad de Transparencia deberá turnar a la Dirección de Seguridad Pública a efecto de que el servidor público habilitado del área competente manifieste si cuenta con información sobre la colonia con mayor cantidad de  robos a casa-hogar en los años 2019 y 2020.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hecha las manifestaciones anteriores, se procede a analizar las respuestas otorgadas a la parte de la solicitud sobre las cuales el ente recurrido manifiesta su competencia.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a particular requirió información sobre </w:t>
      </w:r>
      <w:r>
        <w:rPr>
          <w:rFonts w:ascii="Palatino Linotype" w:eastAsia="Palatino Linotype" w:hAnsi="Palatino Linotype" w:cs="Palatino Linotype"/>
          <w:i/>
        </w:rPr>
        <w:t xml:space="preserve"> ¿Cuál es la colonia con más reportes de baches en todo el Municipio? </w:t>
      </w:r>
      <w:r>
        <w:rPr>
          <w:rFonts w:ascii="Palatino Linotype" w:eastAsia="Palatino Linotype" w:hAnsi="Palatino Linotype" w:cs="Palatino Linotype"/>
        </w:rPr>
        <w:t xml:space="preserve">A lo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señaló mediante el archivo denominado </w:t>
      </w:r>
      <w:r>
        <w:rPr>
          <w:rFonts w:ascii="Palatino Linotype" w:eastAsia="Palatino Linotype" w:hAnsi="Palatino Linotype" w:cs="Palatino Linotype"/>
          <w:i/>
        </w:rPr>
        <w:t>Respuesta_SAIMEX_0256_2022....</w:t>
      </w:r>
      <w:proofErr w:type="spellStart"/>
      <w:r>
        <w:rPr>
          <w:rFonts w:ascii="Palatino Linotype" w:eastAsia="Palatino Linotype" w:hAnsi="Palatino Linotype" w:cs="Palatino Linotype"/>
          <w:i/>
        </w:rPr>
        <w:t>pdf</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donde la Titular de la Unidad de Transparencia manifiesta que el Director General de Servicios Públicos y servidor público habilitado indicó mediante la nota informativa número </w:t>
      </w:r>
      <w:r>
        <w:rPr>
          <w:rFonts w:ascii="Palatino Linotype" w:eastAsia="Palatino Linotype" w:hAnsi="Palatino Linotype" w:cs="Palatino Linotype"/>
        </w:rPr>
        <w:lastRenderedPageBreak/>
        <w:t xml:space="preserve">DMU/010/2022 que de acuerdo al Sistema de Registro Interno de Servicios Públicos la delegación con mayor número de reporte de baches en el municipio es la Delegación de San Mateo </w:t>
      </w:r>
      <w:proofErr w:type="spellStart"/>
      <w:r>
        <w:rPr>
          <w:rFonts w:ascii="Palatino Linotype" w:eastAsia="Palatino Linotype" w:hAnsi="Palatino Linotype" w:cs="Palatino Linotype"/>
        </w:rPr>
        <w:t>Otzacatipan</w:t>
      </w:r>
      <w:proofErr w:type="spellEnd"/>
      <w:r>
        <w:rPr>
          <w:rFonts w:ascii="Palatino Linotype" w:eastAsia="Palatino Linotype" w:hAnsi="Palatino Linotype" w:cs="Palatino Linotype"/>
        </w:rPr>
        <w:t xml:space="preserve">. Se inserta captura de pantalla de la respuesta para mayor referencia: </w:t>
      </w: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791200" cy="1543050"/>
            <wp:effectExtent l="0" t="0" r="0" b="0"/>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91200" cy="1543050"/>
                    </a:xfrm>
                    <a:prstGeom prst="rect">
                      <a:avLst/>
                    </a:prstGeom>
                    <a:ln/>
                  </pic:spPr>
                </pic:pic>
              </a:graphicData>
            </a:graphic>
          </wp:inline>
        </w:drawing>
      </w:r>
      <w:r>
        <w:rPr>
          <w:rFonts w:ascii="Palatino Linotype" w:eastAsia="Palatino Linotype" w:hAnsi="Palatino Linotype" w:cs="Palatino Linotype"/>
        </w:rPr>
        <w:t xml:space="preserve">   </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anterior se puede constatar que desde la respuesta primigenia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contestación puntual a dicho rubro de la solicitud de información pública señalando el nombre de la delegación con mayor reporte de baches, con lo que la respuesta satisface la pretensión de la particular. </w:t>
      </w:r>
    </w:p>
    <w:p w:rsidR="00B872C1" w:rsidRDefault="00B872C1">
      <w:pPr>
        <w:spacing w:line="360" w:lineRule="auto"/>
        <w:jc w:val="both"/>
        <w:rPr>
          <w:rFonts w:ascii="Palatino Linotype" w:eastAsia="Palatino Linotype" w:hAnsi="Palatino Linotype" w:cs="Palatino Linotype"/>
        </w:rPr>
      </w:pP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las solicitudes tendientes a conocer </w:t>
      </w:r>
      <w:r>
        <w:rPr>
          <w:rFonts w:ascii="Palatino Linotype" w:eastAsia="Palatino Linotype" w:hAnsi="Palatino Linotype" w:cs="Palatino Linotype"/>
          <w:i/>
          <w:sz w:val="22"/>
          <w:szCs w:val="22"/>
        </w:rPr>
        <w:t>¿</w:t>
      </w:r>
      <w:r>
        <w:rPr>
          <w:rFonts w:ascii="Palatino Linotype" w:eastAsia="Palatino Linotype" w:hAnsi="Palatino Linotype" w:cs="Palatino Linotype"/>
          <w:i/>
        </w:rPr>
        <w:t xml:space="preserve">Cuántos servidores públicos del Gobierno Municipal se han contagiado y cuántos han muerto? </w:t>
      </w:r>
      <w:r>
        <w:rPr>
          <w:rFonts w:ascii="Palatino Linotype" w:eastAsia="Palatino Linotype" w:hAnsi="Palatino Linotype" w:cs="Palatino Linotype"/>
        </w:rPr>
        <w:t>y</w:t>
      </w:r>
      <w:r>
        <w:rPr>
          <w:rFonts w:ascii="Palatino Linotype" w:eastAsia="Palatino Linotype" w:hAnsi="Palatino Linotype" w:cs="Palatino Linotype"/>
          <w:i/>
        </w:rPr>
        <w:t xml:space="preserve"> ¿Cuántos servidores públicos están vacunados contra el </w:t>
      </w:r>
      <w:proofErr w:type="spellStart"/>
      <w:r>
        <w:rPr>
          <w:rFonts w:ascii="Palatino Linotype" w:eastAsia="Palatino Linotype" w:hAnsi="Palatino Linotype" w:cs="Palatino Linotype"/>
          <w:i/>
        </w:rPr>
        <w:t>Covid</w:t>
      </w:r>
      <w:proofErr w:type="spellEnd"/>
      <w:r>
        <w:rPr>
          <w:rFonts w:ascii="Palatino Linotype" w:eastAsia="Palatino Linotype" w:hAnsi="Palatino Linotype" w:cs="Palatino Linotype"/>
          <w:i/>
        </w:rPr>
        <w:t xml:space="preserve"> y Cuántos no se han vacunado contra el COVID?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a las mismas mediante los documentos denominados </w:t>
      </w:r>
      <w:r>
        <w:rPr>
          <w:rFonts w:ascii="Palatino Linotype" w:eastAsia="Palatino Linotype" w:hAnsi="Palatino Linotype" w:cs="Palatino Linotype"/>
          <w:i/>
        </w:rPr>
        <w:t>REPORTE VACUNACION.pdf</w:t>
      </w:r>
      <w:r>
        <w:rPr>
          <w:rFonts w:ascii="Palatino Linotype" w:eastAsia="Palatino Linotype" w:hAnsi="Palatino Linotype" w:cs="Palatino Linotype"/>
        </w:rPr>
        <w:t xml:space="preserve"> y </w:t>
      </w:r>
      <w:r>
        <w:rPr>
          <w:rFonts w:ascii="Palatino Linotype" w:eastAsia="Palatino Linotype" w:hAnsi="Palatino Linotype" w:cs="Palatino Linotype"/>
          <w:i/>
        </w:rPr>
        <w:t xml:space="preserve">REPORTE COVID.pdf, </w:t>
      </w:r>
      <w:r>
        <w:rPr>
          <w:rFonts w:ascii="Palatino Linotype" w:eastAsia="Palatino Linotype" w:hAnsi="Palatino Linotype" w:cs="Palatino Linotype"/>
        </w:rPr>
        <w:t xml:space="preserve">ambos contienen informes expedidos por la Dirección General de administración a través  Dirección de Recursos Humanos, señalando en el primero de ellos, la cantidad de servidores públicos por dirección o con esquema de vacunación contra COVID-19 competo y el personal sin </w:t>
      </w:r>
      <w:r>
        <w:rPr>
          <w:rFonts w:ascii="Palatino Linotype" w:eastAsia="Palatino Linotype" w:hAnsi="Palatino Linotype" w:cs="Palatino Linotype"/>
        </w:rPr>
        <w:lastRenderedPageBreak/>
        <w:t xml:space="preserve">vacuna y en el segundo el área o dirección, con el número de casos positivos de COVID, sospechosos y fallecidos hasta enero del 2022 como se puede apreciar de las imágenes siguientes: </w:t>
      </w:r>
    </w:p>
    <w:p w:rsidR="00B872C1" w:rsidRDefault="00701E7C">
      <w:pPr>
        <w:widowControl w:val="0"/>
        <w:numPr>
          <w:ilvl w:val="0"/>
          <w:numId w:val="1"/>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u w:val="single"/>
        </w:rPr>
        <w:t>REPORTE COVID.pdf</w:t>
      </w:r>
    </w:p>
    <w:p w:rsidR="00B872C1" w:rsidRDefault="00701E7C">
      <w:pPr>
        <w:widowControl w:val="0"/>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429250" cy="1705560"/>
            <wp:effectExtent l="0" t="0" r="0" b="0"/>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t="23099" b="39326"/>
                    <a:stretch>
                      <a:fillRect/>
                    </a:stretch>
                  </pic:blipFill>
                  <pic:spPr>
                    <a:xfrm>
                      <a:off x="0" y="0"/>
                      <a:ext cx="5429250" cy="1705560"/>
                    </a:xfrm>
                    <a:prstGeom prst="rect">
                      <a:avLst/>
                    </a:prstGeom>
                    <a:ln/>
                  </pic:spPr>
                </pic:pic>
              </a:graphicData>
            </a:graphic>
          </wp:inline>
        </w:drawing>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anterior se puede apreciar que en el documento se señala el área de la Administración Pública Municipal, el número de casos positivos, casos sospechosos y número de casos fallecidos. Atendiendo de tal manera a lo requerido por la particular correspondiente al número de contagiados y fallecidos. </w:t>
      </w:r>
    </w:p>
    <w:p w:rsidR="00B872C1" w:rsidRDefault="00701E7C">
      <w:pPr>
        <w:widowControl w:val="0"/>
        <w:numPr>
          <w:ilvl w:val="0"/>
          <w:numId w:val="2"/>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u w:val="single"/>
        </w:rPr>
        <w:t>REPORTE VACUNACION.pdf</w:t>
      </w:r>
    </w:p>
    <w:p w:rsidR="00B872C1" w:rsidRDefault="00701E7C">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023605" cy="2530477"/>
            <wp:effectExtent l="0" t="0" r="0" b="0"/>
            <wp:docPr id="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023605" cy="2530477"/>
                    </a:xfrm>
                    <a:prstGeom prst="rect">
                      <a:avLst/>
                    </a:prstGeom>
                    <a:ln/>
                  </pic:spPr>
                </pic:pic>
              </a:graphicData>
            </a:graphic>
          </wp:inline>
        </w:drawing>
      </w:r>
    </w:p>
    <w:p w:rsidR="00B872C1" w:rsidRDefault="00701E7C">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Del fragmento del informe arriba inserto se observa el total de número de empleados correspondiente a cada área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señalando de dicha cantidad la cantidad de personas con esquema completo de vacunación y aquellos que no cuentan con la vacuna del COVID-19, dando respuesta de esa manera a “</w:t>
      </w:r>
      <w:r>
        <w:rPr>
          <w:rFonts w:ascii="Palatino Linotype" w:eastAsia="Palatino Linotype" w:hAnsi="Palatino Linotype" w:cs="Palatino Linotype"/>
          <w:i/>
        </w:rPr>
        <w:t xml:space="preserve">Cuántos servidores públicos están vacunados contra el </w:t>
      </w:r>
      <w:proofErr w:type="spellStart"/>
      <w:r>
        <w:rPr>
          <w:rFonts w:ascii="Palatino Linotype" w:eastAsia="Palatino Linotype" w:hAnsi="Palatino Linotype" w:cs="Palatino Linotype"/>
          <w:i/>
        </w:rPr>
        <w:t>Covid</w:t>
      </w:r>
      <w:proofErr w:type="spellEnd"/>
      <w:r>
        <w:rPr>
          <w:rFonts w:ascii="Palatino Linotype" w:eastAsia="Palatino Linotype" w:hAnsi="Palatino Linotype" w:cs="Palatino Linotype"/>
          <w:i/>
        </w:rPr>
        <w:t xml:space="preserve"> y Cuántos no se han vacunado contra el COVID”. </w:t>
      </w:r>
    </w:p>
    <w:p w:rsidR="00B872C1" w:rsidRDefault="00B872C1">
      <w:pPr>
        <w:spacing w:line="360" w:lineRule="auto"/>
        <w:jc w:val="both"/>
        <w:rPr>
          <w:rFonts w:ascii="Palatino Linotype" w:eastAsia="Palatino Linotype" w:hAnsi="Palatino Linotype" w:cs="Palatino Linotype"/>
          <w:i/>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la información solicitada referente a </w:t>
      </w:r>
      <w:r>
        <w:rPr>
          <w:rFonts w:ascii="Palatino Linotype" w:eastAsia="Palatino Linotype" w:hAnsi="Palatino Linotype" w:cs="Palatino Linotype"/>
          <w:i/>
        </w:rPr>
        <w:t xml:space="preserve">¿Cuáles son los protocolos de sana distancia emplean en las oficinas? </w:t>
      </w:r>
      <w:r>
        <w:rPr>
          <w:rFonts w:ascii="Palatino Linotype" w:eastAsia="Palatino Linotype" w:hAnsi="Palatino Linotype" w:cs="Palatino Linotype"/>
        </w:rPr>
        <w:t xml:space="preserve">EL SUJETO OBLIGADO no dio una respuesta específica para este rubro de la solicitud, sin embargo, señaló que la información sobre el COVID- 19 puede ser consultada en la liga electrónica siguiente: </w:t>
      </w:r>
      <w:hyperlink r:id="rId18">
        <w:r>
          <w:rPr>
            <w:rFonts w:ascii="Palatino Linotype" w:eastAsia="Palatino Linotype" w:hAnsi="Palatino Linotype" w:cs="Palatino Linotype"/>
            <w:color w:val="1155CC"/>
            <w:u w:val="single"/>
          </w:rPr>
          <w:t>https://www2.toluca.gob.mx/covid-%2019/</w:t>
        </w:r>
      </w:hyperlink>
      <w:r>
        <w:rPr>
          <w:rFonts w:ascii="Palatino Linotype" w:eastAsia="Palatino Linotype" w:hAnsi="Palatino Linotype" w:cs="Palatino Linotype"/>
          <w:sz w:val="26"/>
          <w:szCs w:val="26"/>
        </w:rPr>
        <w:t xml:space="preserve">. </w:t>
      </w:r>
      <w:r>
        <w:rPr>
          <w:rFonts w:ascii="Palatino Linotype" w:eastAsia="Palatino Linotype" w:hAnsi="Palatino Linotype" w:cs="Palatino Linotype"/>
        </w:rPr>
        <w:t xml:space="preserve">Esta Ponencia hizo una inspección en dicho enlace, encontrando lo que a continuación se muestra: </w:t>
      </w: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274461" cy="2013086"/>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t="4824" b="13998"/>
                    <a:stretch>
                      <a:fillRect/>
                    </a:stretch>
                  </pic:blipFill>
                  <pic:spPr>
                    <a:xfrm>
                      <a:off x="0" y="0"/>
                      <a:ext cx="5274461" cy="2013086"/>
                    </a:xfrm>
                    <a:prstGeom prst="rect">
                      <a:avLst/>
                    </a:prstGeom>
                    <a:ln/>
                  </pic:spPr>
                </pic:pic>
              </a:graphicData>
            </a:graphic>
          </wp:inline>
        </w:drawing>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extent cx="5526646" cy="2717874"/>
            <wp:effectExtent l="0" t="0" r="0" b="0"/>
            <wp:docPr id="1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526646" cy="2717874"/>
                    </a:xfrm>
                    <a:prstGeom prst="rect">
                      <a:avLst/>
                    </a:prstGeom>
                    <a:ln/>
                  </pic:spPr>
                </pic:pic>
              </a:graphicData>
            </a:graphic>
          </wp:inline>
        </w:drawing>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584880" cy="2691398"/>
            <wp:effectExtent l="0" t="0" r="0" b="0"/>
            <wp:docPr id="1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584880" cy="2691398"/>
                    </a:xfrm>
                    <a:prstGeom prst="rect">
                      <a:avLst/>
                    </a:prstGeom>
                    <a:ln/>
                  </pic:spPr>
                </pic:pic>
              </a:graphicData>
            </a:graphic>
          </wp:inline>
        </w:drawing>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extent cx="5791200" cy="1572148"/>
            <wp:effectExtent l="0" t="0" r="0" b="0"/>
            <wp:docPr id="1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b="45526"/>
                    <a:stretch>
                      <a:fillRect/>
                    </a:stretch>
                  </pic:blipFill>
                  <pic:spPr>
                    <a:xfrm>
                      <a:off x="0" y="0"/>
                      <a:ext cx="5791200" cy="1572148"/>
                    </a:xfrm>
                    <a:prstGeom prst="rect">
                      <a:avLst/>
                    </a:prstGeom>
                    <a:ln/>
                  </pic:spPr>
                </pic:pic>
              </a:graphicData>
            </a:graphic>
          </wp:inline>
        </w:drawing>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791200" cy="1467435"/>
            <wp:effectExtent l="0" t="0" r="0" b="0"/>
            <wp:docPr id="1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b="49979"/>
                    <a:stretch>
                      <a:fillRect/>
                    </a:stretch>
                  </pic:blipFill>
                  <pic:spPr>
                    <a:xfrm>
                      <a:off x="0" y="0"/>
                      <a:ext cx="5791200" cy="1467435"/>
                    </a:xfrm>
                    <a:prstGeom prst="rect">
                      <a:avLst/>
                    </a:prstGeom>
                    <a:ln/>
                  </pic:spPr>
                </pic:pic>
              </a:graphicData>
            </a:graphic>
          </wp:inline>
        </w:drawing>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imágenes antes insertas se puede apreciar que la página remitida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información relevante en materia de COVID 19 en donde se pueden consultar contratos, padrones de beneficiarios de programas de apoyo, entre otras cosas. De la página en comento también se puede observar una sección referente a enlaces oficiales en la cual se encuentran acuerdos en </w:t>
      </w:r>
      <w:proofErr w:type="spellStart"/>
      <w:r>
        <w:rPr>
          <w:rFonts w:ascii="Palatino Linotype" w:eastAsia="Palatino Linotype" w:hAnsi="Palatino Linotype" w:cs="Palatino Linotype"/>
        </w:rPr>
        <w:t>dondes</w:t>
      </w:r>
      <w:proofErr w:type="spellEnd"/>
      <w:r>
        <w:rPr>
          <w:rFonts w:ascii="Palatino Linotype" w:eastAsia="Palatino Linotype" w:hAnsi="Palatino Linotype" w:cs="Palatino Linotype"/>
        </w:rPr>
        <w:t xml:space="preserve">  se establecen medidas para la continuación de actividades económicas, sociales y gubernamentales con motivo del virus SARS-CoV2 (COVID-19), en el Estado de México.</w:t>
      </w:r>
    </w:p>
    <w:p w:rsidR="00B872C1" w:rsidRDefault="00B872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en la información relativa al plan para el regreso seguro a las actividades económicas, sociales, gubernamentales y educativas con motivo del virus SARS-CoV2 en el Estado de México se observa lo siguiente: </w:t>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extent cx="5791835" cy="3149600"/>
            <wp:effectExtent l="0" t="0" r="0" b="0"/>
            <wp:docPr id="1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791835" cy="3149600"/>
                    </a:xfrm>
                    <a:prstGeom prst="rect">
                      <a:avLst/>
                    </a:prstGeom>
                    <a:ln/>
                  </pic:spPr>
                </pic:pic>
              </a:graphicData>
            </a:graphic>
          </wp:inline>
        </w:drawing>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Razón por la cual con dicha respuesta no se puede tener por colmada la solicitud de acceso a la información pública de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 xml:space="preserve">y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entregar el soporte documental donde consten los protocolos de sana distancia emplean en las oficinas  vigentes al diecinueve de enero treinta de 2022. </w:t>
      </w:r>
    </w:p>
    <w:p w:rsidR="00B872C1" w:rsidRDefault="00B872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b/>
        </w:rPr>
      </w:pPr>
    </w:p>
    <w:p w:rsidR="00B872C1" w:rsidRDefault="00B872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p>
    <w:p w:rsidR="00B872C1" w:rsidRDefault="00701E7C">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último, en relación a</w:t>
      </w:r>
      <w:proofErr w:type="gramStart"/>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 ¿</w:t>
      </w:r>
      <w:proofErr w:type="gramEnd"/>
      <w:r>
        <w:rPr>
          <w:rFonts w:ascii="Palatino Linotype" w:eastAsia="Palatino Linotype" w:hAnsi="Palatino Linotype" w:cs="Palatino Linotype"/>
          <w:i/>
        </w:rPr>
        <w:t xml:space="preserve">Cuál es el horario laboral de todas las dependencias? </w:t>
      </w:r>
      <w:r>
        <w:rPr>
          <w:rFonts w:ascii="Palatino Linotype" w:eastAsia="Palatino Linotype" w:hAnsi="Palatino Linotype" w:cs="Palatino Linotype"/>
        </w:rPr>
        <w:t xml:space="preserve">no se advierte que haya habido pronunciamiento alguno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ni en su respuesta primigenia, ni en el Informe Justificado. No obstante en la revisión de la normatividad interna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advierte que en la sección quinta del Código Reglamentario Municipal señala lo referente a la Jornada de Trabajo de los servidores públicos que laboran en el ayuntamiento </w:t>
      </w:r>
    </w:p>
    <w:p w:rsidR="00B872C1" w:rsidRDefault="00701E7C">
      <w:pPr>
        <w:widowControl w:val="0"/>
        <w:ind w:left="850" w:right="899"/>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w:t>
      </w:r>
      <w:r>
        <w:rPr>
          <w:rFonts w:ascii="Palatino Linotype" w:eastAsia="Palatino Linotype" w:hAnsi="Palatino Linotype" w:cs="Palatino Linotype"/>
          <w:b/>
          <w:i/>
        </w:rPr>
        <w:t>SECCIÓN QUINTA</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b/>
          <w:i/>
        </w:rPr>
        <w:t xml:space="preserve"> DE LA JORNADA DE TRABAJO</w:t>
      </w:r>
      <w:r>
        <w:rPr>
          <w:rFonts w:ascii="Palatino Linotype" w:eastAsia="Palatino Linotype" w:hAnsi="Palatino Linotype" w:cs="Palatino Linotype"/>
          <w:i/>
        </w:rPr>
        <w:t xml:space="preserve">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11.32.</w:t>
      </w:r>
      <w:r>
        <w:rPr>
          <w:rFonts w:ascii="Palatino Linotype" w:eastAsia="Palatino Linotype" w:hAnsi="Palatino Linotype" w:cs="Palatino Linotype"/>
          <w:i/>
        </w:rPr>
        <w:t xml:space="preserve"> La jornada de trabajo, es el tiempo durante el cual el servidor público está a disposición de la Dependencia o Unidad Administrativa para prestar sus servicios.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11.33</w:t>
      </w:r>
      <w:r>
        <w:rPr>
          <w:rFonts w:ascii="Palatino Linotype" w:eastAsia="Palatino Linotype" w:hAnsi="Palatino Linotype" w:cs="Palatino Linotype"/>
          <w:i/>
        </w:rPr>
        <w:t xml:space="preserve">. La jornada de trabajo quedará comprendida y establecida conforme al Artículo 60 de la Ley.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11.34</w:t>
      </w:r>
      <w:r>
        <w:rPr>
          <w:rFonts w:ascii="Palatino Linotype" w:eastAsia="Palatino Linotype" w:hAnsi="Palatino Linotype" w:cs="Palatino Linotype"/>
          <w:i/>
        </w:rPr>
        <w:t xml:space="preserve">. Por cada 5 días de trabajo la o el servidor público disfrutará de dos de descanso con goce de sueldo íntegro, de preferencia sábado y domingo. En estos casos, la jornada normal de trabajo podrá ser continua o discontinua, entendiéndose por ello, lo siguiente: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jornada continua podrá ser de siete horas, únicamente para los Servidores Públicos Sindicalizados que no reciben gratificación por laborar 45 horas a la semana de acuerdo al convenio de prestaciones celebrado entre el Ayuntamiento y los Sindicatos;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II. Nueve horas; y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III. La jornada discontinua es aquella que se interrumpe por una hora o más; y será siempre de nueve horas, salvo en los casos previstos en este ordenamiento.</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no regirá en los siguientes casos: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I. Cuando los días laborables o el horario de entrada y salida de los servidores públicos se rija por disposiciones especiales; y </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II. Cuando la jornada de trabajo sea por hora, alternada o por turnos, debiendo estar debidamente justificado.</w:t>
      </w:r>
    </w:p>
    <w:p w:rsidR="00B872C1" w:rsidRDefault="00B872C1">
      <w:pPr>
        <w:widowControl w:val="0"/>
        <w:ind w:left="850" w:right="899"/>
        <w:jc w:val="both"/>
        <w:rPr>
          <w:rFonts w:ascii="Palatino Linotype" w:eastAsia="Palatino Linotype" w:hAnsi="Palatino Linotype" w:cs="Palatino Linotype"/>
          <w:i/>
        </w:rPr>
      </w:pP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11.40.</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horario que regirá en las Dependencias y Unidades Administrativas será de las 9:00 a las 18:00 horas, para quienes tengan jornada laboral de 9 horas diarias continuas; y de las 9:00 a las 16:00 horas para los servidores públicos con jornada laboral de 7 horas diarias.</w:t>
      </w:r>
      <w:r>
        <w:rPr>
          <w:rFonts w:ascii="Palatino Linotype" w:eastAsia="Palatino Linotype" w:hAnsi="Palatino Linotype" w:cs="Palatino Linotype"/>
          <w:i/>
        </w:rPr>
        <w:t xml:space="preserve"> En todo caso podrán existir horarios especiales de conformidad con el artículo 60 de la Ley en la materia, los cuales para su autorización, deberá mediar visto bueno de la Dirección General de Administración a través de la Dirección de Recursos Humanos. </w:t>
      </w:r>
    </w:p>
    <w:p w:rsidR="00B872C1" w:rsidRDefault="00B872C1">
      <w:pPr>
        <w:widowControl w:val="0"/>
        <w:ind w:left="850" w:right="899"/>
        <w:jc w:val="both"/>
        <w:rPr>
          <w:rFonts w:ascii="Palatino Linotype" w:eastAsia="Palatino Linotype" w:hAnsi="Palatino Linotype" w:cs="Palatino Linotype"/>
          <w:i/>
        </w:rPr>
      </w:pP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 xml:space="preserve">Se exceptúa del horario que antecede a los servidores públicos que determine </w:t>
      </w:r>
      <w:r>
        <w:rPr>
          <w:rFonts w:ascii="Palatino Linotype" w:eastAsia="Palatino Linotype" w:hAnsi="Palatino Linotype" w:cs="Palatino Linotype"/>
          <w:i/>
        </w:rPr>
        <w:lastRenderedPageBreak/>
        <w:t>la Dirección General de Administración, por medio de la Dirección de Recursos Humanos.”</w:t>
      </w:r>
    </w:p>
    <w:p w:rsidR="00B872C1" w:rsidRDefault="00701E7C">
      <w:pPr>
        <w:widowControl w:val="0"/>
        <w:ind w:left="850" w:right="899"/>
        <w:jc w:val="both"/>
        <w:rPr>
          <w:rFonts w:ascii="Palatino Linotype" w:eastAsia="Palatino Linotype" w:hAnsi="Palatino Linotype" w:cs="Palatino Linotype"/>
          <w:i/>
        </w:rPr>
      </w:pPr>
      <w:r>
        <w:rPr>
          <w:rFonts w:ascii="Palatino Linotype" w:eastAsia="Palatino Linotype" w:hAnsi="Palatino Linotype" w:cs="Palatino Linotype"/>
          <w:i/>
        </w:rPr>
        <w:t>(</w:t>
      </w:r>
      <w:proofErr w:type="gramStart"/>
      <w:r>
        <w:rPr>
          <w:rFonts w:ascii="Palatino Linotype" w:eastAsia="Palatino Linotype" w:hAnsi="Palatino Linotype" w:cs="Palatino Linotype"/>
          <w:i/>
        </w:rPr>
        <w:t>énfasis</w:t>
      </w:r>
      <w:proofErr w:type="gramEnd"/>
      <w:r>
        <w:rPr>
          <w:rFonts w:ascii="Palatino Linotype" w:eastAsia="Palatino Linotype" w:hAnsi="Palatino Linotype" w:cs="Palatino Linotype"/>
          <w:i/>
        </w:rPr>
        <w:t xml:space="preserve"> añadido)</w:t>
      </w:r>
    </w:p>
    <w:p w:rsidR="00B872C1" w:rsidRDefault="00B872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puede observar que el horario de las Dependencias y unidades administrativas de la Administración Pública Municipal se regirán por un horario de 9 a 18 horas y de 9 a 16 horas.  Con lo que se puede atender la información requerida por la particular en esta parte de la solicitud de información pública.  </w:t>
      </w:r>
    </w:p>
    <w:p w:rsidR="00B872C1" w:rsidRDefault="00B872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los motivos de inconformidad donde la particular desea conocer los oficios o documentos mediante los cuales los servidores públicos habilitados dieron respuesta al requerimiento de información, se puede apreciar que en el Informe Justificado la Titular de la Unidad de Transparencia señala que todos los documentos de las áreas competentes son los mismos que fueron entregados en respuesta a la particular, así bien se advierte que el los documentos entregados en respuesta son seis, los cuales se enlistan a continuación: </w:t>
      </w:r>
    </w:p>
    <w:p w:rsidR="00B872C1" w:rsidRDefault="00701E7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360" w:lineRule="auto"/>
        <w:jc w:val="both"/>
        <w:rPr>
          <w:rFonts w:ascii="Palatino Linotype" w:eastAsia="Palatino Linotype" w:hAnsi="Palatino Linotype" w:cs="Palatino Linotype"/>
        </w:rPr>
      </w:pPr>
      <w:r>
        <w:rPr>
          <w:rFonts w:ascii="Palatino Linotype" w:eastAsia="Palatino Linotype" w:hAnsi="Palatino Linotype" w:cs="Palatino Linotype"/>
        </w:rPr>
        <w:t>Tol-pdf-upl-pdm-2019-2021.pdf</w:t>
      </w:r>
    </w:p>
    <w:p w:rsidR="00B872C1" w:rsidRDefault="00701E7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Población Toluca-Localidad.pdf</w:t>
      </w:r>
    </w:p>
    <w:p w:rsidR="00B872C1" w:rsidRDefault="00701E7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niños y adolescentes.pdf</w:t>
      </w:r>
    </w:p>
    <w:p w:rsidR="00B872C1" w:rsidRDefault="00701E7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REPORTE VACUNACION.pdf</w:t>
      </w:r>
    </w:p>
    <w:p w:rsidR="00B872C1" w:rsidRDefault="00701E7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REPORTE COVID.pdf</w:t>
      </w:r>
    </w:p>
    <w:p w:rsidR="00B872C1" w:rsidRDefault="00701E7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Respuesta_SAIMEX_0256_2022....</w:t>
      </w:r>
      <w:proofErr w:type="spellStart"/>
      <w:r>
        <w:rPr>
          <w:rFonts w:ascii="Palatino Linotype" w:eastAsia="Palatino Linotype" w:hAnsi="Palatino Linotype" w:cs="Palatino Linotype"/>
        </w:rPr>
        <w:t>pdf</w:t>
      </w:r>
      <w:proofErr w:type="spellEnd"/>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obstante del apartado de requerimientos insertado por la Titular de la Unidad de Transparencia en el Informe Justificado se advierte la existencia de nueve documentos </w:t>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extent cx="5791835" cy="1473200"/>
            <wp:effectExtent l="0" t="0" r="0" b="0"/>
            <wp:docPr id="1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791835" cy="1473200"/>
                    </a:xfrm>
                    <a:prstGeom prst="rect">
                      <a:avLst/>
                    </a:prstGeom>
                    <a:ln/>
                  </pic:spPr>
                </pic:pic>
              </a:graphicData>
            </a:graphic>
          </wp:inline>
        </w:drawing>
      </w:r>
    </w:p>
    <w:p w:rsidR="00B872C1" w:rsidRDefault="00701E7C">
      <w:pPr>
        <w:spacing w:after="280" w:line="360" w:lineRule="auto"/>
        <w:jc w:val="both"/>
      </w:pPr>
      <w:r>
        <w:rPr>
          <w:rFonts w:ascii="Palatino Linotype" w:eastAsia="Palatino Linotype" w:hAnsi="Palatino Linotype" w:cs="Palatino Linotype"/>
        </w:rPr>
        <w:t>En atención a ello es importante invocar el contenido del artículo 12 antes mencionado así como el 4 de la Ley de Transparencia y Acceso a la Información Pública del Estado de México y Municipios, mismos que son del tenor siguiente:</w:t>
      </w:r>
    </w:p>
    <w:p w:rsidR="00B872C1" w:rsidRDefault="00701E7C">
      <w:pPr>
        <w:ind w:left="851" w:right="901"/>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872C1" w:rsidRDefault="00701E7C">
      <w:pPr>
        <w:ind w:left="851" w:right="901"/>
        <w:jc w:val="both"/>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872C1" w:rsidRDefault="00701E7C">
      <w:pPr>
        <w:ind w:left="851" w:right="901"/>
        <w:jc w:val="both"/>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B872C1" w:rsidRDefault="00B872C1"/>
    <w:p w:rsidR="00B872C1" w:rsidRDefault="00701E7C">
      <w:pPr>
        <w:ind w:left="851" w:right="901"/>
        <w:jc w:val="both"/>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rsidR="00B872C1" w:rsidRDefault="00701E7C">
      <w:pPr>
        <w:ind w:left="851" w:right="901"/>
        <w:jc w:val="both"/>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rPr>
        <w:lastRenderedPageBreak/>
        <w:t>La obligación de proporcionar información no comprende el procesamiento de la misma, ni el presentarla conforme al interés del solicitante; no estarán obligados a generarla, resumirla, efectuar cálculos o practicar investigaciones.” </w:t>
      </w:r>
    </w:p>
    <w:p w:rsidR="00B872C1" w:rsidRDefault="00701E7C">
      <w:pPr>
        <w:ind w:left="851" w:right="901"/>
        <w:jc w:val="both"/>
      </w:pPr>
      <w:r>
        <w:rPr>
          <w:rFonts w:ascii="Palatino Linotype" w:eastAsia="Palatino Linotype" w:hAnsi="Palatino Linotype" w:cs="Palatino Linotype"/>
          <w:i/>
          <w:sz w:val="22"/>
          <w:szCs w:val="22"/>
        </w:rPr>
        <w:t>(Énfasis añadido)</w:t>
      </w:r>
    </w:p>
    <w:p w:rsidR="00B872C1" w:rsidRDefault="00701E7C">
      <w:pPr>
        <w:spacing w:before="280" w:after="280" w:line="360" w:lineRule="auto"/>
        <w:jc w:val="both"/>
      </w:pPr>
      <w:r>
        <w:rPr>
          <w:rFonts w:ascii="Palatino Linotype" w:eastAsia="Palatino Linotype" w:hAnsi="Palatino Linotype" w:cs="Palatino Linotype"/>
        </w:rPr>
        <w:t xml:space="preserve">Por consiguiente, los preceptos legales transcritos establecen que </w:t>
      </w:r>
      <w:r>
        <w:rPr>
          <w:rFonts w:ascii="Palatino Linotype" w:eastAsia="Palatino Linotype" w:hAnsi="Palatino Linotype" w:cs="Palatino Linotype"/>
          <w:b/>
        </w:rPr>
        <w:t>los Sujetos Obligados se encuentran constreñidos a entregar la información pública solicitada por los particulares</w:t>
      </w:r>
      <w:r>
        <w:rPr>
          <w:rFonts w:ascii="Palatino Linotype" w:eastAsia="Palatino Linotype" w:hAnsi="Palatino Linotype" w:cs="Palatino Linotype"/>
        </w:rPr>
        <w:t xml:space="preserve"> que se encuentre en sus archivos o que obre en su posesión, </w:t>
      </w:r>
      <w:r>
        <w:rPr>
          <w:rFonts w:ascii="Palatino Linotype" w:eastAsia="Palatino Linotype" w:hAnsi="Palatino Linotype" w:cs="Palatino Linotype"/>
          <w:b/>
        </w:rPr>
        <w:t>privilegiando en todo momento el principio de máxima publicidad,</w:t>
      </w:r>
      <w:r>
        <w:rPr>
          <w:rFonts w:ascii="Palatino Linotype" w:eastAsia="Palatino Linotype" w:hAnsi="Palatino Linotype" w:cs="Palatino Linotype"/>
        </w:rPr>
        <w:t xml:space="preserve"> sin generarla, procesarla, resumirla, ni presentarla conforme al interés del solicitante. </w:t>
      </w:r>
    </w:p>
    <w:p w:rsidR="00B872C1" w:rsidRDefault="00701E7C">
      <w:pPr>
        <w:spacing w:before="280" w:after="280" w:line="360" w:lineRule="auto"/>
        <w:jc w:val="both"/>
      </w:pPr>
      <w:r>
        <w:rPr>
          <w:rFonts w:ascii="Palatino Linotype" w:eastAsia="Palatino Linotype" w:hAnsi="Palatino Linotype" w:cs="Palatino Linotype"/>
        </w:rPr>
        <w:t xml:space="preserve">Queda de manifiesto entonces que, </w:t>
      </w:r>
      <w:r>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Pr>
          <w:rFonts w:ascii="Palatino Linotype" w:eastAsia="Palatino Linotype" w:hAnsi="Palatino Linotype" w:cs="Palatino Linotype"/>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B872C1" w:rsidRDefault="00701E7C">
      <w:pPr>
        <w:ind w:left="851" w:right="901"/>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INFORMACIÓN PÚBLICA. ES AQUELLA QUE SE ENCUENTRA EN POSESIÓN DE CUALQUIER AUTORIDAD, ENTIDAD, ÓRGANO Y ORGANISMO FEDERAL, ESTATAL Y MUNICIPAL, SIEMPRE QUE SE HAYA OBTENIDO POR CAUSA DEL EJERCICIO DE FUNCIONES DE DERECHO PÚBLICO.</w:t>
      </w:r>
      <w:r>
        <w:rPr>
          <w:rFonts w:ascii="Palatino Linotype" w:eastAsia="Palatino Linotype" w:hAnsi="Palatino Linotype" w:cs="Palatino Linotype"/>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w:t>
      </w:r>
      <w:r>
        <w:rPr>
          <w:rFonts w:ascii="Palatino Linotype" w:eastAsia="Palatino Linotype" w:hAnsi="Palatino Linotype" w:cs="Palatino Linotype"/>
          <w:i/>
          <w:sz w:val="22"/>
          <w:szCs w:val="22"/>
        </w:rPr>
        <w:lastRenderedPageBreak/>
        <w:t>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B872C1" w:rsidRDefault="00701E7C">
      <w:pPr>
        <w:spacing w:before="280" w:after="280" w:line="360" w:lineRule="auto"/>
        <w:jc w:val="both"/>
      </w:pPr>
      <w:r>
        <w:rPr>
          <w:rFonts w:ascii="Palatino Linotype" w:eastAsia="Palatino Linotype" w:hAnsi="Palatino Linotype" w:cs="Palatino Linotype"/>
        </w:rPr>
        <w:t>Asimismo, el artículo 24 de la Ley de Transparencia y Acceso a la Información Pública del Estado de México y Municipios,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B872C1" w:rsidRDefault="00701E7C">
      <w:pPr>
        <w:spacing w:before="280" w:after="280" w:line="360" w:lineRule="auto"/>
        <w:jc w:val="both"/>
      </w:pPr>
      <w:r>
        <w:rPr>
          <w:rFonts w:ascii="Palatino Linotype" w:eastAsia="Palatino Linotype" w:hAnsi="Palatino Linotype" w:cs="Palatino Linotype"/>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872C1" w:rsidRDefault="00701E7C">
      <w:pPr>
        <w:ind w:left="851" w:right="901"/>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B872C1" w:rsidRDefault="00701E7C">
      <w:pPr>
        <w:ind w:left="851" w:right="901"/>
        <w:jc w:val="both"/>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w:t>
      </w:r>
      <w:r>
        <w:rPr>
          <w:rFonts w:ascii="Palatino Linotype" w:eastAsia="Palatino Linotype" w:hAnsi="Palatino Linotype" w:cs="Palatino Linotype"/>
          <w:i/>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872C1" w:rsidRDefault="00701E7C">
      <w:pPr>
        <w:spacing w:before="280" w:after="280" w:line="360" w:lineRule="auto"/>
        <w:jc w:val="both"/>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B872C1" w:rsidRDefault="00701E7C">
      <w:pPr>
        <w:ind w:left="851" w:right="901"/>
        <w:jc w:val="cente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CRITERIO 0002-11</w:t>
      </w:r>
    </w:p>
    <w:p w:rsidR="00B872C1" w:rsidRDefault="00701E7C">
      <w:pPr>
        <w:ind w:left="851" w:right="901"/>
        <w:jc w:val="both"/>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872C1" w:rsidRDefault="00701E7C">
      <w:pPr>
        <w:ind w:left="851" w:right="901"/>
        <w:jc w:val="both"/>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872C1" w:rsidRDefault="00701E7C">
      <w:pPr>
        <w:ind w:left="851" w:right="901"/>
        <w:jc w:val="both"/>
      </w:pPr>
      <w:r>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rsidR="00B872C1" w:rsidRDefault="00701E7C">
      <w:pPr>
        <w:ind w:left="851" w:right="901"/>
        <w:jc w:val="both"/>
      </w:pPr>
      <w:r>
        <w:rPr>
          <w:rFonts w:ascii="Palatino Linotype" w:eastAsia="Palatino Linotype" w:hAnsi="Palatino Linotype" w:cs="Palatino Linotype"/>
          <w:i/>
          <w:sz w:val="22"/>
          <w:szCs w:val="22"/>
        </w:rPr>
        <w:t xml:space="preserve">2) Que se trate de </w:t>
      </w:r>
      <w:r>
        <w:rPr>
          <w:rFonts w:ascii="Palatino Linotype" w:eastAsia="Palatino Linotype" w:hAnsi="Palatino Linotype" w:cs="Palatino Linotype"/>
          <w:b/>
          <w:i/>
          <w:sz w:val="22"/>
          <w:szCs w:val="22"/>
          <w:u w:val="single"/>
        </w:rPr>
        <w:t>información</w:t>
      </w:r>
      <w:r>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rsidR="00B872C1" w:rsidRDefault="00701E7C">
      <w:pPr>
        <w:ind w:left="851" w:right="901"/>
        <w:jc w:val="both"/>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B872C1" w:rsidRDefault="00B872C1"/>
    <w:p w:rsidR="00B872C1" w:rsidRDefault="00701E7C">
      <w:pPr>
        <w:ind w:left="851" w:right="901"/>
        <w:jc w:val="both"/>
      </w:pPr>
      <w:r>
        <w:rPr>
          <w:rFonts w:ascii="Palatino Linotype" w:eastAsia="Palatino Linotype" w:hAnsi="Palatino Linotype" w:cs="Palatino Linotype"/>
          <w:sz w:val="22"/>
          <w:szCs w:val="22"/>
        </w:rPr>
        <w:t>(Énfasis Añadido)</w:t>
      </w:r>
    </w:p>
    <w:p w:rsidR="00B872C1" w:rsidRDefault="00701E7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Del criterio citado se puede advertir que el derecho acceso a la información se verifica cuando la solicitud verse, entre otras cosas, sobre información contenida en un soporte documental que en ejercicio de sus funciones generen los Sujetos Obligados, así en el caso que nos ocupa el mismo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generó dichos documentos para dar respuesta a la solicitud de información aunado al hecho de que dentro de los motivos de inconformidad vertidos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la interposición del presente recurso de revisión, se aprecia su intención de conocer ese soporte documental con lo cual se puede brindar certeza jurídica su respuesta. </w:t>
      </w:r>
    </w:p>
    <w:p w:rsidR="00B872C1" w:rsidRDefault="00701E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en atención al principio de certeza que rige el funcionamiento de este Instituto contemplado en su artículo 9 fracción I de la Ley de Transparencia y Acceso a la Información Pública del Estado de México y Municipios y con la finalidad de privilegiar el derecho de acceso a la información pública del </w:t>
      </w:r>
      <w:r>
        <w:rPr>
          <w:rFonts w:ascii="Palatino Linotype" w:eastAsia="Palatino Linotype" w:hAnsi="Palatino Linotype" w:cs="Palatino Linotype"/>
          <w:b/>
        </w:rPr>
        <w:t>RECURRENTE, EL SUJETO OBLIGADO</w:t>
      </w:r>
      <w:r>
        <w:rPr>
          <w:rFonts w:ascii="Palatino Linotype" w:eastAsia="Palatino Linotype" w:hAnsi="Palatino Linotype" w:cs="Palatino Linotype"/>
        </w:rPr>
        <w:t xml:space="preserve"> deberá entregar el soporte documental donde consten el oficio o documento remitido por el  servidor público habilitado faltante en respuesta a la solicitud de información.  </w:t>
      </w:r>
    </w:p>
    <w:p w:rsidR="00B872C1" w:rsidRDefault="00B872C1">
      <w:pPr>
        <w:ind w:left="709" w:right="1038"/>
        <w:jc w:val="both"/>
        <w:rPr>
          <w:rFonts w:ascii="Palatino Linotype" w:eastAsia="Palatino Linotype" w:hAnsi="Palatino Linotype" w:cs="Palatino Linotype"/>
          <w:b/>
          <w:i/>
          <w:sz w:val="22"/>
          <w:szCs w:val="22"/>
        </w:rPr>
      </w:pPr>
    </w:p>
    <w:p w:rsidR="00B872C1" w:rsidRDefault="00701E7C">
      <w:pPr>
        <w:ind w:left="709" w:right="103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rsidR="00B872C1" w:rsidRDefault="00B872C1">
      <w:pPr>
        <w:ind w:left="709" w:right="1038"/>
        <w:jc w:val="both"/>
        <w:rPr>
          <w:rFonts w:ascii="Palatino Linotype" w:eastAsia="Palatino Linotype" w:hAnsi="Palatino Linotype" w:cs="Palatino Linotype"/>
          <w:b/>
          <w:i/>
          <w:sz w:val="22"/>
          <w:szCs w:val="22"/>
          <w:u w:val="single"/>
        </w:rPr>
      </w:pPr>
    </w:p>
    <w:p w:rsidR="00B872C1" w:rsidRDefault="00701E7C">
      <w:pPr>
        <w:ind w:left="850" w:right="899"/>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I. Certeza:</w:t>
      </w:r>
      <w:r>
        <w:rPr>
          <w:rFonts w:ascii="Palatino Linotype" w:eastAsia="Palatino Linotype" w:hAnsi="Palatino Linotype" w:cs="Palatino Linotype"/>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eastAsia="Palatino Linotype" w:hAnsi="Palatino Linotype" w:cs="Palatino Linotype"/>
          <w:b/>
          <w:i/>
          <w:sz w:val="22"/>
          <w:szCs w:val="22"/>
        </w:rPr>
        <w:t>”</w:t>
      </w:r>
      <w:r>
        <w:rPr>
          <w:rFonts w:ascii="Palatino Linotype" w:eastAsia="Palatino Linotype" w:hAnsi="Palatino Linotype" w:cs="Palatino Linotype"/>
        </w:rPr>
        <w:t xml:space="preserve"> </w:t>
      </w:r>
    </w:p>
    <w:p w:rsidR="00B872C1" w:rsidRDefault="00701E7C">
      <w:pPr>
        <w:ind w:left="850" w:right="89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sz w:val="26"/>
          <w:szCs w:val="26"/>
        </w:rPr>
      </w:pPr>
      <w:bookmarkStart w:id="8" w:name="_heading=h.ba50id1aq30d" w:colFirst="0" w:colLast="0"/>
      <w:bookmarkEnd w:id="8"/>
      <w:r>
        <w:rPr>
          <w:rFonts w:ascii="Palatino Linotype" w:eastAsia="Palatino Linotype" w:hAnsi="Palatino Linotype" w:cs="Palatino Linotype"/>
        </w:rPr>
        <w:lastRenderedPageBreak/>
        <w:t>Llegado a este punto y expuesto todo lo anterior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y suficientes para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ordenarle haga entrega del soporte documental donde consten lo siguiente: los protocolos de sana distancia emplean en las oficinas , El trastorno de salud mental más frecuente en los adolescentes de Toluca en los años 2019 y 2020  La colonia con mayor número de habitantes con edades entre 15 y 20 años en los años 2019 y 2020  y la colonia con más robos casa-hogar en los años 2019 y 2020 y el soporte documental donde consten los oficios o documentos remitidos por los servidores públicos habilitados en respuesta a la solicitud de información.  </w:t>
      </w:r>
    </w:p>
    <w:p w:rsidR="00B872C1" w:rsidRDefault="00B872C1">
      <w:pPr>
        <w:spacing w:line="360" w:lineRule="auto"/>
        <w:jc w:val="both"/>
        <w:rPr>
          <w:rFonts w:ascii="Palatino Linotype" w:eastAsia="Palatino Linotype" w:hAnsi="Palatino Linotype" w:cs="Palatino Linotype"/>
        </w:rPr>
      </w:pPr>
      <w:bookmarkStart w:id="9" w:name="_heading=h.zhiw5xewc6ef" w:colFirst="0" w:colLast="0"/>
      <w:bookmarkEnd w:id="9"/>
    </w:p>
    <w:p w:rsidR="00B872C1" w:rsidRDefault="00701E7C">
      <w:pPr>
        <w:spacing w:line="360" w:lineRule="auto"/>
        <w:jc w:val="both"/>
        <w:rPr>
          <w:rFonts w:ascii="Palatino Linotype" w:eastAsia="Palatino Linotype" w:hAnsi="Palatino Linotype" w:cs="Palatino Linotype"/>
        </w:rPr>
      </w:pPr>
      <w:bookmarkStart w:id="10" w:name="_heading=h.wtgu8snlb24i" w:colFirst="0" w:colLast="0"/>
      <w:bookmarkEnd w:id="10"/>
      <w:r>
        <w:rPr>
          <w:rFonts w:ascii="Palatino Linotype" w:eastAsia="Palatino Linotype" w:hAnsi="Palatino Linotype" w:cs="Palatino Linotype"/>
        </w:rPr>
        <w:t xml:space="preserve">De la naturaleza de la información que se ordena, toda vez que corresponde a información en su mayoría estadística, no se advierte sea necesaria la elaboración de una versión pública. </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cente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lastRenderedPageBreak/>
        <w:t>RESUELVE</w:t>
      </w:r>
    </w:p>
    <w:p w:rsidR="00B872C1" w:rsidRDefault="00B872C1">
      <w:pPr>
        <w:spacing w:line="360" w:lineRule="auto"/>
        <w:jc w:val="center"/>
        <w:rPr>
          <w:rFonts w:ascii="Palatino Linotype" w:eastAsia="Palatino Linotype" w:hAnsi="Palatino Linotype" w:cs="Palatino Linotype"/>
          <w:b/>
          <w:sz w:val="26"/>
          <w:szCs w:val="26"/>
        </w:rPr>
      </w:pPr>
    </w:p>
    <w:p w:rsidR="00B872C1" w:rsidRDefault="00701E7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sidR="0064086E">
        <w:rPr>
          <w:rFonts w:ascii="Palatino Linotype" w:eastAsia="Palatino Linotype" w:hAnsi="Palatino Linotype" w:cs="Palatino Linotype"/>
          <w:b/>
        </w:rPr>
        <w:t>00717/INFOEM/IP/RR/2022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w:t>
      </w:r>
    </w:p>
    <w:p w:rsidR="00B872C1" w:rsidRDefault="00B872C1">
      <w:pPr>
        <w:spacing w:line="360" w:lineRule="auto"/>
        <w:ind w:right="49"/>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se ordena que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haga entrega al Recurrente mediante el Sistema de Acceso a la Información Mexiquense (SAIMEX), del soporte documental donde conste lo siguiente: </w:t>
      </w:r>
    </w:p>
    <w:p w:rsidR="00B872C1" w:rsidRDefault="00B872C1">
      <w:pPr>
        <w:spacing w:line="360" w:lineRule="auto"/>
        <w:jc w:val="both"/>
        <w:rPr>
          <w:rFonts w:ascii="Palatino Linotype" w:eastAsia="Palatino Linotype" w:hAnsi="Palatino Linotype" w:cs="Palatino Linotype"/>
        </w:rPr>
      </w:pPr>
    </w:p>
    <w:p w:rsidR="00B872C1" w:rsidRDefault="0064086E">
      <w:pPr>
        <w:numPr>
          <w:ilvl w:val="0"/>
          <w:numId w:val="3"/>
        </w:numPr>
        <w:tabs>
          <w:tab w:val="left" w:pos="709"/>
        </w:tabs>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w:t>
      </w:r>
      <w:r w:rsidR="00701E7C">
        <w:rPr>
          <w:rFonts w:ascii="Palatino Linotype" w:eastAsia="Palatino Linotype" w:hAnsi="Palatino Linotype" w:cs="Palatino Linotype"/>
          <w:i/>
          <w:sz w:val="22"/>
          <w:szCs w:val="22"/>
        </w:rPr>
        <w:t xml:space="preserve">protocolos de sana distancia emplean en las oficinas , </w:t>
      </w:r>
    </w:p>
    <w:p w:rsidR="00B872C1" w:rsidRDefault="00701E7C">
      <w:pPr>
        <w:numPr>
          <w:ilvl w:val="0"/>
          <w:numId w:val="3"/>
        </w:numPr>
        <w:tabs>
          <w:tab w:val="left" w:pos="709"/>
        </w:tabs>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trastorno de salud mental más frecuente en los adolescentes de Toluca en los años 2019 y 2020  </w:t>
      </w:r>
    </w:p>
    <w:p w:rsidR="00B872C1" w:rsidRDefault="00701E7C">
      <w:pPr>
        <w:numPr>
          <w:ilvl w:val="0"/>
          <w:numId w:val="3"/>
        </w:numPr>
        <w:tabs>
          <w:tab w:val="left" w:pos="709"/>
        </w:tabs>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colonia con mayor número de habitantes con edades entre 15 y 20 años en los años 2019 y 2020  </w:t>
      </w:r>
    </w:p>
    <w:p w:rsidR="00B872C1" w:rsidRDefault="00701E7C">
      <w:pPr>
        <w:numPr>
          <w:ilvl w:val="0"/>
          <w:numId w:val="3"/>
        </w:numPr>
        <w:tabs>
          <w:tab w:val="left" w:pos="709"/>
        </w:tabs>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colonia con más robos casa-hogar en los años 2019 y 2020 </w:t>
      </w:r>
    </w:p>
    <w:p w:rsidR="00B872C1" w:rsidRDefault="00701E7C">
      <w:pPr>
        <w:numPr>
          <w:ilvl w:val="0"/>
          <w:numId w:val="3"/>
        </w:numPr>
        <w:tabs>
          <w:tab w:val="left" w:pos="709"/>
        </w:tabs>
        <w:ind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soporte documental donde consten el oficio o documento remitidos por el servidor público habilitado faltante en respuesta a la solicitud de información</w:t>
      </w:r>
    </w:p>
    <w:p w:rsidR="00B872C1" w:rsidRDefault="00B872C1">
      <w:pPr>
        <w:ind w:left="283" w:right="899"/>
        <w:jc w:val="both"/>
        <w:rPr>
          <w:rFonts w:ascii="Palatino Linotype" w:eastAsia="Palatino Linotype" w:hAnsi="Palatino Linotype" w:cs="Palatino Linotype"/>
          <w:i/>
          <w:sz w:val="22"/>
          <w:szCs w:val="22"/>
        </w:rPr>
      </w:pPr>
    </w:p>
    <w:p w:rsidR="00B872C1" w:rsidRDefault="00701E7C">
      <w:pPr>
        <w:ind w:left="283"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no contar con la información que se ordena en los incisos B, C, D  </w:t>
      </w:r>
      <w:r>
        <w:rPr>
          <w:rFonts w:ascii="Palatino Linotype" w:eastAsia="Palatino Linotype" w:hAnsi="Palatino Linotype" w:cs="Palatino Linotype"/>
          <w:b/>
          <w:i/>
          <w:sz w:val="22"/>
          <w:szCs w:val="22"/>
        </w:rPr>
        <w:t>EL SUJETO OBLIGADO</w:t>
      </w:r>
      <w:r>
        <w:rPr>
          <w:rFonts w:ascii="Palatino Linotype" w:eastAsia="Palatino Linotype" w:hAnsi="Palatino Linotype" w:cs="Palatino Linotype"/>
          <w:i/>
          <w:sz w:val="22"/>
          <w:szCs w:val="22"/>
        </w:rPr>
        <w:t xml:space="preserve"> podrá manifestarlo a </w:t>
      </w:r>
      <w:r>
        <w:rPr>
          <w:rFonts w:ascii="Palatino Linotype" w:eastAsia="Palatino Linotype" w:hAnsi="Palatino Linotype" w:cs="Palatino Linotype"/>
          <w:b/>
          <w:i/>
          <w:sz w:val="22"/>
          <w:szCs w:val="22"/>
        </w:rPr>
        <w:t>LA RECURRENTE</w:t>
      </w:r>
      <w:r>
        <w:rPr>
          <w:rFonts w:ascii="Palatino Linotype" w:eastAsia="Palatino Linotype" w:hAnsi="Palatino Linotype" w:cs="Palatino Linotype"/>
          <w:i/>
          <w:sz w:val="22"/>
          <w:szCs w:val="22"/>
        </w:rPr>
        <w:t xml:space="preserve"> de forma fundada y motivada </w:t>
      </w:r>
    </w:p>
    <w:p w:rsidR="00B872C1" w:rsidRDefault="00B872C1">
      <w:pPr>
        <w:spacing w:line="360" w:lineRule="auto"/>
        <w:jc w:val="both"/>
        <w:rPr>
          <w:rFonts w:ascii="Palatino Linotype" w:eastAsia="Palatino Linotype" w:hAnsi="Palatino Linotype" w:cs="Palatino Linotype"/>
          <w:b/>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Notifíquese</w:t>
      </w:r>
      <w:r>
        <w:rPr>
          <w:rFonts w:ascii="Palatino Linotype" w:eastAsia="Palatino Linotype" w:hAnsi="Palatino Linotype" w:cs="Palatino Linotype"/>
          <w:b/>
          <w:i/>
        </w:rPr>
        <w:t xml:space="preserve"> </w:t>
      </w:r>
      <w:r>
        <w:rPr>
          <w:rFonts w:ascii="Palatino Linotype" w:eastAsia="Palatino Linotype" w:hAnsi="Palatino Linotype" w:cs="Palatino Linotype"/>
        </w:rPr>
        <w:t>al Titular de la Unidad de Transparencia del</w:t>
      </w:r>
      <w:r>
        <w:rPr>
          <w:rFonts w:ascii="Palatino Linotype" w:eastAsia="Palatino Linotype" w:hAnsi="Palatino Linotype" w:cs="Palatino Linotype"/>
          <w:b/>
        </w:rPr>
        <w:t xml:space="preserve"> </w:t>
      </w:r>
      <w:r>
        <w:rPr>
          <w:rFonts w:ascii="Palatino Linotype" w:eastAsia="Palatino Linotype" w:hAnsi="Palatino Linotype" w:cs="Palatino Linotype"/>
        </w:rPr>
        <w:t>Sujeto Obligado por medio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rPr>
        <w:lastRenderedPageBreak/>
        <w:t>dé cumplimiento a lo ordenado dentro del plazo de diez días hábiles, debiendo informar a este Instituto en un plazo de tres días hábiles siguientes sobre el cumplimiento dado a la presente resolución.</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872C1" w:rsidRDefault="00B872C1">
      <w:pPr>
        <w:spacing w:line="360" w:lineRule="auto"/>
        <w:jc w:val="both"/>
        <w:rPr>
          <w:rFonts w:ascii="Palatino Linotype" w:eastAsia="Palatino Linotype" w:hAnsi="Palatino Linotype" w:cs="Palatino Linotype"/>
          <w:b/>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rsidR="00B872C1" w:rsidRDefault="00B872C1">
      <w:pPr>
        <w:spacing w:line="360" w:lineRule="auto"/>
        <w:jc w:val="both"/>
        <w:rPr>
          <w:rFonts w:ascii="Palatino Linotype" w:eastAsia="Palatino Linotype" w:hAnsi="Palatino Linotype" w:cs="Palatino Linotype"/>
        </w:rPr>
      </w:pPr>
    </w:p>
    <w:p w:rsidR="00B872C1" w:rsidRDefault="00701E7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DE ABRIL DE DOS MIL </w:t>
      </w:r>
      <w:r>
        <w:rPr>
          <w:rFonts w:ascii="Palatino Linotype" w:eastAsia="Palatino Linotype" w:hAnsi="Palatino Linotype" w:cs="Palatino Linotype"/>
        </w:rPr>
        <w:lastRenderedPageBreak/>
        <w:t>VEINTIDÓS, ANTE EL SECRETARIO TÉCNICO DEL PLENO, ALEXIS TAPIA RAMÍREZ.</w:t>
      </w:r>
    </w:p>
    <w:p w:rsidR="00B872C1" w:rsidRDefault="00701E7C">
      <w:pPr>
        <w:spacing w:line="360" w:lineRule="auto"/>
        <w:jc w:val="both"/>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SCMM/BLA/DEMF/PMRE</w:t>
      </w:r>
    </w:p>
    <w:p w:rsidR="00B872C1" w:rsidRDefault="00701E7C">
      <w:pPr>
        <w:rPr>
          <w:rFonts w:ascii="Palatino Linotype" w:eastAsia="Palatino Linotype" w:hAnsi="Palatino Linotype" w:cs="Palatino Linotype"/>
        </w:rPr>
      </w:pPr>
      <w:r>
        <w:br w:type="page"/>
      </w: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p w:rsidR="00B872C1" w:rsidRDefault="00B872C1">
      <w:pPr>
        <w:spacing w:line="360" w:lineRule="auto"/>
        <w:jc w:val="both"/>
        <w:rPr>
          <w:rFonts w:ascii="Palatino Linotype" w:eastAsia="Palatino Linotype" w:hAnsi="Palatino Linotype" w:cs="Palatino Linotype"/>
        </w:rPr>
      </w:pPr>
    </w:p>
    <w:sectPr w:rsidR="00B872C1">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2A1" w:rsidRDefault="00B472A1">
      <w:r>
        <w:separator/>
      </w:r>
    </w:p>
  </w:endnote>
  <w:endnote w:type="continuationSeparator" w:id="0">
    <w:p w:rsidR="00B472A1" w:rsidRDefault="00B47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4C" w:rsidRDefault="006C464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0498D">
      <w:rPr>
        <w:rFonts w:ascii="Palatino Linotype" w:eastAsia="Palatino Linotype" w:hAnsi="Palatino Linotype" w:cs="Palatino Linotype"/>
        <w:noProof/>
        <w:color w:val="000000"/>
        <w:sz w:val="22"/>
        <w:szCs w:val="22"/>
      </w:rPr>
      <w:t>50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0498D">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4C" w:rsidRDefault="006C464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0498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0498D">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2A1" w:rsidRDefault="00B472A1">
      <w:r>
        <w:separator/>
      </w:r>
    </w:p>
  </w:footnote>
  <w:footnote w:type="continuationSeparator" w:id="0">
    <w:p w:rsidR="00B472A1" w:rsidRDefault="00B472A1">
      <w:r>
        <w:continuationSeparator/>
      </w:r>
    </w:p>
  </w:footnote>
  <w:footnote w:id="1">
    <w:p w:rsidR="006C464C" w:rsidRDefault="006C464C">
      <w:pPr>
        <w:rPr>
          <w:sz w:val="20"/>
          <w:szCs w:val="20"/>
        </w:rPr>
      </w:pPr>
      <w:r>
        <w:rPr>
          <w:vertAlign w:val="superscript"/>
        </w:rPr>
        <w:footnoteRef/>
      </w:r>
      <w:r>
        <w:rPr>
          <w:sz w:val="20"/>
          <w:szCs w:val="20"/>
        </w:rPr>
        <w:t xml:space="preserve"> Consultable en la página electrónica: https://www2.toluca.gob.mx/wp-content/uploads/2021/08/tol-pdf-umplan-Informacion-sociodemografica-Toluca-2020-IMPLAN.pdf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4C" w:rsidRDefault="006C464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4C" w:rsidRDefault="006C464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8"/>
          <w10:wrap anchorx="margin" anchory="margin"/>
        </v:shape>
      </w:pict>
    </w:r>
  </w:p>
  <w:tbl>
    <w:tblPr>
      <w:tblStyle w:val="aff"/>
      <w:tblW w:w="9534" w:type="dxa"/>
      <w:tblInd w:w="-142" w:type="dxa"/>
      <w:tblLayout w:type="fixed"/>
      <w:tblLook w:val="0400" w:firstRow="0" w:lastRow="0" w:firstColumn="0" w:lastColumn="0" w:noHBand="0" w:noVBand="1"/>
    </w:tblPr>
    <w:tblGrid>
      <w:gridCol w:w="3261"/>
      <w:gridCol w:w="2551"/>
      <w:gridCol w:w="3722"/>
    </w:tblGrid>
    <w:tr w:rsidR="006C464C">
      <w:tc>
        <w:tcPr>
          <w:tcW w:w="3261" w:type="dxa"/>
          <w:vMerge w:val="restart"/>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00717/INFOEM/IP/RR/2022</w:t>
          </w:r>
        </w:p>
      </w:tc>
    </w:tr>
    <w:tr w:rsidR="006C464C">
      <w:tc>
        <w:tcPr>
          <w:tcW w:w="3261" w:type="dxa"/>
          <w:vMerge/>
        </w:tcPr>
        <w:p w:rsidR="006C464C" w:rsidRDefault="006C464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6C464C">
      <w:trPr>
        <w:trHeight w:val="228"/>
      </w:trPr>
      <w:tc>
        <w:tcPr>
          <w:tcW w:w="3261" w:type="dxa"/>
          <w:vMerge/>
        </w:tcPr>
        <w:p w:rsidR="006C464C" w:rsidRDefault="006C464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6C464C" w:rsidRDefault="006C464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64C" w:rsidRDefault="006C464C">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8"/>
          <w10:wrap anchorx="margin" anchory="margin"/>
        </v:shape>
      </w:pict>
    </w:r>
  </w:p>
  <w:tbl>
    <w:tblPr>
      <w:tblStyle w:val="aff0"/>
      <w:tblW w:w="9900" w:type="dxa"/>
      <w:tblInd w:w="-833" w:type="dxa"/>
      <w:tblLayout w:type="fixed"/>
      <w:tblLook w:val="0400" w:firstRow="0" w:lastRow="0" w:firstColumn="0" w:lastColumn="0" w:noHBand="0" w:noVBand="1"/>
    </w:tblPr>
    <w:tblGrid>
      <w:gridCol w:w="3805"/>
      <w:gridCol w:w="3000"/>
      <w:gridCol w:w="3095"/>
    </w:tblGrid>
    <w:tr w:rsidR="006C464C">
      <w:tc>
        <w:tcPr>
          <w:tcW w:w="3805" w:type="dxa"/>
          <w:vMerge w:val="restart"/>
          <w:shd w:val="clear" w:color="auto" w:fill="auto"/>
        </w:tcPr>
        <w:p w:rsidR="006C464C" w:rsidRDefault="006C464C">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1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00717/INFOEM/IP/RR/2022 </w:t>
          </w:r>
        </w:p>
      </w:tc>
    </w:tr>
    <w:tr w:rsidR="006C464C">
      <w:tc>
        <w:tcPr>
          <w:tcW w:w="3805" w:type="dxa"/>
          <w:vMerge/>
          <w:shd w:val="clear" w:color="auto" w:fill="auto"/>
        </w:tcPr>
        <w:p w:rsidR="006C464C" w:rsidRDefault="006C464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XXXXX </w:t>
          </w:r>
          <w:proofErr w:type="spellStart"/>
          <w:r>
            <w:rPr>
              <w:rFonts w:ascii="Palatino Linotype" w:eastAsia="Palatino Linotype" w:hAnsi="Palatino Linotype" w:cs="Palatino Linotype"/>
              <w:b/>
            </w:rPr>
            <w:t>XXXXX</w:t>
          </w:r>
          <w:proofErr w:type="spellEnd"/>
        </w:p>
      </w:tc>
    </w:tr>
    <w:tr w:rsidR="006C464C">
      <w:trPr>
        <w:trHeight w:val="228"/>
      </w:trPr>
      <w:tc>
        <w:tcPr>
          <w:tcW w:w="3805" w:type="dxa"/>
          <w:vMerge/>
          <w:shd w:val="clear" w:color="auto" w:fill="auto"/>
        </w:tcPr>
        <w:p w:rsidR="006C464C" w:rsidRDefault="006C464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6C464C">
      <w:tc>
        <w:tcPr>
          <w:tcW w:w="3805" w:type="dxa"/>
          <w:vMerge/>
          <w:shd w:val="clear" w:color="auto" w:fill="auto"/>
        </w:tcPr>
        <w:p w:rsidR="006C464C" w:rsidRDefault="006C464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6C464C" w:rsidRDefault="006C464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6C464C" w:rsidRDefault="006C464C">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6C464C" w:rsidRDefault="006C464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A7031"/>
    <w:multiLevelType w:val="multilevel"/>
    <w:tmpl w:val="93BAD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914306"/>
    <w:multiLevelType w:val="multilevel"/>
    <w:tmpl w:val="FD707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383649"/>
    <w:multiLevelType w:val="multilevel"/>
    <w:tmpl w:val="74BCA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0D6761"/>
    <w:multiLevelType w:val="multilevel"/>
    <w:tmpl w:val="61A8F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4202E6"/>
    <w:multiLevelType w:val="multilevel"/>
    <w:tmpl w:val="A48E587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C1"/>
    <w:rsid w:val="0064086E"/>
    <w:rsid w:val="006C464C"/>
    <w:rsid w:val="00701E7C"/>
    <w:rsid w:val="0070498D"/>
    <w:rsid w:val="0083668D"/>
    <w:rsid w:val="00B472A1"/>
    <w:rsid w:val="00B872C1"/>
    <w:rsid w:val="00F06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50232C-BD6F-4733-BA0A-A5AB20EA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b"/>
    <w:tblPr>
      <w:tblStyleRowBandSize w:val="1"/>
      <w:tblStyleColBandSize w:val="1"/>
      <w:tblCellMar>
        <w:top w:w="100" w:type="dxa"/>
        <w:left w:w="100" w:type="dxa"/>
        <w:bottom w:w="100" w:type="dxa"/>
        <w:right w:w="100" w:type="dxa"/>
      </w:tblCellMar>
    </w:tblPr>
  </w:style>
  <w:style w:type="table" w:customStyle="1" w:styleId="a0">
    <w:basedOn w:val="TableNormalb"/>
    <w:tblPr>
      <w:tblStyleRowBandSize w:val="1"/>
      <w:tblStyleColBandSize w:val="1"/>
      <w:tblCellMar>
        <w:left w:w="115" w:type="dxa"/>
        <w:right w:w="115" w:type="dxa"/>
      </w:tblCellMar>
    </w:tblPr>
  </w:style>
  <w:style w:type="table" w:customStyle="1" w:styleId="a1">
    <w:basedOn w:val="TableNormalb"/>
    <w:tblPr>
      <w:tblStyleRowBandSize w:val="1"/>
      <w:tblStyleColBandSize w:val="1"/>
      <w:tblCellMar>
        <w:left w:w="115" w:type="dxa"/>
        <w:right w:w="115" w:type="dxa"/>
      </w:tblCellMar>
    </w:tblPr>
  </w:style>
  <w:style w:type="table" w:customStyle="1" w:styleId="a2">
    <w:basedOn w:val="TableNormalb"/>
    <w:tblPr>
      <w:tblStyleRowBandSize w:val="1"/>
      <w:tblStyleColBandSize w:val="1"/>
      <w:tblCellMar>
        <w:left w:w="115" w:type="dxa"/>
        <w:right w:w="115" w:type="dxa"/>
      </w:tblCellMar>
    </w:tblPr>
  </w:style>
  <w:style w:type="table" w:customStyle="1" w:styleId="a3">
    <w:basedOn w:val="TableNormalb"/>
    <w:tblPr>
      <w:tblStyleRowBandSize w:val="1"/>
      <w:tblStyleColBandSize w:val="1"/>
      <w:tblCellMar>
        <w:left w:w="115" w:type="dxa"/>
        <w:right w:w="115" w:type="dxa"/>
      </w:tblCellMar>
    </w:tblPr>
  </w:style>
  <w:style w:type="table" w:customStyle="1" w:styleId="a4">
    <w:basedOn w:val="TableNormalb"/>
    <w:tblPr>
      <w:tblStyleRowBandSize w:val="1"/>
      <w:tblStyleColBandSize w:val="1"/>
      <w:tblCellMar>
        <w:left w:w="115" w:type="dxa"/>
        <w:right w:w="115" w:type="dxa"/>
      </w:tblCellMar>
    </w:tblPr>
  </w:style>
  <w:style w:type="table" w:customStyle="1" w:styleId="a5">
    <w:basedOn w:val="TableNormalb"/>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b"/>
    <w:tblPr>
      <w:tblStyleRowBandSize w:val="1"/>
      <w:tblStyleColBandSize w:val="1"/>
      <w:tblCellMar>
        <w:left w:w="115" w:type="dxa"/>
        <w:right w:w="115" w:type="dxa"/>
      </w:tblCellMar>
    </w:tblPr>
  </w:style>
  <w:style w:type="table" w:customStyle="1" w:styleId="a7">
    <w:basedOn w:val="TableNormalb"/>
    <w:tblPr>
      <w:tblStyleRowBandSize w:val="1"/>
      <w:tblStyleColBandSize w:val="1"/>
      <w:tblCellMar>
        <w:left w:w="115" w:type="dxa"/>
        <w:right w:w="115" w:type="dxa"/>
      </w:tblCellMar>
    </w:tblPr>
  </w:style>
  <w:style w:type="table" w:customStyle="1" w:styleId="a8">
    <w:basedOn w:val="TableNormalb"/>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b"/>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8"/>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5"/>
    <w:tblPr>
      <w:tblStyleRowBandSize w:val="1"/>
      <w:tblStyleColBandSize w:val="1"/>
      <w:tblCellMar>
        <w:top w:w="100" w:type="dxa"/>
        <w:left w:w="100" w:type="dxa"/>
        <w:bottom w:w="100" w:type="dxa"/>
        <w:right w:w="100" w:type="dxa"/>
      </w:tblCellMar>
    </w:tblPr>
  </w:style>
  <w:style w:type="table" w:customStyle="1" w:styleId="af9">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2.toluca.gob.mx/covid-%201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salud.edomex.gob.mx/salud/covid" TargetMode="Externa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DPPZi4BwP7v/+ClEe4xILH3Ecg==">AMUW2mUkocXLmv4Y80F3tC3Tw0O9+beOC1jx1m9HeEJtthQydQWFhutAwBbepRopW++0XoKX/IoQoiNnx0zbhTsfiT5oW1kbZiTT1d4g2cWydRBRpoOnPMNOMJMHv1diM52OOOiyczd7xb2I/kLm+NuFCjMaLNyDE4y5G09JgYLXUwznldlQiM9/sI3B8Scn6UHbKYXLJl8qkowVlfN+6K2zP9uHrGsTSa+cc1g3kzPJGWOXsEPBcqc6WWJVfuVgHbXczLUrjsS8lN/e7INCgFzKNA0V4lw/2nHiwEx6C+n8aCavccyWw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11355</Words>
  <Characters>62457</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6</cp:revision>
  <cp:lastPrinted>2022-04-25T17:32:00Z</cp:lastPrinted>
  <dcterms:created xsi:type="dcterms:W3CDTF">2022-04-20T02:54:00Z</dcterms:created>
  <dcterms:modified xsi:type="dcterms:W3CDTF">2022-04-27T14:20:00Z</dcterms:modified>
</cp:coreProperties>
</file>