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5B3" w:rsidRPr="008952CE" w:rsidRDefault="00BE4D27">
      <w:pPr>
        <w:spacing w:before="240" w:after="240" w:line="360" w:lineRule="auto"/>
        <w:jc w:val="both"/>
        <w:rPr>
          <w:rFonts w:ascii="Palatino Linotype" w:eastAsia="Palatino Linotype" w:hAnsi="Palatino Linotype" w:cs="Palatino Linotype"/>
        </w:rPr>
      </w:pPr>
      <w:bookmarkStart w:id="0" w:name="_GoBack"/>
      <w:bookmarkEnd w:id="0"/>
      <w:r w:rsidRPr="008952C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veintiocho de septiembre del dos mil veintidós. </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b/>
        </w:rPr>
        <w:t>Visto</w:t>
      </w:r>
      <w:r w:rsidRPr="008952CE">
        <w:rPr>
          <w:rFonts w:ascii="Palatino Linotype" w:eastAsia="Palatino Linotype" w:hAnsi="Palatino Linotype" w:cs="Palatino Linotype"/>
        </w:rPr>
        <w:t xml:space="preserve"> el expediente relativo al recurso de revisión </w:t>
      </w:r>
      <w:r w:rsidRPr="008952CE">
        <w:rPr>
          <w:rFonts w:ascii="Palatino Linotype" w:eastAsia="Palatino Linotype" w:hAnsi="Palatino Linotype" w:cs="Palatino Linotype"/>
          <w:b/>
        </w:rPr>
        <w:t>07389/INFOEM/IP/RR/2022</w:t>
      </w:r>
      <w:r w:rsidRPr="008952CE">
        <w:rPr>
          <w:rFonts w:ascii="Palatino Linotype" w:eastAsia="Palatino Linotype" w:hAnsi="Palatino Linotype" w:cs="Palatino Linotype"/>
        </w:rPr>
        <w:t xml:space="preserve">, interpuesto por </w:t>
      </w:r>
      <w:r w:rsidR="00C97E42">
        <w:rPr>
          <w:rFonts w:ascii="Palatino Linotype" w:eastAsia="Palatino Linotype" w:hAnsi="Palatino Linotype" w:cs="Palatino Linotype"/>
          <w:b/>
        </w:rPr>
        <w:t>XXXXXX X</w:t>
      </w:r>
      <w:r w:rsidRPr="008952CE">
        <w:rPr>
          <w:rFonts w:ascii="Palatino Linotype" w:eastAsia="Palatino Linotype" w:hAnsi="Palatino Linotype" w:cs="Palatino Linotype"/>
          <w:b/>
        </w:rPr>
        <w:t>,</w:t>
      </w:r>
      <w:r w:rsidRPr="008952CE">
        <w:rPr>
          <w:rFonts w:ascii="Palatino Linotype" w:eastAsia="Palatino Linotype" w:hAnsi="Palatino Linotype" w:cs="Palatino Linotype"/>
        </w:rPr>
        <w:t xml:space="preserve"> al cual en lo sucesivo se le denominara </w:t>
      </w:r>
      <w:r w:rsidRPr="008952CE">
        <w:rPr>
          <w:rFonts w:ascii="Palatino Linotype" w:eastAsia="Palatino Linotype" w:hAnsi="Palatino Linotype" w:cs="Palatino Linotype"/>
          <w:b/>
        </w:rPr>
        <w:t>LA RECURRENTE</w:t>
      </w:r>
      <w:r w:rsidRPr="008952CE">
        <w:rPr>
          <w:rFonts w:ascii="Palatino Linotype" w:eastAsia="Palatino Linotype" w:hAnsi="Palatino Linotype" w:cs="Palatino Linotype"/>
        </w:rPr>
        <w:t xml:space="preserve">, en contra de la respuesta a su solicitud de información con número de folio </w:t>
      </w:r>
      <w:r w:rsidRPr="008952CE">
        <w:rPr>
          <w:rFonts w:ascii="Palatino Linotype" w:eastAsia="Palatino Linotype" w:hAnsi="Palatino Linotype" w:cs="Palatino Linotype"/>
          <w:b/>
        </w:rPr>
        <w:t>00110/ACAMBAY/IP/2022</w:t>
      </w:r>
      <w:r w:rsidRPr="008952CE">
        <w:rPr>
          <w:rFonts w:ascii="Palatino Linotype" w:eastAsia="Palatino Linotype" w:hAnsi="Palatino Linotype" w:cs="Palatino Linotype"/>
        </w:rPr>
        <w:t xml:space="preserve">, por parte del </w:t>
      </w:r>
      <w:r w:rsidRPr="008952CE">
        <w:rPr>
          <w:rFonts w:ascii="Palatino Linotype" w:eastAsia="Palatino Linotype" w:hAnsi="Palatino Linotype" w:cs="Palatino Linotype"/>
          <w:b/>
        </w:rPr>
        <w:t>Ayuntamiento de Acambay,</w:t>
      </w:r>
      <w:r w:rsidRPr="008952CE">
        <w:rPr>
          <w:rFonts w:ascii="Palatino Linotype" w:eastAsia="Palatino Linotype" w:hAnsi="Palatino Linotype" w:cs="Palatino Linotype"/>
        </w:rPr>
        <w:t xml:space="preserve"> en lo sucesivo el </w:t>
      </w:r>
      <w:r w:rsidRPr="008952CE">
        <w:rPr>
          <w:rFonts w:ascii="Palatino Linotype" w:eastAsia="Palatino Linotype" w:hAnsi="Palatino Linotype" w:cs="Palatino Linotype"/>
          <w:b/>
        </w:rPr>
        <w:t xml:space="preserve">SUJETO OBLIGADO; </w:t>
      </w:r>
      <w:r w:rsidRPr="008952CE">
        <w:rPr>
          <w:rFonts w:ascii="Palatino Linotype" w:eastAsia="Palatino Linotype" w:hAnsi="Palatino Linotype" w:cs="Palatino Linotype"/>
        </w:rPr>
        <w:t>se procede a dictar la presente resolución, con base en los siguientes:</w:t>
      </w:r>
    </w:p>
    <w:p w:rsidR="004335B3" w:rsidRPr="008952CE" w:rsidRDefault="00BE4D27">
      <w:pPr>
        <w:numPr>
          <w:ilvl w:val="0"/>
          <w:numId w:val="4"/>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8952CE">
        <w:rPr>
          <w:rFonts w:ascii="Palatino Linotype" w:eastAsia="Palatino Linotype" w:hAnsi="Palatino Linotype" w:cs="Palatino Linotype"/>
          <w:b/>
          <w:sz w:val="22"/>
          <w:szCs w:val="22"/>
        </w:rPr>
        <w:t>A N T E C E D E N T E S:</w:t>
      </w:r>
    </w:p>
    <w:p w:rsidR="004335B3" w:rsidRPr="008952CE" w:rsidRDefault="00BE4D27">
      <w:pPr>
        <w:spacing w:before="240" w:after="240" w:line="360" w:lineRule="auto"/>
        <w:jc w:val="both"/>
        <w:rPr>
          <w:rFonts w:ascii="Palatino Linotype" w:eastAsia="Palatino Linotype" w:hAnsi="Palatino Linotype" w:cs="Palatino Linotype"/>
          <w:b/>
        </w:rPr>
      </w:pPr>
      <w:r w:rsidRPr="008952CE">
        <w:rPr>
          <w:rFonts w:ascii="Palatino Linotype" w:eastAsia="Palatino Linotype" w:hAnsi="Palatino Linotype" w:cs="Palatino Linotype"/>
          <w:b/>
        </w:rPr>
        <w:t xml:space="preserve">1. Solicitud de acceso a la información. </w:t>
      </w:r>
      <w:r w:rsidRPr="008952CE">
        <w:rPr>
          <w:rFonts w:ascii="Palatino Linotype" w:eastAsia="Palatino Linotype" w:hAnsi="Palatino Linotype" w:cs="Palatino Linotype"/>
        </w:rPr>
        <w:t xml:space="preserve">Con fecha siete de abril del dos mil veintidós, la parte </w:t>
      </w:r>
      <w:r w:rsidRPr="008952CE">
        <w:rPr>
          <w:rFonts w:ascii="Palatino Linotype" w:eastAsia="Palatino Linotype" w:hAnsi="Palatino Linotype" w:cs="Palatino Linotype"/>
          <w:b/>
        </w:rPr>
        <w:t>RECURRENTE</w:t>
      </w:r>
      <w:r w:rsidRPr="008952CE">
        <w:rPr>
          <w:rFonts w:ascii="Palatino Linotype" w:eastAsia="Palatino Linotype" w:hAnsi="Palatino Linotype" w:cs="Palatino Linotype"/>
        </w:rPr>
        <w:t xml:space="preserve"> formuló solicitud de acceso a información pública al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a través del Sistema de Acceso a la Información Mexiquense, en adelante </w:t>
      </w:r>
      <w:r w:rsidRPr="008952CE">
        <w:rPr>
          <w:rFonts w:ascii="Palatino Linotype" w:eastAsia="Palatino Linotype" w:hAnsi="Palatino Linotype" w:cs="Palatino Linotype"/>
          <w:b/>
        </w:rPr>
        <w:t>SAIMEX,</w:t>
      </w:r>
      <w:r w:rsidRPr="008952CE">
        <w:rPr>
          <w:rFonts w:ascii="Palatino Linotype" w:eastAsia="Palatino Linotype" w:hAnsi="Palatino Linotype" w:cs="Palatino Linotype"/>
        </w:rPr>
        <w:t xml:space="preserve"> requiriéndole lo siguiente:</w:t>
      </w:r>
    </w:p>
    <w:p w:rsidR="004335B3" w:rsidRPr="008952CE" w:rsidRDefault="00BE4D27">
      <w:pPr>
        <w:spacing w:before="240" w:after="240"/>
        <w:ind w:left="851"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“REQUIERO CONOCER EL PUESTO (NO LA CATEGORIA), PERFIL PROFESIONAL, CV, HORARIO LABORAL, NUMERO DE EMPLEADO, EXAMENES CORRESPONDIENTES DE LOS CONOCIMIENTOS Y APTITUDES NECESARIAOS PARA DESEMPEÑAR EL PUESTO, COPIA DEL REGISTRO DE DEUDORES ALIMENTARIOS MOROSOS, DE LOS SERVIDORES PUBLICOS LUNA FELICIANO ZULEIMA, GONZALEZ ALCANTARA DAVID, LOPEZ MORENO JAFET, LOPEZ ASUNCION ELIZABETH Y EL CONTRATO LABORAL O LO QUE ACREDITE LA RELACION LABORAL CON EL DIF. DE LA PRESIDENTA DEL DIF </w:t>
      </w:r>
      <w:r w:rsidRPr="008952CE">
        <w:rPr>
          <w:rFonts w:ascii="Palatino Linotype" w:eastAsia="Palatino Linotype" w:hAnsi="Palatino Linotype" w:cs="Palatino Linotype"/>
          <w:i/>
          <w:sz w:val="22"/>
          <w:szCs w:val="22"/>
        </w:rPr>
        <w:lastRenderedPageBreak/>
        <w:t>SABER SI NO PERSIVE ALGUN SUELDO O REMUNERACION ECONOMICA POR EL CARGO QUE DESEMPEÑA” (Sic)</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b/>
        </w:rPr>
        <w:t xml:space="preserve">Modalidad elegida para la entrega de la información: </w:t>
      </w:r>
      <w:r w:rsidRPr="008952CE">
        <w:rPr>
          <w:rFonts w:ascii="Palatino Linotype" w:eastAsia="Palatino Linotype" w:hAnsi="Palatino Linotype" w:cs="Palatino Linotype"/>
        </w:rPr>
        <w:t xml:space="preserve">a través del </w:t>
      </w:r>
      <w:r w:rsidRPr="008952CE">
        <w:rPr>
          <w:rFonts w:ascii="Palatino Linotype" w:eastAsia="Palatino Linotype" w:hAnsi="Palatino Linotype" w:cs="Palatino Linotype"/>
          <w:b/>
        </w:rPr>
        <w:t>SAIMEX</w:t>
      </w:r>
      <w:r w:rsidRPr="008952CE">
        <w:rPr>
          <w:rFonts w:ascii="Palatino Linotype" w:eastAsia="Palatino Linotype" w:hAnsi="Palatino Linotype" w:cs="Palatino Linotype"/>
        </w:rPr>
        <w:t>.</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b/>
        </w:rPr>
        <w:t xml:space="preserve">2. Respuesta. </w:t>
      </w:r>
      <w:r w:rsidRPr="008952CE">
        <w:rPr>
          <w:rFonts w:ascii="Palatino Linotype" w:eastAsia="Palatino Linotype" w:hAnsi="Palatino Linotype" w:cs="Palatino Linotype"/>
        </w:rPr>
        <w:t xml:space="preserve">Con fecha seis de mayo del dos mil veintidós 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envió su respuesta a la solicitud de acceso a la información a través del SAIMEX, la cual versa como sigue:</w:t>
      </w:r>
    </w:p>
    <w:p w:rsidR="004335B3" w:rsidRPr="008952CE" w:rsidRDefault="00BE4D27">
      <w:pPr>
        <w:spacing w:before="240"/>
        <w:ind w:left="851" w:right="902"/>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“En atención a su solicitud de información No. 00110/ACAMBAY/IP/2022, recibida por esta dependencia vía Sistema Electrónico Denominado Sistema de Acceso a la Información Mexiquense (SAIMEX) de fecha 07 de abril de 2022, dirigida al Ayuntamiento de Acambay de Ruiz Castañeda, Estado de México, como sujeto Obligado de la Ley de Transparencia y Acceso a la Información Pública del Estado de México y Municipios. Se entrega lo siguiente referente a su petición: archivo PDF con la respuesta emitida por el Sujeto Habilitado Directora del dif del DIF de Acambay de Ruiz Castañeda,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p>
    <w:p w:rsidR="004335B3" w:rsidRPr="00E960AD" w:rsidRDefault="00BE4D27">
      <w:pPr>
        <w:ind w:left="851" w:right="902"/>
        <w:jc w:val="both"/>
        <w:rPr>
          <w:rFonts w:ascii="Palatino Linotype" w:eastAsia="Palatino Linotype" w:hAnsi="Palatino Linotype" w:cs="Palatino Linotype"/>
          <w:i/>
          <w:sz w:val="22"/>
          <w:szCs w:val="22"/>
          <w:lang w:val="en-US"/>
        </w:rPr>
      </w:pPr>
      <w:r w:rsidRPr="00E960AD">
        <w:rPr>
          <w:rFonts w:ascii="Palatino Linotype" w:eastAsia="Palatino Linotype" w:hAnsi="Palatino Linotype" w:cs="Palatino Linotype"/>
          <w:i/>
          <w:sz w:val="22"/>
          <w:szCs w:val="22"/>
          <w:lang w:val="en-US"/>
        </w:rPr>
        <w:t>ATENTAMENTE</w:t>
      </w:r>
    </w:p>
    <w:p w:rsidR="004335B3" w:rsidRPr="00E960AD" w:rsidRDefault="00BE4D27">
      <w:pPr>
        <w:ind w:left="851" w:right="902"/>
        <w:jc w:val="both"/>
        <w:rPr>
          <w:rFonts w:ascii="Palatino Linotype" w:eastAsia="Palatino Linotype" w:hAnsi="Palatino Linotype" w:cs="Palatino Linotype"/>
          <w:i/>
          <w:sz w:val="22"/>
          <w:szCs w:val="22"/>
          <w:lang w:val="en-US"/>
        </w:rPr>
      </w:pPr>
      <w:r w:rsidRPr="00E960AD">
        <w:rPr>
          <w:rFonts w:ascii="Palatino Linotype" w:eastAsia="Palatino Linotype" w:hAnsi="Palatino Linotype" w:cs="Palatino Linotype"/>
          <w:i/>
          <w:sz w:val="22"/>
          <w:szCs w:val="22"/>
          <w:lang w:val="en-US"/>
        </w:rPr>
        <w:t>Lic. LEILY ARELY CHAVEZ RUIZ” (Sic)</w:t>
      </w:r>
    </w:p>
    <w:p w:rsidR="004335B3" w:rsidRPr="00E960AD" w:rsidRDefault="004335B3">
      <w:pPr>
        <w:ind w:left="851" w:right="902"/>
        <w:jc w:val="both"/>
        <w:rPr>
          <w:rFonts w:ascii="Palatino Linotype" w:eastAsia="Palatino Linotype" w:hAnsi="Palatino Linotype" w:cs="Palatino Linotype"/>
          <w:i/>
          <w:sz w:val="22"/>
          <w:szCs w:val="22"/>
          <w:lang w:val="en-US"/>
        </w:rPr>
      </w:pPr>
    </w:p>
    <w:p w:rsidR="004335B3" w:rsidRPr="008952CE" w:rsidRDefault="00BE4D27">
      <w:pPr>
        <w:spacing w:before="240" w:line="360" w:lineRule="auto"/>
        <w:ind w:right="49"/>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adjuntó a su respuesta el archivo electrónico siguiente: </w:t>
      </w:r>
    </w:p>
    <w:p w:rsidR="004335B3" w:rsidRPr="008952CE" w:rsidRDefault="00BE4D27">
      <w:pPr>
        <w:spacing w:before="240" w:line="360" w:lineRule="auto"/>
        <w:ind w:right="49"/>
        <w:jc w:val="both"/>
        <w:rPr>
          <w:rFonts w:ascii="Palatino Linotype" w:eastAsia="Palatino Linotype" w:hAnsi="Palatino Linotype" w:cs="Palatino Linotype"/>
        </w:rPr>
      </w:pPr>
      <w:r w:rsidRPr="008952CE">
        <w:rPr>
          <w:rFonts w:ascii="Palatino Linotype" w:eastAsia="Palatino Linotype" w:hAnsi="Palatino Linotype" w:cs="Palatino Linotype"/>
        </w:rPr>
        <w:t>“</w:t>
      </w:r>
      <w:hyperlink r:id="rId8">
        <w:r w:rsidRPr="008952CE">
          <w:rPr>
            <w:rFonts w:ascii="Palatino Linotype" w:eastAsia="Palatino Linotype" w:hAnsi="Palatino Linotype" w:cs="Palatino Linotype"/>
          </w:rPr>
          <w:t>SOLICITUD 110.pdf</w:t>
        </w:r>
      </w:hyperlink>
      <w:r w:rsidRPr="008952CE">
        <w:rPr>
          <w:rFonts w:ascii="Palatino Linotype" w:eastAsia="Palatino Linotype" w:hAnsi="Palatino Linotype" w:cs="Palatino Linotype"/>
        </w:rPr>
        <w:t>”, el cual contiene el oficio número SMDIF/D/01798/2022, por medio del cual la Directora del Sistema Municipal DIF de Acambay de Ruiz de Castañeda, informó respecto de los cuatro servidores públicos descritos en la solicitud de acceso a la información pública, lo siguiente:</w:t>
      </w:r>
    </w:p>
    <w:p w:rsidR="004335B3" w:rsidRPr="008952CE" w:rsidRDefault="004335B3">
      <w:pPr>
        <w:spacing w:before="240" w:line="360" w:lineRule="auto"/>
        <w:ind w:right="49"/>
        <w:jc w:val="both"/>
        <w:rPr>
          <w:rFonts w:ascii="Palatino Linotype" w:eastAsia="Palatino Linotype" w:hAnsi="Palatino Linotype" w:cs="Palatino Linotype"/>
        </w:rPr>
      </w:pPr>
    </w:p>
    <w:p w:rsidR="004335B3" w:rsidRPr="008952CE" w:rsidRDefault="00BE4D27">
      <w:pPr>
        <w:spacing w:before="240" w:line="360" w:lineRule="auto"/>
        <w:ind w:right="49"/>
        <w:jc w:val="both"/>
        <w:rPr>
          <w:rFonts w:ascii="Palatino Linotype" w:eastAsia="Palatino Linotype" w:hAnsi="Palatino Linotype" w:cs="Palatino Linotype"/>
        </w:rPr>
      </w:pPr>
      <w:r w:rsidRPr="008952CE">
        <w:rPr>
          <w:noProof/>
          <w:lang w:val="es-MX" w:eastAsia="es-MX"/>
        </w:rPr>
        <w:lastRenderedPageBreak/>
        <w:drawing>
          <wp:inline distT="0" distB="0" distL="0" distR="0">
            <wp:extent cx="5577025" cy="2027869"/>
            <wp:effectExtent l="0" t="0" r="0" b="0"/>
            <wp:docPr id="1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33756" t="23888" r="20534" b="50141"/>
                    <a:stretch>
                      <a:fillRect/>
                    </a:stretch>
                  </pic:blipFill>
                  <pic:spPr>
                    <a:xfrm>
                      <a:off x="0" y="0"/>
                      <a:ext cx="5577025" cy="2027869"/>
                    </a:xfrm>
                    <a:prstGeom prst="rect">
                      <a:avLst/>
                    </a:prstGeom>
                    <a:ln/>
                  </pic:spPr>
                </pic:pic>
              </a:graphicData>
            </a:graphic>
          </wp:inline>
        </w:drawing>
      </w:r>
    </w:p>
    <w:p w:rsidR="004335B3" w:rsidRPr="008952CE" w:rsidRDefault="00BE4D27">
      <w:pPr>
        <w:spacing w:before="240" w:line="360" w:lineRule="auto"/>
        <w:ind w:right="49"/>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Finalmente, señaló que la Presidenta del Sistema Municipal DIF de Acambay es Honorifica, por lo que no recibe un sueldo y no firma contrato. </w:t>
      </w:r>
    </w:p>
    <w:p w:rsidR="004335B3" w:rsidRPr="008952CE" w:rsidRDefault="004335B3">
      <w:pPr>
        <w:spacing w:line="360" w:lineRule="auto"/>
        <w:ind w:right="51"/>
        <w:jc w:val="both"/>
        <w:rPr>
          <w:rFonts w:ascii="Palatino Linotype" w:eastAsia="Palatino Linotype" w:hAnsi="Palatino Linotype" w:cs="Palatino Linotype"/>
        </w:rPr>
      </w:pPr>
    </w:p>
    <w:p w:rsidR="004335B3" w:rsidRPr="008952CE" w:rsidRDefault="00BE4D27">
      <w:pPr>
        <w:spacing w:line="360" w:lineRule="auto"/>
        <w:ind w:right="49"/>
        <w:jc w:val="both"/>
        <w:rPr>
          <w:rFonts w:ascii="Palatino Linotype" w:eastAsia="Palatino Linotype" w:hAnsi="Palatino Linotype" w:cs="Palatino Linotype"/>
        </w:rPr>
      </w:pPr>
      <w:r w:rsidRPr="008952CE">
        <w:rPr>
          <w:rFonts w:ascii="Palatino Linotype" w:eastAsia="Palatino Linotype" w:hAnsi="Palatino Linotype" w:cs="Palatino Linotype"/>
          <w:b/>
        </w:rPr>
        <w:t xml:space="preserve">3. Interposición del recurso de revisión. </w:t>
      </w:r>
      <w:r w:rsidRPr="008952CE">
        <w:rPr>
          <w:rFonts w:ascii="Palatino Linotype" w:eastAsia="Palatino Linotype" w:hAnsi="Palatino Linotype" w:cs="Palatino Linotype"/>
        </w:rPr>
        <w:t xml:space="preserve">Inconforme con la respuesta del </w:t>
      </w:r>
      <w:r w:rsidRPr="008952CE">
        <w:rPr>
          <w:rFonts w:ascii="Palatino Linotype" w:eastAsia="Palatino Linotype" w:hAnsi="Palatino Linotype" w:cs="Palatino Linotype"/>
          <w:b/>
        </w:rPr>
        <w:t>SUJETO OBLIGADO el ahora RECURRENTE</w:t>
      </w:r>
      <w:r w:rsidRPr="008952CE">
        <w:rPr>
          <w:rFonts w:ascii="Palatino Linotype" w:eastAsia="Palatino Linotype" w:hAnsi="Palatino Linotype" w:cs="Palatino Linotype"/>
        </w:rPr>
        <w:t xml:space="preserve"> interpuso recurso de revisión a través del SAIMEX en fecha nueve de mayo de dos mil veintidós, a través del cual expresó lo siguiente:</w:t>
      </w:r>
    </w:p>
    <w:p w:rsidR="004335B3" w:rsidRPr="008952CE" w:rsidRDefault="004335B3">
      <w:pPr>
        <w:spacing w:line="360" w:lineRule="auto"/>
        <w:ind w:right="49"/>
        <w:jc w:val="both"/>
        <w:rPr>
          <w:rFonts w:ascii="Palatino Linotype" w:eastAsia="Palatino Linotype" w:hAnsi="Palatino Linotype" w:cs="Palatino Linotype"/>
        </w:rPr>
      </w:pPr>
    </w:p>
    <w:p w:rsidR="004335B3" w:rsidRPr="008952CE" w:rsidRDefault="00BE4D27">
      <w:pPr>
        <w:spacing w:line="360" w:lineRule="auto"/>
        <w:rPr>
          <w:rFonts w:ascii="Palatino Linotype" w:eastAsia="Palatino Linotype" w:hAnsi="Palatino Linotype" w:cs="Palatino Linotype"/>
          <w:b/>
        </w:rPr>
      </w:pPr>
      <w:r w:rsidRPr="008952CE">
        <w:rPr>
          <w:rFonts w:ascii="Palatino Linotype" w:eastAsia="Palatino Linotype" w:hAnsi="Palatino Linotype" w:cs="Palatino Linotype"/>
          <w:b/>
        </w:rPr>
        <w:t>a) Acto impugnado.</w:t>
      </w:r>
    </w:p>
    <w:p w:rsidR="004335B3" w:rsidRPr="008952CE" w:rsidRDefault="00BE4D27">
      <w:pPr>
        <w:spacing w:after="240"/>
        <w:ind w:left="851"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“el sujeto obligado se niega a entregar la información que pedí, justificándose que es la única información que obra en sus archivos, por que de acuerdo a la ley esa información debe estar en los expedientes de personal desde su contratación de lo contrario estan incurriendo en una falta.”(Sic)</w:t>
      </w:r>
    </w:p>
    <w:p w:rsidR="004335B3" w:rsidRPr="008952CE" w:rsidRDefault="00BE4D27">
      <w:pPr>
        <w:spacing w:line="360" w:lineRule="auto"/>
        <w:jc w:val="both"/>
        <w:rPr>
          <w:rFonts w:ascii="Palatino Linotype" w:eastAsia="Palatino Linotype" w:hAnsi="Palatino Linotype" w:cs="Palatino Linotype"/>
          <w:b/>
        </w:rPr>
      </w:pPr>
      <w:r w:rsidRPr="008952CE">
        <w:rPr>
          <w:rFonts w:ascii="Palatino Linotype" w:eastAsia="Palatino Linotype" w:hAnsi="Palatino Linotype" w:cs="Palatino Linotype"/>
          <w:b/>
        </w:rPr>
        <w:t>b) Motivos de inconformidad.</w:t>
      </w:r>
    </w:p>
    <w:p w:rsidR="004335B3" w:rsidRPr="008952CE" w:rsidRDefault="00BE4D27">
      <w:pPr>
        <w:spacing w:after="240"/>
        <w:ind w:left="851"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“EL sujeto obligado se niega a entregar la información solicitada de los servidores públicos </w:t>
      </w:r>
      <w:r w:rsidRPr="008952CE">
        <w:rPr>
          <w:rFonts w:ascii="Palatino Linotype" w:eastAsia="Palatino Linotype" w:hAnsi="Palatino Linotype" w:cs="Palatino Linotype"/>
          <w:b/>
          <w:i/>
          <w:sz w:val="22"/>
          <w:szCs w:val="22"/>
        </w:rPr>
        <w:t>LUNA FELICIANO ZULEIMA, GONZALEZ ALCANTARA DAVID, LOPEZ MORENO JAFET, LOPEZ ASUNCION ELIZABETH</w:t>
      </w:r>
      <w:r w:rsidRPr="008952CE">
        <w:rPr>
          <w:rFonts w:ascii="Palatino Linotype" w:eastAsia="Palatino Linotype" w:hAnsi="Palatino Linotype" w:cs="Palatino Linotype"/>
          <w:i/>
          <w:sz w:val="22"/>
          <w:szCs w:val="22"/>
        </w:rPr>
        <w:t xml:space="preserve">, pedí </w:t>
      </w:r>
      <w:r w:rsidRPr="008952CE">
        <w:rPr>
          <w:rFonts w:ascii="Palatino Linotype" w:eastAsia="Palatino Linotype" w:hAnsi="Palatino Linotype" w:cs="Palatino Linotype"/>
          <w:b/>
          <w:i/>
          <w:sz w:val="22"/>
          <w:szCs w:val="22"/>
        </w:rPr>
        <w:t>el CV y fue negado</w:t>
      </w:r>
      <w:r w:rsidRPr="008952CE">
        <w:rPr>
          <w:rFonts w:ascii="Palatino Linotype" w:eastAsia="Palatino Linotype" w:hAnsi="Palatino Linotype" w:cs="Palatino Linotype"/>
          <w:i/>
          <w:sz w:val="22"/>
          <w:szCs w:val="22"/>
        </w:rPr>
        <w:t xml:space="preserve"> ya que no me lo entregaron, </w:t>
      </w:r>
      <w:r w:rsidRPr="008952CE">
        <w:rPr>
          <w:rFonts w:ascii="Palatino Linotype" w:eastAsia="Palatino Linotype" w:hAnsi="Palatino Linotype" w:cs="Palatino Linotype"/>
          <w:b/>
          <w:i/>
          <w:sz w:val="22"/>
          <w:szCs w:val="22"/>
        </w:rPr>
        <w:t xml:space="preserve">tambien se negaron a entregar la información de los EXAMENES CORRESPONDIENTES DE </w:t>
      </w:r>
      <w:r w:rsidRPr="008952CE">
        <w:rPr>
          <w:rFonts w:ascii="Palatino Linotype" w:eastAsia="Palatino Linotype" w:hAnsi="Palatino Linotype" w:cs="Palatino Linotype"/>
          <w:b/>
          <w:i/>
          <w:sz w:val="22"/>
          <w:szCs w:val="22"/>
        </w:rPr>
        <w:lastRenderedPageBreak/>
        <w:t>LOS CONOCIMIENTOS Y APTITUDES NECESARIAOS PARA DESEMPEÑAR EL PUESTO respondiendo que no aplica</w:t>
      </w:r>
      <w:r w:rsidRPr="008952CE">
        <w:rPr>
          <w:rFonts w:ascii="Palatino Linotype" w:eastAsia="Palatino Linotype" w:hAnsi="Palatino Linotype" w:cs="Palatino Linotype"/>
          <w:i/>
          <w:sz w:val="22"/>
          <w:szCs w:val="22"/>
        </w:rPr>
        <w:t xml:space="preserve">, se </w:t>
      </w:r>
      <w:r w:rsidRPr="008952CE">
        <w:rPr>
          <w:rFonts w:ascii="Palatino Linotype" w:eastAsia="Palatino Linotype" w:hAnsi="Palatino Linotype" w:cs="Palatino Linotype"/>
          <w:b/>
          <w:i/>
          <w:sz w:val="22"/>
          <w:szCs w:val="22"/>
        </w:rPr>
        <w:t>negaron a entregar la COPIA DEL REGISTRO DE DEUDORES ALIMENTARIOS MOROSOS respondiendo que no se tiene registro</w:t>
      </w:r>
      <w:r w:rsidRPr="008952CE">
        <w:rPr>
          <w:rFonts w:ascii="Palatino Linotype" w:eastAsia="Palatino Linotype" w:hAnsi="Palatino Linotype" w:cs="Palatino Linotype"/>
          <w:i/>
          <w:sz w:val="22"/>
          <w:szCs w:val="22"/>
        </w:rPr>
        <w:t xml:space="preserve">, </w:t>
      </w:r>
      <w:r w:rsidRPr="008952CE">
        <w:rPr>
          <w:rFonts w:ascii="Palatino Linotype" w:eastAsia="Palatino Linotype" w:hAnsi="Palatino Linotype" w:cs="Palatino Linotype"/>
          <w:b/>
          <w:i/>
          <w:sz w:val="22"/>
          <w:szCs w:val="22"/>
        </w:rPr>
        <w:t>tambien se negaron a entregar EL CONTRATO LABORAL O LO QUE ACREDITE LA RELACION LABORAL CON EL DIF.</w:t>
      </w:r>
      <w:r w:rsidRPr="008952CE">
        <w:rPr>
          <w:rFonts w:ascii="Palatino Linotype" w:eastAsia="Palatino Linotype" w:hAnsi="Palatino Linotype" w:cs="Palatino Linotype"/>
          <w:i/>
          <w:sz w:val="22"/>
          <w:szCs w:val="22"/>
        </w:rPr>
        <w:t>” (Sic)</w:t>
      </w:r>
    </w:p>
    <w:p w:rsidR="004335B3" w:rsidRPr="008952CE" w:rsidRDefault="00BE4D27">
      <w:pPr>
        <w:spacing w:before="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b/>
        </w:rPr>
        <w:t xml:space="preserve">4. Turno. </w:t>
      </w:r>
      <w:r w:rsidRPr="008952C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8952CE">
        <w:rPr>
          <w:rFonts w:ascii="Palatino Linotype" w:eastAsia="Palatino Linotype" w:hAnsi="Palatino Linotype" w:cs="Palatino Linotype"/>
          <w:b/>
        </w:rPr>
        <w:t xml:space="preserve">07389/INFOEM/IP/RR/2022, </w:t>
      </w:r>
      <w:r w:rsidRPr="008952CE">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8952CE">
        <w:rPr>
          <w:rFonts w:ascii="Palatino Linotype" w:eastAsia="Palatino Linotype" w:hAnsi="Palatino Linotype" w:cs="Palatino Linotype"/>
          <w:b/>
        </w:rPr>
        <w:t>Guadalupe Ramírez Peña</w:t>
      </w:r>
      <w:r w:rsidRPr="008952CE">
        <w:rPr>
          <w:rFonts w:ascii="Palatino Linotype" w:eastAsia="Palatino Linotype" w:hAnsi="Palatino Linotype" w:cs="Palatino Linotype"/>
        </w:rPr>
        <w:t>, para su análisis, estudio, elaboración del proyecto y presentación ante el Pleno de este Instituto.</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b/>
        </w:rPr>
        <w:t xml:space="preserve">5. Admisión del recurso de revisión: </w:t>
      </w:r>
      <w:r w:rsidRPr="008952CE">
        <w:rPr>
          <w:rFonts w:ascii="Palatino Linotype" w:eastAsia="Palatino Linotype" w:hAnsi="Palatino Linotype" w:cs="Palatino Linotype"/>
        </w:rPr>
        <w:t xml:space="preserve">En fecha doce de mayo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presentara su informe justificado. </w:t>
      </w:r>
    </w:p>
    <w:p w:rsidR="004335B3" w:rsidRPr="008952CE" w:rsidRDefault="00BE4D27">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1" w:name="_heading=h.gjdgxs" w:colFirst="0" w:colLast="0"/>
      <w:bookmarkEnd w:id="1"/>
      <w:r w:rsidRPr="008952CE">
        <w:rPr>
          <w:rFonts w:ascii="Palatino Linotype" w:eastAsia="Palatino Linotype" w:hAnsi="Palatino Linotype" w:cs="Palatino Linotype"/>
          <w:b/>
        </w:rPr>
        <w:t>6. Manifestaciones</w:t>
      </w:r>
      <w:r w:rsidRPr="008952CE">
        <w:rPr>
          <w:rFonts w:ascii="Palatino Linotype" w:eastAsia="Palatino Linotype" w:hAnsi="Palatino Linotype" w:cs="Palatino Linotype"/>
        </w:rPr>
        <w:t xml:space="preserve">: De las constancias que integran el expediente en que se actúa se advierte que la </w:t>
      </w:r>
      <w:r w:rsidRPr="008952CE">
        <w:rPr>
          <w:rFonts w:ascii="Palatino Linotype" w:eastAsia="Palatino Linotype" w:hAnsi="Palatino Linotype" w:cs="Palatino Linotype"/>
          <w:b/>
        </w:rPr>
        <w:t>RECURRENTE</w:t>
      </w:r>
      <w:r w:rsidRPr="008952CE">
        <w:rPr>
          <w:rFonts w:ascii="Palatino Linotype" w:eastAsia="Palatino Linotype" w:hAnsi="Palatino Linotype" w:cs="Palatino Linotype"/>
        </w:rPr>
        <w:t>, en fecha diecisiete de mayo del año en curso, se presentó sus alegatos en donde expuso:</w:t>
      </w:r>
    </w:p>
    <w:p w:rsidR="004335B3" w:rsidRPr="008952CE" w:rsidRDefault="00BE4D27">
      <w:pPr>
        <w:spacing w:after="240"/>
        <w:ind w:left="851"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“El sujeto obligado se niega a entregar la información solicitada, ya que la responsable de la unidad de información manifiesta que la información proporcionada es la única que obra en los archivos municipales lo cual no es así ya que la información que solicite se puede localizar en el expediente de personal </w:t>
      </w:r>
      <w:r w:rsidRPr="008952CE">
        <w:rPr>
          <w:rFonts w:ascii="Palatino Linotype" w:eastAsia="Palatino Linotype" w:hAnsi="Palatino Linotype" w:cs="Palatino Linotype"/>
          <w:i/>
          <w:sz w:val="22"/>
          <w:szCs w:val="22"/>
        </w:rPr>
        <w:lastRenderedPageBreak/>
        <w:t>y de acuerdo a la fracción XVII del artículo 98 de la ley del trabajo de los servidores públicos del estado y municipios especifica las obligaciones de las instituciones publicas donde se encuentran la obligación de la institución pública de integrar el expediente de personal, EN EL EXPEDIENTE DE PERSONAL se documenta la relación laboral del municipio y los servidores públicos así mismos la relación se establece mediante un nombramiento, formato único de personal o contrato de acuerdo al Art 5 de la ley del trabajo de los servidores públicos del estado y municipios , a lo que el sujeto obligado responde que NO APLICA y se niega a entregar la información, asimismo los servidores públicos que ingresen al municipio deben cumplir con ciertos requisitos establecidos en el art 47 de la ley del trabajo de los servidores públicos del estado y municipios, exactamente en la fracción IX y XI señala que se requiere para entraer al servicio publico acreditar por medio de los exámenes correspondientes los conocimientos y aptitudes necesarios para el desempeño del puesto y presentar certificado expedido por la unidad de registro de deudores alimentarios morosos en el que conste si se encuentra inscrito o no en el mismo respectivamente, de acuerdo al art 12 de la Ley de Transparencia y Acceso a la Información Pública del Estado de México y Municipios los sujetos obligados proporcionarán la información pública que se les requiera y que obre en sus archivos por lo tanto Al ser obligación de la institución pública integrar el expediente de personal, obra en los archivos del municipio y se negaron a entregarme lo solicitado y no es verdar que la información con la que dan respuesta es la única que obra en los archivos municipales como dice la responsable de la unidad de información son documentos que el sujeto obligado debe tener en sus archivos. En virtud de que toda la información es en principio pública y el derecho de acceso a la información se encuentra previsto en la Constitución Política de los Estado Unidos Mexicanos, debe interpretarse de manera que se favorezca la mayor protección para la persona, así mismo el sujeto obligado tiene la obligación de Dar acceso a la información pública que le sea requerida y Transparentar sus acciones, así como garantizar y respetar el derecho a la información pública, solicito su intervención para que no se violente mi derecho de acceso a la información establecido en la Constitución por parte del sujeto obligado.” (Sic)</w:t>
      </w:r>
    </w:p>
    <w:p w:rsidR="004335B3" w:rsidRPr="008952CE" w:rsidRDefault="004335B3">
      <w:pPr>
        <w:widowControl w:val="0"/>
        <w:pBdr>
          <w:top w:val="nil"/>
          <w:left w:val="nil"/>
          <w:bottom w:val="nil"/>
          <w:right w:val="nil"/>
          <w:between w:val="nil"/>
        </w:pBdr>
        <w:tabs>
          <w:tab w:val="left" w:pos="709"/>
        </w:tabs>
        <w:spacing w:before="120" w:line="360" w:lineRule="auto"/>
        <w:jc w:val="both"/>
        <w:rPr>
          <w:rFonts w:ascii="Palatino Linotype" w:eastAsia="Palatino Linotype" w:hAnsi="Palatino Linotype" w:cs="Palatino Linotype"/>
          <w:i/>
          <w:sz w:val="22"/>
          <w:szCs w:val="22"/>
        </w:rPr>
      </w:pPr>
    </w:p>
    <w:p w:rsidR="004335B3" w:rsidRPr="008952CE" w:rsidRDefault="00BE4D27">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Adjuntando a sus alegatos el archivo electrónico denominado “</w:t>
      </w:r>
      <w:hyperlink r:id="rId10">
        <w:r w:rsidRPr="008952CE">
          <w:rPr>
            <w:rFonts w:ascii="Palatino Linotype" w:eastAsia="Palatino Linotype" w:hAnsi="Palatino Linotype" w:cs="Palatino Linotype"/>
          </w:rPr>
          <w:t>SOLICITUD 110.pdf</w:t>
        </w:r>
      </w:hyperlink>
      <w:r w:rsidRPr="008952CE">
        <w:rPr>
          <w:rFonts w:ascii="Palatino Linotype" w:eastAsia="Palatino Linotype" w:hAnsi="Palatino Linotype" w:cs="Palatino Linotype"/>
        </w:rPr>
        <w:t xml:space="preserve">”, el cual corresponde al documento remitido por 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a través del cual dio respuesta, descrito en el antecedente 2 del presente fallo.</w:t>
      </w:r>
    </w:p>
    <w:p w:rsidR="004335B3" w:rsidRPr="008952CE" w:rsidRDefault="00BE4D27">
      <w:pPr>
        <w:widowControl w:val="0"/>
        <w:pBdr>
          <w:top w:val="nil"/>
          <w:left w:val="nil"/>
          <w:bottom w:val="nil"/>
          <w:right w:val="nil"/>
          <w:between w:val="nil"/>
        </w:pBdr>
        <w:tabs>
          <w:tab w:val="left" w:pos="709"/>
        </w:tabs>
        <w:spacing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lastRenderedPageBreak/>
        <w:t xml:space="preserve">Por su parte, 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fue omiso en presentar el Informe Justificado correspondiente.</w:t>
      </w:r>
    </w:p>
    <w:p w:rsidR="004335B3" w:rsidRPr="008952CE" w:rsidRDefault="00BE4D27">
      <w:pPr>
        <w:widowControl w:val="0"/>
        <w:spacing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b/>
        </w:rPr>
        <w:t>7.- Ampliación del plazo.</w:t>
      </w:r>
      <w:r w:rsidRPr="008952CE">
        <w:rPr>
          <w:rFonts w:ascii="Palatino Linotype" w:eastAsia="Palatino Linotype" w:hAnsi="Palatino Linotype" w:cs="Palatino Linotype"/>
        </w:rPr>
        <w:t xml:space="preserve"> En fecha primero de septiembre del año dos mil veintidós, con fundamento en el artículo 181, párrafo tercero de la Ley de Transparencia y Acceso a la Información Pública del Estado de México y Municipios, se acordó la ampliación del plazo para su resolución.</w:t>
      </w: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8952CE">
        <w:rPr>
          <w:rFonts w:ascii="Palatino Linotype" w:eastAsia="Palatino Linotype" w:hAnsi="Palatino Linotype" w:cs="Palatino Linotype"/>
        </w:rPr>
        <w:lastRenderedPageBreak/>
        <w:t>en el menor tiempo posible, tomando en consideración la dilación total del procedimiento; esto es, en un plazo razonable.</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strike/>
        </w:rPr>
      </w:pPr>
      <w:r w:rsidRPr="008952CE">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numPr>
          <w:ilvl w:val="0"/>
          <w:numId w:val="1"/>
        </w:num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4335B3" w:rsidRPr="008952CE" w:rsidRDefault="004335B3">
      <w:pPr>
        <w:spacing w:line="360" w:lineRule="auto"/>
        <w:ind w:left="927"/>
        <w:jc w:val="both"/>
        <w:rPr>
          <w:rFonts w:ascii="Palatino Linotype" w:eastAsia="Palatino Linotype" w:hAnsi="Palatino Linotype" w:cs="Palatino Linotype"/>
        </w:rPr>
      </w:pPr>
    </w:p>
    <w:p w:rsidR="004335B3" w:rsidRPr="008952CE" w:rsidRDefault="00BE4D27">
      <w:pPr>
        <w:numPr>
          <w:ilvl w:val="0"/>
          <w:numId w:val="1"/>
        </w:num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Actividad Procesal del interesado. Acciones u omisiones del interesado.</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numPr>
          <w:ilvl w:val="0"/>
          <w:numId w:val="1"/>
        </w:num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Conducta de la Autoridad: Las Acciones u omisiones realizadas en el procedimiento. Así como si la autoridad actuó con la debida diligencia.</w:t>
      </w:r>
    </w:p>
    <w:p w:rsidR="004335B3" w:rsidRPr="008952CE" w:rsidRDefault="004335B3">
      <w:pPr>
        <w:spacing w:line="360" w:lineRule="auto"/>
        <w:ind w:left="708"/>
        <w:rPr>
          <w:rFonts w:ascii="Palatino Linotype" w:eastAsia="Palatino Linotype" w:hAnsi="Palatino Linotype" w:cs="Palatino Linotype"/>
        </w:rPr>
      </w:pPr>
    </w:p>
    <w:p w:rsidR="004335B3" w:rsidRPr="008952CE" w:rsidRDefault="00BE4D27">
      <w:pPr>
        <w:spacing w:line="360" w:lineRule="auto"/>
        <w:ind w:left="567"/>
        <w:jc w:val="both"/>
        <w:rPr>
          <w:rFonts w:ascii="Palatino Linotype" w:eastAsia="Palatino Linotype" w:hAnsi="Palatino Linotype" w:cs="Palatino Linotype"/>
        </w:rPr>
      </w:pPr>
      <w:r w:rsidRPr="008952CE">
        <w:rPr>
          <w:rFonts w:ascii="Palatino Linotype" w:eastAsia="Palatino Linotype" w:hAnsi="Palatino Linotype" w:cs="Palatino Linotype"/>
        </w:rPr>
        <w:t>d) La afectación generada en la situación jurídica de la persona involucrada en el proceso: Violación a sus derechos humanos.</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b/>
        </w:rPr>
      </w:pPr>
      <w:r w:rsidRPr="008952CE">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8952C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8952CE">
        <w:rPr>
          <w:rFonts w:ascii="Palatino Linotype" w:eastAsia="Palatino Linotype" w:hAnsi="Palatino Linotype" w:cs="Palatino Linotype"/>
        </w:rPr>
        <w:t>, visible en la Gaceta del Seminario Judicial de la Federación con el registro digital 205635.</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8952CE">
        <w:rPr>
          <w:rFonts w:ascii="Palatino Linotype" w:eastAsia="Palatino Linotype" w:hAnsi="Palatino Linotype" w:cs="Palatino Linotype"/>
        </w:rPr>
        <w:lastRenderedPageBreak/>
        <w:t>los términos legales previamente establecidos por la Ley, por tratarse de causas de fuerza mayor.</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 </w:t>
      </w:r>
      <w:r w:rsidRPr="008952CE">
        <w:rPr>
          <w:rFonts w:ascii="Palatino Linotype" w:eastAsia="Palatino Linotype" w:hAnsi="Palatino Linotype" w:cs="Palatino Linotype"/>
          <w:i/>
        </w:rPr>
        <w:t>“PLAZO RAZONABLE PARA RESOLVER. DIMENSIÓN Y EFECTOS DE ESTE CONCEPTO CUANDO SE ADUCE EXCESIVA CARGA DE TRABAJO.”</w:t>
      </w:r>
      <w:r w:rsidRPr="008952CE">
        <w:rPr>
          <w:rFonts w:ascii="Palatino Linotype" w:eastAsia="Palatino Linotype" w:hAnsi="Palatino Linotype" w:cs="Palatino Linotype"/>
        </w:rPr>
        <w:t xml:space="preserve"> consultable en el Seminario Judicial de la Federación y su gaceta, con el registro digital 2002351.</w:t>
      </w:r>
    </w:p>
    <w:p w:rsidR="004335B3" w:rsidRPr="008952CE" w:rsidRDefault="004335B3">
      <w:pPr>
        <w:spacing w:line="360" w:lineRule="auto"/>
        <w:jc w:val="both"/>
        <w:rPr>
          <w:rFonts w:ascii="Palatino Linotype" w:eastAsia="Palatino Linotype" w:hAnsi="Palatino Linotype" w:cs="Palatino Linotype"/>
          <w:b/>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i/>
        </w:rPr>
        <w:t>“PLAZO RAZONABLE PARA RESOLVER. CONCEPTO Y ELEMENTOS QUE LO INTEGRAN A LA LUZ DEL DERECHO INTERNACIONAL DE LOS DERECHOS HUMANOS.”</w:t>
      </w:r>
      <w:r w:rsidRPr="008952CE">
        <w:rPr>
          <w:rFonts w:ascii="Palatino Linotype" w:eastAsia="Palatino Linotype" w:hAnsi="Palatino Linotype" w:cs="Palatino Linotype"/>
        </w:rPr>
        <w:t>, visible en el Seminario Judicial de la Federación y su gaceta, con el registro digital 2002350.</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4335B3" w:rsidRPr="008952CE" w:rsidRDefault="004335B3">
      <w:pPr>
        <w:spacing w:line="360" w:lineRule="auto"/>
        <w:jc w:val="both"/>
        <w:rPr>
          <w:rFonts w:ascii="Palatino Linotype" w:eastAsia="Palatino Linotype" w:hAnsi="Palatino Linotype" w:cs="Palatino Linotype"/>
          <w:b/>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b/>
        </w:rPr>
        <w:t>8.-</w:t>
      </w:r>
      <w:r w:rsidRPr="008952CE">
        <w:rPr>
          <w:rFonts w:ascii="Palatino Linotype" w:eastAsia="Palatino Linotype" w:hAnsi="Palatino Linotype" w:cs="Palatino Linotype"/>
        </w:rPr>
        <w:t xml:space="preserve"> </w:t>
      </w:r>
      <w:r w:rsidRPr="008952CE">
        <w:rPr>
          <w:rFonts w:ascii="Palatino Linotype" w:eastAsia="Palatino Linotype" w:hAnsi="Palatino Linotype" w:cs="Palatino Linotype"/>
          <w:b/>
        </w:rPr>
        <w:t xml:space="preserve">Cierre de instrucción. </w:t>
      </w:r>
      <w:r w:rsidRPr="008952CE">
        <w:rPr>
          <w:rFonts w:ascii="Palatino Linotype" w:eastAsia="Palatino Linotype" w:hAnsi="Palatino Linotype" w:cs="Palatino Linotype"/>
        </w:rPr>
        <w:t>El trece de septiembre de dos mil veintidós la Comisionada ponente determinó el cierre de instrucción en términos de la fracción VI del artículo 185 de la Ley de Transparencia y Acceso a la Información Pública del Estado de México y Municipios.</w:t>
      </w:r>
    </w:p>
    <w:p w:rsidR="004335B3" w:rsidRPr="008952CE" w:rsidRDefault="00BE4D27">
      <w:pPr>
        <w:spacing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rsidR="004335B3" w:rsidRPr="008952CE" w:rsidRDefault="00BE4D27">
      <w:pPr>
        <w:numPr>
          <w:ilvl w:val="0"/>
          <w:numId w:val="4"/>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2" w:name="_heading=h.30j0zll" w:colFirst="0" w:colLast="0"/>
      <w:bookmarkEnd w:id="2"/>
      <w:r w:rsidRPr="008952CE">
        <w:rPr>
          <w:rFonts w:ascii="Palatino Linotype" w:eastAsia="Palatino Linotype" w:hAnsi="Palatino Linotype" w:cs="Palatino Linotype"/>
          <w:b/>
          <w:sz w:val="22"/>
          <w:szCs w:val="22"/>
        </w:rPr>
        <w:t>C O N S I D E R A N D O:</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b/>
        </w:rPr>
        <w:t xml:space="preserve">Primero. Competencia. </w:t>
      </w:r>
      <w:r w:rsidRPr="008952CE">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b/>
        </w:rPr>
        <w:t>Segundo. Oportunidad y Procedibilidad del Recurso de Revisión</w:t>
      </w:r>
      <w:r w:rsidRPr="008952CE">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emitió su respuesta a la solicitud planteada por el </w:t>
      </w:r>
      <w:r w:rsidRPr="008952CE">
        <w:rPr>
          <w:rFonts w:ascii="Palatino Linotype" w:eastAsia="Palatino Linotype" w:hAnsi="Palatino Linotype" w:cs="Palatino Linotype"/>
        </w:rPr>
        <w:lastRenderedPageBreak/>
        <w:t xml:space="preserve">solicitante en fecha seis de mayo del año dos mil veintidós y la parte </w:t>
      </w:r>
      <w:r w:rsidRPr="008952CE">
        <w:rPr>
          <w:rFonts w:ascii="Palatino Linotype" w:eastAsia="Palatino Linotype" w:hAnsi="Palatino Linotype" w:cs="Palatino Linotype"/>
          <w:b/>
        </w:rPr>
        <w:t>RECURRENTE</w:t>
      </w:r>
      <w:r w:rsidRPr="008952CE">
        <w:rPr>
          <w:rFonts w:ascii="Palatino Linotype" w:eastAsia="Palatino Linotype" w:hAnsi="Palatino Linotype" w:cs="Palatino Linotype"/>
        </w:rPr>
        <w:t xml:space="preserve"> presentó su recurso de revisión el nueve de del mismo mes y año, esto es al primer día hábil siguiente de aquel en que tuvo conocimiento de la respuesta; evidenciándose que la interposición del recurso se encuentra dentro de los márgenes temporales previstos en el citado precepto legal.</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Por cuanto hace a la procedibilidad del recurso de revisión, es de suma importancia señalar que la parte </w:t>
      </w:r>
      <w:r w:rsidRPr="008952CE">
        <w:rPr>
          <w:rFonts w:ascii="Palatino Linotype" w:eastAsia="Palatino Linotype" w:hAnsi="Palatino Linotype" w:cs="Palatino Linotype"/>
          <w:b/>
        </w:rPr>
        <w:t>RECURRENTE</w:t>
      </w:r>
      <w:r w:rsidRPr="008952CE">
        <w:rPr>
          <w:rFonts w:ascii="Palatino Linotype" w:eastAsia="Palatino Linotype" w:hAnsi="Palatino Linotype" w:cs="Palatino Linotype"/>
        </w:rPr>
        <w:t>, no señaló su nombre completo,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4335B3" w:rsidRPr="008952CE" w:rsidRDefault="00BE4D27">
      <w:pPr>
        <w:spacing w:before="240" w:after="240" w:line="276" w:lineRule="auto"/>
        <w:ind w:left="851" w:right="902"/>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w:t>
      </w:r>
      <w:r w:rsidRPr="008952CE">
        <w:rPr>
          <w:rFonts w:ascii="Palatino Linotype" w:eastAsia="Palatino Linotype" w:hAnsi="Palatino Linotype" w:cs="Palatino Linotype"/>
          <w:b/>
          <w:i/>
          <w:sz w:val="22"/>
          <w:szCs w:val="22"/>
        </w:rPr>
        <w:t>Las solicitudes anónimas</w:t>
      </w:r>
      <w:r w:rsidRPr="008952CE">
        <w:rPr>
          <w:rFonts w:ascii="Palatino Linotype" w:eastAsia="Palatino Linotype" w:hAnsi="Palatino Linotype" w:cs="Palatino Linotype"/>
          <w:i/>
          <w:sz w:val="22"/>
          <w:szCs w:val="22"/>
        </w:rPr>
        <w:t xml:space="preserve">, con nombre incompleto o seudónimo </w:t>
      </w:r>
      <w:r w:rsidRPr="008952CE">
        <w:rPr>
          <w:rFonts w:ascii="Palatino Linotype" w:eastAsia="Palatino Linotype" w:hAnsi="Palatino Linotype" w:cs="Palatino Linotype"/>
          <w:b/>
          <w:i/>
          <w:sz w:val="22"/>
          <w:szCs w:val="22"/>
        </w:rPr>
        <w:t>serán procedentes para su trámite por parte del sujeto obligado ante quien se presente</w:t>
      </w:r>
      <w:r w:rsidRPr="008952CE">
        <w:rPr>
          <w:rFonts w:ascii="Palatino Linotype" w:eastAsia="Palatino Linotype" w:hAnsi="Palatino Linotype" w:cs="Palatino Linotype"/>
          <w:i/>
          <w:sz w:val="22"/>
          <w:szCs w:val="22"/>
        </w:rPr>
        <w:t>. No podrá requerirse información adicional con motivo del nombre proporcionado por el solicitante."(Sic)</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 artículo 179, fracción V de la ley de la materia, que a la letra dice:</w:t>
      </w:r>
    </w:p>
    <w:p w:rsidR="004335B3" w:rsidRPr="008952CE" w:rsidRDefault="00BE4D27">
      <w:pPr>
        <w:ind w:left="1276" w:right="1752"/>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w:t>
      </w:r>
      <w:r w:rsidRPr="008952CE">
        <w:rPr>
          <w:rFonts w:ascii="Palatino Linotype" w:eastAsia="Palatino Linotype" w:hAnsi="Palatino Linotype" w:cs="Palatino Linotype"/>
          <w:b/>
          <w:i/>
          <w:sz w:val="22"/>
          <w:szCs w:val="22"/>
        </w:rPr>
        <w:t xml:space="preserve">Artículo 179. </w:t>
      </w:r>
      <w:r w:rsidRPr="008952CE">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8952CE">
        <w:rPr>
          <w:rFonts w:ascii="Palatino Linotype" w:eastAsia="Palatino Linotype" w:hAnsi="Palatino Linotype" w:cs="Palatino Linotype"/>
          <w:i/>
        </w:rPr>
        <w:t>causas</w:t>
      </w:r>
      <w:r w:rsidRPr="008952CE">
        <w:rPr>
          <w:rFonts w:ascii="Palatino Linotype" w:eastAsia="Palatino Linotype" w:hAnsi="Palatino Linotype" w:cs="Palatino Linotype"/>
          <w:i/>
          <w:sz w:val="22"/>
          <w:szCs w:val="22"/>
        </w:rPr>
        <w:t>:</w:t>
      </w:r>
    </w:p>
    <w:p w:rsidR="004335B3" w:rsidRPr="008952CE" w:rsidRDefault="00BE4D27">
      <w:pPr>
        <w:ind w:left="1276" w:right="1752"/>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w:t>
      </w:r>
    </w:p>
    <w:p w:rsidR="004335B3" w:rsidRPr="008952CE" w:rsidRDefault="00BE4D27">
      <w:pPr>
        <w:ind w:left="1276" w:right="1752"/>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V. La entrega de información incompleta…” (Sic)</w:t>
      </w:r>
    </w:p>
    <w:p w:rsidR="004335B3" w:rsidRPr="008952CE" w:rsidRDefault="004335B3">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4335B3" w:rsidRPr="008952CE" w:rsidRDefault="00BE4D27">
      <w:pPr>
        <w:spacing w:before="280" w:after="28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b/>
        </w:rPr>
        <w:t>Tercero. Materia de Revisión</w:t>
      </w:r>
      <w:r w:rsidRPr="008952CE">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8952CE">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8952CE">
        <w:rPr>
          <w:rFonts w:ascii="Palatino Linotype" w:eastAsia="Palatino Linotype" w:hAnsi="Palatino Linotype" w:cs="Palatino Linotype"/>
        </w:rPr>
        <w:t xml:space="preserve">de la </w:t>
      </w:r>
      <w:r w:rsidRPr="008952CE">
        <w:rPr>
          <w:rFonts w:ascii="Palatino Linotype" w:eastAsia="Palatino Linotype" w:hAnsi="Palatino Linotype" w:cs="Palatino Linotype"/>
          <w:b/>
        </w:rPr>
        <w:t>RECURRENTE</w:t>
      </w:r>
      <w:r w:rsidRPr="008952CE">
        <w:rPr>
          <w:rFonts w:ascii="Palatino Linotype" w:eastAsia="Palatino Linotype" w:hAnsi="Palatino Linotype" w:cs="Palatino Linotype"/>
        </w:rPr>
        <w:t>, o en su defecto, en caso de ser procedente, ordenar la entrega de información.</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b/>
        </w:rPr>
        <w:t xml:space="preserve">Cuarto. Estudio de fondo del asunto. </w:t>
      </w:r>
      <w:r w:rsidRPr="008952CE">
        <w:rPr>
          <w:rFonts w:ascii="Palatino Linotype" w:eastAsia="Palatino Linotype" w:hAnsi="Palatino Linotype" w:cs="Palatino Linotype"/>
        </w:rPr>
        <w:t xml:space="preserve">Es conveniente analizar si la respuesta del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w:t>
      </w:r>
      <w:r w:rsidRPr="008952CE">
        <w:rPr>
          <w:rFonts w:ascii="Palatino Linotype" w:eastAsia="Palatino Linotype" w:hAnsi="Palatino Linotype" w:cs="Palatino Linotype"/>
        </w:rPr>
        <w:lastRenderedPageBreak/>
        <w:t>como así lo establece dicha determinación, que a continuación se transcribe para un mejor entendimiento:</w:t>
      </w:r>
    </w:p>
    <w:p w:rsidR="004335B3" w:rsidRPr="008952CE" w:rsidRDefault="00BE4D27">
      <w:pPr>
        <w:spacing w:before="240"/>
        <w:ind w:left="709" w:right="76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w:t>
      </w:r>
      <w:r w:rsidRPr="008952CE">
        <w:rPr>
          <w:rFonts w:ascii="Palatino Linotype" w:eastAsia="Palatino Linotype" w:hAnsi="Palatino Linotype" w:cs="Palatino Linotype"/>
          <w:b/>
          <w:i/>
          <w:sz w:val="22"/>
          <w:szCs w:val="22"/>
        </w:rPr>
        <w:t>Artículo 4</w:t>
      </w:r>
      <w:r w:rsidRPr="008952C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4335B3" w:rsidRPr="008952CE" w:rsidRDefault="00BE4D27">
      <w:pPr>
        <w:ind w:left="709" w:right="76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8952C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4335B3" w:rsidRPr="008952CE" w:rsidRDefault="00BE4D27">
      <w:pPr>
        <w:ind w:left="709" w:right="76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8952CE">
        <w:rPr>
          <w:rFonts w:ascii="Palatino Linotype" w:eastAsia="Palatino Linotype" w:hAnsi="Palatino Linotype" w:cs="Palatino Linotype"/>
          <w:i/>
          <w:sz w:val="22"/>
          <w:szCs w:val="22"/>
        </w:rPr>
        <w:t>.”(Sic)</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ind w:left="567" w:right="758"/>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“Artículo 12.-</w:t>
      </w:r>
      <w:r w:rsidRPr="008952C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4335B3" w:rsidRPr="008952CE" w:rsidRDefault="004335B3">
      <w:pPr>
        <w:ind w:left="567" w:right="758"/>
        <w:jc w:val="both"/>
        <w:rPr>
          <w:rFonts w:ascii="Palatino Linotype" w:eastAsia="Palatino Linotype" w:hAnsi="Palatino Linotype" w:cs="Palatino Linotype"/>
          <w:i/>
          <w:sz w:val="22"/>
          <w:szCs w:val="22"/>
        </w:rPr>
      </w:pPr>
    </w:p>
    <w:p w:rsidR="004335B3" w:rsidRPr="008952CE" w:rsidRDefault="00BE4D27">
      <w:pPr>
        <w:ind w:left="567" w:right="758"/>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8952CE">
        <w:rPr>
          <w:rFonts w:ascii="Palatino Linotype" w:eastAsia="Palatino Linotype" w:hAnsi="Palatino Linotype" w:cs="Palatino Linotype"/>
          <w:i/>
          <w:sz w:val="22"/>
          <w:szCs w:val="22"/>
        </w:rPr>
        <w:t xml:space="preserve">. </w:t>
      </w:r>
      <w:r w:rsidRPr="008952CE">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4335B3" w:rsidRPr="008952CE" w:rsidRDefault="004335B3">
      <w:pPr>
        <w:spacing w:line="360" w:lineRule="auto"/>
        <w:ind w:right="-93"/>
        <w:jc w:val="both"/>
        <w:rPr>
          <w:rFonts w:ascii="Palatino Linotype" w:eastAsia="Palatino Linotype" w:hAnsi="Palatino Linotype" w:cs="Palatino Linotype"/>
        </w:rPr>
      </w:pPr>
    </w:p>
    <w:p w:rsidR="004335B3" w:rsidRPr="008952CE" w:rsidRDefault="00BE4D27">
      <w:pPr>
        <w:spacing w:line="360" w:lineRule="auto"/>
        <w:ind w:right="-93"/>
        <w:jc w:val="both"/>
        <w:rPr>
          <w:rFonts w:ascii="Palatino Linotype" w:eastAsia="Palatino Linotype" w:hAnsi="Palatino Linotype" w:cs="Palatino Linotype"/>
        </w:rPr>
      </w:pPr>
      <w:r w:rsidRPr="008952CE">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4335B3" w:rsidRPr="008952CE" w:rsidRDefault="004335B3">
      <w:pPr>
        <w:spacing w:line="360" w:lineRule="auto"/>
        <w:ind w:right="-93"/>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b/>
        </w:rPr>
      </w:pPr>
      <w:r w:rsidRPr="008952CE">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8952CE">
        <w:rPr>
          <w:rFonts w:ascii="Palatino Linotype" w:eastAsia="Palatino Linotype" w:hAnsi="Palatino Linotype" w:cs="Palatino Linotype"/>
          <w:b/>
        </w:rPr>
        <w:t xml:space="preserve"> </w:t>
      </w:r>
    </w:p>
    <w:p w:rsidR="004335B3" w:rsidRPr="008952CE" w:rsidRDefault="004335B3">
      <w:pPr>
        <w:ind w:left="851" w:right="850"/>
        <w:jc w:val="both"/>
        <w:rPr>
          <w:rFonts w:ascii="Palatino Linotype" w:eastAsia="Palatino Linotype" w:hAnsi="Palatino Linotype" w:cs="Palatino Linotype"/>
        </w:rPr>
      </w:pPr>
    </w:p>
    <w:p w:rsidR="004335B3" w:rsidRPr="008952CE" w:rsidRDefault="00BE4D27">
      <w:pPr>
        <w:ind w:left="851" w:right="90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w:t>
      </w:r>
      <w:r w:rsidRPr="008952CE">
        <w:rPr>
          <w:rFonts w:ascii="Palatino Linotype" w:eastAsia="Palatino Linotype" w:hAnsi="Palatino Linotype" w:cs="Palatino Linotype"/>
          <w:b/>
          <w:i/>
          <w:sz w:val="22"/>
          <w:szCs w:val="22"/>
        </w:rPr>
        <w:t>No existe obligación de elaborar documentos ad hoc para atender las solicitudes de acceso a la información.</w:t>
      </w:r>
      <w:r w:rsidRPr="008952C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335B3" w:rsidRPr="008952CE" w:rsidRDefault="00BE4D27">
      <w:pPr>
        <w:ind w:left="851" w:right="90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Resoluciones: </w:t>
      </w:r>
    </w:p>
    <w:p w:rsidR="004335B3" w:rsidRPr="008952CE" w:rsidRDefault="00BE4D27">
      <w:pPr>
        <w:ind w:left="851" w:right="901"/>
        <w:jc w:val="both"/>
        <w:rPr>
          <w:rFonts w:ascii="Palatino Linotype" w:eastAsia="Palatino Linotype" w:hAnsi="Palatino Linotype" w:cs="Palatino Linotype"/>
          <w:i/>
          <w:sz w:val="22"/>
          <w:szCs w:val="22"/>
        </w:rPr>
      </w:pPr>
      <w:r w:rsidRPr="008952CE">
        <w:rPr>
          <w:rFonts w:ascii="Noto Sans Symbols" w:eastAsia="Noto Sans Symbols" w:hAnsi="Noto Sans Symbols" w:cs="Noto Sans Symbols"/>
          <w:i/>
          <w:sz w:val="22"/>
          <w:szCs w:val="22"/>
        </w:rPr>
        <w:lastRenderedPageBreak/>
        <w:t>∙</w:t>
      </w:r>
      <w:r w:rsidRPr="008952CE">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rsidR="004335B3" w:rsidRPr="008952CE" w:rsidRDefault="00BE4D27">
      <w:pPr>
        <w:ind w:left="851" w:right="901"/>
        <w:jc w:val="both"/>
        <w:rPr>
          <w:rFonts w:ascii="Palatino Linotype" w:eastAsia="Palatino Linotype" w:hAnsi="Palatino Linotype" w:cs="Palatino Linotype"/>
          <w:i/>
          <w:sz w:val="22"/>
          <w:szCs w:val="22"/>
        </w:rPr>
      </w:pPr>
      <w:r w:rsidRPr="008952CE">
        <w:rPr>
          <w:rFonts w:ascii="Noto Sans Symbols" w:eastAsia="Noto Sans Symbols" w:hAnsi="Noto Sans Symbols" w:cs="Noto Sans Symbols"/>
          <w:i/>
          <w:sz w:val="22"/>
          <w:szCs w:val="22"/>
        </w:rPr>
        <w:t>∙</w:t>
      </w:r>
      <w:r w:rsidRPr="008952CE">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rsidR="004335B3" w:rsidRPr="008952CE" w:rsidRDefault="00BE4D27">
      <w:pPr>
        <w:ind w:left="851" w:right="901"/>
        <w:jc w:val="both"/>
        <w:rPr>
          <w:rFonts w:ascii="Palatino Linotype" w:eastAsia="Palatino Linotype" w:hAnsi="Palatino Linotype" w:cs="Palatino Linotype"/>
          <w:i/>
          <w:sz w:val="22"/>
          <w:szCs w:val="22"/>
        </w:rPr>
      </w:pPr>
      <w:r w:rsidRPr="008952CE">
        <w:rPr>
          <w:rFonts w:ascii="Noto Sans Symbols" w:eastAsia="Noto Sans Symbols" w:hAnsi="Noto Sans Symbols" w:cs="Noto Sans Symbols"/>
          <w:i/>
          <w:sz w:val="22"/>
          <w:szCs w:val="22"/>
        </w:rPr>
        <w:t>∙</w:t>
      </w:r>
      <w:r w:rsidRPr="008952CE">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rsidR="004335B3" w:rsidRPr="008952CE" w:rsidRDefault="004335B3">
      <w:pPr>
        <w:spacing w:line="360" w:lineRule="auto"/>
        <w:ind w:right="-93"/>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ind w:right="49"/>
        <w:jc w:val="both"/>
        <w:rPr>
          <w:rFonts w:ascii="Palatino Linotype" w:eastAsia="Palatino Linotype" w:hAnsi="Palatino Linotype" w:cs="Palatino Linotype"/>
        </w:rPr>
      </w:pPr>
      <w:r w:rsidRPr="008952CE">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4335B3" w:rsidRPr="008952CE" w:rsidRDefault="004335B3">
      <w:pPr>
        <w:spacing w:line="360" w:lineRule="auto"/>
        <w:ind w:right="49"/>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8952CE">
        <w:rPr>
          <w:rFonts w:ascii="Palatino Linotype" w:eastAsia="Palatino Linotype" w:hAnsi="Palatino Linotype" w:cs="Palatino Linotype"/>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4335B3" w:rsidRPr="008952CE" w:rsidRDefault="004335B3">
      <w:pPr>
        <w:ind w:left="851" w:right="899"/>
        <w:jc w:val="both"/>
        <w:rPr>
          <w:rFonts w:ascii="Palatino Linotype" w:eastAsia="Palatino Linotype" w:hAnsi="Palatino Linotype" w:cs="Palatino Linotype"/>
          <w:i/>
          <w:sz w:val="22"/>
          <w:szCs w:val="22"/>
        </w:rPr>
      </w:pPr>
    </w:p>
    <w:p w:rsidR="004335B3" w:rsidRPr="008952CE" w:rsidRDefault="00BE4D27">
      <w:pPr>
        <w:ind w:left="851" w:right="89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w:t>
      </w:r>
      <w:r w:rsidRPr="008952CE">
        <w:rPr>
          <w:rFonts w:ascii="Palatino Linotype" w:eastAsia="Palatino Linotype" w:hAnsi="Palatino Linotype" w:cs="Palatino Linotype"/>
          <w:b/>
          <w:i/>
          <w:sz w:val="22"/>
          <w:szCs w:val="22"/>
        </w:rPr>
        <w:t xml:space="preserve">Artículo 3. </w:t>
      </w:r>
      <w:r w:rsidRPr="008952CE">
        <w:rPr>
          <w:rFonts w:ascii="Palatino Linotype" w:eastAsia="Palatino Linotype" w:hAnsi="Palatino Linotype" w:cs="Palatino Linotype"/>
          <w:i/>
          <w:sz w:val="22"/>
          <w:szCs w:val="22"/>
        </w:rPr>
        <w:t>Para los efectos de la presente Ley se entenderá por:</w:t>
      </w:r>
    </w:p>
    <w:p w:rsidR="004335B3" w:rsidRPr="008952CE" w:rsidRDefault="00BE4D27">
      <w:pPr>
        <w:ind w:left="851" w:right="89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w:t>
      </w:r>
    </w:p>
    <w:p w:rsidR="004335B3" w:rsidRPr="008952CE" w:rsidRDefault="00BE4D27">
      <w:pPr>
        <w:ind w:left="851" w:right="89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XI. Documento:</w:t>
      </w:r>
      <w:r w:rsidRPr="008952CE">
        <w:rPr>
          <w:rFonts w:ascii="Palatino Linotype" w:eastAsia="Palatino Linotype" w:hAnsi="Palatino Linotype" w:cs="Palatino Linotype"/>
          <w:i/>
          <w:sz w:val="22"/>
          <w:szCs w:val="22"/>
        </w:rPr>
        <w:t xml:space="preserve"> Los expedientes, reportes, estudios, actas</w:t>
      </w:r>
      <w:r w:rsidRPr="008952CE">
        <w:rPr>
          <w:rFonts w:ascii="Palatino Linotype" w:eastAsia="Palatino Linotype" w:hAnsi="Palatino Linotype" w:cs="Palatino Linotype"/>
          <w:b/>
          <w:i/>
          <w:sz w:val="22"/>
          <w:szCs w:val="22"/>
        </w:rPr>
        <w:t>,</w:t>
      </w:r>
      <w:r w:rsidRPr="008952C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4335B3" w:rsidRPr="008952CE" w:rsidRDefault="004335B3">
      <w:pPr>
        <w:ind w:left="851" w:right="899"/>
        <w:jc w:val="both"/>
        <w:rPr>
          <w:rFonts w:ascii="Palatino Linotype" w:eastAsia="Palatino Linotype" w:hAnsi="Palatino Linotype" w:cs="Palatino Linotype"/>
          <w:sz w:val="22"/>
          <w:szCs w:val="22"/>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4335B3" w:rsidRPr="008952CE" w:rsidRDefault="004335B3">
      <w:pPr>
        <w:ind w:left="851" w:right="899"/>
        <w:jc w:val="both"/>
        <w:rPr>
          <w:rFonts w:ascii="Palatino Linotype" w:eastAsia="Palatino Linotype" w:hAnsi="Palatino Linotype" w:cs="Palatino Linotype"/>
        </w:rPr>
      </w:pPr>
    </w:p>
    <w:p w:rsidR="004335B3" w:rsidRPr="008952CE" w:rsidRDefault="00BE4D27">
      <w:pPr>
        <w:ind w:left="851" w:right="899"/>
        <w:jc w:val="both"/>
        <w:rPr>
          <w:rFonts w:ascii="Palatino Linotype" w:eastAsia="Palatino Linotype" w:hAnsi="Palatino Linotype" w:cs="Palatino Linotype"/>
          <w:b/>
          <w:i/>
          <w:sz w:val="22"/>
          <w:szCs w:val="22"/>
        </w:rPr>
      </w:pPr>
      <w:r w:rsidRPr="008952CE">
        <w:rPr>
          <w:rFonts w:ascii="Palatino Linotype" w:eastAsia="Palatino Linotype" w:hAnsi="Palatino Linotype" w:cs="Palatino Linotype"/>
          <w:b/>
          <w:sz w:val="22"/>
          <w:szCs w:val="22"/>
        </w:rPr>
        <w:t>“</w:t>
      </w:r>
      <w:r w:rsidRPr="008952CE">
        <w:rPr>
          <w:rFonts w:ascii="Palatino Linotype" w:eastAsia="Palatino Linotype" w:hAnsi="Palatino Linotype" w:cs="Palatino Linotype"/>
          <w:b/>
          <w:i/>
          <w:sz w:val="22"/>
          <w:szCs w:val="22"/>
        </w:rPr>
        <w:t>CRITERIO 0002-11</w:t>
      </w:r>
    </w:p>
    <w:p w:rsidR="004335B3" w:rsidRPr="008952CE" w:rsidRDefault="00BE4D27">
      <w:pPr>
        <w:ind w:left="851" w:right="89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952C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335B3" w:rsidRPr="008952CE" w:rsidRDefault="00BE4D27">
      <w:pPr>
        <w:ind w:left="851" w:right="89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rsidR="004335B3" w:rsidRPr="008952CE" w:rsidRDefault="00BE4D27">
      <w:pPr>
        <w:ind w:left="851" w:right="89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4335B3" w:rsidRPr="008952CE" w:rsidRDefault="00BE4D27">
      <w:pPr>
        <w:ind w:left="851" w:right="899"/>
        <w:jc w:val="both"/>
        <w:rPr>
          <w:rFonts w:ascii="Palatino Linotype" w:eastAsia="Palatino Linotype" w:hAnsi="Palatino Linotype" w:cs="Palatino Linotype"/>
          <w:b/>
          <w:i/>
          <w:sz w:val="22"/>
          <w:szCs w:val="22"/>
        </w:rPr>
      </w:pPr>
      <w:r w:rsidRPr="008952CE">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4335B3" w:rsidRPr="008952CE" w:rsidRDefault="00BE4D27">
      <w:pPr>
        <w:ind w:left="851" w:right="899"/>
        <w:jc w:val="both"/>
        <w:rPr>
          <w:rFonts w:ascii="Palatino Linotype" w:eastAsia="Palatino Linotype" w:hAnsi="Palatino Linotype" w:cs="Palatino Linotype"/>
          <w:b/>
          <w:i/>
          <w:sz w:val="22"/>
          <w:szCs w:val="22"/>
        </w:rPr>
      </w:pPr>
      <w:r w:rsidRPr="008952CE">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4335B3" w:rsidRPr="008952CE" w:rsidRDefault="004335B3">
      <w:pPr>
        <w:ind w:right="899"/>
        <w:jc w:val="both"/>
        <w:rPr>
          <w:rFonts w:ascii="Palatino Linotype" w:eastAsia="Palatino Linotype" w:hAnsi="Palatino Linotype" w:cs="Palatino Linotype"/>
          <w:b/>
          <w:i/>
          <w:sz w:val="22"/>
          <w:szCs w:val="22"/>
        </w:rPr>
      </w:pP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Ahora bien, del análisis de la solicitud de información motivo del recurso de revisión que ahora se resuelve, se advierte que el particular requirió al </w:t>
      </w:r>
      <w:r w:rsidRPr="008952CE">
        <w:rPr>
          <w:rFonts w:ascii="Palatino Linotype" w:eastAsia="Palatino Linotype" w:hAnsi="Palatino Linotype" w:cs="Palatino Linotype"/>
          <w:b/>
        </w:rPr>
        <w:t>Ayuntamiento de Acambay de Ruíz Castañeda,</w:t>
      </w:r>
      <w:r w:rsidRPr="008952CE">
        <w:rPr>
          <w:rFonts w:ascii="Palatino Linotype" w:eastAsia="Palatino Linotype" w:hAnsi="Palatino Linotype" w:cs="Palatino Linotype"/>
        </w:rPr>
        <w:t xml:space="preserve"> de los Servidores Públicos Luna Feliciano Zuleima, González Alcántara David, López Moreno Jafet y López Asunción Elizabeth, lo siguiente:</w:t>
      </w:r>
    </w:p>
    <w:p w:rsidR="004335B3" w:rsidRPr="008952CE" w:rsidRDefault="00BE4D27">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952CE">
        <w:rPr>
          <w:rFonts w:ascii="Palatino Linotype" w:eastAsia="Palatino Linotype" w:hAnsi="Palatino Linotype" w:cs="Palatino Linotype"/>
          <w:sz w:val="22"/>
          <w:szCs w:val="22"/>
        </w:rPr>
        <w:t>Puesto.</w:t>
      </w:r>
    </w:p>
    <w:p w:rsidR="004335B3" w:rsidRPr="008952CE" w:rsidRDefault="00BE4D27">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952CE">
        <w:rPr>
          <w:rFonts w:ascii="Palatino Linotype" w:eastAsia="Palatino Linotype" w:hAnsi="Palatino Linotype" w:cs="Palatino Linotype"/>
          <w:sz w:val="22"/>
          <w:szCs w:val="22"/>
        </w:rPr>
        <w:t>Perfil Profesional.</w:t>
      </w:r>
    </w:p>
    <w:p w:rsidR="004335B3" w:rsidRPr="008952CE" w:rsidRDefault="00BE4D27">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952CE">
        <w:rPr>
          <w:rFonts w:ascii="Palatino Linotype" w:eastAsia="Palatino Linotype" w:hAnsi="Palatino Linotype" w:cs="Palatino Linotype"/>
          <w:sz w:val="22"/>
          <w:szCs w:val="22"/>
        </w:rPr>
        <w:t>Curriculum Vitae.</w:t>
      </w:r>
    </w:p>
    <w:p w:rsidR="004335B3" w:rsidRPr="008952CE" w:rsidRDefault="00BE4D27">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952CE">
        <w:rPr>
          <w:rFonts w:ascii="Palatino Linotype" w:eastAsia="Palatino Linotype" w:hAnsi="Palatino Linotype" w:cs="Palatino Linotype"/>
          <w:sz w:val="22"/>
          <w:szCs w:val="22"/>
        </w:rPr>
        <w:t>Horario Laboral.</w:t>
      </w:r>
    </w:p>
    <w:p w:rsidR="004335B3" w:rsidRPr="008952CE" w:rsidRDefault="00BE4D27">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952CE">
        <w:rPr>
          <w:rFonts w:ascii="Palatino Linotype" w:eastAsia="Palatino Linotype" w:hAnsi="Palatino Linotype" w:cs="Palatino Linotype"/>
          <w:sz w:val="22"/>
          <w:szCs w:val="22"/>
        </w:rPr>
        <w:t>Número de Empleado.</w:t>
      </w:r>
    </w:p>
    <w:p w:rsidR="004335B3" w:rsidRPr="008952CE" w:rsidRDefault="00BE4D27">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952CE">
        <w:rPr>
          <w:rFonts w:ascii="Palatino Linotype" w:eastAsia="Palatino Linotype" w:hAnsi="Palatino Linotype" w:cs="Palatino Linotype"/>
          <w:sz w:val="22"/>
          <w:szCs w:val="22"/>
        </w:rPr>
        <w:t>Exámenes correspondientes de los conocimientos y aptitudes necesarios para desempeñar el puesto.</w:t>
      </w:r>
    </w:p>
    <w:p w:rsidR="004335B3" w:rsidRPr="008952CE" w:rsidRDefault="00BE4D27">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952CE">
        <w:rPr>
          <w:rFonts w:ascii="Palatino Linotype" w:eastAsia="Palatino Linotype" w:hAnsi="Palatino Linotype" w:cs="Palatino Linotype"/>
          <w:sz w:val="22"/>
          <w:szCs w:val="22"/>
        </w:rPr>
        <w:t>Copia del registro de deudores alimentarios morosos.</w:t>
      </w:r>
    </w:p>
    <w:p w:rsidR="004335B3" w:rsidRPr="008952CE" w:rsidRDefault="00BE4D27">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952CE">
        <w:rPr>
          <w:rFonts w:ascii="Palatino Linotype" w:eastAsia="Palatino Linotype" w:hAnsi="Palatino Linotype" w:cs="Palatino Linotype"/>
          <w:sz w:val="22"/>
          <w:szCs w:val="22"/>
        </w:rPr>
        <w:lastRenderedPageBreak/>
        <w:t>El contrato laboral o lo que acredite la relación laboral con el DIF.</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De la Presidenta del DIF:</w:t>
      </w:r>
    </w:p>
    <w:p w:rsidR="004335B3" w:rsidRPr="008952CE" w:rsidRDefault="00BE4D27">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952CE">
        <w:rPr>
          <w:rFonts w:ascii="Palatino Linotype" w:eastAsia="Palatino Linotype" w:hAnsi="Palatino Linotype" w:cs="Palatino Linotype"/>
          <w:sz w:val="22"/>
          <w:szCs w:val="22"/>
        </w:rPr>
        <w:t>Saber si no percibe algún sueldo o remuneración económica por el cargo que desempeña.</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Por su parte 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emitió su respuesta a través de su Directora del Sistema Municipal DIF de Acambay de Ruiz de Castañeda, a través de la cual informó respecto de los cuatro servidores públicos descritos en la solicitud de acceso a la información pública, lo siguiente:</w:t>
      </w:r>
    </w:p>
    <w:p w:rsidR="004335B3" w:rsidRPr="008952CE" w:rsidRDefault="00BE4D27">
      <w:pPr>
        <w:spacing w:before="240" w:line="360" w:lineRule="auto"/>
        <w:ind w:right="49"/>
        <w:jc w:val="both"/>
        <w:rPr>
          <w:rFonts w:ascii="Palatino Linotype" w:eastAsia="Palatino Linotype" w:hAnsi="Palatino Linotype" w:cs="Palatino Linotype"/>
        </w:rPr>
      </w:pPr>
      <w:r w:rsidRPr="008952CE">
        <w:rPr>
          <w:noProof/>
          <w:lang w:val="es-MX" w:eastAsia="es-MX"/>
        </w:rPr>
        <w:drawing>
          <wp:inline distT="0" distB="0" distL="0" distR="0">
            <wp:extent cx="5577025" cy="2027869"/>
            <wp:effectExtent l="0" t="0" r="0" b="0"/>
            <wp:docPr id="1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33756" t="23888" r="20534" b="50141"/>
                    <a:stretch>
                      <a:fillRect/>
                    </a:stretch>
                  </pic:blipFill>
                  <pic:spPr>
                    <a:xfrm>
                      <a:off x="0" y="0"/>
                      <a:ext cx="5577025" cy="2027869"/>
                    </a:xfrm>
                    <a:prstGeom prst="rect">
                      <a:avLst/>
                    </a:prstGeom>
                    <a:ln/>
                  </pic:spPr>
                </pic:pic>
              </a:graphicData>
            </a:graphic>
          </wp:inline>
        </w:drawing>
      </w:r>
    </w:p>
    <w:p w:rsidR="004335B3" w:rsidRPr="008952CE" w:rsidRDefault="00BE4D27">
      <w:pPr>
        <w:spacing w:before="240" w:line="360" w:lineRule="auto"/>
        <w:ind w:right="49"/>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Finalmente, señaló que la Presidenta del Sistema Municipal DIF de Acambay es Honorifica, por lo que no recibe un sueldo y no firma contrato. </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Inconforme la </w:t>
      </w:r>
      <w:r w:rsidRPr="008952CE">
        <w:rPr>
          <w:rFonts w:ascii="Palatino Linotype" w:eastAsia="Palatino Linotype" w:hAnsi="Palatino Linotype" w:cs="Palatino Linotype"/>
          <w:b/>
        </w:rPr>
        <w:t>RECURRENTE</w:t>
      </w:r>
      <w:r w:rsidRPr="008952CE">
        <w:rPr>
          <w:rFonts w:ascii="Palatino Linotype" w:eastAsia="Palatino Linotype" w:hAnsi="Palatino Linotype" w:cs="Palatino Linotype"/>
        </w:rPr>
        <w:t xml:space="preserve"> con la respuesta, interpuso el Recurso de Revisión en el cual señaló, de los servidores públicos Luna Feliciano Zuleima, González Alcántara David, López Moreno Jafet y López Asunción Elizabeth, lo siguiente:</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-Pedí el CV y fue negado ya que no me lo entregaron.</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lastRenderedPageBreak/>
        <w:t>-También se negaron a entregar la información de los exámenes correspondientes de los conocimientos y aptitudes necesarios para desempeñar el puesto respondiendo que no aplica.</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-Se negaron a entregar la copia del registro de deudores alimentarios morosos respondiendo que no se tiene registro.</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-También se negaron a entregar el contrato laboral o lo que acredite la relación laboral con el DIF.</w:t>
      </w:r>
    </w:p>
    <w:p w:rsidR="004335B3" w:rsidRPr="008952CE" w:rsidRDefault="00BE4D27">
      <w:pPr>
        <w:spacing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Una vez notificado el recurso de revisión al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este fue omiso en rendir su informe justificado. </w:t>
      </w:r>
    </w:p>
    <w:p w:rsidR="004335B3" w:rsidRPr="008952CE" w:rsidRDefault="00BE4D27">
      <w:pPr>
        <w:spacing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Por su parte la </w:t>
      </w:r>
      <w:r w:rsidRPr="008952CE">
        <w:rPr>
          <w:rFonts w:ascii="Palatino Linotype" w:eastAsia="Palatino Linotype" w:hAnsi="Palatino Linotype" w:cs="Palatino Linotype"/>
          <w:b/>
        </w:rPr>
        <w:t>RECURRENTE</w:t>
      </w:r>
      <w:r w:rsidRPr="008952CE">
        <w:rPr>
          <w:rFonts w:ascii="Palatino Linotype" w:eastAsia="Palatino Linotype" w:hAnsi="Palatino Linotype" w:cs="Palatino Linotype"/>
        </w:rPr>
        <w:t>, presento sus alegatos a través de los cuales reitero sus motivos de inconformidad, en términos del artículo 47 fracción IX y XII de la Ley del Trabajo de los Servidores Públicos del Estado y Municipios.</w:t>
      </w: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Con base en lo precedente, se reitera que la información proporcionada por 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por ello, los motivos de inconformidad acontecen parcialmente fundados para modificar la respuesta del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en razón de las consideraciones de derecho que a continuación se exponen:</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ind w:right="49"/>
        <w:jc w:val="both"/>
      </w:pPr>
      <w:r w:rsidRPr="008952CE">
        <w:rPr>
          <w:rFonts w:ascii="Palatino Linotype" w:eastAsia="Palatino Linotype" w:hAnsi="Palatino Linotype" w:cs="Palatino Linotype"/>
        </w:rPr>
        <w:lastRenderedPageBreak/>
        <w:t>Antes que nada, debe precisarse 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información requerida es la vigente a la solicitud de información; es decir, al siete de abril del año dos mil veintidós, discernimiento que encuentra apoyado en los Criterios 1/2010 y 2/2010,  emitidos por el “Comité de Acceso a la Información y Protección de Datos personales” de la Suprema Corte de Justicia de la Nación, que disponen: </w:t>
      </w:r>
    </w:p>
    <w:p w:rsidR="004335B3" w:rsidRPr="008952CE" w:rsidRDefault="004335B3"/>
    <w:p w:rsidR="004335B3" w:rsidRPr="008952CE" w:rsidRDefault="00BE4D27">
      <w:pPr>
        <w:pBdr>
          <w:top w:val="nil"/>
          <w:left w:val="nil"/>
          <w:bottom w:val="nil"/>
          <w:right w:val="nil"/>
          <w:between w:val="nil"/>
        </w:pBdr>
        <w:ind w:left="851" w:right="900"/>
      </w:pPr>
      <w:r w:rsidRPr="008952CE">
        <w:rPr>
          <w:rFonts w:ascii="Palatino Linotype" w:eastAsia="Palatino Linotype" w:hAnsi="Palatino Linotype" w:cs="Palatino Linotype"/>
          <w:i/>
          <w:sz w:val="22"/>
          <w:szCs w:val="22"/>
        </w:rPr>
        <w:t> “</w:t>
      </w:r>
      <w:r w:rsidRPr="008952CE">
        <w:rPr>
          <w:rFonts w:ascii="Palatino Linotype" w:eastAsia="Palatino Linotype" w:hAnsi="Palatino Linotype" w:cs="Palatino Linotype"/>
          <w:b/>
          <w:i/>
          <w:sz w:val="22"/>
          <w:szCs w:val="22"/>
        </w:rPr>
        <w:t>Criterio 1/2010</w:t>
      </w:r>
    </w:p>
    <w:p w:rsidR="004335B3" w:rsidRPr="008952CE" w:rsidRDefault="00BE4D27">
      <w:pPr>
        <w:pBdr>
          <w:top w:val="nil"/>
          <w:left w:val="nil"/>
          <w:bottom w:val="nil"/>
          <w:right w:val="nil"/>
          <w:between w:val="nil"/>
        </w:pBdr>
        <w:ind w:left="851" w:right="900"/>
        <w:jc w:val="both"/>
      </w:pPr>
      <w:r w:rsidRPr="008952CE">
        <w:rPr>
          <w:rFonts w:ascii="Palatino Linotype" w:eastAsia="Palatino Linotype" w:hAnsi="Palatino Linotype" w:cs="Palatino Linotype"/>
          <w:b/>
          <w:i/>
          <w:sz w:val="22"/>
          <w:szCs w:val="22"/>
        </w:rPr>
        <w:t>SOLICITUD DE ACCESO A LA INFORMACIÓN. SU OTORGAMIENTO ES RESPECTO DE AQUELLA QUE EXISTA Y SE HUBIESE GENERADO AL MOMENTO DE LA PETICIÓN.</w:t>
      </w:r>
    </w:p>
    <w:p w:rsidR="004335B3" w:rsidRPr="008952CE" w:rsidRDefault="00BE4D27">
      <w:pPr>
        <w:pBdr>
          <w:top w:val="nil"/>
          <w:left w:val="nil"/>
          <w:bottom w:val="nil"/>
          <w:right w:val="nil"/>
          <w:between w:val="nil"/>
        </w:pBdr>
        <w:ind w:left="851" w:right="900"/>
        <w:jc w:val="both"/>
      </w:pPr>
      <w:r w:rsidRPr="008952CE">
        <w:rPr>
          <w:rFonts w:ascii="Palatino Linotype" w:eastAsia="Palatino Linotype" w:hAnsi="Palatino Linotype" w:cs="Palatino Linotype"/>
          <w:i/>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rsidR="004335B3" w:rsidRPr="008952CE" w:rsidRDefault="00BE4D27">
      <w:pPr>
        <w:pBdr>
          <w:top w:val="nil"/>
          <w:left w:val="nil"/>
          <w:bottom w:val="nil"/>
          <w:right w:val="nil"/>
          <w:between w:val="nil"/>
        </w:pBdr>
        <w:ind w:left="851" w:right="900"/>
        <w:jc w:val="both"/>
      </w:pPr>
      <w:r w:rsidRPr="008952CE">
        <w:rPr>
          <w:rFonts w:ascii="Palatino Linotype" w:eastAsia="Palatino Linotype" w:hAnsi="Palatino Linotype" w:cs="Palatino Linotype"/>
          <w:i/>
          <w:sz w:val="22"/>
          <w:szCs w:val="22"/>
        </w:rPr>
        <w:t>Clasificación de Información 69/2009-A. 30 de septiembre de 2009. Unanimidad de votos.”</w:t>
      </w:r>
    </w:p>
    <w:p w:rsidR="004335B3" w:rsidRPr="008952CE" w:rsidRDefault="00BE4D27">
      <w:pPr>
        <w:pBdr>
          <w:top w:val="nil"/>
          <w:left w:val="nil"/>
          <w:bottom w:val="nil"/>
          <w:right w:val="nil"/>
          <w:between w:val="nil"/>
        </w:pBdr>
        <w:ind w:left="851" w:right="900"/>
      </w:pPr>
      <w:r w:rsidRPr="008952CE">
        <w:rPr>
          <w:rFonts w:ascii="Palatino Linotype" w:eastAsia="Palatino Linotype" w:hAnsi="Palatino Linotype" w:cs="Palatino Linotype"/>
          <w:i/>
          <w:sz w:val="22"/>
          <w:szCs w:val="22"/>
        </w:rPr>
        <w:t>“</w:t>
      </w:r>
      <w:r w:rsidRPr="008952CE">
        <w:rPr>
          <w:rFonts w:ascii="Palatino Linotype" w:eastAsia="Palatino Linotype" w:hAnsi="Palatino Linotype" w:cs="Palatino Linotype"/>
          <w:b/>
          <w:i/>
          <w:sz w:val="22"/>
          <w:szCs w:val="22"/>
        </w:rPr>
        <w:t>Criterio 2/2010.</w:t>
      </w:r>
    </w:p>
    <w:p w:rsidR="004335B3" w:rsidRPr="008952CE" w:rsidRDefault="00BE4D27">
      <w:pPr>
        <w:pBdr>
          <w:top w:val="nil"/>
          <w:left w:val="nil"/>
          <w:bottom w:val="nil"/>
          <w:right w:val="nil"/>
          <w:between w:val="nil"/>
        </w:pBdr>
        <w:ind w:left="851" w:right="900"/>
        <w:jc w:val="both"/>
      </w:pPr>
      <w:r w:rsidRPr="008952CE">
        <w:rPr>
          <w:rFonts w:ascii="Palatino Linotype" w:eastAsia="Palatino Linotype" w:hAnsi="Palatino Linotype" w:cs="Palatino Linotype"/>
          <w:b/>
          <w:i/>
          <w:sz w:val="22"/>
          <w:szCs w:val="22"/>
        </w:rPr>
        <w:t>SOLICITUD DE ACCESO A LA INFORMACIÓN. ES MATERIA DE ANÁLISIS Y OTORGAMIENTO LA GENERADA HASTA LA FECHA DE LA SOLICITUD EN CASO DE IMPRECISIÓN TEMPORAL. </w:t>
      </w:r>
    </w:p>
    <w:p w:rsidR="004335B3" w:rsidRPr="008952CE" w:rsidRDefault="00BE4D27">
      <w:pPr>
        <w:pBdr>
          <w:top w:val="nil"/>
          <w:left w:val="nil"/>
          <w:bottom w:val="nil"/>
          <w:right w:val="nil"/>
          <w:between w:val="nil"/>
        </w:pBdr>
        <w:ind w:left="851" w:right="900"/>
        <w:jc w:val="both"/>
      </w:pPr>
      <w:r w:rsidRPr="008952CE">
        <w:rPr>
          <w:rFonts w:ascii="Palatino Linotype" w:eastAsia="Palatino Linotype" w:hAnsi="Palatino Linotype" w:cs="Palatino Linotype"/>
          <w:i/>
          <w:sz w:val="22"/>
          <w:szCs w:val="22"/>
        </w:rPr>
        <w:t xml:space="preserve">La información que en todo caso debe ser materia de análisis y pronunciamiento sobre su naturaleza, disponibilidad y acceso, es aquélla que en términos del </w:t>
      </w:r>
      <w:r w:rsidRPr="008952CE">
        <w:rPr>
          <w:rFonts w:ascii="Palatino Linotype" w:eastAsia="Palatino Linotype" w:hAnsi="Palatino Linotype" w:cs="Palatino Linotype"/>
          <w:i/>
          <w:sz w:val="22"/>
          <w:szCs w:val="22"/>
        </w:rPr>
        <w:lastRenderedPageBreak/>
        <w:t>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rsidR="004335B3" w:rsidRPr="008952CE" w:rsidRDefault="00BE4D27">
      <w:pPr>
        <w:pBdr>
          <w:top w:val="nil"/>
          <w:left w:val="nil"/>
          <w:bottom w:val="nil"/>
          <w:right w:val="nil"/>
          <w:between w:val="nil"/>
        </w:pBdr>
        <w:ind w:left="851" w:right="900"/>
        <w:jc w:val="both"/>
      </w:pPr>
      <w:r w:rsidRPr="008952CE">
        <w:rPr>
          <w:rFonts w:ascii="Palatino Linotype" w:eastAsia="Palatino Linotype" w:hAnsi="Palatino Linotype" w:cs="Palatino Linotype"/>
          <w:i/>
          <w:sz w:val="22"/>
          <w:szCs w:val="22"/>
        </w:rPr>
        <w:t>Clasificación de Información 69/2009-A. 30 de septiembre de 2009. Unanimidad de votos.”(Sic)</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En ese sentido se procede hacer un cuadro comparativo con la solicitud de información y la respuesta, para determinar si colma o no el derecho de acceso a la información de la RECURRENTE: </w:t>
      </w:r>
    </w:p>
    <w:p w:rsidR="004335B3" w:rsidRPr="008952CE" w:rsidRDefault="004335B3">
      <w:pPr>
        <w:spacing w:line="360" w:lineRule="auto"/>
        <w:jc w:val="both"/>
        <w:rPr>
          <w:rFonts w:ascii="Palatino Linotype" w:eastAsia="Palatino Linotype" w:hAnsi="Palatino Linotype" w:cs="Palatino Linotype"/>
        </w:rPr>
      </w:pPr>
    </w:p>
    <w:tbl>
      <w:tblPr>
        <w:tblStyle w:val="af"/>
        <w:tblW w:w="71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836"/>
        <w:gridCol w:w="1766"/>
        <w:gridCol w:w="1766"/>
      </w:tblGrid>
      <w:tr w:rsidR="008952CE" w:rsidRPr="008952CE">
        <w:trPr>
          <w:jc w:val="center"/>
        </w:trPr>
        <w:tc>
          <w:tcPr>
            <w:tcW w:w="1765"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 xml:space="preserve">Solicitud </w:t>
            </w:r>
          </w:p>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Respecto de los Servidores Públicos Luna Feliciano Zuleima, González Alcántara David, López Moreno Jafet y López Asunción Elizabeth</w:t>
            </w:r>
          </w:p>
        </w:tc>
        <w:tc>
          <w:tcPr>
            <w:tcW w:w="1836"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 xml:space="preserve">Respuesta </w:t>
            </w:r>
          </w:p>
        </w:tc>
        <w:tc>
          <w:tcPr>
            <w:tcW w:w="1766"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 xml:space="preserve">Informe justificado </w:t>
            </w:r>
          </w:p>
        </w:tc>
        <w:tc>
          <w:tcPr>
            <w:tcW w:w="1766"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 xml:space="preserve">Colma </w:t>
            </w:r>
          </w:p>
        </w:tc>
      </w:tr>
      <w:tr w:rsidR="008952CE" w:rsidRPr="008952CE">
        <w:trPr>
          <w:jc w:val="center"/>
        </w:trPr>
        <w:tc>
          <w:tcPr>
            <w:tcW w:w="1765"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1. Puesto.</w:t>
            </w:r>
          </w:p>
          <w:p w:rsidR="004335B3" w:rsidRPr="008952CE" w:rsidRDefault="004335B3">
            <w:pPr>
              <w:jc w:val="both"/>
              <w:rPr>
                <w:rFonts w:ascii="Palatino Linotype" w:eastAsia="Palatino Linotype" w:hAnsi="Palatino Linotype" w:cs="Palatino Linotype"/>
                <w:sz w:val="16"/>
                <w:szCs w:val="16"/>
              </w:rPr>
            </w:pPr>
          </w:p>
        </w:tc>
        <w:tc>
          <w:tcPr>
            <w:tcW w:w="1836" w:type="dxa"/>
          </w:tcPr>
          <w:p w:rsidR="004335B3" w:rsidRPr="008952CE" w:rsidRDefault="004335B3">
            <w:pPr>
              <w:jc w:val="both"/>
            </w:pPr>
          </w:p>
          <w:p w:rsidR="004335B3" w:rsidRPr="008952CE" w:rsidRDefault="00BE4D27">
            <w:pPr>
              <w:jc w:val="both"/>
              <w:rPr>
                <w:rFonts w:ascii="Palatino Linotype" w:eastAsia="Palatino Linotype" w:hAnsi="Palatino Linotype" w:cs="Palatino Linotype"/>
                <w:sz w:val="16"/>
                <w:szCs w:val="16"/>
              </w:rPr>
            </w:pPr>
            <w:r w:rsidRPr="008952CE">
              <w:rPr>
                <w:noProof/>
                <w:lang w:val="es-MX" w:eastAsia="es-MX"/>
              </w:rPr>
              <w:drawing>
                <wp:inline distT="0" distB="0" distL="0" distR="0">
                  <wp:extent cx="1063025" cy="1458041"/>
                  <wp:effectExtent l="0" t="0" r="0" b="0"/>
                  <wp:docPr id="1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49378" t="23711" r="44950" b="50315"/>
                          <a:stretch>
                            <a:fillRect/>
                          </a:stretch>
                        </pic:blipFill>
                        <pic:spPr>
                          <a:xfrm>
                            <a:off x="0" y="0"/>
                            <a:ext cx="1063025" cy="1458041"/>
                          </a:xfrm>
                          <a:prstGeom prst="rect">
                            <a:avLst/>
                          </a:prstGeom>
                          <a:ln/>
                        </pic:spPr>
                      </pic:pic>
                    </a:graphicData>
                  </a:graphic>
                </wp:inline>
              </w:drawing>
            </w:r>
          </w:p>
        </w:tc>
        <w:tc>
          <w:tcPr>
            <w:tcW w:w="1766"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 xml:space="preserve">No hay </w:t>
            </w:r>
          </w:p>
        </w:tc>
        <w:tc>
          <w:tcPr>
            <w:tcW w:w="1766" w:type="dxa"/>
          </w:tcPr>
          <w:p w:rsidR="004335B3" w:rsidRPr="008952CE" w:rsidRDefault="00BE4D27">
            <w:pPr>
              <w:jc w:val="center"/>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Sí</w:t>
            </w:r>
          </w:p>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Además que son actos consentidos no se inconformo la Recurrente.</w:t>
            </w:r>
          </w:p>
        </w:tc>
      </w:tr>
      <w:tr w:rsidR="008952CE" w:rsidRPr="008952CE">
        <w:trPr>
          <w:jc w:val="center"/>
        </w:trPr>
        <w:tc>
          <w:tcPr>
            <w:tcW w:w="1765"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lastRenderedPageBreak/>
              <w:t>2. Perfil Profesional</w:t>
            </w:r>
          </w:p>
          <w:p w:rsidR="004335B3" w:rsidRPr="008952CE" w:rsidRDefault="004335B3">
            <w:pPr>
              <w:jc w:val="both"/>
              <w:rPr>
                <w:rFonts w:ascii="Palatino Linotype" w:eastAsia="Palatino Linotype" w:hAnsi="Palatino Linotype" w:cs="Palatino Linotype"/>
                <w:sz w:val="16"/>
                <w:szCs w:val="16"/>
              </w:rPr>
            </w:pPr>
          </w:p>
        </w:tc>
        <w:tc>
          <w:tcPr>
            <w:tcW w:w="1836" w:type="dxa"/>
          </w:tcPr>
          <w:p w:rsidR="004335B3" w:rsidRPr="008952CE" w:rsidRDefault="00BE4D27">
            <w:pPr>
              <w:jc w:val="both"/>
              <w:rPr>
                <w:rFonts w:ascii="Palatino Linotype" w:eastAsia="Palatino Linotype" w:hAnsi="Palatino Linotype" w:cs="Palatino Linotype"/>
                <w:sz w:val="16"/>
                <w:szCs w:val="16"/>
              </w:rPr>
            </w:pPr>
            <w:r w:rsidRPr="008952CE">
              <w:rPr>
                <w:noProof/>
                <w:lang w:val="es-MX" w:eastAsia="es-MX"/>
              </w:rPr>
              <w:drawing>
                <wp:inline distT="0" distB="0" distL="0" distR="0">
                  <wp:extent cx="1044945" cy="1432607"/>
                  <wp:effectExtent l="0" t="0" r="0" b="0"/>
                  <wp:docPr id="1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54804" t="24649" r="40645" b="50510"/>
                          <a:stretch>
                            <a:fillRect/>
                          </a:stretch>
                        </pic:blipFill>
                        <pic:spPr>
                          <a:xfrm>
                            <a:off x="0" y="0"/>
                            <a:ext cx="1044945" cy="1432607"/>
                          </a:xfrm>
                          <a:prstGeom prst="rect">
                            <a:avLst/>
                          </a:prstGeom>
                          <a:ln/>
                        </pic:spPr>
                      </pic:pic>
                    </a:graphicData>
                  </a:graphic>
                </wp:inline>
              </w:drawing>
            </w:r>
          </w:p>
        </w:tc>
        <w:tc>
          <w:tcPr>
            <w:tcW w:w="1766"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 xml:space="preserve">No hay </w:t>
            </w:r>
          </w:p>
        </w:tc>
        <w:tc>
          <w:tcPr>
            <w:tcW w:w="1766" w:type="dxa"/>
          </w:tcPr>
          <w:p w:rsidR="004335B3" w:rsidRPr="008952CE" w:rsidRDefault="00BE4D27">
            <w:pPr>
              <w:jc w:val="center"/>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Sí</w:t>
            </w:r>
          </w:p>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Además que son actos consentidos no se inconformo la Recurrente.</w:t>
            </w:r>
          </w:p>
        </w:tc>
      </w:tr>
      <w:tr w:rsidR="008952CE" w:rsidRPr="008952CE">
        <w:trPr>
          <w:jc w:val="center"/>
        </w:trPr>
        <w:tc>
          <w:tcPr>
            <w:tcW w:w="1765"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3. Curriculum vitae</w:t>
            </w:r>
          </w:p>
          <w:p w:rsidR="004335B3" w:rsidRPr="008952CE" w:rsidRDefault="004335B3">
            <w:pPr>
              <w:jc w:val="both"/>
              <w:rPr>
                <w:rFonts w:ascii="Palatino Linotype" w:eastAsia="Palatino Linotype" w:hAnsi="Palatino Linotype" w:cs="Palatino Linotype"/>
                <w:sz w:val="16"/>
                <w:szCs w:val="16"/>
              </w:rPr>
            </w:pPr>
          </w:p>
        </w:tc>
        <w:tc>
          <w:tcPr>
            <w:tcW w:w="1836"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Sólo se concretó a señalar que sí</w:t>
            </w:r>
          </w:p>
        </w:tc>
        <w:tc>
          <w:tcPr>
            <w:tcW w:w="1766"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 xml:space="preserve">No hay </w:t>
            </w:r>
          </w:p>
        </w:tc>
        <w:tc>
          <w:tcPr>
            <w:tcW w:w="1766" w:type="dxa"/>
          </w:tcPr>
          <w:p w:rsidR="004335B3" w:rsidRPr="008952CE" w:rsidRDefault="00BE4D27">
            <w:pPr>
              <w:jc w:val="center"/>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No</w:t>
            </w:r>
          </w:p>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 xml:space="preserve">No adjunto el documento que contiene el curriculum vitae. </w:t>
            </w:r>
          </w:p>
        </w:tc>
      </w:tr>
      <w:tr w:rsidR="008952CE" w:rsidRPr="008952CE">
        <w:trPr>
          <w:jc w:val="center"/>
        </w:trPr>
        <w:tc>
          <w:tcPr>
            <w:tcW w:w="1765"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4. Horario Laboral.</w:t>
            </w:r>
          </w:p>
          <w:p w:rsidR="004335B3" w:rsidRPr="008952CE" w:rsidRDefault="004335B3">
            <w:pPr>
              <w:jc w:val="both"/>
              <w:rPr>
                <w:rFonts w:ascii="Palatino Linotype" w:eastAsia="Palatino Linotype" w:hAnsi="Palatino Linotype" w:cs="Palatino Linotype"/>
                <w:sz w:val="16"/>
                <w:szCs w:val="16"/>
              </w:rPr>
            </w:pPr>
          </w:p>
          <w:p w:rsidR="004335B3" w:rsidRPr="008952CE" w:rsidRDefault="004335B3">
            <w:pPr>
              <w:jc w:val="both"/>
              <w:rPr>
                <w:rFonts w:ascii="Palatino Linotype" w:eastAsia="Palatino Linotype" w:hAnsi="Palatino Linotype" w:cs="Palatino Linotype"/>
                <w:sz w:val="16"/>
                <w:szCs w:val="16"/>
              </w:rPr>
            </w:pPr>
          </w:p>
        </w:tc>
        <w:tc>
          <w:tcPr>
            <w:tcW w:w="1836" w:type="dxa"/>
          </w:tcPr>
          <w:p w:rsidR="004335B3" w:rsidRPr="008952CE" w:rsidRDefault="00BE4D27">
            <w:pPr>
              <w:jc w:val="both"/>
              <w:rPr>
                <w:rFonts w:ascii="Palatino Linotype" w:eastAsia="Palatino Linotype" w:hAnsi="Palatino Linotype" w:cs="Palatino Linotype"/>
                <w:sz w:val="16"/>
                <w:szCs w:val="16"/>
              </w:rPr>
            </w:pPr>
            <w:r w:rsidRPr="008952CE">
              <w:rPr>
                <w:noProof/>
                <w:lang w:val="es-MX" w:eastAsia="es-MX"/>
              </w:rPr>
              <w:drawing>
                <wp:inline distT="0" distB="0" distL="0" distR="0">
                  <wp:extent cx="1045228" cy="1241794"/>
                  <wp:effectExtent l="0" t="0" r="0" b="0"/>
                  <wp:docPr id="1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62528" t="24882" r="34185" b="50988"/>
                          <a:stretch>
                            <a:fillRect/>
                          </a:stretch>
                        </pic:blipFill>
                        <pic:spPr>
                          <a:xfrm>
                            <a:off x="0" y="0"/>
                            <a:ext cx="1045228" cy="1241794"/>
                          </a:xfrm>
                          <a:prstGeom prst="rect">
                            <a:avLst/>
                          </a:prstGeom>
                          <a:ln/>
                        </pic:spPr>
                      </pic:pic>
                    </a:graphicData>
                  </a:graphic>
                </wp:inline>
              </w:drawing>
            </w:r>
          </w:p>
        </w:tc>
        <w:tc>
          <w:tcPr>
            <w:tcW w:w="1766"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 xml:space="preserve">No hay </w:t>
            </w:r>
          </w:p>
        </w:tc>
        <w:tc>
          <w:tcPr>
            <w:tcW w:w="1766" w:type="dxa"/>
          </w:tcPr>
          <w:p w:rsidR="004335B3" w:rsidRPr="008952CE" w:rsidRDefault="00BE4D27">
            <w:pPr>
              <w:jc w:val="center"/>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Sí</w:t>
            </w:r>
          </w:p>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Además que son actos consentidos no se inconformo la Recurrente</w:t>
            </w:r>
          </w:p>
        </w:tc>
      </w:tr>
      <w:tr w:rsidR="008952CE" w:rsidRPr="008952CE">
        <w:trPr>
          <w:jc w:val="center"/>
        </w:trPr>
        <w:tc>
          <w:tcPr>
            <w:tcW w:w="1765"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5. Número de Empleado.</w:t>
            </w:r>
          </w:p>
          <w:p w:rsidR="004335B3" w:rsidRPr="008952CE" w:rsidRDefault="004335B3">
            <w:pPr>
              <w:jc w:val="both"/>
              <w:rPr>
                <w:rFonts w:ascii="Palatino Linotype" w:eastAsia="Palatino Linotype" w:hAnsi="Palatino Linotype" w:cs="Palatino Linotype"/>
                <w:sz w:val="16"/>
                <w:szCs w:val="16"/>
              </w:rPr>
            </w:pPr>
          </w:p>
        </w:tc>
        <w:tc>
          <w:tcPr>
            <w:tcW w:w="1836" w:type="dxa"/>
          </w:tcPr>
          <w:p w:rsidR="004335B3" w:rsidRPr="008952CE" w:rsidRDefault="004335B3">
            <w:pPr>
              <w:jc w:val="both"/>
            </w:pPr>
          </w:p>
          <w:p w:rsidR="004335B3" w:rsidRPr="008952CE" w:rsidRDefault="00BE4D27">
            <w:pPr>
              <w:jc w:val="both"/>
              <w:rPr>
                <w:rFonts w:ascii="Palatino Linotype" w:eastAsia="Palatino Linotype" w:hAnsi="Palatino Linotype" w:cs="Palatino Linotype"/>
                <w:sz w:val="16"/>
                <w:szCs w:val="16"/>
              </w:rPr>
            </w:pPr>
            <w:r w:rsidRPr="008952CE">
              <w:rPr>
                <w:noProof/>
                <w:lang w:val="es-MX" w:eastAsia="es-MX"/>
              </w:rPr>
              <w:drawing>
                <wp:inline distT="0" distB="0" distL="0" distR="0">
                  <wp:extent cx="980657" cy="1432068"/>
                  <wp:effectExtent l="0" t="0" r="0" b="0"/>
                  <wp:docPr id="1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46023" t="24690" r="50690" b="50428"/>
                          <a:stretch>
                            <a:fillRect/>
                          </a:stretch>
                        </pic:blipFill>
                        <pic:spPr>
                          <a:xfrm>
                            <a:off x="0" y="0"/>
                            <a:ext cx="980657" cy="1432068"/>
                          </a:xfrm>
                          <a:prstGeom prst="rect">
                            <a:avLst/>
                          </a:prstGeom>
                          <a:ln/>
                        </pic:spPr>
                      </pic:pic>
                    </a:graphicData>
                  </a:graphic>
                </wp:inline>
              </w:drawing>
            </w:r>
          </w:p>
        </w:tc>
        <w:tc>
          <w:tcPr>
            <w:tcW w:w="1766"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 xml:space="preserve">No hay </w:t>
            </w:r>
          </w:p>
        </w:tc>
        <w:tc>
          <w:tcPr>
            <w:tcW w:w="1766"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Sí</w:t>
            </w:r>
          </w:p>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Además que son actos consentidos no se inconformo la Recurrente</w:t>
            </w:r>
          </w:p>
        </w:tc>
      </w:tr>
      <w:tr w:rsidR="008952CE" w:rsidRPr="008952CE">
        <w:trPr>
          <w:jc w:val="center"/>
        </w:trPr>
        <w:tc>
          <w:tcPr>
            <w:tcW w:w="1765"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6. Exámenes correspondientes de los conocimientos y aptitudes necesarios para desempeñar el puesto.</w:t>
            </w:r>
          </w:p>
          <w:p w:rsidR="004335B3" w:rsidRPr="008952CE" w:rsidRDefault="004335B3">
            <w:pPr>
              <w:jc w:val="both"/>
              <w:rPr>
                <w:rFonts w:ascii="Palatino Linotype" w:eastAsia="Palatino Linotype" w:hAnsi="Palatino Linotype" w:cs="Palatino Linotype"/>
                <w:sz w:val="16"/>
                <w:szCs w:val="16"/>
              </w:rPr>
            </w:pPr>
          </w:p>
        </w:tc>
        <w:tc>
          <w:tcPr>
            <w:tcW w:w="1836"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Se concretó a señalar que no aplica.</w:t>
            </w:r>
          </w:p>
        </w:tc>
        <w:tc>
          <w:tcPr>
            <w:tcW w:w="1766"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 xml:space="preserve">No hay </w:t>
            </w:r>
          </w:p>
        </w:tc>
        <w:tc>
          <w:tcPr>
            <w:tcW w:w="1766" w:type="dxa"/>
          </w:tcPr>
          <w:p w:rsidR="004335B3" w:rsidRPr="008952CE" w:rsidRDefault="00BE4D27">
            <w:pPr>
              <w:jc w:val="center"/>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Sí</w:t>
            </w:r>
          </w:p>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Se  pronunció el área competente, además que hay cargos en específico en donde deben contar con los conocimientos y aptitudes para desempeñar el cargo.</w:t>
            </w:r>
          </w:p>
        </w:tc>
      </w:tr>
      <w:tr w:rsidR="008952CE" w:rsidRPr="008952CE">
        <w:trPr>
          <w:jc w:val="center"/>
        </w:trPr>
        <w:tc>
          <w:tcPr>
            <w:tcW w:w="1765"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7. Copia del registro de deudores alimentarios morosos.</w:t>
            </w:r>
          </w:p>
          <w:p w:rsidR="004335B3" w:rsidRPr="008952CE" w:rsidRDefault="004335B3">
            <w:pPr>
              <w:jc w:val="both"/>
              <w:rPr>
                <w:rFonts w:ascii="Palatino Linotype" w:eastAsia="Palatino Linotype" w:hAnsi="Palatino Linotype" w:cs="Palatino Linotype"/>
                <w:sz w:val="16"/>
                <w:szCs w:val="16"/>
              </w:rPr>
            </w:pPr>
          </w:p>
        </w:tc>
        <w:tc>
          <w:tcPr>
            <w:tcW w:w="1836"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Se concretó a señalar que no se tiene registro.</w:t>
            </w:r>
          </w:p>
        </w:tc>
        <w:tc>
          <w:tcPr>
            <w:tcW w:w="1766"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 xml:space="preserve">No hay </w:t>
            </w:r>
          </w:p>
        </w:tc>
        <w:tc>
          <w:tcPr>
            <w:tcW w:w="1766" w:type="dxa"/>
          </w:tcPr>
          <w:p w:rsidR="004335B3" w:rsidRPr="008952CE" w:rsidRDefault="00BE4D27">
            <w:pPr>
              <w:jc w:val="center"/>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No</w:t>
            </w:r>
          </w:p>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No acompaño el documento; sin embargo dicho documento es clasificado en su totalidad</w:t>
            </w:r>
          </w:p>
        </w:tc>
      </w:tr>
      <w:tr w:rsidR="008952CE" w:rsidRPr="008952CE">
        <w:trPr>
          <w:jc w:val="center"/>
        </w:trPr>
        <w:tc>
          <w:tcPr>
            <w:tcW w:w="1765"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lastRenderedPageBreak/>
              <w:t>8. El contrato laboral o lo que acredite la relación laboral con el DIF.</w:t>
            </w:r>
          </w:p>
        </w:tc>
        <w:tc>
          <w:tcPr>
            <w:tcW w:w="1836"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Se concretó a señalar que no aplica.</w:t>
            </w:r>
          </w:p>
        </w:tc>
        <w:tc>
          <w:tcPr>
            <w:tcW w:w="1766"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 xml:space="preserve">No hay </w:t>
            </w:r>
          </w:p>
        </w:tc>
        <w:tc>
          <w:tcPr>
            <w:tcW w:w="1766" w:type="dxa"/>
          </w:tcPr>
          <w:p w:rsidR="004335B3" w:rsidRPr="008952CE" w:rsidRDefault="00BE4D27">
            <w:pPr>
              <w:jc w:val="center"/>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 xml:space="preserve">No </w:t>
            </w:r>
          </w:p>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 xml:space="preserve">Hay otros documentos con los que se acredita la relación laboral. </w:t>
            </w:r>
          </w:p>
        </w:tc>
      </w:tr>
      <w:tr w:rsidR="008952CE" w:rsidRPr="008952CE">
        <w:trPr>
          <w:jc w:val="center"/>
        </w:trPr>
        <w:tc>
          <w:tcPr>
            <w:tcW w:w="1765"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De la Presidenta del DIF:</w:t>
            </w:r>
          </w:p>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9. Saber si no percibe algún sueldo o remuneración económica por el cargo que desempeña.</w:t>
            </w:r>
          </w:p>
          <w:p w:rsidR="004335B3" w:rsidRPr="008952CE" w:rsidRDefault="004335B3">
            <w:pPr>
              <w:jc w:val="both"/>
              <w:rPr>
                <w:rFonts w:ascii="Palatino Linotype" w:eastAsia="Palatino Linotype" w:hAnsi="Palatino Linotype" w:cs="Palatino Linotype"/>
                <w:sz w:val="16"/>
                <w:szCs w:val="16"/>
              </w:rPr>
            </w:pPr>
          </w:p>
        </w:tc>
        <w:tc>
          <w:tcPr>
            <w:tcW w:w="1836"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 xml:space="preserve">Señaló que el cargo es honorifico, por lo que no recibe un sueldo. </w:t>
            </w:r>
          </w:p>
        </w:tc>
        <w:tc>
          <w:tcPr>
            <w:tcW w:w="1766" w:type="dxa"/>
          </w:tcPr>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 xml:space="preserve">No hay </w:t>
            </w:r>
          </w:p>
        </w:tc>
        <w:tc>
          <w:tcPr>
            <w:tcW w:w="1766" w:type="dxa"/>
          </w:tcPr>
          <w:p w:rsidR="004335B3" w:rsidRPr="008952CE" w:rsidRDefault="00BE4D27">
            <w:pPr>
              <w:jc w:val="center"/>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 xml:space="preserve">Sí </w:t>
            </w:r>
          </w:p>
          <w:p w:rsidR="004335B3" w:rsidRPr="008952CE" w:rsidRDefault="00BE4D27">
            <w:pPr>
              <w:jc w:val="both"/>
              <w:rPr>
                <w:rFonts w:ascii="Palatino Linotype" w:eastAsia="Palatino Linotype" w:hAnsi="Palatino Linotype" w:cs="Palatino Linotype"/>
                <w:sz w:val="16"/>
                <w:szCs w:val="16"/>
              </w:rPr>
            </w:pPr>
            <w:r w:rsidRPr="008952CE">
              <w:rPr>
                <w:rFonts w:ascii="Palatino Linotype" w:eastAsia="Palatino Linotype" w:hAnsi="Palatino Linotype" w:cs="Palatino Linotype"/>
                <w:sz w:val="16"/>
                <w:szCs w:val="16"/>
              </w:rPr>
              <w:t xml:space="preserve">Actos consentidos. </w:t>
            </w:r>
          </w:p>
        </w:tc>
      </w:tr>
    </w:tbl>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Con base al cuadro comparativo anterior y analizados los motivos de inconformidad de la RECURRENTE, se advierte que está conforme con la respuesta otorgada a los puntos “1”, “2”, “4”, “5” y “9”, en razón que sólo se queja de los puntos “3”, “6”, “7” y “8”; 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sz w:val="22"/>
          <w:szCs w:val="22"/>
        </w:rPr>
        <w:t>“</w:t>
      </w:r>
      <w:r w:rsidRPr="008952CE">
        <w:rPr>
          <w:rFonts w:ascii="Palatino Linotype" w:eastAsia="Palatino Linotype" w:hAnsi="Palatino Linotype" w:cs="Palatino Linotype"/>
          <w:b/>
          <w:i/>
          <w:sz w:val="22"/>
          <w:szCs w:val="22"/>
        </w:rPr>
        <w:t>REVISIÓN EN AMPARO. LOS RESOLUTIVOS NO COMBATIDOS DEBEN DECLARARSE FIRMES</w:t>
      </w:r>
      <w:r w:rsidRPr="008952CE">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rsidR="004335B3" w:rsidRPr="008952CE" w:rsidRDefault="004335B3">
      <w:pPr>
        <w:spacing w:after="240" w:line="360" w:lineRule="auto"/>
        <w:jc w:val="both"/>
        <w:rPr>
          <w:rFonts w:ascii="Palatino Linotype" w:eastAsia="Palatino Linotype" w:hAnsi="Palatino Linotype" w:cs="Palatino Linotype"/>
        </w:rPr>
      </w:pP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lastRenderedPageBreak/>
        <w:t xml:space="preserve">Esto es, la parte de la solicitud sobre la que no se expresó inconformidad, debe declararse consentida por el hoy </w:t>
      </w:r>
      <w:r w:rsidRPr="008952CE">
        <w:rPr>
          <w:rFonts w:ascii="Palatino Linotype" w:eastAsia="Palatino Linotype" w:hAnsi="Palatino Linotype" w:cs="Palatino Linotype"/>
          <w:b/>
        </w:rPr>
        <w:t>RECURRENTE</w:t>
      </w:r>
      <w:r w:rsidRPr="008952CE">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rsidR="004335B3" w:rsidRPr="008952CE" w:rsidRDefault="00BE4D27">
      <w:pPr>
        <w:spacing w:before="240" w:after="240" w:line="276" w:lineRule="auto"/>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w:t>
      </w:r>
      <w:r w:rsidRPr="008952CE">
        <w:rPr>
          <w:rFonts w:ascii="Palatino Linotype" w:eastAsia="Palatino Linotype" w:hAnsi="Palatino Linotype" w:cs="Palatino Linotype"/>
          <w:b/>
          <w:i/>
          <w:sz w:val="22"/>
          <w:szCs w:val="22"/>
        </w:rPr>
        <w:t>ACTOS CONSENTIDOS. SON LOS QUE NO SE IMPUGNAN MEDIANTE EL RECURSO IDÓNEO</w:t>
      </w:r>
      <w:r w:rsidRPr="008952CE">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En otro orden de ideas sobre el punto “3”, descrito en el cuadro comparativo, relativo a:</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b/>
        </w:rPr>
      </w:pPr>
      <w:r w:rsidRPr="008952CE">
        <w:rPr>
          <w:rFonts w:ascii="Palatino Linotype" w:eastAsia="Palatino Linotype" w:hAnsi="Palatino Linotype" w:cs="Palatino Linotype"/>
          <w:b/>
        </w:rPr>
        <w:t>3. Curriculum vitae.</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Sobre el Curriculum Vitae, debe precisarse en primer lugar, que el concepto “curriculum” corresponde a una locución latina cuyo significado es “carrera de vida”, por su lado, la Real Academia Española, lo define como a continuación se cita: </w:t>
      </w:r>
    </w:p>
    <w:p w:rsidR="004335B3" w:rsidRPr="008952CE" w:rsidRDefault="00BE4D27">
      <w:pPr>
        <w:spacing w:before="240" w:after="240" w:line="276" w:lineRule="auto"/>
        <w:ind w:left="567" w:right="758"/>
        <w:jc w:val="both"/>
        <w:rPr>
          <w:rFonts w:ascii="Palatino Linotype" w:eastAsia="Palatino Linotype" w:hAnsi="Palatino Linotype" w:cs="Palatino Linotype"/>
        </w:rPr>
      </w:pPr>
      <w:r w:rsidRPr="008952CE">
        <w:rPr>
          <w:rFonts w:ascii="Palatino Linotype" w:eastAsia="Palatino Linotype" w:hAnsi="Palatino Linotype" w:cs="Palatino Linotype"/>
        </w:rPr>
        <w:lastRenderedPageBreak/>
        <w:t>“</w:t>
      </w:r>
      <w:r w:rsidRPr="008952CE">
        <w:rPr>
          <w:rFonts w:ascii="Palatino Linotype" w:eastAsia="Palatino Linotype" w:hAnsi="Palatino Linotype" w:cs="Palatino Linotype"/>
          <w:i/>
        </w:rPr>
        <w:t>Relación de los títulos, honores, cargos, trabajos realizados, datos biográficos, etc, que califican a una persona</w:t>
      </w:r>
      <w:r w:rsidRPr="008952CE">
        <w:rPr>
          <w:rFonts w:ascii="Palatino Linotype" w:eastAsia="Palatino Linotype" w:hAnsi="Palatino Linotype" w:cs="Palatino Linotype"/>
        </w:rPr>
        <w:t>” (Sic)</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De ahí que el curriculum vitae, es el documento que contiene la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 lo anterior en términos de lo señalado por el artículo 92, fracción XXI de la ley aplicable a la materia, que es del tenor literal siguiente: </w:t>
      </w:r>
    </w:p>
    <w:p w:rsidR="004335B3" w:rsidRPr="008952CE" w:rsidRDefault="00BE4D27">
      <w:pPr>
        <w:spacing w:before="240"/>
        <w:ind w:left="567" w:right="902"/>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335B3" w:rsidRPr="008952CE" w:rsidRDefault="00BE4D27">
      <w:pPr>
        <w:ind w:left="567" w:right="902"/>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w:t>
      </w:r>
    </w:p>
    <w:p w:rsidR="004335B3" w:rsidRPr="008952CE" w:rsidRDefault="00BE4D27">
      <w:pPr>
        <w:ind w:left="567" w:right="902"/>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XXI. La información curricular, desde el nivel de jefe de departamento o equivalente, hasta el titular del sujeto obligado</w:t>
      </w:r>
      <w:r w:rsidRPr="008952CE">
        <w:rPr>
          <w:rFonts w:ascii="Palatino Linotype" w:eastAsia="Palatino Linotype" w:hAnsi="Palatino Linotype" w:cs="Palatino Linotype"/>
          <w:i/>
          <w:sz w:val="22"/>
          <w:szCs w:val="22"/>
        </w:rPr>
        <w:t>, así como, en su caso, las sanciones administrativas de que haya sido objeto;”(Sic)</w:t>
      </w:r>
    </w:p>
    <w:p w:rsidR="004335B3" w:rsidRPr="008952CE" w:rsidRDefault="004335B3">
      <w:pPr>
        <w:ind w:left="567" w:right="902"/>
        <w:jc w:val="both"/>
        <w:rPr>
          <w:rFonts w:ascii="Palatino Linotype" w:eastAsia="Palatino Linotype" w:hAnsi="Palatino Linotype" w:cs="Palatino Linotype"/>
          <w:i/>
          <w:sz w:val="22"/>
          <w:szCs w:val="22"/>
        </w:rPr>
      </w:pPr>
    </w:p>
    <w:p w:rsidR="004335B3" w:rsidRPr="008952CE" w:rsidRDefault="00BE4D27">
      <w:pPr>
        <w:spacing w:after="240" w:line="360" w:lineRule="auto"/>
        <w:ind w:right="51"/>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Lo que se 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rsidR="004335B3" w:rsidRPr="008952CE" w:rsidRDefault="00BE4D27">
      <w:pPr>
        <w:spacing w:before="240"/>
        <w:ind w:left="567" w:right="902"/>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lastRenderedPageBreak/>
        <w:t xml:space="preserve">“XVII. La información curricular desde el nivel de jefe de departamento o equivalente hasta el titular del sujeto obligado, así como, en su caso, las sanciones administrativas de que haya sido objeto. </w:t>
      </w:r>
    </w:p>
    <w:p w:rsidR="004335B3" w:rsidRPr="008952CE" w:rsidRDefault="00BE4D27">
      <w:pPr>
        <w:ind w:left="567" w:right="902"/>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r w:rsidRPr="008952CE">
        <w:rPr>
          <w:rFonts w:ascii="Palatino Linotype" w:eastAsia="Palatino Linotype" w:hAnsi="Palatino Linotype" w:cs="Palatino Linotype"/>
          <w:i/>
          <w:sz w:val="22"/>
          <w:szCs w:val="22"/>
        </w:rPr>
        <w:t xml:space="preserve">. </w:t>
      </w:r>
    </w:p>
    <w:p w:rsidR="004335B3" w:rsidRPr="008952CE" w:rsidRDefault="00BE4D27">
      <w:pPr>
        <w:ind w:left="567" w:right="902"/>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Por cada servidor(a) público(a) se deberá especificar si ha sido acreedor a sanciones administrativas definitivas y que hayan sido aplicadas por autoridad u organismo competente. </w:t>
      </w:r>
    </w:p>
    <w:p w:rsidR="004335B3" w:rsidRPr="008952CE" w:rsidRDefault="00BE4D27">
      <w:pPr>
        <w:ind w:left="567" w:right="902"/>
        <w:jc w:val="both"/>
        <w:rPr>
          <w:rFonts w:ascii="Palatino Linotype" w:eastAsia="Palatino Linotype" w:hAnsi="Palatino Linotype" w:cs="Palatino Linotype"/>
          <w:b/>
          <w:i/>
          <w:sz w:val="22"/>
          <w:szCs w:val="22"/>
        </w:rPr>
      </w:pPr>
      <w:r w:rsidRPr="008952CE">
        <w:rPr>
          <w:rFonts w:ascii="Palatino Linotype" w:eastAsia="Palatino Linotype" w:hAnsi="Palatino Linotype" w:cs="Palatino Linotype"/>
          <w:b/>
          <w:i/>
          <w:sz w:val="22"/>
          <w:szCs w:val="22"/>
        </w:rPr>
        <w:t xml:space="preserve">Periodo de actualización: trimestral </w:t>
      </w:r>
    </w:p>
    <w:p w:rsidR="004335B3" w:rsidRPr="008952CE" w:rsidRDefault="00BE4D27">
      <w:pPr>
        <w:ind w:left="567" w:right="902"/>
        <w:jc w:val="both"/>
        <w:rPr>
          <w:rFonts w:ascii="Palatino Linotype" w:eastAsia="Palatino Linotype" w:hAnsi="Palatino Linotype" w:cs="Palatino Linotype"/>
          <w:b/>
          <w:i/>
          <w:sz w:val="22"/>
          <w:szCs w:val="22"/>
        </w:rPr>
      </w:pPr>
      <w:r w:rsidRPr="008952CE">
        <w:rPr>
          <w:rFonts w:ascii="Palatino Linotype" w:eastAsia="Palatino Linotype" w:hAnsi="Palatino Linotype" w:cs="Palatino Linotype"/>
          <w:b/>
          <w:i/>
          <w:sz w:val="22"/>
          <w:szCs w:val="22"/>
        </w:rPr>
        <w:t>En su caso, 15 días hábiles después de alguna modificación a la información de los servidores públicos que integran el sujeto obligado, así como su información curricular.</w:t>
      </w:r>
    </w:p>
    <w:p w:rsidR="004335B3" w:rsidRPr="008952CE" w:rsidRDefault="00BE4D27">
      <w:pPr>
        <w:ind w:left="567" w:right="902"/>
        <w:jc w:val="both"/>
        <w:rPr>
          <w:rFonts w:ascii="Palatino Linotype" w:eastAsia="Palatino Linotype" w:hAnsi="Palatino Linotype" w:cs="Palatino Linotype"/>
          <w:b/>
          <w:i/>
          <w:sz w:val="22"/>
          <w:szCs w:val="22"/>
        </w:rPr>
      </w:pPr>
      <w:r w:rsidRPr="008952CE">
        <w:rPr>
          <w:rFonts w:ascii="Palatino Linotype" w:eastAsia="Palatino Linotype" w:hAnsi="Palatino Linotype" w:cs="Palatino Linotype"/>
          <w:b/>
          <w:i/>
          <w:sz w:val="22"/>
          <w:szCs w:val="22"/>
        </w:rPr>
        <w:t xml:space="preserve">Conservar en el sitio de Internet: información vigente </w:t>
      </w:r>
    </w:p>
    <w:p w:rsidR="004335B3" w:rsidRPr="008952CE" w:rsidRDefault="00BE4D27">
      <w:pPr>
        <w:ind w:left="567" w:right="902"/>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Aplica a: todos los sujetos obligados</w:t>
      </w:r>
      <w:r w:rsidRPr="008952CE">
        <w:rPr>
          <w:rFonts w:ascii="Palatino Linotype" w:eastAsia="Palatino Linotype" w:hAnsi="Palatino Linotype" w:cs="Palatino Linotype"/>
          <w:i/>
          <w:sz w:val="22"/>
          <w:szCs w:val="22"/>
        </w:rPr>
        <w:t>”(Sic)</w:t>
      </w:r>
    </w:p>
    <w:p w:rsidR="004335B3" w:rsidRPr="008952CE" w:rsidRDefault="004335B3">
      <w:pPr>
        <w:ind w:left="567" w:right="902"/>
        <w:jc w:val="both"/>
        <w:rPr>
          <w:rFonts w:ascii="Palatino Linotype" w:eastAsia="Palatino Linotype" w:hAnsi="Palatino Linotype" w:cs="Palatino Linotype"/>
          <w:i/>
          <w:sz w:val="22"/>
          <w:szCs w:val="22"/>
        </w:rPr>
      </w:pPr>
    </w:p>
    <w:p w:rsidR="004335B3" w:rsidRPr="008952CE" w:rsidRDefault="00BE4D27">
      <w:pPr>
        <w:spacing w:after="240" w:line="360" w:lineRule="auto"/>
        <w:ind w:right="51"/>
        <w:jc w:val="both"/>
        <w:rPr>
          <w:rFonts w:ascii="Palatino Linotype" w:eastAsia="Palatino Linotype" w:hAnsi="Palatino Linotype" w:cs="Palatino Linotype"/>
        </w:rPr>
      </w:pPr>
      <w:r w:rsidRPr="008952CE">
        <w:rPr>
          <w:rFonts w:ascii="Palatino Linotype" w:eastAsia="Palatino Linotype" w:hAnsi="Palatino Linotype" w:cs="Palatino Linotype"/>
          <w:noProof/>
          <w:lang w:val="es-MX" w:eastAsia="es-MX"/>
        </w:rPr>
        <w:lastRenderedPageBreak/>
        <w:drawing>
          <wp:inline distT="0" distB="0" distL="0" distR="0">
            <wp:extent cx="5662767" cy="6086611"/>
            <wp:effectExtent l="0" t="0" r="0" b="0"/>
            <wp:docPr id="1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662767" cy="6086611"/>
                    </a:xfrm>
                    <a:prstGeom prst="rect">
                      <a:avLst/>
                    </a:prstGeom>
                    <a:ln/>
                  </pic:spPr>
                </pic:pic>
              </a:graphicData>
            </a:graphic>
          </wp:inline>
        </w:drawing>
      </w:r>
      <w:r w:rsidRPr="008952CE">
        <w:rPr>
          <w:noProof/>
          <w:lang w:val="es-MX" w:eastAsia="es-MX"/>
        </w:rPr>
        <mc:AlternateContent>
          <mc:Choice Requires="wpg">
            <w:drawing>
              <wp:anchor distT="0" distB="0" distL="114300" distR="114300" simplePos="0" relativeHeight="251658240" behindDoc="0" locked="0" layoutInCell="1" hidden="0" allowOverlap="1">
                <wp:simplePos x="0" y="0"/>
                <wp:positionH relativeFrom="column">
                  <wp:posOffset>139700</wp:posOffset>
                </wp:positionH>
                <wp:positionV relativeFrom="paragraph">
                  <wp:posOffset>1447800</wp:posOffset>
                </wp:positionV>
                <wp:extent cx="5267325" cy="1772021"/>
                <wp:effectExtent l="0" t="0" r="0" b="0"/>
                <wp:wrapNone/>
                <wp:docPr id="125" name="Rectángulo 125"/>
                <wp:cNvGraphicFramePr/>
                <a:graphic xmlns:a="http://schemas.openxmlformats.org/drawingml/2006/main">
                  <a:graphicData uri="http://schemas.microsoft.com/office/word/2010/wordprocessingShape">
                    <wps:wsp>
                      <wps:cNvSpPr/>
                      <wps:spPr>
                        <a:xfrm>
                          <a:off x="2755200" y="2936852"/>
                          <a:ext cx="5181600" cy="1686296"/>
                        </a:xfrm>
                        <a:prstGeom prst="rect">
                          <a:avLst/>
                        </a:prstGeom>
                        <a:noFill/>
                        <a:ln w="28575" cap="flat" cmpd="sng">
                          <a:solidFill>
                            <a:srgbClr val="002060"/>
                          </a:solidFill>
                          <a:prstDash val="solid"/>
                          <a:miter lim="800000"/>
                          <a:headEnd type="none" w="sm" len="sm"/>
                          <a:tailEnd type="none" w="sm" len="sm"/>
                        </a:ln>
                      </wps:spPr>
                      <wps:txbx>
                        <w:txbxContent>
                          <w:p w:rsidR="004335B3" w:rsidRDefault="004335B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139700</wp:posOffset>
                </wp:positionH>
                <wp:positionV relativeFrom="paragraph">
                  <wp:posOffset>1447800</wp:posOffset>
                </wp:positionV>
                <wp:extent cx="5267325" cy="1772021"/>
                <wp:effectExtent b="0" l="0" r="0" t="0"/>
                <wp:wrapNone/>
                <wp:docPr id="125"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5267325" cy="1772021"/>
                        </a:xfrm>
                        <a:prstGeom prst="rect"/>
                        <a:ln/>
                      </pic:spPr>
                    </pic:pic>
                  </a:graphicData>
                </a:graphic>
              </wp:anchor>
            </w:drawing>
          </mc:Fallback>
        </mc:AlternateContent>
      </w:r>
    </w:p>
    <w:p w:rsidR="004335B3" w:rsidRPr="008952CE" w:rsidRDefault="00BE4D27">
      <w:pPr>
        <w:spacing w:before="240" w:after="240" w:line="360" w:lineRule="auto"/>
        <w:ind w:right="51"/>
        <w:jc w:val="both"/>
        <w:rPr>
          <w:rFonts w:ascii="Palatino Linotype" w:eastAsia="Palatino Linotype" w:hAnsi="Palatino Linotype" w:cs="Palatino Linotype"/>
        </w:rPr>
      </w:pPr>
      <w:r w:rsidRPr="008952CE">
        <w:rPr>
          <w:rFonts w:ascii="Palatino Linotype" w:eastAsia="Palatino Linotype" w:hAnsi="Palatino Linotype" w:cs="Palatino Linotype"/>
          <w:noProof/>
          <w:lang w:val="es-MX" w:eastAsia="es-MX"/>
        </w:rPr>
        <w:lastRenderedPageBreak/>
        <w:drawing>
          <wp:inline distT="0" distB="0" distL="0" distR="0">
            <wp:extent cx="5610225" cy="4105275"/>
            <wp:effectExtent l="0" t="0" r="0" b="0"/>
            <wp:docPr id="1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610225" cy="4105275"/>
                    </a:xfrm>
                    <a:prstGeom prst="rect">
                      <a:avLst/>
                    </a:prstGeom>
                    <a:ln/>
                  </pic:spPr>
                </pic:pic>
              </a:graphicData>
            </a:graphic>
          </wp:inline>
        </w:drawing>
      </w:r>
    </w:p>
    <w:p w:rsidR="004335B3" w:rsidRPr="008952CE" w:rsidRDefault="00BE4D27">
      <w:pPr>
        <w:spacing w:before="240" w:after="240" w:line="360" w:lineRule="auto"/>
        <w:ind w:right="51"/>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De lo anterior se desprende, que la información curricular desde el nivel del jefe de departamento o equivalente, hasta el titular del </w:t>
      </w:r>
      <w:r w:rsidRPr="008952CE">
        <w:rPr>
          <w:rFonts w:ascii="Palatino Linotype" w:eastAsia="Palatino Linotype" w:hAnsi="Palatino Linotype" w:cs="Palatino Linotype"/>
          <w:b/>
        </w:rPr>
        <w:t xml:space="preserve">SUJETO OBLIGADO, </w:t>
      </w:r>
      <w:r w:rsidRPr="008952CE">
        <w:rPr>
          <w:rFonts w:ascii="Palatino Linotype" w:eastAsia="Palatino Linotype" w:hAnsi="Palatino Linotype" w:cs="Palatino Linotype"/>
        </w:rPr>
        <w:t>respecto a la escolaridad mandata que se publique información referente al nivel máximo de estudios concluido y comprobable, mientras que respecto de la experiencia laboral, se requiere que se incluya información de los últimos tres empleos, en los que se advierta el campo de experiencia que acredite sus habilidades, capacidades o pericia para desempeñar el cargo público, debe precisarse que dicha circunstancia no es</w:t>
      </w:r>
      <w:r w:rsidRPr="008952CE">
        <w:rPr>
          <w:rFonts w:ascii="Palatino Linotype" w:eastAsia="Palatino Linotype" w:hAnsi="Palatino Linotype" w:cs="Palatino Linotype"/>
          <w:b/>
        </w:rPr>
        <w:t xml:space="preserve"> </w:t>
      </w:r>
      <w:r w:rsidRPr="008952CE">
        <w:rPr>
          <w:rFonts w:ascii="Palatino Linotype" w:eastAsia="Palatino Linotype" w:hAnsi="Palatino Linotype" w:cs="Palatino Linotype"/>
        </w:rPr>
        <w:t>óbice para que se encuentre impedido a contar con dicha información respecto de todos los servidores públicos con los que tenga una relación laboral.</w:t>
      </w:r>
    </w:p>
    <w:p w:rsidR="004335B3" w:rsidRPr="008952CE" w:rsidRDefault="00BE4D27">
      <w:pPr>
        <w:spacing w:before="240" w:after="240" w:line="360" w:lineRule="auto"/>
        <w:ind w:right="51"/>
        <w:jc w:val="both"/>
        <w:rPr>
          <w:rFonts w:ascii="Palatino Linotype" w:eastAsia="Palatino Linotype" w:hAnsi="Palatino Linotype" w:cs="Palatino Linotype"/>
        </w:rPr>
      </w:pPr>
      <w:r w:rsidRPr="008952CE">
        <w:rPr>
          <w:rFonts w:ascii="Palatino Linotype" w:eastAsia="Palatino Linotype" w:hAnsi="Palatino Linotype" w:cs="Palatino Linotype"/>
        </w:rPr>
        <w:lastRenderedPageBreak/>
        <w:t>Desde esta perspectiva, a través del currículum vite el particular puede advertir los estudios realizados o bien el nivel académico, así como la experiencia laboral de los servidores públicos que se encuentran adscritos al sujeto obligado,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rsidR="004335B3" w:rsidRPr="008952CE" w:rsidRDefault="00BE4D27">
      <w:pPr>
        <w:spacing w:before="240" w:after="240" w:line="276" w:lineRule="auto"/>
        <w:ind w:left="567" w:right="900"/>
        <w:jc w:val="both"/>
        <w:rPr>
          <w:rFonts w:ascii="Palatino Linotype" w:eastAsia="Palatino Linotype" w:hAnsi="Palatino Linotype" w:cs="Palatino Linotype"/>
          <w:sz w:val="22"/>
          <w:szCs w:val="22"/>
        </w:rPr>
      </w:pPr>
      <w:r w:rsidRPr="008952CE">
        <w:rPr>
          <w:rFonts w:ascii="Palatino Linotype" w:eastAsia="Palatino Linotype" w:hAnsi="Palatino Linotype" w:cs="Palatino Linotype"/>
          <w:i/>
          <w:sz w:val="22"/>
          <w:szCs w:val="22"/>
        </w:rPr>
        <w:t>“</w:t>
      </w:r>
      <w:r w:rsidRPr="008952CE">
        <w:rPr>
          <w:rFonts w:ascii="Palatino Linotype" w:eastAsia="Palatino Linotype" w:hAnsi="Palatino Linotype" w:cs="Palatino Linotype"/>
          <w:b/>
          <w:i/>
          <w:sz w:val="22"/>
          <w:szCs w:val="22"/>
        </w:rPr>
        <w:t>Curriculum Vitae de servidores públicos. Es obligación de los sujetos obligados otorgar acceso a versiones públicas de los mismos ante una solicitud de acceso</w:t>
      </w:r>
      <w:r w:rsidRPr="008952CE">
        <w:rPr>
          <w:rFonts w:ascii="Palatino Linotype" w:eastAsia="Palatino Linotype" w:hAnsi="Palatino Linotype" w:cs="Palatino Linotype"/>
          <w:i/>
          <w:sz w:val="22"/>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w:t>
      </w:r>
      <w:r w:rsidRPr="008952CE">
        <w:rPr>
          <w:rFonts w:ascii="Palatino Linotype" w:eastAsia="Palatino Linotype" w:hAnsi="Palatino Linotype" w:cs="Palatino Linotype"/>
          <w:i/>
          <w:sz w:val="22"/>
          <w:szCs w:val="22"/>
        </w:rPr>
        <w:lastRenderedPageBreak/>
        <w:t>susceptibles de hacerse del conocimiento público, ante una solicitud de acceso, se encuentran los relativos a su trayectoria académica, profesional, laboral, así como todos aquellos que acrediten su capacidad, habilidades o pericia para ocupar el cargo público.”</w:t>
      </w:r>
      <w:r w:rsidRPr="008952CE">
        <w:rPr>
          <w:rFonts w:ascii="Palatino Linotype" w:eastAsia="Palatino Linotype" w:hAnsi="Palatino Linotype" w:cs="Palatino Linotype"/>
          <w:sz w:val="22"/>
          <w:szCs w:val="22"/>
        </w:rPr>
        <w:t xml:space="preserve"> (Sic)</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servició público sí es requisito, entre otros, presentar una solicitud del empleo, como se desprende del artículo 47 fracción I de la Ley del Trabajo para los Servidores Públicos del Estado y Municipios.</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Así, la solicitud de empleo es el documento en el que se localiza información relativa a los datos personales, formación académica, formación extra académica, experiencia profesional, y hábitos personales; información que resulta coincidente con la que es asentada en un currículum vitae. De manera que, 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podría atender el requerimiento a través de la entrega del currículum vitae, ficha curricular de los servidores que refiere el recurrente, o en su defecto a través de la solicitud de empleo, en razón de que se trata de documentos que se </w:t>
      </w:r>
      <w:r w:rsidRPr="008952CE">
        <w:rPr>
          <w:rFonts w:ascii="Palatino Linotype" w:eastAsia="Palatino Linotype" w:hAnsi="Palatino Linotype" w:cs="Palatino Linotype"/>
        </w:rPr>
        <w:lastRenderedPageBreak/>
        <w:t>encuentran en su posesión derivado de su facultad para establecer relaciones de trabajo, y que resulta ser el documento idóneo para satisfacer la solicitud planteada, de acuerdo a sus características y así como los documentos que sustenten la experiencia laboral.</w:t>
      </w: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Precisado lo anterior, regresando a la respuesta del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sólo se concretó a señalar que sí, sin adjuntar el documento en donde conste los curriculums vitae de los servidores públicos señalados en la solicitud; en consecuencia, la respuesta del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rsidR="004335B3" w:rsidRPr="008952CE" w:rsidRDefault="004335B3">
      <w:pPr>
        <w:spacing w:line="360" w:lineRule="auto"/>
        <w:ind w:right="51"/>
        <w:jc w:val="both"/>
        <w:rPr>
          <w:rFonts w:ascii="Palatino Linotype" w:eastAsia="Palatino Linotype" w:hAnsi="Palatino Linotype" w:cs="Palatino Linotype"/>
        </w:rPr>
      </w:pP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 xml:space="preserve">“Congruencia y exhaustividad. Sus alcances para garantizar el derecho de acceso a la información. </w:t>
      </w:r>
      <w:r w:rsidRPr="008952CE">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8952CE">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8952CE">
        <w:rPr>
          <w:rFonts w:ascii="Palatino Linotype" w:eastAsia="Palatino Linotype" w:hAnsi="Palatino Linotype" w:cs="Palatino Linotype"/>
          <w:i/>
          <w:sz w:val="22"/>
          <w:szCs w:val="22"/>
        </w:rPr>
        <w:t xml:space="preserve">; mientras que </w:t>
      </w:r>
      <w:r w:rsidRPr="008952CE">
        <w:rPr>
          <w:rFonts w:ascii="Palatino Linotype" w:eastAsia="Palatino Linotype" w:hAnsi="Palatino Linotype" w:cs="Palatino Linotype"/>
          <w:b/>
          <w:i/>
          <w:sz w:val="22"/>
          <w:szCs w:val="22"/>
        </w:rPr>
        <w:t>la exhaustividad significa que dicha respuesta se refiera expresamente a cada uno de los puntos solicitados</w:t>
      </w:r>
      <w:r w:rsidRPr="008952CE">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4335B3" w:rsidRPr="008952CE" w:rsidRDefault="004335B3">
      <w:pPr>
        <w:spacing w:before="240" w:after="240" w:line="360" w:lineRule="auto"/>
        <w:jc w:val="both"/>
        <w:rPr>
          <w:rFonts w:ascii="Palatino Linotype" w:eastAsia="Palatino Linotype" w:hAnsi="Palatino Linotype" w:cs="Palatino Linotype"/>
        </w:rPr>
      </w:pPr>
    </w:p>
    <w:p w:rsidR="004335B3" w:rsidRPr="008952CE" w:rsidRDefault="00BE4D27">
      <w:pPr>
        <w:spacing w:before="240" w:after="240" w:line="360" w:lineRule="auto"/>
        <w:jc w:val="both"/>
        <w:rPr>
          <w:rFonts w:ascii="Palatino Linotype" w:eastAsia="Palatino Linotype" w:hAnsi="Palatino Linotype" w:cs="Palatino Linotype"/>
          <w:b/>
        </w:rPr>
      </w:pPr>
      <w:r w:rsidRPr="008952CE">
        <w:rPr>
          <w:rFonts w:ascii="Palatino Linotype" w:eastAsia="Palatino Linotype" w:hAnsi="Palatino Linotype" w:cs="Palatino Linotype"/>
        </w:rPr>
        <w:lastRenderedPageBreak/>
        <w:t xml:space="preserve">Razones por las cuales, se estima que en el presente punto es procedente la entrega del curriculum vitae, ficha curricular o documento análogo de los servidores públicos referidos en la solicitud de acceso a la información pública, vigentes al siete de abril del año dos mil veintidós y en versión pública conforme a lo señalado por el considerando quinto del presente fallo. </w:t>
      </w: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En cuanto al número “6” señalado en el cuadro comparativo relativo a:</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b/>
        </w:rPr>
      </w:pPr>
      <w:r w:rsidRPr="008952CE">
        <w:rPr>
          <w:rFonts w:ascii="Palatino Linotype" w:eastAsia="Palatino Linotype" w:hAnsi="Palatino Linotype" w:cs="Palatino Linotype"/>
          <w:b/>
        </w:rPr>
        <w:t>6. Exámenes correspondientes de los conocimientos y aptitudes necesarios para desempeñar el puesto.</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Si bien es cierto que en el artículo 42 de la Ley de Trabajo de los Servidores Públicos del Estado de México y Municipios, que señala:</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“ARTÍCULO 47. Para ingresar al servicio público se requiere: </w:t>
      </w: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I. Presentar una solicitud utilizando la forma oficial que se autorice por la institución pública o dependencia correspondiente; </w:t>
      </w: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II. Ser de nacionalidad mexicana, con la excepción prevista en el artículo 17 de la presente ley; </w:t>
      </w: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III. Estar en pleno ejercicio de sus derechos civiles y políticos, en su caso; </w:t>
      </w: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IV. Acreditar, cuando proceda, el cumplimiento de la Ley del Servicio Militar Nacional; </w:t>
      </w: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V. Derogada. </w:t>
      </w: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VI. No haber sido separado anteriormente del servicio por las causas previstas en el artículo 93 de la presente ley; </w:t>
      </w: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lastRenderedPageBreak/>
        <w:t xml:space="preserve">VII. Tener buena salud, lo que se comprobará con los certificados médicos correspondientes, en la forma en que se establezca en cada institución pública; </w:t>
      </w: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VIII. Cumplir con los requisitos que se establezcan para los diferentes puestos; </w:t>
      </w:r>
    </w:p>
    <w:p w:rsidR="004335B3" w:rsidRPr="008952CE" w:rsidRDefault="00BE4D27">
      <w:pPr>
        <w:spacing w:before="80" w:after="240"/>
        <w:ind w:left="567" w:right="900"/>
        <w:jc w:val="both"/>
        <w:rPr>
          <w:rFonts w:ascii="Palatino Linotype" w:eastAsia="Palatino Linotype" w:hAnsi="Palatino Linotype" w:cs="Palatino Linotype"/>
          <w:b/>
          <w:i/>
          <w:sz w:val="22"/>
          <w:szCs w:val="22"/>
        </w:rPr>
      </w:pPr>
      <w:r w:rsidRPr="008952CE">
        <w:rPr>
          <w:rFonts w:ascii="Palatino Linotype" w:eastAsia="Palatino Linotype" w:hAnsi="Palatino Linotype" w:cs="Palatino Linotype"/>
          <w:b/>
          <w:i/>
          <w:sz w:val="22"/>
          <w:szCs w:val="22"/>
        </w:rPr>
        <w:t xml:space="preserve">IX. Acreditar por medio de los exámenes correspondientes los conocimientos y aptitudes necesarios para el desempeño del puesto; y </w:t>
      </w: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X. No estar inhabilitado para el ejercicio del servicio público. </w:t>
      </w: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XI. Presentar certificado expedido por la Unidad del Registro de Deudores Alimentarios Morosos en el que conste, si se encuentra inscrito o no en el mismo. </w:t>
      </w: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 (Sic)</w:t>
      </w: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Se advierte, que para ingresar al servicio público, se deben acreditar por medio de los exámenes correspondientes los conocimientos y aptitudes necesarios para el desempeño del puesto; sin embargo, existen cargos dentro de la Ley Orgánica Municipal del Estado de México, que para ingresar al servicio público deben contar con cierta experiencia y conocimientos, como por ejemplo todos los titulares de las áreas en términos de lo señalado por el artículo 32 de la Ley Orgánica Municipal del Estado de México, que señala:</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 </w:t>
      </w: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I. Ser persona ciudadana del Estado, en pleno uso de sus derechos; </w:t>
      </w: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lastRenderedPageBreak/>
        <w:t>II. No estar inhabilitada o inhabilitado para desempeñar cargo, empleo, o comisión pública;</w:t>
      </w:r>
    </w:p>
    <w:p w:rsidR="004335B3" w:rsidRPr="008952CE" w:rsidRDefault="00BE4D27">
      <w:pPr>
        <w:spacing w:before="80" w:after="240"/>
        <w:ind w:left="567" w:right="900"/>
        <w:jc w:val="both"/>
        <w:rPr>
          <w:rFonts w:ascii="Palatino Linotype" w:eastAsia="Palatino Linotype" w:hAnsi="Palatino Linotype" w:cs="Palatino Linotype"/>
          <w:b/>
          <w:i/>
          <w:sz w:val="22"/>
          <w:szCs w:val="22"/>
        </w:rPr>
      </w:pPr>
      <w:r w:rsidRPr="008952CE">
        <w:rPr>
          <w:rFonts w:ascii="Palatino Linotype" w:eastAsia="Palatino Linotype" w:hAnsi="Palatino Linotype" w:cs="Palatino Linotype"/>
          <w:b/>
          <w:i/>
          <w:sz w:val="22"/>
          <w:szCs w:val="22"/>
        </w:rPr>
        <w:t xml:space="preserve">III. Contar con título profesional o acreditar experiencia mínima de un año en la materia, ante la o el Presidente o el Ayuntamiento, cuando sea el caso, para el desempeño de los cargos que así lo requieran; </w:t>
      </w: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IV. Contar con certificación de competencia laboral en la materia del cargo que se desempeñará, expedida por institución con reconocimiento de validez oficial. Este requisito deberá acreditarse dentro de los seis meses siguientes a la fecha en que inicien sus funciones; </w:t>
      </w: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V. No estar condenada o condenado por sentencia ejecutoriada por el delito de violencia política contra las mujeres en razón de género; </w:t>
      </w: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VI. No estar inscrito en el Registro de Deudores Alimentarios Morosos en el Estado, ni en otra entidad federativa, y </w:t>
      </w: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VII. No estar condenada o condenado por sentencia ejecutoriada por delitos de violencia familiar, contra la libertad sexual o de violencia de género. </w:t>
      </w: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Como puede ser el Tesorero Municipal, ya que en el artículo 96 de la Ley Orgánica Municipal del Estado de México, que señala:</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w:t>
      </w:r>
      <w:r w:rsidRPr="008952CE">
        <w:rPr>
          <w:rFonts w:ascii="Palatino Linotype" w:eastAsia="Palatino Linotype" w:hAnsi="Palatino Linotype" w:cs="Palatino Linotype"/>
          <w:b/>
          <w:i/>
          <w:sz w:val="22"/>
          <w:szCs w:val="22"/>
        </w:rPr>
        <w:t>Artículo 96.- Para ser tesorero municipal se requiere</w:t>
      </w:r>
      <w:r w:rsidRPr="008952CE">
        <w:rPr>
          <w:rFonts w:ascii="Palatino Linotype" w:eastAsia="Palatino Linotype" w:hAnsi="Palatino Linotype" w:cs="Palatino Linotype"/>
          <w:i/>
          <w:sz w:val="22"/>
          <w:szCs w:val="22"/>
        </w:rPr>
        <w:t xml:space="preserve">, además de los requisitos del artículos 32 de esta Ley: </w:t>
      </w: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I. Tener los conocimientos suficientes para poder desempeñar el cargo, a juicio del Ayuntamiento</w:t>
      </w:r>
      <w:r w:rsidRPr="008952CE">
        <w:rPr>
          <w:rFonts w:ascii="Palatino Linotype" w:eastAsia="Palatino Linotype" w:hAnsi="Palatino Linotype" w:cs="Palatino Linotype"/>
          <w:i/>
          <w:sz w:val="22"/>
          <w:szCs w:val="22"/>
        </w:rPr>
        <w:t xml:space="preserve">; contar con título profesional </w:t>
      </w:r>
      <w:r w:rsidRPr="008952CE">
        <w:rPr>
          <w:rFonts w:ascii="Palatino Linotype" w:eastAsia="Palatino Linotype" w:hAnsi="Palatino Linotype" w:cs="Palatino Linotype"/>
          <w:b/>
          <w:i/>
          <w:sz w:val="22"/>
          <w:szCs w:val="22"/>
        </w:rPr>
        <w:t>en las áreas jurídicas, económicas o contables administrativas</w:t>
      </w:r>
      <w:r w:rsidRPr="008952CE">
        <w:rPr>
          <w:rFonts w:ascii="Palatino Linotype" w:eastAsia="Palatino Linotype" w:hAnsi="Palatino Linotype" w:cs="Palatino Linotype"/>
          <w:i/>
          <w:sz w:val="22"/>
          <w:szCs w:val="22"/>
        </w:rPr>
        <w:t xml:space="preserve">,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w:t>
      </w:r>
      <w:r w:rsidRPr="008952CE">
        <w:rPr>
          <w:rFonts w:ascii="Palatino Linotype" w:eastAsia="Palatino Linotype" w:hAnsi="Palatino Linotype" w:cs="Palatino Linotype"/>
          <w:i/>
          <w:sz w:val="22"/>
          <w:szCs w:val="22"/>
        </w:rPr>
        <w:lastRenderedPageBreak/>
        <w:t xml:space="preserve">habilidades para desempeñar el cargo, de conformidad con los aspectos técnicos y operativos aplicables al Estado de México; </w:t>
      </w: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El requisito de la certificación de competencia laboral, deberá acreditarse dentro de los seis meses siguientes a la fecha en que inicie funciones. </w:t>
      </w: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II. Caucionar el manejo de los fondos municipales, por un monto equivalente al uno al millar del importe correspondiente a los ingresos propios del municipio y las participaciones que en ingresos federales y estatales le correspondieron en el ejercicio inmediato anterior; </w:t>
      </w: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III. Derogada </w:t>
      </w:r>
    </w:p>
    <w:p w:rsidR="004335B3" w:rsidRPr="008952CE" w:rsidRDefault="00BE4D27">
      <w:pPr>
        <w:spacing w:before="8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IV. Cumplir con otros requisitos que señalen las leyes, o acuerde el ayuntamiento.” (Sic)</w:t>
      </w: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Luego entonces podemos concluir, que los cargos de los medios o mandos superiores de los Municipios, pueden que a juicio de los Ayuntamientos les apliquen exámenes para evaluar sus conocimiento y aptitudes para determinar si son aptos para desempeñar el cargo.</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Precisado lo anterior, derivado de los cargos señalados por 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en respuesta, como lo son de Nutrióloga, Enlace del DIF en la Coordinación de Parque Vehicular, Enlace de Gestión ante el Gobierno y Enlace de Gestión con Organizaciones de la Sociedad Civil, no se advierte que dichos cargos sean de Titulares de área o de mandos medios o superiores; además que de una revisión a la Ley Orgánica Municipal del Estado de México, Bando Municipal del Ayuntamiento de Acambay de Ruiz de Castañeda y la Ley que Crea los Organismos Públicos Descentralizados de Asistencia Social, de Carácter Municipal, Denominados "Sistemas Municipales para el Desarrollo Integral de la Familia", no establece de manera específica que dichos puestos para ingresar a trabajar, previamente debieron  </w:t>
      </w:r>
      <w:r w:rsidRPr="008952CE">
        <w:rPr>
          <w:rFonts w:ascii="Palatino Linotype" w:eastAsia="Palatino Linotype" w:hAnsi="Palatino Linotype" w:cs="Palatino Linotype"/>
        </w:rPr>
        <w:lastRenderedPageBreak/>
        <w:t>acreditar por medio de los exámenes correspondientes los conocimientos y aptitudes necesarios para el desempeño del puesto.</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En consecuencia el pronunciamiento de la Directora del Sistema Municipal DIF de Acambay de Ruiz de Castañeda, se traduce como un hecho negativo y ante un hecho negativo, el Pleno de este Organismo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before="120" w:after="120"/>
        <w:ind w:right="851"/>
        <w:jc w:val="center"/>
        <w:rPr>
          <w:rFonts w:ascii="Palatino Linotype" w:eastAsia="Palatino Linotype" w:hAnsi="Palatino Linotype" w:cs="Palatino Linotype"/>
          <w:i/>
          <w:sz w:val="22"/>
          <w:szCs w:val="22"/>
        </w:rPr>
      </w:pPr>
      <w:r w:rsidRPr="008952CE">
        <w:rPr>
          <w:rFonts w:ascii="Palatino Linotype" w:eastAsia="Palatino Linotype" w:hAnsi="Palatino Linotype" w:cs="Palatino Linotype"/>
        </w:rPr>
        <w:t>“</w:t>
      </w:r>
      <w:r w:rsidRPr="008952CE">
        <w:rPr>
          <w:rFonts w:ascii="Palatino Linotype" w:eastAsia="Palatino Linotype" w:hAnsi="Palatino Linotype" w:cs="Palatino Linotype"/>
          <w:b/>
          <w:i/>
          <w:sz w:val="22"/>
          <w:szCs w:val="22"/>
        </w:rPr>
        <w:t>HECHOS NEGATIVOS, NO SON SUSCEPTIBLES DE DEMOSTRACIÓN</w:t>
      </w:r>
      <w:r w:rsidRPr="008952CE">
        <w:rPr>
          <w:rFonts w:ascii="Palatino Linotype" w:eastAsia="Palatino Linotype" w:hAnsi="Palatino Linotype" w:cs="Palatino Linotype"/>
          <w:i/>
          <w:sz w:val="22"/>
          <w:szCs w:val="22"/>
        </w:rPr>
        <w:t>.</w:t>
      </w:r>
    </w:p>
    <w:p w:rsidR="004335B3" w:rsidRPr="008952CE" w:rsidRDefault="00BE4D27">
      <w:pPr>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rsidR="004335B3" w:rsidRPr="008952CE" w:rsidRDefault="004335B3">
      <w:pPr>
        <w:ind w:left="851" w:right="851"/>
        <w:jc w:val="both"/>
        <w:rPr>
          <w:rFonts w:ascii="Palatino Linotype" w:eastAsia="Palatino Linotype" w:hAnsi="Palatino Linotype" w:cs="Palatino Linotype"/>
          <w:i/>
          <w:sz w:val="22"/>
          <w:szCs w:val="22"/>
        </w:rPr>
      </w:pPr>
    </w:p>
    <w:p w:rsidR="004335B3" w:rsidRPr="008952CE" w:rsidRDefault="00BE4D27">
      <w:pPr>
        <w:spacing w:before="120" w:after="120"/>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Amparo en revisión 2022/61. José García Florín (Menor). 9 de octubre de 1961. Cinco votos. Ponente: José Rivera Pérez Campos.” (Sic)</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Ya que el área que se pronunció es la competente para conocer de la información solicitada en términos de lo señalado 145 del Bando Municipal del Ayuntamiento Acambay de Ruiz de Castañeda y concordancia con los artículo 12 y 14 de la Ley Que Crea Los Organismos Públicos Descentralizados De Asistencia Social, De Carácter Municipal, Denominados "Sistemas Municipales Para El Desarrollo Integral De La Familia", que señalan:</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ind w:left="851" w:right="851"/>
        <w:jc w:val="both"/>
        <w:rPr>
          <w:rFonts w:ascii="Palatino Linotype" w:eastAsia="Palatino Linotype" w:hAnsi="Palatino Linotype" w:cs="Palatino Linotype"/>
          <w:b/>
          <w:i/>
          <w:sz w:val="22"/>
          <w:szCs w:val="22"/>
          <w:u w:val="single"/>
        </w:rPr>
      </w:pPr>
      <w:r w:rsidRPr="008952CE">
        <w:rPr>
          <w:rFonts w:ascii="Palatino Linotype" w:eastAsia="Palatino Linotype" w:hAnsi="Palatino Linotype" w:cs="Palatino Linotype"/>
          <w:i/>
          <w:sz w:val="22"/>
          <w:szCs w:val="22"/>
        </w:rPr>
        <w:lastRenderedPageBreak/>
        <w:t xml:space="preserve">“Artículo 145. </w:t>
      </w:r>
      <w:r w:rsidRPr="008952CE">
        <w:rPr>
          <w:rFonts w:ascii="Palatino Linotype" w:eastAsia="Palatino Linotype" w:hAnsi="Palatino Linotype" w:cs="Palatino Linotype"/>
          <w:b/>
          <w:i/>
          <w:sz w:val="22"/>
          <w:szCs w:val="22"/>
        </w:rPr>
        <w:t>El Sistema Municipal para el Desarrollo Integral de la Familia del Municipio Acambay de Ruíz Castañeda, es un organismo</w:t>
      </w:r>
      <w:r w:rsidRPr="008952CE">
        <w:rPr>
          <w:rFonts w:ascii="Palatino Linotype" w:eastAsia="Palatino Linotype" w:hAnsi="Palatino Linotype" w:cs="Palatino Linotype"/>
          <w:i/>
          <w:sz w:val="22"/>
          <w:szCs w:val="22"/>
        </w:rPr>
        <w:t xml:space="preserve"> público descentralizado, </w:t>
      </w:r>
      <w:r w:rsidRPr="008952CE">
        <w:rPr>
          <w:rFonts w:ascii="Palatino Linotype" w:eastAsia="Palatino Linotype" w:hAnsi="Palatino Linotype" w:cs="Palatino Linotype"/>
          <w:b/>
          <w:i/>
          <w:sz w:val="22"/>
          <w:szCs w:val="22"/>
        </w:rPr>
        <w:t>con personalidad jurídica y patrimonio propio, tiene autonomía para el manejo de sus recursos</w:t>
      </w:r>
      <w:r w:rsidRPr="008952CE">
        <w:rPr>
          <w:rFonts w:ascii="Palatino Linotype" w:eastAsia="Palatino Linotype" w:hAnsi="Palatino Linotype" w:cs="Palatino Linotype"/>
          <w:i/>
          <w:sz w:val="22"/>
          <w:szCs w:val="22"/>
        </w:rPr>
        <w:t xml:space="preserve"> y </w:t>
      </w:r>
      <w:r w:rsidRPr="008952CE">
        <w:rPr>
          <w:rFonts w:ascii="Palatino Linotype" w:eastAsia="Palatino Linotype" w:hAnsi="Palatino Linotype" w:cs="Palatino Linotype"/>
          <w:b/>
          <w:i/>
          <w:sz w:val="22"/>
          <w:szCs w:val="22"/>
          <w:u w:val="single"/>
        </w:rPr>
        <w:t>se rige por la Ley que crea los Organismos Públicos Descentralizados de Asistencia Social, de carácter Municipal denominados Sistemas Municipales para el Desarrollo Integral de la Familia (SMDIF).</w:t>
      </w:r>
    </w:p>
    <w:p w:rsidR="004335B3" w:rsidRPr="008952CE" w:rsidRDefault="004335B3">
      <w:pPr>
        <w:ind w:left="851" w:right="851"/>
        <w:jc w:val="both"/>
        <w:rPr>
          <w:rFonts w:ascii="Palatino Linotype" w:eastAsia="Palatino Linotype" w:hAnsi="Palatino Linotype" w:cs="Palatino Linotype"/>
          <w:b/>
          <w:i/>
          <w:sz w:val="22"/>
          <w:szCs w:val="22"/>
          <w:u w:val="single"/>
        </w:rPr>
      </w:pPr>
    </w:p>
    <w:p w:rsidR="004335B3" w:rsidRPr="008952CE" w:rsidRDefault="00BE4D27">
      <w:pPr>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Artículo 12.- </w:t>
      </w:r>
      <w:r w:rsidRPr="008952CE">
        <w:rPr>
          <w:rFonts w:ascii="Palatino Linotype" w:eastAsia="Palatino Linotype" w:hAnsi="Palatino Linotype" w:cs="Palatino Linotype"/>
          <w:b/>
          <w:i/>
          <w:sz w:val="22"/>
          <w:szCs w:val="22"/>
        </w:rPr>
        <w:t>El Órgano Superior de los Organismos será la Junta de Gobierno</w:t>
      </w:r>
      <w:r w:rsidRPr="008952CE">
        <w:rPr>
          <w:rFonts w:ascii="Palatino Linotype" w:eastAsia="Palatino Linotype" w:hAnsi="Palatino Linotype" w:cs="Palatino Linotype"/>
          <w:i/>
          <w:sz w:val="22"/>
          <w:szCs w:val="22"/>
        </w:rPr>
        <w:t xml:space="preserve">, la cual se </w:t>
      </w:r>
      <w:r w:rsidRPr="008952CE">
        <w:rPr>
          <w:rFonts w:ascii="Palatino Linotype" w:eastAsia="Palatino Linotype" w:hAnsi="Palatino Linotype" w:cs="Palatino Linotype"/>
          <w:b/>
          <w:i/>
          <w:sz w:val="22"/>
          <w:szCs w:val="22"/>
        </w:rPr>
        <w:t xml:space="preserve">integrará </w:t>
      </w:r>
      <w:r w:rsidRPr="008952CE">
        <w:rPr>
          <w:rFonts w:ascii="Palatino Linotype" w:eastAsia="Palatino Linotype" w:hAnsi="Palatino Linotype" w:cs="Palatino Linotype"/>
          <w:i/>
          <w:sz w:val="22"/>
          <w:szCs w:val="22"/>
        </w:rPr>
        <w:t xml:space="preserve">con un Presidente, </w:t>
      </w:r>
      <w:r w:rsidRPr="008952CE">
        <w:rPr>
          <w:rFonts w:ascii="Palatino Linotype" w:eastAsia="Palatino Linotype" w:hAnsi="Palatino Linotype" w:cs="Palatino Linotype"/>
          <w:b/>
          <w:i/>
          <w:sz w:val="22"/>
          <w:szCs w:val="22"/>
        </w:rPr>
        <w:t>un Secretario</w:t>
      </w:r>
      <w:r w:rsidRPr="008952CE">
        <w:rPr>
          <w:rFonts w:ascii="Palatino Linotype" w:eastAsia="Palatino Linotype" w:hAnsi="Palatino Linotype" w:cs="Palatino Linotype"/>
          <w:i/>
          <w:sz w:val="22"/>
          <w:szCs w:val="22"/>
        </w:rPr>
        <w:t xml:space="preserve">, un Tesorero y dos Vocales. Recayendo la Presidencia en la persona que al efecto nombre el C. Presidente Municipal, lo mismo </w:t>
      </w:r>
      <w:r w:rsidRPr="008952CE">
        <w:rPr>
          <w:rFonts w:ascii="Palatino Linotype" w:eastAsia="Palatino Linotype" w:hAnsi="Palatino Linotype" w:cs="Palatino Linotype"/>
          <w:b/>
          <w:i/>
          <w:sz w:val="22"/>
          <w:szCs w:val="22"/>
        </w:rPr>
        <w:t>el Secretario, que en todo caso será el Director</w:t>
      </w:r>
      <w:r w:rsidRPr="008952CE">
        <w:rPr>
          <w:rFonts w:ascii="Palatino Linotype" w:eastAsia="Palatino Linotype" w:hAnsi="Palatino Linotype" w:cs="Palatino Linotype"/>
          <w:i/>
          <w:sz w:val="22"/>
          <w:szCs w:val="22"/>
        </w:rPr>
        <w:t>, el Tesorero será la persona que designe el Presidente de la Junta de Gobierno y los Vocales serán dos funcionarios Municipales, cuya actividad se encuentre más relacionada con los objetivos de los Organismos.</w:t>
      </w:r>
    </w:p>
    <w:p w:rsidR="004335B3" w:rsidRPr="008952CE" w:rsidRDefault="00BE4D27">
      <w:pPr>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w:t>
      </w:r>
    </w:p>
    <w:p w:rsidR="004335B3" w:rsidRPr="008952CE" w:rsidRDefault="00BE4D27">
      <w:pPr>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Artículo 14.- La Dirección tendrá las atribuciones y obligaciones siguientes</w:t>
      </w:r>
      <w:r w:rsidRPr="008952CE">
        <w:rPr>
          <w:rFonts w:ascii="Palatino Linotype" w:eastAsia="Palatino Linotype" w:hAnsi="Palatino Linotype" w:cs="Palatino Linotype"/>
          <w:i/>
          <w:sz w:val="22"/>
          <w:szCs w:val="22"/>
        </w:rPr>
        <w:t xml:space="preserve">: </w:t>
      </w:r>
    </w:p>
    <w:p w:rsidR="004335B3" w:rsidRPr="008952CE" w:rsidRDefault="00BE4D27">
      <w:pPr>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I. Dirigir los servicios que debe prestar el Sistema Municipal con la asesoría del DIFEM; </w:t>
      </w:r>
    </w:p>
    <w:p w:rsidR="004335B3" w:rsidRPr="008952CE" w:rsidRDefault="00BE4D27">
      <w:pPr>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II. Dirigir el funcionamiento del Sistema en todos sus aspectos</w:t>
      </w:r>
      <w:r w:rsidRPr="008952CE">
        <w:rPr>
          <w:rFonts w:ascii="Palatino Linotype" w:eastAsia="Palatino Linotype" w:hAnsi="Palatino Linotype" w:cs="Palatino Linotype"/>
          <w:i/>
          <w:sz w:val="22"/>
          <w:szCs w:val="22"/>
        </w:rPr>
        <w:t xml:space="preserve">, ejecutando los planes y programas aprobados; </w:t>
      </w:r>
    </w:p>
    <w:p w:rsidR="004335B3" w:rsidRPr="008952CE" w:rsidRDefault="00BE4D27">
      <w:pPr>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III. Rendir los informes parciales que la Junta de Gobierno o la presidencia les solicite; </w:t>
      </w:r>
    </w:p>
    <w:p w:rsidR="004335B3" w:rsidRPr="008952CE" w:rsidRDefault="00BE4D27">
      <w:pPr>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IV. En coordinación con el Tesorero ejecutar y controlar el presupuesto del Sistema Municipal, en los términos aprobados; y </w:t>
      </w:r>
    </w:p>
    <w:p w:rsidR="004335B3" w:rsidRPr="008952CE" w:rsidRDefault="00BE4D27">
      <w:pPr>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V. Cuidar que la aplicación de los gastos se haga llenando los requisitos legales conforme al presupuesto respectivo; </w:t>
      </w:r>
    </w:p>
    <w:p w:rsidR="004335B3" w:rsidRPr="008952CE" w:rsidRDefault="00BE4D27">
      <w:pPr>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VI. Elaborar conjuntamente con el Órgano de Control Interno, el inventario general de los bienes muebles e inmuebles propiedad del organismo, haciendo que se inscriban en el libro especial, con expresión de sus valores y de todas las características de identificación como el uso y destino de los mismos; </w:t>
      </w:r>
    </w:p>
    <w:p w:rsidR="004335B3" w:rsidRPr="008952CE" w:rsidRDefault="00BE4D27">
      <w:pPr>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VII. Regularizar la propiedad de los bienes inmuebles del organismo; </w:t>
      </w:r>
    </w:p>
    <w:p w:rsidR="004335B3" w:rsidRPr="008952CE" w:rsidRDefault="00BE4D27">
      <w:pPr>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VIII. Certificar la documentación oficial emanada de la Junta de Gobierno o de cualquiera de sus miembros y cuando se trate de documentación presentada ante el Órgano Superior de Fiscalización del Estado de México; </w:t>
      </w:r>
    </w:p>
    <w:p w:rsidR="004335B3" w:rsidRPr="008952CE" w:rsidRDefault="00BE4D27">
      <w:pPr>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IX. Integrar y autorizar con su firma, la documentación que deba presentarse al Órgano Superior de Fiscalización del Estado de México; </w:t>
      </w:r>
    </w:p>
    <w:p w:rsidR="004335B3" w:rsidRPr="008952CE" w:rsidRDefault="00BE4D27">
      <w:pPr>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lastRenderedPageBreak/>
        <w:t xml:space="preserve">X. Supervisar y vigilar que el manejo, administración, registro, control, uso, mantenimiento y conservación de los recursos que conforman el patrimonio del organismo, se realice conforme a las disposiciones legales aplicables; y </w:t>
      </w:r>
    </w:p>
    <w:p w:rsidR="004335B3" w:rsidRPr="008952CE" w:rsidRDefault="00BE4D27">
      <w:pPr>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XI. Las demás que sean necesarias para el ejercicio de los anteriores a juicio de la Junta de Gobierno y la Presidencia</w:t>
      </w:r>
      <w:r w:rsidRPr="008952CE">
        <w:rPr>
          <w:rFonts w:ascii="Palatino Linotype" w:eastAsia="Palatino Linotype" w:hAnsi="Palatino Linotype" w:cs="Palatino Linotype"/>
          <w:i/>
          <w:sz w:val="22"/>
          <w:szCs w:val="22"/>
        </w:rPr>
        <w:t>.” (Sic)</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pBdr>
          <w:top w:val="nil"/>
          <w:left w:val="nil"/>
          <w:bottom w:val="nil"/>
          <w:right w:val="nil"/>
          <w:between w:val="nil"/>
        </w:pBdr>
        <w:spacing w:before="12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Máxime, que esté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4335B3" w:rsidRPr="008952CE" w:rsidRDefault="004335B3">
      <w:pPr>
        <w:pBdr>
          <w:top w:val="nil"/>
          <w:left w:val="nil"/>
          <w:bottom w:val="nil"/>
          <w:right w:val="nil"/>
          <w:between w:val="nil"/>
        </w:pBdr>
        <w:spacing w:after="120" w:line="360" w:lineRule="auto"/>
        <w:jc w:val="both"/>
        <w:rPr>
          <w:rFonts w:ascii="Palatino Linotype" w:eastAsia="Palatino Linotype" w:hAnsi="Palatino Linotype" w:cs="Palatino Linotype"/>
        </w:rPr>
      </w:pPr>
    </w:p>
    <w:p w:rsidR="004335B3" w:rsidRPr="008952CE" w:rsidRDefault="00BE4D27">
      <w:pPr>
        <w:spacing w:before="120" w:after="120"/>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w:t>
      </w:r>
      <w:r w:rsidRPr="008952CE">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8952CE">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4335B3" w:rsidRPr="008952CE" w:rsidRDefault="004335B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4335B3" w:rsidRPr="008952CE" w:rsidRDefault="00BE4D27">
      <w:pPr>
        <w:pBdr>
          <w:top w:val="nil"/>
          <w:left w:val="nil"/>
          <w:bottom w:val="nil"/>
          <w:right w:val="nil"/>
          <w:between w:val="nil"/>
        </w:pBd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De lo anterior, este Organismo Resolutor en aras de tutelar el derecho de acceso a la información de los particulares, tiene la obligación de apegarse en todo momento a </w:t>
      </w:r>
      <w:r w:rsidRPr="008952CE">
        <w:rPr>
          <w:rFonts w:ascii="Palatino Linotype" w:eastAsia="Palatino Linotype" w:hAnsi="Palatino Linotype" w:cs="Palatino Linotype"/>
        </w:rPr>
        <w:lastRenderedPageBreak/>
        <w:t>lo que dispone la Ley de Transparencia y Acceso a la Información Pública del Estado de México y Municipios garantizando los principios de imparcialidad y legalidad en el procedimiento de impugnación y resolución del recurso planteado.</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pBdr>
          <w:top w:val="nil"/>
          <w:left w:val="nil"/>
          <w:bottom w:val="nil"/>
          <w:right w:val="nil"/>
          <w:between w:val="nil"/>
        </w:pBd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Por otro lado, por lo que respecta al punto “7”, concerniente a:</w:t>
      </w:r>
    </w:p>
    <w:p w:rsidR="004335B3" w:rsidRPr="008952CE" w:rsidRDefault="004335B3">
      <w:pPr>
        <w:pBdr>
          <w:top w:val="nil"/>
          <w:left w:val="nil"/>
          <w:bottom w:val="nil"/>
          <w:right w:val="nil"/>
          <w:between w:val="nil"/>
        </w:pBdr>
        <w:spacing w:line="360" w:lineRule="auto"/>
        <w:jc w:val="both"/>
        <w:rPr>
          <w:rFonts w:ascii="Palatino Linotype" w:eastAsia="Palatino Linotype" w:hAnsi="Palatino Linotype" w:cs="Palatino Linotype"/>
        </w:rPr>
      </w:pPr>
    </w:p>
    <w:p w:rsidR="004335B3" w:rsidRPr="008952CE" w:rsidRDefault="00BE4D27">
      <w:pPr>
        <w:pBdr>
          <w:top w:val="nil"/>
          <w:left w:val="nil"/>
          <w:bottom w:val="nil"/>
          <w:right w:val="nil"/>
          <w:between w:val="nil"/>
        </w:pBdr>
        <w:spacing w:line="360" w:lineRule="auto"/>
        <w:jc w:val="both"/>
        <w:rPr>
          <w:rFonts w:ascii="Palatino Linotype" w:eastAsia="Palatino Linotype" w:hAnsi="Palatino Linotype" w:cs="Palatino Linotype"/>
          <w:b/>
        </w:rPr>
      </w:pPr>
      <w:r w:rsidRPr="008952CE">
        <w:rPr>
          <w:rFonts w:ascii="Palatino Linotype" w:eastAsia="Palatino Linotype" w:hAnsi="Palatino Linotype" w:cs="Palatino Linotype"/>
          <w:b/>
        </w:rPr>
        <w:t>7. Copia del registro de deudores alimentarios morosos.</w:t>
      </w:r>
    </w:p>
    <w:p w:rsidR="004335B3" w:rsidRPr="008952CE" w:rsidRDefault="004335B3">
      <w:pPr>
        <w:pBdr>
          <w:top w:val="nil"/>
          <w:left w:val="nil"/>
          <w:bottom w:val="nil"/>
          <w:right w:val="nil"/>
          <w:between w:val="nil"/>
        </w:pBdr>
        <w:spacing w:line="360" w:lineRule="auto"/>
        <w:jc w:val="both"/>
        <w:rPr>
          <w:rFonts w:ascii="Palatino Linotype" w:eastAsia="Palatino Linotype" w:hAnsi="Palatino Linotype" w:cs="Palatino Linotype"/>
        </w:rPr>
      </w:pPr>
    </w:p>
    <w:p w:rsidR="004335B3" w:rsidRPr="008952CE" w:rsidRDefault="00BE4D27">
      <w:pPr>
        <w:pBdr>
          <w:top w:val="nil"/>
          <w:left w:val="nil"/>
          <w:bottom w:val="nil"/>
          <w:right w:val="nil"/>
          <w:between w:val="nil"/>
        </w:pBd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Si bien en respuesta el </w:t>
      </w:r>
      <w:r w:rsidRPr="008952CE">
        <w:rPr>
          <w:rFonts w:ascii="Palatino Linotype" w:eastAsia="Palatino Linotype" w:hAnsi="Palatino Linotype" w:cs="Palatino Linotype"/>
          <w:b/>
        </w:rPr>
        <w:t xml:space="preserve">SUJETO OBLIGADO, </w:t>
      </w:r>
      <w:r w:rsidRPr="008952CE">
        <w:rPr>
          <w:rFonts w:ascii="Palatino Linotype" w:eastAsia="Palatino Linotype" w:hAnsi="Palatino Linotype" w:cs="Palatino Linotype"/>
        </w:rPr>
        <w:t xml:space="preserve">a través de su Directora del Sistema Municipal DIF de Acambay de Ruiz de Castañeda, señaló que no se tiene registro, sin adjuntar el documento que acreditara su dicho; lo que daría que el motivo de inconformidad de la </w:t>
      </w:r>
      <w:r w:rsidRPr="008952CE">
        <w:rPr>
          <w:rFonts w:ascii="Palatino Linotype" w:eastAsia="Palatino Linotype" w:hAnsi="Palatino Linotype" w:cs="Palatino Linotype"/>
          <w:b/>
        </w:rPr>
        <w:t>RECURRENTE</w:t>
      </w:r>
      <w:r w:rsidRPr="008952CE">
        <w:rPr>
          <w:rFonts w:ascii="Palatino Linotype" w:eastAsia="Palatino Linotype" w:hAnsi="Palatino Linotype" w:cs="Palatino Linotype"/>
        </w:rPr>
        <w:t xml:space="preserve"> sea fundado, pero el documento en donde conste el registro de deudores alimentarios morosos, se considera por este Organismo Garante como confidencial en su totalidad, por lo que el motivo de inconformidad resulta inoperante, conforme a lo siguiente:</w:t>
      </w:r>
    </w:p>
    <w:p w:rsidR="004335B3" w:rsidRPr="008952CE" w:rsidRDefault="004335B3">
      <w:pPr>
        <w:pBdr>
          <w:top w:val="nil"/>
          <w:left w:val="nil"/>
          <w:bottom w:val="nil"/>
          <w:right w:val="nil"/>
          <w:between w:val="nil"/>
        </w:pBd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Por lo que hace los certificados de no deudor alimentario moroso este debe ser protegido mediante su clasificación como </w:t>
      </w:r>
      <w:r w:rsidRPr="008952CE">
        <w:rPr>
          <w:rFonts w:ascii="Palatino Linotype" w:eastAsia="Palatino Linotype" w:hAnsi="Palatino Linotype" w:cs="Palatino Linotype"/>
          <w:b/>
        </w:rPr>
        <w:t>confidencial en su totalidad</w:t>
      </w:r>
      <w:r w:rsidRPr="008952CE">
        <w:rPr>
          <w:rFonts w:ascii="Palatino Linotype" w:eastAsia="Palatino Linotype" w:hAnsi="Palatino Linotype" w:cs="Palatino Linotype"/>
        </w:rPr>
        <w:t>, ello derivado a que el estar inscrito en dicho registro tiene un impacto en la imagen de un servidor público y se trata de un tema estrictamente de carácter personal e incluso de tipo familiar.</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Al respecto, en el Proyecto de Decreto por el que se Reforman y Adicionan Diversas Disposiciones para crear el Registro de Deudores Alimentarios del Estado de </w:t>
      </w:r>
      <w:r w:rsidRPr="008952CE">
        <w:rPr>
          <w:rFonts w:ascii="Palatino Linotype" w:eastAsia="Palatino Linotype" w:hAnsi="Palatino Linotype" w:cs="Palatino Linotype"/>
        </w:rPr>
        <w:lastRenderedPageBreak/>
        <w:t xml:space="preserve">México, disponible en la dirección electrónica </w:t>
      </w:r>
      <w:hyperlink r:id="rId17" w:anchor=":~:text=La%20inscripci%C3%B3n%20con%20el%20car%C3%A1cter,del%20Estado%20de%20M%C3%A9xico%20e">
        <w:r w:rsidRPr="008952CE">
          <w:rPr>
            <w:rFonts w:ascii="Palatino Linotype" w:eastAsia="Palatino Linotype" w:hAnsi="Palatino Linotype" w:cs="Palatino Linotype"/>
            <w:u w:val="single"/>
          </w:rPr>
          <w:t>https://www.ipomex.org.mx/recursos/ipo/files_ipo/2014/8/11/630bc7787b59af912a96a9e1bca1c770.pdf#:~:text=La%20inscripci%C3%B3n%20con%20el%20car%C3%A1cter,del%20Estado%20de%20M%C3%A9xico%20e</w:t>
        </w:r>
      </w:hyperlink>
      <w:r w:rsidRPr="008952CE">
        <w:rPr>
          <w:rFonts w:ascii="Palatino Linotype" w:eastAsia="Palatino Linotype" w:hAnsi="Palatino Linotype" w:cs="Palatino Linotype"/>
        </w:rPr>
        <w:t xml:space="preserve">, pueden advertirse los objetivos de crear dicho registro: </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ind w:left="567" w:right="53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“El interés superior del menor debe prevalecer en cualquier controversia de derecho familiar, situación que obliga a las autoridades a establecer las medidas necesarias para asegurar el cumplimiento del pago de la pensión alimenticia decretada a su favor.</w:t>
      </w:r>
    </w:p>
    <w:p w:rsidR="004335B3" w:rsidRPr="008952CE" w:rsidRDefault="004335B3">
      <w:pPr>
        <w:ind w:left="567"/>
        <w:jc w:val="both"/>
        <w:rPr>
          <w:rFonts w:ascii="Palatino Linotype" w:eastAsia="Palatino Linotype" w:hAnsi="Palatino Linotype" w:cs="Palatino Linotype"/>
          <w:i/>
          <w:sz w:val="22"/>
          <w:szCs w:val="22"/>
        </w:rPr>
      </w:pPr>
    </w:p>
    <w:p w:rsidR="004335B3" w:rsidRPr="008952CE" w:rsidRDefault="00BE4D27">
      <w:pPr>
        <w:ind w:left="567" w:right="53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De acuerdo a nuestra legislación, el derecho a los alimentos no sólo se comprende el acceso a los productos para la nutrición y alimentación sino también lo relativo a la educación, vivienda, vestido, asistencia médica, recreación, entre otros; aspectos todos que permiten o posibilitan el desarrollo integral de las personas.</w:t>
      </w:r>
    </w:p>
    <w:p w:rsidR="004335B3" w:rsidRPr="008952CE" w:rsidRDefault="004335B3">
      <w:pPr>
        <w:ind w:left="567" w:right="539"/>
        <w:jc w:val="both"/>
        <w:rPr>
          <w:rFonts w:ascii="Palatino Linotype" w:eastAsia="Palatino Linotype" w:hAnsi="Palatino Linotype" w:cs="Palatino Linotype"/>
          <w:i/>
          <w:sz w:val="22"/>
          <w:szCs w:val="22"/>
        </w:rPr>
      </w:pPr>
    </w:p>
    <w:p w:rsidR="004335B3" w:rsidRPr="008952CE" w:rsidRDefault="00BE4D27">
      <w:pPr>
        <w:ind w:left="567" w:right="53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En nuestra Entidad, las demandas de alimentos son presentadas en su gran mayoría por mujeres madres de familia que demandan, por su propio derecho y/o en representación de sus menores hijos, de su cónyuge, concubino o ex pareja el cumplimiento de esta obligación. Esto debido a que en ocasiones los obligados a proporcionar alimentos eluden su responsabilidad, con la errónea idea de que será en perjuicio de su pareja o ex pareja, sin entender que son los menores hijos los que resultan más afectados. Así que, al acudir al sistema de justicia se pretende que la pensión alimenticia correspondiente quede fijada definitivamente y se garantice el cumplimiento de la obligación alimentaria.</w:t>
      </w:r>
    </w:p>
    <w:p w:rsidR="004335B3" w:rsidRPr="008952CE" w:rsidRDefault="004335B3">
      <w:pPr>
        <w:ind w:left="567" w:right="539"/>
        <w:jc w:val="both"/>
        <w:rPr>
          <w:rFonts w:ascii="Palatino Linotype" w:eastAsia="Palatino Linotype" w:hAnsi="Palatino Linotype" w:cs="Palatino Linotype"/>
          <w:i/>
          <w:sz w:val="22"/>
          <w:szCs w:val="22"/>
        </w:rPr>
      </w:pPr>
    </w:p>
    <w:p w:rsidR="004335B3" w:rsidRPr="008952CE" w:rsidRDefault="00BE4D27">
      <w:pPr>
        <w:ind w:left="567" w:right="53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Los alimentos tienen carácter preferente a favor de los hijos, sin que pueda eximirse el deudor alimentario de su cumplimiento cuando esté en posibilidades de hacerlo. En el Estado de México,</w:t>
      </w:r>
      <w:r w:rsidRPr="008952CE">
        <w:rPr>
          <w:rFonts w:ascii="Palatino Linotype" w:eastAsia="Palatino Linotype" w:hAnsi="Palatino Linotype" w:cs="Palatino Linotype"/>
          <w:sz w:val="22"/>
          <w:szCs w:val="22"/>
        </w:rPr>
        <w:t xml:space="preserve"> </w:t>
      </w:r>
      <w:r w:rsidRPr="008952CE">
        <w:rPr>
          <w:rFonts w:ascii="Palatino Linotype" w:eastAsia="Palatino Linotype" w:hAnsi="Palatino Linotype" w:cs="Palatino Linotype"/>
          <w:i/>
          <w:sz w:val="22"/>
          <w:szCs w:val="22"/>
        </w:rPr>
        <w:t>diversos son los instrumentos legales que se tienen para obligar al deudor al pago de alimentos, cuando éstos no se enteran de manera voluntaria, como debe ser el ideal, entre los que destacan: el embargo de bienes, incluyendo, la del salario, así como la pérdida de la patria potestad, contempladas en la legislación civil, sustantiva y adjetiva. También podemos citar, la imposición de la pena de prisión hasta por siete años, por el delito de incumplimiento de obligaciones, previsto en las fracciones II y III, del artículo 217, del Código Penal del Estado de México. Pese a los alcances de estas medidas legales, éstas no han sido suficientes para hacer cumplir a los deudores con sus obligaciones alimentarias.</w:t>
      </w:r>
    </w:p>
    <w:p w:rsidR="004335B3" w:rsidRPr="008952CE" w:rsidRDefault="004335B3">
      <w:pPr>
        <w:ind w:left="567" w:right="539"/>
        <w:jc w:val="both"/>
        <w:rPr>
          <w:rFonts w:ascii="Palatino Linotype" w:eastAsia="Palatino Linotype" w:hAnsi="Palatino Linotype" w:cs="Palatino Linotype"/>
          <w:i/>
          <w:sz w:val="22"/>
          <w:szCs w:val="22"/>
        </w:rPr>
      </w:pPr>
    </w:p>
    <w:p w:rsidR="004335B3" w:rsidRPr="008952CE" w:rsidRDefault="00BE4D27">
      <w:pPr>
        <w:ind w:left="567" w:right="53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Por ello, creemos necesario establecer nuevos y diferentes mecanismos que aseguren el pago de los alimentos, para que sean satisfechas las necesidades más básicas, principalmente de los menores, que no pueden allegarse por sí mismos los recursos económicos para la subsistencia. Lo anterior, porque cuando una persona ha logrado satisfacer sus necesidades básicas, entonces está en mejores condiciones para crecer y superarse. En ese sentido, el presente Proyecto de Decreto propone la creación del Registro de Deudores Alimentarios del Estado de México (REDAEM), </w:t>
      </w:r>
      <w:r w:rsidRPr="008952CE">
        <w:rPr>
          <w:rFonts w:ascii="Palatino Linotype" w:eastAsia="Palatino Linotype" w:hAnsi="Palatino Linotype" w:cs="Palatino Linotype"/>
          <w:b/>
          <w:i/>
          <w:sz w:val="22"/>
          <w:szCs w:val="22"/>
          <w:u w:val="single"/>
        </w:rPr>
        <w:t>con la finalidad de asegurar el cumplimiento de las obligaciones alimentarias que tienen los padres para con sus menores hijos.” (Sic)</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De lo anterior se desprende que el registro de deudores alimentarios morosos no tiene por objeto su publicidad, sino por el contrario que sea un mecanismo para garantizar que los padres cumplan con su obligación de dar alimentos a los hijos en razón de su protección (interés superior del menor), en este sentido si bien dicho registro no es público, para el caso de proporcionar los que no están inscritos como deudores morosos y se clasifiquen los que sí se encuentran inscritos se puede arribar a la conclusión de quiénes sí se encuentran como deudores alimentarios morosos, por lo tanto, no es procedente entrega esta información ni de quienes están ni de quienes no están, por lo que resulta procedente clasificar la información solicitada por el Recurrente de manera general como </w:t>
      </w:r>
      <w:r w:rsidRPr="008952CE">
        <w:rPr>
          <w:rFonts w:ascii="Palatino Linotype" w:eastAsia="Palatino Linotype" w:hAnsi="Palatino Linotype" w:cs="Palatino Linotype"/>
          <w:b/>
        </w:rPr>
        <w:t>información confidencial en su totalidad</w:t>
      </w:r>
      <w:r w:rsidRPr="008952CE">
        <w:rPr>
          <w:rFonts w:ascii="Palatino Linotype" w:eastAsia="Palatino Linotype" w:hAnsi="Palatino Linotype" w:cs="Palatino Linotype"/>
        </w:rPr>
        <w:t xml:space="preserve"> en términos del artículo 143, fracción I, de la Ley de Transparencia y Acceso a la Información Pública del Estado de México y Municipios. </w:t>
      </w:r>
    </w:p>
    <w:p w:rsidR="004335B3" w:rsidRPr="008952CE" w:rsidRDefault="004335B3">
      <w:pPr>
        <w:pBdr>
          <w:top w:val="nil"/>
          <w:left w:val="nil"/>
          <w:bottom w:val="nil"/>
          <w:right w:val="nil"/>
          <w:between w:val="nil"/>
        </w:pBd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Finalmente, respecto del punto descrito en el cuadro comparativo con el número 8, sobre:</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b/>
        </w:rPr>
      </w:pPr>
      <w:bookmarkStart w:id="3" w:name="_heading=h.3znysh7" w:colFirst="0" w:colLast="0"/>
      <w:bookmarkEnd w:id="3"/>
      <w:r w:rsidRPr="008952CE">
        <w:rPr>
          <w:rFonts w:ascii="Palatino Linotype" w:eastAsia="Palatino Linotype" w:hAnsi="Palatino Linotype" w:cs="Palatino Linotype"/>
          <w:b/>
        </w:rPr>
        <w:t>8. El contrato laboral o lo que acredite la relación laboral con el DIF.</w:t>
      </w: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lastRenderedPageBreak/>
        <w:t>En respuesta la Directora del Sistema Municipal DIF de Acambay de Ruiz de Castañeda, señaló que no aplica; sin embargo, no pasa desapercibido que en alusión a la Ley del Trabajo de los Servidores Públicos del Estado de México</w:t>
      </w:r>
      <w:r w:rsidRPr="008952CE">
        <w:rPr>
          <w:rFonts w:ascii="Palatino Linotype" w:eastAsia="Palatino Linotype" w:hAnsi="Palatino Linotype" w:cs="Palatino Linotype"/>
          <w:i/>
        </w:rPr>
        <w:t xml:space="preserve">, </w:t>
      </w:r>
      <w:r w:rsidRPr="008952CE">
        <w:rPr>
          <w:rFonts w:ascii="Palatino Linotype" w:eastAsia="Palatino Linotype" w:hAnsi="Palatino Linotype" w:cs="Palatino Linotype"/>
        </w:rPr>
        <w:t>que tiene por objeto regular las relaciones de trabajo comprendidas entre los poderes públicos del Estado y los Municipios, y sus respectivos servidores públicos</w:t>
      </w:r>
      <w:r w:rsidRPr="008952CE">
        <w:rPr>
          <w:rFonts w:ascii="Palatino Linotype" w:eastAsia="Palatino Linotype" w:hAnsi="Palatino Linotype" w:cs="Palatino Linotype"/>
          <w:vertAlign w:val="superscript"/>
        </w:rPr>
        <w:footnoteReference w:id="1"/>
      </w:r>
      <w:r w:rsidRPr="008952CE">
        <w:rPr>
          <w:rFonts w:ascii="Palatino Linotype" w:eastAsia="Palatino Linotype" w:hAnsi="Palatino Linotype" w:cs="Palatino Linotype"/>
        </w:rPr>
        <w:t>, las que se entienden establecidas mediante nombramiento, formato único de movimiento de personal, contrato o por cualquier otro acto que tenga como consecuencia la prestación personal subordinada del servicio y la percepción de un sueldo, como así lo determina en su artículo 5 que señala:</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after="120"/>
        <w:ind w:left="851" w:right="902"/>
        <w:jc w:val="both"/>
        <w:rPr>
          <w:rFonts w:ascii="Palatino Linotype" w:eastAsia="Palatino Linotype" w:hAnsi="Palatino Linotype" w:cs="Palatino Linotype"/>
          <w:b/>
          <w:i/>
          <w:sz w:val="22"/>
          <w:szCs w:val="22"/>
          <w:u w:val="single"/>
        </w:rPr>
      </w:pPr>
      <w:r w:rsidRPr="008952CE">
        <w:rPr>
          <w:rFonts w:ascii="Palatino Linotype" w:eastAsia="Palatino Linotype" w:hAnsi="Palatino Linotype" w:cs="Palatino Linotype"/>
          <w:i/>
          <w:sz w:val="22"/>
          <w:szCs w:val="22"/>
        </w:rPr>
        <w:t xml:space="preserve">“ARTÍCULO 5.- La relación de trabajo entre las instituciones públicas y sus servidores públicos se entiende establecida </w:t>
      </w:r>
      <w:r w:rsidRPr="008952CE">
        <w:rPr>
          <w:rFonts w:ascii="Palatino Linotype" w:eastAsia="Palatino Linotype" w:hAnsi="Palatino Linotype" w:cs="Palatino Linotype"/>
          <w:b/>
          <w:i/>
          <w:sz w:val="22"/>
          <w:szCs w:val="22"/>
          <w:u w:val="single"/>
        </w:rPr>
        <w:t xml:space="preserve">mediante nombramiento, formato único de movimiento de personal, contrato o por cualquier otro acto que tenga como consecuencia la prestación personal subordinada del servicio y la percepción de un sueldo. </w:t>
      </w:r>
    </w:p>
    <w:p w:rsidR="004335B3" w:rsidRPr="008952CE" w:rsidRDefault="00BE4D27">
      <w:pPr>
        <w:spacing w:before="120" w:after="120"/>
        <w:ind w:left="851" w:right="902"/>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Para los efectos de esta ley, las instituciones públicas estarán representadas por sus titulares.” (Sic)</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Razones por las cuales lo procedente es ordenar el documento con el cual se acredite la relación laboral de los Servidores Públicos Luna Feliciano Zuleima, González Alcántara David, López Moreno Jafet y López Asunción Elizabeth, con el Sistema Municipal para el Desarrollo Integral de la Familia de Acambay de Ruíz Castañeda, vigente al siete de abril del año dos mil veintidós y de ser procedente en versión pública de acuerdo a lo señalado por el considerando quinto del presente fallo.</w:t>
      </w:r>
    </w:p>
    <w:p w:rsidR="004335B3" w:rsidRPr="008952CE" w:rsidRDefault="00BE4D27">
      <w:pPr>
        <w:tabs>
          <w:tab w:val="left" w:pos="709"/>
        </w:tabs>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b/>
        </w:rPr>
        <w:lastRenderedPageBreak/>
        <w:t xml:space="preserve">Quinto. Versión Pública. </w:t>
      </w:r>
      <w:r w:rsidRPr="008952CE">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4335B3" w:rsidRPr="008952CE" w:rsidRDefault="004335B3">
      <w:pPr>
        <w:tabs>
          <w:tab w:val="left" w:pos="709"/>
        </w:tabs>
        <w:spacing w:line="360" w:lineRule="auto"/>
        <w:jc w:val="both"/>
        <w:rPr>
          <w:rFonts w:ascii="Palatino Linotype" w:eastAsia="Palatino Linotype" w:hAnsi="Palatino Linotype" w:cs="Palatino Linotype"/>
        </w:rPr>
      </w:pP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w:t>
      </w:r>
      <w:r w:rsidRPr="008952CE">
        <w:rPr>
          <w:rFonts w:ascii="Palatino Linotype" w:eastAsia="Palatino Linotype" w:hAnsi="Palatino Linotype" w:cs="Palatino Linotype"/>
          <w:b/>
          <w:i/>
          <w:sz w:val="22"/>
          <w:szCs w:val="22"/>
        </w:rPr>
        <w:t>Artículo 3.</w:t>
      </w:r>
      <w:r w:rsidRPr="008952CE">
        <w:rPr>
          <w:rFonts w:ascii="Palatino Linotype" w:eastAsia="Palatino Linotype" w:hAnsi="Palatino Linotype" w:cs="Palatino Linotype"/>
          <w:i/>
          <w:sz w:val="22"/>
          <w:szCs w:val="22"/>
        </w:rPr>
        <w:t xml:space="preserve"> Para los efectos de la presente Ley se entenderá por:…</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XX.</w:t>
      </w:r>
      <w:r w:rsidRPr="008952CE">
        <w:rPr>
          <w:rFonts w:ascii="Palatino Linotype" w:eastAsia="Palatino Linotype" w:hAnsi="Palatino Linotype" w:cs="Palatino Linotype"/>
          <w:i/>
          <w:sz w:val="22"/>
          <w:szCs w:val="22"/>
        </w:rPr>
        <w:t xml:space="preserve"> Información clasificada: Aquella considerada por la presente Ley como reservada o confidencial; </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XXI.</w:t>
      </w:r>
      <w:r w:rsidRPr="008952CE">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XXXIV</w:t>
      </w:r>
      <w:r w:rsidRPr="008952CE">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XLV.</w:t>
      </w:r>
      <w:r w:rsidRPr="008952CE">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Artículo 91.</w:t>
      </w:r>
      <w:r w:rsidRPr="008952CE">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lastRenderedPageBreak/>
        <w:t>Artículo 122.</w:t>
      </w:r>
      <w:r w:rsidRPr="008952CE">
        <w:rPr>
          <w:rFonts w:ascii="Palatino Linotype" w:eastAsia="Palatino Linotype" w:hAnsi="Palatino Linotype" w:cs="Palatino Linotype"/>
          <w:i/>
          <w:sz w:val="22"/>
          <w:szCs w:val="22"/>
        </w:rPr>
        <w:t xml:space="preserve"> La clasificación es el proceso mediante el cual el sujeto obligado determina que la información en su poder actualiza alguno de los supuestos de reserva o confidencialidad, de conformidad con lo dispuesto en el presente título.</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Artículo 135.</w:t>
      </w:r>
      <w:r w:rsidRPr="008952CE">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4335B3" w:rsidRPr="008952CE" w:rsidRDefault="00BE4D27">
      <w:pPr>
        <w:tabs>
          <w:tab w:val="left" w:pos="709"/>
        </w:tabs>
        <w:ind w:left="567" w:right="567"/>
        <w:jc w:val="both"/>
        <w:rPr>
          <w:rFonts w:ascii="Palatino Linotype" w:eastAsia="Palatino Linotype" w:hAnsi="Palatino Linotype" w:cs="Palatino Linotype"/>
          <w:b/>
          <w:i/>
          <w:sz w:val="22"/>
          <w:szCs w:val="22"/>
        </w:rPr>
      </w:pPr>
      <w:r w:rsidRPr="008952CE">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Artículo 143</w:t>
      </w:r>
      <w:r w:rsidRPr="008952C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4335B3" w:rsidRPr="008952CE" w:rsidRDefault="00BE4D27">
      <w:pPr>
        <w:tabs>
          <w:tab w:val="left" w:pos="709"/>
        </w:tabs>
        <w:ind w:left="567" w:right="567"/>
        <w:jc w:val="both"/>
        <w:rPr>
          <w:rFonts w:ascii="Palatino Linotype" w:eastAsia="Palatino Linotype" w:hAnsi="Palatino Linotype" w:cs="Palatino Linotype"/>
          <w:b/>
          <w:i/>
          <w:sz w:val="22"/>
          <w:szCs w:val="22"/>
        </w:rPr>
      </w:pPr>
      <w:r w:rsidRPr="008952CE">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II.</w:t>
      </w:r>
      <w:r w:rsidRPr="008952CE">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III.</w:t>
      </w:r>
      <w:r w:rsidRPr="008952CE">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4335B3" w:rsidRPr="008952CE" w:rsidRDefault="00BE4D27">
      <w:pPr>
        <w:tabs>
          <w:tab w:val="left" w:pos="709"/>
        </w:tabs>
        <w:ind w:left="567" w:right="567"/>
        <w:jc w:val="both"/>
        <w:rPr>
          <w:rFonts w:ascii="Palatino Linotype" w:eastAsia="Palatino Linotype" w:hAnsi="Palatino Linotype" w:cs="Palatino Linotype"/>
          <w:b/>
          <w:i/>
          <w:sz w:val="22"/>
          <w:szCs w:val="22"/>
        </w:rPr>
      </w:pPr>
      <w:r w:rsidRPr="008952CE">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Artículo 148.</w:t>
      </w:r>
      <w:r w:rsidRPr="008952CE">
        <w:rPr>
          <w:rFonts w:ascii="Palatino Linotype" w:eastAsia="Palatino Linotype" w:hAnsi="Palatino Linotype" w:cs="Palatino Linotype"/>
          <w:i/>
          <w:sz w:val="22"/>
          <w:szCs w:val="22"/>
        </w:rPr>
        <w:t xml:space="preserve"> No se requerirá el consentimiento del titular de la información confidencial cuando:</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I.</w:t>
      </w:r>
      <w:r w:rsidRPr="008952CE">
        <w:rPr>
          <w:rFonts w:ascii="Palatino Linotype" w:eastAsia="Palatino Linotype" w:hAnsi="Palatino Linotype" w:cs="Palatino Linotype"/>
          <w:i/>
          <w:sz w:val="22"/>
          <w:szCs w:val="22"/>
        </w:rPr>
        <w:t xml:space="preserve"> La información se encuentre en registros públicos o fuentes de acceso público;</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II.</w:t>
      </w:r>
      <w:r w:rsidRPr="008952CE">
        <w:rPr>
          <w:rFonts w:ascii="Palatino Linotype" w:eastAsia="Palatino Linotype" w:hAnsi="Palatino Linotype" w:cs="Palatino Linotype"/>
          <w:i/>
          <w:sz w:val="22"/>
          <w:szCs w:val="22"/>
        </w:rPr>
        <w:t xml:space="preserve"> Por Ley tenga el carácter de pública;</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lastRenderedPageBreak/>
        <w:t>III</w:t>
      </w:r>
      <w:r w:rsidRPr="008952CE">
        <w:rPr>
          <w:rFonts w:ascii="Palatino Linotype" w:eastAsia="Palatino Linotype" w:hAnsi="Palatino Linotype" w:cs="Palatino Linotype"/>
          <w:i/>
          <w:sz w:val="22"/>
          <w:szCs w:val="22"/>
        </w:rPr>
        <w:t>. Exista una orden judicial;</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IV.</w:t>
      </w:r>
      <w:r w:rsidRPr="008952CE">
        <w:rPr>
          <w:rFonts w:ascii="Palatino Linotype" w:eastAsia="Palatino Linotype" w:hAnsi="Palatino Linotype" w:cs="Palatino Linotype"/>
          <w:i/>
          <w:sz w:val="22"/>
          <w:szCs w:val="22"/>
        </w:rPr>
        <w:t xml:space="preserve"> Por razones de seguridad pública, o para proteger los derechos de terceros, se requiera su publicación; o</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V.</w:t>
      </w:r>
      <w:r w:rsidRPr="008952CE">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4335B3" w:rsidRPr="008952CE" w:rsidRDefault="00BE4D27">
      <w:pPr>
        <w:tabs>
          <w:tab w:val="left" w:pos="709"/>
        </w:tabs>
        <w:ind w:left="567" w:right="567"/>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Artículo 149.</w:t>
      </w:r>
      <w:r w:rsidRPr="008952CE">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rsidR="004335B3" w:rsidRPr="008952CE" w:rsidRDefault="004335B3">
      <w:pPr>
        <w:spacing w:line="360" w:lineRule="auto"/>
        <w:ind w:right="49"/>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ind w:left="567" w:right="616"/>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w:t>
      </w:r>
      <w:r w:rsidRPr="008952CE">
        <w:rPr>
          <w:rFonts w:ascii="Palatino Linotype" w:eastAsia="Palatino Linotype" w:hAnsi="Palatino Linotype" w:cs="Palatino Linotype"/>
          <w:b/>
          <w:i/>
          <w:sz w:val="22"/>
          <w:szCs w:val="22"/>
        </w:rPr>
        <w:t>Artículo 168</w:t>
      </w:r>
      <w:r w:rsidRPr="008952CE">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rsidR="004335B3" w:rsidRPr="008952CE" w:rsidRDefault="00BE4D27">
      <w:pPr>
        <w:ind w:left="567" w:right="616"/>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I.</w:t>
      </w:r>
      <w:r w:rsidRPr="008952CE">
        <w:rPr>
          <w:rFonts w:ascii="Palatino Linotype" w:eastAsia="Palatino Linotype" w:hAnsi="Palatino Linotype" w:cs="Palatino Linotype"/>
          <w:i/>
          <w:sz w:val="22"/>
          <w:szCs w:val="22"/>
        </w:rPr>
        <w:t xml:space="preserve"> El Área deberá remitir la solicitud, así como un escrito en el que </w:t>
      </w:r>
      <w:r w:rsidRPr="008952CE">
        <w:rPr>
          <w:rFonts w:ascii="Palatino Linotype" w:eastAsia="Palatino Linotype" w:hAnsi="Palatino Linotype" w:cs="Palatino Linotype"/>
          <w:b/>
          <w:i/>
          <w:sz w:val="22"/>
          <w:szCs w:val="22"/>
        </w:rPr>
        <w:t>funde y motive la clasificación al Comité de Transparencia</w:t>
      </w:r>
      <w:r w:rsidRPr="008952CE">
        <w:rPr>
          <w:rFonts w:ascii="Palatino Linotype" w:eastAsia="Palatino Linotype" w:hAnsi="Palatino Linotype" w:cs="Palatino Linotype"/>
          <w:i/>
          <w:sz w:val="22"/>
          <w:szCs w:val="22"/>
        </w:rPr>
        <w:t>, mismo que deberá resolver para:</w:t>
      </w:r>
    </w:p>
    <w:p w:rsidR="004335B3" w:rsidRPr="008952CE" w:rsidRDefault="00BE4D27">
      <w:pPr>
        <w:ind w:left="567" w:right="616"/>
        <w:jc w:val="both"/>
        <w:rPr>
          <w:rFonts w:ascii="Palatino Linotype" w:eastAsia="Palatino Linotype" w:hAnsi="Palatino Linotype" w:cs="Palatino Linotype"/>
          <w:b/>
          <w:i/>
          <w:sz w:val="22"/>
          <w:szCs w:val="22"/>
        </w:rPr>
      </w:pPr>
      <w:r w:rsidRPr="008952CE">
        <w:rPr>
          <w:rFonts w:ascii="Palatino Linotype" w:eastAsia="Palatino Linotype" w:hAnsi="Palatino Linotype" w:cs="Palatino Linotype"/>
          <w:i/>
          <w:sz w:val="22"/>
          <w:szCs w:val="22"/>
        </w:rPr>
        <w:t>a</w:t>
      </w:r>
      <w:r w:rsidRPr="008952CE">
        <w:rPr>
          <w:rFonts w:ascii="Palatino Linotype" w:eastAsia="Palatino Linotype" w:hAnsi="Palatino Linotype" w:cs="Palatino Linotype"/>
          <w:b/>
          <w:i/>
          <w:sz w:val="22"/>
          <w:szCs w:val="22"/>
        </w:rPr>
        <w:t>) Confirmar la clasificación;</w:t>
      </w:r>
    </w:p>
    <w:p w:rsidR="004335B3" w:rsidRPr="008952CE" w:rsidRDefault="00BE4D27">
      <w:pPr>
        <w:ind w:left="567" w:right="616"/>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rsidR="004335B3" w:rsidRPr="008952CE" w:rsidRDefault="00BE4D27">
      <w:pPr>
        <w:ind w:left="567" w:right="616"/>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II.</w:t>
      </w:r>
      <w:r w:rsidRPr="008952CE">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rsidR="004335B3" w:rsidRPr="008952CE" w:rsidRDefault="00BE4D27">
      <w:pPr>
        <w:ind w:left="567" w:right="616"/>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III.</w:t>
      </w:r>
      <w:r w:rsidRPr="008952CE">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ind w:right="51"/>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deberá proceder a testar los datos personales que se encuentren contenidos en los documentos a entregar por parte del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w:t>
      </w:r>
      <w:r w:rsidRPr="008952CE">
        <w:rPr>
          <w:rFonts w:ascii="Palatino Linotype" w:eastAsia="Palatino Linotype" w:hAnsi="Palatino Linotype" w:cs="Palatino Linotype"/>
        </w:rPr>
        <w:lastRenderedPageBreak/>
        <w:t>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4335B3" w:rsidRPr="008952CE" w:rsidRDefault="004335B3">
      <w:pPr>
        <w:spacing w:line="360" w:lineRule="auto"/>
        <w:ind w:right="51"/>
        <w:jc w:val="both"/>
        <w:rPr>
          <w:rFonts w:ascii="Palatino Linotype" w:eastAsia="Palatino Linotype" w:hAnsi="Palatino Linotype" w:cs="Palatino Linotype"/>
        </w:rPr>
      </w:pPr>
    </w:p>
    <w:p w:rsidR="004335B3" w:rsidRPr="008952CE" w:rsidRDefault="00BE4D27">
      <w:pPr>
        <w:spacing w:line="360" w:lineRule="auto"/>
        <w:ind w:right="49"/>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8952CE">
        <w:rPr>
          <w:rFonts w:ascii="Palatino Linotype" w:eastAsia="Palatino Linotype" w:hAnsi="Palatino Linotype" w:cs="Palatino Linotype"/>
          <w:b/>
        </w:rPr>
        <w:t>Registro Federal de Contribuyentes</w:t>
      </w:r>
      <w:r w:rsidRPr="008952CE">
        <w:rPr>
          <w:rFonts w:ascii="Palatino Linotype" w:eastAsia="Palatino Linotype" w:hAnsi="Palatino Linotype" w:cs="Palatino Linotype"/>
        </w:rPr>
        <w:t xml:space="preserve"> (RFC), la </w:t>
      </w:r>
      <w:r w:rsidRPr="008952CE">
        <w:rPr>
          <w:rFonts w:ascii="Palatino Linotype" w:eastAsia="Palatino Linotype" w:hAnsi="Palatino Linotype" w:cs="Palatino Linotype"/>
          <w:b/>
        </w:rPr>
        <w:t>Clave Única de Registro de Población</w:t>
      </w:r>
      <w:r w:rsidRPr="008952CE">
        <w:rPr>
          <w:rFonts w:ascii="Palatino Linotype" w:eastAsia="Palatino Linotype" w:hAnsi="Palatino Linotype" w:cs="Palatino Linotype"/>
        </w:rPr>
        <w:t xml:space="preserve"> (CURP) y la </w:t>
      </w:r>
      <w:r w:rsidRPr="008952CE">
        <w:rPr>
          <w:rFonts w:ascii="Palatino Linotype" w:eastAsia="Palatino Linotype" w:hAnsi="Palatino Linotype" w:cs="Palatino Linotype"/>
          <w:b/>
        </w:rPr>
        <w:t>Clave de cualquier tipo de seguridad social</w:t>
      </w:r>
      <w:r w:rsidRPr="008952CE">
        <w:rPr>
          <w:rFonts w:ascii="Palatino Linotype" w:eastAsia="Palatino Linotype" w:hAnsi="Palatino Linotype" w:cs="Palatino Linotype"/>
        </w:rPr>
        <w:t xml:space="preserve"> (ISSEMYM, u otros), así como, los </w:t>
      </w:r>
      <w:r w:rsidRPr="008952CE">
        <w:rPr>
          <w:rFonts w:ascii="Palatino Linotype" w:eastAsia="Palatino Linotype" w:hAnsi="Palatino Linotype" w:cs="Palatino Linotype"/>
          <w:b/>
        </w:rPr>
        <w:t>préstamos o descuentos</w:t>
      </w:r>
      <w:r w:rsidRPr="008952CE">
        <w:rPr>
          <w:rFonts w:ascii="Palatino Linotype" w:eastAsia="Palatino Linotype" w:hAnsi="Palatino Linotype" w:cs="Palatino Linotype"/>
        </w:rPr>
        <w:t xml:space="preserve"> que se le hagan a la persona y que no tengan relación con los impuestos o la cuota por seguridad social, así como los </w:t>
      </w:r>
      <w:r w:rsidRPr="008952CE">
        <w:rPr>
          <w:rFonts w:ascii="Palatino Linotype" w:eastAsia="Palatino Linotype" w:hAnsi="Palatino Linotype" w:cs="Palatino Linotype"/>
          <w:b/>
        </w:rPr>
        <w:t>Códigos Bidimensionales</w:t>
      </w:r>
      <w:r w:rsidRPr="008952CE">
        <w:rPr>
          <w:rFonts w:ascii="Palatino Linotype" w:eastAsia="Palatino Linotype" w:hAnsi="Palatino Linotype" w:cs="Palatino Linotype"/>
        </w:rPr>
        <w:t xml:space="preserve">, también denominados </w:t>
      </w:r>
      <w:r w:rsidRPr="008952CE">
        <w:rPr>
          <w:rFonts w:ascii="Palatino Linotype" w:eastAsia="Palatino Linotype" w:hAnsi="Palatino Linotype" w:cs="Palatino Linotype"/>
          <w:b/>
        </w:rPr>
        <w:t>Códigos QR</w:t>
      </w:r>
      <w:r w:rsidRPr="008952CE">
        <w:rPr>
          <w:rFonts w:ascii="Palatino Linotype" w:eastAsia="Palatino Linotype" w:hAnsi="Palatino Linotype" w:cs="Palatino Linotype"/>
        </w:rPr>
        <w:t>.</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lastRenderedPageBreak/>
        <w:t>Lo anterior es compartido por el Instituto Nacional de Transparencia, Acceso a la Información y Protección de Datos (INAI) a través del Criterio 19/17, el cual es del tenor literal siguiente:</w:t>
      </w:r>
    </w:p>
    <w:p w:rsidR="004335B3" w:rsidRPr="008952CE" w:rsidRDefault="00BE4D27">
      <w:pPr>
        <w:spacing w:after="120"/>
        <w:ind w:left="851" w:right="902"/>
        <w:jc w:val="both"/>
        <w:rPr>
          <w:rFonts w:ascii="Arial" w:eastAsia="Arial" w:hAnsi="Arial" w:cs="Arial"/>
        </w:rPr>
      </w:pPr>
      <w:r w:rsidRPr="008952CE">
        <w:rPr>
          <w:rFonts w:ascii="Palatino Linotype" w:eastAsia="Palatino Linotype" w:hAnsi="Palatino Linotype" w:cs="Palatino Linotype"/>
          <w:b/>
          <w:i/>
          <w:sz w:val="20"/>
          <w:szCs w:val="20"/>
        </w:rPr>
        <w:t xml:space="preserve">“Registro Federal de Contribuyentes (RFC) de personas físicas. </w:t>
      </w:r>
      <w:r w:rsidRPr="008952CE">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rsidR="004335B3" w:rsidRPr="008952CE" w:rsidRDefault="00BE4D2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4335B3" w:rsidRPr="008952CE" w:rsidRDefault="00BE4D2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Argumento que es compartido por el Instituto Nacional de Transparencia, Acceso a la Información y Protección de Datos (INAI)</w:t>
      </w:r>
      <w:r w:rsidRPr="008952CE">
        <w:rPr>
          <w:rFonts w:ascii="Palatino Linotype" w:eastAsia="Palatino Linotype" w:hAnsi="Palatino Linotype" w:cs="Palatino Linotype"/>
          <w:b/>
        </w:rPr>
        <w:t xml:space="preserve">, conforme al </w:t>
      </w:r>
      <w:r w:rsidRPr="008952CE">
        <w:rPr>
          <w:rFonts w:ascii="Palatino Linotype" w:eastAsia="Palatino Linotype" w:hAnsi="Palatino Linotype" w:cs="Palatino Linotype"/>
        </w:rPr>
        <w:t xml:space="preserve">criterio número 18/17, el cual refiere: </w:t>
      </w:r>
    </w:p>
    <w:p w:rsidR="004335B3" w:rsidRPr="008952CE" w:rsidRDefault="00BE4D27">
      <w:pPr>
        <w:pBdr>
          <w:top w:val="nil"/>
          <w:left w:val="nil"/>
          <w:bottom w:val="nil"/>
          <w:right w:val="nil"/>
          <w:between w:val="nil"/>
        </w:pBdr>
        <w:spacing w:after="120"/>
        <w:ind w:left="851" w:right="902"/>
        <w:jc w:val="both"/>
        <w:rPr>
          <w:rFonts w:ascii="Arial" w:eastAsia="Arial" w:hAnsi="Arial" w:cs="Arial"/>
          <w:b/>
        </w:rPr>
      </w:pPr>
      <w:r w:rsidRPr="008952CE">
        <w:rPr>
          <w:rFonts w:ascii="Palatino Linotype" w:eastAsia="Palatino Linotype" w:hAnsi="Palatino Linotype" w:cs="Palatino Linotype"/>
          <w:b/>
          <w:i/>
          <w:sz w:val="20"/>
          <w:szCs w:val="20"/>
        </w:rPr>
        <w:t xml:space="preserve">“Clave Única de Registro de Población (CURP). </w:t>
      </w:r>
      <w:r w:rsidRPr="008952CE">
        <w:rPr>
          <w:rFonts w:ascii="Palatino Linotype" w:eastAsia="Palatino Linotype" w:hAnsi="Palatino Linotype" w:cs="Palatino Linotype"/>
          <w:i/>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w:t>
      </w:r>
      <w:r w:rsidRPr="008952CE">
        <w:rPr>
          <w:rFonts w:ascii="Palatino Linotype" w:eastAsia="Palatino Linotype" w:hAnsi="Palatino Linotype" w:cs="Palatino Linotype"/>
          <w:i/>
          <w:sz w:val="20"/>
          <w:szCs w:val="20"/>
        </w:rPr>
        <w:lastRenderedPageBreak/>
        <w:t>resto de los habitantes del país, por lo que la CURP está considerada como información confidencial.” (Sic)</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4335B3" w:rsidRPr="008952CE" w:rsidRDefault="00BE4D27">
      <w:pPr>
        <w:spacing w:before="240" w:after="240"/>
        <w:ind w:left="567" w:right="900"/>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“El número de ficha de identificación única de los trabajadores es información de carácter confidencial.</w:t>
      </w:r>
      <w:r w:rsidRPr="008952CE">
        <w:rPr>
          <w:rFonts w:ascii="Palatino Linotype" w:eastAsia="Palatino Linotype" w:hAnsi="Palatino Linotype" w:cs="Palatino Linotype"/>
          <w:i/>
          <w:sz w:val="22"/>
          <w:szCs w:val="22"/>
        </w:rPr>
        <w:t xml:space="preserve"> </w:t>
      </w:r>
      <w:r w:rsidRPr="008952CE">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8952CE">
        <w:rPr>
          <w:rFonts w:ascii="Palatino Linotype" w:eastAsia="Palatino Linotype" w:hAnsi="Palatino Linotype" w:cs="Palatino Linotype"/>
          <w:i/>
          <w:sz w:val="22"/>
          <w:szCs w:val="22"/>
        </w:rPr>
        <w:t xml:space="preserve">, </w:t>
      </w:r>
      <w:r w:rsidRPr="008952CE">
        <w:rPr>
          <w:rFonts w:ascii="Palatino Linotype" w:eastAsia="Palatino Linotype" w:hAnsi="Palatino Linotype" w:cs="Palatino Linotype"/>
          <w:i/>
          <w:sz w:val="22"/>
          <w:szCs w:val="22"/>
          <w:u w:val="single"/>
        </w:rPr>
        <w:t>dicha información es susceptible de clasificarse con el carácter de confidencial</w:t>
      </w:r>
      <w:r w:rsidRPr="008952CE">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Respecto de los </w:t>
      </w:r>
      <w:r w:rsidRPr="008952CE">
        <w:rPr>
          <w:rFonts w:ascii="Palatino Linotype" w:eastAsia="Palatino Linotype" w:hAnsi="Palatino Linotype" w:cs="Palatino Linotype"/>
          <w:b/>
        </w:rPr>
        <w:t>préstamos o descuentos</w:t>
      </w:r>
      <w:r w:rsidRPr="008952CE">
        <w:rPr>
          <w:rFonts w:ascii="Palatino Linotype" w:eastAsia="Palatino Linotype" w:hAnsi="Palatino Linotype" w:cs="Palatino Linotype"/>
        </w:rPr>
        <w:t xml:space="preserve"> </w:t>
      </w:r>
      <w:r w:rsidRPr="008952CE">
        <w:rPr>
          <w:rFonts w:ascii="Palatino Linotype" w:eastAsia="Palatino Linotype" w:hAnsi="Palatino Linotype" w:cs="Palatino Linotype"/>
          <w:b/>
        </w:rPr>
        <w:t>de carácter personal</w:t>
      </w:r>
      <w:r w:rsidRPr="008952CE">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4335B3" w:rsidRPr="008952CE" w:rsidRDefault="00BE4D2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952CE">
        <w:rPr>
          <w:rFonts w:ascii="Palatino Linotype" w:eastAsia="Palatino Linotype" w:hAnsi="Palatino Linotype" w:cs="Palatino Linotype"/>
          <w:sz w:val="22"/>
          <w:szCs w:val="22"/>
        </w:rPr>
        <w:lastRenderedPageBreak/>
        <w:t>Por cuanto hace a las deducciones, para entender los límites y alcances de esta restricción, es oportuno recurrir al artículo 84 de la Ley del Trabajo de los Servidores Públicos del Estado y Municipios:</w:t>
      </w:r>
    </w:p>
    <w:p w:rsidR="004335B3" w:rsidRPr="008952CE" w:rsidRDefault="00BE4D27">
      <w:pPr>
        <w:ind w:left="851" w:right="851"/>
        <w:jc w:val="both"/>
        <w:rPr>
          <w:rFonts w:ascii="Palatino Linotype" w:eastAsia="Palatino Linotype" w:hAnsi="Palatino Linotype" w:cs="Palatino Linotype"/>
          <w:b/>
          <w:i/>
          <w:sz w:val="22"/>
          <w:szCs w:val="22"/>
        </w:rPr>
      </w:pPr>
      <w:r w:rsidRPr="008952CE">
        <w:rPr>
          <w:rFonts w:ascii="Palatino Linotype" w:eastAsia="Palatino Linotype" w:hAnsi="Palatino Linotype" w:cs="Palatino Linotype"/>
          <w:b/>
          <w:i/>
          <w:sz w:val="22"/>
          <w:szCs w:val="22"/>
        </w:rPr>
        <w:t xml:space="preserve">“ARTÍCULO 84. </w:t>
      </w:r>
      <w:r w:rsidRPr="008952CE">
        <w:rPr>
          <w:rFonts w:ascii="Palatino Linotype" w:eastAsia="Palatino Linotype" w:hAnsi="Palatino Linotype" w:cs="Palatino Linotype"/>
          <w:i/>
          <w:sz w:val="22"/>
          <w:szCs w:val="22"/>
        </w:rPr>
        <w:t>Sólo podrán hacerse retenciones, descuentos o deducciones al sueldo de los servidores públicos por concepto de:</w:t>
      </w:r>
    </w:p>
    <w:p w:rsidR="004335B3" w:rsidRPr="008952CE" w:rsidRDefault="00BE4D27">
      <w:pPr>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I. Gravámenes fiscales relacionados con el sueldo;</w:t>
      </w:r>
    </w:p>
    <w:p w:rsidR="004335B3" w:rsidRPr="008952CE" w:rsidRDefault="00BE4D27">
      <w:pPr>
        <w:ind w:left="851" w:right="851"/>
        <w:jc w:val="both"/>
        <w:rPr>
          <w:rFonts w:ascii="Palatino Linotype" w:eastAsia="Palatino Linotype" w:hAnsi="Palatino Linotype" w:cs="Palatino Linotype"/>
          <w:b/>
          <w:i/>
          <w:sz w:val="22"/>
          <w:szCs w:val="22"/>
        </w:rPr>
      </w:pPr>
      <w:r w:rsidRPr="008952CE">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rsidR="004335B3" w:rsidRPr="008952CE" w:rsidRDefault="00BE4D27">
      <w:pPr>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III. Cuotas sindicales;</w:t>
      </w:r>
    </w:p>
    <w:p w:rsidR="004335B3" w:rsidRPr="008952CE" w:rsidRDefault="00BE4D27">
      <w:pPr>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4335B3" w:rsidRPr="008952CE" w:rsidRDefault="00BE4D27">
      <w:pPr>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4335B3" w:rsidRPr="008952CE" w:rsidRDefault="00BE4D27">
      <w:pPr>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rsidR="004335B3" w:rsidRPr="008952CE" w:rsidRDefault="00BE4D27">
      <w:pPr>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VII. Faltas de puntualidad o de asistencia injustificadas;</w:t>
      </w:r>
    </w:p>
    <w:p w:rsidR="004335B3" w:rsidRPr="008952CE" w:rsidRDefault="00BE4D27">
      <w:pPr>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VIII. Pensiones alimenticias ordenadas por la autoridad judicial;</w:t>
      </w:r>
      <w:r w:rsidRPr="008952CE">
        <w:rPr>
          <w:rFonts w:ascii="Palatino Linotype" w:eastAsia="Palatino Linotype" w:hAnsi="Palatino Linotype" w:cs="Palatino Linotype"/>
          <w:i/>
          <w:sz w:val="22"/>
          <w:szCs w:val="22"/>
        </w:rPr>
        <w:t xml:space="preserve"> o</w:t>
      </w:r>
    </w:p>
    <w:p w:rsidR="004335B3" w:rsidRPr="008952CE" w:rsidRDefault="00BE4D27">
      <w:pPr>
        <w:ind w:left="851" w:right="851"/>
        <w:jc w:val="both"/>
        <w:rPr>
          <w:rFonts w:ascii="Palatino Linotype" w:eastAsia="Palatino Linotype" w:hAnsi="Palatino Linotype" w:cs="Palatino Linotype"/>
          <w:b/>
          <w:i/>
          <w:sz w:val="22"/>
          <w:szCs w:val="22"/>
        </w:rPr>
      </w:pPr>
      <w:r w:rsidRPr="008952CE">
        <w:rPr>
          <w:rFonts w:ascii="Palatino Linotype" w:eastAsia="Palatino Linotype" w:hAnsi="Palatino Linotype" w:cs="Palatino Linotype"/>
          <w:b/>
          <w:i/>
          <w:sz w:val="22"/>
          <w:szCs w:val="22"/>
        </w:rPr>
        <w:t>IX. Cualquier otro convenido con instituciones de servicios y aceptado por el servidor público.</w:t>
      </w:r>
    </w:p>
    <w:p w:rsidR="004335B3" w:rsidRPr="008952CE" w:rsidRDefault="00BE4D27">
      <w:pPr>
        <w:spacing w:after="120"/>
        <w:ind w:left="851" w:right="85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4335B3" w:rsidRPr="008952CE" w:rsidRDefault="00BE4D2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w:t>
      </w:r>
      <w:r w:rsidRPr="008952CE">
        <w:rPr>
          <w:rFonts w:ascii="Palatino Linotype" w:eastAsia="Palatino Linotype" w:hAnsi="Palatino Linotype" w:cs="Palatino Linotype"/>
        </w:rPr>
        <w:lastRenderedPageBreak/>
        <w:t>créditos adquiridos con instituciones privadas que no se relacionen con el gasto público, son información que debe clasificarse como confidencial.</w:t>
      </w:r>
    </w:p>
    <w:p w:rsidR="004335B3" w:rsidRPr="008952CE" w:rsidRDefault="00BE4D27">
      <w:pPr>
        <w:pBdr>
          <w:top w:val="nil"/>
          <w:left w:val="nil"/>
          <w:bottom w:val="nil"/>
          <w:right w:val="nil"/>
          <w:between w:val="nil"/>
        </w:pBd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En conclusión, los préstamos o descuentos de carácter personal, en virtud de no tener relación con la prestación del servicio y al no involucrar instituciones públicas, se consideran datos confidenciales.</w:t>
      </w:r>
    </w:p>
    <w:p w:rsidR="004335B3" w:rsidRPr="008952CE" w:rsidRDefault="004335B3">
      <w:pPr>
        <w:pBdr>
          <w:top w:val="nil"/>
          <w:left w:val="nil"/>
          <w:bottom w:val="nil"/>
          <w:right w:val="nil"/>
          <w:between w:val="nil"/>
        </w:pBd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Respecto de los </w:t>
      </w:r>
      <w:r w:rsidRPr="008952CE">
        <w:rPr>
          <w:rFonts w:ascii="Palatino Linotype" w:eastAsia="Palatino Linotype" w:hAnsi="Palatino Linotype" w:cs="Palatino Linotype"/>
          <w:b/>
        </w:rPr>
        <w:t>Códigos Bidimensionales</w:t>
      </w:r>
      <w:r w:rsidRPr="008952CE">
        <w:rPr>
          <w:rFonts w:ascii="Palatino Linotype" w:eastAsia="Palatino Linotype" w:hAnsi="Palatino Linotype" w:cs="Palatino Linotype"/>
        </w:rPr>
        <w:t xml:space="preserve">, también denominados </w:t>
      </w:r>
      <w:r w:rsidRPr="008952CE">
        <w:rPr>
          <w:rFonts w:ascii="Palatino Linotype" w:eastAsia="Palatino Linotype" w:hAnsi="Palatino Linotype" w:cs="Palatino Linotype"/>
          <w:b/>
        </w:rPr>
        <w:t>Códigos QR</w:t>
      </w:r>
      <w:r w:rsidRPr="008952CE">
        <w:rPr>
          <w:rFonts w:ascii="Palatino Linotype" w:eastAsia="Palatino Linotype" w:hAnsi="Palatino Linotype" w:cs="Palatino Linotype"/>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v. gr. el </w:t>
      </w:r>
      <w:r w:rsidRPr="008952CE">
        <w:rPr>
          <w:rFonts w:ascii="Palatino Linotype" w:eastAsia="Palatino Linotype" w:hAnsi="Palatino Linotype" w:cs="Palatino Linotype"/>
          <w:b/>
        </w:rPr>
        <w:t>Registro Federal de Contribuyentes</w:t>
      </w:r>
      <w:r w:rsidRPr="008952CE">
        <w:rPr>
          <w:rFonts w:ascii="Palatino Linotype" w:eastAsia="Palatino Linotype" w:hAnsi="Palatino Linotype" w:cs="Palatino Linotype"/>
        </w:rPr>
        <w:t xml:space="preserve"> (RFC) y la </w:t>
      </w:r>
      <w:r w:rsidRPr="008952CE">
        <w:rPr>
          <w:rFonts w:ascii="Palatino Linotype" w:eastAsia="Palatino Linotype" w:hAnsi="Palatino Linotype" w:cs="Palatino Linotype"/>
          <w:b/>
        </w:rPr>
        <w:t>Clave Única de Registro de Población</w:t>
      </w:r>
      <w:r w:rsidRPr="008952CE">
        <w:rPr>
          <w:rFonts w:ascii="Palatino Linotype" w:eastAsia="Palatino Linotype" w:hAnsi="Palatino Linotype" w:cs="Palatino Linotype"/>
        </w:rPr>
        <w:t xml:space="preserve"> (CURP).</w:t>
      </w:r>
    </w:p>
    <w:p w:rsidR="004335B3" w:rsidRPr="008952CE" w:rsidRDefault="004335B3">
      <w:pPr>
        <w:spacing w:line="360" w:lineRule="auto"/>
        <w:ind w:right="51"/>
        <w:jc w:val="both"/>
        <w:rPr>
          <w:rFonts w:ascii="Palatino Linotype" w:eastAsia="Palatino Linotype" w:hAnsi="Palatino Linotype" w:cs="Palatino Linotype"/>
        </w:rPr>
      </w:pPr>
    </w:p>
    <w:p w:rsidR="004335B3" w:rsidRPr="008952CE" w:rsidRDefault="00BE4D27">
      <w:pPr>
        <w:spacing w:line="360" w:lineRule="auto"/>
        <w:ind w:right="50"/>
        <w:jc w:val="both"/>
        <w:rPr>
          <w:rFonts w:ascii="Palatino Linotype" w:eastAsia="Palatino Linotype" w:hAnsi="Palatino Linotype" w:cs="Palatino Linotype"/>
        </w:rPr>
      </w:pPr>
      <w:r w:rsidRPr="008952CE">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4335B3" w:rsidRPr="008952CE" w:rsidRDefault="004335B3">
      <w:pPr>
        <w:spacing w:line="360" w:lineRule="auto"/>
        <w:ind w:right="50"/>
        <w:jc w:val="both"/>
        <w:rPr>
          <w:rFonts w:ascii="Palatino Linotype" w:eastAsia="Palatino Linotype" w:hAnsi="Palatino Linotype" w:cs="Palatino Linotype"/>
        </w:rPr>
      </w:pPr>
    </w:p>
    <w:p w:rsidR="004335B3" w:rsidRPr="008952CE" w:rsidRDefault="00BE4D27">
      <w:pPr>
        <w:spacing w:line="360" w:lineRule="auto"/>
        <w:ind w:right="51"/>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Responsable de la Unidad de </w:t>
      </w:r>
      <w:r w:rsidRPr="008952CE">
        <w:rPr>
          <w:rFonts w:ascii="Palatino Linotype" w:eastAsia="Palatino Linotype" w:hAnsi="Palatino Linotype" w:cs="Palatino Linotype"/>
        </w:rPr>
        <w:lastRenderedPageBreak/>
        <w:t>Transparencia del Sujeto Obligado, sino que ello deberá realizarse en términos de lo que disponen los artículos 49 fracción VIII, 53, fracción X y 59, fracción V, de la Ley en consulta, cuyo sentido literal es el siguiente:</w:t>
      </w:r>
    </w:p>
    <w:p w:rsidR="004335B3" w:rsidRPr="008952CE" w:rsidRDefault="004335B3">
      <w:pPr>
        <w:spacing w:line="360" w:lineRule="auto"/>
        <w:ind w:right="51"/>
        <w:jc w:val="both"/>
        <w:rPr>
          <w:rFonts w:ascii="Palatino Linotype" w:eastAsia="Palatino Linotype" w:hAnsi="Palatino Linotype" w:cs="Palatino Linotype"/>
        </w:rPr>
      </w:pPr>
    </w:p>
    <w:p w:rsidR="004335B3" w:rsidRPr="008952CE" w:rsidRDefault="00BE4D27">
      <w:pPr>
        <w:ind w:left="992" w:right="1043"/>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“Artículo 49.</w:t>
      </w:r>
      <w:r w:rsidRPr="008952CE">
        <w:rPr>
          <w:rFonts w:ascii="Palatino Linotype" w:eastAsia="Palatino Linotype" w:hAnsi="Palatino Linotype" w:cs="Palatino Linotype"/>
          <w:i/>
          <w:sz w:val="22"/>
          <w:szCs w:val="22"/>
        </w:rPr>
        <w:t xml:space="preserve"> </w:t>
      </w:r>
      <w:r w:rsidRPr="008952CE">
        <w:rPr>
          <w:rFonts w:ascii="Palatino Linotype" w:eastAsia="Palatino Linotype" w:hAnsi="Palatino Linotype" w:cs="Palatino Linotype"/>
          <w:b/>
          <w:i/>
          <w:sz w:val="22"/>
          <w:szCs w:val="22"/>
        </w:rPr>
        <w:t>Los Comités de Transparencia</w:t>
      </w:r>
      <w:r w:rsidRPr="008952CE">
        <w:rPr>
          <w:rFonts w:ascii="Palatino Linotype" w:eastAsia="Palatino Linotype" w:hAnsi="Palatino Linotype" w:cs="Palatino Linotype"/>
          <w:i/>
          <w:sz w:val="22"/>
          <w:szCs w:val="22"/>
        </w:rPr>
        <w:t xml:space="preserve"> tendrán las siguientes atribuciones:</w:t>
      </w:r>
    </w:p>
    <w:p w:rsidR="004335B3" w:rsidRPr="008952CE" w:rsidRDefault="00BE4D27">
      <w:pPr>
        <w:ind w:left="992" w:right="1043"/>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VIII. Aprobar, modificar o revocar la clasificación de la información</w:t>
      </w:r>
      <w:r w:rsidRPr="008952CE">
        <w:rPr>
          <w:rFonts w:ascii="Palatino Linotype" w:eastAsia="Palatino Linotype" w:hAnsi="Palatino Linotype" w:cs="Palatino Linotype"/>
          <w:i/>
          <w:sz w:val="22"/>
          <w:szCs w:val="22"/>
        </w:rPr>
        <w:t>…”</w:t>
      </w:r>
    </w:p>
    <w:p w:rsidR="004335B3" w:rsidRPr="008952CE" w:rsidRDefault="00BE4D27">
      <w:pPr>
        <w:ind w:left="992" w:right="1043"/>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w:t>
      </w:r>
      <w:r w:rsidRPr="008952CE">
        <w:rPr>
          <w:rFonts w:ascii="Palatino Linotype" w:eastAsia="Palatino Linotype" w:hAnsi="Palatino Linotype" w:cs="Palatino Linotype"/>
          <w:b/>
          <w:i/>
          <w:sz w:val="22"/>
          <w:szCs w:val="22"/>
        </w:rPr>
        <w:t>Artículo 53.</w:t>
      </w:r>
      <w:r w:rsidRPr="008952CE">
        <w:rPr>
          <w:rFonts w:ascii="Palatino Linotype" w:eastAsia="Palatino Linotype" w:hAnsi="Palatino Linotype" w:cs="Palatino Linotype"/>
          <w:i/>
          <w:sz w:val="22"/>
          <w:szCs w:val="22"/>
        </w:rPr>
        <w:t xml:space="preserve"> Las </w:t>
      </w:r>
      <w:r w:rsidRPr="008952CE">
        <w:rPr>
          <w:rFonts w:ascii="Palatino Linotype" w:eastAsia="Palatino Linotype" w:hAnsi="Palatino Linotype" w:cs="Palatino Linotype"/>
          <w:b/>
          <w:i/>
          <w:sz w:val="22"/>
          <w:szCs w:val="22"/>
        </w:rPr>
        <w:t>Unidades de Transparencia</w:t>
      </w:r>
      <w:r w:rsidRPr="008952CE">
        <w:rPr>
          <w:rFonts w:ascii="Palatino Linotype" w:eastAsia="Palatino Linotype" w:hAnsi="Palatino Linotype" w:cs="Palatino Linotype"/>
          <w:i/>
          <w:sz w:val="22"/>
          <w:szCs w:val="22"/>
        </w:rPr>
        <w:t xml:space="preserve"> tendrán las siguientes </w:t>
      </w:r>
      <w:r w:rsidRPr="008952CE">
        <w:rPr>
          <w:rFonts w:ascii="Palatino Linotype" w:eastAsia="Palatino Linotype" w:hAnsi="Palatino Linotype" w:cs="Palatino Linotype"/>
          <w:b/>
          <w:i/>
          <w:sz w:val="22"/>
          <w:szCs w:val="22"/>
        </w:rPr>
        <w:t>funciones</w:t>
      </w:r>
      <w:r w:rsidRPr="008952CE">
        <w:rPr>
          <w:rFonts w:ascii="Palatino Linotype" w:eastAsia="Palatino Linotype" w:hAnsi="Palatino Linotype" w:cs="Palatino Linotype"/>
          <w:i/>
          <w:sz w:val="22"/>
          <w:szCs w:val="22"/>
        </w:rPr>
        <w:t>:</w:t>
      </w:r>
    </w:p>
    <w:p w:rsidR="004335B3" w:rsidRPr="008952CE" w:rsidRDefault="00BE4D27">
      <w:pPr>
        <w:ind w:left="992" w:right="1043"/>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X. Presentar ante el Comité, el proyecto de clasificación de información</w:t>
      </w:r>
      <w:r w:rsidRPr="008952CE">
        <w:rPr>
          <w:rFonts w:ascii="Palatino Linotype" w:eastAsia="Palatino Linotype" w:hAnsi="Palatino Linotype" w:cs="Palatino Linotype"/>
          <w:i/>
          <w:sz w:val="22"/>
          <w:szCs w:val="22"/>
        </w:rPr>
        <w:t xml:space="preserve">…” </w:t>
      </w:r>
    </w:p>
    <w:p w:rsidR="004335B3" w:rsidRPr="008952CE" w:rsidRDefault="00BE4D27">
      <w:pPr>
        <w:ind w:left="992" w:right="1043"/>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“Artículo 59.</w:t>
      </w:r>
      <w:r w:rsidRPr="008952CE">
        <w:rPr>
          <w:rFonts w:ascii="Palatino Linotype" w:eastAsia="Palatino Linotype" w:hAnsi="Palatino Linotype" w:cs="Palatino Linotype"/>
          <w:i/>
          <w:sz w:val="22"/>
          <w:szCs w:val="22"/>
        </w:rPr>
        <w:t xml:space="preserve"> Los </w:t>
      </w:r>
      <w:r w:rsidRPr="008952CE">
        <w:rPr>
          <w:rFonts w:ascii="Palatino Linotype" w:eastAsia="Palatino Linotype" w:hAnsi="Palatino Linotype" w:cs="Palatino Linotype"/>
          <w:b/>
          <w:i/>
          <w:sz w:val="22"/>
          <w:szCs w:val="22"/>
        </w:rPr>
        <w:t>servidores públicos habilitados</w:t>
      </w:r>
      <w:r w:rsidRPr="008952CE">
        <w:rPr>
          <w:rFonts w:ascii="Palatino Linotype" w:eastAsia="Palatino Linotype" w:hAnsi="Palatino Linotype" w:cs="Palatino Linotype"/>
          <w:i/>
          <w:sz w:val="22"/>
          <w:szCs w:val="22"/>
        </w:rPr>
        <w:t xml:space="preserve"> tendrán las </w:t>
      </w:r>
      <w:r w:rsidRPr="008952CE">
        <w:rPr>
          <w:rFonts w:ascii="Palatino Linotype" w:eastAsia="Palatino Linotype" w:hAnsi="Palatino Linotype" w:cs="Palatino Linotype"/>
          <w:b/>
          <w:i/>
          <w:sz w:val="22"/>
          <w:szCs w:val="22"/>
        </w:rPr>
        <w:t>funciones</w:t>
      </w:r>
      <w:r w:rsidRPr="008952CE">
        <w:rPr>
          <w:rFonts w:ascii="Palatino Linotype" w:eastAsia="Palatino Linotype" w:hAnsi="Palatino Linotype" w:cs="Palatino Linotype"/>
          <w:i/>
          <w:sz w:val="22"/>
          <w:szCs w:val="22"/>
        </w:rPr>
        <w:t xml:space="preserve"> siguientes:</w:t>
      </w:r>
    </w:p>
    <w:p w:rsidR="004335B3" w:rsidRPr="008952CE" w:rsidRDefault="00BE4D27">
      <w:pPr>
        <w:ind w:left="992" w:right="1043"/>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8952CE">
        <w:rPr>
          <w:rFonts w:ascii="Palatino Linotype" w:eastAsia="Palatino Linotype" w:hAnsi="Palatino Linotype" w:cs="Palatino Linotype"/>
          <w:i/>
          <w:sz w:val="22"/>
          <w:szCs w:val="22"/>
        </w:rPr>
        <w:t>, la cual tendrá los fundamentos y argumentos en que se basa dicha propuesta…”(Sic)</w:t>
      </w:r>
    </w:p>
    <w:p w:rsidR="004335B3" w:rsidRPr="008952CE" w:rsidRDefault="004335B3">
      <w:pPr>
        <w:ind w:left="992" w:right="1043"/>
        <w:jc w:val="both"/>
        <w:rPr>
          <w:rFonts w:ascii="Palatino Linotype" w:eastAsia="Palatino Linotype" w:hAnsi="Palatino Linotype" w:cs="Palatino Linotype"/>
          <w:i/>
          <w:sz w:val="22"/>
          <w:szCs w:val="22"/>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after="240"/>
        <w:ind w:left="993" w:right="1041"/>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w:t>
      </w:r>
      <w:r w:rsidRPr="008952CE">
        <w:rPr>
          <w:rFonts w:ascii="Palatino Linotype" w:eastAsia="Palatino Linotype" w:hAnsi="Palatino Linotype" w:cs="Palatino Linotype"/>
          <w:b/>
          <w:i/>
          <w:sz w:val="22"/>
          <w:szCs w:val="22"/>
        </w:rPr>
        <w:t>Artículo 149.</w:t>
      </w:r>
      <w:r w:rsidRPr="008952CE">
        <w:rPr>
          <w:rFonts w:ascii="Palatino Linotype" w:eastAsia="Palatino Linotype" w:hAnsi="Palatino Linotype" w:cs="Palatino Linotype"/>
          <w:i/>
          <w:sz w:val="22"/>
          <w:szCs w:val="22"/>
        </w:rPr>
        <w:t xml:space="preserve"> El </w:t>
      </w:r>
      <w:r w:rsidRPr="008952CE">
        <w:rPr>
          <w:rFonts w:ascii="Palatino Linotype" w:eastAsia="Palatino Linotype" w:hAnsi="Palatino Linotype" w:cs="Palatino Linotype"/>
          <w:b/>
          <w:i/>
          <w:sz w:val="22"/>
          <w:szCs w:val="22"/>
        </w:rPr>
        <w:t>acuerdo que clasifique la información como confidencial</w:t>
      </w:r>
      <w:r w:rsidRPr="008952CE">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rsidR="004335B3" w:rsidRPr="008952CE" w:rsidRDefault="004335B3">
      <w:pPr>
        <w:spacing w:before="240" w:line="360" w:lineRule="auto"/>
        <w:ind w:right="51"/>
        <w:jc w:val="both"/>
        <w:rPr>
          <w:rFonts w:ascii="Palatino Linotype" w:eastAsia="Palatino Linotype" w:hAnsi="Palatino Linotype" w:cs="Palatino Linotype"/>
        </w:rPr>
      </w:pPr>
    </w:p>
    <w:p w:rsidR="004335B3" w:rsidRPr="008952CE" w:rsidRDefault="00BE4D27">
      <w:pPr>
        <w:spacing w:line="360" w:lineRule="auto"/>
        <w:ind w:right="51"/>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Es decir, 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4335B3" w:rsidRPr="008952CE" w:rsidRDefault="004335B3">
      <w:pPr>
        <w:spacing w:line="360" w:lineRule="auto"/>
        <w:ind w:right="51"/>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Al respecto, se destaca que la versión pública que elabore 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debe cumplir con las formalidades exigidas en la Ley; es decir, resulta necesario que el Comité de Transparencia del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w:t>
      </w:r>
      <w:r w:rsidRPr="008952CE">
        <w:rPr>
          <w:rFonts w:ascii="Palatino Linotype" w:eastAsia="Palatino Linotype" w:hAnsi="Palatino Linotype" w:cs="Palatino Linotype"/>
        </w:rPr>
        <w:lastRenderedPageBreak/>
        <w:t xml:space="preserve">Estado de México y Municipios, ya expuesto; así como con los numerales aplicables de los </w:t>
      </w:r>
      <w:r w:rsidRPr="008952CE">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8952CE">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ind w:left="709" w:right="709"/>
        <w:jc w:val="both"/>
        <w:rPr>
          <w:rFonts w:ascii="Palatino Linotype" w:eastAsia="Palatino Linotype" w:hAnsi="Palatino Linotype" w:cs="Palatino Linotype"/>
          <w:b/>
          <w:i/>
          <w:sz w:val="22"/>
          <w:szCs w:val="22"/>
        </w:rPr>
      </w:pPr>
      <w:r w:rsidRPr="008952CE">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w:t>
      </w:r>
      <w:r w:rsidRPr="008952CE">
        <w:rPr>
          <w:rFonts w:ascii="Palatino Linotype" w:eastAsia="Palatino Linotype" w:hAnsi="Palatino Linotype" w:cs="Palatino Linotype"/>
          <w:b/>
          <w:i/>
          <w:sz w:val="22"/>
          <w:szCs w:val="22"/>
        </w:rPr>
        <w:t>Segundo.-</w:t>
      </w:r>
      <w:r w:rsidRPr="008952CE">
        <w:rPr>
          <w:rFonts w:ascii="Palatino Linotype" w:eastAsia="Palatino Linotype" w:hAnsi="Palatino Linotype" w:cs="Palatino Linotype"/>
          <w:i/>
          <w:sz w:val="22"/>
          <w:szCs w:val="22"/>
        </w:rPr>
        <w:t xml:space="preserve"> Para efectos de los presentes Lineamientos Generales, se entenderá por:</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XVIII.</w:t>
      </w:r>
      <w:r w:rsidRPr="008952CE">
        <w:rPr>
          <w:rFonts w:ascii="Palatino Linotype" w:eastAsia="Palatino Linotype" w:hAnsi="Palatino Linotype" w:cs="Palatino Linotype"/>
          <w:i/>
          <w:sz w:val="22"/>
          <w:szCs w:val="22"/>
        </w:rPr>
        <w:t xml:space="preserve"> </w:t>
      </w:r>
      <w:r w:rsidRPr="008952CE">
        <w:rPr>
          <w:rFonts w:ascii="Palatino Linotype" w:eastAsia="Palatino Linotype" w:hAnsi="Palatino Linotype" w:cs="Palatino Linotype"/>
          <w:b/>
          <w:i/>
          <w:sz w:val="22"/>
          <w:szCs w:val="22"/>
        </w:rPr>
        <w:t>Versión pública:</w:t>
      </w:r>
      <w:r w:rsidRPr="008952CE">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8952CE">
        <w:rPr>
          <w:rFonts w:ascii="Palatino Linotype" w:eastAsia="Palatino Linotype" w:hAnsi="Palatino Linotype" w:cs="Palatino Linotype"/>
          <w:b/>
          <w:i/>
          <w:sz w:val="22"/>
          <w:szCs w:val="22"/>
          <w:u w:val="single"/>
        </w:rPr>
        <w:t>fundando y motivando la</w:t>
      </w:r>
      <w:r w:rsidRPr="008952CE">
        <w:rPr>
          <w:rFonts w:ascii="Palatino Linotype" w:eastAsia="Palatino Linotype" w:hAnsi="Palatino Linotype" w:cs="Palatino Linotype"/>
          <w:i/>
          <w:sz w:val="22"/>
          <w:szCs w:val="22"/>
        </w:rPr>
        <w:t xml:space="preserve"> reserva o </w:t>
      </w:r>
      <w:r w:rsidRPr="008952CE">
        <w:rPr>
          <w:rFonts w:ascii="Palatino Linotype" w:eastAsia="Palatino Linotype" w:hAnsi="Palatino Linotype" w:cs="Palatino Linotype"/>
          <w:b/>
          <w:i/>
          <w:sz w:val="22"/>
          <w:szCs w:val="22"/>
          <w:u w:val="single"/>
        </w:rPr>
        <w:t>confidencialidad</w:t>
      </w:r>
      <w:r w:rsidRPr="008952CE">
        <w:rPr>
          <w:rFonts w:ascii="Palatino Linotype" w:eastAsia="Palatino Linotype" w:hAnsi="Palatino Linotype" w:cs="Palatino Linotype"/>
          <w:i/>
          <w:sz w:val="22"/>
          <w:szCs w:val="22"/>
        </w:rPr>
        <w:t>, a través de la resolución que para tal efecto emita el Comité de Transparencia.</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Cuarto.</w:t>
      </w:r>
      <w:r w:rsidRPr="008952CE">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Quinto.</w:t>
      </w:r>
      <w:r w:rsidRPr="008952CE">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Sexto.</w:t>
      </w:r>
      <w:r w:rsidRPr="008952CE">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w:t>
      </w:r>
      <w:r w:rsidRPr="008952CE">
        <w:rPr>
          <w:rFonts w:ascii="Palatino Linotype" w:eastAsia="Palatino Linotype" w:hAnsi="Palatino Linotype" w:cs="Palatino Linotype"/>
          <w:i/>
          <w:sz w:val="22"/>
          <w:szCs w:val="22"/>
        </w:rPr>
        <w:lastRenderedPageBreak/>
        <w:t>documentos antes de que se genere la información o cuando éstos no obren en sus archivos.</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Séptimo.</w:t>
      </w:r>
      <w:r w:rsidRPr="008952CE">
        <w:rPr>
          <w:rFonts w:ascii="Palatino Linotype" w:eastAsia="Palatino Linotype" w:hAnsi="Palatino Linotype" w:cs="Palatino Linotype"/>
          <w:i/>
          <w:sz w:val="22"/>
          <w:szCs w:val="22"/>
        </w:rPr>
        <w:t xml:space="preserve"> La clasificación de la información se llevará a cabo en el momento en que:</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I.</w:t>
      </w:r>
      <w:r w:rsidRPr="008952CE">
        <w:rPr>
          <w:rFonts w:ascii="Palatino Linotype" w:eastAsia="Palatino Linotype" w:hAnsi="Palatino Linotype" w:cs="Palatino Linotype"/>
          <w:i/>
          <w:sz w:val="22"/>
          <w:szCs w:val="22"/>
        </w:rPr>
        <w:t xml:space="preserve"> Se reciba una solicitud de acceso a la información;</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II.</w:t>
      </w:r>
      <w:r w:rsidRPr="008952CE">
        <w:rPr>
          <w:rFonts w:ascii="Palatino Linotype" w:eastAsia="Palatino Linotype" w:hAnsi="Palatino Linotype" w:cs="Palatino Linotype"/>
          <w:i/>
          <w:sz w:val="22"/>
          <w:szCs w:val="22"/>
        </w:rPr>
        <w:t xml:space="preserve"> Se determine mediante resolución de autoridad competente, o</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III.</w:t>
      </w:r>
      <w:r w:rsidRPr="008952CE">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Octavo.</w:t>
      </w:r>
      <w:r w:rsidRPr="008952CE">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Noveno.</w:t>
      </w:r>
      <w:r w:rsidRPr="008952CE">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Décimo.</w:t>
      </w:r>
      <w:r w:rsidRPr="008952CE">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lastRenderedPageBreak/>
        <w:t>En ausencia de los titulares de las áreas, la información será clasificada o desclasificada por la persona que lo supla, en términos de la normativa que rija la actuación del sujeto obligado.</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Décimo primero.</w:t>
      </w:r>
      <w:r w:rsidRPr="008952CE">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w:t>
      </w:r>
    </w:p>
    <w:p w:rsidR="004335B3" w:rsidRPr="008952CE" w:rsidRDefault="00BE4D27">
      <w:pPr>
        <w:ind w:left="709" w:right="709"/>
        <w:jc w:val="center"/>
        <w:rPr>
          <w:rFonts w:ascii="Palatino Linotype" w:eastAsia="Palatino Linotype" w:hAnsi="Palatino Linotype" w:cs="Palatino Linotype"/>
          <w:b/>
          <w:i/>
          <w:sz w:val="22"/>
          <w:szCs w:val="22"/>
        </w:rPr>
      </w:pPr>
      <w:r w:rsidRPr="008952CE">
        <w:rPr>
          <w:rFonts w:ascii="Palatino Linotype" w:eastAsia="Palatino Linotype" w:hAnsi="Palatino Linotype" w:cs="Palatino Linotype"/>
          <w:b/>
          <w:i/>
          <w:sz w:val="22"/>
          <w:szCs w:val="22"/>
        </w:rPr>
        <w:t>CAPÍTULO VIII</w:t>
      </w:r>
    </w:p>
    <w:p w:rsidR="004335B3" w:rsidRPr="008952CE" w:rsidRDefault="00BE4D27">
      <w:pPr>
        <w:ind w:left="709" w:right="709"/>
        <w:jc w:val="center"/>
        <w:rPr>
          <w:rFonts w:ascii="Palatino Linotype" w:eastAsia="Palatino Linotype" w:hAnsi="Palatino Linotype" w:cs="Palatino Linotype"/>
          <w:b/>
          <w:i/>
          <w:sz w:val="22"/>
          <w:szCs w:val="22"/>
        </w:rPr>
      </w:pPr>
      <w:r w:rsidRPr="008952CE">
        <w:rPr>
          <w:rFonts w:ascii="Palatino Linotype" w:eastAsia="Palatino Linotype" w:hAnsi="Palatino Linotype" w:cs="Palatino Linotype"/>
          <w:b/>
          <w:i/>
          <w:sz w:val="22"/>
          <w:szCs w:val="22"/>
        </w:rPr>
        <w:t>DE LA LEYENDA DE CLASIFICACIÓN</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 xml:space="preserve">Quincuagésimo. </w:t>
      </w:r>
      <w:r w:rsidRPr="008952CE">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8952CE">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4335B3" w:rsidRPr="008952CE" w:rsidRDefault="00BE4D27">
      <w:pPr>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i/>
          <w:sz w:val="22"/>
          <w:szCs w:val="22"/>
        </w:rPr>
        <w:t>[…]</w:t>
      </w:r>
    </w:p>
    <w:p w:rsidR="004335B3" w:rsidRPr="008952CE" w:rsidRDefault="00BE4D27">
      <w:pPr>
        <w:spacing w:after="160"/>
        <w:ind w:left="709" w:right="709"/>
        <w:jc w:val="both"/>
        <w:rPr>
          <w:rFonts w:ascii="Palatino Linotype" w:eastAsia="Palatino Linotype" w:hAnsi="Palatino Linotype" w:cs="Palatino Linotype"/>
          <w:i/>
          <w:sz w:val="22"/>
          <w:szCs w:val="22"/>
        </w:rPr>
      </w:pPr>
      <w:r w:rsidRPr="008952CE">
        <w:rPr>
          <w:rFonts w:ascii="Palatino Linotype" w:eastAsia="Palatino Linotype" w:hAnsi="Palatino Linotype" w:cs="Palatino Linotype"/>
          <w:b/>
          <w:i/>
          <w:sz w:val="22"/>
          <w:szCs w:val="22"/>
        </w:rPr>
        <w:t xml:space="preserve">Quincuagésimo tercero. </w:t>
      </w:r>
      <w:r w:rsidRPr="008952CE">
        <w:rPr>
          <w:rFonts w:ascii="Palatino Linotype" w:eastAsia="Palatino Linotype" w:hAnsi="Palatino Linotype" w:cs="Palatino Linotype"/>
          <w:b/>
          <w:i/>
          <w:sz w:val="22"/>
          <w:szCs w:val="22"/>
          <w:u w:val="single"/>
        </w:rPr>
        <w:t>El formato para señalar la clasificación parcial de un documento</w:t>
      </w:r>
      <w:r w:rsidRPr="008952CE">
        <w:rPr>
          <w:rFonts w:ascii="Palatino Linotype" w:eastAsia="Palatino Linotype" w:hAnsi="Palatino Linotype" w:cs="Palatino Linotype"/>
          <w:i/>
          <w:sz w:val="22"/>
          <w:szCs w:val="22"/>
        </w:rPr>
        <w:t>, es el siguiente:</w:t>
      </w:r>
    </w:p>
    <w:tbl>
      <w:tblPr>
        <w:tblStyle w:val="af0"/>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8952CE" w:rsidRPr="008952CE">
        <w:trPr>
          <w:jc w:val="center"/>
        </w:trPr>
        <w:tc>
          <w:tcPr>
            <w:tcW w:w="1159" w:type="dxa"/>
            <w:tcBorders>
              <w:top w:val="nil"/>
              <w:left w:val="nil"/>
              <w:bottom w:val="single" w:sz="4" w:space="0" w:color="000000"/>
              <w:right w:val="single" w:sz="4" w:space="0" w:color="000000"/>
            </w:tcBorders>
          </w:tcPr>
          <w:p w:rsidR="004335B3" w:rsidRPr="008952CE" w:rsidRDefault="004335B3">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4335B3" w:rsidRPr="008952CE" w:rsidRDefault="00BE4D27">
            <w:pPr>
              <w:jc w:val="center"/>
              <w:rPr>
                <w:rFonts w:ascii="Palatino Linotype" w:eastAsia="Palatino Linotype" w:hAnsi="Palatino Linotype" w:cs="Palatino Linotype"/>
                <w:b/>
                <w:i/>
              </w:rPr>
            </w:pPr>
            <w:r w:rsidRPr="008952CE">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4335B3" w:rsidRPr="008952CE" w:rsidRDefault="00BE4D27">
            <w:pPr>
              <w:jc w:val="center"/>
              <w:rPr>
                <w:rFonts w:ascii="Palatino Linotype" w:eastAsia="Palatino Linotype" w:hAnsi="Palatino Linotype" w:cs="Palatino Linotype"/>
                <w:b/>
                <w:i/>
              </w:rPr>
            </w:pPr>
            <w:r w:rsidRPr="008952CE">
              <w:rPr>
                <w:rFonts w:ascii="Palatino Linotype" w:eastAsia="Palatino Linotype" w:hAnsi="Palatino Linotype" w:cs="Palatino Linotype"/>
                <w:b/>
                <w:i/>
              </w:rPr>
              <w:t>Dónde:</w:t>
            </w:r>
          </w:p>
        </w:tc>
      </w:tr>
      <w:tr w:rsidR="008952CE" w:rsidRPr="008952CE">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4335B3" w:rsidRPr="008952CE" w:rsidRDefault="00BE4D27">
            <w:pPr>
              <w:jc w:val="center"/>
              <w:rPr>
                <w:rFonts w:ascii="Palatino Linotype" w:eastAsia="Palatino Linotype" w:hAnsi="Palatino Linotype" w:cs="Palatino Linotype"/>
                <w:b/>
                <w:i/>
              </w:rPr>
            </w:pPr>
            <w:r w:rsidRPr="008952CE">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4335B3" w:rsidRPr="008952CE" w:rsidRDefault="00BE4D27">
            <w:pPr>
              <w:jc w:val="center"/>
              <w:rPr>
                <w:rFonts w:ascii="Palatino Linotype" w:eastAsia="Palatino Linotype" w:hAnsi="Palatino Linotype" w:cs="Palatino Linotype"/>
                <w:i/>
              </w:rPr>
            </w:pPr>
            <w:r w:rsidRPr="008952CE">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4335B3" w:rsidRPr="008952CE" w:rsidRDefault="00BE4D27">
            <w:pPr>
              <w:jc w:val="both"/>
              <w:rPr>
                <w:rFonts w:ascii="Palatino Linotype" w:eastAsia="Palatino Linotype" w:hAnsi="Palatino Linotype" w:cs="Palatino Linotype"/>
                <w:i/>
              </w:rPr>
            </w:pPr>
            <w:r w:rsidRPr="008952CE">
              <w:rPr>
                <w:rFonts w:ascii="Palatino Linotype" w:eastAsia="Palatino Linotype" w:hAnsi="Palatino Linotype" w:cs="Palatino Linotype"/>
                <w:i/>
              </w:rPr>
              <w:t>Se anotará la fecha en la que el Comité de Transparencia confirmó la clasificación del documento, en su caso.</w:t>
            </w:r>
          </w:p>
        </w:tc>
      </w:tr>
      <w:tr w:rsidR="008952CE" w:rsidRPr="008952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4335B3" w:rsidRPr="008952CE" w:rsidRDefault="004335B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4335B3" w:rsidRPr="008952CE" w:rsidRDefault="00BE4D27">
            <w:pPr>
              <w:jc w:val="center"/>
              <w:rPr>
                <w:rFonts w:ascii="Palatino Linotype" w:eastAsia="Palatino Linotype" w:hAnsi="Palatino Linotype" w:cs="Palatino Linotype"/>
                <w:i/>
              </w:rPr>
            </w:pPr>
            <w:r w:rsidRPr="008952CE">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4335B3" w:rsidRPr="008952CE" w:rsidRDefault="00BE4D27">
            <w:pPr>
              <w:jc w:val="both"/>
              <w:rPr>
                <w:rFonts w:ascii="Palatino Linotype" w:eastAsia="Palatino Linotype" w:hAnsi="Palatino Linotype" w:cs="Palatino Linotype"/>
                <w:i/>
              </w:rPr>
            </w:pPr>
            <w:r w:rsidRPr="008952CE">
              <w:rPr>
                <w:rFonts w:ascii="Palatino Linotype" w:eastAsia="Palatino Linotype" w:hAnsi="Palatino Linotype" w:cs="Palatino Linotype"/>
                <w:i/>
              </w:rPr>
              <w:t>Se señalará el nombre del área del cual es titular quien clasifica.</w:t>
            </w:r>
          </w:p>
        </w:tc>
      </w:tr>
      <w:tr w:rsidR="008952CE" w:rsidRPr="008952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4335B3" w:rsidRPr="008952CE" w:rsidRDefault="004335B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4335B3" w:rsidRPr="008952CE" w:rsidRDefault="00BE4D27">
            <w:pPr>
              <w:jc w:val="center"/>
              <w:rPr>
                <w:rFonts w:ascii="Palatino Linotype" w:eastAsia="Palatino Linotype" w:hAnsi="Palatino Linotype" w:cs="Palatino Linotype"/>
                <w:i/>
              </w:rPr>
            </w:pPr>
            <w:r w:rsidRPr="008952CE">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4335B3" w:rsidRPr="008952CE" w:rsidRDefault="00BE4D27">
            <w:pPr>
              <w:jc w:val="both"/>
              <w:rPr>
                <w:rFonts w:ascii="Palatino Linotype" w:eastAsia="Palatino Linotype" w:hAnsi="Palatino Linotype" w:cs="Palatino Linotype"/>
                <w:i/>
              </w:rPr>
            </w:pPr>
            <w:r w:rsidRPr="008952CE">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8952CE" w:rsidRPr="008952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4335B3" w:rsidRPr="008952CE" w:rsidRDefault="004335B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4335B3" w:rsidRPr="008952CE" w:rsidRDefault="00BE4D27">
            <w:pPr>
              <w:jc w:val="center"/>
              <w:rPr>
                <w:rFonts w:ascii="Palatino Linotype" w:eastAsia="Palatino Linotype" w:hAnsi="Palatino Linotype" w:cs="Palatino Linotype"/>
                <w:i/>
              </w:rPr>
            </w:pPr>
            <w:r w:rsidRPr="008952CE">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4335B3" w:rsidRPr="008952CE" w:rsidRDefault="00BE4D27">
            <w:pPr>
              <w:jc w:val="both"/>
              <w:rPr>
                <w:rFonts w:ascii="Palatino Linotype" w:eastAsia="Palatino Linotype" w:hAnsi="Palatino Linotype" w:cs="Palatino Linotype"/>
                <w:i/>
              </w:rPr>
            </w:pPr>
            <w:r w:rsidRPr="008952CE">
              <w:rPr>
                <w:rFonts w:ascii="Palatino Linotype" w:eastAsia="Palatino Linotype" w:hAnsi="Palatino Linotype" w:cs="Palatino Linotype"/>
                <w:i/>
              </w:rPr>
              <w:t>Se anotará el número de años o meses por los que se mantendrá el documento o las partes del mismo como reservado.</w:t>
            </w:r>
          </w:p>
        </w:tc>
      </w:tr>
      <w:tr w:rsidR="008952CE" w:rsidRPr="008952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4335B3" w:rsidRPr="008952CE" w:rsidRDefault="004335B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4335B3" w:rsidRPr="008952CE" w:rsidRDefault="00BE4D27">
            <w:pPr>
              <w:jc w:val="center"/>
              <w:rPr>
                <w:rFonts w:ascii="Palatino Linotype" w:eastAsia="Palatino Linotype" w:hAnsi="Palatino Linotype" w:cs="Palatino Linotype"/>
                <w:i/>
              </w:rPr>
            </w:pPr>
            <w:r w:rsidRPr="008952CE">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4335B3" w:rsidRPr="008952CE" w:rsidRDefault="00BE4D27">
            <w:pPr>
              <w:jc w:val="both"/>
              <w:rPr>
                <w:rFonts w:ascii="Palatino Linotype" w:eastAsia="Palatino Linotype" w:hAnsi="Palatino Linotype" w:cs="Palatino Linotype"/>
                <w:i/>
              </w:rPr>
            </w:pPr>
            <w:r w:rsidRPr="008952CE">
              <w:rPr>
                <w:rFonts w:ascii="Palatino Linotype" w:eastAsia="Palatino Linotype" w:hAnsi="Palatino Linotype" w:cs="Palatino Linotype"/>
                <w:i/>
              </w:rPr>
              <w:t>Se señalará el nombre del ordenamiento, el o los artículos, fracción(es), párrafo(s) con base en los cuales se sustente la reserva.</w:t>
            </w:r>
          </w:p>
        </w:tc>
      </w:tr>
      <w:tr w:rsidR="008952CE" w:rsidRPr="008952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4335B3" w:rsidRPr="008952CE" w:rsidRDefault="004335B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4335B3" w:rsidRPr="008952CE" w:rsidRDefault="00BE4D27">
            <w:pPr>
              <w:jc w:val="center"/>
              <w:rPr>
                <w:rFonts w:ascii="Palatino Linotype" w:eastAsia="Palatino Linotype" w:hAnsi="Palatino Linotype" w:cs="Palatino Linotype"/>
                <w:i/>
              </w:rPr>
            </w:pPr>
            <w:r w:rsidRPr="008952CE">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4335B3" w:rsidRPr="008952CE" w:rsidRDefault="00BE4D27">
            <w:pPr>
              <w:jc w:val="both"/>
              <w:rPr>
                <w:rFonts w:ascii="Palatino Linotype" w:eastAsia="Palatino Linotype" w:hAnsi="Palatino Linotype" w:cs="Palatino Linotype"/>
                <w:i/>
              </w:rPr>
            </w:pPr>
            <w:r w:rsidRPr="008952CE">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8952CE" w:rsidRPr="008952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4335B3" w:rsidRPr="008952CE" w:rsidRDefault="004335B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4335B3" w:rsidRPr="008952CE" w:rsidRDefault="00BE4D27">
            <w:pPr>
              <w:jc w:val="center"/>
              <w:rPr>
                <w:rFonts w:ascii="Palatino Linotype" w:eastAsia="Palatino Linotype" w:hAnsi="Palatino Linotype" w:cs="Palatino Linotype"/>
                <w:i/>
              </w:rPr>
            </w:pPr>
            <w:r w:rsidRPr="008952CE">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4335B3" w:rsidRPr="008952CE" w:rsidRDefault="00BE4D27">
            <w:pPr>
              <w:jc w:val="both"/>
              <w:rPr>
                <w:rFonts w:ascii="Palatino Linotype" w:eastAsia="Palatino Linotype" w:hAnsi="Palatino Linotype" w:cs="Palatino Linotype"/>
                <w:i/>
              </w:rPr>
            </w:pPr>
            <w:r w:rsidRPr="008952CE">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8952CE" w:rsidRPr="008952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4335B3" w:rsidRPr="008952CE" w:rsidRDefault="004335B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4335B3" w:rsidRPr="008952CE" w:rsidRDefault="00BE4D27">
            <w:pPr>
              <w:jc w:val="center"/>
              <w:rPr>
                <w:rFonts w:ascii="Palatino Linotype" w:eastAsia="Palatino Linotype" w:hAnsi="Palatino Linotype" w:cs="Palatino Linotype"/>
                <w:i/>
              </w:rPr>
            </w:pPr>
            <w:r w:rsidRPr="008952CE">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4335B3" w:rsidRPr="008952CE" w:rsidRDefault="00BE4D27">
            <w:pPr>
              <w:jc w:val="both"/>
              <w:rPr>
                <w:rFonts w:ascii="Palatino Linotype" w:eastAsia="Palatino Linotype" w:hAnsi="Palatino Linotype" w:cs="Palatino Linotype"/>
                <w:i/>
              </w:rPr>
            </w:pPr>
            <w:r w:rsidRPr="008952CE">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8952CE" w:rsidRPr="008952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4335B3" w:rsidRPr="008952CE" w:rsidRDefault="004335B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4335B3" w:rsidRPr="008952CE" w:rsidRDefault="00BE4D27">
            <w:pPr>
              <w:jc w:val="center"/>
              <w:rPr>
                <w:rFonts w:ascii="Palatino Linotype" w:eastAsia="Palatino Linotype" w:hAnsi="Palatino Linotype" w:cs="Palatino Linotype"/>
                <w:i/>
              </w:rPr>
            </w:pPr>
            <w:r w:rsidRPr="008952CE">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4335B3" w:rsidRPr="008952CE" w:rsidRDefault="00BE4D27">
            <w:pPr>
              <w:jc w:val="both"/>
              <w:rPr>
                <w:rFonts w:ascii="Palatino Linotype" w:eastAsia="Palatino Linotype" w:hAnsi="Palatino Linotype" w:cs="Palatino Linotype"/>
                <w:i/>
              </w:rPr>
            </w:pPr>
            <w:r w:rsidRPr="008952CE">
              <w:rPr>
                <w:rFonts w:ascii="Palatino Linotype" w:eastAsia="Palatino Linotype" w:hAnsi="Palatino Linotype" w:cs="Palatino Linotype"/>
                <w:i/>
              </w:rPr>
              <w:t>Rúbrica autógrafa de quien clasifica.</w:t>
            </w:r>
          </w:p>
        </w:tc>
      </w:tr>
      <w:tr w:rsidR="008952CE" w:rsidRPr="008952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4335B3" w:rsidRPr="008952CE" w:rsidRDefault="004335B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4335B3" w:rsidRPr="008952CE" w:rsidRDefault="00BE4D27">
            <w:pPr>
              <w:jc w:val="center"/>
              <w:rPr>
                <w:rFonts w:ascii="Palatino Linotype" w:eastAsia="Palatino Linotype" w:hAnsi="Palatino Linotype" w:cs="Palatino Linotype"/>
                <w:i/>
              </w:rPr>
            </w:pPr>
            <w:r w:rsidRPr="008952CE">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4335B3" w:rsidRPr="008952CE" w:rsidRDefault="00BE4D27">
            <w:pPr>
              <w:jc w:val="both"/>
              <w:rPr>
                <w:rFonts w:ascii="Palatino Linotype" w:eastAsia="Palatino Linotype" w:hAnsi="Palatino Linotype" w:cs="Palatino Linotype"/>
                <w:i/>
              </w:rPr>
            </w:pPr>
            <w:r w:rsidRPr="008952CE">
              <w:rPr>
                <w:rFonts w:ascii="Palatino Linotype" w:eastAsia="Palatino Linotype" w:hAnsi="Palatino Linotype" w:cs="Palatino Linotype"/>
                <w:i/>
              </w:rPr>
              <w:t>Se anotará la fecha en que se desclasifica el documento.</w:t>
            </w:r>
          </w:p>
        </w:tc>
      </w:tr>
      <w:tr w:rsidR="008952CE" w:rsidRPr="008952C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4335B3" w:rsidRPr="008952CE" w:rsidRDefault="004335B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4335B3" w:rsidRPr="008952CE" w:rsidRDefault="00BE4D27">
            <w:pPr>
              <w:jc w:val="center"/>
              <w:rPr>
                <w:rFonts w:ascii="Palatino Linotype" w:eastAsia="Palatino Linotype" w:hAnsi="Palatino Linotype" w:cs="Palatino Linotype"/>
                <w:i/>
              </w:rPr>
            </w:pPr>
            <w:r w:rsidRPr="008952CE">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4335B3" w:rsidRPr="008952CE" w:rsidRDefault="00BE4D27">
            <w:pPr>
              <w:rPr>
                <w:rFonts w:ascii="Palatino Linotype" w:eastAsia="Palatino Linotype" w:hAnsi="Palatino Linotype" w:cs="Palatino Linotype"/>
                <w:i/>
              </w:rPr>
            </w:pPr>
            <w:r w:rsidRPr="008952CE">
              <w:rPr>
                <w:rFonts w:ascii="Palatino Linotype" w:eastAsia="Palatino Linotype" w:hAnsi="Palatino Linotype" w:cs="Palatino Linotype"/>
                <w:i/>
              </w:rPr>
              <w:t>Rúbrica autógrafa de quien desclasifica.</w:t>
            </w:r>
          </w:p>
        </w:tc>
      </w:tr>
    </w:tbl>
    <w:p w:rsidR="004335B3" w:rsidRPr="008952CE" w:rsidRDefault="004335B3">
      <w:pPr>
        <w:spacing w:before="240" w:line="360" w:lineRule="auto"/>
        <w:ind w:right="51"/>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hd w:val="clear" w:color="auto" w:fill="FFFFFF"/>
        <w:spacing w:line="360" w:lineRule="auto"/>
        <w:ind w:right="51"/>
        <w:jc w:val="both"/>
        <w:rPr>
          <w:rFonts w:ascii="Palatino Linotype" w:eastAsia="Palatino Linotype" w:hAnsi="Palatino Linotype" w:cs="Palatino Linotype"/>
        </w:rPr>
      </w:pPr>
      <w:r w:rsidRPr="008952CE">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a testar, suprimir o eliminar datos de dicho soporte documental, ya </w:t>
      </w:r>
      <w:r w:rsidRPr="008952CE">
        <w:rPr>
          <w:rFonts w:ascii="Palatino Linotype" w:eastAsia="Palatino Linotype" w:hAnsi="Palatino Linotype" w:cs="Palatino Linotype"/>
        </w:rPr>
        <w:lastRenderedPageBreak/>
        <w:t>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recurrente.</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4335B3" w:rsidRPr="008952CE" w:rsidRDefault="004335B3">
      <w:pPr>
        <w:spacing w:line="360" w:lineRule="auto"/>
        <w:jc w:val="both"/>
        <w:rPr>
          <w:rFonts w:ascii="Palatino Linotype" w:eastAsia="Palatino Linotype" w:hAnsi="Palatino Linotype" w:cs="Palatino Linotype"/>
        </w:rPr>
      </w:pPr>
    </w:p>
    <w:p w:rsidR="004335B3" w:rsidRPr="008952CE" w:rsidRDefault="00BE4D27">
      <w:pPr>
        <w:spacing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4335B3" w:rsidRPr="008952CE" w:rsidRDefault="00BE4D27">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8952CE">
        <w:rPr>
          <w:rFonts w:ascii="Palatino Linotype" w:eastAsia="Palatino Linotype" w:hAnsi="Palatino Linotype" w:cs="Palatino Linotype"/>
          <w:b/>
          <w:sz w:val="22"/>
          <w:szCs w:val="22"/>
        </w:rPr>
        <w:t>R E S U E L V E:</w:t>
      </w:r>
    </w:p>
    <w:p w:rsidR="004335B3" w:rsidRPr="008952CE" w:rsidRDefault="00BE4D27">
      <w:pPr>
        <w:spacing w:before="240"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b/>
        </w:rPr>
        <w:t xml:space="preserve">Primero. </w:t>
      </w:r>
      <w:r w:rsidRPr="008952CE">
        <w:rPr>
          <w:rFonts w:ascii="Palatino Linotype" w:eastAsia="Palatino Linotype" w:hAnsi="Palatino Linotype" w:cs="Palatino Linotype"/>
        </w:rPr>
        <w:t xml:space="preserve">Resultan parcialmente fundados los motivos de inconformidad hechos valer por la </w:t>
      </w:r>
      <w:r w:rsidRPr="008952CE">
        <w:rPr>
          <w:rFonts w:ascii="Palatino Linotype" w:eastAsia="Palatino Linotype" w:hAnsi="Palatino Linotype" w:cs="Palatino Linotype"/>
          <w:b/>
        </w:rPr>
        <w:t>RECURRENTE</w:t>
      </w:r>
      <w:r w:rsidRPr="008952CE">
        <w:rPr>
          <w:rFonts w:ascii="Palatino Linotype" w:eastAsia="Palatino Linotype" w:hAnsi="Palatino Linotype" w:cs="Palatino Linotype"/>
        </w:rPr>
        <w:t xml:space="preserve"> en el Recurso de Revisión </w:t>
      </w:r>
      <w:r w:rsidRPr="008952CE">
        <w:rPr>
          <w:rFonts w:ascii="Palatino Linotype" w:eastAsia="Palatino Linotype" w:hAnsi="Palatino Linotype" w:cs="Palatino Linotype"/>
          <w:b/>
        </w:rPr>
        <w:t xml:space="preserve">07389/INFOEM/IP/RR/2022, </w:t>
      </w:r>
      <w:r w:rsidRPr="008952CE">
        <w:rPr>
          <w:rFonts w:ascii="Palatino Linotype" w:eastAsia="Palatino Linotype" w:hAnsi="Palatino Linotype" w:cs="Palatino Linotype"/>
        </w:rPr>
        <w:lastRenderedPageBreak/>
        <w:t xml:space="preserve">por lo que, en términos del considerando </w:t>
      </w:r>
      <w:r w:rsidRPr="008952CE">
        <w:rPr>
          <w:rFonts w:ascii="Palatino Linotype" w:eastAsia="Palatino Linotype" w:hAnsi="Palatino Linotype" w:cs="Palatino Linotype"/>
          <w:b/>
        </w:rPr>
        <w:t xml:space="preserve">Cuarto </w:t>
      </w:r>
      <w:r w:rsidRPr="008952CE">
        <w:rPr>
          <w:rFonts w:ascii="Palatino Linotype" w:eastAsia="Palatino Linotype" w:hAnsi="Palatino Linotype" w:cs="Palatino Linotype"/>
        </w:rPr>
        <w:t xml:space="preserve">de esta resolución, se </w:t>
      </w:r>
      <w:r w:rsidRPr="008952CE">
        <w:rPr>
          <w:rFonts w:ascii="Palatino Linotype" w:eastAsia="Palatino Linotype" w:hAnsi="Palatino Linotype" w:cs="Palatino Linotype"/>
          <w:b/>
        </w:rPr>
        <w:t xml:space="preserve">MODIFICA </w:t>
      </w:r>
      <w:r w:rsidRPr="008952CE">
        <w:rPr>
          <w:rFonts w:ascii="Palatino Linotype" w:eastAsia="Palatino Linotype" w:hAnsi="Palatino Linotype" w:cs="Palatino Linotype"/>
        </w:rPr>
        <w:t xml:space="preserve">la respuesta emitida por 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w:t>
      </w:r>
    </w:p>
    <w:p w:rsidR="004335B3" w:rsidRPr="008952CE" w:rsidRDefault="00BE4D27">
      <w:pPr>
        <w:spacing w:before="240" w:after="240" w:line="360" w:lineRule="auto"/>
        <w:ind w:right="49"/>
        <w:jc w:val="both"/>
        <w:rPr>
          <w:rFonts w:ascii="Palatino Linotype" w:eastAsia="Palatino Linotype" w:hAnsi="Palatino Linotype" w:cs="Palatino Linotype"/>
        </w:rPr>
      </w:pPr>
      <w:r w:rsidRPr="008952CE">
        <w:rPr>
          <w:rFonts w:ascii="Palatino Linotype" w:eastAsia="Palatino Linotype" w:hAnsi="Palatino Linotype" w:cs="Palatino Linotype"/>
          <w:b/>
        </w:rPr>
        <w:t xml:space="preserve">Segundo. </w:t>
      </w:r>
      <w:r w:rsidRPr="008952CE">
        <w:rPr>
          <w:rFonts w:ascii="Palatino Linotype" w:eastAsia="Palatino Linotype" w:hAnsi="Palatino Linotype" w:cs="Palatino Linotype"/>
        </w:rPr>
        <w:t>Se</w:t>
      </w:r>
      <w:r w:rsidRPr="008952CE">
        <w:rPr>
          <w:rFonts w:ascii="Palatino Linotype" w:eastAsia="Palatino Linotype" w:hAnsi="Palatino Linotype" w:cs="Palatino Linotype"/>
          <w:b/>
        </w:rPr>
        <w:t xml:space="preserve"> ORDENA </w:t>
      </w:r>
      <w:r w:rsidRPr="008952CE">
        <w:rPr>
          <w:rFonts w:ascii="Palatino Linotype" w:eastAsia="Palatino Linotype" w:hAnsi="Palatino Linotype" w:cs="Palatino Linotype"/>
        </w:rPr>
        <w:t xml:space="preserve">al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a que,</w:t>
      </w:r>
      <w:r w:rsidRPr="008952CE">
        <w:rPr>
          <w:rFonts w:ascii="Palatino Linotype" w:eastAsia="Palatino Linotype" w:hAnsi="Palatino Linotype" w:cs="Palatino Linotype"/>
          <w:b/>
        </w:rPr>
        <w:t xml:space="preserve"> </w:t>
      </w:r>
      <w:r w:rsidRPr="008952CE">
        <w:rPr>
          <w:rFonts w:ascii="Palatino Linotype" w:eastAsia="Palatino Linotype" w:hAnsi="Palatino Linotype" w:cs="Palatino Linotype"/>
        </w:rPr>
        <w:t xml:space="preserve">en términos del Considerando Cuarto y Quinto, haga entrega vía SAIMEX, en versión pública de ser procedente, de los servidores públicos referidos en la solicitud número </w:t>
      </w:r>
      <w:r w:rsidRPr="008952CE">
        <w:rPr>
          <w:rFonts w:ascii="Palatino Linotype" w:eastAsia="Palatino Linotype" w:hAnsi="Palatino Linotype" w:cs="Palatino Linotype"/>
          <w:b/>
        </w:rPr>
        <w:t>00110/ACAMBAY/IP/2022,</w:t>
      </w:r>
      <w:r w:rsidRPr="008952CE">
        <w:rPr>
          <w:rFonts w:ascii="Palatino Linotype" w:eastAsia="Palatino Linotype" w:hAnsi="Palatino Linotype" w:cs="Palatino Linotype"/>
        </w:rPr>
        <w:t xml:space="preserve"> el documento o documentos en donde conste lo siguiente:</w:t>
      </w:r>
    </w:p>
    <w:p w:rsidR="004335B3" w:rsidRPr="008952CE" w:rsidRDefault="00BE4D27">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952CE">
        <w:rPr>
          <w:rFonts w:ascii="Palatino Linotype" w:eastAsia="Palatino Linotype" w:hAnsi="Palatino Linotype" w:cs="Palatino Linotype"/>
          <w:sz w:val="22"/>
          <w:szCs w:val="22"/>
        </w:rPr>
        <w:t>El curriculum vitae, ficha curricular o documento análogo, vigentes al siete de abril del año dos mil veintidós.</w:t>
      </w:r>
    </w:p>
    <w:p w:rsidR="004335B3" w:rsidRPr="008952CE" w:rsidRDefault="00BE4D27">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952CE">
        <w:rPr>
          <w:rFonts w:ascii="Palatino Linotype" w:eastAsia="Palatino Linotype" w:hAnsi="Palatino Linotype" w:cs="Palatino Linotype"/>
          <w:sz w:val="22"/>
          <w:szCs w:val="22"/>
        </w:rPr>
        <w:t>La acreditación de la relación laboral con el Sistema Municipal para el Desarrollo Integral de la Familia de Acambay de Ruíz Castañeda, vigente al siete de abril del año dos mil veintidós.</w:t>
      </w:r>
    </w:p>
    <w:p w:rsidR="004335B3" w:rsidRPr="008952CE" w:rsidRDefault="00BE4D27">
      <w:pPr>
        <w:pBdr>
          <w:top w:val="nil"/>
          <w:left w:val="nil"/>
          <w:bottom w:val="nil"/>
          <w:right w:val="nil"/>
          <w:between w:val="nil"/>
        </w:pBdr>
        <w:spacing w:before="240"/>
        <w:ind w:left="720" w:right="40"/>
        <w:jc w:val="both"/>
        <w:rPr>
          <w:rFonts w:ascii="Palatino Linotype" w:eastAsia="Palatino Linotype" w:hAnsi="Palatino Linotype" w:cs="Palatino Linotype"/>
          <w:i/>
        </w:rPr>
      </w:pPr>
      <w:r w:rsidRPr="008952CE">
        <w:rPr>
          <w:rFonts w:ascii="Palatino Linotype" w:eastAsia="Palatino Linotype" w:hAnsi="Palatino Linotype" w:cs="Palatino Linotype"/>
          <w:i/>
        </w:rPr>
        <w:t>De ser procedente, 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que se ordenan y de los documentos que se deban clasificar en su totalidad relacionados con certificados de no deudor alimentario moroso, los que se deberán poner a disposición de la parte Recurrente.</w:t>
      </w:r>
    </w:p>
    <w:p w:rsidR="004335B3" w:rsidRPr="008952CE" w:rsidRDefault="004335B3">
      <w:pPr>
        <w:spacing w:line="360" w:lineRule="auto"/>
        <w:jc w:val="both"/>
        <w:rPr>
          <w:rFonts w:ascii="Palatino Linotype" w:eastAsia="Palatino Linotype" w:hAnsi="Palatino Linotype" w:cs="Palatino Linotype"/>
          <w:b/>
        </w:rPr>
      </w:pPr>
    </w:p>
    <w:p w:rsidR="004335B3" w:rsidRPr="008952CE" w:rsidRDefault="00BE4D27">
      <w:pPr>
        <w:spacing w:before="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b/>
        </w:rPr>
        <w:t>Tercero. Notifíquese vía SAIMEX,</w:t>
      </w:r>
      <w:r w:rsidRPr="008952CE">
        <w:rPr>
          <w:rFonts w:ascii="Palatino Linotype" w:eastAsia="Palatino Linotype" w:hAnsi="Palatino Linotype" w:cs="Palatino Linotype"/>
          <w:b/>
          <w:i/>
        </w:rPr>
        <w:t xml:space="preserve"> </w:t>
      </w:r>
      <w:r w:rsidRPr="008952CE">
        <w:rPr>
          <w:rFonts w:ascii="Palatino Linotype" w:eastAsia="Palatino Linotype" w:hAnsi="Palatino Linotype" w:cs="Palatino Linotype"/>
        </w:rPr>
        <w:t xml:space="preserve">al Responsable de la Unidad de Transparencia del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w:t>
      </w:r>
      <w:r w:rsidRPr="008952CE">
        <w:rPr>
          <w:rFonts w:ascii="Palatino Linotype" w:eastAsia="Palatino Linotype" w:hAnsi="Palatino Linotype" w:cs="Palatino Linotype"/>
        </w:rPr>
        <w:lastRenderedPageBreak/>
        <w:t>ordenado dentro del plazo de diez días hábiles, debiendo informar a este Instituto en un plazo de tres días hábiles siguientes sobre el cumplimiento dado.</w:t>
      </w:r>
    </w:p>
    <w:p w:rsidR="004335B3" w:rsidRPr="008952CE" w:rsidRDefault="004335B3">
      <w:pPr>
        <w:spacing w:line="360" w:lineRule="auto"/>
        <w:jc w:val="both"/>
        <w:rPr>
          <w:rFonts w:ascii="Palatino Linotype" w:eastAsia="Palatino Linotype" w:hAnsi="Palatino Linotype" w:cs="Palatino Linotype"/>
          <w:b/>
        </w:rPr>
      </w:pPr>
    </w:p>
    <w:p w:rsidR="004335B3" w:rsidRPr="008952CE" w:rsidRDefault="00BE4D27">
      <w:pPr>
        <w:spacing w:after="240" w:line="360" w:lineRule="auto"/>
        <w:jc w:val="both"/>
        <w:rPr>
          <w:rFonts w:ascii="Palatino Linotype" w:eastAsia="Palatino Linotype" w:hAnsi="Palatino Linotype" w:cs="Palatino Linotype"/>
        </w:rPr>
      </w:pPr>
      <w:r w:rsidRPr="008952CE">
        <w:rPr>
          <w:rFonts w:ascii="Palatino Linotype" w:eastAsia="Palatino Linotype" w:hAnsi="Palatino Linotype" w:cs="Palatino Linotype"/>
          <w:b/>
        </w:rPr>
        <w:t xml:space="preserve">Cuarto. </w:t>
      </w:r>
      <w:r w:rsidRPr="008952CE">
        <w:rPr>
          <w:rFonts w:ascii="Palatino Linotype" w:eastAsia="Palatino Linotype" w:hAnsi="Palatino Linotype" w:cs="Palatino Linotype"/>
        </w:rPr>
        <w:t xml:space="preserve">Notifíquese, vía </w:t>
      </w:r>
      <w:r w:rsidRPr="008952CE">
        <w:rPr>
          <w:rFonts w:ascii="Palatino Linotype" w:eastAsia="Palatino Linotype" w:hAnsi="Palatino Linotype" w:cs="Palatino Linotype"/>
          <w:b/>
        </w:rPr>
        <w:t>SAIMEX</w:t>
      </w:r>
      <w:r w:rsidRPr="008952CE">
        <w:rPr>
          <w:rFonts w:ascii="Palatino Linotype" w:eastAsia="Palatino Linotype" w:hAnsi="Palatino Linotype" w:cs="Palatino Linotype"/>
        </w:rPr>
        <w:t xml:space="preserve">, a la parte </w:t>
      </w:r>
      <w:r w:rsidRPr="008952CE">
        <w:rPr>
          <w:rFonts w:ascii="Palatino Linotype" w:eastAsia="Palatino Linotype" w:hAnsi="Palatino Linotype" w:cs="Palatino Linotype"/>
          <w:b/>
        </w:rPr>
        <w:t>RECURRENTE</w:t>
      </w:r>
      <w:r w:rsidRPr="008952CE">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4335B3" w:rsidRPr="008952CE" w:rsidRDefault="00BE4D27">
      <w:pPr>
        <w:spacing w:before="240" w:after="240" w:line="360" w:lineRule="auto"/>
        <w:jc w:val="both"/>
        <w:rPr>
          <w:rFonts w:ascii="Palatino Linotype" w:eastAsia="Palatino Linotype" w:hAnsi="Palatino Linotype" w:cs="Palatino Linotype"/>
          <w:b/>
        </w:rPr>
      </w:pPr>
      <w:r w:rsidRPr="008952CE">
        <w:rPr>
          <w:rFonts w:ascii="Palatino Linotype" w:eastAsia="Palatino Linotype" w:hAnsi="Palatino Linotype" w:cs="Palatino Linotype"/>
          <w:b/>
        </w:rPr>
        <w:t>Quinto.</w:t>
      </w:r>
      <w:r w:rsidRPr="008952CE">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8952CE">
        <w:rPr>
          <w:rFonts w:ascii="Palatino Linotype" w:eastAsia="Palatino Linotype" w:hAnsi="Palatino Linotype" w:cs="Palatino Linotype"/>
          <w:b/>
        </w:rPr>
        <w:t>SUJETO OBLIGADO</w:t>
      </w:r>
      <w:r w:rsidRPr="008952CE">
        <w:rPr>
          <w:rFonts w:ascii="Palatino Linotype" w:eastAsia="Palatino Linotype" w:hAnsi="Palatino Linotype" w:cs="Palatino Linotype"/>
        </w:rPr>
        <w:t xml:space="preserve"> de manera fundada y motivada, podrá solicitar una ampliación de plazo para el cumplimiento de la presente resolución.</w:t>
      </w:r>
    </w:p>
    <w:p w:rsidR="004335B3" w:rsidRPr="008952CE" w:rsidRDefault="00BE4D27">
      <w:pPr>
        <w:spacing w:before="240" w:after="240" w:line="360" w:lineRule="auto"/>
        <w:jc w:val="both"/>
        <w:rPr>
          <w:rFonts w:ascii="Palatino Linotype" w:eastAsia="Palatino Linotype" w:hAnsi="Palatino Linotype" w:cs="Palatino Linotype"/>
        </w:rPr>
        <w:sectPr w:rsidR="004335B3" w:rsidRPr="008952CE">
          <w:headerReference w:type="default" r:id="rId18"/>
          <w:footerReference w:type="default" r:id="rId19"/>
          <w:headerReference w:type="first" r:id="rId20"/>
          <w:footerReference w:type="first" r:id="rId21"/>
          <w:pgSz w:w="12240" w:h="15840"/>
          <w:pgMar w:top="2041" w:right="1701" w:bottom="1701" w:left="1701" w:header="709" w:footer="709" w:gutter="0"/>
          <w:pgNumType w:start="1"/>
          <w:cols w:space="720"/>
          <w:titlePg/>
        </w:sectPr>
      </w:pPr>
      <w:bookmarkStart w:id="4" w:name="_heading=h.1fob9te" w:colFirst="0" w:colLast="0"/>
      <w:bookmarkEnd w:id="4"/>
      <w:r w:rsidRPr="008952CE">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QUINTA SESIÓN ORDINARIA CELEBRADA EL VEINTIOCHO DE SEPTIEMBRE DEL DOS MIL VEINTIDÓS, ANTE EL SECRETARIO TÉCNICO DEL PLENO ALEXIS TAPIA RAMÍREZ.                             </w:t>
      </w:r>
    </w:p>
    <w:p w:rsidR="004335B3" w:rsidRPr="008952CE" w:rsidRDefault="004335B3">
      <w:pPr>
        <w:spacing w:before="240" w:after="240" w:line="360" w:lineRule="auto"/>
        <w:jc w:val="both"/>
        <w:rPr>
          <w:rFonts w:ascii="Palatino Linotype" w:eastAsia="Palatino Linotype" w:hAnsi="Palatino Linotype" w:cs="Palatino Linotype"/>
        </w:rPr>
      </w:pPr>
    </w:p>
    <w:sectPr w:rsidR="004335B3" w:rsidRPr="008952CE">
      <w:headerReference w:type="first" r:id="rId22"/>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D27" w:rsidRDefault="00BE4D27">
      <w:r>
        <w:separator/>
      </w:r>
    </w:p>
  </w:endnote>
  <w:endnote w:type="continuationSeparator" w:id="0">
    <w:p w:rsidR="00BE4D27" w:rsidRDefault="00BE4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5B3" w:rsidRDefault="00BE4D2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960AD">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960AD">
      <w:rPr>
        <w:rFonts w:ascii="Arial" w:eastAsia="Arial" w:hAnsi="Arial" w:cs="Arial"/>
        <w:b/>
        <w:noProof/>
        <w:color w:val="000000"/>
        <w:sz w:val="20"/>
        <w:szCs w:val="20"/>
      </w:rPr>
      <w:t>61</w:t>
    </w:r>
    <w:r>
      <w:rPr>
        <w:rFonts w:ascii="Arial" w:eastAsia="Arial" w:hAnsi="Arial" w:cs="Arial"/>
        <w:b/>
        <w:color w:val="000000"/>
        <w:sz w:val="20"/>
        <w:szCs w:val="20"/>
      </w:rPr>
      <w:fldChar w:fldCharType="end"/>
    </w:r>
  </w:p>
  <w:p w:rsidR="004335B3" w:rsidRDefault="004335B3">
    <w:pPr>
      <w:pBdr>
        <w:top w:val="nil"/>
        <w:left w:val="nil"/>
        <w:bottom w:val="nil"/>
        <w:right w:val="nil"/>
        <w:between w:val="nil"/>
      </w:pBdr>
      <w:tabs>
        <w:tab w:val="center" w:pos="4252"/>
        <w:tab w:val="right" w:pos="8504"/>
      </w:tabs>
      <w:rPr>
        <w:color w:val="000000"/>
      </w:rPr>
    </w:pPr>
  </w:p>
  <w:p w:rsidR="004335B3" w:rsidRDefault="004335B3">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5B3" w:rsidRDefault="00BE4D2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960AD">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960AD">
      <w:rPr>
        <w:rFonts w:ascii="Arial" w:eastAsia="Arial" w:hAnsi="Arial" w:cs="Arial"/>
        <w:b/>
        <w:noProof/>
        <w:color w:val="000000"/>
        <w:sz w:val="20"/>
        <w:szCs w:val="20"/>
      </w:rPr>
      <w:t>61</w:t>
    </w:r>
    <w:r>
      <w:rPr>
        <w:rFonts w:ascii="Arial" w:eastAsia="Arial" w:hAnsi="Arial" w:cs="Arial"/>
        <w:b/>
        <w:color w:val="000000"/>
        <w:sz w:val="20"/>
        <w:szCs w:val="20"/>
      </w:rPr>
      <w:fldChar w:fldCharType="end"/>
    </w:r>
  </w:p>
  <w:p w:rsidR="004335B3" w:rsidRDefault="004335B3">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D27" w:rsidRDefault="00BE4D27">
      <w:r>
        <w:separator/>
      </w:r>
    </w:p>
  </w:footnote>
  <w:footnote w:type="continuationSeparator" w:id="0">
    <w:p w:rsidR="00BE4D27" w:rsidRDefault="00BE4D27">
      <w:r>
        <w:continuationSeparator/>
      </w:r>
    </w:p>
  </w:footnote>
  <w:footnote w:id="1">
    <w:p w:rsidR="004335B3" w:rsidRDefault="00BE4D2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Ley del Trabajo de los Servidores Públicos del Estado de México, Artículo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5B3" w:rsidRDefault="004335B3">
    <w:pPr>
      <w:widowControl w:val="0"/>
      <w:pBdr>
        <w:top w:val="nil"/>
        <w:left w:val="nil"/>
        <w:bottom w:val="nil"/>
        <w:right w:val="nil"/>
        <w:between w:val="nil"/>
      </w:pBdr>
      <w:spacing w:line="276" w:lineRule="auto"/>
      <w:rPr>
        <w:rFonts w:ascii="Calibri" w:eastAsia="Calibri" w:hAnsi="Calibri" w:cs="Calibri"/>
        <w:color w:val="000000"/>
      </w:rPr>
    </w:pPr>
  </w:p>
  <w:tbl>
    <w:tblPr>
      <w:tblStyle w:val="af2"/>
      <w:tblW w:w="5528" w:type="dxa"/>
      <w:tblInd w:w="3261" w:type="dxa"/>
      <w:tblLayout w:type="fixed"/>
      <w:tblLook w:val="0400" w:firstRow="0" w:lastRow="0" w:firstColumn="0" w:lastColumn="0" w:noHBand="0" w:noVBand="1"/>
    </w:tblPr>
    <w:tblGrid>
      <w:gridCol w:w="2551"/>
      <w:gridCol w:w="2977"/>
    </w:tblGrid>
    <w:tr w:rsidR="004335B3">
      <w:tc>
        <w:tcPr>
          <w:tcW w:w="2551" w:type="dxa"/>
          <w:vAlign w:val="center"/>
        </w:tcPr>
        <w:p w:rsidR="004335B3" w:rsidRDefault="00BE4D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4335B3" w:rsidRDefault="00BE4D2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07389/INFOEM/IP/RR/2022</w:t>
          </w:r>
        </w:p>
      </w:tc>
    </w:tr>
    <w:tr w:rsidR="004335B3">
      <w:trPr>
        <w:trHeight w:val="228"/>
      </w:trPr>
      <w:tc>
        <w:tcPr>
          <w:tcW w:w="2551" w:type="dxa"/>
          <w:vAlign w:val="center"/>
        </w:tcPr>
        <w:p w:rsidR="004335B3" w:rsidRDefault="00BE4D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4335B3" w:rsidRDefault="00BE4D2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Acambay de Ruíz Castañeda.</w:t>
          </w:r>
        </w:p>
      </w:tc>
    </w:tr>
    <w:tr w:rsidR="004335B3">
      <w:tc>
        <w:tcPr>
          <w:tcW w:w="2551" w:type="dxa"/>
          <w:vAlign w:val="center"/>
        </w:tcPr>
        <w:p w:rsidR="004335B3" w:rsidRDefault="00BE4D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4335B3" w:rsidRDefault="00BE4D2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335B3" w:rsidRDefault="00BE4D27">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-695767</wp:posOffset>
          </wp:positionH>
          <wp:positionV relativeFrom="paragraph">
            <wp:posOffset>-1200942</wp:posOffset>
          </wp:positionV>
          <wp:extent cx="7809876" cy="10165823"/>
          <wp:effectExtent l="0" t="0" r="0" b="0"/>
          <wp:wrapNone/>
          <wp:docPr id="1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5B3" w:rsidRDefault="00BE4D27">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-846157</wp:posOffset>
          </wp:positionH>
          <wp:positionV relativeFrom="paragraph">
            <wp:posOffset>-171228</wp:posOffset>
          </wp:positionV>
          <wp:extent cx="7809876" cy="10165823"/>
          <wp:effectExtent l="0" t="0" r="0" b="0"/>
          <wp:wrapNone/>
          <wp:docPr id="1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1"/>
      <w:tblW w:w="5670" w:type="dxa"/>
      <w:tblInd w:w="3119" w:type="dxa"/>
      <w:tblLayout w:type="fixed"/>
      <w:tblLook w:val="0400" w:firstRow="0" w:lastRow="0" w:firstColumn="0" w:lastColumn="0" w:noHBand="0" w:noVBand="1"/>
    </w:tblPr>
    <w:tblGrid>
      <w:gridCol w:w="2551"/>
      <w:gridCol w:w="3119"/>
    </w:tblGrid>
    <w:tr w:rsidR="004335B3">
      <w:tc>
        <w:tcPr>
          <w:tcW w:w="2551" w:type="dxa"/>
          <w:vAlign w:val="center"/>
        </w:tcPr>
        <w:p w:rsidR="004335B3" w:rsidRDefault="00BE4D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4335B3" w:rsidRDefault="00BE4D2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07389/INFOEM/IP/RR/2022. </w:t>
          </w:r>
        </w:p>
      </w:tc>
    </w:tr>
    <w:tr w:rsidR="004335B3">
      <w:tc>
        <w:tcPr>
          <w:tcW w:w="2551" w:type="dxa"/>
          <w:vAlign w:val="center"/>
        </w:tcPr>
        <w:p w:rsidR="004335B3" w:rsidRDefault="00BE4D27">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4335B3" w:rsidRDefault="00C97E42" w:rsidP="00C97E4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w:t>
          </w:r>
        </w:p>
      </w:tc>
    </w:tr>
    <w:tr w:rsidR="004335B3">
      <w:trPr>
        <w:trHeight w:val="228"/>
      </w:trPr>
      <w:tc>
        <w:tcPr>
          <w:tcW w:w="2551" w:type="dxa"/>
          <w:vAlign w:val="center"/>
        </w:tcPr>
        <w:p w:rsidR="004335B3" w:rsidRDefault="00BE4D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4335B3" w:rsidRDefault="00BE4D2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Acambay de Ruíz Castañeda.</w:t>
          </w:r>
        </w:p>
      </w:tc>
    </w:tr>
    <w:tr w:rsidR="004335B3">
      <w:tc>
        <w:tcPr>
          <w:tcW w:w="2551" w:type="dxa"/>
          <w:vAlign w:val="center"/>
        </w:tcPr>
        <w:p w:rsidR="004335B3" w:rsidRDefault="00BE4D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4335B3" w:rsidRDefault="00BE4D2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335B3" w:rsidRDefault="004335B3">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5B3" w:rsidRDefault="004335B3">
    <w:pPr>
      <w:pBdr>
        <w:top w:val="nil"/>
        <w:left w:val="nil"/>
        <w:bottom w:val="nil"/>
        <w:right w:val="nil"/>
        <w:between w:val="nil"/>
      </w:pBdr>
      <w:tabs>
        <w:tab w:val="center" w:pos="4252"/>
        <w:tab w:val="right" w:pos="8504"/>
      </w:tabs>
      <w:jc w:val="both"/>
      <w:rPr>
        <w:rFonts w:ascii="Calibri" w:eastAsia="Calibri" w:hAnsi="Calibri" w:cs="Calibri"/>
        <w:color w:val="000000"/>
      </w:rPr>
    </w:pPr>
  </w:p>
  <w:p w:rsidR="004335B3" w:rsidRDefault="004335B3">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456E8"/>
    <w:multiLevelType w:val="multilevel"/>
    <w:tmpl w:val="B5A4E6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E795D63"/>
    <w:multiLevelType w:val="multilevel"/>
    <w:tmpl w:val="F2C86E4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5078466B"/>
    <w:multiLevelType w:val="multilevel"/>
    <w:tmpl w:val="6D70E1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52A23A2"/>
    <w:multiLevelType w:val="multilevel"/>
    <w:tmpl w:val="87203E7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5B3"/>
    <w:rsid w:val="004335B3"/>
    <w:rsid w:val="008952CE"/>
    <w:rsid w:val="00BE4D27"/>
    <w:rsid w:val="00C97E42"/>
    <w:rsid w:val="00E960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C3A8E5-E55D-470B-A11E-02FEF2B2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27003.page"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ipomex.org.mx/recursos/ipo/files_ipo/2014/8/11/630bc7787b59af912a96a9e1bca1c770.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hyperlink" Target="https://saimex.org.mx/saimex/solicitud/downloadAttach/1439856.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yoONiQz20mzbuNAQ54+qgTt0BA==">AMUW2mUS2c7Hwz3Ga1hVpfeidyJRBRNWMLuod5v7MI3kwFrTZ1Mi+BCF8pEh10YXya+Nmhww4n8N+9KsIlIJEKlbxD//BMAb7Gm3lZJp7BMC57ZDnB+oaes5SFN0DN6csQCvvVeAj7V1u3J7fA6PpQcl7b9S/A+AMs+m6veCMV03Cb4+pPhCN6U=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61</Pages>
  <Words>15423</Words>
  <Characters>84830</Characters>
  <Application>Microsoft Office Word</Application>
  <DocSecurity>0</DocSecurity>
  <Lines>706</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3</cp:revision>
  <dcterms:created xsi:type="dcterms:W3CDTF">2022-10-05T03:30:00Z</dcterms:created>
  <dcterms:modified xsi:type="dcterms:W3CDTF">2022-10-05T14:47:00Z</dcterms:modified>
</cp:coreProperties>
</file>