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7672F6AB"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34605F">
        <w:rPr>
          <w:rFonts w:ascii="Palatino Linotype" w:eastAsia="Times New Roman" w:hAnsi="Palatino Linotype" w:cs="Arial"/>
          <w:color w:val="000000"/>
          <w:sz w:val="24"/>
          <w:szCs w:val="24"/>
          <w:lang w:eastAsia="es-MX"/>
        </w:rPr>
        <w:t xml:space="preserve">dieciocho de mayo de dos mil dieciocho.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724A72C" w14:textId="6C479828" w:rsidR="0034605F" w:rsidRPr="0034605F"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4605F">
        <w:rPr>
          <w:rFonts w:ascii="Palatino Linotype" w:hAnsi="Palatino Linotype" w:cs="Arial"/>
          <w:b/>
          <w:sz w:val="24"/>
        </w:rPr>
        <w:t>03465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proofErr w:type="spellStart"/>
      <w:r w:rsidR="00270AAC">
        <w:rPr>
          <w:rFonts w:ascii="Palatino Linotype" w:hAnsi="Palatino Linotype" w:cs="Arial"/>
          <w:b/>
          <w:sz w:val="24"/>
        </w:rPr>
        <w:t>xx</w:t>
      </w:r>
      <w:proofErr w:type="spellEnd"/>
      <w:r w:rsidR="0098057B">
        <w:rPr>
          <w:rFonts w:ascii="Palatino Linotype" w:hAnsi="Palatino Linotype" w:cs="Arial"/>
          <w:b/>
          <w:sz w:val="24"/>
        </w:rPr>
        <w:t xml:space="preserve"> </w:t>
      </w:r>
      <w:proofErr w:type="spellStart"/>
      <w:r w:rsidR="00270AAC">
        <w:rPr>
          <w:rFonts w:ascii="Palatino Linotype" w:hAnsi="Palatino Linotype" w:cs="Arial"/>
          <w:b/>
          <w:sz w:val="24"/>
        </w:rPr>
        <w:t>xxxxx</w:t>
      </w:r>
      <w:proofErr w:type="spellEnd"/>
      <w:r w:rsidR="0034605F">
        <w:rPr>
          <w:rFonts w:ascii="Palatino Linotype" w:hAnsi="Palatino Linotype" w:cs="Arial"/>
          <w:b/>
          <w:sz w:val="24"/>
        </w:rPr>
        <w:t xml:space="preserve"> </w:t>
      </w:r>
      <w:proofErr w:type="spellStart"/>
      <w:r w:rsidR="00270AAC">
        <w:rPr>
          <w:rFonts w:ascii="Palatino Linotype" w:hAnsi="Palatino Linotype" w:cs="Arial"/>
          <w:b/>
          <w:sz w:val="24"/>
        </w:rPr>
        <w:t>xxxxxxxxxxxxx</w:t>
      </w:r>
      <w:proofErr w:type="spellEnd"/>
      <w:r w:rsidR="0034605F">
        <w:rPr>
          <w:rFonts w:ascii="Palatino Linotype" w:hAnsi="Palatino Linotype" w:cs="Arial"/>
          <w:b/>
          <w:sz w:val="24"/>
        </w:rPr>
        <w:t xml:space="preserve"> </w:t>
      </w:r>
      <w:proofErr w:type="spellStart"/>
      <w:r w:rsidR="00270AAC">
        <w:rPr>
          <w:rFonts w:ascii="Palatino Linotype" w:hAnsi="Palatino Linotype" w:cs="Arial"/>
          <w:b/>
          <w:sz w:val="24"/>
        </w:rPr>
        <w:t>xxxxxxxxxx</w:t>
      </w:r>
      <w:proofErr w:type="spellEnd"/>
      <w:r w:rsidR="00270AAC">
        <w:rPr>
          <w:rFonts w:ascii="Palatino Linotype" w:hAnsi="Palatino Linotype" w:cs="Arial"/>
          <w:b/>
          <w:sz w:val="24"/>
        </w:rPr>
        <w:t xml:space="preserve"> </w:t>
      </w:r>
      <w:r w:rsidR="0034605F">
        <w:rPr>
          <w:rFonts w:ascii="Palatino Linotype" w:hAnsi="Palatino Linotype" w:cs="Arial"/>
          <w:b/>
          <w:sz w:val="24"/>
        </w:rPr>
        <w:t xml:space="preserve">, </w:t>
      </w:r>
      <w:r w:rsidR="0034605F">
        <w:rPr>
          <w:rFonts w:ascii="Palatino Linotype" w:hAnsi="Palatino Linotype" w:cs="Arial"/>
          <w:sz w:val="24"/>
        </w:rPr>
        <w:t xml:space="preserve">en lo sucesivo </w:t>
      </w:r>
      <w:r w:rsidR="0034605F">
        <w:rPr>
          <w:rFonts w:ascii="Palatino Linotype" w:hAnsi="Palatino Linotype" w:cs="Arial"/>
          <w:b/>
          <w:sz w:val="24"/>
        </w:rPr>
        <w:t xml:space="preserve">El Recurrente, </w:t>
      </w:r>
      <w:r w:rsidR="0034605F">
        <w:rPr>
          <w:rFonts w:ascii="Palatino Linotype" w:hAnsi="Palatino Linotype" w:cs="Arial"/>
          <w:sz w:val="24"/>
        </w:rPr>
        <w:t xml:space="preserve">en contra de la respuesta del </w:t>
      </w:r>
      <w:r w:rsidR="0034605F">
        <w:rPr>
          <w:rFonts w:ascii="Palatino Linotype" w:hAnsi="Palatino Linotype" w:cs="Arial"/>
          <w:b/>
          <w:sz w:val="24"/>
        </w:rPr>
        <w:t xml:space="preserve">Ayuntamiento de Atlautla, </w:t>
      </w:r>
      <w:r w:rsidR="0034605F">
        <w:rPr>
          <w:rFonts w:ascii="Palatino Linotype" w:hAnsi="Palatino Linotype" w:cs="Arial"/>
          <w:sz w:val="24"/>
        </w:rPr>
        <w:t xml:space="preserve">en lo sucesivo </w:t>
      </w:r>
      <w:r w:rsidR="0034605F">
        <w:rPr>
          <w:rFonts w:ascii="Palatino Linotype" w:hAnsi="Palatino Linotype" w:cs="Arial"/>
          <w:b/>
          <w:sz w:val="24"/>
        </w:rPr>
        <w:t xml:space="preserve">El Sujeto Obligado, </w:t>
      </w:r>
      <w:r w:rsidR="0034605F">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0EC9FA4" w14:textId="1D5895E3" w:rsidR="0034605F" w:rsidRPr="0034605F"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34605F">
        <w:rPr>
          <w:rFonts w:ascii="Palatino Linotype" w:hAnsi="Palatino Linotype" w:cs="Arial"/>
          <w:sz w:val="24"/>
        </w:rPr>
        <w:t xml:space="preserve">catorce de febrero de dos mil veintidós, </w:t>
      </w:r>
      <w:r w:rsidR="0034605F">
        <w:rPr>
          <w:rFonts w:ascii="Palatino Linotype" w:hAnsi="Palatino Linotype" w:cs="Arial"/>
          <w:b/>
          <w:sz w:val="24"/>
        </w:rPr>
        <w:t xml:space="preserve">El Recurrente </w:t>
      </w:r>
      <w:r w:rsidR="0034605F">
        <w:rPr>
          <w:rFonts w:ascii="Palatino Linotype" w:hAnsi="Palatino Linotype" w:cs="Arial"/>
          <w:sz w:val="24"/>
        </w:rPr>
        <w:t>presentó a través del Sistema de Acceso a la Información Mexiquense (</w:t>
      </w:r>
      <w:r w:rsidR="0034605F">
        <w:rPr>
          <w:rFonts w:ascii="Palatino Linotype" w:hAnsi="Palatino Linotype" w:cs="Arial"/>
          <w:b/>
          <w:sz w:val="24"/>
        </w:rPr>
        <w:t>SAIMEX)</w:t>
      </w:r>
      <w:r w:rsidR="0034605F">
        <w:rPr>
          <w:rFonts w:ascii="Palatino Linotype" w:hAnsi="Palatino Linotype" w:cs="Arial"/>
          <w:sz w:val="24"/>
        </w:rPr>
        <w:t xml:space="preserve"> ante </w:t>
      </w:r>
      <w:r w:rsidR="0034605F">
        <w:rPr>
          <w:rFonts w:ascii="Palatino Linotype" w:hAnsi="Palatino Linotype" w:cs="Arial"/>
          <w:b/>
          <w:sz w:val="24"/>
        </w:rPr>
        <w:t>El Sujeto Obligado</w:t>
      </w:r>
      <w:r w:rsidR="0034605F">
        <w:rPr>
          <w:rFonts w:ascii="Palatino Linotype" w:hAnsi="Palatino Linotype" w:cs="Arial"/>
          <w:sz w:val="24"/>
        </w:rPr>
        <w:t xml:space="preserve">, solicitud de acceso a la información pública, registrada bajo el número de expediente </w:t>
      </w:r>
      <w:r w:rsidR="0034605F">
        <w:rPr>
          <w:rFonts w:ascii="Palatino Linotype" w:hAnsi="Palatino Linotype" w:cs="Arial"/>
          <w:b/>
          <w:sz w:val="24"/>
        </w:rPr>
        <w:t xml:space="preserve">00022/ATLAUTLA/IP/2022, </w:t>
      </w:r>
      <w:r w:rsidR="0034605F">
        <w:rPr>
          <w:rFonts w:ascii="Palatino Linotype" w:hAnsi="Palatino Linotype" w:cs="Arial"/>
          <w:sz w:val="24"/>
        </w:rPr>
        <w:t xml:space="preserve">mediante la cual solicitó información en el tenor siguiente: </w:t>
      </w:r>
    </w:p>
    <w:p w14:paraId="75A1616A" w14:textId="5C3693FF" w:rsidR="0034605F" w:rsidRPr="0034605F" w:rsidRDefault="0034605F" w:rsidP="0034605F">
      <w:pPr>
        <w:pStyle w:val="Citas"/>
        <w:rPr>
          <w:b/>
          <w:sz w:val="24"/>
        </w:rPr>
      </w:pPr>
      <w:r>
        <w:t xml:space="preserve">“Monto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w:t>
      </w:r>
      <w:r>
        <w:rPr>
          <w:b/>
        </w:rPr>
        <w:t>(Sic)</w:t>
      </w:r>
    </w:p>
    <w:p w14:paraId="6C718A25" w14:textId="6EA03E2C"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147E0F6E" w14:textId="1DCD4992" w:rsidR="0034605F"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34605F">
        <w:rPr>
          <w:rFonts w:ascii="Palatino Linotype" w:hAnsi="Palatino Linotype" w:cs="Arial"/>
          <w:sz w:val="24"/>
          <w:szCs w:val="24"/>
        </w:rPr>
        <w:t xml:space="preserve">veintitrés de febrero de dos mil veintidós, </w:t>
      </w:r>
      <w:r w:rsidR="0034605F">
        <w:rPr>
          <w:rFonts w:ascii="Palatino Linotype" w:hAnsi="Palatino Linotype" w:cs="Arial"/>
          <w:b/>
          <w:sz w:val="24"/>
          <w:szCs w:val="24"/>
        </w:rPr>
        <w:t xml:space="preserve">El Sujeto Obligado </w:t>
      </w:r>
      <w:r w:rsidR="0034605F">
        <w:rPr>
          <w:rFonts w:ascii="Palatino Linotype" w:hAnsi="Palatino Linotype" w:cs="Arial"/>
          <w:sz w:val="24"/>
          <w:szCs w:val="24"/>
        </w:rPr>
        <w:t xml:space="preserve">dio respuesta a la solicitud de información en los siguientes términos: </w:t>
      </w:r>
    </w:p>
    <w:p w14:paraId="6806A223" w14:textId="50A456AF" w:rsidR="0034605F" w:rsidRPr="0034605F" w:rsidRDefault="0034605F" w:rsidP="0034605F">
      <w:pPr>
        <w:pStyle w:val="Citas"/>
      </w:pPr>
      <w:r w:rsidRPr="0034605F">
        <w:t>“En respuesta a la solicitud recibida, nos permitimos hacer de su conocimiento que con fundamento en el artículo 53, Fracciones: II, V y VI de la Ley de Transparencia y Acceso a la Información Pública del Estado de México y Municipios, le contestamos que:</w:t>
      </w:r>
    </w:p>
    <w:p w14:paraId="4B9E4CB1" w14:textId="0C429058" w:rsidR="0034605F" w:rsidRPr="0034605F" w:rsidRDefault="0034605F" w:rsidP="0034605F">
      <w:pPr>
        <w:pStyle w:val="Citas"/>
        <w:rPr>
          <w:b/>
        </w:rPr>
      </w:pPr>
      <w:r w:rsidRPr="0034605F">
        <w:t xml:space="preserve">LA OBLIGACIÓN DE PROPORCIONAR INFORMACIÓN, NO COMPRENDE EL PROCESAMIENTO DE LA MISMA, NI PRESENTARLA CON FORME AL INTERÉS PUBLICO DEL SOLICITANTE, NO ESTARÁN OBLIGADOS A GENERARLA , RESUMIRLA, EFECTUAR CÁLCULOS O PRACTICAR INVESTIGACIONES, POR LO QUE SE INVITA DE LA MANERA MAS ATENTA AL SOLICITANTE PARA QUE ASISTA PERSONALMENTE A ESTA TESORERÍA MUNICIPAL A REALIZAR UNA VISITA OCULAR A LA CITADO DOCUMENTACIÓN SIN QUE SE LE NIEGUE LA MISMA INFORMÁNDOLE QUE LO SOLICITADO SE ENCUENTRA EN ESTA TESORERÍA MUNICIPAL EN FORMATO FÍSICO Y PUEDE SER CONSULTADA LOS DÍAS MARTES Y VIERNES EN UN HORARIO DE 16:00 A 17:00 HS. DURANTE ESTE EJERCICIO FISCAL, COBN PREVIA CITA SIN INCONVENIENTE ALGUNO, CON EL FIN DE EVITAR EN MANEJO INDEBIDO DE ESTA DICHA INFORMACIÓN. EN VIRTUD DE LO ANTES MENCIONADO, Y A PESAR DE ESTA TESORERÍA MUNICIPAL TIENE LA TOTAL DISPONIBILIDAD DE PROPORCIONAR </w:t>
      </w:r>
      <w:r w:rsidRPr="0034605F">
        <w:lastRenderedPageBreak/>
        <w:t xml:space="preserve">LA CITADA INFORMACIÓN, ESTAMOS A LAS ORDENES DEL SOLICITANTE Y SIN OTRO PARTICULAR POR EL MOMENTO, LE ENVIÓ UN ATENTO Y CORDIAL SALUDO.” </w:t>
      </w:r>
      <w:r>
        <w:rPr>
          <w:b/>
        </w:rPr>
        <w:t>(Sic)</w:t>
      </w:r>
    </w:p>
    <w:p w14:paraId="68B25E01" w14:textId="36F7F1C9" w:rsidR="0034605F" w:rsidRPr="0034605F" w:rsidRDefault="0034605F"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“CONTESTACION 22.pdf”, </w:t>
      </w:r>
      <w:r>
        <w:rPr>
          <w:rFonts w:ascii="Palatino Linotype" w:hAnsi="Palatino Linotype" w:cs="Arial"/>
          <w:sz w:val="24"/>
          <w:szCs w:val="24"/>
        </w:rPr>
        <w:t xml:space="preserve">cuyo contenido será materia de estudio en el considerando respectivo. </w:t>
      </w:r>
    </w:p>
    <w:p w14:paraId="22C9F3D8" w14:textId="77777777" w:rsidR="0034605F" w:rsidRDefault="0034605F" w:rsidP="00073E92">
      <w:pPr>
        <w:spacing w:before="240" w:line="360" w:lineRule="auto"/>
        <w:jc w:val="both"/>
        <w:rPr>
          <w:rFonts w:ascii="Palatino Linotype" w:hAnsi="Palatino Linotype" w:cs="Arial"/>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610388EE" w14:textId="0266CA00" w:rsidR="0034605F" w:rsidRPr="0034605F"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34605F">
        <w:rPr>
          <w:rFonts w:ascii="Palatino Linotype" w:hAnsi="Palatino Linotype" w:cs="Arial"/>
          <w:sz w:val="24"/>
          <w:szCs w:val="24"/>
        </w:rPr>
        <w:t xml:space="preserve">siete de marzo de dos mil veintidós, el cual fue registrado en el sistema electrónico con el expediente </w:t>
      </w:r>
      <w:r w:rsidR="0034605F">
        <w:rPr>
          <w:rFonts w:ascii="Palatino Linotype" w:hAnsi="Palatino Linotype" w:cs="Arial"/>
          <w:b/>
          <w:sz w:val="24"/>
          <w:szCs w:val="24"/>
        </w:rPr>
        <w:t xml:space="preserve">03465/INFOEM/IP/RR/2022, </w:t>
      </w:r>
      <w:r w:rsidR="0034605F">
        <w:rPr>
          <w:rFonts w:ascii="Palatino Linotype" w:hAnsi="Palatino Linotype" w:cs="Arial"/>
          <w:sz w:val="24"/>
          <w:szCs w:val="24"/>
        </w:rPr>
        <w:t xml:space="preserve">en el cual arguye las siguientes manifestaciones: </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0CB812B4" w:rsidR="0034605F" w:rsidRDefault="0034605F" w:rsidP="0034605F">
      <w:pPr>
        <w:pStyle w:val="Citas"/>
        <w:rPr>
          <w:b/>
        </w:rPr>
      </w:pPr>
      <w:r w:rsidRPr="0034605F">
        <w:t>“Solicité información de las percepciones mensuales del alcalde, tesorero y regidores y copia del talón o recibo de pago del alcalde.”</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14AC0C03" w:rsidR="0034605F" w:rsidRDefault="0034605F" w:rsidP="0034605F">
      <w:pPr>
        <w:pStyle w:val="Citas"/>
        <w:rPr>
          <w:b/>
        </w:rPr>
      </w:pPr>
      <w:r w:rsidRPr="0034605F">
        <w:t xml:space="preserve">“Responden que no me niegan la información pero me la condicionan a que asista a la tesorería para verificarla. La solicitud la hice para que la información se entregara vía </w:t>
      </w:r>
      <w:proofErr w:type="spellStart"/>
      <w:r w:rsidRPr="0034605F">
        <w:t>Saimex</w:t>
      </w:r>
      <w:proofErr w:type="spellEnd"/>
      <w:r w:rsidRPr="0034605F">
        <w:t>, de forma electrónica y responden que no están obligados a procesarla.”</w:t>
      </w:r>
      <w:r w:rsidRPr="007E24F0">
        <w:t xml:space="preserve"> </w:t>
      </w:r>
      <w:r>
        <w:rPr>
          <w:b/>
        </w:rPr>
        <w:t>[Sic]</w:t>
      </w: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6BFAAD04"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52E7A">
        <w:rPr>
          <w:rFonts w:ascii="Palatino Linotype" w:hAnsi="Palatino Linotype" w:cs="Arial"/>
          <w:sz w:val="24"/>
          <w:szCs w:val="24"/>
        </w:rPr>
        <w:t>nueve de marzo de dos mil veintidós, 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F54C080" w14:textId="77777777" w:rsidR="0036654D" w:rsidRDefault="0036654D" w:rsidP="0036654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C54CBD8" w14:textId="3604000B" w:rsidR="0036654D" w:rsidRDefault="0036654D"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D52E7A">
        <w:rPr>
          <w:rFonts w:ascii="Palatino Linotype" w:hAnsi="Palatino Linotype" w:cs="Arial"/>
          <w:b/>
          <w:sz w:val="24"/>
          <w:szCs w:val="24"/>
        </w:rPr>
        <w:t>treinta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0155BDA" w14:textId="75E08F2B" w:rsidR="0036654D" w:rsidRDefault="0036654D" w:rsidP="0036654D">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D52E7A">
        <w:rPr>
          <w:rFonts w:ascii="Palatino Linotype" w:hAnsi="Palatino Linotype" w:cs="Arial"/>
          <w:b/>
          <w:sz w:val="24"/>
          <w:szCs w:val="24"/>
        </w:rPr>
        <w:t>veintinueve</w:t>
      </w:r>
      <w:r>
        <w:rPr>
          <w:rFonts w:ascii="Palatino Linotype" w:hAnsi="Palatino Linotype" w:cs="Arial"/>
          <w:b/>
          <w:sz w:val="24"/>
          <w:szCs w:val="24"/>
        </w:rPr>
        <w:t xml:space="preserve">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5CCBBA0D" w14:textId="2ED48AFD" w:rsidR="00D52E7A"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D52E7A">
        <w:rPr>
          <w:rFonts w:ascii="Palatino Linotype" w:hAnsi="Palatino Linotype"/>
          <w:b/>
          <w:sz w:val="24"/>
          <w:szCs w:val="24"/>
        </w:rPr>
        <w:t xml:space="preserve">00022/ATLAUTLA/IP/2022 </w:t>
      </w:r>
      <w:r w:rsidR="00D52E7A">
        <w:rPr>
          <w:rFonts w:ascii="Palatino Linotype" w:hAnsi="Palatino Linotype"/>
          <w:sz w:val="24"/>
          <w:szCs w:val="24"/>
        </w:rPr>
        <w:t xml:space="preserve">fueron formulados </w:t>
      </w:r>
      <w:r w:rsidR="00D52E7A">
        <w:rPr>
          <w:rFonts w:ascii="Palatino Linotype" w:hAnsi="Palatino Linotype"/>
          <w:b/>
          <w:sz w:val="24"/>
          <w:szCs w:val="24"/>
        </w:rPr>
        <w:t xml:space="preserve">2 –dos- </w:t>
      </w:r>
      <w:r w:rsidR="00D52E7A">
        <w:rPr>
          <w:rFonts w:ascii="Palatino Linotype" w:hAnsi="Palatino Linotype"/>
          <w:sz w:val="24"/>
          <w:szCs w:val="24"/>
        </w:rPr>
        <w:t xml:space="preserve">requerimientos respecto de los cuales se desprenden las siguientes consideraciones: </w:t>
      </w:r>
    </w:p>
    <w:p w14:paraId="2AE4D425" w14:textId="3868F987" w:rsidR="00D52E7A" w:rsidRDefault="00D52E7A" w:rsidP="00D52E7A">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Que con relación al primer requerimiento el particular señaló </w:t>
      </w:r>
      <w:r>
        <w:rPr>
          <w:rFonts w:ascii="Palatino Linotype" w:hAnsi="Palatino Linotype"/>
          <w:i/>
        </w:rPr>
        <w:t xml:space="preserve">“monto de las gratificaciones </w:t>
      </w:r>
      <w:r>
        <w:rPr>
          <w:rFonts w:ascii="Palatino Linotype" w:hAnsi="Palatino Linotype"/>
          <w:b/>
          <w:i/>
        </w:rPr>
        <w:t xml:space="preserve">mensuales”. </w:t>
      </w:r>
      <w:r>
        <w:rPr>
          <w:rFonts w:ascii="Palatino Linotype" w:hAnsi="Palatino Linotype"/>
        </w:rPr>
        <w:t xml:space="preserve">En virtud de lo anterior, al tomar en consideración que el derecho de acceso a la información pública se ejerció el catorce de febrero de dos mil veintidós, resulta inconcuso que dicho mes se encontraba transcurriendo, luego entonces, el primer requerimiento debe de ser delimitado al mes de enero de dos mil veintidós. </w:t>
      </w:r>
    </w:p>
    <w:p w14:paraId="143E6302" w14:textId="091A44C6" w:rsidR="00D52E7A" w:rsidRPr="00D52E7A" w:rsidRDefault="00761CB4" w:rsidP="00D52E7A">
      <w:pPr>
        <w:pStyle w:val="Prrafodelista"/>
        <w:numPr>
          <w:ilvl w:val="0"/>
          <w:numId w:val="10"/>
        </w:numPr>
        <w:spacing w:before="240" w:line="360" w:lineRule="auto"/>
        <w:jc w:val="both"/>
        <w:rPr>
          <w:rFonts w:ascii="Palatino Linotype" w:hAnsi="Palatino Linotype"/>
        </w:rPr>
      </w:pPr>
      <w:r>
        <w:rPr>
          <w:rFonts w:ascii="Palatino Linotype" w:hAnsi="Palatino Linotype"/>
        </w:rPr>
        <w:t>Ahora bien, e</w:t>
      </w:r>
      <w:r w:rsidR="00D52E7A">
        <w:rPr>
          <w:rFonts w:ascii="Palatino Linotype" w:hAnsi="Palatino Linotype"/>
        </w:rPr>
        <w:t xml:space="preserve">n alusión al segundo requerimiento no fue delimitado elemento temporal, sin embargo, </w:t>
      </w:r>
      <w:r>
        <w:rPr>
          <w:rFonts w:ascii="Palatino Linotype" w:hAnsi="Palatino Linotype"/>
        </w:rPr>
        <w:t xml:space="preserve">el ulterior recibo de nómina disponible a la fecha en que se ejerció el derecho de acceso a la información pública corresponde a la segunda quincena de enero de dos mil veintidós. </w:t>
      </w:r>
    </w:p>
    <w:p w14:paraId="2F6185D6" w14:textId="77777777" w:rsidR="00D52E7A" w:rsidRDefault="00D52E7A" w:rsidP="00871F78">
      <w:pPr>
        <w:spacing w:before="240" w:line="360" w:lineRule="auto"/>
        <w:jc w:val="both"/>
        <w:rPr>
          <w:rFonts w:ascii="Palatino Linotype" w:hAnsi="Palatino Linotype"/>
          <w:sz w:val="24"/>
          <w:szCs w:val="24"/>
        </w:rPr>
      </w:pPr>
    </w:p>
    <w:p w14:paraId="33501D89" w14:textId="6D3E63E9" w:rsidR="00FE6669" w:rsidRPr="0051062B" w:rsidRDefault="00761CB4" w:rsidP="00FE666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FE6669">
        <w:rPr>
          <w:rFonts w:ascii="Palatino Linotype" w:hAnsi="Palatino Linotype"/>
          <w:sz w:val="24"/>
          <w:szCs w:val="24"/>
        </w:rPr>
        <w:t xml:space="preserve">, </w:t>
      </w:r>
      <w:r w:rsidR="00FE6669" w:rsidRPr="0051062B">
        <w:rPr>
          <w:rFonts w:ascii="Palatino Linotype" w:hAnsi="Palatino Linotype"/>
          <w:sz w:val="24"/>
          <w:szCs w:val="24"/>
        </w:rPr>
        <w:t xml:space="preserve">con fundamento en los artículos 13 y 181 cuarto párrafo de la Ley en materia, los cuales a la letra rezan: </w:t>
      </w:r>
    </w:p>
    <w:p w14:paraId="2389E9B6" w14:textId="77777777" w:rsidR="00FE6669" w:rsidRPr="0051062B" w:rsidRDefault="00FE6669" w:rsidP="00FE6669">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7CD7B5E4" w14:textId="77777777" w:rsidR="00FE6669" w:rsidRPr="0051062B" w:rsidRDefault="00FE6669" w:rsidP="00FE6669">
      <w:pPr>
        <w:pStyle w:val="Citas"/>
        <w:rPr>
          <w:b/>
        </w:rPr>
      </w:pPr>
      <w:r w:rsidRPr="0051062B">
        <w:rPr>
          <w:b/>
        </w:rPr>
        <w:t xml:space="preserve">Artículo 181. … </w:t>
      </w:r>
    </w:p>
    <w:p w14:paraId="7A69F6AB" w14:textId="77777777" w:rsidR="00FE6669" w:rsidRDefault="00FE6669" w:rsidP="00FE666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9E5F181" w14:textId="77777777" w:rsidR="009D4F35" w:rsidRPr="0051062B" w:rsidRDefault="009D4F35" w:rsidP="00FE6669">
      <w:pPr>
        <w:pStyle w:val="Citas"/>
        <w:rPr>
          <w:b/>
        </w:rPr>
      </w:pPr>
    </w:p>
    <w:p w14:paraId="27DADE50" w14:textId="77777777" w:rsidR="00FE6669" w:rsidRDefault="00FE6669" w:rsidP="00FE66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5CC21A60" w14:textId="77777777" w:rsidR="00761CB4" w:rsidRDefault="0036654D" w:rsidP="00221AB3">
      <w:pPr>
        <w:pStyle w:val="Prrafodelista"/>
        <w:numPr>
          <w:ilvl w:val="0"/>
          <w:numId w:val="3"/>
        </w:numPr>
        <w:spacing w:before="240" w:line="360" w:lineRule="auto"/>
        <w:jc w:val="both"/>
        <w:rPr>
          <w:rFonts w:ascii="Palatino Linotype" w:hAnsi="Palatino Linotype"/>
        </w:rPr>
      </w:pPr>
      <w:r>
        <w:rPr>
          <w:rFonts w:ascii="Palatino Linotype" w:hAnsi="Palatino Linotype"/>
        </w:rPr>
        <w:t xml:space="preserve">El o los documentos donde </w:t>
      </w:r>
      <w:r w:rsidR="00761CB4">
        <w:rPr>
          <w:rFonts w:ascii="Palatino Linotype" w:hAnsi="Palatino Linotype"/>
        </w:rPr>
        <w:t xml:space="preserve">consten las percepciones mensuales (sueldo bruto, gratificaciones, bonos, primas, deducciones, sueldo neto) del Presidente Municipal, Síndico y Regidores, correspondientes al mes de enero de dos mil veintidós. </w:t>
      </w:r>
    </w:p>
    <w:p w14:paraId="0793DFA6" w14:textId="6BB77092" w:rsidR="00761CB4" w:rsidRPr="00761CB4" w:rsidRDefault="00FE6669" w:rsidP="00E761C2">
      <w:pPr>
        <w:pStyle w:val="Prrafodelista"/>
        <w:numPr>
          <w:ilvl w:val="0"/>
          <w:numId w:val="3"/>
        </w:numPr>
        <w:spacing w:before="240" w:line="360" w:lineRule="auto"/>
        <w:jc w:val="both"/>
        <w:rPr>
          <w:rFonts w:ascii="Palatino Linotype" w:hAnsi="Palatino Linotype"/>
        </w:rPr>
      </w:pPr>
      <w:r w:rsidRPr="00761CB4">
        <w:rPr>
          <w:rFonts w:ascii="Palatino Linotype" w:hAnsi="Palatino Linotype"/>
        </w:rPr>
        <w:t xml:space="preserve"> </w:t>
      </w:r>
      <w:r w:rsidR="00761CB4" w:rsidRPr="00761CB4">
        <w:rPr>
          <w:rFonts w:ascii="Palatino Linotype" w:hAnsi="Palatino Linotype"/>
        </w:rPr>
        <w:t xml:space="preserve">Recibo de nómina, comprobante de pago o CFDI del Presidente Municipal, correspondiente a la segunda quincena de enero de dos mil veintidós.  </w:t>
      </w:r>
    </w:p>
    <w:p w14:paraId="63A25489" w14:textId="77777777" w:rsidR="00756B37" w:rsidRDefault="00756B37" w:rsidP="00BB1C32">
      <w:pPr>
        <w:spacing w:after="0" w:line="360" w:lineRule="auto"/>
        <w:jc w:val="both"/>
        <w:rPr>
          <w:rFonts w:ascii="Palatino Linotype" w:hAnsi="Palatino Linotype"/>
          <w:bCs/>
          <w:sz w:val="24"/>
          <w:szCs w:val="24"/>
        </w:rPr>
      </w:pPr>
    </w:p>
    <w:p w14:paraId="2011A0B0" w14:textId="01734816" w:rsidR="005F4BA7" w:rsidRPr="00BB1C32" w:rsidRDefault="005F4BA7" w:rsidP="00BB1C32">
      <w:pPr>
        <w:spacing w:after="0" w:line="360" w:lineRule="auto"/>
        <w:jc w:val="both"/>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w:t>
      </w:r>
      <w:r w:rsidR="00BB1C32">
        <w:rPr>
          <w:rFonts w:ascii="Palatino Linotype" w:hAnsi="Palatino Linotype"/>
          <w:bCs/>
          <w:sz w:val="24"/>
          <w:szCs w:val="24"/>
        </w:rPr>
        <w:t xml:space="preserve">el organigrama del </w:t>
      </w:r>
      <w:r w:rsidR="00BB1C32">
        <w:rPr>
          <w:rFonts w:ascii="Palatino Linotype" w:hAnsi="Palatino Linotype"/>
          <w:b/>
          <w:bCs/>
          <w:sz w:val="24"/>
          <w:szCs w:val="24"/>
        </w:rPr>
        <w:t xml:space="preserve">Sujeto Obligado, </w:t>
      </w:r>
      <w:r w:rsidR="00BB1C32">
        <w:rPr>
          <w:rFonts w:ascii="Palatino Linotype" w:hAnsi="Palatino Linotype"/>
          <w:bCs/>
          <w:sz w:val="24"/>
          <w:szCs w:val="24"/>
        </w:rPr>
        <w:t>susceptible de ser consultado en la siguiente dirección electrónica:</w:t>
      </w:r>
    </w:p>
    <w:p w14:paraId="6F296B15" w14:textId="145470BF" w:rsidR="00E761C2" w:rsidRDefault="00BD2D40" w:rsidP="001C336E">
      <w:pPr>
        <w:spacing w:before="240" w:line="360" w:lineRule="auto"/>
        <w:jc w:val="both"/>
        <w:rPr>
          <w:rStyle w:val="Hipervnculo"/>
          <w:rFonts w:ascii="Palatino Linotype" w:hAnsi="Palatino Linotype"/>
          <w:bCs/>
        </w:rPr>
      </w:pPr>
      <w:hyperlink r:id="rId8" w:history="1">
        <w:r w:rsidR="00E761C2" w:rsidRPr="00D57D8C">
          <w:rPr>
            <w:rStyle w:val="Hipervnculo"/>
            <w:rFonts w:ascii="Palatino Linotype" w:hAnsi="Palatino Linotype"/>
            <w:bCs/>
          </w:rPr>
          <w:t>https://www.ipomex.org.mx/ipo3/lgt/indice/ATLAUTLA/art_92_ii_b.web</w:t>
        </w:r>
      </w:hyperlink>
    </w:p>
    <w:p w14:paraId="03AD393D" w14:textId="11120D1B" w:rsidR="003412D2" w:rsidRDefault="00E761C2" w:rsidP="001C336E">
      <w:pPr>
        <w:spacing w:before="240" w:line="360" w:lineRule="auto"/>
        <w:jc w:val="both"/>
        <w:rPr>
          <w:rStyle w:val="Hipervnculo"/>
          <w:rFonts w:ascii="Palatino Linotype" w:hAnsi="Palatino Linotype"/>
          <w:bCs/>
        </w:rPr>
      </w:pPr>
      <w:r>
        <w:rPr>
          <w:rFonts w:ascii="Palatino Linotype" w:hAnsi="Palatino Linotype"/>
          <w:bCs/>
          <w:noProof/>
          <w:lang w:eastAsia="es-MX"/>
        </w:rPr>
        <w:drawing>
          <wp:anchor distT="0" distB="0" distL="114300" distR="114300" simplePos="0" relativeHeight="251670527" behindDoc="0" locked="0" layoutInCell="1" allowOverlap="1" wp14:anchorId="7DBCD3B5" wp14:editId="7C8D7595">
            <wp:simplePos x="0" y="0"/>
            <wp:positionH relativeFrom="column">
              <wp:posOffset>-12700</wp:posOffset>
            </wp:positionH>
            <wp:positionV relativeFrom="paragraph">
              <wp:posOffset>393700</wp:posOffset>
            </wp:positionV>
            <wp:extent cx="5692140" cy="3225800"/>
            <wp:effectExtent l="19050" t="19050" r="22860" b="12700"/>
            <wp:wrapThrough wrapText="bothSides">
              <wp:wrapPolygon edited="0">
                <wp:start x="-72" y="-128"/>
                <wp:lineTo x="-72" y="21557"/>
                <wp:lineTo x="21614" y="21557"/>
                <wp:lineTo x="21614" y="-128"/>
                <wp:lineTo x="-72" y="-128"/>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2140" cy="3225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7987FE" w14:textId="3C707E5A" w:rsidR="003412D2" w:rsidRDefault="003412D2" w:rsidP="001C336E">
      <w:pPr>
        <w:spacing w:before="240" w:line="360" w:lineRule="auto"/>
        <w:jc w:val="both"/>
        <w:rPr>
          <w:rStyle w:val="Hipervnculo"/>
          <w:rFonts w:ascii="Palatino Linotype" w:hAnsi="Palatino Linotype"/>
          <w:bCs/>
        </w:rPr>
      </w:pPr>
    </w:p>
    <w:p w14:paraId="7C62E2E7" w14:textId="0A442ACA" w:rsidR="003412D2" w:rsidRDefault="00B730B4" w:rsidP="001C336E">
      <w:pPr>
        <w:spacing w:before="240" w:line="360" w:lineRule="auto"/>
        <w:jc w:val="both"/>
        <w:rPr>
          <w:rFonts w:ascii="Palatino Linotype" w:hAnsi="Palatino Linotype"/>
          <w:bCs/>
        </w:rPr>
      </w:pPr>
      <w:r>
        <w:rPr>
          <w:rFonts w:ascii="Palatino Linotype" w:hAnsi="Palatino Linotype"/>
          <w:bCs/>
          <w:noProof/>
          <w:lang w:eastAsia="es-MX"/>
        </w:rPr>
        <w:drawing>
          <wp:anchor distT="0" distB="0" distL="114300" distR="114300" simplePos="0" relativeHeight="251677696" behindDoc="0" locked="0" layoutInCell="1" allowOverlap="1" wp14:anchorId="1325CB4B" wp14:editId="43044DE9">
            <wp:simplePos x="0" y="0"/>
            <wp:positionH relativeFrom="column">
              <wp:posOffset>192405</wp:posOffset>
            </wp:positionH>
            <wp:positionV relativeFrom="paragraph">
              <wp:posOffset>226441</wp:posOffset>
            </wp:positionV>
            <wp:extent cx="2333625" cy="511810"/>
            <wp:effectExtent l="19050" t="19050" r="28575" b="21590"/>
            <wp:wrapThrough wrapText="bothSides">
              <wp:wrapPolygon edited="0">
                <wp:start x="-176" y="-804"/>
                <wp:lineTo x="-176" y="21707"/>
                <wp:lineTo x="21688" y="21707"/>
                <wp:lineTo x="21688" y="-804"/>
                <wp:lineTo x="-176" y="-80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511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78720" behindDoc="0" locked="0" layoutInCell="1" allowOverlap="1" wp14:anchorId="629760CE" wp14:editId="742A3B61">
            <wp:simplePos x="0" y="0"/>
            <wp:positionH relativeFrom="column">
              <wp:posOffset>3045079</wp:posOffset>
            </wp:positionH>
            <wp:positionV relativeFrom="paragraph">
              <wp:posOffset>226441</wp:posOffset>
            </wp:positionV>
            <wp:extent cx="2333625" cy="511810"/>
            <wp:effectExtent l="19050" t="19050" r="28575" b="21590"/>
            <wp:wrapThrough wrapText="bothSides">
              <wp:wrapPolygon edited="0">
                <wp:start x="-176" y="-804"/>
                <wp:lineTo x="-176" y="21707"/>
                <wp:lineTo x="21688" y="21707"/>
                <wp:lineTo x="21688" y="-804"/>
                <wp:lineTo x="-176" y="-80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511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F6A4FD" w14:textId="765EC3AE" w:rsidR="00621171" w:rsidRDefault="00621171" w:rsidP="001C336E">
      <w:pPr>
        <w:spacing w:before="240" w:line="360" w:lineRule="auto"/>
        <w:jc w:val="both"/>
        <w:rPr>
          <w:rFonts w:ascii="Palatino Linotype" w:hAnsi="Palatino Linotype"/>
          <w:bCs/>
        </w:rPr>
      </w:pPr>
    </w:p>
    <w:p w14:paraId="776684CD" w14:textId="69B15478" w:rsidR="00761CB4" w:rsidRDefault="00761CB4" w:rsidP="001C336E">
      <w:pPr>
        <w:spacing w:before="240" w:line="360" w:lineRule="auto"/>
        <w:jc w:val="both"/>
        <w:rPr>
          <w:rFonts w:ascii="Palatino Linotype" w:hAnsi="Palatino Linotype"/>
          <w:sz w:val="24"/>
          <w:szCs w:val="24"/>
        </w:rPr>
      </w:pPr>
    </w:p>
    <w:p w14:paraId="172DC701" w14:textId="4A68591E" w:rsidR="00B730B4" w:rsidRDefault="00140CED" w:rsidP="001507FF">
      <w:pPr>
        <w:spacing w:before="240" w:after="240" w:line="360" w:lineRule="auto"/>
        <w:jc w:val="both"/>
        <w:rPr>
          <w:rFonts w:ascii="Palatino Linotype" w:hAnsi="Palatino Linotype" w:cs="Arial"/>
          <w:color w:val="000000"/>
          <w:sz w:val="24"/>
          <w:szCs w:val="24"/>
        </w:rPr>
      </w:pPr>
      <w:r>
        <w:rPr>
          <w:rFonts w:ascii="Palatino Linotype" w:hAnsi="Palatino Linotype" w:cs="Arial"/>
        </w:rPr>
        <w:t xml:space="preserve">En este sentido, resulta oportuno traer a colación el artículo el artículo 95, fracciones I, IV y V de la Ley Orgánica Municipal del Estado de México, así como </w:t>
      </w:r>
      <w:r w:rsidR="00F46D41">
        <w:rPr>
          <w:rFonts w:ascii="Palatino Linotype" w:hAnsi="Palatino Linotype" w:cs="Arial"/>
        </w:rPr>
        <w:t xml:space="preserve">los numerales 46 y 47, fracción IV del Bando Municipal de Atlautla, porciones normativas que disponen a la literalidad lo siguiente: </w:t>
      </w:r>
    </w:p>
    <w:p w14:paraId="0E44A2B1" w14:textId="77777777" w:rsidR="00B76467" w:rsidRDefault="00B76467" w:rsidP="00F46D41">
      <w:pPr>
        <w:pStyle w:val="Citas"/>
        <w:jc w:val="center"/>
        <w:rPr>
          <w:b/>
        </w:rPr>
      </w:pPr>
    </w:p>
    <w:p w14:paraId="71AD5B36" w14:textId="22911B48" w:rsidR="00F46D41" w:rsidRPr="00F46D41" w:rsidRDefault="00F46D41" w:rsidP="00F46D41">
      <w:pPr>
        <w:pStyle w:val="Citas"/>
        <w:jc w:val="center"/>
        <w:rPr>
          <w:b/>
        </w:rPr>
      </w:pPr>
      <w:r w:rsidRPr="00F46D41">
        <w:rPr>
          <w:b/>
        </w:rPr>
        <w:lastRenderedPageBreak/>
        <w:t>Ley Orgánica Municipal del Estado de México</w:t>
      </w:r>
    </w:p>
    <w:p w14:paraId="0AD13ECA" w14:textId="32CB385E" w:rsidR="00140CED" w:rsidRDefault="00F46D41" w:rsidP="00140CED">
      <w:pPr>
        <w:pStyle w:val="Citas"/>
      </w:pPr>
      <w:r>
        <w:t>“</w:t>
      </w:r>
      <w:r w:rsidR="00140CED">
        <w:t>Artículo 95.- Son atribuciones del tesorero municipal:</w:t>
      </w:r>
    </w:p>
    <w:p w14:paraId="186273EC" w14:textId="77777777" w:rsidR="00140CED" w:rsidRDefault="00140CED" w:rsidP="00140CED">
      <w:pPr>
        <w:pStyle w:val="Citas"/>
      </w:pPr>
      <w:r>
        <w:t>I. Administrar la hacienda pública municipal, de conformidad con las disposiciones legales aplicables;</w:t>
      </w:r>
    </w:p>
    <w:p w14:paraId="1405E27A" w14:textId="77777777" w:rsidR="00140CED" w:rsidRDefault="00140CED" w:rsidP="00140CED">
      <w:pPr>
        <w:pStyle w:val="Citas"/>
      </w:pPr>
      <w:r>
        <w:t>(…)</w:t>
      </w:r>
    </w:p>
    <w:p w14:paraId="40CE2F92" w14:textId="77777777" w:rsidR="00140CED" w:rsidRDefault="00140CED" w:rsidP="00140CED">
      <w:pPr>
        <w:pStyle w:val="Citas"/>
        <w:rPr>
          <w:b/>
          <w:u w:val="single"/>
        </w:rPr>
      </w:pPr>
      <w:r w:rsidRPr="00DF2BE7">
        <w:rPr>
          <w:b/>
          <w:u w:val="single"/>
        </w:rPr>
        <w:t>IV. Llevar los registros contables, financieros y administrativos de los ingresos, egresos, e inventarios;</w:t>
      </w:r>
    </w:p>
    <w:p w14:paraId="1AFA952F" w14:textId="01FA79A0" w:rsidR="00140CED" w:rsidRPr="00DF2BE7" w:rsidRDefault="00140CED" w:rsidP="00140CED">
      <w:pPr>
        <w:pStyle w:val="Citas"/>
        <w:rPr>
          <w:b/>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14:paraId="10EACE57" w14:textId="0118A2FB" w:rsidR="00140CED" w:rsidRPr="001D495E" w:rsidRDefault="00140CED" w:rsidP="00140CED">
      <w:pPr>
        <w:pStyle w:val="Citas"/>
        <w:rPr>
          <w:b/>
          <w:bCs/>
        </w:rPr>
      </w:pPr>
      <w:r>
        <w:t xml:space="preserve"> (…)” </w:t>
      </w:r>
      <w:r>
        <w:rPr>
          <w:b/>
          <w:bCs/>
        </w:rPr>
        <w:t>[Sic]</w:t>
      </w:r>
    </w:p>
    <w:p w14:paraId="0ECD64AA" w14:textId="77777777" w:rsidR="00F46D41" w:rsidRDefault="00F46D41" w:rsidP="00F46D41">
      <w:pPr>
        <w:pStyle w:val="Citas"/>
      </w:pPr>
    </w:p>
    <w:p w14:paraId="52381F4B" w14:textId="6652BA99" w:rsidR="00B730B4" w:rsidRPr="00F46D41" w:rsidRDefault="00F46D41" w:rsidP="00F46D41">
      <w:pPr>
        <w:pStyle w:val="Citas"/>
        <w:jc w:val="center"/>
        <w:rPr>
          <w:b/>
        </w:rPr>
      </w:pPr>
      <w:r w:rsidRPr="00F46D41">
        <w:rPr>
          <w:b/>
        </w:rPr>
        <w:t>Bando Municipal de Atlautla</w:t>
      </w:r>
    </w:p>
    <w:p w14:paraId="4E156759" w14:textId="40C75933" w:rsidR="00B730B4" w:rsidRDefault="00F46D41" w:rsidP="00F46D41">
      <w:pPr>
        <w:pStyle w:val="Citas"/>
      </w:pPr>
      <w:r>
        <w:t xml:space="preserve">“Artículo 46. La Administración Pública Municipal será centralizada y descentralizada, su organización y funcionamiento se regirán por el Bando Municipal de Policía y Buen Gobierno, los reglamentos y otras normas jurídicas aplicables. </w:t>
      </w:r>
    </w:p>
    <w:p w14:paraId="53E32DB9" w14:textId="701A7336" w:rsidR="00F46D41" w:rsidRDefault="00F46D41" w:rsidP="00F46D41">
      <w:pPr>
        <w:pStyle w:val="Citas"/>
      </w:pPr>
      <w:r>
        <w:t xml:space="preserve">Artículo 47. La Administración Pública Municipal, se auxiliará de las siguientes dependencias: </w:t>
      </w:r>
    </w:p>
    <w:p w14:paraId="406EA771" w14:textId="33A0A521" w:rsidR="00F46D41" w:rsidRDefault="00F46D41" w:rsidP="00F46D41">
      <w:pPr>
        <w:pStyle w:val="Citas"/>
      </w:pPr>
      <w:r>
        <w:t>(…)</w:t>
      </w:r>
    </w:p>
    <w:p w14:paraId="34EBAF7E" w14:textId="54BD8765" w:rsidR="00F46D41" w:rsidRDefault="00F46D41" w:rsidP="00F46D41">
      <w:pPr>
        <w:pStyle w:val="Citas"/>
      </w:pPr>
      <w:r>
        <w:lastRenderedPageBreak/>
        <w:t>IV. Dirección de Administración</w:t>
      </w:r>
    </w:p>
    <w:p w14:paraId="06000AFB" w14:textId="35EB4895" w:rsidR="00F46D41" w:rsidRPr="00F46D41" w:rsidRDefault="00F46D41" w:rsidP="00F46D41">
      <w:pPr>
        <w:pStyle w:val="Citas"/>
        <w:rPr>
          <w:b/>
        </w:rPr>
      </w:pPr>
      <w:r>
        <w:t xml:space="preserve">(…)” </w:t>
      </w:r>
      <w:r>
        <w:rPr>
          <w:b/>
        </w:rPr>
        <w:t>(Sic)</w:t>
      </w:r>
    </w:p>
    <w:p w14:paraId="262A98C6" w14:textId="77777777" w:rsidR="00B730B4" w:rsidRDefault="00B730B4" w:rsidP="001507FF">
      <w:pPr>
        <w:spacing w:before="240" w:after="240" w:line="360" w:lineRule="auto"/>
        <w:jc w:val="both"/>
        <w:rPr>
          <w:rFonts w:ascii="Palatino Linotype" w:hAnsi="Palatino Linotype" w:cs="Arial"/>
          <w:color w:val="000000"/>
          <w:sz w:val="24"/>
          <w:szCs w:val="24"/>
        </w:rPr>
      </w:pPr>
    </w:p>
    <w:p w14:paraId="711F0D5B" w14:textId="1ED13761" w:rsidR="001507FF" w:rsidRPr="00811D16" w:rsidRDefault="001507FF" w:rsidP="001507FF">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sidR="00F46D41">
        <w:rPr>
          <w:rFonts w:ascii="Palatino Linotype" w:hAnsi="Palatino Linotype" w:cs="Arial"/>
          <w:color w:val="000000"/>
          <w:sz w:val="24"/>
          <w:szCs w:val="24"/>
        </w:rPr>
        <w:t>la quincena referida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F505764" w14:textId="77777777" w:rsidR="001507FF" w:rsidRDefault="001507FF" w:rsidP="001507FF">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A220FBA" w14:textId="77777777" w:rsidR="00B76467" w:rsidRDefault="00B76467" w:rsidP="001507FF">
      <w:pPr>
        <w:spacing w:before="240" w:line="360" w:lineRule="auto"/>
        <w:ind w:left="851" w:right="851"/>
        <w:jc w:val="both"/>
        <w:rPr>
          <w:rFonts w:ascii="Palatino Linotype" w:hAnsi="Palatino Linotype" w:cs="Arial"/>
          <w:b/>
          <w:i/>
          <w:lang w:val="es-ES"/>
        </w:rPr>
      </w:pPr>
    </w:p>
    <w:p w14:paraId="152C5155" w14:textId="77777777" w:rsidR="001507FF" w:rsidRPr="005E4EB4" w:rsidRDefault="001507FF" w:rsidP="001507FF">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14:paraId="6038D782" w14:textId="77777777" w:rsidR="001507FF" w:rsidRPr="00F975C8" w:rsidRDefault="001507FF" w:rsidP="001507FF">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FB087D0" w14:textId="77777777" w:rsidR="001507FF" w:rsidRPr="00F975C8" w:rsidRDefault="001507FF" w:rsidP="001507FF">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25744DA" w14:textId="77777777" w:rsidR="001507FF" w:rsidRPr="00F975C8" w:rsidRDefault="001507FF" w:rsidP="001507FF">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58F936A3" w14:textId="77777777" w:rsidR="001507FF" w:rsidRPr="00F975C8" w:rsidRDefault="001507FF" w:rsidP="001507FF">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BB1E414" w14:textId="77777777" w:rsidR="001507FF" w:rsidRDefault="001507FF" w:rsidP="001507FF">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2287BD71" w14:textId="77777777" w:rsidR="001507FF" w:rsidRDefault="001507FF" w:rsidP="001507FF">
      <w:pPr>
        <w:spacing w:before="240" w:line="360" w:lineRule="auto"/>
        <w:ind w:left="851" w:right="851"/>
        <w:jc w:val="both"/>
        <w:rPr>
          <w:rFonts w:ascii="Palatino Linotype" w:hAnsi="Palatino Linotype" w:cs="Arial"/>
          <w:b/>
          <w:i/>
          <w:szCs w:val="20"/>
          <w:lang w:eastAsia="es-MX"/>
        </w:rPr>
      </w:pPr>
    </w:p>
    <w:p w14:paraId="4C7B5A5D" w14:textId="77777777" w:rsidR="001507FF" w:rsidRPr="005E4EB4" w:rsidRDefault="001507FF" w:rsidP="001507FF">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346721C" w14:textId="77777777" w:rsidR="001507FF" w:rsidRPr="005E4EB4" w:rsidRDefault="001507FF" w:rsidP="001507FF">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los recibos de pago, consisten en un registro conformado por el conjunto de trabajadores a los cuales se les va a remunerar por los servicios que éstos le prestan al patrón, en el </w:t>
      </w:r>
      <w:r w:rsidRPr="005E4EB4">
        <w:rPr>
          <w:rFonts w:ascii="Palatino Linotype" w:hAnsi="Palatino Linotype" w:cs="Arial"/>
          <w:sz w:val="24"/>
          <w:szCs w:val="24"/>
        </w:rPr>
        <w:lastRenderedPageBreak/>
        <w:t>cual se asientan las percepciones brutas, deducciones y el neto a recibir de dichos trabajadores.</w:t>
      </w:r>
    </w:p>
    <w:p w14:paraId="30946B39" w14:textId="77777777" w:rsidR="001507FF" w:rsidRPr="005E4EB4" w:rsidRDefault="001507FF" w:rsidP="001507FF">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8E23562" w14:textId="77777777" w:rsidR="001507FF" w:rsidRPr="00F975C8" w:rsidRDefault="001507FF" w:rsidP="001507FF">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926DBFA" w14:textId="77777777" w:rsidR="001507FF" w:rsidRDefault="001507FF" w:rsidP="001507FF">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52D1C476" w14:textId="77777777" w:rsidR="001507FF" w:rsidRDefault="001507FF" w:rsidP="001507FF">
      <w:pPr>
        <w:spacing w:before="240" w:line="360" w:lineRule="auto"/>
        <w:ind w:left="851" w:right="851"/>
        <w:jc w:val="both"/>
        <w:rPr>
          <w:rFonts w:ascii="Palatino Linotype" w:hAnsi="Palatino Linotype"/>
          <w:b/>
          <w:i/>
        </w:rPr>
      </w:pPr>
    </w:p>
    <w:p w14:paraId="546AB703" w14:textId="77777777" w:rsidR="001507FF" w:rsidRPr="005E4EB4" w:rsidRDefault="001507FF" w:rsidP="001507FF">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CFBC742" w14:textId="77777777" w:rsidR="001507FF" w:rsidRPr="00F975C8" w:rsidRDefault="001507FF" w:rsidP="001507F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0217E84D" w14:textId="77777777" w:rsidR="001507FF" w:rsidRPr="00F975C8" w:rsidRDefault="001507FF" w:rsidP="001507FF">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A3783B9" w14:textId="77777777" w:rsidR="001507FF" w:rsidRPr="00F975C8" w:rsidRDefault="001507FF" w:rsidP="001507F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6EC5416C" w14:textId="77777777" w:rsidR="001507FF" w:rsidRPr="00F975C8" w:rsidRDefault="001507FF" w:rsidP="001507FF">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06BCEB0" w14:textId="77777777" w:rsidR="001507FF" w:rsidRPr="00F975C8" w:rsidRDefault="001507FF" w:rsidP="001507F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2E4F28D" w14:textId="77777777" w:rsidR="001507FF" w:rsidRDefault="001507FF" w:rsidP="001507FF">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043A0968" w14:textId="77777777" w:rsidR="001507FF" w:rsidRDefault="001507FF" w:rsidP="001507FF">
      <w:pPr>
        <w:tabs>
          <w:tab w:val="left" w:pos="9072"/>
        </w:tabs>
        <w:spacing w:before="240" w:line="360" w:lineRule="auto"/>
        <w:ind w:left="851" w:right="902"/>
        <w:jc w:val="both"/>
        <w:rPr>
          <w:rFonts w:ascii="Palatino Linotype" w:hAnsi="Palatino Linotype"/>
          <w:b/>
          <w:bCs/>
          <w:i/>
        </w:rPr>
      </w:pPr>
    </w:p>
    <w:p w14:paraId="418789C3" w14:textId="77777777" w:rsidR="001507FF" w:rsidRPr="007658D5" w:rsidRDefault="001507FF" w:rsidP="001507FF">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7BCD369" w14:textId="77777777" w:rsidR="001507FF" w:rsidRPr="007658D5" w:rsidRDefault="001507FF" w:rsidP="001507FF">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2072740" w14:textId="77777777" w:rsidR="001507FF" w:rsidRPr="00F975C8" w:rsidRDefault="001507FF" w:rsidP="001507FF">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lastRenderedPageBreak/>
        <w:t xml:space="preserve">“Artículo 4. </w:t>
      </w:r>
      <w:r w:rsidRPr="00F975C8">
        <w:rPr>
          <w:rFonts w:ascii="Palatino Linotype" w:hAnsi="Palatino Linotype" w:cs="Arial"/>
          <w:i/>
          <w:lang w:eastAsia="es-MX"/>
        </w:rPr>
        <w:t>Son sujetos de fiscalización:</w:t>
      </w:r>
    </w:p>
    <w:p w14:paraId="1779C6BA" w14:textId="77777777" w:rsidR="001507FF" w:rsidRPr="00F975C8" w:rsidRDefault="001507FF" w:rsidP="001507FF">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35C98671" w14:textId="77777777" w:rsidR="001507FF" w:rsidRPr="000A0968" w:rsidRDefault="001507FF" w:rsidP="001507FF">
      <w:pPr>
        <w:numPr>
          <w:ilvl w:val="0"/>
          <w:numId w:val="12"/>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0F3771B9" w14:textId="77777777" w:rsidR="001507FF" w:rsidRDefault="001507FF" w:rsidP="001507FF">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5D12836C" w14:textId="77777777" w:rsidR="001507FF" w:rsidRPr="007658D5" w:rsidRDefault="001507FF" w:rsidP="001507FF">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A48AF6F" w14:textId="77777777" w:rsidR="001507FF" w:rsidRPr="003E0BC5" w:rsidRDefault="001507FF" w:rsidP="001507FF">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17F1010" w14:textId="77777777" w:rsidR="001507FF" w:rsidRPr="00F975C8" w:rsidRDefault="001507FF" w:rsidP="001507FF">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2980E61" w14:textId="77777777" w:rsidR="001507FF" w:rsidRPr="00F975C8" w:rsidRDefault="001507FF" w:rsidP="001507FF">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5E6C6D89" w14:textId="77777777" w:rsidR="001507FF" w:rsidRPr="00F975C8" w:rsidRDefault="001507FF" w:rsidP="001507FF">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00B319DC" w14:textId="77777777" w:rsidR="001507FF" w:rsidRDefault="001507FF" w:rsidP="001507FF">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5B464A72" w14:textId="77777777" w:rsidR="00F46D41" w:rsidRDefault="00F46D41" w:rsidP="001507FF">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71F3AE69" w14:textId="2A8E173D" w:rsidR="001507FF" w:rsidRPr="003E0BC5" w:rsidRDefault="001507FF" w:rsidP="001507FF">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sidR="00B76467">
        <w:rPr>
          <w:rFonts w:ascii="Palatino Linotype" w:hAnsi="Palatino Linotype"/>
          <w:sz w:val="24"/>
          <w:szCs w:val="24"/>
        </w:rPr>
        <w:t xml:space="preserve">recibos de nómina. </w:t>
      </w:r>
    </w:p>
    <w:p w14:paraId="2C76F9C4" w14:textId="77777777" w:rsidR="001507FF" w:rsidRPr="003E0BC5" w:rsidRDefault="001507FF" w:rsidP="001507FF">
      <w:pPr>
        <w:spacing w:line="360" w:lineRule="auto"/>
        <w:jc w:val="both"/>
        <w:rPr>
          <w:rFonts w:ascii="Palatino Linotype" w:hAnsi="Palatino Linotype"/>
          <w:sz w:val="24"/>
          <w:szCs w:val="24"/>
        </w:rPr>
      </w:pPr>
      <w:r w:rsidRPr="003E0BC5">
        <w:rPr>
          <w:rFonts w:ascii="Palatino Linotype" w:hAnsi="Palatino Linotype"/>
          <w:sz w:val="24"/>
          <w:szCs w:val="24"/>
        </w:rPr>
        <w:lastRenderedPageBreak/>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B58B0BD" w14:textId="77777777" w:rsidR="001507FF" w:rsidRPr="00F975C8" w:rsidRDefault="001507FF" w:rsidP="001507FF">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4812903" w14:textId="77777777" w:rsidR="001507FF" w:rsidRPr="00A535E3" w:rsidRDefault="001507FF" w:rsidP="001507FF">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2A0F36BA" w14:textId="77777777" w:rsidR="001507FF" w:rsidRPr="00F975C8" w:rsidRDefault="001507FF" w:rsidP="001507FF">
      <w:pPr>
        <w:ind w:left="851" w:right="758"/>
        <w:jc w:val="both"/>
        <w:rPr>
          <w:rFonts w:ascii="Palatino Linotype" w:hAnsi="Palatino Linotype"/>
          <w:i/>
        </w:rPr>
      </w:pPr>
    </w:p>
    <w:p w14:paraId="24B340DC" w14:textId="77777777" w:rsidR="001507FF" w:rsidRPr="003E0BC5" w:rsidRDefault="001507FF" w:rsidP="001507FF">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CBEFBF" w14:textId="77777777" w:rsidR="001507FF" w:rsidRPr="003E0BC5" w:rsidRDefault="001507FF" w:rsidP="001507FF">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29B9323A" w14:textId="5BA9BBAB" w:rsidR="001507FF" w:rsidRDefault="001507FF" w:rsidP="001507FF">
      <w:pPr>
        <w:spacing w:before="240" w:after="240" w:line="360" w:lineRule="auto"/>
        <w:jc w:val="both"/>
        <w:rPr>
          <w:rFonts w:ascii="Palatino Linotype" w:hAnsi="Palatino Linotype"/>
          <w:sz w:val="24"/>
          <w:szCs w:val="24"/>
        </w:rPr>
      </w:pPr>
      <w:r w:rsidRPr="003E0BC5">
        <w:rPr>
          <w:rFonts w:ascii="Palatino Linotype" w:hAnsi="Palatino Linotype"/>
          <w:sz w:val="24"/>
          <w:szCs w:val="24"/>
        </w:rPr>
        <w:lastRenderedPageBreak/>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2021, visibles en la página oficial del Órgano Superior de Fiscalización del Estado de México (OSFEM) en el sitio de internet: </w:t>
      </w:r>
    </w:p>
    <w:p w14:paraId="358DC9EA" w14:textId="04234B96" w:rsidR="00761CB4" w:rsidRDefault="001507FF" w:rsidP="00A711CC">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364FFA8E" wp14:editId="5917615A">
            <wp:extent cx="5692140" cy="3225744"/>
            <wp:effectExtent l="19050" t="19050" r="2286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174C8E4D" w14:textId="75121689" w:rsidR="00E556B6" w:rsidRPr="0078693A" w:rsidRDefault="00E556B6" w:rsidP="00E556B6">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76672" behindDoc="0" locked="0" layoutInCell="1" allowOverlap="1" wp14:anchorId="596BC8B2" wp14:editId="16FF2A29">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3F8D2" id="Rectángulo 16" o:spid="_x0000_s1026" style="position:absolute;margin-left:24.95pt;margin-top:704.3pt;width:372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6EFBEF52" w14:textId="77777777" w:rsidR="00E556B6" w:rsidRPr="00B272A6" w:rsidRDefault="00E556B6" w:rsidP="00E556B6">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w:t>
      </w:r>
      <w:r w:rsidRPr="00B272A6">
        <w:rPr>
          <w:rFonts w:ascii="Palatino Linotype" w:hAnsi="Palatino Linotype" w:cs="Arial"/>
          <w:bCs/>
          <w:sz w:val="24"/>
          <w:szCs w:val="24"/>
          <w:lang w:val="es-ES"/>
        </w:rPr>
        <w:lastRenderedPageBreak/>
        <w:t>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2190457" w14:textId="77777777" w:rsidR="00E556B6" w:rsidRPr="00F975C8" w:rsidRDefault="00E556B6" w:rsidP="00E556B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24C858A5" w14:textId="77777777" w:rsidR="00E556B6" w:rsidRPr="00F975C8" w:rsidRDefault="00E556B6" w:rsidP="00E556B6">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4FD8005" w14:textId="77777777" w:rsidR="00E556B6" w:rsidRPr="00B272A6" w:rsidRDefault="00E556B6" w:rsidP="00E556B6">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81E4B4A" w14:textId="77777777" w:rsidR="00B76467" w:rsidRDefault="00B76467" w:rsidP="00E556B6">
      <w:pPr>
        <w:spacing w:line="360" w:lineRule="auto"/>
        <w:jc w:val="both"/>
        <w:rPr>
          <w:rFonts w:ascii="Palatino Linotype" w:hAnsi="Palatino Linotype" w:cs="Arial"/>
          <w:sz w:val="24"/>
          <w:szCs w:val="24"/>
          <w:lang w:val="es-ES"/>
        </w:rPr>
      </w:pPr>
    </w:p>
    <w:p w14:paraId="32230412" w14:textId="77777777" w:rsidR="00E556B6" w:rsidRDefault="00E556B6" w:rsidP="00E556B6">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46006AD" w14:textId="77777777" w:rsidR="00E556B6" w:rsidRPr="00F975C8" w:rsidRDefault="00E556B6" w:rsidP="00E556B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72ECD00B" w14:textId="77777777" w:rsidR="00E556B6" w:rsidRPr="0039245A" w:rsidRDefault="00E556B6" w:rsidP="00E556B6">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01F634DB" w14:textId="77777777" w:rsidR="00E556B6" w:rsidRPr="00F975C8" w:rsidRDefault="00E556B6" w:rsidP="00E556B6">
      <w:pPr>
        <w:spacing w:before="240" w:line="360" w:lineRule="auto"/>
        <w:ind w:left="851" w:right="851"/>
        <w:jc w:val="both"/>
        <w:rPr>
          <w:rFonts w:ascii="Palatino Linotype" w:hAnsi="Palatino Linotype" w:cs="Arial"/>
          <w:i/>
          <w:lang w:val="es-ES"/>
        </w:rPr>
      </w:pPr>
    </w:p>
    <w:p w14:paraId="5D56569A" w14:textId="77777777" w:rsidR="00E556B6" w:rsidRPr="00F975C8" w:rsidRDefault="00E556B6" w:rsidP="00E556B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54452FC2" w14:textId="77777777" w:rsidR="00E556B6" w:rsidRPr="00B272A6" w:rsidRDefault="00E556B6" w:rsidP="00E556B6">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D45FFD6" w14:textId="77777777" w:rsidR="00E556B6" w:rsidRDefault="00E556B6" w:rsidP="00E556B6">
      <w:pPr>
        <w:spacing w:before="240" w:after="240" w:line="360" w:lineRule="auto"/>
        <w:jc w:val="both"/>
        <w:rPr>
          <w:rFonts w:ascii="Palatino Linotype" w:hAnsi="Palatino Linotype" w:cs="Arial"/>
          <w:sz w:val="24"/>
          <w:szCs w:val="24"/>
          <w:lang w:val="es-ES"/>
        </w:rPr>
      </w:pPr>
    </w:p>
    <w:p w14:paraId="0174B732" w14:textId="77777777" w:rsidR="00E556B6" w:rsidRPr="00B272A6" w:rsidRDefault="00E556B6" w:rsidP="00E556B6">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75A4B5C7" w14:textId="77777777" w:rsidR="00E556B6" w:rsidRDefault="00E556B6" w:rsidP="00E556B6">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ADE9179" w14:textId="77777777" w:rsidR="00E556B6" w:rsidRPr="00F975C8" w:rsidRDefault="00E556B6" w:rsidP="00E556B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577FAFD7" w14:textId="77777777" w:rsidR="00E556B6" w:rsidRPr="00F975C8" w:rsidRDefault="00E556B6" w:rsidP="00E556B6">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899FA0" w14:textId="77777777" w:rsidR="00E556B6" w:rsidRPr="00F975C8" w:rsidRDefault="00E556B6" w:rsidP="00E556B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2BD92C5" w14:textId="77777777" w:rsidR="00E556B6" w:rsidRPr="0039245A" w:rsidRDefault="00E556B6" w:rsidP="00E556B6">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DB45AA5" w14:textId="77777777" w:rsidR="00E556B6" w:rsidRPr="00F975C8" w:rsidRDefault="00E556B6" w:rsidP="00E556B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7B0645ED" w14:textId="77777777" w:rsidR="00E556B6" w:rsidRPr="00B272A6" w:rsidRDefault="00E556B6" w:rsidP="00E556B6">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AB59B12" w14:textId="77777777" w:rsidR="00E556B6" w:rsidRDefault="00E556B6" w:rsidP="00E556B6">
      <w:pPr>
        <w:autoSpaceDE w:val="0"/>
        <w:autoSpaceDN w:val="0"/>
        <w:adjustRightInd w:val="0"/>
        <w:spacing w:before="240" w:line="360" w:lineRule="auto"/>
        <w:jc w:val="both"/>
        <w:rPr>
          <w:rFonts w:ascii="Palatino Linotype" w:hAnsi="Palatino Linotype" w:cs="Arial"/>
          <w:sz w:val="24"/>
          <w:szCs w:val="24"/>
        </w:rPr>
      </w:pPr>
    </w:p>
    <w:p w14:paraId="640AD2AF" w14:textId="77777777" w:rsidR="00E556B6" w:rsidRDefault="00E556B6" w:rsidP="00E556B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0E4178EA" w14:textId="77777777" w:rsidR="00E556B6" w:rsidRPr="00FA7CFC" w:rsidRDefault="00E556B6" w:rsidP="00E556B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0C86DB9" w14:textId="77777777" w:rsidR="00E556B6" w:rsidRPr="00FA7CFC" w:rsidRDefault="00E556B6" w:rsidP="00E556B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425F4FA" w14:textId="77777777" w:rsidR="00E556B6" w:rsidRDefault="00E556B6" w:rsidP="00E556B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F33D916" w14:textId="77777777" w:rsidR="00E556B6" w:rsidRDefault="00E556B6" w:rsidP="00E556B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31C0428" w14:textId="77777777" w:rsidR="00E556B6" w:rsidRDefault="00E556B6" w:rsidP="00E556B6">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4D86EEA" w14:textId="77777777" w:rsidR="00E556B6" w:rsidRPr="00682B6F" w:rsidRDefault="00E556B6" w:rsidP="00E556B6">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3E23CE91" w14:textId="77777777" w:rsidR="00E556B6" w:rsidRDefault="00E556B6" w:rsidP="00E556B6">
      <w:pPr>
        <w:autoSpaceDE w:val="0"/>
        <w:autoSpaceDN w:val="0"/>
        <w:adjustRightInd w:val="0"/>
        <w:spacing w:before="240" w:line="360" w:lineRule="auto"/>
        <w:ind w:right="851"/>
        <w:jc w:val="both"/>
        <w:rPr>
          <w:rFonts w:ascii="Palatino Linotype" w:hAnsi="Palatino Linotype"/>
          <w:b/>
          <w:i/>
        </w:rPr>
      </w:pPr>
    </w:p>
    <w:p w14:paraId="7EB8560E" w14:textId="77777777" w:rsidR="00E556B6" w:rsidRDefault="00E556B6" w:rsidP="00E556B6">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51F78D2A" w14:textId="77777777" w:rsidR="00F46D41" w:rsidRDefault="00F46D41" w:rsidP="00E556B6">
      <w:pPr>
        <w:spacing w:line="360" w:lineRule="auto"/>
        <w:contextualSpacing/>
        <w:jc w:val="both"/>
        <w:rPr>
          <w:rFonts w:ascii="Palatino Linotype" w:eastAsia="MS Mincho" w:hAnsi="Palatino Linotype" w:cs="Times New Roman"/>
          <w:sz w:val="24"/>
          <w:szCs w:val="24"/>
        </w:rPr>
      </w:pPr>
    </w:p>
    <w:p w14:paraId="00CA5EEF" w14:textId="77777777" w:rsidR="00E556B6" w:rsidRPr="00F40B51" w:rsidRDefault="00E556B6" w:rsidP="00E556B6">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6EA8B670" w14:textId="77777777" w:rsidR="00E556B6" w:rsidRDefault="00E556B6" w:rsidP="00E556B6">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642B9F73" w14:textId="26757B1D" w:rsidR="00E556B6" w:rsidRDefault="00E556B6" w:rsidP="00E556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veintitrés de febrero de dos mil veintidós, rindió su respuesta a la solicitud de información formulada por el particular, adjuntando para tal efecto lo siguiente: </w:t>
      </w:r>
    </w:p>
    <w:p w14:paraId="6E314D16" w14:textId="0CC9F316" w:rsidR="00E556B6" w:rsidRPr="00E556B6" w:rsidRDefault="00E556B6" w:rsidP="00E556B6">
      <w:pPr>
        <w:pStyle w:val="Prrafodelista"/>
        <w:numPr>
          <w:ilvl w:val="0"/>
          <w:numId w:val="13"/>
        </w:numPr>
        <w:spacing w:before="240" w:after="240" w:line="360" w:lineRule="auto"/>
        <w:jc w:val="both"/>
        <w:rPr>
          <w:rFonts w:ascii="Palatino Linotype" w:hAnsi="Palatino Linotype"/>
          <w:i/>
        </w:rPr>
      </w:pPr>
      <w:r>
        <w:rPr>
          <w:rFonts w:ascii="Palatino Linotype" w:hAnsi="Palatino Linotype"/>
          <w:b/>
        </w:rPr>
        <w:lastRenderedPageBreak/>
        <w:t xml:space="preserve">“CONTESTACION 22.pdf”: </w:t>
      </w:r>
      <w:r>
        <w:rPr>
          <w:rFonts w:ascii="Palatino Linotype" w:hAnsi="Palatino Linotype"/>
        </w:rPr>
        <w:t xml:space="preserve">Oficio número </w:t>
      </w:r>
      <w:r>
        <w:rPr>
          <w:rFonts w:ascii="Palatino Linotype" w:hAnsi="Palatino Linotype"/>
          <w:b/>
        </w:rPr>
        <w:t xml:space="preserve">ATL/TM/054/2022 </w:t>
      </w:r>
      <w:r>
        <w:rPr>
          <w:rFonts w:ascii="Palatino Linotype" w:hAnsi="Palatino Linotype"/>
        </w:rPr>
        <w:t xml:space="preserve">signado por el Tesorero Municipal y dirigido a la Titular de la Unidad de Transparencia del Gobierno Provisional, de fecha veintidós de enero de dos mil veintidós, en síntesis propone el cambio de modalidad a consulta directa, señalando días y horario para tal efecto. </w:t>
      </w:r>
    </w:p>
    <w:p w14:paraId="20EF66CA" w14:textId="77777777" w:rsidR="00F46D41" w:rsidRDefault="00F46D41" w:rsidP="00B07F0A">
      <w:pPr>
        <w:pStyle w:val="Default"/>
        <w:spacing w:before="240" w:after="160" w:line="360" w:lineRule="auto"/>
        <w:jc w:val="both"/>
        <w:rPr>
          <w:rFonts w:ascii="Palatino Linotype" w:hAnsi="Palatino Linotype"/>
          <w:noProof/>
          <w:lang w:eastAsia="es-MX"/>
        </w:rPr>
      </w:pPr>
    </w:p>
    <w:p w14:paraId="3A7F3E14" w14:textId="3FB2286E" w:rsidR="00E556B6" w:rsidRDefault="00B07F0A" w:rsidP="00B07F0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 xml:space="preserve">interpuso recurso de revisión en fecha </w:t>
      </w:r>
      <w:r w:rsidR="00E556B6">
        <w:rPr>
          <w:rFonts w:ascii="Palatino Linotype" w:hAnsi="Palatino Linotype"/>
          <w:noProof/>
          <w:lang w:eastAsia="es-MX"/>
        </w:rPr>
        <w:t xml:space="preserve">siete de marzo, admitiendose el nueve de marzo, ambos de dos mil veintidos. Señalando como acto impugnado: </w:t>
      </w:r>
    </w:p>
    <w:p w14:paraId="0F499D5E" w14:textId="4F81C962" w:rsidR="00E556B6" w:rsidRPr="00E556B6" w:rsidRDefault="00E556B6" w:rsidP="00E556B6">
      <w:pPr>
        <w:pStyle w:val="Citas"/>
        <w:rPr>
          <w:rFonts w:ascii="Times New Roman" w:hAnsi="Times New Roman"/>
          <w:b/>
          <w:sz w:val="24"/>
          <w:szCs w:val="24"/>
          <w:lang w:eastAsia="es-MX"/>
        </w:rPr>
      </w:pPr>
      <w:r>
        <w:rPr>
          <w:lang w:eastAsia="es-MX"/>
        </w:rPr>
        <w:t>“</w:t>
      </w:r>
      <w:r w:rsidRPr="00E556B6">
        <w:rPr>
          <w:lang w:eastAsia="es-MX"/>
        </w:rPr>
        <w:t xml:space="preserve">Responden que no me niegan la información pero me la condicionan a que asista a la tesorería para verificarla. La solicitud la hice para que la información se entregara vía </w:t>
      </w:r>
      <w:proofErr w:type="spellStart"/>
      <w:r w:rsidRPr="00E556B6">
        <w:rPr>
          <w:lang w:eastAsia="es-MX"/>
        </w:rPr>
        <w:t>Saimex</w:t>
      </w:r>
      <w:proofErr w:type="spellEnd"/>
      <w:r w:rsidRPr="00E556B6">
        <w:rPr>
          <w:lang w:eastAsia="es-MX"/>
        </w:rPr>
        <w:t>, de forma electrónica y responden que no están obligados a procesarla.</w:t>
      </w:r>
      <w:r>
        <w:rPr>
          <w:lang w:eastAsia="es-MX"/>
        </w:rPr>
        <w:t xml:space="preserve">” </w:t>
      </w:r>
      <w:r>
        <w:rPr>
          <w:b/>
          <w:lang w:eastAsia="es-MX"/>
        </w:rPr>
        <w:t xml:space="preserve">[Sic] </w:t>
      </w:r>
    </w:p>
    <w:p w14:paraId="30C5D81B" w14:textId="77777777" w:rsidR="00E556B6" w:rsidRDefault="00E556B6" w:rsidP="00E556B6">
      <w:pPr>
        <w:pStyle w:val="Citas"/>
        <w:rPr>
          <w:noProof/>
          <w:lang w:eastAsia="es-MX"/>
        </w:rPr>
      </w:pPr>
    </w:p>
    <w:p w14:paraId="24A89F0D" w14:textId="77777777" w:rsidR="00B07F0A" w:rsidRDefault="00B07F0A" w:rsidP="00B07F0A">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73EA6AD8" w14:textId="77777777" w:rsidR="00B07F0A" w:rsidRDefault="00B07F0A" w:rsidP="00B07F0A">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0311D85C" w14:textId="77777777" w:rsidR="00B07F0A" w:rsidRDefault="00B07F0A" w:rsidP="00B07F0A">
      <w:pPr>
        <w:pStyle w:val="Citas"/>
      </w:pPr>
      <w:r>
        <w:lastRenderedPageBreak/>
        <w:t xml:space="preserve">I. La negativa a la información solicitada; </w:t>
      </w:r>
    </w:p>
    <w:p w14:paraId="119EFE9D" w14:textId="77777777" w:rsidR="00E761C2" w:rsidRDefault="00B07F0A" w:rsidP="00B07F0A">
      <w:pPr>
        <w:pStyle w:val="Citas"/>
      </w:pPr>
      <w:r>
        <w:t>(…)</w:t>
      </w:r>
    </w:p>
    <w:p w14:paraId="10A5BA40" w14:textId="4D57D624" w:rsidR="00E761C2" w:rsidRPr="00B76467" w:rsidRDefault="00E761C2" w:rsidP="00B07F0A">
      <w:pPr>
        <w:pStyle w:val="Citas"/>
        <w:rPr>
          <w:b/>
          <w:u w:val="single"/>
        </w:rPr>
      </w:pPr>
      <w:r w:rsidRPr="00B76467">
        <w:rPr>
          <w:b/>
          <w:u w:val="single"/>
        </w:rPr>
        <w:t>VIII. La notificación, entrega o puesta a disposición de información en una modalidad o formato distinto al solicitado;</w:t>
      </w:r>
    </w:p>
    <w:p w14:paraId="5EA5E683" w14:textId="6B6337A3" w:rsidR="00B07F0A" w:rsidRPr="007818E1" w:rsidRDefault="00E761C2" w:rsidP="00B07F0A">
      <w:pPr>
        <w:pStyle w:val="Citas"/>
        <w:rPr>
          <w:b/>
        </w:rPr>
      </w:pPr>
      <w:r>
        <w:t>(…)</w:t>
      </w:r>
      <w:r w:rsidR="00B07F0A">
        <w:t xml:space="preserve">” </w:t>
      </w:r>
      <w:r w:rsidR="00B07F0A">
        <w:rPr>
          <w:b/>
        </w:rPr>
        <w:t>[Sic]</w:t>
      </w:r>
    </w:p>
    <w:p w14:paraId="1B4727C1" w14:textId="77777777" w:rsidR="00F46D41" w:rsidRDefault="00F46D41" w:rsidP="00E761C2">
      <w:pPr>
        <w:spacing w:before="240" w:after="240" w:line="360" w:lineRule="auto"/>
        <w:contextualSpacing/>
        <w:jc w:val="both"/>
        <w:rPr>
          <w:rFonts w:ascii="Palatino Linotype" w:eastAsia="Palatino Linotype" w:hAnsi="Palatino Linotype" w:cs="Palatino Linotype"/>
          <w:color w:val="000000"/>
          <w:sz w:val="24"/>
          <w:szCs w:val="24"/>
        </w:rPr>
      </w:pPr>
    </w:p>
    <w:p w14:paraId="3B679B46" w14:textId="77777777" w:rsidR="00E761C2" w:rsidRDefault="00E761C2" w:rsidP="00E761C2">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Palatino Linotype" w:hAnsi="Palatino Linotype" w:cs="Palatino Linotype"/>
          <w:color w:val="000000"/>
          <w:sz w:val="24"/>
          <w:szCs w:val="24"/>
        </w:rPr>
        <w:t xml:space="preserve">Ahora bien, con relación al cambio de modalidad propuesto es de destacar que </w:t>
      </w:r>
      <w:r w:rsidRPr="00712BF6">
        <w:rPr>
          <w:rFonts w:ascii="Palatino Linotype" w:eastAsia="Times New Roman" w:hAnsi="Palatino Linotype" w:cs="Times New Roman"/>
          <w:sz w:val="24"/>
          <w:szCs w:val="24"/>
          <w:lang w:val="es-ES_tradnl" w:eastAsia="es-ES"/>
        </w:rPr>
        <w:t xml:space="preserve">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Pr>
          <w:rFonts w:ascii="Palatino Linotype" w:eastAsia="Times New Roman" w:hAnsi="Palatino Linotype" w:cs="Times New Roman"/>
          <w:sz w:val="24"/>
          <w:szCs w:val="24"/>
          <w:lang w:val="es-ES_tradnl" w:eastAsia="es-ES"/>
        </w:rPr>
        <w:t>determinado.</w:t>
      </w:r>
    </w:p>
    <w:p w14:paraId="10BC9587" w14:textId="77777777" w:rsidR="00E761C2" w:rsidRDefault="00E761C2" w:rsidP="00E761C2">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2DC1039B" w14:textId="77777777" w:rsidR="00E761C2" w:rsidRPr="00712BF6" w:rsidRDefault="00E761C2" w:rsidP="00E761C2">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0B4278D" w14:textId="77777777" w:rsidR="00E761C2" w:rsidRPr="00712BF6" w:rsidRDefault="00E761C2" w:rsidP="00E761C2">
      <w:pPr>
        <w:pStyle w:val="CitasINFOEM"/>
      </w:pPr>
      <w:r w:rsidRPr="00712BF6">
        <w:rPr>
          <w:b/>
        </w:rPr>
        <w:lastRenderedPageBreak/>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7A5E28AE" w14:textId="77777777" w:rsidR="00E761C2" w:rsidRDefault="00E761C2" w:rsidP="00E761C2">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2D3B1E57" w14:textId="77777777" w:rsidR="00B76467" w:rsidRDefault="00B76467" w:rsidP="00E761C2">
      <w:pPr>
        <w:spacing w:before="240" w:after="240" w:line="360" w:lineRule="auto"/>
        <w:contextualSpacing/>
        <w:jc w:val="both"/>
        <w:rPr>
          <w:rFonts w:ascii="Palatino Linotype" w:hAnsi="Palatino Linotype"/>
          <w:sz w:val="24"/>
        </w:rPr>
      </w:pPr>
    </w:p>
    <w:p w14:paraId="094BA0F6" w14:textId="77777777" w:rsidR="00E761C2" w:rsidRPr="00712BF6" w:rsidRDefault="00E761C2" w:rsidP="00E761C2">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Pr>
          <w:rFonts w:ascii="Palatino Linotype" w:hAnsi="Palatino Linotype"/>
          <w:sz w:val="24"/>
        </w:rPr>
        <w:t>el</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Pr>
          <w:rFonts w:ascii="Palatino Linotype" w:hAnsi="Palatino Linotype"/>
          <w:sz w:val="24"/>
        </w:rPr>
        <w:t>el</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356AB9AF" w14:textId="77777777" w:rsidR="00E761C2" w:rsidRPr="00712BF6" w:rsidRDefault="00E761C2" w:rsidP="00E761C2">
      <w:pPr>
        <w:spacing w:before="240" w:after="240" w:line="360" w:lineRule="auto"/>
        <w:contextualSpacing/>
        <w:jc w:val="both"/>
        <w:rPr>
          <w:rFonts w:ascii="Palatino Linotype" w:eastAsia="Times New Roman" w:hAnsi="Palatino Linotype" w:cs="Times New Roman"/>
          <w:b/>
          <w:sz w:val="24"/>
          <w:szCs w:val="24"/>
          <w:lang w:val="es-ES" w:eastAsia="es-ES"/>
        </w:rPr>
      </w:pPr>
    </w:p>
    <w:p w14:paraId="5A6250E1" w14:textId="77777777" w:rsidR="00E761C2" w:rsidRPr="00712BF6" w:rsidRDefault="00E761C2" w:rsidP="00E761C2">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8C5AD92" w14:textId="77777777" w:rsidR="00E761C2" w:rsidRPr="00712BF6" w:rsidRDefault="00E761C2" w:rsidP="00E761C2">
      <w:pPr>
        <w:spacing w:before="240" w:after="240" w:line="360" w:lineRule="auto"/>
        <w:contextualSpacing/>
        <w:jc w:val="both"/>
        <w:rPr>
          <w:rFonts w:ascii="Palatino Linotype" w:eastAsia="Times New Roman" w:hAnsi="Palatino Linotype" w:cs="Times New Roman"/>
          <w:sz w:val="24"/>
          <w:szCs w:val="24"/>
          <w:lang w:val="es-ES" w:eastAsia="es-ES"/>
        </w:rPr>
      </w:pPr>
    </w:p>
    <w:p w14:paraId="22A067BF" w14:textId="77777777" w:rsidR="00E761C2" w:rsidRDefault="00E761C2" w:rsidP="00E761C2">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7EB8DC94" w14:textId="77777777" w:rsidR="00E761C2" w:rsidRPr="00D85747" w:rsidRDefault="00E761C2" w:rsidP="00E761C2">
      <w:pPr>
        <w:pStyle w:val="CitasINFOEM"/>
        <w:rPr>
          <w:b/>
          <w:lang w:eastAsia="es-MX"/>
        </w:rPr>
      </w:pPr>
      <w:r w:rsidRPr="006302B4">
        <w:rPr>
          <w:lang w:eastAsia="es-MX"/>
        </w:rPr>
        <w:lastRenderedPageBreak/>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2"/>
      </w:r>
      <w:r>
        <w:rPr>
          <w:lang w:eastAsia="es-MX"/>
        </w:rPr>
        <w:t xml:space="preserve"> </w:t>
      </w:r>
      <w:r>
        <w:rPr>
          <w:b/>
          <w:lang w:eastAsia="es-MX"/>
        </w:rPr>
        <w:t>[Sic]</w:t>
      </w:r>
    </w:p>
    <w:p w14:paraId="14F323F0" w14:textId="77777777" w:rsidR="00E761C2" w:rsidRPr="00712BF6" w:rsidRDefault="00E761C2" w:rsidP="00E761C2">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4EB65F91" w14:textId="77777777" w:rsidR="00E761C2" w:rsidRPr="00712BF6" w:rsidRDefault="00E761C2" w:rsidP="00E761C2">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457D0C0D" w14:textId="77777777" w:rsidR="00E761C2" w:rsidRPr="00712BF6" w:rsidRDefault="00E761C2" w:rsidP="00E761C2">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442869" w14:textId="77777777" w:rsidR="00E761C2" w:rsidRPr="00712BF6" w:rsidRDefault="00E761C2" w:rsidP="00E761C2">
      <w:pPr>
        <w:pStyle w:val="CitasINFOEM"/>
      </w:pPr>
      <w:r w:rsidRPr="00712BF6">
        <w:rPr>
          <w:b/>
        </w:rPr>
        <w:t>SEGUNDO TRIBUNAL COLEGIADO DEL SEXTO CIRCUITO</w:t>
      </w:r>
      <w:r w:rsidRPr="00712BF6">
        <w:t>.</w:t>
      </w:r>
    </w:p>
    <w:p w14:paraId="76CF2E3D" w14:textId="77777777" w:rsidR="00E761C2" w:rsidRPr="00712BF6" w:rsidRDefault="00E761C2" w:rsidP="00E761C2">
      <w:pPr>
        <w:pStyle w:val="CitasINFOEM"/>
      </w:pPr>
      <w:r w:rsidRPr="00712BF6">
        <w:t>Amparo directo 194/88. Bufete Industrial Construcciones, S.A. de C.V. 28 de junio de 1988. Unanimidad de votos. Ponente: Gustavo Calvillo Rangel. Secretario: Jorge Alberto González Álvarez.</w:t>
      </w:r>
    </w:p>
    <w:p w14:paraId="052DE229" w14:textId="77777777" w:rsidR="00E761C2" w:rsidRPr="00712BF6" w:rsidRDefault="00E761C2" w:rsidP="00E761C2">
      <w:pPr>
        <w:pStyle w:val="CitasINFOEM"/>
      </w:pPr>
      <w:r w:rsidRPr="00712BF6">
        <w:lastRenderedPageBreak/>
        <w:t>Revisión fiscal 103/88. Instituto Mexicano del Seguro Social. 18 de octubre de 1988. Unanimidad de votos. Ponente: Arnoldo Nájera Virgen. Secretario: Alejandro Esponda Rincón.</w:t>
      </w:r>
    </w:p>
    <w:p w14:paraId="4C49E615" w14:textId="77777777" w:rsidR="00E761C2" w:rsidRPr="00712BF6" w:rsidRDefault="00E761C2" w:rsidP="00E761C2">
      <w:pPr>
        <w:pStyle w:val="CitasINFOEM"/>
      </w:pPr>
      <w:r w:rsidRPr="00712BF6">
        <w:t>Amparo en revisión 333/88. Adilia Romero. 26 de octubre de 1988. Unanimidad de votos. Ponente: Arnoldo Nájera Virgen. Secretario: Enrique Crispín Campos Ramírez.</w:t>
      </w:r>
    </w:p>
    <w:p w14:paraId="4A0C8D65" w14:textId="77777777" w:rsidR="00E761C2" w:rsidRPr="00712BF6" w:rsidRDefault="00E761C2" w:rsidP="00E761C2">
      <w:pPr>
        <w:pStyle w:val="CitasINFOEM"/>
      </w:pPr>
      <w:r w:rsidRPr="00712BF6">
        <w:t>Amparo en revisión 597/95. Emilio Maurer Bretón. 15 de noviembre de 1995. Unanimidad de votos. Ponente: Clementina Ramírez Moguel Goyzueta. Secretario: Gonzalo Carrera Molina.</w:t>
      </w:r>
    </w:p>
    <w:p w14:paraId="5E992665" w14:textId="77777777" w:rsidR="00E761C2" w:rsidRPr="00D85747" w:rsidRDefault="00E761C2" w:rsidP="00E761C2">
      <w:pPr>
        <w:pStyle w:val="CitasINFOEM"/>
        <w:rPr>
          <w:b/>
        </w:rPr>
      </w:pPr>
      <w:r w:rsidRPr="00712BF6">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Pr>
          <w:b/>
        </w:rPr>
        <w:t>[Sic]</w:t>
      </w:r>
    </w:p>
    <w:p w14:paraId="3462CE34" w14:textId="77777777" w:rsidR="00E761C2" w:rsidRDefault="00E761C2" w:rsidP="00E761C2">
      <w:pPr>
        <w:spacing w:before="240" w:after="240" w:line="360" w:lineRule="auto"/>
        <w:contextualSpacing/>
        <w:jc w:val="both"/>
        <w:rPr>
          <w:rFonts w:ascii="Palatino Linotype" w:hAnsi="Palatino Linotype" w:cs="Arial"/>
          <w:color w:val="222222"/>
          <w:sz w:val="24"/>
          <w:lang w:eastAsia="es-MX"/>
        </w:rPr>
      </w:pPr>
    </w:p>
    <w:p w14:paraId="4D8D6EBE" w14:textId="77777777" w:rsidR="00E761C2" w:rsidRPr="00712BF6" w:rsidRDefault="00E761C2" w:rsidP="00E761C2">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5DE3E4C" w14:textId="77777777" w:rsidR="00E761C2" w:rsidRPr="00712BF6" w:rsidRDefault="00E761C2" w:rsidP="00E761C2">
      <w:pPr>
        <w:spacing w:before="240" w:after="240" w:line="360" w:lineRule="auto"/>
        <w:contextualSpacing/>
        <w:jc w:val="both"/>
        <w:rPr>
          <w:rFonts w:ascii="Palatino Linotype" w:hAnsi="Palatino Linotype" w:cs="Arial"/>
          <w:color w:val="222222"/>
          <w:sz w:val="24"/>
          <w:lang w:eastAsia="es-MX"/>
        </w:rPr>
      </w:pPr>
    </w:p>
    <w:p w14:paraId="7A08CA30" w14:textId="77777777" w:rsidR="00E761C2" w:rsidRPr="00712BF6" w:rsidRDefault="00E761C2" w:rsidP="00E761C2">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4198CF" w14:textId="4064BF4C" w:rsidR="00E761C2" w:rsidRDefault="00E761C2" w:rsidP="00E761C2">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lastRenderedPageBreak/>
        <w:t xml:space="preserve">En este sentido, de las constancias que obran </w:t>
      </w:r>
      <w:r w:rsidR="00F46D41">
        <w:rPr>
          <w:rFonts w:ascii="Palatino Linotype" w:hAnsi="Palatino Linotype"/>
          <w:sz w:val="24"/>
          <w:szCs w:val="24"/>
        </w:rPr>
        <w:t>en el presente recurso de revisión</w:t>
      </w:r>
      <w:r>
        <w:rPr>
          <w:rFonts w:ascii="Palatino Linotype" w:hAnsi="Palatino Linotype"/>
          <w:sz w:val="24"/>
          <w:szCs w:val="24"/>
        </w:rPr>
        <w:t>, se advierte que el</w:t>
      </w:r>
      <w:r w:rsidRPr="00712BF6">
        <w:rPr>
          <w:rFonts w:ascii="Palatino Linotype" w:hAnsi="Palatino Linotype"/>
          <w:sz w:val="24"/>
          <w:szCs w:val="24"/>
        </w:rPr>
        <w:t xml:space="preserve"> particular al momento de formular su</w:t>
      </w:r>
      <w:r>
        <w:rPr>
          <w:rFonts w:ascii="Palatino Linotype" w:hAnsi="Palatino Linotype"/>
          <w:sz w:val="24"/>
          <w:szCs w:val="24"/>
        </w:rPr>
        <w:t>s</w:t>
      </w:r>
      <w:r w:rsidRPr="00712BF6">
        <w:rPr>
          <w:rFonts w:ascii="Palatino Linotype" w:hAnsi="Palatino Linotype"/>
          <w:sz w:val="24"/>
          <w:szCs w:val="24"/>
        </w:rPr>
        <w:t xml:space="preserve"> solicitud</w:t>
      </w:r>
      <w:r>
        <w:rPr>
          <w:rFonts w:ascii="Palatino Linotype" w:hAnsi="Palatino Linotype"/>
          <w:sz w:val="24"/>
          <w:szCs w:val="24"/>
        </w:rPr>
        <w:t>es</w:t>
      </w:r>
      <w:r w:rsidRPr="00712BF6">
        <w:rPr>
          <w:rFonts w:ascii="Palatino Linotype" w:hAnsi="Palatino Linotype"/>
          <w:sz w:val="24"/>
          <w:szCs w:val="24"/>
        </w:rPr>
        <w:t xml:space="preserve"> de información, en el formato previamente establecido para tal efecto, señaló como modalidad de entrega a través del Sistema de Acceso a la Información Mexiquense </w:t>
      </w:r>
      <w:r w:rsidRPr="000E4F86">
        <w:rPr>
          <w:rFonts w:ascii="Palatino Linotype" w:hAnsi="Palatino Linotype"/>
          <w:b/>
          <w:sz w:val="24"/>
          <w:szCs w:val="24"/>
        </w:rPr>
        <w:t>(SAIMEX),</w:t>
      </w:r>
      <w:r>
        <w:rPr>
          <w:rFonts w:ascii="Palatino Linotype" w:hAnsi="Palatino Linotype"/>
          <w:sz w:val="24"/>
          <w:szCs w:val="24"/>
        </w:rPr>
        <w:t xml:space="preserve"> tal como se advierte en la siguiente imagen ilustrativa a manera de ejemplo:</w:t>
      </w:r>
    </w:p>
    <w:p w14:paraId="23AD46A6" w14:textId="66FF30FB" w:rsidR="00E761C2" w:rsidRDefault="00F46D41" w:rsidP="00B07F0A">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drawing>
          <wp:anchor distT="0" distB="0" distL="114300" distR="114300" simplePos="0" relativeHeight="251679744" behindDoc="0" locked="0" layoutInCell="1" allowOverlap="1" wp14:anchorId="00105532" wp14:editId="0F4CC96D">
            <wp:simplePos x="0" y="0"/>
            <wp:positionH relativeFrom="column">
              <wp:posOffset>-107544</wp:posOffset>
            </wp:positionH>
            <wp:positionV relativeFrom="paragraph">
              <wp:posOffset>324891</wp:posOffset>
            </wp:positionV>
            <wp:extent cx="5756910" cy="1894840"/>
            <wp:effectExtent l="19050" t="19050" r="15240" b="10160"/>
            <wp:wrapThrough wrapText="bothSides">
              <wp:wrapPolygon edited="0">
                <wp:start x="-71" y="-217"/>
                <wp:lineTo x="-71" y="21499"/>
                <wp:lineTo x="21586" y="21499"/>
                <wp:lineTo x="21586" y="-217"/>
                <wp:lineTo x="-71" y="-2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1894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7C0B5F" w14:textId="7C370D1E" w:rsidR="00E761C2" w:rsidRDefault="00E761C2" w:rsidP="00B07F0A">
      <w:pPr>
        <w:spacing w:after="0" w:line="360" w:lineRule="auto"/>
        <w:jc w:val="both"/>
        <w:rPr>
          <w:rFonts w:ascii="Palatino Linotype" w:hAnsi="Palatino Linotype" w:cs="Arial"/>
          <w:color w:val="000000"/>
          <w:sz w:val="24"/>
          <w:lang w:val="es-ES_tradnl"/>
        </w:rPr>
      </w:pPr>
    </w:p>
    <w:p w14:paraId="19591EC5" w14:textId="77777777" w:rsidR="00E761C2" w:rsidRPr="00130C5D" w:rsidRDefault="00E761C2" w:rsidP="00E761C2">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0AFE39A5" w14:textId="77777777" w:rsidR="00E761C2" w:rsidRPr="00712BF6" w:rsidRDefault="00E761C2" w:rsidP="00E761C2">
      <w:pPr>
        <w:pStyle w:val="Sinespaciado"/>
        <w:rPr>
          <w:sz w:val="16"/>
        </w:rPr>
      </w:pPr>
    </w:p>
    <w:p w14:paraId="55F62CC2" w14:textId="77777777" w:rsidR="00E761C2" w:rsidRPr="00712BF6" w:rsidRDefault="00E761C2" w:rsidP="00E761C2">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601FE2B2" w14:textId="77777777" w:rsidR="00E761C2" w:rsidRPr="00712BF6" w:rsidRDefault="00E761C2" w:rsidP="00E761C2">
      <w:pPr>
        <w:pStyle w:val="Sinespaciado"/>
      </w:pPr>
    </w:p>
    <w:p w14:paraId="4248A6CC" w14:textId="77777777" w:rsidR="00E761C2" w:rsidRPr="006302B4" w:rsidRDefault="00E761C2" w:rsidP="00E761C2">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lastRenderedPageBreak/>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7833BBAB" w14:textId="77777777" w:rsidR="00E761C2" w:rsidRPr="00712BF6" w:rsidRDefault="00E761C2" w:rsidP="00E761C2">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73B38DF9" w14:textId="77777777" w:rsidR="00E761C2" w:rsidRPr="00712BF6" w:rsidRDefault="00E761C2" w:rsidP="00E761C2">
      <w:pPr>
        <w:pStyle w:val="Sinespaciado"/>
        <w:rPr>
          <w:sz w:val="2"/>
        </w:rPr>
      </w:pPr>
    </w:p>
    <w:p w14:paraId="4A5A773A" w14:textId="77777777" w:rsidR="00E761C2" w:rsidRPr="00712BF6" w:rsidRDefault="00E761C2" w:rsidP="00E761C2">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0B9CC9F6" w14:textId="77777777" w:rsidR="00E761C2" w:rsidRDefault="00E761C2" w:rsidP="00E761C2">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18FC8656" w14:textId="77777777" w:rsidR="00E761C2" w:rsidRPr="00D85747" w:rsidRDefault="00E761C2" w:rsidP="00E761C2">
      <w:pPr>
        <w:pStyle w:val="CitasINFOEM"/>
        <w:rPr>
          <w:b/>
        </w:rPr>
      </w:pPr>
    </w:p>
    <w:p w14:paraId="2ABA4BEA" w14:textId="77777777" w:rsidR="00E761C2" w:rsidRPr="00712BF6" w:rsidRDefault="00E761C2" w:rsidP="00E761C2">
      <w:pPr>
        <w:pStyle w:val="Sinespaciado"/>
        <w:rPr>
          <w:sz w:val="4"/>
        </w:rPr>
      </w:pPr>
    </w:p>
    <w:p w14:paraId="30B4EA36" w14:textId="463B6867" w:rsidR="00E761C2" w:rsidRDefault="00E761C2" w:rsidP="00E761C2">
      <w:pPr>
        <w:spacing w:after="0" w:line="360" w:lineRule="auto"/>
        <w:jc w:val="both"/>
        <w:rPr>
          <w:rFonts w:ascii="Palatino Linotype" w:hAnsi="Palatino Linotype"/>
          <w:b/>
          <w:sz w:val="24"/>
          <w:szCs w:val="24"/>
          <w:u w:val="single"/>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particularmente  al tratarse de información susceptible de publicarse oficiosamente</w:t>
      </w:r>
      <w:r>
        <w:rPr>
          <w:rFonts w:ascii="Palatino Linotype" w:hAnsi="Palatino Linotype"/>
          <w:b/>
          <w:sz w:val="24"/>
          <w:szCs w:val="24"/>
          <w:u w:val="single"/>
        </w:rPr>
        <w:t xml:space="preserve"> de manera parcial en el portal IPOMEX</w:t>
      </w:r>
      <w:r w:rsidRPr="00B933D5">
        <w:rPr>
          <w:rFonts w:ascii="Palatino Linotype" w:hAnsi="Palatino Linotype"/>
          <w:b/>
          <w:sz w:val="24"/>
          <w:szCs w:val="24"/>
          <w:u w:val="single"/>
        </w:rPr>
        <w:t>,</w:t>
      </w:r>
      <w:r>
        <w:rPr>
          <w:rFonts w:ascii="Palatino Linotype" w:hAnsi="Palatino Linotype"/>
          <w:b/>
          <w:sz w:val="24"/>
          <w:szCs w:val="24"/>
          <w:u w:val="single"/>
        </w:rPr>
        <w:t xml:space="preserve"> de conformidad con el artículo 92, fracción VIII –remuneraciones-. </w:t>
      </w:r>
    </w:p>
    <w:p w14:paraId="0FD81D23" w14:textId="77777777" w:rsidR="00F46D41" w:rsidRDefault="00F46D41" w:rsidP="00E761C2">
      <w:pPr>
        <w:spacing w:after="0" w:line="360" w:lineRule="auto"/>
        <w:jc w:val="both"/>
        <w:rPr>
          <w:rFonts w:ascii="Palatino Linotype" w:hAnsi="Palatino Linotype" w:cs="Arial"/>
          <w:color w:val="000000"/>
          <w:sz w:val="24"/>
          <w:lang w:val="es-ES_tradnl"/>
        </w:rPr>
      </w:pPr>
    </w:p>
    <w:p w14:paraId="56468E08" w14:textId="77777777" w:rsidR="00E761C2" w:rsidRDefault="00E761C2" w:rsidP="00E761C2">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 informe justificado, de ahí que se arriba a la premisa de que no se subsanó la violación al derecho de acceso a la información pública. </w:t>
      </w:r>
    </w:p>
    <w:p w14:paraId="2789EF30" w14:textId="77777777" w:rsidR="00E761C2" w:rsidRPr="00296316" w:rsidRDefault="00E761C2" w:rsidP="00B07F0A">
      <w:pPr>
        <w:spacing w:after="0" w:line="360" w:lineRule="auto"/>
        <w:jc w:val="both"/>
        <w:rPr>
          <w:rFonts w:ascii="Palatino Linotype" w:hAnsi="Palatino Linotype" w:cs="Arial"/>
          <w:b/>
          <w:color w:val="000000"/>
          <w:lang w:val="es-ES_tradnl"/>
        </w:rPr>
      </w:pPr>
    </w:p>
    <w:p w14:paraId="097E67F3" w14:textId="690ED35A" w:rsidR="00B07F0A" w:rsidRPr="006329AB" w:rsidRDefault="00B07F0A" w:rsidP="00B07F0A">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w:t>
      </w:r>
      <w:r>
        <w:rPr>
          <w:rFonts w:ascii="Palatino Linotype" w:eastAsia="MS Mincho" w:hAnsi="Palatino Linotype"/>
          <w:sz w:val="24"/>
          <w:szCs w:val="24"/>
        </w:rPr>
        <w:t xml:space="preserve">una búsqueda exhaustiva y razonable, a efecto de hacer </w:t>
      </w:r>
      <w:r w:rsidRPr="006329AB">
        <w:rPr>
          <w:rFonts w:ascii="Palatino Linotype" w:eastAsia="MS Mincho" w:hAnsi="Palatino Linotype"/>
          <w:sz w:val="24"/>
          <w:szCs w:val="24"/>
        </w:rPr>
        <w:t xml:space="preserve">entrega a través del Sistema de Acceso a la Información Mexiquense (SAIMEX), de la siguiente información: </w:t>
      </w:r>
    </w:p>
    <w:p w14:paraId="332F35EC" w14:textId="77777777" w:rsidR="00E761C2" w:rsidRDefault="00E761C2" w:rsidP="00E761C2">
      <w:pPr>
        <w:pStyle w:val="Prrafodelista"/>
        <w:numPr>
          <w:ilvl w:val="0"/>
          <w:numId w:val="6"/>
        </w:numPr>
        <w:spacing w:before="240" w:line="360" w:lineRule="auto"/>
        <w:jc w:val="both"/>
        <w:rPr>
          <w:rFonts w:ascii="Palatino Linotype" w:hAnsi="Palatino Linotype"/>
        </w:rPr>
      </w:pPr>
      <w:r>
        <w:rPr>
          <w:rFonts w:ascii="Palatino Linotype" w:hAnsi="Palatino Linotype"/>
        </w:rPr>
        <w:t xml:space="preserve">El o los documentos donde consten las percepciones mensuales (sueldo bruto, gratificaciones, bonos, primas, deducciones, sueldo neto) del Presidente Municipal, Síndico y Regidores, correspondientes al mes de enero de dos mil veintidós. </w:t>
      </w:r>
    </w:p>
    <w:p w14:paraId="35345FA0" w14:textId="77777777" w:rsidR="00E761C2" w:rsidRPr="00761CB4" w:rsidRDefault="00E761C2" w:rsidP="00E761C2">
      <w:pPr>
        <w:pStyle w:val="Prrafodelista"/>
        <w:numPr>
          <w:ilvl w:val="0"/>
          <w:numId w:val="6"/>
        </w:numPr>
        <w:spacing w:before="240" w:line="360" w:lineRule="auto"/>
        <w:jc w:val="both"/>
        <w:rPr>
          <w:rFonts w:ascii="Palatino Linotype" w:hAnsi="Palatino Linotype"/>
        </w:rPr>
      </w:pPr>
      <w:r w:rsidRPr="00761CB4">
        <w:rPr>
          <w:rFonts w:ascii="Palatino Linotype" w:hAnsi="Palatino Linotype"/>
        </w:rPr>
        <w:t xml:space="preserve"> Recibo de nómina, comprobante de pago o CFDI del Presidente Municipal, correspondiente a la segunda quincena de enero de dos mil veintidós.  </w:t>
      </w:r>
    </w:p>
    <w:p w14:paraId="52B96A52" w14:textId="77777777" w:rsidR="008438CD" w:rsidRDefault="008438CD" w:rsidP="00B07F0A">
      <w:pPr>
        <w:autoSpaceDE w:val="0"/>
        <w:autoSpaceDN w:val="0"/>
        <w:adjustRightInd w:val="0"/>
        <w:spacing w:before="240" w:line="360" w:lineRule="auto"/>
        <w:jc w:val="both"/>
        <w:rPr>
          <w:rFonts w:ascii="Palatino Linotype" w:hAnsi="Palatino Linotype"/>
          <w:b/>
          <w:sz w:val="28"/>
          <w:szCs w:val="28"/>
        </w:rPr>
      </w:pPr>
    </w:p>
    <w:p w14:paraId="5007BBE2" w14:textId="77777777" w:rsidR="00B76467" w:rsidRDefault="00B76467" w:rsidP="00B07F0A">
      <w:pPr>
        <w:autoSpaceDE w:val="0"/>
        <w:autoSpaceDN w:val="0"/>
        <w:adjustRightInd w:val="0"/>
        <w:spacing w:before="240" w:line="360" w:lineRule="auto"/>
        <w:jc w:val="both"/>
        <w:rPr>
          <w:rFonts w:ascii="Palatino Linotype" w:hAnsi="Palatino Linotype"/>
          <w:b/>
          <w:sz w:val="28"/>
          <w:szCs w:val="28"/>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3BFA37E" w14:textId="77777777" w:rsidR="00B76467" w:rsidRDefault="00B76467" w:rsidP="00B07F0A">
      <w:pPr>
        <w:spacing w:after="0" w:line="360" w:lineRule="auto"/>
        <w:ind w:right="51"/>
        <w:jc w:val="both"/>
        <w:rPr>
          <w:rFonts w:ascii="Palatino Linotype" w:hAnsi="Palatino Linotype" w:cs="Arial"/>
          <w:sz w:val="24"/>
          <w:szCs w:val="24"/>
        </w:rPr>
      </w:pP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C2101B4" w14:textId="77777777" w:rsidR="00E761C2" w:rsidRDefault="00E761C2" w:rsidP="00B07F0A">
      <w:pPr>
        <w:spacing w:after="0" w:line="360" w:lineRule="auto"/>
        <w:jc w:val="both"/>
        <w:rPr>
          <w:rFonts w:ascii="Palatino Linotype" w:eastAsia="Times New Roman" w:hAnsi="Palatino Linotype" w:cs="Times New Roman"/>
          <w:sz w:val="24"/>
          <w:szCs w:val="24"/>
          <w:lang w:eastAsia="es-ES"/>
        </w:rPr>
      </w:pPr>
    </w:p>
    <w:p w14:paraId="688877F7" w14:textId="02FC8225" w:rsidR="00B07F0A" w:rsidRPr="00AB3254" w:rsidRDefault="00B07F0A" w:rsidP="00B07F0A">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III, </w:t>
      </w:r>
      <w:r w:rsidRPr="000F5B7E">
        <w:rPr>
          <w:rFonts w:ascii="Palatino Linotype" w:eastAsia="Times New Roman" w:hAnsi="Palatino Linotype" w:cs="Arial"/>
          <w:sz w:val="24"/>
          <w:szCs w:val="24"/>
          <w:lang w:eastAsia="es-ES"/>
        </w:rPr>
        <w:lastRenderedPageBreak/>
        <w:t>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E761C2">
        <w:rPr>
          <w:rFonts w:ascii="Palatino Linotype" w:hAnsi="Palatino Linotype" w:cs="Arial"/>
          <w:b/>
          <w:sz w:val="24"/>
          <w:szCs w:val="24"/>
        </w:rPr>
        <w:t>00022/ATLAUTLA/IP/2022</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566F34E4" w14:textId="77777777" w:rsidR="00B07F0A" w:rsidRDefault="00B07F0A" w:rsidP="00B07F0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4CF9D4" w14:textId="77777777" w:rsidR="00B07F0A" w:rsidRDefault="00B07F0A" w:rsidP="00B07F0A">
      <w:pPr>
        <w:spacing w:line="360" w:lineRule="auto"/>
        <w:contextualSpacing/>
        <w:jc w:val="both"/>
        <w:rPr>
          <w:rFonts w:ascii="Palatino Linotype" w:eastAsia="MS Mincho" w:hAnsi="Palatino Linotype"/>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88F3319" w14:textId="1D5DDE51" w:rsidR="00B07F0A" w:rsidRDefault="00B07F0A" w:rsidP="00B07F0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E761C2">
        <w:rPr>
          <w:rFonts w:ascii="Palatino Linotype" w:hAnsi="Palatino Linotype" w:cs="Arial"/>
          <w:b/>
          <w:sz w:val="24"/>
          <w:szCs w:val="24"/>
        </w:rPr>
        <w:t>00022/ATLAUTLA/IP/2022</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F7FF168" w14:textId="77777777" w:rsidR="00B07F0A" w:rsidRPr="00AB3254" w:rsidRDefault="00B07F0A" w:rsidP="00B07F0A">
      <w:pPr>
        <w:spacing w:before="240" w:line="360" w:lineRule="auto"/>
        <w:jc w:val="both"/>
        <w:rPr>
          <w:rFonts w:ascii="Palatino Linotype" w:hAnsi="Palatino Linotype" w:cs="Arial"/>
          <w:sz w:val="24"/>
          <w:szCs w:val="24"/>
        </w:rPr>
      </w:pPr>
    </w:p>
    <w:p w14:paraId="7CBE464F" w14:textId="77777777"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20395F9A" w14:textId="77777777" w:rsidR="00E761C2" w:rsidRPr="00E761C2" w:rsidRDefault="00E761C2" w:rsidP="00E761C2">
      <w:pPr>
        <w:pStyle w:val="Prrafodelista"/>
        <w:numPr>
          <w:ilvl w:val="0"/>
          <w:numId w:val="2"/>
        </w:numPr>
        <w:spacing w:before="240" w:line="360" w:lineRule="auto"/>
        <w:jc w:val="both"/>
        <w:rPr>
          <w:rFonts w:ascii="Palatino Linotype" w:hAnsi="Palatino Linotype"/>
          <w:i/>
        </w:rPr>
      </w:pPr>
      <w:r w:rsidRPr="00E761C2">
        <w:rPr>
          <w:rFonts w:ascii="Palatino Linotype" w:hAnsi="Palatino Linotype"/>
          <w:i/>
        </w:rPr>
        <w:t xml:space="preserve">El o los documentos donde consten las percepciones mensuales (sueldo bruto, gratificaciones, bonos, primas, deducciones, sueldo neto) del Presidente Municipal, Síndico y Regidores, correspondientes al mes de enero de dos mil veintidós. </w:t>
      </w:r>
    </w:p>
    <w:p w14:paraId="541556A2" w14:textId="77777777" w:rsidR="00E761C2" w:rsidRPr="00E761C2" w:rsidRDefault="00E761C2" w:rsidP="00E761C2">
      <w:pPr>
        <w:pStyle w:val="Prrafodelista"/>
        <w:numPr>
          <w:ilvl w:val="0"/>
          <w:numId w:val="2"/>
        </w:numPr>
        <w:spacing w:before="240" w:line="360" w:lineRule="auto"/>
        <w:jc w:val="both"/>
        <w:rPr>
          <w:rFonts w:ascii="Palatino Linotype" w:hAnsi="Palatino Linotype"/>
          <w:i/>
        </w:rPr>
      </w:pPr>
      <w:r w:rsidRPr="00E761C2">
        <w:rPr>
          <w:rFonts w:ascii="Palatino Linotype" w:hAnsi="Palatino Linotype"/>
          <w:i/>
        </w:rPr>
        <w:t xml:space="preserve"> Recibo de nómina, comprobante de pago o CFDI del Presidente Municipal, correspondiente a la segunda quincena de enero de dos mil veintidós.  </w:t>
      </w:r>
    </w:p>
    <w:p w14:paraId="2B73FE2F" w14:textId="77777777" w:rsidR="00B07F0A" w:rsidRDefault="00B07F0A"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A9C2DE6"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 xml:space="preserve">de conformidad con lo establecido en el artículo 196, de la Ley de </w:t>
      </w:r>
      <w:r w:rsidRPr="00151D16">
        <w:rPr>
          <w:rFonts w:ascii="Palatino Linotype" w:eastAsia="Times New Roman" w:hAnsi="Palatino Linotype" w:cs="Times New Roman"/>
          <w:color w:val="222222"/>
          <w:sz w:val="24"/>
          <w:szCs w:val="24"/>
          <w:lang w:eastAsia="es-ES"/>
        </w:rPr>
        <w:lastRenderedPageBreak/>
        <w:t>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4D826" w14:textId="77777777" w:rsidR="00E761C2" w:rsidRDefault="00E761C2" w:rsidP="00E761C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Pr>
          <w:rFonts w:ascii="Palatino Linotype" w:hAnsi="Palatino Linotype" w:cs="Arial"/>
        </w:rPr>
        <w:t xml:space="preserve">OCTAVA </w:t>
      </w:r>
      <w:r w:rsidRPr="00266B85">
        <w:rPr>
          <w:rFonts w:ascii="Palatino Linotype" w:hAnsi="Palatino Linotype" w:cs="Arial"/>
        </w:rPr>
        <w:t xml:space="preserve">SESIÓN ORDINARIA CELEBRADA EL </w:t>
      </w:r>
      <w:r>
        <w:rPr>
          <w:rFonts w:ascii="Palatino Linotype" w:hAnsi="Palatino Linotype" w:cs="Arial"/>
        </w:rPr>
        <w:t>DIECIOCHO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2A350C56" w14:textId="5A5510FB" w:rsidR="00CB4788" w:rsidRDefault="00E761C2" w:rsidP="00E761C2">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5026FF84" w14:textId="3D51C4D1" w:rsidR="00CB4788" w:rsidRDefault="00F46D41"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80768" behindDoc="0" locked="0" layoutInCell="1" allowOverlap="1" wp14:anchorId="04F852E2" wp14:editId="6411A63F">
                <wp:simplePos x="0" y="0"/>
                <wp:positionH relativeFrom="column">
                  <wp:posOffset>-4801</wp:posOffset>
                </wp:positionH>
                <wp:positionV relativeFrom="paragraph">
                  <wp:posOffset>11303</wp:posOffset>
                </wp:positionV>
                <wp:extent cx="5837530" cy="3343046"/>
                <wp:effectExtent l="0" t="0" r="30480" b="29210"/>
                <wp:wrapNone/>
                <wp:docPr id="10" name="Conector recto 10"/>
                <wp:cNvGraphicFramePr/>
                <a:graphic xmlns:a="http://schemas.openxmlformats.org/drawingml/2006/main">
                  <a:graphicData uri="http://schemas.microsoft.com/office/word/2010/wordprocessingShape">
                    <wps:wsp>
                      <wps:cNvCnPr/>
                      <wps:spPr>
                        <a:xfrm>
                          <a:off x="0" y="0"/>
                          <a:ext cx="5837530" cy="33430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B65AE" id="Conector recto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pt,.9pt" to="459.25pt,2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" strokecolor="#5b9bd5 [3204]" strokeweight=".5pt">
                <v:stroke joinstyle="miter"/>
              </v:line>
            </w:pict>
          </mc:Fallback>
        </mc:AlternateContent>
      </w: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7673" w14:textId="77777777" w:rsidR="00BD2D40" w:rsidRDefault="00BD2D40" w:rsidP="006168E4">
      <w:pPr>
        <w:spacing w:after="0" w:line="240" w:lineRule="auto"/>
      </w:pPr>
      <w:r>
        <w:separator/>
      </w:r>
    </w:p>
  </w:endnote>
  <w:endnote w:type="continuationSeparator" w:id="0">
    <w:p w14:paraId="7449AD50" w14:textId="77777777" w:rsidR="00BD2D40" w:rsidRDefault="00BD2D4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4D09" w14:textId="77777777" w:rsidR="00BD2D40" w:rsidRDefault="00BD2D40" w:rsidP="006168E4">
      <w:pPr>
        <w:spacing w:after="0" w:line="240" w:lineRule="auto"/>
      </w:pPr>
      <w:r>
        <w:separator/>
      </w:r>
    </w:p>
  </w:footnote>
  <w:footnote w:type="continuationSeparator" w:id="0">
    <w:p w14:paraId="18BAA9BF" w14:textId="77777777" w:rsidR="00BD2D40" w:rsidRDefault="00BD2D40" w:rsidP="006168E4">
      <w:pPr>
        <w:spacing w:after="0" w:line="240" w:lineRule="auto"/>
      </w:pPr>
      <w:r>
        <w:continuationSeparator/>
      </w:r>
    </w:p>
  </w:footnote>
  <w:footnote w:id="1">
    <w:p w14:paraId="6BECEE51" w14:textId="77777777" w:rsidR="00E761C2" w:rsidRPr="005552A8" w:rsidRDefault="00E761C2"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E761C2" w:rsidRPr="005552A8" w:rsidRDefault="00E761C2"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5902353" w14:textId="77777777" w:rsidR="00E761C2" w:rsidRPr="00034B44" w:rsidRDefault="00E761C2" w:rsidP="00E761C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57448BA7" w:rsidR="00E761C2" w:rsidRPr="00B4142F" w:rsidRDefault="00E761C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03465/INFOEM/IP/RR/2022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4731F99" w:rsidR="00E761C2" w:rsidRPr="00F06FED" w:rsidRDefault="00E761C2" w:rsidP="0034605F">
          <w:pPr>
            <w:spacing w:after="120" w:line="256" w:lineRule="auto"/>
            <w:ind w:left="639" w:right="214"/>
            <w:jc w:val="both"/>
            <w:rPr>
              <w:rFonts w:ascii="Palatino Linotype" w:hAnsi="Palatino Linotype" w:cs="Arial"/>
            </w:rPr>
          </w:pPr>
          <w:r>
            <w:rPr>
              <w:rFonts w:ascii="Palatino Linotype" w:hAnsi="Palatino Linotype" w:cs="Arial"/>
              <w:szCs w:val="20"/>
            </w:rPr>
            <w:t>Ayuntamiento de Atlautla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305F4195" w:rsidR="00E761C2" w:rsidRPr="00B4142F" w:rsidRDefault="00E761C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03465/INFOEM/IP/RR/2022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2044304" w:rsidR="00E761C2" w:rsidRPr="00F06FED" w:rsidRDefault="00270AA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w:t>
          </w:r>
          <w:proofErr w:type="spellEnd"/>
          <w:r>
            <w:rPr>
              <w:rFonts w:ascii="Palatino Linotype" w:hAnsi="Palatino Linotype" w:cs="Arial"/>
            </w:rPr>
            <w:t xml:space="preserve">    </w:t>
          </w:r>
          <w:proofErr w:type="spellStart"/>
          <w:r>
            <w:rPr>
              <w:rFonts w:ascii="Palatino Linotype" w:hAnsi="Palatino Linotype" w:cs="Arial"/>
            </w:rPr>
            <w:t>xxxxxxxxxxx</w:t>
          </w:r>
          <w:proofErr w:type="spellEnd"/>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C30492B" w:rsidR="00E761C2" w:rsidRDefault="00E761C2"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Atlautla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7954134">
    <w:abstractNumId w:val="3"/>
  </w:num>
  <w:num w:numId="2" w16cid:durableId="656421384">
    <w:abstractNumId w:val="11"/>
  </w:num>
  <w:num w:numId="3" w16cid:durableId="1888950729">
    <w:abstractNumId w:val="7"/>
  </w:num>
  <w:num w:numId="4" w16cid:durableId="1219970540">
    <w:abstractNumId w:val="1"/>
  </w:num>
  <w:num w:numId="5" w16cid:durableId="1398552476">
    <w:abstractNumId w:val="10"/>
  </w:num>
  <w:num w:numId="6" w16cid:durableId="482355550">
    <w:abstractNumId w:val="6"/>
  </w:num>
  <w:num w:numId="7" w16cid:durableId="367797513">
    <w:abstractNumId w:val="2"/>
  </w:num>
  <w:num w:numId="8" w16cid:durableId="1320765517">
    <w:abstractNumId w:val="8"/>
  </w:num>
  <w:num w:numId="9" w16cid:durableId="964821419">
    <w:abstractNumId w:val="0"/>
  </w:num>
  <w:num w:numId="10" w16cid:durableId="301037705">
    <w:abstractNumId w:val="5"/>
  </w:num>
  <w:num w:numId="11" w16cid:durableId="1029993761">
    <w:abstractNumId w:val="12"/>
  </w:num>
  <w:num w:numId="12" w16cid:durableId="846020598">
    <w:abstractNumId w:val="9"/>
  </w:num>
  <w:num w:numId="13" w16cid:durableId="2323565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AB2"/>
    <w:rsid w:val="00152C2B"/>
    <w:rsid w:val="00161298"/>
    <w:rsid w:val="00161FBE"/>
    <w:rsid w:val="00163DF4"/>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2101"/>
    <w:rsid w:val="001F2360"/>
    <w:rsid w:val="001F3969"/>
    <w:rsid w:val="001F607C"/>
    <w:rsid w:val="001F61DA"/>
    <w:rsid w:val="00204420"/>
    <w:rsid w:val="00205ACD"/>
    <w:rsid w:val="002075A5"/>
    <w:rsid w:val="00212797"/>
    <w:rsid w:val="00212A9D"/>
    <w:rsid w:val="0021501E"/>
    <w:rsid w:val="00215192"/>
    <w:rsid w:val="0021530C"/>
    <w:rsid w:val="00215A5F"/>
    <w:rsid w:val="002205C0"/>
    <w:rsid w:val="00221889"/>
    <w:rsid w:val="00221AB3"/>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0AAC"/>
    <w:rsid w:val="002717B7"/>
    <w:rsid w:val="00273D0E"/>
    <w:rsid w:val="00274159"/>
    <w:rsid w:val="00274300"/>
    <w:rsid w:val="00274BE8"/>
    <w:rsid w:val="002765A6"/>
    <w:rsid w:val="0028097F"/>
    <w:rsid w:val="0028588E"/>
    <w:rsid w:val="00286784"/>
    <w:rsid w:val="00287700"/>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29A5"/>
    <w:rsid w:val="0065450F"/>
    <w:rsid w:val="00655735"/>
    <w:rsid w:val="00660155"/>
    <w:rsid w:val="00661404"/>
    <w:rsid w:val="00661753"/>
    <w:rsid w:val="0066369C"/>
    <w:rsid w:val="006646AC"/>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08C"/>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986"/>
    <w:rsid w:val="00833DB5"/>
    <w:rsid w:val="00835692"/>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A8B"/>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2D40"/>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LAUTLA/art_92_ii_b.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25B1-0843-4071-8795-67D552F6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8460</Words>
  <Characters>46530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2022-06-02T02:10:00Z</dcterms:created>
  <dcterms:modified xsi:type="dcterms:W3CDTF">2022-06-02T02:14:00Z</dcterms:modified>
</cp:coreProperties>
</file>