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43873" w14:textId="77777777" w:rsidR="005419D3" w:rsidRPr="009A7BF4" w:rsidRDefault="005419D3" w:rsidP="005419D3">
      <w:pPr>
        <w:spacing w:before="240" w:after="240" w:line="360" w:lineRule="auto"/>
        <w:jc w:val="both"/>
        <w:rPr>
          <w:rFonts w:ascii="Palatino Linotype" w:hAnsi="Palatino Linotype" w:cs="Arial"/>
        </w:rPr>
      </w:pPr>
      <w:r w:rsidRPr="009A7BF4">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9A7BF4">
        <w:rPr>
          <w:rStyle w:val="normaltextrun"/>
          <w:rFonts w:ascii="Palatino Linotype" w:hAnsi="Palatino Linotype" w:cs="Arial"/>
        </w:rPr>
        <w:t>,</w:t>
      </w:r>
      <w:r w:rsidRPr="009A7BF4">
        <w:rPr>
          <w:rStyle w:val="apple-converted-space"/>
          <w:rFonts w:ascii="Palatino Linotype" w:hAnsi="Palatino Linotype" w:cs="Arial"/>
        </w:rPr>
        <w:t> </w:t>
      </w:r>
      <w:r w:rsidRPr="009A7BF4">
        <w:rPr>
          <w:rStyle w:val="normaltextrun"/>
          <w:rFonts w:ascii="Palatino Linotype" w:hAnsi="Palatino Linotype" w:cs="Arial"/>
        </w:rPr>
        <w:t xml:space="preserve">de fecha </w:t>
      </w:r>
      <w:r w:rsidR="00C75198">
        <w:rPr>
          <w:rStyle w:val="normaltextrun"/>
          <w:rFonts w:ascii="Palatino Linotype" w:hAnsi="Palatino Linotype" w:cs="Arial"/>
        </w:rPr>
        <w:t>treinta y uno</w:t>
      </w:r>
      <w:r w:rsidR="00397736">
        <w:rPr>
          <w:rStyle w:val="normaltextrun"/>
          <w:rFonts w:ascii="Palatino Linotype" w:hAnsi="Palatino Linotype" w:cs="Arial"/>
        </w:rPr>
        <w:t xml:space="preserve"> de agosto </w:t>
      </w:r>
      <w:r w:rsidR="009D4F62">
        <w:rPr>
          <w:rStyle w:val="normaltextrun"/>
          <w:rFonts w:ascii="Palatino Linotype" w:hAnsi="Palatino Linotype" w:cs="Arial"/>
        </w:rPr>
        <w:t xml:space="preserve">del dos mil </w:t>
      </w:r>
      <w:r w:rsidR="00397736">
        <w:rPr>
          <w:rStyle w:val="normaltextrun"/>
          <w:rFonts w:ascii="Palatino Linotype" w:hAnsi="Palatino Linotype" w:cs="Arial"/>
        </w:rPr>
        <w:t>veintidós</w:t>
      </w:r>
      <w:r w:rsidRPr="009A7BF4">
        <w:rPr>
          <w:rStyle w:val="normaltextrun"/>
          <w:rFonts w:ascii="Palatino Linotype" w:hAnsi="Palatino Linotype" w:cs="Arial"/>
        </w:rPr>
        <w:t>.</w:t>
      </w:r>
    </w:p>
    <w:p w14:paraId="2596691F" w14:textId="7376088A" w:rsidR="005419D3" w:rsidRDefault="005419D3" w:rsidP="005419D3">
      <w:pPr>
        <w:spacing w:before="240" w:after="240" w:line="360" w:lineRule="auto"/>
        <w:jc w:val="both"/>
        <w:rPr>
          <w:rFonts w:ascii="Palatino Linotype" w:hAnsi="Palatino Linotype" w:cs="Arial"/>
        </w:rPr>
      </w:pPr>
      <w:r w:rsidRPr="009A7BF4">
        <w:rPr>
          <w:rFonts w:ascii="Palatino Linotype" w:hAnsi="Palatino Linotype" w:cs="Arial"/>
          <w:b/>
        </w:rPr>
        <w:t xml:space="preserve">Visto </w:t>
      </w:r>
      <w:r w:rsidRPr="009A7BF4">
        <w:rPr>
          <w:rFonts w:ascii="Palatino Linotype" w:hAnsi="Palatino Linotype" w:cs="Arial"/>
        </w:rPr>
        <w:t xml:space="preserve">el expediente relativo al recurso de revisión </w:t>
      </w:r>
      <w:r>
        <w:rPr>
          <w:rFonts w:ascii="Palatino Linotype" w:hAnsi="Palatino Linotype" w:cs="Arial"/>
          <w:b/>
          <w:bCs/>
        </w:rPr>
        <w:t>0</w:t>
      </w:r>
      <w:r w:rsidR="000F63FE">
        <w:rPr>
          <w:rFonts w:ascii="Palatino Linotype" w:hAnsi="Palatino Linotype" w:cs="Arial"/>
          <w:b/>
          <w:bCs/>
        </w:rPr>
        <w:t>5194</w:t>
      </w:r>
      <w:r w:rsidRPr="009A7BF4">
        <w:rPr>
          <w:rFonts w:ascii="Palatino Linotype" w:hAnsi="Palatino Linotype" w:cs="Arial"/>
          <w:b/>
          <w:bCs/>
        </w:rPr>
        <w:t>/INFOEM/IP/RR/202</w:t>
      </w:r>
      <w:r w:rsidR="000F63FE">
        <w:rPr>
          <w:rFonts w:ascii="Palatino Linotype" w:hAnsi="Palatino Linotype" w:cs="Arial"/>
          <w:b/>
          <w:bCs/>
        </w:rPr>
        <w:t>2</w:t>
      </w:r>
      <w:r w:rsidRPr="009A7BF4">
        <w:rPr>
          <w:rFonts w:ascii="Palatino Linotype" w:hAnsi="Palatino Linotype" w:cs="Arial"/>
        </w:rPr>
        <w:t>, interpuesto por</w:t>
      </w:r>
      <w:r>
        <w:rPr>
          <w:rFonts w:ascii="Palatino Linotype" w:hAnsi="Palatino Linotype" w:cs="Arial"/>
        </w:rPr>
        <w:t xml:space="preserve"> </w:t>
      </w:r>
      <w:r w:rsidR="004D1C33">
        <w:rPr>
          <w:rFonts w:ascii="Palatino Linotype" w:hAnsi="Palatino Linotype" w:cs="Arial"/>
          <w:b/>
        </w:rPr>
        <w:t>XXXXXX</w:t>
      </w:r>
      <w:r w:rsidR="00C75198" w:rsidRPr="00C75198">
        <w:rPr>
          <w:rFonts w:ascii="Palatino Linotype" w:hAnsi="Palatino Linotype" w:cs="Arial"/>
          <w:b/>
        </w:rPr>
        <w:t xml:space="preserve"> </w:t>
      </w:r>
      <w:r w:rsidR="004D1C33">
        <w:rPr>
          <w:rFonts w:ascii="Palatino Linotype" w:hAnsi="Palatino Linotype" w:cs="Arial"/>
          <w:b/>
        </w:rPr>
        <w:t>XXXXXXXX</w:t>
      </w:r>
      <w:r w:rsidR="00C75198" w:rsidRPr="00C75198">
        <w:rPr>
          <w:rFonts w:ascii="Palatino Linotype" w:hAnsi="Palatino Linotype" w:cs="Arial"/>
          <w:b/>
        </w:rPr>
        <w:t xml:space="preserve"> </w:t>
      </w:r>
      <w:r w:rsidR="004D1C33">
        <w:rPr>
          <w:rFonts w:ascii="Palatino Linotype" w:hAnsi="Palatino Linotype" w:cs="Arial"/>
          <w:b/>
        </w:rPr>
        <w:t>XXXXX</w:t>
      </w:r>
      <w:bookmarkStart w:id="0" w:name="_GoBack"/>
      <w:bookmarkEnd w:id="0"/>
      <w:r w:rsidR="000F63FE">
        <w:rPr>
          <w:rFonts w:ascii="Palatino Linotype" w:hAnsi="Palatino Linotype" w:cs="Arial"/>
          <w:b/>
        </w:rPr>
        <w:t xml:space="preserve">, </w:t>
      </w:r>
      <w:r w:rsidRPr="009A7BF4">
        <w:rPr>
          <w:rFonts w:ascii="Palatino Linotype" w:hAnsi="Palatino Linotype" w:cs="Arial"/>
        </w:rPr>
        <w:t xml:space="preserve">en lo sucesivo el </w:t>
      </w:r>
      <w:r w:rsidRPr="009A7BF4">
        <w:rPr>
          <w:rFonts w:ascii="Palatino Linotype" w:hAnsi="Palatino Linotype" w:cs="Arial"/>
          <w:b/>
        </w:rPr>
        <w:t>recurrente</w:t>
      </w:r>
      <w:r w:rsidRPr="009A7BF4">
        <w:rPr>
          <w:rFonts w:ascii="Palatino Linotype" w:hAnsi="Palatino Linotype" w:cs="Arial"/>
        </w:rPr>
        <w:t xml:space="preserve"> en contra de la respuesta emitida a la solicitud de información con número de folio </w:t>
      </w:r>
      <w:r>
        <w:rPr>
          <w:rFonts w:ascii="Palatino Linotype" w:hAnsi="Palatino Linotype" w:cs="Arial"/>
          <w:b/>
          <w:bCs/>
        </w:rPr>
        <w:t>00</w:t>
      </w:r>
      <w:r w:rsidR="00274F9E">
        <w:rPr>
          <w:rFonts w:ascii="Palatino Linotype" w:hAnsi="Palatino Linotype" w:cs="Arial"/>
          <w:b/>
          <w:bCs/>
        </w:rPr>
        <w:t>1</w:t>
      </w:r>
      <w:r>
        <w:rPr>
          <w:rFonts w:ascii="Palatino Linotype" w:hAnsi="Palatino Linotype" w:cs="Arial"/>
          <w:b/>
          <w:bCs/>
        </w:rPr>
        <w:t>8</w:t>
      </w:r>
      <w:r w:rsidR="00274F9E">
        <w:rPr>
          <w:rFonts w:ascii="Palatino Linotype" w:hAnsi="Palatino Linotype" w:cs="Arial"/>
          <w:b/>
          <w:bCs/>
        </w:rPr>
        <w:t>3</w:t>
      </w:r>
      <w:r>
        <w:rPr>
          <w:rFonts w:ascii="Palatino Linotype" w:hAnsi="Palatino Linotype" w:cs="Arial"/>
          <w:b/>
          <w:bCs/>
        </w:rPr>
        <w:t>/</w:t>
      </w:r>
      <w:r w:rsidR="00274F9E">
        <w:rPr>
          <w:rFonts w:ascii="Palatino Linotype" w:hAnsi="Palatino Linotype" w:cs="Arial"/>
          <w:b/>
          <w:bCs/>
        </w:rPr>
        <w:t>ECATEPEC</w:t>
      </w:r>
      <w:r w:rsidRPr="009A7BF4">
        <w:rPr>
          <w:rFonts w:ascii="Palatino Linotype" w:hAnsi="Palatino Linotype" w:cs="Arial"/>
          <w:b/>
          <w:bCs/>
        </w:rPr>
        <w:t>/IP/202</w:t>
      </w:r>
      <w:r w:rsidR="00274F9E">
        <w:rPr>
          <w:rFonts w:ascii="Palatino Linotype" w:hAnsi="Palatino Linotype" w:cs="Arial"/>
          <w:b/>
          <w:bCs/>
        </w:rPr>
        <w:t>2</w:t>
      </w:r>
      <w:r w:rsidRPr="009A7BF4">
        <w:rPr>
          <w:rFonts w:ascii="Palatino Linotype" w:hAnsi="Palatino Linotype" w:cs="Arial"/>
        </w:rPr>
        <w:t>, por parte del</w:t>
      </w:r>
      <w:r>
        <w:rPr>
          <w:rFonts w:ascii="Palatino Linotype" w:hAnsi="Palatino Linotype" w:cs="Arial"/>
        </w:rPr>
        <w:t xml:space="preserve"> </w:t>
      </w:r>
      <w:r w:rsidR="00274F9E">
        <w:rPr>
          <w:rFonts w:ascii="Palatino Linotype" w:hAnsi="Palatino Linotype" w:cs="Arial"/>
          <w:b/>
          <w:bCs/>
        </w:rPr>
        <w:t>Ayuntamiento de Ecatepec de Morelos</w:t>
      </w:r>
      <w:r w:rsidRPr="009A7BF4">
        <w:rPr>
          <w:rFonts w:ascii="Palatino Linotype" w:hAnsi="Palatino Linotype" w:cs="Arial"/>
        </w:rPr>
        <w:t xml:space="preserve">, en lo sucesivo el </w:t>
      </w:r>
      <w:r w:rsidRPr="009A7BF4">
        <w:rPr>
          <w:rFonts w:ascii="Palatino Linotype" w:hAnsi="Palatino Linotype" w:cs="Arial"/>
          <w:b/>
        </w:rPr>
        <w:t xml:space="preserve">Sujeto Obligado; </w:t>
      </w:r>
      <w:r w:rsidRPr="009A7BF4">
        <w:rPr>
          <w:rFonts w:ascii="Palatino Linotype" w:hAnsi="Palatino Linotype" w:cs="Arial"/>
        </w:rPr>
        <w:t>se procede a dictar la presente resolución, con base en lo siguiente.</w:t>
      </w:r>
    </w:p>
    <w:p w14:paraId="164B9FD5" w14:textId="77777777" w:rsidR="005419D3" w:rsidRPr="009A7BF4" w:rsidRDefault="005419D3" w:rsidP="005419D3">
      <w:pPr>
        <w:pStyle w:val="Prrafodelista"/>
        <w:numPr>
          <w:ilvl w:val="0"/>
          <w:numId w:val="1"/>
        </w:numPr>
        <w:spacing w:before="240" w:after="240" w:line="360" w:lineRule="auto"/>
        <w:ind w:left="1077"/>
        <w:jc w:val="center"/>
        <w:rPr>
          <w:rFonts w:ascii="Palatino Linotype" w:hAnsi="Palatino Linotype" w:cs="Arial"/>
          <w:b/>
        </w:rPr>
      </w:pPr>
      <w:r w:rsidRPr="009A7BF4">
        <w:rPr>
          <w:rFonts w:ascii="Palatino Linotype" w:hAnsi="Palatino Linotype" w:cs="Arial"/>
          <w:b/>
        </w:rPr>
        <w:t>A N T E C E D E N T E S:</w:t>
      </w:r>
    </w:p>
    <w:p w14:paraId="6E3F727C" w14:textId="77777777" w:rsidR="005419D3" w:rsidRPr="009A7BF4" w:rsidRDefault="005419D3" w:rsidP="005419D3">
      <w:pPr>
        <w:spacing w:before="240" w:after="240" w:line="360" w:lineRule="auto"/>
        <w:jc w:val="both"/>
        <w:rPr>
          <w:rFonts w:ascii="Palatino Linotype" w:hAnsi="Palatino Linotype" w:cs="Arial"/>
          <w:b/>
        </w:rPr>
      </w:pPr>
      <w:r w:rsidRPr="009A7BF4">
        <w:rPr>
          <w:rFonts w:ascii="Palatino Linotype" w:hAnsi="Palatino Linotype" w:cs="Arial"/>
          <w:b/>
        </w:rPr>
        <w:t xml:space="preserve">1. Solicitud de acceso a la información. </w:t>
      </w:r>
      <w:r w:rsidRPr="009A7BF4">
        <w:rPr>
          <w:rFonts w:ascii="Palatino Linotype" w:hAnsi="Palatino Linotype" w:cs="Arial"/>
        </w:rPr>
        <w:t xml:space="preserve">Con fecha </w:t>
      </w:r>
      <w:r>
        <w:rPr>
          <w:rFonts w:ascii="Palatino Linotype" w:hAnsi="Palatino Linotype" w:cs="Arial"/>
        </w:rPr>
        <w:t xml:space="preserve">siete de </w:t>
      </w:r>
      <w:r w:rsidR="00FC5523">
        <w:rPr>
          <w:rFonts w:ascii="Palatino Linotype" w:hAnsi="Palatino Linotype" w:cs="Arial"/>
        </w:rPr>
        <w:t>marzo</w:t>
      </w:r>
      <w:r>
        <w:rPr>
          <w:rFonts w:ascii="Palatino Linotype" w:hAnsi="Palatino Linotype" w:cs="Arial"/>
        </w:rPr>
        <w:t xml:space="preserve"> </w:t>
      </w:r>
      <w:r w:rsidRPr="009A7BF4">
        <w:rPr>
          <w:rFonts w:ascii="Palatino Linotype" w:hAnsi="Palatino Linotype" w:cs="Arial"/>
        </w:rPr>
        <w:t xml:space="preserve">de dos mil </w:t>
      </w:r>
      <w:r w:rsidR="00FC5523" w:rsidRPr="009A7BF4">
        <w:rPr>
          <w:rFonts w:ascii="Palatino Linotype" w:hAnsi="Palatino Linotype" w:cs="Arial"/>
        </w:rPr>
        <w:t>veint</w:t>
      </w:r>
      <w:r w:rsidR="00FC5523">
        <w:rPr>
          <w:rFonts w:ascii="Palatino Linotype" w:hAnsi="Palatino Linotype" w:cs="Arial"/>
        </w:rPr>
        <w:t>idós</w:t>
      </w:r>
      <w:r w:rsidRPr="009A7BF4">
        <w:rPr>
          <w:rFonts w:ascii="Palatino Linotype" w:hAnsi="Palatino Linotype" w:cs="Arial"/>
        </w:rPr>
        <w:t xml:space="preserve">, la parte </w:t>
      </w:r>
      <w:r w:rsidRPr="009A7BF4">
        <w:rPr>
          <w:rFonts w:ascii="Palatino Linotype" w:hAnsi="Palatino Linotype" w:cs="Arial"/>
          <w:b/>
        </w:rPr>
        <w:t>recurrente</w:t>
      </w:r>
      <w:r w:rsidRPr="009A7BF4">
        <w:rPr>
          <w:rFonts w:ascii="Palatino Linotype" w:hAnsi="Palatino Linotype" w:cs="Arial"/>
        </w:rPr>
        <w:t xml:space="preserve"> formuló solicitud de acceso a información pública al </w:t>
      </w:r>
      <w:r w:rsidRPr="009A7BF4">
        <w:rPr>
          <w:rFonts w:ascii="Palatino Linotype" w:hAnsi="Palatino Linotype" w:cs="Arial"/>
          <w:b/>
        </w:rPr>
        <w:t>Sujeto Obligado</w:t>
      </w:r>
      <w:r w:rsidRPr="009A7BF4">
        <w:rPr>
          <w:rFonts w:ascii="Palatino Linotype" w:hAnsi="Palatino Linotype" w:cs="Arial"/>
        </w:rPr>
        <w:t xml:space="preserve"> a través del Sistema de Acceso a la Información Mexiquense, en adelante </w:t>
      </w:r>
      <w:r w:rsidRPr="009A7BF4">
        <w:rPr>
          <w:rFonts w:ascii="Palatino Linotype" w:hAnsi="Palatino Linotype" w:cs="Arial"/>
          <w:b/>
        </w:rPr>
        <w:t>SAIMEX,</w:t>
      </w:r>
      <w:r w:rsidRPr="009A7BF4">
        <w:rPr>
          <w:rFonts w:ascii="Palatino Linotype" w:hAnsi="Palatino Linotype" w:cs="Arial"/>
        </w:rPr>
        <w:t xml:space="preserve"> requiriéndole lo siguiente:</w:t>
      </w:r>
    </w:p>
    <w:p w14:paraId="13180386" w14:textId="77777777" w:rsidR="005419D3" w:rsidRPr="009A7BF4" w:rsidRDefault="005419D3" w:rsidP="00BE77BC">
      <w:pPr>
        <w:autoSpaceDE w:val="0"/>
        <w:autoSpaceDN w:val="0"/>
        <w:adjustRightInd w:val="0"/>
        <w:ind w:left="992" w:right="1043"/>
        <w:jc w:val="both"/>
        <w:rPr>
          <w:rFonts w:ascii="Palatino Linotype" w:hAnsi="Palatino Linotype"/>
          <w:i/>
          <w:sz w:val="22"/>
          <w:szCs w:val="22"/>
        </w:rPr>
      </w:pPr>
      <w:r>
        <w:rPr>
          <w:rFonts w:ascii="Palatino Linotype" w:hAnsi="Palatino Linotype" w:cs="Arial"/>
          <w:i/>
          <w:sz w:val="22"/>
          <w:szCs w:val="22"/>
        </w:rPr>
        <w:t>“</w:t>
      </w:r>
      <w:r w:rsidR="00FC5523" w:rsidRPr="00FC5523">
        <w:rPr>
          <w:rFonts w:ascii="Palatino Linotype" w:hAnsi="Palatino Linotype" w:cs="Arial"/>
          <w:i/>
          <w:sz w:val="22"/>
          <w:szCs w:val="22"/>
        </w:rPr>
        <w:t xml:space="preserve">Se me entregue toda la información relacionada con el </w:t>
      </w:r>
      <w:r w:rsidR="00FC5523" w:rsidRPr="00521B6E">
        <w:rPr>
          <w:rFonts w:ascii="Palatino Linotype" w:hAnsi="Palatino Linotype" w:cs="Arial"/>
          <w:b/>
          <w:i/>
          <w:sz w:val="22"/>
          <w:szCs w:val="22"/>
        </w:rPr>
        <w:t>diferendo con el Municipio de Acolman por el asunto de límites territoriales.</w:t>
      </w:r>
      <w:r w:rsidR="00FC5523" w:rsidRPr="00FC5523">
        <w:rPr>
          <w:rFonts w:ascii="Palatino Linotype" w:hAnsi="Palatino Linotype" w:cs="Arial"/>
          <w:i/>
          <w:sz w:val="22"/>
          <w:szCs w:val="22"/>
        </w:rPr>
        <w:t xml:space="preserve"> Requiero que el periodo de la información </w:t>
      </w:r>
      <w:r w:rsidR="00FC5523">
        <w:rPr>
          <w:rFonts w:ascii="Palatino Linotype" w:hAnsi="Palatino Linotype" w:cs="Arial"/>
          <w:i/>
          <w:sz w:val="22"/>
          <w:szCs w:val="22"/>
        </w:rPr>
        <w:t>abarque del año 2000 a la fecha</w:t>
      </w:r>
      <w:r w:rsidRPr="00496EED">
        <w:rPr>
          <w:rFonts w:ascii="Palatino Linotype" w:hAnsi="Palatino Linotype" w:cs="Arial"/>
          <w:i/>
          <w:sz w:val="22"/>
          <w:szCs w:val="22"/>
        </w:rPr>
        <w:t>.</w:t>
      </w:r>
      <w:r w:rsidRPr="009A7BF4">
        <w:rPr>
          <w:rFonts w:ascii="Palatino Linotype" w:hAnsi="Palatino Linotype" w:cs="Arial"/>
          <w:i/>
          <w:sz w:val="22"/>
          <w:szCs w:val="22"/>
        </w:rPr>
        <w:t>” (sic)</w:t>
      </w:r>
    </w:p>
    <w:p w14:paraId="1B4BE48E" w14:textId="77777777" w:rsidR="005419D3" w:rsidRDefault="005419D3" w:rsidP="005419D3">
      <w:pPr>
        <w:spacing w:before="240" w:after="240" w:line="360" w:lineRule="auto"/>
        <w:jc w:val="both"/>
        <w:rPr>
          <w:rFonts w:ascii="Palatino Linotype" w:hAnsi="Palatino Linotype" w:cs="Arial"/>
        </w:rPr>
      </w:pPr>
      <w:r w:rsidRPr="009A7BF4">
        <w:rPr>
          <w:rFonts w:ascii="Palatino Linotype" w:hAnsi="Palatino Linotype" w:cs="Arial"/>
          <w:b/>
        </w:rPr>
        <w:t xml:space="preserve">Modalidad elegida para la entrega de la información: </w:t>
      </w:r>
      <w:r w:rsidRPr="009A7BF4">
        <w:rPr>
          <w:rFonts w:ascii="Palatino Linotype" w:hAnsi="Palatino Linotype" w:cs="Arial"/>
        </w:rPr>
        <w:t xml:space="preserve">a través </w:t>
      </w:r>
      <w:r>
        <w:rPr>
          <w:rFonts w:ascii="Palatino Linotype" w:hAnsi="Palatino Linotype" w:cs="Arial"/>
        </w:rPr>
        <w:t xml:space="preserve">de </w:t>
      </w:r>
      <w:r w:rsidR="00FC5523">
        <w:rPr>
          <w:rFonts w:ascii="Palatino Linotype" w:hAnsi="Palatino Linotype" w:cs="Arial"/>
        </w:rPr>
        <w:t>SAIMEX</w:t>
      </w:r>
    </w:p>
    <w:p w14:paraId="498BC9E4" w14:textId="77777777" w:rsidR="00134672" w:rsidRDefault="00134672" w:rsidP="005419D3">
      <w:pPr>
        <w:spacing w:before="240" w:after="240" w:line="360" w:lineRule="auto"/>
        <w:jc w:val="both"/>
        <w:rPr>
          <w:rFonts w:ascii="Palatino Linotype" w:hAnsi="Palatino Linotype" w:cs="Arial"/>
        </w:rPr>
      </w:pPr>
      <w:r w:rsidRPr="00134672">
        <w:rPr>
          <w:rFonts w:ascii="Palatino Linotype" w:hAnsi="Palatino Linotype" w:cs="Arial"/>
          <w:b/>
        </w:rPr>
        <w:lastRenderedPageBreak/>
        <w:t>2. Requerimientos.</w:t>
      </w:r>
      <w:r>
        <w:rPr>
          <w:rFonts w:ascii="Palatino Linotype" w:hAnsi="Palatino Linotype" w:cs="Arial"/>
        </w:rPr>
        <w:t xml:space="preserve"> Con fecha diez de marzo</w:t>
      </w:r>
      <w:r w:rsidRPr="00134672">
        <w:rPr>
          <w:rFonts w:ascii="Palatino Linotype" w:hAnsi="Palatino Linotype" w:cs="Arial"/>
        </w:rPr>
        <w:t xml:space="preserve"> del dos mil veintidós, el Sujeto Obligado requirió la respuesta al servidor público habilitado, dándole contestación al requerimiento.</w:t>
      </w:r>
    </w:p>
    <w:p w14:paraId="12CD1369" w14:textId="77777777" w:rsidR="00CC4835" w:rsidRDefault="00CC4835" w:rsidP="005419D3">
      <w:pPr>
        <w:spacing w:before="240" w:after="240" w:line="360" w:lineRule="auto"/>
        <w:jc w:val="both"/>
        <w:rPr>
          <w:rFonts w:ascii="Palatino Linotype" w:hAnsi="Palatino Linotype" w:cs="Arial"/>
        </w:rPr>
      </w:pPr>
      <w:r w:rsidRPr="00CC4835">
        <w:rPr>
          <w:rFonts w:ascii="Palatino Linotype" w:hAnsi="Palatino Linotype" w:cs="Arial"/>
          <w:noProof/>
          <w:lang w:eastAsia="es-MX"/>
        </w:rPr>
        <w:drawing>
          <wp:inline distT="0" distB="0" distL="0" distR="0" wp14:anchorId="23E2B4CA" wp14:editId="4B3E7463">
            <wp:extent cx="5529937" cy="1476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2911" cy="1477169"/>
                    </a:xfrm>
                    <a:prstGeom prst="rect">
                      <a:avLst/>
                    </a:prstGeom>
                  </pic:spPr>
                </pic:pic>
              </a:graphicData>
            </a:graphic>
          </wp:inline>
        </w:drawing>
      </w:r>
    </w:p>
    <w:p w14:paraId="606E65FB" w14:textId="77777777" w:rsidR="005419D3" w:rsidRPr="00EE5241" w:rsidRDefault="00134672" w:rsidP="005419D3">
      <w:pPr>
        <w:spacing w:before="240" w:after="240" w:line="360" w:lineRule="auto"/>
        <w:jc w:val="both"/>
        <w:rPr>
          <w:rFonts w:ascii="Palatino Linotype" w:hAnsi="Palatino Linotype" w:cs="Arial"/>
          <w:bCs/>
        </w:rPr>
      </w:pPr>
      <w:r>
        <w:rPr>
          <w:rFonts w:ascii="Palatino Linotype" w:hAnsi="Palatino Linotype" w:cs="Arial"/>
          <w:b/>
        </w:rPr>
        <w:t>3</w:t>
      </w:r>
      <w:r w:rsidR="005419D3" w:rsidRPr="009A7BF4">
        <w:rPr>
          <w:rFonts w:ascii="Palatino Linotype" w:hAnsi="Palatino Linotype" w:cs="Arial"/>
          <w:b/>
        </w:rPr>
        <w:t xml:space="preserve">. Respuesta. </w:t>
      </w:r>
      <w:r w:rsidR="005419D3" w:rsidRPr="009A7BF4">
        <w:rPr>
          <w:rFonts w:ascii="Palatino Linotype" w:hAnsi="Palatino Linotype" w:cs="Arial"/>
        </w:rPr>
        <w:t xml:space="preserve">De las constancias que obran en </w:t>
      </w:r>
      <w:r w:rsidR="005419D3" w:rsidRPr="009A7BF4">
        <w:rPr>
          <w:rFonts w:ascii="Palatino Linotype" w:hAnsi="Palatino Linotype" w:cs="Arial"/>
          <w:b/>
        </w:rPr>
        <w:t>SAIMEX</w:t>
      </w:r>
      <w:r w:rsidR="005419D3" w:rsidRPr="009A7BF4">
        <w:rPr>
          <w:rFonts w:ascii="Palatino Linotype" w:hAnsi="Palatino Linotype" w:cs="Arial"/>
        </w:rPr>
        <w:t xml:space="preserve">, se observa que </w:t>
      </w:r>
      <w:r w:rsidR="005419D3" w:rsidRPr="009A7BF4">
        <w:rPr>
          <w:rFonts w:ascii="Palatino Linotype" w:hAnsi="Palatino Linotype" w:cs="Arial"/>
          <w:b/>
        </w:rPr>
        <w:t xml:space="preserve">El Sujeto Obligado </w:t>
      </w:r>
      <w:r w:rsidR="005419D3" w:rsidRPr="009A7BF4">
        <w:rPr>
          <w:rFonts w:ascii="Palatino Linotype" w:hAnsi="Palatino Linotype" w:cs="Arial"/>
        </w:rPr>
        <w:t xml:space="preserve">en fecha </w:t>
      </w:r>
      <w:r w:rsidR="005419D3">
        <w:rPr>
          <w:rFonts w:ascii="Palatino Linotype" w:hAnsi="Palatino Linotype" w:cs="Arial"/>
        </w:rPr>
        <w:t xml:space="preserve">veintinueve de </w:t>
      </w:r>
      <w:r w:rsidR="005E2C80">
        <w:rPr>
          <w:rFonts w:ascii="Palatino Linotype" w:hAnsi="Palatino Linotype" w:cs="Arial"/>
        </w:rPr>
        <w:t>marzo de dos mil veintidós</w:t>
      </w:r>
      <w:r w:rsidR="005419D3">
        <w:rPr>
          <w:rFonts w:ascii="Palatino Linotype" w:hAnsi="Palatino Linotype" w:cs="Arial"/>
        </w:rPr>
        <w:t xml:space="preserve"> </w:t>
      </w:r>
      <w:r w:rsidR="005419D3" w:rsidRPr="009A7BF4">
        <w:rPr>
          <w:rFonts w:ascii="Palatino Linotype" w:hAnsi="Palatino Linotype" w:cs="Arial"/>
        </w:rPr>
        <w:t>emitió respuesta, en los siguientes términos:</w:t>
      </w:r>
    </w:p>
    <w:p w14:paraId="064B28ED" w14:textId="77777777" w:rsidR="005E2C80" w:rsidRPr="005E2C80" w:rsidRDefault="005419D3" w:rsidP="005E2C80">
      <w:pPr>
        <w:ind w:left="851" w:right="851"/>
        <w:jc w:val="both"/>
        <w:rPr>
          <w:rFonts w:ascii="Palatino Linotype" w:hAnsi="Palatino Linotype"/>
          <w:i/>
          <w:sz w:val="22"/>
          <w:szCs w:val="22"/>
        </w:rPr>
      </w:pPr>
      <w:r w:rsidRPr="009A7BF4">
        <w:rPr>
          <w:rFonts w:ascii="Palatino Linotype" w:hAnsi="Palatino Linotype"/>
          <w:i/>
          <w:sz w:val="22"/>
          <w:szCs w:val="22"/>
        </w:rPr>
        <w:t>“</w:t>
      </w:r>
      <w:r w:rsidR="005E2C80" w:rsidRPr="005E2C80">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6DBE4E" w14:textId="77777777" w:rsidR="0072091E" w:rsidRDefault="0072091E" w:rsidP="005E2C80">
      <w:pPr>
        <w:ind w:left="851" w:right="851"/>
        <w:jc w:val="both"/>
        <w:rPr>
          <w:rFonts w:ascii="Palatino Linotype" w:hAnsi="Palatino Linotype"/>
          <w:i/>
          <w:sz w:val="22"/>
          <w:szCs w:val="22"/>
        </w:rPr>
      </w:pPr>
    </w:p>
    <w:p w14:paraId="692A5E45" w14:textId="77777777" w:rsidR="005E2C80" w:rsidRPr="005E2C80" w:rsidRDefault="005E2C80" w:rsidP="005E2C80">
      <w:pPr>
        <w:ind w:left="851" w:right="851"/>
        <w:jc w:val="both"/>
        <w:rPr>
          <w:rFonts w:ascii="Palatino Linotype" w:hAnsi="Palatino Linotype"/>
          <w:i/>
          <w:sz w:val="22"/>
          <w:szCs w:val="22"/>
        </w:rPr>
      </w:pPr>
      <w:r w:rsidRPr="005E2C80">
        <w:rPr>
          <w:rFonts w:ascii="Palatino Linotype" w:hAnsi="Palatino Linotype"/>
          <w:i/>
          <w:sz w:val="22"/>
          <w:szCs w:val="22"/>
        </w:rPr>
        <w:t>El H. Ayuntamiento Constitucional de Ecatepec de Morelos hace de su conocimiento la respuesta emitida por Dirección de Desarrollo Urbano y Obras Públicas, la cual se anexa al presente en formato PDF. Sin otro particular por el momento, quedo de Usted.</w:t>
      </w:r>
    </w:p>
    <w:p w14:paraId="196F7627" w14:textId="77777777" w:rsidR="0072091E" w:rsidRDefault="0072091E" w:rsidP="005E2C80">
      <w:pPr>
        <w:ind w:left="851" w:right="851"/>
        <w:jc w:val="both"/>
        <w:rPr>
          <w:rFonts w:ascii="Palatino Linotype" w:hAnsi="Palatino Linotype"/>
          <w:i/>
          <w:sz w:val="22"/>
          <w:szCs w:val="22"/>
        </w:rPr>
      </w:pPr>
    </w:p>
    <w:p w14:paraId="64147E06" w14:textId="77777777" w:rsidR="005E2C80" w:rsidRPr="005E2C80" w:rsidRDefault="005E2C80" w:rsidP="005E2C80">
      <w:pPr>
        <w:ind w:left="851" w:right="851"/>
        <w:jc w:val="both"/>
        <w:rPr>
          <w:rFonts w:ascii="Palatino Linotype" w:hAnsi="Palatino Linotype"/>
          <w:i/>
          <w:sz w:val="22"/>
          <w:szCs w:val="22"/>
        </w:rPr>
      </w:pPr>
      <w:r w:rsidRPr="005E2C80">
        <w:rPr>
          <w:rFonts w:ascii="Palatino Linotype" w:hAnsi="Palatino Linotype"/>
          <w:i/>
          <w:sz w:val="22"/>
          <w:szCs w:val="22"/>
        </w:rPr>
        <w:t>ATENTAMENTE</w:t>
      </w:r>
    </w:p>
    <w:p w14:paraId="01338D71" w14:textId="77777777" w:rsidR="005419D3" w:rsidRPr="009D4F62" w:rsidRDefault="005E2C80" w:rsidP="005E2C80">
      <w:pPr>
        <w:ind w:left="851" w:right="851"/>
        <w:jc w:val="both"/>
        <w:rPr>
          <w:rFonts w:ascii="Palatino Linotype" w:hAnsi="Palatino Linotype"/>
          <w:i/>
          <w:sz w:val="22"/>
          <w:szCs w:val="22"/>
        </w:rPr>
      </w:pPr>
      <w:r w:rsidRPr="005E2C80">
        <w:rPr>
          <w:rFonts w:ascii="Palatino Linotype" w:hAnsi="Palatino Linotype"/>
          <w:i/>
          <w:sz w:val="22"/>
          <w:szCs w:val="22"/>
        </w:rPr>
        <w:t>Lic. Brianda Eunice Iberri Estrada</w:t>
      </w:r>
      <w:r>
        <w:rPr>
          <w:rFonts w:ascii="Palatino Linotype" w:hAnsi="Palatino Linotype"/>
          <w:i/>
          <w:sz w:val="22"/>
          <w:szCs w:val="22"/>
        </w:rPr>
        <w:t>.</w:t>
      </w:r>
      <w:r w:rsidR="005419D3" w:rsidRPr="009D4F62">
        <w:rPr>
          <w:rFonts w:ascii="Palatino Linotype" w:hAnsi="Palatino Linotype"/>
          <w:i/>
          <w:sz w:val="22"/>
          <w:szCs w:val="22"/>
        </w:rPr>
        <w:t>” (Sic)</w:t>
      </w:r>
    </w:p>
    <w:p w14:paraId="31C5D2B0" w14:textId="77777777" w:rsidR="005419D3" w:rsidRPr="009D4F62" w:rsidRDefault="005419D3" w:rsidP="005419D3">
      <w:pPr>
        <w:ind w:left="851" w:right="851"/>
        <w:jc w:val="both"/>
        <w:rPr>
          <w:rFonts w:ascii="Palatino Linotype" w:hAnsi="Palatino Linotype"/>
          <w:i/>
          <w:sz w:val="22"/>
          <w:szCs w:val="22"/>
        </w:rPr>
      </w:pPr>
    </w:p>
    <w:p w14:paraId="0D306AFB" w14:textId="77777777" w:rsidR="005419D3" w:rsidRPr="009A7BF4" w:rsidRDefault="005419D3" w:rsidP="005419D3">
      <w:pPr>
        <w:spacing w:before="240" w:after="240" w:line="360" w:lineRule="auto"/>
        <w:jc w:val="both"/>
        <w:rPr>
          <w:rFonts w:ascii="Palatino Linotype" w:hAnsi="Palatino Linotype"/>
        </w:rPr>
      </w:pPr>
      <w:r w:rsidRPr="009A7BF4">
        <w:rPr>
          <w:rFonts w:ascii="Palatino Linotype" w:hAnsi="Palatino Linotype"/>
        </w:rPr>
        <w:t xml:space="preserve">En este sentido es de mencionar que el Sujeto Obligado adjuntó </w:t>
      </w:r>
      <w:r w:rsidR="00846A06">
        <w:rPr>
          <w:rFonts w:ascii="Palatino Linotype" w:hAnsi="Palatino Linotype"/>
        </w:rPr>
        <w:t>e</w:t>
      </w:r>
      <w:r w:rsidRPr="009A7BF4">
        <w:rPr>
          <w:rFonts w:ascii="Palatino Linotype" w:hAnsi="Palatino Linotype"/>
        </w:rPr>
        <w:t>l</w:t>
      </w:r>
      <w:r w:rsidR="00846A06">
        <w:rPr>
          <w:rFonts w:ascii="Palatino Linotype" w:hAnsi="Palatino Linotype"/>
        </w:rPr>
        <w:t xml:space="preserve"> archivo</w:t>
      </w:r>
      <w:r w:rsidRPr="009A7BF4">
        <w:rPr>
          <w:rFonts w:ascii="Palatino Linotype" w:hAnsi="Palatino Linotype"/>
        </w:rPr>
        <w:t xml:space="preserve"> electrónico cuyo contenido se detalla a continuación:</w:t>
      </w:r>
    </w:p>
    <w:p w14:paraId="1584D147" w14:textId="77777777" w:rsidR="005419D3" w:rsidRDefault="001A7BE3" w:rsidP="00846A06">
      <w:pPr>
        <w:pStyle w:val="Prrafodelista"/>
        <w:numPr>
          <w:ilvl w:val="0"/>
          <w:numId w:val="2"/>
        </w:numPr>
        <w:spacing w:before="240" w:after="240" w:line="360" w:lineRule="auto"/>
        <w:contextualSpacing w:val="0"/>
        <w:jc w:val="both"/>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3603CCFC" wp14:editId="4ADBC347">
                <wp:simplePos x="0" y="0"/>
                <wp:positionH relativeFrom="column">
                  <wp:posOffset>-398973</wp:posOffset>
                </wp:positionH>
                <wp:positionV relativeFrom="paragraph">
                  <wp:posOffset>3113322</wp:posOffset>
                </wp:positionV>
                <wp:extent cx="6677025" cy="37719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6677025" cy="3771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4762B2"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4pt,245.15pt" to="494.35pt,5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" strokecolor="#5b9bd5 [3204]" strokeweight=".5pt">
                <v:stroke joinstyle="miter"/>
              </v:line>
            </w:pict>
          </mc:Fallback>
        </mc:AlternateContent>
      </w:r>
      <w:r w:rsidR="005419D3" w:rsidRPr="009A7BF4">
        <w:rPr>
          <w:rFonts w:ascii="Palatino Linotype" w:hAnsi="Palatino Linotype"/>
        </w:rPr>
        <w:t>Archivo “</w:t>
      </w:r>
      <w:r w:rsidR="00846A06" w:rsidRPr="00C85FBA">
        <w:rPr>
          <w:rFonts w:ascii="Palatino Linotype" w:hAnsi="Palatino Linotype"/>
          <w:b/>
          <w:u w:val="single"/>
        </w:rPr>
        <w:t>183.pdf</w:t>
      </w:r>
      <w:r w:rsidR="005419D3">
        <w:rPr>
          <w:rFonts w:ascii="Palatino Linotype" w:hAnsi="Palatino Linotype"/>
        </w:rPr>
        <w:t xml:space="preserve">”: con </w:t>
      </w:r>
      <w:r w:rsidR="0086425E">
        <w:rPr>
          <w:rFonts w:ascii="Palatino Linotype" w:hAnsi="Palatino Linotype"/>
        </w:rPr>
        <w:t xml:space="preserve">oficio de fecha </w:t>
      </w:r>
      <w:r w:rsidR="00AC3161">
        <w:rPr>
          <w:rFonts w:ascii="Palatino Linotype" w:hAnsi="Palatino Linotype"/>
        </w:rPr>
        <w:t xml:space="preserve">veintinueve de marzo de dos mil veintidós, </w:t>
      </w:r>
      <w:r w:rsidR="005419D3">
        <w:rPr>
          <w:rFonts w:ascii="Palatino Linotype" w:hAnsi="Palatino Linotype"/>
        </w:rPr>
        <w:t>a través del cual la Titular de la Unidad de Transparencia y Acceso a la Información Pública hace saber al solicitante de la</w:t>
      </w:r>
      <w:r w:rsidR="00AC3161">
        <w:rPr>
          <w:rFonts w:ascii="Palatino Linotype" w:hAnsi="Palatino Linotype"/>
        </w:rPr>
        <w:t xml:space="preserve"> respuesta emitida por la Dirección de Desarrollo Urbano y Obras Públicas a la información solicitada</w:t>
      </w:r>
      <w:r w:rsidR="005419D3">
        <w:rPr>
          <w:rFonts w:ascii="Palatino Linotype" w:hAnsi="Palatino Linotype"/>
        </w:rPr>
        <w:t>, con base a la informa</w:t>
      </w:r>
      <w:r w:rsidR="00F1703C">
        <w:rPr>
          <w:rFonts w:ascii="Palatino Linotype" w:hAnsi="Palatino Linotype"/>
        </w:rPr>
        <w:t>ción proporcionada por parte de</w:t>
      </w:r>
      <w:r w:rsidR="005419D3">
        <w:rPr>
          <w:rFonts w:ascii="Palatino Linotype" w:hAnsi="Palatino Linotype"/>
        </w:rPr>
        <w:t xml:space="preserve">l </w:t>
      </w:r>
      <w:r w:rsidR="00F1703C">
        <w:rPr>
          <w:rFonts w:ascii="Palatino Linotype" w:hAnsi="Palatino Linotype"/>
        </w:rPr>
        <w:t>Director de Desarrollo Urbano y Obras Públicas y la Encargada de la Coordinación de Atención Ciudadana de la Dirección de Desarrollo Urbano y Obras Públicas</w:t>
      </w:r>
      <w:r w:rsidR="00115B76">
        <w:rPr>
          <w:rFonts w:ascii="Palatino Linotype" w:hAnsi="Palatino Linotype"/>
        </w:rPr>
        <w:t>, de fecha diez y dieciséis de marzo de dos mil veintidós, mediante los cuales informan que después de una búsqueda exhaustiva en los archivos no se encontró referente a la solicitada</w:t>
      </w:r>
      <w:r w:rsidR="003D71F1">
        <w:rPr>
          <w:rFonts w:ascii="Palatino Linotype" w:hAnsi="Palatino Linotype"/>
        </w:rPr>
        <w:t>, como se muestra a continuación:</w:t>
      </w:r>
    </w:p>
    <w:p w14:paraId="235D4176" w14:textId="77777777" w:rsidR="003D71F1" w:rsidRDefault="003D71F1" w:rsidP="003D71F1">
      <w:pPr>
        <w:spacing w:before="240" w:after="240"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6BDF4B90" wp14:editId="7062CC2B">
            <wp:extent cx="5199175" cy="68294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1.png"/>
                    <pic:cNvPicPr/>
                  </pic:nvPicPr>
                  <pic:blipFill>
                    <a:blip r:embed="rId9">
                      <a:extLst>
                        <a:ext uri="{28A0092B-C50C-407E-A947-70E740481C1C}">
                          <a14:useLocalDpi xmlns:a14="http://schemas.microsoft.com/office/drawing/2010/main" val="0"/>
                        </a:ext>
                      </a:extLst>
                    </a:blip>
                    <a:stretch>
                      <a:fillRect/>
                    </a:stretch>
                  </pic:blipFill>
                  <pic:spPr>
                    <a:xfrm>
                      <a:off x="0" y="0"/>
                      <a:ext cx="5205735" cy="6838041"/>
                    </a:xfrm>
                    <a:prstGeom prst="rect">
                      <a:avLst/>
                    </a:prstGeom>
                  </pic:spPr>
                </pic:pic>
              </a:graphicData>
            </a:graphic>
          </wp:inline>
        </w:drawing>
      </w:r>
    </w:p>
    <w:p w14:paraId="4BA51196" w14:textId="77777777" w:rsidR="003D71F1" w:rsidRDefault="003D71F1" w:rsidP="003D71F1">
      <w:pPr>
        <w:spacing w:before="240" w:after="240" w:line="360" w:lineRule="auto"/>
        <w:jc w:val="both"/>
        <w:rPr>
          <w:rFonts w:ascii="Palatino Linotype" w:hAnsi="Palatino Linotype"/>
        </w:rPr>
      </w:pPr>
      <w:r>
        <w:rPr>
          <w:rFonts w:ascii="Palatino Linotype" w:hAnsi="Palatino Linotype"/>
          <w:noProof/>
          <w:lang w:eastAsia="es-MX"/>
        </w:rPr>
        <w:drawing>
          <wp:inline distT="0" distB="0" distL="0" distR="0" wp14:anchorId="193F8D60" wp14:editId="361F6A2D">
            <wp:extent cx="5257800" cy="68009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i2.png"/>
                    <pic:cNvPicPr/>
                  </pic:nvPicPr>
                  <pic:blipFill>
                    <a:blip r:embed="rId10">
                      <a:extLst>
                        <a:ext uri="{28A0092B-C50C-407E-A947-70E740481C1C}">
                          <a14:useLocalDpi xmlns:a14="http://schemas.microsoft.com/office/drawing/2010/main" val="0"/>
                        </a:ext>
                      </a:extLst>
                    </a:blip>
                    <a:stretch>
                      <a:fillRect/>
                    </a:stretch>
                  </pic:blipFill>
                  <pic:spPr>
                    <a:xfrm>
                      <a:off x="0" y="0"/>
                      <a:ext cx="5265148" cy="6810474"/>
                    </a:xfrm>
                    <a:prstGeom prst="rect">
                      <a:avLst/>
                    </a:prstGeom>
                  </pic:spPr>
                </pic:pic>
              </a:graphicData>
            </a:graphic>
          </wp:inline>
        </w:drawing>
      </w:r>
    </w:p>
    <w:p w14:paraId="16A09527" w14:textId="77777777" w:rsidR="003D71F1" w:rsidRPr="003D71F1" w:rsidRDefault="003D71F1" w:rsidP="003D71F1">
      <w:pPr>
        <w:spacing w:before="240" w:after="240" w:line="360" w:lineRule="auto"/>
        <w:jc w:val="both"/>
        <w:rPr>
          <w:rFonts w:ascii="Palatino Linotype" w:hAnsi="Palatino Linotype"/>
        </w:rPr>
      </w:pPr>
      <w:r>
        <w:rPr>
          <w:rFonts w:ascii="Palatino Linotype" w:hAnsi="Palatino Linotype"/>
          <w:noProof/>
          <w:lang w:eastAsia="es-MX"/>
        </w:rPr>
        <w:drawing>
          <wp:inline distT="0" distB="0" distL="0" distR="0" wp14:anchorId="6E391311" wp14:editId="1E9D6166">
            <wp:extent cx="5238750" cy="68592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i3.png"/>
                    <pic:cNvPicPr/>
                  </pic:nvPicPr>
                  <pic:blipFill>
                    <a:blip r:embed="rId11">
                      <a:extLst>
                        <a:ext uri="{28A0092B-C50C-407E-A947-70E740481C1C}">
                          <a14:useLocalDpi xmlns:a14="http://schemas.microsoft.com/office/drawing/2010/main" val="0"/>
                        </a:ext>
                      </a:extLst>
                    </a:blip>
                    <a:stretch>
                      <a:fillRect/>
                    </a:stretch>
                  </pic:blipFill>
                  <pic:spPr>
                    <a:xfrm>
                      <a:off x="0" y="0"/>
                      <a:ext cx="5243641" cy="6865616"/>
                    </a:xfrm>
                    <a:prstGeom prst="rect">
                      <a:avLst/>
                    </a:prstGeom>
                  </pic:spPr>
                </pic:pic>
              </a:graphicData>
            </a:graphic>
          </wp:inline>
        </w:drawing>
      </w:r>
    </w:p>
    <w:p w14:paraId="2986B94F" w14:textId="77777777" w:rsidR="005419D3" w:rsidRPr="00496EED" w:rsidRDefault="003D71F1" w:rsidP="005419D3">
      <w:pPr>
        <w:spacing w:before="240" w:after="240" w:line="360" w:lineRule="auto"/>
        <w:jc w:val="both"/>
        <w:rPr>
          <w:rFonts w:ascii="Palatino Linotype" w:hAnsi="Palatino Linotype" w:cs="Arial"/>
        </w:rPr>
      </w:pPr>
      <w:r>
        <w:rPr>
          <w:rFonts w:ascii="Palatino Linotype" w:hAnsi="Palatino Linotype"/>
          <w:b/>
        </w:rPr>
        <w:t>4</w:t>
      </w:r>
      <w:r w:rsidR="005419D3" w:rsidRPr="00496EED">
        <w:rPr>
          <w:rFonts w:ascii="Palatino Linotype" w:hAnsi="Palatino Linotype"/>
          <w:b/>
        </w:rPr>
        <w:t>.</w:t>
      </w:r>
      <w:r w:rsidR="005419D3" w:rsidRPr="00496EED">
        <w:rPr>
          <w:rFonts w:ascii="Palatino Linotype" w:hAnsi="Palatino Linotype" w:cs="Arial"/>
          <w:b/>
        </w:rPr>
        <w:t xml:space="preserve"> Interposición del recurso de revisión. </w:t>
      </w:r>
      <w:r w:rsidR="005419D3" w:rsidRPr="00496EED">
        <w:rPr>
          <w:rFonts w:ascii="Palatino Linotype" w:hAnsi="Palatino Linotype" w:cs="Arial"/>
        </w:rPr>
        <w:t>Inconforme el solicitante con la respuesta del Sujeto Obligado interpuso recurso de revisión a</w:t>
      </w:r>
      <w:r w:rsidR="005419D3">
        <w:rPr>
          <w:rFonts w:ascii="Palatino Linotype" w:hAnsi="Palatino Linotype" w:cs="Arial"/>
        </w:rPr>
        <w:t xml:space="preserve"> través del SAIMEX con fecha </w:t>
      </w:r>
      <w:r w:rsidR="00913241">
        <w:rPr>
          <w:rFonts w:ascii="Palatino Linotype" w:hAnsi="Palatino Linotype" w:cs="Arial"/>
        </w:rPr>
        <w:t xml:space="preserve">veintinueve de marzo de </w:t>
      </w:r>
      <w:r w:rsidR="005419D3">
        <w:rPr>
          <w:rFonts w:ascii="Palatino Linotype" w:hAnsi="Palatino Linotype" w:cs="Arial"/>
        </w:rPr>
        <w:t>dos</w:t>
      </w:r>
      <w:r w:rsidR="005419D3" w:rsidRPr="00496EED">
        <w:rPr>
          <w:rFonts w:ascii="Palatino Linotype" w:hAnsi="Palatino Linotype" w:cs="Arial"/>
        </w:rPr>
        <w:t xml:space="preserve"> mil </w:t>
      </w:r>
      <w:r w:rsidR="00913241" w:rsidRPr="00496EED">
        <w:rPr>
          <w:rFonts w:ascii="Palatino Linotype" w:hAnsi="Palatino Linotype" w:cs="Arial"/>
        </w:rPr>
        <w:t>veint</w:t>
      </w:r>
      <w:r w:rsidR="00913241">
        <w:rPr>
          <w:rFonts w:ascii="Palatino Linotype" w:hAnsi="Palatino Linotype" w:cs="Arial"/>
        </w:rPr>
        <w:t>idós</w:t>
      </w:r>
      <w:r w:rsidR="005419D3" w:rsidRPr="00496EED">
        <w:rPr>
          <w:rFonts w:ascii="Palatino Linotype" w:hAnsi="Palatino Linotype" w:cs="Arial"/>
        </w:rPr>
        <w:t>, a través del cual expresó lo siguiente:</w:t>
      </w:r>
    </w:p>
    <w:p w14:paraId="307FD1C2" w14:textId="77777777" w:rsidR="005419D3" w:rsidRPr="009A7BF4" w:rsidRDefault="005419D3" w:rsidP="005419D3">
      <w:pPr>
        <w:spacing w:line="360" w:lineRule="auto"/>
        <w:rPr>
          <w:rFonts w:ascii="Palatino Linotype" w:hAnsi="Palatino Linotype" w:cs="Arial"/>
          <w:b/>
        </w:rPr>
      </w:pPr>
      <w:r w:rsidRPr="009A7BF4">
        <w:rPr>
          <w:rFonts w:ascii="Palatino Linotype" w:hAnsi="Palatino Linotype" w:cs="Arial"/>
          <w:b/>
        </w:rPr>
        <w:t>a) Acto impugnado.</w:t>
      </w:r>
    </w:p>
    <w:p w14:paraId="329ED2F3" w14:textId="77777777" w:rsidR="005419D3" w:rsidRPr="009A7BF4" w:rsidRDefault="005419D3" w:rsidP="005419D3">
      <w:pPr>
        <w:spacing w:before="240" w:after="240"/>
        <w:ind w:left="992" w:right="1043"/>
        <w:jc w:val="both"/>
        <w:rPr>
          <w:rFonts w:ascii="Palatino Linotype" w:hAnsi="Palatino Linotype" w:cs="Arial"/>
          <w:i/>
        </w:rPr>
      </w:pPr>
      <w:r w:rsidRPr="009A7BF4">
        <w:rPr>
          <w:rFonts w:ascii="Palatino Linotype" w:hAnsi="Palatino Linotype" w:cs="Arial"/>
          <w:i/>
          <w:sz w:val="22"/>
          <w:szCs w:val="22"/>
        </w:rPr>
        <w:t xml:space="preserve"> “</w:t>
      </w:r>
      <w:r w:rsidR="00820FAF" w:rsidRPr="00820FAF">
        <w:rPr>
          <w:rFonts w:ascii="Palatino Linotype" w:hAnsi="Palatino Linotype" w:cs="Arial"/>
          <w:i/>
          <w:sz w:val="22"/>
          <w:szCs w:val="22"/>
        </w:rPr>
        <w:t>la negativa a entregar la información. Además de que únicamente se manifiesta haber buscado en obras y desarrollo. Mientras que dicho asunto debe corresponder al área lega, de gobierno, tenencia de la tierra, etc.</w:t>
      </w:r>
      <w:r w:rsidRPr="009A7BF4">
        <w:rPr>
          <w:rFonts w:ascii="Palatino Linotype" w:hAnsi="Palatino Linotype" w:cs="Arial"/>
          <w:i/>
        </w:rPr>
        <w:t>” (sic)</w:t>
      </w:r>
    </w:p>
    <w:p w14:paraId="120F7518" w14:textId="77777777" w:rsidR="005419D3" w:rsidRPr="009A7BF4" w:rsidRDefault="005419D3" w:rsidP="005419D3">
      <w:pPr>
        <w:spacing w:line="360" w:lineRule="auto"/>
        <w:jc w:val="both"/>
        <w:rPr>
          <w:rFonts w:ascii="Palatino Linotype" w:hAnsi="Palatino Linotype" w:cs="Arial"/>
          <w:b/>
        </w:rPr>
      </w:pPr>
      <w:r w:rsidRPr="009A7BF4">
        <w:rPr>
          <w:rFonts w:ascii="Palatino Linotype" w:hAnsi="Palatino Linotype" w:cs="Arial"/>
          <w:b/>
        </w:rPr>
        <w:t>b) Motivos de inconformidad.</w:t>
      </w:r>
    </w:p>
    <w:p w14:paraId="760BD1C3" w14:textId="77777777" w:rsidR="005419D3" w:rsidRPr="009A7BF4" w:rsidRDefault="005419D3" w:rsidP="005419D3">
      <w:pPr>
        <w:spacing w:line="276" w:lineRule="auto"/>
        <w:ind w:right="1041"/>
        <w:jc w:val="both"/>
        <w:rPr>
          <w:rFonts w:ascii="Palatino Linotype" w:hAnsi="Palatino Linotype" w:cs="Arial"/>
          <w:i/>
          <w:sz w:val="22"/>
          <w:szCs w:val="22"/>
        </w:rPr>
      </w:pPr>
    </w:p>
    <w:p w14:paraId="3E7B20F3" w14:textId="77777777" w:rsidR="00BE77BC" w:rsidRDefault="005419D3" w:rsidP="00BE77BC">
      <w:pPr>
        <w:ind w:left="993" w:right="1043"/>
        <w:jc w:val="both"/>
        <w:rPr>
          <w:rFonts w:ascii="Palatino Linotype" w:hAnsi="Palatino Linotype" w:cs="Arial"/>
          <w:i/>
          <w:sz w:val="22"/>
          <w:szCs w:val="22"/>
        </w:rPr>
      </w:pPr>
      <w:r w:rsidRPr="009A7BF4">
        <w:rPr>
          <w:rFonts w:ascii="Palatino Linotype" w:hAnsi="Palatino Linotype" w:cs="Arial"/>
          <w:i/>
          <w:sz w:val="22"/>
          <w:szCs w:val="22"/>
        </w:rPr>
        <w:t>“</w:t>
      </w:r>
      <w:r w:rsidR="007228F2" w:rsidRPr="007228F2">
        <w:rPr>
          <w:rFonts w:ascii="Palatino Linotype" w:hAnsi="Palatino Linotype" w:cs="Arial"/>
          <w:i/>
          <w:sz w:val="22"/>
          <w:szCs w:val="22"/>
        </w:rPr>
        <w:t>la negativa a entregar la información. Además de que únicamente se manifiesta haber buscado en obras y desarrollo. Mientras que dicho asunto debe corresponder al área lega, de gobierno, tenencia de la tierra, etc.</w:t>
      </w:r>
      <w:r w:rsidRPr="009A7BF4">
        <w:rPr>
          <w:rFonts w:ascii="Palatino Linotype" w:hAnsi="Palatino Linotype" w:cs="Arial"/>
          <w:i/>
          <w:sz w:val="22"/>
          <w:szCs w:val="22"/>
        </w:rPr>
        <w:t>” (sic)</w:t>
      </w:r>
    </w:p>
    <w:p w14:paraId="14ABCE8A" w14:textId="77777777" w:rsidR="005419D3" w:rsidRPr="00BE77BC" w:rsidRDefault="00BE77BC" w:rsidP="00BE77BC">
      <w:pPr>
        <w:ind w:left="993" w:right="1043"/>
        <w:jc w:val="both"/>
        <w:rPr>
          <w:rFonts w:ascii="Palatino Linotype" w:hAnsi="Palatino Linotype" w:cs="Arial"/>
          <w:i/>
          <w:sz w:val="22"/>
          <w:szCs w:val="22"/>
        </w:rPr>
      </w:pPr>
      <w:r w:rsidRPr="009A7BF4">
        <w:rPr>
          <w:rFonts w:ascii="Palatino Linotype" w:hAnsi="Palatino Linotype"/>
          <w:i/>
          <w:sz w:val="22"/>
          <w:szCs w:val="22"/>
          <w:lang w:eastAsia="es-MX"/>
        </w:rPr>
        <w:t xml:space="preserve"> </w:t>
      </w:r>
    </w:p>
    <w:p w14:paraId="1E1F49D2" w14:textId="77777777" w:rsidR="005419D3" w:rsidRPr="0047682A" w:rsidRDefault="002C5894" w:rsidP="005419D3">
      <w:pPr>
        <w:spacing w:before="240" w:after="240" w:line="360" w:lineRule="auto"/>
        <w:jc w:val="both"/>
        <w:rPr>
          <w:rFonts w:ascii="Palatino Linotype" w:hAnsi="Palatino Linotype" w:cs="Arial"/>
          <w:b/>
        </w:rPr>
      </w:pPr>
      <w:r>
        <w:rPr>
          <w:rFonts w:ascii="Palatino Linotype" w:hAnsi="Palatino Linotype" w:cs="Arial"/>
          <w:b/>
        </w:rPr>
        <w:t>5</w:t>
      </w:r>
      <w:r w:rsidR="005419D3" w:rsidRPr="009A7BF4">
        <w:rPr>
          <w:rFonts w:ascii="Palatino Linotype" w:hAnsi="Palatino Linotype" w:cs="Arial"/>
          <w:b/>
        </w:rPr>
        <w:t xml:space="preserve">. </w:t>
      </w:r>
      <w:r w:rsidR="005419D3" w:rsidRPr="009A7BF4">
        <w:rPr>
          <w:rFonts w:ascii="Palatino Linotype" w:hAnsi="Palatino Linotype"/>
          <w:b/>
        </w:rPr>
        <w:t xml:space="preserve">Turno. </w:t>
      </w:r>
      <w:r w:rsidR="005419D3" w:rsidRPr="009A7BF4">
        <w:rPr>
          <w:rFonts w:ascii="Palatino Linotype" w:hAnsi="Palatino Linotype"/>
        </w:rPr>
        <w:t xml:space="preserve">De conformidad con el artículo 185 fracción I </w:t>
      </w:r>
      <w:r w:rsidR="005419D3" w:rsidRPr="009A7BF4">
        <w:rPr>
          <w:rFonts w:ascii="Palatino Linotype" w:hAnsi="Palatino Linotype"/>
          <w:shd w:val="clear" w:color="auto" w:fill="FFFFFF"/>
        </w:rPr>
        <w:t>de la Ley Transparencia y Acceso a la Información Pública</w:t>
      </w:r>
      <w:r w:rsidR="005419D3" w:rsidRPr="009A7BF4">
        <w:rPr>
          <w:rFonts w:ascii="Palatino Linotype" w:hAnsi="Palatino Linotype" w:cs="Arial"/>
        </w:rPr>
        <w:t xml:space="preserve">, el recurso de revisión número </w:t>
      </w:r>
      <w:r w:rsidR="005419D3">
        <w:rPr>
          <w:rFonts w:ascii="Palatino Linotype" w:hAnsi="Palatino Linotype" w:cs="Arial"/>
          <w:b/>
        </w:rPr>
        <w:t>0</w:t>
      </w:r>
      <w:r>
        <w:rPr>
          <w:rFonts w:ascii="Palatino Linotype" w:hAnsi="Palatino Linotype" w:cs="Arial"/>
          <w:b/>
        </w:rPr>
        <w:t>5194/INFOEM/IP/RR/2022</w:t>
      </w:r>
      <w:r w:rsidR="005419D3" w:rsidRPr="009A7BF4">
        <w:rPr>
          <w:rFonts w:ascii="Palatino Linotype" w:hAnsi="Palatino Linotype" w:cs="Arial"/>
          <w:b/>
        </w:rPr>
        <w:t xml:space="preserve"> </w:t>
      </w:r>
      <w:r w:rsidR="005419D3" w:rsidRPr="009A7BF4">
        <w:rPr>
          <w:rFonts w:ascii="Palatino Linotype" w:hAnsi="Palatino Linotype" w:cs="Arial"/>
          <w:bCs/>
          <w:lang w:eastAsia="es-MX"/>
        </w:rPr>
        <w:t xml:space="preserve">fue </w:t>
      </w:r>
      <w:r w:rsidR="005419D3" w:rsidRPr="009A7BF4">
        <w:rPr>
          <w:rFonts w:ascii="Palatino Linotype" w:hAnsi="Palatino Linotype"/>
        </w:rPr>
        <w:t>turnado a</w:t>
      </w:r>
      <w:r w:rsidR="0047682A">
        <w:rPr>
          <w:rFonts w:ascii="Palatino Linotype" w:hAnsi="Palatino Linotype"/>
        </w:rPr>
        <w:t xml:space="preserve"> </w:t>
      </w:r>
      <w:r w:rsidR="005419D3" w:rsidRPr="009A7BF4">
        <w:rPr>
          <w:rFonts w:ascii="Palatino Linotype" w:hAnsi="Palatino Linotype"/>
        </w:rPr>
        <w:t>l</w:t>
      </w:r>
      <w:r w:rsidR="0047682A">
        <w:rPr>
          <w:rFonts w:ascii="Palatino Linotype" w:hAnsi="Palatino Linotype"/>
        </w:rPr>
        <w:t>a Comisionada</w:t>
      </w:r>
      <w:r w:rsidR="005419D3" w:rsidRPr="009A7BF4">
        <w:rPr>
          <w:rFonts w:ascii="Palatino Linotype" w:hAnsi="Palatino Linotype"/>
        </w:rPr>
        <w:t xml:space="preserve"> Ponente </w:t>
      </w:r>
      <w:r w:rsidR="0047682A" w:rsidRPr="00521B6E">
        <w:rPr>
          <w:rFonts w:ascii="Palatino Linotype" w:hAnsi="Palatino Linotype"/>
          <w:b/>
        </w:rPr>
        <w:t>Guadalupe Ramírez Peña</w:t>
      </w:r>
      <w:r w:rsidR="005419D3" w:rsidRPr="00521B6E">
        <w:rPr>
          <w:rFonts w:ascii="Palatino Linotype" w:hAnsi="Palatino Linotype"/>
          <w:b/>
        </w:rPr>
        <w:t>;</w:t>
      </w:r>
      <w:r w:rsidR="005419D3" w:rsidRPr="009A7BF4">
        <w:rPr>
          <w:rFonts w:ascii="Palatino Linotype" w:hAnsi="Palatino Linotype"/>
        </w:rPr>
        <w:t xml:space="preserve"> a efecto de presentar al Pleno el proyecto de resolución correspondiente.</w:t>
      </w:r>
    </w:p>
    <w:p w14:paraId="315FADEB" w14:textId="77777777" w:rsidR="005419D3" w:rsidRDefault="0047682A" w:rsidP="005419D3">
      <w:pPr>
        <w:spacing w:before="240" w:after="240" w:line="360" w:lineRule="auto"/>
        <w:jc w:val="both"/>
        <w:rPr>
          <w:rFonts w:ascii="Palatino Linotype" w:hAnsi="Palatino Linotype"/>
        </w:rPr>
      </w:pPr>
      <w:r>
        <w:rPr>
          <w:rFonts w:ascii="Palatino Linotype" w:hAnsi="Palatino Linotype"/>
          <w:b/>
        </w:rPr>
        <w:t>6</w:t>
      </w:r>
      <w:r w:rsidR="005419D3" w:rsidRPr="009A7BF4">
        <w:rPr>
          <w:rFonts w:ascii="Palatino Linotype" w:hAnsi="Palatino Linotype"/>
          <w:b/>
        </w:rPr>
        <w:t xml:space="preserve">. Admisión. </w:t>
      </w:r>
      <w:r w:rsidR="005419D3" w:rsidRPr="009A7BF4">
        <w:rPr>
          <w:rFonts w:ascii="Palatino Linotype" w:hAnsi="Palatino Linotype"/>
        </w:rPr>
        <w:t xml:space="preserve">En fecha </w:t>
      </w:r>
      <w:r w:rsidR="00555B0F">
        <w:rPr>
          <w:rFonts w:ascii="Palatino Linotype" w:hAnsi="Palatino Linotype"/>
        </w:rPr>
        <w:t>uno de abril de dos mil veintidós</w:t>
      </w:r>
      <w:r w:rsidR="005419D3" w:rsidRPr="009A7BF4">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14:paraId="3E9FE5CA" w14:textId="77777777" w:rsidR="009B5CC1" w:rsidRPr="009A7BF4" w:rsidRDefault="009B5CC1" w:rsidP="005419D3">
      <w:pPr>
        <w:spacing w:before="240" w:after="240" w:line="360" w:lineRule="auto"/>
        <w:jc w:val="both"/>
        <w:rPr>
          <w:rFonts w:ascii="Palatino Linotype" w:hAnsi="Palatino Linotype"/>
        </w:rPr>
      </w:pPr>
    </w:p>
    <w:p w14:paraId="173F52EC" w14:textId="77777777" w:rsidR="009C0AFF" w:rsidRDefault="00555B0F" w:rsidP="009C0AFF">
      <w:pPr>
        <w:widowControl w:val="0"/>
        <w:spacing w:before="240" w:after="240" w:line="360" w:lineRule="auto"/>
        <w:jc w:val="both"/>
        <w:rPr>
          <w:rFonts w:ascii="Palatino Linotype" w:eastAsia="Palatino Linotype" w:hAnsi="Palatino Linotype" w:cs="Palatino Linotype"/>
          <w:lang w:val="es-ES" w:eastAsia="es-MX"/>
        </w:rPr>
      </w:pPr>
      <w:r>
        <w:rPr>
          <w:rFonts w:ascii="Palatino Linotype" w:hAnsi="Palatino Linotype" w:cs="Arial"/>
          <w:b/>
        </w:rPr>
        <w:t>7</w:t>
      </w:r>
      <w:r w:rsidR="005419D3" w:rsidRPr="00D27764">
        <w:rPr>
          <w:rFonts w:ascii="Palatino Linotype" w:hAnsi="Palatino Linotype" w:cs="Arial"/>
          <w:b/>
        </w:rPr>
        <w:t>. Manifestaciones</w:t>
      </w:r>
      <w:r w:rsidR="009C0AFF" w:rsidRPr="009C0AFF">
        <w:rPr>
          <w:rFonts w:ascii="Palatino Linotype" w:eastAsia="Palatino Linotype" w:hAnsi="Palatino Linotype" w:cs="Palatino Linotype"/>
          <w:lang w:val="es-ES" w:eastAsia="es-MX"/>
        </w:rPr>
        <w:t xml:space="preserve">. El </w:t>
      </w:r>
      <w:r w:rsidR="009C0AFF" w:rsidRPr="009C0AFF">
        <w:rPr>
          <w:rFonts w:ascii="Palatino Linotype" w:eastAsia="Palatino Linotype" w:hAnsi="Palatino Linotype" w:cs="Palatino Linotype"/>
          <w:b/>
          <w:lang w:val="es-ES" w:eastAsia="es-MX"/>
        </w:rPr>
        <w:t>SUJETO OBLIGADO</w:t>
      </w:r>
      <w:r w:rsidR="009C0AFF" w:rsidRPr="009C0AFF">
        <w:rPr>
          <w:rFonts w:ascii="Palatino Linotype" w:eastAsia="Palatino Linotype" w:hAnsi="Palatino Linotype" w:cs="Palatino Linotype"/>
          <w:lang w:val="es-ES" w:eastAsia="es-MX"/>
        </w:rPr>
        <w:t xml:space="preserve"> rindió informe justificado para manifestar lo que a su derecho asistiera y conviniera, en el cual confirma su respuesta, </w:t>
      </w:r>
      <w:r w:rsidR="00F758DC">
        <w:rPr>
          <w:rFonts w:ascii="Palatino Linotype" w:eastAsia="Palatino Linotype" w:hAnsi="Palatino Linotype" w:cs="Palatino Linotype"/>
          <w:lang w:val="es-ES" w:eastAsia="es-MX"/>
        </w:rPr>
        <w:t xml:space="preserve">así mismo agrega el acta de la sesión extraordinaria del comité de transparencia y acceso a la Información Pública del Municipio de Ecatepec de Morelos, celebrada el día veinte de abril de dos mil veintidós, de los cuales en el desahogo de los puntos del día se llevó a cabo la clasificación de la información derivada de la solicitud 00183/ECATEPEC/IP/2022, </w:t>
      </w:r>
      <w:r w:rsidR="009C0AFF" w:rsidRPr="009C0AFF">
        <w:rPr>
          <w:rFonts w:ascii="Palatino Linotype" w:eastAsia="Palatino Linotype" w:hAnsi="Palatino Linotype" w:cs="Palatino Linotype"/>
          <w:lang w:val="es-ES" w:eastAsia="es-MX"/>
        </w:rPr>
        <w:t xml:space="preserve">por su parte el </w:t>
      </w:r>
      <w:r w:rsidR="009C0AFF" w:rsidRPr="009C0AFF">
        <w:rPr>
          <w:rFonts w:ascii="Palatino Linotype" w:eastAsia="Palatino Linotype" w:hAnsi="Palatino Linotype" w:cs="Palatino Linotype"/>
          <w:b/>
          <w:lang w:val="es-ES" w:eastAsia="es-MX"/>
        </w:rPr>
        <w:t>RECURRENTE no</w:t>
      </w:r>
      <w:r w:rsidR="009C0AFF" w:rsidRPr="009C0AFF">
        <w:rPr>
          <w:rFonts w:ascii="Palatino Linotype" w:eastAsia="Palatino Linotype" w:hAnsi="Palatino Linotype" w:cs="Palatino Linotype"/>
          <w:lang w:val="es-ES" w:eastAsia="es-MX"/>
        </w:rPr>
        <w:t xml:space="preserve"> realizó manifestaciones, formuló alegatos u ofreció algún medio de prueba, tal como se observa en la imagen que se inserta;</w:t>
      </w:r>
    </w:p>
    <w:p w14:paraId="735CE7B8" w14:textId="77777777" w:rsidR="005419D3" w:rsidRPr="00CB3F34" w:rsidRDefault="009B5CC1" w:rsidP="00CB3F34">
      <w:pPr>
        <w:widowControl w:val="0"/>
        <w:spacing w:before="240" w:after="240" w:line="360" w:lineRule="auto"/>
        <w:jc w:val="both"/>
        <w:rPr>
          <w:rFonts w:ascii="Palatino Linotype" w:eastAsia="Palatino Linotype" w:hAnsi="Palatino Linotype" w:cs="Palatino Linotype"/>
          <w:lang w:val="es-ES" w:eastAsia="es-MX"/>
        </w:rPr>
      </w:pPr>
      <w:r w:rsidRPr="009B5CC1">
        <w:rPr>
          <w:rFonts w:ascii="Palatino Linotype" w:eastAsia="Palatino Linotype" w:hAnsi="Palatino Linotype" w:cs="Palatino Linotype"/>
          <w:noProof/>
          <w:lang w:eastAsia="es-MX"/>
        </w:rPr>
        <w:drawing>
          <wp:inline distT="0" distB="0" distL="0" distR="0" wp14:anchorId="16AE4107" wp14:editId="36015B25">
            <wp:extent cx="5581015" cy="349567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3495675"/>
                    </a:xfrm>
                    <a:prstGeom prst="rect">
                      <a:avLst/>
                    </a:prstGeom>
                  </pic:spPr>
                </pic:pic>
              </a:graphicData>
            </a:graphic>
          </wp:inline>
        </w:drawing>
      </w:r>
    </w:p>
    <w:p w14:paraId="4E3282B1" w14:textId="77777777" w:rsidR="005419D3" w:rsidRDefault="00555B0F" w:rsidP="005419D3">
      <w:pPr>
        <w:spacing w:line="360" w:lineRule="auto"/>
        <w:jc w:val="both"/>
        <w:rPr>
          <w:rFonts w:ascii="Palatino Linotype" w:hAnsi="Palatino Linotype" w:cs="Arial"/>
        </w:rPr>
      </w:pPr>
      <w:r>
        <w:rPr>
          <w:rFonts w:ascii="Palatino Linotype" w:hAnsi="Palatino Linotype"/>
          <w:b/>
        </w:rPr>
        <w:t>8</w:t>
      </w:r>
      <w:r w:rsidR="005419D3" w:rsidRPr="00926EE0">
        <w:rPr>
          <w:rFonts w:ascii="Palatino Linotype" w:hAnsi="Palatino Linotype"/>
          <w:b/>
        </w:rPr>
        <w:t>. Ampliación del plazo para emitir resolución</w:t>
      </w:r>
      <w:r w:rsidR="005419D3">
        <w:rPr>
          <w:rFonts w:ascii="Palatino Linotype" w:hAnsi="Palatino Linotype" w:cs="Arial"/>
        </w:rPr>
        <w:t xml:space="preserve">. </w:t>
      </w:r>
      <w:r w:rsidR="005419D3" w:rsidRPr="00926EE0">
        <w:rPr>
          <w:rFonts w:ascii="Palatino Linotype" w:hAnsi="Palatino Linotype"/>
        </w:rPr>
        <w:t xml:space="preserve">En fecha </w:t>
      </w:r>
      <w:r w:rsidR="00CB3F34" w:rsidRPr="009B5CC1">
        <w:rPr>
          <w:rFonts w:ascii="Palatino Linotype" w:hAnsi="Palatino Linotype"/>
          <w:b/>
        </w:rPr>
        <w:t>tres de agosto</w:t>
      </w:r>
      <w:r w:rsidR="005419D3" w:rsidRPr="009B5CC1">
        <w:rPr>
          <w:rFonts w:ascii="Palatino Linotype" w:hAnsi="Palatino Linotype"/>
          <w:b/>
        </w:rPr>
        <w:t xml:space="preserve"> de dos mil </w:t>
      </w:r>
      <w:r w:rsidR="00CB3F34" w:rsidRPr="009B5CC1">
        <w:rPr>
          <w:rFonts w:ascii="Palatino Linotype" w:hAnsi="Palatino Linotype"/>
          <w:b/>
        </w:rPr>
        <w:t>veintidós</w:t>
      </w:r>
      <w:r w:rsidR="005419D3" w:rsidRPr="00926EE0">
        <w:rPr>
          <w:rFonts w:ascii="Palatino Linotype" w:hAnsi="Palatino Linotype"/>
        </w:rPr>
        <w:t xml:space="preserve">, este Instituto con fundamento en el artículo 181, párrafo tercero, de la Ley de Transparencia y Acceso a la Información Pública del Estado de México y Municipios, </w:t>
      </w:r>
      <w:r w:rsidR="005419D3" w:rsidRPr="00926EE0">
        <w:rPr>
          <w:rFonts w:ascii="Palatino Linotype" w:hAnsi="Palatino Linotype" w:cs="Arial"/>
        </w:rPr>
        <w:t>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02CC9C18" w14:textId="77777777" w:rsidR="005419D3" w:rsidRDefault="00555B0F" w:rsidP="005419D3">
      <w:pPr>
        <w:spacing w:before="240" w:after="240" w:line="360" w:lineRule="auto"/>
        <w:jc w:val="both"/>
        <w:rPr>
          <w:rFonts w:ascii="Palatino Linotype" w:hAnsi="Palatino Linotype" w:cs="Arial"/>
        </w:rPr>
      </w:pPr>
      <w:r>
        <w:rPr>
          <w:rFonts w:ascii="Palatino Linotype" w:hAnsi="Palatino Linotype"/>
          <w:b/>
        </w:rPr>
        <w:t>9</w:t>
      </w:r>
      <w:r w:rsidR="005419D3" w:rsidRPr="009A7BF4">
        <w:rPr>
          <w:rFonts w:ascii="Palatino Linotype" w:hAnsi="Palatino Linotype"/>
          <w:b/>
        </w:rPr>
        <w:t xml:space="preserve">. Cierre de Instrucción. </w:t>
      </w:r>
      <w:r w:rsidR="005419D3">
        <w:rPr>
          <w:rFonts w:ascii="Palatino Linotype" w:hAnsi="Palatino Linotype"/>
        </w:rPr>
        <w:t xml:space="preserve">En fecha </w:t>
      </w:r>
      <w:r w:rsidR="00CB3F34" w:rsidRPr="006B1B66">
        <w:rPr>
          <w:rFonts w:ascii="Palatino Linotype" w:hAnsi="Palatino Linotype"/>
          <w:b/>
        </w:rPr>
        <w:t xml:space="preserve">nueve de agosto de </w:t>
      </w:r>
      <w:r w:rsidR="005419D3" w:rsidRPr="006B1B66">
        <w:rPr>
          <w:rFonts w:ascii="Palatino Linotype" w:hAnsi="Palatino Linotype"/>
          <w:b/>
        </w:rPr>
        <w:t xml:space="preserve">dos mil </w:t>
      </w:r>
      <w:r w:rsidR="00CB3F34" w:rsidRPr="006B1B66">
        <w:rPr>
          <w:rFonts w:ascii="Palatino Linotype" w:hAnsi="Palatino Linotype"/>
          <w:b/>
        </w:rPr>
        <w:t>veintidós</w:t>
      </w:r>
      <w:r w:rsidR="005419D3" w:rsidRPr="009A7BF4">
        <w:rPr>
          <w:rFonts w:ascii="Palatino Linotype" w:hAnsi="Palatino Linotype"/>
        </w:rPr>
        <w:t xml:space="preserve">, con fundamento en lo establecido en los artículos 185, fracción VI de la </w:t>
      </w:r>
      <w:r w:rsidR="005419D3" w:rsidRPr="009A7BF4">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14:paraId="7E8CE562" w14:textId="77777777" w:rsidR="00E22516" w:rsidRDefault="00E22516" w:rsidP="005419D3">
      <w:pPr>
        <w:spacing w:before="240" w:after="240" w:line="360" w:lineRule="auto"/>
        <w:jc w:val="both"/>
        <w:rPr>
          <w:rFonts w:ascii="Palatino Linotype" w:eastAsia="Palatino Linotype" w:hAnsi="Palatino Linotype" w:cs="Palatino Linotype"/>
          <w:lang w:eastAsia="en-US"/>
        </w:rPr>
      </w:pPr>
      <w:r w:rsidRPr="00E22516">
        <w:rPr>
          <w:rFonts w:ascii="Palatino Linotype" w:eastAsia="Palatino Linotype" w:hAnsi="Palatino Linotype" w:cs="Palatino Linotype"/>
          <w:lang w:eastAsia="en-US"/>
        </w:rPr>
        <w:t xml:space="preserve">En razón de que fue debidamente sustanciado el expediente electrónico y no existe diligencia pendiente de desahogo, se emite la Resolución que conforme a Derecho proceda, de acuerdo con los siguientes: </w:t>
      </w:r>
    </w:p>
    <w:p w14:paraId="7E48E84C" w14:textId="77777777" w:rsidR="006B1B66" w:rsidRPr="00E22516" w:rsidRDefault="006B1B66" w:rsidP="005419D3">
      <w:pPr>
        <w:spacing w:before="240" w:after="240" w:line="360" w:lineRule="auto"/>
        <w:jc w:val="both"/>
        <w:rPr>
          <w:rFonts w:ascii="Palatino Linotype" w:eastAsia="Palatino Linotype" w:hAnsi="Palatino Linotype" w:cs="Palatino Linotype"/>
          <w:lang w:eastAsia="en-US"/>
        </w:rPr>
      </w:pPr>
    </w:p>
    <w:p w14:paraId="4E049A94" w14:textId="77777777" w:rsidR="005419D3" w:rsidRPr="009A7BF4" w:rsidRDefault="005419D3" w:rsidP="005419D3">
      <w:pPr>
        <w:pStyle w:val="Prrafodelista"/>
        <w:numPr>
          <w:ilvl w:val="0"/>
          <w:numId w:val="1"/>
        </w:numPr>
        <w:spacing w:before="240" w:after="240" w:line="360" w:lineRule="auto"/>
        <w:contextualSpacing w:val="0"/>
        <w:jc w:val="center"/>
        <w:rPr>
          <w:rFonts w:ascii="Palatino Linotype" w:hAnsi="Palatino Linotype" w:cs="Arial"/>
          <w:b/>
        </w:rPr>
      </w:pPr>
      <w:r w:rsidRPr="009A7BF4">
        <w:rPr>
          <w:rFonts w:ascii="Palatino Linotype" w:hAnsi="Palatino Linotype" w:cs="Arial"/>
          <w:b/>
        </w:rPr>
        <w:t>C O N S I D E R A N D O:</w:t>
      </w:r>
    </w:p>
    <w:p w14:paraId="21AAFA0E" w14:textId="77777777" w:rsidR="005419D3" w:rsidRPr="009A7BF4" w:rsidRDefault="005419D3" w:rsidP="005419D3">
      <w:pPr>
        <w:spacing w:before="240" w:after="240" w:line="360" w:lineRule="auto"/>
        <w:jc w:val="both"/>
        <w:rPr>
          <w:rFonts w:ascii="Palatino Linotype" w:hAnsi="Palatino Linotype"/>
          <w:shd w:val="clear" w:color="auto" w:fill="FFFFFF"/>
        </w:rPr>
      </w:pPr>
      <w:r w:rsidRPr="009A7BF4">
        <w:rPr>
          <w:rFonts w:ascii="Palatino Linotype" w:hAnsi="Palatino Linotype" w:cs="Arial"/>
          <w:b/>
        </w:rPr>
        <w:t xml:space="preserve">Primero. Competencia. </w:t>
      </w:r>
      <w:r w:rsidRPr="009A7BF4">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3 y 185 de la Ley Transparencia y Acceso a la Información Pública;</w:t>
      </w:r>
      <w:r w:rsidRPr="009A7BF4">
        <w:rPr>
          <w:rStyle w:val="apple-converted-space"/>
          <w:rFonts w:ascii="Palatino Linotype" w:hAnsi="Palatino Linotype"/>
          <w:shd w:val="clear" w:color="auto" w:fill="FFFFFF"/>
        </w:rPr>
        <w:t xml:space="preserve"> 7, </w:t>
      </w:r>
      <w:r w:rsidRPr="009A7BF4">
        <w:rPr>
          <w:rFonts w:ascii="Palatino Linotype" w:hAnsi="Palatino Linotype" w:cs="Arial"/>
        </w:rPr>
        <w:t xml:space="preserve">9, fracciones I y XXIV y 11 </w:t>
      </w:r>
      <w:r w:rsidRPr="009A7BF4">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3747C035" w14:textId="77777777" w:rsidR="005419D3" w:rsidRPr="009A7BF4" w:rsidRDefault="005419D3" w:rsidP="005419D3">
      <w:pPr>
        <w:spacing w:before="240" w:after="240" w:line="360" w:lineRule="auto"/>
        <w:jc w:val="both"/>
        <w:rPr>
          <w:rFonts w:ascii="Palatino Linotype" w:hAnsi="Palatino Linotype" w:cs="Arial"/>
          <w:lang w:eastAsia="es-MX"/>
        </w:rPr>
      </w:pPr>
      <w:r w:rsidRPr="009A7BF4">
        <w:rPr>
          <w:rFonts w:ascii="Palatino Linotype" w:hAnsi="Palatino Linotype" w:cs="Arial"/>
          <w:b/>
        </w:rPr>
        <w:t xml:space="preserve">Segundo. Oportunidad y Procedibilidad. </w:t>
      </w:r>
      <w:r w:rsidRPr="009A7BF4">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9A7BF4">
        <w:rPr>
          <w:rFonts w:ascii="Palatino Linotype" w:hAnsi="Palatino Linotype" w:cs="Arial"/>
          <w:lang w:eastAsia="es-MX"/>
        </w:rPr>
        <w:t>178 y 180 de la Ley de Transparencia y Acceso a la Información Pública del Estado de México y Municipios</w:t>
      </w:r>
      <w:r w:rsidRPr="009A7BF4">
        <w:rPr>
          <w:rFonts w:ascii="Palatino Linotype" w:hAnsi="Palatino Linotype" w:cs="Arial"/>
        </w:rPr>
        <w:t>.</w:t>
      </w:r>
    </w:p>
    <w:p w14:paraId="56A571EA" w14:textId="77777777" w:rsidR="005419D3" w:rsidRDefault="005419D3" w:rsidP="005419D3">
      <w:pPr>
        <w:spacing w:before="240" w:after="240" w:line="360" w:lineRule="auto"/>
        <w:jc w:val="both"/>
        <w:rPr>
          <w:rFonts w:ascii="Palatino Linotype" w:hAnsi="Palatino Linotype" w:cs="Arial"/>
        </w:rPr>
      </w:pPr>
      <w:r w:rsidRPr="009A7BF4">
        <w:rPr>
          <w:rFonts w:ascii="Palatino Linotype" w:hAnsi="Palatino Linotype" w:cs="Arial"/>
        </w:rPr>
        <w:t xml:space="preserve">El recurso de revisión fue interpuesto dentro del plazo de quince días hábiles, previsto en el artículo 178 de la </w:t>
      </w:r>
      <w:r w:rsidRPr="009A7BF4">
        <w:rPr>
          <w:rFonts w:ascii="Palatino Linotype" w:hAnsi="Palatino Linotype" w:cs="Arial"/>
          <w:lang w:eastAsia="es-MX"/>
        </w:rPr>
        <w:t>Ley de Transparencia y Acceso a la Información Pública del Estado de México y Municipios</w:t>
      </w:r>
      <w:r w:rsidRPr="009A7BF4">
        <w:rPr>
          <w:rFonts w:ascii="Palatino Linotype" w:hAnsi="Palatino Linotype" w:cs="Arial"/>
        </w:rPr>
        <w:t xml:space="preserve">, ya que el </w:t>
      </w:r>
      <w:r w:rsidRPr="00521B6E">
        <w:rPr>
          <w:rFonts w:ascii="Palatino Linotype" w:hAnsi="Palatino Linotype" w:cs="Arial"/>
          <w:b/>
        </w:rPr>
        <w:t>S</w:t>
      </w:r>
      <w:r w:rsidR="00521B6E" w:rsidRPr="00521B6E">
        <w:rPr>
          <w:rFonts w:ascii="Palatino Linotype" w:hAnsi="Palatino Linotype" w:cs="Arial"/>
          <w:b/>
        </w:rPr>
        <w:t>UJETO OBLIGADO</w:t>
      </w:r>
      <w:r w:rsidRPr="009A7BF4">
        <w:rPr>
          <w:rFonts w:ascii="Palatino Linotype" w:hAnsi="Palatino Linotype" w:cs="Arial"/>
        </w:rPr>
        <w:t xml:space="preserve"> </w:t>
      </w:r>
      <w:r w:rsidR="00521B6E">
        <w:rPr>
          <w:rFonts w:ascii="Palatino Linotype" w:hAnsi="Palatino Linotype" w:cs="Arial"/>
        </w:rPr>
        <w:t>remitió la r</w:t>
      </w:r>
      <w:r w:rsidRPr="009A7BF4">
        <w:rPr>
          <w:rFonts w:ascii="Palatino Linotype" w:hAnsi="Palatino Linotype" w:cs="Arial"/>
        </w:rPr>
        <w:t>espuesta a la solicitud de información</w:t>
      </w:r>
      <w:r w:rsidR="00521B6E">
        <w:rPr>
          <w:rFonts w:ascii="Palatino Linotype" w:hAnsi="Palatino Linotype" w:cs="Arial"/>
        </w:rPr>
        <w:t xml:space="preserve"> el día </w:t>
      </w:r>
      <w:r w:rsidRPr="00521B6E">
        <w:rPr>
          <w:rFonts w:ascii="Palatino Linotype" w:hAnsi="Palatino Linotype" w:cs="Arial"/>
          <w:b/>
        </w:rPr>
        <w:t xml:space="preserve">veintinueve de </w:t>
      </w:r>
      <w:r w:rsidR="00DA6210" w:rsidRPr="00521B6E">
        <w:rPr>
          <w:rFonts w:ascii="Palatino Linotype" w:hAnsi="Palatino Linotype" w:cs="Arial"/>
          <w:b/>
        </w:rPr>
        <w:t xml:space="preserve">marzo de </w:t>
      </w:r>
      <w:r w:rsidRPr="00521B6E">
        <w:rPr>
          <w:rFonts w:ascii="Palatino Linotype" w:hAnsi="Palatino Linotype" w:cs="Arial"/>
          <w:b/>
        </w:rPr>
        <w:t xml:space="preserve">dos mil </w:t>
      </w:r>
      <w:r w:rsidR="00DA6210" w:rsidRPr="00521B6E">
        <w:rPr>
          <w:rFonts w:ascii="Palatino Linotype" w:hAnsi="Palatino Linotype" w:cs="Arial"/>
          <w:b/>
        </w:rPr>
        <w:t>veintidós</w:t>
      </w:r>
      <w:r w:rsidRPr="00521B6E">
        <w:rPr>
          <w:rFonts w:ascii="Palatino Linotype" w:hAnsi="Palatino Linotype" w:cs="Arial"/>
          <w:b/>
        </w:rPr>
        <w:t>,</w:t>
      </w:r>
      <w:r w:rsidRPr="009A7BF4">
        <w:rPr>
          <w:rFonts w:ascii="Palatino Linotype" w:hAnsi="Palatino Linotype" w:cs="Arial"/>
        </w:rPr>
        <w:t xml:space="preserve"> mientras que el </w:t>
      </w:r>
      <w:r w:rsidR="00521B6E" w:rsidRPr="00521B6E">
        <w:rPr>
          <w:rFonts w:ascii="Palatino Linotype" w:hAnsi="Palatino Linotype" w:cs="Arial"/>
          <w:b/>
        </w:rPr>
        <w:t>RECURRENTE</w:t>
      </w:r>
      <w:r w:rsidR="00521B6E">
        <w:rPr>
          <w:rFonts w:ascii="Palatino Linotype" w:hAnsi="Palatino Linotype" w:cs="Arial"/>
        </w:rPr>
        <w:t xml:space="preserve"> </w:t>
      </w:r>
      <w:r w:rsidRPr="009A7BF4">
        <w:rPr>
          <w:rFonts w:ascii="Palatino Linotype" w:hAnsi="Palatino Linotype"/>
        </w:rPr>
        <w:t xml:space="preserve">interpuso el recurso de revisión el día </w:t>
      </w:r>
      <w:r w:rsidR="00DA6210" w:rsidRPr="00521B6E">
        <w:rPr>
          <w:rFonts w:ascii="Palatino Linotype" w:hAnsi="Palatino Linotype"/>
          <w:b/>
        </w:rPr>
        <w:t>veintinueve de marzo</w:t>
      </w:r>
      <w:r w:rsidRPr="00521B6E">
        <w:rPr>
          <w:rFonts w:ascii="Palatino Linotype" w:hAnsi="Palatino Linotype"/>
          <w:b/>
        </w:rPr>
        <w:t xml:space="preserve"> </w:t>
      </w:r>
      <w:r w:rsidR="00DA6210" w:rsidRPr="00521B6E">
        <w:rPr>
          <w:rFonts w:ascii="Palatino Linotype" w:hAnsi="Palatino Linotype"/>
          <w:b/>
        </w:rPr>
        <w:t>de dos mil veintidós</w:t>
      </w:r>
      <w:r w:rsidRPr="009A7BF4">
        <w:rPr>
          <w:rFonts w:ascii="Palatino Linotype" w:hAnsi="Palatino Linotype"/>
        </w:rPr>
        <w:t xml:space="preserve">, es decir, </w:t>
      </w:r>
      <w:r w:rsidR="00DA6210">
        <w:rPr>
          <w:rFonts w:ascii="Palatino Linotype" w:hAnsi="Palatino Linotype"/>
        </w:rPr>
        <w:t xml:space="preserve">el mismo </w:t>
      </w:r>
      <w:r w:rsidRPr="009A7BF4">
        <w:rPr>
          <w:rFonts w:ascii="Palatino Linotype" w:hAnsi="Palatino Linotype"/>
        </w:rPr>
        <w:t>día en que le fue notificada la respuesta</w:t>
      </w:r>
      <w:r w:rsidR="00521B6E">
        <w:rPr>
          <w:rFonts w:ascii="Palatino Linotype" w:hAnsi="Palatino Linotype"/>
        </w:rPr>
        <w:t>.</w:t>
      </w:r>
    </w:p>
    <w:p w14:paraId="241014D9" w14:textId="77777777" w:rsidR="00B7616D" w:rsidRDefault="00B7616D" w:rsidP="00B7616D">
      <w:pPr>
        <w:spacing w:line="360" w:lineRule="auto"/>
        <w:jc w:val="both"/>
        <w:rPr>
          <w:rFonts w:ascii="Palatino Linotype" w:eastAsia="Palatino Linotype" w:hAnsi="Palatino Linotype" w:cs="Palatino Linotype"/>
        </w:rPr>
      </w:pPr>
      <w:bookmarkStart w:id="1" w:name="_heading=h.3znysh7" w:colFirst="0" w:colLast="0"/>
      <w:bookmarkEnd w:id="1"/>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7FC7F75" w14:textId="77777777" w:rsidR="00B7616D" w:rsidRDefault="00B7616D" w:rsidP="00B761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CB26EF0" w14:textId="77777777" w:rsidR="00B7616D" w:rsidRDefault="00B7616D" w:rsidP="00B7616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14:paraId="7456D94E" w14:textId="77777777" w:rsidR="00B7616D" w:rsidRDefault="00B7616D" w:rsidP="00B7616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2DB89A9" w14:textId="77777777" w:rsidR="00521B6E" w:rsidRPr="00521B6E" w:rsidRDefault="00521B6E" w:rsidP="00521B6E">
      <w:pPr>
        <w:spacing w:before="240" w:after="240" w:line="360" w:lineRule="auto"/>
        <w:jc w:val="both"/>
        <w:rPr>
          <w:rFonts w:ascii="Palatino Linotype" w:eastAsia="Palatino Linotype" w:hAnsi="Palatino Linotype" w:cs="Palatino Linotype"/>
          <w:lang w:eastAsia="en-US"/>
        </w:rPr>
      </w:pPr>
      <w:r w:rsidRPr="00521B6E">
        <w:rPr>
          <w:rFonts w:ascii="Palatino Linotype" w:eastAsia="Palatino Linotype" w:hAnsi="Palatino Linotype" w:cs="Palatino Linotype"/>
          <w:lang w:eastAsia="en-US"/>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21B6E">
        <w:rPr>
          <w:rFonts w:ascii="Palatino Linotype" w:eastAsia="Palatino Linotype" w:hAnsi="Palatino Linotype" w:cs="Palatino Linotype"/>
          <w:b/>
          <w:lang w:eastAsia="en-US"/>
        </w:rPr>
        <w:t xml:space="preserve">EL SAIMEX.  </w:t>
      </w:r>
    </w:p>
    <w:p w14:paraId="7B3CE9D7" w14:textId="77777777" w:rsidR="00521B6E" w:rsidRPr="00521B6E" w:rsidRDefault="00521B6E" w:rsidP="00521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lang w:eastAsia="en-US"/>
        </w:rPr>
      </w:pPr>
      <w:r w:rsidRPr="00521B6E">
        <w:rPr>
          <w:rFonts w:ascii="Palatino Linotype" w:eastAsia="Palatino Linotype" w:hAnsi="Palatino Linotype" w:cs="Palatino Linotype"/>
          <w:lang w:eastAsia="en-US"/>
        </w:rPr>
        <w:t xml:space="preserve">Finalmente, resulta procedente la interposición del recurso, según lo aducido por el </w:t>
      </w:r>
      <w:r w:rsidRPr="00521B6E">
        <w:rPr>
          <w:rFonts w:ascii="Palatino Linotype" w:eastAsia="Palatino Linotype" w:hAnsi="Palatino Linotype" w:cs="Palatino Linotype"/>
          <w:b/>
          <w:lang w:eastAsia="en-US"/>
        </w:rPr>
        <w:t>RECURRENTE</w:t>
      </w:r>
      <w:r w:rsidRPr="00521B6E">
        <w:rPr>
          <w:rFonts w:ascii="Palatino Linotype" w:eastAsia="Palatino Linotype" w:hAnsi="Palatino Linotype" w:cs="Palatino Linotype"/>
          <w:lang w:eastAsia="en-US"/>
        </w:rPr>
        <w:t xml:space="preserve"> en sus razones o motivos de inconformidad, de acue</w:t>
      </w:r>
      <w:r w:rsidR="00B7616D">
        <w:rPr>
          <w:rFonts w:ascii="Palatino Linotype" w:eastAsia="Palatino Linotype" w:hAnsi="Palatino Linotype" w:cs="Palatino Linotype"/>
          <w:lang w:eastAsia="en-US"/>
        </w:rPr>
        <w:t>rdo al artículo 179, fracción III</w:t>
      </w:r>
      <w:r w:rsidRPr="00521B6E">
        <w:rPr>
          <w:rFonts w:ascii="Palatino Linotype" w:eastAsia="Palatino Linotype" w:hAnsi="Palatino Linotype" w:cs="Palatino Linotype"/>
          <w:lang w:eastAsia="en-US"/>
        </w:rPr>
        <w:t xml:space="preserve"> de la Ley de Transparencia y Acceso a la Información Pública del Estado de México y Municipios; que a la letra dice:</w:t>
      </w:r>
    </w:p>
    <w:p w14:paraId="6AE3C7F3" w14:textId="77777777" w:rsidR="00521B6E" w:rsidRPr="00521B6E" w:rsidRDefault="00521B6E" w:rsidP="00521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lang w:eastAsia="en-US"/>
        </w:rPr>
      </w:pPr>
      <w:r w:rsidRPr="00521B6E">
        <w:rPr>
          <w:rFonts w:ascii="Palatino Linotype" w:eastAsia="Palatino Linotype" w:hAnsi="Palatino Linotype" w:cs="Palatino Linotype"/>
          <w:b/>
          <w:i/>
          <w:sz w:val="22"/>
          <w:szCs w:val="22"/>
          <w:lang w:eastAsia="en-US"/>
        </w:rPr>
        <w:t>“Artículo 179</w:t>
      </w:r>
      <w:r w:rsidRPr="00521B6E">
        <w:rPr>
          <w:rFonts w:ascii="Palatino Linotype" w:eastAsia="Palatino Linotype" w:hAnsi="Palatino Linotype" w:cs="Palatino Linotype"/>
          <w:i/>
          <w:sz w:val="22"/>
          <w:szCs w:val="22"/>
          <w:lang w:eastAsia="en-US"/>
        </w:rPr>
        <w:t xml:space="preserve">. </w:t>
      </w:r>
      <w:r w:rsidRPr="00521B6E">
        <w:rPr>
          <w:rFonts w:ascii="Palatino Linotype" w:eastAsia="Palatino Linotype" w:hAnsi="Palatino Linotype" w:cs="Palatino Linotype"/>
          <w:b/>
          <w:i/>
          <w:sz w:val="22"/>
          <w:szCs w:val="22"/>
          <w:lang w:eastAsia="en-US"/>
        </w:rPr>
        <w:t>El recurso de revisión</w:t>
      </w:r>
      <w:r w:rsidRPr="00521B6E">
        <w:rPr>
          <w:rFonts w:ascii="Palatino Linotype" w:eastAsia="Palatino Linotype" w:hAnsi="Palatino Linotype" w:cs="Palatino Linotype"/>
          <w:i/>
          <w:sz w:val="22"/>
          <w:szCs w:val="22"/>
          <w:lang w:eastAsia="en-US"/>
        </w:rPr>
        <w:t xml:space="preserve"> es un medio de protección que la Ley otorga a los particulares, para hacer valer su derecho de acceso a la información pública</w:t>
      </w:r>
      <w:r w:rsidRPr="00521B6E">
        <w:rPr>
          <w:rFonts w:ascii="Palatino Linotype" w:eastAsia="Palatino Linotype" w:hAnsi="Palatino Linotype" w:cs="Palatino Linotype"/>
          <w:b/>
          <w:i/>
          <w:sz w:val="22"/>
          <w:szCs w:val="22"/>
          <w:lang w:eastAsia="en-US"/>
        </w:rPr>
        <w:t>, y procederá en contra de las siguientes causas</w:t>
      </w:r>
      <w:r w:rsidRPr="00521B6E">
        <w:rPr>
          <w:rFonts w:ascii="Palatino Linotype" w:eastAsia="Palatino Linotype" w:hAnsi="Palatino Linotype" w:cs="Palatino Linotype"/>
          <w:i/>
          <w:sz w:val="22"/>
          <w:szCs w:val="22"/>
          <w:lang w:eastAsia="en-US"/>
        </w:rPr>
        <w:t>:</w:t>
      </w:r>
    </w:p>
    <w:p w14:paraId="3F7AB661" w14:textId="77777777" w:rsidR="00521B6E" w:rsidRPr="002F7A84" w:rsidRDefault="00521B6E" w:rsidP="002F7A8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lang w:eastAsia="en-US"/>
        </w:rPr>
      </w:pPr>
      <w:r w:rsidRPr="00521B6E">
        <w:rPr>
          <w:rFonts w:ascii="Palatino Linotype" w:eastAsia="Palatino Linotype" w:hAnsi="Palatino Linotype" w:cs="Palatino Linotype"/>
          <w:i/>
          <w:sz w:val="22"/>
          <w:szCs w:val="22"/>
          <w:lang w:eastAsia="en-US"/>
        </w:rPr>
        <w:t>I</w:t>
      </w:r>
      <w:r>
        <w:rPr>
          <w:rFonts w:ascii="Palatino Linotype" w:eastAsia="Palatino Linotype" w:hAnsi="Palatino Linotype" w:cs="Palatino Linotype"/>
          <w:i/>
          <w:sz w:val="22"/>
          <w:szCs w:val="22"/>
          <w:lang w:eastAsia="en-US"/>
        </w:rPr>
        <w:t>II</w:t>
      </w:r>
      <w:r w:rsidRPr="00521B6E">
        <w:rPr>
          <w:rFonts w:ascii="Palatino Linotype" w:eastAsia="Palatino Linotype" w:hAnsi="Palatino Linotype" w:cs="Palatino Linotype"/>
          <w:i/>
          <w:sz w:val="22"/>
          <w:szCs w:val="22"/>
          <w:lang w:eastAsia="en-US"/>
        </w:rPr>
        <w:t>. La declaración de in</w:t>
      </w:r>
      <w:r>
        <w:rPr>
          <w:rFonts w:ascii="Palatino Linotype" w:eastAsia="Palatino Linotype" w:hAnsi="Palatino Linotype" w:cs="Palatino Linotype"/>
          <w:i/>
          <w:sz w:val="22"/>
          <w:szCs w:val="22"/>
          <w:lang w:eastAsia="en-US"/>
        </w:rPr>
        <w:t xml:space="preserve">existencia </w:t>
      </w:r>
      <w:r w:rsidR="00B70C23">
        <w:rPr>
          <w:rFonts w:ascii="Palatino Linotype" w:eastAsia="Palatino Linotype" w:hAnsi="Palatino Linotype" w:cs="Palatino Linotype"/>
          <w:i/>
          <w:sz w:val="22"/>
          <w:szCs w:val="22"/>
          <w:lang w:eastAsia="en-US"/>
        </w:rPr>
        <w:t>de la información</w:t>
      </w:r>
      <w:r w:rsidRPr="00521B6E">
        <w:rPr>
          <w:rFonts w:ascii="Palatino Linotype" w:eastAsia="Palatino Linotype" w:hAnsi="Palatino Linotype" w:cs="Palatino Linotype"/>
          <w:i/>
          <w:sz w:val="22"/>
          <w:szCs w:val="22"/>
          <w:lang w:eastAsia="en-US"/>
        </w:rPr>
        <w:t xml:space="preserve">;” (Sic) </w:t>
      </w:r>
    </w:p>
    <w:p w14:paraId="61B37FE0" w14:textId="77777777" w:rsidR="005419D3" w:rsidRPr="00B70C23" w:rsidRDefault="005419D3" w:rsidP="00B70C23">
      <w:pPr>
        <w:spacing w:line="360" w:lineRule="auto"/>
        <w:jc w:val="both"/>
        <w:rPr>
          <w:rFonts w:ascii="Palatino Linotype" w:eastAsia="Palatino Linotype" w:hAnsi="Palatino Linotype" w:cs="Palatino Linotype"/>
          <w:lang w:eastAsia="en-US"/>
        </w:rPr>
      </w:pPr>
      <w:r>
        <w:rPr>
          <w:rFonts w:ascii="Palatino Linotype" w:hAnsi="Palatino Linotype" w:cs="Arial"/>
          <w:b/>
        </w:rPr>
        <w:t>Tercero</w:t>
      </w:r>
      <w:r w:rsidRPr="00AD2E75">
        <w:rPr>
          <w:rFonts w:ascii="Palatino Linotype" w:hAnsi="Palatino Linotype" w:cs="Arial"/>
          <w:b/>
        </w:rPr>
        <w:t xml:space="preserve">. Materia de la revisión. </w:t>
      </w:r>
      <w:r w:rsidR="00B70C23" w:rsidRPr="00B70C23">
        <w:rPr>
          <w:rFonts w:ascii="Palatino Linotype" w:eastAsia="Palatino Linotype" w:hAnsi="Palatino Linotype" w:cs="Palatino Linotype"/>
          <w:lang w:eastAsia="en-US"/>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00B70C23" w:rsidRPr="00B70C23">
        <w:rPr>
          <w:rFonts w:ascii="Palatino Linotype" w:eastAsia="Palatino Linotype" w:hAnsi="Palatino Linotype" w:cs="Palatino Linotype"/>
          <w:b/>
          <w:lang w:eastAsia="en-US"/>
        </w:rPr>
        <w:t>SUJETO OBLIGADO</w:t>
      </w:r>
      <w:r w:rsidR="00B70C23" w:rsidRPr="00B70C23">
        <w:rPr>
          <w:rFonts w:ascii="Palatino Linotype" w:eastAsia="Palatino Linotype" w:hAnsi="Palatino Linotype" w:cs="Palatino Linotype"/>
          <w:lang w:eastAsia="en-US"/>
        </w:rPr>
        <w:t xml:space="preserve"> es adecuada y suficiente para satisfacer el derecho de acceso a la información pública de la parte </w:t>
      </w:r>
      <w:r w:rsidR="00B70C23" w:rsidRPr="00B70C23">
        <w:rPr>
          <w:rFonts w:ascii="Palatino Linotype" w:eastAsia="Palatino Linotype" w:hAnsi="Palatino Linotype" w:cs="Palatino Linotype"/>
          <w:b/>
          <w:lang w:eastAsia="en-US"/>
        </w:rPr>
        <w:t>RECURRENTE</w:t>
      </w:r>
      <w:r w:rsidR="00B70C23" w:rsidRPr="00B70C23">
        <w:rPr>
          <w:rFonts w:ascii="Palatino Linotype" w:eastAsia="Palatino Linotype" w:hAnsi="Palatino Linotype" w:cs="Palatino Linotype"/>
          <w:lang w:eastAsia="en-US"/>
        </w:rPr>
        <w:t xml:space="preserve">, o en su defecto, en caso de ser procedente, ordenar la </w:t>
      </w:r>
      <w:r w:rsidR="00B70C23">
        <w:rPr>
          <w:rFonts w:ascii="Palatino Linotype" w:eastAsia="Palatino Linotype" w:hAnsi="Palatino Linotype" w:cs="Palatino Linotype"/>
          <w:lang w:eastAsia="en-US"/>
        </w:rPr>
        <w:t>entrega de información oportuna</w:t>
      </w:r>
    </w:p>
    <w:p w14:paraId="3E3DB002" w14:textId="77777777" w:rsidR="00AF2860" w:rsidRPr="003A43A4" w:rsidRDefault="005419D3" w:rsidP="003A43A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eastAsia="en-US"/>
        </w:rPr>
      </w:pPr>
      <w:r>
        <w:rPr>
          <w:rFonts w:ascii="Palatino Linotype" w:hAnsi="Palatino Linotype" w:cs="Arial"/>
          <w:b/>
        </w:rPr>
        <w:t>Cuar</w:t>
      </w:r>
      <w:r w:rsidRPr="009A7BF4">
        <w:rPr>
          <w:rFonts w:ascii="Palatino Linotype" w:hAnsi="Palatino Linotype" w:cs="Arial"/>
          <w:b/>
        </w:rPr>
        <w:t xml:space="preserve">to. Estudio del asunto. </w:t>
      </w:r>
      <w:r w:rsidR="003A43A4" w:rsidRPr="003A43A4">
        <w:rPr>
          <w:rFonts w:ascii="Palatino Linotype" w:eastAsia="Palatino Linotype" w:hAnsi="Palatino Linotype" w:cs="Palatino Linotype"/>
          <w:color w:val="000000"/>
          <w:lang w:eastAsia="en-US"/>
        </w:rPr>
        <w:t xml:space="preserve">Del análisis de la solicitud de información, motivo del recurso de revisión que ahora se resuelve se advierte que la parte </w:t>
      </w:r>
      <w:r w:rsidR="003A43A4" w:rsidRPr="003A43A4">
        <w:rPr>
          <w:rFonts w:ascii="Palatino Linotype" w:eastAsia="Palatino Linotype" w:hAnsi="Palatino Linotype" w:cs="Palatino Linotype"/>
          <w:b/>
          <w:color w:val="000000"/>
          <w:lang w:eastAsia="en-US"/>
        </w:rPr>
        <w:t>RECURRENTE</w:t>
      </w:r>
      <w:r w:rsidR="003A43A4" w:rsidRPr="003A43A4">
        <w:rPr>
          <w:rFonts w:ascii="Palatino Linotype" w:eastAsia="Palatino Linotype" w:hAnsi="Palatino Linotype" w:cs="Palatino Linotype"/>
          <w:color w:val="000000"/>
          <w:lang w:eastAsia="en-US"/>
        </w:rPr>
        <w:t xml:space="preserve"> requirió al </w:t>
      </w:r>
      <w:r w:rsidR="003A43A4" w:rsidRPr="003A43A4">
        <w:rPr>
          <w:rFonts w:ascii="Palatino Linotype" w:eastAsia="Palatino Linotype" w:hAnsi="Palatino Linotype" w:cs="Palatino Linotype"/>
          <w:b/>
          <w:color w:val="000000"/>
          <w:lang w:eastAsia="en-US"/>
        </w:rPr>
        <w:t>SUJETO OBLIGADO</w:t>
      </w:r>
      <w:r w:rsidR="003A43A4" w:rsidRPr="003A43A4">
        <w:rPr>
          <w:rFonts w:ascii="Palatino Linotype" w:eastAsia="Palatino Linotype" w:hAnsi="Palatino Linotype" w:cs="Palatino Linotype"/>
          <w:color w:val="000000"/>
          <w:lang w:eastAsia="en-US"/>
        </w:rPr>
        <w:t xml:space="preserve"> le proporcione, toda la información relacionada con el </w:t>
      </w:r>
      <w:r w:rsidR="003A43A4" w:rsidRPr="003A43A4">
        <w:rPr>
          <w:rFonts w:ascii="Palatino Linotype" w:eastAsia="Palatino Linotype" w:hAnsi="Palatino Linotype" w:cs="Palatino Linotype"/>
          <w:b/>
          <w:i/>
          <w:color w:val="000000"/>
          <w:lang w:eastAsia="en-US"/>
        </w:rPr>
        <w:t>diferendo con el Municipio de Acolman por el asunto de límites territoriales.</w:t>
      </w:r>
      <w:r w:rsidR="003A43A4" w:rsidRPr="003A43A4">
        <w:rPr>
          <w:rFonts w:ascii="Palatino Linotype" w:eastAsia="Palatino Linotype" w:hAnsi="Palatino Linotype" w:cs="Palatino Linotype"/>
          <w:color w:val="000000"/>
          <w:lang w:eastAsia="en-US"/>
        </w:rPr>
        <w:t xml:space="preserve"> </w:t>
      </w:r>
      <w:r w:rsidR="003A43A4" w:rsidRPr="003A43A4">
        <w:rPr>
          <w:rFonts w:ascii="Palatino Linotype" w:eastAsia="Palatino Linotype" w:hAnsi="Palatino Linotype" w:cs="Palatino Linotype"/>
          <w:lang w:eastAsia="en-US"/>
        </w:rPr>
        <w:t>Requiere</w:t>
      </w:r>
      <w:r w:rsidR="003A43A4" w:rsidRPr="003A43A4">
        <w:rPr>
          <w:rFonts w:ascii="Palatino Linotype" w:eastAsia="Palatino Linotype" w:hAnsi="Palatino Linotype" w:cs="Palatino Linotype"/>
          <w:color w:val="000000"/>
          <w:lang w:eastAsia="en-US"/>
        </w:rPr>
        <w:t xml:space="preserve"> que el periodo de la información abarque del año 2000 a la fecha.</w:t>
      </w:r>
    </w:p>
    <w:p w14:paraId="5F960B53" w14:textId="77777777" w:rsidR="003A43A4" w:rsidRPr="003A43A4" w:rsidRDefault="003A43A4" w:rsidP="003A43A4">
      <w:pPr>
        <w:spacing w:before="240" w:after="240" w:line="360" w:lineRule="auto"/>
        <w:jc w:val="both"/>
        <w:rPr>
          <w:rFonts w:ascii="Palatino Linotype" w:eastAsia="Palatino Linotype" w:hAnsi="Palatino Linotype" w:cs="Palatino Linotype"/>
          <w:lang w:eastAsia="en-US"/>
        </w:rPr>
      </w:pPr>
      <w:r w:rsidRPr="003A43A4">
        <w:rPr>
          <w:rFonts w:ascii="Palatino Linotype" w:eastAsia="Palatino Linotype" w:hAnsi="Palatino Linotype" w:cs="Palatino Linotype"/>
          <w:color w:val="000000"/>
          <w:lang w:eastAsia="en-US"/>
        </w:rPr>
        <w:t xml:space="preserve">En respuesta, el </w:t>
      </w:r>
      <w:r w:rsidRPr="003A43A4">
        <w:rPr>
          <w:rFonts w:ascii="Palatino Linotype" w:eastAsia="Palatino Linotype" w:hAnsi="Palatino Linotype" w:cs="Palatino Linotype"/>
          <w:b/>
          <w:color w:val="000000"/>
          <w:lang w:eastAsia="en-US"/>
        </w:rPr>
        <w:t xml:space="preserve">SUJETO OBLIGADO </w:t>
      </w:r>
      <w:r w:rsidR="000F2C3D">
        <w:rPr>
          <w:rFonts w:ascii="Palatino Linotype" w:eastAsia="Palatino Linotype" w:hAnsi="Palatino Linotype" w:cs="Palatino Linotype"/>
          <w:lang w:eastAsia="en-US"/>
        </w:rPr>
        <w:t xml:space="preserve"> a través de la Dirección de Desarrollo Urbano y Obras Públicas </w:t>
      </w:r>
      <w:r w:rsidR="009A61F8" w:rsidRPr="003A43A4">
        <w:rPr>
          <w:rFonts w:ascii="Palatino Linotype" w:eastAsia="Palatino Linotype" w:hAnsi="Palatino Linotype" w:cs="Palatino Linotype"/>
          <w:color w:val="000000"/>
          <w:lang w:eastAsia="en-US"/>
        </w:rPr>
        <w:t xml:space="preserve">que en referencia al diferendo limítrofe con el Municipio de Acolman, después de haber realizado una búsqueda exhaustiva  y razonable en los archivos de la subdirección de desarrollo urbano no se encontró información referente al tema solicitado </w:t>
      </w:r>
      <w:r w:rsidR="009A61F8">
        <w:rPr>
          <w:rFonts w:ascii="Palatino Linotype" w:eastAsia="Palatino Linotype" w:hAnsi="Palatino Linotype" w:cs="Palatino Linotype"/>
          <w:lang w:eastAsia="en-US"/>
        </w:rPr>
        <w:t>desde el año 2000</w:t>
      </w:r>
      <w:r w:rsidRPr="003A43A4">
        <w:rPr>
          <w:rFonts w:ascii="Palatino Linotype" w:eastAsia="Palatino Linotype" w:hAnsi="Palatino Linotype" w:cs="Palatino Linotype"/>
          <w:lang w:eastAsia="en-US"/>
        </w:rPr>
        <w:t xml:space="preserve">. </w:t>
      </w:r>
    </w:p>
    <w:p w14:paraId="1A3D5DC0" w14:textId="77777777" w:rsidR="003A43A4" w:rsidRPr="003A43A4" w:rsidRDefault="003A43A4" w:rsidP="003A43A4">
      <w:pPr>
        <w:spacing w:before="240" w:after="240" w:line="360" w:lineRule="auto"/>
        <w:jc w:val="both"/>
        <w:rPr>
          <w:rFonts w:ascii="Palatino Linotype" w:eastAsia="Palatino Linotype" w:hAnsi="Palatino Linotype" w:cs="Palatino Linotype"/>
          <w:lang w:eastAsia="en-US"/>
        </w:rPr>
      </w:pPr>
      <w:r w:rsidRPr="003A43A4">
        <w:rPr>
          <w:rFonts w:ascii="Palatino Linotype" w:eastAsia="Palatino Linotype" w:hAnsi="Palatino Linotype" w:cs="Palatino Linotype"/>
          <w:lang w:eastAsia="en-US"/>
        </w:rPr>
        <w:t xml:space="preserve">Ante la respuesta el </w:t>
      </w:r>
      <w:r w:rsidRPr="003A43A4">
        <w:rPr>
          <w:rFonts w:ascii="Palatino Linotype" w:eastAsia="Palatino Linotype" w:hAnsi="Palatino Linotype" w:cs="Palatino Linotype"/>
          <w:b/>
          <w:lang w:eastAsia="en-US"/>
        </w:rPr>
        <w:t>RECURRENTE</w:t>
      </w:r>
      <w:r w:rsidRPr="003A43A4">
        <w:rPr>
          <w:rFonts w:ascii="Palatino Linotype" w:eastAsia="Palatino Linotype" w:hAnsi="Palatino Linotype" w:cs="Palatino Linotype"/>
          <w:lang w:eastAsia="en-US"/>
        </w:rPr>
        <w:t xml:space="preserve">, se inconformó en lo medular por la negativa de la información solicitada. </w:t>
      </w:r>
    </w:p>
    <w:p w14:paraId="3F42461F" w14:textId="77777777" w:rsidR="006413C9" w:rsidRDefault="003A43A4" w:rsidP="001A7BE3">
      <w:pPr>
        <w:spacing w:before="240" w:after="240" w:line="360" w:lineRule="auto"/>
        <w:jc w:val="both"/>
        <w:rPr>
          <w:rFonts w:ascii="Palatino Linotype" w:eastAsia="Palatino Linotype" w:hAnsi="Palatino Linotype" w:cs="Palatino Linotype"/>
          <w:lang w:eastAsia="en-US"/>
        </w:rPr>
      </w:pPr>
      <w:r w:rsidRPr="003A43A4">
        <w:rPr>
          <w:rFonts w:ascii="Palatino Linotype" w:eastAsia="Palatino Linotype" w:hAnsi="Palatino Linotype" w:cs="Palatino Linotype"/>
          <w:lang w:eastAsia="en-US"/>
        </w:rPr>
        <w:t xml:space="preserve">Una vez notificado el Recurso de Revisión, el </w:t>
      </w:r>
      <w:r w:rsidRPr="003A43A4">
        <w:rPr>
          <w:rFonts w:ascii="Palatino Linotype" w:eastAsia="Palatino Linotype" w:hAnsi="Palatino Linotype" w:cs="Palatino Linotype"/>
          <w:b/>
          <w:lang w:eastAsia="en-US"/>
        </w:rPr>
        <w:t>SUJETO OBLIGADO</w:t>
      </w:r>
      <w:r w:rsidRPr="003A43A4">
        <w:rPr>
          <w:rFonts w:ascii="Palatino Linotype" w:eastAsia="Palatino Linotype" w:hAnsi="Palatino Linotype" w:cs="Palatino Linotype"/>
          <w:lang w:eastAsia="en-US"/>
        </w:rPr>
        <w:t xml:space="preserve"> rindió su informe justificado</w:t>
      </w:r>
      <w:r w:rsidR="006413C9">
        <w:rPr>
          <w:rFonts w:ascii="Palatino Linotype" w:eastAsia="Palatino Linotype" w:hAnsi="Palatino Linotype" w:cs="Palatino Linotype"/>
          <w:lang w:eastAsia="en-US"/>
        </w:rPr>
        <w:t xml:space="preserve"> y mediante la sesión extraordinaria del comité de transparencia hace el acuerdo para clasificar la información como reservada.  </w:t>
      </w:r>
      <w:r w:rsidRPr="003A43A4">
        <w:rPr>
          <w:rFonts w:ascii="Palatino Linotype" w:eastAsia="Palatino Linotype" w:hAnsi="Palatino Linotype" w:cs="Palatino Linotype"/>
          <w:lang w:eastAsia="en-US"/>
        </w:rPr>
        <w:t xml:space="preserve"> </w:t>
      </w:r>
    </w:p>
    <w:p w14:paraId="6C88F604" w14:textId="77777777" w:rsidR="003A43A4" w:rsidRPr="003A43A4" w:rsidRDefault="006413C9" w:rsidP="001A7BE3">
      <w:pPr>
        <w:spacing w:before="240" w:after="240" w:line="360" w:lineRule="auto"/>
        <w:jc w:val="both"/>
        <w:rPr>
          <w:rFonts w:ascii="Palatino Linotype" w:eastAsia="Palatino Linotype" w:hAnsi="Palatino Linotype" w:cs="Palatino Linotype"/>
          <w:lang w:eastAsia="en-US"/>
        </w:rPr>
      </w:pPr>
      <w:r>
        <w:rPr>
          <w:rFonts w:ascii="Palatino Linotype" w:eastAsia="Palatino Linotype" w:hAnsi="Palatino Linotype" w:cs="Palatino Linotype"/>
          <w:lang w:eastAsia="en-US"/>
        </w:rPr>
        <w:t>E</w:t>
      </w:r>
      <w:r w:rsidR="003A43A4" w:rsidRPr="003A43A4">
        <w:rPr>
          <w:rFonts w:ascii="Palatino Linotype" w:eastAsia="Palatino Linotype" w:hAnsi="Palatino Linotype" w:cs="Palatino Linotype"/>
          <w:lang w:eastAsia="en-US"/>
        </w:rPr>
        <w:t xml:space="preserve">n tal contexto, del análisis de las constancias que integran el expediente en que se actúa, así como de la materia sobre la que versa la solicitud de acceso a la información pública, se advierten que los motivos de inconformidad acontecen parcialmente fundados para revocar la respuesta del </w:t>
      </w:r>
      <w:r w:rsidR="003A43A4" w:rsidRPr="003A43A4">
        <w:rPr>
          <w:rFonts w:ascii="Palatino Linotype" w:eastAsia="Palatino Linotype" w:hAnsi="Palatino Linotype" w:cs="Palatino Linotype"/>
          <w:b/>
          <w:lang w:eastAsia="en-US"/>
        </w:rPr>
        <w:t>SUJETO OBLIGADO</w:t>
      </w:r>
      <w:r w:rsidR="003A43A4" w:rsidRPr="003A43A4">
        <w:rPr>
          <w:rFonts w:ascii="Palatino Linotype" w:eastAsia="Palatino Linotype" w:hAnsi="Palatino Linotype" w:cs="Palatino Linotype"/>
          <w:lang w:eastAsia="en-US"/>
        </w:rPr>
        <w:t xml:space="preserve"> en razón de las consideraciones de derecho que a continuación se exponen:</w:t>
      </w:r>
    </w:p>
    <w:p w14:paraId="5D52E0BA" w14:textId="77777777" w:rsidR="003A43A4" w:rsidRDefault="003A43A4" w:rsidP="003A43A4">
      <w:pPr>
        <w:spacing w:before="240" w:after="240" w:line="360" w:lineRule="auto"/>
        <w:jc w:val="both"/>
        <w:rPr>
          <w:rFonts w:ascii="Palatino Linotype" w:eastAsia="Palatino Linotype" w:hAnsi="Palatino Linotype" w:cs="Palatino Linotype"/>
          <w:lang w:eastAsia="en-US"/>
        </w:rPr>
      </w:pPr>
      <w:r w:rsidRPr="003A43A4">
        <w:rPr>
          <w:rFonts w:ascii="Palatino Linotype" w:eastAsia="Palatino Linotype" w:hAnsi="Palatino Linotype" w:cs="Palatino Linotype"/>
          <w:lang w:eastAsia="en-US"/>
        </w:rPr>
        <w:t xml:space="preserve">Es conveniente analizar si la respuesta del </w:t>
      </w:r>
      <w:r w:rsidRPr="003A43A4">
        <w:rPr>
          <w:rFonts w:ascii="Palatino Linotype" w:eastAsia="Palatino Linotype" w:hAnsi="Palatino Linotype" w:cs="Palatino Linotype"/>
          <w:b/>
          <w:lang w:eastAsia="en-US"/>
        </w:rPr>
        <w:t>SUJETO OBLIGADO</w:t>
      </w:r>
      <w:r w:rsidRPr="003A43A4">
        <w:rPr>
          <w:rFonts w:ascii="Palatino Linotype" w:eastAsia="Palatino Linotype" w:hAnsi="Palatino Linotype" w:cs="Palatino Linotype"/>
          <w:lang w:eastAsia="en-US"/>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F84215A" w14:textId="77777777" w:rsidR="003A43A4" w:rsidRPr="003A43A4" w:rsidRDefault="003A43A4" w:rsidP="003A43A4">
      <w:pPr>
        <w:spacing w:after="160" w:line="259" w:lineRule="auto"/>
        <w:ind w:left="851" w:right="900"/>
        <w:jc w:val="both"/>
        <w:rPr>
          <w:rFonts w:ascii="Palatino Linotype" w:eastAsia="Palatino Linotype" w:hAnsi="Palatino Linotype" w:cs="Palatino Linotype"/>
          <w:i/>
          <w:sz w:val="22"/>
          <w:szCs w:val="22"/>
          <w:lang w:eastAsia="en-US"/>
        </w:rPr>
      </w:pPr>
      <w:r w:rsidRPr="003A43A4">
        <w:rPr>
          <w:rFonts w:ascii="Palatino Linotype" w:eastAsia="Palatino Linotype" w:hAnsi="Palatino Linotype" w:cs="Palatino Linotype"/>
          <w:i/>
          <w:sz w:val="22"/>
          <w:szCs w:val="22"/>
          <w:lang w:eastAsia="en-US"/>
        </w:rPr>
        <w:t>“</w:t>
      </w:r>
      <w:r w:rsidRPr="003A43A4">
        <w:rPr>
          <w:rFonts w:ascii="Palatino Linotype" w:eastAsia="Palatino Linotype" w:hAnsi="Palatino Linotype" w:cs="Palatino Linotype"/>
          <w:b/>
          <w:i/>
          <w:sz w:val="22"/>
          <w:szCs w:val="22"/>
          <w:lang w:eastAsia="en-US"/>
        </w:rPr>
        <w:t>Artículo 4.</w:t>
      </w:r>
      <w:r w:rsidRPr="003A43A4">
        <w:rPr>
          <w:rFonts w:ascii="Palatino Linotype" w:eastAsia="Palatino Linotype" w:hAnsi="Palatino Linotype" w:cs="Palatino Linotype"/>
          <w:i/>
          <w:sz w:val="22"/>
          <w:szCs w:val="22"/>
          <w:lang w:eastAsia="en-U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00551C" w14:textId="77777777" w:rsidR="003A43A4" w:rsidRPr="003A43A4" w:rsidRDefault="003A43A4" w:rsidP="003A43A4">
      <w:pPr>
        <w:spacing w:after="160" w:line="259" w:lineRule="auto"/>
        <w:ind w:left="851" w:right="900"/>
        <w:jc w:val="both"/>
        <w:rPr>
          <w:rFonts w:ascii="Palatino Linotype" w:eastAsia="Palatino Linotype" w:hAnsi="Palatino Linotype" w:cs="Palatino Linotype"/>
          <w:sz w:val="22"/>
          <w:szCs w:val="22"/>
          <w:lang w:eastAsia="en-US"/>
        </w:rPr>
      </w:pPr>
      <w:r w:rsidRPr="003A43A4">
        <w:rPr>
          <w:rFonts w:ascii="Palatino Linotype" w:eastAsia="Palatino Linotype" w:hAnsi="Palatino Linotype" w:cs="Palatino Linotype"/>
          <w:b/>
          <w:i/>
          <w:sz w:val="22"/>
          <w:szCs w:val="22"/>
          <w:lang w:eastAsia="en-US"/>
        </w:rPr>
        <w:t>Toda la información generada, obtenida, adquirida, transformada, administrada o en posesión de los sujetos obligados es pública y accesible de manera permanente a cualquier persona</w:t>
      </w:r>
      <w:r w:rsidRPr="003A43A4">
        <w:rPr>
          <w:rFonts w:ascii="Palatino Linotype" w:eastAsia="Palatino Linotype" w:hAnsi="Palatino Linotype" w:cs="Palatino Linotype"/>
          <w:i/>
          <w:sz w:val="22"/>
          <w:szCs w:val="22"/>
          <w:lang w:eastAsia="en-U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3A43A4">
        <w:rPr>
          <w:rFonts w:ascii="Palatino Linotype" w:eastAsia="Palatino Linotype" w:hAnsi="Palatino Linotype" w:cs="Palatino Linotype"/>
          <w:b/>
          <w:i/>
          <w:sz w:val="22"/>
          <w:szCs w:val="22"/>
          <w:lang w:eastAsia="en-US"/>
        </w:rPr>
        <w:t>Solo podrá ser clasificada excepcionalmente como reservada temporalmente por razones de interés público, en los términos de las causas legítimas y estrictamente necesarias previstas por esta Ley</w:t>
      </w:r>
      <w:r w:rsidRPr="003A43A4">
        <w:rPr>
          <w:rFonts w:ascii="Palatino Linotype" w:eastAsia="Palatino Linotype" w:hAnsi="Palatino Linotype" w:cs="Palatino Linotype"/>
          <w:i/>
          <w:sz w:val="22"/>
          <w:szCs w:val="22"/>
          <w:lang w:eastAsia="en-US"/>
        </w:rPr>
        <w:t>.”(Sic)</w:t>
      </w:r>
    </w:p>
    <w:p w14:paraId="76CDDDB9" w14:textId="77777777" w:rsidR="005419D3" w:rsidRDefault="005419D3" w:rsidP="005419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2BFF825" w14:textId="77777777" w:rsidR="005419D3" w:rsidRDefault="005419D3" w:rsidP="005419D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9F79B0" w14:textId="77777777" w:rsidR="005419D3" w:rsidRDefault="005419D3" w:rsidP="005419D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r w:rsidRPr="007A0C64">
        <w:rPr>
          <w:rFonts w:ascii="Palatino Linotype" w:eastAsia="Palatino Linotype" w:hAnsi="Palatino Linotype" w:cs="Palatino Linotype"/>
          <w:i/>
          <w:sz w:val="22"/>
          <w:szCs w:val="22"/>
        </w:rPr>
        <w:t>(Sic)</w:t>
      </w:r>
    </w:p>
    <w:p w14:paraId="660C0B09" w14:textId="77777777" w:rsidR="005419D3" w:rsidRDefault="005419D3" w:rsidP="005419D3">
      <w:pPr>
        <w:spacing w:line="360" w:lineRule="auto"/>
        <w:ind w:right="-93"/>
        <w:jc w:val="both"/>
        <w:rPr>
          <w:rFonts w:ascii="Palatino Linotype" w:eastAsia="Palatino Linotype" w:hAnsi="Palatino Linotype" w:cs="Palatino Linotype"/>
          <w:color w:val="000000"/>
        </w:rPr>
      </w:pPr>
    </w:p>
    <w:p w14:paraId="771037A6" w14:textId="77777777" w:rsidR="005419D3" w:rsidRDefault="005419D3" w:rsidP="001A7BE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w:t>
      </w:r>
    </w:p>
    <w:p w14:paraId="4433E446" w14:textId="77777777" w:rsidR="005419D3" w:rsidRDefault="005419D3" w:rsidP="001A7BE3">
      <w:pPr>
        <w:spacing w:line="360" w:lineRule="auto"/>
        <w:ind w:right="-93"/>
        <w:jc w:val="both"/>
        <w:rPr>
          <w:rFonts w:ascii="Palatino Linotype" w:eastAsia="Palatino Linotype" w:hAnsi="Palatino Linotype" w:cs="Palatino Linotype"/>
          <w:color w:val="000000"/>
        </w:rPr>
      </w:pPr>
    </w:p>
    <w:p w14:paraId="15C92CC5" w14:textId="77777777" w:rsidR="005419D3" w:rsidRDefault="005419D3" w:rsidP="001A7BE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61C74526" w14:textId="77777777" w:rsidR="005419D3" w:rsidRDefault="005419D3" w:rsidP="001A7BE3">
      <w:pPr>
        <w:spacing w:line="360" w:lineRule="auto"/>
        <w:ind w:left="851" w:right="850"/>
        <w:jc w:val="both"/>
        <w:rPr>
          <w:rFonts w:ascii="Palatino Linotype" w:hAnsi="Palatino Linotype" w:cs="Arial"/>
          <w:color w:val="000000"/>
        </w:rPr>
      </w:pPr>
    </w:p>
    <w:p w14:paraId="34B4BCDD" w14:textId="77777777" w:rsidR="005419D3" w:rsidRDefault="005419D3" w:rsidP="005419D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4BE4002" w14:textId="77777777" w:rsidR="005419D3" w:rsidRDefault="005419D3" w:rsidP="005419D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61AA3868" w14:textId="77777777" w:rsidR="005419D3" w:rsidRDefault="005419D3" w:rsidP="005419D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5A42EA03" w14:textId="77777777" w:rsidR="005419D3" w:rsidRDefault="005419D3" w:rsidP="005419D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54185512" w14:textId="77777777" w:rsidR="005419D3" w:rsidRDefault="005419D3" w:rsidP="005419D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44848787" w14:textId="77777777" w:rsidR="005419D3" w:rsidRDefault="005419D3" w:rsidP="005419D3">
      <w:pPr>
        <w:spacing w:line="360" w:lineRule="auto"/>
        <w:jc w:val="both"/>
        <w:rPr>
          <w:rFonts w:ascii="Palatino Linotype" w:hAnsi="Palatino Linotype" w:cs="Arial"/>
        </w:rPr>
      </w:pPr>
    </w:p>
    <w:p w14:paraId="2B5026C7" w14:textId="77777777" w:rsidR="005419D3" w:rsidRPr="00F45173" w:rsidRDefault="00F45173" w:rsidP="00F45173">
      <w:pPr>
        <w:spacing w:before="240" w:after="240" w:line="360" w:lineRule="auto"/>
        <w:jc w:val="both"/>
        <w:rPr>
          <w:rFonts w:ascii="Palatino Linotype" w:eastAsia="Palatino Linotype" w:hAnsi="Palatino Linotype" w:cs="Palatino Linotype"/>
          <w:lang w:eastAsia="en-US"/>
        </w:rPr>
      </w:pPr>
      <w:r w:rsidRPr="00F45173">
        <w:rPr>
          <w:rFonts w:ascii="Palatino Linotype" w:eastAsia="Palatino Linotype" w:hAnsi="Palatino Linotype" w:cs="Palatino Linotype"/>
          <w:lang w:eastAsia="en-US"/>
        </w:rPr>
        <w:t>Aunado a ello el artículo 24 de la Ley de la materia</w:t>
      </w:r>
      <w:r w:rsidRPr="00F45173">
        <w:rPr>
          <w:rFonts w:ascii="Palatino Linotype" w:eastAsia="Palatino Linotype" w:hAnsi="Palatino Linotype" w:cs="Palatino Linotype"/>
          <w:vertAlign w:val="superscript"/>
          <w:lang w:eastAsia="en-US"/>
        </w:rPr>
        <w:footnoteReference w:id="1"/>
      </w:r>
      <w:r w:rsidRPr="00F45173">
        <w:rPr>
          <w:rFonts w:ascii="Palatino Linotype" w:eastAsia="Palatino Linotype" w:hAnsi="Palatino Linotype" w:cs="Palatino Linotype"/>
          <w:lang w:eastAsia="en-US"/>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EC66E0" w14:textId="77777777" w:rsidR="005419D3" w:rsidRDefault="005419D3" w:rsidP="005419D3">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45173">
        <w:rPr>
          <w:rFonts w:ascii="Palatino Linotype" w:hAnsi="Palatino Linotype" w:cs="Arial"/>
          <w:b/>
        </w:rPr>
        <w:t>cualquier otro registro que documente el ejercicio de las facultades, funciones y competencias de los Sujetos Obligados;</w:t>
      </w:r>
      <w:r>
        <w:rPr>
          <w:rFonts w:ascii="Palatino Linotype" w:hAnsi="Palatino Linotype" w:cs="Arial"/>
        </w:rPr>
        <w:t xml:space="preserve"> los que, podrán estar en cualquier medio, sea escrito, impreso, sonoro, visual, electrónico, informático u holográfico de conformidad con el artículo 3, fracción XI de la Ley de la materia, el cual señala lo siguiente: </w:t>
      </w:r>
    </w:p>
    <w:p w14:paraId="54337D42" w14:textId="77777777" w:rsidR="005419D3" w:rsidRDefault="005419D3" w:rsidP="005419D3">
      <w:pPr>
        <w:ind w:left="851" w:right="899"/>
        <w:jc w:val="both"/>
        <w:rPr>
          <w:rFonts w:ascii="Palatino Linotype" w:hAnsi="Palatino Linotype" w:cs="Arial"/>
          <w:i/>
          <w:sz w:val="22"/>
          <w:szCs w:val="22"/>
        </w:rPr>
      </w:pPr>
    </w:p>
    <w:p w14:paraId="56593DAB" w14:textId="77777777" w:rsidR="005419D3" w:rsidRDefault="005419D3" w:rsidP="005419D3">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389FAA27" w14:textId="77777777" w:rsidR="005419D3" w:rsidRDefault="005419D3" w:rsidP="005419D3">
      <w:pPr>
        <w:ind w:left="851" w:right="899"/>
        <w:jc w:val="both"/>
        <w:rPr>
          <w:rFonts w:ascii="Palatino Linotype" w:hAnsi="Palatino Linotype" w:cs="Arial"/>
          <w:i/>
          <w:sz w:val="22"/>
          <w:szCs w:val="22"/>
        </w:rPr>
      </w:pPr>
      <w:r>
        <w:rPr>
          <w:rFonts w:ascii="Palatino Linotype" w:hAnsi="Palatino Linotype" w:cs="Arial"/>
          <w:i/>
          <w:sz w:val="22"/>
          <w:szCs w:val="22"/>
        </w:rPr>
        <w:t>…</w:t>
      </w:r>
    </w:p>
    <w:p w14:paraId="604F7C9F" w14:textId="77777777" w:rsidR="005419D3" w:rsidRDefault="005419D3" w:rsidP="005419D3">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46CD386" w14:textId="77777777" w:rsidR="005419D3" w:rsidRDefault="005419D3" w:rsidP="005419D3">
      <w:pPr>
        <w:ind w:left="851" w:right="899"/>
        <w:jc w:val="both"/>
        <w:rPr>
          <w:rFonts w:ascii="Palatino Linotype" w:hAnsi="Palatino Linotype" w:cs="Arial"/>
          <w:sz w:val="22"/>
          <w:szCs w:val="22"/>
        </w:rPr>
      </w:pPr>
    </w:p>
    <w:p w14:paraId="3DFBADDF" w14:textId="77777777" w:rsidR="005419D3" w:rsidRDefault="005419D3" w:rsidP="005419D3">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7B4A16F4" w14:textId="77777777" w:rsidR="005419D3" w:rsidRDefault="005419D3" w:rsidP="005419D3">
      <w:pPr>
        <w:ind w:left="851" w:right="899"/>
        <w:jc w:val="both"/>
        <w:rPr>
          <w:rFonts w:ascii="Palatino Linotype" w:hAnsi="Palatino Linotype" w:cs="Arial"/>
        </w:rPr>
      </w:pPr>
    </w:p>
    <w:p w14:paraId="645F91C3" w14:textId="77777777" w:rsidR="005419D3" w:rsidRDefault="005419D3" w:rsidP="005419D3">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4167E13F" w14:textId="77777777" w:rsidR="005419D3" w:rsidRDefault="005419D3" w:rsidP="005419D3">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9390DF2" w14:textId="77777777" w:rsidR="005419D3" w:rsidRDefault="005419D3" w:rsidP="005419D3">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2CD8D182" w14:textId="77777777" w:rsidR="005419D3" w:rsidRDefault="005419D3" w:rsidP="005419D3">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14EA44D7" w14:textId="77777777" w:rsidR="005419D3" w:rsidRDefault="005419D3" w:rsidP="005419D3">
      <w:pPr>
        <w:ind w:left="851" w:right="899"/>
        <w:jc w:val="both"/>
        <w:rPr>
          <w:rFonts w:ascii="Palatino Linotype" w:hAnsi="Palatino Linotype" w:cs="Arial"/>
          <w:b/>
          <w:i/>
          <w:sz w:val="22"/>
          <w:szCs w:val="22"/>
        </w:rPr>
      </w:pPr>
      <w:r>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7A5FB30F" w14:textId="77777777" w:rsidR="005419D3" w:rsidRDefault="005419D3" w:rsidP="005419D3">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4465472D" w14:textId="77777777" w:rsidR="005419D3" w:rsidRDefault="005419D3" w:rsidP="005419D3">
      <w:pPr>
        <w:spacing w:line="360" w:lineRule="auto"/>
        <w:ind w:right="-93"/>
        <w:jc w:val="both"/>
        <w:rPr>
          <w:rFonts w:ascii="Palatino Linotype" w:eastAsia="Palatino Linotype" w:hAnsi="Palatino Linotype" w:cs="Palatino Linotype"/>
          <w:color w:val="000000"/>
        </w:rPr>
      </w:pPr>
    </w:p>
    <w:p w14:paraId="7C686595" w14:textId="77777777" w:rsidR="005419D3" w:rsidRDefault="005419D3" w:rsidP="001A7BE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emitida por el Sujeto Obligado en su respuesta </w:t>
      </w:r>
      <w:r>
        <w:rPr>
          <w:rFonts w:ascii="Palatino Linotype" w:hAnsi="Palatino Linotype" w:cs="Arial"/>
        </w:rPr>
        <w:t>no cumple con lo establecido por los artículos 4, 12 y 24 último párrafo de la Ley de Transparencia y Acceso a la Información Pública del</w:t>
      </w:r>
      <w:r w:rsidR="004937F4">
        <w:rPr>
          <w:rFonts w:ascii="Palatino Linotype" w:hAnsi="Palatino Linotype" w:cs="Arial"/>
        </w:rPr>
        <w:t xml:space="preserve"> Estado de México y Municipios.</w:t>
      </w:r>
    </w:p>
    <w:p w14:paraId="4C0DF5F8" w14:textId="77777777" w:rsidR="005419D3" w:rsidRDefault="005419D3" w:rsidP="001A7BE3">
      <w:pPr>
        <w:spacing w:before="240" w:after="240" w:line="360" w:lineRule="auto"/>
        <w:contextualSpacing/>
        <w:jc w:val="both"/>
        <w:rPr>
          <w:rFonts w:ascii="Palatino Linotype" w:hAnsi="Palatino Linotype" w:cs="Arial"/>
        </w:rPr>
      </w:pPr>
    </w:p>
    <w:p w14:paraId="4EA21A36" w14:textId="77777777" w:rsidR="005419D3" w:rsidRPr="006A212E" w:rsidRDefault="005419D3" w:rsidP="001A7BE3">
      <w:pPr>
        <w:spacing w:line="360" w:lineRule="auto"/>
        <w:jc w:val="both"/>
        <w:rPr>
          <w:rFonts w:ascii="Palatino Linotype" w:hAnsi="Palatino Linotype" w:cs="Arial"/>
        </w:rPr>
      </w:pPr>
      <w:r w:rsidRPr="00394DD9">
        <w:rPr>
          <w:rFonts w:ascii="Palatino Linotype" w:hAnsi="Palatino Linotype" w:cs="Arial"/>
        </w:rPr>
        <w:t>En segundo lugar, es importante destacar que conforme a lo previsto en los artículos 6, apartado A, fracción I, de la Constitución Política de los Estados Unidos Mexicanos y 5, fracción I, de la Constitución Política del Estado Libre y Soberano de México, toda la información en posesión</w:t>
      </w:r>
      <w:r w:rsidRPr="00C12391">
        <w:rPr>
          <w:rFonts w:ascii="Palatino Linotype" w:hAnsi="Palatino Linotype" w:cs="Arial"/>
        </w:rPr>
        <w:t xml:space="preserve"> de cualquier autoridad, entidad, órgano y organismos de los Poderes Ejecutivo, Legislativo y Judicial, órganos autónomos, partidos políticos, fideicomisos y fondos públicos estatales y municipales, así como del gobierno y de la administración pública</w:t>
      </w:r>
      <w:r w:rsidRPr="006A212E">
        <w:rPr>
          <w:rFonts w:ascii="Palatino Linotype" w:hAnsi="Palatino Linotype" w:cs="Arial"/>
        </w:rPr>
        <w:t xml:space="preserve">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BD471C5" w14:textId="77777777" w:rsidR="00263F55" w:rsidRDefault="00263F55" w:rsidP="005419D3">
      <w:pPr>
        <w:spacing w:line="360" w:lineRule="auto"/>
        <w:jc w:val="both"/>
        <w:rPr>
          <w:rFonts w:ascii="Palatino Linotype" w:hAnsi="Palatino Linotype"/>
        </w:rPr>
      </w:pPr>
    </w:p>
    <w:p w14:paraId="601D5879" w14:textId="77777777" w:rsidR="005419D3" w:rsidRPr="006A212E" w:rsidRDefault="005419D3" w:rsidP="001A7BE3">
      <w:pPr>
        <w:spacing w:line="360" w:lineRule="auto"/>
        <w:jc w:val="both"/>
        <w:rPr>
          <w:rFonts w:ascii="Palatino Linotype" w:hAnsi="Palatino Linotype"/>
          <w:bCs/>
        </w:rPr>
      </w:pPr>
      <w:r w:rsidRPr="006A212E">
        <w:rPr>
          <w:rFonts w:ascii="Palatino Linotype" w:hAnsi="Palatino Linotype"/>
          <w:bCs/>
        </w:rPr>
        <w:t xml:space="preserve">Por todo lo anterior, la reserva de la información implica una clasificación, la cual debe entenderse como el proceso mediante el </w:t>
      </w:r>
      <w:r w:rsidRPr="00C12391">
        <w:rPr>
          <w:rFonts w:ascii="Palatino Linotype" w:hAnsi="Palatino Linotype"/>
          <w:bCs/>
        </w:rPr>
        <w:t>cual el Sujeto Obligado</w:t>
      </w:r>
      <w:r w:rsidRPr="006A212E">
        <w:rPr>
          <w:rFonts w:ascii="Palatino Linotype" w:hAnsi="Palatino Linotype"/>
          <w:bCs/>
        </w:rPr>
        <w:t xml:space="preserve"> determina que la i</w:t>
      </w:r>
      <w:r>
        <w:rPr>
          <w:rFonts w:ascii="Palatino Linotype" w:hAnsi="Palatino Linotype"/>
          <w:bCs/>
        </w:rPr>
        <w:t>nformación en su poder actualizar</w:t>
      </w:r>
      <w:r w:rsidRPr="006A212E">
        <w:rPr>
          <w:rFonts w:ascii="Palatino Linotype" w:hAnsi="Palatino Linotype"/>
          <w:bCs/>
        </w:rPr>
        <w:t xml:space="preserve"> alguno de los supuestos de reserva o confidencialidad, de conformidad con las </w:t>
      </w:r>
      <w:r>
        <w:rPr>
          <w:rFonts w:ascii="Palatino Linotype" w:hAnsi="Palatino Linotype"/>
          <w:bCs/>
        </w:rPr>
        <w:t>normas aplicables, en consecuencia, es que se analiza</w:t>
      </w:r>
      <w:r w:rsidRPr="006A212E">
        <w:rPr>
          <w:rFonts w:ascii="Palatino Linotype" w:hAnsi="Palatino Linotype"/>
          <w:bCs/>
        </w:rPr>
        <w:t xml:space="preserve"> </w:t>
      </w:r>
      <w:r>
        <w:rPr>
          <w:rFonts w:ascii="Palatino Linotype" w:hAnsi="Palatino Linotype"/>
          <w:bCs/>
        </w:rPr>
        <w:t xml:space="preserve">el </w:t>
      </w:r>
      <w:r>
        <w:rPr>
          <w:rFonts w:ascii="Palatino Linotype" w:eastAsiaTheme="minorEastAsia" w:hAnsi="Palatino Linotype" w:cs="Bookman Old Style"/>
        </w:rPr>
        <w:t>A</w:t>
      </w:r>
      <w:r w:rsidRPr="00800A05">
        <w:rPr>
          <w:rFonts w:ascii="Palatino Linotype" w:eastAsiaTheme="minorEastAsia" w:hAnsi="Palatino Linotype" w:cs="Bookman Old Style"/>
        </w:rPr>
        <w:t xml:space="preserve">cta de </w:t>
      </w:r>
      <w:r>
        <w:rPr>
          <w:rFonts w:ascii="Palatino Linotype" w:eastAsiaTheme="minorEastAsia" w:hAnsi="Palatino Linotype" w:cs="Bookman Old Style"/>
        </w:rPr>
        <w:t>S</w:t>
      </w:r>
      <w:r w:rsidRPr="00800A05">
        <w:rPr>
          <w:rFonts w:ascii="Palatino Linotype" w:eastAsiaTheme="minorEastAsia" w:hAnsi="Palatino Linotype" w:cs="Bookman Old Style"/>
        </w:rPr>
        <w:t>esión</w:t>
      </w:r>
      <w:r>
        <w:rPr>
          <w:rFonts w:ascii="Palatino Linotype" w:eastAsiaTheme="minorEastAsia" w:hAnsi="Palatino Linotype" w:cs="Bookman Old Style"/>
        </w:rPr>
        <w:t xml:space="preserve"> E</w:t>
      </w:r>
      <w:r w:rsidRPr="00800A05">
        <w:rPr>
          <w:rFonts w:ascii="Palatino Linotype" w:eastAsiaTheme="minorEastAsia" w:hAnsi="Palatino Linotype" w:cs="Bookman Old Style"/>
        </w:rPr>
        <w:t xml:space="preserve">xtraordinaria del </w:t>
      </w:r>
      <w:r>
        <w:rPr>
          <w:rFonts w:ascii="Palatino Linotype" w:eastAsiaTheme="minorEastAsia" w:hAnsi="Palatino Linotype" w:cs="Bookman Old Style"/>
        </w:rPr>
        <w:t>C</w:t>
      </w:r>
      <w:r w:rsidRPr="00800A05">
        <w:rPr>
          <w:rFonts w:ascii="Palatino Linotype" w:eastAsiaTheme="minorEastAsia" w:hAnsi="Palatino Linotype" w:cs="Bookman Old Style"/>
        </w:rPr>
        <w:t>omité</w:t>
      </w:r>
      <w:r>
        <w:rPr>
          <w:rFonts w:ascii="Palatino Linotype" w:eastAsiaTheme="minorEastAsia" w:hAnsi="Palatino Linotype" w:cs="Bookman Old Style"/>
        </w:rPr>
        <w:t xml:space="preserve"> de Transparencia y A</w:t>
      </w:r>
      <w:r w:rsidRPr="00800A05">
        <w:rPr>
          <w:rFonts w:ascii="Palatino Linotype" w:eastAsiaTheme="minorEastAsia" w:hAnsi="Palatino Linotype" w:cs="Bookman Old Style"/>
        </w:rPr>
        <w:t xml:space="preserve">cceso a la </w:t>
      </w:r>
      <w:r>
        <w:rPr>
          <w:rFonts w:ascii="Palatino Linotype" w:eastAsiaTheme="minorEastAsia" w:hAnsi="Palatino Linotype" w:cs="Bookman Old Style"/>
        </w:rPr>
        <w:t>I</w:t>
      </w:r>
      <w:r w:rsidRPr="00800A05">
        <w:rPr>
          <w:rFonts w:ascii="Palatino Linotype" w:eastAsiaTheme="minorEastAsia" w:hAnsi="Palatino Linotype" w:cs="Bookman Old Style"/>
        </w:rPr>
        <w:t xml:space="preserve">nformación </w:t>
      </w:r>
      <w:r w:rsidR="00063D11">
        <w:rPr>
          <w:rFonts w:ascii="Palatino Linotype" w:eastAsiaTheme="minorEastAsia" w:hAnsi="Palatino Linotype" w:cs="Bookman Old Style"/>
        </w:rPr>
        <w:t>Pública del Municipio de Ecatepec de Morelos,</w:t>
      </w:r>
      <w:r>
        <w:rPr>
          <w:rFonts w:ascii="Palatino Linotype" w:eastAsiaTheme="minorEastAsia" w:hAnsi="Palatino Linotype" w:cs="Bookman Old Style"/>
        </w:rPr>
        <w:t xml:space="preserve"> número </w:t>
      </w:r>
      <w:r w:rsidR="00063D11">
        <w:rPr>
          <w:rFonts w:ascii="Palatino Linotype" w:eastAsiaTheme="minorEastAsia" w:hAnsi="Palatino Linotype" w:cs="Bookman Old Style"/>
        </w:rPr>
        <w:t>ACT/CT/ECA/EXT/023</w:t>
      </w:r>
      <w:r>
        <w:rPr>
          <w:rFonts w:ascii="Palatino Linotype" w:eastAsiaTheme="minorEastAsia" w:hAnsi="Palatino Linotype" w:cs="Bookman Old Style"/>
        </w:rPr>
        <w:t>/202</w:t>
      </w:r>
      <w:r w:rsidR="00063D11">
        <w:rPr>
          <w:rFonts w:ascii="Palatino Linotype" w:eastAsiaTheme="minorEastAsia" w:hAnsi="Palatino Linotype" w:cs="Bookman Old Style"/>
        </w:rPr>
        <w:t>2</w:t>
      </w:r>
      <w:r>
        <w:rPr>
          <w:rFonts w:ascii="Palatino Linotype" w:eastAsiaTheme="minorEastAsia" w:hAnsi="Palatino Linotype" w:cs="Bookman Old Style"/>
        </w:rPr>
        <w:t xml:space="preserve">, </w:t>
      </w:r>
      <w:r w:rsidR="00063D11">
        <w:rPr>
          <w:rFonts w:ascii="Palatino Linotype" w:eastAsiaTheme="minorEastAsia" w:hAnsi="Palatino Linotype" w:cs="Bookman Old Style"/>
        </w:rPr>
        <w:t>señalada por el Sujeto Obligado al rendir su informe justificado</w:t>
      </w:r>
      <w:r>
        <w:rPr>
          <w:rFonts w:ascii="Palatino Linotype" w:eastAsiaTheme="minorEastAsia" w:hAnsi="Palatino Linotype" w:cs="Bookman Old Style"/>
        </w:rPr>
        <w:t>.</w:t>
      </w:r>
    </w:p>
    <w:p w14:paraId="60D805DA" w14:textId="77777777" w:rsidR="0072637B" w:rsidRPr="00731A81" w:rsidRDefault="00D1398D" w:rsidP="00D1398D">
      <w:pPr>
        <w:spacing w:before="240" w:after="240" w:line="360" w:lineRule="auto"/>
        <w:jc w:val="both"/>
        <w:rPr>
          <w:rFonts w:ascii="Palatino Linotype" w:eastAsia="Cambria" w:hAnsi="Palatino Linotype"/>
          <w:lang w:eastAsia="en-US"/>
        </w:rPr>
      </w:pPr>
      <w:r w:rsidRPr="00D1398D">
        <w:rPr>
          <w:rFonts w:ascii="Palatino Linotype" w:eastAsia="Cambria" w:hAnsi="Palatino Linotype" w:cs="Arial"/>
          <w:bCs/>
          <w:lang w:eastAsia="es-MX"/>
        </w:rPr>
        <w:t xml:space="preserve">Ahora </w:t>
      </w:r>
      <w:r w:rsidR="00C53A21" w:rsidRPr="00D1398D">
        <w:rPr>
          <w:rFonts w:ascii="Palatino Linotype" w:eastAsia="Cambria" w:hAnsi="Palatino Linotype" w:cs="Arial"/>
          <w:bCs/>
          <w:lang w:eastAsia="es-MX"/>
        </w:rPr>
        <w:t>bien, es</w:t>
      </w:r>
      <w:r w:rsidRPr="00D1398D">
        <w:rPr>
          <w:rFonts w:ascii="Palatino Linotype" w:eastAsia="Cambria" w:hAnsi="Palatino Linotype" w:cs="Arial"/>
          <w:bCs/>
          <w:lang w:eastAsia="es-MX"/>
        </w:rPr>
        <w:t xml:space="preserve"> pertinente mencionar </w:t>
      </w:r>
      <w:r w:rsidR="0072637B" w:rsidRPr="00731A81">
        <w:rPr>
          <w:rFonts w:ascii="Palatino Linotype" w:eastAsia="Cambria" w:hAnsi="Palatino Linotype"/>
          <w:lang w:eastAsia="en-US"/>
        </w:rPr>
        <w:t xml:space="preserve">respecto de los </w:t>
      </w:r>
      <w:r w:rsidR="00C53A21" w:rsidRPr="00731A81">
        <w:rPr>
          <w:rFonts w:ascii="Palatino Linotype" w:eastAsia="Cambria" w:hAnsi="Palatino Linotype"/>
          <w:lang w:eastAsia="en-US"/>
        </w:rPr>
        <w:t>límites</w:t>
      </w:r>
      <w:r w:rsidR="0072637B" w:rsidRPr="00731A81">
        <w:rPr>
          <w:rFonts w:ascii="Palatino Linotype" w:eastAsia="Cambria" w:hAnsi="Palatino Linotype"/>
          <w:lang w:eastAsia="en-US"/>
        </w:rPr>
        <w:t xml:space="preserve"> territoriales que el artículo 112</w:t>
      </w:r>
      <w:r w:rsidR="00731A81" w:rsidRPr="00731A81">
        <w:rPr>
          <w:rFonts w:ascii="Palatino Linotype" w:eastAsia="Cambria" w:hAnsi="Palatino Linotype"/>
          <w:lang w:eastAsia="en-US"/>
        </w:rPr>
        <w:t xml:space="preserve"> de la Constitución Política del Estado Libre y Soberano del Estado de México, dispone lo siguiente:</w:t>
      </w:r>
    </w:p>
    <w:p w14:paraId="5A656B9D" w14:textId="77777777" w:rsidR="0072637B" w:rsidRPr="00731A81" w:rsidRDefault="00731A81" w:rsidP="00731A81">
      <w:pPr>
        <w:spacing w:after="120"/>
        <w:ind w:left="851" w:right="851"/>
        <w:jc w:val="both"/>
        <w:rPr>
          <w:rFonts w:ascii="Palatino Linotype" w:eastAsia="Calibri" w:hAnsi="Palatino Linotype"/>
          <w:i/>
          <w:sz w:val="22"/>
          <w:szCs w:val="22"/>
        </w:rPr>
      </w:pPr>
      <w:r>
        <w:rPr>
          <w:rFonts w:ascii="Palatino Linotype" w:eastAsia="Calibri" w:hAnsi="Palatino Linotype"/>
          <w:i/>
          <w:sz w:val="22"/>
          <w:szCs w:val="22"/>
        </w:rPr>
        <w:t>“</w:t>
      </w:r>
      <w:r w:rsidR="0072637B" w:rsidRPr="00A16834">
        <w:rPr>
          <w:rFonts w:ascii="Palatino Linotype" w:eastAsia="Calibri" w:hAnsi="Palatino Linotype"/>
          <w:b/>
          <w:i/>
          <w:sz w:val="22"/>
          <w:szCs w:val="22"/>
        </w:rPr>
        <w:t>Artículo 112</w:t>
      </w:r>
      <w:r w:rsidR="0072637B" w:rsidRPr="00731A81">
        <w:rPr>
          <w:rFonts w:ascii="Palatino Linotype" w:eastAsia="Calibri" w:hAnsi="Palatino Linotype"/>
          <w:i/>
          <w:sz w:val="22"/>
          <w:szCs w:val="22"/>
        </w:rPr>
        <w:t>.-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14:paraId="7FDE43B1" w14:textId="77777777" w:rsidR="00731A81" w:rsidRDefault="00731A81" w:rsidP="00731A81">
      <w:pPr>
        <w:spacing w:after="120"/>
        <w:ind w:left="851" w:right="851"/>
        <w:jc w:val="both"/>
        <w:rPr>
          <w:rFonts w:ascii="Palatino Linotype" w:eastAsia="Calibri" w:hAnsi="Palatino Linotype"/>
          <w:i/>
          <w:sz w:val="22"/>
          <w:szCs w:val="22"/>
        </w:rPr>
      </w:pPr>
      <w:r w:rsidRPr="00731A81">
        <w:rPr>
          <w:rFonts w:ascii="Palatino Linotype" w:eastAsia="Calibri" w:hAnsi="Palatino Linotype"/>
          <w:i/>
          <w:sz w:val="22"/>
          <w:szCs w:val="22"/>
        </w:rPr>
        <w:t>Los municipios del Estado, su denominación y la de sus cabeceras, serán los que señale la ley de la materia.</w:t>
      </w:r>
      <w:r>
        <w:rPr>
          <w:rFonts w:ascii="Palatino Linotype" w:eastAsia="Calibri" w:hAnsi="Palatino Linotype"/>
          <w:i/>
          <w:sz w:val="22"/>
          <w:szCs w:val="22"/>
        </w:rPr>
        <w:t>” (Sic)</w:t>
      </w:r>
    </w:p>
    <w:p w14:paraId="0CD7DF74" w14:textId="77777777" w:rsidR="00731A81" w:rsidRPr="00731A81" w:rsidRDefault="00731A81" w:rsidP="00731A81">
      <w:pPr>
        <w:spacing w:after="120"/>
        <w:ind w:left="851" w:right="851"/>
        <w:jc w:val="both"/>
        <w:rPr>
          <w:rFonts w:ascii="Palatino Linotype" w:eastAsia="Calibri" w:hAnsi="Palatino Linotype"/>
          <w:i/>
          <w:sz w:val="22"/>
          <w:szCs w:val="22"/>
        </w:rPr>
      </w:pPr>
    </w:p>
    <w:p w14:paraId="50A42C3F" w14:textId="77777777" w:rsidR="00731A81" w:rsidRPr="00731A81" w:rsidRDefault="00731A81" w:rsidP="00D1398D">
      <w:pPr>
        <w:spacing w:before="240" w:after="240" w:line="360" w:lineRule="auto"/>
        <w:jc w:val="both"/>
        <w:rPr>
          <w:rFonts w:ascii="Palatino Linotype" w:eastAsia="Cambria" w:hAnsi="Palatino Linotype"/>
          <w:lang w:eastAsia="en-US"/>
        </w:rPr>
      </w:pPr>
      <w:r w:rsidRPr="00731A81">
        <w:rPr>
          <w:rFonts w:ascii="Palatino Linotype" w:eastAsia="Cambria" w:hAnsi="Palatino Linotype"/>
          <w:lang w:eastAsia="en-US"/>
        </w:rPr>
        <w:t xml:space="preserve">Con base a la disposición legal referida, el municipio tiene la facultad de establecer su división territorial, ante ello viene a colación lo establecido por los artículos 4, 7 y 8 de la Ley Orgánica Municipal del Estado de México, los que disponen: </w:t>
      </w:r>
    </w:p>
    <w:p w14:paraId="45425530"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b/>
          <w:i/>
          <w:sz w:val="22"/>
          <w:szCs w:val="22"/>
          <w:highlight w:val="magenta"/>
          <w:lang w:eastAsia="es-MX"/>
        </w:rPr>
      </w:pPr>
      <w:r w:rsidRPr="008A3905">
        <w:rPr>
          <w:rFonts w:ascii="Palatino Linotype" w:eastAsia="Palatino Linotype" w:hAnsi="Palatino Linotype" w:cs="Palatino Linotype"/>
          <w:i/>
          <w:sz w:val="22"/>
          <w:szCs w:val="22"/>
          <w:lang w:eastAsia="es-MX"/>
        </w:rPr>
        <w:t xml:space="preserve">“Artículo 4.- La creación y supresión de municipios, la modificación de su territorio, cambios en su denominación o ubicación de sus cabeceras municipales, así como la solución de conflictos sobre límites intermunicipales, </w:t>
      </w:r>
      <w:r w:rsidRPr="008A3905">
        <w:rPr>
          <w:rFonts w:ascii="Palatino Linotype" w:eastAsia="Palatino Linotype" w:hAnsi="Palatino Linotype" w:cs="Palatino Linotype"/>
          <w:b/>
          <w:i/>
          <w:sz w:val="22"/>
          <w:szCs w:val="22"/>
          <w:lang w:eastAsia="es-MX"/>
        </w:rPr>
        <w:t>corresponden a la Legislatura del Estado.</w:t>
      </w:r>
    </w:p>
    <w:p w14:paraId="1CCAE649"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Artículo 7.- La extensión territorial de los municipios del Estado, comprenderá la superficie y límites reconocidos para cada uno de ellos.” (Sic)</w:t>
      </w:r>
    </w:p>
    <w:p w14:paraId="2EF13BD0"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Artículo 8.- La división territorial de los municipios se integra por la cabecera municipal, y por las delegaciones, subdelegaciones, colonias, sectores y manzanas, con la denominación, extensión y límites que establezcan los ayuntamientos.” (Sic)</w:t>
      </w:r>
    </w:p>
    <w:p w14:paraId="7790645D"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De lo procedente se advierte que la Legislatura del Estado de México, es la competente para la modificación de los territorios de los municipios del Estado de México, entre ellos 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así como la solución de conflictos sobre diferendos limítrofes intermunicipales. </w:t>
      </w:r>
    </w:p>
    <w:p w14:paraId="796740C3"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En ese contexto, se debe mencionar que la Legislatura del Estado de México es perteneciente al Poder Legislativo, quien a su vez cuenta con la Comisión de Límites del Gobierno del Estado de México, quien encuentra sus atribuciones en la </w:t>
      </w:r>
      <w:r w:rsidRPr="008A3905">
        <w:rPr>
          <w:rFonts w:ascii="Palatino Linotype" w:eastAsia="Palatino Linotype" w:hAnsi="Palatino Linotype" w:cs="Palatino Linotype"/>
          <w:i/>
          <w:lang w:eastAsia="es-MX"/>
        </w:rPr>
        <w:t xml:space="preserve">Ley Reglamentaria de Las Fracciones XXV y XXVI del Artículo 61 de la Constitución Política del Estado Libre y Soberano de México, </w:t>
      </w:r>
      <w:r w:rsidRPr="008A3905">
        <w:rPr>
          <w:rFonts w:ascii="Palatino Linotype" w:eastAsia="Palatino Linotype" w:hAnsi="Palatino Linotype" w:cs="Palatino Linotype"/>
          <w:lang w:eastAsia="es-MX"/>
        </w:rPr>
        <w:t>instrumento normativo que en sus artículos 19 fracciones I, III, VII y</w:t>
      </w:r>
      <w:r>
        <w:rPr>
          <w:rFonts w:ascii="Palatino Linotype" w:eastAsia="Palatino Linotype" w:hAnsi="Palatino Linotype" w:cs="Palatino Linotype"/>
          <w:lang w:eastAsia="es-MX"/>
        </w:rPr>
        <w:t xml:space="preserve"> </w:t>
      </w:r>
      <w:r w:rsidRPr="008A3905">
        <w:rPr>
          <w:rFonts w:ascii="Palatino Linotype" w:eastAsia="Palatino Linotype" w:hAnsi="Palatino Linotype" w:cs="Palatino Linotype"/>
          <w:lang w:eastAsia="es-MX"/>
        </w:rPr>
        <w:t>XI, y del 40 al 60, establece el procedimiento para la solución de diferendos limítrofes intermunicipales y faculta para conocer a la referida Comisión sobre los diferendos de límites territoriales, preceptos legales que se reproducen para resolver el asunto que nos ocupa.</w:t>
      </w:r>
    </w:p>
    <w:p w14:paraId="092C7826"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19.- Para el cumplimiento de su objetivo, la Comisión Estatal tendrá las atribuciones siguientes:</w:t>
      </w:r>
    </w:p>
    <w:p w14:paraId="0A09EE4C"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I. Emitir opinión técnica sobre la extensión y límites del Estado y de sus Municipios a solicitud expresa de la Legislatura o del titular del Poder Ejecutivo;</w:t>
      </w:r>
    </w:p>
    <w:p w14:paraId="3A079EB2"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w:t>
      </w:r>
    </w:p>
    <w:p w14:paraId="515FD846"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III. Promover la celebración de convenios amistosos para resolver los problemas de límites entre sus municipios y el Estado con otras entidades federativas, a fin de que el Poder Legislativo cuente con argumentos para dictaminar sobre los mismos;</w:t>
      </w:r>
    </w:p>
    <w:p w14:paraId="64F8C574"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w:t>
      </w:r>
    </w:p>
    <w:p w14:paraId="36BBCCAE"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VII. Preparar el expediente técnico que coadyuve para el arreglo de los límites del estado con otras entidades federativas o con sus municipios en los casos que se planteen diferencias en esta materia;</w:t>
      </w:r>
    </w:p>
    <w:p w14:paraId="5DA80B5F"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w:t>
      </w:r>
    </w:p>
    <w:p w14:paraId="12C92563"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XI. Emitir dictámenes técnicos en materia de diferendos limítrofes entre los municipios del Estado…</w:t>
      </w:r>
    </w:p>
    <w:p w14:paraId="49AC13B1"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p>
    <w:p w14:paraId="697C4723" w14:textId="77777777" w:rsidR="008A3905" w:rsidRDefault="008A3905" w:rsidP="008A3905">
      <w:pPr>
        <w:ind w:left="567" w:right="539"/>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 xml:space="preserve">Artículo 40.- Las diferencias que se susciten sobre límites municipales serán resueltas por el Poder Legislativo del Estado, con el apoyo de la Comisión Estatal de conformidad con las disposiciones de esta ley. </w:t>
      </w:r>
    </w:p>
    <w:p w14:paraId="5FC201C0" w14:textId="77777777" w:rsidR="00BD39E6" w:rsidRPr="008A3905" w:rsidRDefault="00BD39E6" w:rsidP="008A3905">
      <w:pPr>
        <w:ind w:left="567" w:right="539"/>
        <w:jc w:val="both"/>
        <w:rPr>
          <w:rFonts w:ascii="Palatino Linotype" w:eastAsia="Palatino Linotype" w:hAnsi="Palatino Linotype" w:cs="Palatino Linotype"/>
          <w:b/>
          <w:i/>
          <w:color w:val="000000"/>
          <w:sz w:val="22"/>
          <w:szCs w:val="22"/>
          <w:lang w:eastAsia="es-MX"/>
        </w:rPr>
      </w:pPr>
    </w:p>
    <w:p w14:paraId="30C9FC24"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41.- El procedimiento para la solución de diferendos limítrofes intermunicipales, podrá ser iniciado por el o los municipios interesados o por la propia Legislatura a través de alguno de sus diputados. </w:t>
      </w:r>
    </w:p>
    <w:p w14:paraId="4FDABF4D"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15E9DF17"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42.- La solicitud en la que uno o más municipios demanden la intervención de la Legislatura para la solución de un diferendo limítrofe, deberá dirigirse al Presidente de la Legislatura y contener los siguientes requisitos: </w:t>
      </w:r>
    </w:p>
    <w:p w14:paraId="48204155"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18773AC4"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 Deberá estar formulada por el presidente municipal y síndico del o los municipios solicitantes, señalando el domicilio del Ayuntamiento; </w:t>
      </w:r>
    </w:p>
    <w:p w14:paraId="31161F5C"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 El nombre de los profesionales que se encuentren facultados para representar al municipio en el desarrollo del procedimiento; </w:t>
      </w:r>
    </w:p>
    <w:p w14:paraId="38BDE211"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III. El acuerdo de cabildo en el cual se autorice al Presidente Municipal solicitar la intervención de la Legislatura para la solución del diferendo; </w:t>
      </w:r>
    </w:p>
    <w:p w14:paraId="67967140"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IV. El nombre del municipio o municipios respecto de los cuales se solicite la solución del diferendo limítrofe; y </w:t>
      </w:r>
    </w:p>
    <w:p w14:paraId="1183A49B"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V. Una exposición de motivos en la que se precise de manera clara los planteamientos y disposiciones en que funden su pretensión. </w:t>
      </w:r>
    </w:p>
    <w:p w14:paraId="024E878F"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19B323BC" w14:textId="77777777" w:rsidR="00BD39E6"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43. Una vez recibida la solicitud el Presidente de la Legislatura, la turnará a la Comisión Legislativa quien la radicará a través de un acuerdo, señalando día y hora dentro de los treinta días hábiles siguientes para una audiencia en la que comparezcan los municipios involucrados a exponer sus argumentos respecto del diferendo.</w:t>
      </w:r>
    </w:p>
    <w:p w14:paraId="086EB247"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 </w:t>
      </w:r>
    </w:p>
    <w:p w14:paraId="19BA0325" w14:textId="77777777" w:rsidR="008A3905" w:rsidRDefault="008A3905" w:rsidP="008A3905">
      <w:pPr>
        <w:ind w:left="567" w:right="539"/>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44.- </w:t>
      </w:r>
      <w:r w:rsidRPr="008A3905">
        <w:rPr>
          <w:rFonts w:ascii="Palatino Linotype" w:eastAsia="Palatino Linotype" w:hAnsi="Palatino Linotype" w:cs="Palatino Linotype"/>
          <w:b/>
          <w:i/>
          <w:color w:val="000000"/>
          <w:sz w:val="22"/>
          <w:szCs w:val="22"/>
          <w:lang w:eastAsia="es-MX"/>
        </w:rPr>
        <w:t xml:space="preserve">La Comisión Legislativa notificará por oficio a los municipios involucrados en el domicilio de sus Ayuntamientos; el auto de radicación y la fecha de la audiencia, corriéndoles traslado a los municipios respecto de los cuales se solicite la solución del diferendo, con copias de la solicitud presentada por el municipio o municipios promoventes. </w:t>
      </w:r>
    </w:p>
    <w:p w14:paraId="10176282" w14:textId="77777777" w:rsidR="00BD39E6" w:rsidRPr="008A3905" w:rsidRDefault="00BD39E6" w:rsidP="008A3905">
      <w:pPr>
        <w:ind w:left="567" w:right="539"/>
        <w:jc w:val="both"/>
        <w:rPr>
          <w:rFonts w:ascii="Palatino Linotype" w:eastAsia="Palatino Linotype" w:hAnsi="Palatino Linotype" w:cs="Palatino Linotype"/>
          <w:b/>
          <w:i/>
          <w:color w:val="000000"/>
          <w:sz w:val="22"/>
          <w:szCs w:val="22"/>
          <w:lang w:eastAsia="es-MX"/>
        </w:rPr>
      </w:pPr>
    </w:p>
    <w:p w14:paraId="6C2AD450"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45.- La audiencia ante la Comisión Legislativa se desarrollará de la manera siguiente manera: </w:t>
      </w:r>
    </w:p>
    <w:p w14:paraId="421FFF04"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 El Presidente de la Comisión Legislativa exhortará a los municipios a que lleguen a un acuerdo amistoso; </w:t>
      </w:r>
    </w:p>
    <w:p w14:paraId="60872354"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 El municipio o municipios promoventes expresarán sus planteamientos en relación al motivo del diferendo limítrofe; </w:t>
      </w:r>
    </w:p>
    <w:p w14:paraId="3B63366A"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III. El municipio o municipios citados expresarán sus puntos de vista y sus argumentos en relación al hecho; y </w:t>
      </w:r>
    </w:p>
    <w:p w14:paraId="682B65BC"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IV. La Comisión Legislativa requerirá a los municipios involucrados para que en un plazo de 30 días hábiles posteriores a la audiencia remitan, todas las pruebas que consideren son suficientes para acreditar sus manifestaciones. Fuera de este término no será admitida probanza alguna</w:t>
      </w:r>
      <w:r w:rsidRPr="008A3905">
        <w:rPr>
          <w:rFonts w:ascii="Palatino Linotype" w:eastAsia="Palatino Linotype" w:hAnsi="Palatino Linotype" w:cs="Palatino Linotype"/>
          <w:i/>
          <w:color w:val="000000"/>
          <w:sz w:val="22"/>
          <w:szCs w:val="22"/>
          <w:lang w:eastAsia="es-MX"/>
        </w:rPr>
        <w:t xml:space="preserve">. </w:t>
      </w:r>
    </w:p>
    <w:p w14:paraId="63EAC658"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40C81122"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46.- En el desahogo del procedimiento se admitirán toda clase de pruebas excepto la confesional, las que no tengan relación directa con el asunto, las que resulten inútiles para la decisión del caso y aquellas que sean contrarias a derecho. </w:t>
      </w:r>
    </w:p>
    <w:p w14:paraId="56462628"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5C32C072"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47. </w:t>
      </w:r>
      <w:r w:rsidRPr="008A3905">
        <w:rPr>
          <w:rFonts w:ascii="Palatino Linotype" w:eastAsia="Palatino Linotype" w:hAnsi="Palatino Linotype" w:cs="Palatino Linotype"/>
          <w:b/>
          <w:i/>
          <w:color w:val="000000"/>
          <w:sz w:val="22"/>
          <w:szCs w:val="22"/>
          <w:lang w:eastAsia="es-MX"/>
        </w:rPr>
        <w:t>Transcurrido el término establecido por la fracción IV del artículo 45</w:t>
      </w:r>
      <w:r w:rsidRPr="008A3905">
        <w:rPr>
          <w:rFonts w:ascii="Palatino Linotype" w:eastAsia="Palatino Linotype" w:hAnsi="Palatino Linotype" w:cs="Palatino Linotype"/>
          <w:i/>
          <w:color w:val="000000"/>
          <w:sz w:val="22"/>
          <w:szCs w:val="22"/>
          <w:lang w:eastAsia="es-MX"/>
        </w:rPr>
        <w:t xml:space="preserve"> de esta Ley, la Comisión Legislativa admitirá las pruebas dando vista con las mismas a los municipios interesados y </w:t>
      </w:r>
      <w:r w:rsidRPr="008A3905">
        <w:rPr>
          <w:rFonts w:ascii="Palatino Linotype" w:eastAsia="Palatino Linotype" w:hAnsi="Palatino Linotype" w:cs="Palatino Linotype"/>
          <w:b/>
          <w:i/>
          <w:color w:val="000000"/>
          <w:sz w:val="22"/>
          <w:szCs w:val="22"/>
          <w:lang w:eastAsia="es-MX"/>
        </w:rPr>
        <w:t>ordenará su desahogo dentro del término de 60 días hábiles,</w:t>
      </w:r>
      <w:r w:rsidRPr="008A3905">
        <w:rPr>
          <w:rFonts w:ascii="Palatino Linotype" w:eastAsia="Palatino Linotype" w:hAnsi="Palatino Linotype" w:cs="Palatino Linotype"/>
          <w:i/>
          <w:color w:val="000000"/>
          <w:sz w:val="22"/>
          <w:szCs w:val="22"/>
          <w:lang w:eastAsia="es-MX"/>
        </w:rPr>
        <w:t xml:space="preserve"> dentro de los cuales deberán realizarse todas las diligencias necesarias. </w:t>
      </w:r>
    </w:p>
    <w:p w14:paraId="220DAF2E"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0206426B" w14:textId="77777777" w:rsidR="008A3905" w:rsidRDefault="008A3905" w:rsidP="008A3905">
      <w:pPr>
        <w:ind w:left="567" w:right="539"/>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 xml:space="preserve">Artículo 48.- Una vez recibidas las pruebas de los municipios, la Comisión Legislativa podrá solicitar a la Comisión Estatal, emita un dictamen técnico en relación al diferendo. </w:t>
      </w:r>
    </w:p>
    <w:p w14:paraId="452EBA05" w14:textId="77777777" w:rsidR="00BD39E6" w:rsidRPr="008A3905" w:rsidRDefault="00BD39E6" w:rsidP="008A3905">
      <w:pPr>
        <w:ind w:left="567" w:right="539"/>
        <w:jc w:val="both"/>
        <w:rPr>
          <w:rFonts w:ascii="Palatino Linotype" w:eastAsia="Palatino Linotype" w:hAnsi="Palatino Linotype" w:cs="Palatino Linotype"/>
          <w:b/>
          <w:i/>
          <w:color w:val="000000"/>
          <w:sz w:val="22"/>
          <w:szCs w:val="22"/>
          <w:lang w:eastAsia="es-MX"/>
        </w:rPr>
      </w:pPr>
    </w:p>
    <w:p w14:paraId="2CA31FAC"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49.- En cualquier etapa del procedimiento la Comisión Legislativa podrá requerir a los municipios involucrados, los informes o aclaraciones que determine necesarios, así como decretar el desahogo de las diligencias probatorias para auxiliar a esclarecer el asunto.</w:t>
      </w:r>
    </w:p>
    <w:p w14:paraId="0902C967"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4AF52592"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50.- La Comisión Legislativa podrá solicitar los informes necesarios y estudios técnicos que estime pertinentes, a cualquier autoridad o institución, para allegarse de elementos que le permitan esclarecer el asunto. </w:t>
      </w:r>
    </w:p>
    <w:p w14:paraId="39AF31E0"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p>
    <w:p w14:paraId="11191E11"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51.- Para favorecer el desarrollo del procedimiento, la Comisión Legislativa podrá solicitar, a través del Gobernador el apoyo e intervención de cualquiera de las dependencias del Ejecutivo Estatal. </w:t>
      </w:r>
    </w:p>
    <w:p w14:paraId="0BA334CA"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0F2CEF38"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52.- La Comisión Legislativa podrá establecer un proceso metodológico que al interior de la misma permita el fácil análisis de la documentación, pruebas y soportes que presenten las partes interesadas.</w:t>
      </w:r>
    </w:p>
    <w:p w14:paraId="49E1F5E9"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7CA3B8D1" w14:textId="77777777" w:rsidR="008A3905" w:rsidRPr="008A3905" w:rsidRDefault="008A3905" w:rsidP="008A3905">
      <w:pPr>
        <w:ind w:left="567" w:right="539"/>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53. Una vez concluido el periodo de desahogo de pruebas</w:t>
      </w:r>
      <w:r w:rsidRPr="008A3905">
        <w:rPr>
          <w:rFonts w:ascii="Palatino Linotype" w:eastAsia="Palatino Linotype" w:hAnsi="Palatino Linotype" w:cs="Palatino Linotype"/>
          <w:b/>
          <w:i/>
          <w:color w:val="000000"/>
          <w:sz w:val="22"/>
          <w:szCs w:val="22"/>
          <w:lang w:eastAsia="es-MX"/>
        </w:rPr>
        <w:t xml:space="preserve">, dentro de los siguientes treinta días hábiles, la comisión legislativa se reunirá para analizar y valorar las manifestaciones y las probanzas ofrecidas por los municipios y en su caso las diligencias ordenadas por la misma procediendo a elaborar el dictamen correspondiente, el cual deberá contener: </w:t>
      </w:r>
    </w:p>
    <w:p w14:paraId="2FF62D93"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 El nombre de los municipios involucrados; </w:t>
      </w:r>
    </w:p>
    <w:p w14:paraId="123F3FCA"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 Una exposición precisa del diferendo limítrofe analizado; </w:t>
      </w:r>
    </w:p>
    <w:p w14:paraId="1F7EE4A1"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III. El análisis y valoración de las pruebas presentadas por los municipios involucrados; </w:t>
      </w:r>
    </w:p>
    <w:p w14:paraId="6215A976"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IV. Los fundamentos y motivos que sustenten el dictamen; y </w:t>
      </w:r>
    </w:p>
    <w:p w14:paraId="7412FDD0"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V. El plano topográfico en el que se señalará el cuadro de construcción del polígono definido en coordenadas UTM (Universal Transversa de Mercator). </w:t>
      </w:r>
    </w:p>
    <w:p w14:paraId="17A00EA0"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725DBF8D" w14:textId="77777777" w:rsidR="008A3905" w:rsidRPr="008A3905" w:rsidRDefault="008A3905" w:rsidP="008A3905">
      <w:pPr>
        <w:ind w:left="567" w:right="539"/>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Artículo 54.- Una vez aprobado el dictamen por parte de la comisión, será turnado al Presidente de la Legislatura para que este lo presente ante el pleno en la primera sesión del inicio del periodo siguiente para su discusión y en su caso aprobación.</w:t>
      </w:r>
    </w:p>
    <w:p w14:paraId="118A839B"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55.- Aprobado el dictamen por el Pleno de la Legislatura, emitirá el decreto correspondiente, el cual deberá contener los siguientes requisitos:</w:t>
      </w:r>
    </w:p>
    <w:p w14:paraId="09E77CB2"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 El nombre de los municipios involucrados; </w:t>
      </w:r>
    </w:p>
    <w:p w14:paraId="10A772A9"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II. Una exposición precisa del diferendo limítrofe analizado; </w:t>
      </w:r>
    </w:p>
    <w:p w14:paraId="02E68781"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III. El análisis y valoración de las pruebas presentadas por los municipios involucrados;</w:t>
      </w:r>
    </w:p>
    <w:p w14:paraId="60E905A0"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IV. Los fundamentos y motivos que sustenten el dictamen; </w:t>
      </w:r>
    </w:p>
    <w:p w14:paraId="6689B9F2"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V. Las conclusiones y puntos resolutivos; </w:t>
      </w:r>
    </w:p>
    <w:p w14:paraId="4CAF5C32"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VI. Los alcances y efectos del decreto, fijando con precisión, en su caso, los órganos obligados a cumplirlo; el acto o actos respecto de los cuales opere; la mención precisa de los límites, y todos aquellos elementos necesarios para su plena eficacia en el ámbito que corresponda; </w:t>
      </w:r>
    </w:p>
    <w:p w14:paraId="7E70B77D"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VII. El término en el que se deba dar cumplimiento al Decreto; y </w:t>
      </w:r>
    </w:p>
    <w:p w14:paraId="453C21A2"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VIII. El plano topográfico en el que se señalará el cuadro de construcción del polígono definido en coordenadas UTM (Universal Transversa de Mercator). </w:t>
      </w:r>
    </w:p>
    <w:p w14:paraId="2EE31AFF"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598F65A1" w14:textId="77777777" w:rsid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56.- Dentro del plazo señalado en el decreto, la Legislatura instruirá a la Comisión Estatal para que vigile que los municipios realicen el establecimiento material de los señalamientos oficiales, así como el amojonamiento que fijen los límites físicos territoriales, debiéndose levantar acta circunstanciada de dicha diligencia, la cual obrara en el expediente de la legislatura. </w:t>
      </w:r>
    </w:p>
    <w:p w14:paraId="6D3AA5C8" w14:textId="77777777" w:rsidR="00BD39E6" w:rsidRPr="008A3905" w:rsidRDefault="00BD39E6" w:rsidP="008A3905">
      <w:pPr>
        <w:ind w:left="567" w:right="539"/>
        <w:jc w:val="both"/>
        <w:rPr>
          <w:rFonts w:ascii="Palatino Linotype" w:eastAsia="Palatino Linotype" w:hAnsi="Palatino Linotype" w:cs="Palatino Linotype"/>
          <w:i/>
          <w:color w:val="000000"/>
          <w:sz w:val="22"/>
          <w:szCs w:val="22"/>
          <w:lang w:eastAsia="es-MX"/>
        </w:rPr>
      </w:pPr>
    </w:p>
    <w:p w14:paraId="7DF6D0C1" w14:textId="77777777" w:rsidR="008A3905" w:rsidRDefault="008A3905" w:rsidP="008A3905">
      <w:pPr>
        <w:ind w:left="567" w:right="539"/>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57.- </w:t>
      </w:r>
      <w:r w:rsidRPr="008A3905">
        <w:rPr>
          <w:rFonts w:ascii="Palatino Linotype" w:eastAsia="Palatino Linotype" w:hAnsi="Palatino Linotype" w:cs="Palatino Linotype"/>
          <w:b/>
          <w:i/>
          <w:color w:val="000000"/>
          <w:sz w:val="22"/>
          <w:szCs w:val="22"/>
          <w:lang w:eastAsia="es-MX"/>
        </w:rPr>
        <w:t>Las resoluciones de la Legislatura, por las que se ponga fin a los diferendos de límites intermunicipales y los convenios que sean aprobados por ésta no admitirán recurso o medio de defensa legal alguno.</w:t>
      </w:r>
    </w:p>
    <w:p w14:paraId="00B379EC" w14:textId="77777777" w:rsidR="00BD39E6" w:rsidRPr="008A3905" w:rsidRDefault="00BD39E6" w:rsidP="008A3905">
      <w:pPr>
        <w:ind w:left="567" w:right="539"/>
        <w:jc w:val="both"/>
        <w:rPr>
          <w:rFonts w:ascii="Palatino Linotype" w:eastAsia="Palatino Linotype" w:hAnsi="Palatino Linotype" w:cs="Palatino Linotype"/>
          <w:b/>
          <w:i/>
          <w:color w:val="000000"/>
          <w:sz w:val="22"/>
          <w:szCs w:val="22"/>
          <w:lang w:eastAsia="es-MX"/>
        </w:rPr>
      </w:pPr>
    </w:p>
    <w:p w14:paraId="00590551"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58.- A partir de la aprobación del decreto que resuelva los diferendos limítrofes, todas las autoridades están obligadas a realizar las adecuaciones necesarias en el ámbito de sus atribuciones, que permitan el cabal cumplimiento del decreto. </w:t>
      </w:r>
    </w:p>
    <w:p w14:paraId="722D98D7"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p>
    <w:p w14:paraId="5A4D6015"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Artículo 59. Los municipios involucrados en un término que no deberá exceder de 90 días hábiles a partir de la publicación del Decreto, realizarán trabajos conjuntos de amojonamiento y señalización sobre la línea limítrofe aportando cada uno el 50% de los gastos generados, informando a las comisiones Estatal y Legislativa. </w:t>
      </w:r>
    </w:p>
    <w:p w14:paraId="656BF040"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p>
    <w:p w14:paraId="78ECB34B" w14:textId="77777777" w:rsidR="008A3905" w:rsidRPr="008A3905" w:rsidRDefault="008A3905" w:rsidP="008A3905">
      <w:pPr>
        <w:ind w:left="567" w:right="539"/>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i/>
          <w:color w:val="000000"/>
          <w:sz w:val="22"/>
          <w:szCs w:val="22"/>
          <w:lang w:eastAsia="es-MX"/>
        </w:rPr>
        <w:t>Artículo 60.- Los municipios con el objeto de preservar los límites intermunicipales tendrán un derecho de vía de 4 metros para cada lado a lo largo de toda la franja que una los territorios de cada municipio.” (Sic)</w:t>
      </w:r>
    </w:p>
    <w:p w14:paraId="2BA7419A" w14:textId="77777777" w:rsidR="00E24647" w:rsidRDefault="00E24647" w:rsidP="00E24647">
      <w:pPr>
        <w:spacing w:line="360" w:lineRule="auto"/>
        <w:jc w:val="both"/>
        <w:rPr>
          <w:rFonts w:ascii="Palatino Linotype" w:eastAsia="Cambria" w:hAnsi="Palatino Linotype"/>
          <w:lang w:eastAsia="en-US"/>
        </w:rPr>
      </w:pPr>
    </w:p>
    <w:p w14:paraId="4A8C8670"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De los preceptos legales anteriores, también se advierte que la Comisión referida deberá hacer del conocimiento de la resolución que emita la legislatura que ponga fin al </w:t>
      </w:r>
      <w:r w:rsidRPr="008A3905">
        <w:rPr>
          <w:rFonts w:ascii="Palatino Linotype" w:eastAsia="Palatino Linotype" w:hAnsi="Palatino Linotype" w:cs="Palatino Linotype"/>
          <w:b/>
          <w:i/>
          <w:color w:val="000000"/>
          <w:sz w:val="22"/>
          <w:szCs w:val="22"/>
          <w:lang w:eastAsia="es-MX"/>
        </w:rPr>
        <w:t>diferendo de límite intermunicipales</w:t>
      </w:r>
      <w:r w:rsidRPr="008A3905">
        <w:rPr>
          <w:rFonts w:ascii="Palatino Linotype" w:eastAsia="Palatino Linotype" w:hAnsi="Palatino Linotype" w:cs="Palatino Linotype"/>
          <w:color w:val="000000"/>
          <w:sz w:val="22"/>
          <w:szCs w:val="22"/>
          <w:lang w:eastAsia="es-MX"/>
        </w:rPr>
        <w:t xml:space="preserve">, </w:t>
      </w:r>
      <w:r w:rsidRPr="008A3905">
        <w:rPr>
          <w:rFonts w:ascii="Palatino Linotype" w:eastAsia="Palatino Linotype" w:hAnsi="Palatino Linotype" w:cs="Palatino Linotype"/>
          <w:lang w:eastAsia="es-MX"/>
        </w:rPr>
        <w:t xml:space="preserve">a los municipios involucrados, para que estos dentro del término que no exceda de noventa días hábiles siguientes a la publicación del decreto, den cumplimiento a esté, lo cual deberá ser informado por los municipios involucrados a la Comisión Estatal y Legislativa. </w:t>
      </w:r>
    </w:p>
    <w:p w14:paraId="0C0E5A32" w14:textId="77777777" w:rsid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Determinado lo anterior se procedió a la búsqueda de la información solicitada encontrándose una nota periodística en la página electrónica o web del Sol de Toluca</w:t>
      </w:r>
      <w:r w:rsidRPr="008A3905">
        <w:rPr>
          <w:rFonts w:ascii="Palatino Linotype" w:eastAsia="Palatino Linotype" w:hAnsi="Palatino Linotype" w:cs="Palatino Linotype"/>
          <w:vertAlign w:val="superscript"/>
          <w:lang w:eastAsia="es-MX"/>
        </w:rPr>
        <w:footnoteReference w:id="2"/>
      </w:r>
      <w:r w:rsidRPr="008A3905">
        <w:rPr>
          <w:rFonts w:ascii="Palatino Linotype" w:eastAsia="Palatino Linotype" w:hAnsi="Palatino Linotype" w:cs="Palatino Linotype"/>
          <w:lang w:eastAsia="es-MX"/>
        </w:rPr>
        <w:t>, en donde se puede leer lo siguiente:</w:t>
      </w:r>
    </w:p>
    <w:p w14:paraId="1DA6EC09" w14:textId="77777777" w:rsidR="00BD39E6" w:rsidRDefault="00BD39E6" w:rsidP="008A3905">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3360" behindDoc="0" locked="0" layoutInCell="1" allowOverlap="1" wp14:anchorId="6D127DB8" wp14:editId="796DEF88">
                <wp:simplePos x="0" y="0"/>
                <wp:positionH relativeFrom="column">
                  <wp:posOffset>-356567</wp:posOffset>
                </wp:positionH>
                <wp:positionV relativeFrom="paragraph">
                  <wp:posOffset>183598</wp:posOffset>
                </wp:positionV>
                <wp:extent cx="6504167" cy="3339548"/>
                <wp:effectExtent l="0" t="0" r="30480" b="32385"/>
                <wp:wrapNone/>
                <wp:docPr id="8" name="Conector recto 8"/>
                <wp:cNvGraphicFramePr/>
                <a:graphic xmlns:a="http://schemas.openxmlformats.org/drawingml/2006/main">
                  <a:graphicData uri="http://schemas.microsoft.com/office/word/2010/wordprocessingShape">
                    <wps:wsp>
                      <wps:cNvCnPr/>
                      <wps:spPr>
                        <a:xfrm>
                          <a:off x="0" y="0"/>
                          <a:ext cx="6504167" cy="33395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7E9282"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1pt,14.45pt" to="484.05pt,2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" strokecolor="#5b9bd5 [3204]" strokeweight=".5pt">
                <v:stroke joinstyle="miter"/>
              </v:line>
            </w:pict>
          </mc:Fallback>
        </mc:AlternateContent>
      </w:r>
    </w:p>
    <w:p w14:paraId="27B9CDC4" w14:textId="77777777" w:rsidR="00BD39E6" w:rsidRDefault="00BD39E6" w:rsidP="008A3905">
      <w:pPr>
        <w:spacing w:before="240" w:after="240" w:line="360" w:lineRule="auto"/>
        <w:jc w:val="both"/>
        <w:rPr>
          <w:rFonts w:ascii="Palatino Linotype" w:eastAsia="Palatino Linotype" w:hAnsi="Palatino Linotype" w:cs="Palatino Linotype"/>
          <w:lang w:eastAsia="es-MX"/>
        </w:rPr>
      </w:pPr>
    </w:p>
    <w:p w14:paraId="1E17B065" w14:textId="77777777" w:rsidR="00BD39E6" w:rsidRDefault="00BD39E6" w:rsidP="008A3905">
      <w:pPr>
        <w:spacing w:before="240" w:after="240" w:line="360" w:lineRule="auto"/>
        <w:jc w:val="both"/>
        <w:rPr>
          <w:rFonts w:ascii="Palatino Linotype" w:eastAsia="Palatino Linotype" w:hAnsi="Palatino Linotype" w:cs="Palatino Linotype"/>
          <w:lang w:eastAsia="es-MX"/>
        </w:rPr>
      </w:pPr>
    </w:p>
    <w:p w14:paraId="0DD6E484" w14:textId="77777777" w:rsidR="00BD39E6" w:rsidRDefault="00BD39E6" w:rsidP="008A3905">
      <w:pPr>
        <w:spacing w:before="240" w:after="240" w:line="360" w:lineRule="auto"/>
        <w:jc w:val="both"/>
        <w:rPr>
          <w:rFonts w:ascii="Palatino Linotype" w:eastAsia="Palatino Linotype" w:hAnsi="Palatino Linotype" w:cs="Palatino Linotype"/>
          <w:lang w:eastAsia="es-MX"/>
        </w:rPr>
      </w:pPr>
    </w:p>
    <w:p w14:paraId="08095CEB" w14:textId="77777777" w:rsidR="00BD39E6" w:rsidRPr="008A3905" w:rsidRDefault="00BD39E6" w:rsidP="008A3905">
      <w:pPr>
        <w:spacing w:before="240" w:after="240" w:line="360" w:lineRule="auto"/>
        <w:jc w:val="both"/>
        <w:rPr>
          <w:rFonts w:ascii="Palatino Linotype" w:eastAsia="Palatino Linotype" w:hAnsi="Palatino Linotype" w:cs="Palatino Linotype"/>
          <w:lang w:eastAsia="es-MX"/>
        </w:rPr>
      </w:pPr>
    </w:p>
    <w:p w14:paraId="6A3E695A"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Calibri" w:eastAsia="Calibri" w:hAnsi="Calibri" w:cs="Calibri"/>
          <w:noProof/>
          <w:sz w:val="22"/>
          <w:szCs w:val="22"/>
          <w:lang w:eastAsia="es-MX"/>
        </w:rPr>
        <w:drawing>
          <wp:inline distT="0" distB="0" distL="0" distR="0" wp14:anchorId="098B1FA2" wp14:editId="39493AA1">
            <wp:extent cx="5581598" cy="2188497"/>
            <wp:effectExtent l="0" t="0" r="635" b="254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6604" t="30231" r="41915" b="19072"/>
                    <a:stretch>
                      <a:fillRect/>
                    </a:stretch>
                  </pic:blipFill>
                  <pic:spPr>
                    <a:xfrm>
                      <a:off x="0" y="0"/>
                      <a:ext cx="5581598" cy="2188497"/>
                    </a:xfrm>
                    <a:prstGeom prst="rect">
                      <a:avLst/>
                    </a:prstGeom>
                    <a:ln/>
                  </pic:spPr>
                </pic:pic>
              </a:graphicData>
            </a:graphic>
          </wp:inline>
        </w:drawing>
      </w:r>
    </w:p>
    <w:p w14:paraId="775C948F"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Calibri" w:eastAsia="Calibri" w:hAnsi="Calibri" w:cs="Calibri"/>
          <w:noProof/>
          <w:sz w:val="22"/>
          <w:szCs w:val="22"/>
          <w:lang w:eastAsia="es-MX"/>
        </w:rPr>
        <w:drawing>
          <wp:inline distT="0" distB="0" distL="0" distR="0" wp14:anchorId="495B15D8" wp14:editId="4661D3C3">
            <wp:extent cx="5478755" cy="4586581"/>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6605" t="19574" r="40930" b="9925"/>
                    <a:stretch>
                      <a:fillRect/>
                    </a:stretch>
                  </pic:blipFill>
                  <pic:spPr>
                    <a:xfrm>
                      <a:off x="0" y="0"/>
                      <a:ext cx="5478755" cy="4586581"/>
                    </a:xfrm>
                    <a:prstGeom prst="rect">
                      <a:avLst/>
                    </a:prstGeom>
                    <a:ln/>
                  </pic:spPr>
                </pic:pic>
              </a:graphicData>
            </a:graphic>
          </wp:inline>
        </w:drawing>
      </w:r>
    </w:p>
    <w:p w14:paraId="35BC1D3F" w14:textId="77777777" w:rsidR="008A3905" w:rsidRPr="008A3905" w:rsidRDefault="008A3905" w:rsidP="008A3905">
      <w:pPr>
        <w:spacing w:before="240" w:after="240" w:line="360" w:lineRule="auto"/>
        <w:jc w:val="both"/>
        <w:rPr>
          <w:rFonts w:ascii="Palatino Linotype" w:eastAsia="Palatino Linotype" w:hAnsi="Palatino Linotype" w:cs="Palatino Linotype"/>
          <w:highlight w:val="yellow"/>
          <w:lang w:eastAsia="es-MX"/>
        </w:rPr>
      </w:pPr>
      <w:r w:rsidRPr="008A3905">
        <w:rPr>
          <w:rFonts w:ascii="Calibri" w:eastAsia="Calibri" w:hAnsi="Calibri" w:cs="Calibri"/>
          <w:noProof/>
          <w:sz w:val="22"/>
          <w:szCs w:val="22"/>
          <w:lang w:eastAsia="es-MX"/>
        </w:rPr>
        <w:drawing>
          <wp:inline distT="0" distB="0" distL="0" distR="0" wp14:anchorId="3205C6F1" wp14:editId="22ADE2FF">
            <wp:extent cx="5555086" cy="3687964"/>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6969" t="19139" r="42650"/>
                    <a:stretch>
                      <a:fillRect/>
                    </a:stretch>
                  </pic:blipFill>
                  <pic:spPr>
                    <a:xfrm>
                      <a:off x="0" y="0"/>
                      <a:ext cx="5555086" cy="3687964"/>
                    </a:xfrm>
                    <a:prstGeom prst="rect">
                      <a:avLst/>
                    </a:prstGeom>
                    <a:ln/>
                  </pic:spPr>
                </pic:pic>
              </a:graphicData>
            </a:graphic>
          </wp:inline>
        </w:drawing>
      </w:r>
    </w:p>
    <w:p w14:paraId="0CBAD7ED" w14:textId="77777777" w:rsidR="008A3905" w:rsidRPr="008A3905" w:rsidRDefault="008A3905" w:rsidP="008A3905">
      <w:pPr>
        <w:spacing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Con base a lo anterior, podemos concluir que la existencia de un diferendo limítrofe entre 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con el ayuntamiento de Acolman, sirve de sustento a lo anterior </w:t>
      </w:r>
      <w:r w:rsidRPr="008A3905">
        <w:rPr>
          <w:rFonts w:ascii="Palatino Linotype" w:eastAsia="Palatino Linotype" w:hAnsi="Palatino Linotype" w:cs="Palatino Linotype"/>
          <w:color w:val="000000"/>
          <w:lang w:eastAsia="es-MX"/>
        </w:rPr>
        <w:t>las siguientes tesis jurisprudenciales</w:t>
      </w:r>
      <w:r w:rsidRPr="008A3905">
        <w:rPr>
          <w:rFonts w:ascii="Palatino Linotype" w:eastAsia="Palatino Linotype" w:hAnsi="Palatino Linotype" w:cs="Palatino Linotype"/>
          <w:lang w:eastAsia="es-MX"/>
        </w:rPr>
        <w:t>:</w:t>
      </w:r>
    </w:p>
    <w:p w14:paraId="76FA50FF" w14:textId="77777777" w:rsidR="008A3905" w:rsidRPr="008A3905" w:rsidRDefault="008A3905" w:rsidP="008A3905">
      <w:pPr>
        <w:spacing w:after="160" w:line="360" w:lineRule="auto"/>
        <w:ind w:left="567" w:right="616"/>
        <w:jc w:val="center"/>
        <w:rPr>
          <w:rFonts w:ascii="Palatino Linotype" w:eastAsia="Palatino Linotype" w:hAnsi="Palatino Linotype" w:cs="Palatino Linotype"/>
          <w:b/>
          <w:i/>
          <w:sz w:val="22"/>
          <w:szCs w:val="22"/>
          <w:lang w:eastAsia="es-MX"/>
        </w:rPr>
      </w:pPr>
    </w:p>
    <w:p w14:paraId="7C0245C9" w14:textId="77777777" w:rsidR="008A3905" w:rsidRPr="008A3905" w:rsidRDefault="008A3905" w:rsidP="008A3905">
      <w:pPr>
        <w:ind w:left="567" w:right="616"/>
        <w:jc w:val="center"/>
        <w:rPr>
          <w:rFonts w:ascii="Palatino Linotype" w:eastAsia="Palatino Linotype" w:hAnsi="Palatino Linotype" w:cs="Palatino Linotype"/>
          <w:b/>
          <w:i/>
          <w:sz w:val="22"/>
          <w:szCs w:val="22"/>
          <w:lang w:eastAsia="es-MX"/>
        </w:rPr>
      </w:pPr>
      <w:r w:rsidRPr="008A3905">
        <w:rPr>
          <w:rFonts w:ascii="Palatino Linotype" w:eastAsia="Palatino Linotype" w:hAnsi="Palatino Linotype" w:cs="Palatino Linotype"/>
          <w:b/>
          <w:i/>
          <w:sz w:val="22"/>
          <w:szCs w:val="22"/>
          <w:lang w:eastAsia="es-MX"/>
        </w:rPr>
        <w:t>“HECHOS NOTORIOS. CONCEPTOS GENERAL Y JURÍDICO</w:t>
      </w:r>
    </w:p>
    <w:p w14:paraId="7E3C39A9" w14:textId="77777777" w:rsidR="008A3905" w:rsidRPr="008A3905" w:rsidRDefault="008A3905" w:rsidP="008A3905">
      <w:pPr>
        <w:ind w:left="567"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 xml:space="preserve">Conforme al artículo </w:t>
      </w:r>
      <w:hyperlink r:id="rId16">
        <w:r w:rsidRPr="008A3905">
          <w:rPr>
            <w:rFonts w:ascii="Palatino Linotype" w:eastAsia="Palatino Linotype" w:hAnsi="Palatino Linotype" w:cs="Palatino Linotype"/>
            <w:b/>
            <w:i/>
            <w:sz w:val="22"/>
            <w:szCs w:val="22"/>
            <w:lang w:eastAsia="es-MX"/>
          </w:rPr>
          <w:t>88 del Código Federal de Procedimientos Civiles</w:t>
        </w:r>
      </w:hyperlink>
      <w:r w:rsidRPr="008A3905">
        <w:rPr>
          <w:rFonts w:ascii="Palatino Linotype" w:eastAsia="Palatino Linotype" w:hAnsi="Palatino Linotype" w:cs="Palatino Linotype"/>
          <w:b/>
          <w:i/>
          <w:sz w:val="22"/>
          <w:szCs w:val="22"/>
          <w:lang w:eastAsia="es-MX"/>
        </w:rPr>
        <w:t xml:space="preserve"> los tribunales pueden invocar hechos notorios aunque no hayan sido alegados ni probados por las partes.</w:t>
      </w:r>
      <w:r w:rsidRPr="008A3905">
        <w:rPr>
          <w:rFonts w:ascii="Palatino Linotype" w:eastAsia="Palatino Linotype" w:hAnsi="Palatino Linotype" w:cs="Palatino Linotype"/>
          <w:i/>
          <w:sz w:val="22"/>
          <w:szCs w:val="22"/>
          <w:lang w:eastAsia="es-MX"/>
        </w:rPr>
        <w:t xml:space="preserve"> Por hechos notorios deben entenderse, en general, aquellos que por el conocimiento humano se consideran ciertos e indiscutibles, ya sea que pertenezcan a la historia, a la ciencia, a la naturaleza</w:t>
      </w:r>
      <w:r w:rsidRPr="008A3905">
        <w:rPr>
          <w:rFonts w:ascii="Palatino Linotype" w:eastAsia="Palatino Linotype" w:hAnsi="Palatino Linotype" w:cs="Palatino Linotype"/>
          <w:b/>
          <w:i/>
          <w:sz w:val="22"/>
          <w:szCs w:val="22"/>
          <w:lang w:eastAsia="es-MX"/>
        </w:rPr>
        <w:t>, a las vicisitudes de la vida pública actual o a circunstancias comúnmente conocidas en un determinado lugar</w:t>
      </w:r>
      <w:r w:rsidRPr="008A3905">
        <w:rPr>
          <w:rFonts w:ascii="Palatino Linotype" w:eastAsia="Palatino Linotype" w:hAnsi="Palatino Linotype" w:cs="Palatino Linotype"/>
          <w:i/>
          <w:sz w:val="22"/>
          <w:szCs w:val="22"/>
          <w:lang w:eastAsia="es-MX"/>
        </w:rPr>
        <w:t xml:space="preserve">, </w:t>
      </w:r>
      <w:r w:rsidRPr="008A3905">
        <w:rPr>
          <w:rFonts w:ascii="Palatino Linotype" w:eastAsia="Palatino Linotype" w:hAnsi="Palatino Linotype" w:cs="Palatino Linotype"/>
          <w:b/>
          <w:i/>
          <w:sz w:val="22"/>
          <w:szCs w:val="22"/>
          <w:lang w:eastAsia="es-MX"/>
        </w:rPr>
        <w:t>de modo que toda persona de ese medio esté en condiciones de saberlo</w:t>
      </w:r>
      <w:r w:rsidRPr="008A3905">
        <w:rPr>
          <w:rFonts w:ascii="Palatino Linotype" w:eastAsia="Palatino Linotype" w:hAnsi="Palatino Linotype" w:cs="Palatino Linotype"/>
          <w:i/>
          <w:sz w:val="22"/>
          <w:szCs w:val="22"/>
          <w:lang w:eastAsia="es-MX"/>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77CFC28" w14:textId="77777777" w:rsidR="008A3905" w:rsidRPr="008A3905" w:rsidRDefault="008A3905" w:rsidP="008A3905">
      <w:pPr>
        <w:ind w:left="567" w:right="616"/>
        <w:rPr>
          <w:rFonts w:ascii="Palatino Linotype" w:eastAsia="Palatino Linotype" w:hAnsi="Palatino Linotype" w:cs="Palatino Linotype"/>
          <w:i/>
          <w:sz w:val="22"/>
          <w:szCs w:val="22"/>
          <w:lang w:eastAsia="es-MX"/>
        </w:rPr>
      </w:pPr>
    </w:p>
    <w:p w14:paraId="40E27CCC" w14:textId="77777777" w:rsidR="008A3905" w:rsidRPr="008A3905" w:rsidRDefault="008A3905" w:rsidP="008A3905">
      <w:pPr>
        <w:ind w:left="567"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Controversia constitucional 24/2005. Cámara de Diputados del Congreso de la Unión. 9 de marzo de 2006. Once votos. Ponente: José Ramón Cossío Díaz. Secretarios: Raúl Manuel Mejía Garza y Laura Patricia Rojas Zamudio.</w:t>
      </w:r>
    </w:p>
    <w:p w14:paraId="4BDA7806" w14:textId="77777777" w:rsidR="008A3905" w:rsidRPr="008A3905" w:rsidRDefault="008A3905" w:rsidP="008A3905">
      <w:pPr>
        <w:ind w:left="567"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El Tribunal Pleno, el dieciséis de mayo en curso, aprobó, con el número 74/2006, la tesis jurisprudencial que antecede. México, Distrito Federal, a dieciséis de mayo de dos mil seis.</w:t>
      </w:r>
    </w:p>
    <w:p w14:paraId="173B56D3" w14:textId="77777777" w:rsidR="008A3905" w:rsidRPr="008A3905" w:rsidRDefault="008A3905" w:rsidP="008A3905">
      <w:pPr>
        <w:ind w:left="567"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Nota: Esta tesis fue objeto de la denuncia relativa a la contradicción de tesis 91/2014, desechada por notoriamente improcedente, mediante acuerdo de 24 de marzo de 2014.”</w:t>
      </w:r>
    </w:p>
    <w:p w14:paraId="5A7E8B8E" w14:textId="77777777" w:rsidR="008A3905" w:rsidRPr="008A3905" w:rsidRDefault="008A3905" w:rsidP="008A3905">
      <w:pPr>
        <w:spacing w:after="160"/>
        <w:ind w:left="567" w:right="616"/>
        <w:jc w:val="both"/>
        <w:rPr>
          <w:rFonts w:ascii="Palatino Linotype" w:eastAsia="Palatino Linotype" w:hAnsi="Palatino Linotype" w:cs="Palatino Linotype"/>
          <w:i/>
          <w:sz w:val="22"/>
          <w:szCs w:val="22"/>
          <w:lang w:eastAsia="es-MX"/>
        </w:rPr>
      </w:pPr>
    </w:p>
    <w:p w14:paraId="43BCBB8D" w14:textId="77777777" w:rsidR="008A3905" w:rsidRPr="008A3905" w:rsidRDefault="008A3905" w:rsidP="008A3905">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PÁGINAS WEB O ELECTRÓNICAS. SU CONTENIDO ES UN HECHO NOTORIO Y SUSCEPTIBLE DE SER VALORADO EN UNA DECISIÓN JUDICIAL.</w:t>
      </w:r>
      <w:r w:rsidRPr="008A3905">
        <w:rPr>
          <w:rFonts w:ascii="Calibri" w:eastAsia="Calibri" w:hAnsi="Calibri" w:cs="Calibri"/>
          <w:color w:val="000000"/>
          <w:sz w:val="22"/>
          <w:szCs w:val="22"/>
          <w:lang w:eastAsia="es-MX"/>
        </w:rPr>
        <w:t xml:space="preserve"> </w:t>
      </w:r>
      <w:r w:rsidRPr="008A3905">
        <w:rPr>
          <w:rFonts w:ascii="Palatino Linotype" w:eastAsia="Palatino Linotype" w:hAnsi="Palatino Linotype" w:cs="Palatino Linotype"/>
          <w:i/>
          <w:color w:val="000000"/>
          <w:sz w:val="22"/>
          <w:szCs w:val="22"/>
          <w:lang w:eastAsia="es-MX"/>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 (Sic)</w:t>
      </w:r>
    </w:p>
    <w:p w14:paraId="3A73D874" w14:textId="77777777" w:rsidR="008A3905" w:rsidRDefault="000B523C" w:rsidP="000B523C">
      <w:pPr>
        <w:spacing w:line="360" w:lineRule="auto"/>
        <w:ind w:right="51"/>
        <w:jc w:val="both"/>
        <w:rPr>
          <w:rFonts w:ascii="Palatino Linotype" w:eastAsia="Palatino Linotype" w:hAnsi="Palatino Linotype" w:cs="Palatino Linotype"/>
          <w:color w:val="000000"/>
          <w:lang w:eastAsia="es-MX"/>
        </w:rPr>
      </w:pPr>
      <w:r>
        <w:rPr>
          <w:rFonts w:ascii="Palatino Linotype" w:eastAsia="Palatino Linotype" w:hAnsi="Palatino Linotype" w:cs="Palatino Linotype"/>
          <w:lang w:eastAsia="es-MX"/>
        </w:rPr>
        <w:t>Es de señalar que en respuesta a la solicitud de información, únicamente se pronunció el</w:t>
      </w:r>
      <w:r w:rsidR="008A3905" w:rsidRPr="008A3905">
        <w:rPr>
          <w:rFonts w:ascii="Palatino Linotype" w:eastAsia="Palatino Linotype" w:hAnsi="Palatino Linotype" w:cs="Palatino Linotype"/>
          <w:lang w:eastAsia="es-MX"/>
        </w:rPr>
        <w:t xml:space="preserve"> </w:t>
      </w:r>
      <w:r w:rsidR="008A3905" w:rsidRPr="008A3905">
        <w:rPr>
          <w:rFonts w:ascii="Palatino Linotype" w:eastAsia="Palatino Linotype" w:hAnsi="Palatino Linotype" w:cs="Palatino Linotype"/>
          <w:color w:val="000000"/>
          <w:lang w:eastAsia="es-MX"/>
        </w:rPr>
        <w:t>Director de Desarrollo Urbano y Obras Públicas</w:t>
      </w:r>
      <w:r>
        <w:rPr>
          <w:rFonts w:ascii="Palatino Linotype" w:eastAsia="Palatino Linotype" w:hAnsi="Palatino Linotype" w:cs="Palatino Linotype"/>
          <w:color w:val="000000"/>
          <w:lang w:eastAsia="es-MX"/>
        </w:rPr>
        <w:t xml:space="preserve"> y quien </w:t>
      </w:r>
      <w:r w:rsidR="008A3905" w:rsidRPr="008A3905">
        <w:rPr>
          <w:rFonts w:ascii="Palatino Linotype" w:eastAsia="Palatino Linotype" w:hAnsi="Palatino Linotype" w:cs="Palatino Linotype"/>
          <w:color w:val="000000"/>
          <w:lang w:eastAsia="es-MX"/>
        </w:rPr>
        <w:t xml:space="preserve"> efectivamente no es competente para conocer de la información requerida, </w:t>
      </w:r>
      <w:r>
        <w:rPr>
          <w:rFonts w:ascii="Palatino Linotype" w:eastAsia="Palatino Linotype" w:hAnsi="Palatino Linotype" w:cs="Palatino Linotype"/>
          <w:color w:val="000000"/>
          <w:lang w:eastAsia="es-MX"/>
        </w:rPr>
        <w:t>de conformidad</w:t>
      </w:r>
      <w:r w:rsidR="008A3905" w:rsidRPr="008A3905">
        <w:rPr>
          <w:rFonts w:ascii="Palatino Linotype" w:eastAsia="Palatino Linotype" w:hAnsi="Palatino Linotype" w:cs="Palatino Linotype"/>
          <w:color w:val="000000"/>
          <w:lang w:eastAsia="es-MX"/>
        </w:rPr>
        <w:t xml:space="preserve"> con lo señalado por el artículo 54 y 57 del Bando Municipal del Ayuntamiento de Ecatepec de Morelos, que señalan:</w:t>
      </w:r>
    </w:p>
    <w:p w14:paraId="0943B7E1" w14:textId="77777777" w:rsidR="000B523C" w:rsidRPr="008A3905" w:rsidRDefault="000B523C" w:rsidP="000B523C">
      <w:pPr>
        <w:spacing w:line="360" w:lineRule="auto"/>
        <w:ind w:right="51"/>
        <w:jc w:val="both"/>
        <w:rPr>
          <w:rFonts w:ascii="Palatino Linotype" w:eastAsia="Palatino Linotype" w:hAnsi="Palatino Linotype" w:cs="Palatino Linotype"/>
          <w:color w:val="000000"/>
          <w:lang w:eastAsia="es-MX"/>
        </w:rPr>
      </w:pPr>
    </w:p>
    <w:p w14:paraId="05F1EF22" w14:textId="77777777" w:rsidR="008A3905" w:rsidRPr="008A3905" w:rsidRDefault="008A3905" w:rsidP="008A3905">
      <w:pPr>
        <w:spacing w:after="160" w:line="259" w:lineRule="auto"/>
        <w:ind w:left="851" w:right="899"/>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“Artículo 54. La Dirección de Desarrollo Urbano y Obras Públicas tendrá las funciones de planeación, programación, presupuestación, ejecución, supervisión y conservación de las obras públicas municipales y los servicios relacionados con las mismas, llevando el control y vigilancia de estas, conforme a lo establecido en la Ley Orgánica Municipal del Estado de México, el Libro Décimo Segundo del Código Administrativo del Estado de México y su Reglamento, el presente Bando Municipal y demás ordenamientos legales aplicables vigentes. Tratándose de recursos Federales, cuando la normatividad así lo indique, se aplicará la Ley de Obras Públicas y Servicios Relacionados con las Mismas</w:t>
      </w:r>
    </w:p>
    <w:p w14:paraId="2D6FAE44" w14:textId="77777777" w:rsidR="008A3905" w:rsidRPr="008A3905" w:rsidRDefault="008A3905" w:rsidP="008A3905">
      <w:pPr>
        <w:spacing w:after="160" w:line="259" w:lineRule="auto"/>
        <w:ind w:left="851" w:right="899"/>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307D220C" w14:textId="77777777" w:rsidR="008A3905" w:rsidRPr="008A3905" w:rsidRDefault="008A3905" w:rsidP="008A3905">
      <w:pPr>
        <w:spacing w:after="160" w:line="259" w:lineRule="auto"/>
        <w:ind w:left="851" w:right="899"/>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Artículo 57. En materia de urbanismo, la Dirección de Desarrollo Urbano y Obras Públicas de conformidad con las disposiciones jurídicas aplicables, así como en relación al Plan Municipal de Desarrollo Urbano, tendrá la facultad de: a. Controlar y supervisar el desarrollo de los asentamientos humanos, incluyendo los que sean sujetos al régimen condominal; </w:t>
      </w:r>
    </w:p>
    <w:p w14:paraId="4B8FFACE" w14:textId="77777777" w:rsidR="008A3905" w:rsidRPr="008A3905" w:rsidRDefault="008A3905" w:rsidP="008A3905">
      <w:pPr>
        <w:spacing w:after="160" w:line="259" w:lineRule="auto"/>
        <w:ind w:left="851" w:right="899"/>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b. Tramitar los cambios de uso de suelo, de densidad e intensidad y altura de las edificaciones, autorizar las licencias de construcción, licencias de uso de suelo y permisos de anuncios que tengan por objeto promocionar o publicitar un bien o servicio de acuerdo al reglamento interno vigente; </w:t>
      </w:r>
    </w:p>
    <w:p w14:paraId="6D957F82" w14:textId="77777777" w:rsidR="008A3905" w:rsidRPr="008A3905" w:rsidRDefault="008A3905" w:rsidP="008A3905">
      <w:pPr>
        <w:spacing w:after="160" w:line="259" w:lineRule="auto"/>
        <w:ind w:left="851" w:right="899"/>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c. Supervisar coordinadamente con las autoridades correspondientes, la ejecución de la infraestructura primaría y equipamiento de los fraccionamientos, conjuntos urbanos, subdivisiones y lotificaciones en condominio autorizados por el Gobierno del Estado de México.” (Sic)</w:t>
      </w:r>
    </w:p>
    <w:p w14:paraId="1B4993CB" w14:textId="77777777" w:rsidR="008A3905" w:rsidRPr="00FF0EEF" w:rsidRDefault="000B523C" w:rsidP="00987411">
      <w:pPr>
        <w:spacing w:after="160" w:line="360" w:lineRule="auto"/>
        <w:jc w:val="both"/>
        <w:rPr>
          <w:rFonts w:ascii="Palatino Linotype" w:eastAsia="Palatino Linotype" w:hAnsi="Palatino Linotype" w:cs="Palatino Linotype"/>
          <w:lang w:eastAsia="es-MX"/>
        </w:rPr>
      </w:pPr>
      <w:r w:rsidRPr="00FF0EEF">
        <w:rPr>
          <w:rFonts w:ascii="Palatino Linotype" w:eastAsia="Palatino Linotype" w:hAnsi="Palatino Linotype" w:cs="Palatino Linotype"/>
          <w:lang w:eastAsia="es-MX"/>
        </w:rPr>
        <w:t xml:space="preserve">No obstante lo anterior, el </w:t>
      </w:r>
      <w:r w:rsidRPr="00FF0EEF">
        <w:rPr>
          <w:rFonts w:ascii="Palatino Linotype" w:eastAsia="Palatino Linotype" w:hAnsi="Palatino Linotype" w:cs="Palatino Linotype"/>
          <w:b/>
          <w:lang w:eastAsia="es-MX"/>
        </w:rPr>
        <w:t xml:space="preserve">SUJETO OBLIGADO </w:t>
      </w:r>
      <w:r w:rsidRPr="00FF0EEF">
        <w:rPr>
          <w:rFonts w:ascii="Palatino Linotype" w:eastAsia="Palatino Linotype" w:hAnsi="Palatino Linotype" w:cs="Palatino Linotype"/>
          <w:lang w:eastAsia="es-MX"/>
        </w:rPr>
        <w:t xml:space="preserve">envió </w:t>
      </w:r>
      <w:r w:rsidR="00C06247">
        <w:rPr>
          <w:rFonts w:ascii="Palatino Linotype" w:eastAsia="Palatino Linotype" w:hAnsi="Palatino Linotype" w:cs="Palatino Linotype"/>
          <w:lang w:eastAsia="es-MX"/>
        </w:rPr>
        <w:t xml:space="preserve">mediante informe justificado </w:t>
      </w:r>
      <w:r w:rsidRPr="00FF0EEF">
        <w:rPr>
          <w:rFonts w:ascii="Palatino Linotype" w:eastAsia="Palatino Linotype" w:hAnsi="Palatino Linotype" w:cs="Palatino Linotype"/>
          <w:lang w:eastAsia="es-MX"/>
        </w:rPr>
        <w:t xml:space="preserve">la respuesta emitida por la Dirección Jurídica Consultiva, </w:t>
      </w:r>
      <w:r w:rsidR="00987411" w:rsidRPr="00FF0EEF">
        <w:rPr>
          <w:rFonts w:ascii="Palatino Linotype" w:eastAsia="Palatino Linotype" w:hAnsi="Palatino Linotype" w:cs="Palatino Linotype"/>
          <w:lang w:eastAsia="es-MX"/>
        </w:rPr>
        <w:t xml:space="preserve">en la que solicitó al Comité de Transparencia la clasificación de la información como reservada ya que la misma se encuentra contenida dentro del Procedimiento para la solución de diferendos limítrofes intermunicipales, con fundamento en lo estipulado en el artículo 140 fracción III de la Ley de Transparencia y Acceso a la Información Pública del Estado de México y Municipios; documento en el que se advierte que el Servidor Público Habilitado pretendió realizar la prueba de daño. </w:t>
      </w:r>
    </w:p>
    <w:p w14:paraId="70B78612" w14:textId="77777777" w:rsidR="00987411" w:rsidRPr="00FF0EEF" w:rsidRDefault="00987411" w:rsidP="00987411">
      <w:pPr>
        <w:spacing w:after="160" w:line="360" w:lineRule="auto"/>
        <w:jc w:val="both"/>
        <w:rPr>
          <w:rFonts w:ascii="Palatino Linotype" w:eastAsia="Palatino Linotype" w:hAnsi="Palatino Linotype" w:cs="Palatino Linotype"/>
          <w:lang w:eastAsia="es-MX"/>
        </w:rPr>
      </w:pPr>
      <w:r w:rsidRPr="00FF0EEF">
        <w:rPr>
          <w:rFonts w:ascii="Palatino Linotype" w:eastAsia="Palatino Linotype" w:hAnsi="Palatino Linotype" w:cs="Palatino Linotype"/>
          <w:lang w:eastAsia="es-MX"/>
        </w:rPr>
        <w:t xml:space="preserve">Asimismo, remitió el Acta del Comité de Transparencia de fecha veinte de abril de dos mil veintidós, en la que se aprobó por unanimidad de votos la reserva de la información relacionada con la solicitud de información 00183/ECATEPEC/IP/2022. </w:t>
      </w:r>
    </w:p>
    <w:p w14:paraId="4B9F4AA3" w14:textId="77777777" w:rsidR="00FF0EEF" w:rsidRPr="00CB14D2" w:rsidRDefault="00C06247" w:rsidP="00FF0EEF">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Se</w:t>
      </w:r>
      <w:r w:rsidR="00FF0EEF" w:rsidRPr="00CB14D2">
        <w:rPr>
          <w:rFonts w:ascii="Palatino Linotype" w:eastAsia="Palatino Linotype" w:hAnsi="Palatino Linotype" w:cs="Palatino Linotype"/>
        </w:rPr>
        <w:t xml:space="preserve"> debe resaltar que con las manifestaciones hechas valer por el </w:t>
      </w:r>
      <w:r w:rsidRPr="00FF0EEF">
        <w:rPr>
          <w:rFonts w:ascii="Palatino Linotype" w:eastAsia="Palatino Linotype" w:hAnsi="Palatino Linotype" w:cs="Palatino Linotype"/>
          <w:lang w:eastAsia="es-MX"/>
        </w:rPr>
        <w:t>Dirección Jurídica Consultiva</w:t>
      </w:r>
      <w:r w:rsidR="00FF0EEF" w:rsidRPr="00CB14D2">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sidR="00FF0EEF" w:rsidRPr="00CB14D2">
        <w:rPr>
          <w:rFonts w:ascii="Palatino Linotype" w:eastAsia="Palatino Linotype" w:hAnsi="Palatino Linotype" w:cs="Palatino Linotype"/>
        </w:rPr>
        <w:t xml:space="preserve">asume que la tiene de manera explícita, tan es así que consideró necesario someter a consideración de los integrantes del Comité de Transparencia la clasificación como información </w:t>
      </w:r>
      <w:r>
        <w:rPr>
          <w:rFonts w:ascii="Palatino Linotype" w:eastAsia="Palatino Linotype" w:hAnsi="Palatino Linotype" w:cs="Palatino Linotype"/>
        </w:rPr>
        <w:t xml:space="preserve">reservada el procedimiento para la solución de diferendos limítrofes intermunicipales. </w:t>
      </w:r>
    </w:p>
    <w:p w14:paraId="38FF30D9" w14:textId="77777777" w:rsidR="00FF0EEF" w:rsidRPr="00CB14D2" w:rsidRDefault="00FF0EEF" w:rsidP="00FF0EEF">
      <w:pPr>
        <w:spacing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A efecto de robustecer lo anterior, sirve de sustento el criterio orientador 29/10 emitido por el Instituto Nacional de Transparencia, Acceso a la Información y Protección de Datos Personales, INAI</w:t>
      </w:r>
      <w:r w:rsidRPr="00CB14D2">
        <w:rPr>
          <w:rFonts w:ascii="Palatino Linotype" w:eastAsia="Palatino Linotype" w:hAnsi="Palatino Linotype" w:cs="Palatino Linotype"/>
          <w:b/>
        </w:rPr>
        <w:t xml:space="preserve">, </w:t>
      </w:r>
      <w:r w:rsidRPr="00CB14D2">
        <w:rPr>
          <w:rFonts w:ascii="Palatino Linotype" w:eastAsia="Palatino Linotype" w:hAnsi="Palatino Linotype" w:cs="Palatino Linotype"/>
        </w:rPr>
        <w:t xml:space="preserve">el cual refiere lo siguiente: </w:t>
      </w:r>
    </w:p>
    <w:p w14:paraId="3101C24F" w14:textId="77777777" w:rsidR="00FF0EEF" w:rsidRPr="00CB14D2" w:rsidRDefault="00FF0EEF" w:rsidP="00FF0EEF">
      <w:pPr>
        <w:spacing w:before="67"/>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“La clasificación y la inexistencia de información son conceptos que no pueden coexistir. </w:t>
      </w:r>
      <w:r w:rsidRPr="00CB14D2">
        <w:rPr>
          <w:rFonts w:ascii="Palatino Linotype" w:eastAsia="Palatino Linotype" w:hAnsi="Palatino Linotype" w:cs="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CB14D2">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CB14D2">
        <w:rPr>
          <w:rFonts w:ascii="Palatino Linotype" w:eastAsia="Palatino Linotype" w:hAnsi="Palatino Linotype" w:cs="Palatino Linotype"/>
          <w:i/>
          <w:sz w:val="22"/>
          <w:szCs w:val="22"/>
        </w:rPr>
        <w:t>.”</w:t>
      </w:r>
    </w:p>
    <w:p w14:paraId="2B88237F" w14:textId="77777777" w:rsidR="00987411" w:rsidRPr="00987411" w:rsidRDefault="00987411" w:rsidP="00987411">
      <w:pPr>
        <w:spacing w:after="160" w:line="360" w:lineRule="auto"/>
        <w:jc w:val="both"/>
        <w:rPr>
          <w:rFonts w:ascii="Palatino Linotype" w:eastAsia="Palatino Linotype" w:hAnsi="Palatino Linotype" w:cs="Palatino Linotype"/>
          <w:b/>
          <w:sz w:val="22"/>
          <w:szCs w:val="22"/>
          <w:lang w:eastAsia="es-MX"/>
        </w:rPr>
      </w:pPr>
    </w:p>
    <w:p w14:paraId="20C68DF7" w14:textId="77777777" w:rsidR="008A3905" w:rsidRPr="008A3905" w:rsidRDefault="00C06247" w:rsidP="001A7BE3">
      <w:pPr>
        <w:spacing w:after="16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Ahora bien, e</w:t>
      </w:r>
      <w:r w:rsidR="008A3905" w:rsidRPr="008A3905">
        <w:rPr>
          <w:rFonts w:ascii="Palatino Linotype" w:eastAsia="Palatino Linotype" w:hAnsi="Palatino Linotype" w:cs="Palatino Linotype"/>
          <w:lang w:eastAsia="es-MX"/>
        </w:rPr>
        <w:t>s importante destacar</w:t>
      </w:r>
      <w:r>
        <w:rPr>
          <w:rFonts w:ascii="Palatino Linotype" w:eastAsia="Palatino Linotype" w:hAnsi="Palatino Linotype" w:cs="Palatino Linotype"/>
          <w:lang w:eastAsia="es-MX"/>
        </w:rPr>
        <w:t xml:space="preserve">, que en los casos en que se pretenda restringir el derecho de acceso a la información pública, por actualizarse alguno de los supuestos de clasificación como reservada se deben </w:t>
      </w:r>
      <w:r w:rsidR="00687FA9">
        <w:rPr>
          <w:rFonts w:ascii="Palatino Linotype" w:eastAsia="Palatino Linotype" w:hAnsi="Palatino Linotype" w:cs="Palatino Linotype"/>
          <w:lang w:eastAsia="es-MX"/>
        </w:rPr>
        <w:t>observar las formalidades previstas</w:t>
      </w:r>
      <w:r w:rsidR="008A3905" w:rsidRPr="008A3905">
        <w:rPr>
          <w:rFonts w:ascii="Palatino Linotype" w:eastAsia="Palatino Linotype" w:hAnsi="Palatino Linotype" w:cs="Palatino Linotype"/>
          <w:lang w:eastAsia="es-MX"/>
        </w:rPr>
        <w:t xml:space="preserve">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C40F380"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Por todo lo anterior, la reserva de la información implica una clasificación, la cual debe entenderse como el proceso mediante el cual 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determina que la información en su poder actualizar alguno de los supuestos de reserva o confidencialidad, de conformidad con las normas aplicables.</w:t>
      </w:r>
    </w:p>
    <w:p w14:paraId="62CA6D3C"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De ahí que, en lo que concierne a la información clasificada como reservada la Ley de Transparencia vigente en nuestra entidad establece en su artículo 140 una serie de hipótesis en las cuales radica la posibilidad de tal clasificación de información, que son:</w:t>
      </w:r>
    </w:p>
    <w:p w14:paraId="0ACD7AD4"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 “</w:t>
      </w:r>
      <w:r w:rsidRPr="008A3905">
        <w:rPr>
          <w:rFonts w:ascii="Palatino Linotype" w:eastAsia="Palatino Linotype" w:hAnsi="Palatino Linotype" w:cs="Palatino Linotype"/>
          <w:b/>
          <w:i/>
          <w:sz w:val="22"/>
          <w:szCs w:val="22"/>
          <w:lang w:eastAsia="es-MX"/>
        </w:rPr>
        <w:t>Artículo 140.</w:t>
      </w:r>
      <w:r w:rsidRPr="008A3905">
        <w:rPr>
          <w:rFonts w:ascii="Palatino Linotype" w:eastAsia="Palatino Linotype" w:hAnsi="Palatino Linotype" w:cs="Palatino Linotype"/>
          <w:i/>
          <w:sz w:val="22"/>
          <w:szCs w:val="22"/>
          <w:lang w:eastAsia="es-MX"/>
        </w:rPr>
        <w:t xml:space="preserve"> El acceso a la información pública será restringido excepcionalmente, cuando por razones de interés público, ésta sea clasificada como reservada, conforme a los criterios siguientes: </w:t>
      </w:r>
    </w:p>
    <w:p w14:paraId="07EDDD4D"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I.</w:t>
      </w:r>
      <w:r w:rsidRPr="008A3905">
        <w:rPr>
          <w:rFonts w:ascii="Palatino Linotype" w:eastAsia="Palatino Linotype" w:hAnsi="Palatino Linotype" w:cs="Palatino Linotype"/>
          <w:i/>
          <w:sz w:val="22"/>
          <w:szCs w:val="22"/>
          <w:lang w:eastAsia="es-MX"/>
        </w:rPr>
        <w:t xml:space="preserve"> Comprometa la seguridad pública y cuente con un propósito genuino y un efecto demostrable; </w:t>
      </w:r>
    </w:p>
    <w:p w14:paraId="4B4F94FC"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II.</w:t>
      </w:r>
      <w:r w:rsidRPr="008A3905">
        <w:rPr>
          <w:rFonts w:ascii="Palatino Linotype" w:eastAsia="Palatino Linotype" w:hAnsi="Palatino Linotype" w:cs="Palatino Linotype"/>
          <w:i/>
          <w:sz w:val="22"/>
          <w:szCs w:val="22"/>
          <w:lang w:eastAsia="es-MX"/>
        </w:rPr>
        <w:t xml:space="preserve"> Pueda menoscabar la conducción de las negociaciones y relaciones internacionales; </w:t>
      </w:r>
    </w:p>
    <w:p w14:paraId="4713625C"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III.</w:t>
      </w:r>
      <w:r w:rsidRPr="008A3905">
        <w:rPr>
          <w:rFonts w:ascii="Palatino Linotype" w:eastAsia="Palatino Linotype" w:hAnsi="Palatino Linotype" w:cs="Palatino Linotype"/>
          <w:i/>
          <w:sz w:val="22"/>
          <w:szCs w:val="22"/>
          <w:lang w:eastAsia="es-MX"/>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DB142F4"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IV.</w:t>
      </w:r>
      <w:r w:rsidRPr="008A3905">
        <w:rPr>
          <w:rFonts w:ascii="Palatino Linotype" w:eastAsia="Palatino Linotype" w:hAnsi="Palatino Linotype" w:cs="Palatino Linotype"/>
          <w:i/>
          <w:sz w:val="22"/>
          <w:szCs w:val="22"/>
          <w:lang w:eastAsia="es-MX"/>
        </w:rPr>
        <w:t xml:space="preserve"> Ponga en riesgo la vida, la seguridad o la salud de una persona física; </w:t>
      </w:r>
    </w:p>
    <w:p w14:paraId="24627B2F"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V</w:t>
      </w:r>
      <w:r w:rsidRPr="008A3905">
        <w:rPr>
          <w:rFonts w:ascii="Palatino Linotype" w:eastAsia="Palatino Linotype" w:hAnsi="Palatino Linotype" w:cs="Palatino Linotype"/>
          <w:i/>
          <w:sz w:val="22"/>
          <w:szCs w:val="22"/>
          <w:lang w:eastAsia="es-MX"/>
        </w:rPr>
        <w:t xml:space="preserve">. Aquella cuya divulgación obstruya o pueda causar un serio perjuicio a: </w:t>
      </w:r>
    </w:p>
    <w:p w14:paraId="711C8D2B"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1.</w:t>
      </w:r>
      <w:r w:rsidRPr="008A3905">
        <w:rPr>
          <w:rFonts w:ascii="Palatino Linotype" w:eastAsia="Palatino Linotype" w:hAnsi="Palatino Linotype" w:cs="Palatino Linotype"/>
          <w:i/>
          <w:sz w:val="22"/>
          <w:szCs w:val="22"/>
          <w:lang w:eastAsia="es-MX"/>
        </w:rPr>
        <w:t xml:space="preserve"> Las actividades de fiscalización, verificación, inspección, comprobación y auditoría sobre el cumplimiento de las Leyes; o </w:t>
      </w:r>
    </w:p>
    <w:p w14:paraId="6F609551"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2.</w:t>
      </w:r>
      <w:r w:rsidRPr="008A3905">
        <w:rPr>
          <w:rFonts w:ascii="Palatino Linotype" w:eastAsia="Palatino Linotype" w:hAnsi="Palatino Linotype" w:cs="Palatino Linotype"/>
          <w:i/>
          <w:sz w:val="22"/>
          <w:szCs w:val="22"/>
          <w:lang w:eastAsia="es-MX"/>
        </w:rPr>
        <w:t xml:space="preserve"> La recaudación de las contribuciones. </w:t>
      </w:r>
    </w:p>
    <w:p w14:paraId="674D3770"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VI.</w:t>
      </w:r>
      <w:r w:rsidRPr="008A3905">
        <w:rPr>
          <w:rFonts w:ascii="Palatino Linotype" w:eastAsia="Palatino Linotype" w:hAnsi="Palatino Linotype" w:cs="Palatino Linotype"/>
          <w:i/>
          <w:sz w:val="22"/>
          <w:szCs w:val="22"/>
          <w:lang w:eastAsia="es-MX"/>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854BD00"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VII</w:t>
      </w:r>
      <w:r w:rsidRPr="008A3905">
        <w:rPr>
          <w:rFonts w:ascii="Palatino Linotype" w:eastAsia="Palatino Linotype" w:hAnsi="Palatino Linotype" w:cs="Palatino Linotype"/>
          <w:i/>
          <w:sz w:val="22"/>
          <w:szCs w:val="22"/>
          <w:lang w:eastAsia="es-MX"/>
        </w:rPr>
        <w:t xml:space="preserve">. La que contengan las opiniones, recomendaciones o puntos de vista que formen parte del proceso deliberativo de los servidores públicos, hasta en tanto sea adoptada la decisión definitiva, la cual deberá estar documentada; </w:t>
      </w:r>
    </w:p>
    <w:p w14:paraId="05E35F67"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b/>
          <w:i/>
          <w:sz w:val="22"/>
          <w:szCs w:val="22"/>
          <w:lang w:eastAsia="es-MX"/>
        </w:rPr>
      </w:pPr>
      <w:r w:rsidRPr="008A3905">
        <w:rPr>
          <w:rFonts w:ascii="Palatino Linotype" w:eastAsia="Palatino Linotype" w:hAnsi="Palatino Linotype" w:cs="Palatino Linotype"/>
          <w:b/>
          <w:i/>
          <w:sz w:val="22"/>
          <w:szCs w:val="22"/>
          <w:lang w:eastAsia="es-MX"/>
        </w:rPr>
        <w:t xml:space="preserve">VIII. Vulnere la conducción de los expedientes judiciales o de los procedimientos administrativos seguidos en forma de juicio, en tanto no hayan quedado firmes; </w:t>
      </w:r>
    </w:p>
    <w:p w14:paraId="7ECFA0F2"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IX.</w:t>
      </w:r>
      <w:r w:rsidRPr="008A3905">
        <w:rPr>
          <w:rFonts w:ascii="Palatino Linotype" w:eastAsia="Palatino Linotype" w:hAnsi="Palatino Linotype" w:cs="Palatino Linotype"/>
          <w:i/>
          <w:sz w:val="22"/>
          <w:szCs w:val="22"/>
          <w:lang w:eastAsia="es-MX"/>
        </w:rPr>
        <w:t xml:space="preserve"> Se encuentre contenida dentro de las investigaciones de hechos que la Ley señale como delitos y se tramiten ante el Ministerio Público; </w:t>
      </w:r>
    </w:p>
    <w:p w14:paraId="7E5E5C65"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X.</w:t>
      </w:r>
      <w:r w:rsidRPr="008A3905">
        <w:rPr>
          <w:rFonts w:ascii="Palatino Linotype" w:eastAsia="Palatino Linotype" w:hAnsi="Palatino Linotype" w:cs="Palatino Linotype"/>
          <w:i/>
          <w:sz w:val="22"/>
          <w:szCs w:val="22"/>
          <w:lang w:eastAsia="es-MX"/>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50B91E5"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Cuando se trate de información sobre estudios y proyectos cuya divulgación pueda causar daños al interés del Estado o suponga un riesgo para su realización,siempre que esté directamente relacionado con procesos o procedimientos administrativos o judiciales que no hayan quedado firmes; y </w:t>
      </w:r>
    </w:p>
    <w:p w14:paraId="27E8B3C4" w14:textId="77777777" w:rsidR="008A3905" w:rsidRPr="008A3905" w:rsidRDefault="008A3905" w:rsidP="008A3905">
      <w:pPr>
        <w:spacing w:after="12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XI.</w:t>
      </w:r>
      <w:r w:rsidRPr="008A3905">
        <w:rPr>
          <w:rFonts w:ascii="Palatino Linotype" w:eastAsia="Palatino Linotype" w:hAnsi="Palatino Linotype" w:cs="Palatino Linotype"/>
          <w:i/>
          <w:sz w:val="22"/>
          <w:szCs w:val="22"/>
          <w:lang w:eastAsia="es-MX"/>
        </w:rPr>
        <w:t xml:space="preserve"> Las que por disposición expresa de una ley tengan tal carácter, siempre que sean acordes con las bases, principios y disposiciones establecidos en esta Ley y no la contravengan; así como las previstas en tratados internacionales.” (Sic)</w:t>
      </w:r>
    </w:p>
    <w:p w14:paraId="25453B2C"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p>
    <w:p w14:paraId="6BFBE012"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Del precepto legal antes referido, se advierte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judiciales o administrativos, incluidos los expedientes judiciales en tanto no hayan quedado firmes, hasta en tanto sea adoptada la decisión definitiva</w:t>
      </w:r>
      <w:r w:rsidRPr="008A3905">
        <w:rPr>
          <w:rFonts w:ascii="Palatino Linotype" w:eastAsia="Palatino Linotype" w:hAnsi="Palatino Linotype" w:cs="Palatino Linotype"/>
          <w:b/>
          <w:lang w:eastAsia="es-MX"/>
        </w:rPr>
        <w:t>,</w:t>
      </w:r>
      <w:r w:rsidRPr="008A3905">
        <w:rPr>
          <w:rFonts w:ascii="Palatino Linotype" w:eastAsia="Palatino Linotype" w:hAnsi="Palatino Linotype" w:cs="Palatino Linotype"/>
          <w:lang w:eastAsia="es-MX"/>
        </w:rPr>
        <w:t xml:space="preserve"> la cual deberá estar documentada, o el daño que pueda producirse con la publicación de la información sea mayor al interés público, siempre y cuando esté directamente relacionado con procesos o procedimientos administrativos o judiciales que no hayan quedado firmes.</w:t>
      </w:r>
    </w:p>
    <w:p w14:paraId="38D0119E"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Una vez precisado lo anterior, se procede a realizar los siguientes cuestionamientos para determinar la procedencia de la entrega de la información requerida por el recurrente.</w:t>
      </w:r>
    </w:p>
    <w:p w14:paraId="2140B6A3" w14:textId="77777777" w:rsidR="008A3905" w:rsidRPr="008A3905" w:rsidRDefault="008A3905" w:rsidP="008A3905">
      <w:pPr>
        <w:spacing w:before="240" w:line="360" w:lineRule="auto"/>
        <w:ind w:right="51"/>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Primera cuestión: ¿Pueden ser restringidos los Principios establecidos en el artículo 6 de la Constitución Federal respecto del derecho de acceso a la información?</w:t>
      </w:r>
    </w:p>
    <w:p w14:paraId="4AAB55B1" w14:textId="77777777" w:rsidR="008A3905" w:rsidRPr="008A3905" w:rsidRDefault="008A3905" w:rsidP="008A3905">
      <w:pPr>
        <w:spacing w:line="360" w:lineRule="auto"/>
        <w:jc w:val="both"/>
        <w:rPr>
          <w:rFonts w:ascii="Palatino Linotype" w:eastAsia="Palatino Linotype" w:hAnsi="Palatino Linotype" w:cs="Palatino Linotype"/>
          <w:lang w:eastAsia="es-MX"/>
        </w:rPr>
      </w:pPr>
    </w:p>
    <w:p w14:paraId="2A035645" w14:textId="77777777" w:rsidR="008A3905" w:rsidRDefault="008A3905" w:rsidP="0005561B">
      <w:pPr>
        <w:spacing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El artículo 6 de la Constitución General de la República, establece una serie de principios y bases sobre las cuales se erige el reconocimiento y ejercicio del derecho humano del ac</w:t>
      </w:r>
      <w:r w:rsidR="0005561B">
        <w:rPr>
          <w:rFonts w:ascii="Palatino Linotype" w:eastAsia="Palatino Linotype" w:hAnsi="Palatino Linotype" w:cs="Palatino Linotype"/>
          <w:lang w:eastAsia="es-MX"/>
        </w:rPr>
        <w:t xml:space="preserve">ceso a la información pública. </w:t>
      </w:r>
    </w:p>
    <w:p w14:paraId="5D116F47" w14:textId="77777777" w:rsidR="0005561B" w:rsidRPr="008A3905" w:rsidRDefault="0005561B" w:rsidP="0005561B">
      <w:pPr>
        <w:spacing w:line="360" w:lineRule="auto"/>
        <w:jc w:val="both"/>
        <w:rPr>
          <w:rFonts w:ascii="Palatino Linotype" w:eastAsia="Palatino Linotype" w:hAnsi="Palatino Linotype" w:cs="Palatino Linotype"/>
          <w:lang w:eastAsia="es-MX"/>
        </w:rPr>
      </w:pPr>
    </w:p>
    <w:p w14:paraId="00E6EB50" w14:textId="77777777" w:rsidR="008A3905" w:rsidRPr="008A3905" w:rsidRDefault="008A3905" w:rsidP="008A3905">
      <w:pPr>
        <w:pBdr>
          <w:top w:val="nil"/>
          <w:left w:val="nil"/>
          <w:bottom w:val="nil"/>
          <w:right w:val="nil"/>
          <w:between w:val="nil"/>
        </w:pBdr>
        <w:spacing w:line="360" w:lineRule="auto"/>
        <w:jc w:val="both"/>
        <w:rPr>
          <w:rFonts w:ascii="Palatino Linotype" w:eastAsia="Palatino Linotype" w:hAnsi="Palatino Linotype" w:cs="Palatino Linotype"/>
          <w:b/>
          <w:color w:val="000000"/>
          <w:lang w:eastAsia="es-MX"/>
        </w:rPr>
      </w:pPr>
      <w:r w:rsidRPr="008A3905">
        <w:rPr>
          <w:rFonts w:ascii="Palatino Linotype" w:eastAsia="Palatino Linotype" w:hAnsi="Palatino Linotype" w:cs="Palatino Linotype"/>
          <w:color w:val="000000"/>
          <w:lang w:eastAsia="es-MX"/>
        </w:rPr>
        <w:t xml:space="preserve">En este sentido, en la fracción I del citado artículo, establece que es pública la información que posea cualquier ente estatal, con </w:t>
      </w:r>
      <w:r w:rsidRPr="008A3905">
        <w:rPr>
          <w:rFonts w:ascii="Palatino Linotype" w:eastAsia="Palatino Linotype" w:hAnsi="Palatino Linotype" w:cs="Palatino Linotype"/>
          <w:b/>
          <w:color w:val="000000"/>
          <w:lang w:eastAsia="es-MX"/>
        </w:rPr>
        <w:t>excepción de reserva temporal</w:t>
      </w:r>
      <w:r w:rsidRPr="008A3905">
        <w:rPr>
          <w:rFonts w:ascii="Palatino Linotype" w:eastAsia="Palatino Linotype" w:hAnsi="Palatino Linotype" w:cs="Palatino Linotype"/>
          <w:color w:val="000000"/>
          <w:lang w:eastAsia="es-MX"/>
        </w:rPr>
        <w:t xml:space="preserve"> </w:t>
      </w:r>
      <w:r w:rsidRPr="008A3905">
        <w:rPr>
          <w:rFonts w:ascii="Palatino Linotype" w:eastAsia="Palatino Linotype" w:hAnsi="Palatino Linotype" w:cs="Palatino Linotype"/>
          <w:b/>
          <w:color w:val="000000"/>
          <w:lang w:eastAsia="es-MX"/>
        </w:rPr>
        <w:t>por razón de interés público</w:t>
      </w:r>
      <w:r w:rsidRPr="008A3905">
        <w:rPr>
          <w:rFonts w:ascii="Palatino Linotype" w:eastAsia="Palatino Linotype" w:hAnsi="Palatino Linotype" w:cs="Palatino Linotype"/>
          <w:color w:val="000000"/>
          <w:lang w:eastAsia="es-MX"/>
        </w:rPr>
        <w:t xml:space="preserve"> </w:t>
      </w:r>
      <w:r w:rsidRPr="008A3905">
        <w:rPr>
          <w:rFonts w:ascii="Palatino Linotype" w:eastAsia="Palatino Linotype" w:hAnsi="Palatino Linotype" w:cs="Palatino Linotype"/>
          <w:b/>
          <w:color w:val="000000"/>
          <w:lang w:eastAsia="es-MX"/>
        </w:rPr>
        <w:t>en los términos que fijen las leyes;</w:t>
      </w:r>
      <w:r w:rsidRPr="008A3905">
        <w:rPr>
          <w:rFonts w:ascii="Palatino Linotype" w:eastAsia="Palatino Linotype" w:hAnsi="Palatino Linotype" w:cs="Palatino Linotype"/>
          <w:color w:val="000000"/>
          <w:lang w:eastAsia="es-MX"/>
        </w:rPr>
        <w:t xml:space="preserve"> y en la fracción segunda se ordena, que la referente a la vida privada y datos personales, sea protegida.</w:t>
      </w:r>
    </w:p>
    <w:p w14:paraId="35DDFA7C" w14:textId="77777777" w:rsidR="008A3905" w:rsidRPr="008A3905" w:rsidRDefault="008A3905" w:rsidP="008A3905">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14:paraId="1FDF3726" w14:textId="77777777" w:rsidR="008A3905" w:rsidRPr="008A3905" w:rsidRDefault="008A3905" w:rsidP="008A3905">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Por lo tanto, se puede determinar que, a rango constitucional </w:t>
      </w:r>
      <w:r w:rsidRPr="008A3905">
        <w:rPr>
          <w:rFonts w:ascii="Palatino Linotype" w:eastAsia="Palatino Linotype" w:hAnsi="Palatino Linotype" w:cs="Palatino Linotype"/>
          <w:b/>
          <w:color w:val="000000"/>
          <w:lang w:eastAsia="es-MX"/>
        </w:rPr>
        <w:t xml:space="preserve">el ejercicio del poder público debe operar bajo la máxima publicidad y accesibilidad, </w:t>
      </w:r>
      <w:r w:rsidRPr="008A3905">
        <w:rPr>
          <w:rFonts w:ascii="Palatino Linotype" w:eastAsia="Palatino Linotype" w:hAnsi="Palatino Linotype" w:cs="Palatino Linotype"/>
          <w:b/>
          <w:lang w:eastAsia="es-MX"/>
        </w:rPr>
        <w:t>sólo</w:t>
      </w:r>
      <w:r w:rsidRPr="008A3905">
        <w:rPr>
          <w:rFonts w:ascii="Palatino Linotype" w:eastAsia="Palatino Linotype" w:hAnsi="Palatino Linotype" w:cs="Palatino Linotype"/>
          <w:b/>
          <w:color w:val="000000"/>
          <w:lang w:eastAsia="es-MX"/>
        </w:rPr>
        <w:t xml:space="preserve"> limitada por circunstancias específicas establecidas por la ley</w:t>
      </w:r>
      <w:r w:rsidRPr="008A3905">
        <w:rPr>
          <w:rFonts w:ascii="Palatino Linotype" w:eastAsia="Palatino Linotype" w:hAnsi="Palatino Linotype" w:cs="Palatino Linotype"/>
          <w:color w:val="000000"/>
          <w:lang w:eastAsia="es-MX"/>
        </w:rPr>
        <w:t>, y que pudieran implicar que la divulgación de la información atente contra los derechos de terceros o la protección de la seguridad nacional, el orden público, la salud o moral públicas.</w:t>
      </w:r>
    </w:p>
    <w:p w14:paraId="5153726A" w14:textId="77777777" w:rsidR="008A3905" w:rsidRPr="008A3905" w:rsidRDefault="008A3905" w:rsidP="008A3905">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14:paraId="09591C89"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Así, tenemos que como sucede con el ejercicio de otros derechos fundamentales, </w:t>
      </w:r>
      <w:r w:rsidRPr="008A3905">
        <w:rPr>
          <w:rFonts w:ascii="Palatino Linotype" w:eastAsia="Palatino Linotype" w:hAnsi="Palatino Linotype" w:cs="Palatino Linotype"/>
          <w:b/>
          <w:u w:val="single"/>
          <w:lang w:eastAsia="es-MX"/>
        </w:rPr>
        <w:t>el derecho al acceso a la información, se encuentra sujeto a determinadas restricciones; sin embargo, a efecto de no ser excesivas, que lleguen al grado de anular el ejercicio del derecho fundamental, están condicionadas a diversos aspectos,</w:t>
      </w:r>
      <w:r w:rsidRPr="008A3905">
        <w:rPr>
          <w:rFonts w:ascii="Palatino Linotype" w:eastAsia="Palatino Linotype" w:hAnsi="Palatino Linotype" w:cs="Palatino Linotype"/>
          <w:lang w:eastAsia="es-MX"/>
        </w:rPr>
        <w:t xml:space="preserve"> de modo que, como lo indica la propia Convención Americana de Derechos Humanos en su artículo 13.2, para que una restricción al derecho a la información pública pueda ser aplicable, debe demostrarse que ha cumplido con las condiciones de: i)</w:t>
      </w:r>
      <w:r w:rsidRPr="008A3905">
        <w:rPr>
          <w:rFonts w:ascii="Palatino Linotype" w:eastAsia="Palatino Linotype" w:hAnsi="Palatino Linotype" w:cs="Palatino Linotype"/>
          <w:i/>
          <w:lang w:eastAsia="es-MX"/>
        </w:rPr>
        <w:t>carácter excepcional, ii) consagración legal, iii) objetivos legítimos, iii) necesidad y proporcionalidad.</w:t>
      </w:r>
    </w:p>
    <w:p w14:paraId="3AA866F2"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Respecto de estas excepciones, la </w:t>
      </w:r>
      <w:r w:rsidRPr="008A3905">
        <w:rPr>
          <w:rFonts w:ascii="Palatino Linotype" w:eastAsia="Palatino Linotype" w:hAnsi="Palatino Linotype" w:cs="Palatino Linotype"/>
          <w:b/>
          <w:lang w:eastAsia="es-MX"/>
        </w:rPr>
        <w:t xml:space="preserve">Corte Interamericana al resolver el </w:t>
      </w:r>
      <w:r w:rsidRPr="008A3905">
        <w:rPr>
          <w:rFonts w:ascii="Palatino Linotype" w:eastAsia="Palatino Linotype" w:hAnsi="Palatino Linotype" w:cs="Palatino Linotype"/>
          <w:b/>
          <w:i/>
          <w:lang w:eastAsia="es-MX"/>
        </w:rPr>
        <w:t>Caso de Clade Reyes y Otros (sentencia del 19 de septiembre de 2006)</w:t>
      </w:r>
      <w:r w:rsidRPr="008A3905">
        <w:rPr>
          <w:rFonts w:ascii="Palatino Linotype" w:eastAsia="Palatino Linotype" w:hAnsi="Palatino Linotype" w:cs="Palatino Linotype"/>
          <w:lang w:eastAsia="es-MX"/>
        </w:rPr>
        <w:t xml:space="preserve">  preciso que,  el establecimiento de </w:t>
      </w:r>
      <w:r w:rsidRPr="008A3905">
        <w:rPr>
          <w:rFonts w:ascii="Palatino Linotype" w:eastAsia="Palatino Linotype" w:hAnsi="Palatino Linotype" w:cs="Palatino Linotype"/>
          <w:b/>
          <w:u w:val="single"/>
          <w:lang w:eastAsia="es-MX"/>
        </w:rPr>
        <w:t>restricciones al derecho de acceso a la información bajo control del Estado, a través de la práctica de las autoridades, sin cumplimiento de los requisitos establecidos en la Convención Americana, crea un campo fértil para la actuación discrecional y arbitraria en la clasificación de informaciones como secretas, reservadas</w:t>
      </w:r>
      <w:r w:rsidRPr="008A3905">
        <w:rPr>
          <w:rFonts w:ascii="Palatino Linotype" w:eastAsia="Palatino Linotype" w:hAnsi="Palatino Linotype" w:cs="Palatino Linotype"/>
          <w:lang w:eastAsia="es-MX"/>
        </w:rPr>
        <w:t xml:space="preserve"> o confidenciales y genera inseguridad jurídica respecto del ejercicio de dicho derecho, así como del alcance de las facultades estatales para restringirlo; es por ello que, en atención al principio de máxima divulgación, toda excepción que precisen los entes públicos debe sujetarse a  una serie de parámetros jurídicos. </w:t>
      </w:r>
    </w:p>
    <w:p w14:paraId="69822E13" w14:textId="77777777" w:rsidR="008A3905" w:rsidRPr="008A3905" w:rsidRDefault="008A3905" w:rsidP="008A3905">
      <w:pPr>
        <w:spacing w:line="360" w:lineRule="auto"/>
        <w:jc w:val="both"/>
        <w:rPr>
          <w:rFonts w:ascii="Palatino Linotype" w:eastAsia="Palatino Linotype" w:hAnsi="Palatino Linotype" w:cs="Palatino Linotype"/>
          <w:b/>
          <w:lang w:eastAsia="es-MX"/>
        </w:rPr>
      </w:pPr>
      <w:r w:rsidRPr="008A3905">
        <w:rPr>
          <w:rFonts w:ascii="Palatino Linotype" w:eastAsia="Palatino Linotype" w:hAnsi="Palatino Linotype" w:cs="Palatino Linotype"/>
          <w:lang w:eastAsia="es-MX"/>
        </w:rPr>
        <w:t xml:space="preserve">Además, en la misma sentencia el tribunal interamericano puntualizó que la ley debe garantizar un acceso a la información pública que sea efectivo y lo más amplio posible, además de que, </w:t>
      </w:r>
      <w:r w:rsidRPr="008A3905">
        <w:rPr>
          <w:rFonts w:ascii="Palatino Linotype" w:eastAsia="Palatino Linotype" w:hAnsi="Palatino Linotype" w:cs="Palatino Linotype"/>
          <w:b/>
          <w:u w:val="single"/>
          <w:lang w:eastAsia="es-MX"/>
        </w:rPr>
        <w:t xml:space="preserve">en caso de contemplar excepciones, éstas no deben convertirse en la práctica en la regla general, sino deben ser la excepción sujetas a estudios casuísticos. </w:t>
      </w:r>
    </w:p>
    <w:p w14:paraId="422E78C7" w14:textId="77777777" w:rsidR="008A3905" w:rsidRPr="008A3905" w:rsidRDefault="008A3905" w:rsidP="008A3905">
      <w:pPr>
        <w:spacing w:line="360" w:lineRule="auto"/>
        <w:jc w:val="both"/>
        <w:rPr>
          <w:rFonts w:ascii="Palatino Linotype" w:eastAsia="Palatino Linotype" w:hAnsi="Palatino Linotype" w:cs="Palatino Linotype"/>
          <w:lang w:eastAsia="es-MX"/>
        </w:rPr>
      </w:pPr>
    </w:p>
    <w:p w14:paraId="0BDC3706" w14:textId="77777777" w:rsidR="008A3905" w:rsidRPr="008A3905" w:rsidRDefault="008A3905" w:rsidP="008A3905">
      <w:pPr>
        <w:spacing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En esa medida, la Relatoría para la Libertad de Expresión de la Comisión Interamericana de Derechos Humanos, </w:t>
      </w:r>
      <w:r w:rsidRPr="008A3905">
        <w:rPr>
          <w:rFonts w:ascii="Palatino Linotype" w:eastAsia="Palatino Linotype" w:hAnsi="Palatino Linotype" w:cs="Palatino Linotype"/>
          <w:b/>
          <w:lang w:eastAsia="es-MX"/>
        </w:rPr>
        <w:t>ha sostenido que las limitaciones impuestas al derecho de acceso a la información, como cualquier otra limitación que se imponga a cualquiera de las derivaciones del derecho a la libertad de expresión, deben ser necesarias en una sociedad democrática para satisfacer un interés público imperativo; debiendo escoger la que restrinja en menor escala el derecho protegido</w:t>
      </w:r>
      <w:r w:rsidRPr="008A3905">
        <w:rPr>
          <w:rFonts w:ascii="Palatino Linotype" w:eastAsia="Palatino Linotype" w:hAnsi="Palatino Linotype" w:cs="Palatino Linotype"/>
          <w:lang w:eastAsia="es-MX"/>
        </w:rPr>
        <w:t>, y observando que ésta:  (i) sea conducente para alcanzar su logro, (ii) sea proporcional al interés que la justifica, e (iii) interfiera en la menor medida posible en el ejercicio efectivo del derecho.</w:t>
      </w:r>
    </w:p>
    <w:p w14:paraId="1A3794A8"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p>
    <w:p w14:paraId="614EC2B4" w14:textId="77777777" w:rsidR="008A3905" w:rsidRPr="008A3905" w:rsidRDefault="008A3905" w:rsidP="008A3905">
      <w:pPr>
        <w:spacing w:after="160" w:line="360" w:lineRule="auto"/>
        <w:jc w:val="both"/>
        <w:rPr>
          <w:rFonts w:ascii="Palatino Linotype" w:eastAsia="Palatino Linotype" w:hAnsi="Palatino Linotype" w:cs="Palatino Linotype"/>
          <w:b/>
          <w:u w:val="single"/>
          <w:lang w:eastAsia="es-MX"/>
        </w:rPr>
      </w:pPr>
      <w:r w:rsidRPr="008A3905">
        <w:rPr>
          <w:rFonts w:ascii="Palatino Linotype" w:eastAsia="Palatino Linotype" w:hAnsi="Palatino Linotype" w:cs="Palatino Linotype"/>
          <w:lang w:eastAsia="es-MX"/>
        </w:rPr>
        <w:t xml:space="preserve">De esta forma, del principio de máxima publicidad tanto en el ámbito internos como en la óptica internacional, deriva el que </w:t>
      </w:r>
      <w:r w:rsidRPr="008A3905">
        <w:rPr>
          <w:rFonts w:ascii="Palatino Linotype" w:eastAsia="Palatino Linotype" w:hAnsi="Palatino Linotype" w:cs="Palatino Linotype"/>
          <w:b/>
          <w:u w:val="single"/>
          <w:lang w:eastAsia="es-MX"/>
        </w:rPr>
        <w:t xml:space="preserve">las normas que limitan el derecho de acceso a la información deben ser interpretadas de manera restrictiva y que toda limitación debe estar debidamente sujeta a una serie de parámetros con los cuales se permita determinar la menor limitación posible al derecho de acceso. </w:t>
      </w:r>
    </w:p>
    <w:p w14:paraId="25904CC8" w14:textId="77777777" w:rsidR="008A3905" w:rsidRPr="008A3905" w:rsidRDefault="008A3905" w:rsidP="008A3905">
      <w:pPr>
        <w:spacing w:before="160" w:line="360" w:lineRule="auto"/>
        <w:ind w:right="51"/>
        <w:jc w:val="both"/>
        <w:rPr>
          <w:rFonts w:ascii="Palatino Linotype" w:eastAsia="Palatino Linotype" w:hAnsi="Palatino Linotype" w:cs="Palatino Linotype"/>
          <w:lang w:eastAsia="es-MX"/>
        </w:rPr>
      </w:pPr>
    </w:p>
    <w:p w14:paraId="2BDE62E2" w14:textId="77777777" w:rsidR="008A3905" w:rsidRPr="008A3905" w:rsidRDefault="008A3905" w:rsidP="008A3905">
      <w:pPr>
        <w:spacing w:after="240" w:line="360" w:lineRule="auto"/>
        <w:ind w:right="51"/>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Segunda cuestión: ¿Cuál es el marco legal que contempla el conjunto de limitaciones excepcionales al Derecho de Acceso a la información Pública en México en los casos en concreto?</w:t>
      </w:r>
    </w:p>
    <w:p w14:paraId="0D8443DC"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Bajo este panorama, en congruencia con el marco constitucional y convencional, la Ley General de Transparencia y de forma equivalente la Ley de Transparencia y Acceso a la Información Pública del Estado de México y Municipios, establecen dos supuestos bajo los cuales una autoridad del estado puede restringir el Derecho de acceso a la información pública ejercido por los particulares, dichas hipótesis de restricción las podemos delimitar en dos conjuntos, el primero como información: “</w:t>
      </w:r>
      <w:r w:rsidRPr="008A3905">
        <w:rPr>
          <w:rFonts w:ascii="Palatino Linotype" w:eastAsia="Palatino Linotype" w:hAnsi="Palatino Linotype" w:cs="Palatino Linotype"/>
          <w:b/>
          <w:color w:val="000000"/>
          <w:lang w:eastAsia="es-MX"/>
        </w:rPr>
        <w:t>Confidencial”</w:t>
      </w:r>
      <w:r w:rsidRPr="008A3905">
        <w:rPr>
          <w:rFonts w:ascii="Palatino Linotype" w:eastAsia="Palatino Linotype" w:hAnsi="Palatino Linotype" w:cs="Palatino Linotype"/>
          <w:color w:val="000000"/>
          <w:lang w:eastAsia="es-MX"/>
        </w:rPr>
        <w:t xml:space="preserve"> y el segundo como información “</w:t>
      </w:r>
      <w:r w:rsidRPr="008A3905">
        <w:rPr>
          <w:rFonts w:ascii="Palatino Linotype" w:eastAsia="Palatino Linotype" w:hAnsi="Palatino Linotype" w:cs="Palatino Linotype"/>
          <w:b/>
          <w:color w:val="000000"/>
          <w:lang w:eastAsia="es-MX"/>
        </w:rPr>
        <w:t>Reservada</w:t>
      </w:r>
      <w:r w:rsidRPr="008A3905">
        <w:rPr>
          <w:rFonts w:ascii="Palatino Linotype" w:eastAsia="Palatino Linotype" w:hAnsi="Palatino Linotype" w:cs="Palatino Linotype"/>
          <w:color w:val="000000"/>
          <w:lang w:eastAsia="es-MX"/>
        </w:rPr>
        <w:t xml:space="preserve">”.  </w:t>
      </w:r>
    </w:p>
    <w:p w14:paraId="262BF48A"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7F510CA6"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En este sentido, para proteger la vida privada y los datos personales –considerados como uno de los límites constitucionalmente legítimos–</w:t>
      </w:r>
      <w:r w:rsidRPr="008A3905">
        <w:rPr>
          <w:rFonts w:ascii="Palatino Linotype" w:eastAsia="Palatino Linotype" w:hAnsi="Palatino Linotype" w:cs="Palatino Linotype"/>
          <w:i/>
          <w:color w:val="000000"/>
          <w:lang w:eastAsia="es-MX"/>
        </w:rPr>
        <w:t xml:space="preserve"> </w:t>
      </w:r>
      <w:r w:rsidRPr="008A3905">
        <w:rPr>
          <w:rFonts w:ascii="Palatino Linotype" w:eastAsia="Palatino Linotype" w:hAnsi="Palatino Linotype" w:cs="Palatino Linotype"/>
          <w:color w:val="000000"/>
          <w:lang w:eastAsia="es-MX"/>
        </w:rPr>
        <w:t>el artículo 116 de la legislación general reproducido de forma simétrica en el análogo 143 de ley local en la materia, se establece como criterio de clasificación el de “</w:t>
      </w:r>
      <w:r w:rsidRPr="008A3905">
        <w:rPr>
          <w:rFonts w:ascii="Palatino Linotype" w:eastAsia="Palatino Linotype" w:hAnsi="Palatino Linotype" w:cs="Palatino Linotype"/>
          <w:b/>
          <w:color w:val="000000"/>
          <w:lang w:eastAsia="es-MX"/>
        </w:rPr>
        <w:t>información confidencial</w:t>
      </w:r>
      <w:r w:rsidRPr="008A3905">
        <w:rPr>
          <w:rFonts w:ascii="Palatino Linotype" w:eastAsia="Palatino Linotype" w:hAnsi="Palatino Linotype" w:cs="Palatino Linotype"/>
          <w:color w:val="000000"/>
          <w:lang w:eastAsia="es-MX"/>
        </w:rPr>
        <w:t xml:space="preserve">”, el cual restringe el acceso a la información pública que contenga datos personales o haga referencia a la vida privada de una persona física que requieran el consentimiento de estos para su difusión, distribución o comercialización. </w:t>
      </w:r>
    </w:p>
    <w:p w14:paraId="635F372F" w14:textId="77777777" w:rsidR="008A3905" w:rsidRPr="008A3905" w:rsidRDefault="008A3905" w:rsidP="008A3905">
      <w:pPr>
        <w:shd w:val="clear" w:color="auto" w:fill="FFFFFF"/>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Por otro lado, para proteger el interés público, ambas legislaciones de manera homogénea en los numerales 113 y 140 de la ley general y de la ley local respectivamente, consideran la posibilidad de restringir el derecho de acceso a la información pública ejercido por los particulares, estableciendo la posibilidad de catalogar la información pública que obra en su poder </w:t>
      </w:r>
      <w:r w:rsidRPr="008A3905">
        <w:rPr>
          <w:rFonts w:ascii="Palatino Linotype" w:eastAsia="Palatino Linotype" w:hAnsi="Palatino Linotype" w:cs="Palatino Linotype"/>
          <w:b/>
          <w:lang w:eastAsia="es-MX"/>
        </w:rPr>
        <w:t>con la calidad de reservada.</w:t>
      </w:r>
      <w:r w:rsidRPr="008A3905">
        <w:rPr>
          <w:rFonts w:ascii="Palatino Linotype" w:eastAsia="Palatino Linotype" w:hAnsi="Palatino Linotype" w:cs="Palatino Linotype"/>
          <w:lang w:eastAsia="es-MX"/>
        </w:rPr>
        <w:t xml:space="preserve"> </w:t>
      </w:r>
    </w:p>
    <w:p w14:paraId="56D50214" w14:textId="77777777" w:rsidR="008A3905" w:rsidRPr="008A3905" w:rsidRDefault="008A3905" w:rsidP="008A3905">
      <w:pPr>
        <w:shd w:val="clear" w:color="auto" w:fill="FFFFFF"/>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Además, la información que sea clasificada como reservada, podrá permanecer con tal carácter hasta por un periodo de cinco años; previendo, además, que podrá ser desclasificada cuando se extingan las causas que dieron origen a su clasificación o haya transcurrido el periodo de reserva.</w:t>
      </w:r>
    </w:p>
    <w:p w14:paraId="44BDAAB5" w14:textId="77777777" w:rsidR="008A3905" w:rsidRPr="008A3905" w:rsidRDefault="008A3905" w:rsidP="008A3905">
      <w:pPr>
        <w:shd w:val="clear" w:color="auto" w:fill="FFFFFF"/>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En la misma lógica, los numerales en comento precisan un catálogo generoso de lineamientos bajo los cuales deberá reservarse la información, lo cual procederá cuando la difusión de la información pueda, entre otras en las aplicables en el presente caso: </w:t>
      </w:r>
    </w:p>
    <w:p w14:paraId="3B4ABBBE" w14:textId="77777777" w:rsidR="008A3905" w:rsidRPr="008A3905" w:rsidRDefault="008A3905" w:rsidP="008A3905">
      <w:pPr>
        <w:numPr>
          <w:ilvl w:val="0"/>
          <w:numId w:val="22"/>
        </w:numPr>
        <w:pBdr>
          <w:top w:val="nil"/>
          <w:left w:val="nil"/>
          <w:bottom w:val="nil"/>
          <w:right w:val="nil"/>
          <w:between w:val="nil"/>
        </w:pBdr>
        <w:shd w:val="clear" w:color="auto" w:fill="FFFFFF"/>
        <w:spacing w:after="160"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b/>
          <w:color w:val="000000"/>
          <w:u w:val="single"/>
          <w:lang w:eastAsia="es-MX"/>
        </w:rPr>
        <w:t>Pueda causar daño u obstruya</w:t>
      </w:r>
      <w:r w:rsidRPr="008A3905">
        <w:rPr>
          <w:rFonts w:ascii="Palatino Linotype" w:eastAsia="Palatino Linotype" w:hAnsi="Palatino Linotype" w:cs="Palatino Linotype"/>
          <w:color w:val="000000"/>
          <w:lang w:eastAsia="es-MX"/>
        </w:rPr>
        <w:t xml:space="preserve"> la prevención o persecución de los delitos, altere el proceso de investigación de las carpetas de investigación, </w:t>
      </w:r>
      <w:r w:rsidRPr="008A3905">
        <w:rPr>
          <w:rFonts w:ascii="Palatino Linotype" w:eastAsia="Palatino Linotype" w:hAnsi="Palatino Linotype" w:cs="Palatino Linotype"/>
          <w:b/>
          <w:color w:val="000000"/>
          <w:lang w:eastAsia="es-MX"/>
        </w:rPr>
        <w:t>afecte o vulnere la conducción</w:t>
      </w:r>
      <w:r w:rsidRPr="008A3905">
        <w:rPr>
          <w:rFonts w:ascii="Palatino Linotype" w:eastAsia="Palatino Linotype" w:hAnsi="Palatino Linotype" w:cs="Palatino Linotype"/>
          <w:color w:val="000000"/>
          <w:lang w:eastAsia="es-MX"/>
        </w:rPr>
        <w:t xml:space="preserve"> o los derechos </w:t>
      </w:r>
      <w:r w:rsidRPr="008A3905">
        <w:rPr>
          <w:rFonts w:ascii="Palatino Linotype" w:eastAsia="Palatino Linotype" w:hAnsi="Palatino Linotype" w:cs="Palatino Linotype"/>
          <w:b/>
          <w:color w:val="000000"/>
          <w:lang w:eastAsia="es-MX"/>
        </w:rPr>
        <w:t>del debido proceso en los procedimientos</w:t>
      </w:r>
      <w:r w:rsidRPr="008A3905">
        <w:rPr>
          <w:rFonts w:ascii="Palatino Linotype" w:eastAsia="Palatino Linotype" w:hAnsi="Palatino Linotype" w:cs="Palatino Linotype"/>
          <w:color w:val="000000"/>
          <w:lang w:eastAsia="es-MX"/>
        </w:rPr>
        <w:t xml:space="preserve"> judiciales o </w:t>
      </w:r>
      <w:r w:rsidRPr="008A3905">
        <w:rPr>
          <w:rFonts w:ascii="Palatino Linotype" w:eastAsia="Palatino Linotype" w:hAnsi="Palatino Linotype" w:cs="Palatino Linotype"/>
          <w:b/>
          <w:color w:val="000000"/>
          <w:lang w:eastAsia="es-MX"/>
        </w:rPr>
        <w:t>administrativos,</w:t>
      </w:r>
      <w:r w:rsidRPr="008A3905">
        <w:rPr>
          <w:rFonts w:ascii="Palatino Linotype" w:eastAsia="Palatino Linotype" w:hAnsi="Palatino Linotype" w:cs="Palatino Linotype"/>
          <w:color w:val="000000"/>
          <w:lang w:eastAsia="es-MX"/>
        </w:rPr>
        <w:t xml:space="preserve"> incluidos los de quejas, denuncias, inconformidades, responsabilidades administrativas y resarcitorias </w:t>
      </w:r>
      <w:r w:rsidRPr="008A3905">
        <w:rPr>
          <w:rFonts w:ascii="Palatino Linotype" w:eastAsia="Palatino Linotype" w:hAnsi="Palatino Linotype" w:cs="Palatino Linotype"/>
          <w:b/>
          <w:color w:val="000000"/>
          <w:lang w:eastAsia="es-MX"/>
        </w:rPr>
        <w:t>en tanto no hayan quedado firmes</w:t>
      </w:r>
      <w:r w:rsidRPr="008A3905">
        <w:rPr>
          <w:rFonts w:ascii="Palatino Linotype" w:eastAsia="Palatino Linotype" w:hAnsi="Palatino Linotype" w:cs="Palatino Linotype"/>
          <w:color w:val="000000"/>
          <w:lang w:eastAsia="es-MX"/>
        </w:rPr>
        <w:t xml:space="preserve"> o afecte la administración de justicia o la seguridad de un denunciante, querellante o testigo, así como sus familias, en los términos de las disposiciones jurídicas aplicables.</w:t>
      </w:r>
    </w:p>
    <w:p w14:paraId="3D1147A2" w14:textId="77777777" w:rsidR="008A3905" w:rsidRPr="008A3905" w:rsidRDefault="008A3905" w:rsidP="008A3905">
      <w:pPr>
        <w:pBdr>
          <w:top w:val="nil"/>
          <w:left w:val="nil"/>
          <w:bottom w:val="nil"/>
          <w:right w:val="nil"/>
          <w:between w:val="nil"/>
        </w:pBdr>
        <w:shd w:val="clear" w:color="auto" w:fill="FFFFFF"/>
        <w:spacing w:line="360" w:lineRule="auto"/>
        <w:ind w:left="1068"/>
        <w:jc w:val="both"/>
        <w:rPr>
          <w:rFonts w:ascii="Palatino Linotype" w:eastAsia="Palatino Linotype" w:hAnsi="Palatino Linotype" w:cs="Palatino Linotype"/>
          <w:color w:val="000000"/>
          <w:lang w:eastAsia="es-MX"/>
        </w:rPr>
      </w:pPr>
    </w:p>
    <w:p w14:paraId="5AF5E2FF" w14:textId="77777777" w:rsidR="008A3905" w:rsidRPr="008A3905" w:rsidRDefault="008A3905" w:rsidP="008A3905">
      <w:pPr>
        <w:numPr>
          <w:ilvl w:val="0"/>
          <w:numId w:val="21"/>
        </w:numPr>
        <w:pBdr>
          <w:top w:val="nil"/>
          <w:left w:val="nil"/>
          <w:bottom w:val="nil"/>
          <w:right w:val="nil"/>
          <w:between w:val="nil"/>
        </w:pBdr>
        <w:shd w:val="clear" w:color="auto" w:fill="FFFFFF"/>
        <w:spacing w:after="160"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b/>
          <w:color w:val="000000"/>
          <w:lang w:eastAsia="es-MX"/>
        </w:rPr>
        <w:t>Vulnere la conducción de los expedientes</w:t>
      </w:r>
      <w:r w:rsidRPr="008A3905">
        <w:rPr>
          <w:rFonts w:ascii="Palatino Linotype" w:eastAsia="Palatino Linotype" w:hAnsi="Palatino Linotype" w:cs="Palatino Linotype"/>
          <w:color w:val="000000"/>
          <w:lang w:eastAsia="es-MX"/>
        </w:rPr>
        <w:t xml:space="preserve"> judiciales o </w:t>
      </w:r>
      <w:r w:rsidRPr="008A3905">
        <w:rPr>
          <w:rFonts w:ascii="Palatino Linotype" w:eastAsia="Palatino Linotype" w:hAnsi="Palatino Linotype" w:cs="Palatino Linotype"/>
          <w:b/>
          <w:color w:val="000000"/>
          <w:lang w:eastAsia="es-MX"/>
        </w:rPr>
        <w:t>de los procedimientos administrativos seguidos en forma de juicio, en tanto no hayan quedado firmes</w:t>
      </w:r>
      <w:r w:rsidRPr="008A3905">
        <w:rPr>
          <w:rFonts w:ascii="Palatino Linotype" w:eastAsia="Palatino Linotype" w:hAnsi="Palatino Linotype" w:cs="Palatino Linotype"/>
          <w:color w:val="000000"/>
          <w:lang w:eastAsia="es-MX"/>
        </w:rPr>
        <w:t>;</w:t>
      </w:r>
    </w:p>
    <w:p w14:paraId="261245FA" w14:textId="77777777" w:rsidR="008A3905" w:rsidRPr="008A3905" w:rsidRDefault="008A3905" w:rsidP="008A3905">
      <w:pPr>
        <w:pBdr>
          <w:top w:val="nil"/>
          <w:left w:val="nil"/>
          <w:bottom w:val="nil"/>
          <w:right w:val="nil"/>
          <w:between w:val="nil"/>
        </w:pBdr>
        <w:shd w:val="clear" w:color="auto" w:fill="FFFFFF"/>
        <w:spacing w:line="360" w:lineRule="auto"/>
        <w:ind w:left="1068"/>
        <w:jc w:val="both"/>
        <w:rPr>
          <w:rFonts w:ascii="Palatino Linotype" w:eastAsia="Palatino Linotype" w:hAnsi="Palatino Linotype" w:cs="Palatino Linotype"/>
          <w:color w:val="000000"/>
          <w:lang w:eastAsia="es-MX"/>
        </w:rPr>
      </w:pPr>
    </w:p>
    <w:p w14:paraId="26134C88" w14:textId="77777777" w:rsidR="008A3905" w:rsidRPr="008A3905" w:rsidRDefault="008A3905" w:rsidP="008A3905">
      <w:pPr>
        <w:numPr>
          <w:ilvl w:val="0"/>
          <w:numId w:val="21"/>
        </w:numPr>
        <w:pBdr>
          <w:top w:val="nil"/>
          <w:left w:val="nil"/>
          <w:bottom w:val="nil"/>
          <w:right w:val="nil"/>
          <w:between w:val="nil"/>
        </w:pBdr>
        <w:shd w:val="clear" w:color="auto" w:fill="FFFFFF"/>
        <w:spacing w:after="160" w:line="360" w:lineRule="auto"/>
        <w:jc w:val="both"/>
        <w:rPr>
          <w:rFonts w:ascii="Palatino Linotype" w:eastAsia="Palatino Linotype" w:hAnsi="Palatino Linotype" w:cs="Palatino Linotype"/>
          <w:b/>
          <w:color w:val="000000"/>
          <w:lang w:eastAsia="es-MX"/>
        </w:rPr>
      </w:pPr>
      <w:r w:rsidRPr="008A3905">
        <w:rPr>
          <w:rFonts w:ascii="Palatino Linotype" w:eastAsia="Palatino Linotype" w:hAnsi="Palatino Linotype" w:cs="Palatino Linotype"/>
          <w:b/>
          <w:color w:val="000000"/>
          <w:u w:val="single"/>
          <w:lang w:eastAsia="es-MX"/>
        </w:rPr>
        <w:t xml:space="preserve">El daño que pueda producirse con la publicación de la información sea mayor que el interés público </w:t>
      </w:r>
      <w:r w:rsidRPr="008A3905">
        <w:rPr>
          <w:rFonts w:ascii="Palatino Linotype" w:eastAsia="Palatino Linotype" w:hAnsi="Palatino Linotype" w:cs="Palatino Linotype"/>
          <w:color w:val="000000"/>
          <w:lang w:eastAsia="es-MX"/>
        </w:rPr>
        <w:t xml:space="preserve">de conocer la información de referencia, siempre que esté directamente relacionado con procesos o </w:t>
      </w:r>
      <w:r w:rsidRPr="008A3905">
        <w:rPr>
          <w:rFonts w:ascii="Palatino Linotype" w:eastAsia="Palatino Linotype" w:hAnsi="Palatino Linotype" w:cs="Palatino Linotype"/>
          <w:b/>
          <w:color w:val="000000"/>
          <w:lang w:eastAsia="es-MX"/>
        </w:rPr>
        <w:t>procedimientos administrativos o judiciales que no hayan quedado firmes;</w:t>
      </w:r>
    </w:p>
    <w:p w14:paraId="4D6BC689"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3AAC5A66"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Las hipótesis contenidas en las fracciones que se transcriben, para su actualización manifiestan dos momentos para poder restringir el derecho de acceso a la información pública, a saber: </w:t>
      </w:r>
    </w:p>
    <w:p w14:paraId="0114D2BA"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16E4CA9E" w14:textId="77777777" w:rsidR="008A3905" w:rsidRPr="008A3905" w:rsidRDefault="008A3905" w:rsidP="008A3905">
      <w:pPr>
        <w:numPr>
          <w:ilvl w:val="0"/>
          <w:numId w:val="23"/>
        </w:numPr>
        <w:pBdr>
          <w:top w:val="nil"/>
          <w:left w:val="nil"/>
          <w:bottom w:val="nil"/>
          <w:right w:val="nil"/>
          <w:between w:val="nil"/>
        </w:pBdr>
        <w:shd w:val="clear" w:color="auto" w:fill="FFFFFF"/>
        <w:spacing w:after="160" w:line="360" w:lineRule="auto"/>
        <w:ind w:hanging="720"/>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En primer lugar, que la información solicitada se encuentre en un procedimiento vivo; y</w:t>
      </w:r>
    </w:p>
    <w:p w14:paraId="623DC6D8" w14:textId="77777777" w:rsidR="008A3905" w:rsidRPr="008A3905" w:rsidRDefault="008A3905" w:rsidP="008A3905">
      <w:pPr>
        <w:numPr>
          <w:ilvl w:val="0"/>
          <w:numId w:val="23"/>
        </w:numPr>
        <w:pBdr>
          <w:top w:val="nil"/>
          <w:left w:val="nil"/>
          <w:bottom w:val="nil"/>
          <w:right w:val="nil"/>
          <w:between w:val="nil"/>
        </w:pBdr>
        <w:shd w:val="clear" w:color="auto" w:fill="FFFFFF"/>
        <w:spacing w:after="160" w:line="360" w:lineRule="auto"/>
        <w:ind w:hanging="720"/>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 Como segundo requisito, que el operador jurídico que posee la información, demuestre que su publicidad vulnera, transgrede y pone en riesgo la conducción de expedientes administrativos y demostrar que el daño que pueda producirse con la publicación de la información sea mayor que el interés público.</w:t>
      </w:r>
    </w:p>
    <w:p w14:paraId="770241B1"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2C9F1724"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bookmarkStart w:id="2" w:name="_heading=h.2et92p0" w:colFirst="0" w:colLast="0"/>
      <w:bookmarkEnd w:id="2"/>
      <w:r w:rsidRPr="008A3905">
        <w:rPr>
          <w:rFonts w:ascii="Palatino Linotype" w:eastAsia="Palatino Linotype" w:hAnsi="Palatino Linotype" w:cs="Palatino Linotype"/>
          <w:color w:val="000000"/>
          <w:highlight w:val="white"/>
          <w:lang w:eastAsia="es-MX"/>
        </w:rPr>
        <w:t>Ahora bien, para el caso de que la información que se ordena se encuentre en proceso en términos de lo señalado por el artículo 140 fracción VIII que señala como información reservada toda aquella que vulnere la conducción de los expedientes judiciales o de los procedimientos administrativos seguidos en forma de juicio, en tanto no hayan quedado firmes; no es aplicable en el presente caso en particular, pues si bien la información pública generada que</w:t>
      </w:r>
      <w:r w:rsidRPr="008A3905">
        <w:rPr>
          <w:rFonts w:ascii="Palatino Linotype" w:eastAsia="Palatino Linotype" w:hAnsi="Palatino Linotype" w:cs="Palatino Linotype"/>
          <w:color w:val="000000"/>
          <w:lang w:eastAsia="es-MX"/>
        </w:rPr>
        <w:t xml:space="preserve"> se ubique dentro de un procedimiento judicial o administrativo que no haya quedado firme tiene naturaleza de reservada, la presente no actualiza la hipótesis señalada por causas de interés público o trascendencia social del caso relacionado con la información correspondiente al conflicto diferendo limítrofe con el municipio de Acolman.</w:t>
      </w:r>
    </w:p>
    <w:p w14:paraId="6E479305"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4AE029F1"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Además, de consentir este </w:t>
      </w:r>
      <w:r w:rsidRPr="008A3905">
        <w:rPr>
          <w:rFonts w:ascii="Palatino Linotype" w:eastAsia="Palatino Linotype" w:hAnsi="Palatino Linotype" w:cs="Palatino Linotype"/>
          <w:lang w:eastAsia="es-MX"/>
        </w:rPr>
        <w:t>Organismo</w:t>
      </w:r>
      <w:r w:rsidRPr="008A3905">
        <w:rPr>
          <w:rFonts w:ascii="Palatino Linotype" w:eastAsia="Palatino Linotype" w:hAnsi="Palatino Linotype" w:cs="Palatino Linotype"/>
          <w:color w:val="000000"/>
          <w:lang w:eastAsia="es-MX"/>
        </w:rPr>
        <w:t xml:space="preserve"> Garante la reserva de la información solicitada, por el solo hecho de encontrarse inmersa en un procedimiento que no ha causado estado, se anularía por completo la posibilidad de la existencia de casos excepcionales en los cuales existen intereses superiores de la sociedad de conocer la información. </w:t>
      </w:r>
    </w:p>
    <w:p w14:paraId="14B5D799"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1F1CC247"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Es decir, conforme a lo expresado por la Corte Interamericana, ha de vigilarse en todo momento, que las excepciones no se conviertan en regla general, dado que el derecho a la información juega un papel determinante en un Estado democrático, a partir del cual, los gobernados pueden ejercer un control respecto del funcionamiento institucional de los poderes públicos.</w:t>
      </w:r>
    </w:p>
    <w:p w14:paraId="2D55F263"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55409C93"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En este sentido, la propia Suprema Corte de Justicia de la Nación (SCJN) al resolver la Acción de inconstitucionalidad 26/2006, concreto la tesis de jurisprudencia de rubro: </w:t>
      </w:r>
      <w:r w:rsidRPr="008A3905">
        <w:rPr>
          <w:rFonts w:ascii="Palatino Linotype" w:eastAsia="Palatino Linotype" w:hAnsi="Palatino Linotype" w:cs="Palatino Linotype"/>
          <w:b/>
          <w:color w:val="000000"/>
          <w:lang w:eastAsia="es-MX"/>
        </w:rPr>
        <w:t>“INFORMACIÓN RESERVADA. EXCEPCIÓN A LA PROHIBICIÓN DE SU DIVULGACIÓN”</w:t>
      </w:r>
      <w:r w:rsidRPr="008A3905">
        <w:rPr>
          <w:rFonts w:ascii="Palatino Linotype" w:eastAsia="Palatino Linotype" w:hAnsi="Palatino Linotype" w:cs="Palatino Linotype"/>
          <w:color w:val="000000"/>
          <w:lang w:eastAsia="es-MX"/>
        </w:rPr>
        <w:t>, de cuyo cuerpo, en el tema que interesa se precisa que: “…No obstante la imposibilidad de acceder a dicha información no puede considerarse como una regla absoluta, porque en aquellos supuestos en los cuales su difusión producirá mayores beneficios para la sociedad que los daños que pudieran provocarse con su divulgación, debe hacerse una excepción a la regla general, privilegiando la transparencia y difusión de la información respectiva.”</w:t>
      </w:r>
      <w:r w:rsidRPr="008A3905">
        <w:rPr>
          <w:rFonts w:ascii="Palatino Linotype" w:eastAsia="Palatino Linotype" w:hAnsi="Palatino Linotype" w:cs="Palatino Linotype"/>
          <w:color w:val="000000"/>
          <w:vertAlign w:val="superscript"/>
          <w:lang w:eastAsia="es-MX"/>
        </w:rPr>
        <w:footnoteReference w:id="3"/>
      </w:r>
    </w:p>
    <w:p w14:paraId="2AC3A0B9"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2DF9B392"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Así, se puede desprender que la restricción para acceder a la información relacionada con expedientes administrativos que no hayan causado estado, no puede considerarse como una regla absoluta. Debe hacerse una excepción a esta regla privilegiando la transparencia y difusión de la información respectiva cuando su difusión producirá mayores beneficios para la sociedad que los daños que pudieran provocarse con su divulgación.</w:t>
      </w:r>
    </w:p>
    <w:p w14:paraId="5F6AC420"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1DF2E288"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Por esta razón, existe la posibilidad de que la información que referencia al expediente que contiene lo relacionado con los conflictos</w:t>
      </w:r>
      <w:r w:rsidR="0005561B">
        <w:rPr>
          <w:rFonts w:ascii="Palatino Linotype" w:eastAsia="Palatino Linotype" w:hAnsi="Palatino Linotype" w:cs="Palatino Linotype"/>
          <w:color w:val="000000"/>
          <w:lang w:eastAsia="es-MX"/>
        </w:rPr>
        <w:t xml:space="preserve"> por límites territoriales del M</w:t>
      </w:r>
      <w:r w:rsidRPr="008A3905">
        <w:rPr>
          <w:rFonts w:ascii="Palatino Linotype" w:eastAsia="Palatino Linotype" w:hAnsi="Palatino Linotype" w:cs="Palatino Linotype"/>
          <w:color w:val="000000"/>
          <w:lang w:eastAsia="es-MX"/>
        </w:rPr>
        <w:t>unicipio de Ecatepec de Morelos con el Municipio de Acolman, ostente características tan especiales que el beneficio social y colectivo que otorga su acceso es tan grande que la reserva no resultaba ser una barrera infranqueable.</w:t>
      </w:r>
    </w:p>
    <w:p w14:paraId="09E94C42"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561F3314"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En razón de lo anterior, este </w:t>
      </w:r>
      <w:r w:rsidRPr="008A3905">
        <w:rPr>
          <w:rFonts w:ascii="Palatino Linotype" w:eastAsia="Palatino Linotype" w:hAnsi="Palatino Linotype" w:cs="Palatino Linotype"/>
          <w:lang w:eastAsia="es-MX"/>
        </w:rPr>
        <w:t>Organismo</w:t>
      </w:r>
      <w:r w:rsidRPr="008A3905">
        <w:rPr>
          <w:rFonts w:ascii="Palatino Linotype" w:eastAsia="Palatino Linotype" w:hAnsi="Palatino Linotype" w:cs="Palatino Linotype"/>
          <w:color w:val="000000"/>
          <w:lang w:eastAsia="es-MX"/>
        </w:rPr>
        <w:t xml:space="preserve"> Garante del Derecho de Acceso a la información </w:t>
      </w:r>
      <w:r w:rsidRPr="008A3905">
        <w:rPr>
          <w:rFonts w:ascii="Palatino Linotype" w:eastAsia="Palatino Linotype" w:hAnsi="Palatino Linotype" w:cs="Palatino Linotype"/>
          <w:lang w:eastAsia="es-MX"/>
        </w:rPr>
        <w:t>Pública</w:t>
      </w:r>
      <w:r w:rsidRPr="008A3905">
        <w:rPr>
          <w:rFonts w:ascii="Palatino Linotype" w:eastAsia="Palatino Linotype" w:hAnsi="Palatino Linotype" w:cs="Palatino Linotype"/>
          <w:color w:val="000000"/>
          <w:lang w:eastAsia="es-MX"/>
        </w:rPr>
        <w:t xml:space="preserve"> en la entidad Mexiquense, debe valorar de nueva cuenta a través de criterios razonables y ponderables el interés público en el presente caso, a fin de determinar si este interés público que reviste la información de mérito, resulta suficiente para restringir la necesidad de clasificar la información como reservada, o en su defecto, determinar si prevalece más el sigilo de la información.</w:t>
      </w:r>
      <w:r w:rsidRPr="008A3905">
        <w:rPr>
          <w:rFonts w:ascii="Calibri" w:eastAsia="Calibri" w:hAnsi="Calibri" w:cs="Calibri"/>
          <w:noProof/>
          <w:sz w:val="22"/>
          <w:szCs w:val="22"/>
          <w:lang w:eastAsia="es-MX"/>
        </w:rPr>
        <w:drawing>
          <wp:anchor distT="0" distB="0" distL="0" distR="0" simplePos="0" relativeHeight="251662336" behindDoc="1" locked="0" layoutInCell="1" hidden="0" allowOverlap="1" wp14:anchorId="03EA0324" wp14:editId="43873FE3">
            <wp:simplePos x="0" y="0"/>
            <wp:positionH relativeFrom="column">
              <wp:posOffset>-47623</wp:posOffset>
            </wp:positionH>
            <wp:positionV relativeFrom="paragraph">
              <wp:posOffset>-1028698</wp:posOffset>
            </wp:positionV>
            <wp:extent cx="1695450" cy="102870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95450" cy="1028700"/>
                    </a:xfrm>
                    <a:prstGeom prst="rect">
                      <a:avLst/>
                    </a:prstGeom>
                    <a:ln/>
                  </pic:spPr>
                </pic:pic>
              </a:graphicData>
            </a:graphic>
          </wp:anchor>
        </w:drawing>
      </w:r>
    </w:p>
    <w:p w14:paraId="05F75B77"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p>
    <w:p w14:paraId="7D7C857F" w14:textId="77777777" w:rsidR="008A3905" w:rsidRPr="008A3905" w:rsidRDefault="008A3905" w:rsidP="008A390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Tercera cuestión: ¿El interés público que envuelve la información referida resulta suficiente para restringir la necesidad de clasificar la información como reservada?</w:t>
      </w:r>
    </w:p>
    <w:p w14:paraId="2D1A4BDA"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b/>
          <w:i/>
          <w:lang w:eastAsia="es-MX"/>
        </w:rPr>
      </w:pPr>
      <w:r w:rsidRPr="008A3905">
        <w:rPr>
          <w:rFonts w:ascii="Palatino Linotype" w:eastAsia="Palatino Linotype" w:hAnsi="Palatino Linotype" w:cs="Palatino Linotype"/>
          <w:lang w:eastAsia="es-MX"/>
        </w:rPr>
        <w:t>Entonces al hablar de una valoración de los beneficios o perjuicios de la divulgación señalada, debe fundarse en las consecuencias concretas que, potencialmente, resulten de la publicidad de la información, se deberá ponderar si la publicidad de la información tienen una trascendencia social y poder ser catalogada como información de interés público</w:t>
      </w:r>
      <w:r w:rsidRPr="008A3905">
        <w:rPr>
          <w:rFonts w:ascii="Palatino Linotype" w:eastAsia="Palatino Linotype" w:hAnsi="Palatino Linotype" w:cs="Palatino Linotype"/>
          <w:b/>
          <w:i/>
          <w:lang w:eastAsia="es-MX"/>
        </w:rPr>
        <w:t>.</w:t>
      </w:r>
      <w:r w:rsidRPr="008A3905">
        <w:rPr>
          <w:rFonts w:ascii="Palatino Linotype" w:eastAsia="Palatino Linotype" w:hAnsi="Palatino Linotype" w:cs="Palatino Linotype"/>
          <w:b/>
          <w:u w:val="single"/>
          <w:vertAlign w:val="superscript"/>
          <w:lang w:eastAsia="es-MX"/>
        </w:rPr>
        <w:t xml:space="preserve"> </w:t>
      </w:r>
      <w:r w:rsidRPr="008A3905">
        <w:rPr>
          <w:rFonts w:ascii="Palatino Linotype" w:eastAsia="Palatino Linotype" w:hAnsi="Palatino Linotype" w:cs="Palatino Linotype"/>
          <w:b/>
          <w:u w:val="single"/>
          <w:vertAlign w:val="superscript"/>
          <w:lang w:eastAsia="es-MX"/>
        </w:rPr>
        <w:footnoteReference w:id="4"/>
      </w:r>
    </w:p>
    <w:p w14:paraId="64DCC7A1"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Así, este Instituto considera procedente efectuar una prueba de interés público ante la colisión de derechos que se plantea en el presente recurso de revisión, por una parte: i) el derecho aducido por el Sujeto Obligado consistente en el derecho a la secrecía del expediente en virtud de no haber causado estado, frente al derecho ejercido por el particular consiéntete en el Derecho de Acceso a la Información Pública. Lo anterior, conforme a lo que mandata la Ley General de Transparencia y Acceso a la Información Pública, la cual en su artículo 149 refiere la posibilidad, tratándose de colisión de derechos, la solución bajo el principio de proporcionalidad en observancia a las gradas de: idoneidad, necesidad y proporcionalidad (premisa que es replicada en el artículo 184 de la ley local en la materia), tal y como se precisa:  </w:t>
      </w:r>
    </w:p>
    <w:p w14:paraId="04E358BD" w14:textId="77777777" w:rsidR="008A3905" w:rsidRPr="008A3905" w:rsidRDefault="008A3905" w:rsidP="008A3905">
      <w:pPr>
        <w:shd w:val="clear" w:color="auto" w:fill="FFFFFF"/>
        <w:spacing w:before="280" w:after="280" w:line="259" w:lineRule="auto"/>
        <w:ind w:left="993" w:right="104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“Artículo 149. </w:t>
      </w:r>
      <w:r w:rsidRPr="008A3905">
        <w:rPr>
          <w:rFonts w:ascii="Palatino Linotype" w:eastAsia="Palatino Linotype" w:hAnsi="Palatino Linotype" w:cs="Palatino Linotype"/>
          <w:b/>
          <w:i/>
          <w:sz w:val="22"/>
          <w:szCs w:val="22"/>
          <w:lang w:eastAsia="es-MX"/>
        </w:rPr>
        <w:t xml:space="preserve">El organismo garante, al resolver el recurso de revisión, deberá aplicar una prueba de interés público con base en elementos de idoneidad, necesidad y proporcionalidad, cuando exista una </w:t>
      </w:r>
      <w:r w:rsidRPr="008A3905">
        <w:rPr>
          <w:rFonts w:ascii="Palatino Linotype" w:eastAsia="Palatino Linotype" w:hAnsi="Palatino Linotype" w:cs="Palatino Linotype"/>
          <w:b/>
          <w:i/>
          <w:sz w:val="22"/>
          <w:szCs w:val="22"/>
          <w:u w:val="single"/>
          <w:lang w:eastAsia="es-MX"/>
        </w:rPr>
        <w:t xml:space="preserve">colisión de derechos.” </w:t>
      </w:r>
      <w:r w:rsidRPr="008A3905">
        <w:rPr>
          <w:rFonts w:ascii="Palatino Linotype" w:eastAsia="Palatino Linotype" w:hAnsi="Palatino Linotype" w:cs="Palatino Linotype"/>
          <w:b/>
          <w:i/>
          <w:sz w:val="22"/>
          <w:szCs w:val="22"/>
          <w:lang w:eastAsia="es-MX"/>
        </w:rPr>
        <w:t>(Sic)</w:t>
      </w:r>
    </w:p>
    <w:p w14:paraId="20CFF7B2" w14:textId="77777777" w:rsidR="008A3905" w:rsidRPr="008A3905" w:rsidRDefault="008A3905" w:rsidP="008A3905">
      <w:pPr>
        <w:shd w:val="clear" w:color="auto" w:fill="FFFFFF"/>
        <w:spacing w:before="280" w:after="280" w:line="259" w:lineRule="auto"/>
        <w:ind w:left="993"/>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Para estos efectos, se entenderá por:</w:t>
      </w:r>
    </w:p>
    <w:p w14:paraId="655E2182" w14:textId="77777777" w:rsidR="008A3905" w:rsidRPr="008A3905" w:rsidRDefault="008A3905" w:rsidP="008A3905">
      <w:pPr>
        <w:pBdr>
          <w:top w:val="nil"/>
          <w:left w:val="nil"/>
          <w:bottom w:val="nil"/>
          <w:right w:val="nil"/>
          <w:between w:val="nil"/>
        </w:pBdr>
        <w:shd w:val="clear" w:color="auto" w:fill="FFFFFF"/>
        <w:spacing w:before="280" w:line="259" w:lineRule="auto"/>
        <w:ind w:left="993"/>
        <w:jc w:val="both"/>
        <w:rPr>
          <w:rFonts w:ascii="Palatino Linotype" w:eastAsia="Palatino Linotype" w:hAnsi="Palatino Linotype" w:cs="Palatino Linotype"/>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I. Idoneidad:</w:t>
      </w:r>
      <w:r w:rsidRPr="008A3905">
        <w:rPr>
          <w:rFonts w:ascii="Palatino Linotype" w:eastAsia="Palatino Linotype" w:hAnsi="Palatino Linotype" w:cs="Palatino Linotype"/>
          <w:i/>
          <w:color w:val="000000"/>
          <w:sz w:val="22"/>
          <w:szCs w:val="22"/>
          <w:lang w:eastAsia="es-MX"/>
        </w:rPr>
        <w:t xml:space="preserve"> La legitimidad del derecho adoptado como preferente, que sea el adecuado para el logro de un fin constitucionalmente válido o apto para conseguir el fin pretendido;</w:t>
      </w:r>
    </w:p>
    <w:p w14:paraId="67385AC1" w14:textId="77777777" w:rsidR="008A3905" w:rsidRPr="008A3905" w:rsidRDefault="008A3905" w:rsidP="008A3905">
      <w:pPr>
        <w:pBdr>
          <w:top w:val="nil"/>
          <w:left w:val="nil"/>
          <w:bottom w:val="nil"/>
          <w:right w:val="nil"/>
          <w:between w:val="nil"/>
        </w:pBdr>
        <w:shd w:val="clear" w:color="auto" w:fill="FFFFFF"/>
        <w:spacing w:line="259" w:lineRule="auto"/>
        <w:ind w:left="993"/>
        <w:jc w:val="both"/>
        <w:rPr>
          <w:rFonts w:ascii="Palatino Linotype" w:eastAsia="Palatino Linotype" w:hAnsi="Palatino Linotype" w:cs="Palatino Linotype"/>
          <w:i/>
          <w:color w:val="000000"/>
          <w:sz w:val="22"/>
          <w:szCs w:val="22"/>
          <w:lang w:eastAsia="es-MX"/>
        </w:rPr>
      </w:pPr>
    </w:p>
    <w:p w14:paraId="77FE98D8" w14:textId="77777777" w:rsidR="008A3905" w:rsidRPr="008A3905" w:rsidRDefault="008A3905" w:rsidP="008A3905">
      <w:pPr>
        <w:pBdr>
          <w:top w:val="nil"/>
          <w:left w:val="nil"/>
          <w:bottom w:val="nil"/>
          <w:right w:val="nil"/>
          <w:between w:val="nil"/>
        </w:pBdr>
        <w:shd w:val="clear" w:color="auto" w:fill="FFFFFF"/>
        <w:spacing w:line="259" w:lineRule="auto"/>
        <w:ind w:left="993"/>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i/>
          <w:color w:val="000000"/>
          <w:sz w:val="22"/>
          <w:szCs w:val="22"/>
          <w:lang w:eastAsia="es-MX"/>
        </w:rPr>
        <w:t xml:space="preserve"> </w:t>
      </w:r>
      <w:r w:rsidRPr="008A3905">
        <w:rPr>
          <w:rFonts w:ascii="Palatino Linotype" w:eastAsia="Palatino Linotype" w:hAnsi="Palatino Linotype" w:cs="Palatino Linotype"/>
          <w:b/>
          <w:i/>
          <w:color w:val="000000"/>
          <w:sz w:val="22"/>
          <w:szCs w:val="22"/>
          <w:lang w:eastAsia="es-MX"/>
        </w:rPr>
        <w:t>II. Necesidad:</w:t>
      </w:r>
      <w:r w:rsidRPr="008A3905">
        <w:rPr>
          <w:rFonts w:ascii="Palatino Linotype" w:eastAsia="Palatino Linotype" w:hAnsi="Palatino Linotype" w:cs="Palatino Linotype"/>
          <w:i/>
          <w:color w:val="000000"/>
          <w:sz w:val="22"/>
          <w:szCs w:val="22"/>
          <w:lang w:eastAsia="es-MX"/>
        </w:rPr>
        <w:t xml:space="preserve"> La falta de un medio alternativo menos lesivo a la apertura de la información, para satisfacer el interés público, y </w:t>
      </w:r>
    </w:p>
    <w:p w14:paraId="7D3A8489" w14:textId="77777777" w:rsidR="008A3905" w:rsidRPr="008A3905" w:rsidRDefault="008A3905" w:rsidP="008A3905">
      <w:pPr>
        <w:pBdr>
          <w:top w:val="nil"/>
          <w:left w:val="nil"/>
          <w:bottom w:val="nil"/>
          <w:right w:val="nil"/>
          <w:between w:val="nil"/>
        </w:pBdr>
        <w:shd w:val="clear" w:color="auto" w:fill="FFFFFF"/>
        <w:spacing w:line="259" w:lineRule="auto"/>
        <w:ind w:left="993"/>
        <w:jc w:val="both"/>
        <w:rPr>
          <w:rFonts w:ascii="Palatino Linotype" w:eastAsia="Palatino Linotype" w:hAnsi="Palatino Linotype" w:cs="Palatino Linotype"/>
          <w:i/>
          <w:color w:val="000000"/>
          <w:sz w:val="22"/>
          <w:szCs w:val="22"/>
          <w:lang w:eastAsia="es-MX"/>
        </w:rPr>
      </w:pPr>
    </w:p>
    <w:p w14:paraId="48FB7587" w14:textId="77777777" w:rsidR="008A3905" w:rsidRPr="008A3905" w:rsidRDefault="008A3905" w:rsidP="008A3905">
      <w:pPr>
        <w:pBdr>
          <w:top w:val="nil"/>
          <w:left w:val="nil"/>
          <w:bottom w:val="nil"/>
          <w:right w:val="nil"/>
          <w:between w:val="nil"/>
        </w:pBdr>
        <w:shd w:val="clear" w:color="auto" w:fill="FFFFFF"/>
        <w:spacing w:after="280" w:line="259" w:lineRule="auto"/>
        <w:ind w:left="993"/>
        <w:jc w:val="both"/>
        <w:rPr>
          <w:rFonts w:ascii="Palatino Linotype" w:eastAsia="Palatino Linotype" w:hAnsi="Palatino Linotype" w:cs="Palatino Linotype"/>
          <w:b/>
          <w:i/>
          <w:color w:val="000000"/>
          <w:sz w:val="22"/>
          <w:szCs w:val="22"/>
          <w:lang w:eastAsia="es-MX"/>
        </w:rPr>
      </w:pPr>
      <w:r w:rsidRPr="008A3905">
        <w:rPr>
          <w:rFonts w:ascii="Palatino Linotype" w:eastAsia="Palatino Linotype" w:hAnsi="Palatino Linotype" w:cs="Palatino Linotype"/>
          <w:b/>
          <w:i/>
          <w:color w:val="000000"/>
          <w:sz w:val="22"/>
          <w:szCs w:val="22"/>
          <w:lang w:eastAsia="es-MX"/>
        </w:rPr>
        <w:t>III. Proporcionalidad:</w:t>
      </w:r>
      <w:r w:rsidRPr="008A3905">
        <w:rPr>
          <w:rFonts w:ascii="Palatino Linotype" w:eastAsia="Palatino Linotype" w:hAnsi="Palatino Linotype" w:cs="Palatino Linotype"/>
          <w:i/>
          <w:color w:val="000000"/>
          <w:sz w:val="22"/>
          <w:szCs w:val="22"/>
          <w:lang w:eastAsia="es-MX"/>
        </w:rPr>
        <w:t xml:space="preserve"> El equilibrio entre perjuicio y beneficio a favor del interés público, a fin de que la decisión tomada represente un beneficio mayor al perjuicio que podría causar a la población.” (Sic)</w:t>
      </w:r>
    </w:p>
    <w:p w14:paraId="71D89C53"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b/>
          <w:i/>
          <w:lang w:eastAsia="es-MX"/>
        </w:rPr>
      </w:pPr>
      <w:r w:rsidRPr="008A3905">
        <w:rPr>
          <w:rFonts w:ascii="Palatino Linotype" w:eastAsia="Palatino Linotype" w:hAnsi="Palatino Linotype" w:cs="Palatino Linotype"/>
          <w:lang w:eastAsia="es-MX"/>
        </w:rPr>
        <w:t xml:space="preserve">Ahora bien, utilizando lo precisado en la parte inicial de este apartado, el contenido de ciertos derechos fundamentales no puede ser absoluto, y la colisión entre derechos fundamentales no puede resolverse apelando a reglas de prioridad entre normas, </w:t>
      </w:r>
      <w:r w:rsidRPr="008A3905">
        <w:rPr>
          <w:rFonts w:ascii="Palatino Linotype" w:eastAsia="Palatino Linotype" w:hAnsi="Palatino Linotype" w:cs="Palatino Linotype"/>
          <w:b/>
          <w:lang w:eastAsia="es-MX"/>
        </w:rPr>
        <w:t>s</w:t>
      </w:r>
      <w:r w:rsidRPr="008A3905">
        <w:rPr>
          <w:rFonts w:ascii="Palatino Linotype" w:eastAsia="Palatino Linotype" w:hAnsi="Palatino Linotype" w:cs="Palatino Linotype"/>
          <w:b/>
          <w:i/>
          <w:lang w:eastAsia="es-MX"/>
        </w:rPr>
        <w:t>ino mediante una ponderación que determine el derecho que ha de prevalecer</w:t>
      </w:r>
      <w:r w:rsidRPr="008A3905">
        <w:rPr>
          <w:rFonts w:ascii="Palatino Linotype" w:eastAsia="Palatino Linotype" w:hAnsi="Palatino Linotype" w:cs="Palatino Linotype"/>
          <w:lang w:eastAsia="es-MX"/>
        </w:rPr>
        <w:t xml:space="preserve"> en el caso concreto, esto conforme la doctrina de</w:t>
      </w:r>
      <w:r w:rsidRPr="008A3905">
        <w:rPr>
          <w:rFonts w:ascii="Palatino Linotype" w:eastAsia="Palatino Linotype" w:hAnsi="Palatino Linotype" w:cs="Palatino Linotype"/>
          <w:b/>
          <w:lang w:eastAsia="es-MX"/>
        </w:rPr>
        <w:t xml:space="preserve"> Riccardnao Guastini al señalar que “</w:t>
      </w:r>
      <w:r w:rsidRPr="008A3905">
        <w:rPr>
          <w:rFonts w:ascii="Palatino Linotype" w:eastAsia="Palatino Linotype" w:hAnsi="Palatino Linotype" w:cs="Palatino Linotype"/>
          <w:i/>
          <w:lang w:eastAsia="es-MX"/>
        </w:rPr>
        <w:t>La ponderación, por tanto, no es una “conciliación</w:t>
      </w:r>
      <w:r w:rsidRPr="008A3905">
        <w:rPr>
          <w:rFonts w:ascii="Palatino Linotype" w:eastAsia="Palatino Linotype" w:hAnsi="Palatino Linotype" w:cs="Palatino Linotype"/>
          <w:lang w:eastAsia="es-MX"/>
        </w:rPr>
        <w:t>”. No consiste en “</w:t>
      </w:r>
      <w:r w:rsidRPr="008A3905">
        <w:rPr>
          <w:rFonts w:ascii="Palatino Linotype" w:eastAsia="Palatino Linotype" w:hAnsi="Palatino Linotype" w:cs="Palatino Linotype"/>
          <w:i/>
          <w:lang w:eastAsia="es-MX"/>
        </w:rPr>
        <w:t>poner de acuerdo</w:t>
      </w:r>
      <w:r w:rsidRPr="008A3905">
        <w:rPr>
          <w:rFonts w:ascii="Palatino Linotype" w:eastAsia="Palatino Linotype" w:hAnsi="Palatino Linotype" w:cs="Palatino Linotype"/>
          <w:lang w:eastAsia="es-MX"/>
        </w:rPr>
        <w:t xml:space="preserve">” los dos principios en conflicto, o en encontrar un punto de “equilibrio” entre ellos. No consiste en la aplicación o en el sacrificio parcial de dos principios. </w:t>
      </w:r>
      <w:r w:rsidRPr="008A3905">
        <w:rPr>
          <w:rFonts w:ascii="Palatino Linotype" w:eastAsia="Palatino Linotype" w:hAnsi="Palatino Linotype" w:cs="Palatino Linotype"/>
          <w:b/>
          <w:i/>
          <w:lang w:eastAsia="es-MX"/>
        </w:rPr>
        <w:t>Uno de los dos principios es aplicado, el otro es ciertamente acantonado.”</w:t>
      </w:r>
      <w:r w:rsidRPr="008A3905">
        <w:rPr>
          <w:rFonts w:ascii="Palatino Linotype" w:eastAsia="Palatino Linotype" w:hAnsi="Palatino Linotype" w:cs="Palatino Linotype"/>
          <w:vertAlign w:val="superscript"/>
          <w:lang w:eastAsia="es-MX"/>
        </w:rPr>
        <w:t xml:space="preserve"> </w:t>
      </w:r>
      <w:r w:rsidRPr="008A3905">
        <w:rPr>
          <w:rFonts w:ascii="Palatino Linotype" w:eastAsia="Palatino Linotype" w:hAnsi="Palatino Linotype" w:cs="Palatino Linotype"/>
          <w:vertAlign w:val="superscript"/>
          <w:lang w:eastAsia="es-MX"/>
        </w:rPr>
        <w:footnoteReference w:id="5"/>
      </w:r>
    </w:p>
    <w:p w14:paraId="1DF205A7"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En cuanto a la metodología de ponderación de derechos, es necesario citar el siguiente criterio del Poder Judicial de la Federación, en el que se dispone lo siguiente: </w:t>
      </w:r>
    </w:p>
    <w:p w14:paraId="68CFA7EA" w14:textId="77777777" w:rsidR="008A3905" w:rsidRPr="008A3905" w:rsidRDefault="008A3905" w:rsidP="008A3905">
      <w:pPr>
        <w:shd w:val="clear" w:color="auto" w:fill="FFFFFF"/>
        <w:ind w:left="992" w:right="760"/>
        <w:jc w:val="both"/>
        <w:rPr>
          <w:rFonts w:ascii="Calibri" w:eastAsia="Calibri" w:hAnsi="Calibri" w:cs="Calibri"/>
          <w:i/>
          <w:sz w:val="22"/>
          <w:szCs w:val="22"/>
          <w:lang w:eastAsia="es-MX"/>
        </w:rPr>
      </w:pPr>
      <w:r w:rsidRPr="008A3905">
        <w:rPr>
          <w:rFonts w:ascii="Calibri" w:eastAsia="Calibri" w:hAnsi="Calibri" w:cs="Calibri"/>
          <w:i/>
          <w:sz w:val="22"/>
          <w:szCs w:val="22"/>
          <w:lang w:eastAsia="es-MX"/>
        </w:rPr>
        <w:t xml:space="preserve">Época Novena Época  </w:t>
      </w:r>
    </w:p>
    <w:p w14:paraId="0169AA75" w14:textId="77777777" w:rsidR="008A3905" w:rsidRPr="008A3905" w:rsidRDefault="008A3905" w:rsidP="008A3905">
      <w:pPr>
        <w:shd w:val="clear" w:color="auto" w:fill="FFFFFF"/>
        <w:ind w:left="992" w:right="760"/>
        <w:jc w:val="both"/>
        <w:rPr>
          <w:rFonts w:ascii="Calibri" w:eastAsia="Calibri" w:hAnsi="Calibri" w:cs="Calibri"/>
          <w:i/>
          <w:sz w:val="22"/>
          <w:szCs w:val="22"/>
          <w:lang w:eastAsia="es-MX"/>
        </w:rPr>
      </w:pPr>
      <w:r w:rsidRPr="008A3905">
        <w:rPr>
          <w:rFonts w:ascii="Calibri" w:eastAsia="Calibri" w:hAnsi="Calibri" w:cs="Calibri"/>
          <w:i/>
          <w:sz w:val="22"/>
          <w:szCs w:val="22"/>
          <w:lang w:eastAsia="es-MX"/>
        </w:rPr>
        <w:t xml:space="preserve">Registro 174338 </w:t>
      </w:r>
    </w:p>
    <w:p w14:paraId="4DBCF3F0" w14:textId="77777777" w:rsidR="008A3905" w:rsidRPr="008A3905" w:rsidRDefault="008A3905" w:rsidP="008A3905">
      <w:pPr>
        <w:shd w:val="clear" w:color="auto" w:fill="FFFFFF"/>
        <w:ind w:left="992" w:right="760"/>
        <w:jc w:val="both"/>
        <w:rPr>
          <w:rFonts w:ascii="Calibri" w:eastAsia="Calibri" w:hAnsi="Calibri" w:cs="Calibri"/>
          <w:i/>
          <w:sz w:val="22"/>
          <w:szCs w:val="22"/>
          <w:lang w:eastAsia="es-MX"/>
        </w:rPr>
      </w:pPr>
      <w:r w:rsidRPr="008A3905">
        <w:rPr>
          <w:rFonts w:ascii="Calibri" w:eastAsia="Calibri" w:hAnsi="Calibri" w:cs="Calibri"/>
          <w:i/>
          <w:sz w:val="22"/>
          <w:szCs w:val="22"/>
          <w:lang w:eastAsia="es-MX"/>
        </w:rPr>
        <w:t>Instancia Tribunales Colegiados de Circuito</w:t>
      </w:r>
    </w:p>
    <w:p w14:paraId="64E7292F" w14:textId="77777777" w:rsidR="008A3905" w:rsidRPr="008A3905" w:rsidRDefault="008A3905" w:rsidP="008A3905">
      <w:pPr>
        <w:shd w:val="clear" w:color="auto" w:fill="FFFFFF"/>
        <w:ind w:left="992" w:right="760"/>
        <w:jc w:val="both"/>
        <w:rPr>
          <w:rFonts w:ascii="Calibri" w:eastAsia="Calibri" w:hAnsi="Calibri" w:cs="Calibri"/>
          <w:i/>
          <w:sz w:val="22"/>
          <w:szCs w:val="22"/>
          <w:lang w:eastAsia="es-MX"/>
        </w:rPr>
      </w:pPr>
      <w:r w:rsidRPr="008A3905">
        <w:rPr>
          <w:rFonts w:ascii="Calibri" w:eastAsia="Calibri" w:hAnsi="Calibri" w:cs="Calibri"/>
          <w:i/>
          <w:sz w:val="22"/>
          <w:szCs w:val="22"/>
          <w:lang w:eastAsia="es-MX"/>
        </w:rPr>
        <w:t xml:space="preserve"> Tipo de Tesis: Aislada </w:t>
      </w:r>
    </w:p>
    <w:p w14:paraId="1323E411" w14:textId="77777777" w:rsidR="008A3905" w:rsidRPr="008A3905" w:rsidRDefault="008A3905" w:rsidP="008A3905">
      <w:pPr>
        <w:shd w:val="clear" w:color="auto" w:fill="FFFFFF"/>
        <w:ind w:left="992" w:right="760"/>
        <w:jc w:val="both"/>
        <w:rPr>
          <w:rFonts w:ascii="Calibri" w:eastAsia="Calibri" w:hAnsi="Calibri" w:cs="Calibri"/>
          <w:i/>
          <w:sz w:val="22"/>
          <w:szCs w:val="22"/>
          <w:lang w:eastAsia="es-MX"/>
        </w:rPr>
      </w:pPr>
      <w:r w:rsidRPr="008A3905">
        <w:rPr>
          <w:rFonts w:ascii="Calibri" w:eastAsia="Calibri" w:hAnsi="Calibri" w:cs="Calibri"/>
          <w:i/>
          <w:sz w:val="22"/>
          <w:szCs w:val="22"/>
          <w:lang w:eastAsia="es-MX"/>
        </w:rPr>
        <w:t xml:space="preserve">Fuente Semanario Judicial de la Federación y su Gaceta </w:t>
      </w:r>
    </w:p>
    <w:p w14:paraId="62F11A8B" w14:textId="77777777" w:rsidR="008A3905" w:rsidRPr="008A3905" w:rsidRDefault="008A3905" w:rsidP="008A3905">
      <w:pPr>
        <w:shd w:val="clear" w:color="auto" w:fill="FFFFFF"/>
        <w:ind w:left="992" w:right="760"/>
        <w:jc w:val="both"/>
        <w:rPr>
          <w:rFonts w:ascii="Palatino Linotype" w:eastAsia="Palatino Linotype" w:hAnsi="Palatino Linotype" w:cs="Palatino Linotype"/>
          <w:b/>
          <w:i/>
          <w:sz w:val="22"/>
          <w:szCs w:val="22"/>
          <w:lang w:eastAsia="es-MX"/>
        </w:rPr>
      </w:pPr>
      <w:r w:rsidRPr="008A3905">
        <w:rPr>
          <w:rFonts w:ascii="Calibri" w:eastAsia="Calibri" w:hAnsi="Calibri" w:cs="Calibri"/>
          <w:i/>
          <w:sz w:val="22"/>
          <w:szCs w:val="22"/>
          <w:lang w:eastAsia="es-MX"/>
        </w:rPr>
        <w:t>Tomo XXIV. Agosto</w:t>
      </w:r>
    </w:p>
    <w:p w14:paraId="56943371" w14:textId="77777777" w:rsidR="008A3905" w:rsidRPr="008A3905" w:rsidRDefault="008A3905" w:rsidP="008A3905">
      <w:pPr>
        <w:shd w:val="clear" w:color="auto" w:fill="FFFFFF"/>
        <w:ind w:left="992" w:right="760"/>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SUSPENSIÓN EN EL AMPARO. CONFORME A LA TEORÍA DE PONDERACIÓN DE PRINCIPIOS DEBE NEGARSE SI EL INTERÉS SOCIAL CONSTITUCIONALMENTE TUTELADO ES PREFERENTE AL DEL PARTICULAR. </w:t>
      </w:r>
    </w:p>
    <w:p w14:paraId="0E8653F0" w14:textId="77777777" w:rsidR="008A3905" w:rsidRPr="008A3905" w:rsidRDefault="008A3905" w:rsidP="008A3905">
      <w:pPr>
        <w:shd w:val="clear" w:color="auto" w:fill="FFFFFF"/>
        <w:ind w:left="992" w:right="760"/>
        <w:jc w:val="both"/>
        <w:rPr>
          <w:rFonts w:ascii="Palatino Linotype" w:eastAsia="Palatino Linotype" w:hAnsi="Palatino Linotype" w:cs="Palatino Linotype"/>
          <w:b/>
          <w:i/>
          <w:sz w:val="22"/>
          <w:szCs w:val="22"/>
          <w:lang w:eastAsia="es-MX"/>
        </w:rPr>
      </w:pPr>
      <w:r w:rsidRPr="008A3905">
        <w:rPr>
          <w:rFonts w:ascii="Palatino Linotype" w:eastAsia="Palatino Linotype" w:hAnsi="Palatino Linotype" w:cs="Palatino Linotype"/>
          <w:b/>
          <w:i/>
          <w:sz w:val="22"/>
          <w:szCs w:val="22"/>
          <w:lang w:eastAsia="es-MX"/>
        </w:rPr>
        <w:t>Cuando dos derechos fundamentales entran en colisión, se debe resolver el problema atendiendo a las características y naturaleza del caso concreto, conforme al criterio de proporcionalidad, ponderando los elementos o subprincipio</w:t>
      </w:r>
      <w:r w:rsidRPr="008A3905">
        <w:rPr>
          <w:rFonts w:ascii="Palatino Linotype" w:eastAsia="Palatino Linotype" w:hAnsi="Palatino Linotype" w:cs="Palatino Linotype"/>
          <w:i/>
          <w:sz w:val="22"/>
          <w:szCs w:val="22"/>
          <w:lang w:eastAsia="es-MX"/>
        </w:rPr>
        <w:t xml:space="preserve">s siguientes: a) </w:t>
      </w:r>
      <w:r w:rsidRPr="008A3905">
        <w:rPr>
          <w:rFonts w:ascii="Palatino Linotype" w:eastAsia="Palatino Linotype" w:hAnsi="Palatino Linotype" w:cs="Palatino Linotype"/>
          <w:b/>
          <w:i/>
          <w:sz w:val="22"/>
          <w:szCs w:val="22"/>
          <w:u w:val="single"/>
          <w:lang w:eastAsia="es-MX"/>
        </w:rPr>
        <w:t>idoneidad,</w:t>
      </w:r>
      <w:r w:rsidRPr="008A3905">
        <w:rPr>
          <w:rFonts w:ascii="Palatino Linotype" w:eastAsia="Palatino Linotype" w:hAnsi="Palatino Linotype" w:cs="Palatino Linotype"/>
          <w:i/>
          <w:sz w:val="22"/>
          <w:szCs w:val="22"/>
          <w:lang w:eastAsia="es-MX"/>
        </w:rPr>
        <w:t xml:space="preserve"> la cual es la legitimidad constitucional del principio adoptado como preferente, por resultar ser el adecuado para el logro de un fin constitucionalmente válido o apto para conseguir el objetivo pretendido; b) </w:t>
      </w:r>
      <w:r w:rsidRPr="008A3905">
        <w:rPr>
          <w:rFonts w:ascii="Palatino Linotype" w:eastAsia="Palatino Linotype" w:hAnsi="Palatino Linotype" w:cs="Palatino Linotype"/>
          <w:b/>
          <w:i/>
          <w:sz w:val="22"/>
          <w:szCs w:val="22"/>
          <w:u w:val="single"/>
          <w:lang w:eastAsia="es-MX"/>
        </w:rPr>
        <w:t>necesidad,</w:t>
      </w:r>
      <w:r w:rsidRPr="008A3905">
        <w:rPr>
          <w:rFonts w:ascii="Palatino Linotype" w:eastAsia="Palatino Linotype" w:hAnsi="Palatino Linotype" w:cs="Palatino Linotype"/>
          <w:i/>
          <w:sz w:val="22"/>
          <w:szCs w:val="22"/>
          <w:lang w:eastAsia="es-MX"/>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c</w:t>
      </w:r>
      <w:r w:rsidRPr="008A3905">
        <w:rPr>
          <w:rFonts w:ascii="Palatino Linotype" w:eastAsia="Palatino Linotype" w:hAnsi="Palatino Linotype" w:cs="Palatino Linotype"/>
          <w:b/>
          <w:i/>
          <w:sz w:val="22"/>
          <w:szCs w:val="22"/>
          <w:u w:val="single"/>
          <w:lang w:eastAsia="es-MX"/>
        </w:rPr>
        <w:t>) el mandato de proporcionalidad</w:t>
      </w:r>
      <w:r w:rsidRPr="008A3905">
        <w:rPr>
          <w:rFonts w:ascii="Palatino Linotype" w:eastAsia="Palatino Linotype" w:hAnsi="Palatino Linotype" w:cs="Palatino Linotype"/>
          <w:i/>
          <w:sz w:val="22"/>
          <w:szCs w:val="22"/>
          <w:lang w:eastAsia="es-MX"/>
        </w:rPr>
        <w:t xml:space="preserve"> entre medios y fines 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 (Sic)</w:t>
      </w:r>
    </w:p>
    <w:p w14:paraId="524EE884" w14:textId="77777777" w:rsidR="008A3905" w:rsidRPr="008A3905" w:rsidRDefault="008A3905" w:rsidP="008A3905">
      <w:pPr>
        <w:shd w:val="clear" w:color="auto" w:fill="FFFFFF"/>
        <w:spacing w:after="280" w:line="360" w:lineRule="auto"/>
        <w:jc w:val="both"/>
        <w:rPr>
          <w:rFonts w:ascii="Palatino Linotype" w:eastAsia="Palatino Linotype" w:hAnsi="Palatino Linotype" w:cs="Palatino Linotype"/>
          <w:lang w:eastAsia="es-MX"/>
        </w:rPr>
      </w:pPr>
    </w:p>
    <w:p w14:paraId="383AF0FC"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De lo que se desprende que, cuando dos derechos fundamentales entran en colisión debe resolverse el problema atendiendo a las características y naturaleza del caso concreto, conforme al criterio de</w:t>
      </w:r>
      <w:r w:rsidRPr="008A3905">
        <w:rPr>
          <w:rFonts w:ascii="Palatino Linotype" w:eastAsia="Palatino Linotype" w:hAnsi="Palatino Linotype" w:cs="Palatino Linotype"/>
          <w:b/>
          <w:u w:val="single"/>
          <w:lang w:eastAsia="es-MX"/>
        </w:rPr>
        <w:t xml:space="preserve"> proporcionalidad, ponderando los elementos o subprincipios siguientes: a) Idoneidad. b) necesidad y c) proporcionalidad:</w:t>
      </w:r>
    </w:p>
    <w:p w14:paraId="483BD601" w14:textId="77777777" w:rsidR="008A3905" w:rsidRPr="008A3905" w:rsidRDefault="008A3905" w:rsidP="008A3905">
      <w:pPr>
        <w:numPr>
          <w:ilvl w:val="0"/>
          <w:numId w:val="24"/>
        </w:numPr>
        <w:pBdr>
          <w:top w:val="nil"/>
          <w:left w:val="nil"/>
          <w:bottom w:val="nil"/>
          <w:right w:val="nil"/>
          <w:between w:val="nil"/>
        </w:pBdr>
        <w:shd w:val="clear" w:color="auto" w:fill="FFFFFF"/>
        <w:spacing w:before="280" w:after="280" w:line="259"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Análisis en el caso en concreto de la primera grada de la ponderación: Idoneidad. </w:t>
      </w:r>
    </w:p>
    <w:p w14:paraId="3A8DB1C4"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Cabe recordar que, sin la intención de entrar en materia de los derechos que involucran el procedimiento que únicamente compete a la Comisión Legislativa de Límites Territoriales del Estado de México perteneciente al Poder Legislativo del Estado de México y a los Sujetos Obligados involucrados, esta autoridad se abocara a la publicidad de la información que se ordena por motivo de la existencia de un interés social que motiva y obliga hacerla del dominio público.</w:t>
      </w:r>
    </w:p>
    <w:p w14:paraId="68E97807"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Una vez puntualizado lo anterior, la presente solicitud de acceso a la información para este Órgano Garante del Derecho de Acceso a la Información evidencia el ejercicio del derecho de acceso a la información, en contraposición al derecho de sigilo que deben guardar los expedientes que se generan a raíz del procedimiento para la solución de diferendos limítrofes intermunicipales cuando aún no ha quedado firme o no haya concluido. </w:t>
      </w:r>
    </w:p>
    <w:p w14:paraId="5FAE9DDA"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b/>
          <w:lang w:eastAsia="es-MX"/>
        </w:rPr>
        <w:t xml:space="preserve"> </w:t>
      </w:r>
      <w:r w:rsidRPr="008A3905">
        <w:rPr>
          <w:rFonts w:ascii="Palatino Linotype" w:eastAsia="Palatino Linotype" w:hAnsi="Palatino Linotype" w:cs="Palatino Linotype"/>
          <w:lang w:eastAsia="es-MX"/>
        </w:rPr>
        <w:t xml:space="preserve">Al respecto, ambos derechos se encuentran reconocidos en el plano constitucional, en igualdad de características para los gobernados. Sin embargo, en el presente caso, existe una trascendencia social del caso relacionado con la información correspondiente al conflicto diferendo limítrofe con el municipio de Acolman, en atención a los siguientes argumentos: </w:t>
      </w:r>
    </w:p>
    <w:p w14:paraId="48EA90F5"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Primero, es precedente la publicidad de la referida información en atención a la proyección pública de las partes, ya que de acuerdo al artículo 115 de la Constitución Política de los Estados Unidos Mexicanos, define al municipio como:</w:t>
      </w:r>
    </w:p>
    <w:p w14:paraId="69C7DBE5" w14:textId="77777777" w:rsidR="008A3905" w:rsidRPr="008A3905" w:rsidRDefault="008A3905" w:rsidP="008A3905">
      <w:pPr>
        <w:shd w:val="clear" w:color="auto" w:fill="FFFFFF"/>
        <w:spacing w:before="280" w:after="280" w:line="259" w:lineRule="auto"/>
        <w:ind w:left="993"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r w:rsidRPr="008A3905">
        <w:rPr>
          <w:rFonts w:ascii="Palatino Linotype" w:eastAsia="Palatino Linotype" w:hAnsi="Palatino Linotype" w:cs="Palatino Linotype"/>
          <w:b/>
          <w:i/>
          <w:sz w:val="22"/>
          <w:szCs w:val="22"/>
          <w:lang w:eastAsia="es-MX"/>
        </w:rPr>
        <w:t>Artículo 115</w:t>
      </w:r>
      <w:r w:rsidRPr="008A3905">
        <w:rPr>
          <w:rFonts w:ascii="Palatino Linotype" w:eastAsia="Palatino Linotype" w:hAnsi="Palatino Linotype" w:cs="Palatino Linotype"/>
          <w:i/>
          <w:sz w:val="22"/>
          <w:szCs w:val="22"/>
          <w:lang w:eastAsia="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334BD8AD" w14:textId="77777777" w:rsidR="008A3905" w:rsidRPr="008A3905" w:rsidRDefault="008A3905" w:rsidP="008A3905">
      <w:pPr>
        <w:shd w:val="clear" w:color="auto" w:fill="FFFFFF"/>
        <w:spacing w:before="280" w:after="280" w:line="259" w:lineRule="auto"/>
        <w:ind w:left="993"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u w:val="single"/>
          <w:lang w:eastAsia="es-MX"/>
        </w:rPr>
        <w:t>I. Cada Municipio será gobernado por un Ayuntamiento de elección popular directa, integrado por un Presidente o Presidenta Municipal y el número de regidurías y sindicaturas que la ley determine, de conformidad con el principio de paridad.</w:t>
      </w:r>
    </w:p>
    <w:p w14:paraId="7FC441AE" w14:textId="77777777" w:rsidR="008A3905" w:rsidRPr="008A3905" w:rsidRDefault="008A3905" w:rsidP="008A3905">
      <w:pPr>
        <w:shd w:val="clear" w:color="auto" w:fill="FFFFFF"/>
        <w:spacing w:before="280" w:after="280" w:line="259" w:lineRule="auto"/>
        <w:ind w:left="993"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 La competencia que esta Constitución otorga al gobierno municipal se ejercerá por el Ayuntamiento de manera exclusiva y no habrá autoridad intermedia alguna entre éste y el gobierno del Estado. </w:t>
      </w:r>
    </w:p>
    <w:p w14:paraId="2718B270" w14:textId="77777777" w:rsidR="008A3905" w:rsidRPr="008A3905" w:rsidRDefault="008A3905" w:rsidP="008A3905">
      <w:pPr>
        <w:shd w:val="clear" w:color="auto" w:fill="FFFFFF"/>
        <w:spacing w:before="280" w:after="280" w:line="259" w:lineRule="auto"/>
        <w:ind w:left="993"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Las Constituciones de los estados deberán establecer la elección consecutiva para el mismo cargo de presidentes municipales, regidores y síndicos, por un período adicional, siempre y cuando el periodo del mandato de los ayuntamientos no sea superior a tres años</w:t>
      </w:r>
      <w:r w:rsidRPr="008A3905">
        <w:rPr>
          <w:rFonts w:ascii="Palatino Linotype" w:eastAsia="Palatino Linotype" w:hAnsi="Palatino Linotype" w:cs="Palatino Linotype"/>
          <w:i/>
          <w:sz w:val="22"/>
          <w:szCs w:val="22"/>
          <w:lang w:eastAsia="es-MX"/>
        </w:rPr>
        <w:t xml:space="preserve">. </w:t>
      </w:r>
    </w:p>
    <w:p w14:paraId="798240D6" w14:textId="77777777" w:rsidR="008A3905" w:rsidRPr="008A3905" w:rsidRDefault="008A3905" w:rsidP="008A3905">
      <w:pPr>
        <w:shd w:val="clear" w:color="auto" w:fill="FFFFFF"/>
        <w:spacing w:before="280" w:line="259" w:lineRule="auto"/>
        <w:ind w:left="992"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La postulación sólo podrá ser realizada por el mismo partido o por cualquiera de los partidos integrantes de la coalición que lo hubieren postulado, salvo que hayan renunciado o perdido su militancia antes de la mitad de su mandato. </w:t>
      </w:r>
    </w:p>
    <w:p w14:paraId="14FE3CE5" w14:textId="77777777" w:rsidR="008A3905" w:rsidRPr="008A3905" w:rsidRDefault="008A3905" w:rsidP="008A3905">
      <w:pPr>
        <w:shd w:val="clear" w:color="auto" w:fill="FFFFFF"/>
        <w:spacing w:line="259" w:lineRule="auto"/>
        <w:ind w:left="992"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7872C713" w14:textId="77777777" w:rsidR="008A3905" w:rsidRPr="008A3905" w:rsidRDefault="008A3905" w:rsidP="008A3905">
      <w:pPr>
        <w:shd w:val="clear" w:color="auto" w:fill="FFFFFF"/>
        <w:spacing w:line="259" w:lineRule="auto"/>
        <w:ind w:left="992"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664C1258" w14:textId="77777777" w:rsidR="008A3905" w:rsidRPr="008A3905" w:rsidRDefault="008A3905" w:rsidP="008A3905">
      <w:pPr>
        <w:shd w:val="clear" w:color="auto" w:fill="FFFFFF"/>
        <w:spacing w:line="259" w:lineRule="auto"/>
        <w:ind w:left="992"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El objeto de las leyes a que se refiere el párrafo anterior será establecer: </w:t>
      </w:r>
    </w:p>
    <w:p w14:paraId="0F68B049" w14:textId="77777777" w:rsidR="008A3905" w:rsidRPr="008A3905" w:rsidRDefault="008A3905" w:rsidP="008A3905">
      <w:pPr>
        <w:shd w:val="clear" w:color="auto" w:fill="FFFFFF"/>
        <w:spacing w:line="259" w:lineRule="auto"/>
        <w:ind w:left="992" w:right="616"/>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r w:rsidRPr="008A3905">
        <w:rPr>
          <w:rFonts w:ascii="Palatino Linotype" w:eastAsia="Palatino Linotype" w:hAnsi="Palatino Linotype" w:cs="Palatino Linotype"/>
          <w:i/>
          <w:sz w:val="22"/>
          <w:szCs w:val="22"/>
          <w:lang w:eastAsia="es-MX"/>
        </w:rPr>
        <w:t>…(Sic)</w:t>
      </w:r>
    </w:p>
    <w:p w14:paraId="3E3F8CBA" w14:textId="77777777" w:rsidR="008A3905" w:rsidRPr="008A3905" w:rsidRDefault="008A3905" w:rsidP="008A3905">
      <w:pPr>
        <w:shd w:val="clear" w:color="auto" w:fill="FFFFFF"/>
        <w:spacing w:line="360" w:lineRule="auto"/>
        <w:jc w:val="both"/>
        <w:rPr>
          <w:rFonts w:ascii="Palatino Linotype" w:eastAsia="Palatino Linotype" w:hAnsi="Palatino Linotype" w:cs="Palatino Linotype"/>
          <w:lang w:eastAsia="es-MX"/>
        </w:rPr>
      </w:pPr>
    </w:p>
    <w:p w14:paraId="27069BDB" w14:textId="77777777" w:rsidR="008A3905" w:rsidRPr="008A3905" w:rsidRDefault="008A3905" w:rsidP="008A3905">
      <w:pPr>
        <w:shd w:val="clear" w:color="auto" w:fill="FFFFFF"/>
        <w:spacing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Lo que se robustece con lo señalado por el artículo 1 de la Ley Municipal del Estado de México, que señala:</w:t>
      </w:r>
    </w:p>
    <w:p w14:paraId="4395E3B2" w14:textId="77777777" w:rsidR="008A3905" w:rsidRPr="008A3905" w:rsidRDefault="008A3905" w:rsidP="008A3905">
      <w:pPr>
        <w:shd w:val="clear" w:color="auto" w:fill="FFFFFF"/>
        <w:spacing w:line="360" w:lineRule="auto"/>
        <w:jc w:val="both"/>
        <w:rPr>
          <w:rFonts w:ascii="Palatino Linotype" w:eastAsia="Palatino Linotype" w:hAnsi="Palatino Linotype" w:cs="Palatino Linotype"/>
          <w:lang w:eastAsia="es-MX"/>
        </w:rPr>
      </w:pPr>
    </w:p>
    <w:p w14:paraId="684CF3E9" w14:textId="77777777" w:rsidR="008A3905" w:rsidRPr="008A3905" w:rsidRDefault="008A3905" w:rsidP="008A3905">
      <w:pPr>
        <w:shd w:val="clear" w:color="auto" w:fill="FFFFFF"/>
        <w:spacing w:after="280" w:line="259" w:lineRule="auto"/>
        <w:ind w:left="993" w:right="758"/>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“Artículo 1.-</w:t>
      </w:r>
      <w:r w:rsidRPr="008A3905">
        <w:rPr>
          <w:rFonts w:ascii="Palatino Linotype" w:eastAsia="Palatino Linotype" w:hAnsi="Palatino Linotype" w:cs="Palatino Linotype"/>
          <w:i/>
          <w:sz w:val="22"/>
          <w:szCs w:val="22"/>
          <w:lang w:eastAsia="es-MX"/>
        </w:rPr>
        <w:t xml:space="preserve"> Esta Ley es de interés público y tiene por objeto regular las bases para la integración y organización del territorio, la población, el gobierno y la administración pública municipales. </w:t>
      </w:r>
    </w:p>
    <w:p w14:paraId="6B362016" w14:textId="77777777" w:rsidR="008A3905" w:rsidRPr="008A3905" w:rsidRDefault="008A3905" w:rsidP="008A3905">
      <w:pPr>
        <w:shd w:val="clear" w:color="auto" w:fill="FFFFFF"/>
        <w:spacing w:before="280" w:after="280" w:line="259" w:lineRule="auto"/>
        <w:ind w:left="993" w:right="758"/>
        <w:jc w:val="both"/>
        <w:rPr>
          <w:rFonts w:ascii="Palatino Linotype" w:eastAsia="Palatino Linotype" w:hAnsi="Palatino Linotype" w:cs="Palatino Linotype"/>
          <w:b/>
          <w:i/>
          <w:sz w:val="22"/>
          <w:szCs w:val="22"/>
          <w:lang w:eastAsia="es-MX"/>
        </w:rPr>
      </w:pPr>
      <w:r w:rsidRPr="008A3905">
        <w:rPr>
          <w:rFonts w:ascii="Palatino Linotype" w:eastAsia="Palatino Linotype" w:hAnsi="Palatino Linotype" w:cs="Palatino Linotype"/>
          <w:b/>
          <w:i/>
          <w:sz w:val="22"/>
          <w:szCs w:val="22"/>
          <w:lang w:eastAsia="es-MX"/>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(sic)</w:t>
      </w:r>
    </w:p>
    <w:p w14:paraId="1679E228"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Por lo que se precisa la existencia de elementos objetivos que permiten demostrar la relevancia del asunto por virtud de tratarse de municipios que son conocidos por todos, es decir, son entes públicos ya que su esencia es realizar actividades de interés público.</w:t>
      </w:r>
    </w:p>
    <w:p w14:paraId="5CE5DD3D"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En tal contexto, la única forma que tiene la ciudadanía en general de constatar el buen funcionamiento y actuar del Ayuntamiento de Ecatepec de Morelos y el Ayuntamiento de Acolman, es accediendo a esta actuación de dicha autoridad mediante el derecho de acceso a la información pública, lo que le permitirá valorar el desempeño y actuar en la documentación que contiene relacionado con los conflictos por límites territoriales del municipio de Ecatepec de Morelos con el Municipio de Acolman, al verse involucrados entes públicos. </w:t>
      </w:r>
    </w:p>
    <w:p w14:paraId="79655CA6"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Ante este panorama, es que se considera que existe un inminente interés público de conocer la documentación que contiene el conflicto por límites territoriales del municipio de Ecatepec de Morelos con el Municipio de Acolman, pues el permitir el acceso a la misma fomentaría la transparencia de las actividades el Ayuntamiento de Ecatepec de Morelos, promoviendo de manera implícita la responsabilidad de los funcionarios sobre su gestión pública, es decir, se  considera  que el derecho  de  acceso  a  la información  es  el  medio que colma el principio de  idoneidad  para  la  rendición  de  cuentas  por  parte  de  la autoridad  sobre  la  efectiva  investigación  de  hechos  que  son  de  la  más  alta relevancia, al estar relacionados  con el quehacer  público y el desempeño de los servidores públicos.</w:t>
      </w:r>
    </w:p>
    <w:p w14:paraId="40A0574C" w14:textId="77777777" w:rsidR="00687FA9"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las autoridades, en el caso de mérito.</w:t>
      </w:r>
    </w:p>
    <w:p w14:paraId="6241D659"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b/>
          <w:lang w:eastAsia="es-MX"/>
        </w:rPr>
      </w:pPr>
      <w:r w:rsidRPr="008A3905">
        <w:rPr>
          <w:rFonts w:ascii="Palatino Linotype" w:eastAsia="Palatino Linotype" w:hAnsi="Palatino Linotype" w:cs="Palatino Linotype"/>
          <w:b/>
          <w:lang w:eastAsia="es-MX"/>
        </w:rPr>
        <w:t xml:space="preserve"> </w:t>
      </w:r>
    </w:p>
    <w:p w14:paraId="12C90913" w14:textId="77777777" w:rsidR="008A3905" w:rsidRPr="008A3905" w:rsidRDefault="008A3905" w:rsidP="008A3905">
      <w:pPr>
        <w:numPr>
          <w:ilvl w:val="0"/>
          <w:numId w:val="24"/>
        </w:numPr>
        <w:pBdr>
          <w:top w:val="nil"/>
          <w:left w:val="nil"/>
          <w:bottom w:val="nil"/>
          <w:right w:val="nil"/>
          <w:between w:val="nil"/>
        </w:pBdr>
        <w:shd w:val="clear" w:color="auto" w:fill="FFFFFF"/>
        <w:spacing w:before="280" w:after="280" w:line="259"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Análisis de la segunda grada de la ponderación: Necesidad. </w:t>
      </w:r>
    </w:p>
    <w:p w14:paraId="456DD13A"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Nuestra carta magna, así como diversos ordenamientos reconocen los principios bajo los cuales deben regirse los procedimientos administrativos, como lo es el principio de publicidad que implica el deber del dictaminador de procurar que el proceso se 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de la autoridad señalada.</w:t>
      </w:r>
    </w:p>
    <w:p w14:paraId="2100882C"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color w:val="FF0000"/>
          <w:lang w:eastAsia="es-MX"/>
        </w:rPr>
      </w:pPr>
      <w:r w:rsidRPr="008A3905">
        <w:rPr>
          <w:rFonts w:ascii="Palatino Linotype" w:eastAsia="Palatino Linotype" w:hAnsi="Palatino Linotype" w:cs="Palatino Linotype"/>
          <w:lang w:eastAsia="es-MX"/>
        </w:rPr>
        <w:t xml:space="preserve">En este sentido, la  Corte Interamericana de Derechos Humanos al resolver el </w:t>
      </w:r>
      <w:r w:rsidRPr="008A3905">
        <w:rPr>
          <w:rFonts w:ascii="Palatino Linotype" w:eastAsia="Palatino Linotype" w:hAnsi="Palatino Linotype" w:cs="Palatino Linotype"/>
          <w:i/>
          <w:lang w:eastAsia="es-MX"/>
        </w:rPr>
        <w:t>Caso Claude Reyes y otros vs. Chile</w:t>
      </w:r>
      <w:r w:rsidRPr="008A3905">
        <w:rPr>
          <w:rFonts w:ascii="Palatino Linotype" w:eastAsia="Palatino Linotype" w:hAnsi="Palatino Linotype" w:cs="Palatino Linotype"/>
          <w:vertAlign w:val="superscript"/>
          <w:lang w:eastAsia="es-MX"/>
        </w:rPr>
        <w:footnoteReference w:id="6"/>
      </w:r>
      <w:r w:rsidRPr="008A3905">
        <w:rPr>
          <w:rFonts w:ascii="Palatino Linotype" w:eastAsia="Palatino Linotype" w:hAnsi="Palatino Linotype" w:cs="Palatino Linotype"/>
          <w:lang w:eastAsia="es-MX"/>
        </w:rPr>
        <w:t>, estimó que el actuar del Estado debe encontrarse regido por los principios de publicidad y transparencia en la gestión pública haciendo posible que las personas que se encuentran bajo su jurisdicción ejerzan el control democrático de las gestiones estatales, de forma tal que, puedan cuestionar, indagar y considerar si se está dando un adecuado cumplimiento de las funciones públicas.</w:t>
      </w:r>
    </w:p>
    <w:p w14:paraId="2C74BB41"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w:t>
      </w:r>
      <w:r w:rsidRPr="008A3905">
        <w:rPr>
          <w:rFonts w:ascii="Palatino Linotype" w:eastAsia="Palatino Linotype" w:hAnsi="Palatino Linotype" w:cs="Palatino Linotype"/>
          <w:b/>
          <w:lang w:eastAsia="es-MX"/>
        </w:rPr>
        <w:t>es necesario para evitar abusos de los funcionarios gubernamentales, promover la rendición de cuentas y la transparencia dentro del Estado y permitir un debate público sólido e informado para asegurar la garantía de contar con recursos efectivos contra tales abusos.</w:t>
      </w:r>
    </w:p>
    <w:p w14:paraId="15407A18"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En este sentido, este Instituto observa que también se actualiza el principio de necesidad, ya que no existe un medio menos oneroso para lograr el fin constitucionalmente válido, en tanto que el ejercicio del derecho de acceso a la información es la única vía para que cualquier persona acceda al multireferido expediente.</w:t>
      </w:r>
    </w:p>
    <w:p w14:paraId="65989726"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La necesidad de hacer pública el multicitado expediente deriva de la trascendencia social al involucrar entes públicos como quedó demostrado.</w:t>
      </w:r>
    </w:p>
    <w:p w14:paraId="29EB81FF" w14:textId="77777777" w:rsidR="008A3905" w:rsidRPr="008A3905" w:rsidRDefault="008A3905" w:rsidP="008A3905">
      <w:pPr>
        <w:spacing w:after="16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Asimismo, el acceso a la información de la documentación que contiene el conflicto por límites territoriales del municipio de Ecatepec de Morelos con el Municipio de Acolman,  es una aportación a la rendición de cuentas, que evidencia el actuar de la autoridad encarga del asunto como del SUJETO OBLIGADO en términos de su competencia y atribuciones.</w:t>
      </w:r>
    </w:p>
    <w:p w14:paraId="4AE6CA69" w14:textId="77777777" w:rsidR="008A3905" w:rsidRPr="008A3905" w:rsidRDefault="008A3905" w:rsidP="008A3905">
      <w:pPr>
        <w:numPr>
          <w:ilvl w:val="0"/>
          <w:numId w:val="24"/>
        </w:numPr>
        <w:pBdr>
          <w:top w:val="nil"/>
          <w:left w:val="nil"/>
          <w:bottom w:val="nil"/>
          <w:right w:val="nil"/>
          <w:between w:val="nil"/>
        </w:pBdr>
        <w:shd w:val="clear" w:color="auto" w:fill="FFFFFF"/>
        <w:spacing w:before="280" w:after="280"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Finalmente, el análisis de la tercera grada de la ponderación: Proporcionalidad</w:t>
      </w:r>
    </w:p>
    <w:p w14:paraId="12EFEF85"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El divulgar una decisión tomada por una autoridad derivado de un procedimiento que no ha concluido,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y eficacia del dictaminador en el caso que se analiza.</w:t>
      </w:r>
    </w:p>
    <w:p w14:paraId="19C47ED6" w14:textId="77777777" w:rsidR="008A3905" w:rsidRPr="008A3905" w:rsidRDefault="008A3905" w:rsidP="008A3905">
      <w:pPr>
        <w:spacing w:after="160" w:line="360" w:lineRule="auto"/>
        <w:jc w:val="both"/>
        <w:rPr>
          <w:rFonts w:ascii="Palatino Linotype" w:eastAsia="Palatino Linotype" w:hAnsi="Palatino Linotype" w:cs="Palatino Linotype"/>
          <w:highlight w:val="green"/>
          <w:lang w:eastAsia="es-MX"/>
        </w:rPr>
      </w:pPr>
      <w:r w:rsidRPr="008A3905">
        <w:rPr>
          <w:rFonts w:ascii="Palatino Linotype" w:eastAsia="Palatino Linotype" w:hAnsi="Palatino Linotype" w:cs="Palatino Linotype"/>
          <w:lang w:eastAsia="es-MX"/>
        </w:rPr>
        <w:t>Luego entonces, es posible advertir un margen de beneficio mayor al favorecer el derecho de acceso a la información, respecto de la secrecía a la información que contiene el conflicto de límites territoriales multicitado, pues favorece la rendición de cuentas a los ciudadanos, de manera que puedan valorar el desempeño del Ayuntamiento de Ecatepec de Morelos y fortalece el escrutinio ciudadano sobre sus actividades sustantivas.</w:t>
      </w:r>
    </w:p>
    <w:p w14:paraId="22429017"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De tal suerte, que la intervención que subsume este ejercicio de ponderación apunta a la obtención de mayores efectos positivos para la sociedad y una afectación menor en el bien jurídico de secrecía, favoreciendo el control ciudadano. </w:t>
      </w:r>
    </w:p>
    <w:p w14:paraId="6E9E8C9B"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En  resumen, para el caso de que la información que se ordena actualice un supuesto de reserva, al encuadrar en alguna de  las excepciones a  la  publicidad  de  la información  establecida  en  la  Ley   General   de  Transparencia  y  Acceso   a  la Información Pública, replicada en el artículo 140 de la ley local, </w:t>
      </w:r>
      <w:r w:rsidRPr="00687FA9">
        <w:rPr>
          <w:rFonts w:ascii="Palatino Linotype" w:eastAsia="Palatino Linotype" w:hAnsi="Palatino Linotype" w:cs="Palatino Linotype"/>
          <w:b/>
          <w:u w:val="single"/>
          <w:lang w:eastAsia="es-MX"/>
        </w:rPr>
        <w:t>esta no es procedente por motivos de interés público</w:t>
      </w:r>
      <w:r w:rsidRPr="008A3905">
        <w:rPr>
          <w:rFonts w:ascii="Palatino Linotype" w:eastAsia="Palatino Linotype" w:hAnsi="Palatino Linotype" w:cs="Palatino Linotype"/>
          <w:lang w:eastAsia="es-MX"/>
        </w:rPr>
        <w:t>, por consiguiente es procedente publicidad  pues su difusión contribuirá tanto a garantizar el ejercicio de acceso a la información, como a favorecer la rendición de cuentas a los  ciudadanos,  de  manera  que  puedan valorar el desempeño del Ayuntamiento de Ecatepec de Morelos, fortaleciendo el escrutinio ciudadano sobre sus actividades sustantivas, cumpliendo así con los ideales planteados en los  objetivos previstos en el artículo 2 de la Ley de Transparencia y Acceso a la información Pública del estado de México y Municipios.</w:t>
      </w:r>
    </w:p>
    <w:p w14:paraId="538516BC" w14:textId="77777777" w:rsidR="008A3905" w:rsidRPr="008A3905" w:rsidRDefault="008A3905" w:rsidP="008A3905">
      <w:pPr>
        <w:shd w:val="clear" w:color="auto" w:fill="FFFFFF"/>
        <w:spacing w:before="280" w:after="280" w:line="360" w:lineRule="auto"/>
        <w:jc w:val="both"/>
        <w:rPr>
          <w:rFonts w:ascii="Palatino Linotype" w:eastAsia="Palatino Linotype" w:hAnsi="Palatino Linotype" w:cs="Palatino Linotype"/>
          <w:b/>
          <w:color w:val="000000"/>
          <w:lang w:eastAsia="es-MX"/>
        </w:rPr>
      </w:pPr>
      <w:bookmarkStart w:id="3" w:name="_heading=h.gjdgxs" w:colFirst="0" w:colLast="0"/>
      <w:bookmarkEnd w:id="3"/>
      <w:r w:rsidRPr="008A3905">
        <w:rPr>
          <w:rFonts w:ascii="Palatino Linotype" w:eastAsia="Palatino Linotype" w:hAnsi="Palatino Linotype" w:cs="Palatino Linotype"/>
          <w:b/>
          <w:color w:val="000000"/>
          <w:lang w:eastAsia="es-MX"/>
        </w:rPr>
        <w:t xml:space="preserve">QUINTO. VERSIÓN PÚBLICA. </w:t>
      </w:r>
      <w:r w:rsidRPr="008A3905">
        <w:rPr>
          <w:rFonts w:ascii="Palatino Linotype" w:eastAsia="Palatino Linotype" w:hAnsi="Palatino Linotype" w:cs="Palatino Linotype"/>
          <w:color w:val="000000"/>
          <w:lang w:eastAsia="es-MX"/>
        </w:rPr>
        <w:t>Como</w:t>
      </w:r>
      <w:r w:rsidRPr="008A3905">
        <w:rPr>
          <w:rFonts w:ascii="Palatino Linotype" w:eastAsia="Palatino Linotype" w:hAnsi="Palatino Linotype" w:cs="Palatino Linotype"/>
          <w:lang w:eastAsia="es-MX"/>
        </w:rPr>
        <w:t xml:space="preserve"> </w:t>
      </w:r>
      <w:r w:rsidRPr="008A3905">
        <w:rPr>
          <w:rFonts w:ascii="Palatino Linotype" w:eastAsia="Palatino Linotype" w:hAnsi="Palatino Linotype" w:cs="Palatino Linotype"/>
          <w:color w:val="000000"/>
          <w:lang w:eastAsia="es-MX"/>
        </w:rPr>
        <w:t>fue debidamente apuntado, el</w:t>
      </w:r>
      <w:r w:rsidRPr="008A3905">
        <w:rPr>
          <w:rFonts w:ascii="Palatino Linotype" w:eastAsia="Palatino Linotype" w:hAnsi="Palatino Linotype" w:cs="Palatino Linotype"/>
          <w:b/>
          <w:color w:val="000000"/>
          <w:lang w:eastAsia="es-MX"/>
        </w:rPr>
        <w:t> SUJETO OBLIGADO</w:t>
      </w:r>
      <w:r w:rsidRPr="008A3905">
        <w:rPr>
          <w:rFonts w:ascii="Palatino Linotype" w:eastAsia="Palatino Linotype" w:hAnsi="Palatino Linotype" w:cs="Palatino Linotype"/>
          <w:color w:val="000000"/>
          <w:lang w:eastAsia="es-MX"/>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33C61106" w14:textId="77777777" w:rsidR="008A3905" w:rsidRPr="008A3905" w:rsidRDefault="008A3905" w:rsidP="008A3905">
      <w:pPr>
        <w:shd w:val="clear" w:color="auto" w:fill="FFFFFF"/>
        <w:spacing w:before="240" w:after="240" w:line="360" w:lineRule="auto"/>
        <w:ind w:right="49"/>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5087EE24" w14:textId="77777777" w:rsidR="008A3905" w:rsidRPr="008A3905" w:rsidRDefault="008A3905" w:rsidP="008A3905">
      <w:pPr>
        <w:shd w:val="clear" w:color="auto" w:fill="FFFFFF"/>
        <w:spacing w:before="240" w:after="240" w:line="360" w:lineRule="auto"/>
        <w:ind w:right="51"/>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9C7C88D" w14:textId="77777777" w:rsidR="008A3905" w:rsidRPr="008A3905" w:rsidRDefault="008A3905" w:rsidP="008A3905">
      <w:pPr>
        <w:shd w:val="clear" w:color="auto" w:fill="FFFFFF"/>
        <w:spacing w:before="240" w:after="240" w:line="360" w:lineRule="auto"/>
        <w:ind w:right="51"/>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0658B29"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 “Artículo 3. Para los efectos de la presente Ley se entenderá por:</w:t>
      </w:r>
    </w:p>
    <w:p w14:paraId="629877BD"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i/>
          <w:sz w:val="22"/>
          <w:szCs w:val="22"/>
          <w:lang w:eastAsia="es-MX"/>
        </w:rPr>
        <w:t>(…)</w:t>
      </w:r>
    </w:p>
    <w:p w14:paraId="0E367151"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IX. Datos personales:</w:t>
      </w:r>
      <w:r w:rsidRPr="008A3905">
        <w:rPr>
          <w:rFonts w:ascii="Palatino Linotype" w:eastAsia="Palatino Linotype" w:hAnsi="Palatino Linotype" w:cs="Palatino Linotype"/>
          <w:i/>
          <w:sz w:val="22"/>
          <w:szCs w:val="22"/>
          <w:lang w:eastAsia="es-MX"/>
        </w:rPr>
        <w:t> La información concerniente a una persona, identificada o identificable según lo dispuesto por la Ley de Protección de Datos Personales del Estado de México;</w:t>
      </w:r>
    </w:p>
    <w:p w14:paraId="59A5FA3B"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4F7D800D"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XX. Información clasificada:</w:t>
      </w:r>
      <w:r w:rsidRPr="008A3905">
        <w:rPr>
          <w:rFonts w:ascii="Palatino Linotype" w:eastAsia="Palatino Linotype" w:hAnsi="Palatino Linotype" w:cs="Palatino Linotype"/>
          <w:i/>
          <w:sz w:val="22"/>
          <w:szCs w:val="22"/>
          <w:lang w:eastAsia="es-MX"/>
        </w:rPr>
        <w:t> Aquella considerada por la presente Ley como reservada o confidencial;</w:t>
      </w:r>
    </w:p>
    <w:p w14:paraId="1CA64BAA"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XXI. Información confidencial:</w:t>
      </w:r>
      <w:r w:rsidRPr="008A3905">
        <w:rPr>
          <w:rFonts w:ascii="Palatino Linotype" w:eastAsia="Palatino Linotype" w:hAnsi="Palatino Linotype" w:cs="Palatino Linotype"/>
          <w:i/>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B1838A"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5F10033F"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XXXII. Protección de Datos Personales:</w:t>
      </w:r>
      <w:r w:rsidRPr="008A3905">
        <w:rPr>
          <w:rFonts w:ascii="Palatino Linotype" w:eastAsia="Palatino Linotype" w:hAnsi="Palatino Linotype" w:cs="Palatino Linotype"/>
          <w:i/>
          <w:sz w:val="22"/>
          <w:szCs w:val="22"/>
          <w:lang w:eastAsia="es-MX"/>
        </w:rPr>
        <w:t> Derecho humano que tutela la privacidad de datos personales en poder de los sujetos obligados y sujetos particulares;</w:t>
      </w:r>
    </w:p>
    <w:p w14:paraId="045977FC"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775CA7D4"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XLV. Versión pública</w:t>
      </w:r>
      <w:r w:rsidRPr="008A3905">
        <w:rPr>
          <w:rFonts w:ascii="Palatino Linotype" w:eastAsia="Palatino Linotype" w:hAnsi="Palatino Linotype" w:cs="Palatino Linotype"/>
          <w:i/>
          <w:sz w:val="22"/>
          <w:szCs w:val="22"/>
          <w:lang w:eastAsia="es-MX"/>
        </w:rPr>
        <w:t>: Documento en el que se elimine, suprime o borra la información clasificada como reservada o confidencial para permitir su acceso.</w:t>
      </w:r>
    </w:p>
    <w:p w14:paraId="389F7371"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 Artículo 6.</w:t>
      </w:r>
      <w:r w:rsidRPr="008A3905">
        <w:rPr>
          <w:rFonts w:ascii="Palatino Linotype" w:eastAsia="Palatino Linotype" w:hAnsi="Palatino Linotype" w:cs="Palatino Linotype"/>
          <w:i/>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81C809A"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w:t>
      </w:r>
      <w:r w:rsidRPr="008A3905">
        <w:rPr>
          <w:rFonts w:ascii="Palatino Linotype" w:eastAsia="Palatino Linotype" w:hAnsi="Palatino Linotype" w:cs="Palatino Linotype"/>
          <w:b/>
          <w:i/>
          <w:sz w:val="22"/>
          <w:szCs w:val="22"/>
          <w:lang w:eastAsia="es-MX"/>
        </w:rPr>
        <w:t>Artículo 49.</w:t>
      </w:r>
      <w:r w:rsidRPr="008A3905">
        <w:rPr>
          <w:rFonts w:ascii="Palatino Linotype" w:eastAsia="Palatino Linotype" w:hAnsi="Palatino Linotype" w:cs="Palatino Linotype"/>
          <w:i/>
          <w:sz w:val="22"/>
          <w:szCs w:val="22"/>
          <w:lang w:eastAsia="es-MX"/>
        </w:rPr>
        <w:t> Los Comités de Transparencia tendrán las siguientes atribuciones:</w:t>
      </w:r>
    </w:p>
    <w:p w14:paraId="587E89E2"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097C7933"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VIII</w:t>
      </w:r>
      <w:r w:rsidRPr="008A3905">
        <w:rPr>
          <w:rFonts w:ascii="Palatino Linotype" w:eastAsia="Palatino Linotype" w:hAnsi="Palatino Linotype" w:cs="Palatino Linotype"/>
          <w:i/>
          <w:sz w:val="22"/>
          <w:szCs w:val="22"/>
          <w:lang w:eastAsia="es-MX"/>
        </w:rPr>
        <w:t>. Aprobar, modificar o revocar la clasificación de la información;</w:t>
      </w:r>
    </w:p>
    <w:p w14:paraId="074241B1"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13DEE491"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 xml:space="preserve">Artículo 91. </w:t>
      </w:r>
      <w:r w:rsidRPr="008A3905">
        <w:rPr>
          <w:rFonts w:ascii="Palatino Linotype" w:eastAsia="Palatino Linotype" w:hAnsi="Palatino Linotype" w:cs="Palatino Linotype"/>
          <w:i/>
          <w:sz w:val="22"/>
          <w:szCs w:val="22"/>
          <w:lang w:eastAsia="es-MX"/>
        </w:rPr>
        <w:t>El acceso a la información pública será restringido excepcionalmente, cuando ésta sea clasificada como reservada o confidencial.</w:t>
      </w:r>
    </w:p>
    <w:p w14:paraId="68F34A2B"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p>
    <w:p w14:paraId="58713600"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Artículo 137</w:t>
      </w:r>
      <w:r w:rsidRPr="008A3905">
        <w:rPr>
          <w:rFonts w:ascii="Palatino Linotype" w:eastAsia="Palatino Linotype" w:hAnsi="Palatino Linotype" w:cs="Palatino Linotype"/>
          <w:i/>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318ACD"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b/>
          <w:i/>
          <w:sz w:val="22"/>
          <w:szCs w:val="22"/>
          <w:lang w:eastAsia="es-MX"/>
        </w:rPr>
      </w:pPr>
    </w:p>
    <w:p w14:paraId="29A6840F"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sz w:val="22"/>
          <w:szCs w:val="22"/>
          <w:lang w:eastAsia="es-MX"/>
        </w:rPr>
      </w:pPr>
      <w:r w:rsidRPr="008A3905">
        <w:rPr>
          <w:rFonts w:ascii="Palatino Linotype" w:eastAsia="Palatino Linotype" w:hAnsi="Palatino Linotype" w:cs="Palatino Linotype"/>
          <w:b/>
          <w:i/>
          <w:sz w:val="22"/>
          <w:szCs w:val="22"/>
          <w:lang w:eastAsia="es-MX"/>
        </w:rPr>
        <w:t>Artículo 143</w:t>
      </w:r>
      <w:r w:rsidRPr="008A3905">
        <w:rPr>
          <w:rFonts w:ascii="Palatino Linotype" w:eastAsia="Palatino Linotype" w:hAnsi="Palatino Linotype" w:cs="Palatino Linotype"/>
          <w:i/>
          <w:sz w:val="22"/>
          <w:szCs w:val="22"/>
          <w:lang w:eastAsia="es-MX"/>
        </w:rPr>
        <w:t>. Para los efectos de esta Ley se considera información confidencial, la clasificada como tal, de manera permanente, por su naturaleza, cuando:</w:t>
      </w:r>
    </w:p>
    <w:p w14:paraId="74250604" w14:textId="77777777" w:rsidR="008A3905" w:rsidRPr="008A3905" w:rsidRDefault="008A3905" w:rsidP="008A3905">
      <w:pPr>
        <w:shd w:val="clear" w:color="auto" w:fill="FFFFFF"/>
        <w:spacing w:after="160"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I. Se refiera a la información privada y los datos personales concernientes a una persona física o jurídico colectiva identificada o identificable...”</w:t>
      </w:r>
    </w:p>
    <w:p w14:paraId="4B64CE19" w14:textId="77777777" w:rsidR="008A3905" w:rsidRPr="008A3905" w:rsidRDefault="008A3905" w:rsidP="008A3905">
      <w:pPr>
        <w:spacing w:before="240" w:after="240" w:line="360" w:lineRule="auto"/>
        <w:ind w:right="50"/>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A3905">
        <w:rPr>
          <w:rFonts w:ascii="Palatino Linotype" w:eastAsia="Palatino Linotype" w:hAnsi="Palatino Linotype" w:cs="Palatino Linotype"/>
          <w:b/>
          <w:lang w:eastAsia="es-MX"/>
        </w:rPr>
        <w:t xml:space="preserve">SUJETO OBLIGADO </w:t>
      </w:r>
      <w:r w:rsidRPr="008A3905">
        <w:rPr>
          <w:rFonts w:ascii="Palatino Linotype" w:eastAsia="Palatino Linotype" w:hAnsi="Palatino Linotype" w:cs="Palatino Linotype"/>
          <w:lang w:eastAsia="es-MX"/>
        </w:rPr>
        <w:t xml:space="preserve">deberá proceder a testar los datos personales que se encuentre contenidos en los documentos a entregar por parte del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para satisfacer el derecho de acceso a la información pública del </w:t>
      </w:r>
      <w:r w:rsidRPr="008A3905">
        <w:rPr>
          <w:rFonts w:ascii="Palatino Linotype" w:eastAsia="Palatino Linotype" w:hAnsi="Palatino Linotype" w:cs="Palatino Linotype"/>
          <w:b/>
          <w:lang w:eastAsia="es-MX"/>
        </w:rPr>
        <w:t>RECURRENTE</w:t>
      </w:r>
      <w:r w:rsidRPr="008A3905">
        <w:rPr>
          <w:rFonts w:ascii="Palatino Linotype" w:eastAsia="Palatino Linotype" w:hAnsi="Palatino Linotype" w:cs="Palatino Linotype"/>
          <w:lang w:eastAsia="es-MX"/>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75437EA7" w14:textId="77777777" w:rsidR="008A3905" w:rsidRPr="008A3905" w:rsidRDefault="008A3905" w:rsidP="008A3905">
      <w:pPr>
        <w:spacing w:before="240" w:after="240" w:line="360" w:lineRule="auto"/>
        <w:ind w:right="50"/>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95ECA40"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“Artículo 49.</w:t>
      </w:r>
      <w:r w:rsidRPr="008A3905">
        <w:rPr>
          <w:rFonts w:ascii="Palatino Linotype" w:eastAsia="Palatino Linotype" w:hAnsi="Palatino Linotype" w:cs="Palatino Linotype"/>
          <w:i/>
          <w:sz w:val="22"/>
          <w:szCs w:val="22"/>
          <w:lang w:eastAsia="es-MX"/>
        </w:rPr>
        <w:t xml:space="preserve"> </w:t>
      </w:r>
      <w:r w:rsidRPr="008A3905">
        <w:rPr>
          <w:rFonts w:ascii="Palatino Linotype" w:eastAsia="Palatino Linotype" w:hAnsi="Palatino Linotype" w:cs="Palatino Linotype"/>
          <w:b/>
          <w:i/>
          <w:sz w:val="22"/>
          <w:szCs w:val="22"/>
          <w:lang w:eastAsia="es-MX"/>
        </w:rPr>
        <w:t>Los Comités de Transparencia</w:t>
      </w:r>
      <w:r w:rsidRPr="008A3905">
        <w:rPr>
          <w:rFonts w:ascii="Palatino Linotype" w:eastAsia="Palatino Linotype" w:hAnsi="Palatino Linotype" w:cs="Palatino Linotype"/>
          <w:i/>
          <w:sz w:val="22"/>
          <w:szCs w:val="22"/>
          <w:lang w:eastAsia="es-MX"/>
        </w:rPr>
        <w:t xml:space="preserve"> tendrán las siguientes atribuciones:</w:t>
      </w:r>
    </w:p>
    <w:p w14:paraId="0481BD37"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p>
    <w:p w14:paraId="004490CB"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VIII. Aprobar, modificar o revocar la clasificación de la información</w:t>
      </w:r>
      <w:r w:rsidRPr="008A3905">
        <w:rPr>
          <w:rFonts w:ascii="Palatino Linotype" w:eastAsia="Palatino Linotype" w:hAnsi="Palatino Linotype" w:cs="Palatino Linotype"/>
          <w:i/>
          <w:sz w:val="22"/>
          <w:szCs w:val="22"/>
          <w:lang w:eastAsia="es-MX"/>
        </w:rPr>
        <w:t>…”</w:t>
      </w:r>
    </w:p>
    <w:p w14:paraId="61737CDB" w14:textId="77777777" w:rsidR="008A3905" w:rsidRPr="008A3905" w:rsidRDefault="008A3905" w:rsidP="008A3905">
      <w:pPr>
        <w:spacing w:line="259" w:lineRule="auto"/>
        <w:ind w:left="851" w:right="851"/>
        <w:jc w:val="both"/>
        <w:rPr>
          <w:rFonts w:ascii="Palatino Linotype" w:eastAsia="Palatino Linotype" w:hAnsi="Palatino Linotype" w:cs="Palatino Linotype"/>
          <w:b/>
          <w:i/>
          <w:sz w:val="22"/>
          <w:szCs w:val="22"/>
          <w:lang w:eastAsia="es-MX"/>
        </w:rPr>
      </w:pPr>
    </w:p>
    <w:p w14:paraId="2689D7D8"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r w:rsidRPr="008A3905">
        <w:rPr>
          <w:rFonts w:ascii="Palatino Linotype" w:eastAsia="Palatino Linotype" w:hAnsi="Palatino Linotype" w:cs="Palatino Linotype"/>
          <w:b/>
          <w:i/>
          <w:sz w:val="22"/>
          <w:szCs w:val="22"/>
          <w:lang w:eastAsia="es-MX"/>
        </w:rPr>
        <w:t>Artículo 53.</w:t>
      </w:r>
      <w:r w:rsidRPr="008A3905">
        <w:rPr>
          <w:rFonts w:ascii="Palatino Linotype" w:eastAsia="Palatino Linotype" w:hAnsi="Palatino Linotype" w:cs="Palatino Linotype"/>
          <w:i/>
          <w:sz w:val="22"/>
          <w:szCs w:val="22"/>
          <w:lang w:eastAsia="es-MX"/>
        </w:rPr>
        <w:t xml:space="preserve"> Las </w:t>
      </w:r>
      <w:r w:rsidRPr="008A3905">
        <w:rPr>
          <w:rFonts w:ascii="Palatino Linotype" w:eastAsia="Palatino Linotype" w:hAnsi="Palatino Linotype" w:cs="Palatino Linotype"/>
          <w:b/>
          <w:i/>
          <w:sz w:val="22"/>
          <w:szCs w:val="22"/>
          <w:lang w:eastAsia="es-MX"/>
        </w:rPr>
        <w:t>Unidades de Transparencia</w:t>
      </w:r>
      <w:r w:rsidRPr="008A3905">
        <w:rPr>
          <w:rFonts w:ascii="Palatino Linotype" w:eastAsia="Palatino Linotype" w:hAnsi="Palatino Linotype" w:cs="Palatino Linotype"/>
          <w:i/>
          <w:sz w:val="22"/>
          <w:szCs w:val="22"/>
          <w:lang w:eastAsia="es-MX"/>
        </w:rPr>
        <w:t xml:space="preserve"> tendrán las siguientes </w:t>
      </w:r>
      <w:r w:rsidRPr="008A3905">
        <w:rPr>
          <w:rFonts w:ascii="Palatino Linotype" w:eastAsia="Palatino Linotype" w:hAnsi="Palatino Linotype" w:cs="Palatino Linotype"/>
          <w:b/>
          <w:i/>
          <w:sz w:val="22"/>
          <w:szCs w:val="22"/>
          <w:lang w:eastAsia="es-MX"/>
        </w:rPr>
        <w:t>funciones</w:t>
      </w:r>
      <w:r w:rsidRPr="008A3905">
        <w:rPr>
          <w:rFonts w:ascii="Palatino Linotype" w:eastAsia="Palatino Linotype" w:hAnsi="Palatino Linotype" w:cs="Palatino Linotype"/>
          <w:i/>
          <w:sz w:val="22"/>
          <w:szCs w:val="22"/>
          <w:lang w:eastAsia="es-MX"/>
        </w:rPr>
        <w:t>:</w:t>
      </w:r>
    </w:p>
    <w:p w14:paraId="112A4C1E"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p>
    <w:p w14:paraId="1EB6DBCA"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X. Presentar ante el Comité, el proyecto de clasificación de información</w:t>
      </w:r>
      <w:r w:rsidRPr="008A3905">
        <w:rPr>
          <w:rFonts w:ascii="Palatino Linotype" w:eastAsia="Palatino Linotype" w:hAnsi="Palatino Linotype" w:cs="Palatino Linotype"/>
          <w:i/>
          <w:sz w:val="22"/>
          <w:szCs w:val="22"/>
          <w:lang w:eastAsia="es-MX"/>
        </w:rPr>
        <w:t xml:space="preserve">…” </w:t>
      </w:r>
    </w:p>
    <w:p w14:paraId="681A9365"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p>
    <w:p w14:paraId="5E9580AD"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“Artículo 59.</w:t>
      </w:r>
      <w:r w:rsidRPr="008A3905">
        <w:rPr>
          <w:rFonts w:ascii="Palatino Linotype" w:eastAsia="Palatino Linotype" w:hAnsi="Palatino Linotype" w:cs="Palatino Linotype"/>
          <w:i/>
          <w:sz w:val="22"/>
          <w:szCs w:val="22"/>
          <w:lang w:eastAsia="es-MX"/>
        </w:rPr>
        <w:t xml:space="preserve"> Los </w:t>
      </w:r>
      <w:r w:rsidRPr="008A3905">
        <w:rPr>
          <w:rFonts w:ascii="Palatino Linotype" w:eastAsia="Palatino Linotype" w:hAnsi="Palatino Linotype" w:cs="Palatino Linotype"/>
          <w:b/>
          <w:i/>
          <w:sz w:val="22"/>
          <w:szCs w:val="22"/>
          <w:lang w:eastAsia="es-MX"/>
        </w:rPr>
        <w:t>servidores públicos habilitados</w:t>
      </w:r>
      <w:r w:rsidRPr="008A3905">
        <w:rPr>
          <w:rFonts w:ascii="Palatino Linotype" w:eastAsia="Palatino Linotype" w:hAnsi="Palatino Linotype" w:cs="Palatino Linotype"/>
          <w:i/>
          <w:sz w:val="22"/>
          <w:szCs w:val="22"/>
          <w:lang w:eastAsia="es-MX"/>
        </w:rPr>
        <w:t xml:space="preserve"> tendrán las </w:t>
      </w:r>
      <w:r w:rsidRPr="008A3905">
        <w:rPr>
          <w:rFonts w:ascii="Palatino Linotype" w:eastAsia="Palatino Linotype" w:hAnsi="Palatino Linotype" w:cs="Palatino Linotype"/>
          <w:b/>
          <w:i/>
          <w:sz w:val="22"/>
          <w:szCs w:val="22"/>
          <w:lang w:eastAsia="es-MX"/>
        </w:rPr>
        <w:t>funciones</w:t>
      </w:r>
      <w:r w:rsidRPr="008A3905">
        <w:rPr>
          <w:rFonts w:ascii="Palatino Linotype" w:eastAsia="Palatino Linotype" w:hAnsi="Palatino Linotype" w:cs="Palatino Linotype"/>
          <w:i/>
          <w:sz w:val="22"/>
          <w:szCs w:val="22"/>
          <w:lang w:eastAsia="es-MX"/>
        </w:rPr>
        <w:t xml:space="preserve"> siguientes:</w:t>
      </w:r>
    </w:p>
    <w:p w14:paraId="287657C6" w14:textId="77777777" w:rsidR="008A3905" w:rsidRPr="008A3905" w:rsidRDefault="008A3905" w:rsidP="008A3905">
      <w:pPr>
        <w:spacing w:line="259" w:lineRule="auto"/>
        <w:ind w:left="851" w:right="851"/>
        <w:jc w:val="both"/>
        <w:rPr>
          <w:rFonts w:ascii="Palatino Linotype" w:eastAsia="Palatino Linotype" w:hAnsi="Palatino Linotype" w:cs="Palatino Linotype"/>
          <w:b/>
          <w:i/>
          <w:sz w:val="22"/>
          <w:szCs w:val="22"/>
          <w:lang w:eastAsia="es-MX"/>
        </w:rPr>
      </w:pPr>
    </w:p>
    <w:p w14:paraId="5F12021F" w14:textId="77777777" w:rsidR="008A3905" w:rsidRPr="008A3905" w:rsidRDefault="008A3905" w:rsidP="008A3905">
      <w:pPr>
        <w:spacing w:line="259" w:lineRule="auto"/>
        <w:ind w:left="851" w:right="85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b/>
          <w:i/>
          <w:sz w:val="22"/>
          <w:szCs w:val="22"/>
          <w:lang w:eastAsia="es-MX"/>
        </w:rPr>
        <w:t>V. Integrar y presentar al responsable de la Unidad de Transparencia la propuesta de clasificación de información</w:t>
      </w:r>
      <w:r w:rsidRPr="008A3905">
        <w:rPr>
          <w:rFonts w:ascii="Palatino Linotype" w:eastAsia="Palatino Linotype" w:hAnsi="Palatino Linotype" w:cs="Palatino Linotype"/>
          <w:i/>
          <w:sz w:val="22"/>
          <w:szCs w:val="22"/>
          <w:lang w:eastAsia="es-MX"/>
        </w:rPr>
        <w:t>, la cual tendrá los fundamentos y argumentos en que se basa dicha propuesta…”(Sic)</w:t>
      </w:r>
    </w:p>
    <w:p w14:paraId="50E84C22" w14:textId="77777777" w:rsidR="008A3905" w:rsidRPr="008A3905" w:rsidRDefault="008A3905" w:rsidP="008A3905">
      <w:pPr>
        <w:spacing w:after="80" w:line="259" w:lineRule="auto"/>
        <w:ind w:left="851" w:right="851"/>
        <w:jc w:val="both"/>
        <w:rPr>
          <w:rFonts w:ascii="Palatino Linotype" w:eastAsia="Palatino Linotype" w:hAnsi="Palatino Linotype" w:cs="Palatino Linotype"/>
          <w:i/>
          <w:sz w:val="22"/>
          <w:szCs w:val="22"/>
          <w:lang w:eastAsia="es-MX"/>
        </w:rPr>
      </w:pPr>
    </w:p>
    <w:p w14:paraId="7ABD8B44" w14:textId="77777777" w:rsidR="008A3905" w:rsidRPr="008A3905" w:rsidRDefault="008A3905" w:rsidP="008A3905">
      <w:pPr>
        <w:spacing w:before="8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494A484"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Para lo cual a su vez en el caso de información de carácter confidencial se debe atender a lo que señala el artículo 149 de la Ley de Transparencia Local vigente, cuyo contenido es de la literalidad siguiente:</w:t>
      </w:r>
    </w:p>
    <w:p w14:paraId="65783CAF" w14:textId="77777777" w:rsidR="008A3905" w:rsidRPr="008A3905" w:rsidRDefault="008A3905" w:rsidP="008A3905">
      <w:pPr>
        <w:spacing w:before="240" w:after="240" w:line="259" w:lineRule="auto"/>
        <w:ind w:left="993" w:right="1041"/>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w:t>
      </w:r>
      <w:r w:rsidRPr="008A3905">
        <w:rPr>
          <w:rFonts w:ascii="Palatino Linotype" w:eastAsia="Palatino Linotype" w:hAnsi="Palatino Linotype" w:cs="Palatino Linotype"/>
          <w:b/>
          <w:i/>
          <w:sz w:val="22"/>
          <w:szCs w:val="22"/>
          <w:lang w:eastAsia="es-MX"/>
        </w:rPr>
        <w:t>Artículo 149.</w:t>
      </w:r>
      <w:r w:rsidRPr="008A3905">
        <w:rPr>
          <w:rFonts w:ascii="Palatino Linotype" w:eastAsia="Palatino Linotype" w:hAnsi="Palatino Linotype" w:cs="Palatino Linotype"/>
          <w:i/>
          <w:sz w:val="22"/>
          <w:szCs w:val="22"/>
          <w:lang w:eastAsia="es-MX"/>
        </w:rPr>
        <w:t xml:space="preserve"> El </w:t>
      </w:r>
      <w:r w:rsidRPr="008A3905">
        <w:rPr>
          <w:rFonts w:ascii="Palatino Linotype" w:eastAsia="Palatino Linotype" w:hAnsi="Palatino Linotype" w:cs="Palatino Linotype"/>
          <w:b/>
          <w:i/>
          <w:sz w:val="22"/>
          <w:szCs w:val="22"/>
          <w:lang w:eastAsia="es-MX"/>
        </w:rPr>
        <w:t>acuerdo que clasifique la información como confidencial</w:t>
      </w:r>
      <w:r w:rsidRPr="008A3905">
        <w:rPr>
          <w:rFonts w:ascii="Palatino Linotype" w:eastAsia="Palatino Linotype" w:hAnsi="Palatino Linotype" w:cs="Palatino Linotype"/>
          <w:i/>
          <w:sz w:val="22"/>
          <w:szCs w:val="22"/>
          <w:lang w:eastAsia="es-MX"/>
        </w:rPr>
        <w:t xml:space="preserve"> deberá contener un razonamiento lógico en el que demuestre que la información se encuentra en alguna o algunas de las hipótesis previstas en la presente Ley.”(Sic)</w:t>
      </w:r>
    </w:p>
    <w:p w14:paraId="50BCF285" w14:textId="77777777" w:rsidR="008A3905" w:rsidRPr="008A3905" w:rsidRDefault="008A3905" w:rsidP="00EA5553">
      <w:pPr>
        <w:spacing w:before="240" w:after="240" w:line="360" w:lineRule="auto"/>
        <w:ind w:right="49"/>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Es decir, 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7BB0B633" w14:textId="77777777" w:rsidR="008A3905" w:rsidRPr="008A3905" w:rsidRDefault="008A3905" w:rsidP="00EA55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eastAsia="es-MX"/>
        </w:rPr>
      </w:pPr>
      <w:r w:rsidRPr="008A3905">
        <w:rPr>
          <w:rFonts w:ascii="Palatino Linotype" w:eastAsia="Palatino Linotype" w:hAnsi="Palatino Linotype" w:cs="Palatino Linotype"/>
          <w:color w:val="000000"/>
          <w:lang w:eastAsia="es-MX"/>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8A3905">
        <w:rPr>
          <w:rFonts w:ascii="Palatino Linotype" w:eastAsia="Palatino Linotype" w:hAnsi="Palatino Linotype" w:cs="Palatino Linotype"/>
          <w:b/>
          <w:color w:val="000000"/>
          <w:u w:val="single"/>
          <w:lang w:eastAsia="es-MX"/>
        </w:rPr>
        <w:t>razones, motivos o circunstancias especiales</w:t>
      </w:r>
      <w:r w:rsidRPr="008A3905">
        <w:rPr>
          <w:rFonts w:ascii="Palatino Linotype" w:eastAsia="Palatino Linotype" w:hAnsi="Palatino Linotype" w:cs="Palatino Linotype"/>
          <w:color w:val="000000"/>
          <w:lang w:eastAsia="es-MX"/>
        </w:rPr>
        <w:t xml:space="preserve"> </w:t>
      </w:r>
      <w:r w:rsidRPr="008A3905">
        <w:rPr>
          <w:rFonts w:ascii="Palatino Linotype" w:eastAsia="Palatino Linotype" w:hAnsi="Palatino Linotype" w:cs="Palatino Linotype"/>
          <w:b/>
          <w:color w:val="000000"/>
          <w:u w:val="single"/>
          <w:lang w:eastAsia="es-MX"/>
        </w:rPr>
        <w:t>que lo llevaron a concluir que el caso concreto, se ajustó a los supuestos previstos en la normatividad legal invocada como fundamento, para dichos efectos, debe proceder a su vez a realizar una prueba de daño</w:t>
      </w:r>
      <w:r w:rsidRPr="008A3905">
        <w:rPr>
          <w:rFonts w:ascii="Palatino Linotype" w:eastAsia="Palatino Linotype" w:hAnsi="Palatino Linotype" w:cs="Palatino Linotype"/>
          <w:color w:val="000000"/>
          <w:lang w:eastAsia="es-MX"/>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454AB338" w14:textId="77777777" w:rsidR="008A3905" w:rsidRPr="008A3905" w:rsidRDefault="008A3905" w:rsidP="008A3905">
      <w:pPr>
        <w:spacing w:before="240" w:after="240" w:line="360" w:lineRule="auto"/>
        <w:jc w:val="both"/>
        <w:rPr>
          <w:rFonts w:ascii="Palatino Linotype" w:eastAsia="Palatino Linotype" w:hAnsi="Palatino Linotype" w:cs="Palatino Linotype"/>
          <w:highlight w:val="white"/>
          <w:lang w:eastAsia="es-MX"/>
        </w:rPr>
      </w:pPr>
      <w:r w:rsidRPr="008A3905">
        <w:rPr>
          <w:rFonts w:ascii="Palatino Linotype" w:eastAsia="Palatino Linotype" w:hAnsi="Palatino Linotype" w:cs="Palatino Linotype"/>
          <w:lang w:eastAsia="es-MX"/>
        </w:rPr>
        <w:t xml:space="preserve">Al respecto, se destaca que la versión pública que elabore el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8A3905">
        <w:rPr>
          <w:rFonts w:ascii="Palatino Linotype" w:eastAsia="Palatino Linotype" w:hAnsi="Palatino Linotype" w:cs="Palatino Linotype"/>
          <w:highlight w:val="white"/>
          <w:lang w:eastAsia="es-MX"/>
        </w:rPr>
        <w:t>.</w:t>
      </w:r>
    </w:p>
    <w:p w14:paraId="5DCA4C60"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Efectivamente, cuando se clasifica información como confidencial o reservada es importante someterlo al Comité de Transparencia, quien debe confirmar, modificar o revocar la clasificación.</w:t>
      </w:r>
    </w:p>
    <w:p w14:paraId="34E0E155" w14:textId="77777777" w:rsidR="008A3905" w:rsidRPr="008A3905" w:rsidRDefault="008A3905" w:rsidP="008A3905">
      <w:pPr>
        <w:shd w:val="clear" w:color="auto" w:fill="FFFFFF"/>
        <w:spacing w:before="240" w:after="240" w:line="360" w:lineRule="auto"/>
        <w:ind w:right="51"/>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8A3905">
        <w:rPr>
          <w:rFonts w:ascii="Palatino Linotype" w:eastAsia="Palatino Linotype" w:hAnsi="Palatino Linotype" w:cs="Palatino Linotype"/>
          <w:b/>
          <w:lang w:eastAsia="es-MX"/>
        </w:rPr>
        <w:t>SUJETO OBLIGADO</w:t>
      </w:r>
      <w:r w:rsidRPr="008A3905">
        <w:rPr>
          <w:rFonts w:ascii="Palatino Linotype" w:eastAsia="Palatino Linotype" w:hAnsi="Palatino Linotype" w:cs="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A3905">
        <w:rPr>
          <w:rFonts w:ascii="Palatino Linotype" w:eastAsia="Palatino Linotype" w:hAnsi="Palatino Linotype" w:cs="Palatino Linotype"/>
          <w:b/>
          <w:lang w:eastAsia="es-MX"/>
        </w:rPr>
        <w:t>RECURRENTE.</w:t>
      </w:r>
    </w:p>
    <w:p w14:paraId="32314748"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278860FC"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FD767E"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Entorno a lo que aquí nos interesa, los Lineamientos Quincuagésimo sexto, Quincuagésimo séptimo y Quincuagésimo octavo, establecen lo siguiente:</w:t>
      </w:r>
    </w:p>
    <w:p w14:paraId="57B79C89"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“Quincuagésimo sexto</w:t>
      </w:r>
      <w:r w:rsidRPr="008A3905">
        <w:rPr>
          <w:rFonts w:ascii="Palatino Linotype" w:eastAsia="Palatino Linotype" w:hAnsi="Palatino Linotype" w:cs="Palatino Linotype"/>
          <w:b/>
          <w:i/>
          <w:sz w:val="22"/>
          <w:szCs w:val="22"/>
          <w:lang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9FD08AA"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Quincuagésimo séptimo. Se considera, en principio, como información pública y no podrá omitirse de las versiones públicas la siguiente: </w:t>
      </w:r>
    </w:p>
    <w:p w14:paraId="3B4233E1"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I. La relativa a las Obligaciones de Transparencia que contempla el Título V de la Ley General y las demás disposiciones legales aplicables; </w:t>
      </w:r>
    </w:p>
    <w:p w14:paraId="75CD1B92"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II. El nombre de los servidores públicos en los documentos, y sus firmas autógrafas, cuando sean utilizados en el ejercicio de las facultades conferidas para el desempeño del servicio público, y </w:t>
      </w:r>
    </w:p>
    <w:p w14:paraId="58A7B243"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346EA8DB"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 xml:space="preserve">Lo anterior, siempre y cuando no se acredite alguna causal de clasificación, prevista en las leyes o en los tratados internaciones suscritos por el Estado mexicano. </w:t>
      </w:r>
    </w:p>
    <w:p w14:paraId="14509E59" w14:textId="77777777" w:rsidR="008A3905" w:rsidRPr="008A3905" w:rsidRDefault="008A3905" w:rsidP="008A3905">
      <w:pPr>
        <w:spacing w:before="120" w:after="120" w:line="259" w:lineRule="auto"/>
        <w:ind w:left="851" w:right="902"/>
        <w:jc w:val="both"/>
        <w:rPr>
          <w:rFonts w:ascii="Palatino Linotype" w:eastAsia="Palatino Linotype" w:hAnsi="Palatino Linotype" w:cs="Palatino Linotype"/>
          <w:i/>
          <w:sz w:val="22"/>
          <w:szCs w:val="22"/>
          <w:lang w:eastAsia="es-MX"/>
        </w:rPr>
      </w:pPr>
      <w:r w:rsidRPr="008A3905">
        <w:rPr>
          <w:rFonts w:ascii="Palatino Linotype" w:eastAsia="Palatino Linotype" w:hAnsi="Palatino Linotype" w:cs="Palatino Linotype"/>
          <w:i/>
          <w:sz w:val="22"/>
          <w:szCs w:val="22"/>
          <w:lang w:eastAsia="es-MX"/>
        </w:rPr>
        <w:t>Quincuagésimo octavo. Los sujetos obligados garantizarán que los sistemas o medios empleados para eliminar la información en las versiones públicas no permitan la recuperación o visualización de la misma.”</w:t>
      </w:r>
    </w:p>
    <w:p w14:paraId="73D76610"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 xml:space="preserve">Por lo tanto, </w:t>
      </w:r>
      <w:r w:rsidRPr="008A3905">
        <w:rPr>
          <w:rFonts w:ascii="Palatino Linotype" w:eastAsia="Palatino Linotype" w:hAnsi="Palatino Linotype" w:cs="Palatino Linotype"/>
          <w:b/>
          <w:lang w:eastAsia="es-MX"/>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8A3905">
        <w:rPr>
          <w:rFonts w:ascii="Palatino Linotype" w:eastAsia="Palatino Linotype" w:hAnsi="Palatino Linotype" w:cs="Palatino Linotype"/>
          <w:lang w:eastAsia="es-MX"/>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9737AAF" w14:textId="77777777" w:rsidR="008A3905" w:rsidRPr="008A3905" w:rsidRDefault="008A3905" w:rsidP="008A3905">
      <w:pPr>
        <w:spacing w:before="240"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8A3905" w:rsidRPr="008A3905" w14:paraId="4CE581B9" w14:textId="77777777" w:rsidTr="008A3905">
        <w:tc>
          <w:tcPr>
            <w:tcW w:w="4414" w:type="dxa"/>
            <w:gridSpan w:val="2"/>
          </w:tcPr>
          <w:p w14:paraId="4E36639D" w14:textId="77777777" w:rsidR="008A3905" w:rsidRPr="008A3905" w:rsidRDefault="008A3905" w:rsidP="008A3905">
            <w:pPr>
              <w:spacing w:after="160" w:line="259" w:lineRule="auto"/>
              <w:jc w:val="center"/>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Parcial</w:t>
            </w:r>
          </w:p>
        </w:tc>
        <w:tc>
          <w:tcPr>
            <w:tcW w:w="4414" w:type="dxa"/>
            <w:gridSpan w:val="2"/>
          </w:tcPr>
          <w:p w14:paraId="17986849" w14:textId="77777777" w:rsidR="008A3905" w:rsidRPr="008A3905" w:rsidRDefault="008A3905" w:rsidP="008A3905">
            <w:pPr>
              <w:spacing w:after="160" w:line="259" w:lineRule="auto"/>
              <w:jc w:val="center"/>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Total</w:t>
            </w:r>
          </w:p>
        </w:tc>
      </w:tr>
      <w:tr w:rsidR="008A3905" w:rsidRPr="008A3905" w14:paraId="3339FEF3" w14:textId="77777777" w:rsidTr="008A3905">
        <w:tc>
          <w:tcPr>
            <w:tcW w:w="846" w:type="dxa"/>
          </w:tcPr>
          <w:p w14:paraId="1BAE81CE" w14:textId="77777777" w:rsidR="008A3905" w:rsidRPr="008A3905" w:rsidRDefault="008A3905" w:rsidP="008A3905">
            <w:pPr>
              <w:spacing w:after="160" w:line="259" w:lineRule="auto"/>
              <w:jc w:val="center"/>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Concepto</w:t>
            </w:r>
          </w:p>
        </w:tc>
        <w:tc>
          <w:tcPr>
            <w:tcW w:w="3568" w:type="dxa"/>
          </w:tcPr>
          <w:p w14:paraId="10B68F62" w14:textId="77777777" w:rsidR="008A3905" w:rsidRPr="008A3905" w:rsidRDefault="008A3905" w:rsidP="008A3905">
            <w:pPr>
              <w:spacing w:after="160" w:line="259" w:lineRule="auto"/>
              <w:jc w:val="center"/>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Dónde</w:t>
            </w:r>
          </w:p>
        </w:tc>
        <w:tc>
          <w:tcPr>
            <w:tcW w:w="968" w:type="dxa"/>
          </w:tcPr>
          <w:p w14:paraId="46A76A62" w14:textId="77777777" w:rsidR="008A3905" w:rsidRPr="008A3905" w:rsidRDefault="008A3905" w:rsidP="008A3905">
            <w:pPr>
              <w:spacing w:after="160" w:line="259" w:lineRule="auto"/>
              <w:jc w:val="center"/>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Concepto</w:t>
            </w:r>
          </w:p>
        </w:tc>
        <w:tc>
          <w:tcPr>
            <w:tcW w:w="3446" w:type="dxa"/>
          </w:tcPr>
          <w:p w14:paraId="1FA90BE4" w14:textId="77777777" w:rsidR="008A3905" w:rsidRPr="008A3905" w:rsidRDefault="008A3905" w:rsidP="008A3905">
            <w:pPr>
              <w:spacing w:after="160" w:line="259" w:lineRule="auto"/>
              <w:jc w:val="center"/>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Dónde</w:t>
            </w:r>
          </w:p>
        </w:tc>
      </w:tr>
      <w:tr w:rsidR="008A3905" w:rsidRPr="008A3905" w14:paraId="53579E06" w14:textId="77777777" w:rsidTr="008A3905">
        <w:tc>
          <w:tcPr>
            <w:tcW w:w="8828" w:type="dxa"/>
            <w:gridSpan w:val="4"/>
          </w:tcPr>
          <w:p w14:paraId="52F670F1" w14:textId="77777777" w:rsidR="008A3905" w:rsidRPr="008A3905" w:rsidRDefault="008A3905" w:rsidP="008A3905">
            <w:pPr>
              <w:spacing w:after="160" w:line="259" w:lineRule="auto"/>
              <w:jc w:val="center"/>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Sello oficial o logotipo del sujeto obligado</w:t>
            </w:r>
          </w:p>
        </w:tc>
      </w:tr>
      <w:tr w:rsidR="008A3905" w:rsidRPr="008A3905" w14:paraId="347B9139" w14:textId="77777777" w:rsidTr="008A3905">
        <w:tc>
          <w:tcPr>
            <w:tcW w:w="846" w:type="dxa"/>
          </w:tcPr>
          <w:p w14:paraId="6356292A"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Fecha de clasificación</w:t>
            </w:r>
          </w:p>
        </w:tc>
        <w:tc>
          <w:tcPr>
            <w:tcW w:w="3568" w:type="dxa"/>
          </w:tcPr>
          <w:p w14:paraId="7B761A0E"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anotará la fecha en la que el Comité de Transparencia confirmó la clasificación del documento, en su caso.</w:t>
            </w:r>
          </w:p>
        </w:tc>
        <w:tc>
          <w:tcPr>
            <w:tcW w:w="968" w:type="dxa"/>
          </w:tcPr>
          <w:p w14:paraId="7CD27734"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Fecha de clasificación</w:t>
            </w:r>
          </w:p>
        </w:tc>
        <w:tc>
          <w:tcPr>
            <w:tcW w:w="3446" w:type="dxa"/>
          </w:tcPr>
          <w:p w14:paraId="31340A4A"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anotará la fecha en la que el Comité de Transparencia confirmó la clasificación del documento, en su caso.</w:t>
            </w:r>
          </w:p>
        </w:tc>
      </w:tr>
      <w:tr w:rsidR="008A3905" w:rsidRPr="008A3905" w14:paraId="3E436C25" w14:textId="77777777" w:rsidTr="008A3905">
        <w:tc>
          <w:tcPr>
            <w:tcW w:w="846" w:type="dxa"/>
          </w:tcPr>
          <w:p w14:paraId="037F1778"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Área</w:t>
            </w:r>
          </w:p>
        </w:tc>
        <w:tc>
          <w:tcPr>
            <w:tcW w:w="3568" w:type="dxa"/>
          </w:tcPr>
          <w:p w14:paraId="3DB40F51"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señalará el nombre del área del cual es titular quien clasifica.</w:t>
            </w:r>
          </w:p>
        </w:tc>
        <w:tc>
          <w:tcPr>
            <w:tcW w:w="968" w:type="dxa"/>
          </w:tcPr>
          <w:p w14:paraId="3FBC5D29"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Área</w:t>
            </w:r>
          </w:p>
        </w:tc>
        <w:tc>
          <w:tcPr>
            <w:tcW w:w="3446" w:type="dxa"/>
          </w:tcPr>
          <w:p w14:paraId="384EB35B"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señalará el nombre del área de la cual es el titular quien clasifica.</w:t>
            </w:r>
          </w:p>
        </w:tc>
      </w:tr>
      <w:tr w:rsidR="008A3905" w:rsidRPr="008A3905" w14:paraId="7C6D1F97" w14:textId="77777777" w:rsidTr="008A3905">
        <w:tc>
          <w:tcPr>
            <w:tcW w:w="846" w:type="dxa"/>
          </w:tcPr>
          <w:p w14:paraId="3B98A939"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Información reservada</w:t>
            </w:r>
          </w:p>
        </w:tc>
        <w:tc>
          <w:tcPr>
            <w:tcW w:w="3568" w:type="dxa"/>
          </w:tcPr>
          <w:p w14:paraId="6AA0CB1E"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59D2ED1"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Reservado</w:t>
            </w:r>
          </w:p>
        </w:tc>
        <w:tc>
          <w:tcPr>
            <w:tcW w:w="3446" w:type="dxa"/>
          </w:tcPr>
          <w:p w14:paraId="6A19D77F"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Leyenda de información RESERVADA.</w:t>
            </w:r>
          </w:p>
        </w:tc>
      </w:tr>
      <w:tr w:rsidR="008A3905" w:rsidRPr="008A3905" w14:paraId="2E3BBB60" w14:textId="77777777" w:rsidTr="008A3905">
        <w:tc>
          <w:tcPr>
            <w:tcW w:w="846" w:type="dxa"/>
          </w:tcPr>
          <w:p w14:paraId="0161D8BF"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Fundamento legal</w:t>
            </w:r>
          </w:p>
        </w:tc>
        <w:tc>
          <w:tcPr>
            <w:tcW w:w="3568" w:type="dxa"/>
          </w:tcPr>
          <w:p w14:paraId="21C4D8A7"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señalará el nombre del ordenamiento, el o los artículos, fracción(es), párrafo(s) con base en los cuales se sustente la reserva.</w:t>
            </w:r>
          </w:p>
        </w:tc>
        <w:tc>
          <w:tcPr>
            <w:tcW w:w="968" w:type="dxa"/>
          </w:tcPr>
          <w:p w14:paraId="17B83A2A"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Periodo de reserva</w:t>
            </w:r>
          </w:p>
        </w:tc>
        <w:tc>
          <w:tcPr>
            <w:tcW w:w="3446" w:type="dxa"/>
          </w:tcPr>
          <w:p w14:paraId="119C24C8"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anotará el número de años o meses por los que se mantendrá el documento o las partes del mismo como reservado. Si el expediente no es reservado, sino confidencial, deberá tacharse este apartado.</w:t>
            </w:r>
          </w:p>
        </w:tc>
      </w:tr>
      <w:tr w:rsidR="008A3905" w:rsidRPr="008A3905" w14:paraId="1860FEFB" w14:textId="77777777" w:rsidTr="008A3905">
        <w:tc>
          <w:tcPr>
            <w:tcW w:w="846" w:type="dxa"/>
          </w:tcPr>
          <w:p w14:paraId="4490223C"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Ampliación del periodo de reserva</w:t>
            </w:r>
          </w:p>
        </w:tc>
        <w:tc>
          <w:tcPr>
            <w:tcW w:w="3568" w:type="dxa"/>
          </w:tcPr>
          <w:p w14:paraId="687E3D83"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En caso de haber solicitado la ampliación del periodo de reserva originalmente establecido, se deberá anotar el número de años o meses por los que se amplía la reserva.</w:t>
            </w:r>
          </w:p>
        </w:tc>
        <w:tc>
          <w:tcPr>
            <w:tcW w:w="968" w:type="dxa"/>
          </w:tcPr>
          <w:p w14:paraId="4E0AA75A"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Fundamento legal</w:t>
            </w:r>
          </w:p>
        </w:tc>
        <w:tc>
          <w:tcPr>
            <w:tcW w:w="3446" w:type="dxa"/>
          </w:tcPr>
          <w:p w14:paraId="09C2FC98"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señalará el nombre del o de los ordenamientos jurídicos, el o los artículos, fracción(es), párrafo(s) con base en los cuales se sustenta la reserva.</w:t>
            </w:r>
          </w:p>
        </w:tc>
      </w:tr>
      <w:tr w:rsidR="008A3905" w:rsidRPr="008A3905" w14:paraId="4DF0F46E" w14:textId="77777777" w:rsidTr="008A3905">
        <w:tc>
          <w:tcPr>
            <w:tcW w:w="846" w:type="dxa"/>
          </w:tcPr>
          <w:p w14:paraId="5C2299A8"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Confidencial</w:t>
            </w:r>
          </w:p>
        </w:tc>
        <w:tc>
          <w:tcPr>
            <w:tcW w:w="3568" w:type="dxa"/>
          </w:tcPr>
          <w:p w14:paraId="366D9DE5"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64F2832"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Ampliación del periodo de reserva</w:t>
            </w:r>
          </w:p>
        </w:tc>
        <w:tc>
          <w:tcPr>
            <w:tcW w:w="3446" w:type="dxa"/>
          </w:tcPr>
          <w:p w14:paraId="45C5BD03"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En caso de haber solicitado la ampliación del periodo de reserva originalmente establecido, se deberá anotar el número de años o meses por los que se amplía la reserva.</w:t>
            </w:r>
          </w:p>
        </w:tc>
      </w:tr>
      <w:tr w:rsidR="008A3905" w:rsidRPr="008A3905" w14:paraId="67D13036" w14:textId="77777777" w:rsidTr="008A3905">
        <w:tc>
          <w:tcPr>
            <w:tcW w:w="846" w:type="dxa"/>
          </w:tcPr>
          <w:p w14:paraId="2FDDFFB8"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Fundamento legal</w:t>
            </w:r>
          </w:p>
        </w:tc>
        <w:tc>
          <w:tcPr>
            <w:tcW w:w="3568" w:type="dxa"/>
          </w:tcPr>
          <w:p w14:paraId="72A814ED"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señalará el nombre del ordenamiento, el o los artículos, fracción(es), párrafo(s) con base en los cuales se sustente la confidencialidad.</w:t>
            </w:r>
          </w:p>
        </w:tc>
        <w:tc>
          <w:tcPr>
            <w:tcW w:w="968" w:type="dxa"/>
          </w:tcPr>
          <w:p w14:paraId="3537B532"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Confidencial</w:t>
            </w:r>
          </w:p>
        </w:tc>
        <w:tc>
          <w:tcPr>
            <w:tcW w:w="3446" w:type="dxa"/>
          </w:tcPr>
          <w:p w14:paraId="352F04A0"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Leyenda de información CONFIDENCIAL.</w:t>
            </w:r>
          </w:p>
        </w:tc>
      </w:tr>
      <w:tr w:rsidR="008A3905" w:rsidRPr="008A3905" w14:paraId="25361F55" w14:textId="77777777" w:rsidTr="008A3905">
        <w:tc>
          <w:tcPr>
            <w:tcW w:w="846" w:type="dxa"/>
          </w:tcPr>
          <w:p w14:paraId="5F336966"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Rúbrica del titular del área</w:t>
            </w:r>
          </w:p>
        </w:tc>
        <w:tc>
          <w:tcPr>
            <w:tcW w:w="3568" w:type="dxa"/>
          </w:tcPr>
          <w:p w14:paraId="525F4977"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Rúbrica autógrafa de quien clasifica.</w:t>
            </w:r>
          </w:p>
        </w:tc>
        <w:tc>
          <w:tcPr>
            <w:tcW w:w="968" w:type="dxa"/>
          </w:tcPr>
          <w:p w14:paraId="2C924B26"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Fundamento legal</w:t>
            </w:r>
          </w:p>
        </w:tc>
        <w:tc>
          <w:tcPr>
            <w:tcW w:w="3446" w:type="dxa"/>
          </w:tcPr>
          <w:p w14:paraId="0359C062"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señalará el nombre del o de los ordenamientos jurídicos, el o los artículos, fracción(es), párrafo(s) con base en los cuales se sustente la confidencialidad.</w:t>
            </w:r>
          </w:p>
        </w:tc>
      </w:tr>
      <w:tr w:rsidR="008A3905" w:rsidRPr="008A3905" w14:paraId="59DC0D32" w14:textId="77777777" w:rsidTr="008A3905">
        <w:tc>
          <w:tcPr>
            <w:tcW w:w="846" w:type="dxa"/>
          </w:tcPr>
          <w:p w14:paraId="285CCE68"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Fecha de desclasificación</w:t>
            </w:r>
          </w:p>
        </w:tc>
        <w:tc>
          <w:tcPr>
            <w:tcW w:w="3568" w:type="dxa"/>
          </w:tcPr>
          <w:p w14:paraId="0B672D0C"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anotará la fecha en que se desclasifica el documento.</w:t>
            </w:r>
          </w:p>
        </w:tc>
        <w:tc>
          <w:tcPr>
            <w:tcW w:w="968" w:type="dxa"/>
          </w:tcPr>
          <w:p w14:paraId="1037E0DB"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Rúbrica del titular del área</w:t>
            </w:r>
          </w:p>
        </w:tc>
        <w:tc>
          <w:tcPr>
            <w:tcW w:w="3446" w:type="dxa"/>
          </w:tcPr>
          <w:p w14:paraId="4AB9ED93"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Rúbrica autógrafa de quien clasifica.</w:t>
            </w:r>
          </w:p>
        </w:tc>
      </w:tr>
      <w:tr w:rsidR="008A3905" w:rsidRPr="008A3905" w14:paraId="7AFC47BB" w14:textId="77777777" w:rsidTr="008A3905">
        <w:tc>
          <w:tcPr>
            <w:tcW w:w="846" w:type="dxa"/>
          </w:tcPr>
          <w:p w14:paraId="69F32D79"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Rúbrica y cargo del servidor público</w:t>
            </w:r>
          </w:p>
        </w:tc>
        <w:tc>
          <w:tcPr>
            <w:tcW w:w="3568" w:type="dxa"/>
          </w:tcPr>
          <w:p w14:paraId="312473E4"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Rúbrica autógrafa de quien desclasifica.</w:t>
            </w:r>
          </w:p>
        </w:tc>
        <w:tc>
          <w:tcPr>
            <w:tcW w:w="968" w:type="dxa"/>
          </w:tcPr>
          <w:p w14:paraId="5E7ED21C"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Fecha de desclasificación</w:t>
            </w:r>
          </w:p>
        </w:tc>
        <w:tc>
          <w:tcPr>
            <w:tcW w:w="3446" w:type="dxa"/>
          </w:tcPr>
          <w:p w14:paraId="424F65AC"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Se anotará la fecha en que se desclasifica.</w:t>
            </w:r>
          </w:p>
        </w:tc>
      </w:tr>
      <w:tr w:rsidR="008A3905" w:rsidRPr="008A3905" w14:paraId="318D5F3A" w14:textId="77777777" w:rsidTr="008A3905">
        <w:tc>
          <w:tcPr>
            <w:tcW w:w="846" w:type="dxa"/>
          </w:tcPr>
          <w:p w14:paraId="3B58BF61"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p>
        </w:tc>
        <w:tc>
          <w:tcPr>
            <w:tcW w:w="3568" w:type="dxa"/>
          </w:tcPr>
          <w:p w14:paraId="56B2BC30"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p>
        </w:tc>
        <w:tc>
          <w:tcPr>
            <w:tcW w:w="968" w:type="dxa"/>
          </w:tcPr>
          <w:p w14:paraId="21EA5003"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Partes o secciones reservadas o confidenciales</w:t>
            </w:r>
          </w:p>
        </w:tc>
        <w:tc>
          <w:tcPr>
            <w:tcW w:w="3446" w:type="dxa"/>
          </w:tcPr>
          <w:p w14:paraId="350C3D03"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En caso que una vez desclasificado el expediente, subsistan partes o secciones del mismo reservadas o confidenciales, se señalará este hecho.</w:t>
            </w:r>
          </w:p>
        </w:tc>
      </w:tr>
      <w:tr w:rsidR="008A3905" w:rsidRPr="008A3905" w14:paraId="04A7B9B1" w14:textId="77777777" w:rsidTr="008A3905">
        <w:tc>
          <w:tcPr>
            <w:tcW w:w="846" w:type="dxa"/>
          </w:tcPr>
          <w:p w14:paraId="178B0452"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p>
        </w:tc>
        <w:tc>
          <w:tcPr>
            <w:tcW w:w="3568" w:type="dxa"/>
          </w:tcPr>
          <w:p w14:paraId="4B3185DF"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p>
        </w:tc>
        <w:tc>
          <w:tcPr>
            <w:tcW w:w="968" w:type="dxa"/>
          </w:tcPr>
          <w:p w14:paraId="45E98BCF" w14:textId="77777777" w:rsidR="008A3905" w:rsidRPr="008A3905" w:rsidRDefault="008A3905" w:rsidP="008A3905">
            <w:pPr>
              <w:spacing w:after="160" w:line="259" w:lineRule="auto"/>
              <w:jc w:val="both"/>
              <w:rPr>
                <w:rFonts w:ascii="Palatino Linotype" w:eastAsia="Palatino Linotype" w:hAnsi="Palatino Linotype" w:cs="Palatino Linotype"/>
                <w:b/>
                <w:sz w:val="12"/>
                <w:szCs w:val="12"/>
                <w:lang w:eastAsia="es-MX"/>
              </w:rPr>
            </w:pPr>
            <w:r w:rsidRPr="008A3905">
              <w:rPr>
                <w:rFonts w:ascii="Palatino Linotype" w:eastAsia="Palatino Linotype" w:hAnsi="Palatino Linotype" w:cs="Palatino Linotype"/>
                <w:b/>
                <w:sz w:val="12"/>
                <w:szCs w:val="12"/>
                <w:lang w:eastAsia="es-MX"/>
              </w:rPr>
              <w:t>Rúbrica y cargo del servidor público</w:t>
            </w:r>
          </w:p>
        </w:tc>
        <w:tc>
          <w:tcPr>
            <w:tcW w:w="3446" w:type="dxa"/>
          </w:tcPr>
          <w:p w14:paraId="2BA56F33" w14:textId="77777777" w:rsidR="008A3905" w:rsidRPr="008A3905" w:rsidRDefault="008A3905" w:rsidP="008A3905">
            <w:pPr>
              <w:spacing w:after="160" w:line="259" w:lineRule="auto"/>
              <w:jc w:val="both"/>
              <w:rPr>
                <w:rFonts w:ascii="Palatino Linotype" w:eastAsia="Palatino Linotype" w:hAnsi="Palatino Linotype" w:cs="Palatino Linotype"/>
                <w:sz w:val="12"/>
                <w:szCs w:val="12"/>
                <w:lang w:eastAsia="es-MX"/>
              </w:rPr>
            </w:pPr>
            <w:r w:rsidRPr="008A3905">
              <w:rPr>
                <w:rFonts w:ascii="Palatino Linotype" w:eastAsia="Palatino Linotype" w:hAnsi="Palatino Linotype" w:cs="Palatino Linotype"/>
                <w:sz w:val="12"/>
                <w:szCs w:val="12"/>
                <w:lang w:eastAsia="es-MX"/>
              </w:rPr>
              <w:t>Rúbrica autógrafa de quien desclasifica.</w:t>
            </w:r>
          </w:p>
        </w:tc>
      </w:tr>
    </w:tbl>
    <w:p w14:paraId="318B7DB0" w14:textId="77777777" w:rsidR="008A3905" w:rsidRPr="008A3905" w:rsidRDefault="008A3905" w:rsidP="008A3905">
      <w:pPr>
        <w:spacing w:before="240" w:line="360" w:lineRule="auto"/>
        <w:jc w:val="both"/>
        <w:rPr>
          <w:rFonts w:ascii="Palatino Linotype" w:eastAsia="Palatino Linotype" w:hAnsi="Palatino Linotype" w:cs="Palatino Linotype"/>
          <w:lang w:eastAsia="es-MX"/>
        </w:rPr>
      </w:pPr>
    </w:p>
    <w:p w14:paraId="4F61A03A" w14:textId="77777777" w:rsidR="004C266F" w:rsidRDefault="008A3905" w:rsidP="004C266F">
      <w:pPr>
        <w:spacing w:after="240" w:line="360" w:lineRule="auto"/>
        <w:jc w:val="both"/>
        <w:rPr>
          <w:rFonts w:ascii="Palatino Linotype" w:eastAsia="Palatino Linotype" w:hAnsi="Palatino Linotype" w:cs="Palatino Linotype"/>
          <w:lang w:eastAsia="es-MX"/>
        </w:rPr>
      </w:pPr>
      <w:r w:rsidRPr="008A3905">
        <w:rPr>
          <w:rFonts w:ascii="Palatino Linotype" w:eastAsia="Palatino Linotype" w:hAnsi="Palatino Linotype" w:cs="Palatino Linotype"/>
          <w:lang w:eastAsia="es-MX"/>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w:t>
      </w:r>
      <w:r w:rsidR="004C266F">
        <w:rPr>
          <w:rFonts w:ascii="Palatino Linotype" w:eastAsia="Palatino Linotype" w:hAnsi="Palatino Linotype" w:cs="Palatino Linotype"/>
          <w:lang w:eastAsia="es-MX"/>
        </w:rPr>
        <w:t>éxico y Municipios, este Pleno:</w:t>
      </w:r>
    </w:p>
    <w:p w14:paraId="6F4CC25C" w14:textId="77777777" w:rsidR="004C266F" w:rsidRPr="004C266F" w:rsidRDefault="004C266F" w:rsidP="004C266F">
      <w:pPr>
        <w:spacing w:after="240" w:line="360" w:lineRule="auto"/>
        <w:jc w:val="center"/>
        <w:rPr>
          <w:rFonts w:ascii="Palatino Linotype" w:eastAsia="Palatino Linotype" w:hAnsi="Palatino Linotype" w:cs="Palatino Linotype"/>
          <w:lang w:eastAsia="es-MX"/>
        </w:rPr>
      </w:pPr>
      <w:r w:rsidRPr="004C266F">
        <w:rPr>
          <w:rFonts w:ascii="Palatino Linotype" w:eastAsia="Palatino Linotype" w:hAnsi="Palatino Linotype" w:cs="Palatino Linotype"/>
          <w:b/>
          <w:color w:val="000000"/>
          <w:lang w:eastAsia="es-MX"/>
        </w:rPr>
        <w:t>R E S U E L V E:</w:t>
      </w:r>
    </w:p>
    <w:p w14:paraId="6EC935D6" w14:textId="77777777" w:rsidR="004C266F" w:rsidRPr="004C266F" w:rsidRDefault="004C266F" w:rsidP="004C266F">
      <w:pPr>
        <w:spacing w:before="240" w:after="240" w:line="360" w:lineRule="auto"/>
        <w:jc w:val="both"/>
        <w:rPr>
          <w:rFonts w:ascii="Palatino Linotype" w:eastAsia="Palatino Linotype" w:hAnsi="Palatino Linotype" w:cs="Palatino Linotype"/>
          <w:lang w:eastAsia="es-MX"/>
        </w:rPr>
      </w:pPr>
      <w:r w:rsidRPr="004C266F">
        <w:rPr>
          <w:rFonts w:ascii="Palatino Linotype" w:eastAsia="Palatino Linotype" w:hAnsi="Palatino Linotype" w:cs="Palatino Linotype"/>
          <w:b/>
          <w:lang w:eastAsia="es-MX"/>
        </w:rPr>
        <w:t xml:space="preserve">Primero. </w:t>
      </w:r>
      <w:r w:rsidRPr="004C266F">
        <w:rPr>
          <w:rFonts w:ascii="Palatino Linotype" w:eastAsia="Palatino Linotype" w:hAnsi="Palatino Linotype" w:cs="Palatino Linotype"/>
          <w:lang w:eastAsia="es-MX"/>
        </w:rPr>
        <w:t xml:space="preserve">Resultan fundados los motivos de inconformidad hechos valer por el </w:t>
      </w:r>
      <w:r w:rsidRPr="004C266F">
        <w:rPr>
          <w:rFonts w:ascii="Palatino Linotype" w:eastAsia="Palatino Linotype" w:hAnsi="Palatino Linotype" w:cs="Palatino Linotype"/>
          <w:b/>
          <w:lang w:eastAsia="es-MX"/>
        </w:rPr>
        <w:t>RECURRENTE</w:t>
      </w:r>
      <w:r w:rsidRPr="004C266F">
        <w:rPr>
          <w:rFonts w:ascii="Palatino Linotype" w:eastAsia="Palatino Linotype" w:hAnsi="Palatino Linotype" w:cs="Palatino Linotype"/>
          <w:lang w:eastAsia="es-MX"/>
        </w:rPr>
        <w:t xml:space="preserve"> en el Recurso de Revisión </w:t>
      </w:r>
      <w:r w:rsidRPr="004C266F">
        <w:rPr>
          <w:rFonts w:ascii="Palatino Linotype" w:eastAsia="Palatino Linotype" w:hAnsi="Palatino Linotype" w:cs="Palatino Linotype"/>
          <w:b/>
          <w:lang w:eastAsia="es-MX"/>
        </w:rPr>
        <w:t>0</w:t>
      </w:r>
      <w:r>
        <w:rPr>
          <w:rFonts w:ascii="Palatino Linotype" w:eastAsia="Palatino Linotype" w:hAnsi="Palatino Linotype" w:cs="Palatino Linotype"/>
          <w:b/>
          <w:lang w:eastAsia="es-MX"/>
        </w:rPr>
        <w:t>5194</w:t>
      </w:r>
      <w:r w:rsidRPr="004C266F">
        <w:rPr>
          <w:rFonts w:ascii="Palatino Linotype" w:eastAsia="Palatino Linotype" w:hAnsi="Palatino Linotype" w:cs="Palatino Linotype"/>
          <w:b/>
          <w:lang w:eastAsia="es-MX"/>
        </w:rPr>
        <w:t xml:space="preserve">/INFOEM/IP/RR/2022, </w:t>
      </w:r>
      <w:r w:rsidRPr="004C266F">
        <w:rPr>
          <w:rFonts w:ascii="Palatino Linotype" w:eastAsia="Palatino Linotype" w:hAnsi="Palatino Linotype" w:cs="Palatino Linotype"/>
          <w:lang w:eastAsia="es-MX"/>
        </w:rPr>
        <w:t xml:space="preserve">por lo que, en términos del considerando </w:t>
      </w:r>
      <w:r w:rsidRPr="004C266F">
        <w:rPr>
          <w:rFonts w:ascii="Palatino Linotype" w:eastAsia="Palatino Linotype" w:hAnsi="Palatino Linotype" w:cs="Palatino Linotype"/>
          <w:b/>
          <w:lang w:eastAsia="es-MX"/>
        </w:rPr>
        <w:t xml:space="preserve">Cuarto </w:t>
      </w:r>
      <w:r w:rsidRPr="004C266F">
        <w:rPr>
          <w:rFonts w:ascii="Palatino Linotype" w:eastAsia="Palatino Linotype" w:hAnsi="Palatino Linotype" w:cs="Palatino Linotype"/>
          <w:lang w:eastAsia="es-MX"/>
        </w:rPr>
        <w:t>y</w:t>
      </w:r>
      <w:r w:rsidRPr="004C266F">
        <w:rPr>
          <w:rFonts w:ascii="Palatino Linotype" w:eastAsia="Palatino Linotype" w:hAnsi="Palatino Linotype" w:cs="Palatino Linotype"/>
          <w:b/>
          <w:lang w:eastAsia="es-MX"/>
        </w:rPr>
        <w:t xml:space="preserve"> Quinto </w:t>
      </w:r>
      <w:r w:rsidRPr="004C266F">
        <w:rPr>
          <w:rFonts w:ascii="Palatino Linotype" w:eastAsia="Palatino Linotype" w:hAnsi="Palatino Linotype" w:cs="Palatino Linotype"/>
          <w:lang w:eastAsia="es-MX"/>
        </w:rPr>
        <w:t xml:space="preserve">de esta resolución, se </w:t>
      </w:r>
      <w:r w:rsidRPr="004C266F">
        <w:rPr>
          <w:rFonts w:ascii="Palatino Linotype" w:eastAsia="Palatino Linotype" w:hAnsi="Palatino Linotype" w:cs="Palatino Linotype"/>
          <w:b/>
          <w:lang w:eastAsia="es-MX"/>
        </w:rPr>
        <w:t xml:space="preserve">REVOCA </w:t>
      </w:r>
      <w:r w:rsidRPr="004C266F">
        <w:rPr>
          <w:rFonts w:ascii="Palatino Linotype" w:eastAsia="Palatino Linotype" w:hAnsi="Palatino Linotype" w:cs="Palatino Linotype"/>
          <w:lang w:eastAsia="es-MX"/>
        </w:rPr>
        <w:t xml:space="preserve">la respuesta emitida por el </w:t>
      </w:r>
      <w:r w:rsidRPr="004C266F">
        <w:rPr>
          <w:rFonts w:ascii="Palatino Linotype" w:eastAsia="Palatino Linotype" w:hAnsi="Palatino Linotype" w:cs="Palatino Linotype"/>
          <w:b/>
          <w:lang w:eastAsia="es-MX"/>
        </w:rPr>
        <w:t>SUJETO OBLIGADO</w:t>
      </w:r>
      <w:r w:rsidRPr="004C266F">
        <w:rPr>
          <w:rFonts w:ascii="Palatino Linotype" w:eastAsia="Palatino Linotype" w:hAnsi="Palatino Linotype" w:cs="Palatino Linotype"/>
          <w:lang w:eastAsia="es-MX"/>
        </w:rPr>
        <w:t>.</w:t>
      </w:r>
    </w:p>
    <w:p w14:paraId="38233AAB" w14:textId="77777777" w:rsidR="004C266F" w:rsidRPr="004C266F" w:rsidRDefault="004C266F" w:rsidP="004C266F">
      <w:pPr>
        <w:spacing w:before="240" w:after="240" w:line="360" w:lineRule="auto"/>
        <w:ind w:right="49"/>
        <w:jc w:val="both"/>
        <w:rPr>
          <w:rFonts w:ascii="Palatino Linotype" w:eastAsia="Palatino Linotype" w:hAnsi="Palatino Linotype" w:cs="Palatino Linotype"/>
          <w:lang w:eastAsia="es-MX"/>
        </w:rPr>
      </w:pPr>
      <w:r w:rsidRPr="004C266F">
        <w:rPr>
          <w:rFonts w:ascii="Palatino Linotype" w:eastAsia="Palatino Linotype" w:hAnsi="Palatino Linotype" w:cs="Palatino Linotype"/>
          <w:b/>
          <w:lang w:eastAsia="es-MX"/>
        </w:rPr>
        <w:t xml:space="preserve">Segundo. </w:t>
      </w:r>
      <w:r w:rsidRPr="004C266F">
        <w:rPr>
          <w:rFonts w:ascii="Palatino Linotype" w:eastAsia="Palatino Linotype" w:hAnsi="Palatino Linotype" w:cs="Palatino Linotype"/>
          <w:lang w:eastAsia="es-MX"/>
        </w:rPr>
        <w:t>Se</w:t>
      </w:r>
      <w:r w:rsidRPr="004C266F">
        <w:rPr>
          <w:rFonts w:ascii="Palatino Linotype" w:eastAsia="Palatino Linotype" w:hAnsi="Palatino Linotype" w:cs="Palatino Linotype"/>
          <w:b/>
          <w:lang w:eastAsia="es-MX"/>
        </w:rPr>
        <w:t xml:space="preserve"> ORDENA </w:t>
      </w:r>
      <w:r w:rsidRPr="004C266F">
        <w:rPr>
          <w:rFonts w:ascii="Palatino Linotype" w:eastAsia="Palatino Linotype" w:hAnsi="Palatino Linotype" w:cs="Palatino Linotype"/>
          <w:lang w:eastAsia="es-MX"/>
        </w:rPr>
        <w:t xml:space="preserve">al </w:t>
      </w:r>
      <w:r w:rsidRPr="004C266F">
        <w:rPr>
          <w:rFonts w:ascii="Palatino Linotype" w:eastAsia="Palatino Linotype" w:hAnsi="Palatino Linotype" w:cs="Palatino Linotype"/>
          <w:b/>
          <w:lang w:eastAsia="es-MX"/>
        </w:rPr>
        <w:t>SUJETO OBLIGADO</w:t>
      </w:r>
      <w:r w:rsidRPr="004C266F">
        <w:rPr>
          <w:rFonts w:ascii="Palatino Linotype" w:eastAsia="Palatino Linotype" w:hAnsi="Palatino Linotype" w:cs="Palatino Linotype"/>
          <w:lang w:eastAsia="es-MX"/>
        </w:rPr>
        <w:t xml:space="preserve"> a que,</w:t>
      </w:r>
      <w:r w:rsidRPr="004C266F">
        <w:rPr>
          <w:rFonts w:ascii="Palatino Linotype" w:eastAsia="Palatino Linotype" w:hAnsi="Palatino Linotype" w:cs="Palatino Linotype"/>
          <w:b/>
          <w:lang w:eastAsia="es-MX"/>
        </w:rPr>
        <w:t xml:space="preserve"> </w:t>
      </w:r>
      <w:r w:rsidRPr="004C266F">
        <w:rPr>
          <w:rFonts w:ascii="Palatino Linotype" w:eastAsia="Palatino Linotype" w:hAnsi="Palatino Linotype" w:cs="Palatino Linotype"/>
          <w:lang w:eastAsia="es-MX"/>
        </w:rPr>
        <w:t xml:space="preserve">en términos de los Considerandos Cuarto y Quinto de la presente resolución, haga entrega </w:t>
      </w:r>
      <w:r w:rsidR="00687FA9">
        <w:rPr>
          <w:rFonts w:ascii="Palatino Linotype" w:eastAsia="Palatino Linotype" w:hAnsi="Palatino Linotype" w:cs="Palatino Linotype"/>
          <w:lang w:eastAsia="es-MX"/>
        </w:rPr>
        <w:t>vía SAIMEX, en versión pública el</w:t>
      </w:r>
      <w:r w:rsidRPr="004C266F">
        <w:rPr>
          <w:rFonts w:ascii="Palatino Linotype" w:eastAsia="Palatino Linotype" w:hAnsi="Palatino Linotype" w:cs="Palatino Linotype"/>
          <w:lang w:eastAsia="es-MX"/>
        </w:rPr>
        <w:t xml:space="preserve"> documento o documentos en donde conste lo siguiente:</w:t>
      </w:r>
    </w:p>
    <w:p w14:paraId="3A8E8990" w14:textId="77777777" w:rsidR="004C266F" w:rsidRPr="004C266F" w:rsidRDefault="004C266F" w:rsidP="004C266F">
      <w:pPr>
        <w:numPr>
          <w:ilvl w:val="0"/>
          <w:numId w:val="26"/>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lang w:eastAsia="es-MX"/>
        </w:rPr>
      </w:pPr>
      <w:bookmarkStart w:id="4" w:name="_heading=h.30j0zll" w:colFirst="0" w:colLast="0"/>
      <w:bookmarkEnd w:id="4"/>
      <w:r w:rsidRPr="004C266F">
        <w:rPr>
          <w:rFonts w:ascii="Palatino Linotype" w:eastAsia="Palatino Linotype" w:hAnsi="Palatino Linotype" w:cs="Palatino Linotype"/>
          <w:lang w:eastAsia="es-MX"/>
        </w:rPr>
        <w:t xml:space="preserve">Toda la información relacionada con el diferendo con el Municipio de Acolman por el asunto de límites territoriales desde primero de enero del año dos mil al </w:t>
      </w:r>
      <w:r w:rsidR="00E52FF0">
        <w:rPr>
          <w:rFonts w:ascii="Palatino Linotype" w:eastAsia="Palatino Linotype" w:hAnsi="Palatino Linotype" w:cs="Palatino Linotype"/>
          <w:lang w:eastAsia="es-MX"/>
        </w:rPr>
        <w:t>siete de marzo</w:t>
      </w:r>
      <w:r w:rsidRPr="004C266F">
        <w:rPr>
          <w:rFonts w:ascii="Palatino Linotype" w:eastAsia="Palatino Linotype" w:hAnsi="Palatino Linotype" w:cs="Palatino Linotype"/>
          <w:lang w:eastAsia="es-MX"/>
        </w:rPr>
        <w:t xml:space="preserve"> del año dos mil veintidós.</w:t>
      </w:r>
    </w:p>
    <w:p w14:paraId="0940322E" w14:textId="77777777" w:rsidR="004C266F" w:rsidRPr="004C266F" w:rsidRDefault="004C266F" w:rsidP="004C266F">
      <w:pPr>
        <w:spacing w:before="240" w:after="240" w:line="276" w:lineRule="auto"/>
        <w:ind w:right="49"/>
        <w:jc w:val="both"/>
        <w:rPr>
          <w:rFonts w:ascii="Palatino Linotype" w:eastAsia="Palatino Linotype" w:hAnsi="Palatino Linotype" w:cs="Palatino Linotype"/>
          <w:i/>
          <w:lang w:eastAsia="es-MX"/>
        </w:rPr>
      </w:pPr>
      <w:r w:rsidRPr="004C266F">
        <w:rPr>
          <w:rFonts w:ascii="Palatino Linotype" w:eastAsia="Palatino Linotype" w:hAnsi="Palatino Linotype" w:cs="Palatino Linotype"/>
          <w:i/>
          <w:lang w:eastAsia="es-MX"/>
        </w:rPr>
        <w:t>Debiendo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ED1D284" w14:textId="77777777" w:rsidR="00BF7EAE" w:rsidRDefault="004C266F" w:rsidP="004C266F">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lang w:eastAsia="es-MX"/>
        </w:rPr>
      </w:pPr>
      <w:r w:rsidRPr="004C266F">
        <w:rPr>
          <w:rFonts w:ascii="Palatino Linotype" w:eastAsia="Palatino Linotype" w:hAnsi="Palatino Linotype" w:cs="Palatino Linotype"/>
          <w:b/>
          <w:color w:val="000000"/>
          <w:lang w:eastAsia="es-MX"/>
        </w:rPr>
        <w:t>Tercero.</w:t>
      </w:r>
      <w:r w:rsidRPr="004C266F">
        <w:rPr>
          <w:rFonts w:ascii="Palatino Linotype" w:eastAsia="Palatino Linotype" w:hAnsi="Palatino Linotype" w:cs="Palatino Linotype"/>
          <w:b/>
          <w:color w:val="000000"/>
          <w:highlight w:val="white"/>
          <w:lang w:eastAsia="es-MX"/>
        </w:rPr>
        <w:t xml:space="preserve"> Notifíquese vía SAIMEX, </w:t>
      </w:r>
      <w:r w:rsidRPr="004C266F">
        <w:rPr>
          <w:rFonts w:ascii="Palatino Linotype" w:eastAsia="Palatino Linotype" w:hAnsi="Palatino Linotype" w:cs="Palatino Linotype"/>
          <w:color w:val="000000"/>
          <w:highlight w:val="white"/>
          <w:lang w:eastAsia="es-MX"/>
        </w:rPr>
        <w:t xml:space="preserve">al Responsable de la Unidad de Transparencia del </w:t>
      </w:r>
      <w:r w:rsidRPr="004C266F">
        <w:rPr>
          <w:rFonts w:ascii="Palatino Linotype" w:eastAsia="Palatino Linotype" w:hAnsi="Palatino Linotype" w:cs="Palatino Linotype"/>
          <w:b/>
          <w:color w:val="000000"/>
          <w:highlight w:val="white"/>
          <w:lang w:eastAsia="es-MX"/>
        </w:rPr>
        <w:t>SUJETO OBLIGADO</w:t>
      </w:r>
      <w:r w:rsidRPr="004C266F">
        <w:rPr>
          <w:rFonts w:ascii="Palatino Linotype" w:eastAsia="Palatino Linotype" w:hAnsi="Palatino Linotype" w:cs="Palatino Linotype"/>
          <w:color w:val="000000"/>
          <w:highlight w:val="white"/>
          <w:lang w:eastAsia="es-MX"/>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28620EA" w14:textId="77777777" w:rsidR="004C266F" w:rsidRPr="004C266F" w:rsidRDefault="004C266F" w:rsidP="004C266F">
      <w:pPr>
        <w:spacing w:after="240" w:line="360" w:lineRule="auto"/>
        <w:jc w:val="both"/>
        <w:rPr>
          <w:rFonts w:ascii="Palatino Linotype" w:eastAsia="Palatino Linotype" w:hAnsi="Palatino Linotype" w:cs="Palatino Linotype"/>
          <w:lang w:eastAsia="es-MX"/>
        </w:rPr>
      </w:pPr>
      <w:r w:rsidRPr="004C266F">
        <w:rPr>
          <w:rFonts w:ascii="Palatino Linotype" w:eastAsia="Palatino Linotype" w:hAnsi="Palatino Linotype" w:cs="Palatino Linotype"/>
          <w:b/>
          <w:lang w:eastAsia="es-MX"/>
        </w:rPr>
        <w:t xml:space="preserve">Cuarto. </w:t>
      </w:r>
      <w:r w:rsidRPr="004C266F">
        <w:rPr>
          <w:rFonts w:ascii="Palatino Linotype" w:eastAsia="Palatino Linotype" w:hAnsi="Palatino Linotype" w:cs="Palatino Linotype"/>
          <w:lang w:eastAsia="es-MX"/>
        </w:rPr>
        <w:t xml:space="preserve"> Notifíquese, vía </w:t>
      </w:r>
      <w:r w:rsidRPr="004C266F">
        <w:rPr>
          <w:rFonts w:ascii="Palatino Linotype" w:eastAsia="Palatino Linotype" w:hAnsi="Palatino Linotype" w:cs="Palatino Linotype"/>
          <w:b/>
          <w:lang w:eastAsia="es-MX"/>
        </w:rPr>
        <w:t>SAIMEX</w:t>
      </w:r>
      <w:r w:rsidRPr="004C266F">
        <w:rPr>
          <w:rFonts w:ascii="Palatino Linotype" w:eastAsia="Palatino Linotype" w:hAnsi="Palatino Linotype" w:cs="Palatino Linotype"/>
          <w:lang w:eastAsia="es-MX"/>
        </w:rPr>
        <w:t xml:space="preserve">, a la parte </w:t>
      </w:r>
      <w:r w:rsidRPr="004C266F">
        <w:rPr>
          <w:rFonts w:ascii="Palatino Linotype" w:eastAsia="Palatino Linotype" w:hAnsi="Palatino Linotype" w:cs="Palatino Linotype"/>
          <w:b/>
          <w:lang w:eastAsia="es-MX"/>
        </w:rPr>
        <w:t>RECURRENTE</w:t>
      </w:r>
      <w:r w:rsidRPr="004C266F">
        <w:rPr>
          <w:rFonts w:ascii="Palatino Linotype" w:eastAsia="Palatino Linotype" w:hAnsi="Palatino Linotype" w:cs="Palatino Linotype"/>
          <w:lang w:eastAsia="es-MX"/>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EA9A0B9" w14:textId="77777777" w:rsidR="004C266F" w:rsidRPr="004C266F" w:rsidRDefault="004C266F" w:rsidP="004C266F">
      <w:pPr>
        <w:spacing w:after="240" w:line="360" w:lineRule="auto"/>
        <w:jc w:val="both"/>
        <w:rPr>
          <w:rFonts w:ascii="Palatino Linotype" w:eastAsia="Palatino Linotype" w:hAnsi="Palatino Linotype" w:cs="Palatino Linotype"/>
          <w:lang w:eastAsia="es-MX"/>
        </w:rPr>
      </w:pPr>
      <w:r w:rsidRPr="004C266F">
        <w:rPr>
          <w:rFonts w:ascii="Palatino Linotype" w:eastAsia="Palatino Linotype" w:hAnsi="Palatino Linotype" w:cs="Palatino Linotype"/>
          <w:b/>
          <w:lang w:eastAsia="es-MX"/>
        </w:rPr>
        <w:t>Quinto.</w:t>
      </w:r>
      <w:r w:rsidRPr="004C266F">
        <w:rPr>
          <w:rFonts w:ascii="Palatino Linotype" w:eastAsia="Palatino Linotype" w:hAnsi="Palatino Linotype" w:cs="Palatino Linotype"/>
          <w:lang w:eastAsia="es-MX"/>
        </w:rPr>
        <w:t xml:space="preserve"> De conformidad con el artículo 198 de la Ley de Transparencia y Acceso a la Información Pública del Estado de México y Municipios, de considerarlo procedente, el </w:t>
      </w:r>
      <w:r w:rsidRPr="004C266F">
        <w:rPr>
          <w:rFonts w:ascii="Palatino Linotype" w:eastAsia="Palatino Linotype" w:hAnsi="Palatino Linotype" w:cs="Palatino Linotype"/>
          <w:b/>
          <w:lang w:eastAsia="es-MX"/>
        </w:rPr>
        <w:t>SUJETO OBLIGADO</w:t>
      </w:r>
      <w:r w:rsidRPr="004C266F">
        <w:rPr>
          <w:rFonts w:ascii="Palatino Linotype" w:eastAsia="Palatino Linotype" w:hAnsi="Palatino Linotype" w:cs="Palatino Linotype"/>
          <w:lang w:eastAsia="es-MX"/>
        </w:rPr>
        <w:t xml:space="preserve"> de manera fundada y motivada, podrá solicitar una ampliación de plazo para el cumplimiento de la presente resolución.</w:t>
      </w:r>
    </w:p>
    <w:p w14:paraId="1BCCA8BC" w14:textId="77777777" w:rsidR="004C266F" w:rsidRDefault="004C266F" w:rsidP="004C266F">
      <w:pPr>
        <w:spacing w:before="240" w:after="240" w:line="360" w:lineRule="auto"/>
        <w:jc w:val="both"/>
        <w:rPr>
          <w:rFonts w:ascii="Palatino Linotype" w:eastAsia="Palatino Linotype" w:hAnsi="Palatino Linotype" w:cs="Palatino Linotype"/>
          <w:lang w:eastAsia="es-MX"/>
        </w:rPr>
      </w:pPr>
      <w:bookmarkStart w:id="5" w:name="_heading=h.1fob9te" w:colFirst="0" w:colLast="0"/>
      <w:bookmarkEnd w:id="5"/>
      <w:r w:rsidRPr="004C266F">
        <w:rPr>
          <w:rFonts w:ascii="Palatino Linotype" w:eastAsia="Palatino Linotype" w:hAnsi="Palatino Linotype" w:cs="Palatino Linotype"/>
          <w:color w:val="222222"/>
          <w:highlight w:val="white"/>
          <w:lang w:eastAsia="es-MX"/>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87FA9">
        <w:rPr>
          <w:rFonts w:ascii="Palatino Linotype" w:eastAsia="Palatino Linotype" w:hAnsi="Palatino Linotype" w:cs="Palatino Linotype"/>
          <w:color w:val="222222"/>
          <w:highlight w:val="white"/>
          <w:lang w:eastAsia="es-MX"/>
        </w:rPr>
        <w:t>TRIGÉSIMA PRIMERA</w:t>
      </w:r>
      <w:r w:rsidRPr="004C266F">
        <w:rPr>
          <w:rFonts w:ascii="Palatino Linotype" w:eastAsia="Palatino Linotype" w:hAnsi="Palatino Linotype" w:cs="Palatino Linotype"/>
          <w:color w:val="222222"/>
          <w:highlight w:val="white"/>
          <w:lang w:eastAsia="es-MX"/>
        </w:rPr>
        <w:t xml:space="preserve"> SESIÓN ORDINARIA CELEBRADA EL </w:t>
      </w:r>
      <w:r w:rsidR="00687FA9">
        <w:rPr>
          <w:rFonts w:ascii="Palatino Linotype" w:eastAsia="Palatino Linotype" w:hAnsi="Palatino Linotype" w:cs="Palatino Linotype"/>
          <w:color w:val="222222"/>
          <w:highlight w:val="white"/>
          <w:lang w:eastAsia="es-MX"/>
        </w:rPr>
        <w:t>TREINTA Y UNO</w:t>
      </w:r>
      <w:r w:rsidRPr="004C266F">
        <w:rPr>
          <w:rFonts w:ascii="Palatino Linotype" w:eastAsia="Palatino Linotype" w:hAnsi="Palatino Linotype" w:cs="Palatino Linotype"/>
          <w:lang w:eastAsia="es-MX"/>
        </w:rPr>
        <w:t xml:space="preserve"> DE </w:t>
      </w:r>
      <w:r w:rsidR="008027C7">
        <w:rPr>
          <w:rFonts w:ascii="Palatino Linotype" w:eastAsia="Palatino Linotype" w:hAnsi="Palatino Linotype" w:cs="Palatino Linotype"/>
          <w:lang w:eastAsia="es-MX"/>
        </w:rPr>
        <w:t xml:space="preserve">AGOSTO </w:t>
      </w:r>
      <w:r w:rsidRPr="004C266F">
        <w:rPr>
          <w:rFonts w:ascii="Palatino Linotype" w:eastAsia="Palatino Linotype" w:hAnsi="Palatino Linotype" w:cs="Palatino Linotype"/>
          <w:lang w:eastAsia="es-MX"/>
        </w:rPr>
        <w:t>DEL DOS MIL VEINTIDÓS, ANTE EL SECRETARIO TÉCNICO DEL PLENO ALEXIS TAPIA RAMÍREZ.</w:t>
      </w:r>
    </w:p>
    <w:p w14:paraId="1A840DB8" w14:textId="7A08E90C" w:rsidR="001B1AF2" w:rsidRDefault="001B1AF2" w:rsidP="004C266F">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4384" behindDoc="0" locked="0" layoutInCell="1" allowOverlap="1" wp14:anchorId="42E1631A" wp14:editId="70693772">
                <wp:simplePos x="0" y="0"/>
                <wp:positionH relativeFrom="column">
                  <wp:posOffset>419056</wp:posOffset>
                </wp:positionH>
                <wp:positionV relativeFrom="paragraph">
                  <wp:posOffset>12006</wp:posOffset>
                </wp:positionV>
                <wp:extent cx="4965404" cy="3997842"/>
                <wp:effectExtent l="0" t="0" r="26035" b="22225"/>
                <wp:wrapNone/>
                <wp:docPr id="9" name="Conector recto 9"/>
                <wp:cNvGraphicFramePr/>
                <a:graphic xmlns:a="http://schemas.openxmlformats.org/drawingml/2006/main">
                  <a:graphicData uri="http://schemas.microsoft.com/office/word/2010/wordprocessingShape">
                    <wps:wsp>
                      <wps:cNvCnPr/>
                      <wps:spPr>
                        <a:xfrm>
                          <a:off x="0" y="0"/>
                          <a:ext cx="4965404" cy="39978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6426EB"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3pt,.95pt" to="424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" strokecolor="#5b9bd5 [3204]" strokeweight=".5pt">
                <v:stroke joinstyle="miter"/>
              </v:line>
            </w:pict>
          </mc:Fallback>
        </mc:AlternateContent>
      </w:r>
    </w:p>
    <w:p w14:paraId="4C87D2BE" w14:textId="50424CAB" w:rsidR="001B1AF2" w:rsidRPr="004C266F" w:rsidRDefault="001B1AF2" w:rsidP="004C266F">
      <w:pPr>
        <w:spacing w:before="240" w:after="240" w:line="360" w:lineRule="auto"/>
        <w:jc w:val="both"/>
        <w:rPr>
          <w:rFonts w:ascii="Palatino Linotype" w:eastAsia="Palatino Linotype" w:hAnsi="Palatino Linotype" w:cs="Palatino Linotype"/>
          <w:lang w:eastAsia="es-MX"/>
        </w:rPr>
        <w:sectPr w:rsidR="001B1AF2" w:rsidRPr="004C266F">
          <w:headerReference w:type="default" r:id="rId18"/>
          <w:footerReference w:type="default" r:id="rId19"/>
          <w:headerReference w:type="first" r:id="rId20"/>
          <w:footerReference w:type="first" r:id="rId21"/>
          <w:pgSz w:w="12240" w:h="15840"/>
          <w:pgMar w:top="2041" w:right="1750" w:bottom="1701" w:left="1701" w:header="709" w:footer="709" w:gutter="0"/>
          <w:pgNumType w:start="1"/>
          <w:cols w:space="720"/>
          <w:titlePg/>
        </w:sectPr>
      </w:pPr>
    </w:p>
    <w:p w14:paraId="11AC8E7B" w14:textId="77777777" w:rsidR="004C266F" w:rsidRPr="004C266F" w:rsidRDefault="004C266F" w:rsidP="004C266F">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lang w:eastAsia="es-MX"/>
        </w:rPr>
      </w:pPr>
    </w:p>
    <w:sectPr w:rsidR="004C266F" w:rsidRPr="004C266F" w:rsidSect="005256EC">
      <w:headerReference w:type="default" r:id="rId22"/>
      <w:footerReference w:type="default" r:id="rId23"/>
      <w:headerReference w:type="first" r:id="rId24"/>
      <w:footerReference w:type="first" r:id="rId2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8ACF1" w14:textId="77777777" w:rsidR="00497F21" w:rsidRDefault="00497F21" w:rsidP="005419D3">
      <w:r>
        <w:separator/>
      </w:r>
    </w:p>
  </w:endnote>
  <w:endnote w:type="continuationSeparator" w:id="0">
    <w:p w14:paraId="13EED975" w14:textId="77777777" w:rsidR="00497F21" w:rsidRDefault="00497F21" w:rsidP="00541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5CF9" w14:textId="77777777" w:rsidR="00C75198" w:rsidRDefault="00C75198">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D1C33">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D1C33">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6D778A4E" w14:textId="77777777" w:rsidR="00C75198" w:rsidRDefault="00C75198">
    <w:pPr>
      <w:pBdr>
        <w:top w:val="nil"/>
        <w:left w:val="nil"/>
        <w:bottom w:val="nil"/>
        <w:right w:val="nil"/>
        <w:between w:val="nil"/>
      </w:pBdr>
      <w:tabs>
        <w:tab w:val="center" w:pos="4419"/>
        <w:tab w:val="right" w:pos="8838"/>
      </w:tabs>
      <w:rPr>
        <w:color w:val="000000"/>
      </w:rPr>
    </w:pPr>
  </w:p>
  <w:p w14:paraId="1E01C7FA" w14:textId="77777777" w:rsidR="00C75198" w:rsidRDefault="00C75198">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B470A" w14:textId="77777777" w:rsidR="00C75198" w:rsidRDefault="00C75198">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D1C3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D1C33">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0DE135E5" w14:textId="77777777" w:rsidR="00C75198" w:rsidRDefault="00C751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6F5B2" w14:textId="77777777" w:rsidR="00C75198" w:rsidRDefault="00C75198" w:rsidP="005256EC">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noProof/>
        <w:sz w:val="20"/>
        <w:szCs w:val="20"/>
      </w:rPr>
      <w:t>67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noProof/>
        <w:sz w:val="20"/>
        <w:szCs w:val="20"/>
      </w:rPr>
      <w:t>67</w:t>
    </w:r>
    <w:r>
      <w:rPr>
        <w:rFonts w:ascii="Arial" w:hAnsi="Arial" w:cs="Arial"/>
        <w:b/>
        <w:bCs/>
        <w:sz w:val="20"/>
        <w:szCs w:val="20"/>
      </w:rPr>
      <w:fldChar w:fldCharType="end"/>
    </w:r>
  </w:p>
  <w:p w14:paraId="14FC8928" w14:textId="77777777" w:rsidR="00C75198" w:rsidRDefault="00C75198" w:rsidP="005256EC">
    <w:pPr>
      <w:pStyle w:val="Piedepgina"/>
      <w:rPr>
        <w:rFonts w:ascii="Times New Roman" w:hAnsi="Times New Roman"/>
      </w:rPr>
    </w:pPr>
  </w:p>
  <w:p w14:paraId="37266EB1" w14:textId="77777777" w:rsidR="00C75198" w:rsidRDefault="00C75198" w:rsidP="005256EC">
    <w:pPr>
      <w:pStyle w:val="Piedepgina"/>
      <w:ind w:firstLine="70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10346" w14:textId="77777777" w:rsidR="00C75198" w:rsidRDefault="00C75198" w:rsidP="005256EC">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D1C33">
      <w:rPr>
        <w:rFonts w:ascii="Arial" w:hAnsi="Arial" w:cs="Arial"/>
        <w:b/>
        <w:bCs/>
        <w:noProof/>
        <w:sz w:val="20"/>
        <w:szCs w:val="20"/>
      </w:rPr>
      <w:t>67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D1C33">
      <w:rPr>
        <w:rFonts w:ascii="Arial" w:hAnsi="Arial" w:cs="Arial"/>
        <w:b/>
        <w:bCs/>
        <w:noProof/>
        <w:sz w:val="20"/>
        <w:szCs w:val="20"/>
      </w:rPr>
      <w:t>67</w:t>
    </w:r>
    <w:r>
      <w:rPr>
        <w:rFonts w:ascii="Arial" w:hAnsi="Arial" w:cs="Arial"/>
        <w:b/>
        <w:bCs/>
        <w:sz w:val="20"/>
        <w:szCs w:val="20"/>
      </w:rPr>
      <w:fldChar w:fldCharType="end"/>
    </w:r>
  </w:p>
  <w:p w14:paraId="38876CC5" w14:textId="77777777" w:rsidR="00C75198" w:rsidRDefault="00C751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14B0B" w14:textId="77777777" w:rsidR="00497F21" w:rsidRDefault="00497F21" w:rsidP="005419D3">
      <w:r>
        <w:separator/>
      </w:r>
    </w:p>
  </w:footnote>
  <w:footnote w:type="continuationSeparator" w:id="0">
    <w:p w14:paraId="20382E00" w14:textId="77777777" w:rsidR="00497F21" w:rsidRDefault="00497F21" w:rsidP="005419D3">
      <w:r>
        <w:continuationSeparator/>
      </w:r>
    </w:p>
  </w:footnote>
  <w:footnote w:id="1">
    <w:p w14:paraId="30A40F59" w14:textId="77777777" w:rsidR="00C75198" w:rsidRDefault="00C75198" w:rsidP="00F4517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0ED9C5B" w14:textId="77777777" w:rsidR="00C75198" w:rsidRDefault="00C75198" w:rsidP="00F4517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6940C6C" w14:textId="77777777" w:rsidR="00C75198" w:rsidRDefault="00C75198" w:rsidP="00F4517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08AD8260" w14:textId="77777777" w:rsidR="00C75198" w:rsidRDefault="00C75198" w:rsidP="008A39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https://www.elsoldetoluca.com.mx/local/disputa-por-territorio-entre-ecatepec-y-acolman-8248295.html</w:t>
      </w:r>
    </w:p>
  </w:footnote>
  <w:footnote w:id="3">
    <w:p w14:paraId="036F4903" w14:textId="77777777" w:rsidR="00C75198" w:rsidRDefault="00C75198" w:rsidP="008A39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Visible en: </w:t>
      </w:r>
      <w:hyperlink r:id="rId1">
        <w:r>
          <w:rPr>
            <w:i/>
            <w:color w:val="0563C1"/>
            <w:sz w:val="20"/>
            <w:szCs w:val="20"/>
            <w:u w:val="single"/>
          </w:rPr>
          <w:t>http://sjf.scjn.gob.mx/SJFSist/Documentos/Tesis/170/170722.pdf</w:t>
        </w:r>
      </w:hyperlink>
      <w:r>
        <w:rPr>
          <w:color w:val="000000"/>
          <w:sz w:val="20"/>
          <w:szCs w:val="20"/>
        </w:rPr>
        <w:t>. Consultado en fecha 18 de marzo de 2019.</w:t>
      </w:r>
    </w:p>
  </w:footnote>
  <w:footnote w:id="4">
    <w:p w14:paraId="5F50AB0A" w14:textId="77777777" w:rsidR="00C75198" w:rsidRDefault="00C75198" w:rsidP="008A390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 respecto la fracd6n XII del artículo 3 de la ley General de Transparencia y Acceso a la Información Pública, define a la información de Interés público como:</w:t>
      </w:r>
    </w:p>
    <w:p w14:paraId="34BE8C41" w14:textId="77777777" w:rsidR="00C75198" w:rsidRDefault="00C75198" w:rsidP="008A3905">
      <w:pPr>
        <w:pBdr>
          <w:top w:val="nil"/>
          <w:left w:val="nil"/>
          <w:bottom w:val="nil"/>
          <w:right w:val="nil"/>
          <w:between w:val="nil"/>
        </w:pBdr>
        <w:rPr>
          <w:color w:val="000000"/>
          <w:sz w:val="20"/>
          <w:szCs w:val="20"/>
        </w:rPr>
      </w:pPr>
    </w:p>
    <w:p w14:paraId="0D17697E" w14:textId="77777777" w:rsidR="00C75198" w:rsidRDefault="00C75198" w:rsidP="008A3905">
      <w:pPr>
        <w:pBdr>
          <w:top w:val="nil"/>
          <w:left w:val="nil"/>
          <w:bottom w:val="nil"/>
          <w:right w:val="nil"/>
          <w:between w:val="nil"/>
        </w:pBdr>
        <w:rPr>
          <w:color w:val="000000"/>
          <w:sz w:val="20"/>
          <w:szCs w:val="20"/>
        </w:rPr>
      </w:pPr>
      <w:r>
        <w:rPr>
          <w:color w:val="000000"/>
          <w:sz w:val="20"/>
          <w:szCs w:val="20"/>
        </w:rPr>
        <w:t>Artículo 3. Para los efectos de la presente Ley se entenderá por:</w:t>
      </w:r>
    </w:p>
    <w:p w14:paraId="5636AC03" w14:textId="77777777" w:rsidR="00C75198" w:rsidRDefault="00C75198" w:rsidP="008A3905">
      <w:pPr>
        <w:pBdr>
          <w:top w:val="nil"/>
          <w:left w:val="nil"/>
          <w:bottom w:val="nil"/>
          <w:right w:val="nil"/>
          <w:between w:val="nil"/>
        </w:pBdr>
        <w:rPr>
          <w:color w:val="000000"/>
          <w:sz w:val="20"/>
          <w:szCs w:val="20"/>
        </w:rPr>
      </w:pPr>
      <w:r>
        <w:rPr>
          <w:color w:val="000000"/>
          <w:sz w:val="20"/>
          <w:szCs w:val="20"/>
        </w:rPr>
        <w:t>…</w:t>
      </w:r>
    </w:p>
    <w:p w14:paraId="0A71D37F" w14:textId="77777777" w:rsidR="00C75198" w:rsidRDefault="00C75198" w:rsidP="008A3905">
      <w:pPr>
        <w:pBdr>
          <w:top w:val="nil"/>
          <w:left w:val="nil"/>
          <w:bottom w:val="nil"/>
          <w:right w:val="nil"/>
          <w:between w:val="nil"/>
        </w:pBdr>
        <w:rPr>
          <w:color w:val="000000"/>
          <w:sz w:val="20"/>
          <w:szCs w:val="20"/>
        </w:rPr>
      </w:pPr>
      <w:r>
        <w:rPr>
          <w:b/>
          <w:color w:val="000000"/>
          <w:sz w:val="20"/>
          <w:szCs w:val="20"/>
        </w:rPr>
        <w:t>XII. Información de interés público: Se refiere a la información que resulta relevante o beneficiosa para la sociedad y no simplemente de interés individual</w:t>
      </w:r>
      <w:r>
        <w:rPr>
          <w:color w:val="000000"/>
          <w:sz w:val="20"/>
          <w:szCs w:val="20"/>
        </w:rPr>
        <w:t>, cuya divulgación resulta útil para que el público comprenda las actividades que llevan a cabo los sujetos obligados;</w:t>
      </w:r>
    </w:p>
    <w:p w14:paraId="4BCB71E6" w14:textId="77777777" w:rsidR="00C75198" w:rsidRDefault="00C75198" w:rsidP="008A3905">
      <w:pPr>
        <w:pBdr>
          <w:top w:val="nil"/>
          <w:left w:val="nil"/>
          <w:bottom w:val="nil"/>
          <w:right w:val="nil"/>
          <w:between w:val="nil"/>
        </w:pBdr>
        <w:rPr>
          <w:color w:val="000000"/>
          <w:sz w:val="20"/>
          <w:szCs w:val="20"/>
        </w:rPr>
      </w:pPr>
      <w:r>
        <w:rPr>
          <w:color w:val="000000"/>
          <w:sz w:val="20"/>
          <w:szCs w:val="20"/>
        </w:rPr>
        <w:t>…</w:t>
      </w:r>
    </w:p>
    <w:p w14:paraId="56DD5853" w14:textId="77777777" w:rsidR="00C75198" w:rsidRDefault="00C75198" w:rsidP="008A3905">
      <w:pPr>
        <w:pBdr>
          <w:top w:val="nil"/>
          <w:left w:val="nil"/>
          <w:bottom w:val="nil"/>
          <w:right w:val="nil"/>
          <w:between w:val="nil"/>
        </w:pBdr>
        <w:jc w:val="both"/>
        <w:rPr>
          <w:color w:val="000000"/>
          <w:sz w:val="20"/>
          <w:szCs w:val="20"/>
        </w:rPr>
      </w:pPr>
    </w:p>
  </w:footnote>
  <w:footnote w:id="5">
    <w:p w14:paraId="049244D8" w14:textId="77777777" w:rsidR="00C75198" w:rsidRDefault="00C75198" w:rsidP="008A3905">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Michelle Zezza. LA RACIONALIDAD DE LA PONDERACIÓN JUDICIAL: ANÁLISIS DE LAS TEORÍAS DE ROBERT ALEXY Y RICCARDO GUASTINI” Universidad Carlos III de Madrid. 2006. Visible en: </w:t>
      </w:r>
      <w:hyperlink r:id="rId2">
        <w:r>
          <w:rPr>
            <w:color w:val="0563C1"/>
            <w:sz w:val="20"/>
            <w:szCs w:val="20"/>
            <w:u w:val="single"/>
          </w:rPr>
          <w:t>https://e-archivo.uc3m.es/bitstream/handle/10016/26545/WF-18-03.pdf</w:t>
        </w:r>
      </w:hyperlink>
      <w:r>
        <w:rPr>
          <w:color w:val="000000"/>
          <w:sz w:val="20"/>
          <w:szCs w:val="20"/>
        </w:rPr>
        <w:t>.</w:t>
      </w:r>
    </w:p>
    <w:p w14:paraId="7A67BA07" w14:textId="77777777" w:rsidR="00C75198" w:rsidRDefault="00C75198" w:rsidP="008A3905">
      <w:pPr>
        <w:pBdr>
          <w:top w:val="nil"/>
          <w:left w:val="nil"/>
          <w:bottom w:val="nil"/>
          <w:right w:val="nil"/>
          <w:between w:val="nil"/>
        </w:pBdr>
        <w:jc w:val="both"/>
        <w:rPr>
          <w:color w:val="000000"/>
          <w:sz w:val="20"/>
          <w:szCs w:val="20"/>
        </w:rPr>
      </w:pPr>
    </w:p>
    <w:p w14:paraId="78589B25" w14:textId="77777777" w:rsidR="00C75198" w:rsidRDefault="00C75198" w:rsidP="008A3905">
      <w:pPr>
        <w:pBdr>
          <w:top w:val="nil"/>
          <w:left w:val="nil"/>
          <w:bottom w:val="nil"/>
          <w:right w:val="nil"/>
          <w:between w:val="nil"/>
        </w:pBdr>
        <w:jc w:val="both"/>
        <w:rPr>
          <w:color w:val="000000"/>
          <w:sz w:val="20"/>
          <w:szCs w:val="20"/>
        </w:rPr>
      </w:pPr>
    </w:p>
  </w:footnote>
  <w:footnote w:id="6">
    <w:p w14:paraId="7A44DD57" w14:textId="77777777" w:rsidR="00C75198" w:rsidRDefault="00C75198" w:rsidP="008A390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S</w:t>
      </w:r>
      <w:r>
        <w:rPr>
          <w:rFonts w:ascii="Palatino Linotype" w:eastAsia="Palatino Linotype" w:hAnsi="Palatino Linotype" w:cs="Palatino Linotype"/>
          <w:color w:val="000000"/>
          <w:sz w:val="16"/>
          <w:szCs w:val="16"/>
        </w:rPr>
        <w:t>entencia de fecha 19 de septiembre de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D42B" w14:textId="77777777" w:rsidR="00C75198" w:rsidRDefault="00C75198">
    <w:pPr>
      <w:widowControl w:val="0"/>
      <w:pBdr>
        <w:top w:val="nil"/>
        <w:left w:val="nil"/>
        <w:bottom w:val="nil"/>
        <w:right w:val="nil"/>
        <w:between w:val="nil"/>
      </w:pBdr>
      <w:spacing w:line="276" w:lineRule="auto"/>
      <w:rPr>
        <w:color w:val="000000"/>
      </w:rPr>
    </w:pPr>
  </w:p>
  <w:tbl>
    <w:tblPr>
      <w:tblW w:w="10479" w:type="dxa"/>
      <w:tblInd w:w="-1281" w:type="dxa"/>
      <w:tblLayout w:type="fixed"/>
      <w:tblLook w:val="0400" w:firstRow="0" w:lastRow="0" w:firstColumn="0" w:lastColumn="0" w:noHBand="0" w:noVBand="1"/>
    </w:tblPr>
    <w:tblGrid>
      <w:gridCol w:w="5576"/>
      <w:gridCol w:w="4903"/>
    </w:tblGrid>
    <w:tr w:rsidR="00C75198" w14:paraId="19183859" w14:textId="77777777">
      <w:trPr>
        <w:trHeight w:val="245"/>
      </w:trPr>
      <w:tc>
        <w:tcPr>
          <w:tcW w:w="5576" w:type="dxa"/>
        </w:tcPr>
        <w:p w14:paraId="49AF6424" w14:textId="77777777" w:rsidR="00C75198" w:rsidRDefault="00C7519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14:paraId="68A18FD8" w14:textId="77777777" w:rsidR="00C75198" w:rsidRDefault="00C75198" w:rsidP="00412BC8">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05194/INFOEM/IP/RR/2022</w:t>
          </w:r>
        </w:p>
      </w:tc>
    </w:tr>
    <w:tr w:rsidR="00C75198" w14:paraId="59774F6C" w14:textId="77777777">
      <w:trPr>
        <w:trHeight w:val="262"/>
      </w:trPr>
      <w:tc>
        <w:tcPr>
          <w:tcW w:w="5576" w:type="dxa"/>
        </w:tcPr>
        <w:p w14:paraId="513670DE" w14:textId="77777777" w:rsidR="00C75198" w:rsidRDefault="00C75198">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3094D9E1" w14:textId="77777777" w:rsidR="00C75198" w:rsidRDefault="00C75198">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Ecatepec de Morelos.</w:t>
          </w:r>
        </w:p>
      </w:tc>
    </w:tr>
    <w:tr w:rsidR="00C75198" w14:paraId="5E850DD6" w14:textId="77777777">
      <w:trPr>
        <w:trHeight w:val="371"/>
      </w:trPr>
      <w:tc>
        <w:tcPr>
          <w:tcW w:w="5576" w:type="dxa"/>
        </w:tcPr>
        <w:p w14:paraId="512ED566" w14:textId="77777777" w:rsidR="00C75198" w:rsidRDefault="00C75198">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0CBD8ADE" w14:textId="77777777" w:rsidR="00C75198" w:rsidRDefault="00C75198">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3170A482" w14:textId="77777777" w:rsidR="00C75198" w:rsidRDefault="00C75198">
    <w:pPr>
      <w:pBdr>
        <w:top w:val="nil"/>
        <w:left w:val="nil"/>
        <w:bottom w:val="nil"/>
        <w:right w:val="nil"/>
        <w:between w:val="nil"/>
      </w:pBdr>
      <w:tabs>
        <w:tab w:val="center" w:pos="4419"/>
        <w:tab w:val="right" w:pos="8838"/>
        <w:tab w:val="left" w:pos="2326"/>
      </w:tabs>
      <w:rPr>
        <w:color w:val="000000"/>
      </w:rPr>
    </w:pPr>
    <w:r>
      <w:rPr>
        <w:color w:val="000000"/>
      </w:rPr>
      <w:tab/>
    </w:r>
    <w:r>
      <w:rPr>
        <w:noProof/>
        <w:lang w:eastAsia="es-MX"/>
      </w:rPr>
      <w:drawing>
        <wp:anchor distT="0" distB="0" distL="0" distR="0" simplePos="0" relativeHeight="251662336" behindDoc="1" locked="0" layoutInCell="1" hidden="0" allowOverlap="1" wp14:anchorId="1BE106E5" wp14:editId="22D244A7">
          <wp:simplePos x="0" y="0"/>
          <wp:positionH relativeFrom="column">
            <wp:posOffset>-1057905</wp:posOffset>
          </wp:positionH>
          <wp:positionV relativeFrom="paragraph">
            <wp:posOffset>-1544950</wp:posOffset>
          </wp:positionV>
          <wp:extent cx="7809865" cy="10165715"/>
          <wp:effectExtent l="0" t="0" r="0" b="0"/>
          <wp:wrapNone/>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62A62" w14:textId="77777777" w:rsidR="00C75198" w:rsidRDefault="00C7519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W w:w="10479" w:type="dxa"/>
      <w:tblInd w:w="-1281" w:type="dxa"/>
      <w:tblLayout w:type="fixed"/>
      <w:tblLook w:val="0400" w:firstRow="0" w:lastRow="0" w:firstColumn="0" w:lastColumn="0" w:noHBand="0" w:noVBand="1"/>
    </w:tblPr>
    <w:tblGrid>
      <w:gridCol w:w="5576"/>
      <w:gridCol w:w="4903"/>
    </w:tblGrid>
    <w:tr w:rsidR="00C75198" w14:paraId="4C640BB1" w14:textId="77777777">
      <w:trPr>
        <w:trHeight w:val="245"/>
      </w:trPr>
      <w:tc>
        <w:tcPr>
          <w:tcW w:w="5576" w:type="dxa"/>
        </w:tcPr>
        <w:p w14:paraId="63F4CF7C" w14:textId="77777777" w:rsidR="00C75198" w:rsidRDefault="00C7519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14:paraId="41C8B8BD" w14:textId="77777777" w:rsidR="00C75198" w:rsidRDefault="00C75198" w:rsidP="00C75198">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05194/INFOEM/IP/RR/2022</w:t>
          </w:r>
        </w:p>
      </w:tc>
    </w:tr>
    <w:tr w:rsidR="00C75198" w14:paraId="69C36590" w14:textId="77777777">
      <w:trPr>
        <w:trHeight w:val="211"/>
      </w:trPr>
      <w:tc>
        <w:tcPr>
          <w:tcW w:w="5576" w:type="dxa"/>
        </w:tcPr>
        <w:p w14:paraId="352167C2" w14:textId="77777777" w:rsidR="00C75198" w:rsidRDefault="00C7519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14:paraId="5D964AE0" w14:textId="3D2F75DC" w:rsidR="00C75198" w:rsidRDefault="004D1C33" w:rsidP="004D1C33">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XXXXXX</w:t>
          </w:r>
          <w:r w:rsidR="00C75198">
            <w:rPr>
              <w:rFonts w:ascii="Palatino Linotype" w:eastAsia="Palatino Linotype" w:hAnsi="Palatino Linotype" w:cs="Palatino Linotype"/>
            </w:rPr>
            <w:t xml:space="preserve"> </w:t>
          </w:r>
          <w:r>
            <w:rPr>
              <w:rFonts w:ascii="Palatino Linotype" w:eastAsia="Palatino Linotype" w:hAnsi="Palatino Linotype" w:cs="Palatino Linotype"/>
            </w:rPr>
            <w:t>XXXXXXXX</w:t>
          </w:r>
          <w:r w:rsidR="00C75198">
            <w:rPr>
              <w:rFonts w:ascii="Palatino Linotype" w:eastAsia="Palatino Linotype" w:hAnsi="Palatino Linotype" w:cs="Palatino Linotype"/>
            </w:rPr>
            <w:t xml:space="preserve"> </w:t>
          </w:r>
          <w:r>
            <w:rPr>
              <w:rFonts w:ascii="Palatino Linotype" w:eastAsia="Palatino Linotype" w:hAnsi="Palatino Linotype" w:cs="Palatino Linotype"/>
            </w:rPr>
            <w:t>XXXXX</w:t>
          </w:r>
        </w:p>
      </w:tc>
    </w:tr>
    <w:tr w:rsidR="00C75198" w14:paraId="63878792" w14:textId="77777777">
      <w:trPr>
        <w:trHeight w:val="262"/>
      </w:trPr>
      <w:tc>
        <w:tcPr>
          <w:tcW w:w="5576" w:type="dxa"/>
        </w:tcPr>
        <w:p w14:paraId="081C3EA0" w14:textId="77777777" w:rsidR="00C75198" w:rsidRDefault="00C75198">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3E9B3686" w14:textId="77777777" w:rsidR="00C75198" w:rsidRDefault="00C75198">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rPr>
            <w:t>Ayuntamiento de Ecatepec de Morelos</w:t>
          </w:r>
          <w:r>
            <w:rPr>
              <w:rFonts w:ascii="Palatino Linotype" w:eastAsia="Palatino Linotype" w:hAnsi="Palatino Linotype" w:cs="Palatino Linotype"/>
              <w:color w:val="000000"/>
            </w:rPr>
            <w:t>.</w:t>
          </w:r>
        </w:p>
      </w:tc>
    </w:tr>
    <w:tr w:rsidR="00C75198" w14:paraId="618D34D0" w14:textId="77777777">
      <w:trPr>
        <w:trHeight w:val="371"/>
      </w:trPr>
      <w:tc>
        <w:tcPr>
          <w:tcW w:w="5576" w:type="dxa"/>
        </w:tcPr>
        <w:p w14:paraId="6168E486" w14:textId="77777777" w:rsidR="00C75198" w:rsidRDefault="00C75198">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1013C585" w14:textId="77777777" w:rsidR="00C75198" w:rsidRDefault="00C75198">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13003EE" w14:textId="77777777" w:rsidR="00C75198" w:rsidRDefault="00C75198">
    <w:pPr>
      <w:pBdr>
        <w:top w:val="nil"/>
        <w:left w:val="nil"/>
        <w:bottom w:val="nil"/>
        <w:right w:val="nil"/>
        <w:between w:val="nil"/>
      </w:pBdr>
      <w:tabs>
        <w:tab w:val="center" w:pos="4419"/>
        <w:tab w:val="right" w:pos="8838"/>
      </w:tabs>
      <w:rPr>
        <w:color w:val="000000"/>
      </w:rPr>
    </w:pPr>
    <w:r>
      <w:rPr>
        <w:noProof/>
        <w:lang w:eastAsia="es-MX"/>
      </w:rPr>
      <w:drawing>
        <wp:anchor distT="0" distB="0" distL="0" distR="0" simplePos="0" relativeHeight="251663360" behindDoc="1" locked="0" layoutInCell="1" hidden="0" allowOverlap="1" wp14:anchorId="77A07CC0" wp14:editId="62DED9E5">
          <wp:simplePos x="0" y="0"/>
          <wp:positionH relativeFrom="column">
            <wp:posOffset>-1108070</wp:posOffset>
          </wp:positionH>
          <wp:positionV relativeFrom="paragraph">
            <wp:posOffset>-1559555</wp:posOffset>
          </wp:positionV>
          <wp:extent cx="7809865" cy="10165715"/>
          <wp:effectExtent l="0" t="0" r="0" b="0"/>
          <wp:wrapNone/>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C75198" w:rsidRPr="00E51193" w14:paraId="71DD35AC" w14:textId="77777777" w:rsidTr="005256EC">
      <w:tc>
        <w:tcPr>
          <w:tcW w:w="2552" w:type="dxa"/>
          <w:vAlign w:val="center"/>
          <w:hideMark/>
        </w:tcPr>
        <w:p w14:paraId="2DC04086" w14:textId="77777777" w:rsidR="00C75198" w:rsidRPr="00E51193" w:rsidRDefault="00C75198" w:rsidP="005256EC">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43781C29" w14:textId="77777777" w:rsidR="00C75198" w:rsidRPr="00E51193" w:rsidRDefault="00C75198" w:rsidP="00F1703C">
          <w:pPr>
            <w:jc w:val="both"/>
            <w:rPr>
              <w:rFonts w:ascii="Palatino Linotype" w:hAnsi="Palatino Linotype"/>
              <w:b/>
              <w:sz w:val="21"/>
              <w:szCs w:val="21"/>
              <w:lang w:val="es-ES_tradnl"/>
            </w:rPr>
          </w:pPr>
          <w:r>
            <w:rPr>
              <w:rFonts w:ascii="Palatino Linotype" w:hAnsi="Palatino Linotype"/>
              <w:b/>
              <w:sz w:val="21"/>
              <w:szCs w:val="21"/>
              <w:lang w:val="es-ES_tradnl"/>
            </w:rPr>
            <w:t>05194/INFOEM/IP/RR/2020</w:t>
          </w:r>
          <w:r w:rsidRPr="00E51193">
            <w:rPr>
              <w:rFonts w:ascii="Palatino Linotype" w:hAnsi="Palatino Linotype"/>
              <w:b/>
              <w:sz w:val="21"/>
              <w:szCs w:val="21"/>
              <w:lang w:val="es-ES_tradnl"/>
            </w:rPr>
            <w:t xml:space="preserve"> </w:t>
          </w:r>
        </w:p>
      </w:tc>
    </w:tr>
    <w:tr w:rsidR="00C75198" w:rsidRPr="00E51193" w14:paraId="435BAEE0" w14:textId="77777777" w:rsidTr="005256EC">
      <w:trPr>
        <w:trHeight w:val="228"/>
      </w:trPr>
      <w:tc>
        <w:tcPr>
          <w:tcW w:w="2552" w:type="dxa"/>
          <w:vAlign w:val="center"/>
          <w:hideMark/>
        </w:tcPr>
        <w:p w14:paraId="4E60ED16" w14:textId="77777777" w:rsidR="00C75198" w:rsidRPr="00E51193" w:rsidRDefault="00C75198" w:rsidP="005256EC">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77744A84" w14:textId="77777777" w:rsidR="00C75198" w:rsidRPr="00E51193" w:rsidRDefault="00C75198" w:rsidP="00F1703C">
          <w:pPr>
            <w:jc w:val="both"/>
            <w:rPr>
              <w:rFonts w:ascii="Palatino Linotype" w:hAnsi="Palatino Linotype"/>
              <w:b/>
              <w:sz w:val="21"/>
              <w:szCs w:val="21"/>
              <w:lang w:val="es-ES_tradnl"/>
            </w:rPr>
          </w:pPr>
          <w:r>
            <w:rPr>
              <w:rFonts w:ascii="Palatino Linotype" w:hAnsi="Palatino Linotype"/>
              <w:b/>
              <w:bCs/>
              <w:sz w:val="21"/>
              <w:szCs w:val="21"/>
            </w:rPr>
            <w:t>Ayuntamiento de Ecatepec de Morelos.</w:t>
          </w:r>
        </w:p>
      </w:tc>
    </w:tr>
    <w:tr w:rsidR="00C75198" w:rsidRPr="00E51193" w14:paraId="0F335EF1" w14:textId="77777777" w:rsidTr="005256EC">
      <w:tc>
        <w:tcPr>
          <w:tcW w:w="2552" w:type="dxa"/>
          <w:vAlign w:val="center"/>
          <w:hideMark/>
        </w:tcPr>
        <w:p w14:paraId="2F50AA35" w14:textId="77777777" w:rsidR="00C75198" w:rsidRPr="00E51193" w:rsidRDefault="00C75198" w:rsidP="005256EC">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14:paraId="449E7D22" w14:textId="77777777" w:rsidR="00C75198" w:rsidRPr="00E51193" w:rsidRDefault="00C75198" w:rsidP="00F1703C">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w:t>
          </w:r>
          <w:r w:rsidRPr="00E51193">
            <w:rPr>
              <w:rFonts w:ascii="Palatino Linotype" w:hAnsi="Palatino Linotype"/>
              <w:b/>
              <w:sz w:val="21"/>
              <w:szCs w:val="21"/>
              <w:lang w:val="es-ES_tradnl"/>
            </w:rPr>
            <w:t xml:space="preserve">ez </w:t>
          </w:r>
          <w:r>
            <w:rPr>
              <w:rFonts w:ascii="Palatino Linotype" w:hAnsi="Palatino Linotype"/>
              <w:b/>
              <w:sz w:val="21"/>
              <w:szCs w:val="21"/>
              <w:lang w:val="es-ES_tradnl"/>
            </w:rPr>
            <w:t>Peña</w:t>
          </w:r>
        </w:p>
      </w:tc>
    </w:tr>
  </w:tbl>
  <w:p w14:paraId="40CDF202" w14:textId="77777777" w:rsidR="00C75198" w:rsidRDefault="00C75198" w:rsidP="005256EC">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A5A01AE" wp14:editId="09FF41BD">
          <wp:simplePos x="0" y="0"/>
          <wp:positionH relativeFrom="margin">
            <wp:posOffset>-1156335</wp:posOffset>
          </wp:positionH>
          <wp:positionV relativeFrom="paragraph">
            <wp:posOffset>-1173480</wp:posOffset>
          </wp:positionV>
          <wp:extent cx="7635240" cy="994410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4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A8D95" w14:textId="77777777" w:rsidR="00C75198" w:rsidRDefault="00C75198" w:rsidP="005256EC">
    <w:pPr>
      <w:pStyle w:val="Encabezado"/>
      <w:jc w:val="both"/>
    </w:pPr>
    <w:r>
      <w:rPr>
        <w:noProof/>
        <w:lang w:val="es-MX" w:eastAsia="es-MX"/>
      </w:rPr>
      <w:drawing>
        <wp:anchor distT="0" distB="0" distL="114300" distR="114300" simplePos="0" relativeHeight="251660288" behindDoc="1" locked="0" layoutInCell="1" allowOverlap="1" wp14:anchorId="208994C0" wp14:editId="591C6037">
          <wp:simplePos x="0" y="0"/>
          <wp:positionH relativeFrom="page">
            <wp:align>left</wp:align>
          </wp:positionH>
          <wp:positionV relativeFrom="paragraph">
            <wp:posOffset>-438785</wp:posOffset>
          </wp:positionV>
          <wp:extent cx="7635875" cy="9943465"/>
          <wp:effectExtent l="0" t="0" r="317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C75198" w:rsidRPr="00294C56" w14:paraId="2C62973E" w14:textId="77777777" w:rsidTr="005256EC">
      <w:tc>
        <w:tcPr>
          <w:tcW w:w="2551" w:type="dxa"/>
          <w:vAlign w:val="center"/>
          <w:hideMark/>
        </w:tcPr>
        <w:p w14:paraId="37765822" w14:textId="77777777" w:rsidR="00C75198" w:rsidRPr="00294C56" w:rsidRDefault="00C75198" w:rsidP="005256EC">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521FE35F" w14:textId="77777777" w:rsidR="00C75198" w:rsidRPr="009A7BF4" w:rsidRDefault="00C75198" w:rsidP="00397736">
          <w:pPr>
            <w:jc w:val="both"/>
            <w:rPr>
              <w:rFonts w:ascii="Palatino Linotype" w:hAnsi="Palatino Linotype"/>
              <w:b/>
              <w:sz w:val="21"/>
              <w:szCs w:val="21"/>
              <w:lang w:val="es-ES_tradnl"/>
            </w:rPr>
          </w:pPr>
          <w:r>
            <w:rPr>
              <w:rFonts w:ascii="Palatino Linotype" w:hAnsi="Palatino Linotype"/>
              <w:b/>
              <w:sz w:val="21"/>
              <w:szCs w:val="21"/>
              <w:lang w:val="es-ES_tradnl"/>
            </w:rPr>
            <w:t>05194/INFOEM/IP/RR/2022</w:t>
          </w:r>
        </w:p>
      </w:tc>
    </w:tr>
    <w:tr w:rsidR="00C75198" w:rsidRPr="00294C56" w14:paraId="32C10A6D" w14:textId="77777777" w:rsidTr="005256EC">
      <w:trPr>
        <w:trHeight w:val="228"/>
      </w:trPr>
      <w:tc>
        <w:tcPr>
          <w:tcW w:w="2551" w:type="dxa"/>
          <w:vAlign w:val="center"/>
          <w:hideMark/>
        </w:tcPr>
        <w:p w14:paraId="36D7F7E2" w14:textId="77777777" w:rsidR="00C75198" w:rsidRPr="00294C56" w:rsidRDefault="00C75198" w:rsidP="005256EC">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164D68FA" w14:textId="77777777" w:rsidR="00C75198" w:rsidRPr="00294C56" w:rsidRDefault="00C75198" w:rsidP="00397736">
          <w:pPr>
            <w:jc w:val="both"/>
            <w:rPr>
              <w:rFonts w:ascii="Palatino Linotype" w:hAnsi="Palatino Linotype"/>
              <w:b/>
              <w:sz w:val="21"/>
              <w:szCs w:val="21"/>
              <w:lang w:val="es-ES_tradnl"/>
            </w:rPr>
          </w:pPr>
          <w:r>
            <w:rPr>
              <w:rFonts w:ascii="Palatino Linotype" w:hAnsi="Palatino Linotype"/>
              <w:b/>
              <w:bCs/>
              <w:sz w:val="21"/>
              <w:szCs w:val="21"/>
            </w:rPr>
            <w:t>Ayuntamiento de Ecatepec de Morelos.</w:t>
          </w:r>
        </w:p>
      </w:tc>
    </w:tr>
    <w:tr w:rsidR="00C75198" w:rsidRPr="00294C56" w14:paraId="7BDE385F" w14:textId="77777777" w:rsidTr="005256EC">
      <w:tc>
        <w:tcPr>
          <w:tcW w:w="2551" w:type="dxa"/>
          <w:vAlign w:val="center"/>
          <w:hideMark/>
        </w:tcPr>
        <w:p w14:paraId="32B9B5A4" w14:textId="77777777" w:rsidR="00C75198" w:rsidRPr="00294C56" w:rsidRDefault="00C75198" w:rsidP="005256EC">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14:paraId="197A1758" w14:textId="77777777" w:rsidR="00C75198" w:rsidRPr="00294C56" w:rsidRDefault="00C75198" w:rsidP="00397736">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17259790" w14:textId="77777777" w:rsidR="00C75198" w:rsidRDefault="00C75198" w:rsidP="005256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4A50"/>
    <w:multiLevelType w:val="multilevel"/>
    <w:tmpl w:val="4064A5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2E01FF"/>
    <w:multiLevelType w:val="multilevel"/>
    <w:tmpl w:val="7C461C0C"/>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13537A0A"/>
    <w:multiLevelType w:val="hybridMultilevel"/>
    <w:tmpl w:val="6C6AB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8A57C2"/>
    <w:multiLevelType w:val="hybridMultilevel"/>
    <w:tmpl w:val="62FCB8A6"/>
    <w:lvl w:ilvl="0" w:tplc="7CE280A2">
      <w:start w:val="1"/>
      <w:numFmt w:val="upp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F337A9"/>
    <w:multiLevelType w:val="multilevel"/>
    <w:tmpl w:val="04441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7A6423"/>
    <w:multiLevelType w:val="hybridMultilevel"/>
    <w:tmpl w:val="A1F85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6A16C0"/>
    <w:multiLevelType w:val="multilevel"/>
    <w:tmpl w:val="002E52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135DE5"/>
    <w:multiLevelType w:val="multilevel"/>
    <w:tmpl w:val="B9B27172"/>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2C1C71CE"/>
    <w:multiLevelType w:val="hybridMultilevel"/>
    <w:tmpl w:val="4E963124"/>
    <w:lvl w:ilvl="0" w:tplc="38989B6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17490"/>
    <w:multiLevelType w:val="hybridMultilevel"/>
    <w:tmpl w:val="3410B98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912"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8465D1"/>
    <w:multiLevelType w:val="hybridMultilevel"/>
    <w:tmpl w:val="B0903448"/>
    <w:lvl w:ilvl="0" w:tplc="F372F4AE">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36BF0B84"/>
    <w:multiLevelType w:val="hybridMultilevel"/>
    <w:tmpl w:val="9D765334"/>
    <w:lvl w:ilvl="0" w:tplc="676AB2B2">
      <w:start w:val="1"/>
      <w:numFmt w:val="lowerRoman"/>
      <w:lvlText w:val="%1)"/>
      <w:lvlJc w:val="left"/>
      <w:pPr>
        <w:ind w:left="1068" w:hanging="360"/>
      </w:pPr>
      <w:rPr>
        <w:rFonts w:ascii="Palatino Linotype" w:eastAsia="Times New Roman" w:hAnsi="Palatino Linotype" w:cs="Times New Roman"/>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3A407077"/>
    <w:multiLevelType w:val="hybridMultilevel"/>
    <w:tmpl w:val="B7721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3A66C9"/>
    <w:multiLevelType w:val="hybridMultilevel"/>
    <w:tmpl w:val="4852D220"/>
    <w:lvl w:ilvl="0" w:tplc="F372F4AE">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5651F2"/>
    <w:multiLevelType w:val="hybridMultilevel"/>
    <w:tmpl w:val="67DA83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CE1104"/>
    <w:multiLevelType w:val="multilevel"/>
    <w:tmpl w:val="E58E2986"/>
    <w:lvl w:ilvl="0">
      <w:start w:val="1"/>
      <w:numFmt w:val="low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630E5145"/>
    <w:multiLevelType w:val="multilevel"/>
    <w:tmpl w:val="0AF60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2B1258"/>
    <w:multiLevelType w:val="hybridMultilevel"/>
    <w:tmpl w:val="62FCB8A6"/>
    <w:lvl w:ilvl="0" w:tplc="7CE280A2">
      <w:start w:val="1"/>
      <w:numFmt w:val="upp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0828E6"/>
    <w:multiLevelType w:val="hybridMultilevel"/>
    <w:tmpl w:val="682257DE"/>
    <w:lvl w:ilvl="0" w:tplc="A588F03A">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1"/>
  </w:num>
  <w:num w:numId="2">
    <w:abstractNumId w:val="14"/>
  </w:num>
  <w:num w:numId="3">
    <w:abstractNumId w:val="22"/>
  </w:num>
  <w:num w:numId="4">
    <w:abstractNumId w:val="15"/>
  </w:num>
  <w:num w:numId="5">
    <w:abstractNumId w:val="1"/>
  </w:num>
  <w:num w:numId="6">
    <w:abstractNumId w:val="17"/>
  </w:num>
  <w:num w:numId="7">
    <w:abstractNumId w:val="4"/>
  </w:num>
  <w:num w:numId="8">
    <w:abstractNumId w:val="7"/>
  </w:num>
  <w:num w:numId="9">
    <w:abstractNumId w:val="2"/>
  </w:num>
  <w:num w:numId="10">
    <w:abstractNumId w:val="23"/>
  </w:num>
  <w:num w:numId="11">
    <w:abstractNumId w:val="5"/>
  </w:num>
  <w:num w:numId="12">
    <w:abstractNumId w:val="24"/>
  </w:num>
  <w:num w:numId="13">
    <w:abstractNumId w:val="10"/>
  </w:num>
  <w:num w:numId="14">
    <w:abstractNumId w:val="16"/>
  </w:num>
  <w:num w:numId="15">
    <w:abstractNumId w:val="12"/>
  </w:num>
  <w:num w:numId="16">
    <w:abstractNumId w:val="25"/>
  </w:num>
  <w:num w:numId="17">
    <w:abstractNumId w:val="18"/>
  </w:num>
  <w:num w:numId="18">
    <w:abstractNumId w:val="13"/>
  </w:num>
  <w:num w:numId="19">
    <w:abstractNumId w:val="11"/>
  </w:num>
  <w:num w:numId="20">
    <w:abstractNumId w:val="6"/>
  </w:num>
  <w:num w:numId="21">
    <w:abstractNumId w:val="3"/>
  </w:num>
  <w:num w:numId="22">
    <w:abstractNumId w:val="9"/>
  </w:num>
  <w:num w:numId="23">
    <w:abstractNumId w:val="19"/>
  </w:num>
  <w:num w:numId="24">
    <w:abstractNumId w:val="8"/>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9D3"/>
    <w:rsid w:val="00011149"/>
    <w:rsid w:val="00011EF9"/>
    <w:rsid w:val="00035888"/>
    <w:rsid w:val="0005561B"/>
    <w:rsid w:val="00063D11"/>
    <w:rsid w:val="0006699D"/>
    <w:rsid w:val="00067F1B"/>
    <w:rsid w:val="00070DB8"/>
    <w:rsid w:val="000742A6"/>
    <w:rsid w:val="000B523C"/>
    <w:rsid w:val="000C368B"/>
    <w:rsid w:val="000E08FB"/>
    <w:rsid w:val="000F2C3D"/>
    <w:rsid w:val="000F63FE"/>
    <w:rsid w:val="00115B76"/>
    <w:rsid w:val="00123B65"/>
    <w:rsid w:val="00134672"/>
    <w:rsid w:val="001A7BE3"/>
    <w:rsid w:val="001B1AF2"/>
    <w:rsid w:val="001D4703"/>
    <w:rsid w:val="00263F55"/>
    <w:rsid w:val="00274F9E"/>
    <w:rsid w:val="00286D15"/>
    <w:rsid w:val="002A37FA"/>
    <w:rsid w:val="002C5894"/>
    <w:rsid w:val="002C7B85"/>
    <w:rsid w:val="002E40BE"/>
    <w:rsid w:val="002F7A84"/>
    <w:rsid w:val="00326076"/>
    <w:rsid w:val="00394DD9"/>
    <w:rsid w:val="00397736"/>
    <w:rsid w:val="003A43A4"/>
    <w:rsid w:val="003A4ED9"/>
    <w:rsid w:val="003D71F1"/>
    <w:rsid w:val="004045FF"/>
    <w:rsid w:val="00412BC8"/>
    <w:rsid w:val="004466FF"/>
    <w:rsid w:val="004568E6"/>
    <w:rsid w:val="00457540"/>
    <w:rsid w:val="0047682A"/>
    <w:rsid w:val="00492577"/>
    <w:rsid w:val="004937F4"/>
    <w:rsid w:val="00497F21"/>
    <w:rsid w:val="004B21B4"/>
    <w:rsid w:val="004C266F"/>
    <w:rsid w:val="004D1C33"/>
    <w:rsid w:val="004D548D"/>
    <w:rsid w:val="00516D2F"/>
    <w:rsid w:val="00521B6E"/>
    <w:rsid w:val="005256EC"/>
    <w:rsid w:val="00530B68"/>
    <w:rsid w:val="005419D3"/>
    <w:rsid w:val="00547CDD"/>
    <w:rsid w:val="00555B0F"/>
    <w:rsid w:val="00571904"/>
    <w:rsid w:val="005E06C1"/>
    <w:rsid w:val="005E2C80"/>
    <w:rsid w:val="00607C1A"/>
    <w:rsid w:val="00621BD0"/>
    <w:rsid w:val="006320C2"/>
    <w:rsid w:val="006351BB"/>
    <w:rsid w:val="006413C9"/>
    <w:rsid w:val="00687FA9"/>
    <w:rsid w:val="006B1B66"/>
    <w:rsid w:val="006D1142"/>
    <w:rsid w:val="0072091E"/>
    <w:rsid w:val="007228F2"/>
    <w:rsid w:val="0072637B"/>
    <w:rsid w:val="00731A81"/>
    <w:rsid w:val="00751109"/>
    <w:rsid w:val="00792654"/>
    <w:rsid w:val="0079762D"/>
    <w:rsid w:val="007D545F"/>
    <w:rsid w:val="007E0B58"/>
    <w:rsid w:val="007E419B"/>
    <w:rsid w:val="007F26C6"/>
    <w:rsid w:val="008027C7"/>
    <w:rsid w:val="00820FAF"/>
    <w:rsid w:val="00821003"/>
    <w:rsid w:val="00840D4E"/>
    <w:rsid w:val="00846A06"/>
    <w:rsid w:val="00863E24"/>
    <w:rsid w:val="0086425E"/>
    <w:rsid w:val="00884C6C"/>
    <w:rsid w:val="008A061C"/>
    <w:rsid w:val="008A3905"/>
    <w:rsid w:val="008B18DE"/>
    <w:rsid w:val="008D3D5E"/>
    <w:rsid w:val="008E3281"/>
    <w:rsid w:val="00913241"/>
    <w:rsid w:val="00920096"/>
    <w:rsid w:val="00977B02"/>
    <w:rsid w:val="00987411"/>
    <w:rsid w:val="009A61F8"/>
    <w:rsid w:val="009B5CC1"/>
    <w:rsid w:val="009C0AFF"/>
    <w:rsid w:val="009D4F62"/>
    <w:rsid w:val="009F2879"/>
    <w:rsid w:val="00A018B6"/>
    <w:rsid w:val="00A10AA6"/>
    <w:rsid w:val="00A16834"/>
    <w:rsid w:val="00A43D4B"/>
    <w:rsid w:val="00A50EAE"/>
    <w:rsid w:val="00A61768"/>
    <w:rsid w:val="00A67223"/>
    <w:rsid w:val="00AC3161"/>
    <w:rsid w:val="00AF2860"/>
    <w:rsid w:val="00B07CE7"/>
    <w:rsid w:val="00B24C94"/>
    <w:rsid w:val="00B52E2E"/>
    <w:rsid w:val="00B62C6A"/>
    <w:rsid w:val="00B67363"/>
    <w:rsid w:val="00B70C23"/>
    <w:rsid w:val="00B7616D"/>
    <w:rsid w:val="00B85E12"/>
    <w:rsid w:val="00BA6088"/>
    <w:rsid w:val="00BD39E6"/>
    <w:rsid w:val="00BE774F"/>
    <w:rsid w:val="00BE77BC"/>
    <w:rsid w:val="00BF194A"/>
    <w:rsid w:val="00BF7EAE"/>
    <w:rsid w:val="00C06247"/>
    <w:rsid w:val="00C328C9"/>
    <w:rsid w:val="00C53A21"/>
    <w:rsid w:val="00C67412"/>
    <w:rsid w:val="00C75198"/>
    <w:rsid w:val="00C85FBA"/>
    <w:rsid w:val="00C93B0C"/>
    <w:rsid w:val="00CA7D16"/>
    <w:rsid w:val="00CB3F34"/>
    <w:rsid w:val="00CC4835"/>
    <w:rsid w:val="00D01514"/>
    <w:rsid w:val="00D10818"/>
    <w:rsid w:val="00D1398D"/>
    <w:rsid w:val="00D724DA"/>
    <w:rsid w:val="00D82C3A"/>
    <w:rsid w:val="00D8451C"/>
    <w:rsid w:val="00DA6210"/>
    <w:rsid w:val="00DB00D0"/>
    <w:rsid w:val="00DD141E"/>
    <w:rsid w:val="00E00344"/>
    <w:rsid w:val="00E14FC9"/>
    <w:rsid w:val="00E22516"/>
    <w:rsid w:val="00E24647"/>
    <w:rsid w:val="00E52FF0"/>
    <w:rsid w:val="00E53519"/>
    <w:rsid w:val="00EA07A9"/>
    <w:rsid w:val="00EA5553"/>
    <w:rsid w:val="00EF6870"/>
    <w:rsid w:val="00F069B2"/>
    <w:rsid w:val="00F1703C"/>
    <w:rsid w:val="00F20A9B"/>
    <w:rsid w:val="00F25C20"/>
    <w:rsid w:val="00F45173"/>
    <w:rsid w:val="00F74E6D"/>
    <w:rsid w:val="00F758DC"/>
    <w:rsid w:val="00F7701F"/>
    <w:rsid w:val="00F84964"/>
    <w:rsid w:val="00F903C9"/>
    <w:rsid w:val="00F92DA1"/>
    <w:rsid w:val="00FC5523"/>
    <w:rsid w:val="00FE06D5"/>
    <w:rsid w:val="00FF0E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9F9E2"/>
  <w15:chartTrackingRefBased/>
  <w15:docId w15:val="{D32211B9-7364-46D0-B05F-C9F9FCC3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9D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419D3"/>
    <w:pPr>
      <w:ind w:left="720"/>
      <w:contextualSpacing/>
    </w:pPr>
  </w:style>
  <w:style w:type="paragraph" w:styleId="Encabezado">
    <w:name w:val="header"/>
    <w:basedOn w:val="Normal"/>
    <w:link w:val="EncabezadoCar"/>
    <w:uiPriority w:val="99"/>
    <w:unhideWhenUsed/>
    <w:rsid w:val="005419D3"/>
    <w:pPr>
      <w:tabs>
        <w:tab w:val="center" w:pos="4252"/>
        <w:tab w:val="right" w:pos="8504"/>
      </w:tabs>
    </w:pPr>
    <w:rPr>
      <w:rFonts w:ascii="Calibri" w:hAnsi="Calibri"/>
      <w:lang w:val="es-ES_tradnl"/>
    </w:rPr>
  </w:style>
  <w:style w:type="character" w:customStyle="1" w:styleId="EncabezadoCar">
    <w:name w:val="Encabezado Car"/>
    <w:basedOn w:val="Fuentedeprrafopredeter"/>
    <w:link w:val="Encabezado"/>
    <w:uiPriority w:val="99"/>
    <w:rsid w:val="005419D3"/>
    <w:rPr>
      <w:rFonts w:ascii="Calibri" w:eastAsia="Times New Roman" w:hAnsi="Calibri" w:cs="Times New Roman"/>
      <w:sz w:val="24"/>
      <w:szCs w:val="24"/>
      <w:lang w:val="es-ES_tradnl" w:eastAsia="es-ES"/>
    </w:rPr>
  </w:style>
  <w:style w:type="paragraph" w:styleId="Piedepgina">
    <w:name w:val="footer"/>
    <w:basedOn w:val="Normal"/>
    <w:link w:val="PiedepginaCar"/>
    <w:uiPriority w:val="99"/>
    <w:unhideWhenUsed/>
    <w:rsid w:val="005419D3"/>
    <w:pPr>
      <w:tabs>
        <w:tab w:val="center" w:pos="4252"/>
        <w:tab w:val="right" w:pos="8504"/>
      </w:tabs>
    </w:pPr>
    <w:rPr>
      <w:rFonts w:ascii="Calibri" w:hAnsi="Calibri"/>
      <w:lang w:val="es-ES_tradnl"/>
    </w:rPr>
  </w:style>
  <w:style w:type="character" w:customStyle="1" w:styleId="PiedepginaCar">
    <w:name w:val="Pie de página Car"/>
    <w:basedOn w:val="Fuentedeprrafopredeter"/>
    <w:link w:val="Piedepgina"/>
    <w:uiPriority w:val="99"/>
    <w:rsid w:val="005419D3"/>
    <w:rPr>
      <w:rFonts w:ascii="Calibri" w:eastAsia="Times New Roman" w:hAnsi="Calibri" w:cs="Times New Roman"/>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419D3"/>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5419D3"/>
  </w:style>
  <w:style w:type="character" w:customStyle="1" w:styleId="apple-converted-space">
    <w:name w:val="apple-converted-space"/>
    <w:basedOn w:val="Fuentedeprrafopredeter"/>
    <w:rsid w:val="005419D3"/>
  </w:style>
  <w:style w:type="character" w:styleId="Hipervnculo">
    <w:name w:val="Hyperlink"/>
    <w:uiPriority w:val="99"/>
    <w:unhideWhenUsed/>
    <w:rsid w:val="005419D3"/>
    <w:rPr>
      <w:color w:val="0000FF"/>
      <w:u w:val="single"/>
    </w:rPr>
  </w:style>
  <w:style w:type="table" w:styleId="Tablaconcuadrcula">
    <w:name w:val="Table Grid"/>
    <w:basedOn w:val="Tablanormal"/>
    <w:uiPriority w:val="59"/>
    <w:rsid w:val="005419D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419D3"/>
    <w:rPr>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419D3"/>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419D3"/>
    <w:rPr>
      <w:vertAlign w:val="superscript"/>
    </w:rPr>
  </w:style>
  <w:style w:type="table" w:customStyle="1" w:styleId="Tabladelista1clara-nfasis11">
    <w:name w:val="Tabla de lista 1 clara - Énfasis 11"/>
    <w:basedOn w:val="Tablanormal"/>
    <w:uiPriority w:val="46"/>
    <w:rsid w:val="00792654"/>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rte4fondo">
    <w:name w:val="corte4 fondo"/>
    <w:basedOn w:val="Normal"/>
    <w:link w:val="corte4fondoCar3"/>
    <w:qFormat/>
    <w:rsid w:val="00E24647"/>
    <w:pPr>
      <w:spacing w:line="360" w:lineRule="auto"/>
      <w:ind w:firstLine="709"/>
      <w:jc w:val="both"/>
    </w:pPr>
    <w:rPr>
      <w:rFonts w:ascii="Arial" w:hAnsi="Arial"/>
      <w:sz w:val="30"/>
      <w:szCs w:val="20"/>
      <w:lang w:eastAsia="es-MX"/>
    </w:rPr>
  </w:style>
  <w:style w:type="character" w:customStyle="1" w:styleId="corte4fondoCar3">
    <w:name w:val="corte4 fondo Car3"/>
    <w:link w:val="corte4fondo"/>
    <w:locked/>
    <w:rsid w:val="00E24647"/>
    <w:rPr>
      <w:rFonts w:ascii="Arial" w:eastAsia="Times New Roman" w:hAnsi="Arial" w:cs="Times New Roman"/>
      <w:sz w:val="30"/>
      <w:szCs w:val="20"/>
      <w:lang w:eastAsia="es-MX"/>
    </w:rPr>
  </w:style>
  <w:style w:type="paragraph" w:customStyle="1" w:styleId="Listavistosa-nfasis11">
    <w:name w:val="Lista vistosa - Énfasis 11"/>
    <w:basedOn w:val="Normal"/>
    <w:link w:val="Listavistosa-nfasis1Car"/>
    <w:uiPriority w:val="34"/>
    <w:qFormat/>
    <w:rsid w:val="00F74E6D"/>
    <w:pPr>
      <w:ind w:left="708"/>
    </w:pPr>
    <w:rPr>
      <w:lang w:val="es-ES"/>
    </w:rPr>
  </w:style>
  <w:style w:type="character" w:customStyle="1" w:styleId="Listavistosa-nfasis1Car">
    <w:name w:val="Lista vistosa - Énfasis 1 Car"/>
    <w:link w:val="Listavistosa-nfasis11"/>
    <w:uiPriority w:val="34"/>
    <w:locked/>
    <w:rsid w:val="00F74E6D"/>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B85E12"/>
    <w:rPr>
      <w:i/>
      <w:iCs/>
    </w:rPr>
  </w:style>
  <w:style w:type="character" w:customStyle="1" w:styleId="nacep">
    <w:name w:val="n_acep"/>
    <w:basedOn w:val="Fuentedeprrafopredeter"/>
    <w:rsid w:val="00B85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archivo.uc3m.es/bitstream/handle/10016/26545/WF-18-03.pdf" TargetMode="External"/><Relationship Id="rId1" Type="http://schemas.openxmlformats.org/officeDocument/2006/relationships/hyperlink" Target="http://sjf.scjn.gob.mx/SJFSist/Documentos/Tesis/170/1707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08FE1-47DC-4152-B595-81B20782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15471</Words>
  <Characters>85094</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2</cp:revision>
  <cp:lastPrinted>2022-09-02T18:56:00Z</cp:lastPrinted>
  <dcterms:created xsi:type="dcterms:W3CDTF">2022-09-06T15:46:00Z</dcterms:created>
  <dcterms:modified xsi:type="dcterms:W3CDTF">2022-09-06T15:46:00Z</dcterms:modified>
</cp:coreProperties>
</file>