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83D" w:rsidRDefault="0036583D">
      <w:pPr>
        <w:widowControl w:val="0"/>
        <w:pBdr>
          <w:top w:val="nil"/>
          <w:left w:val="nil"/>
          <w:bottom w:val="nil"/>
          <w:right w:val="nil"/>
          <w:between w:val="nil"/>
        </w:pBdr>
        <w:spacing w:line="276" w:lineRule="auto"/>
      </w:pP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veintiocho de septiembre del dos mil veintidós</w:t>
      </w:r>
      <w:r>
        <w:rPr>
          <w:rFonts w:ascii="Palatino Linotype" w:eastAsia="Palatino Linotype" w:hAnsi="Palatino Linotype" w:cs="Palatino Linotype"/>
        </w:rPr>
        <w:t>.</w:t>
      </w:r>
    </w:p>
    <w:p w:rsidR="0036583D" w:rsidRDefault="003B678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07964/INFOEM/IP/RR/2022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EB1CC6">
        <w:rPr>
          <w:rFonts w:ascii="Palatino Linotype" w:eastAsia="Palatino Linotype" w:hAnsi="Palatino Linotype" w:cs="Palatino Linotype"/>
          <w:b/>
        </w:rPr>
        <w:t>XXX</w:t>
      </w:r>
      <w:bookmarkStart w:id="0" w:name="_GoBack"/>
      <w:bookmarkEnd w:id="0"/>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Atlacomulco,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36583D" w:rsidRDefault="003B6783">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36583D" w:rsidRDefault="003B678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veinte de abril de dos mil veintidós,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00199/ATLACOM/IP/2022, </w:t>
      </w:r>
      <w:r>
        <w:rPr>
          <w:rFonts w:ascii="Palatino Linotype" w:eastAsia="Palatino Linotype" w:hAnsi="Palatino Linotype" w:cs="Palatino Linotype"/>
        </w:rPr>
        <w:t xml:space="preserve">mediante la cual requirió la información siguiente: </w:t>
      </w:r>
    </w:p>
    <w:p w:rsidR="0036583D" w:rsidRDefault="003B6783">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“Solicito </w:t>
      </w:r>
      <w:r>
        <w:rPr>
          <w:rFonts w:ascii="Palatino Linotype" w:eastAsia="Palatino Linotype" w:hAnsi="Palatino Linotype" w:cs="Palatino Linotype"/>
          <w:b/>
          <w:i/>
          <w:sz w:val="22"/>
          <w:szCs w:val="22"/>
        </w:rPr>
        <w:t>el grado máximo de estudios de todos los coordinadores y regidores y en su caso saber si cuenta con título y con cédula profesional, cuántos de licenciatura, cuántos con maestría y cuántos con doctorado. Cuántas direcciones son en total y cuántas de ellas son ocupadas por mujeres, igualmente las coordinaciones y jefaturas de área.</w:t>
      </w:r>
      <w:r>
        <w:rPr>
          <w:rFonts w:ascii="Palatino Linotype" w:eastAsia="Palatino Linotype" w:hAnsi="Palatino Linotype" w:cs="Palatino Linotype"/>
          <w:i/>
          <w:sz w:val="22"/>
          <w:szCs w:val="22"/>
        </w:rPr>
        <w:t xml:space="preserve">” (Sic) </w:t>
      </w:r>
    </w:p>
    <w:p w:rsidR="0036583D" w:rsidRDefault="003B678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rsidR="0036583D" w:rsidRDefault="003B678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a la solicitud de información. </w:t>
      </w:r>
      <w:r>
        <w:rPr>
          <w:rFonts w:ascii="Palatino Linotype" w:eastAsia="Palatino Linotype" w:hAnsi="Palatino Linotype" w:cs="Palatino Linotype"/>
        </w:rPr>
        <w:t>El</w:t>
      </w:r>
      <w:r>
        <w:rPr>
          <w:rFonts w:ascii="Palatino Linotype" w:eastAsia="Palatino Linotype" w:hAnsi="Palatino Linotype" w:cs="Palatino Linotype"/>
          <w:b/>
        </w:rPr>
        <w:t xml:space="preserve"> doce de mayo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rsidR="0036583D" w:rsidRDefault="003B678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6583D" w:rsidRDefault="003B678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dicha solicitud. Finalmente, hacer de su conocimiento que el recurso de revisión, es una garantía secundaria, mediante la cual, se puede subsanar cualquier posible afectación a su derecho de acceso a la información (Art. 176) y que esta contemplada en los causales establecidos en el artículo 179,incisos I AL XIV. Sin otro particular de momento, quedo atenta.</w:t>
      </w:r>
    </w:p>
    <w:p w:rsidR="0036583D" w:rsidRDefault="003B678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36583D" w:rsidRDefault="003B678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L.A.I KARLA KARINA TÉLLEZ LARA”</w:t>
      </w:r>
    </w:p>
    <w:p w:rsidR="0036583D" w:rsidRDefault="003B6783">
      <w:pPr>
        <w:spacing w:before="240" w:after="240" w:line="360"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rsidR="0036583D" w:rsidRDefault="003B6783">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“SOLICITUD 199.pdf”: </w:t>
      </w:r>
      <w:r>
        <w:rPr>
          <w:rFonts w:ascii="Palatino Linotype" w:eastAsia="Palatino Linotype" w:hAnsi="Palatino Linotype" w:cs="Palatino Linotype"/>
          <w:color w:val="000000"/>
          <w:sz w:val="22"/>
          <w:szCs w:val="22"/>
        </w:rPr>
        <w:t xml:space="preserve">Oficio de dos fojas signado por el Director de Administración, mediante el cual se pronuncia respecto del grado de estudios de los regidores, número de direcciones y los grados de estudios de mandos medios y superiores. </w:t>
      </w:r>
    </w:p>
    <w:p w:rsidR="0036583D" w:rsidRDefault="003B6783">
      <w:pPr>
        <w:spacing w:before="240" w:after="240" w:line="360" w:lineRule="auto"/>
        <w:ind w:left="567" w:right="900"/>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extent cx="4335654" cy="5730834"/>
            <wp:effectExtent l="0" t="0" r="0" b="0"/>
            <wp:docPr id="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335654" cy="5730834"/>
                    </a:xfrm>
                    <a:prstGeom prst="rect">
                      <a:avLst/>
                    </a:prstGeom>
                    <a:ln/>
                  </pic:spPr>
                </pic:pic>
              </a:graphicData>
            </a:graphic>
          </wp:inline>
        </w:drawing>
      </w:r>
    </w:p>
    <w:p w:rsidR="0036583D" w:rsidRDefault="003B6783">
      <w:pPr>
        <w:spacing w:before="240" w:after="240" w:line="360" w:lineRule="auto"/>
        <w:ind w:left="567" w:right="900"/>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extent cx="4403778" cy="3978773"/>
            <wp:effectExtent l="0" t="0" r="0" b="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403778" cy="3978773"/>
                    </a:xfrm>
                    <a:prstGeom prst="rect">
                      <a:avLst/>
                    </a:prstGeom>
                    <a:ln/>
                  </pic:spPr>
                </pic:pic>
              </a:graphicData>
            </a:graphic>
          </wp:inline>
        </w:drawing>
      </w:r>
    </w:p>
    <w:p w:rsidR="0036583D" w:rsidRDefault="003B6783">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“BASE PARA SOLICITUD 199.xlsx”: </w:t>
      </w:r>
      <w:r>
        <w:rPr>
          <w:rFonts w:ascii="Palatino Linotype" w:eastAsia="Palatino Linotype" w:hAnsi="Palatino Linotype" w:cs="Palatino Linotype"/>
          <w:color w:val="000000"/>
          <w:sz w:val="22"/>
          <w:szCs w:val="22"/>
        </w:rPr>
        <w:t>Relación de mandos medios y superiores actualizada a abril 2022 en la que se aprecian los grados de estudios, documento con el que se acredite, número de direcciones y de mujeres que llevan estos cargos.</w:t>
      </w:r>
      <w:r>
        <w:rPr>
          <w:noProof/>
          <w:lang w:val="es-MX"/>
        </w:rPr>
        <w:drawing>
          <wp:anchor distT="0" distB="0" distL="114300" distR="114300" simplePos="0" relativeHeight="251658240" behindDoc="0" locked="0" layoutInCell="1" hidden="0" allowOverlap="1">
            <wp:simplePos x="0" y="0"/>
            <wp:positionH relativeFrom="column">
              <wp:posOffset>-22859</wp:posOffset>
            </wp:positionH>
            <wp:positionV relativeFrom="paragraph">
              <wp:posOffset>1061720</wp:posOffset>
            </wp:positionV>
            <wp:extent cx="5572125" cy="2238375"/>
            <wp:effectExtent l="0" t="0" r="0" b="0"/>
            <wp:wrapTopAndBottom distT="0" distB="0"/>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572125" cy="2238375"/>
                    </a:xfrm>
                    <a:prstGeom prst="rect">
                      <a:avLst/>
                    </a:prstGeom>
                    <a:ln/>
                  </pic:spPr>
                </pic:pic>
              </a:graphicData>
            </a:graphic>
          </wp:anchor>
        </w:drawing>
      </w:r>
    </w:p>
    <w:p w:rsidR="0036583D" w:rsidRDefault="003B6783">
      <w:pPr>
        <w:spacing w:before="240" w:after="240" w:line="360" w:lineRule="auto"/>
        <w:ind w:right="900"/>
        <w:jc w:val="both"/>
        <w:rPr>
          <w:rFonts w:ascii="Palatino Linotype" w:eastAsia="Palatino Linotype" w:hAnsi="Palatino Linotype" w:cs="Palatino Linotype"/>
          <w:color w:val="000000"/>
          <w:sz w:val="22"/>
          <w:szCs w:val="22"/>
        </w:rPr>
      </w:pPr>
      <w:r>
        <w:rPr>
          <w:noProof/>
          <w:lang w:val="es-MX"/>
        </w:rPr>
        <w:lastRenderedPageBreak/>
        <w:drawing>
          <wp:anchor distT="0" distB="0" distL="114300" distR="114300" simplePos="0" relativeHeight="251659264" behindDoc="0" locked="0" layoutInCell="1" hidden="0" allowOverlap="1">
            <wp:simplePos x="0" y="0"/>
            <wp:positionH relativeFrom="column">
              <wp:posOffset>-3809</wp:posOffset>
            </wp:positionH>
            <wp:positionV relativeFrom="paragraph">
              <wp:posOffset>3175</wp:posOffset>
            </wp:positionV>
            <wp:extent cx="5572125" cy="1390650"/>
            <wp:effectExtent l="0" t="0" r="0" b="0"/>
            <wp:wrapTopAndBottom distT="0" dist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572125" cy="1390650"/>
                    </a:xfrm>
                    <a:prstGeom prst="rect">
                      <a:avLst/>
                    </a:prstGeom>
                    <a:ln/>
                  </pic:spPr>
                </pic:pic>
              </a:graphicData>
            </a:graphic>
          </wp:anchor>
        </w:drawing>
      </w:r>
    </w:p>
    <w:p w:rsidR="0036583D" w:rsidRDefault="003B6783">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“BANDO MUNICIPAL 2022 1.0.pdf”: </w:t>
      </w:r>
      <w:r>
        <w:rPr>
          <w:rFonts w:ascii="Palatino Linotype" w:eastAsia="Palatino Linotype" w:hAnsi="Palatino Linotype" w:cs="Palatino Linotype"/>
          <w:color w:val="000000"/>
          <w:sz w:val="22"/>
          <w:szCs w:val="22"/>
        </w:rPr>
        <w:t>Consistente en la Gaceta Municipal No. 7 en la que obra el Bando Municipal del año 2022.</w:t>
      </w:r>
    </w:p>
    <w:p w:rsidR="0036583D" w:rsidRDefault="003B6783">
      <w:pPr>
        <w:spacing w:before="240" w:after="240" w:line="360" w:lineRule="auto"/>
        <w:ind w:left="567" w:right="900"/>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drawing>
          <wp:inline distT="0" distB="0" distL="0" distR="0">
            <wp:extent cx="2660814" cy="3461333"/>
            <wp:effectExtent l="0" t="0" r="0" b="0"/>
            <wp:docPr id="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660814" cy="3461333"/>
                    </a:xfrm>
                    <a:prstGeom prst="rect">
                      <a:avLst/>
                    </a:prstGeom>
                    <a:ln/>
                  </pic:spPr>
                </pic:pic>
              </a:graphicData>
            </a:graphic>
          </wp:inline>
        </w:drawing>
      </w:r>
    </w:p>
    <w:p w:rsidR="0036583D" w:rsidRDefault="003B6783">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materia del presente estudio el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36583D" w:rsidRDefault="003B6783">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a) Acto impugnado: </w:t>
      </w:r>
    </w:p>
    <w:p w:rsidR="0036583D" w:rsidRDefault="003B6783">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“Información incompleta” (Sic)</w:t>
      </w:r>
    </w:p>
    <w:p w:rsidR="0036583D" w:rsidRDefault="003B6783">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36583D" w:rsidRDefault="003B6783">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“Información incompleta” (Sic) </w:t>
      </w:r>
    </w:p>
    <w:p w:rsidR="0036583D" w:rsidRDefault="003B6783">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36583D" w:rsidRDefault="003B6783">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veinte de mayo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36583D" w:rsidRDefault="003B6783">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archivo “</w:t>
      </w:r>
      <w:r>
        <w:rPr>
          <w:rFonts w:ascii="Palatino Linotype" w:eastAsia="Palatino Linotype" w:hAnsi="Palatino Linotype" w:cs="Palatino Linotype"/>
          <w:b/>
          <w:i/>
          <w:sz w:val="22"/>
          <w:szCs w:val="22"/>
        </w:rPr>
        <w:t xml:space="preserve">informe justificado 199.pdf”, </w:t>
      </w:r>
      <w:r>
        <w:rPr>
          <w:rFonts w:ascii="Palatino Linotype" w:eastAsia="Palatino Linotype" w:hAnsi="Palatino Linotype" w:cs="Palatino Linotype"/>
        </w:rPr>
        <w:t xml:space="preserve">el cual se compone de siete fojas y medularmente refiere lo siguiente: </w:t>
      </w:r>
    </w:p>
    <w:p w:rsidR="0036583D" w:rsidRDefault="003B6783">
      <w:pPr>
        <w:widowControl w:val="0"/>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5410200" cy="6715125"/>
            <wp:effectExtent l="0" t="0" r="0" b="0"/>
            <wp:docPr id="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410200" cy="6715125"/>
                    </a:xfrm>
                    <a:prstGeom prst="rect">
                      <a:avLst/>
                    </a:prstGeom>
                    <a:ln/>
                  </pic:spPr>
                </pic:pic>
              </a:graphicData>
            </a:graphic>
          </wp:inline>
        </w:drawing>
      </w:r>
    </w:p>
    <w:p w:rsidR="0036583D" w:rsidRDefault="003B6783">
      <w:pPr>
        <w:widowControl w:val="0"/>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5581650" cy="2867025"/>
            <wp:effectExtent l="0" t="0" r="0" b="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581650" cy="2867025"/>
                    </a:xfrm>
                    <a:prstGeom prst="rect">
                      <a:avLst/>
                    </a:prstGeom>
                    <a:ln/>
                  </pic:spPr>
                </pic:pic>
              </a:graphicData>
            </a:graphic>
          </wp:inline>
        </w:drawing>
      </w:r>
    </w:p>
    <w:p w:rsidR="0036583D" w:rsidRDefault="003B6783">
      <w:pPr>
        <w:widowControl w:val="0"/>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Por otro lado,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omisa en emitir pronunciamientos, ofrecer pruebas o alegatos, por lo que se tiene por precluido su derecho, es de mencionar que dicha documentación se puso a la vista del particular mediante acuerdo emitido por la Comisionada Ponente, el </w:t>
      </w:r>
      <w:r>
        <w:rPr>
          <w:rFonts w:ascii="Palatino Linotype" w:eastAsia="Palatino Linotype" w:hAnsi="Palatino Linotype" w:cs="Palatino Linotype"/>
          <w:b/>
        </w:rPr>
        <w:t>veintiuno de septiembre de dos mil veintidós.</w:t>
      </w:r>
    </w:p>
    <w:p w:rsidR="0036583D" w:rsidRDefault="003B6783">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72125" cy="1876425"/>
            <wp:effectExtent l="0" t="0" r="0" b="0"/>
            <wp:docPr id="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572125" cy="1876425"/>
                    </a:xfrm>
                    <a:prstGeom prst="rect">
                      <a:avLst/>
                    </a:prstGeom>
                    <a:ln/>
                  </pic:spPr>
                </pic:pic>
              </a:graphicData>
            </a:graphic>
          </wp:inline>
        </w:drawing>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 plazo.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veintiuno</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de septiembre de dos mil veintidós</w:t>
      </w:r>
      <w:r>
        <w:rPr>
          <w:rFonts w:ascii="Palatino Linotype" w:eastAsia="Palatino Linotype" w:hAnsi="Palatino Linotype" w:cs="Palatino Linotype"/>
        </w:rPr>
        <w:t xml:space="preserve">, se notificó a las partes el Acuerdo de Ampliación de Plazo para resolver los medios de </w:t>
      </w:r>
      <w:r>
        <w:rPr>
          <w:rFonts w:ascii="Palatino Linotype" w:eastAsia="Palatino Linotype" w:hAnsi="Palatino Linotype" w:cs="Palatino Linotype"/>
        </w:rPr>
        <w:lastRenderedPageBreak/>
        <w:t>impugnación que nos ocupan, en términos de lo dispuesto por el artículo 181, párrafo tercero de la Ley de Transparencia y Acceso a la Información Pública del Estado de México y Municipios.</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Pr>
          <w:rFonts w:ascii="Palatino Linotype" w:eastAsia="Palatino Linotype" w:hAnsi="Palatino Linotype" w:cs="Palatino Linotype"/>
        </w:rPr>
        <w:lastRenderedPageBreak/>
        <w:t>órganos jurisdiccionales o cuasi jurisdiccionales, tanto por la complejidad de los hechos, como por el número de casos que conocen. </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rsidR="0036583D" w:rsidRDefault="003B6783">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rsidR="0036583D" w:rsidRDefault="003B6783">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36583D" w:rsidRDefault="003B6783">
      <w:pPr>
        <w:numPr>
          <w:ilvl w:val="0"/>
          <w:numId w:val="2"/>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36583D" w:rsidRDefault="003B6783">
      <w:p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lastRenderedPageBreak/>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color w:val="000000"/>
        </w:rPr>
        <w:t xml:space="preserve">veintisiete de septiembre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w:t>
      </w:r>
      <w:r>
        <w:rPr>
          <w:rFonts w:ascii="Palatino Linotype" w:eastAsia="Palatino Linotype" w:hAnsi="Palatino Linotype" w:cs="Palatino Linotype"/>
          <w:color w:val="000000"/>
        </w:rPr>
        <w:t xml:space="preserve">fue debidamente sustanciado el expediente electrónico </w:t>
      </w:r>
      <w:r>
        <w:rPr>
          <w:rFonts w:ascii="Palatino Linotype" w:eastAsia="Palatino Linotype" w:hAnsi="Palatino Linotype" w:cs="Palatino Linotype"/>
        </w:rPr>
        <w:t xml:space="preserve">y no existen diligencias pendientes de desahogo, se emite la Resolución que conforme a Derecho proceda, de acuerdo con los siguientes: </w:t>
      </w:r>
    </w:p>
    <w:p w:rsidR="0036583D" w:rsidRDefault="003B6783">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36583D" w:rsidRDefault="003B6783">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Pr>
          <w:rFonts w:ascii="Palatino Linotype" w:eastAsia="Palatino Linotype" w:hAnsi="Palatino Linotype" w:cs="Palatino Linotype"/>
          <w:highlight w:val="white"/>
        </w:rPr>
        <w:lastRenderedPageBreak/>
        <w:t>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doce de mayo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tercer día hábil</w:t>
      </w:r>
      <w:r>
        <w:rPr>
          <w:rFonts w:ascii="Palatino Linotype" w:eastAsia="Palatino Linotype" w:hAnsi="Palatino Linotype" w:cs="Palatino Linotype"/>
        </w:rPr>
        <w:t xml:space="preserve"> en el que tuvo conocimiento de la respuesta.</w:t>
      </w:r>
    </w:p>
    <w:p w:rsidR="0036583D" w:rsidRDefault="003B678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señaló únicamente como nombre “---”, tal como se advierte en el detalle de seguimiento del SAIMEX, no obstante lo anterior, no proporcionar el nombre no es motivo para archivar la solicitud de acceso a la información pública como concluida, conforme a lo previsto en el artículo </w:t>
      </w:r>
      <w:r>
        <w:rPr>
          <w:rFonts w:ascii="Palatino Linotype" w:eastAsia="Palatino Linotype" w:hAnsi="Palatino Linotype" w:cs="Palatino Linotype"/>
          <w:color w:val="000000"/>
        </w:rPr>
        <w:lastRenderedPageBreak/>
        <w:t>155, penúltimo párrafo de la Ley de Transparencia y Acceso a la Información Pública del Estado de México y Municipios que establece lo siguiente:</w:t>
      </w:r>
    </w:p>
    <w:p w:rsidR="0036583D" w:rsidRDefault="003B6783">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36583D" w:rsidRDefault="003B6783">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rsidR="0036583D" w:rsidRDefault="003B678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36583D" w:rsidRDefault="003B678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36583D" w:rsidRDefault="003B6783">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rsidR="0036583D" w:rsidRDefault="003B6783">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rsidR="0036583D" w:rsidRDefault="003B6783">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w:t>
      </w:r>
      <w:r>
        <w:rPr>
          <w:rFonts w:ascii="Palatino Linotype" w:eastAsia="Palatino Linotype" w:hAnsi="Palatino Linotype" w:cs="Palatino Linotype"/>
        </w:rPr>
        <w:lastRenderedPageBreak/>
        <w:t xml:space="preserve">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 Recurrente</w:t>
      </w:r>
      <w:r>
        <w:rPr>
          <w:rFonts w:ascii="Palatino Linotype" w:eastAsia="Palatino Linotype" w:hAnsi="Palatino Linotype" w:cs="Palatino Linotype"/>
        </w:rPr>
        <w:t>, o en su defecto, en caso de ser procedente, ordenar la entrega de información oportuna.</w:t>
      </w:r>
    </w:p>
    <w:p w:rsidR="0036583D" w:rsidRDefault="003B678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6583D" w:rsidRDefault="003B6783">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36583D" w:rsidRDefault="003B6783">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36583D" w:rsidRDefault="003B6783">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w:t>
      </w:r>
      <w:r>
        <w:rPr>
          <w:rFonts w:ascii="Palatino Linotype" w:eastAsia="Palatino Linotype" w:hAnsi="Palatino Linotype" w:cs="Palatino Linotype"/>
          <w:i/>
          <w:color w:val="000000"/>
          <w:sz w:val="22"/>
          <w:szCs w:val="22"/>
        </w:rPr>
        <w:lastRenderedPageBreak/>
        <w:t>Estado deberá prevenir, investigar, sancionar y reparar las violaciones a los derechos humanos, en los términos que establezca la ley</w:t>
      </w:r>
    </w:p>
    <w:p w:rsidR="0036583D" w:rsidRDefault="003B6783">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rsidR="0036583D" w:rsidRDefault="003B6783">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36583D" w:rsidRDefault="003B6783">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rsidR="0036583D" w:rsidRDefault="003B678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36583D" w:rsidRDefault="003B678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6583D" w:rsidRDefault="003B678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36583D" w:rsidRDefault="003B678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36583D" w:rsidRDefault="003B678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36583D" w:rsidRDefault="003B678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6583D" w:rsidRDefault="003B678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lastRenderedPageBreak/>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36583D" w:rsidRDefault="003B678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36583D" w:rsidRDefault="003B678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36583D" w:rsidRDefault="003B6783">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36583D" w:rsidRDefault="003B6783">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6583D" w:rsidRDefault="003B6783">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rsidR="0036583D" w:rsidRDefault="003B678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36583D" w:rsidRDefault="003B6783">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36583D" w:rsidRDefault="003B6783">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36583D" w:rsidRDefault="003B678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36583D" w:rsidRDefault="003B678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36583D" w:rsidRDefault="003B678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lastRenderedPageBreak/>
        <w:t>“NO EXISTE OBLIGACIÓN DE ELABORAR DOCUMENTOS AD HOC PARA ATENDER LAS SOLICITUDES DE ACCESO A LA INFORMACIÓN.</w:t>
      </w:r>
    </w:p>
    <w:p w:rsidR="0036583D" w:rsidRDefault="003B678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36583D" w:rsidRDefault="003B678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6583D" w:rsidRDefault="003B6783">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6583D" w:rsidRDefault="003B678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w:t>
      </w:r>
      <w:r>
        <w:rPr>
          <w:rFonts w:ascii="Palatino Linotype" w:eastAsia="Palatino Linotype" w:hAnsi="Palatino Linotype" w:cs="Palatino Linotype"/>
          <w:color w:val="000000"/>
        </w:rPr>
        <w:lastRenderedPageBreak/>
        <w:t>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6583D" w:rsidRDefault="003B678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36583D" w:rsidRDefault="003B678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rsidR="0036583D" w:rsidRDefault="003B678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36583D" w:rsidRDefault="003B678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6583D" w:rsidRDefault="003B678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36583D" w:rsidRDefault="003B678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w:t>
      </w:r>
      <w:r>
        <w:rPr>
          <w:rFonts w:ascii="Palatino Linotype" w:eastAsia="Palatino Linotype" w:hAnsi="Palatino Linotype" w:cs="Palatino Linotype"/>
          <w:i/>
          <w:color w:val="000000"/>
          <w:sz w:val="22"/>
          <w:szCs w:val="22"/>
        </w:rPr>
        <w:lastRenderedPageBreak/>
        <w:t>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6583D" w:rsidRDefault="003B678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36583D" w:rsidRDefault="003B6783">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36583D" w:rsidRDefault="003B6783">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36583D" w:rsidRDefault="003B6783">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36583D" w:rsidRDefault="003B678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36583D" w:rsidRDefault="003B678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rsidR="0036583D" w:rsidRDefault="003B6783">
      <w:pPr>
        <w:numPr>
          <w:ilvl w:val="0"/>
          <w:numId w:val="3"/>
        </w:numPr>
        <w:pBdr>
          <w:top w:val="nil"/>
          <w:left w:val="nil"/>
          <w:bottom w:val="nil"/>
          <w:right w:val="nil"/>
          <w:between w:val="nil"/>
        </w:pBdr>
        <w:tabs>
          <w:tab w:val="left" w:pos="7513"/>
        </w:tabs>
        <w:spacing w:before="240" w:after="240" w:line="360" w:lineRule="auto"/>
        <w:ind w:left="567" w:right="851" w:hanging="283"/>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El grado máximo de estudios de todos los coordinadores y regidores. </w:t>
      </w:r>
    </w:p>
    <w:p w:rsidR="0036583D" w:rsidRDefault="003B6783">
      <w:pPr>
        <w:numPr>
          <w:ilvl w:val="0"/>
          <w:numId w:val="3"/>
        </w:numPr>
        <w:pBdr>
          <w:top w:val="nil"/>
          <w:left w:val="nil"/>
          <w:bottom w:val="nil"/>
          <w:right w:val="nil"/>
          <w:between w:val="nil"/>
        </w:pBdr>
        <w:tabs>
          <w:tab w:val="left" w:pos="7513"/>
        </w:tabs>
        <w:spacing w:before="240" w:after="240" w:line="360" w:lineRule="auto"/>
        <w:ind w:left="567" w:right="851" w:hanging="283"/>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 xml:space="preserve">En su caso saber si cuenta con título y con cédula profesional, cuántos de licenciatura, cuántos con maestría y cuántos con doctorado. </w:t>
      </w:r>
    </w:p>
    <w:p w:rsidR="0036583D" w:rsidRDefault="003B6783">
      <w:pPr>
        <w:numPr>
          <w:ilvl w:val="0"/>
          <w:numId w:val="3"/>
        </w:numPr>
        <w:pBdr>
          <w:top w:val="nil"/>
          <w:left w:val="nil"/>
          <w:bottom w:val="nil"/>
          <w:right w:val="nil"/>
          <w:between w:val="nil"/>
        </w:pBdr>
        <w:tabs>
          <w:tab w:val="left" w:pos="7513"/>
        </w:tabs>
        <w:spacing w:before="240" w:after="240" w:line="360" w:lineRule="auto"/>
        <w:ind w:left="567" w:right="851" w:hanging="283"/>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Cuántas direcciones son en total y cuántas de ellas son ocupadas por mujeres, igualmente las coordinaciones y jefaturas de área.</w:t>
      </w:r>
    </w:p>
    <w:p w:rsidR="0036583D" w:rsidRDefault="003B6783">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del Director de Administración remitió los siguientes soportes documentales: </w:t>
      </w:r>
    </w:p>
    <w:p w:rsidR="0036583D" w:rsidRDefault="003B6783">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“SOLICITUD 199.pdf”: </w:t>
      </w:r>
      <w:r>
        <w:rPr>
          <w:rFonts w:ascii="Palatino Linotype" w:eastAsia="Palatino Linotype" w:hAnsi="Palatino Linotype" w:cs="Palatino Linotype"/>
          <w:color w:val="000000"/>
          <w:sz w:val="22"/>
          <w:szCs w:val="22"/>
        </w:rPr>
        <w:t xml:space="preserve">Oficio de dos fojas signado por el Director de Administración, mediante el cual se pronuncia respecto del grado de estudios de los regidores, número de direcciones y los grados de estudios de mandos medios y superiores. </w:t>
      </w:r>
    </w:p>
    <w:p w:rsidR="0036583D" w:rsidRDefault="003B6783">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“BASE PARA SOLICITUD 199.xlsx”: </w:t>
      </w:r>
      <w:r>
        <w:rPr>
          <w:rFonts w:ascii="Palatino Linotype" w:eastAsia="Palatino Linotype" w:hAnsi="Palatino Linotype" w:cs="Palatino Linotype"/>
          <w:color w:val="000000"/>
          <w:sz w:val="22"/>
          <w:szCs w:val="22"/>
        </w:rPr>
        <w:t>Relación de mandos medios y superiores actualizada a abril 2022 en la que se aprecian los grados de estudios, documento con el que se acredite, número de direcciones y de mujeres que llevan estos cargos.</w:t>
      </w:r>
    </w:p>
    <w:p w:rsidR="0036583D" w:rsidRDefault="003B6783">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“BANDO MUNICIPAL 2022 1.0.pdf”: </w:t>
      </w:r>
      <w:r>
        <w:rPr>
          <w:rFonts w:ascii="Palatino Linotype" w:eastAsia="Palatino Linotype" w:hAnsi="Palatino Linotype" w:cs="Palatino Linotype"/>
          <w:color w:val="000000"/>
          <w:sz w:val="22"/>
          <w:szCs w:val="22"/>
        </w:rPr>
        <w:t>Consistente en la Gaceta Municipal No. 7 en la que obra el Bando Municipal del año 2022.</w:t>
      </w:r>
    </w:p>
    <w:p w:rsidR="0036583D" w:rsidRDefault="003B6783">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w:t>
      </w:r>
      <w:r>
        <w:rPr>
          <w:rFonts w:ascii="Palatino Linotype" w:eastAsia="Palatino Linotype" w:hAnsi="Palatino Linotype" w:cs="Palatino Linotype"/>
          <w:b/>
          <w:i/>
        </w:rPr>
        <w:t xml:space="preserve">“Información incompleta” (Sic) </w:t>
      </w:r>
    </w:p>
    <w:p w:rsidR="0036583D" w:rsidRDefault="003B6783">
      <w:pPr>
        <w:widowControl w:val="0"/>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w:t>
      </w:r>
      <w:r>
        <w:rPr>
          <w:rFonts w:ascii="Palatino Linotype" w:eastAsia="Palatino Linotype" w:hAnsi="Palatino Linotype" w:cs="Palatino Linotype"/>
        </w:rPr>
        <w:lastRenderedPageBreak/>
        <w:t>informe justificado mediante el archivo electrónico “</w:t>
      </w:r>
      <w:r>
        <w:rPr>
          <w:rFonts w:ascii="Palatino Linotype" w:eastAsia="Palatino Linotype" w:hAnsi="Palatino Linotype" w:cs="Palatino Linotype"/>
          <w:b/>
          <w:i/>
          <w:sz w:val="22"/>
          <w:szCs w:val="22"/>
        </w:rPr>
        <w:t xml:space="preserve">informe justificado 199.pdf”, </w:t>
      </w:r>
      <w:r>
        <w:rPr>
          <w:rFonts w:ascii="Palatino Linotype" w:eastAsia="Palatino Linotype" w:hAnsi="Palatino Linotype" w:cs="Palatino Linotype"/>
        </w:rPr>
        <w:t xml:space="preserve">el cual se compone de siete fojas y medularmente refiere que por cuanto hace al grado de estudios, estos se especifican en la relación de mandos medios y superiores actualizada a abril 2022, en la columna denominada </w:t>
      </w:r>
      <w:r>
        <w:rPr>
          <w:rFonts w:ascii="Palatino Linotype" w:eastAsia="Palatino Linotype" w:hAnsi="Palatino Linotype" w:cs="Palatino Linotype"/>
          <w:b/>
        </w:rPr>
        <w:t>“DOCUMENTO QUE LO ACREDITA”</w:t>
      </w:r>
      <w:r>
        <w:rPr>
          <w:rFonts w:ascii="Palatino Linotype" w:eastAsia="Palatino Linotype" w:hAnsi="Palatino Linotype" w:cs="Palatino Linotype"/>
        </w:rPr>
        <w:t>; refiere si cuenta con título o cédula profesional, en el recuadro azul al final de la tabla se indica el número total de cuantos cuentan con licenciatura, maestría y doctorado, en el de color morado en la tabla, se especifica las áreas que son ocupadas por personal femenino y en el cuadro azul se especifica el número total:</w:t>
      </w:r>
    </w:p>
    <w:p w:rsidR="0036583D" w:rsidRDefault="003B6783">
      <w:pPr>
        <w:widowControl w:val="0"/>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extent cx="5581650" cy="2867025"/>
            <wp:effectExtent l="0" t="0" r="0" b="0"/>
            <wp:docPr id="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581650" cy="2867025"/>
                    </a:xfrm>
                    <a:prstGeom prst="rect">
                      <a:avLst/>
                    </a:prstGeom>
                    <a:ln/>
                  </pic:spPr>
                </pic:pic>
              </a:graphicData>
            </a:graphic>
          </wp:inline>
        </w:drawing>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asimismo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Expuestas las posturas de las partes, conviene iniciar el presente análisis señalando que quien se pronunció para estos requerimientos, fue el Director de Administración, el cual es el servidor público habilitado competente para dar respuesta a estos requerimientos por ser la unidad administrativa que conduce la administración de los recursos humanos, dicha aseveración encuentra sustento en lo previsto por el Manual de Organización de la Dirección de Administración, el cual se trae a colación para mejor proveer del estudio: </w:t>
      </w:r>
    </w:p>
    <w:p w:rsidR="0036583D" w:rsidRDefault="003B6783">
      <w:pPr>
        <w:spacing w:before="240" w:after="240" w:line="360"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rPr>
        <w:drawing>
          <wp:inline distT="0" distB="0" distL="0" distR="0">
            <wp:extent cx="3733934" cy="5108860"/>
            <wp:effectExtent l="0" t="0" r="0" b="0"/>
            <wp:docPr id="8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733934" cy="5108860"/>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1003300</wp:posOffset>
                </wp:positionH>
                <wp:positionV relativeFrom="paragraph">
                  <wp:posOffset>3479800</wp:posOffset>
                </wp:positionV>
                <wp:extent cx="3648075" cy="295275"/>
                <wp:effectExtent l="0" t="0" r="0" b="0"/>
                <wp:wrapNone/>
                <wp:docPr id="72" name="Rectángulo 72"/>
                <wp:cNvGraphicFramePr/>
                <a:graphic xmlns:a="http://schemas.openxmlformats.org/drawingml/2006/main">
                  <a:graphicData uri="http://schemas.microsoft.com/office/word/2010/wordprocessingShape">
                    <wps:wsp>
                      <wps:cNvSpPr/>
                      <wps:spPr>
                        <a:xfrm>
                          <a:off x="3531488" y="3641888"/>
                          <a:ext cx="3629025" cy="276225"/>
                        </a:xfrm>
                        <a:prstGeom prst="rect">
                          <a:avLst/>
                        </a:prstGeom>
                        <a:noFill/>
                        <a:ln w="19050" cap="flat" cmpd="sng">
                          <a:solidFill>
                            <a:srgbClr val="002060"/>
                          </a:solidFill>
                          <a:prstDash val="solid"/>
                          <a:round/>
                          <a:headEnd type="none" w="sm" len="sm"/>
                          <a:tailEnd type="none" w="sm" len="sm"/>
                        </a:ln>
                      </wps:spPr>
                      <wps:txbx>
                        <w:txbxContent>
                          <w:p w:rsidR="0036583D" w:rsidRDefault="0036583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1003300</wp:posOffset>
                </wp:positionH>
                <wp:positionV relativeFrom="paragraph">
                  <wp:posOffset>3479800</wp:posOffset>
                </wp:positionV>
                <wp:extent cx="3648075" cy="295275"/>
                <wp:effectExtent b="0" l="0" r="0" t="0"/>
                <wp:wrapNone/>
                <wp:docPr id="72"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3648075" cy="295275"/>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990600</wp:posOffset>
                </wp:positionH>
                <wp:positionV relativeFrom="paragraph">
                  <wp:posOffset>4076700</wp:posOffset>
                </wp:positionV>
                <wp:extent cx="3657600" cy="476250"/>
                <wp:effectExtent l="0" t="0" r="0" b="0"/>
                <wp:wrapNone/>
                <wp:docPr id="73" name="Rectángulo 73"/>
                <wp:cNvGraphicFramePr/>
                <a:graphic xmlns:a="http://schemas.openxmlformats.org/drawingml/2006/main">
                  <a:graphicData uri="http://schemas.microsoft.com/office/word/2010/wordprocessingShape">
                    <wps:wsp>
                      <wps:cNvSpPr/>
                      <wps:spPr>
                        <a:xfrm>
                          <a:off x="3531488" y="3556163"/>
                          <a:ext cx="3629025" cy="447675"/>
                        </a:xfrm>
                        <a:prstGeom prst="rect">
                          <a:avLst/>
                        </a:prstGeom>
                        <a:noFill/>
                        <a:ln w="28575" cap="flat" cmpd="sng">
                          <a:solidFill>
                            <a:srgbClr val="002060"/>
                          </a:solidFill>
                          <a:prstDash val="solid"/>
                          <a:round/>
                          <a:headEnd type="none" w="sm" len="sm"/>
                          <a:tailEnd type="none" w="sm" len="sm"/>
                        </a:ln>
                      </wps:spPr>
                      <wps:txbx>
                        <w:txbxContent>
                          <w:p w:rsidR="0036583D" w:rsidRDefault="0036583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990600</wp:posOffset>
                </wp:positionH>
                <wp:positionV relativeFrom="paragraph">
                  <wp:posOffset>4076700</wp:posOffset>
                </wp:positionV>
                <wp:extent cx="3657600" cy="476250"/>
                <wp:effectExtent b="0" l="0" r="0" t="0"/>
                <wp:wrapNone/>
                <wp:docPr id="73"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3657600" cy="476250"/>
                        </a:xfrm>
                        <a:prstGeom prst="rect"/>
                        <a:ln/>
                      </pic:spPr>
                    </pic:pic>
                  </a:graphicData>
                </a:graphic>
              </wp:anchor>
            </w:drawing>
          </mc:Fallback>
        </mc:AlternateContent>
      </w:r>
    </w:p>
    <w:p w:rsidR="0036583D" w:rsidRDefault="003B6783">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905375" cy="2505075"/>
            <wp:effectExtent l="0" t="0" r="0" b="0"/>
            <wp:docPr id="8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4905375" cy="2505075"/>
                    </a:xfrm>
                    <a:prstGeom prst="rect">
                      <a:avLst/>
                    </a:prstGeom>
                    <a:ln/>
                  </pic:spPr>
                </pic:pic>
              </a:graphicData>
            </a:graphic>
          </wp:inline>
        </w:drawing>
      </w:r>
    </w:p>
    <w:p w:rsidR="0036583D" w:rsidRDefault="003B6783">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914900" cy="1457325"/>
            <wp:effectExtent l="0" t="0" r="0" b="0"/>
            <wp:docPr id="8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4914900" cy="1457325"/>
                    </a:xfrm>
                    <a:prstGeom prst="rect">
                      <a:avLst/>
                    </a:prstGeom>
                    <a:ln/>
                  </pic:spPr>
                </pic:pic>
              </a:graphicData>
            </a:graphic>
          </wp:inline>
        </w:drawing>
      </w:r>
    </w:p>
    <w:p w:rsidR="0036583D" w:rsidRDefault="003B678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con lo citado anteriormente, se tiene que la respuesta fue vertida por la unidad administrativa competente, ello en virtud de que la Dirección de Administración es la unidad encargada de conducir la política en materia de recursos humanos, específicamente implementar el adecuado proceso de reclutamiento, selección, inducción, capacitación y contratación de personal para asignarlo a las dependencias de la administración municipal que así lo requieran, por lo que al haber existido un pronunciamiento por parte del Servidor Público Habilitado competente, este Instituto no está facultado para manifestarse sobre la veracidad del mismo, pues no existe precepto legal alguno en la Ley de la materia que lo faculte para que vía recurso de revisión, pueda pronunciarse al respecto, </w:t>
      </w:r>
      <w:r>
        <w:rPr>
          <w:rFonts w:ascii="Palatino Linotype" w:eastAsia="Palatino Linotype" w:hAnsi="Palatino Linotype" w:cs="Palatino Linotype"/>
        </w:rPr>
        <w:lastRenderedPageBreak/>
        <w:t>sirve de apoyo a lo anterior, por analogía el criterio 31-10 emitido por el entonces Instituto Federal de Acceso a la Información ahora Instituto Nacional de Transparencia, Acceso a la Información y Protección de Datos Personales (INAI) que a la letra dice:</w:t>
      </w:r>
    </w:p>
    <w:p w:rsidR="0036583D" w:rsidRDefault="003B6783">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rsidR="0036583D" w:rsidRDefault="003B6783">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es pertinente analizar de manera esquematizada las constancias que conforman el expediente electrónico para efecto de determinar si existe una afectación al derecho de acceso a la información pública del particular y, de ser el caso, ordenar la entrega de la información: </w:t>
      </w:r>
    </w:p>
    <w:tbl>
      <w:tblPr>
        <w:tblStyle w:val="a4"/>
        <w:tblW w:w="90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816"/>
        <w:gridCol w:w="3260"/>
        <w:gridCol w:w="1266"/>
      </w:tblGrid>
      <w:tr w:rsidR="0036583D">
        <w:tc>
          <w:tcPr>
            <w:tcW w:w="1696" w:type="dxa"/>
            <w:shd w:val="clear" w:color="auto" w:fill="DBEEF3"/>
          </w:tcPr>
          <w:p w:rsidR="0036583D" w:rsidRDefault="003B6783">
            <w:pPr>
              <w:tabs>
                <w:tab w:val="left" w:pos="7513"/>
              </w:tabs>
              <w:spacing w:before="240" w:after="240" w:line="276"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Solicitud</w:t>
            </w:r>
          </w:p>
        </w:tc>
        <w:tc>
          <w:tcPr>
            <w:tcW w:w="2816" w:type="dxa"/>
            <w:shd w:val="clear" w:color="auto" w:fill="DBEEF3"/>
          </w:tcPr>
          <w:p w:rsidR="0036583D" w:rsidRDefault="003B6783">
            <w:pPr>
              <w:tabs>
                <w:tab w:val="left" w:pos="7513"/>
              </w:tabs>
              <w:spacing w:before="240" w:after="240" w:line="276"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Respuesta</w:t>
            </w:r>
          </w:p>
        </w:tc>
        <w:tc>
          <w:tcPr>
            <w:tcW w:w="3260" w:type="dxa"/>
            <w:shd w:val="clear" w:color="auto" w:fill="DBEEF3"/>
          </w:tcPr>
          <w:p w:rsidR="0036583D" w:rsidRDefault="003B6783">
            <w:pPr>
              <w:tabs>
                <w:tab w:val="left" w:pos="7513"/>
              </w:tabs>
              <w:spacing w:before="240" w:after="240" w:line="276"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Informe Justificado</w:t>
            </w:r>
          </w:p>
        </w:tc>
        <w:tc>
          <w:tcPr>
            <w:tcW w:w="1266" w:type="dxa"/>
            <w:shd w:val="clear" w:color="auto" w:fill="DBEEF3"/>
          </w:tcPr>
          <w:p w:rsidR="0036583D" w:rsidRDefault="003B6783">
            <w:pPr>
              <w:tabs>
                <w:tab w:val="left" w:pos="7513"/>
              </w:tabs>
              <w:spacing w:before="240" w:after="240" w:line="276"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Colma</w:t>
            </w:r>
          </w:p>
        </w:tc>
      </w:tr>
      <w:tr w:rsidR="0036583D">
        <w:tc>
          <w:tcPr>
            <w:tcW w:w="1696" w:type="dxa"/>
          </w:tcPr>
          <w:p w:rsidR="0036583D" w:rsidRDefault="003B6783">
            <w:pPr>
              <w:tabs>
                <w:tab w:val="left" w:pos="7513"/>
              </w:tabs>
              <w:spacing w:before="240" w:after="240" w:line="276" w:lineRule="auto"/>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El grado máximo de estudios de todos los </w:t>
            </w:r>
            <w:r>
              <w:rPr>
                <w:rFonts w:ascii="Palatino Linotype" w:eastAsia="Palatino Linotype" w:hAnsi="Palatino Linotype" w:cs="Palatino Linotype"/>
                <w:b/>
                <w:sz w:val="20"/>
                <w:szCs w:val="20"/>
              </w:rPr>
              <w:lastRenderedPageBreak/>
              <w:t>coordinadores y regidores.</w:t>
            </w:r>
          </w:p>
        </w:tc>
        <w:tc>
          <w:tcPr>
            <w:tcW w:w="2816" w:type="dxa"/>
          </w:tcPr>
          <w:p w:rsidR="0036583D" w:rsidRDefault="003B6783">
            <w:pPr>
              <w:tabs>
                <w:tab w:val="left" w:pos="7513"/>
              </w:tabs>
              <w:spacing w:before="240" w:after="240" w:line="276" w:lineRule="auto"/>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Grado de estudio de regidores: </w:t>
            </w:r>
          </w:p>
          <w:p w:rsidR="0036583D" w:rsidRDefault="003B6783">
            <w:pPr>
              <w:tabs>
                <w:tab w:val="left" w:pos="7513"/>
              </w:tabs>
              <w:spacing w:before="240" w:after="240"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Director de Administración: </w:t>
            </w:r>
            <w:r>
              <w:rPr>
                <w:rFonts w:ascii="Palatino Linotype" w:eastAsia="Palatino Linotype" w:hAnsi="Palatino Linotype" w:cs="Palatino Linotype"/>
                <w:sz w:val="20"/>
                <w:szCs w:val="20"/>
              </w:rPr>
              <w:t xml:space="preserve">De acuerdo a lo establecido </w:t>
            </w:r>
            <w:r>
              <w:rPr>
                <w:rFonts w:ascii="Palatino Linotype" w:eastAsia="Palatino Linotype" w:hAnsi="Palatino Linotype" w:cs="Palatino Linotype"/>
                <w:sz w:val="20"/>
                <w:szCs w:val="20"/>
              </w:rPr>
              <w:lastRenderedPageBreak/>
              <w:t xml:space="preserve">por los artículo 15 y 16 de la Ley Orgánica Municipal del Estado de México, </w:t>
            </w:r>
            <w:r>
              <w:rPr>
                <w:rFonts w:ascii="Palatino Linotype" w:eastAsia="Palatino Linotype" w:hAnsi="Palatino Linotype" w:cs="Palatino Linotype"/>
                <w:b/>
                <w:sz w:val="20"/>
                <w:szCs w:val="20"/>
                <w:u w:val="single"/>
              </w:rPr>
              <w:t>los representantes de elección popular no están obligados a presentar la información requerida a esta unidad administrativa, toda vez que fueron seleccionados mediante elección popular</w:t>
            </w:r>
            <w:r>
              <w:rPr>
                <w:rFonts w:ascii="Palatino Linotype" w:eastAsia="Palatino Linotype" w:hAnsi="Palatino Linotype" w:cs="Palatino Linotype"/>
                <w:sz w:val="20"/>
                <w:szCs w:val="20"/>
              </w:rPr>
              <w:t xml:space="preserve"> y no se rigen por la Ley del Trabajo de los Servidores Públicos.</w:t>
            </w:r>
          </w:p>
          <w:p w:rsidR="0036583D" w:rsidRDefault="003B6783">
            <w:pPr>
              <w:tabs>
                <w:tab w:val="left" w:pos="7513"/>
              </w:tabs>
              <w:spacing w:before="240" w:after="240" w:line="276"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Grado de estudios de todos los coordinadores: Director de Administración: </w:t>
            </w:r>
            <w:r>
              <w:rPr>
                <w:rFonts w:ascii="Palatino Linotype" w:eastAsia="Palatino Linotype" w:hAnsi="Palatino Linotype" w:cs="Palatino Linotype"/>
                <w:sz w:val="20"/>
                <w:szCs w:val="20"/>
              </w:rPr>
              <w:t>En el archivo electrónico</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b/>
                <w:i/>
                <w:sz w:val="20"/>
                <w:szCs w:val="20"/>
              </w:rPr>
              <w:t xml:space="preserve">“BASE PARA SOLICITUD 199.xlsx”, </w:t>
            </w:r>
            <w:r>
              <w:rPr>
                <w:rFonts w:ascii="Palatino Linotype" w:eastAsia="Palatino Linotype" w:hAnsi="Palatino Linotype" w:cs="Palatino Linotype"/>
                <w:sz w:val="20"/>
                <w:szCs w:val="20"/>
              </w:rPr>
              <w:t>se advierte la relación de mandos medios y superiores actualizada a abril 2022 en la que se aprecian los grados de estudios de coordinadores y directores de área.</w:t>
            </w:r>
          </w:p>
        </w:tc>
        <w:tc>
          <w:tcPr>
            <w:tcW w:w="3260" w:type="dxa"/>
          </w:tcPr>
          <w:p w:rsidR="0036583D" w:rsidRDefault="003B6783">
            <w:pPr>
              <w:tabs>
                <w:tab w:val="left" w:pos="7513"/>
              </w:tabs>
              <w:spacing w:before="240" w:after="240" w:line="276" w:lineRule="auto"/>
              <w:ind w:right="4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Por cuanto hace al grado de estudios de coordinadores y directores de área, estos se especifican en la relación de mandos medios y superiores actualizada a abril 2022.</w:t>
            </w:r>
          </w:p>
          <w:p w:rsidR="0036583D" w:rsidRDefault="003B6783">
            <w:pPr>
              <w:tabs>
                <w:tab w:val="left" w:pos="7513"/>
              </w:tabs>
              <w:spacing w:before="240" w:after="240" w:line="276" w:lineRule="auto"/>
              <w:ind w:right="4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Se ilustra con un extracto de dicha base de datos.</w:t>
            </w:r>
          </w:p>
          <w:p w:rsidR="0036583D" w:rsidRDefault="003B6783">
            <w:pPr>
              <w:tabs>
                <w:tab w:val="left" w:pos="7513"/>
              </w:tabs>
              <w:spacing w:before="240" w:after="240" w:line="276" w:lineRule="auto"/>
              <w:ind w:right="49"/>
              <w:jc w:val="both"/>
              <w:rPr>
                <w:rFonts w:ascii="Palatino Linotype" w:eastAsia="Palatino Linotype" w:hAnsi="Palatino Linotype" w:cs="Palatino Linotype"/>
                <w:sz w:val="18"/>
                <w:szCs w:val="18"/>
              </w:rPr>
            </w:pPr>
            <w:r>
              <w:object w:dxaOrig="3765"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15pt;height:116.15pt" o:ole="">
                  <v:imagedata r:id="rId32" o:title=""/>
                </v:shape>
                <o:OLEObject Type="Embed" ProgID="PBrush" ShapeID="_x0000_i1025" DrawAspect="Content" ObjectID="_1726470951" r:id="rId33"/>
              </w:object>
            </w:r>
          </w:p>
          <w:p w:rsidR="0036583D" w:rsidRDefault="0036583D">
            <w:pPr>
              <w:tabs>
                <w:tab w:val="left" w:pos="7513"/>
              </w:tabs>
              <w:spacing w:before="240" w:after="240" w:line="276" w:lineRule="auto"/>
              <w:ind w:right="49"/>
              <w:jc w:val="both"/>
              <w:rPr>
                <w:rFonts w:ascii="Palatino Linotype" w:eastAsia="Palatino Linotype" w:hAnsi="Palatino Linotype" w:cs="Palatino Linotype"/>
              </w:rPr>
            </w:pPr>
          </w:p>
        </w:tc>
        <w:tc>
          <w:tcPr>
            <w:tcW w:w="1266" w:type="dxa"/>
          </w:tcPr>
          <w:p w:rsidR="0036583D" w:rsidRDefault="003B6783">
            <w:pPr>
              <w:tabs>
                <w:tab w:val="left" w:pos="7513"/>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sz w:val="22"/>
                <w:szCs w:val="22"/>
              </w:rPr>
              <w:lastRenderedPageBreak/>
              <w:t>Si</w:t>
            </w:r>
          </w:p>
        </w:tc>
      </w:tr>
      <w:tr w:rsidR="0036583D">
        <w:tc>
          <w:tcPr>
            <w:tcW w:w="1696" w:type="dxa"/>
          </w:tcPr>
          <w:p w:rsidR="0036583D" w:rsidRDefault="003B6783">
            <w:pPr>
              <w:tabs>
                <w:tab w:val="left" w:pos="7513"/>
              </w:tabs>
              <w:spacing w:before="240" w:after="240" w:line="276" w:lineRule="auto"/>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En su caso saber si cuenta con título y con cédula profesional, cuántos de licenciatura, cuántos con maestría y </w:t>
            </w:r>
            <w:r>
              <w:rPr>
                <w:rFonts w:ascii="Palatino Linotype" w:eastAsia="Palatino Linotype" w:hAnsi="Palatino Linotype" w:cs="Palatino Linotype"/>
                <w:b/>
                <w:sz w:val="20"/>
                <w:szCs w:val="20"/>
              </w:rPr>
              <w:lastRenderedPageBreak/>
              <w:t xml:space="preserve">cuántos con doctorado. </w:t>
            </w:r>
          </w:p>
        </w:tc>
        <w:tc>
          <w:tcPr>
            <w:tcW w:w="2816" w:type="dxa"/>
          </w:tcPr>
          <w:p w:rsidR="0036583D" w:rsidRDefault="003B6783">
            <w:pPr>
              <w:tabs>
                <w:tab w:val="left" w:pos="7513"/>
              </w:tabs>
              <w:spacing w:before="240" w:after="240"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0"/>
                <w:szCs w:val="20"/>
              </w:rPr>
              <w:lastRenderedPageBreak/>
              <w:t xml:space="preserve">Director de Administración: </w:t>
            </w:r>
            <w:r>
              <w:rPr>
                <w:rFonts w:ascii="Palatino Linotype" w:eastAsia="Palatino Linotype" w:hAnsi="Palatino Linotype" w:cs="Palatino Linotype"/>
                <w:sz w:val="20"/>
                <w:szCs w:val="20"/>
              </w:rPr>
              <w:t>En el archivo electrónico</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b/>
                <w:i/>
                <w:sz w:val="20"/>
                <w:szCs w:val="20"/>
              </w:rPr>
              <w:t xml:space="preserve">“BASE PARA SOLICITUD 199.xlsx”, </w:t>
            </w:r>
            <w:r>
              <w:rPr>
                <w:rFonts w:ascii="Palatino Linotype" w:eastAsia="Palatino Linotype" w:hAnsi="Palatino Linotype" w:cs="Palatino Linotype"/>
                <w:sz w:val="20"/>
                <w:szCs w:val="20"/>
              </w:rPr>
              <w:t>se advierten los mandos medios y superiores que cuentan con cédula profesional, titulo de licenciatura, cuantos tienen maestría y doctorado.</w:t>
            </w:r>
          </w:p>
        </w:tc>
        <w:tc>
          <w:tcPr>
            <w:tcW w:w="3260" w:type="dxa"/>
          </w:tcPr>
          <w:p w:rsidR="0036583D" w:rsidRDefault="003B6783">
            <w:pPr>
              <w:tabs>
                <w:tab w:val="left" w:pos="7513"/>
              </w:tabs>
              <w:spacing w:before="240" w:after="240"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Manifiesta que en la base de datos remitida en respuesta, obra una columna denominada </w:t>
            </w:r>
            <w:r>
              <w:rPr>
                <w:rFonts w:ascii="Palatino Linotype" w:eastAsia="Palatino Linotype" w:hAnsi="Palatino Linotype" w:cs="Palatino Linotype"/>
                <w:b/>
                <w:sz w:val="20"/>
                <w:szCs w:val="20"/>
              </w:rPr>
              <w:t>“DOCUMENTO QUE LO ACREDITA”</w:t>
            </w:r>
            <w:r>
              <w:rPr>
                <w:rFonts w:ascii="Palatino Linotype" w:eastAsia="Palatino Linotype" w:hAnsi="Palatino Linotype" w:cs="Palatino Linotype"/>
                <w:sz w:val="20"/>
                <w:szCs w:val="20"/>
              </w:rPr>
              <w:t>; refiere si cuenta con título o cédula profesional, en el recuadro azul al final de la tabla se indica el número total de cuantos cuentan con licenciatura, maestría y doctorado.</w:t>
            </w:r>
          </w:p>
          <w:p w:rsidR="0036583D" w:rsidRDefault="003B6783">
            <w:pPr>
              <w:tabs>
                <w:tab w:val="left" w:pos="7513"/>
              </w:tabs>
              <w:spacing w:before="240" w:after="240" w:line="276" w:lineRule="auto"/>
              <w:ind w:right="4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Se ilustra con un extracto de dicha base de datos.</w:t>
            </w:r>
          </w:p>
          <w:p w:rsidR="0036583D" w:rsidRDefault="003B6783">
            <w:pPr>
              <w:tabs>
                <w:tab w:val="left" w:pos="7513"/>
              </w:tabs>
              <w:spacing w:before="240" w:after="240" w:line="276" w:lineRule="auto"/>
              <w:ind w:right="49"/>
              <w:jc w:val="both"/>
              <w:rPr>
                <w:rFonts w:ascii="Palatino Linotype" w:eastAsia="Palatino Linotype" w:hAnsi="Palatino Linotype" w:cs="Palatino Linotype"/>
                <w:sz w:val="20"/>
                <w:szCs w:val="20"/>
              </w:rPr>
            </w:pPr>
            <w:r>
              <w:object w:dxaOrig="3165" w:dyaOrig="1860">
                <v:shape id="_x0000_i1026" type="#_x0000_t75" style="width:158.5pt;height:93.2pt" o:ole="">
                  <v:imagedata r:id="rId34" o:title=""/>
                </v:shape>
                <o:OLEObject Type="Embed" ProgID="PBrush" ShapeID="_x0000_i1026" DrawAspect="Content" ObjectID="_1726470952" r:id="rId35"/>
              </w:object>
            </w:r>
          </w:p>
          <w:p w:rsidR="0036583D" w:rsidRDefault="003B6783">
            <w:pPr>
              <w:tabs>
                <w:tab w:val="left" w:pos="7513"/>
              </w:tabs>
              <w:spacing w:before="240" w:after="240" w:line="276" w:lineRule="auto"/>
              <w:ind w:right="49"/>
              <w:jc w:val="both"/>
              <w:rPr>
                <w:rFonts w:ascii="Palatino Linotype" w:eastAsia="Palatino Linotype" w:hAnsi="Palatino Linotype" w:cs="Palatino Linotype"/>
              </w:rPr>
            </w:pPr>
            <w:r>
              <w:object w:dxaOrig="2970" w:dyaOrig="330">
                <v:shape id="_x0000_i1027" type="#_x0000_t75" style="width:148.25pt;height:16.35pt" o:ole="">
                  <v:imagedata r:id="rId36" o:title=""/>
                </v:shape>
                <o:OLEObject Type="Embed" ProgID="PBrush" ShapeID="_x0000_i1027" DrawAspect="Content" ObjectID="_1726470953" r:id="rId37"/>
              </w:object>
            </w:r>
          </w:p>
        </w:tc>
        <w:tc>
          <w:tcPr>
            <w:tcW w:w="1266" w:type="dxa"/>
          </w:tcPr>
          <w:p w:rsidR="0036583D" w:rsidRDefault="003B6783">
            <w:pPr>
              <w:tabs>
                <w:tab w:val="left" w:pos="7513"/>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sz w:val="22"/>
                <w:szCs w:val="22"/>
              </w:rPr>
              <w:lastRenderedPageBreak/>
              <w:t>Si</w:t>
            </w:r>
          </w:p>
        </w:tc>
      </w:tr>
      <w:tr w:rsidR="0036583D">
        <w:tc>
          <w:tcPr>
            <w:tcW w:w="1696" w:type="dxa"/>
          </w:tcPr>
          <w:p w:rsidR="0036583D" w:rsidRDefault="003B6783">
            <w:pPr>
              <w:tabs>
                <w:tab w:val="left" w:pos="7513"/>
              </w:tabs>
              <w:spacing w:before="240" w:after="240" w:line="276" w:lineRule="auto"/>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Cuántas direcciones son en total y cuántas de ellas son ocupadas por mujeres, igualmente las coordinaciones y jefaturas de área.</w:t>
            </w:r>
          </w:p>
        </w:tc>
        <w:tc>
          <w:tcPr>
            <w:tcW w:w="2816" w:type="dxa"/>
          </w:tcPr>
          <w:p w:rsidR="0036583D" w:rsidRDefault="003B6783">
            <w:pPr>
              <w:tabs>
                <w:tab w:val="left" w:pos="7513"/>
              </w:tabs>
              <w:spacing w:before="240" w:after="240"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Envía el bando municipal en el cual refiere que en las páginas 47-52 podrá consultar las direcciones. </w:t>
            </w:r>
          </w:p>
          <w:p w:rsidR="0036583D" w:rsidRDefault="003B6783">
            <w:pPr>
              <w:tabs>
                <w:tab w:val="left" w:pos="7513"/>
              </w:tabs>
              <w:spacing w:before="240" w:after="240"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Asimismo en la relación de mandos medios y superiores actualizada al mes de abril de 2022, se aprecia el número de direcciones.</w:t>
            </w:r>
          </w:p>
          <w:p w:rsidR="0036583D" w:rsidRDefault="003B6783">
            <w:pPr>
              <w:tabs>
                <w:tab w:val="left" w:pos="7513"/>
              </w:tabs>
              <w:spacing w:before="240" w:after="240"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Respecto al número de mujeres, se observa que fueron iluminados en dicha tabla con color morado y también precisa el nombre en el cuadro. </w:t>
            </w:r>
          </w:p>
          <w:p w:rsidR="0036583D" w:rsidRDefault="003B6783">
            <w:pPr>
              <w:tabs>
                <w:tab w:val="left" w:pos="7513"/>
              </w:tabs>
              <w:spacing w:before="240" w:after="240" w:line="276" w:lineRule="auto"/>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Número de Direcciones: 12</w:t>
            </w:r>
          </w:p>
          <w:p w:rsidR="0036583D" w:rsidRDefault="003B6783">
            <w:pPr>
              <w:tabs>
                <w:tab w:val="left" w:pos="7513"/>
              </w:tabs>
              <w:spacing w:before="240" w:after="240" w:line="276" w:lineRule="auto"/>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Mujeres: 16</w:t>
            </w:r>
          </w:p>
          <w:p w:rsidR="0036583D" w:rsidRDefault="003B6783">
            <w:pPr>
              <w:tabs>
                <w:tab w:val="left" w:pos="7513"/>
              </w:tabs>
              <w:spacing w:before="240" w:after="240" w:line="276" w:lineRule="auto"/>
              <w:ind w:right="49"/>
              <w:jc w:val="both"/>
              <w:rPr>
                <w:rFonts w:ascii="Palatino Linotype" w:eastAsia="Palatino Linotype" w:hAnsi="Palatino Linotype" w:cs="Palatino Linotype"/>
              </w:rPr>
            </w:pPr>
            <w:r>
              <w:object w:dxaOrig="2220" w:dyaOrig="660">
                <v:shape id="_x0000_i1028" type="#_x0000_t75" style="width:110.7pt;height:33.3pt" o:ole="">
                  <v:imagedata r:id="rId38" o:title=""/>
                </v:shape>
                <o:OLEObject Type="Embed" ProgID="PBrush" ShapeID="_x0000_i1028" DrawAspect="Content" ObjectID="_1726470954" r:id="rId39"/>
              </w:object>
            </w:r>
          </w:p>
        </w:tc>
        <w:tc>
          <w:tcPr>
            <w:tcW w:w="3260" w:type="dxa"/>
          </w:tcPr>
          <w:p w:rsidR="0036583D" w:rsidRDefault="003B6783">
            <w:pPr>
              <w:tabs>
                <w:tab w:val="left" w:pos="7513"/>
              </w:tabs>
              <w:spacing w:before="240" w:after="240"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El Director de Administración precisa que en el recuadro de color morado en la tabla, se especifica las áreas que son ocupadas por personal femenino y en el cuadro azul se especifica el número total:</w:t>
            </w:r>
          </w:p>
          <w:p w:rsidR="0036583D" w:rsidRDefault="003B6783">
            <w:pPr>
              <w:tabs>
                <w:tab w:val="left" w:pos="7513"/>
              </w:tabs>
              <w:spacing w:before="240" w:after="240" w:line="276" w:lineRule="auto"/>
              <w:ind w:right="49"/>
              <w:jc w:val="both"/>
            </w:pPr>
            <w:r>
              <w:object w:dxaOrig="3750" w:dyaOrig="1170">
                <v:shape id="_x0000_i1029" type="#_x0000_t75" style="width:187.55pt;height:58.7pt" o:ole="">
                  <v:imagedata r:id="rId40" o:title=""/>
                </v:shape>
                <o:OLEObject Type="Embed" ProgID="PBrush" ShapeID="_x0000_i1029" DrawAspect="Content" ObjectID="_1726470955" r:id="rId41"/>
              </w:object>
            </w:r>
            <w:r>
              <w:t xml:space="preserve"> </w:t>
            </w:r>
            <w:r>
              <w:object w:dxaOrig="3165" w:dyaOrig="945">
                <v:shape id="_x0000_i1030" type="#_x0000_t75" style="width:158.5pt;height:47.2pt" o:ole="">
                  <v:imagedata r:id="rId38" o:title=""/>
                </v:shape>
                <o:OLEObject Type="Embed" ProgID="PBrush" ShapeID="_x0000_i1030" DrawAspect="Content" ObjectID="_1726470956" r:id="rId42"/>
              </w:object>
            </w:r>
            <w:r>
              <w:rPr>
                <w:noProof/>
                <w:lang w:val="es-MX"/>
              </w:rPr>
              <mc:AlternateContent>
                <mc:Choice Requires="wpg">
                  <w:drawing>
                    <wp:anchor distT="0" distB="0" distL="114300" distR="114300" simplePos="0" relativeHeight="251662336" behindDoc="0" locked="0" layoutInCell="1" hidden="0" allowOverlap="1">
                      <wp:simplePos x="0" y="0"/>
                      <wp:positionH relativeFrom="column">
                        <wp:posOffset>1</wp:posOffset>
                      </wp:positionH>
                      <wp:positionV relativeFrom="paragraph">
                        <wp:posOffset>1066800</wp:posOffset>
                      </wp:positionV>
                      <wp:extent cx="2009775" cy="238125"/>
                      <wp:effectExtent l="0" t="0" r="0" b="0"/>
                      <wp:wrapNone/>
                      <wp:docPr id="71" name="Rectángulo 71"/>
                      <wp:cNvGraphicFramePr/>
                      <a:graphic xmlns:a="http://schemas.openxmlformats.org/drawingml/2006/main">
                        <a:graphicData uri="http://schemas.microsoft.com/office/word/2010/wordprocessingShape">
                          <wps:wsp>
                            <wps:cNvSpPr/>
                            <wps:spPr>
                              <a:xfrm>
                                <a:off x="4350638" y="3670463"/>
                                <a:ext cx="1990725" cy="219075"/>
                              </a:xfrm>
                              <a:prstGeom prst="rect">
                                <a:avLst/>
                              </a:prstGeom>
                              <a:noFill/>
                              <a:ln w="19050" cap="flat" cmpd="sng">
                                <a:solidFill>
                                  <a:srgbClr val="002060"/>
                                </a:solidFill>
                                <a:prstDash val="solid"/>
                                <a:round/>
                                <a:headEnd type="none" w="sm" len="sm"/>
                                <a:tailEnd type="none" w="sm" len="sm"/>
                              </a:ln>
                            </wps:spPr>
                            <wps:txbx>
                              <w:txbxContent>
                                <w:p w:rsidR="0036583D" w:rsidRDefault="0036583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1066800</wp:posOffset>
                      </wp:positionV>
                      <wp:extent cx="2009775" cy="238125"/>
                      <wp:effectExtent b="0" l="0" r="0" t="0"/>
                      <wp:wrapNone/>
                      <wp:docPr id="71" name="image19.png"/>
                      <a:graphic>
                        <a:graphicData uri="http://schemas.openxmlformats.org/drawingml/2006/picture">
                          <pic:pic>
                            <pic:nvPicPr>
                              <pic:cNvPr id="0" name="image19.png"/>
                              <pic:cNvPicPr preferRelativeResize="0"/>
                            </pic:nvPicPr>
                            <pic:blipFill>
                              <a:blip r:embed="rId43"/>
                              <a:srcRect/>
                              <a:stretch>
                                <a:fillRect/>
                              </a:stretch>
                            </pic:blipFill>
                            <pic:spPr>
                              <a:xfrm>
                                <a:off x="0" y="0"/>
                                <a:ext cx="2009775" cy="238125"/>
                              </a:xfrm>
                              <a:prstGeom prst="rect"/>
                              <a:ln/>
                            </pic:spPr>
                          </pic:pic>
                        </a:graphicData>
                      </a:graphic>
                    </wp:anchor>
                  </w:drawing>
                </mc:Fallback>
              </mc:AlternateContent>
            </w:r>
          </w:p>
          <w:p w:rsidR="0036583D" w:rsidRDefault="0036583D">
            <w:pPr>
              <w:tabs>
                <w:tab w:val="left" w:pos="7513"/>
              </w:tabs>
              <w:spacing w:before="240" w:after="240" w:line="276" w:lineRule="auto"/>
              <w:ind w:right="49"/>
              <w:jc w:val="both"/>
              <w:rPr>
                <w:rFonts w:ascii="Palatino Linotype" w:eastAsia="Palatino Linotype" w:hAnsi="Palatino Linotype" w:cs="Palatino Linotype"/>
              </w:rPr>
            </w:pPr>
          </w:p>
        </w:tc>
        <w:tc>
          <w:tcPr>
            <w:tcW w:w="1266" w:type="dxa"/>
          </w:tcPr>
          <w:p w:rsidR="0036583D" w:rsidRDefault="003B6783">
            <w:pPr>
              <w:tabs>
                <w:tab w:val="left" w:pos="7513"/>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sz w:val="22"/>
                <w:szCs w:val="22"/>
              </w:rPr>
              <w:t>Si</w:t>
            </w:r>
          </w:p>
        </w:tc>
      </w:tr>
    </w:tbl>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ilustrado previamente en el cuadro de análisis,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 su servidor público habilitado, es decir, el </w:t>
      </w:r>
      <w:r>
        <w:rPr>
          <w:rFonts w:ascii="Palatino Linotype" w:eastAsia="Palatino Linotype" w:hAnsi="Palatino Linotype" w:cs="Palatino Linotype"/>
          <w:b/>
        </w:rPr>
        <w:t xml:space="preserve">Director de Administración, </w:t>
      </w:r>
      <w:r>
        <w:rPr>
          <w:rFonts w:ascii="Palatino Linotype" w:eastAsia="Palatino Linotype" w:hAnsi="Palatino Linotype" w:cs="Palatino Linotype"/>
        </w:rPr>
        <w:t xml:space="preserve">atendió puntualmente cada requerimiento de información del particular, esto mediante un documento ad hoc en formato Excel, es de resaltarse que si bien es cierto,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solicitó un documento en específico, no menos cierto es que en observancia al principio de máxima publicidad,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optó por atender dichos planteamientos mediante un documento elaborado que conjunta todos los requerimientos de información en una base de datos, es decir, en un documento ad hoc.</w:t>
      </w:r>
    </w:p>
    <w:p w:rsidR="0036583D" w:rsidRDefault="003B6783">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rPr>
        <w:t xml:space="preserve">Aunado a lo anterior, es preciso señalar que el derecho de acceso a la información pública se satisface en aquellos casos en que se entregue el soporte documental en que conste la información pública, sin la necesidad de elaborar documentos </w:t>
      </w:r>
      <w:r>
        <w:rPr>
          <w:rFonts w:ascii="Palatino Linotype" w:eastAsia="Palatino Linotype" w:hAnsi="Palatino Linotype" w:cs="Palatino Linotype"/>
          <w:i/>
        </w:rPr>
        <w:t>ad hoc</w:t>
      </w:r>
      <w:r>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reitera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elaboró un documento ad hoc para dar cabal cumplimiento al derecho de acceso a la información del particular aún y </w:t>
      </w:r>
      <w:r>
        <w:rPr>
          <w:rFonts w:ascii="Palatino Linotype" w:eastAsia="Palatino Linotype" w:hAnsi="Palatino Linotype" w:cs="Palatino Linotype"/>
          <w:b/>
        </w:rPr>
        <w:t>cuando no es una obligación de las autoridades</w:t>
      </w:r>
      <w:r>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Pr>
          <w:rFonts w:ascii="Palatino Linotype" w:eastAsia="Palatino Linotype" w:hAnsi="Palatino Linotype" w:cs="Palatino Linotype"/>
          <w:b/>
        </w:rPr>
        <w:t xml:space="preserve"> </w:t>
      </w:r>
    </w:p>
    <w:p w:rsidR="0036583D" w:rsidRDefault="0036583D">
      <w:pPr>
        <w:spacing w:line="360" w:lineRule="auto"/>
        <w:ind w:right="-93"/>
        <w:jc w:val="both"/>
        <w:rPr>
          <w:rFonts w:ascii="Palatino Linotype" w:eastAsia="Palatino Linotype" w:hAnsi="Palatino Linotype" w:cs="Palatino Linotype"/>
        </w:rPr>
      </w:pPr>
    </w:p>
    <w:p w:rsidR="0036583D" w:rsidRDefault="003B678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Pr>
          <w:rFonts w:ascii="Palatino Linotype" w:eastAsia="Palatino Linotype" w:hAnsi="Palatino Linotype" w:cs="Palatino Linotype"/>
          <w:i/>
          <w:sz w:val="22"/>
          <w:szCs w:val="22"/>
        </w:rPr>
        <w:t xml:space="preserve">. Tomando en </w:t>
      </w:r>
      <w:r>
        <w:rPr>
          <w:rFonts w:ascii="Palatino Linotype" w:eastAsia="Palatino Linotype" w:hAnsi="Palatino Linotype" w:cs="Palatino Linotype"/>
          <w:i/>
          <w:sz w:val="22"/>
          <w:szCs w:val="22"/>
        </w:rPr>
        <w:lastRenderedPageBreak/>
        <w:t>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36583D" w:rsidRDefault="003B678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Expedientes:</w:t>
      </w:r>
    </w:p>
    <w:p w:rsidR="0036583D" w:rsidRDefault="003B678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0438/08 Pemex Exploración y Producción – Alonso Lujambio Irazábal</w:t>
      </w:r>
    </w:p>
    <w:p w:rsidR="0036583D" w:rsidRDefault="003B678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1751/09 Laboratorios de Biológicos y Reactivos de México S.A. de C.V. –</w:t>
      </w:r>
    </w:p>
    <w:p w:rsidR="0036583D" w:rsidRDefault="003B678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María Marván Laborde</w:t>
      </w:r>
    </w:p>
    <w:p w:rsidR="0036583D" w:rsidRDefault="003B678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2868/09 Consejo Nacional de Ciencia y Tecnología – Jacqueline Peschard</w:t>
      </w:r>
    </w:p>
    <w:p w:rsidR="0036583D" w:rsidRDefault="003B678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Mariscal</w:t>
      </w:r>
    </w:p>
    <w:p w:rsidR="0036583D" w:rsidRDefault="003B678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5160/09 Secretaría de Hacienda y Crédito Público – Ángel Trinidad Zaldívar</w:t>
      </w:r>
    </w:p>
    <w:p w:rsidR="0036583D" w:rsidRDefault="003B678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0304/10 Instituto Nacional de Cancerología – Jacqueline Peschard Mariscal”</w:t>
      </w:r>
    </w:p>
    <w:p w:rsidR="0036583D" w:rsidRDefault="0036583D">
      <w:pPr>
        <w:spacing w:line="360" w:lineRule="auto"/>
        <w:ind w:right="-93"/>
        <w:jc w:val="both"/>
        <w:rPr>
          <w:rFonts w:ascii="Palatino Linotype" w:eastAsia="Palatino Linotype" w:hAnsi="Palatino Linotype" w:cs="Palatino Linotype"/>
        </w:rPr>
      </w:pPr>
    </w:p>
    <w:p w:rsidR="0036583D" w:rsidRDefault="003B6783">
      <w:pPr>
        <w:spacing w:line="360" w:lineRule="auto"/>
        <w:ind w:right="-93"/>
        <w:jc w:val="both"/>
        <w:rPr>
          <w:rFonts w:ascii="Palatino Linotype" w:eastAsia="Palatino Linotype" w:hAnsi="Palatino Linotype" w:cs="Palatino Linotype"/>
        </w:rPr>
      </w:pPr>
      <w:bookmarkStart w:id="1" w:name="_heading=h.1fob9te" w:colFirst="0" w:colLast="0"/>
      <w:bookmarkEnd w:id="1"/>
      <w:r>
        <w:rPr>
          <w:rFonts w:ascii="Palatino Linotype" w:eastAsia="Palatino Linotype" w:hAnsi="Palatino Linotype" w:cs="Palatino Linotype"/>
        </w:rPr>
        <w:t xml:space="preserve">Entonces, dado a que el criterio en mención establece que las autoridades </w:t>
      </w:r>
      <w:r>
        <w:rPr>
          <w:rFonts w:ascii="Palatino Linotype" w:eastAsia="Palatino Linotype" w:hAnsi="Palatino Linotype" w:cs="Palatino Linotype"/>
          <w:b/>
        </w:rPr>
        <w:t xml:space="preserve">no están obligadas a generar documentos “ad hoc” </w:t>
      </w:r>
      <w:r>
        <w:rPr>
          <w:rFonts w:ascii="Palatino Linotype" w:eastAsia="Palatino Linotype" w:hAnsi="Palatino Linotype" w:cs="Palatino Linotype"/>
        </w:rPr>
        <w:t xml:space="preserve">en contrario sensu, dicho criterio se puede interpretar resultando que las autoridades no están impedidas a generar documentos “ad hoc”, esto, siempre que con dicho documento elaborado se dé cabal cumplimiento a los requerimientos planteados, situación que aconteció en el caso particular con la relación de mandos medios y superiores, actualizada al mes de abril de 2022, en la que se da cuenta del personal femenino que se ostentan como directoras de área o coordinadoras, total de direcciones, grado de estudios de los directores, documento que lo acredite y el pronunciamiento respecto de si cuentan </w:t>
      </w:r>
      <w:r>
        <w:rPr>
          <w:rFonts w:ascii="Palatino Linotype" w:eastAsia="Palatino Linotype" w:hAnsi="Palatino Linotype" w:cs="Palatino Linotype"/>
        </w:rPr>
        <w:lastRenderedPageBreak/>
        <w:t xml:space="preserve">con licenciatura, maestría o doctorado, tal como se vislumbra en las siguientes </w:t>
      </w:r>
      <w:r>
        <w:rPr>
          <w:noProof/>
          <w:lang w:val="es-MX"/>
        </w:rPr>
        <w:drawing>
          <wp:anchor distT="0" distB="0" distL="114300" distR="114300" simplePos="0" relativeHeight="251664384" behindDoc="0" locked="0" layoutInCell="1" hidden="0" allowOverlap="1">
            <wp:simplePos x="0" y="0"/>
            <wp:positionH relativeFrom="column">
              <wp:posOffset>38100</wp:posOffset>
            </wp:positionH>
            <wp:positionV relativeFrom="paragraph">
              <wp:posOffset>2915920</wp:posOffset>
            </wp:positionV>
            <wp:extent cx="5572125" cy="1390650"/>
            <wp:effectExtent l="0" t="0" r="0" b="0"/>
            <wp:wrapTopAndBottom distT="0" distB="0"/>
            <wp:docPr id="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572125" cy="1390650"/>
                    </a:xfrm>
                    <a:prstGeom prst="rect">
                      <a:avLst/>
                    </a:prstGeom>
                    <a:ln/>
                  </pic:spPr>
                </pic:pic>
              </a:graphicData>
            </a:graphic>
          </wp:anchor>
        </w:drawing>
      </w:r>
      <w:r>
        <w:rPr>
          <w:noProof/>
          <w:lang w:val="es-MX"/>
        </w:rPr>
        <w:drawing>
          <wp:anchor distT="0" distB="0" distL="114300" distR="114300" simplePos="0" relativeHeight="251663360" behindDoc="0" locked="0" layoutInCell="1" hidden="0" allowOverlap="1">
            <wp:simplePos x="0" y="0"/>
            <wp:positionH relativeFrom="column">
              <wp:posOffset>38735</wp:posOffset>
            </wp:positionH>
            <wp:positionV relativeFrom="paragraph">
              <wp:posOffset>628015</wp:posOffset>
            </wp:positionV>
            <wp:extent cx="5572125" cy="2238375"/>
            <wp:effectExtent l="0" t="0" r="0" b="0"/>
            <wp:wrapTopAndBottom distT="0" dist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572125" cy="2238375"/>
                    </a:xfrm>
                    <a:prstGeom prst="rect">
                      <a:avLst/>
                    </a:prstGeom>
                    <a:ln/>
                  </pic:spPr>
                </pic:pic>
              </a:graphicData>
            </a:graphic>
          </wp:anchor>
        </w:drawing>
      </w:r>
      <w:r>
        <w:rPr>
          <w:rFonts w:ascii="Palatino Linotype" w:eastAsia="Palatino Linotype" w:hAnsi="Palatino Linotype" w:cs="Palatino Linotype"/>
        </w:rPr>
        <w:t>ilustraciones</w:t>
      </w:r>
    </w:p>
    <w:p w:rsidR="0036583D" w:rsidRDefault="003B6783">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vital importancia mencionar que de las actuaciones que integran el expediente electrónico, referidas con antelación, este Instituto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por conducto de su servidor público habilitado únicamente entregó la información que obra en sus archivos, lo anterior, encuentra sustento en el artículo 12 de la Ley de Transparencia y Acceso a la Información Pública del Estado de México y Municipios, que a la</w:t>
      </w:r>
      <w:r>
        <w:rPr>
          <w:rFonts w:ascii="Palatino Linotype" w:eastAsia="Palatino Linotype" w:hAnsi="Palatino Linotype" w:cs="Palatino Linotype"/>
          <w:b/>
        </w:rPr>
        <w:t xml:space="preserve"> </w:t>
      </w:r>
      <w:r>
        <w:rPr>
          <w:rFonts w:ascii="Palatino Linotype" w:eastAsia="Palatino Linotype" w:hAnsi="Palatino Linotype" w:cs="Palatino Linotype"/>
        </w:rPr>
        <w:t>letra establece lo siguiente:</w:t>
      </w:r>
    </w:p>
    <w:p w:rsidR="0036583D" w:rsidRDefault="003B6783">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 </w:t>
      </w:r>
    </w:p>
    <w:p w:rsidR="0036583D" w:rsidRDefault="003B6783">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Pr>
          <w:rFonts w:ascii="Palatino Linotype" w:eastAsia="Palatino Linotype" w:hAnsi="Palatino Linotype" w:cs="Palatino Linotype"/>
          <w:i/>
          <w:sz w:val="22"/>
          <w:szCs w:val="22"/>
        </w:rPr>
        <w:lastRenderedPageBreak/>
        <w:t>conforme al interés del solicitante; no estarán obligados a generarla, resumirla, efectuar cálculos o practicar investigaciones.”</w:t>
      </w:r>
    </w:p>
    <w:p w:rsidR="0036583D" w:rsidRDefault="003B6783">
      <w:pPr>
        <w:widowControl w:val="0"/>
        <w:tabs>
          <w:tab w:val="left" w:pos="1701"/>
          <w:tab w:val="left" w:pos="184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rsidR="0036583D" w:rsidRPr="002012EC" w:rsidRDefault="003B6783" w:rsidP="002012EC">
      <w:pPr>
        <w:spacing w:before="240" w:after="240" w:line="360" w:lineRule="auto"/>
        <w:ind w:left="284"/>
        <w:jc w:val="center"/>
        <w:rPr>
          <w:rFonts w:ascii="Palatino Linotype" w:eastAsia="Palatino Linotype" w:hAnsi="Palatino Linotype" w:cs="Palatino Linotype"/>
          <w:b/>
          <w:sz w:val="28"/>
          <w:szCs w:val="28"/>
        </w:rPr>
      </w:pPr>
      <w:r w:rsidRPr="002012EC">
        <w:rPr>
          <w:rFonts w:ascii="Palatino Linotype" w:eastAsia="Palatino Linotype" w:hAnsi="Palatino Linotype" w:cs="Palatino Linotype"/>
          <w:b/>
          <w:sz w:val="28"/>
          <w:szCs w:val="28"/>
        </w:rPr>
        <w:t>R E S U E L V E:</w:t>
      </w:r>
    </w:p>
    <w:p w:rsidR="0036583D" w:rsidRDefault="003B678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07964/INFOEM/IP/RR/2022,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rsidR="0036583D" w:rsidRDefault="003B67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rPr>
        <w:t>Notifíquese al Titular de la Unidad de Transparencia, vía Sistema de Acceso a la Información Mexiquense (SAIMEX)</w:t>
      </w:r>
      <w:r>
        <w:rPr>
          <w:rFonts w:ascii="Palatino Linotype" w:eastAsia="Palatino Linotype" w:hAnsi="Palatino Linotype" w:cs="Palatino Linotype"/>
          <w:b/>
        </w:rPr>
        <w:t>,</w:t>
      </w:r>
      <w:r>
        <w:rPr>
          <w:rFonts w:ascii="Palatino Linotype" w:eastAsia="Palatino Linotype" w:hAnsi="Palatino Linotype" w:cs="Palatino Linotype"/>
        </w:rPr>
        <w:t xml:space="preserve"> para su conocimiento.</w:t>
      </w:r>
    </w:p>
    <w:p w:rsidR="0036583D" w:rsidRDefault="003B6783">
      <w:pPr>
        <w:spacing w:before="240" w:after="240" w:line="360" w:lineRule="auto"/>
        <w:jc w:val="both"/>
        <w:rPr>
          <w:rFonts w:ascii="Palatino Linotype" w:eastAsia="Palatino Linotype" w:hAnsi="Palatino Linotype" w:cs="Palatino Linotype"/>
        </w:rPr>
      </w:pPr>
      <w:bookmarkStart w:id="2" w:name="_heading=h.gjdgxs" w:colFirst="0" w:colLast="0"/>
      <w:bookmarkEnd w:id="2"/>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rPr>
        <w:t>Notifíquese vía Sistema de Acceso a la Información Mexiquense (SAIMEX)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w:t>
      </w:r>
      <w:r>
        <w:rPr>
          <w:rFonts w:ascii="Palatino Linotype" w:eastAsia="Palatino Linotype" w:hAnsi="Palatino Linotype" w:cs="Palatino Linotype"/>
        </w:rPr>
        <w:lastRenderedPageBreak/>
        <w:t xml:space="preserve">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rsidR="00F421C1" w:rsidRDefault="00F421C1">
      <w:pPr>
        <w:spacing w:before="240" w:after="240" w:line="360" w:lineRule="auto"/>
        <w:jc w:val="both"/>
        <w:rPr>
          <w:rFonts w:ascii="Palatino Linotype" w:eastAsia="Palatino Linotype" w:hAnsi="Palatino Linotype" w:cs="Palatino Linotype"/>
          <w:b/>
          <w:color w:val="FF0000"/>
          <w:highlight w:val="yellow"/>
        </w:rPr>
      </w:pPr>
    </w:p>
    <w:p w:rsidR="0036583D" w:rsidRDefault="003B6783">
      <w:pPr>
        <w:spacing w:before="240" w:after="240" w:line="360" w:lineRule="auto"/>
        <w:jc w:val="both"/>
        <w:rPr>
          <w:rFonts w:ascii="Palatino Linotype" w:eastAsia="Palatino Linotype" w:hAnsi="Palatino Linotype" w:cs="Palatino Linotype"/>
        </w:rPr>
        <w:sectPr w:rsidR="0036583D">
          <w:headerReference w:type="default" r:id="rId44"/>
          <w:footerReference w:type="default" r:id="rId45"/>
          <w:headerReference w:type="first" r:id="rId46"/>
          <w:footerReference w:type="first" r:id="rId47"/>
          <w:pgSz w:w="12240" w:h="15840"/>
          <w:pgMar w:top="1417" w:right="1750" w:bottom="1417" w:left="1701" w:header="708" w:footer="708" w:gutter="0"/>
          <w:pgNumType w:start="1"/>
          <w:cols w:space="720"/>
          <w:titlePg/>
        </w:sectPr>
      </w:pPr>
      <w:bookmarkStart w:id="3" w:name="_heading=h.30j0zll" w:colFirst="0" w:colLast="0"/>
      <w:bookmarkEnd w:id="3"/>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  MARÍA DEL ROSARIO MEJÍA AYALA; LUIS GUSTAVO PARRA NORIEGA Y GUADALUPE RAMÍREZ PEÑA; EN LA TRIGÉSIMA QUINTA SESIÓN ORDINARIA CELEBRADA EL VEINTIOCHO DE SEPTIEMBRE DEL DOS MIL VEINTIDÓS, ANTE EL SECRETARIO TÉCNICO DEL PLENO, ALEXIS TAPIA RAMÍREZ.</w:t>
      </w:r>
    </w:p>
    <w:p w:rsidR="0036583D" w:rsidRDefault="0036583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36583D" w:rsidRDefault="0036583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36583D" w:rsidRDefault="0036583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36583D">
      <w:headerReference w:type="first" r:id="rId48"/>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563" w:rsidRDefault="00730563">
      <w:r>
        <w:separator/>
      </w:r>
    </w:p>
  </w:endnote>
  <w:endnote w:type="continuationSeparator" w:id="0">
    <w:p w:rsidR="00730563" w:rsidRDefault="00730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83D" w:rsidRDefault="003B678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B1CC6">
      <w:rPr>
        <w:rFonts w:ascii="Arial" w:eastAsia="Arial" w:hAnsi="Arial" w:cs="Arial"/>
        <w:b/>
        <w:noProof/>
        <w:color w:val="000000"/>
        <w:sz w:val="20"/>
        <w:szCs w:val="20"/>
      </w:rPr>
      <w:t>27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B1CC6">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rsidR="0036583D" w:rsidRDefault="0036583D">
    <w:pPr>
      <w:pBdr>
        <w:top w:val="nil"/>
        <w:left w:val="nil"/>
        <w:bottom w:val="nil"/>
        <w:right w:val="nil"/>
        <w:between w:val="nil"/>
      </w:pBdr>
      <w:tabs>
        <w:tab w:val="center" w:pos="4252"/>
        <w:tab w:val="right" w:pos="8504"/>
      </w:tabs>
      <w:rPr>
        <w:color w:val="000000"/>
      </w:rPr>
    </w:pPr>
  </w:p>
  <w:p w:rsidR="0036583D" w:rsidRDefault="0036583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83D" w:rsidRDefault="003B678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B1CC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B1CC6">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rsidR="0036583D" w:rsidRDefault="0036583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563" w:rsidRDefault="00730563">
      <w:r>
        <w:separator/>
      </w:r>
    </w:p>
  </w:footnote>
  <w:footnote w:type="continuationSeparator" w:id="0">
    <w:p w:rsidR="00730563" w:rsidRDefault="007305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83D" w:rsidRDefault="003B6783">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-1031874</wp:posOffset>
          </wp:positionH>
          <wp:positionV relativeFrom="paragraph">
            <wp:posOffset>-344804</wp:posOffset>
          </wp:positionV>
          <wp:extent cx="7635600" cy="9943200"/>
          <wp:effectExtent l="0" t="0" r="0" b="0"/>
          <wp:wrapNone/>
          <wp:docPr id="8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6240" w:type="dxa"/>
      <w:tblInd w:w="3746" w:type="dxa"/>
      <w:tblLayout w:type="fixed"/>
      <w:tblLook w:val="0400" w:firstRow="0" w:lastRow="0" w:firstColumn="0" w:lastColumn="0" w:noHBand="0" w:noVBand="1"/>
    </w:tblPr>
    <w:tblGrid>
      <w:gridCol w:w="2553"/>
      <w:gridCol w:w="3687"/>
    </w:tblGrid>
    <w:tr w:rsidR="0036583D">
      <w:tc>
        <w:tcPr>
          <w:tcW w:w="2553" w:type="dxa"/>
          <w:vAlign w:val="center"/>
        </w:tcPr>
        <w:p w:rsidR="0036583D" w:rsidRDefault="003B678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36583D" w:rsidRDefault="003B678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07964/INFOEM/IP/RR/2022</w:t>
          </w:r>
        </w:p>
      </w:tc>
    </w:tr>
    <w:tr w:rsidR="0036583D">
      <w:trPr>
        <w:trHeight w:val="228"/>
      </w:trPr>
      <w:tc>
        <w:tcPr>
          <w:tcW w:w="2553" w:type="dxa"/>
          <w:vAlign w:val="center"/>
        </w:tcPr>
        <w:p w:rsidR="0036583D" w:rsidRDefault="003B678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36583D" w:rsidRDefault="003B6783">
          <w:pPr>
            <w:ind w:right="-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36583D">
      <w:tc>
        <w:tcPr>
          <w:tcW w:w="2553" w:type="dxa"/>
          <w:vAlign w:val="center"/>
        </w:tcPr>
        <w:p w:rsidR="0036583D" w:rsidRDefault="003B678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36583D" w:rsidRDefault="003B6783">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6583D" w:rsidRDefault="003B678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36583D" w:rsidRDefault="0036583D">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83D" w:rsidRDefault="003B6783">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-1080132</wp:posOffset>
          </wp:positionH>
          <wp:positionV relativeFrom="paragraph">
            <wp:posOffset>-343532</wp:posOffset>
          </wp:positionV>
          <wp:extent cx="7635600" cy="9943200"/>
          <wp:effectExtent l="0" t="0" r="0" b="0"/>
          <wp:wrapNone/>
          <wp:docPr id="7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240" w:type="dxa"/>
      <w:tblInd w:w="3685" w:type="dxa"/>
      <w:tblLayout w:type="fixed"/>
      <w:tblLook w:val="0400" w:firstRow="0" w:lastRow="0" w:firstColumn="0" w:lastColumn="0" w:noHBand="0" w:noVBand="1"/>
    </w:tblPr>
    <w:tblGrid>
      <w:gridCol w:w="2553"/>
      <w:gridCol w:w="3687"/>
    </w:tblGrid>
    <w:tr w:rsidR="0036583D">
      <w:tc>
        <w:tcPr>
          <w:tcW w:w="2553" w:type="dxa"/>
          <w:vAlign w:val="center"/>
        </w:tcPr>
        <w:p w:rsidR="0036583D" w:rsidRDefault="003B678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36583D" w:rsidRDefault="003B678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07964/INFOEM/IP/RR/2022</w:t>
          </w:r>
        </w:p>
      </w:tc>
    </w:tr>
    <w:tr w:rsidR="0036583D">
      <w:tc>
        <w:tcPr>
          <w:tcW w:w="2553" w:type="dxa"/>
          <w:vAlign w:val="center"/>
        </w:tcPr>
        <w:p w:rsidR="0036583D" w:rsidRDefault="003B678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36583D" w:rsidRDefault="00EB1CC6" w:rsidP="00EB1C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w:t>
          </w:r>
        </w:p>
      </w:tc>
    </w:tr>
    <w:tr w:rsidR="0036583D">
      <w:trPr>
        <w:trHeight w:val="228"/>
      </w:trPr>
      <w:tc>
        <w:tcPr>
          <w:tcW w:w="2553" w:type="dxa"/>
          <w:vAlign w:val="center"/>
        </w:tcPr>
        <w:p w:rsidR="0036583D" w:rsidRDefault="003B678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36583D" w:rsidRDefault="003B6783">
          <w:pPr>
            <w:ind w:right="-11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36583D">
      <w:tc>
        <w:tcPr>
          <w:tcW w:w="2553" w:type="dxa"/>
          <w:vAlign w:val="center"/>
        </w:tcPr>
        <w:p w:rsidR="0036583D" w:rsidRDefault="003B678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36583D" w:rsidRDefault="003B6783">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6583D" w:rsidRDefault="0036583D">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83D" w:rsidRDefault="003B6783">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36583D" w:rsidRDefault="0036583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2F4C"/>
    <w:multiLevelType w:val="multilevel"/>
    <w:tmpl w:val="4790AB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072E22"/>
    <w:multiLevelType w:val="multilevel"/>
    <w:tmpl w:val="1A7A1C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5BB633E"/>
    <w:multiLevelType w:val="multilevel"/>
    <w:tmpl w:val="0AE655DC"/>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86045CC"/>
    <w:multiLevelType w:val="multilevel"/>
    <w:tmpl w:val="E7DEC3B0"/>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4723AFD"/>
    <w:multiLevelType w:val="multilevel"/>
    <w:tmpl w:val="5D3652C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6177E3A"/>
    <w:multiLevelType w:val="multilevel"/>
    <w:tmpl w:val="B0CCF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83D"/>
    <w:rsid w:val="002012EC"/>
    <w:rsid w:val="0036583D"/>
    <w:rsid w:val="003B6783"/>
    <w:rsid w:val="00730563"/>
    <w:rsid w:val="00EB1CC6"/>
    <w:rsid w:val="00F421C1"/>
    <w:rsid w:val="00FE37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B434F15F-8CBD-43E1-8ECD-9E085B5B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7C9"/>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D69A7"/>
    <w:pPr>
      <w:numPr>
        <w:numId w:val="6"/>
      </w:numPr>
      <w:contextualSpacing/>
    </w:p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9" Type="http://schemas.openxmlformats.org/officeDocument/2006/relationships/oleObject" Target="embeddings/oleObject4.bin"/><Relationship Id="rId3" Type="http://schemas.openxmlformats.org/officeDocument/2006/relationships/styles" Target="styles.xml"/><Relationship Id="rId34" Type="http://schemas.openxmlformats.org/officeDocument/2006/relationships/image" Target="media/image13.png"/><Relationship Id="rId42" Type="http://schemas.openxmlformats.org/officeDocument/2006/relationships/oleObject" Target="embeddings/oleObject6.bin"/><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33" Type="http://schemas.openxmlformats.org/officeDocument/2006/relationships/oleObject" Target="embeddings/oleObject1.bin"/><Relationship Id="rId38" Type="http://schemas.openxmlformats.org/officeDocument/2006/relationships/image" Target="media/image15.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oleObject" Target="embeddings/oleObject3.bin"/><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20.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oleObject" Target="embeddings/oleObject2.bin"/><Relationship Id="rId43" Type="http://schemas.openxmlformats.org/officeDocument/2006/relationships/image" Target="media/image19.png"/><Relationship Id="rId4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PEFHRVYO8yTB53CYrMDQwXuiLQ==">AMUW2mWRTbnCkhXEqRT25vxGd61HPwhGc4Vlw/0iS/McwLfEALtgpf/A6q1XQXb5hdqFNAgtCIkwnVWxANKQsP+U7DFik/5wVnl9bXoIYRjBUziAQ+HToEAGQQZ00mJg8lrxNEJF8cT0ZXc0kQ+pybK+pGkRQ6gYzA==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6472</Words>
  <Characters>35598</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2022-10-05T15:29:00Z</dcterms:created>
  <dcterms:modified xsi:type="dcterms:W3CDTF">2022-10-05T15:29:00Z</dcterms:modified>
</cp:coreProperties>
</file>