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C70F07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FC0CB9">
        <w:rPr>
          <w:rFonts w:ascii="Palatino Linotype" w:eastAsia="Palatino Linotype" w:hAnsi="Palatino Linotype" w:cs="Palatino Linotype"/>
          <w:color w:val="000000"/>
          <w:sz w:val="24"/>
          <w:szCs w:val="24"/>
        </w:rPr>
        <w:t>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39F50C0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2F3805">
        <w:rPr>
          <w:rFonts w:ascii="Palatino Linotype" w:eastAsia="Palatino Linotype" w:hAnsi="Palatino Linotype" w:cs="Palatino Linotype"/>
          <w:b/>
          <w:color w:val="000000"/>
          <w:sz w:val="24"/>
          <w:szCs w:val="24"/>
        </w:rPr>
        <w:t>0030</w:t>
      </w:r>
      <w:r>
        <w:rPr>
          <w:rFonts w:ascii="Palatino Linotype" w:eastAsia="Palatino Linotype" w:hAnsi="Palatino Linotype" w:cs="Palatino Linotype"/>
          <w:b/>
          <w:color w:val="000000"/>
          <w:sz w:val="24"/>
          <w:szCs w:val="24"/>
        </w:rPr>
        <w:t>/INFOEM/IP/RR/202</w:t>
      </w:r>
      <w:r w:rsidR="002F3805">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C57E04">
        <w:rPr>
          <w:rFonts w:ascii="Palatino Linotype" w:eastAsia="Palatino Linotype" w:hAnsi="Palatino Linotype" w:cs="Palatino Linotype"/>
          <w:color w:val="000000"/>
          <w:sz w:val="24"/>
          <w:szCs w:val="24"/>
        </w:rPr>
        <w:t xml:space="preserve"> </w:t>
      </w:r>
      <w:proofErr w:type="spellStart"/>
      <w:r w:rsidR="00E67FCC">
        <w:rPr>
          <w:rFonts w:ascii="Palatino Linotype" w:eastAsia="Palatino Linotype" w:hAnsi="Palatino Linotype" w:cs="Palatino Linotype"/>
          <w:b/>
          <w:color w:val="000000"/>
          <w:sz w:val="24"/>
          <w:szCs w:val="24"/>
        </w:rPr>
        <w:t>xxxxxxxxxxxxxxxxxxxxxxxxxxx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002F3805">
        <w:rPr>
          <w:rFonts w:ascii="Palatino Linotype" w:eastAsia="Palatino Linotype" w:hAnsi="Palatino Linotype" w:cs="Palatino Linotype"/>
          <w:b/>
          <w:color w:val="000000"/>
          <w:sz w:val="24"/>
          <w:szCs w:val="24"/>
        </w:rPr>
        <w:t>Ayuntamiento de Acambay de Ruíz Castañeda</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2A5FBB31"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DF1EA8">
        <w:rPr>
          <w:rFonts w:ascii="Palatino Linotype" w:eastAsia="Palatino Linotype" w:hAnsi="Palatino Linotype" w:cs="Palatino Linotype"/>
          <w:color w:val="000000"/>
          <w:sz w:val="24"/>
          <w:szCs w:val="24"/>
        </w:rPr>
        <w:t>catorce de diciembre de dos mil veintiuno</w:t>
      </w:r>
      <w:r w:rsidR="00663A37">
        <w:rPr>
          <w:rFonts w:ascii="Palatino Linotype" w:eastAsia="Palatino Linotype" w:hAnsi="Palatino Linotype" w:cs="Palatino Linotype"/>
          <w:color w:val="000000"/>
          <w:sz w:val="24"/>
          <w:szCs w:val="24"/>
        </w:rPr>
        <w:t xml:space="preserve">,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E85B9A" w:rsidRPr="00E85B9A">
        <w:rPr>
          <w:rFonts w:ascii="Palatino Linotype" w:eastAsia="Palatino Linotype" w:hAnsi="Palatino Linotype" w:cs="Palatino Linotype"/>
          <w:b/>
          <w:bCs/>
          <w:color w:val="000000"/>
          <w:sz w:val="24"/>
          <w:szCs w:val="24"/>
        </w:rPr>
        <w:t>00</w:t>
      </w:r>
      <w:r w:rsidR="00DF1EA8">
        <w:rPr>
          <w:rFonts w:ascii="Palatino Linotype" w:eastAsia="Palatino Linotype" w:hAnsi="Palatino Linotype" w:cs="Palatino Linotype"/>
          <w:b/>
          <w:bCs/>
          <w:color w:val="000000"/>
          <w:sz w:val="24"/>
          <w:szCs w:val="24"/>
        </w:rPr>
        <w:t>167/ACAMBAY</w:t>
      </w:r>
      <w:r w:rsidR="00E85B9A" w:rsidRPr="00E85B9A">
        <w:rPr>
          <w:rFonts w:ascii="Palatino Linotype" w:eastAsia="Palatino Linotype" w:hAnsi="Palatino Linotype" w:cs="Palatino Linotype"/>
          <w:b/>
          <w:bCs/>
          <w:color w:val="000000"/>
          <w:sz w:val="24"/>
          <w:szCs w:val="24"/>
        </w:rPr>
        <w:t>/IP/2021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20EB881E" w:rsidR="00663A37" w:rsidRPr="00DF1EA8" w:rsidRDefault="00663A37" w:rsidP="00DF1EA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DF1EA8">
        <w:rPr>
          <w:rFonts w:ascii="Palatino Linotype" w:eastAsia="Palatino Linotype" w:hAnsi="Palatino Linotype" w:cs="Palatino Linotype"/>
          <w:i/>
          <w:color w:val="000000"/>
        </w:rPr>
        <w:t>“</w:t>
      </w:r>
      <w:r w:rsidR="00DF1EA8" w:rsidRPr="00DF1EA8">
        <w:rPr>
          <w:rFonts w:ascii="Palatino Linotype" w:eastAsia="Palatino Linotype" w:hAnsi="Palatino Linotype" w:cs="Palatino Linotype"/>
          <w:i/>
          <w:color w:val="000000"/>
        </w:rPr>
        <w:t>SOLICITO AL SUJETO OBLIGADO ME INFORME QUÉ UNIDAD ADMINISTRATIVA SE ENCARGA DE LAS ENAJENACIONES DE BIENES MUEBLES Y DE QUE DIRECCIÓN GENERAL DEPENDE DICHA UNIDAD ADMINISTRATIVA ?</w:t>
      </w:r>
      <w:r w:rsidR="00C57E04" w:rsidRPr="00DF1EA8">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753AC62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E85B9A">
        <w:rPr>
          <w:rFonts w:ascii="Palatino Linotype" w:eastAsia="Palatino Linotype" w:hAnsi="Palatino Linotype" w:cs="Palatino Linotype"/>
          <w:color w:val="000000"/>
          <w:sz w:val="24"/>
          <w:szCs w:val="24"/>
        </w:rPr>
        <w:t>veinti</w:t>
      </w:r>
      <w:r w:rsidR="00CD14E5">
        <w:rPr>
          <w:rFonts w:ascii="Palatino Linotype" w:eastAsia="Palatino Linotype" w:hAnsi="Palatino Linotype" w:cs="Palatino Linotype"/>
          <w:color w:val="000000"/>
          <w:sz w:val="24"/>
          <w:szCs w:val="24"/>
        </w:rPr>
        <w:t>dós de diciembre</w:t>
      </w:r>
      <w:r>
        <w:rPr>
          <w:rFonts w:ascii="Palatino Linotype" w:eastAsia="Palatino Linotype" w:hAnsi="Palatino Linotype" w:cs="Palatino Linotype"/>
          <w:color w:val="000000"/>
          <w:sz w:val="24"/>
          <w:szCs w:val="24"/>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3D7CF9" w14:textId="0F7AD049" w:rsidR="00CD14E5" w:rsidRDefault="00663A37" w:rsidP="00CD14E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D14E5" w:rsidRPr="00CD14E5">
        <w:rPr>
          <w:rFonts w:ascii="Palatino Linotype" w:eastAsia="Palatino Linotype" w:hAnsi="Palatino Linotype" w:cs="Palatino Linotype"/>
          <w:i/>
          <w:color w:val="000000"/>
        </w:rPr>
        <w:t>Acambay de Ruíz Castañeda, Estado de México a 22 de diciembre de 2021 En atención a su solicitud de información número 00167/ACAMBAY/IP/2021, recibida por esta dependencia vía Sistema Electrónico Denominado Sistema de Acceso a la Información Mexiquense (SAIMEX) de fecha 14 de diciembre de 2021, dirigida al Ayuntamiento de Acambay de Ruiz Castañeda, Estado de México, como Sujeto Obligado de la Ley de Transparencia y Acceso a la Información Pública del Estado de México y Municipios. De acuerdo a la solicitud de información anterior menciona lo siguiente: “SOLICITO AL SUJETO OBLIGADO ME INFORME QUÉ UNIDAD ADMINISTRATIVA SE ENCARGA DE LAS ENAJENACIONES DE BIENES MUEBLES Y DE QUE DIRECCIÓN GENERAL DEPENDE DICHA UNIDAD ADMINISTRATIVA?” En respuesta al requerimiento anterior se menciona que la Unidad Administrativa que se encarga de las enajenaciones de bienes muebles es la Secretaría del Ayuntamiento y depende de la Presidencia Municipal,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 ATENTAMENTE ____________________________ LIC. VERONICA MIRANDA MARTINEZ TITULAR DE LA UNIDAD DE TRANSPARENCIA</w:t>
      </w:r>
    </w:p>
    <w:p w14:paraId="75953DE2" w14:textId="77777777" w:rsidR="00CD14E5" w:rsidRPr="00CD14E5" w:rsidRDefault="00CD14E5" w:rsidP="00CD14E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EF02090" w14:textId="77777777" w:rsidR="00CD14E5" w:rsidRPr="00CD14E5" w:rsidRDefault="00CD14E5" w:rsidP="00CD14E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D14E5">
        <w:rPr>
          <w:rFonts w:ascii="Palatino Linotype" w:eastAsia="Palatino Linotype" w:hAnsi="Palatino Linotype" w:cs="Palatino Linotype"/>
          <w:i/>
          <w:color w:val="000000"/>
        </w:rPr>
        <w:t>ATENTAMENTE</w:t>
      </w:r>
    </w:p>
    <w:p w14:paraId="38DF58A5" w14:textId="5D1E38C9" w:rsidR="00663A37" w:rsidRDefault="00CD14E5" w:rsidP="00CD14E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D14E5">
        <w:rPr>
          <w:rFonts w:ascii="Palatino Linotype" w:eastAsia="Palatino Linotype" w:hAnsi="Palatino Linotype" w:cs="Palatino Linotype"/>
          <w:i/>
          <w:color w:val="000000"/>
        </w:rPr>
        <w:t>Lic. Verónica Miranda Martínez</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BE8FBEE" w14:textId="7973FE3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ED3CCE" w14:textId="3542922A"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5EE1B51" w14:textId="77777777" w:rsidR="00CD14E5"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TERCERO. Del recurso de revisión.</w:t>
      </w:r>
    </w:p>
    <w:p w14:paraId="7F8982C5" w14:textId="291786C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CD14E5">
        <w:rPr>
          <w:rFonts w:ascii="Palatino Linotype" w:eastAsia="Palatino Linotype" w:hAnsi="Palatino Linotype" w:cs="Palatino Linotype"/>
          <w:color w:val="000000"/>
          <w:sz w:val="24"/>
          <w:szCs w:val="24"/>
        </w:rPr>
        <w:t>diez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CD14E5">
        <w:rPr>
          <w:rFonts w:ascii="Palatino Linotype" w:eastAsia="Palatino Linotype" w:hAnsi="Palatino Linotype" w:cs="Palatino Linotype"/>
          <w:b/>
          <w:color w:val="000000"/>
          <w:sz w:val="24"/>
          <w:szCs w:val="24"/>
        </w:rPr>
        <w:t>003</w:t>
      </w:r>
      <w:r w:rsidR="000A7CE8">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/INFOEM/IP/RR/202</w:t>
      </w:r>
      <w:r w:rsidR="00CD14E5">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466D533A" w:rsidR="00663A37" w:rsidRPr="00ED4023" w:rsidRDefault="00493579" w:rsidP="00ED4023">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493579">
        <w:rPr>
          <w:rFonts w:ascii="Palatino Linotype" w:eastAsia="Palatino Linotype" w:hAnsi="Palatino Linotype" w:cs="Palatino Linotype"/>
          <w:i/>
        </w:rPr>
        <w:t>"Solicito al Sujeto obligado me informe que unidad administrativa se encarga de las enajenaciones de bienes muebles y de que Dirección General depende dicha unidad administrativa"</w:t>
      </w:r>
      <w:r>
        <w:rPr>
          <w:rFonts w:ascii="Palatino Linotype" w:eastAsia="Palatino Linotype" w:hAnsi="Palatino Linotype" w:cs="Palatino Linotype"/>
          <w:i/>
        </w:rPr>
        <w:t>’</w:t>
      </w:r>
      <w:r w:rsidRPr="00493579">
        <w:rPr>
          <w:rFonts w:ascii="Palatino Linotype" w:eastAsia="Palatino Linotype" w:hAnsi="Palatino Linotype" w:cs="Palatino Linotype"/>
          <w:i/>
        </w:rPr>
        <w:t xml:space="preserve">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5B71FF83"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493579" w:rsidRPr="00493579">
        <w:rPr>
          <w:rFonts w:ascii="Palatino Linotype" w:eastAsia="Palatino Linotype" w:hAnsi="Palatino Linotype" w:cs="Palatino Linotype"/>
          <w:i/>
        </w:rPr>
        <w:t>Se le solicito al sujeto obligado informara ¿Qué unidad administrativa se encarga de EJECUTAR el procedimiento de enajenación de bienes muebles?</w:t>
      </w:r>
      <w:r w:rsidRPr="00ED4023">
        <w:rPr>
          <w:rFonts w:ascii="Palatino Linotype" w:eastAsia="Palatino Linotype" w:hAnsi="Palatino Linotype" w:cs="Palatino Linotype"/>
          <w:i/>
        </w:rPr>
        <w:t>” (Sic)</w:t>
      </w:r>
    </w:p>
    <w:p w14:paraId="11841314" w14:textId="77FD9FBE" w:rsidR="00663A37" w:rsidRPr="000A7CE8"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43AB68F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493579">
        <w:rPr>
          <w:rFonts w:ascii="Palatino Linotype" w:eastAsia="Palatino Linotype" w:hAnsi="Palatino Linotype" w:cs="Palatino Linotype"/>
          <w:color w:val="000000"/>
          <w:sz w:val="24"/>
          <w:szCs w:val="24"/>
        </w:rPr>
        <w:t>catorce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21E73F1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6C7AB9" w14:textId="77777777" w:rsidR="00493579"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2377C45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F90992">
        <w:rPr>
          <w:rFonts w:ascii="Palatino Linotype" w:eastAsia="Palatino Linotype" w:hAnsi="Palatino Linotype" w:cs="Palatino Linotype"/>
          <w:color w:val="000000"/>
          <w:sz w:val="24"/>
          <w:szCs w:val="24"/>
        </w:rPr>
        <w:t>veintiséis de enero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44B4740E"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Pr>
          <w:rFonts w:ascii="Palatino Linotype" w:eastAsia="Palatino Linotype" w:hAnsi="Palatino Linotype" w:cs="Palatino Linotype"/>
          <w:color w:val="000000"/>
          <w:sz w:val="24"/>
          <w:szCs w:val="24"/>
        </w:rPr>
        <w:lastRenderedPageBreak/>
        <w:t>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3849E1F5"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r w:rsidR="00E67FCC">
        <w:rPr>
          <w:rFonts w:ascii="Palatino Linotype" w:eastAsia="Palatino Linotype" w:hAnsi="Palatino Linotype" w:cs="Palatino Linotype"/>
          <w:b/>
          <w:bCs/>
          <w:sz w:val="24"/>
          <w:szCs w:val="24"/>
        </w:rPr>
        <w:t>xxxxxxxxxxxxxxxxxxxxxxxxx</w:t>
      </w:r>
      <w:bookmarkStart w:id="0" w:name="_GoBack"/>
      <w:bookmarkEnd w:id="0"/>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eastAsia="Palatino Linotype" w:hAnsi="Palatino Linotype" w:cs="Palatino Linotype"/>
          <w:color w:val="000000"/>
          <w:sz w:val="24"/>
          <w:szCs w:val="24"/>
        </w:rPr>
        <w:lastRenderedPageBreak/>
        <w:t>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76E7DBB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FB35CF">
        <w:rPr>
          <w:rFonts w:ascii="Palatino Linotype" w:eastAsia="Palatino Linotype" w:hAnsi="Palatino Linotype" w:cs="Palatino Linotype"/>
          <w:color w:val="000000"/>
          <w:sz w:val="24"/>
          <w:szCs w:val="24"/>
        </w:rPr>
        <w:t xml:space="preserve">le </w:t>
      </w:r>
      <w:r w:rsidR="006D5F3E">
        <w:rPr>
          <w:rFonts w:ascii="Palatino Linotype" w:eastAsia="Palatino Linotype" w:hAnsi="Palatino Linotype" w:cs="Palatino Linotype"/>
          <w:color w:val="000000"/>
          <w:sz w:val="24"/>
          <w:szCs w:val="24"/>
        </w:rPr>
        <w:t xml:space="preserve">informara qué </w:t>
      </w:r>
      <w:r w:rsidR="006673F5">
        <w:rPr>
          <w:rFonts w:ascii="Palatino Linotype" w:eastAsia="Palatino Linotype" w:hAnsi="Palatino Linotype" w:cs="Palatino Linotype"/>
          <w:color w:val="000000"/>
          <w:sz w:val="24"/>
          <w:szCs w:val="24"/>
        </w:rPr>
        <w:t>unidad administrativa se encarga de las enaje</w:t>
      </w:r>
      <w:r w:rsidR="00856285">
        <w:rPr>
          <w:rFonts w:ascii="Palatino Linotype" w:eastAsia="Palatino Linotype" w:hAnsi="Palatino Linotype" w:cs="Palatino Linotype"/>
          <w:color w:val="000000"/>
          <w:sz w:val="24"/>
          <w:szCs w:val="24"/>
        </w:rPr>
        <w:t>naciones de bienes muebles y de qué dirección general depende dicha unidad administrativa.</w:t>
      </w:r>
    </w:p>
    <w:p w14:paraId="43AED26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9D5F1B" w14:textId="481F817C" w:rsidR="00837584" w:rsidRPr="00856285"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w:t>
      </w:r>
      <w:r w:rsidR="00856285">
        <w:rPr>
          <w:rFonts w:ascii="Palatino Linotype" w:eastAsia="Palatino Linotype" w:hAnsi="Palatino Linotype" w:cs="Palatino Linotype"/>
          <w:color w:val="000000"/>
          <w:sz w:val="24"/>
          <w:szCs w:val="24"/>
        </w:rPr>
        <w:t>la Titular de la Unidad de Transparencia d</w:t>
      </w:r>
      <w:r>
        <w:rPr>
          <w:rFonts w:ascii="Palatino Linotype" w:eastAsia="Palatino Linotype" w:hAnsi="Palatino Linotype" w:cs="Palatino Linotype"/>
          <w:color w:val="000000"/>
          <w:sz w:val="24"/>
          <w:szCs w:val="24"/>
        </w:rPr>
        <w:t xml:space="preserve">el Sujeto Obligado respondió al solicitante </w:t>
      </w:r>
      <w:r w:rsidR="00856285">
        <w:rPr>
          <w:rFonts w:ascii="Palatino Linotype" w:eastAsia="Palatino Linotype" w:hAnsi="Palatino Linotype" w:cs="Palatino Linotype"/>
          <w:color w:val="000000"/>
          <w:sz w:val="24"/>
          <w:szCs w:val="24"/>
        </w:rPr>
        <w:t xml:space="preserve">que la unidad administrativa encargada de las enajenaciones de bienes muebles es </w:t>
      </w:r>
      <w:r w:rsidR="00856285">
        <w:rPr>
          <w:rFonts w:ascii="Palatino Linotype" w:eastAsia="Palatino Linotype" w:hAnsi="Palatino Linotype" w:cs="Palatino Linotype"/>
          <w:b/>
          <w:bCs/>
          <w:color w:val="000000"/>
          <w:sz w:val="24"/>
          <w:szCs w:val="24"/>
        </w:rPr>
        <w:t>la Secretaría del Ayuntamiento</w:t>
      </w:r>
      <w:r w:rsidR="00856285">
        <w:rPr>
          <w:rFonts w:ascii="Palatino Linotype" w:eastAsia="Palatino Linotype" w:hAnsi="Palatino Linotype" w:cs="Palatino Linotype"/>
          <w:color w:val="000000"/>
          <w:sz w:val="24"/>
          <w:szCs w:val="24"/>
        </w:rPr>
        <w:t xml:space="preserve"> y que ésta depende de </w:t>
      </w:r>
      <w:r w:rsidR="00856285">
        <w:rPr>
          <w:rFonts w:ascii="Palatino Linotype" w:eastAsia="Palatino Linotype" w:hAnsi="Palatino Linotype" w:cs="Palatino Linotype"/>
          <w:b/>
          <w:bCs/>
          <w:color w:val="000000"/>
          <w:sz w:val="24"/>
          <w:szCs w:val="24"/>
        </w:rPr>
        <w:t>la Presidencia Municipal</w:t>
      </w:r>
      <w:r w:rsidR="00856285">
        <w:rPr>
          <w:rFonts w:ascii="Palatino Linotype" w:eastAsia="Palatino Linotype" w:hAnsi="Palatino Linotype" w:cs="Palatino Linotype"/>
          <w:color w:val="000000"/>
          <w:sz w:val="24"/>
          <w:szCs w:val="24"/>
        </w:rPr>
        <w:t xml:space="preserve">, manifestando que </w:t>
      </w:r>
      <w:r w:rsidR="00856285">
        <w:rPr>
          <w:rFonts w:ascii="Palatino Linotype" w:eastAsia="Palatino Linotype" w:hAnsi="Palatino Linotype" w:cs="Palatino Linotype"/>
          <w:b/>
          <w:bCs/>
          <w:color w:val="000000"/>
          <w:sz w:val="24"/>
          <w:szCs w:val="24"/>
        </w:rPr>
        <w:t>la información proporcionada es la única que obra en los archivos municipales</w:t>
      </w:r>
      <w:r w:rsidR="00856285">
        <w:rPr>
          <w:rFonts w:ascii="Palatino Linotype" w:eastAsia="Palatino Linotype" w:hAnsi="Palatino Linotype" w:cs="Palatino Linotype"/>
          <w:color w:val="000000"/>
          <w:sz w:val="24"/>
          <w:szCs w:val="24"/>
        </w:rPr>
        <w:t>.</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FCBD6B" w14:textId="61FC69C8" w:rsidR="0006625B" w:rsidRPr="00B309B2"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76B7B05F">
        <w:rPr>
          <w:rFonts w:ascii="Palatino Linotype" w:eastAsia="Palatino Linotype" w:hAnsi="Palatino Linotype" w:cs="Palatino Linotype"/>
          <w:color w:val="000000" w:themeColor="text1"/>
          <w:sz w:val="24"/>
          <w:szCs w:val="24"/>
        </w:rPr>
        <w:t xml:space="preserve">Ante la respuesta del Sujeto Obligado, el Recurrente consideró que su derecho de acceso a la información había sido conculcado por lo que interpuso el presente recurso de revisión señalando como acto impugnado el texto literal de su solicitud y dando como motivos de inconformidad que en su solicitud se requirió que se le informara que unidad administrativa </w:t>
      </w:r>
      <w:r w:rsidRPr="76B7B05F">
        <w:rPr>
          <w:rFonts w:ascii="Palatino Linotype" w:eastAsia="Palatino Linotype" w:hAnsi="Palatino Linotype" w:cs="Palatino Linotype"/>
          <w:b/>
          <w:bCs/>
          <w:color w:val="000000" w:themeColor="text1"/>
          <w:sz w:val="24"/>
          <w:szCs w:val="24"/>
        </w:rPr>
        <w:t>se encarga de ejecutar el procedimiento de enajenación de bienes muebles</w:t>
      </w:r>
      <w:r w:rsidRPr="76B7B05F">
        <w:rPr>
          <w:rFonts w:ascii="Palatino Linotype" w:eastAsia="Palatino Linotype" w:hAnsi="Palatino Linotype" w:cs="Palatino Linotype"/>
          <w:color w:val="000000" w:themeColor="text1"/>
          <w:sz w:val="24"/>
          <w:szCs w:val="24"/>
        </w:rPr>
        <w:t>.</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2F02301E"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Pr>
          <w:rFonts w:ascii="Palatino Linotype" w:hAnsi="Palatino Linotype"/>
        </w:rPr>
        <w:t>toda vez que el Sujeto Obligado fue omiso de enviar el Informe J</w:t>
      </w:r>
      <w:r w:rsidRPr="00611DBD">
        <w:rPr>
          <w:rFonts w:ascii="Palatino Linotype" w:hAnsi="Palatino Linotype"/>
        </w:rPr>
        <w:t>ustificado</w:t>
      </w:r>
      <w:r w:rsidR="00640F1E" w:rsidRPr="00640F1E">
        <w:rPr>
          <w:rFonts w:ascii="Palatino Linotype" w:hAnsi="Palatino Linotype"/>
        </w:rPr>
        <w:t xml:space="preserve"> </w:t>
      </w:r>
      <w:r w:rsidR="00640F1E" w:rsidRPr="00611DBD">
        <w:rPr>
          <w:rFonts w:ascii="Palatino Linotype" w:hAnsi="Palatino Linotype"/>
        </w:rPr>
        <w:t>ante este Órgano Garante para manifestar lo que a derecho le asistiera y conviniera</w:t>
      </w:r>
      <w:r w:rsidR="00640F1E">
        <w:rPr>
          <w:rFonts w:ascii="Palatino Linotype" w:hAnsi="Palatino Linotype"/>
        </w:rPr>
        <w:t xml:space="preserve"> </w:t>
      </w:r>
      <w:r w:rsidRPr="00611DBD">
        <w:rPr>
          <w:rFonts w:ascii="Palatino Linotype" w:hAnsi="Palatino Linotype"/>
        </w:rPr>
        <w:t>en el término de los siete días hábiles otorgados,</w:t>
      </w:r>
      <w:r w:rsidR="00640F1E">
        <w:rPr>
          <w:rFonts w:ascii="Palatino Linotype" w:hAnsi="Palatino Linotype"/>
        </w:rPr>
        <w:t xml:space="preserve"> </w:t>
      </w:r>
      <w:r w:rsidRPr="00611DBD">
        <w:rPr>
          <w:rFonts w:ascii="Palatino Linotype" w:hAnsi="Palatino Linotype"/>
        </w:rPr>
        <w:t xml:space="preserve">asimismo dejó de justificar las razones o motivos que lo </w:t>
      </w:r>
      <w:r w:rsidRPr="00611DBD">
        <w:rPr>
          <w:rFonts w:ascii="Palatino Linotype" w:hAnsi="Palatino Linotype"/>
        </w:rPr>
        <w:lastRenderedPageBreak/>
        <w:t>llevaron a emitir la respuesta que ahora se impugna</w:t>
      </w:r>
      <w:r w:rsidR="00FB35CF">
        <w:rPr>
          <w:rFonts w:ascii="Palatino Linotype" w:hAnsi="Palatino Linotype"/>
        </w:rPr>
        <w:t xml:space="preserve">; no obstante, </w:t>
      </w:r>
      <w:r w:rsidRPr="00611DBD">
        <w:rPr>
          <w:rFonts w:ascii="Palatino Linotype" w:hAnsi="Palatino Linotype"/>
        </w:rPr>
        <w:t>la falta de informe justificado no impide que este Órgano Garante conozca y resuelva el recurso de revisión</w:t>
      </w:r>
      <w:r w:rsidR="00FB35CF">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lastRenderedPageBreak/>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B166C0" w:rsidRDefault="006C2214" w:rsidP="006C2214">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I</w:t>
      </w:r>
      <w:r w:rsidR="00421A2C">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421A2C">
        <w:rPr>
          <w:rFonts w:ascii="Palatino Linotype" w:eastAsia="Palatino Linotype" w:hAnsi="Palatino Linotype" w:cs="Palatino Linotype"/>
          <w:bCs/>
          <w:i/>
        </w:rPr>
        <w:t>Los ayuntamientos y las dependencias, organismos, órganos y entidades de la administración municipal</w:t>
      </w:r>
      <w:r w:rsidR="00B166C0" w:rsidRPr="00B166C0">
        <w:rPr>
          <w:rFonts w:ascii="Palatino Linotype" w:eastAsia="Palatino Linotype" w:hAnsi="Palatino Linotype" w:cs="Palatino Linotype"/>
          <w:bCs/>
          <w:i/>
        </w:rPr>
        <w:t>;</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w:t>
      </w:r>
      <w:r w:rsidR="00421A2C">
        <w:rPr>
          <w:rFonts w:ascii="Palatino Linotype" w:eastAsia="Palatino Linotype" w:hAnsi="Palatino Linotype" w:cs="Palatino Linotype"/>
          <w:color w:val="000000"/>
          <w:sz w:val="24"/>
          <w:szCs w:val="24"/>
        </w:rPr>
        <w:t>m</w:t>
      </w:r>
      <w:r>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2446D39E" w:rsidR="00CB048A" w:rsidRDefault="76B7B05F" w:rsidP="00663A37">
      <w:pPr>
        <w:spacing w:after="0" w:line="360" w:lineRule="auto"/>
        <w:contextualSpacing/>
        <w:jc w:val="both"/>
        <w:rPr>
          <w:rFonts w:ascii="Palatino Linotype" w:eastAsia="Palatino Linotype" w:hAnsi="Palatino Linotype" w:cs="Palatino Linotype"/>
          <w:sz w:val="24"/>
          <w:szCs w:val="24"/>
        </w:rPr>
      </w:pPr>
      <w:r w:rsidRPr="76B7B05F">
        <w:rPr>
          <w:rFonts w:ascii="Palatino Linotype" w:eastAsia="Palatino Linotype" w:hAnsi="Palatino Linotype" w:cs="Palatino Linotype"/>
          <w:sz w:val="24"/>
          <w:szCs w:val="24"/>
        </w:rPr>
        <w:lastRenderedPageBreak/>
        <w:t>En segundo término, se tiene que el Recurrente solicitó que se le informara cuál es la unidad administrativa que se encarga de las enajenaciones de bienes muebles y a de cuál dirección general depende, a lo que se le respondió que la Secretaría del Ayuntamiento es el área que se encarga de las enajenaciones y depende de la Presidencia Municipal, además de que esa información es la única que obra en los archivos municipales del Sujeto Obligado.</w:t>
      </w:r>
    </w:p>
    <w:p w14:paraId="16E8EE03" w14:textId="00FFA629" w:rsidR="00CB048A" w:rsidRDefault="00CB048A" w:rsidP="00663A37">
      <w:pPr>
        <w:spacing w:after="0" w:line="360" w:lineRule="auto"/>
        <w:contextualSpacing/>
        <w:jc w:val="both"/>
        <w:rPr>
          <w:rFonts w:ascii="Palatino Linotype" w:eastAsia="Palatino Linotype" w:hAnsi="Palatino Linotype" w:cs="Palatino Linotype"/>
          <w:sz w:val="24"/>
          <w:szCs w:val="24"/>
        </w:rPr>
      </w:pPr>
    </w:p>
    <w:p w14:paraId="502C8D0B" w14:textId="77777777" w:rsidR="00CF5305" w:rsidRDefault="00CF5305"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Cobra especial relevancia que la respuesta del Sujeto Obligado la realizó la Titular de la Unidad de Transparencia, sin que de lo actuado en el expediente electrónico del SAIMEX se advierta que la solicitud de información haya sido turnada a otras áreas para que se pronunciaran al respecto, como se observa en la siguiente imagen:</w:t>
      </w:r>
    </w:p>
    <w:p w14:paraId="2077604D" w14:textId="77777777" w:rsidR="00CF5305" w:rsidRDefault="00CF5305" w:rsidP="00663A37">
      <w:pPr>
        <w:spacing w:after="0" w:line="360" w:lineRule="auto"/>
        <w:contextualSpacing/>
        <w:jc w:val="both"/>
        <w:rPr>
          <w:rFonts w:ascii="Palatino Linotype" w:eastAsia="Palatino Linotype" w:hAnsi="Palatino Linotype" w:cs="Palatino Linotype"/>
          <w:sz w:val="24"/>
          <w:szCs w:val="24"/>
        </w:rPr>
      </w:pPr>
    </w:p>
    <w:p w14:paraId="4C6C2CC0" w14:textId="50D92110" w:rsidR="00CF5305" w:rsidRDefault="006906A7" w:rsidP="00CF5305">
      <w:pPr>
        <w:spacing w:after="0" w:line="360" w:lineRule="auto"/>
        <w:contextualSpacing/>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34D64C50" wp14:editId="7407CD47">
            <wp:extent cx="5701086" cy="2454573"/>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5818078" cy="2504943"/>
                    </a:xfrm>
                    <a:prstGeom prst="rect">
                      <a:avLst/>
                    </a:prstGeom>
                  </pic:spPr>
                </pic:pic>
              </a:graphicData>
            </a:graphic>
          </wp:inline>
        </w:drawing>
      </w:r>
    </w:p>
    <w:p w14:paraId="57E2260D" w14:textId="77777777" w:rsidR="00CF5305" w:rsidRDefault="00CF5305" w:rsidP="00663A37">
      <w:pPr>
        <w:spacing w:after="0" w:line="360" w:lineRule="auto"/>
        <w:contextualSpacing/>
        <w:jc w:val="both"/>
        <w:rPr>
          <w:rFonts w:ascii="Palatino Linotype" w:eastAsia="Palatino Linotype" w:hAnsi="Palatino Linotype" w:cs="Palatino Linotype"/>
          <w:sz w:val="24"/>
          <w:szCs w:val="24"/>
        </w:rPr>
      </w:pPr>
    </w:p>
    <w:p w14:paraId="76B82652" w14:textId="0ECE73A4" w:rsidR="00CF5305" w:rsidRDefault="006F0462"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puede observar, no obran en el expediente los requerimientos que la Unidad de Transparencia debe girar a las áreas que considere competentes, con el propósito de </w:t>
      </w:r>
      <w:r>
        <w:rPr>
          <w:rFonts w:ascii="Palatino Linotype" w:eastAsia="Palatino Linotype" w:hAnsi="Palatino Linotype" w:cs="Palatino Linotype"/>
          <w:sz w:val="24"/>
          <w:szCs w:val="24"/>
        </w:rPr>
        <w:lastRenderedPageBreak/>
        <w:t>que éstas, por medio de los servidores públicos habilitados, atiendan y emitan sus consideraciones a la solicitud de información correspondiente.</w:t>
      </w:r>
    </w:p>
    <w:p w14:paraId="2137127A" w14:textId="7F5BEDD5" w:rsidR="00DF4DDE" w:rsidRDefault="00DF4DDE" w:rsidP="00663A37">
      <w:pPr>
        <w:spacing w:after="0" w:line="360" w:lineRule="auto"/>
        <w:contextualSpacing/>
        <w:jc w:val="both"/>
        <w:rPr>
          <w:rFonts w:ascii="Palatino Linotype" w:eastAsia="Palatino Linotype" w:hAnsi="Palatino Linotype" w:cs="Palatino Linotype"/>
          <w:sz w:val="24"/>
          <w:szCs w:val="24"/>
        </w:rPr>
      </w:pPr>
    </w:p>
    <w:p w14:paraId="193D608E" w14:textId="3C6DC025" w:rsidR="006E47FA" w:rsidRDefault="00DF4DDE" w:rsidP="00DF4DDE">
      <w:pPr>
        <w:spacing w:after="0" w:line="360" w:lineRule="auto"/>
        <w:jc w:val="both"/>
        <w:rPr>
          <w:rFonts w:ascii="Palatino Linotype" w:eastAsia="Arial Unicode MS" w:hAnsi="Palatino Linotype" w:cs="Arial"/>
          <w:sz w:val="24"/>
          <w:szCs w:val="24"/>
          <w:lang w:eastAsia="en-US"/>
        </w:rPr>
      </w:pPr>
      <w:r>
        <w:rPr>
          <w:rFonts w:ascii="Palatino Linotype" w:eastAsia="Palatino Linotype" w:hAnsi="Palatino Linotype" w:cs="Palatino Linotype"/>
          <w:sz w:val="24"/>
          <w:szCs w:val="24"/>
        </w:rPr>
        <w:t xml:space="preserve">Al respecto, es menester </w:t>
      </w:r>
      <w:r w:rsidR="00593A2E">
        <w:rPr>
          <w:rFonts w:ascii="Palatino Linotype" w:eastAsia="Palatino Linotype" w:hAnsi="Palatino Linotype" w:cs="Palatino Linotype"/>
          <w:sz w:val="24"/>
          <w:szCs w:val="24"/>
        </w:rPr>
        <w:t>hacer referencia a lo establecido en los artículos 50, 53 fracciones II</w:t>
      </w:r>
      <w:r w:rsidR="000231BF">
        <w:rPr>
          <w:rFonts w:ascii="Palatino Linotype" w:eastAsia="Palatino Linotype" w:hAnsi="Palatino Linotype" w:cs="Palatino Linotype"/>
          <w:sz w:val="24"/>
          <w:szCs w:val="24"/>
        </w:rPr>
        <w:t>,</w:t>
      </w:r>
      <w:r w:rsidR="00593A2E">
        <w:rPr>
          <w:rFonts w:ascii="Palatino Linotype" w:eastAsia="Palatino Linotype" w:hAnsi="Palatino Linotype" w:cs="Palatino Linotype"/>
          <w:sz w:val="24"/>
          <w:szCs w:val="24"/>
        </w:rPr>
        <w:t xml:space="preserve"> IV</w:t>
      </w:r>
      <w:r w:rsidR="000231BF">
        <w:rPr>
          <w:rFonts w:ascii="Palatino Linotype" w:eastAsia="Palatino Linotype" w:hAnsi="Palatino Linotype" w:cs="Palatino Linotype"/>
          <w:sz w:val="24"/>
          <w:szCs w:val="24"/>
        </w:rPr>
        <w:t xml:space="preserve"> y V</w:t>
      </w:r>
      <w:r w:rsidR="00593A2E">
        <w:rPr>
          <w:rFonts w:ascii="Palatino Linotype" w:eastAsia="Palatino Linotype" w:hAnsi="Palatino Linotype" w:cs="Palatino Linotype"/>
          <w:sz w:val="24"/>
          <w:szCs w:val="24"/>
        </w:rPr>
        <w:t>,</w:t>
      </w:r>
      <w:r w:rsidR="000231BF">
        <w:rPr>
          <w:rFonts w:ascii="Palatino Linotype" w:eastAsia="Palatino Linotype" w:hAnsi="Palatino Linotype" w:cs="Palatino Linotype"/>
          <w:sz w:val="24"/>
          <w:szCs w:val="24"/>
        </w:rPr>
        <w:t xml:space="preserve"> 58, 59 fracciones I y II, </w:t>
      </w:r>
      <w:r w:rsidR="006E47FA">
        <w:rPr>
          <w:rFonts w:ascii="Palatino Linotype" w:eastAsia="Palatino Linotype" w:hAnsi="Palatino Linotype" w:cs="Palatino Linotype"/>
          <w:sz w:val="24"/>
          <w:szCs w:val="24"/>
        </w:rPr>
        <w:t xml:space="preserve">y </w:t>
      </w:r>
      <w:r w:rsidR="000231BF">
        <w:rPr>
          <w:rFonts w:ascii="Palatino Linotype" w:eastAsia="Palatino Linotype" w:hAnsi="Palatino Linotype" w:cs="Palatino Linotype"/>
          <w:sz w:val="24"/>
          <w:szCs w:val="24"/>
        </w:rPr>
        <w:t>162</w:t>
      </w:r>
      <w:r w:rsidR="00593A2E">
        <w:rPr>
          <w:rFonts w:ascii="Palatino Linotype" w:eastAsia="Palatino Linotype" w:hAnsi="Palatino Linotype" w:cs="Palatino Linotype"/>
          <w:sz w:val="24"/>
          <w:szCs w:val="24"/>
        </w:rPr>
        <w:t xml:space="preserve"> </w:t>
      </w:r>
      <w:r w:rsidR="006E47FA" w:rsidRPr="00E6674B">
        <w:rPr>
          <w:rFonts w:ascii="Palatino Linotype" w:eastAsia="Arial Unicode MS" w:hAnsi="Palatino Linotype" w:cs="Arial"/>
          <w:sz w:val="24"/>
          <w:szCs w:val="24"/>
          <w:lang w:eastAsia="en-US"/>
        </w:rPr>
        <w:t>de la Ley de Transparencia y Acceso a la Información del Estado de México y Municipios</w:t>
      </w:r>
      <w:r w:rsidR="006E47FA">
        <w:rPr>
          <w:rFonts w:ascii="Palatino Linotype" w:eastAsia="Arial Unicode MS" w:hAnsi="Palatino Linotype" w:cs="Arial"/>
          <w:sz w:val="24"/>
          <w:szCs w:val="24"/>
          <w:lang w:eastAsia="en-US"/>
        </w:rPr>
        <w:t>, que a la letra estipulan lo siguiente:</w:t>
      </w:r>
    </w:p>
    <w:p w14:paraId="597126DA" w14:textId="64EC6A1C" w:rsidR="006E47FA" w:rsidRDefault="006E47FA" w:rsidP="00DF4DDE">
      <w:pPr>
        <w:spacing w:after="0" w:line="360" w:lineRule="auto"/>
        <w:jc w:val="both"/>
        <w:rPr>
          <w:rFonts w:ascii="Palatino Linotype" w:eastAsia="Arial Unicode MS" w:hAnsi="Palatino Linotype" w:cs="Arial"/>
          <w:sz w:val="24"/>
          <w:szCs w:val="24"/>
          <w:lang w:eastAsia="en-US"/>
        </w:rPr>
      </w:pPr>
    </w:p>
    <w:p w14:paraId="7A81FA6B"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50. </w:t>
      </w:r>
      <w:r w:rsidRPr="006E47F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6770C45E"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p>
    <w:p w14:paraId="39842EE1"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53. </w:t>
      </w:r>
      <w:r w:rsidRPr="006E47FA">
        <w:rPr>
          <w:rFonts w:ascii="Palatino Linotype" w:eastAsia="Palatino Linotype" w:hAnsi="Palatino Linotype" w:cs="Palatino Linotype"/>
          <w:i/>
          <w:iCs/>
        </w:rPr>
        <w:t>Las Unidades de Transparencia tendrán las siguientes funciones:</w:t>
      </w:r>
    </w:p>
    <w:p w14:paraId="5BEB2780" w14:textId="3D4C2FBD"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65F46360" w14:textId="02009B10"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Recibir, tramitar y dar respuesta a las solicitudes de acceso a la información;</w:t>
      </w:r>
    </w:p>
    <w:p w14:paraId="64FB9B2B" w14:textId="74415EBC"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73DAC3A4" w14:textId="732F8B51"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IV.</w:t>
      </w:r>
      <w:r w:rsidRPr="006E47F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1EDD77FB" w14:textId="43D5912F"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V.</w:t>
      </w:r>
      <w:r w:rsidRPr="006E47FA">
        <w:rPr>
          <w:rFonts w:ascii="Palatino Linotype" w:eastAsia="Palatino Linotype" w:hAnsi="Palatino Linotype" w:cs="Palatino Linotype"/>
          <w:i/>
          <w:iCs/>
        </w:rPr>
        <w:t xml:space="preserve"> Entregar, en su caso, a los particulares la información solicitada;</w:t>
      </w:r>
    </w:p>
    <w:p w14:paraId="5CAFAA1C" w14:textId="73CA4A9D"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37A9131A" w14:textId="6C4E9A38"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p>
    <w:p w14:paraId="41D7245A"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58. </w:t>
      </w:r>
      <w:r w:rsidRPr="006E47F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1E7F4504" w14:textId="08309ADB"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p>
    <w:p w14:paraId="2B4C6D66"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59. </w:t>
      </w:r>
      <w:r w:rsidRPr="006E47FA">
        <w:rPr>
          <w:rFonts w:ascii="Palatino Linotype" w:eastAsia="Palatino Linotype" w:hAnsi="Palatino Linotype" w:cs="Palatino Linotype"/>
          <w:i/>
          <w:iCs/>
        </w:rPr>
        <w:t>Los servidores públicos habilitados tendrán las funciones siguientes:</w:t>
      </w:r>
    </w:p>
    <w:p w14:paraId="2E0DAD0F"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p>
    <w:p w14:paraId="5DB4EB78" w14:textId="2D56C26D"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w:t>
      </w:r>
      <w:r w:rsidRPr="006E47FA">
        <w:rPr>
          <w:rFonts w:ascii="Palatino Linotype" w:eastAsia="Palatino Linotype" w:hAnsi="Palatino Linotype" w:cs="Palatino Linotype"/>
          <w:i/>
          <w:iCs/>
        </w:rPr>
        <w:t xml:space="preserve"> Localizar la información que le solicite la Unidad de Transparencia;</w:t>
      </w:r>
    </w:p>
    <w:p w14:paraId="03F5C6EE" w14:textId="5D2732D2"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Proporcionar la información que obre en los archivos y que le sea solicitada por la Unidad de Transparencia;</w:t>
      </w:r>
    </w:p>
    <w:p w14:paraId="4BB18904" w14:textId="2EEF4C81"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4CCEF240" w14:textId="3A3066C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p>
    <w:p w14:paraId="59C21312" w14:textId="77777777" w:rsidR="006E47FA" w:rsidRPr="006E47FA" w:rsidRDefault="006E47FA" w:rsidP="006E47FA">
      <w:pPr>
        <w:spacing w:after="0" w:line="240" w:lineRule="auto"/>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162. </w:t>
      </w:r>
      <w:r w:rsidRPr="006E47FA">
        <w:rPr>
          <w:rFonts w:ascii="Palatino Linotype" w:eastAsia="Palatino Linotype" w:hAnsi="Palatino Linotype" w:cs="Palatino Linotype"/>
          <w:i/>
          <w:iCs/>
        </w:rPr>
        <w:t xml:space="preserve">Las unidades de transparencia deberán garantizar que las solicitudes se turnen a todas las Áreas competentes que cuenten con la información o deban tenerla de </w:t>
      </w:r>
      <w:r w:rsidRPr="006E47FA">
        <w:rPr>
          <w:rFonts w:ascii="Palatino Linotype" w:eastAsia="Palatino Linotype" w:hAnsi="Palatino Linotype" w:cs="Palatino Linotype"/>
          <w:i/>
          <w:iCs/>
        </w:rPr>
        <w:lastRenderedPageBreak/>
        <w:t>acuerdo a sus facultades, competencias y funciones, con el objeto de que realicen una búsqueda exhaustiva y razonable de la información solicitada.</w:t>
      </w:r>
    </w:p>
    <w:p w14:paraId="6DE3BEDA" w14:textId="77777777" w:rsidR="006E47FA" w:rsidRDefault="006E47FA" w:rsidP="00DF4DDE">
      <w:pPr>
        <w:spacing w:after="0" w:line="360" w:lineRule="auto"/>
        <w:jc w:val="both"/>
        <w:rPr>
          <w:rFonts w:ascii="Palatino Linotype" w:eastAsia="Palatino Linotype" w:hAnsi="Palatino Linotype" w:cs="Palatino Linotype"/>
          <w:sz w:val="24"/>
          <w:szCs w:val="24"/>
        </w:rPr>
      </w:pPr>
    </w:p>
    <w:p w14:paraId="58723906" w14:textId="16D41D40" w:rsidR="00DF4DDE" w:rsidRDefault="00681F35" w:rsidP="00DF4DDE">
      <w:pPr>
        <w:spacing w:after="0" w:line="360" w:lineRule="auto"/>
        <w:jc w:val="both"/>
        <w:rPr>
          <w:rFonts w:ascii="Palatino Linotype" w:eastAsia="Arial Unicode MS" w:hAnsi="Palatino Linotype" w:cs="Arial"/>
          <w:sz w:val="24"/>
          <w:szCs w:val="24"/>
          <w:lang w:eastAsia="en-US"/>
        </w:rPr>
      </w:pPr>
      <w:r>
        <w:rPr>
          <w:rFonts w:ascii="Palatino Linotype" w:eastAsia="Palatino Linotype" w:hAnsi="Palatino Linotype" w:cs="Palatino Linotype"/>
          <w:sz w:val="24"/>
          <w:szCs w:val="24"/>
        </w:rPr>
        <w:t xml:space="preserve">De los artículos citados se desprende que </w:t>
      </w:r>
      <w:r w:rsidR="00DF4DDE">
        <w:rPr>
          <w:rFonts w:ascii="Palatino Linotype" w:eastAsia="Palatino Linotype" w:hAnsi="Palatino Linotype" w:cs="Palatino Linotype"/>
          <w:sz w:val="24"/>
          <w:szCs w:val="24"/>
        </w:rPr>
        <w:t xml:space="preserve">las Unidades de Transparencia de los sujetos obligados son las encargadas de tramitar internamente </w:t>
      </w:r>
      <w:r w:rsidR="00DF4DDE" w:rsidRPr="00E6674B">
        <w:rPr>
          <w:rFonts w:ascii="Palatino Linotype" w:eastAsia="Arial Unicode MS" w:hAnsi="Palatino Linotype" w:cs="Arial"/>
          <w:sz w:val="24"/>
          <w:szCs w:val="24"/>
          <w:lang w:eastAsia="en-US"/>
        </w:rPr>
        <w:t xml:space="preserve">las solicitudes de información </w:t>
      </w:r>
      <w:r>
        <w:rPr>
          <w:rFonts w:ascii="Palatino Linotype" w:eastAsia="Arial Unicode MS" w:hAnsi="Palatino Linotype" w:cs="Arial"/>
          <w:sz w:val="24"/>
          <w:szCs w:val="24"/>
          <w:lang w:eastAsia="en-US"/>
        </w:rPr>
        <w:t xml:space="preserve">y tienen, entre otras funciones, </w:t>
      </w:r>
      <w:r w:rsidR="00DF4DDE" w:rsidRPr="00E6674B">
        <w:rPr>
          <w:rFonts w:ascii="Palatino Linotype" w:eastAsia="Arial Unicode MS" w:hAnsi="Palatino Linotype" w:cs="Arial"/>
          <w:sz w:val="24"/>
          <w:szCs w:val="24"/>
          <w:lang w:eastAsia="en-US"/>
        </w:rPr>
        <w:t>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r>
        <w:rPr>
          <w:rFonts w:ascii="Palatino Linotype" w:eastAsia="Arial Unicode MS" w:hAnsi="Palatino Linotype" w:cs="Arial"/>
          <w:sz w:val="24"/>
          <w:szCs w:val="24"/>
          <w:lang w:eastAsia="en-US"/>
        </w:rPr>
        <w:t xml:space="preserve"> Por su parte, los servidores públicos habilitados auxiliarán a las Unidades de Transparencia localizando la información solicitada y proporcionando la misma que obre en sus archivos. Asimismo, es una obligación de la Unidades de Transparencia turnar </w:t>
      </w:r>
      <w:r w:rsidR="00300ED6">
        <w:rPr>
          <w:rFonts w:ascii="Palatino Linotype" w:eastAsia="Arial Unicode MS" w:hAnsi="Palatino Linotype" w:cs="Arial"/>
          <w:sz w:val="24"/>
          <w:szCs w:val="24"/>
          <w:lang w:eastAsia="en-US"/>
        </w:rPr>
        <w:t>a todas las áreas que se consideren competentes para que realic</w:t>
      </w:r>
      <w:r w:rsidR="00300ED6" w:rsidRPr="00300ED6">
        <w:rPr>
          <w:rFonts w:ascii="Palatino Linotype" w:eastAsia="Arial Unicode MS" w:hAnsi="Palatino Linotype" w:cs="Arial"/>
          <w:sz w:val="24"/>
          <w:szCs w:val="24"/>
          <w:lang w:eastAsia="en-US"/>
        </w:rPr>
        <w:t xml:space="preserve">en una </w:t>
      </w:r>
      <w:r w:rsidRPr="006E47FA">
        <w:rPr>
          <w:rFonts w:ascii="Palatino Linotype" w:eastAsia="Arial Unicode MS" w:hAnsi="Palatino Linotype" w:cs="Arial"/>
          <w:sz w:val="24"/>
          <w:szCs w:val="24"/>
          <w:lang w:eastAsia="en-US"/>
        </w:rPr>
        <w:t>búsqueda exhaustiva y razonable de la información solicitada</w:t>
      </w:r>
      <w:r w:rsidR="00300ED6">
        <w:rPr>
          <w:rFonts w:ascii="Palatino Linotype" w:eastAsia="Arial Unicode MS" w:hAnsi="Palatino Linotype" w:cs="Arial"/>
          <w:sz w:val="24"/>
          <w:szCs w:val="24"/>
          <w:lang w:eastAsia="en-US"/>
        </w:rPr>
        <w:t xml:space="preserve"> a fin de que ésta sea entregada a los solicitantes.</w:t>
      </w:r>
    </w:p>
    <w:p w14:paraId="6272E555" w14:textId="6CD4D9D9" w:rsidR="00300ED6" w:rsidRDefault="00300ED6" w:rsidP="00DF4DDE">
      <w:pPr>
        <w:spacing w:after="0" w:line="360" w:lineRule="auto"/>
        <w:jc w:val="both"/>
        <w:rPr>
          <w:rFonts w:ascii="Palatino Linotype" w:eastAsia="Arial Unicode MS" w:hAnsi="Palatino Linotype" w:cs="Arial"/>
          <w:sz w:val="24"/>
          <w:szCs w:val="24"/>
          <w:lang w:eastAsia="en-US"/>
        </w:rPr>
      </w:pPr>
    </w:p>
    <w:p w14:paraId="3CB65038" w14:textId="193E7AA7" w:rsidR="00300ED6" w:rsidRDefault="76B7B05F" w:rsidP="00DF4DDE">
      <w:pPr>
        <w:spacing w:after="0" w:line="360" w:lineRule="auto"/>
        <w:jc w:val="both"/>
        <w:rPr>
          <w:rFonts w:ascii="Palatino Linotype" w:eastAsia="Arial Unicode MS" w:hAnsi="Palatino Linotype" w:cs="Arial"/>
          <w:sz w:val="24"/>
          <w:szCs w:val="24"/>
          <w:lang w:eastAsia="en-US"/>
        </w:rPr>
      </w:pPr>
      <w:r w:rsidRPr="76B7B05F">
        <w:rPr>
          <w:rFonts w:ascii="Palatino Linotype" w:eastAsia="Arial Unicode MS" w:hAnsi="Palatino Linotype" w:cs="Arial"/>
          <w:sz w:val="24"/>
          <w:szCs w:val="24"/>
          <w:lang w:eastAsia="en-US"/>
        </w:rPr>
        <w:t>Así, se debe entender que la tramitación interna comprende turnar la solicitud de información a las áreas competentes, con el propósito de que se realice una búsqueda exhaustiva y razonable de la información entre sus archivos y, en su caso, se dé respuesta al solicitante.</w:t>
      </w:r>
    </w:p>
    <w:p w14:paraId="4F3C1AF2" w14:textId="4FE29BD1" w:rsidR="00300ED6" w:rsidRDefault="00300ED6" w:rsidP="00DF4DDE">
      <w:pPr>
        <w:spacing w:after="0" w:line="360" w:lineRule="auto"/>
        <w:jc w:val="both"/>
        <w:rPr>
          <w:rFonts w:ascii="Palatino Linotype" w:eastAsia="Arial Unicode MS" w:hAnsi="Palatino Linotype" w:cs="Arial"/>
          <w:sz w:val="24"/>
          <w:szCs w:val="24"/>
          <w:lang w:eastAsia="en-US"/>
        </w:rPr>
      </w:pPr>
    </w:p>
    <w:p w14:paraId="43807BF7" w14:textId="3CC2A83C" w:rsidR="00300ED6" w:rsidRDefault="00300ED6"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No obstante, en el caso en concreto no se advierte que esa tramitación se haya llevado a cabo, pues no obra evidencia de los requerimientos en el expediente electrónico, como ya quedó señalado anteriormente</w:t>
      </w:r>
      <w:r w:rsidR="008E0037">
        <w:rPr>
          <w:rFonts w:ascii="Palatino Linotype" w:eastAsia="Arial Unicode MS" w:hAnsi="Palatino Linotype" w:cs="Arial"/>
          <w:sz w:val="24"/>
          <w:szCs w:val="24"/>
          <w:lang w:eastAsia="en-US"/>
        </w:rPr>
        <w:t>.</w:t>
      </w:r>
    </w:p>
    <w:p w14:paraId="12BCEB2E" w14:textId="7496EDF8" w:rsidR="008E0037" w:rsidRDefault="008E0037" w:rsidP="00DF4DDE">
      <w:pPr>
        <w:spacing w:after="0" w:line="360" w:lineRule="auto"/>
        <w:jc w:val="both"/>
        <w:rPr>
          <w:rFonts w:ascii="Palatino Linotype" w:eastAsia="Arial Unicode MS" w:hAnsi="Palatino Linotype" w:cs="Arial"/>
          <w:sz w:val="24"/>
          <w:szCs w:val="24"/>
          <w:lang w:eastAsia="en-US"/>
        </w:rPr>
      </w:pPr>
    </w:p>
    <w:p w14:paraId="5D342E04" w14:textId="72F9930C" w:rsidR="008E0037" w:rsidRDefault="008E0037"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lastRenderedPageBreak/>
        <w:t>Por tanto, al no haberse acreditado fehacientemente la búsqueda exhaustiva y razonable en los archivos de todas las áreas que pudiesen ser competentes, no se puede tener por satisfecho el derecho de acceso a la información pública del Recurrente.</w:t>
      </w:r>
    </w:p>
    <w:p w14:paraId="6B8B1C08" w14:textId="52BF55AB" w:rsidR="008525D8" w:rsidRDefault="008525D8" w:rsidP="00DF4DDE">
      <w:pPr>
        <w:spacing w:after="0" w:line="360" w:lineRule="auto"/>
        <w:jc w:val="both"/>
        <w:rPr>
          <w:rFonts w:ascii="Palatino Linotype" w:eastAsia="Arial Unicode MS" w:hAnsi="Palatino Linotype" w:cs="Arial"/>
          <w:sz w:val="24"/>
          <w:szCs w:val="24"/>
          <w:lang w:eastAsia="en-US"/>
        </w:rPr>
      </w:pPr>
    </w:p>
    <w:p w14:paraId="11465738" w14:textId="6ACED947" w:rsidR="008525D8" w:rsidRDefault="008525D8"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 xml:space="preserve">En este punto, no se soslaya que la </w:t>
      </w:r>
      <w:r w:rsidR="00C75F1D">
        <w:rPr>
          <w:rFonts w:ascii="Palatino Linotype" w:eastAsia="Arial Unicode MS" w:hAnsi="Palatino Linotype" w:cs="Arial"/>
          <w:sz w:val="24"/>
          <w:szCs w:val="24"/>
          <w:lang w:eastAsia="en-US"/>
        </w:rPr>
        <w:t>Ley Orgánica Municipal del Estado de México dispone en su</w:t>
      </w:r>
      <w:r w:rsidR="005C4FC7">
        <w:rPr>
          <w:rFonts w:ascii="Palatino Linotype" w:eastAsia="Arial Unicode MS" w:hAnsi="Palatino Linotype" w:cs="Arial"/>
          <w:sz w:val="24"/>
          <w:szCs w:val="24"/>
          <w:lang w:eastAsia="en-US"/>
        </w:rPr>
        <w:t>s</w:t>
      </w:r>
      <w:r w:rsidR="00C75F1D">
        <w:rPr>
          <w:rFonts w:ascii="Palatino Linotype" w:eastAsia="Arial Unicode MS" w:hAnsi="Palatino Linotype" w:cs="Arial"/>
          <w:sz w:val="24"/>
          <w:szCs w:val="24"/>
          <w:lang w:eastAsia="en-US"/>
        </w:rPr>
        <w:t xml:space="preserve"> artículo</w:t>
      </w:r>
      <w:r w:rsidR="005C4FC7">
        <w:rPr>
          <w:rFonts w:ascii="Palatino Linotype" w:eastAsia="Arial Unicode MS" w:hAnsi="Palatino Linotype" w:cs="Arial"/>
          <w:sz w:val="24"/>
          <w:szCs w:val="24"/>
          <w:lang w:eastAsia="en-US"/>
        </w:rPr>
        <w:t>s</w:t>
      </w:r>
      <w:r w:rsidR="00C75F1D">
        <w:rPr>
          <w:rFonts w:ascii="Palatino Linotype" w:eastAsia="Arial Unicode MS" w:hAnsi="Palatino Linotype" w:cs="Arial"/>
          <w:sz w:val="24"/>
          <w:szCs w:val="24"/>
          <w:lang w:eastAsia="en-US"/>
        </w:rPr>
        <w:t xml:space="preserve"> 31 fracción XXVIII </w:t>
      </w:r>
      <w:r w:rsidR="005C4FC7">
        <w:rPr>
          <w:rFonts w:ascii="Palatino Linotype" w:eastAsia="Arial Unicode MS" w:hAnsi="Palatino Linotype" w:cs="Arial"/>
          <w:sz w:val="24"/>
          <w:szCs w:val="24"/>
          <w:lang w:eastAsia="en-US"/>
        </w:rPr>
        <w:t xml:space="preserve">y 107 </w:t>
      </w:r>
      <w:r w:rsidR="00C75F1D">
        <w:rPr>
          <w:rFonts w:ascii="Palatino Linotype" w:eastAsia="Arial Unicode MS" w:hAnsi="Palatino Linotype" w:cs="Arial"/>
          <w:sz w:val="24"/>
          <w:szCs w:val="24"/>
          <w:lang w:eastAsia="en-US"/>
        </w:rPr>
        <w:t>lo siguiente:</w:t>
      </w:r>
    </w:p>
    <w:p w14:paraId="0FF0DF7B" w14:textId="26BA3412" w:rsidR="00C75F1D" w:rsidRDefault="00C75F1D" w:rsidP="00DF4DDE">
      <w:pPr>
        <w:spacing w:after="0" w:line="360" w:lineRule="auto"/>
        <w:jc w:val="both"/>
        <w:rPr>
          <w:rFonts w:ascii="Palatino Linotype" w:eastAsia="Arial Unicode MS" w:hAnsi="Palatino Linotype" w:cs="Arial"/>
          <w:sz w:val="24"/>
          <w:szCs w:val="24"/>
          <w:lang w:eastAsia="en-US"/>
        </w:rPr>
      </w:pPr>
    </w:p>
    <w:p w14:paraId="506C6DD4" w14:textId="7FE665C7" w:rsidR="00C75F1D" w:rsidRPr="00FE4AF3" w:rsidRDefault="00C75F1D" w:rsidP="00FE4AF3">
      <w:pPr>
        <w:spacing w:after="0" w:line="240" w:lineRule="auto"/>
        <w:ind w:left="567" w:right="616"/>
        <w:jc w:val="both"/>
        <w:rPr>
          <w:rFonts w:ascii="Palatino Linotype" w:eastAsia="Arial Unicode MS" w:hAnsi="Palatino Linotype" w:cs="Arial"/>
          <w:bCs/>
          <w:i/>
          <w:iCs/>
          <w:lang w:val="es-ES" w:eastAsia="en-US"/>
        </w:rPr>
      </w:pPr>
      <w:r w:rsidRPr="00FE4AF3">
        <w:rPr>
          <w:rFonts w:ascii="Palatino Linotype" w:eastAsia="Arial Unicode MS" w:hAnsi="Palatino Linotype" w:cs="Arial"/>
          <w:b/>
          <w:bCs/>
          <w:i/>
          <w:iCs/>
          <w:lang w:val="es-ES" w:eastAsia="en-US"/>
        </w:rPr>
        <w:t>Artículo 31.-</w:t>
      </w:r>
      <w:r w:rsidRPr="00FE4AF3">
        <w:rPr>
          <w:rFonts w:ascii="Palatino Linotype" w:eastAsia="Arial Unicode MS" w:hAnsi="Palatino Linotype" w:cs="Arial"/>
          <w:bCs/>
          <w:i/>
          <w:iCs/>
          <w:lang w:val="es-ES" w:eastAsia="en-US"/>
        </w:rPr>
        <w:t xml:space="preserve"> Son atribuciones de los ayuntamientos:</w:t>
      </w:r>
    </w:p>
    <w:p w14:paraId="44DB891D" w14:textId="44894BFB" w:rsidR="00C75F1D" w:rsidRPr="00FE4AF3" w:rsidRDefault="00C75F1D" w:rsidP="00FE4AF3">
      <w:pPr>
        <w:spacing w:after="0" w:line="240" w:lineRule="auto"/>
        <w:ind w:left="567" w:right="616"/>
        <w:jc w:val="both"/>
        <w:rPr>
          <w:rFonts w:ascii="Palatino Linotype" w:eastAsia="Arial Unicode MS" w:hAnsi="Palatino Linotype" w:cs="Arial"/>
          <w:bCs/>
          <w:i/>
          <w:iCs/>
          <w:lang w:val="es-ES" w:eastAsia="en-US"/>
        </w:rPr>
      </w:pPr>
      <w:r w:rsidRPr="00FE4AF3">
        <w:rPr>
          <w:rFonts w:ascii="Palatino Linotype" w:eastAsia="Arial Unicode MS" w:hAnsi="Palatino Linotype" w:cs="Arial"/>
          <w:bCs/>
          <w:i/>
          <w:iCs/>
          <w:lang w:val="es-ES" w:eastAsia="en-US"/>
        </w:rPr>
        <w:t>(…)</w:t>
      </w:r>
    </w:p>
    <w:p w14:paraId="6234A4F0" w14:textId="0C2D6955" w:rsidR="00C75F1D" w:rsidRPr="00FE4AF3" w:rsidRDefault="00C75F1D" w:rsidP="00FE4AF3">
      <w:pPr>
        <w:spacing w:after="0" w:line="240" w:lineRule="auto"/>
        <w:ind w:left="567" w:right="616"/>
        <w:jc w:val="both"/>
        <w:rPr>
          <w:rFonts w:ascii="Palatino Linotype" w:eastAsia="Arial Unicode MS" w:hAnsi="Palatino Linotype" w:cs="Arial"/>
          <w:bCs/>
          <w:i/>
          <w:iCs/>
          <w:lang w:val="es-ES" w:eastAsia="en-US"/>
        </w:rPr>
      </w:pPr>
      <w:r w:rsidRPr="00FE4AF3">
        <w:rPr>
          <w:rFonts w:ascii="Palatino Linotype" w:eastAsia="Arial Unicode MS" w:hAnsi="Palatino Linotype" w:cs="Arial"/>
          <w:bCs/>
          <w:i/>
          <w:iCs/>
          <w:lang w:val="es-ES" w:eastAsia="en-US"/>
        </w:rPr>
        <w:t>XXVIII. Enajenar y dar en arrendamiento, usufructo o comodato los bienes del municipio, previa autorización, en su caso, de la Legislatura del Estado;</w:t>
      </w:r>
    </w:p>
    <w:p w14:paraId="115D9684" w14:textId="1C725FE6" w:rsidR="00C75F1D" w:rsidRDefault="00C75F1D" w:rsidP="00FE4AF3">
      <w:pPr>
        <w:spacing w:after="0" w:line="240" w:lineRule="auto"/>
        <w:ind w:left="567" w:right="616"/>
        <w:jc w:val="both"/>
        <w:rPr>
          <w:rFonts w:ascii="Palatino Linotype" w:eastAsia="Arial Unicode MS" w:hAnsi="Palatino Linotype" w:cs="Arial"/>
          <w:bCs/>
          <w:i/>
          <w:iCs/>
          <w:lang w:val="es-ES" w:eastAsia="en-US"/>
        </w:rPr>
      </w:pPr>
      <w:r w:rsidRPr="00FE4AF3">
        <w:rPr>
          <w:rFonts w:ascii="Palatino Linotype" w:eastAsia="Arial Unicode MS" w:hAnsi="Palatino Linotype" w:cs="Arial"/>
          <w:bCs/>
          <w:i/>
          <w:iCs/>
          <w:lang w:val="es-ES" w:eastAsia="en-US"/>
        </w:rPr>
        <w:t>(…)</w:t>
      </w:r>
    </w:p>
    <w:p w14:paraId="6AD5ABA1" w14:textId="22263EB8" w:rsidR="005C4FC7" w:rsidRDefault="005C4FC7" w:rsidP="00FE4AF3">
      <w:pPr>
        <w:spacing w:after="0" w:line="240" w:lineRule="auto"/>
        <w:ind w:left="567" w:right="616"/>
        <w:jc w:val="both"/>
        <w:rPr>
          <w:rFonts w:ascii="Palatino Linotype" w:eastAsia="Arial Unicode MS" w:hAnsi="Palatino Linotype" w:cs="Arial"/>
          <w:bCs/>
          <w:i/>
          <w:iCs/>
          <w:lang w:val="es-ES" w:eastAsia="en-US"/>
        </w:rPr>
      </w:pPr>
    </w:p>
    <w:p w14:paraId="3040DCCE" w14:textId="2BB08A22" w:rsidR="005C4FC7" w:rsidRPr="006E686F" w:rsidRDefault="005C4FC7" w:rsidP="006E686F">
      <w:pPr>
        <w:spacing w:after="0" w:line="240" w:lineRule="auto"/>
        <w:ind w:left="567" w:right="616"/>
        <w:jc w:val="both"/>
        <w:rPr>
          <w:rFonts w:ascii="Palatino Linotype" w:eastAsia="Arial Unicode MS" w:hAnsi="Palatino Linotype" w:cs="Arial"/>
          <w:b/>
          <w:bCs/>
          <w:i/>
          <w:iCs/>
          <w:lang w:eastAsia="en-US"/>
        </w:rPr>
      </w:pPr>
      <w:r w:rsidRPr="005C4FC7">
        <w:rPr>
          <w:rFonts w:ascii="Palatino Linotype" w:eastAsia="Arial Unicode MS" w:hAnsi="Palatino Linotype" w:cs="Arial"/>
          <w:b/>
          <w:bCs/>
          <w:i/>
          <w:iCs/>
          <w:lang w:eastAsia="en-US"/>
        </w:rPr>
        <w:t xml:space="preserve">Artículo 107. </w:t>
      </w:r>
      <w:r w:rsidRPr="005C4FC7">
        <w:rPr>
          <w:rFonts w:ascii="Palatino Linotype" w:eastAsia="Arial Unicode MS" w:hAnsi="Palatino Linotype" w:cs="Arial"/>
          <w:bCs/>
          <w:i/>
          <w:iCs/>
          <w:lang w:eastAsia="en-US"/>
        </w:rPr>
        <w:t>El Ayuntamiento, previo dictamen del Comité correspondiente, podrá acordar la transmisión a título oneroso o gratuito, de los bienes muebles del dominio privado municipal, a través del procedimiento establecido en la Ley de Contratación Pública del Estado de México y Municipios y su Reglamento.</w:t>
      </w:r>
    </w:p>
    <w:p w14:paraId="6F198376" w14:textId="452E979A" w:rsidR="00C75F1D" w:rsidRDefault="00C75F1D" w:rsidP="00DF4DDE">
      <w:pPr>
        <w:spacing w:after="0" w:line="360" w:lineRule="auto"/>
        <w:jc w:val="both"/>
        <w:rPr>
          <w:rFonts w:ascii="Palatino Linotype" w:eastAsia="Arial Unicode MS" w:hAnsi="Palatino Linotype" w:cs="Arial"/>
          <w:sz w:val="24"/>
          <w:szCs w:val="24"/>
          <w:lang w:eastAsia="en-US"/>
        </w:rPr>
      </w:pPr>
    </w:p>
    <w:p w14:paraId="624CBC40" w14:textId="77777777" w:rsidR="00E75266" w:rsidRDefault="00FE4AF3"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De lo que se desprende que los ayuntamientos pueden realizar enajenaciones respecto de los bienes del municipio</w:t>
      </w:r>
      <w:r w:rsidR="00E75266">
        <w:rPr>
          <w:rFonts w:ascii="Palatino Linotype" w:eastAsia="Arial Unicode MS" w:hAnsi="Palatino Linotype" w:cs="Arial"/>
          <w:sz w:val="24"/>
          <w:szCs w:val="24"/>
          <w:lang w:eastAsia="en-US"/>
        </w:rPr>
        <w:t>, lo que realizarán con base al dictámen emitido por el Comité correspondiente y con apego a lo establecido en la Ley de Contratación Pública del Estado de México y Municipios y su Reglamento</w:t>
      </w:r>
      <w:r w:rsidR="00623565">
        <w:rPr>
          <w:rFonts w:ascii="Palatino Linotype" w:eastAsia="Arial Unicode MS" w:hAnsi="Palatino Linotype" w:cs="Arial"/>
          <w:sz w:val="24"/>
          <w:szCs w:val="24"/>
          <w:lang w:eastAsia="en-US"/>
        </w:rPr>
        <w:t xml:space="preserve">. </w:t>
      </w:r>
    </w:p>
    <w:p w14:paraId="628FAFED" w14:textId="77777777" w:rsidR="00E75266" w:rsidRDefault="00E75266" w:rsidP="00DF4DDE">
      <w:pPr>
        <w:spacing w:after="0" w:line="360" w:lineRule="auto"/>
        <w:jc w:val="both"/>
        <w:rPr>
          <w:rFonts w:ascii="Palatino Linotype" w:eastAsia="Arial Unicode MS" w:hAnsi="Palatino Linotype" w:cs="Arial"/>
          <w:sz w:val="24"/>
          <w:szCs w:val="24"/>
          <w:lang w:eastAsia="en-US"/>
        </w:rPr>
      </w:pPr>
    </w:p>
    <w:p w14:paraId="277AD1DA" w14:textId="56D7D71E" w:rsidR="00FE4AF3" w:rsidRDefault="00623565"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Asimismo, el Bando Municipal 2021 de Acambay de Ruíz Castañeda, Estado de México, en sus artículos</w:t>
      </w:r>
      <w:r w:rsidR="00E75266">
        <w:rPr>
          <w:rFonts w:ascii="Palatino Linotype" w:eastAsia="Arial Unicode MS" w:hAnsi="Palatino Linotype" w:cs="Arial"/>
          <w:sz w:val="24"/>
          <w:szCs w:val="24"/>
          <w:lang w:eastAsia="en-US"/>
        </w:rPr>
        <w:t xml:space="preserve"> 39, 42 fracción II, incisos d y </w:t>
      </w:r>
      <w:r w:rsidR="00CA3358">
        <w:rPr>
          <w:rFonts w:ascii="Palatino Linotype" w:eastAsia="Arial Unicode MS" w:hAnsi="Palatino Linotype" w:cs="Arial"/>
          <w:sz w:val="24"/>
          <w:szCs w:val="24"/>
          <w:lang w:eastAsia="en-US"/>
        </w:rPr>
        <w:t>h,</w:t>
      </w:r>
      <w:r>
        <w:rPr>
          <w:rFonts w:ascii="Palatino Linotype" w:eastAsia="Arial Unicode MS" w:hAnsi="Palatino Linotype" w:cs="Arial"/>
          <w:sz w:val="24"/>
          <w:szCs w:val="24"/>
          <w:lang w:eastAsia="en-US"/>
        </w:rPr>
        <w:t xml:space="preserve"> 91</w:t>
      </w:r>
      <w:r w:rsidR="006E686F">
        <w:rPr>
          <w:rFonts w:ascii="Palatino Linotype" w:eastAsia="Arial Unicode MS" w:hAnsi="Palatino Linotype" w:cs="Arial"/>
          <w:sz w:val="24"/>
          <w:szCs w:val="24"/>
          <w:lang w:eastAsia="en-US"/>
        </w:rPr>
        <w:t xml:space="preserve"> fracción I</w:t>
      </w:r>
      <w:r>
        <w:rPr>
          <w:rFonts w:ascii="Palatino Linotype" w:eastAsia="Arial Unicode MS" w:hAnsi="Palatino Linotype" w:cs="Arial"/>
          <w:sz w:val="24"/>
          <w:szCs w:val="24"/>
          <w:lang w:eastAsia="en-US"/>
        </w:rPr>
        <w:t xml:space="preserve">, 92 y 93 </w:t>
      </w:r>
      <w:r w:rsidR="00CD23BE">
        <w:rPr>
          <w:rFonts w:ascii="Palatino Linotype" w:eastAsia="Arial Unicode MS" w:hAnsi="Palatino Linotype" w:cs="Arial"/>
          <w:sz w:val="24"/>
          <w:szCs w:val="24"/>
          <w:lang w:eastAsia="en-US"/>
        </w:rPr>
        <w:t>establece lo siguiente:</w:t>
      </w:r>
    </w:p>
    <w:p w14:paraId="37F594F9" w14:textId="6360F87C" w:rsidR="005C4FC7" w:rsidRDefault="005C4FC7" w:rsidP="00DF4DDE">
      <w:pPr>
        <w:spacing w:after="0" w:line="360" w:lineRule="auto"/>
        <w:jc w:val="both"/>
        <w:rPr>
          <w:rFonts w:ascii="Palatino Linotype" w:eastAsia="Arial Unicode MS" w:hAnsi="Palatino Linotype" w:cs="Arial"/>
          <w:sz w:val="24"/>
          <w:szCs w:val="24"/>
          <w:lang w:eastAsia="en-US"/>
        </w:rPr>
      </w:pPr>
    </w:p>
    <w:p w14:paraId="779BD59A" w14:textId="2F12E087" w:rsidR="00CA3358" w:rsidRDefault="00CA3358" w:rsidP="006E686F">
      <w:pPr>
        <w:spacing w:after="0" w:line="240" w:lineRule="auto"/>
        <w:ind w:left="567" w:right="616"/>
        <w:jc w:val="both"/>
        <w:rPr>
          <w:rFonts w:ascii="Palatino Linotype" w:eastAsia="Arial Unicode MS" w:hAnsi="Palatino Linotype" w:cs="Arial"/>
          <w:i/>
          <w:iCs/>
          <w:lang w:eastAsia="en-US"/>
        </w:rPr>
      </w:pPr>
      <w:r>
        <w:rPr>
          <w:rFonts w:ascii="Palatino Linotype" w:eastAsia="Arial Unicode MS" w:hAnsi="Palatino Linotype" w:cs="Arial"/>
          <w:b/>
          <w:bCs/>
          <w:i/>
          <w:iCs/>
          <w:lang w:eastAsia="en-US"/>
        </w:rPr>
        <w:lastRenderedPageBreak/>
        <w:t>Artículo 39.</w:t>
      </w:r>
      <w:r>
        <w:rPr>
          <w:rFonts w:ascii="Palatino Linotype" w:eastAsia="Arial Unicode MS" w:hAnsi="Palatino Linotype" w:cs="Arial"/>
          <w:i/>
          <w:iCs/>
          <w:lang w:eastAsia="en-US"/>
        </w:rPr>
        <w:t xml:space="preserve"> El Ayuntamiento para el eficaz desempeño de sus funciones, podrá auxiliarse de comités, comisiones, consejos de participación ciudadana, organizaciones sociales representativas de la comunidad, cuyas atribuciones se encuentran señaladas en leyes federales, locales, del bando, reglamentos, acuerdos y demás ordenamientos expedidos por el Ayuntamiento.</w:t>
      </w:r>
    </w:p>
    <w:p w14:paraId="023C7689" w14:textId="649C10ED" w:rsidR="00CA3358" w:rsidRDefault="00CA3358" w:rsidP="006E686F">
      <w:pPr>
        <w:spacing w:after="0" w:line="240" w:lineRule="auto"/>
        <w:ind w:left="567" w:right="616"/>
        <w:jc w:val="both"/>
        <w:rPr>
          <w:rFonts w:ascii="Palatino Linotype" w:eastAsia="Arial Unicode MS" w:hAnsi="Palatino Linotype" w:cs="Arial"/>
          <w:i/>
          <w:iCs/>
          <w:lang w:eastAsia="en-US"/>
        </w:rPr>
      </w:pPr>
    </w:p>
    <w:p w14:paraId="524245EA" w14:textId="2D7ED430" w:rsidR="00CA3358" w:rsidRDefault="00CA3358" w:rsidP="006E686F">
      <w:pPr>
        <w:spacing w:after="0" w:line="240" w:lineRule="auto"/>
        <w:ind w:left="567" w:right="616"/>
        <w:jc w:val="both"/>
        <w:rPr>
          <w:rFonts w:ascii="Palatino Linotype" w:eastAsia="Arial Unicode MS" w:hAnsi="Palatino Linotype" w:cs="Arial"/>
          <w:i/>
          <w:iCs/>
          <w:lang w:eastAsia="en-US"/>
        </w:rPr>
      </w:pPr>
      <w:r>
        <w:rPr>
          <w:rFonts w:ascii="Palatino Linotype" w:eastAsia="Arial Unicode MS" w:hAnsi="Palatino Linotype" w:cs="Arial"/>
          <w:b/>
          <w:bCs/>
          <w:i/>
          <w:iCs/>
          <w:lang w:eastAsia="en-US"/>
        </w:rPr>
        <w:t>Artículo 42.</w:t>
      </w:r>
      <w:r>
        <w:rPr>
          <w:rFonts w:ascii="Palatino Linotype" w:eastAsia="Arial Unicode MS" w:hAnsi="Palatino Linotype" w:cs="Arial"/>
          <w:i/>
          <w:iCs/>
          <w:lang w:eastAsia="en-US"/>
        </w:rPr>
        <w:t xml:space="preserve"> (…)</w:t>
      </w:r>
    </w:p>
    <w:p w14:paraId="759EF2CD" w14:textId="6DD5999B" w:rsidR="00CA3358" w:rsidRDefault="00CA3358" w:rsidP="006E686F">
      <w:pPr>
        <w:spacing w:after="0" w:line="240" w:lineRule="auto"/>
        <w:ind w:left="567" w:right="616"/>
        <w:jc w:val="both"/>
        <w:rPr>
          <w:rFonts w:ascii="Palatino Linotype" w:eastAsia="Arial Unicode MS" w:hAnsi="Palatino Linotype" w:cs="Arial"/>
          <w:i/>
          <w:iCs/>
          <w:lang w:eastAsia="en-US"/>
        </w:rPr>
      </w:pPr>
    </w:p>
    <w:p w14:paraId="3672C852" w14:textId="1ECB72A7" w:rsidR="00CA3358" w:rsidRDefault="00CA3358" w:rsidP="00CA3358">
      <w:pPr>
        <w:spacing w:after="0" w:line="240" w:lineRule="auto"/>
        <w:ind w:left="851" w:right="616"/>
        <w:jc w:val="both"/>
        <w:rPr>
          <w:rFonts w:ascii="Palatino Linotype" w:eastAsia="Arial Unicode MS" w:hAnsi="Palatino Linotype" w:cs="Arial"/>
          <w:b/>
          <w:bCs/>
          <w:i/>
          <w:iCs/>
          <w:lang w:eastAsia="en-US"/>
        </w:rPr>
      </w:pPr>
      <w:r w:rsidRPr="00CA3358">
        <w:rPr>
          <w:rFonts w:ascii="Palatino Linotype" w:eastAsia="Arial Unicode MS" w:hAnsi="Palatino Linotype" w:cs="Arial"/>
          <w:b/>
          <w:bCs/>
          <w:i/>
          <w:iCs/>
          <w:lang w:eastAsia="en-US"/>
        </w:rPr>
        <w:t xml:space="preserve">II.. </w:t>
      </w:r>
      <w:r>
        <w:rPr>
          <w:rFonts w:ascii="Palatino Linotype" w:eastAsia="Arial Unicode MS" w:hAnsi="Palatino Linotype" w:cs="Arial"/>
          <w:b/>
          <w:bCs/>
          <w:i/>
          <w:iCs/>
          <w:lang w:eastAsia="en-US"/>
        </w:rPr>
        <w:t>COMITÉS:</w:t>
      </w:r>
    </w:p>
    <w:p w14:paraId="7DFA274A" w14:textId="4114306F" w:rsidR="00CA3358" w:rsidRDefault="00CA3358" w:rsidP="00CA3358">
      <w:pPr>
        <w:spacing w:after="0" w:line="240" w:lineRule="auto"/>
        <w:ind w:left="1134" w:right="616"/>
        <w:jc w:val="both"/>
        <w:rPr>
          <w:rFonts w:ascii="Palatino Linotype" w:eastAsia="Arial Unicode MS" w:hAnsi="Palatino Linotype" w:cs="Arial"/>
          <w:i/>
          <w:iCs/>
          <w:lang w:eastAsia="en-US"/>
        </w:rPr>
      </w:pPr>
      <w:r>
        <w:rPr>
          <w:rFonts w:ascii="Palatino Linotype" w:eastAsia="Arial Unicode MS" w:hAnsi="Palatino Linotype" w:cs="Arial"/>
          <w:i/>
          <w:iCs/>
          <w:lang w:eastAsia="en-US"/>
        </w:rPr>
        <w:t>(…)</w:t>
      </w:r>
    </w:p>
    <w:p w14:paraId="3E92E2DF" w14:textId="22F6AF49" w:rsidR="00CA3358" w:rsidRPr="00CA3358" w:rsidRDefault="00CA3358" w:rsidP="00CA3358">
      <w:pPr>
        <w:spacing w:after="0" w:line="240" w:lineRule="auto"/>
        <w:ind w:left="1134" w:right="616"/>
        <w:jc w:val="both"/>
        <w:rPr>
          <w:rFonts w:ascii="Palatino Linotype" w:eastAsia="Arial Unicode MS" w:hAnsi="Palatino Linotype" w:cs="Arial"/>
          <w:i/>
          <w:iCs/>
          <w:lang w:eastAsia="en-US"/>
        </w:rPr>
      </w:pPr>
      <w:r w:rsidRPr="00CA3358">
        <w:rPr>
          <w:rFonts w:ascii="Palatino Linotype" w:eastAsia="Arial Unicode MS" w:hAnsi="Palatino Linotype" w:cs="Arial"/>
          <w:b/>
          <w:bCs/>
          <w:i/>
          <w:iCs/>
          <w:lang w:eastAsia="en-US"/>
        </w:rPr>
        <w:t>d.</w:t>
      </w:r>
      <w:r>
        <w:rPr>
          <w:rFonts w:ascii="Palatino Linotype" w:eastAsia="Arial Unicode MS" w:hAnsi="Palatino Linotype" w:cs="Arial"/>
          <w:i/>
          <w:iCs/>
          <w:lang w:eastAsia="en-US"/>
        </w:rPr>
        <w:t xml:space="preserve"> De Bienes Muebles e Inmuebles;</w:t>
      </w:r>
    </w:p>
    <w:p w14:paraId="326AC86F" w14:textId="3C860C12" w:rsidR="00CA3358" w:rsidRDefault="00CA3358" w:rsidP="00CA3358">
      <w:pPr>
        <w:spacing w:after="0" w:line="240" w:lineRule="auto"/>
        <w:ind w:left="1134" w:right="616"/>
        <w:jc w:val="both"/>
        <w:rPr>
          <w:rFonts w:ascii="Palatino Linotype" w:eastAsia="Arial Unicode MS" w:hAnsi="Palatino Linotype" w:cs="Arial"/>
          <w:i/>
          <w:iCs/>
          <w:lang w:eastAsia="en-US"/>
        </w:rPr>
      </w:pPr>
      <w:r>
        <w:rPr>
          <w:rFonts w:ascii="Palatino Linotype" w:eastAsia="Arial Unicode MS" w:hAnsi="Palatino Linotype" w:cs="Arial"/>
          <w:i/>
          <w:iCs/>
          <w:lang w:eastAsia="en-US"/>
        </w:rPr>
        <w:t>(…)</w:t>
      </w:r>
    </w:p>
    <w:p w14:paraId="395D1015" w14:textId="773DACB8" w:rsidR="00CA3358" w:rsidRDefault="00CA3358" w:rsidP="00CA3358">
      <w:pPr>
        <w:spacing w:after="0" w:line="240" w:lineRule="auto"/>
        <w:ind w:left="1134" w:right="616"/>
        <w:jc w:val="both"/>
        <w:rPr>
          <w:rFonts w:ascii="Palatino Linotype" w:eastAsia="Arial Unicode MS" w:hAnsi="Palatino Linotype" w:cs="Arial"/>
          <w:i/>
          <w:iCs/>
          <w:lang w:eastAsia="en-US"/>
        </w:rPr>
      </w:pPr>
      <w:r w:rsidRPr="00CA3358">
        <w:rPr>
          <w:rFonts w:ascii="Palatino Linotype" w:eastAsia="Arial Unicode MS" w:hAnsi="Palatino Linotype" w:cs="Arial"/>
          <w:b/>
          <w:bCs/>
          <w:i/>
          <w:iCs/>
          <w:lang w:eastAsia="en-US"/>
        </w:rPr>
        <w:t>h.</w:t>
      </w:r>
      <w:r>
        <w:rPr>
          <w:rFonts w:ascii="Palatino Linotype" w:eastAsia="Arial Unicode MS" w:hAnsi="Palatino Linotype" w:cs="Arial"/>
          <w:i/>
          <w:iCs/>
          <w:lang w:eastAsia="en-US"/>
        </w:rPr>
        <w:t xml:space="preserve"> De arrendamientos, adquisiciones de inmuebles y enajenaciones; y</w:t>
      </w:r>
    </w:p>
    <w:p w14:paraId="7B402794" w14:textId="67615EDA" w:rsidR="00CA3358" w:rsidRDefault="00CA3358" w:rsidP="00CA3358">
      <w:pPr>
        <w:spacing w:after="0" w:line="240" w:lineRule="auto"/>
        <w:ind w:left="1134" w:right="616"/>
        <w:jc w:val="both"/>
        <w:rPr>
          <w:rFonts w:ascii="Palatino Linotype" w:eastAsia="Arial Unicode MS" w:hAnsi="Palatino Linotype" w:cs="Arial"/>
          <w:i/>
          <w:iCs/>
          <w:lang w:eastAsia="en-US"/>
        </w:rPr>
      </w:pPr>
      <w:r>
        <w:rPr>
          <w:rFonts w:ascii="Palatino Linotype" w:eastAsia="Arial Unicode MS" w:hAnsi="Palatino Linotype" w:cs="Arial"/>
          <w:i/>
          <w:iCs/>
          <w:lang w:eastAsia="en-US"/>
        </w:rPr>
        <w:t>(…)</w:t>
      </w:r>
    </w:p>
    <w:p w14:paraId="7A1FEFDD" w14:textId="77777777" w:rsidR="00CA3358" w:rsidRPr="00CA3358" w:rsidRDefault="00CA3358" w:rsidP="006E686F">
      <w:pPr>
        <w:spacing w:after="0" w:line="240" w:lineRule="auto"/>
        <w:ind w:left="567" w:right="616"/>
        <w:jc w:val="both"/>
        <w:rPr>
          <w:rFonts w:ascii="Palatino Linotype" w:eastAsia="Arial Unicode MS" w:hAnsi="Palatino Linotype" w:cs="Arial"/>
          <w:i/>
          <w:iCs/>
          <w:lang w:eastAsia="en-US"/>
        </w:rPr>
      </w:pPr>
    </w:p>
    <w:p w14:paraId="697F06CA" w14:textId="305E72E7" w:rsidR="006E686F" w:rsidRPr="006E686F" w:rsidRDefault="005C4FC7" w:rsidP="006E686F">
      <w:pPr>
        <w:spacing w:after="0" w:line="240" w:lineRule="auto"/>
        <w:ind w:left="567" w:right="616"/>
        <w:jc w:val="both"/>
        <w:rPr>
          <w:rFonts w:ascii="Palatino Linotype" w:eastAsia="Arial Unicode MS" w:hAnsi="Palatino Linotype" w:cs="Arial"/>
          <w:i/>
          <w:iCs/>
          <w:lang w:eastAsia="en-US"/>
        </w:rPr>
      </w:pPr>
      <w:r w:rsidRPr="006E686F">
        <w:rPr>
          <w:rFonts w:ascii="Palatino Linotype" w:eastAsia="Arial Unicode MS" w:hAnsi="Palatino Linotype" w:cs="Arial"/>
          <w:b/>
          <w:bCs/>
          <w:i/>
          <w:iCs/>
          <w:lang w:eastAsia="en-US"/>
        </w:rPr>
        <w:t>Artículo 91</w:t>
      </w:r>
      <w:r w:rsidR="006E686F" w:rsidRPr="006E686F">
        <w:rPr>
          <w:rFonts w:ascii="Palatino Linotype" w:eastAsia="Arial Unicode MS" w:hAnsi="Palatino Linotype" w:cs="Arial"/>
          <w:b/>
          <w:bCs/>
          <w:i/>
          <w:iCs/>
          <w:lang w:eastAsia="en-US"/>
        </w:rPr>
        <w:t>.</w:t>
      </w:r>
      <w:r w:rsidR="006E686F" w:rsidRPr="006E686F">
        <w:rPr>
          <w:rFonts w:ascii="Palatino Linotype" w:eastAsia="Arial Unicode MS" w:hAnsi="Palatino Linotype" w:cs="Arial"/>
          <w:i/>
          <w:iCs/>
          <w:lang w:eastAsia="en-US"/>
        </w:rPr>
        <w:t xml:space="preserve"> El Ayuntamiento, como entidad jurídica tiene patrimonio propio, el cu se integra por </w:t>
      </w:r>
    </w:p>
    <w:p w14:paraId="7AC7A43B" w14:textId="4EA9E2D9"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r w:rsidRPr="006E686F">
        <w:rPr>
          <w:rFonts w:ascii="Palatino Linotype" w:eastAsia="Arial Unicode MS" w:hAnsi="Palatino Linotype" w:cs="Arial"/>
          <w:i/>
          <w:iCs/>
          <w:lang w:eastAsia="en-US"/>
        </w:rPr>
        <w:t>I.. Los bienes muebles e inmuebles propiedad del Municipio;</w:t>
      </w:r>
    </w:p>
    <w:p w14:paraId="667071B3" w14:textId="218693AF"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r w:rsidRPr="006E686F">
        <w:rPr>
          <w:rFonts w:ascii="Palatino Linotype" w:eastAsia="Arial Unicode MS" w:hAnsi="Palatino Linotype" w:cs="Arial"/>
          <w:i/>
          <w:iCs/>
          <w:lang w:eastAsia="en-US"/>
        </w:rPr>
        <w:t>(…)</w:t>
      </w:r>
    </w:p>
    <w:p w14:paraId="42DC54B9" w14:textId="19AB273C"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p>
    <w:p w14:paraId="560CDD19" w14:textId="270B096E"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r w:rsidRPr="006E686F">
        <w:rPr>
          <w:rFonts w:ascii="Palatino Linotype" w:eastAsia="Arial Unicode MS" w:hAnsi="Palatino Linotype" w:cs="Arial"/>
          <w:b/>
          <w:bCs/>
          <w:i/>
          <w:iCs/>
          <w:lang w:eastAsia="en-US"/>
        </w:rPr>
        <w:t>Artículo 92.</w:t>
      </w:r>
      <w:r w:rsidRPr="006E686F">
        <w:rPr>
          <w:rFonts w:ascii="Palatino Linotype" w:eastAsia="Arial Unicode MS" w:hAnsi="Palatino Linotype" w:cs="Arial"/>
          <w:i/>
          <w:iCs/>
          <w:lang w:eastAsia="en-US"/>
        </w:rPr>
        <w:t xml:space="preserve"> El Ayuntamiento es el órgano de gobierno facultado para acordar el destino o uso que debe darse a los bienes muebles e inmuebles de su propiedad.</w:t>
      </w:r>
    </w:p>
    <w:p w14:paraId="6D758691" w14:textId="50B85F10"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p>
    <w:p w14:paraId="4C23C25A" w14:textId="3DE5C17B" w:rsidR="006E686F" w:rsidRPr="006E686F" w:rsidRDefault="006E686F" w:rsidP="006E686F">
      <w:pPr>
        <w:spacing w:after="0" w:line="240" w:lineRule="auto"/>
        <w:ind w:left="567" w:right="616"/>
        <w:jc w:val="both"/>
        <w:rPr>
          <w:rFonts w:ascii="Palatino Linotype" w:eastAsia="Arial Unicode MS" w:hAnsi="Palatino Linotype" w:cs="Arial"/>
          <w:i/>
          <w:iCs/>
          <w:lang w:eastAsia="en-US"/>
        </w:rPr>
      </w:pPr>
      <w:r w:rsidRPr="006E686F">
        <w:rPr>
          <w:rFonts w:ascii="Palatino Linotype" w:eastAsia="Arial Unicode MS" w:hAnsi="Palatino Linotype" w:cs="Arial"/>
          <w:b/>
          <w:bCs/>
          <w:i/>
          <w:iCs/>
          <w:lang w:eastAsia="en-US"/>
        </w:rPr>
        <w:t>Artículo 93.</w:t>
      </w:r>
      <w:r w:rsidRPr="006E686F">
        <w:rPr>
          <w:rFonts w:ascii="Palatino Linotype" w:eastAsia="Arial Unicode MS" w:hAnsi="Palatino Linotype" w:cs="Arial"/>
          <w:i/>
          <w:iCs/>
          <w:lang w:eastAsia="en-US"/>
        </w:rPr>
        <w:t xml:space="preserve"> El inventario y registro general de los bienes muebles e inmuebles propiedad del Municipio, deberá ser elaborado por la Secretaría del Ayuntamiento con la participación de Sindicatura y Contraloría Interna Municipal.</w:t>
      </w:r>
    </w:p>
    <w:p w14:paraId="0196B371" w14:textId="323C6CF1" w:rsidR="008E0037" w:rsidRDefault="008E0037" w:rsidP="00DF4DDE">
      <w:pPr>
        <w:spacing w:after="0" w:line="360" w:lineRule="auto"/>
        <w:jc w:val="both"/>
        <w:rPr>
          <w:rFonts w:ascii="Palatino Linotype" w:eastAsia="Arial Unicode MS" w:hAnsi="Palatino Linotype" w:cs="Arial"/>
          <w:sz w:val="24"/>
          <w:szCs w:val="24"/>
          <w:lang w:eastAsia="en-US"/>
        </w:rPr>
      </w:pPr>
    </w:p>
    <w:p w14:paraId="532C2A8C" w14:textId="1BAD0D55" w:rsidR="006E686F" w:rsidRDefault="006E686F" w:rsidP="00DF4DDE">
      <w:pPr>
        <w:spacing w:after="0" w:line="360" w:lineRule="auto"/>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Del articulado anterior se desprende que</w:t>
      </w:r>
      <w:r w:rsidR="00E75266">
        <w:rPr>
          <w:rFonts w:ascii="Palatino Linotype" w:eastAsia="Arial Unicode MS" w:hAnsi="Palatino Linotype" w:cs="Arial"/>
          <w:sz w:val="24"/>
          <w:szCs w:val="24"/>
          <w:lang w:eastAsia="en-US"/>
        </w:rPr>
        <w:t xml:space="preserve"> </w:t>
      </w:r>
      <w:r w:rsidR="007852B9">
        <w:rPr>
          <w:rFonts w:ascii="Palatino Linotype" w:eastAsia="Arial Unicode MS" w:hAnsi="Palatino Linotype" w:cs="Arial"/>
          <w:sz w:val="24"/>
          <w:szCs w:val="24"/>
          <w:lang w:eastAsia="en-US"/>
        </w:rPr>
        <w:t xml:space="preserve">el Sujeto Obligado puede auxiliarse, para su eficaz desempeño, por los Comités de Bienes Muebles e Inmuebles y de Arrendamientos, Adquisiciones de Inmuebles y Enajenaciones; que </w:t>
      </w:r>
      <w:r w:rsidR="00E75266">
        <w:rPr>
          <w:rFonts w:ascii="Palatino Linotype" w:eastAsia="Arial Unicode MS" w:hAnsi="Palatino Linotype" w:cs="Arial"/>
          <w:sz w:val="24"/>
          <w:szCs w:val="24"/>
          <w:lang w:eastAsia="en-US"/>
        </w:rPr>
        <w:t xml:space="preserve">los bienes muebles son parte del patrimonio del Sujeto Obligado; que el Ayuntamiento es el facultado para acordar el destino o uso que debe darse a dichos bienes; </w:t>
      </w:r>
      <w:r w:rsidR="007852B9">
        <w:rPr>
          <w:rFonts w:ascii="Palatino Linotype" w:eastAsia="Arial Unicode MS" w:hAnsi="Palatino Linotype" w:cs="Arial"/>
          <w:sz w:val="24"/>
          <w:szCs w:val="24"/>
          <w:lang w:eastAsia="en-US"/>
        </w:rPr>
        <w:t xml:space="preserve">y que el inventario y registro general de los bienes debe ser elaborado por la Secretaría del Ayuntamiento, con la </w:t>
      </w:r>
      <w:r w:rsidR="007852B9">
        <w:rPr>
          <w:rFonts w:ascii="Palatino Linotype" w:eastAsia="Arial Unicode MS" w:hAnsi="Palatino Linotype" w:cs="Arial"/>
          <w:sz w:val="24"/>
          <w:szCs w:val="24"/>
          <w:lang w:eastAsia="en-US"/>
        </w:rPr>
        <w:lastRenderedPageBreak/>
        <w:t>participación de la Sindicatura y la Contraloría Interna Municipal, por lo que es agible considerar que estas unidades administrativas y los comités referidos pueden contar con la información solicitada por el Recurrente.</w:t>
      </w:r>
    </w:p>
    <w:p w14:paraId="500EB2F4" w14:textId="5EF410BB" w:rsidR="007852B9" w:rsidRDefault="007852B9" w:rsidP="00DF4DDE">
      <w:pPr>
        <w:spacing w:after="0" w:line="360" w:lineRule="auto"/>
        <w:jc w:val="both"/>
        <w:rPr>
          <w:rFonts w:ascii="Palatino Linotype" w:eastAsia="Arial Unicode MS" w:hAnsi="Palatino Linotype" w:cs="Arial"/>
          <w:sz w:val="24"/>
          <w:szCs w:val="24"/>
          <w:lang w:eastAsia="en-US"/>
        </w:rPr>
      </w:pPr>
    </w:p>
    <w:p w14:paraId="0E037552" w14:textId="16A389EA" w:rsidR="00CB048A" w:rsidRDefault="00231F64" w:rsidP="00663A37">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En ese sentido,</w:t>
      </w:r>
      <w:r w:rsidR="00FE2D81">
        <w:rPr>
          <w:rFonts w:ascii="Palatino Linotype" w:eastAsia="Arial Unicode MS" w:hAnsi="Palatino Linotype" w:cs="Arial"/>
          <w:sz w:val="24"/>
          <w:szCs w:val="24"/>
          <w:lang w:eastAsia="en-US"/>
        </w:rPr>
        <w:t xml:space="preserve"> </w:t>
      </w:r>
      <w:r w:rsidR="002C21A0">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del conocimiento del hoy Recurrente, de manera fundada y motivada, cuál es la unidad administrativa que lleva a cabo los procedimientos de enajenación de bienes muebles y, de ser el caso, a qué dirección general se encuentra adscrita.</w:t>
      </w:r>
    </w:p>
    <w:p w14:paraId="1AEEA3A3" w14:textId="50085E95"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Default="002C21A0" w:rsidP="00663A37">
      <w:pPr>
        <w:spacing w:after="0" w:line="360" w:lineRule="auto"/>
        <w:contextualSpacing/>
        <w:jc w:val="both"/>
        <w:rPr>
          <w:rFonts w:ascii="Palatino Linotype" w:eastAsia="Arial Unicode MS" w:hAnsi="Palatino Linotype" w:cs="Arial"/>
          <w:sz w:val="24"/>
          <w:szCs w:val="24"/>
          <w:lang w:eastAsia="en-US"/>
        </w:rPr>
      </w:pPr>
      <w:r w:rsidRPr="00D626DF">
        <w:rPr>
          <w:rFonts w:ascii="Palatino Linotype" w:eastAsia="Arial Unicode MS" w:hAnsi="Palatino Linotype" w:cs="Arial"/>
          <w:sz w:val="24"/>
          <w:szCs w:val="24"/>
          <w:lang w:eastAsia="en-US"/>
        </w:rPr>
        <w:t>No se omite mencionar</w:t>
      </w:r>
      <w:r w:rsidR="003A71F0" w:rsidRPr="00D626DF">
        <w:rPr>
          <w:rFonts w:ascii="Palatino Linotype" w:eastAsia="Arial Unicode MS" w:hAnsi="Palatino Linotype" w:cs="Arial"/>
          <w:sz w:val="24"/>
          <w:szCs w:val="24"/>
          <w:lang w:eastAsia="en-US"/>
        </w:rPr>
        <w:t xml:space="preserve"> que la debida fundamentación y motivación </w:t>
      </w:r>
      <w:r w:rsidR="00D626DF" w:rsidRPr="00D626DF">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72CCAB" w14:textId="01229DC2" w:rsidR="00B405F1" w:rsidRDefault="00B405F1" w:rsidP="00663A37">
      <w:pPr>
        <w:spacing w:after="0" w:line="360" w:lineRule="auto"/>
        <w:contextualSpacing/>
        <w:jc w:val="both"/>
        <w:rPr>
          <w:rFonts w:ascii="Palatino Linotype" w:eastAsia="Arial Unicode MS" w:hAnsi="Palatino Linotype" w:cs="Arial"/>
          <w:sz w:val="24"/>
          <w:szCs w:val="24"/>
          <w:lang w:eastAsia="en-US"/>
        </w:rPr>
      </w:pPr>
    </w:p>
    <w:p w14:paraId="30B6C61E" w14:textId="77777777" w:rsidR="00EC5EF5" w:rsidRPr="00EC5EF5" w:rsidRDefault="76B7B05F" w:rsidP="00EC5EF5">
      <w:pPr>
        <w:spacing w:after="0" w:line="360" w:lineRule="auto"/>
        <w:jc w:val="both"/>
        <w:rPr>
          <w:rFonts w:ascii="Palatino Linotype" w:eastAsiaTheme="minorHAnsi" w:hAnsi="Palatino Linotype" w:cs="Arial"/>
          <w:sz w:val="24"/>
          <w:szCs w:val="24"/>
          <w:lang w:eastAsia="en-US"/>
        </w:rPr>
      </w:pPr>
      <w:r w:rsidRPr="00EC5EF5">
        <w:rPr>
          <w:rFonts w:ascii="Palatino Linotype" w:eastAsia="Arial Unicode MS" w:hAnsi="Palatino Linotype" w:cs="Arial"/>
          <w:sz w:val="24"/>
          <w:szCs w:val="24"/>
          <w:lang w:eastAsia="en-US"/>
        </w:rPr>
        <w:t xml:space="preserve">Por último, </w:t>
      </w:r>
      <w:r w:rsidR="00EC5EF5" w:rsidRPr="00EC5EF5">
        <w:rPr>
          <w:rFonts w:ascii="Palatino Linotype" w:eastAsiaTheme="minorHAnsi" w:hAnsi="Palatino Linotype" w:cs="Arial"/>
          <w:sz w:val="24"/>
          <w:szCs w:val="24"/>
          <w:lang w:eastAsia="en-US"/>
        </w:rPr>
        <w:t xml:space="preserve">respecto del motivo de inconformidad expresado por el Recurrente en el sentido de que se le indique qué unidad administrativa </w:t>
      </w:r>
      <w:r w:rsidR="00EC5EF5" w:rsidRPr="00EC5EF5">
        <w:rPr>
          <w:rFonts w:ascii="Palatino Linotype" w:eastAsiaTheme="minorHAnsi" w:hAnsi="Palatino Linotype" w:cs="Arial"/>
          <w:b/>
          <w:bCs/>
          <w:sz w:val="24"/>
          <w:szCs w:val="24"/>
          <w:lang w:eastAsia="en-US"/>
        </w:rPr>
        <w:t>ejecuta</w:t>
      </w:r>
      <w:r w:rsidR="00EC5EF5" w:rsidRPr="00EC5EF5">
        <w:rPr>
          <w:rFonts w:ascii="Palatino Linotype" w:eastAsiaTheme="minorHAnsi" w:hAnsi="Palatino Linotype" w:cs="Arial"/>
          <w:sz w:val="24"/>
          <w:szCs w:val="24"/>
          <w:lang w:eastAsia="en-US"/>
        </w:rPr>
        <w:t xml:space="preserve"> las enajenaciones, se debe advertir que el Diccionario Panhispánico del Español Jurídico define en verbo </w:t>
      </w:r>
      <w:r w:rsidR="00EC5EF5" w:rsidRPr="00EC5EF5">
        <w:rPr>
          <w:rFonts w:ascii="Palatino Linotype" w:eastAsiaTheme="minorHAnsi" w:hAnsi="Palatino Linotype" w:cs="Arial"/>
          <w:sz w:val="24"/>
          <w:szCs w:val="24"/>
          <w:lang w:eastAsia="en-US"/>
        </w:rPr>
        <w:lastRenderedPageBreak/>
        <w:t xml:space="preserve">ejecutar en su primera acepción como </w:t>
      </w:r>
      <w:r w:rsidR="00EC5EF5" w:rsidRPr="00EC5EF5">
        <w:rPr>
          <w:rFonts w:ascii="Palatino Linotype" w:eastAsiaTheme="minorHAnsi" w:hAnsi="Palatino Linotype" w:cs="Arial"/>
          <w:b/>
          <w:bCs/>
          <w:sz w:val="24"/>
          <w:szCs w:val="24"/>
          <w:lang w:eastAsia="en-US"/>
        </w:rPr>
        <w:t>proceder a dar cumplimiento a una disposición una resolución judicial o administrativa, un acto o un contrato</w:t>
      </w:r>
      <w:r w:rsidR="00EC5EF5" w:rsidRPr="00EC5EF5">
        <w:rPr>
          <w:rStyle w:val="Refdenotaalpie"/>
          <w:rFonts w:ascii="Palatino Linotype" w:eastAsiaTheme="minorHAnsi" w:hAnsi="Palatino Linotype" w:cs="Arial"/>
          <w:b/>
          <w:bCs/>
          <w:sz w:val="24"/>
          <w:szCs w:val="24"/>
          <w:lang w:eastAsia="en-US"/>
        </w:rPr>
        <w:footnoteReference w:id="2"/>
      </w:r>
      <w:r w:rsidR="00EC5EF5" w:rsidRPr="00EC5EF5">
        <w:rPr>
          <w:rFonts w:ascii="Palatino Linotype" w:eastAsiaTheme="minorHAnsi" w:hAnsi="Palatino Linotype" w:cs="Arial"/>
          <w:sz w:val="24"/>
          <w:szCs w:val="24"/>
          <w:lang w:eastAsia="en-US"/>
        </w:rPr>
        <w:t>.</w:t>
      </w:r>
    </w:p>
    <w:p w14:paraId="6EDB3BDF" w14:textId="77777777" w:rsidR="00EC5EF5" w:rsidRPr="00EC5EF5" w:rsidRDefault="00EC5EF5" w:rsidP="00EC5EF5">
      <w:pPr>
        <w:spacing w:after="0" w:line="360" w:lineRule="auto"/>
        <w:jc w:val="both"/>
        <w:rPr>
          <w:rFonts w:ascii="Palatino Linotype" w:eastAsiaTheme="minorHAnsi" w:hAnsi="Palatino Linotype" w:cs="Arial"/>
          <w:sz w:val="24"/>
          <w:szCs w:val="24"/>
          <w:lang w:eastAsia="en-US"/>
        </w:rPr>
      </w:pPr>
    </w:p>
    <w:p w14:paraId="280AC297" w14:textId="6B94C515" w:rsidR="00B405F1" w:rsidRPr="00EC5EF5" w:rsidRDefault="00EC5EF5" w:rsidP="00EC5EF5">
      <w:pPr>
        <w:spacing w:after="0" w:line="360" w:lineRule="auto"/>
        <w:contextualSpacing/>
        <w:jc w:val="both"/>
        <w:rPr>
          <w:rFonts w:ascii="Palatino Linotype" w:eastAsia="Arial Unicode MS" w:hAnsi="Palatino Linotype" w:cs="Arial"/>
          <w:sz w:val="24"/>
          <w:szCs w:val="24"/>
          <w:lang w:eastAsia="en-US"/>
        </w:rPr>
      </w:pPr>
      <w:r w:rsidRPr="00EC5EF5">
        <w:rPr>
          <w:rFonts w:ascii="Palatino Linotype" w:eastAsiaTheme="minorHAnsi" w:hAnsi="Palatino Linotype" w:cs="Arial"/>
          <w:sz w:val="24"/>
          <w:szCs w:val="24"/>
          <w:lang w:eastAsia="en-US"/>
        </w:rPr>
        <w:t>De lo que se desprende que la ejecución de la enajenación debe entenderse como el cumplimiento de dicha enajenación,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que se hace referencia al procedimiento en su totalidad, y no únicamente al inicio del mismo.</w:t>
      </w:r>
    </w:p>
    <w:p w14:paraId="13679B0D" w14:textId="08B3FA26" w:rsidR="00D626DF" w:rsidRDefault="00D626DF" w:rsidP="00663A37">
      <w:pPr>
        <w:spacing w:after="0" w:line="360" w:lineRule="auto"/>
        <w:contextualSpacing/>
        <w:jc w:val="both"/>
        <w:rPr>
          <w:rFonts w:ascii="Palatino Linotype" w:eastAsia="Arial Unicode MS" w:hAnsi="Palatino Linotype" w:cs="Arial"/>
          <w:sz w:val="24"/>
          <w:szCs w:val="24"/>
          <w:lang w:eastAsia="en-US"/>
        </w:rPr>
      </w:pPr>
    </w:p>
    <w:p w14:paraId="0F0F2BC7" w14:textId="60857D70" w:rsidR="00F409BD" w:rsidRDefault="006673F5" w:rsidP="006673F5">
      <w:pPr>
        <w:spacing w:after="0" w:line="360" w:lineRule="auto"/>
        <w:contextualSpacing/>
        <w:jc w:val="both"/>
        <w:rPr>
          <w:rFonts w:ascii="Palatino Linotype" w:eastAsia="Palatino Linotype" w:hAnsi="Palatino Linotype" w:cs="Palatino Linotype"/>
          <w:sz w:val="24"/>
          <w:szCs w:val="24"/>
        </w:rPr>
      </w:pPr>
      <w:r w:rsidRPr="006673F5">
        <w:rPr>
          <w:rFonts w:ascii="Palatino Linotype" w:eastAsia="Palatino Linotype" w:hAnsi="Palatino Linotype" w:cs="Palatino Linotype"/>
          <w:sz w:val="24"/>
          <w:szCs w:val="24"/>
        </w:rPr>
        <w:t xml:space="preserve">En conclusión, en virtud de </w:t>
      </w:r>
      <w:r w:rsidR="009053FA">
        <w:rPr>
          <w:rFonts w:ascii="Palatino Linotype" w:eastAsia="Palatino Linotype" w:hAnsi="Palatino Linotype" w:cs="Palatino Linotype"/>
          <w:sz w:val="24"/>
          <w:szCs w:val="24"/>
        </w:rPr>
        <w:t xml:space="preserve">lo argumentado anteriormente, este Órgano Garante estima que los motivos de inconformidad </w:t>
      </w:r>
      <w:r w:rsidR="00F409BD">
        <w:rPr>
          <w:rFonts w:ascii="Palatino Linotype" w:eastAsia="Palatino Linotype" w:hAnsi="Palatino Linotype" w:cs="Palatino Linotype"/>
          <w:sz w:val="24"/>
          <w:szCs w:val="24"/>
        </w:rPr>
        <w:t xml:space="preserve">resultan parcialmente fundados, por lo que es procedente ordenar al Sujeto Obligado a que realice una búsqueda exhaustiva y razonable en los archivos de las áreas que considere competentes, con la finalidad de que se haga entrega el documento en donde conste el nombre del área que lleva a cabo los procedimientos de enajenación de bienes muebles. </w:t>
      </w:r>
    </w:p>
    <w:p w14:paraId="7C2A1617" w14:textId="759E597A" w:rsidR="00F409BD" w:rsidRDefault="00F409BD" w:rsidP="006673F5">
      <w:pPr>
        <w:spacing w:after="0" w:line="360" w:lineRule="auto"/>
        <w:contextualSpacing/>
        <w:jc w:val="both"/>
        <w:rPr>
          <w:rFonts w:ascii="Palatino Linotype" w:eastAsia="Palatino Linotype" w:hAnsi="Palatino Linotype" w:cs="Palatino Linotype"/>
          <w:sz w:val="24"/>
          <w:szCs w:val="24"/>
        </w:rPr>
      </w:pPr>
    </w:p>
    <w:p w14:paraId="56DB9787" w14:textId="2CE66D6F" w:rsidR="00F409BD" w:rsidRDefault="00F409BD" w:rsidP="006673F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Cabe resaltar que no se advierte que la información que le sea entregada al Recurrente contenga información que pueda clasificarse como confidencial o reservada, por lo que resulta innecesario realizar una versión pública de dicha documentación.</w:t>
      </w:r>
    </w:p>
    <w:p w14:paraId="6441A864" w14:textId="77777777" w:rsidR="00F409BD" w:rsidRDefault="00F409BD" w:rsidP="006673F5">
      <w:pPr>
        <w:spacing w:after="0" w:line="360" w:lineRule="auto"/>
        <w:contextualSpacing/>
        <w:jc w:val="both"/>
        <w:rPr>
          <w:rFonts w:ascii="Palatino Linotype" w:eastAsia="Palatino Linotype" w:hAnsi="Palatino Linotype" w:cs="Palatino Linotype"/>
          <w:sz w:val="24"/>
          <w:szCs w:val="24"/>
        </w:rPr>
      </w:pPr>
    </w:p>
    <w:p w14:paraId="1632578C" w14:textId="18188323"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Pr>
          <w:rFonts w:ascii="Palatino Linotype" w:eastAsia="Palatino Linotype" w:hAnsi="Palatino Linotype" w:cs="Palatino Linotype"/>
          <w:b/>
          <w:color w:val="000000"/>
          <w:sz w:val="24"/>
          <w:szCs w:val="24"/>
        </w:rPr>
        <w:t>segunda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w:t>
      </w:r>
      <w:r w:rsidRPr="006673F5">
        <w:rPr>
          <w:rFonts w:ascii="Palatino Linotype" w:eastAsia="Palatino Linotype" w:hAnsi="Palatino Linotype" w:cs="Palatino Linotype"/>
          <w:b/>
          <w:color w:val="000000"/>
          <w:sz w:val="24"/>
          <w:szCs w:val="24"/>
        </w:rPr>
        <w:t xml:space="preserve">CA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b/>
          <w:bCs/>
          <w:color w:val="000000"/>
          <w:sz w:val="24"/>
          <w:szCs w:val="24"/>
        </w:rPr>
        <w:t>00</w:t>
      </w:r>
      <w:r w:rsidR="00F409BD">
        <w:rPr>
          <w:rFonts w:ascii="Palatino Linotype" w:eastAsia="Palatino Linotype" w:hAnsi="Palatino Linotype" w:cs="Palatino Linotype"/>
          <w:b/>
          <w:bCs/>
          <w:color w:val="000000"/>
          <w:sz w:val="24"/>
          <w:szCs w:val="24"/>
        </w:rPr>
        <w:t>167/ACAMBAY</w:t>
      </w:r>
      <w:r w:rsidRPr="006673F5">
        <w:rPr>
          <w:rFonts w:ascii="Palatino Linotype" w:eastAsia="Palatino Linotype" w:hAnsi="Palatino Linotype" w:cs="Palatino Linotype"/>
          <w:b/>
          <w:bCs/>
          <w:color w:val="000000"/>
          <w:sz w:val="24"/>
          <w:szCs w:val="24"/>
        </w:rPr>
        <w:t>/IP/2021</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24555088"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8A310A"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7C8A6B33"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5FD006F0" w:rsidR="006673F5" w:rsidRPr="006673F5"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Pr="627F3507">
        <w:rPr>
          <w:rFonts w:ascii="Palatino Linotype" w:eastAsia="Palatino Linotype" w:hAnsi="Palatino Linotype" w:cs="Palatino Linotype"/>
          <w:b/>
          <w:bCs/>
          <w:color w:val="000000" w:themeColor="text1"/>
          <w:sz w:val="24"/>
          <w:szCs w:val="24"/>
        </w:rPr>
        <w:t>MODIFICA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Pr="627F3507">
        <w:rPr>
          <w:rFonts w:ascii="Palatino Linotype" w:eastAsia="Palatino Linotype" w:hAnsi="Palatino Linotype" w:cs="Palatino Linotype"/>
          <w:b/>
          <w:bCs/>
          <w:color w:val="000000" w:themeColor="text1"/>
          <w:sz w:val="24"/>
          <w:szCs w:val="24"/>
        </w:rPr>
        <w:t>00167/ACAMBAY/IP/2021</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QUINTO </w:t>
      </w:r>
      <w:r w:rsidRPr="627F3507">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2821CC62"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sidR="008A310A">
        <w:rPr>
          <w:rFonts w:ascii="Palatino Linotype" w:eastAsia="Palatino Linotype" w:hAnsi="Palatino Linotype" w:cs="Palatino Linotype"/>
          <w:color w:val="000000"/>
          <w:sz w:val="24"/>
          <w:szCs w:val="24"/>
        </w:rPr>
        <w:t xml:space="preserve">una búsqueda exhaustiva y razonable en los archivos de las unidades administrativas competentes y se haga </w:t>
      </w:r>
      <w:r w:rsidR="008A310A">
        <w:rPr>
          <w:rFonts w:ascii="Palatino Linotype" w:eastAsia="Palatino Linotype" w:hAnsi="Palatino Linotype" w:cs="Palatino Linotype"/>
          <w:color w:val="000000"/>
          <w:sz w:val="24"/>
          <w:szCs w:val="24"/>
        </w:rPr>
        <w:lastRenderedPageBreak/>
        <w:t>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(SAIMEX), en términos del </w:t>
      </w:r>
      <w:r w:rsidRPr="006673F5">
        <w:rPr>
          <w:rFonts w:ascii="Palatino Linotype" w:eastAsia="Palatino Linotype" w:hAnsi="Palatino Linotype" w:cs="Palatino Linotype"/>
          <w:b/>
          <w:color w:val="000000"/>
          <w:sz w:val="24"/>
          <w:szCs w:val="24"/>
        </w:rPr>
        <w:t xml:space="preserve">Considerando </w:t>
      </w:r>
      <w:r w:rsidR="008A310A">
        <w:rPr>
          <w:rFonts w:ascii="Palatino Linotype" w:eastAsia="Palatino Linotype" w:hAnsi="Palatino Linotype" w:cs="Palatino Linotype"/>
          <w:b/>
          <w:color w:val="000000"/>
          <w:sz w:val="24"/>
          <w:szCs w:val="24"/>
        </w:rPr>
        <w:t>QUINTO</w:t>
      </w:r>
      <w:r w:rsidRPr="006673F5">
        <w:rPr>
          <w:rFonts w:ascii="Palatino Linotype" w:eastAsia="Palatino Linotype" w:hAnsi="Palatino Linotype" w:cs="Palatino Linotype"/>
          <w:color w:val="000000"/>
          <w:sz w:val="24"/>
          <w:szCs w:val="24"/>
        </w:rPr>
        <w:t>, d</w:t>
      </w:r>
      <w:r w:rsidR="008A310A">
        <w:rPr>
          <w:rFonts w:ascii="Palatino Linotype" w:eastAsia="Palatino Linotype" w:hAnsi="Palatino Linotype" w:cs="Palatino Linotype"/>
          <w:sz w:val="24"/>
          <w:szCs w:val="24"/>
        </w:rPr>
        <w:t>el documento en donde conste el nombre del área que lleva a cabo los procedimientos de enajenación de bienes muebles y, en su caso, el nombre de la dependencia o dirección general a la que esté adscrita.</w:t>
      </w:r>
    </w:p>
    <w:p w14:paraId="6866B52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41CD2D"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2690FEA"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77777777" w:rsidR="006673F5" w:rsidRPr="006673F5"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w:t>
      </w:r>
      <w:r w:rsidRPr="006673F5">
        <w:rPr>
          <w:rFonts w:ascii="Palatino Linotype" w:eastAsia="Palatino Linotype" w:hAnsi="Palatino Linotype" w:cs="Palatino Linotype"/>
          <w:color w:val="000000"/>
          <w:sz w:val="24"/>
          <w:szCs w:val="24"/>
          <w:highlight w:val="white"/>
        </w:rPr>
        <w:t xml:space="preserve">de conformidad con lo establecido en el artículo 196 de la Ley de Transparencia y Acceso </w:t>
      </w:r>
      <w:r w:rsidRPr="006673F5">
        <w:rPr>
          <w:rFonts w:ascii="Palatino Linotype" w:eastAsia="Palatino Linotype" w:hAnsi="Palatino Linotype" w:cs="Palatino Linotype"/>
          <w:color w:val="000000"/>
          <w:sz w:val="24"/>
          <w:szCs w:val="24"/>
          <w:highlight w:val="white"/>
        </w:rPr>
        <w:lastRenderedPageBreak/>
        <w:t>a la Información Pública del Estado de México y Municipios, podrá promover el Juicio de Amparo en los términos de las leyes aplicables.</w:t>
      </w:r>
    </w:p>
    <w:p w14:paraId="6C163DB6" w14:textId="77777777" w:rsidR="00780F18" w:rsidRPr="006673F5"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1C10BCBB"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62A7">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FC0CB9">
        <w:rPr>
          <w:rFonts w:ascii="Palatino Linotype" w:eastAsia="Palatino Linotype" w:hAnsi="Palatino Linotype" w:cs="Palatino Linotype"/>
          <w:color w:val="000000"/>
          <w:sz w:val="24"/>
          <w:szCs w:val="24"/>
        </w:rPr>
        <w:t>SEXTA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FC0CB9">
        <w:rPr>
          <w:rFonts w:ascii="Palatino Linotype" w:eastAsia="Palatino Linotype" w:hAnsi="Palatino Linotype" w:cs="Palatino Linotype"/>
          <w:color w:val="000000"/>
          <w:sz w:val="24"/>
          <w:szCs w:val="24"/>
        </w:rPr>
        <w:t>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A310A">
        <w:rPr>
          <w:rFonts w:ascii="Palatino Linotype" w:eastAsia="Palatino Linotype" w:hAnsi="Palatino Linotype" w:cs="Palatino Linotype"/>
          <w:color w:val="000000"/>
          <w:sz w:val="24"/>
          <w:szCs w:val="24"/>
        </w:rPr>
        <w:t>---------------------------------------------------------------------------------------------------------------------------------------</w:t>
      </w:r>
      <w:r w:rsidR="00D51FD7">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3A45" w14:textId="77777777" w:rsidR="009A20E8" w:rsidRDefault="009A20E8" w:rsidP="00F2498E">
      <w:pPr>
        <w:spacing w:after="0" w:line="240" w:lineRule="auto"/>
      </w:pPr>
      <w:r>
        <w:separator/>
      </w:r>
    </w:p>
  </w:endnote>
  <w:endnote w:type="continuationSeparator" w:id="0">
    <w:p w14:paraId="771E4881" w14:textId="77777777" w:rsidR="009A20E8" w:rsidRDefault="009A20E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7FCC">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7FCC">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7F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7FCC">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53157" w14:textId="77777777" w:rsidR="009A20E8" w:rsidRDefault="009A20E8" w:rsidP="00F2498E">
      <w:pPr>
        <w:spacing w:after="0" w:line="240" w:lineRule="auto"/>
      </w:pPr>
      <w:r>
        <w:separator/>
      </w:r>
    </w:p>
  </w:footnote>
  <w:footnote w:type="continuationSeparator" w:id="0">
    <w:p w14:paraId="67B84131" w14:textId="77777777" w:rsidR="009A20E8" w:rsidRDefault="009A20E8"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559A632" w14:textId="77777777" w:rsidR="00EC5EF5" w:rsidRPr="003D62D2" w:rsidRDefault="00EC5EF5" w:rsidP="00EC5EF5">
      <w:pPr>
        <w:pStyle w:val="Textonotapie"/>
        <w:rPr>
          <w:rFonts w:ascii="Palatino Linotype" w:hAnsi="Palatino Linotype"/>
          <w:i/>
          <w:iCs/>
          <w:sz w:val="18"/>
          <w:szCs w:val="18"/>
          <w:lang w:val="es-ES_tradnl"/>
        </w:rPr>
      </w:pPr>
      <w:r w:rsidRPr="003D62D2">
        <w:rPr>
          <w:rStyle w:val="Refdenotaalpie"/>
          <w:rFonts w:ascii="Palatino Linotype" w:hAnsi="Palatino Linotype"/>
          <w:i/>
          <w:iCs/>
          <w:sz w:val="18"/>
          <w:szCs w:val="18"/>
        </w:rPr>
        <w:footnoteRef/>
      </w:r>
      <w:r w:rsidRPr="003D62D2">
        <w:rPr>
          <w:rFonts w:ascii="Palatino Linotype" w:hAnsi="Palatino Linotype"/>
          <w:i/>
          <w:iCs/>
          <w:sz w:val="18"/>
          <w:szCs w:val="18"/>
        </w:rPr>
        <w:t xml:space="preserve"> </w:t>
      </w:r>
      <w:hyperlink r:id="rId3" w:history="1">
        <w:r w:rsidRPr="003D62D2">
          <w:rPr>
            <w:rStyle w:val="Hipervnculo"/>
            <w:rFonts w:ascii="Palatino Linotype" w:hAnsi="Palatino Linotype"/>
            <w:i/>
            <w:iCs/>
            <w:sz w:val="18"/>
            <w:szCs w:val="18"/>
          </w:rPr>
          <w:t>https://dpej.rae.es/lema/ejecutar</w:t>
        </w:r>
      </w:hyperlink>
      <w:r w:rsidRPr="003D62D2">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E67FCC">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1404DCE"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C81F97">
            <w:rPr>
              <w:rFonts w:ascii="Palatino Linotype" w:hAnsi="Palatino Linotype" w:cs="Arial"/>
              <w:b/>
              <w:bCs/>
              <w:sz w:val="24"/>
              <w:szCs w:val="24"/>
            </w:rPr>
            <w:t>0030</w:t>
          </w:r>
          <w:r w:rsidRPr="00096248">
            <w:rPr>
              <w:rFonts w:ascii="Palatino Linotype" w:hAnsi="Palatino Linotype" w:cs="Arial"/>
              <w:b/>
              <w:bCs/>
              <w:sz w:val="24"/>
              <w:szCs w:val="24"/>
            </w:rPr>
            <w:t>/INFOEM/IP/RR/202</w:t>
          </w:r>
          <w:r w:rsidR="00C81F97">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66EB5DB" w:rsidR="00075586" w:rsidRPr="00096248" w:rsidRDefault="00681EEA"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Acambay de Ruíz Castañeda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E67FCC">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0C8A829"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C81F97">
            <w:rPr>
              <w:rFonts w:ascii="Palatino Linotype" w:hAnsi="Palatino Linotype" w:cs="Arial"/>
              <w:b/>
              <w:bCs/>
              <w:sz w:val="24"/>
              <w:szCs w:val="24"/>
            </w:rPr>
            <w:t>0030</w:t>
          </w:r>
          <w:r w:rsidRPr="00096248">
            <w:rPr>
              <w:rFonts w:ascii="Palatino Linotype" w:hAnsi="Palatino Linotype" w:cs="Arial"/>
              <w:b/>
              <w:bCs/>
              <w:sz w:val="24"/>
              <w:szCs w:val="24"/>
            </w:rPr>
            <w:t>/INFOEM/IP/RR/202</w:t>
          </w:r>
          <w:r w:rsidR="00C81F97">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A76CD2D" w:rsidR="00075586" w:rsidRPr="00663A37" w:rsidRDefault="00E67FCC" w:rsidP="005762A7">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1250785" w:rsidR="00075586" w:rsidRPr="00663A37" w:rsidRDefault="00C81F97" w:rsidP="005762A7">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Acambay de Ruíz Castañeda</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E67FC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CA3"/>
    <w:multiLevelType w:val="hybridMultilevel"/>
    <w:tmpl w:val="0086541E"/>
    <w:lvl w:ilvl="0" w:tplc="A1CA6A72">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28">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17491E"/>
    <w:multiLevelType w:val="hybridMultilevel"/>
    <w:tmpl w:val="5B6246BC"/>
    <w:lvl w:ilvl="0" w:tplc="24E01F8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E45658A6">
      <w:numFmt w:val="bullet"/>
      <w:lvlText w:val="•"/>
      <w:lvlJc w:val="left"/>
      <w:pPr>
        <w:ind w:left="1128" w:hanging="152"/>
      </w:pPr>
      <w:rPr>
        <w:rFonts w:hint="default"/>
      </w:rPr>
    </w:lvl>
    <w:lvl w:ilvl="2" w:tplc="50728826">
      <w:numFmt w:val="bullet"/>
      <w:lvlText w:val="•"/>
      <w:lvlJc w:val="left"/>
      <w:pPr>
        <w:ind w:left="2136" w:hanging="152"/>
      </w:pPr>
      <w:rPr>
        <w:rFonts w:hint="default"/>
      </w:rPr>
    </w:lvl>
    <w:lvl w:ilvl="3" w:tplc="B15C9432">
      <w:numFmt w:val="bullet"/>
      <w:lvlText w:val="•"/>
      <w:lvlJc w:val="left"/>
      <w:pPr>
        <w:ind w:left="3144" w:hanging="152"/>
      </w:pPr>
      <w:rPr>
        <w:rFonts w:hint="default"/>
      </w:rPr>
    </w:lvl>
    <w:lvl w:ilvl="4" w:tplc="D32A8180">
      <w:numFmt w:val="bullet"/>
      <w:lvlText w:val="•"/>
      <w:lvlJc w:val="left"/>
      <w:pPr>
        <w:ind w:left="4152" w:hanging="152"/>
      </w:pPr>
      <w:rPr>
        <w:rFonts w:hint="default"/>
      </w:rPr>
    </w:lvl>
    <w:lvl w:ilvl="5" w:tplc="73A01E0A">
      <w:numFmt w:val="bullet"/>
      <w:lvlText w:val="•"/>
      <w:lvlJc w:val="left"/>
      <w:pPr>
        <w:ind w:left="5161" w:hanging="152"/>
      </w:pPr>
      <w:rPr>
        <w:rFonts w:hint="default"/>
      </w:rPr>
    </w:lvl>
    <w:lvl w:ilvl="6" w:tplc="E3F85354">
      <w:numFmt w:val="bullet"/>
      <w:lvlText w:val="•"/>
      <w:lvlJc w:val="left"/>
      <w:pPr>
        <w:ind w:left="6169" w:hanging="152"/>
      </w:pPr>
      <w:rPr>
        <w:rFonts w:hint="default"/>
      </w:rPr>
    </w:lvl>
    <w:lvl w:ilvl="7" w:tplc="2E82B9B8">
      <w:numFmt w:val="bullet"/>
      <w:lvlText w:val="•"/>
      <w:lvlJc w:val="left"/>
      <w:pPr>
        <w:ind w:left="7177" w:hanging="152"/>
      </w:pPr>
      <w:rPr>
        <w:rFonts w:hint="default"/>
      </w:rPr>
    </w:lvl>
    <w:lvl w:ilvl="8" w:tplc="5A84EE18">
      <w:numFmt w:val="bullet"/>
      <w:lvlText w:val="•"/>
      <w:lvlJc w:val="left"/>
      <w:pPr>
        <w:ind w:left="8185" w:hanging="152"/>
      </w:pPr>
      <w:rPr>
        <w:rFonts w:hint="default"/>
      </w:rPr>
    </w:lvl>
  </w:abstractNum>
  <w:abstractNum w:abstractNumId="3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5"/>
  </w:num>
  <w:num w:numId="3">
    <w:abstractNumId w:val="17"/>
  </w:num>
  <w:num w:numId="4">
    <w:abstractNumId w:val="14"/>
  </w:num>
  <w:num w:numId="5">
    <w:abstractNumId w:val="43"/>
  </w:num>
  <w:num w:numId="6">
    <w:abstractNumId w:val="11"/>
  </w:num>
  <w:num w:numId="7">
    <w:abstractNumId w:val="2"/>
  </w:num>
  <w:num w:numId="8">
    <w:abstractNumId w:val="7"/>
  </w:num>
  <w:num w:numId="9">
    <w:abstractNumId w:val="44"/>
  </w:num>
  <w:num w:numId="10">
    <w:abstractNumId w:val="10"/>
  </w:num>
  <w:num w:numId="11">
    <w:abstractNumId w:val="28"/>
  </w:num>
  <w:num w:numId="12">
    <w:abstractNumId w:val="13"/>
  </w:num>
  <w:num w:numId="13">
    <w:abstractNumId w:val="1"/>
  </w:num>
  <w:num w:numId="14">
    <w:abstractNumId w:val="5"/>
  </w:num>
  <w:num w:numId="15">
    <w:abstractNumId w:val="22"/>
  </w:num>
  <w:num w:numId="16">
    <w:abstractNumId w:val="25"/>
  </w:num>
  <w:num w:numId="17">
    <w:abstractNumId w:val="39"/>
  </w:num>
  <w:num w:numId="18">
    <w:abstractNumId w:val="6"/>
  </w:num>
  <w:num w:numId="19">
    <w:abstractNumId w:val="19"/>
  </w:num>
  <w:num w:numId="20">
    <w:abstractNumId w:val="42"/>
  </w:num>
  <w:num w:numId="21">
    <w:abstractNumId w:val="3"/>
  </w:num>
  <w:num w:numId="22">
    <w:abstractNumId w:val="31"/>
  </w:num>
  <w:num w:numId="23">
    <w:abstractNumId w:val="12"/>
  </w:num>
  <w:num w:numId="24">
    <w:abstractNumId w:val="48"/>
  </w:num>
  <w:num w:numId="25">
    <w:abstractNumId w:val="32"/>
  </w:num>
  <w:num w:numId="26">
    <w:abstractNumId w:val="15"/>
  </w:num>
  <w:num w:numId="27">
    <w:abstractNumId w:val="16"/>
  </w:num>
  <w:num w:numId="28">
    <w:abstractNumId w:val="26"/>
  </w:num>
  <w:num w:numId="29">
    <w:abstractNumId w:val="30"/>
  </w:num>
  <w:num w:numId="30">
    <w:abstractNumId w:val="41"/>
  </w:num>
  <w:num w:numId="31">
    <w:abstractNumId w:val="21"/>
  </w:num>
  <w:num w:numId="32">
    <w:abstractNumId w:val="47"/>
  </w:num>
  <w:num w:numId="33">
    <w:abstractNumId w:val="24"/>
  </w:num>
  <w:num w:numId="34">
    <w:abstractNumId w:val="20"/>
  </w:num>
  <w:num w:numId="35">
    <w:abstractNumId w:val="18"/>
  </w:num>
  <w:num w:numId="36">
    <w:abstractNumId w:val="37"/>
  </w:num>
  <w:num w:numId="37">
    <w:abstractNumId w:val="4"/>
  </w:num>
  <w:num w:numId="38">
    <w:abstractNumId w:val="45"/>
  </w:num>
  <w:num w:numId="39">
    <w:abstractNumId w:val="38"/>
  </w:num>
  <w:num w:numId="40">
    <w:abstractNumId w:val="9"/>
  </w:num>
  <w:num w:numId="41">
    <w:abstractNumId w:val="34"/>
  </w:num>
  <w:num w:numId="42">
    <w:abstractNumId w:val="23"/>
  </w:num>
  <w:num w:numId="43">
    <w:abstractNumId w:val="36"/>
  </w:num>
  <w:num w:numId="44">
    <w:abstractNumId w:val="33"/>
  </w:num>
  <w:num w:numId="45">
    <w:abstractNumId w:val="8"/>
  </w:num>
  <w:num w:numId="46">
    <w:abstractNumId w:val="0"/>
  </w:num>
  <w:num w:numId="47">
    <w:abstractNumId w:val="40"/>
  </w:num>
  <w:num w:numId="48">
    <w:abstractNumId w:val="27"/>
  </w:num>
  <w:num w:numId="4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3565"/>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5D8"/>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40CB"/>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CD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670DD"/>
    <w:rsid w:val="00C72F35"/>
    <w:rsid w:val="00C73ED0"/>
    <w:rsid w:val="00C74F2A"/>
    <w:rsid w:val="00C75F1D"/>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358"/>
    <w:rsid w:val="00CA39B7"/>
    <w:rsid w:val="00CA5AF6"/>
    <w:rsid w:val="00CB048A"/>
    <w:rsid w:val="00CB2149"/>
    <w:rsid w:val="00CB2159"/>
    <w:rsid w:val="00CB4BBD"/>
    <w:rsid w:val="00CB4C86"/>
    <w:rsid w:val="00CB5B7B"/>
    <w:rsid w:val="00CB6418"/>
    <w:rsid w:val="00CC0C48"/>
    <w:rsid w:val="00CC3DCA"/>
    <w:rsid w:val="00CC4F1E"/>
    <w:rsid w:val="00CC5FBE"/>
    <w:rsid w:val="00CC6BC0"/>
    <w:rsid w:val="00CC7706"/>
    <w:rsid w:val="00CD14E5"/>
    <w:rsid w:val="00CD19A8"/>
    <w:rsid w:val="00CD19DB"/>
    <w:rsid w:val="00CD23BE"/>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FD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67FCC"/>
    <w:rsid w:val="00E701AC"/>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35A8"/>
    <w:rsid w:val="00FE4AF3"/>
    <w:rsid w:val="00FE599A"/>
    <w:rsid w:val="00FE663C"/>
    <w:rsid w:val="00FE76FD"/>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pej.rae.es/lema/ejecuta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0985-7182-44F4-9104-D7043C91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6239</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2022-01-26T16:32:00Z</dcterms:created>
  <dcterms:modified xsi:type="dcterms:W3CDTF">2022-03-04T20:41:00Z</dcterms:modified>
</cp:coreProperties>
</file>