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05F7B" w:rsidR="00E35DF9" w:rsidP="00147516" w:rsidRDefault="00E35DF9" w14:paraId="70698C1B" w14:textId="77777777">
      <w:pPr>
        <w:spacing w:line="360" w:lineRule="auto"/>
        <w:contextualSpacing/>
        <w:jc w:val="both"/>
        <w:rPr>
          <w:rFonts w:ascii="Palatino Linotype" w:hAnsi="Palatino Linotype" w:cs="Tahoma"/>
          <w:bCs/>
          <w:sz w:val="22"/>
          <w:szCs w:val="22"/>
        </w:rPr>
      </w:pPr>
      <w:bookmarkStart w:name="_Hlk76457302" w:id="0"/>
      <w:r w:rsidRPr="008E3507">
        <w:rPr>
          <w:rFonts w:ascii="Palatino Linotype" w:hAnsi="Palatino Linotype" w:cs="Tahoma"/>
          <w:bCs/>
          <w:sz w:val="22"/>
          <w:szCs w:val="22"/>
        </w:rPr>
        <w:t>Resolución del Pleno del Instituto de Transparencia, Acceso a la Información Pública y</w:t>
      </w:r>
      <w:r>
        <w:rPr>
          <w:rFonts w:ascii="Palatino Linotype" w:hAnsi="Palatino Linotype" w:cs="Tahoma"/>
          <w:bCs/>
          <w:sz w:val="22"/>
          <w:szCs w:val="22"/>
        </w:rPr>
        <w:t xml:space="preserve"> </w:t>
      </w:r>
      <w:r w:rsidRPr="008E3507">
        <w:rPr>
          <w:rFonts w:ascii="Palatino Linotype" w:hAnsi="Palatino Linotype" w:cs="Tahoma"/>
          <w:bCs/>
          <w:sz w:val="22"/>
          <w:szCs w:val="22"/>
        </w:rPr>
        <w:t xml:space="preserve">Protección de Datos Personales del Estado de México y Municipios, con domicilio en Metepec, Estado de México, de </w:t>
      </w:r>
      <w:r>
        <w:rPr>
          <w:rFonts w:ascii="Palatino Linotype" w:hAnsi="Palatino Linotype" w:cs="Tahoma"/>
          <w:bCs/>
          <w:sz w:val="22"/>
          <w:szCs w:val="22"/>
        </w:rPr>
        <w:t xml:space="preserve">fecha </w:t>
      </w:r>
      <w:r w:rsidR="00313021">
        <w:rPr>
          <w:rFonts w:ascii="Palatino Linotype" w:hAnsi="Palatino Linotype" w:cs="Tahoma"/>
          <w:bCs/>
          <w:sz w:val="22"/>
          <w:szCs w:val="22"/>
        </w:rPr>
        <w:t xml:space="preserve">cuatro de mayo </w:t>
      </w:r>
      <w:r w:rsidR="00A766B1">
        <w:rPr>
          <w:rFonts w:ascii="Palatino Linotype" w:hAnsi="Palatino Linotype" w:cs="Tahoma"/>
          <w:bCs/>
          <w:sz w:val="22"/>
          <w:szCs w:val="22"/>
        </w:rPr>
        <w:t>de dos mil veintidós</w:t>
      </w:r>
      <w:r w:rsidRPr="008E3507">
        <w:rPr>
          <w:rFonts w:ascii="Palatino Linotype" w:hAnsi="Palatino Linotype" w:cs="Tahoma"/>
          <w:bCs/>
          <w:sz w:val="22"/>
          <w:szCs w:val="22"/>
        </w:rPr>
        <w:t>.</w:t>
      </w:r>
    </w:p>
    <w:p w:rsidRPr="00C33886" w:rsidR="00E35DF9" w:rsidP="00147516" w:rsidRDefault="00E35DF9" w14:paraId="1C30EDC8" w14:textId="77777777">
      <w:pPr>
        <w:spacing w:line="360" w:lineRule="auto"/>
        <w:contextualSpacing/>
        <w:rPr>
          <w:rFonts w:ascii="Palatino Linotype" w:hAnsi="Palatino Linotype" w:cs="Tahoma"/>
          <w:bCs/>
          <w:sz w:val="22"/>
          <w:szCs w:val="22"/>
        </w:rPr>
      </w:pPr>
    </w:p>
    <w:p w:rsidRPr="008E3507" w:rsidR="00E35DF9" w:rsidP="463849F1" w:rsidRDefault="00E35DF9" w14:paraId="1C1EE2CE" w14:textId="7F5A9A65">
      <w:pPr>
        <w:spacing w:line="360" w:lineRule="auto"/>
        <w:contextualSpacing/>
        <w:jc w:val="both"/>
        <w:rPr>
          <w:rFonts w:ascii="Palatino Linotype" w:hAnsi="Palatino Linotype" w:cs="Tahoma"/>
          <w:sz w:val="22"/>
          <w:szCs w:val="22"/>
        </w:rPr>
      </w:pPr>
      <w:r w:rsidRPr="463849F1" w:rsidR="463849F1">
        <w:rPr>
          <w:rFonts w:ascii="Palatino Linotype" w:hAnsi="Palatino Linotype" w:cs="Tahoma"/>
          <w:b w:val="1"/>
          <w:bCs w:val="1"/>
          <w:color w:val="0D0D0D" w:themeColor="text1" w:themeTint="F2" w:themeShade="FF"/>
          <w:sz w:val="22"/>
          <w:szCs w:val="22"/>
        </w:rPr>
        <w:t xml:space="preserve">VISTO </w:t>
      </w:r>
      <w:r w:rsidRPr="463849F1" w:rsidR="463849F1">
        <w:rPr>
          <w:rFonts w:ascii="Palatino Linotype" w:hAnsi="Palatino Linotype" w:cs="Tahoma"/>
          <w:color w:val="0D0D0D" w:themeColor="text1" w:themeTint="F2" w:themeShade="FF"/>
          <w:sz w:val="22"/>
          <w:szCs w:val="22"/>
        </w:rPr>
        <w:t xml:space="preserve">el expediente conformado con motivo del Recurso de Revisión </w:t>
      </w:r>
      <w:r w:rsidRPr="463849F1" w:rsidR="463849F1">
        <w:rPr>
          <w:rFonts w:ascii="Palatino Linotype" w:hAnsi="Palatino Linotype" w:cs="Tahoma"/>
          <w:b w:val="1"/>
          <w:bCs w:val="1"/>
          <w:color w:val="0D0D0D" w:themeColor="text1" w:themeTint="F2" w:themeShade="FF"/>
          <w:sz w:val="22"/>
          <w:szCs w:val="22"/>
        </w:rPr>
        <w:t>01086/INFOEM/IP/RR/2022,</w:t>
      </w:r>
      <w:r w:rsidRPr="463849F1" w:rsidR="463849F1">
        <w:rPr>
          <w:rFonts w:ascii="Palatino Linotype" w:hAnsi="Palatino Linotype" w:cs="Tahoma"/>
          <w:color w:val="0D0D0D" w:themeColor="text1" w:themeTint="F2" w:themeShade="FF"/>
          <w:sz w:val="22"/>
          <w:szCs w:val="22"/>
        </w:rPr>
        <w:t xml:space="preserve"> interpuesto por </w:t>
      </w:r>
      <w:r w:rsidRPr="463849F1" w:rsidR="463849F1">
        <w:rPr>
          <w:rFonts w:ascii="Palatino Linotype" w:hAnsi="Palatino Linotype" w:cs="Tahoma"/>
          <w:color w:val="0D0D0D" w:themeColor="text1" w:themeTint="F2" w:themeShade="FF"/>
          <w:sz w:val="22"/>
          <w:szCs w:val="22"/>
          <w:highlight w:val="black"/>
        </w:rPr>
        <w:t>XXXXXXXXXXXXXXXX</w:t>
      </w:r>
      <w:r w:rsidRPr="463849F1" w:rsidR="463849F1">
        <w:rPr>
          <w:rFonts w:ascii="Palatino Linotype" w:hAnsi="Palatino Linotype" w:cs="Tahoma"/>
          <w:color w:val="0D0D0D" w:themeColor="text1" w:themeTint="F2" w:themeShade="FF"/>
          <w:sz w:val="22"/>
          <w:szCs w:val="22"/>
        </w:rPr>
        <w:t xml:space="preserve"> en lo sucesivo el Recurrente o Particular, en contra de la respuesta del Sujeto Obligado</w:t>
      </w:r>
      <w:r w:rsidRPr="463849F1" w:rsidR="463849F1">
        <w:rPr>
          <w:rFonts w:ascii="Palatino Linotype" w:hAnsi="Palatino Linotype"/>
          <w:sz w:val="22"/>
          <w:szCs w:val="22"/>
        </w:rPr>
        <w:t xml:space="preserve"> </w:t>
      </w:r>
      <w:r w:rsidRPr="463849F1" w:rsidR="463849F1">
        <w:rPr>
          <w:rFonts w:ascii="Palatino Linotype" w:hAnsi="Palatino Linotype" w:eastAsia="Calibri" w:cs="Tahoma"/>
          <w:b w:val="1"/>
          <w:bCs w:val="1"/>
          <w:sz w:val="22"/>
          <w:szCs w:val="22"/>
          <w:lang w:eastAsia="en-US"/>
        </w:rPr>
        <w:t>Ayuntamiento de Amecameca</w:t>
      </w:r>
      <w:r w:rsidRPr="463849F1" w:rsidR="463849F1">
        <w:rPr>
          <w:rFonts w:ascii="Palatino Linotype" w:hAnsi="Palatino Linotype" w:cs="Tahoma"/>
          <w:b w:val="1"/>
          <w:bCs w:val="1"/>
          <w:color w:val="0D0D0D" w:themeColor="text1" w:themeTint="F2" w:themeShade="FF"/>
          <w:sz w:val="22"/>
          <w:szCs w:val="22"/>
        </w:rPr>
        <w:t xml:space="preserve">, </w:t>
      </w:r>
      <w:r w:rsidRPr="463849F1" w:rsidR="463849F1">
        <w:rPr>
          <w:rFonts w:ascii="Palatino Linotype" w:hAnsi="Palatino Linotype" w:cs="Tahoma"/>
          <w:color w:val="0D0D0D" w:themeColor="text1" w:themeTint="F2" w:themeShade="FF"/>
          <w:sz w:val="22"/>
          <w:szCs w:val="22"/>
        </w:rPr>
        <w:t>se emite la presente Resolución, con base en los Antecedentes y C</w:t>
      </w:r>
      <w:r w:rsidRPr="463849F1" w:rsidR="463849F1">
        <w:rPr>
          <w:rFonts w:ascii="Palatino Linotype" w:hAnsi="Palatino Linotype" w:cs="Tahoma"/>
          <w:sz w:val="22"/>
          <w:szCs w:val="22"/>
        </w:rPr>
        <w:t>onsiderandos que a continuación se exponen:</w:t>
      </w:r>
    </w:p>
    <w:p w:rsidRPr="00A650C6" w:rsidR="00E35DF9" w:rsidP="00147516" w:rsidRDefault="00E35DF9" w14:paraId="67EFC7CF" w14:textId="77777777">
      <w:pPr>
        <w:spacing w:line="360" w:lineRule="auto"/>
        <w:contextualSpacing/>
        <w:jc w:val="both"/>
        <w:rPr>
          <w:rFonts w:ascii="Palatino Linotype" w:hAnsi="Palatino Linotype" w:cs="Tahoma"/>
          <w:b/>
          <w:color w:val="0D0D0D" w:themeColor="text1" w:themeTint="F2"/>
          <w:sz w:val="18"/>
          <w:szCs w:val="22"/>
        </w:rPr>
      </w:pPr>
    </w:p>
    <w:p w:rsidRPr="008E3507" w:rsidR="00E35DF9" w:rsidP="00147516" w:rsidRDefault="00E35DF9" w14:paraId="74D13B45" w14:textId="77777777">
      <w:pPr>
        <w:tabs>
          <w:tab w:val="center" w:pos="4522"/>
          <w:tab w:val="left" w:pos="7245"/>
        </w:tabs>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A N T E C E D E N T E S</w:t>
      </w:r>
    </w:p>
    <w:p w:rsidRPr="00C33886" w:rsidR="00E35DF9" w:rsidP="00147516" w:rsidRDefault="00E35DF9" w14:paraId="19DBB590" w14:textId="77777777">
      <w:pPr>
        <w:tabs>
          <w:tab w:val="center" w:pos="4522"/>
          <w:tab w:val="left" w:pos="7245"/>
        </w:tabs>
        <w:spacing w:line="360" w:lineRule="auto"/>
        <w:contextualSpacing/>
        <w:jc w:val="center"/>
        <w:rPr>
          <w:rFonts w:ascii="Palatino Linotype" w:hAnsi="Palatino Linotype" w:cs="Tahoma"/>
          <w:b/>
          <w:sz w:val="22"/>
          <w:szCs w:val="22"/>
        </w:rPr>
      </w:pPr>
    </w:p>
    <w:p w:rsidR="00E35DF9" w:rsidP="00147516" w:rsidRDefault="00E35DF9" w14:paraId="1CD11395" w14:textId="77777777">
      <w:pPr>
        <w:pStyle w:val="Prrafodelista"/>
        <w:tabs>
          <w:tab w:val="left" w:pos="567"/>
        </w:tabs>
        <w:spacing w:line="360" w:lineRule="auto"/>
        <w:ind w:left="0"/>
        <w:jc w:val="both"/>
        <w:rPr>
          <w:rFonts w:ascii="Palatino Linotype" w:hAnsi="Palatino Linotype" w:cs="Tahoma"/>
          <w:b/>
          <w:szCs w:val="22"/>
        </w:rPr>
      </w:pPr>
      <w:r w:rsidRPr="008E3507">
        <w:rPr>
          <w:rFonts w:ascii="Palatino Linotype" w:hAnsi="Palatino Linotype" w:cs="Tahoma"/>
          <w:b/>
          <w:szCs w:val="22"/>
        </w:rPr>
        <w:t xml:space="preserve">I. Presentación de la solicitud de información. </w:t>
      </w:r>
    </w:p>
    <w:p w:rsidRPr="00A650C6" w:rsidR="00E35DF9" w:rsidP="00147516" w:rsidRDefault="00E35DF9" w14:paraId="1BE8EC6F" w14:textId="77777777">
      <w:pPr>
        <w:pStyle w:val="Prrafodelista"/>
        <w:tabs>
          <w:tab w:val="left" w:pos="567"/>
        </w:tabs>
        <w:spacing w:line="360" w:lineRule="auto"/>
        <w:ind w:left="0"/>
        <w:jc w:val="both"/>
        <w:rPr>
          <w:rFonts w:ascii="Palatino Linotype" w:hAnsi="Palatino Linotype" w:cs="Tahoma"/>
          <w:b/>
          <w:sz w:val="18"/>
          <w:szCs w:val="22"/>
        </w:rPr>
      </w:pPr>
    </w:p>
    <w:p w:rsidRPr="003A12F1" w:rsidR="00E35DF9" w:rsidP="00147516" w:rsidRDefault="00E35DF9" w14:paraId="51C325BB" w14:textId="77777777">
      <w:pPr>
        <w:tabs>
          <w:tab w:val="left" w:pos="567"/>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790E33">
        <w:rPr>
          <w:rFonts w:ascii="Palatino Linotype" w:hAnsi="Palatino Linotype" w:cs="Tahoma"/>
          <w:sz w:val="22"/>
          <w:szCs w:val="22"/>
        </w:rPr>
        <w:t xml:space="preserve">treinta y uno </w:t>
      </w:r>
      <w:r w:rsidR="00477AD3">
        <w:rPr>
          <w:rFonts w:ascii="Palatino Linotype" w:hAnsi="Palatino Linotype" w:cs="Tahoma"/>
          <w:sz w:val="22"/>
          <w:szCs w:val="22"/>
        </w:rPr>
        <w:t xml:space="preserve">de enero </w:t>
      </w:r>
      <w:r w:rsidR="008436E1">
        <w:rPr>
          <w:rFonts w:ascii="Palatino Linotype" w:hAnsi="Palatino Linotype" w:cs="Tahoma"/>
          <w:sz w:val="22"/>
          <w:szCs w:val="22"/>
        </w:rPr>
        <w:t>de dos mil veintidós</w:t>
      </w:r>
      <w:r w:rsidRPr="008E3507">
        <w:rPr>
          <w:rFonts w:ascii="Palatino Linotype" w:hAnsi="Palatino Linotype" w:cs="Tahoma"/>
          <w:sz w:val="22"/>
          <w:szCs w:val="22"/>
        </w:rPr>
        <w:t xml:space="preserve">, </w:t>
      </w:r>
      <w:r>
        <w:rPr>
          <w:rFonts w:ascii="Palatino Linotype" w:hAnsi="Palatino Linotype" w:cs="Tahoma"/>
          <w:sz w:val="22"/>
          <w:szCs w:val="22"/>
        </w:rPr>
        <w:t xml:space="preserve">el </w:t>
      </w:r>
      <w:r w:rsidRPr="008E3507">
        <w:rPr>
          <w:rFonts w:ascii="Palatino Linotype" w:hAnsi="Palatino Linotype" w:cs="Tahoma"/>
          <w:sz w:val="22"/>
          <w:szCs w:val="22"/>
        </w:rPr>
        <w:t>Particular presentó solicitud de acceso a la i</w:t>
      </w:r>
      <w:r w:rsidR="009D6672">
        <w:rPr>
          <w:rFonts w:ascii="Palatino Linotype" w:hAnsi="Palatino Linotype" w:cs="Tahoma"/>
          <w:sz w:val="22"/>
          <w:szCs w:val="22"/>
        </w:rPr>
        <w:t>nformación pública, a través de</w:t>
      </w:r>
      <w:r w:rsidR="00790E33">
        <w:rPr>
          <w:rFonts w:ascii="Palatino Linotype" w:hAnsi="Palatino Linotype" w:cs="Tahoma"/>
          <w:sz w:val="22"/>
          <w:szCs w:val="22"/>
        </w:rPr>
        <w:t xml:space="preserve"> </w:t>
      </w:r>
      <w:r w:rsidR="009D6672">
        <w:rPr>
          <w:rFonts w:ascii="Palatino Linotype" w:hAnsi="Palatino Linotype" w:cs="Tahoma"/>
          <w:sz w:val="22"/>
          <w:szCs w:val="22"/>
        </w:rPr>
        <w:t>l</w:t>
      </w:r>
      <w:r w:rsidR="00790E33">
        <w:rPr>
          <w:rFonts w:ascii="Palatino Linotype" w:hAnsi="Palatino Linotype" w:cs="Tahoma"/>
          <w:sz w:val="22"/>
          <w:szCs w:val="22"/>
        </w:rPr>
        <w:t>a Plataforma Nacional de Transparencia (PNT)</w:t>
      </w:r>
      <w:r w:rsidRPr="008E3507">
        <w:rPr>
          <w:rFonts w:ascii="Palatino Linotype" w:hAnsi="Palatino Linotype" w:cs="Tahoma"/>
          <w:sz w:val="22"/>
          <w:szCs w:val="22"/>
        </w:rPr>
        <w:t xml:space="preserve">, ante </w:t>
      </w:r>
      <w:r w:rsidR="00B50512">
        <w:rPr>
          <w:rFonts w:ascii="Palatino Linotype" w:hAnsi="Palatino Linotype" w:cs="Tahoma"/>
          <w:sz w:val="22"/>
          <w:szCs w:val="22"/>
        </w:rPr>
        <w:t>e</w:t>
      </w:r>
      <w:r w:rsidRPr="008E3507">
        <w:rPr>
          <w:rFonts w:ascii="Palatino Linotype" w:hAnsi="Palatino Linotype" w:cs="Tahoma"/>
          <w:sz w:val="22"/>
          <w:szCs w:val="22"/>
        </w:rPr>
        <w:t xml:space="preserve">l </w:t>
      </w:r>
      <w:r w:rsidR="00313021">
        <w:rPr>
          <w:rFonts w:ascii="Palatino Linotype" w:hAnsi="Palatino Linotype" w:cs="Tahoma"/>
          <w:b/>
          <w:bCs/>
          <w:sz w:val="22"/>
          <w:szCs w:val="22"/>
        </w:rPr>
        <w:t>Ayuntamiento de Amecameca</w:t>
      </w:r>
      <w:r w:rsidRPr="003A12F1">
        <w:rPr>
          <w:rFonts w:ascii="Palatino Linotype" w:hAnsi="Palatino Linotype" w:cs="Tahoma"/>
          <w:sz w:val="22"/>
          <w:szCs w:val="22"/>
        </w:rPr>
        <w:t xml:space="preserve">, </w:t>
      </w:r>
      <w:r w:rsidRPr="003A12F1" w:rsidR="003A12F1">
        <w:rPr>
          <w:rFonts w:ascii="Palatino Linotype" w:hAnsi="Palatino Linotype" w:cs="Tahoma"/>
          <w:sz w:val="22"/>
          <w:szCs w:val="22"/>
        </w:rPr>
        <w:t xml:space="preserve">misma que fue registrada con el número de folio </w:t>
      </w:r>
      <w:r w:rsidRPr="00313021" w:rsidR="00313021">
        <w:rPr>
          <w:rFonts w:ascii="Palatino Linotype" w:hAnsi="Palatino Linotype" w:cs="Tahoma"/>
          <w:b/>
          <w:bCs/>
          <w:sz w:val="22"/>
          <w:szCs w:val="22"/>
        </w:rPr>
        <w:t>00029/AMECAMEC/IP/2022</w:t>
      </w:r>
      <w:r w:rsidRPr="00A85A76" w:rsidR="003A12F1">
        <w:rPr>
          <w:rFonts w:ascii="Palatino Linotype" w:hAnsi="Palatino Linotype" w:cs="Tahoma"/>
          <w:b/>
          <w:bCs/>
          <w:sz w:val="22"/>
          <w:szCs w:val="22"/>
        </w:rPr>
        <w:t>,</w:t>
      </w:r>
      <w:r w:rsidR="003A12F1">
        <w:rPr>
          <w:rFonts w:ascii="Palatino Linotype" w:hAnsi="Palatino Linotype" w:cs="Tahoma"/>
          <w:b/>
          <w:bCs/>
          <w:sz w:val="22"/>
          <w:szCs w:val="22"/>
        </w:rPr>
        <w:t xml:space="preserve"> </w:t>
      </w:r>
      <w:r w:rsidRPr="003A12F1">
        <w:rPr>
          <w:rFonts w:ascii="Palatino Linotype" w:hAnsi="Palatino Linotype" w:cs="Tahoma"/>
          <w:sz w:val="22"/>
          <w:szCs w:val="22"/>
        </w:rPr>
        <w:t xml:space="preserve">mediante </w:t>
      </w:r>
      <w:r w:rsidRPr="003A12F1" w:rsidR="0074594A">
        <w:rPr>
          <w:rFonts w:ascii="Palatino Linotype" w:hAnsi="Palatino Linotype" w:cs="Tahoma"/>
          <w:sz w:val="22"/>
          <w:szCs w:val="22"/>
        </w:rPr>
        <w:t>l</w:t>
      </w:r>
      <w:r w:rsidR="00B50512">
        <w:rPr>
          <w:rFonts w:ascii="Palatino Linotype" w:hAnsi="Palatino Linotype" w:cs="Tahoma"/>
          <w:sz w:val="22"/>
          <w:szCs w:val="22"/>
        </w:rPr>
        <w:t>a</w:t>
      </w:r>
      <w:r w:rsidRPr="003A12F1">
        <w:rPr>
          <w:rFonts w:ascii="Palatino Linotype" w:hAnsi="Palatino Linotype" w:cs="Tahoma"/>
          <w:sz w:val="22"/>
          <w:szCs w:val="22"/>
        </w:rPr>
        <w:t xml:space="preserve"> cual requirió lo siguiente: </w:t>
      </w:r>
    </w:p>
    <w:p w:rsidRPr="00C33886" w:rsidR="00D807FB" w:rsidP="00147516" w:rsidRDefault="00D807FB" w14:paraId="468B54BE" w14:textId="77777777">
      <w:pPr>
        <w:tabs>
          <w:tab w:val="left" w:pos="567"/>
        </w:tabs>
        <w:spacing w:line="360" w:lineRule="auto"/>
        <w:contextualSpacing/>
        <w:jc w:val="both"/>
        <w:rPr>
          <w:rFonts w:ascii="Palatino Linotype" w:hAnsi="Palatino Linotype" w:cs="Tahoma"/>
          <w:sz w:val="22"/>
        </w:rPr>
      </w:pPr>
    </w:p>
    <w:p w:rsidRPr="00A650C6" w:rsidR="00D807FB" w:rsidP="00147516" w:rsidRDefault="00D807FB" w14:paraId="6A3EE6BF" w14:textId="77777777">
      <w:pPr>
        <w:tabs>
          <w:tab w:val="left" w:pos="567"/>
        </w:tabs>
        <w:spacing w:line="360" w:lineRule="auto"/>
        <w:ind w:left="567" w:right="539"/>
        <w:contextualSpacing/>
        <w:jc w:val="both"/>
        <w:rPr>
          <w:rFonts w:ascii="Palatino Linotype" w:hAnsi="Palatino Linotype" w:cs="Tahoma"/>
          <w:b/>
          <w:bCs/>
          <w:sz w:val="22"/>
          <w:szCs w:val="22"/>
        </w:rPr>
      </w:pPr>
      <w:r w:rsidRPr="00A650C6">
        <w:rPr>
          <w:rFonts w:ascii="Palatino Linotype" w:hAnsi="Palatino Linotype" w:cs="Tahoma"/>
          <w:b/>
          <w:bCs/>
        </w:rPr>
        <w:t>DESCRIPCIÓN CLARA Y PRECISA DE LA INFORMACIÓN SOLICITADA</w:t>
      </w:r>
      <w:r w:rsidRPr="00A650C6">
        <w:rPr>
          <w:rFonts w:ascii="Palatino Linotype" w:hAnsi="Palatino Linotype" w:cs="Tahoma"/>
          <w:b/>
          <w:bCs/>
          <w:sz w:val="22"/>
          <w:szCs w:val="22"/>
        </w:rPr>
        <w:t>:</w:t>
      </w:r>
    </w:p>
    <w:p w:rsidRPr="00790E33" w:rsidR="00790E33" w:rsidP="00790E33" w:rsidRDefault="009D6672" w14:paraId="0A27128B"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A650C6">
        <w:rPr>
          <w:rFonts w:ascii="Palatino Linotype" w:hAnsi="Palatino Linotype"/>
          <w:i/>
          <w:iCs/>
          <w:color w:val="000000"/>
          <w:sz w:val="20"/>
          <w:szCs w:val="20"/>
        </w:rPr>
        <w:t>“</w:t>
      </w:r>
      <w:r w:rsidRPr="00790E33" w:rsidR="00790E33">
        <w:rPr>
          <w:rFonts w:ascii="Palatino Linotype" w:hAnsi="Palatino Linotype"/>
          <w:i/>
          <w:iCs/>
          <w:color w:val="000000"/>
          <w:sz w:val="20"/>
          <w:szCs w:val="20"/>
        </w:rPr>
        <w:t>Solicito Obtener la opinión de cumplimiento proporcionada directamente por el ente fiscalizador hacia los ayuntamientos y sus descentralizadas (DIF,</w:t>
      </w:r>
      <w:r w:rsidR="00790E33">
        <w:rPr>
          <w:rFonts w:ascii="Palatino Linotype" w:hAnsi="Palatino Linotype"/>
          <w:i/>
          <w:iCs/>
          <w:color w:val="000000"/>
          <w:sz w:val="20"/>
          <w:szCs w:val="20"/>
        </w:rPr>
        <w:t xml:space="preserve"> </w:t>
      </w:r>
      <w:r w:rsidRPr="00790E33" w:rsidR="00790E33">
        <w:rPr>
          <w:rFonts w:ascii="Palatino Linotype" w:hAnsi="Palatino Linotype"/>
          <w:i/>
          <w:iCs/>
          <w:color w:val="000000"/>
          <w:sz w:val="20"/>
          <w:szCs w:val="20"/>
        </w:rPr>
        <w:t>Sistema de agua, Instituto de la mujer, casa de la cultura, etc): SAT, IMSS, INFONAVIT y SATEM, cada uno en sus respectivos ámbitos y generada x el</w:t>
      </w:r>
      <w:r w:rsidR="00790E33">
        <w:rPr>
          <w:rFonts w:ascii="Palatino Linotype" w:hAnsi="Palatino Linotype"/>
          <w:i/>
          <w:iCs/>
          <w:color w:val="000000"/>
          <w:sz w:val="20"/>
          <w:szCs w:val="20"/>
        </w:rPr>
        <w:t xml:space="preserve"> </w:t>
      </w:r>
      <w:r w:rsidRPr="00790E33" w:rsidR="00790E33">
        <w:rPr>
          <w:rFonts w:ascii="Palatino Linotype" w:hAnsi="Palatino Linotype"/>
          <w:i/>
          <w:iCs/>
          <w:color w:val="000000"/>
          <w:sz w:val="20"/>
          <w:szCs w:val="20"/>
        </w:rPr>
        <w:t>mismo ente obligado; ya que los reportes fiscales los baja la persona autorizada por el ente obligado con la clave CIEC tratándose del ISR salarios y</w:t>
      </w:r>
      <w:r w:rsidR="00790E33">
        <w:rPr>
          <w:rFonts w:ascii="Palatino Linotype" w:hAnsi="Palatino Linotype"/>
          <w:i/>
          <w:iCs/>
          <w:color w:val="000000"/>
          <w:sz w:val="20"/>
          <w:szCs w:val="20"/>
        </w:rPr>
        <w:t xml:space="preserve"> </w:t>
      </w:r>
      <w:r w:rsidRPr="00790E33" w:rsidR="00790E33">
        <w:rPr>
          <w:rFonts w:ascii="Palatino Linotype" w:hAnsi="Palatino Linotype"/>
          <w:i/>
          <w:iCs/>
          <w:color w:val="000000"/>
          <w:sz w:val="20"/>
          <w:szCs w:val="20"/>
        </w:rPr>
        <w:t>asimilados y/o asalariados. Se solicita lo siguiente:</w:t>
      </w:r>
    </w:p>
    <w:p w:rsidRPr="00790E33" w:rsidR="00790E33" w:rsidP="00790E33" w:rsidRDefault="00790E33" w14:paraId="17FF1A37"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I. Reportes del aplicativo “Visor de nómina del SAT” por los años 2018, 2019, 2020, y 2021 en sus tres presentaciones:</w:t>
      </w:r>
    </w:p>
    <w:p w:rsidRPr="00790E33" w:rsidR="00790E33" w:rsidP="00790E33" w:rsidRDefault="00790E33" w14:paraId="309D80E7"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lastRenderedPageBreak/>
        <w:t>a) Vista anual acumulada.</w:t>
      </w:r>
    </w:p>
    <w:p w:rsidRPr="00790E33" w:rsidR="00790E33" w:rsidP="00790E33" w:rsidRDefault="00790E33" w14:paraId="2566FE5A"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b) Detalle mensual.</w:t>
      </w:r>
    </w:p>
    <w:p w:rsidRPr="00790E33" w:rsidR="00790E33" w:rsidP="00790E33" w:rsidRDefault="00790E33" w14:paraId="7B3893C4"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c) Detalle diferencias sueldos y salarios.</w:t>
      </w:r>
    </w:p>
    <w:p w:rsidRPr="00790E33" w:rsidR="00790E33" w:rsidP="00790E33" w:rsidRDefault="00790E33" w14:paraId="4489B493"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II. La constancia de situación fiscal de no adeudo emitida por el INFONAVIT, generada desde el portal empresarial de esa Institución, a través de</w:t>
      </w:r>
      <w:r>
        <w:rPr>
          <w:rFonts w:ascii="Palatino Linotype" w:hAnsi="Palatino Linotype"/>
          <w:i/>
          <w:iCs/>
          <w:color w:val="000000"/>
          <w:sz w:val="20"/>
          <w:szCs w:val="20"/>
        </w:rPr>
        <w:t xml:space="preserve"> </w:t>
      </w:r>
      <w:r w:rsidRPr="00790E33">
        <w:rPr>
          <w:rFonts w:ascii="Palatino Linotype" w:hAnsi="Palatino Linotype"/>
          <w:i/>
          <w:iCs/>
          <w:color w:val="000000"/>
          <w:sz w:val="20"/>
          <w:szCs w:val="20"/>
        </w:rPr>
        <w:t>internet.</w:t>
      </w:r>
    </w:p>
    <w:p w:rsidRPr="00790E33" w:rsidR="00790E33" w:rsidP="00790E33" w:rsidRDefault="00790E33" w14:paraId="71E1344E"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III. La opinión de no adeudo en el cumplimiento de obligaciones fiscales en materia de seguridad social emitida x el IMSS, generada desde el portal de</w:t>
      </w:r>
      <w:r>
        <w:rPr>
          <w:rFonts w:ascii="Palatino Linotype" w:hAnsi="Palatino Linotype"/>
          <w:i/>
          <w:iCs/>
          <w:color w:val="000000"/>
          <w:sz w:val="20"/>
          <w:szCs w:val="20"/>
        </w:rPr>
        <w:t xml:space="preserve"> </w:t>
      </w:r>
      <w:r w:rsidRPr="00790E33">
        <w:rPr>
          <w:rFonts w:ascii="Palatino Linotype" w:hAnsi="Palatino Linotype"/>
          <w:i/>
          <w:iCs/>
          <w:color w:val="000000"/>
          <w:sz w:val="20"/>
          <w:szCs w:val="20"/>
        </w:rPr>
        <w:t>esa Institución, a través de internet.</w:t>
      </w:r>
    </w:p>
    <w:p w:rsidRPr="00790E33" w:rsidR="00790E33" w:rsidP="00790E33" w:rsidRDefault="00790E33" w14:paraId="67A08A6C"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IV. La opinión de no adeudo en el cumplimiento de obligaciones fiscales estatales emitida por el SATEM, generada desde el portal de esa Institución, a</w:t>
      </w:r>
      <w:r>
        <w:rPr>
          <w:rFonts w:ascii="Palatino Linotype" w:hAnsi="Palatino Linotype"/>
          <w:i/>
          <w:iCs/>
          <w:color w:val="000000"/>
          <w:sz w:val="20"/>
          <w:szCs w:val="20"/>
        </w:rPr>
        <w:t xml:space="preserve"> </w:t>
      </w:r>
      <w:r w:rsidRPr="00790E33">
        <w:rPr>
          <w:rFonts w:ascii="Palatino Linotype" w:hAnsi="Palatino Linotype"/>
          <w:i/>
          <w:iCs/>
          <w:color w:val="000000"/>
          <w:sz w:val="20"/>
          <w:szCs w:val="20"/>
        </w:rPr>
        <w:t>través de internet.</w:t>
      </w:r>
    </w:p>
    <w:p w:rsidRPr="00790E33" w:rsidR="00790E33" w:rsidP="00790E33" w:rsidRDefault="00790E33" w14:paraId="14EB3544"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V. Un papel de trabajo por el municipio, y otro por cada una de sus descentralizadas que contenga los datos para identificar el ISR participable</w:t>
      </w:r>
      <w:r>
        <w:rPr>
          <w:rFonts w:ascii="Palatino Linotype" w:hAnsi="Palatino Linotype"/>
          <w:i/>
          <w:iCs/>
          <w:color w:val="000000"/>
          <w:sz w:val="20"/>
          <w:szCs w:val="20"/>
        </w:rPr>
        <w:t xml:space="preserve"> </w:t>
      </w:r>
      <w:r w:rsidRPr="00790E33">
        <w:rPr>
          <w:rFonts w:ascii="Palatino Linotype" w:hAnsi="Palatino Linotype"/>
          <w:i/>
          <w:iCs/>
          <w:color w:val="000000"/>
          <w:sz w:val="20"/>
          <w:szCs w:val="20"/>
        </w:rPr>
        <w:t>recuperado por cada mes desde Enero de 2019 hasta Octubre de 2021. Propongo un papel de trabajo con los siguientes encabezados:</w:t>
      </w:r>
    </w:p>
    <w:p w:rsidRPr="00790E33" w:rsidR="00790E33" w:rsidP="00790E33" w:rsidRDefault="00790E33" w14:paraId="1E6737FD"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A) En la columna A “Mes”.</w:t>
      </w:r>
    </w:p>
    <w:p w:rsidRPr="00790E33" w:rsidR="00790E33" w:rsidP="00790E33" w:rsidRDefault="00790E33" w14:paraId="78DBA6EB"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B) En la columna B “Año”.</w:t>
      </w:r>
    </w:p>
    <w:p w:rsidRPr="00790E33" w:rsidR="00790E33" w:rsidP="00790E33" w:rsidRDefault="00790E33" w14:paraId="1D9F868D"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C) En la columna C “ISR salarios retenido”.</w:t>
      </w:r>
    </w:p>
    <w:p w:rsidRPr="00790E33" w:rsidR="00790E33" w:rsidP="00790E33" w:rsidRDefault="00790E33" w14:paraId="0BF98865"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D) En la columna D “ISR salarios enterado”.</w:t>
      </w:r>
    </w:p>
    <w:p w:rsidRPr="00790E33" w:rsidR="00790E33" w:rsidP="00790E33" w:rsidRDefault="00790E33" w14:paraId="7EF254DE"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E) En la columna E “ISR asimilados retenido”.</w:t>
      </w:r>
    </w:p>
    <w:p w:rsidRPr="00790E33" w:rsidR="00790E33" w:rsidP="00790E33" w:rsidRDefault="00790E33" w14:paraId="31AEC21C"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F) En la columna F “ISR asimilados enterado”.</w:t>
      </w:r>
    </w:p>
    <w:p w:rsidRPr="00790E33" w:rsidR="00790E33" w:rsidP="00790E33" w:rsidRDefault="00790E33" w14:paraId="18597096"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G) En la columna G “ISR honorarios y arrendamiento retenido”.</w:t>
      </w:r>
    </w:p>
    <w:p w:rsidRPr="00790E33" w:rsidR="00790E33" w:rsidP="00790E33" w:rsidRDefault="00790E33" w14:paraId="3A40D7C0"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H) En la columna H “ISR honorarios y arrendamiento enterado”.</w:t>
      </w:r>
    </w:p>
    <w:p w:rsidRPr="00790E33" w:rsidR="00790E33" w:rsidP="00790E33" w:rsidRDefault="00790E33" w14:paraId="64A1AF7F"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I) En la columna I “ISR participable recuperado a valor histórico”.</w:t>
      </w:r>
    </w:p>
    <w:p w:rsidRPr="00790E33" w:rsidR="00790E33" w:rsidP="00790E33" w:rsidRDefault="00790E33" w14:paraId="29D697AB"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J) En la columna J “Subsidio para el empleo entregado en el mes al trabajador”.</w:t>
      </w:r>
    </w:p>
    <w:p w:rsidRPr="00790E33" w:rsidR="00790E33" w:rsidP="00790E33" w:rsidRDefault="00790E33" w14:paraId="2885509E"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K) En la columna K “Subsidio para el empleo acreditado en el mes contra las contribuciones que proceda”.</w:t>
      </w:r>
    </w:p>
    <w:p w:rsidR="00790E33" w:rsidP="00790E33" w:rsidRDefault="00790E33" w14:paraId="1D727A8B"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En las filas correspondientes a cada mes, capturar la información de ese periodo. Al calce del papel de trabajo, el monto del ISR participable que no se</w:t>
      </w:r>
      <w:r>
        <w:rPr>
          <w:rFonts w:ascii="Palatino Linotype" w:hAnsi="Palatino Linotype"/>
          <w:i/>
          <w:iCs/>
          <w:color w:val="000000"/>
          <w:sz w:val="20"/>
          <w:szCs w:val="20"/>
        </w:rPr>
        <w:t xml:space="preserve"> </w:t>
      </w:r>
      <w:r w:rsidRPr="00790E33">
        <w:rPr>
          <w:rFonts w:ascii="Palatino Linotype" w:hAnsi="Palatino Linotype"/>
          <w:i/>
          <w:iCs/>
          <w:color w:val="000000"/>
          <w:sz w:val="20"/>
          <w:szCs w:val="20"/>
        </w:rPr>
        <w:t>ha podido recuperar, separando el monto que está pendiente de solicitar, del monto que se solicitó y no se recuperó.</w:t>
      </w:r>
    </w:p>
    <w:p w:rsidRPr="00790E33" w:rsidR="00790E33" w:rsidP="00790E33" w:rsidRDefault="00790E33" w14:paraId="4BD3E25D"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VI. Para comprobar que los trabajadores no están siendo afectados x errores en el cálculo de sus impuestos (No tienen diferencias a cargo, ni</w:t>
      </w:r>
      <w:r>
        <w:rPr>
          <w:rFonts w:ascii="Palatino Linotype" w:hAnsi="Palatino Linotype"/>
          <w:i/>
          <w:iCs/>
          <w:color w:val="000000"/>
          <w:sz w:val="20"/>
          <w:szCs w:val="20"/>
        </w:rPr>
        <w:t xml:space="preserve"> </w:t>
      </w:r>
      <w:r w:rsidRPr="00790E33">
        <w:rPr>
          <w:rFonts w:ascii="Palatino Linotype" w:hAnsi="Palatino Linotype"/>
          <w:i/>
          <w:iCs/>
          <w:color w:val="000000"/>
          <w:sz w:val="20"/>
          <w:szCs w:val="20"/>
        </w:rPr>
        <w:t>diferencias a favor en su declaración anual precargada), propongo q seleccionen al azar 5 muestras del ayuntamiento y tres muestras de cada</w:t>
      </w:r>
      <w:r>
        <w:rPr>
          <w:rFonts w:ascii="Palatino Linotype" w:hAnsi="Palatino Linotype"/>
          <w:i/>
          <w:iCs/>
          <w:color w:val="000000"/>
          <w:sz w:val="20"/>
          <w:szCs w:val="20"/>
        </w:rPr>
        <w:t xml:space="preserve"> </w:t>
      </w:r>
      <w:r w:rsidRPr="00790E33">
        <w:rPr>
          <w:rFonts w:ascii="Palatino Linotype" w:hAnsi="Palatino Linotype"/>
          <w:i/>
          <w:iCs/>
          <w:color w:val="000000"/>
          <w:sz w:val="20"/>
          <w:szCs w:val="20"/>
        </w:rPr>
        <w:t xml:space="preserve">descentralizada. </w:t>
      </w:r>
      <w:r w:rsidRPr="00790E33">
        <w:rPr>
          <w:rFonts w:ascii="Palatino Linotype" w:hAnsi="Palatino Linotype"/>
          <w:i/>
          <w:iCs/>
          <w:color w:val="000000"/>
          <w:sz w:val="20"/>
          <w:szCs w:val="20"/>
        </w:rPr>
        <w:lastRenderedPageBreak/>
        <w:t>A cada uno de los trabajadores seleccionados el personal responsable del municipio y/o de las descentralizadas, les calcularán el</w:t>
      </w:r>
      <w:r>
        <w:rPr>
          <w:rFonts w:ascii="Palatino Linotype" w:hAnsi="Palatino Linotype"/>
          <w:i/>
          <w:iCs/>
          <w:color w:val="000000"/>
          <w:sz w:val="20"/>
          <w:szCs w:val="20"/>
        </w:rPr>
        <w:t xml:space="preserve"> </w:t>
      </w:r>
      <w:r w:rsidRPr="00790E33">
        <w:rPr>
          <w:rFonts w:ascii="Palatino Linotype" w:hAnsi="Palatino Linotype"/>
          <w:i/>
          <w:iCs/>
          <w:color w:val="000000"/>
          <w:sz w:val="20"/>
          <w:szCs w:val="20"/>
        </w:rPr>
        <w:t>impuesto anual por los años 2017, 2018, 2019, y 2020, con base en los datos precargados en el expediente fiscal del trabajador. Para guardar la</w:t>
      </w:r>
      <w:r>
        <w:rPr>
          <w:rFonts w:ascii="Palatino Linotype" w:hAnsi="Palatino Linotype"/>
          <w:i/>
          <w:iCs/>
          <w:color w:val="000000"/>
          <w:sz w:val="20"/>
          <w:szCs w:val="20"/>
        </w:rPr>
        <w:t xml:space="preserve"> </w:t>
      </w:r>
      <w:r w:rsidRPr="00790E33">
        <w:rPr>
          <w:rFonts w:ascii="Palatino Linotype" w:hAnsi="Palatino Linotype"/>
          <w:i/>
          <w:iCs/>
          <w:color w:val="000000"/>
          <w:sz w:val="20"/>
          <w:szCs w:val="20"/>
        </w:rPr>
        <w:t>confidencialidad, a mi solo me entregarán un papel de trabajo con los siguientes encabezados:</w:t>
      </w:r>
    </w:p>
    <w:p w:rsidRPr="00790E33" w:rsidR="00790E33" w:rsidP="00790E33" w:rsidRDefault="00790E33" w14:paraId="1A9FE8A6"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A) En la columna A “Nombre del trabajador”, pudiendo identificarlos como: trabajador 1, trabajador 2, trabajador 3</w:t>
      </w:r>
    </w:p>
    <w:p w:rsidRPr="00790E33" w:rsidR="00790E33" w:rsidP="00790E33" w:rsidRDefault="00790E33" w14:paraId="03ACDA23"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B) En la columna B “Año”.</w:t>
      </w:r>
    </w:p>
    <w:p w:rsidRPr="00790E33" w:rsidR="00790E33" w:rsidP="00790E33" w:rsidRDefault="00790E33" w14:paraId="19391C2D"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C) En la columna C “Saldo a favor de ISR”.</w:t>
      </w:r>
    </w:p>
    <w:p w:rsidRPr="00790E33" w:rsidR="00790E33" w:rsidP="00790E33" w:rsidRDefault="00790E33" w14:paraId="3EFAAB50"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D) En la columna D “Saldo a cargo en el ISR”.</w:t>
      </w:r>
    </w:p>
    <w:p w:rsidRPr="00A650C6" w:rsidR="000F2B83" w:rsidP="00790E33" w:rsidRDefault="00790E33" w14:paraId="318AE20C"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E) En la columna E “Diferencia 0 en el ISR”. En las filas se captura la información que corresponda a los resultados de cada trabajador. Si fuera el caso</w:t>
      </w:r>
      <w:r>
        <w:rPr>
          <w:rFonts w:ascii="Palatino Linotype" w:hAnsi="Palatino Linotype"/>
          <w:i/>
          <w:iCs/>
          <w:color w:val="000000"/>
          <w:sz w:val="20"/>
          <w:szCs w:val="20"/>
        </w:rPr>
        <w:t xml:space="preserve"> </w:t>
      </w:r>
      <w:r w:rsidRPr="00790E33">
        <w:rPr>
          <w:rFonts w:ascii="Palatino Linotype" w:hAnsi="Palatino Linotype"/>
          <w:i/>
          <w:iCs/>
          <w:color w:val="000000"/>
          <w:sz w:val="20"/>
          <w:szCs w:val="20"/>
        </w:rPr>
        <w:t>que los trabajadores de la muestra no laboraron para el ayuntamiento o para las descentralizada durante los 4 años, solamente se captura la</w:t>
      </w:r>
      <w:r>
        <w:rPr>
          <w:rFonts w:ascii="Palatino Linotype" w:hAnsi="Palatino Linotype"/>
          <w:i/>
          <w:iCs/>
          <w:color w:val="000000"/>
          <w:sz w:val="20"/>
          <w:szCs w:val="20"/>
        </w:rPr>
        <w:t xml:space="preserve"> </w:t>
      </w:r>
      <w:r w:rsidRPr="00790E33">
        <w:rPr>
          <w:rFonts w:ascii="Palatino Linotype" w:hAnsi="Palatino Linotype"/>
          <w:i/>
          <w:iCs/>
          <w:color w:val="000000"/>
          <w:sz w:val="20"/>
          <w:szCs w:val="20"/>
        </w:rPr>
        <w:t xml:space="preserve">información de los años que si hayan trabajado. </w:t>
      </w:r>
      <w:r w:rsidRPr="00A650C6" w:rsidR="00B50512">
        <w:rPr>
          <w:rFonts w:ascii="Palatino Linotype" w:hAnsi="Palatino Linotype"/>
          <w:i/>
          <w:iCs/>
          <w:color w:val="000000"/>
          <w:sz w:val="20"/>
          <w:szCs w:val="20"/>
        </w:rPr>
        <w:t>"</w:t>
      </w:r>
      <w:r w:rsidR="00A650C6">
        <w:rPr>
          <w:rFonts w:ascii="Palatino Linotype" w:hAnsi="Palatino Linotype"/>
          <w:i/>
          <w:iCs/>
          <w:color w:val="000000"/>
          <w:sz w:val="20"/>
          <w:szCs w:val="20"/>
        </w:rPr>
        <w:t xml:space="preserve"> </w:t>
      </w:r>
      <w:r w:rsidRPr="00A650C6" w:rsidR="00B50512">
        <w:rPr>
          <w:rFonts w:ascii="Palatino Linotype" w:hAnsi="Palatino Linotype"/>
          <w:i/>
          <w:iCs/>
          <w:color w:val="000000"/>
          <w:sz w:val="20"/>
          <w:szCs w:val="20"/>
        </w:rPr>
        <w:t>(</w:t>
      </w:r>
      <w:r w:rsidRPr="00A650C6" w:rsidR="00B50512">
        <w:rPr>
          <w:rFonts w:ascii="Palatino Linotype" w:hAnsi="Palatino Linotype"/>
          <w:iCs/>
          <w:color w:val="000000"/>
          <w:sz w:val="20"/>
          <w:szCs w:val="20"/>
        </w:rPr>
        <w:t>Sic)</w:t>
      </w:r>
      <w:r w:rsidR="00501150">
        <w:rPr>
          <w:rFonts w:ascii="Palatino Linotype" w:hAnsi="Palatino Linotype"/>
          <w:iCs/>
          <w:color w:val="000000"/>
          <w:sz w:val="20"/>
          <w:szCs w:val="20"/>
        </w:rPr>
        <w:t>.</w:t>
      </w:r>
    </w:p>
    <w:p w:rsidRPr="00A650C6" w:rsidR="007E4927" w:rsidP="00147516" w:rsidRDefault="007E4927" w14:paraId="380EB2DD" w14:textId="77777777">
      <w:pPr>
        <w:pStyle w:val="Prrafodelista"/>
        <w:tabs>
          <w:tab w:val="left" w:pos="567"/>
        </w:tabs>
        <w:spacing w:line="360" w:lineRule="auto"/>
        <w:ind w:left="567" w:right="539"/>
        <w:jc w:val="both"/>
        <w:rPr>
          <w:rFonts w:ascii="Palatino Linotype" w:hAnsi="Palatino Linotype"/>
          <w:i/>
          <w:iCs/>
          <w:color w:val="000000"/>
          <w:sz w:val="20"/>
          <w:szCs w:val="20"/>
        </w:rPr>
      </w:pPr>
    </w:p>
    <w:p w:rsidRPr="00A650C6" w:rsidR="00E35DF9" w:rsidP="00147516" w:rsidRDefault="00E35DF9" w14:paraId="26F08D39" w14:textId="77777777">
      <w:pPr>
        <w:pStyle w:val="Prrafodelista"/>
        <w:tabs>
          <w:tab w:val="left" w:pos="567"/>
        </w:tabs>
        <w:spacing w:line="360" w:lineRule="auto"/>
        <w:ind w:left="567" w:right="539"/>
        <w:jc w:val="both"/>
        <w:rPr>
          <w:rFonts w:ascii="Palatino Linotype" w:hAnsi="Palatino Linotype" w:cs="Tahoma"/>
          <w:b/>
          <w:sz w:val="20"/>
          <w:szCs w:val="22"/>
        </w:rPr>
      </w:pPr>
      <w:r w:rsidRPr="00A650C6">
        <w:rPr>
          <w:rFonts w:ascii="Palatino Linotype" w:hAnsi="Palatino Linotype" w:cs="Tahoma"/>
          <w:b/>
          <w:sz w:val="20"/>
          <w:szCs w:val="22"/>
        </w:rPr>
        <w:t>MODALIDAD DE ENTREGA</w:t>
      </w:r>
    </w:p>
    <w:p w:rsidRPr="00A650C6" w:rsidR="00E35DF9" w:rsidP="00147516" w:rsidRDefault="007E4927" w14:paraId="75667B60" w14:textId="77777777">
      <w:pPr>
        <w:pStyle w:val="Prrafodelista"/>
        <w:tabs>
          <w:tab w:val="left" w:pos="567"/>
        </w:tabs>
        <w:spacing w:line="360" w:lineRule="auto"/>
        <w:ind w:left="567" w:right="539"/>
        <w:jc w:val="both"/>
        <w:rPr>
          <w:rFonts w:ascii="Palatino Linotype" w:hAnsi="Palatino Linotype" w:cs="Tahoma"/>
          <w:i/>
          <w:sz w:val="20"/>
          <w:szCs w:val="22"/>
        </w:rPr>
      </w:pPr>
      <w:r w:rsidRPr="00A650C6">
        <w:rPr>
          <w:rFonts w:ascii="Palatino Linotype" w:hAnsi="Palatino Linotype" w:cs="Tahoma"/>
          <w:i/>
          <w:sz w:val="20"/>
          <w:szCs w:val="22"/>
        </w:rPr>
        <w:t>“</w:t>
      </w:r>
      <w:r w:rsidRPr="00790E33" w:rsidR="00790E33">
        <w:rPr>
          <w:rFonts w:ascii="Palatino Linotype" w:hAnsi="Palatino Linotype" w:cs="Tahoma"/>
          <w:i/>
          <w:sz w:val="20"/>
          <w:szCs w:val="22"/>
        </w:rPr>
        <w:t>Cualquier otro medio incluido los electrónicos (USB, SD, Disco</w:t>
      </w:r>
      <w:r w:rsidR="00C53547">
        <w:rPr>
          <w:rFonts w:ascii="Palatino Linotype" w:hAnsi="Palatino Linotype" w:cs="Tahoma"/>
          <w:i/>
          <w:sz w:val="20"/>
          <w:szCs w:val="22"/>
        </w:rPr>
        <w:t>)</w:t>
      </w:r>
      <w:r w:rsidRPr="00A650C6">
        <w:rPr>
          <w:rFonts w:ascii="Palatino Linotype" w:hAnsi="Palatino Linotype" w:cs="Tahoma"/>
          <w:i/>
          <w:sz w:val="20"/>
          <w:szCs w:val="22"/>
        </w:rPr>
        <w:t>”</w:t>
      </w:r>
    </w:p>
    <w:p w:rsidRPr="00A650C6" w:rsidR="00A01EB6" w:rsidP="00147516" w:rsidRDefault="00A01EB6" w14:paraId="77981080" w14:textId="77777777">
      <w:pPr>
        <w:pStyle w:val="Prrafodelista"/>
        <w:tabs>
          <w:tab w:val="left" w:pos="567"/>
        </w:tabs>
        <w:spacing w:line="360" w:lineRule="auto"/>
        <w:ind w:left="0"/>
        <w:jc w:val="both"/>
        <w:rPr>
          <w:rFonts w:ascii="Palatino Linotype" w:hAnsi="Palatino Linotype" w:cs="Tahoma"/>
          <w:b/>
          <w:sz w:val="20"/>
          <w:szCs w:val="20"/>
        </w:rPr>
      </w:pPr>
    </w:p>
    <w:p w:rsidR="00681D84" w:rsidP="00147516" w:rsidRDefault="00A01EB6" w14:paraId="1FBDFDCE" w14:textId="77777777">
      <w:pPr>
        <w:pStyle w:val="Prrafodelista"/>
        <w:tabs>
          <w:tab w:val="left" w:pos="567"/>
        </w:tabs>
        <w:spacing w:line="360" w:lineRule="auto"/>
        <w:ind w:left="0"/>
        <w:jc w:val="both"/>
        <w:rPr>
          <w:rFonts w:ascii="Palatino Linotype" w:hAnsi="Palatino Linotype" w:cs="Tahoma"/>
          <w:b/>
          <w:szCs w:val="22"/>
        </w:rPr>
      </w:pPr>
      <w:r w:rsidRPr="00A650C6">
        <w:rPr>
          <w:rFonts w:ascii="Palatino Linotype" w:hAnsi="Palatino Linotype" w:cs="Tahoma"/>
          <w:b/>
          <w:szCs w:val="20"/>
        </w:rPr>
        <w:t>II</w:t>
      </w:r>
      <w:r w:rsidRPr="00A650C6" w:rsidR="00681D84">
        <w:rPr>
          <w:rFonts w:ascii="Palatino Linotype" w:hAnsi="Palatino Linotype" w:cs="Tahoma"/>
          <w:b/>
          <w:szCs w:val="22"/>
        </w:rPr>
        <w:t>.</w:t>
      </w:r>
      <w:r w:rsidR="007F3A61">
        <w:rPr>
          <w:rFonts w:ascii="Palatino Linotype" w:hAnsi="Palatino Linotype" w:cs="Tahoma"/>
          <w:b/>
          <w:szCs w:val="22"/>
        </w:rPr>
        <w:t xml:space="preserve"> </w:t>
      </w:r>
      <w:r w:rsidRPr="00A650C6" w:rsidR="00681D84">
        <w:rPr>
          <w:rFonts w:ascii="Palatino Linotype" w:hAnsi="Palatino Linotype" w:cs="Tahoma"/>
          <w:b/>
          <w:szCs w:val="22"/>
        </w:rPr>
        <w:t>Respuesta del Sujeto Obligado.</w:t>
      </w:r>
    </w:p>
    <w:p w:rsidRPr="00A650C6" w:rsidR="00681D84" w:rsidP="00147516" w:rsidRDefault="00681D84" w14:paraId="56BE92B0" w14:textId="77777777">
      <w:pPr>
        <w:pStyle w:val="Prrafodelista"/>
        <w:tabs>
          <w:tab w:val="left" w:pos="567"/>
        </w:tabs>
        <w:spacing w:line="360" w:lineRule="auto"/>
        <w:ind w:left="0"/>
        <w:jc w:val="both"/>
        <w:rPr>
          <w:rFonts w:ascii="Palatino Linotype" w:hAnsi="Palatino Linotype" w:cs="Tahoma"/>
          <w:b/>
          <w:sz w:val="20"/>
          <w:szCs w:val="22"/>
        </w:rPr>
      </w:pPr>
    </w:p>
    <w:p w:rsidR="00F800B0" w:rsidP="00147516" w:rsidRDefault="00681D84" w14:paraId="680E5562" w14:textId="77777777">
      <w:pPr>
        <w:autoSpaceDE w:val="0"/>
        <w:autoSpaceDN w:val="0"/>
        <w:adjustRightInd w:val="0"/>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313021">
        <w:rPr>
          <w:rFonts w:ascii="Palatino Linotype" w:hAnsi="Palatino Linotype" w:cs="Tahoma"/>
          <w:sz w:val="22"/>
          <w:szCs w:val="22"/>
        </w:rPr>
        <w:t>veintiuno</w:t>
      </w:r>
      <w:r w:rsidR="00790E33">
        <w:rPr>
          <w:rFonts w:ascii="Palatino Linotype" w:hAnsi="Palatino Linotype" w:cs="Tahoma"/>
          <w:sz w:val="22"/>
          <w:szCs w:val="22"/>
        </w:rPr>
        <w:t xml:space="preserve"> </w:t>
      </w:r>
      <w:r w:rsidR="007F3A61">
        <w:rPr>
          <w:rFonts w:ascii="Palatino Linotype" w:hAnsi="Palatino Linotype" w:cs="Tahoma"/>
          <w:sz w:val="22"/>
          <w:szCs w:val="22"/>
        </w:rPr>
        <w:t xml:space="preserve">de febrero </w:t>
      </w:r>
      <w:r w:rsidR="00B71F2C">
        <w:rPr>
          <w:rFonts w:ascii="Palatino Linotype" w:hAnsi="Palatino Linotype" w:cs="Tahoma"/>
          <w:sz w:val="22"/>
          <w:szCs w:val="22"/>
        </w:rPr>
        <w:t>de dos mil veintidós</w:t>
      </w:r>
      <w:r w:rsidRPr="008E3507">
        <w:rPr>
          <w:rFonts w:ascii="Palatino Linotype" w:hAnsi="Palatino Linotype" w:cs="Tahoma"/>
          <w:sz w:val="22"/>
          <w:szCs w:val="22"/>
        </w:rPr>
        <w:t>, mediante el Sistema de Acceso a la Información Mexiquense (SAIMEX), el Sujeto Obligado</w:t>
      </w:r>
      <w:r w:rsidR="00477AD3">
        <w:rPr>
          <w:rFonts w:ascii="Palatino Linotype" w:hAnsi="Palatino Linotype" w:cs="Tahoma"/>
          <w:sz w:val="22"/>
          <w:szCs w:val="22"/>
        </w:rPr>
        <w:t xml:space="preserve"> </w:t>
      </w:r>
      <w:r w:rsidR="00F800B0">
        <w:rPr>
          <w:rFonts w:ascii="Palatino Linotype" w:hAnsi="Palatino Linotype" w:cs="Tahoma"/>
          <w:sz w:val="22"/>
          <w:szCs w:val="22"/>
        </w:rPr>
        <w:t>proporcionó respuesta en los siguientes términos:</w:t>
      </w:r>
    </w:p>
    <w:p w:rsidR="00313021" w:rsidP="00147516" w:rsidRDefault="00313021" w14:paraId="08EE7C94" w14:textId="77777777">
      <w:pPr>
        <w:autoSpaceDE w:val="0"/>
        <w:autoSpaceDN w:val="0"/>
        <w:adjustRightInd w:val="0"/>
        <w:spacing w:line="360" w:lineRule="auto"/>
        <w:contextualSpacing/>
        <w:jc w:val="both"/>
        <w:rPr>
          <w:rFonts w:ascii="Palatino Linotype" w:hAnsi="Palatino Linotype" w:cs="Tahoma"/>
          <w:sz w:val="22"/>
          <w:szCs w:val="22"/>
        </w:rPr>
      </w:pPr>
    </w:p>
    <w:p w:rsidR="00F800B0" w:rsidP="00F800B0" w:rsidRDefault="00F800B0" w14:paraId="402DE36D" w14:textId="77777777">
      <w:pPr>
        <w:autoSpaceDE w:val="0"/>
        <w:autoSpaceDN w:val="0"/>
        <w:adjustRightInd w:val="0"/>
        <w:spacing w:line="360" w:lineRule="auto"/>
        <w:ind w:left="567" w:right="539"/>
        <w:contextualSpacing/>
        <w:jc w:val="both"/>
        <w:rPr>
          <w:rFonts w:ascii="Palatino Linotype" w:hAnsi="Palatino Linotype" w:cs="Tahoma"/>
          <w:i/>
          <w:szCs w:val="22"/>
        </w:rPr>
      </w:pPr>
      <w:r>
        <w:rPr>
          <w:rFonts w:ascii="Palatino Linotype" w:hAnsi="Palatino Linotype" w:cs="Tahoma"/>
          <w:i/>
          <w:szCs w:val="22"/>
        </w:rPr>
        <w:t>“…</w:t>
      </w:r>
      <w:r w:rsidR="00313021">
        <w:rPr>
          <w:rFonts w:ascii="Palatino Linotype" w:hAnsi="Palatino Linotype" w:cs="Tahoma"/>
          <w:i/>
          <w:szCs w:val="22"/>
        </w:rPr>
        <w:t xml:space="preserve"> al respecto le informo a usted que al realizar una búsqueda exhaustiva en los archivos que guardan las oficinas de la Tesorería Municipal, no se localizó información relacionada por el concepto de su solicitud.</w:t>
      </w:r>
    </w:p>
    <w:p w:rsidRPr="00F800B0" w:rsidR="00F800B0" w:rsidP="00F800B0" w:rsidRDefault="00F800B0" w14:paraId="3B7AA623" w14:textId="77777777">
      <w:pPr>
        <w:autoSpaceDE w:val="0"/>
        <w:autoSpaceDN w:val="0"/>
        <w:adjustRightInd w:val="0"/>
        <w:spacing w:line="360" w:lineRule="auto"/>
        <w:ind w:left="567" w:right="539"/>
        <w:contextualSpacing/>
        <w:jc w:val="both"/>
        <w:rPr>
          <w:rFonts w:ascii="Palatino Linotype" w:hAnsi="Palatino Linotype" w:cs="Tahoma"/>
          <w:i/>
          <w:szCs w:val="22"/>
        </w:rPr>
      </w:pPr>
      <w:r>
        <w:rPr>
          <w:rFonts w:ascii="Palatino Linotype" w:hAnsi="Palatino Linotype" w:cs="Tahoma"/>
          <w:i/>
          <w:szCs w:val="22"/>
        </w:rPr>
        <w:t>…”</w:t>
      </w:r>
    </w:p>
    <w:bookmarkEnd w:id="0"/>
    <w:p w:rsidR="00790E33" w:rsidP="00147516" w:rsidRDefault="00313021" w14:paraId="6B4468E0" w14:textId="77777777">
      <w:pPr>
        <w:autoSpaceDE w:val="0"/>
        <w:autoSpaceDN w:val="0"/>
        <w:adjustRightInd w:val="0"/>
        <w:spacing w:line="360" w:lineRule="auto"/>
        <w:contextualSpacing/>
        <w:jc w:val="both"/>
        <w:rPr>
          <w:rFonts w:ascii="Palatino Linotype" w:hAnsi="Palatino Linotype" w:cs="Tahoma"/>
          <w:sz w:val="22"/>
          <w:szCs w:val="22"/>
        </w:rPr>
      </w:pPr>
      <w:r w:rsidRPr="00313021">
        <w:rPr>
          <w:rFonts w:ascii="Palatino Linotype" w:hAnsi="Palatino Linotype" w:cs="Tahoma"/>
          <w:sz w:val="22"/>
          <w:szCs w:val="22"/>
        </w:rPr>
        <w:t xml:space="preserve">Además, el sujeto Obligado </w:t>
      </w:r>
      <w:r>
        <w:rPr>
          <w:rFonts w:ascii="Palatino Linotype" w:hAnsi="Palatino Linotype" w:cs="Tahoma"/>
          <w:sz w:val="22"/>
          <w:szCs w:val="22"/>
        </w:rPr>
        <w:t>adjuntó el Acta de Comité de Transparencia en la cual se declara la inexistencia de la información, solicitada.</w:t>
      </w:r>
    </w:p>
    <w:p w:rsidRPr="00313021" w:rsidR="00313021" w:rsidP="00147516" w:rsidRDefault="00313021" w14:paraId="3A784340" w14:textId="77777777">
      <w:pPr>
        <w:autoSpaceDE w:val="0"/>
        <w:autoSpaceDN w:val="0"/>
        <w:adjustRightInd w:val="0"/>
        <w:spacing w:line="360" w:lineRule="auto"/>
        <w:contextualSpacing/>
        <w:jc w:val="both"/>
        <w:rPr>
          <w:rFonts w:ascii="Palatino Linotype" w:hAnsi="Palatino Linotype" w:cs="Tahoma"/>
          <w:sz w:val="22"/>
          <w:szCs w:val="22"/>
        </w:rPr>
      </w:pPr>
    </w:p>
    <w:p w:rsidR="001A412B" w:rsidP="00147516" w:rsidRDefault="00D5699B" w14:paraId="32B8BB0D" w14:textId="77777777">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I</w:t>
      </w:r>
      <w:r w:rsidR="00C90C46">
        <w:rPr>
          <w:rFonts w:ascii="Palatino Linotype" w:hAnsi="Palatino Linotype" w:cs="Tahoma"/>
          <w:b/>
          <w:sz w:val="22"/>
          <w:szCs w:val="22"/>
        </w:rPr>
        <w:t>II</w:t>
      </w:r>
      <w:r w:rsidRPr="008E3507" w:rsidR="009A7587">
        <w:rPr>
          <w:rFonts w:ascii="Palatino Linotype" w:hAnsi="Palatino Linotype" w:cs="Tahoma"/>
          <w:b/>
          <w:sz w:val="22"/>
          <w:szCs w:val="22"/>
        </w:rPr>
        <w:t xml:space="preserve">. Interposición del Recurso de Revisión. </w:t>
      </w:r>
    </w:p>
    <w:p w:rsidRPr="00A650C6" w:rsidR="00F87649" w:rsidP="00147516" w:rsidRDefault="00F87649" w14:paraId="73ECC287" w14:textId="77777777">
      <w:pPr>
        <w:autoSpaceDE w:val="0"/>
        <w:autoSpaceDN w:val="0"/>
        <w:adjustRightInd w:val="0"/>
        <w:spacing w:line="360" w:lineRule="auto"/>
        <w:contextualSpacing/>
        <w:jc w:val="both"/>
        <w:rPr>
          <w:rFonts w:ascii="Palatino Linotype" w:hAnsi="Palatino Linotype" w:cs="Tahoma"/>
          <w:b/>
          <w:sz w:val="18"/>
          <w:szCs w:val="22"/>
        </w:rPr>
      </w:pPr>
    </w:p>
    <w:p w:rsidR="009A7587" w:rsidP="00147516" w:rsidRDefault="009A7587" w14:paraId="5CEFA8F5" w14:textId="77777777">
      <w:pPr>
        <w:tabs>
          <w:tab w:val="left" w:pos="3122"/>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Con fecha</w:t>
      </w:r>
      <w:r w:rsidR="00E13C8C">
        <w:rPr>
          <w:rFonts w:ascii="Palatino Linotype" w:hAnsi="Palatino Linotype" w:cs="Tahoma"/>
          <w:sz w:val="22"/>
          <w:szCs w:val="22"/>
        </w:rPr>
        <w:t xml:space="preserve"> </w:t>
      </w:r>
      <w:r w:rsidR="00F800B0">
        <w:rPr>
          <w:rFonts w:ascii="Palatino Linotype" w:hAnsi="Palatino Linotype" w:cs="Tahoma"/>
          <w:sz w:val="22"/>
          <w:szCs w:val="22"/>
        </w:rPr>
        <w:t>veintidós</w:t>
      </w:r>
      <w:r w:rsidR="008436E1">
        <w:rPr>
          <w:rFonts w:ascii="Palatino Linotype" w:hAnsi="Palatino Linotype" w:cs="Tahoma"/>
          <w:sz w:val="22"/>
          <w:szCs w:val="22"/>
        </w:rPr>
        <w:t xml:space="preserve"> de febrero </w:t>
      </w:r>
      <w:r w:rsidR="00B267E1">
        <w:rPr>
          <w:rFonts w:ascii="Palatino Linotype" w:hAnsi="Palatino Linotype" w:cs="Tahoma"/>
          <w:sz w:val="22"/>
          <w:szCs w:val="22"/>
        </w:rPr>
        <w:t>de dos mil veintidós</w:t>
      </w:r>
      <w:r w:rsidRPr="008E3507">
        <w:rPr>
          <w:rFonts w:ascii="Palatino Linotype" w:hAnsi="Palatino Linotype" w:cs="Tahoma"/>
          <w:sz w:val="22"/>
          <w:szCs w:val="22"/>
        </w:rPr>
        <w:t xml:space="preserve">, a través del </w:t>
      </w:r>
      <w:r w:rsidRPr="008E3507">
        <w:rPr>
          <w:rFonts w:ascii="Palatino Linotype" w:hAnsi="Palatino Linotype" w:cs="Tahoma"/>
          <w:sz w:val="22"/>
          <w:szCs w:val="22"/>
          <w:lang w:val="es-ES"/>
        </w:rPr>
        <w:t xml:space="preserve">Sistema de Acceso a la </w:t>
      </w:r>
      <w:r w:rsidRPr="00FE1F08">
        <w:rPr>
          <w:rFonts w:ascii="Palatino Linotype" w:hAnsi="Palatino Linotype" w:cs="Tahoma"/>
          <w:sz w:val="22"/>
          <w:szCs w:val="22"/>
          <w:lang w:val="es-ES"/>
        </w:rPr>
        <w:t>Información Mexiquense (SAIMEX)</w:t>
      </w:r>
      <w:r w:rsidR="00A048C7">
        <w:rPr>
          <w:rFonts w:ascii="Palatino Linotype" w:hAnsi="Palatino Linotype" w:cs="Tahoma"/>
          <w:sz w:val="22"/>
          <w:szCs w:val="22"/>
        </w:rPr>
        <w:t>, se interpus</w:t>
      </w:r>
      <w:r w:rsidR="003C3E71">
        <w:rPr>
          <w:rFonts w:ascii="Palatino Linotype" w:hAnsi="Palatino Linotype" w:cs="Tahoma"/>
          <w:sz w:val="22"/>
          <w:szCs w:val="22"/>
        </w:rPr>
        <w:t>o</w:t>
      </w:r>
      <w:r w:rsidR="00A048C7">
        <w:rPr>
          <w:rFonts w:ascii="Palatino Linotype" w:hAnsi="Palatino Linotype" w:cs="Tahoma"/>
          <w:sz w:val="22"/>
          <w:szCs w:val="22"/>
        </w:rPr>
        <w:t xml:space="preserve"> </w:t>
      </w:r>
      <w:r w:rsidR="003C3E71">
        <w:rPr>
          <w:rFonts w:ascii="Palatino Linotype" w:hAnsi="Palatino Linotype" w:cs="Tahoma"/>
          <w:sz w:val="22"/>
          <w:szCs w:val="22"/>
        </w:rPr>
        <w:t>el</w:t>
      </w:r>
      <w:r w:rsidRPr="00FE1F08">
        <w:rPr>
          <w:rFonts w:ascii="Palatino Linotype" w:hAnsi="Palatino Linotype" w:cs="Tahoma"/>
          <w:sz w:val="22"/>
          <w:szCs w:val="22"/>
        </w:rPr>
        <w:t xml:space="preserve"> presente Recurso de Revisión por</w:t>
      </w:r>
      <w:r w:rsidRPr="00FE1F08" w:rsidR="008E6658">
        <w:rPr>
          <w:rFonts w:ascii="Palatino Linotype" w:hAnsi="Palatino Linotype" w:cs="Tahoma"/>
          <w:sz w:val="22"/>
          <w:szCs w:val="22"/>
        </w:rPr>
        <w:t xml:space="preserve"> </w:t>
      </w:r>
      <w:r w:rsidR="0035716C">
        <w:rPr>
          <w:rFonts w:ascii="Palatino Linotype" w:hAnsi="Palatino Linotype" w:cs="Tahoma"/>
          <w:sz w:val="22"/>
          <w:szCs w:val="22"/>
        </w:rPr>
        <w:t xml:space="preserve">el </w:t>
      </w:r>
      <w:r w:rsidRPr="00FE1F08">
        <w:rPr>
          <w:rFonts w:ascii="Palatino Linotype" w:hAnsi="Palatino Linotype" w:cs="Tahoma"/>
          <w:sz w:val="22"/>
          <w:szCs w:val="22"/>
        </w:rPr>
        <w:t xml:space="preserve">Recurrente, en contra de </w:t>
      </w:r>
      <w:r w:rsidRPr="00FE1F08" w:rsidR="00655265">
        <w:rPr>
          <w:rFonts w:ascii="Palatino Linotype" w:hAnsi="Palatino Linotype" w:cs="Tahoma"/>
          <w:sz w:val="22"/>
          <w:szCs w:val="22"/>
        </w:rPr>
        <w:t>la</w:t>
      </w:r>
      <w:r w:rsidR="00655265">
        <w:rPr>
          <w:rFonts w:ascii="Palatino Linotype" w:hAnsi="Palatino Linotype" w:cs="Tahoma"/>
          <w:sz w:val="22"/>
          <w:szCs w:val="22"/>
        </w:rPr>
        <w:t xml:space="preserve"> respuesta emitida</w:t>
      </w:r>
      <w:r w:rsidRPr="00FE1F08">
        <w:rPr>
          <w:rFonts w:ascii="Palatino Linotype" w:hAnsi="Palatino Linotype" w:cs="Tahoma"/>
          <w:sz w:val="22"/>
          <w:szCs w:val="22"/>
        </w:rPr>
        <w:t xml:space="preserve"> por el Sujeto Obligado</w:t>
      </w:r>
      <w:r w:rsidRPr="008E3507">
        <w:rPr>
          <w:rFonts w:ascii="Palatino Linotype" w:hAnsi="Palatino Linotype" w:cs="Tahoma"/>
          <w:sz w:val="22"/>
          <w:szCs w:val="22"/>
        </w:rPr>
        <w:t xml:space="preserve"> a </w:t>
      </w:r>
      <w:r w:rsidRPr="008E3507" w:rsidR="00655265">
        <w:rPr>
          <w:rFonts w:ascii="Palatino Linotype" w:hAnsi="Palatino Linotype" w:cs="Tahoma"/>
          <w:sz w:val="22"/>
          <w:szCs w:val="22"/>
        </w:rPr>
        <w:t>la</w:t>
      </w:r>
      <w:r w:rsidR="00655265">
        <w:rPr>
          <w:rFonts w:ascii="Palatino Linotype" w:hAnsi="Palatino Linotype" w:cs="Tahoma"/>
          <w:sz w:val="22"/>
          <w:szCs w:val="22"/>
        </w:rPr>
        <w:t xml:space="preserve"> solicitud</w:t>
      </w:r>
      <w:r w:rsidRPr="008E3507">
        <w:rPr>
          <w:rFonts w:ascii="Palatino Linotype" w:hAnsi="Palatino Linotype" w:cs="Tahoma"/>
          <w:sz w:val="22"/>
          <w:szCs w:val="22"/>
        </w:rPr>
        <w:t xml:space="preserve"> de información, en los siguientes términos:</w:t>
      </w:r>
    </w:p>
    <w:p w:rsidR="00AB6595" w:rsidP="00147516" w:rsidRDefault="00AB6595" w14:paraId="713198D7" w14:textId="77777777">
      <w:pPr>
        <w:tabs>
          <w:tab w:val="left" w:pos="3122"/>
        </w:tabs>
        <w:spacing w:line="360" w:lineRule="auto"/>
        <w:contextualSpacing/>
        <w:jc w:val="both"/>
        <w:rPr>
          <w:rFonts w:ascii="Palatino Linotype" w:hAnsi="Palatino Linotype" w:cs="Tahoma"/>
          <w:sz w:val="22"/>
          <w:szCs w:val="22"/>
        </w:rPr>
      </w:pPr>
    </w:p>
    <w:p w:rsidRPr="00D5699B" w:rsidR="00D5699B" w:rsidP="00147516" w:rsidRDefault="00D5699B" w14:paraId="16C16825" w14:textId="77777777">
      <w:pPr>
        <w:spacing w:line="360" w:lineRule="auto"/>
        <w:ind w:left="567" w:right="539"/>
        <w:contextualSpacing/>
        <w:jc w:val="both"/>
        <w:rPr>
          <w:rFonts w:ascii="Palatino Linotype" w:hAnsi="Palatino Linotype" w:cs="Tahoma"/>
          <w:b/>
          <w:bCs/>
          <w:szCs w:val="22"/>
        </w:rPr>
      </w:pPr>
      <w:r w:rsidRPr="00D5699B">
        <w:rPr>
          <w:rFonts w:ascii="Palatino Linotype" w:hAnsi="Palatino Linotype" w:cs="Tahoma"/>
          <w:b/>
          <w:bCs/>
          <w:szCs w:val="22"/>
        </w:rPr>
        <w:t>ACTO IMPUGNADO:</w:t>
      </w:r>
    </w:p>
    <w:p w:rsidRPr="00CF090B" w:rsidR="003D1770" w:rsidP="00147516" w:rsidRDefault="007E4927" w14:paraId="14C5069F" w14:textId="77777777">
      <w:pPr>
        <w:spacing w:line="360" w:lineRule="auto"/>
        <w:ind w:left="567" w:right="539"/>
        <w:contextualSpacing/>
        <w:jc w:val="both"/>
        <w:rPr>
          <w:rFonts w:ascii="Palatino Linotype" w:hAnsi="Palatino Linotype" w:cs="Tahoma"/>
          <w:bCs/>
          <w:szCs w:val="22"/>
        </w:rPr>
      </w:pPr>
      <w:r>
        <w:rPr>
          <w:rFonts w:ascii="Palatino Linotype" w:hAnsi="Palatino Linotype" w:cs="Tahoma"/>
          <w:bCs/>
          <w:i/>
          <w:szCs w:val="22"/>
        </w:rPr>
        <w:t>“</w:t>
      </w:r>
      <w:r w:rsidRPr="00313021" w:rsidR="00313021">
        <w:rPr>
          <w:rFonts w:ascii="Palatino Linotype" w:hAnsi="Palatino Linotype" w:cs="Tahoma"/>
          <w:bCs/>
          <w:i/>
          <w:szCs w:val="22"/>
        </w:rPr>
        <w:t xml:space="preserve">Su respuesta oficios: TM/ADM/175/2022 y AME/UTAIP/037/2022 a mi solicitud de información sencilla y publica. ya que son simples reportes. </w:t>
      </w:r>
      <w:r w:rsidR="00E55401">
        <w:rPr>
          <w:rFonts w:ascii="Palatino Linotype" w:hAnsi="Palatino Linotype" w:cs="Tahoma"/>
          <w:bCs/>
          <w:i/>
          <w:szCs w:val="22"/>
        </w:rPr>
        <w:t>"</w:t>
      </w:r>
    </w:p>
    <w:p w:rsidR="007E4927" w:rsidP="00147516" w:rsidRDefault="007E4927" w14:paraId="659BB78F" w14:textId="77777777">
      <w:pPr>
        <w:spacing w:line="360" w:lineRule="auto"/>
        <w:ind w:left="567" w:right="539"/>
        <w:contextualSpacing/>
        <w:jc w:val="both"/>
        <w:rPr>
          <w:rFonts w:ascii="Palatino Linotype" w:hAnsi="Palatino Linotype" w:cs="Tahoma"/>
          <w:bCs/>
          <w:i/>
          <w:szCs w:val="22"/>
        </w:rPr>
      </w:pPr>
    </w:p>
    <w:p w:rsidRPr="00D5699B" w:rsidR="00D5699B" w:rsidP="00147516" w:rsidRDefault="00D5699B" w14:paraId="21DDD2D3" w14:textId="77777777">
      <w:pPr>
        <w:spacing w:line="360" w:lineRule="auto"/>
        <w:ind w:left="567" w:right="539"/>
        <w:contextualSpacing/>
        <w:jc w:val="both"/>
        <w:rPr>
          <w:rFonts w:ascii="Palatino Linotype" w:hAnsi="Palatino Linotype" w:cs="Tahoma"/>
          <w:b/>
          <w:szCs w:val="22"/>
        </w:rPr>
      </w:pPr>
      <w:r w:rsidRPr="00D5699B">
        <w:rPr>
          <w:rFonts w:ascii="Palatino Linotype" w:hAnsi="Palatino Linotype" w:cs="Tahoma"/>
          <w:b/>
          <w:szCs w:val="22"/>
        </w:rPr>
        <w:t>RAZONES O MOTIVOS DE LA INCONFORMIDAD.</w:t>
      </w:r>
    </w:p>
    <w:p w:rsidRPr="003D1770" w:rsidR="00D5699B" w:rsidP="463849F1" w:rsidRDefault="007E4927" w14:paraId="55EDB561" w14:textId="0095A8E9">
      <w:pPr>
        <w:spacing w:line="360" w:lineRule="auto"/>
        <w:ind w:left="567" w:right="539"/>
        <w:contextualSpacing/>
        <w:jc w:val="both"/>
        <w:rPr>
          <w:rFonts w:ascii="Palatino Linotype" w:hAnsi="Palatino Linotype" w:cs="Tahoma"/>
          <w:i w:val="1"/>
          <w:iCs w:val="1"/>
        </w:rPr>
      </w:pPr>
      <w:r w:rsidRPr="463849F1" w:rsidR="463849F1">
        <w:rPr>
          <w:rFonts w:ascii="Palatino Linotype" w:hAnsi="Palatino Linotype" w:cs="Tahoma"/>
          <w:i w:val="1"/>
          <w:iCs w:val="1"/>
        </w:rPr>
        <w:t xml:space="preserve">“Por medio de la presente hoy 22 de febrero de 2022 interpongo ante El Instituto de Transparencia, Acceso a la Información Pública y Protección de Datos Personales del Estado de México y Municipios; mi Derecho argumentado en los artículo 176, 177 y 178 de la Ley de Transparencia y Acceso a la Información Pública del Estado de México y Municipios, que es el Recurso de Revisión (queja) en contra del Ente Público Obligado Ayuntamiento de Amecameca, ya que su respuesta; oficios: TM/ADM/175/2022 y AME/UTAIP/037/2022 que me entrego por la plataforma a mi petición de información recae en los supuestos establecidos por las fracciones I, II, III, IV, X, XI, XII, XIII y XIV del artículo 179 de la misma Ley de Transparencia y Acceso a la Información Pública del Estado de México y Municipios por lo cual procede en contra. Con el fin de que quede más claro al Ente Obligado Público, para ello me adhiero a lo estipulado en el artículo cuadragésimo quinto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y por ser un ENTE PÚBLICO OBLIGADO no un contribuyente privado. Y con el afán de cordialidad y apoyar al Ente Público Obligado y cumpla con su Obligación de entregarme lo solicitado, porque pareciera no entendió que si es de su competencia y de que si cuenta con todos los visores de nómina del SAT, ya que los reportes visores de nómina solo puede generarlos el Ente Público Obligado desde su portal del SAT; se reitera es información fácil que ya tiene el Ente Obligado en su portal del SAT, repito directamente en su portal del SAT ya que son simples REPORTES reitero REPORTES que ya hizo y entregó el Ayuntamiento de Amecameca, al ente fiscalizador SAT, y en ningún momento distraen de sus actividades al Ente Público Obligado y mucho menos son SECRETO DE ESTADO, ya que se tienen en máximo 10 minutos. Respecto a la presentación “Detalle Diferencias de Sueldos y Salarios” por cada año (2018, 2019, 2020 Y 2021) cuando el sistema del SAT te los despliega en tablas resúmenes se hacen capturas de pantalla de las tablas que arroja el visor de nóminas del SAT, luego se pegan esas capturas de pantalla en un documento y se convierte a un </w:t>
      </w:r>
      <w:proofErr w:type="spellStart"/>
      <w:r w:rsidRPr="463849F1" w:rsidR="463849F1">
        <w:rPr>
          <w:rFonts w:ascii="Palatino Linotype" w:hAnsi="Palatino Linotype" w:cs="Tahoma"/>
          <w:i w:val="1"/>
          <w:iCs w:val="1"/>
        </w:rPr>
        <w:t>pdf</w:t>
      </w:r>
      <w:proofErr w:type="spellEnd"/>
      <w:r w:rsidRPr="463849F1" w:rsidR="463849F1">
        <w:rPr>
          <w:rFonts w:ascii="Palatino Linotype" w:hAnsi="Palatino Linotype" w:cs="Tahoma"/>
          <w:i w:val="1"/>
          <w:iCs w:val="1"/>
        </w:rPr>
        <w:t xml:space="preserve">, se envían y listo. Respecto a las otras dos presentaciones del visor de nóminas del SAT (Vista anual acumulada vista Horizontal y vertical y detalle mensual) solo tiene que descargar los </w:t>
      </w:r>
      <w:proofErr w:type="spellStart"/>
      <w:r w:rsidRPr="463849F1" w:rsidR="463849F1">
        <w:rPr>
          <w:rFonts w:ascii="Palatino Linotype" w:hAnsi="Palatino Linotype" w:cs="Tahoma"/>
          <w:i w:val="1"/>
          <w:iCs w:val="1"/>
        </w:rPr>
        <w:t>pdf</w:t>
      </w:r>
      <w:proofErr w:type="spellEnd"/>
      <w:r w:rsidRPr="463849F1" w:rsidR="463849F1">
        <w:rPr>
          <w:rFonts w:ascii="Palatino Linotype" w:hAnsi="Palatino Linotype" w:cs="Tahoma"/>
          <w:i w:val="1"/>
          <w:iCs w:val="1"/>
        </w:rPr>
        <w:t xml:space="preserve">. de su portal del SAT. Dando solo dos </w:t>
      </w:r>
      <w:proofErr w:type="spellStart"/>
      <w:r w:rsidRPr="463849F1" w:rsidR="463849F1">
        <w:rPr>
          <w:rFonts w:ascii="Palatino Linotype" w:hAnsi="Palatino Linotype" w:cs="Tahoma"/>
          <w:i w:val="1"/>
          <w:iCs w:val="1"/>
        </w:rPr>
        <w:t>clicks</w:t>
      </w:r>
      <w:proofErr w:type="spellEnd"/>
      <w:r w:rsidRPr="463849F1" w:rsidR="463849F1">
        <w:rPr>
          <w:rFonts w:ascii="Palatino Linotype" w:hAnsi="Palatino Linotype" w:cs="Tahoma"/>
          <w:i w:val="1"/>
          <w:iCs w:val="1"/>
        </w:rPr>
        <w:t xml:space="preserve"> y descargando los archivos. Ahora para enviar la información se puede enviar en carpetas comprimidas o por medio de un link de la nube drive es sencillo. Como ya me han hecho favor de entregar otros entes públicos Obligados del Estado de México de las mismas características y sin ningún contratiempo para hacerlo. Respecto a los puntos solicitados II, III y IV si no se tienen convenios de colaboración con esos entes fiscalizadores está bien la respuesta que no aplica si esto es así, y si </w:t>
      </w:r>
      <w:proofErr w:type="spellStart"/>
      <w:r w:rsidRPr="463849F1" w:rsidR="463849F1">
        <w:rPr>
          <w:rFonts w:ascii="Palatino Linotype" w:hAnsi="Palatino Linotype" w:cs="Tahoma"/>
          <w:i w:val="1"/>
          <w:iCs w:val="1"/>
        </w:rPr>
        <w:t>si</w:t>
      </w:r>
      <w:proofErr w:type="spellEnd"/>
      <w:r w:rsidRPr="463849F1" w:rsidR="463849F1">
        <w:rPr>
          <w:rFonts w:ascii="Palatino Linotype" w:hAnsi="Palatino Linotype" w:cs="Tahoma"/>
          <w:i w:val="1"/>
          <w:iCs w:val="1"/>
        </w:rPr>
        <w:t xml:space="preserve"> aplica darme las constancias y opiniones de cumplimiento al día y respecto al punto I espero ahora si lo haya entendido que es una herramienta de ayuda del SAT para ellos y son reportes ya entregados y si </w:t>
      </w:r>
      <w:proofErr w:type="gramStart"/>
      <w:r w:rsidRPr="463849F1" w:rsidR="463849F1">
        <w:rPr>
          <w:rFonts w:ascii="Palatino Linotype" w:hAnsi="Palatino Linotype" w:cs="Tahoma"/>
          <w:i w:val="1"/>
          <w:iCs w:val="1"/>
        </w:rPr>
        <w:t>aún</w:t>
      </w:r>
      <w:proofErr w:type="gramEnd"/>
      <w:r w:rsidRPr="463849F1" w:rsidR="463849F1">
        <w:rPr>
          <w:rFonts w:ascii="Palatino Linotype" w:hAnsi="Palatino Linotype" w:cs="Tahoma"/>
          <w:i w:val="1"/>
          <w:iCs w:val="1"/>
        </w:rPr>
        <w:t xml:space="preserve"> así no le queda claro para ayudarlo le adjunto ejemplos reales de otros entes públicos y sepa que es lo que le solicito y le falta por entregar. Esperando por fin le haya quedado claro lo requerido al Ente Público Obligado, pido de favor se atienda lo solicitado a la brevedad y no mandarme evasivas sin sustentos. Ocupo los visores de nómina en sus tres presentaciones; a) vista anual acumulada, detalle mensual y detalle diferencias sueldos y salarios por los años 2018, 2019, 2020 y </w:t>
      </w:r>
      <w:proofErr w:type="gramStart"/>
      <w:r w:rsidRPr="463849F1" w:rsidR="463849F1">
        <w:rPr>
          <w:rFonts w:ascii="Palatino Linotype" w:hAnsi="Palatino Linotype" w:cs="Tahoma"/>
          <w:i w:val="1"/>
          <w:iCs w:val="1"/>
        </w:rPr>
        <w:t>2021 .Además</w:t>
      </w:r>
      <w:proofErr w:type="gramEnd"/>
      <w:r w:rsidRPr="463849F1" w:rsidR="463849F1">
        <w:rPr>
          <w:rFonts w:ascii="Palatino Linotype" w:hAnsi="Palatino Linotype" w:cs="Tahoma"/>
          <w:i w:val="1"/>
          <w:iCs w:val="1"/>
        </w:rPr>
        <w:t xml:space="preserve"> de los otros puntos II, III y IV si es que aplican. Y el V y VI es una sugerencia par </w:t>
      </w:r>
      <w:proofErr w:type="spellStart"/>
      <w:r w:rsidRPr="463849F1" w:rsidR="463849F1">
        <w:rPr>
          <w:rFonts w:ascii="Palatino Linotype" w:hAnsi="Palatino Linotype" w:cs="Tahoma"/>
          <w:i w:val="1"/>
          <w:iCs w:val="1"/>
        </w:rPr>
        <w:t>eficientar</w:t>
      </w:r>
      <w:proofErr w:type="spellEnd"/>
      <w:r w:rsidRPr="463849F1" w:rsidR="463849F1">
        <w:rPr>
          <w:rFonts w:ascii="Palatino Linotype" w:hAnsi="Palatino Linotype" w:cs="Tahoma"/>
          <w:i w:val="1"/>
          <w:iCs w:val="1"/>
        </w:rPr>
        <w:t xml:space="preserve"> y mejorar sus actividades. El acceso a la información y la transparencia no solo es un derecho humano, es democracia básica, no un privilegio. Que ya se entiendan de una vez esto. Esperando se pueda dar una resolución lo antes posible con la Información solicitada de manera completa y legible por parte del Ente Público Obligado, confiando de que este Órgano (Instituto de Transparencia, Acceso a la Información Pública y Protección de Datos Personales del Estado de México y Municipios) actué eficiente y eficazmente con el tema. Saludos cordiales. Gracias. Atte. </w:t>
      </w:r>
      <w:r w:rsidRPr="463849F1" w:rsidR="463849F1">
        <w:rPr>
          <w:rFonts w:ascii="Palatino Linotype" w:hAnsi="Palatino Linotype" w:cs="Tahoma"/>
          <w:i w:val="1"/>
          <w:iCs w:val="1"/>
          <w:highlight w:val="black"/>
        </w:rPr>
        <w:t>XXXXXXXXX</w:t>
      </w:r>
      <w:r w:rsidRPr="463849F1" w:rsidR="463849F1">
        <w:rPr>
          <w:rFonts w:ascii="Palatino Linotype" w:hAnsi="Palatino Linotype" w:cs="Tahoma"/>
          <w:i w:val="1"/>
          <w:iCs w:val="1"/>
        </w:rPr>
        <w:t>” (Sic)</w:t>
      </w:r>
    </w:p>
    <w:p w:rsidR="007E4927" w:rsidP="00147516" w:rsidRDefault="007E4927" w14:paraId="1B542414" w14:textId="77777777">
      <w:pPr>
        <w:spacing w:line="360" w:lineRule="auto"/>
        <w:contextualSpacing/>
        <w:jc w:val="both"/>
        <w:rPr>
          <w:rFonts w:ascii="Palatino Linotype" w:hAnsi="Palatino Linotype" w:cs="Tahoma"/>
          <w:b/>
          <w:sz w:val="22"/>
          <w:szCs w:val="22"/>
        </w:rPr>
      </w:pPr>
    </w:p>
    <w:p w:rsidRPr="008E3507" w:rsidR="009A7587" w:rsidP="00147516" w:rsidRDefault="00C90C46" w14:paraId="05F8E4F1" w14:textId="77777777">
      <w:pPr>
        <w:spacing w:line="360" w:lineRule="auto"/>
        <w:contextualSpacing/>
        <w:jc w:val="both"/>
        <w:rPr>
          <w:rFonts w:ascii="Palatino Linotype" w:hAnsi="Palatino Linotype" w:eastAsia="Batang" w:cs="Tahoma"/>
          <w:b/>
          <w:bCs/>
          <w:sz w:val="22"/>
          <w:szCs w:val="22"/>
        </w:rPr>
      </w:pPr>
      <w:r>
        <w:rPr>
          <w:rFonts w:ascii="Palatino Linotype" w:hAnsi="Palatino Linotype" w:cs="Tahoma"/>
          <w:b/>
          <w:sz w:val="22"/>
          <w:szCs w:val="22"/>
        </w:rPr>
        <w:t>I</w:t>
      </w:r>
      <w:r w:rsidR="00FF1049">
        <w:rPr>
          <w:rFonts w:ascii="Palatino Linotype" w:hAnsi="Palatino Linotype" w:cs="Tahoma"/>
          <w:b/>
          <w:sz w:val="22"/>
          <w:szCs w:val="22"/>
        </w:rPr>
        <w:t>V</w:t>
      </w:r>
      <w:r w:rsidRPr="008E3507" w:rsidR="009A7587">
        <w:rPr>
          <w:rFonts w:ascii="Palatino Linotype" w:hAnsi="Palatino Linotype" w:cs="Tahoma"/>
          <w:b/>
          <w:sz w:val="22"/>
          <w:szCs w:val="22"/>
        </w:rPr>
        <w:t xml:space="preserve">. </w:t>
      </w:r>
      <w:r w:rsidRPr="008E3507" w:rsidR="009A7587">
        <w:rPr>
          <w:rFonts w:ascii="Palatino Linotype" w:hAnsi="Palatino Linotype" w:eastAsia="Batang" w:cs="Tahoma"/>
          <w:b/>
          <w:bCs/>
          <w:sz w:val="22"/>
          <w:szCs w:val="22"/>
        </w:rPr>
        <w:t xml:space="preserve">Trámite del </w:t>
      </w:r>
      <w:r w:rsidRPr="008E3507" w:rsidR="009A7587">
        <w:rPr>
          <w:rFonts w:ascii="Palatino Linotype" w:hAnsi="Palatino Linotype" w:cs="Tahoma"/>
          <w:b/>
          <w:sz w:val="22"/>
          <w:szCs w:val="22"/>
        </w:rPr>
        <w:t xml:space="preserve">Recurso de Revisión </w:t>
      </w:r>
      <w:r w:rsidRPr="008E3507" w:rsidR="009A7587">
        <w:rPr>
          <w:rFonts w:ascii="Palatino Linotype" w:hAnsi="Palatino Linotype" w:eastAsia="Batang" w:cs="Tahoma"/>
          <w:b/>
          <w:bCs/>
          <w:sz w:val="22"/>
          <w:szCs w:val="22"/>
        </w:rPr>
        <w:t>ante el Instituto.</w:t>
      </w:r>
    </w:p>
    <w:p w:rsidR="007E4927" w:rsidP="00147516" w:rsidRDefault="007E4927" w14:paraId="3873A494" w14:textId="77777777">
      <w:pPr>
        <w:spacing w:line="360" w:lineRule="auto"/>
        <w:contextualSpacing/>
        <w:jc w:val="both"/>
        <w:rPr>
          <w:rFonts w:ascii="Palatino Linotype" w:hAnsi="Palatino Linotype" w:eastAsia="Batang" w:cs="Tahoma"/>
          <w:b/>
          <w:bCs/>
          <w:sz w:val="22"/>
          <w:szCs w:val="22"/>
        </w:rPr>
      </w:pPr>
    </w:p>
    <w:p w:rsidR="00C950E3" w:rsidP="00147516" w:rsidRDefault="009A7587" w14:paraId="477D8FFE" w14:textId="77777777">
      <w:pPr>
        <w:spacing w:line="360" w:lineRule="auto"/>
        <w:contextualSpacing/>
        <w:jc w:val="both"/>
        <w:rPr>
          <w:rFonts w:ascii="Palatino Linotype" w:hAnsi="Palatino Linotype" w:eastAsia="Batang" w:cs="Tahoma"/>
          <w:bCs/>
          <w:sz w:val="22"/>
          <w:szCs w:val="22"/>
        </w:rPr>
      </w:pPr>
      <w:r w:rsidRPr="008E3507">
        <w:rPr>
          <w:rFonts w:ascii="Palatino Linotype" w:hAnsi="Palatino Linotype" w:eastAsia="Batang" w:cs="Tahoma"/>
          <w:b/>
          <w:bCs/>
          <w:sz w:val="22"/>
          <w:szCs w:val="22"/>
        </w:rPr>
        <w:t xml:space="preserve">a) Turno del </w:t>
      </w:r>
      <w:r w:rsidRPr="008E3507">
        <w:rPr>
          <w:rFonts w:ascii="Palatino Linotype" w:hAnsi="Palatino Linotype" w:cs="Tahoma"/>
          <w:b/>
          <w:sz w:val="22"/>
          <w:szCs w:val="22"/>
        </w:rPr>
        <w:t>Recurso de Revisión</w:t>
      </w:r>
      <w:r w:rsidRPr="008E3507">
        <w:rPr>
          <w:rFonts w:ascii="Palatino Linotype" w:hAnsi="Palatino Linotype" w:eastAsia="Batang" w:cs="Tahoma"/>
          <w:b/>
          <w:bCs/>
          <w:sz w:val="22"/>
          <w:szCs w:val="22"/>
        </w:rPr>
        <w:t xml:space="preserve">. </w:t>
      </w:r>
      <w:r w:rsidRPr="00A06844" w:rsidR="00A06844">
        <w:rPr>
          <w:rFonts w:ascii="Palatino Linotype" w:hAnsi="Palatino Linotype" w:eastAsia="Batang" w:cs="Tahoma"/>
          <w:bCs/>
          <w:sz w:val="22"/>
          <w:szCs w:val="22"/>
        </w:rPr>
        <w:t xml:space="preserve">El </w:t>
      </w:r>
      <w:r w:rsidR="00F800B0">
        <w:rPr>
          <w:rFonts w:ascii="Palatino Linotype" w:hAnsi="Palatino Linotype" w:eastAsia="Batang" w:cs="Tahoma"/>
          <w:bCs/>
          <w:sz w:val="22"/>
          <w:szCs w:val="22"/>
        </w:rPr>
        <w:t>veintidós</w:t>
      </w:r>
      <w:r w:rsidR="00E913DC">
        <w:rPr>
          <w:rFonts w:ascii="Palatino Linotype" w:hAnsi="Palatino Linotype" w:eastAsia="Batang" w:cs="Tahoma"/>
          <w:bCs/>
          <w:sz w:val="22"/>
          <w:szCs w:val="22"/>
        </w:rPr>
        <w:t xml:space="preserve"> de febrero </w:t>
      </w:r>
      <w:r w:rsidR="00B267E1">
        <w:rPr>
          <w:rFonts w:ascii="Palatino Linotype" w:hAnsi="Palatino Linotype" w:eastAsia="Batang" w:cs="Tahoma"/>
          <w:bCs/>
          <w:sz w:val="22"/>
          <w:szCs w:val="22"/>
        </w:rPr>
        <w:t>de dos mil veintidós</w:t>
      </w:r>
      <w:r w:rsidRPr="00A06844" w:rsidR="00A06844">
        <w:rPr>
          <w:rFonts w:ascii="Palatino Linotype" w:hAnsi="Palatino Linotype" w:eastAsia="Batang" w:cs="Tahoma"/>
          <w:bCs/>
          <w:sz w:val="22"/>
          <w:szCs w:val="22"/>
        </w:rPr>
        <w:t xml:space="preserve">, </w:t>
      </w:r>
      <w:r w:rsidRPr="00D5699B" w:rsidR="00D5699B">
        <w:rPr>
          <w:rFonts w:ascii="Palatino Linotype" w:hAnsi="Palatino Linotype" w:eastAsia="Batang" w:cs="Tahoma"/>
          <w:bCs/>
          <w:sz w:val="22"/>
          <w:szCs w:val="22"/>
        </w:rPr>
        <w:t xml:space="preserve">el Sistema de Acceso a la Información Mexiquense (SAIMEX), asignó el número de expediente </w:t>
      </w:r>
      <w:r w:rsidR="00790E33">
        <w:rPr>
          <w:rFonts w:ascii="Palatino Linotype" w:hAnsi="Palatino Linotype" w:eastAsia="Batang" w:cs="Tahoma"/>
          <w:b/>
          <w:bCs/>
          <w:sz w:val="22"/>
          <w:szCs w:val="22"/>
        </w:rPr>
        <w:t>0</w:t>
      </w:r>
      <w:r w:rsidR="00F800B0">
        <w:rPr>
          <w:rFonts w:ascii="Palatino Linotype" w:hAnsi="Palatino Linotype" w:eastAsia="Batang" w:cs="Tahoma"/>
          <w:b/>
          <w:bCs/>
          <w:sz w:val="22"/>
          <w:szCs w:val="22"/>
        </w:rPr>
        <w:t>10</w:t>
      </w:r>
      <w:r w:rsidR="00313021">
        <w:rPr>
          <w:rFonts w:ascii="Palatino Linotype" w:hAnsi="Palatino Linotype" w:eastAsia="Batang" w:cs="Tahoma"/>
          <w:b/>
          <w:bCs/>
          <w:sz w:val="22"/>
          <w:szCs w:val="22"/>
        </w:rPr>
        <w:t>8</w:t>
      </w:r>
      <w:r w:rsidR="00F800B0">
        <w:rPr>
          <w:rFonts w:ascii="Palatino Linotype" w:hAnsi="Palatino Linotype" w:eastAsia="Batang" w:cs="Tahoma"/>
          <w:b/>
          <w:bCs/>
          <w:sz w:val="22"/>
          <w:szCs w:val="22"/>
        </w:rPr>
        <w:t>6</w:t>
      </w:r>
      <w:r w:rsidRPr="00D5699B" w:rsidR="00D5699B">
        <w:rPr>
          <w:rFonts w:ascii="Palatino Linotype" w:hAnsi="Palatino Linotype" w:eastAsia="Batang" w:cs="Tahoma"/>
          <w:b/>
          <w:bCs/>
          <w:sz w:val="22"/>
          <w:szCs w:val="22"/>
        </w:rPr>
        <w:t>/INFOEM/IP/RR/202</w:t>
      </w:r>
      <w:r w:rsidR="00B267E1">
        <w:rPr>
          <w:rFonts w:ascii="Palatino Linotype" w:hAnsi="Palatino Linotype" w:eastAsia="Batang" w:cs="Tahoma"/>
          <w:b/>
          <w:bCs/>
          <w:sz w:val="22"/>
          <w:szCs w:val="22"/>
        </w:rPr>
        <w:t>2</w:t>
      </w:r>
      <w:r w:rsidRPr="00D5699B" w:rsidR="00D5699B">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D5699B" w:rsidR="00D5699B">
        <w:rPr>
          <w:rFonts w:ascii="Palatino Linotype" w:hAnsi="Palatino Linotype" w:eastAsia="Batang" w:cs="Tahoma"/>
          <w:b/>
          <w:bCs/>
          <w:sz w:val="22"/>
          <w:szCs w:val="22"/>
        </w:rPr>
        <w:t>Comisionado Ponente Luis Gustavo Parra Noriega</w:t>
      </w:r>
      <w:r w:rsidRPr="00D5699B" w:rsidR="00D5699B">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8E3507" w:rsidR="00D5699B" w:rsidP="00147516" w:rsidRDefault="00D5699B" w14:paraId="3709CF07" w14:textId="77777777">
      <w:pPr>
        <w:spacing w:line="360" w:lineRule="auto"/>
        <w:contextualSpacing/>
        <w:jc w:val="both"/>
        <w:rPr>
          <w:rFonts w:ascii="Palatino Linotype" w:hAnsi="Palatino Linotype" w:eastAsia="Batang" w:cs="Tahoma"/>
          <w:b/>
          <w:bCs/>
          <w:sz w:val="22"/>
          <w:szCs w:val="22"/>
        </w:rPr>
      </w:pPr>
    </w:p>
    <w:p w:rsidR="00027B36" w:rsidP="00147516" w:rsidRDefault="009A7587" w14:paraId="3139E705" w14:textId="77777777">
      <w:pPr>
        <w:spacing w:line="360" w:lineRule="auto"/>
        <w:contextualSpacing/>
        <w:jc w:val="both"/>
        <w:rPr>
          <w:rFonts w:ascii="Palatino Linotype" w:hAnsi="Palatino Linotype" w:cs="Tahoma"/>
          <w:bCs/>
          <w:sz w:val="22"/>
          <w:szCs w:val="22"/>
          <w:lang w:val="es-ES_tradnl"/>
        </w:rPr>
      </w:pPr>
      <w:r w:rsidRPr="008E3507">
        <w:rPr>
          <w:rFonts w:ascii="Palatino Linotype" w:hAnsi="Palatino Linotype" w:eastAsia="Batang" w:cs="Tahoma"/>
          <w:b/>
          <w:bCs/>
          <w:sz w:val="22"/>
          <w:szCs w:val="22"/>
        </w:rPr>
        <w:t xml:space="preserve">b) Admisión del </w:t>
      </w:r>
      <w:r w:rsidRPr="008E3507">
        <w:rPr>
          <w:rFonts w:ascii="Palatino Linotype" w:hAnsi="Palatino Linotype" w:cs="Tahoma"/>
          <w:b/>
          <w:sz w:val="22"/>
          <w:szCs w:val="22"/>
        </w:rPr>
        <w:t>Recurso de Revisión</w:t>
      </w:r>
      <w:r w:rsidRPr="008E3507">
        <w:rPr>
          <w:rFonts w:ascii="Palatino Linotype" w:hAnsi="Palatino Linotype" w:eastAsia="Batang" w:cs="Tahoma"/>
          <w:b/>
          <w:bCs/>
          <w:sz w:val="22"/>
          <w:szCs w:val="22"/>
          <w:lang w:val="es-ES_tradnl"/>
        </w:rPr>
        <w:t xml:space="preserve">. </w:t>
      </w:r>
      <w:r w:rsidRPr="008E3507">
        <w:rPr>
          <w:rFonts w:ascii="Palatino Linotype" w:hAnsi="Palatino Linotype" w:cs="Tahoma"/>
          <w:bCs/>
          <w:sz w:val="22"/>
          <w:szCs w:val="22"/>
        </w:rPr>
        <w:t>El</w:t>
      </w:r>
      <w:r w:rsidR="00EB3A2C">
        <w:rPr>
          <w:rFonts w:ascii="Palatino Linotype" w:hAnsi="Palatino Linotype" w:cs="Tahoma"/>
          <w:bCs/>
          <w:sz w:val="22"/>
          <w:szCs w:val="22"/>
        </w:rPr>
        <w:t xml:space="preserve"> </w:t>
      </w:r>
      <w:r w:rsidR="00F800B0">
        <w:rPr>
          <w:rFonts w:ascii="Palatino Linotype" w:hAnsi="Palatino Linotype" w:cs="Tahoma"/>
          <w:bCs/>
          <w:sz w:val="22"/>
          <w:szCs w:val="22"/>
        </w:rPr>
        <w:t>veintiocho</w:t>
      </w:r>
      <w:r w:rsidR="00790E33">
        <w:rPr>
          <w:rFonts w:ascii="Palatino Linotype" w:hAnsi="Palatino Linotype" w:cs="Tahoma"/>
          <w:bCs/>
          <w:sz w:val="22"/>
          <w:szCs w:val="22"/>
        </w:rPr>
        <w:t xml:space="preserve"> de febrero </w:t>
      </w:r>
      <w:r w:rsidR="00B267E1">
        <w:rPr>
          <w:rFonts w:ascii="Palatino Linotype" w:hAnsi="Palatino Linotype" w:cs="Tahoma"/>
          <w:bCs/>
          <w:sz w:val="22"/>
          <w:szCs w:val="22"/>
        </w:rPr>
        <w:t>de dos mil veintidós</w:t>
      </w:r>
      <w:r w:rsidRPr="008E3507">
        <w:rPr>
          <w:rFonts w:ascii="Palatino Linotype" w:hAnsi="Palatino Linotype" w:cs="Tahoma"/>
          <w:bCs/>
          <w:sz w:val="22"/>
          <w:szCs w:val="22"/>
        </w:rPr>
        <w:t xml:space="preserve">, </w:t>
      </w:r>
      <w:r w:rsidRPr="001F787A" w:rsidR="001F787A">
        <w:rPr>
          <w:rFonts w:ascii="Palatino Linotype" w:hAnsi="Palatino Linotype" w:cs="Tahoma"/>
          <w:bCs/>
          <w:sz w:val="22"/>
          <w:szCs w:val="22"/>
        </w:rPr>
        <w:t xml:space="preserve">se acordó la admisión del </w:t>
      </w:r>
      <w:r w:rsidRPr="001F787A" w:rsidR="001F787A">
        <w:rPr>
          <w:rFonts w:ascii="Palatino Linotype" w:hAnsi="Palatino Linotype" w:cs="Tahoma"/>
          <w:bCs/>
          <w:sz w:val="22"/>
          <w:szCs w:val="22"/>
          <w:lang w:val="es-ES_tradnl"/>
        </w:rPr>
        <w:t xml:space="preserve">Recurso de Revisión interpuesto por el Recurrente en contra del </w:t>
      </w:r>
      <w:r w:rsidRPr="001F787A" w:rsidR="001F787A">
        <w:rPr>
          <w:rFonts w:ascii="Palatino Linotype" w:hAnsi="Palatino Linotype" w:cs="Tahoma"/>
          <w:b/>
          <w:bCs/>
          <w:sz w:val="22"/>
          <w:szCs w:val="22"/>
          <w:lang w:val="es-ES_tradnl"/>
        </w:rPr>
        <w:t>Sujeto Obligado</w:t>
      </w:r>
      <w:r w:rsidRPr="001F787A" w:rsid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Pr>
          <w:rFonts w:ascii="Palatino Linotype" w:hAnsi="Palatino Linotype" w:cs="Tahoma"/>
          <w:bCs/>
          <w:sz w:val="22"/>
          <w:szCs w:val="22"/>
          <w:lang w:val="es-ES_tradnl"/>
        </w:rPr>
        <w:t>o a las partes el mismo día</w:t>
      </w:r>
      <w:r w:rsidRPr="001F787A" w:rsid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007E4927">
        <w:rPr>
          <w:rFonts w:ascii="Palatino Linotype" w:hAnsi="Palatino Linotype" w:cs="Tahoma"/>
          <w:bCs/>
          <w:sz w:val="22"/>
          <w:szCs w:val="22"/>
          <w:lang w:val="es-ES_tradnl"/>
        </w:rPr>
        <w:t xml:space="preserve"> </w:t>
      </w:r>
    </w:p>
    <w:p w:rsidR="00027B36" w:rsidP="00147516" w:rsidRDefault="00027B36" w14:paraId="319780AC" w14:textId="77777777">
      <w:pPr>
        <w:spacing w:line="360" w:lineRule="auto"/>
        <w:contextualSpacing/>
        <w:jc w:val="both"/>
        <w:rPr>
          <w:rFonts w:ascii="Palatino Linotype" w:hAnsi="Palatino Linotype" w:cs="Tahoma"/>
          <w:bCs/>
          <w:sz w:val="22"/>
          <w:szCs w:val="22"/>
          <w:lang w:val="es-ES_tradnl"/>
        </w:rPr>
      </w:pPr>
    </w:p>
    <w:p w:rsidRPr="00477AD3" w:rsidR="00C33886" w:rsidP="00147516" w:rsidRDefault="00477AD3" w14:paraId="0E580B86" w14:textId="15607C91">
      <w:pPr>
        <w:spacing w:line="360" w:lineRule="auto"/>
        <w:contextualSpacing/>
        <w:jc w:val="both"/>
        <w:rPr>
          <w:rFonts w:ascii="Palatino Linotype" w:hAnsi="Palatino Linotype" w:cs="Tahoma"/>
          <w:b/>
          <w:bCs/>
          <w:sz w:val="22"/>
          <w:szCs w:val="22"/>
          <w:lang w:val="es-ES_tradnl"/>
        </w:rPr>
      </w:pPr>
      <w:r>
        <w:rPr>
          <w:rFonts w:ascii="Palatino Linotype" w:hAnsi="Palatino Linotype" w:cs="Tahoma"/>
          <w:b/>
          <w:bCs/>
          <w:sz w:val="22"/>
          <w:szCs w:val="22"/>
          <w:lang w:val="es-ES_tradnl"/>
        </w:rPr>
        <w:t>No obstante lo anterior, tanto el Sujeto Obligado como el Recurrente fueron omisos en realizar manifestación alguna que a su derecho asistiera.</w:t>
      </w:r>
    </w:p>
    <w:p w:rsidR="00C33886" w:rsidP="00147516" w:rsidRDefault="00C33886" w14:paraId="62BECE32" w14:textId="77777777">
      <w:pPr>
        <w:spacing w:line="360" w:lineRule="auto"/>
        <w:contextualSpacing/>
        <w:jc w:val="both"/>
        <w:rPr>
          <w:rFonts w:ascii="Palatino Linotype" w:hAnsi="Palatino Linotype" w:cs="Tahoma"/>
          <w:bCs/>
          <w:sz w:val="22"/>
          <w:szCs w:val="22"/>
          <w:lang w:val="es-ES_tradnl"/>
        </w:rPr>
      </w:pPr>
    </w:p>
    <w:p w:rsidRPr="005B3636" w:rsidR="0020427C" w:rsidP="0020427C" w:rsidRDefault="0020427C" w14:paraId="4CF94F0C" w14:textId="77777777">
      <w:pPr>
        <w:spacing w:line="360" w:lineRule="auto"/>
        <w:jc w:val="both"/>
        <w:rPr>
          <w:rFonts w:ascii="Palatino Linotype" w:hAnsi="Palatino Linotype" w:cs="Tahoma"/>
          <w:sz w:val="22"/>
          <w:szCs w:val="24"/>
          <w:lang w:val="es-ES"/>
        </w:rPr>
      </w:pPr>
      <w:r>
        <w:rPr>
          <w:rFonts w:ascii="Palatino Linotype" w:hAnsi="Palatino Linotype" w:cs="Tahoma"/>
          <w:b/>
          <w:sz w:val="22"/>
          <w:szCs w:val="24"/>
        </w:rPr>
        <w:t>c</w:t>
      </w:r>
      <w:r w:rsidRPr="005B3636">
        <w:rPr>
          <w:rFonts w:ascii="Palatino Linotype" w:hAnsi="Palatino Linotype" w:cs="Tahoma"/>
          <w:b/>
          <w:sz w:val="22"/>
          <w:szCs w:val="24"/>
        </w:rPr>
        <w:t xml:space="preserve">) </w:t>
      </w:r>
      <w:r w:rsidRPr="005B3636">
        <w:rPr>
          <w:rFonts w:ascii="Palatino Linotype" w:hAnsi="Palatino Linotype" w:cs="Tahoma"/>
          <w:b/>
          <w:bCs/>
          <w:sz w:val="22"/>
          <w:szCs w:val="24"/>
          <w:lang w:val="es-ES"/>
        </w:rPr>
        <w:t>Ampliación del plazo para resolver:</w:t>
      </w:r>
      <w:r>
        <w:rPr>
          <w:rFonts w:ascii="Palatino Linotype" w:hAnsi="Palatino Linotype" w:cs="Tahoma"/>
          <w:b/>
          <w:bCs/>
          <w:sz w:val="22"/>
          <w:szCs w:val="24"/>
          <w:lang w:val="es-ES"/>
        </w:rPr>
        <w:t xml:space="preserve"> </w:t>
      </w:r>
      <w:r w:rsidRPr="005B3636">
        <w:rPr>
          <w:rFonts w:ascii="Palatino Linotype" w:hAnsi="Palatino Linotype" w:cs="Tahoma"/>
          <w:sz w:val="22"/>
          <w:szCs w:val="24"/>
          <w:lang w:val="es-ES"/>
        </w:rPr>
        <w:t xml:space="preserve">El </w:t>
      </w:r>
      <w:r>
        <w:rPr>
          <w:rFonts w:ascii="Palatino Linotype" w:hAnsi="Palatino Linotype" w:cs="Tahoma"/>
          <w:sz w:val="22"/>
          <w:szCs w:val="24"/>
          <w:lang w:val="es-ES"/>
        </w:rPr>
        <w:t>veinte de abril del año en curso</w:t>
      </w:r>
      <w:r w:rsidRPr="005B3636">
        <w:rPr>
          <w:rFonts w:ascii="Palatino Linotype" w:hAnsi="Palatino Linotype" w:cs="Tahoma"/>
          <w:sz w:val="22"/>
          <w:szCs w:val="24"/>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w:t>
      </w:r>
      <w:r w:rsidRPr="005B3636">
        <w:rPr>
          <w:rFonts w:ascii="Palatino Linotype" w:hAnsi="Palatino Linotype" w:cs="Tahoma"/>
          <w:sz w:val="22"/>
          <w:szCs w:val="24"/>
          <w:lang w:val="es-ES"/>
        </w:rPr>
        <w:lastRenderedPageBreak/>
        <w:t>que nos ocupan; acto que fue notificado a las partes, mediante el Sistema de Acceso a la Información Mexiquense (SAIMEX), el mismo día de su emisión.</w:t>
      </w:r>
    </w:p>
    <w:p w:rsidR="0020427C" w:rsidP="00147516" w:rsidRDefault="0020427C" w14:paraId="135A5501" w14:textId="77777777">
      <w:pPr>
        <w:spacing w:line="360" w:lineRule="auto"/>
        <w:contextualSpacing/>
        <w:jc w:val="both"/>
        <w:rPr>
          <w:rFonts w:ascii="Palatino Linotype" w:hAnsi="Palatino Linotype" w:cs="Tahoma"/>
          <w:bCs/>
          <w:sz w:val="22"/>
          <w:szCs w:val="22"/>
          <w:lang w:val="es-ES_tradnl"/>
        </w:rPr>
      </w:pPr>
    </w:p>
    <w:p w:rsidRPr="008E3507" w:rsidR="00ED5DF5" w:rsidP="00147516" w:rsidRDefault="0020427C" w14:paraId="0B7BD272" w14:textId="77777777">
      <w:pPr>
        <w:spacing w:line="360" w:lineRule="auto"/>
        <w:jc w:val="both"/>
        <w:rPr>
          <w:rFonts w:ascii="Palatino Linotype" w:hAnsi="Palatino Linotype" w:cs="Tahoma"/>
          <w:sz w:val="22"/>
          <w:szCs w:val="22"/>
        </w:rPr>
      </w:pPr>
      <w:r>
        <w:rPr>
          <w:rFonts w:ascii="Palatino Linotype" w:hAnsi="Palatino Linotype" w:eastAsia="Batang" w:cs="Tahoma"/>
          <w:b/>
          <w:bCs/>
          <w:sz w:val="22"/>
          <w:szCs w:val="22"/>
          <w:lang w:val="es-ES_tradnl"/>
        </w:rPr>
        <w:t>d</w:t>
      </w:r>
      <w:r w:rsidR="00147516">
        <w:rPr>
          <w:rFonts w:ascii="Palatino Linotype" w:hAnsi="Palatino Linotype" w:eastAsia="Batang" w:cs="Tahoma"/>
          <w:b/>
          <w:bCs/>
          <w:sz w:val="22"/>
          <w:szCs w:val="22"/>
          <w:lang w:val="es-ES_tradnl"/>
        </w:rPr>
        <w:t xml:space="preserve">) </w:t>
      </w:r>
      <w:r w:rsidRPr="008E3507" w:rsidR="00ED5DF5">
        <w:rPr>
          <w:rFonts w:ascii="Palatino Linotype" w:hAnsi="Palatino Linotype" w:cs="Tahoma"/>
          <w:b/>
          <w:bCs/>
          <w:sz w:val="22"/>
          <w:szCs w:val="22"/>
        </w:rPr>
        <w:t xml:space="preserve">Cierre de instrucción. </w:t>
      </w:r>
      <w:r w:rsidRPr="008E3507" w:rsidR="00ED5DF5">
        <w:rPr>
          <w:rFonts w:ascii="Palatino Linotype" w:hAnsi="Palatino Linotype" w:cs="Tahoma"/>
          <w:sz w:val="22"/>
          <w:szCs w:val="22"/>
        </w:rPr>
        <w:t>El</w:t>
      </w:r>
      <w:r w:rsidR="000F437A">
        <w:rPr>
          <w:rFonts w:ascii="Palatino Linotype" w:hAnsi="Palatino Linotype" w:cs="Tahoma"/>
          <w:sz w:val="22"/>
          <w:szCs w:val="22"/>
        </w:rPr>
        <w:t xml:space="preserve"> </w:t>
      </w:r>
      <w:r w:rsidR="00313021">
        <w:rPr>
          <w:rFonts w:ascii="Palatino Linotype" w:hAnsi="Palatino Linotype" w:cs="Tahoma"/>
          <w:sz w:val="22"/>
          <w:szCs w:val="22"/>
        </w:rPr>
        <w:t>veintinueve</w:t>
      </w:r>
      <w:r w:rsidR="00C33886">
        <w:rPr>
          <w:rFonts w:ascii="Palatino Linotype" w:hAnsi="Palatino Linotype" w:cs="Tahoma"/>
          <w:sz w:val="22"/>
          <w:szCs w:val="22"/>
        </w:rPr>
        <w:t xml:space="preserve"> de abril </w:t>
      </w:r>
      <w:r w:rsidRPr="000F437A" w:rsidR="00413718">
        <w:rPr>
          <w:rFonts w:ascii="Palatino Linotype" w:hAnsi="Palatino Linotype" w:cs="Tahoma"/>
          <w:sz w:val="22"/>
          <w:szCs w:val="22"/>
        </w:rPr>
        <w:t xml:space="preserve">de dos mil </w:t>
      </w:r>
      <w:r w:rsidR="001C0C73">
        <w:rPr>
          <w:rFonts w:ascii="Palatino Linotype" w:hAnsi="Palatino Linotype" w:cs="Tahoma"/>
          <w:sz w:val="22"/>
          <w:szCs w:val="22"/>
        </w:rPr>
        <w:t>veinti</w:t>
      </w:r>
      <w:r w:rsidR="00FC376A">
        <w:rPr>
          <w:rFonts w:ascii="Palatino Linotype" w:hAnsi="Palatino Linotype" w:cs="Tahoma"/>
          <w:sz w:val="22"/>
          <w:szCs w:val="22"/>
        </w:rPr>
        <w:t>d</w:t>
      </w:r>
      <w:r w:rsidR="001C0C73">
        <w:rPr>
          <w:rFonts w:ascii="Palatino Linotype" w:hAnsi="Palatino Linotype" w:cs="Tahoma"/>
          <w:sz w:val="22"/>
          <w:szCs w:val="22"/>
        </w:rPr>
        <w:t>ós</w:t>
      </w:r>
      <w:r w:rsidRPr="008E3507" w:rsidR="00ED5DF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Pr>
          <w:rFonts w:ascii="Palatino Linotype" w:hAnsi="Palatino Linotype" w:cs="Tahoma"/>
          <w:sz w:val="22"/>
          <w:szCs w:val="22"/>
        </w:rPr>
        <w:t>el mismo día</w:t>
      </w:r>
      <w:r w:rsidRPr="008E3507" w:rsidR="00ED5DF5">
        <w:rPr>
          <w:rFonts w:ascii="Palatino Linotype" w:hAnsi="Palatino Linotype" w:cs="Tahoma"/>
          <w:sz w:val="22"/>
          <w:szCs w:val="22"/>
        </w:rPr>
        <w:t xml:space="preserve">, a través del </w:t>
      </w:r>
      <w:r w:rsidRPr="008E3507" w:rsidR="00ED5DF5">
        <w:rPr>
          <w:rFonts w:ascii="Palatino Linotype" w:hAnsi="Palatino Linotype" w:cs="Tahoma"/>
          <w:sz w:val="22"/>
          <w:szCs w:val="22"/>
          <w:lang w:val="es-ES"/>
        </w:rPr>
        <w:t>Sistema de Acceso a la Información Mexiquense (SAIMEX)</w:t>
      </w:r>
      <w:r w:rsidRPr="008E3507" w:rsidR="00ED5DF5">
        <w:rPr>
          <w:rFonts w:ascii="Palatino Linotype" w:hAnsi="Palatino Linotype" w:cs="Tahoma"/>
          <w:sz w:val="22"/>
          <w:szCs w:val="22"/>
        </w:rPr>
        <w:t>.</w:t>
      </w:r>
    </w:p>
    <w:p w:rsidRPr="008E3507" w:rsidR="00CE5228" w:rsidP="00147516" w:rsidRDefault="00CE5228" w14:paraId="2845130B" w14:textId="77777777">
      <w:pPr>
        <w:spacing w:line="360" w:lineRule="auto"/>
        <w:contextualSpacing/>
        <w:jc w:val="both"/>
        <w:rPr>
          <w:rFonts w:ascii="Palatino Linotype" w:hAnsi="Palatino Linotype" w:cs="Tahoma"/>
          <w:color w:val="000000"/>
          <w:sz w:val="22"/>
          <w:szCs w:val="22"/>
        </w:rPr>
      </w:pPr>
    </w:p>
    <w:p w:rsidR="004F2D88" w:rsidP="00147516" w:rsidRDefault="004F2D88" w14:paraId="7CF8463D" w14:textId="77777777">
      <w:pPr>
        <w:spacing w:line="360" w:lineRule="auto"/>
        <w:contextualSpacing/>
        <w:jc w:val="both"/>
        <w:rPr>
          <w:rFonts w:ascii="Palatino Linotype" w:hAnsi="Palatino Linotype" w:cs="Tahoma"/>
          <w:color w:val="000000"/>
          <w:sz w:val="22"/>
          <w:szCs w:val="22"/>
        </w:rPr>
      </w:pPr>
      <w:r w:rsidRPr="008E3507">
        <w:rPr>
          <w:rFonts w:ascii="Palatino Linotype" w:hAnsi="Palatino Linotype" w:cs="Tahoma"/>
          <w:color w:val="000000"/>
          <w:sz w:val="22"/>
          <w:szCs w:val="22"/>
        </w:rPr>
        <w:t xml:space="preserve">En </w:t>
      </w:r>
      <w:r w:rsidRPr="008E3507" w:rsidR="00367F82">
        <w:rPr>
          <w:rFonts w:ascii="Palatino Linotype" w:hAnsi="Palatino Linotype" w:cs="Tahoma"/>
          <w:color w:val="000000"/>
          <w:sz w:val="22"/>
          <w:szCs w:val="22"/>
        </w:rPr>
        <w:t>razón de que fue debidamente su</w:t>
      </w:r>
      <w:r w:rsidRPr="008E3507">
        <w:rPr>
          <w:rFonts w:ascii="Palatino Linotype" w:hAnsi="Palatino Linotype" w:cs="Tahoma"/>
          <w:color w:val="000000"/>
          <w:sz w:val="22"/>
          <w:szCs w:val="22"/>
        </w:rPr>
        <w:t xml:space="preserve">stanciado el expediente </w:t>
      </w:r>
      <w:r w:rsidRPr="008E3507" w:rsidR="00367F82">
        <w:rPr>
          <w:rFonts w:ascii="Palatino Linotype" w:hAnsi="Palatino Linotype" w:cs="Tahoma"/>
          <w:color w:val="000000"/>
          <w:sz w:val="22"/>
          <w:szCs w:val="22"/>
        </w:rPr>
        <w:t xml:space="preserve">electrónico </w:t>
      </w:r>
      <w:r w:rsidRPr="008E3507">
        <w:rPr>
          <w:rFonts w:ascii="Palatino Linotype" w:hAnsi="Palatino Linotype" w:cs="Tahoma"/>
          <w:color w:val="000000"/>
          <w:sz w:val="22"/>
          <w:szCs w:val="22"/>
        </w:rPr>
        <w:t>y no exist</w:t>
      </w:r>
      <w:r w:rsidRPr="008E3507" w:rsidR="00367F82">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dilige</w:t>
      </w:r>
      <w:r w:rsidRPr="008E3507" w:rsidR="00367F82">
        <w:rPr>
          <w:rFonts w:ascii="Palatino Linotype" w:hAnsi="Palatino Linotype" w:cs="Tahoma"/>
          <w:color w:val="000000"/>
          <w:sz w:val="22"/>
          <w:szCs w:val="22"/>
        </w:rPr>
        <w:t xml:space="preserve">ncia pendiente de desahogo, se </w:t>
      </w:r>
      <w:r w:rsidRPr="008E3507">
        <w:rPr>
          <w:rFonts w:ascii="Palatino Linotype" w:hAnsi="Palatino Linotype" w:cs="Tahoma"/>
          <w:color w:val="000000"/>
          <w:sz w:val="22"/>
          <w:szCs w:val="22"/>
        </w:rPr>
        <w:t>emit</w:t>
      </w:r>
      <w:r w:rsidRPr="008E3507" w:rsidR="00367F82">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la resolución que conforme a Derecho proceda, de acuerdo a l</w:t>
      </w:r>
      <w:r w:rsidRPr="008E3507" w:rsidR="009A620E">
        <w:rPr>
          <w:rFonts w:ascii="Palatino Linotype" w:hAnsi="Palatino Linotype" w:cs="Tahoma"/>
          <w:color w:val="000000"/>
          <w:sz w:val="22"/>
          <w:szCs w:val="22"/>
        </w:rPr>
        <w:t>o</w:t>
      </w:r>
      <w:r w:rsidRPr="008E3507">
        <w:rPr>
          <w:rFonts w:ascii="Palatino Linotype" w:hAnsi="Palatino Linotype" w:cs="Tahoma"/>
          <w:color w:val="000000"/>
          <w:sz w:val="22"/>
          <w:szCs w:val="22"/>
        </w:rPr>
        <w:t xml:space="preserve">s siguientes: </w:t>
      </w:r>
    </w:p>
    <w:p w:rsidRPr="008E3507" w:rsidR="001C0C73" w:rsidP="00147516" w:rsidRDefault="001C0C73" w14:paraId="5BAB89AB" w14:textId="77777777">
      <w:pPr>
        <w:spacing w:line="360" w:lineRule="auto"/>
        <w:contextualSpacing/>
        <w:jc w:val="both"/>
        <w:rPr>
          <w:rFonts w:ascii="Palatino Linotype" w:hAnsi="Palatino Linotype" w:cs="Tahoma"/>
          <w:color w:val="000000"/>
          <w:sz w:val="22"/>
          <w:szCs w:val="22"/>
        </w:rPr>
      </w:pPr>
    </w:p>
    <w:p w:rsidRPr="008E3507" w:rsidR="00EA4E4A" w:rsidP="00147516" w:rsidRDefault="00EA4E4A" w14:paraId="5ECD5A88" w14:textId="77777777">
      <w:pPr>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C O N S I D E R A N D O S</w:t>
      </w:r>
    </w:p>
    <w:p w:rsidRPr="008E3507" w:rsidR="00EA4E4A" w:rsidP="00147516" w:rsidRDefault="00EA4E4A" w14:paraId="07170573" w14:textId="77777777">
      <w:pPr>
        <w:spacing w:line="360" w:lineRule="auto"/>
        <w:contextualSpacing/>
        <w:jc w:val="center"/>
        <w:rPr>
          <w:rFonts w:ascii="Palatino Linotype" w:hAnsi="Palatino Linotype" w:cs="Tahoma"/>
          <w:b/>
          <w:sz w:val="22"/>
          <w:szCs w:val="22"/>
        </w:rPr>
      </w:pPr>
    </w:p>
    <w:p w:rsidR="00EA4E4A" w:rsidP="00147516" w:rsidRDefault="00EA4E4A" w14:paraId="1938D1CA" w14:textId="77777777">
      <w:pPr>
        <w:autoSpaceDE w:val="0"/>
        <w:autoSpaceDN w:val="0"/>
        <w:adjustRightInd w:val="0"/>
        <w:spacing w:line="360" w:lineRule="auto"/>
        <w:contextualSpacing/>
        <w:jc w:val="both"/>
        <w:rPr>
          <w:rFonts w:ascii="Palatino Linotype" w:hAnsi="Palatino Linotype" w:cs="Tahoma"/>
          <w:b/>
          <w:sz w:val="22"/>
          <w:szCs w:val="22"/>
        </w:rPr>
      </w:pPr>
      <w:r w:rsidRPr="008E3507">
        <w:rPr>
          <w:rFonts w:ascii="Palatino Linotype" w:hAnsi="Palatino Linotype" w:eastAsia="Calibri" w:cs="Tahoma"/>
          <w:b/>
          <w:color w:val="000000"/>
          <w:sz w:val="22"/>
          <w:szCs w:val="22"/>
          <w:lang w:eastAsia="es-MX"/>
        </w:rPr>
        <w:t>PRIMERO</w:t>
      </w:r>
      <w:r w:rsidRPr="008E3507">
        <w:rPr>
          <w:rFonts w:ascii="Palatino Linotype" w:hAnsi="Palatino Linotype" w:eastAsia="Calibri" w:cs="Tahoma"/>
          <w:color w:val="000000"/>
          <w:sz w:val="22"/>
          <w:szCs w:val="22"/>
          <w:lang w:eastAsia="es-MX"/>
        </w:rPr>
        <w:t xml:space="preserve">. </w:t>
      </w:r>
      <w:r w:rsidRPr="008E3507">
        <w:rPr>
          <w:rFonts w:ascii="Palatino Linotype" w:hAnsi="Palatino Linotype" w:cs="Tahoma"/>
          <w:b/>
          <w:sz w:val="22"/>
          <w:szCs w:val="22"/>
        </w:rPr>
        <w:t>Competencia.</w:t>
      </w:r>
    </w:p>
    <w:p w:rsidRPr="008E3507" w:rsidR="00EA4E4A" w:rsidP="00147516" w:rsidRDefault="00EA4E4A" w14:paraId="33D4F106" w14:textId="77777777">
      <w:pPr>
        <w:autoSpaceDE w:val="0"/>
        <w:autoSpaceDN w:val="0"/>
        <w:adjustRightInd w:val="0"/>
        <w:spacing w:line="360" w:lineRule="auto"/>
        <w:contextualSpacing/>
        <w:jc w:val="both"/>
        <w:rPr>
          <w:rFonts w:ascii="Palatino Linotype" w:hAnsi="Palatino Linotype" w:cs="Tahoma"/>
          <w:b/>
          <w:sz w:val="22"/>
          <w:szCs w:val="22"/>
        </w:rPr>
      </w:pPr>
    </w:p>
    <w:p w:rsidR="00CE0B4C" w:rsidP="00147516" w:rsidRDefault="00CE0B4C" w14:paraId="0B2F4754" w14:textId="77777777">
      <w:pPr>
        <w:spacing w:line="360" w:lineRule="auto"/>
        <w:jc w:val="both"/>
        <w:rPr>
          <w:rFonts w:ascii="Palatino Linotype" w:hAnsi="Palatino Linotype" w:cs="Tahoma"/>
          <w:sz w:val="22"/>
          <w:szCs w:val="22"/>
          <w:shd w:val="clear" w:color="auto" w:fill="FFFFFF"/>
        </w:rPr>
      </w:pPr>
      <w:r w:rsidRPr="00565223">
        <w:rPr>
          <w:rFonts w:ascii="Palatino Linotype" w:hAnsi="Palatino Linotype" w:eastAsia="Calibri"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565223">
        <w:rPr>
          <w:rFonts w:ascii="Palatino Linotype" w:hAnsi="Palatino Linotype" w:eastAsia="Calibri" w:cs="Tahoma"/>
          <w:color w:val="000000"/>
          <w:sz w:val="22"/>
          <w:szCs w:val="22"/>
          <w:lang w:eastAsia="es-MX"/>
        </w:rPr>
        <w:lastRenderedPageBreak/>
        <w:t>Municipios;</w:t>
      </w:r>
      <w:r w:rsidRPr="00565223">
        <w:rPr>
          <w:rFonts w:eastAsia="Calibri"/>
          <w:color w:val="000000"/>
          <w:lang w:eastAsia="es-MX"/>
        </w:rPr>
        <w:t xml:space="preserve"> 7°, </w:t>
      </w:r>
      <w:r w:rsidRPr="00565223">
        <w:rPr>
          <w:rFonts w:ascii="Palatino Linotype" w:hAnsi="Palatino Linotype" w:eastAsia="Calibri" w:cs="Tahoma"/>
          <w:color w:val="000000"/>
          <w:sz w:val="22"/>
          <w:szCs w:val="22"/>
          <w:lang w:eastAsia="es-MX"/>
        </w:rPr>
        <w:t>9°, fracciones I y XXIV y 11 del Reglamento Interior del Instituto de Transparencia, Acceso a la Información</w:t>
      </w:r>
      <w:r w:rsidRPr="00AD50F9">
        <w:rPr>
          <w:rFonts w:ascii="Palatino Linotype" w:hAnsi="Palatino Linotype" w:cs="Tahoma"/>
          <w:sz w:val="22"/>
          <w:szCs w:val="22"/>
          <w:shd w:val="clear" w:color="auto" w:fill="FFFFFF"/>
        </w:rPr>
        <w:t xml:space="preserve"> Pública y Protección de Datos Personales del Estado de México y Municipios.</w:t>
      </w:r>
    </w:p>
    <w:p w:rsidR="00EA4E4A" w:rsidP="00147516" w:rsidRDefault="00EA4E4A" w14:paraId="2FD01451" w14:textId="77777777">
      <w:pPr>
        <w:spacing w:line="360" w:lineRule="auto"/>
        <w:contextualSpacing/>
        <w:jc w:val="both"/>
        <w:rPr>
          <w:rFonts w:ascii="Palatino Linotype" w:hAnsi="Palatino Linotype" w:cs="Tahoma"/>
          <w:sz w:val="22"/>
          <w:szCs w:val="22"/>
          <w:shd w:val="clear" w:color="auto" w:fill="FFFFFF"/>
        </w:rPr>
      </w:pPr>
    </w:p>
    <w:p w:rsidRPr="00AF6580" w:rsidR="00CE0B4C" w:rsidP="00147516" w:rsidRDefault="00CE0B4C" w14:paraId="5CA8471C"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b/>
          <w:color w:val="000000"/>
          <w:sz w:val="22"/>
          <w:szCs w:val="22"/>
          <w:lang w:eastAsia="es-MX"/>
        </w:rPr>
        <w:t>SEGUNDO</w:t>
      </w:r>
      <w:r w:rsidRPr="00AF6580">
        <w:rPr>
          <w:rFonts w:ascii="Palatino Linotype" w:hAnsi="Palatino Linotype" w:eastAsia="Calibri" w:cs="Tahoma"/>
          <w:color w:val="000000"/>
          <w:sz w:val="22"/>
          <w:szCs w:val="22"/>
          <w:lang w:eastAsia="es-MX"/>
        </w:rPr>
        <w:t xml:space="preserve">. </w:t>
      </w:r>
      <w:r w:rsidRPr="00AF6580">
        <w:rPr>
          <w:rFonts w:ascii="Palatino Linotype" w:hAnsi="Palatino Linotype" w:eastAsia="Calibri" w:cs="Tahoma"/>
          <w:b/>
          <w:color w:val="000000"/>
          <w:sz w:val="22"/>
          <w:szCs w:val="22"/>
          <w:lang w:eastAsia="es-MX"/>
        </w:rPr>
        <w:t>Causales de improcedencia y sobreseimiento.</w:t>
      </w:r>
      <w:r w:rsidRPr="00AF6580">
        <w:rPr>
          <w:rFonts w:ascii="Palatino Linotype" w:hAnsi="Palatino Linotype" w:eastAsia="Calibri" w:cs="Tahoma"/>
          <w:color w:val="000000"/>
          <w:sz w:val="22"/>
          <w:szCs w:val="22"/>
          <w:lang w:eastAsia="es-MX"/>
        </w:rPr>
        <w:t xml:space="preserve"> </w:t>
      </w:r>
    </w:p>
    <w:p w:rsidRPr="00AF6580" w:rsidR="00CE0B4C" w:rsidP="00147516" w:rsidRDefault="00CE0B4C" w14:paraId="3EBCD54A"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CE0B4C" w:rsidP="00147516" w:rsidRDefault="00CE0B4C" w14:paraId="6D4F42BC"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AF6580" w:rsidR="00CE0B4C" w:rsidP="00147516" w:rsidRDefault="00CE0B4C" w14:paraId="14C011BF"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CE0B4C" w:rsidP="00147516" w:rsidRDefault="00CE0B4C" w14:paraId="27759226"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CE0B4C" w:rsidP="00147516" w:rsidRDefault="00CE0B4C" w14:paraId="64747366" w14:textId="77777777">
      <w:pPr>
        <w:spacing w:line="360" w:lineRule="auto"/>
        <w:jc w:val="both"/>
        <w:rPr>
          <w:rFonts w:ascii="Palatino Linotype" w:hAnsi="Palatino Linotype" w:eastAsia="Calibri" w:cs="Tahoma"/>
          <w:b/>
          <w:sz w:val="22"/>
          <w:szCs w:val="22"/>
          <w:lang w:eastAsia="es-ES_tradnl"/>
        </w:rPr>
      </w:pPr>
    </w:p>
    <w:p w:rsidRPr="007C0B21" w:rsidR="00CE0B4C" w:rsidP="00147516" w:rsidRDefault="00CE0B4C" w14:paraId="627C07B7" w14:textId="77777777">
      <w:pPr>
        <w:spacing w:line="360" w:lineRule="auto"/>
        <w:jc w:val="both"/>
        <w:rPr>
          <w:rFonts w:ascii="Palatino Linotype" w:hAnsi="Palatino Linotype" w:eastAsia="Calibri" w:cs="Tahoma"/>
          <w:b/>
          <w:sz w:val="22"/>
          <w:szCs w:val="22"/>
          <w:lang w:eastAsia="es-ES_tradnl"/>
        </w:rPr>
      </w:pPr>
      <w:r w:rsidRPr="007C0B21">
        <w:rPr>
          <w:rFonts w:ascii="Palatino Linotype" w:hAnsi="Palatino Linotype" w:eastAsia="Calibri" w:cs="Tahoma"/>
          <w:b/>
          <w:sz w:val="22"/>
          <w:szCs w:val="22"/>
          <w:lang w:eastAsia="es-ES_tradnl"/>
        </w:rPr>
        <w:t>Causales de sobreseimiento.</w:t>
      </w:r>
    </w:p>
    <w:p w:rsidRPr="009C0C0F" w:rsidR="00CE0B4C" w:rsidP="00147516" w:rsidRDefault="00CE0B4C" w14:paraId="4B40D464" w14:textId="77777777">
      <w:pPr>
        <w:spacing w:line="360" w:lineRule="auto"/>
        <w:jc w:val="both"/>
        <w:rPr>
          <w:rFonts w:ascii="Palatino Linotype" w:hAnsi="Palatino Linotype" w:eastAsia="Calibri" w:cs="Tahoma"/>
          <w:sz w:val="22"/>
          <w:szCs w:val="22"/>
          <w:lang w:eastAsia="es-ES_tradnl"/>
        </w:rPr>
      </w:pPr>
    </w:p>
    <w:p w:rsidRPr="007C0B21" w:rsidR="00CE0B4C" w:rsidP="00147516" w:rsidRDefault="00CE0B4C" w14:paraId="1120E329" w14:textId="77777777">
      <w:pPr>
        <w:spacing w:line="360" w:lineRule="auto"/>
        <w:jc w:val="both"/>
        <w:rPr>
          <w:rFonts w:ascii="Palatino Linotype" w:hAnsi="Palatino Linotype" w:eastAsia="Calibri" w:cs="Tahoma"/>
          <w:sz w:val="22"/>
          <w:szCs w:val="22"/>
          <w:lang w:eastAsia="es-ES_tradnl"/>
        </w:rPr>
      </w:pPr>
      <w:r w:rsidRPr="007C0B21">
        <w:rPr>
          <w:rFonts w:ascii="Palatino Linotype" w:hAnsi="Palatino Linotype" w:eastAsia="Calibri" w:cs="Tahoma"/>
          <w:sz w:val="22"/>
          <w:szCs w:val="22"/>
          <w:lang w:eastAsia="es-ES_tradnl"/>
        </w:rPr>
        <w:t>Por lo que hace a las causales de sobreseimiento, del análisis realizado por este Instituto, se advierte que</w:t>
      </w:r>
      <w:r w:rsidRPr="007C0B21">
        <w:rPr>
          <w:rFonts w:ascii="Palatino Linotype" w:hAnsi="Palatino Linotype" w:eastAsia="Calibri" w:cs="Tahoma"/>
          <w:b/>
          <w:sz w:val="22"/>
          <w:szCs w:val="22"/>
          <w:lang w:eastAsia="es-ES_tradnl"/>
        </w:rPr>
        <w:t xml:space="preserve"> no se actualiza ninguna de las previstas por el artículo 192 de la Ley de </w:t>
      </w:r>
      <w:r w:rsidRPr="007C0B21">
        <w:rPr>
          <w:rFonts w:ascii="Palatino Linotype" w:hAnsi="Palatino Linotype" w:eastAsia="Calibri" w:cs="Tahoma"/>
          <w:b/>
          <w:sz w:val="22"/>
          <w:szCs w:val="22"/>
          <w:lang w:eastAsia="es-ES_tradnl"/>
        </w:rPr>
        <w:lastRenderedPageBreak/>
        <w:t xml:space="preserve">Transparencia y Acceso a la Información Pública del Estado de México y Municipios; </w:t>
      </w:r>
      <w:r w:rsidRPr="007C0B21">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r>
        <w:rPr>
          <w:rFonts w:ascii="Palatino Linotype" w:hAnsi="Palatino Linotype" w:cs="Tahoma"/>
          <w:sz w:val="22"/>
          <w:szCs w:val="22"/>
        </w:rPr>
        <w:t xml:space="preserve"> </w:t>
      </w:r>
      <w:r w:rsidRPr="007C0B21">
        <w:rPr>
          <w:rFonts w:ascii="Palatino Linotype" w:hAnsi="Palatino Linotype" w:eastAsia="Calibri" w:cs="Tahoma"/>
          <w:bCs/>
          <w:sz w:val="22"/>
          <w:szCs w:val="22"/>
          <w:lang w:eastAsia="es-ES_tradnl"/>
        </w:rPr>
        <w:t xml:space="preserve">Por tales motivos, </w:t>
      </w:r>
      <w:r w:rsidRPr="007C0B21">
        <w:rPr>
          <w:rFonts w:ascii="Palatino Linotype" w:hAnsi="Palatino Linotype" w:eastAsia="Calibri" w:cs="Tahoma"/>
          <w:sz w:val="22"/>
          <w:szCs w:val="22"/>
          <w:lang w:eastAsia="es-ES_tradnl"/>
        </w:rPr>
        <w:t xml:space="preserve">se considera procedente entrar al fondo del presente asunto. </w:t>
      </w:r>
    </w:p>
    <w:p w:rsidR="00CE0B4C" w:rsidP="00147516" w:rsidRDefault="00CE0B4C" w14:paraId="35B765C6" w14:textId="77777777">
      <w:pPr>
        <w:spacing w:line="360" w:lineRule="auto"/>
        <w:contextualSpacing/>
        <w:jc w:val="both"/>
        <w:rPr>
          <w:rFonts w:ascii="Palatino Linotype" w:hAnsi="Palatino Linotype" w:cs="Tahoma"/>
          <w:sz w:val="22"/>
          <w:szCs w:val="22"/>
          <w:shd w:val="clear" w:color="auto" w:fill="FFFFFF"/>
        </w:rPr>
      </w:pPr>
    </w:p>
    <w:p w:rsidRPr="007C0B21" w:rsidR="00CE0B4C" w:rsidP="00147516" w:rsidRDefault="00CE0B4C" w14:paraId="57C83A84"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7C0B21">
        <w:rPr>
          <w:rFonts w:ascii="Palatino Linotype" w:hAnsi="Palatino Linotype" w:eastAsia="Calibri" w:cs="Tahoma"/>
          <w:b/>
          <w:iCs/>
          <w:sz w:val="22"/>
          <w:szCs w:val="22"/>
          <w:lang w:val="es-ES" w:eastAsia="es-ES_tradnl"/>
        </w:rPr>
        <w:t xml:space="preserve">TERCERO. Determinación de la Controversia. </w:t>
      </w:r>
    </w:p>
    <w:p w:rsidRPr="007C0B21" w:rsidR="00CE0B4C" w:rsidP="00147516" w:rsidRDefault="00CE0B4C" w14:paraId="3779AEC6"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00C53547" w:rsidP="00024A48" w:rsidRDefault="00CE0B4C" w14:paraId="5232AD15"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9C0C0F">
        <w:rPr>
          <w:rFonts w:ascii="Palatino Linotype" w:hAnsi="Palatino Linotype" w:eastAsia="Calibri" w:cs="Tahoma"/>
          <w:iCs/>
          <w:sz w:val="22"/>
          <w:szCs w:val="22"/>
          <w:lang w:val="es-ES" w:eastAsia="es-ES_tradnl"/>
        </w:rPr>
        <w:t xml:space="preserve">Una vez realizado el estudio de las constancias que integran el expediente en que se actúa, se desprende que el </w:t>
      </w:r>
      <w:r w:rsidRPr="009C0C0F" w:rsidR="00F805F6">
        <w:rPr>
          <w:rFonts w:ascii="Palatino Linotype" w:hAnsi="Palatino Linotype" w:eastAsia="Calibri" w:cs="Tahoma"/>
          <w:iCs/>
          <w:sz w:val="22"/>
          <w:szCs w:val="22"/>
          <w:lang w:val="es-ES" w:eastAsia="es-ES_tradnl"/>
        </w:rPr>
        <w:t xml:space="preserve">Particular </w:t>
      </w:r>
      <w:r w:rsidRPr="009C0C0F">
        <w:rPr>
          <w:rFonts w:ascii="Palatino Linotype" w:hAnsi="Palatino Linotype" w:eastAsia="Calibri" w:cs="Tahoma"/>
          <w:iCs/>
          <w:sz w:val="22"/>
          <w:szCs w:val="22"/>
          <w:lang w:val="es-ES" w:eastAsia="es-ES_tradnl"/>
        </w:rPr>
        <w:t>solicitó al</w:t>
      </w:r>
      <w:r w:rsidR="00F805F6">
        <w:rPr>
          <w:rFonts w:ascii="Palatino Linotype" w:hAnsi="Palatino Linotype" w:eastAsia="Calibri" w:cs="Tahoma"/>
          <w:iCs/>
          <w:sz w:val="22"/>
          <w:szCs w:val="22"/>
          <w:lang w:val="es-ES" w:eastAsia="es-ES_tradnl"/>
        </w:rPr>
        <w:t xml:space="preserve"> </w:t>
      </w:r>
      <w:r w:rsidR="00313021">
        <w:rPr>
          <w:rFonts w:ascii="Palatino Linotype" w:hAnsi="Palatino Linotype" w:eastAsia="Calibri" w:cs="Tahoma"/>
          <w:iCs/>
          <w:sz w:val="22"/>
          <w:szCs w:val="22"/>
          <w:lang w:val="es-ES" w:eastAsia="es-ES_tradnl"/>
        </w:rPr>
        <w:t>Ayuntamiento de Amecameca</w:t>
      </w:r>
      <w:r w:rsidRPr="00986410">
        <w:rPr>
          <w:rFonts w:ascii="Palatino Linotype" w:hAnsi="Palatino Linotype" w:eastAsia="Calibri" w:cs="Tahoma"/>
          <w:iCs/>
          <w:sz w:val="22"/>
          <w:szCs w:val="22"/>
          <w:lang w:val="es-ES" w:eastAsia="es-ES_tradnl"/>
        </w:rPr>
        <w:t>,</w:t>
      </w:r>
      <w:r w:rsidR="006D4FC4">
        <w:rPr>
          <w:rFonts w:ascii="Palatino Linotype" w:hAnsi="Palatino Linotype" w:eastAsia="Calibri" w:cs="Tahoma"/>
          <w:iCs/>
          <w:sz w:val="22"/>
          <w:szCs w:val="22"/>
          <w:lang w:val="es-ES" w:eastAsia="es-ES_tradnl"/>
        </w:rPr>
        <w:t xml:space="preserve"> </w:t>
      </w:r>
      <w:r w:rsidR="00C53547">
        <w:rPr>
          <w:rFonts w:ascii="Palatino Linotype" w:hAnsi="Palatino Linotype" w:eastAsia="Calibri" w:cs="Tahoma"/>
          <w:iCs/>
          <w:sz w:val="22"/>
          <w:szCs w:val="22"/>
          <w:lang w:val="es-ES" w:eastAsia="es-ES_tradnl"/>
        </w:rPr>
        <w:t>lo siguiente:</w:t>
      </w:r>
    </w:p>
    <w:p w:rsidR="00C53547" w:rsidP="00024A48" w:rsidRDefault="00C53547" w14:paraId="7D26DF95"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C53547" w:rsidR="00C53547" w:rsidP="006F3730" w:rsidRDefault="00C53547" w14:paraId="575C58FB" w14:textId="77777777">
      <w:pPr>
        <w:pStyle w:val="Prrafodelista"/>
        <w:numPr>
          <w:ilvl w:val="0"/>
          <w:numId w:val="13"/>
        </w:numPr>
        <w:spacing w:line="360" w:lineRule="auto"/>
        <w:ind w:left="851" w:right="539"/>
        <w:contextualSpacing w:val="0"/>
        <w:jc w:val="both"/>
        <w:rPr>
          <w:rFonts w:ascii="Palatino Linotype" w:hAnsi="Palatino Linotype" w:cs="Arial"/>
          <w:i/>
          <w:sz w:val="20"/>
        </w:rPr>
      </w:pPr>
      <w:r w:rsidRPr="00C53547">
        <w:rPr>
          <w:rFonts w:ascii="Palatino Linotype" w:hAnsi="Palatino Linotype" w:cs="Arial"/>
          <w:i/>
          <w:sz w:val="20"/>
        </w:rPr>
        <w:t xml:space="preserve">Reportes del aplicativo “Visor de nómina del SAT” por los años 2018, 2019, 2020, y 2021 en sus tres presentaciones: </w:t>
      </w:r>
    </w:p>
    <w:p w:rsidRPr="00C53547" w:rsidR="00C53547" w:rsidP="006F3730" w:rsidRDefault="00C53547" w14:paraId="0CCE66C9" w14:textId="77777777">
      <w:pPr>
        <w:pStyle w:val="Prrafodelista"/>
        <w:numPr>
          <w:ilvl w:val="1"/>
          <w:numId w:val="14"/>
        </w:numPr>
        <w:spacing w:line="360" w:lineRule="auto"/>
        <w:ind w:left="1701" w:right="539"/>
        <w:contextualSpacing w:val="0"/>
        <w:jc w:val="both"/>
        <w:rPr>
          <w:rFonts w:ascii="Palatino Linotype" w:hAnsi="Palatino Linotype" w:cs="Arial"/>
          <w:i/>
          <w:sz w:val="20"/>
        </w:rPr>
      </w:pPr>
      <w:r w:rsidRPr="00C53547">
        <w:rPr>
          <w:rFonts w:ascii="Palatino Linotype" w:hAnsi="Palatino Linotype" w:cs="Arial"/>
          <w:i/>
          <w:sz w:val="20"/>
        </w:rPr>
        <w:t xml:space="preserve">Vista anual acumulada. </w:t>
      </w:r>
    </w:p>
    <w:p w:rsidRPr="00C53547" w:rsidR="00C53547" w:rsidP="006F3730" w:rsidRDefault="00C53547" w14:paraId="6549D913" w14:textId="77777777">
      <w:pPr>
        <w:pStyle w:val="Prrafodelista"/>
        <w:numPr>
          <w:ilvl w:val="1"/>
          <w:numId w:val="14"/>
        </w:numPr>
        <w:spacing w:line="360" w:lineRule="auto"/>
        <w:ind w:left="1701" w:right="539"/>
        <w:contextualSpacing w:val="0"/>
        <w:jc w:val="both"/>
        <w:rPr>
          <w:rFonts w:ascii="Palatino Linotype" w:hAnsi="Palatino Linotype" w:cs="Arial"/>
          <w:i/>
          <w:sz w:val="20"/>
        </w:rPr>
      </w:pPr>
      <w:r w:rsidRPr="00C53547">
        <w:rPr>
          <w:rFonts w:ascii="Palatino Linotype" w:hAnsi="Palatino Linotype" w:cs="Arial"/>
          <w:i/>
          <w:sz w:val="20"/>
        </w:rPr>
        <w:t xml:space="preserve">Detalle mensual. </w:t>
      </w:r>
    </w:p>
    <w:p w:rsidRPr="00C53547" w:rsidR="00C53547" w:rsidP="006F3730" w:rsidRDefault="00C53547" w14:paraId="5D19A69C" w14:textId="77777777">
      <w:pPr>
        <w:pStyle w:val="Prrafodelista"/>
        <w:numPr>
          <w:ilvl w:val="1"/>
          <w:numId w:val="14"/>
        </w:numPr>
        <w:spacing w:line="360" w:lineRule="auto"/>
        <w:ind w:left="1701" w:right="539"/>
        <w:contextualSpacing w:val="0"/>
        <w:jc w:val="both"/>
        <w:rPr>
          <w:rFonts w:ascii="Palatino Linotype" w:hAnsi="Palatino Linotype" w:cs="Arial"/>
          <w:i/>
          <w:sz w:val="20"/>
        </w:rPr>
      </w:pPr>
      <w:r w:rsidRPr="00C53547">
        <w:rPr>
          <w:rFonts w:ascii="Palatino Linotype" w:hAnsi="Palatino Linotype" w:cs="Arial"/>
          <w:i/>
          <w:sz w:val="20"/>
        </w:rPr>
        <w:t xml:space="preserve">Detalle diferencias sueldos y salarios. </w:t>
      </w:r>
    </w:p>
    <w:p w:rsidRPr="00C53547" w:rsidR="00C53547" w:rsidP="006F3730" w:rsidRDefault="00C53547" w14:paraId="3C19A06A" w14:textId="77777777">
      <w:pPr>
        <w:pStyle w:val="Prrafodelista"/>
        <w:numPr>
          <w:ilvl w:val="0"/>
          <w:numId w:val="13"/>
        </w:numPr>
        <w:spacing w:line="360" w:lineRule="auto"/>
        <w:ind w:left="851" w:right="539"/>
        <w:contextualSpacing w:val="0"/>
        <w:jc w:val="both"/>
        <w:rPr>
          <w:rFonts w:ascii="Palatino Linotype" w:hAnsi="Palatino Linotype" w:cs="Arial"/>
          <w:i/>
          <w:sz w:val="20"/>
        </w:rPr>
      </w:pPr>
      <w:r w:rsidRPr="00C53547">
        <w:rPr>
          <w:rFonts w:ascii="Palatino Linotype" w:hAnsi="Palatino Linotype" w:cs="Arial"/>
          <w:i/>
          <w:sz w:val="20"/>
        </w:rPr>
        <w:t xml:space="preserve">La constancia de situación fiscal de no adeudo emitida por el INFONAVIT, generada desde el portal empresarial de esa Institución, a través de internet. </w:t>
      </w:r>
    </w:p>
    <w:p w:rsidRPr="00C53547" w:rsidR="00C53547" w:rsidP="006F3730" w:rsidRDefault="00C53547" w14:paraId="3E2BD202" w14:textId="77777777">
      <w:pPr>
        <w:pStyle w:val="Prrafodelista"/>
        <w:numPr>
          <w:ilvl w:val="0"/>
          <w:numId w:val="13"/>
        </w:numPr>
        <w:spacing w:line="360" w:lineRule="auto"/>
        <w:ind w:left="851" w:right="539"/>
        <w:contextualSpacing w:val="0"/>
        <w:jc w:val="both"/>
        <w:rPr>
          <w:rFonts w:ascii="Palatino Linotype" w:hAnsi="Palatino Linotype" w:cs="Arial"/>
          <w:i/>
          <w:sz w:val="20"/>
        </w:rPr>
      </w:pPr>
      <w:r w:rsidRPr="00C53547">
        <w:rPr>
          <w:rFonts w:ascii="Palatino Linotype" w:hAnsi="Palatino Linotype" w:cs="Arial"/>
          <w:i/>
          <w:sz w:val="20"/>
        </w:rPr>
        <w:t xml:space="preserve">La opinión de no adeudo en el cumplimiento de obligaciones fiscales en materia de seguridad social emitida por el IMSS, generada desde el portal de esa Institución, a través de internet. </w:t>
      </w:r>
    </w:p>
    <w:p w:rsidRPr="00C53547" w:rsidR="00C53547" w:rsidP="006F3730" w:rsidRDefault="00C53547" w14:paraId="322465DA" w14:textId="77777777">
      <w:pPr>
        <w:pStyle w:val="Prrafodelista"/>
        <w:numPr>
          <w:ilvl w:val="0"/>
          <w:numId w:val="13"/>
        </w:numPr>
        <w:spacing w:line="360" w:lineRule="auto"/>
        <w:ind w:left="851" w:right="539"/>
        <w:contextualSpacing w:val="0"/>
        <w:jc w:val="both"/>
        <w:rPr>
          <w:rFonts w:ascii="Palatino Linotype" w:hAnsi="Palatino Linotype" w:cs="Arial"/>
          <w:i/>
          <w:sz w:val="20"/>
        </w:rPr>
      </w:pPr>
      <w:r w:rsidRPr="00C53547">
        <w:rPr>
          <w:rFonts w:ascii="Palatino Linotype" w:hAnsi="Palatino Linotype" w:cs="Arial"/>
          <w:i/>
          <w:sz w:val="20"/>
        </w:rPr>
        <w:t xml:space="preserve">La opinión de no adeudo en el cumplimiento de obligaciones fiscales estatales emitida por el SAT, generada desde el portal de esa Institución, a través de internet. </w:t>
      </w:r>
    </w:p>
    <w:p w:rsidRPr="00C53547" w:rsidR="00C53547" w:rsidP="006F3730" w:rsidRDefault="00C53547" w14:paraId="39642ED8" w14:textId="77777777">
      <w:pPr>
        <w:pStyle w:val="Prrafodelista"/>
        <w:numPr>
          <w:ilvl w:val="0"/>
          <w:numId w:val="13"/>
        </w:numPr>
        <w:spacing w:line="360" w:lineRule="auto"/>
        <w:ind w:left="851" w:right="539"/>
        <w:contextualSpacing w:val="0"/>
        <w:jc w:val="both"/>
        <w:rPr>
          <w:rFonts w:ascii="Palatino Linotype" w:hAnsi="Palatino Linotype" w:cs="Arial"/>
          <w:i/>
          <w:sz w:val="20"/>
        </w:rPr>
      </w:pPr>
      <w:r w:rsidRPr="00C53547">
        <w:rPr>
          <w:rFonts w:ascii="Palatino Linotype" w:hAnsi="Palatino Linotype" w:cs="Arial"/>
          <w:i/>
          <w:sz w:val="20"/>
        </w:rPr>
        <w:t xml:space="preserve">Un papel de trabajo por el municipio, y otro por cada una de las paramunicipales que contenga los datos para identificar el ISR participable recuperado por cada mes desde Enero de 2019 hasta Octubre de 2021. Propongo un papel de trabajo con los siguientes encabezados: A) En la columna A “Mes”. B) En la columna B “Año”. C) En la columna C “ISR salarios retenido”. D) En la columna D “ISR salarios enterado”. E) En la columna E “ISR asimilados retenido”. F) En la </w:t>
      </w:r>
      <w:r w:rsidRPr="00C53547">
        <w:rPr>
          <w:rFonts w:ascii="Palatino Linotype" w:hAnsi="Palatino Linotype" w:cs="Arial"/>
          <w:i/>
          <w:sz w:val="20"/>
        </w:rPr>
        <w:lastRenderedPageBreak/>
        <w:t xml:space="preserve">columna F “ISR asimilados enterado”. G) En la columna G “ISR honorarios y arrendamiento retenido”. H) En la columna H “ISR honorarios y arrendamiento enterado”. I) En la columna I “ISR participable recuperado a valor histórico”. J) En la columna J “Subsidio para el empleo entregado en el mes al trabajador”. K) En la columna K “Subsidio para el empleo acreditado en el mes contra las contribuciones que proceda”. En las filas correspondientes a cada mes, capturar la información de ese periodo. Al calce del papel de trabajo, el monto del ISR participable que no se ha podido recuperar, separando el monto que está pendiente de solicitar, del monto que se solicitó y no se recuperó. </w:t>
      </w:r>
    </w:p>
    <w:p w:rsidRPr="00C53547" w:rsidR="00C53547" w:rsidP="006F3730" w:rsidRDefault="00C53547" w14:paraId="5365D55B" w14:textId="77777777">
      <w:pPr>
        <w:pStyle w:val="Prrafodelista"/>
        <w:numPr>
          <w:ilvl w:val="0"/>
          <w:numId w:val="13"/>
        </w:numPr>
        <w:spacing w:line="360" w:lineRule="auto"/>
        <w:ind w:left="851" w:right="539"/>
        <w:contextualSpacing w:val="0"/>
        <w:jc w:val="both"/>
        <w:rPr>
          <w:rFonts w:ascii="Palatino Linotype" w:hAnsi="Palatino Linotype" w:cs="Arial"/>
          <w:i/>
          <w:sz w:val="20"/>
        </w:rPr>
      </w:pPr>
      <w:r w:rsidRPr="00C53547">
        <w:rPr>
          <w:rFonts w:ascii="Palatino Linotype" w:hAnsi="Palatino Linotype" w:cs="Arial"/>
          <w:i/>
          <w:sz w:val="20"/>
        </w:rPr>
        <w:t xml:space="preserve"> </w:t>
      </w:r>
      <w:r w:rsidRPr="00C53547">
        <w:rPr>
          <w:rFonts w:ascii="Palatino Linotype" w:hAnsi="Palatino Linotype" w:cs="Arial"/>
          <w:i/>
          <w:sz w:val="20"/>
          <w:u w:val="single"/>
        </w:rPr>
        <w:t>Para comprobar que los trabajadores no están siendo afectados por errores en el cálculo de sus impuestos</w:t>
      </w:r>
      <w:r w:rsidRPr="00C53547">
        <w:rPr>
          <w:rFonts w:ascii="Palatino Linotype" w:hAnsi="Palatino Linotype" w:cs="Arial"/>
          <w:i/>
          <w:sz w:val="20"/>
        </w:rPr>
        <w:t xml:space="preserve"> (No tienen diferencias a cargo, ni diferencias a favor en su declaración anual precargada), propongo que </w:t>
      </w:r>
      <w:r w:rsidRPr="00C53547">
        <w:rPr>
          <w:rFonts w:ascii="Palatino Linotype" w:hAnsi="Palatino Linotype" w:cs="Arial"/>
          <w:i/>
          <w:sz w:val="20"/>
          <w:u w:val="single"/>
        </w:rPr>
        <w:t>seleccionen al azar 5 muestras del ayuntamiento y tres muestras de cada paramunicipal</w:t>
      </w:r>
      <w:r w:rsidRPr="00C53547">
        <w:rPr>
          <w:rFonts w:ascii="Palatino Linotype" w:hAnsi="Palatino Linotype" w:cs="Arial"/>
          <w:i/>
          <w:sz w:val="20"/>
        </w:rPr>
        <w:t xml:space="preserve">. A cada uno de los trabajadores seleccionados el personal responsable del municipio y/o de las paramunicipales, les calcularán el impuesto anual por los años 2017, 2018, 2019, y 2020, con base en los datos precargados en el expediente fiscal del trabajador. Para guardar la confidencialidad, </w:t>
      </w:r>
      <w:r w:rsidRPr="00C53547">
        <w:rPr>
          <w:rFonts w:ascii="Palatino Linotype" w:hAnsi="Palatino Linotype" w:cs="Arial"/>
          <w:i/>
          <w:sz w:val="20"/>
          <w:u w:val="single"/>
        </w:rPr>
        <w:t>a mi solo me entregarán un papel de trabajo con los siguientes encabezados</w:t>
      </w:r>
      <w:r w:rsidRPr="00C53547">
        <w:rPr>
          <w:rFonts w:ascii="Palatino Linotype" w:hAnsi="Palatino Linotype" w:cs="Arial"/>
          <w:i/>
          <w:sz w:val="20"/>
        </w:rPr>
        <w:t>: A)En la columna A “Nombre del trabajador”, pudiendo identificarlos como: trabajador 1, trabajador 2, trabajador 3 B) En la columna B “Año”. C) En la columna C “Saldo a favor de ISR”. D) En la columna D “Saldo a cargo en el ISR”. E) En la columna E “Diferencia 0 en el ISR”. En las filas se captura la información que corresponda a los resultados de cada trabajador. Si fuera el caso que los trabajadores de la muestra no laboraron para el municipio o para las paramunicipales durante los 4 años, solamente se captura la información de los años que si hayan trabajado.</w:t>
      </w:r>
    </w:p>
    <w:p w:rsidR="00C53547" w:rsidP="00024A48" w:rsidRDefault="00C53547" w14:paraId="04B6E971"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F64430" w:rsidR="00A511BB" w:rsidP="00A511BB" w:rsidRDefault="00993BF4" w14:paraId="78263E4F"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E</w:t>
      </w:r>
      <w:r w:rsidR="0044640B">
        <w:rPr>
          <w:rFonts w:ascii="Palatino Linotype" w:hAnsi="Palatino Linotype" w:eastAsia="Calibri" w:cs="Tahoma"/>
          <w:iCs/>
          <w:sz w:val="22"/>
          <w:szCs w:val="22"/>
          <w:lang w:val="es-ES" w:eastAsia="es-ES_tradnl"/>
        </w:rPr>
        <w:t>n respuesta el Sujeto Obligado</w:t>
      </w:r>
      <w:r w:rsidR="00147516">
        <w:rPr>
          <w:rFonts w:ascii="Palatino Linotype" w:hAnsi="Palatino Linotype" w:eastAsia="Calibri" w:cs="Tahoma"/>
          <w:iCs/>
          <w:sz w:val="22"/>
          <w:szCs w:val="22"/>
          <w:lang w:val="es-ES" w:eastAsia="es-ES_tradnl"/>
        </w:rPr>
        <w:t xml:space="preserve">, </w:t>
      </w:r>
      <w:r w:rsidR="00695B29">
        <w:rPr>
          <w:rFonts w:ascii="Palatino Linotype" w:hAnsi="Palatino Linotype" w:eastAsia="Calibri" w:cs="Tahoma"/>
          <w:iCs/>
          <w:sz w:val="22"/>
          <w:szCs w:val="22"/>
          <w:lang w:val="es-ES" w:eastAsia="es-ES_tradnl"/>
        </w:rPr>
        <w:t>señaló no contar con la información solicitada</w:t>
      </w:r>
      <w:r w:rsidR="00F800B0">
        <w:rPr>
          <w:rFonts w:ascii="Palatino Linotype" w:hAnsi="Palatino Linotype" w:eastAsia="Calibri" w:cs="Tahoma"/>
          <w:iCs/>
          <w:sz w:val="22"/>
          <w:szCs w:val="22"/>
          <w:lang w:val="es-ES" w:eastAsia="es-ES_tradnl"/>
        </w:rPr>
        <w:t>,</w:t>
      </w:r>
      <w:r w:rsidRPr="005207A6" w:rsidR="00A511BB">
        <w:rPr>
          <w:rFonts w:ascii="Palatino Linotype" w:hAnsi="Palatino Linotype" w:eastAsia="Calibri" w:cs="Tahoma"/>
          <w:bCs/>
          <w:sz w:val="22"/>
          <w:szCs w:val="22"/>
          <w:lang w:val="es-ES_tradnl" w:eastAsia="en-US"/>
        </w:rPr>
        <w:t xml:space="preserve"> </w:t>
      </w:r>
      <w:r w:rsidRPr="00624712" w:rsidR="00A511BB">
        <w:rPr>
          <w:rFonts w:ascii="Palatino Linotype" w:hAnsi="Palatino Linotype" w:eastAsia="Calibri" w:cs="Tahoma"/>
          <w:bCs/>
          <w:sz w:val="22"/>
          <w:szCs w:val="22"/>
          <w:lang w:val="es-ES_tradnl" w:eastAsia="en-US"/>
        </w:rPr>
        <w:t xml:space="preserve">por lo que </w:t>
      </w:r>
      <w:r w:rsidRPr="00624712" w:rsidR="00A511BB">
        <w:rPr>
          <w:rFonts w:ascii="Palatino Linotype" w:hAnsi="Palatino Linotype" w:eastAsia="Calibri" w:cs="Tahoma"/>
          <w:color w:val="000000"/>
          <w:sz w:val="22"/>
          <w:szCs w:val="22"/>
        </w:rPr>
        <w:t xml:space="preserve">en el asunto que nos ocupa se actualiza la causal de procedencia señalada en </w:t>
      </w:r>
      <w:r w:rsidRPr="00A917E6" w:rsidR="00A511BB">
        <w:rPr>
          <w:rFonts w:ascii="Palatino Linotype" w:hAnsi="Palatino Linotype" w:eastAsia="Calibri" w:cs="Tahoma"/>
          <w:color w:val="000000"/>
          <w:sz w:val="22"/>
          <w:szCs w:val="22"/>
        </w:rPr>
        <w:t xml:space="preserve">el </w:t>
      </w:r>
      <w:r w:rsidRPr="00A917E6" w:rsidR="00A511BB">
        <w:rPr>
          <w:rFonts w:ascii="Palatino Linotype" w:hAnsi="Palatino Linotype" w:eastAsia="Calibri" w:cs="Tahoma"/>
          <w:sz w:val="22"/>
          <w:szCs w:val="22"/>
        </w:rPr>
        <w:t xml:space="preserve">artículo 179, </w:t>
      </w:r>
      <w:r w:rsidR="00A511BB">
        <w:rPr>
          <w:rFonts w:ascii="Palatino Linotype" w:hAnsi="Palatino Linotype" w:eastAsia="Calibri" w:cs="Tahoma"/>
          <w:sz w:val="22"/>
          <w:szCs w:val="22"/>
        </w:rPr>
        <w:t>fracción I</w:t>
      </w:r>
      <w:r w:rsidR="00695B29">
        <w:rPr>
          <w:rFonts w:ascii="Palatino Linotype" w:hAnsi="Palatino Linotype" w:eastAsia="Calibri" w:cs="Tahoma"/>
          <w:sz w:val="22"/>
          <w:szCs w:val="22"/>
        </w:rPr>
        <w:t>II</w:t>
      </w:r>
      <w:r w:rsidR="00A511BB">
        <w:rPr>
          <w:rFonts w:ascii="Palatino Linotype" w:hAnsi="Palatino Linotype" w:eastAsia="Calibri" w:cs="Tahoma"/>
          <w:sz w:val="22"/>
          <w:szCs w:val="22"/>
        </w:rPr>
        <w:t xml:space="preserve"> </w:t>
      </w:r>
      <w:r w:rsidRPr="00A917E6" w:rsidR="00A511BB">
        <w:rPr>
          <w:rFonts w:ascii="Palatino Linotype" w:hAnsi="Palatino Linotype" w:eastAsia="Calibri" w:cs="Tahoma"/>
          <w:sz w:val="22"/>
          <w:szCs w:val="22"/>
        </w:rPr>
        <w:t>de la L</w:t>
      </w:r>
      <w:r w:rsidRPr="00624712" w:rsidR="00A511BB">
        <w:rPr>
          <w:rFonts w:ascii="Palatino Linotype" w:hAnsi="Palatino Linotype" w:eastAsia="Calibri" w:cs="Tahoma"/>
          <w:sz w:val="22"/>
          <w:szCs w:val="22"/>
        </w:rPr>
        <w:t>ey de la materia</w:t>
      </w:r>
      <w:r w:rsidRPr="00624712" w:rsidR="00A511BB">
        <w:rPr>
          <w:rFonts w:ascii="Palatino Linotype" w:hAnsi="Palatino Linotype" w:eastAsia="Calibri" w:cs="Tahoma"/>
          <w:bCs/>
          <w:sz w:val="22"/>
          <w:szCs w:val="22"/>
        </w:rPr>
        <w:t>.</w:t>
      </w:r>
    </w:p>
    <w:p w:rsidRPr="00624712" w:rsidR="00CE0B4C" w:rsidP="00147516" w:rsidRDefault="00CE0B4C" w14:paraId="6E31479F"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7C0B21" w:rsidR="00CE0B4C" w:rsidP="00147516" w:rsidRDefault="00CE0B4C" w14:paraId="73958064" w14:textId="77777777">
      <w:pPr>
        <w:tabs>
          <w:tab w:val="left" w:pos="4962"/>
        </w:tabs>
        <w:spacing w:line="360" w:lineRule="auto"/>
        <w:jc w:val="both"/>
        <w:rPr>
          <w:rFonts w:ascii="Palatino Linotype" w:hAnsi="Palatino Linotype" w:eastAsia="Calibri" w:cs="Tahoma"/>
          <w:iCs/>
          <w:sz w:val="22"/>
          <w:szCs w:val="22"/>
          <w:lang w:eastAsia="es-ES_tradnl"/>
        </w:rPr>
      </w:pPr>
      <w:r w:rsidRPr="007C0B21">
        <w:rPr>
          <w:rFonts w:ascii="Palatino Linotype" w:hAnsi="Palatino Linotype" w:eastAsia="Calibri" w:cs="Tahoma"/>
          <w:iCs/>
          <w:sz w:val="22"/>
          <w:szCs w:val="22"/>
          <w:lang w:eastAsia="es-ES_tradnl"/>
        </w:rPr>
        <w:t xml:space="preserve">Establecido lo anterior, lo consecuente es analizar el agravio manifestado por el ahora Recurrente, de conformidad con lo dispuesto por la Ley de Transparencia y Acceso a la </w:t>
      </w:r>
      <w:r w:rsidRPr="007C0B21">
        <w:rPr>
          <w:rFonts w:ascii="Palatino Linotype" w:hAnsi="Palatino Linotype" w:eastAsia="Calibri" w:cs="Tahoma"/>
          <w:iCs/>
          <w:sz w:val="22"/>
          <w:szCs w:val="22"/>
          <w:lang w:eastAsia="es-ES_tradnl"/>
        </w:rPr>
        <w:lastRenderedPageBreak/>
        <w:t>Información Pública del Estado de México y Municipios y demás disposiciones legales aplicables a la materia que se resuelve.</w:t>
      </w:r>
    </w:p>
    <w:p w:rsidRPr="007C0B21" w:rsidR="00CE0B4C" w:rsidP="00147516" w:rsidRDefault="00CE0B4C" w14:paraId="496B703E" w14:textId="77777777">
      <w:pPr>
        <w:tabs>
          <w:tab w:val="left" w:pos="4962"/>
        </w:tabs>
        <w:spacing w:line="360" w:lineRule="auto"/>
        <w:jc w:val="both"/>
        <w:rPr>
          <w:rFonts w:ascii="Palatino Linotype" w:hAnsi="Palatino Linotype" w:eastAsia="Calibri" w:cs="Tahoma"/>
          <w:iCs/>
          <w:sz w:val="22"/>
          <w:szCs w:val="22"/>
          <w:lang w:eastAsia="es-ES_tradnl"/>
        </w:rPr>
      </w:pPr>
    </w:p>
    <w:p w:rsidRPr="007C0B21" w:rsidR="00CE0B4C" w:rsidP="00147516" w:rsidRDefault="00CE0B4C" w14:paraId="39BDD45D" w14:textId="77777777">
      <w:pPr>
        <w:spacing w:line="360" w:lineRule="auto"/>
        <w:ind w:right="-93"/>
        <w:jc w:val="both"/>
        <w:rPr>
          <w:rFonts w:ascii="Palatino Linotype" w:hAnsi="Palatino Linotype" w:cs="Tahoma"/>
          <w:b/>
          <w:sz w:val="22"/>
          <w:szCs w:val="22"/>
        </w:rPr>
      </w:pPr>
      <w:r w:rsidRPr="00696DD6">
        <w:rPr>
          <w:rFonts w:ascii="Palatino Linotype" w:hAnsi="Palatino Linotype" w:cs="Tahoma"/>
          <w:b/>
          <w:sz w:val="22"/>
          <w:szCs w:val="22"/>
          <w:lang w:val="es-ES"/>
        </w:rPr>
        <w:t xml:space="preserve">CUARTO. </w:t>
      </w:r>
      <w:r w:rsidRPr="00696DD6">
        <w:rPr>
          <w:rFonts w:ascii="Palatino Linotype" w:hAnsi="Palatino Linotype" w:cs="Tahoma"/>
          <w:b/>
          <w:sz w:val="22"/>
          <w:szCs w:val="22"/>
        </w:rPr>
        <w:t>Marco normativo aplicable en materia de transparencia y acceso a la información pública.</w:t>
      </w:r>
    </w:p>
    <w:p w:rsidRPr="007C0B21" w:rsidR="00CE0B4C" w:rsidP="00147516" w:rsidRDefault="00CE0B4C" w14:paraId="4288C575" w14:textId="77777777">
      <w:pPr>
        <w:spacing w:line="360" w:lineRule="auto"/>
        <w:contextualSpacing/>
        <w:jc w:val="both"/>
        <w:rPr>
          <w:rFonts w:ascii="Palatino Linotype" w:hAnsi="Palatino Linotype" w:cs="Tahoma"/>
          <w:sz w:val="22"/>
          <w:szCs w:val="22"/>
        </w:rPr>
      </w:pPr>
    </w:p>
    <w:p w:rsidRPr="007C0B21" w:rsidR="00CE0B4C" w:rsidP="00147516" w:rsidRDefault="00CE0B4C" w14:paraId="140BF2E5" w14:textId="77777777">
      <w:pPr>
        <w:widowControl w:val="0"/>
        <w:spacing w:line="360" w:lineRule="auto"/>
        <w:contextualSpacing/>
        <w:jc w:val="both"/>
        <w:rPr>
          <w:rFonts w:ascii="Palatino Linotype" w:hAnsi="Palatino Linotype" w:cs="Tahoma"/>
          <w:sz w:val="22"/>
          <w:szCs w:val="22"/>
        </w:rPr>
      </w:pPr>
      <w:r w:rsidRPr="007C0B21">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Pr="007C0B21" w:rsidR="005A1884">
        <w:rPr>
          <w:rFonts w:ascii="Palatino Linotype" w:hAnsi="Palatino Linotype" w:cs="Tahoma"/>
          <w:sz w:val="22"/>
          <w:szCs w:val="22"/>
        </w:rPr>
        <w:t>autoridad</w:t>
      </w:r>
      <w:r w:rsidRPr="007C0B21">
        <w:rPr>
          <w:rFonts w:ascii="Palatino Linotype" w:hAnsi="Palatino Linotype" w:cs="Tahoma"/>
          <w:sz w:val="22"/>
          <w:szCs w:val="22"/>
        </w:rPr>
        <w:t xml:space="preserve"> es pública y sólo podrá ser reservada temporalmente por razones de interés público.</w:t>
      </w:r>
    </w:p>
    <w:p w:rsidRPr="007C0B21" w:rsidR="00CE0B4C" w:rsidP="00147516" w:rsidRDefault="00CE0B4C" w14:paraId="2972096B" w14:textId="77777777">
      <w:pPr>
        <w:spacing w:line="360" w:lineRule="auto"/>
        <w:contextualSpacing/>
        <w:jc w:val="both"/>
        <w:rPr>
          <w:rFonts w:ascii="Palatino Linotype" w:hAnsi="Palatino Linotype" w:cs="Tahoma"/>
          <w:sz w:val="22"/>
          <w:szCs w:val="22"/>
        </w:rPr>
      </w:pPr>
    </w:p>
    <w:p w:rsidRPr="007C0B21" w:rsidR="00CE0B4C" w:rsidP="00147516" w:rsidRDefault="00CE0B4C" w14:paraId="16E019A0"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7C0B21" w:rsidR="00CE0B4C" w:rsidP="00147516" w:rsidRDefault="00CE0B4C" w14:paraId="2E43DB1B" w14:textId="77777777">
      <w:pPr>
        <w:spacing w:line="360" w:lineRule="auto"/>
        <w:jc w:val="both"/>
        <w:rPr>
          <w:rFonts w:ascii="Palatino Linotype" w:hAnsi="Palatino Linotype" w:cs="Tahoma"/>
          <w:sz w:val="22"/>
          <w:szCs w:val="22"/>
        </w:rPr>
      </w:pPr>
    </w:p>
    <w:p w:rsidRPr="007C0B21" w:rsidR="00CE0B4C" w:rsidP="00147516" w:rsidRDefault="00CE0B4C" w14:paraId="7C395553"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7C0B21" w:rsidR="00CE0B4C" w:rsidP="00147516" w:rsidRDefault="00CE0B4C" w14:paraId="3E8B4C09" w14:textId="77777777">
      <w:pPr>
        <w:spacing w:line="360" w:lineRule="auto"/>
        <w:jc w:val="both"/>
        <w:rPr>
          <w:rFonts w:ascii="Palatino Linotype" w:hAnsi="Palatino Linotype" w:cs="Tahoma"/>
          <w:sz w:val="22"/>
          <w:szCs w:val="22"/>
        </w:rPr>
      </w:pPr>
    </w:p>
    <w:p w:rsidRPr="007C0B21" w:rsidR="00CE0B4C" w:rsidP="00147516" w:rsidRDefault="00CE0B4C" w14:paraId="00F0CAEB"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C0B21" w:rsidR="00CE0B4C" w:rsidP="00147516" w:rsidRDefault="00CE0B4C" w14:paraId="4E4BABFB"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lastRenderedPageBreak/>
        <w:t>Por su parte, la Ley de Transparencia y Acceso a la Información Pública del Estado de México y Municipios (Reglamentaria del artículo 5° de la Constitución Local), establece lo siguiente:</w:t>
      </w:r>
    </w:p>
    <w:p w:rsidRPr="007C0B21" w:rsidR="00CE0B4C" w:rsidP="00147516" w:rsidRDefault="00CE0B4C" w14:paraId="4811A74B" w14:textId="77777777">
      <w:pPr>
        <w:spacing w:line="360" w:lineRule="auto"/>
        <w:jc w:val="both"/>
        <w:rPr>
          <w:rFonts w:ascii="Palatino Linotype" w:hAnsi="Palatino Linotype" w:cs="Tahoma"/>
          <w:sz w:val="22"/>
          <w:szCs w:val="22"/>
        </w:rPr>
      </w:pPr>
    </w:p>
    <w:p w:rsidR="00CE0B4C" w:rsidP="00147516" w:rsidRDefault="00CE0B4C" w14:paraId="684BC801"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12, que, quienes generen, recopilen, administren, manejen, procesen, archiven o conserven información pública serán responsables de la misma.</w:t>
      </w:r>
    </w:p>
    <w:p w:rsidRPr="007C0B21" w:rsidR="00EF5683" w:rsidP="00147516" w:rsidRDefault="00EF5683" w14:paraId="3E44AD73" w14:textId="77777777">
      <w:pPr>
        <w:spacing w:line="360" w:lineRule="auto"/>
        <w:jc w:val="both"/>
        <w:rPr>
          <w:rFonts w:ascii="Palatino Linotype" w:hAnsi="Palatino Linotype" w:cs="Tahoma"/>
          <w:sz w:val="22"/>
          <w:szCs w:val="22"/>
        </w:rPr>
      </w:pPr>
    </w:p>
    <w:p w:rsidRPr="007C0B21" w:rsidR="00CE0B4C" w:rsidP="00147516" w:rsidRDefault="00CE0B4C" w14:paraId="6BBEDB82"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7C0B21" w:rsidR="00CE0B4C" w:rsidP="00147516" w:rsidRDefault="00CE0B4C" w14:paraId="13F7F60D" w14:textId="77777777">
      <w:pPr>
        <w:spacing w:line="360" w:lineRule="auto"/>
        <w:jc w:val="both"/>
        <w:rPr>
          <w:rFonts w:ascii="Palatino Linotype" w:hAnsi="Palatino Linotype" w:cs="Tahoma"/>
          <w:sz w:val="22"/>
          <w:szCs w:val="22"/>
        </w:rPr>
      </w:pPr>
    </w:p>
    <w:p w:rsidRPr="007C0B21" w:rsidR="00CE0B4C" w:rsidP="00147516" w:rsidRDefault="00CE0B4C" w14:paraId="2AA712E3"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7C0B21" w:rsidR="00CE0B4C" w:rsidP="00147516" w:rsidRDefault="00CE0B4C" w14:paraId="668C50D9" w14:textId="77777777">
      <w:pPr>
        <w:spacing w:line="360" w:lineRule="auto"/>
        <w:ind w:right="-93"/>
        <w:jc w:val="both"/>
        <w:rPr>
          <w:rFonts w:ascii="Palatino Linotype" w:hAnsi="Palatino Linotype" w:cs="Tahoma"/>
          <w:b/>
          <w:sz w:val="22"/>
          <w:szCs w:val="22"/>
          <w:lang w:val="es-ES"/>
        </w:rPr>
      </w:pPr>
    </w:p>
    <w:p w:rsidRPr="007C0B21" w:rsidR="00CE0B4C" w:rsidP="00147516" w:rsidRDefault="00CE0B4C" w14:paraId="3006927D" w14:textId="77777777">
      <w:pPr>
        <w:spacing w:line="360" w:lineRule="auto"/>
        <w:ind w:right="-93"/>
        <w:jc w:val="both"/>
        <w:rPr>
          <w:rFonts w:ascii="Palatino Linotype" w:hAnsi="Palatino Linotype" w:cs="Tahoma"/>
          <w:b/>
          <w:sz w:val="22"/>
          <w:szCs w:val="22"/>
          <w:lang w:val="es-ES"/>
        </w:rPr>
      </w:pPr>
      <w:r w:rsidRPr="00260BF5">
        <w:rPr>
          <w:rFonts w:ascii="Palatino Linotype" w:hAnsi="Palatino Linotype" w:cs="Tahoma"/>
          <w:b/>
          <w:sz w:val="22"/>
          <w:szCs w:val="22"/>
          <w:lang w:val="es-ES"/>
        </w:rPr>
        <w:t>QUINTO. Estudio de Fondo.</w:t>
      </w:r>
    </w:p>
    <w:p w:rsidRPr="007C0B21" w:rsidR="00CE0B4C" w:rsidP="00147516" w:rsidRDefault="00CE0B4C" w14:paraId="072E9058" w14:textId="77777777">
      <w:pPr>
        <w:spacing w:line="360" w:lineRule="auto"/>
        <w:jc w:val="both"/>
        <w:rPr>
          <w:rFonts w:ascii="Palatino Linotype" w:hAnsi="Palatino Linotype" w:cs="Tahoma"/>
          <w:sz w:val="22"/>
          <w:szCs w:val="22"/>
          <w:lang w:val="es-ES"/>
        </w:rPr>
      </w:pPr>
    </w:p>
    <w:p w:rsidRPr="007C0B21" w:rsidR="00CE0B4C" w:rsidP="00147516" w:rsidRDefault="00CE0B4C" w14:paraId="206425A9"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rsidRPr="007C0B21" w:rsidR="00CE0B4C" w:rsidP="00147516" w:rsidRDefault="00CE0B4C" w14:paraId="3D0585E2" w14:textId="77777777">
      <w:pPr>
        <w:spacing w:line="360" w:lineRule="auto"/>
        <w:jc w:val="both"/>
        <w:rPr>
          <w:rFonts w:ascii="Palatino Linotype" w:hAnsi="Palatino Linotype" w:cs="Tahoma"/>
          <w:sz w:val="22"/>
          <w:szCs w:val="22"/>
        </w:rPr>
      </w:pPr>
    </w:p>
    <w:p w:rsidRPr="007C0B21" w:rsidR="00CE0B4C" w:rsidP="00147516" w:rsidRDefault="00CE0B4C" w14:paraId="17EDFF81"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w:t>
      </w:r>
      <w:r w:rsidRPr="007C0B21">
        <w:rPr>
          <w:rFonts w:ascii="Palatino Linotype" w:hAnsi="Palatino Linotype" w:eastAsia="Calibri" w:cs="Tahoma"/>
          <w:bCs/>
          <w:sz w:val="22"/>
          <w:szCs w:val="22"/>
          <w:lang w:eastAsia="en-US"/>
        </w:rPr>
        <w:lastRenderedPageBreak/>
        <w:t xml:space="preserve">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Pr="007C0B21" w:rsidR="00CE0B4C" w:rsidP="00147516" w:rsidRDefault="00CE0B4C" w14:paraId="206FA785" w14:textId="77777777">
      <w:pPr>
        <w:spacing w:line="360" w:lineRule="auto"/>
        <w:ind w:right="-93"/>
        <w:jc w:val="both"/>
        <w:rPr>
          <w:rFonts w:ascii="Palatino Linotype" w:hAnsi="Palatino Linotype" w:eastAsia="Calibri" w:cs="Tahoma"/>
          <w:bCs/>
          <w:sz w:val="22"/>
          <w:szCs w:val="22"/>
          <w:lang w:eastAsia="en-US"/>
        </w:rPr>
      </w:pPr>
    </w:p>
    <w:p w:rsidRPr="007C0B21" w:rsidR="00CE0B4C" w:rsidP="00147516" w:rsidRDefault="00CE0B4C" w14:paraId="5AB8921B" w14:textId="46A55801">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r w:rsidR="00027B36">
        <w:rPr>
          <w:rFonts w:ascii="Palatino Linotype" w:hAnsi="Palatino Linotype" w:eastAsia="Calibri" w:cs="Tahoma"/>
          <w:bCs/>
          <w:sz w:val="22"/>
          <w:szCs w:val="22"/>
          <w:lang w:eastAsia="en-US"/>
        </w:rPr>
        <w:t xml:space="preserve"> </w:t>
      </w:r>
      <w:r w:rsidRPr="007C0B21">
        <w:rPr>
          <w:rFonts w:ascii="Palatino Linotype" w:hAnsi="Palatino Linotype" w:eastAsia="Calibri"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7C0B21">
        <w:rPr>
          <w:rFonts w:ascii="Palatino Linotype" w:hAnsi="Palatino Linotype" w:eastAsia="Calibri" w:cs="Tahoma"/>
          <w:bCs/>
          <w:i/>
          <w:sz w:val="22"/>
          <w:szCs w:val="22"/>
          <w:lang w:eastAsia="en-US"/>
        </w:rPr>
        <w:t>ad hoc</w:t>
      </w:r>
      <w:r w:rsidRPr="007C0B21">
        <w:rPr>
          <w:rFonts w:ascii="Palatino Linotype" w:hAnsi="Palatino Linotype" w:eastAsia="Calibri"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00CE0B4C" w:rsidP="00147516" w:rsidRDefault="00CE0B4C" w14:paraId="75CA09A5" w14:textId="77777777">
      <w:pPr>
        <w:spacing w:line="360" w:lineRule="auto"/>
        <w:ind w:right="-93"/>
        <w:jc w:val="both"/>
        <w:rPr>
          <w:rFonts w:ascii="Palatino Linotype" w:hAnsi="Palatino Linotype" w:eastAsia="Calibri" w:cs="Tahoma"/>
          <w:bCs/>
          <w:sz w:val="22"/>
          <w:szCs w:val="22"/>
          <w:lang w:eastAsia="en-US"/>
        </w:rPr>
      </w:pPr>
    </w:p>
    <w:p w:rsidRPr="007C0B21" w:rsidR="00CE0B4C" w:rsidP="00147516" w:rsidRDefault="00CE0B4C" w14:paraId="62E0F819"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375832" w:rsidP="00147516" w:rsidRDefault="00375832" w14:paraId="6B9ACC58" w14:textId="77777777">
      <w:pPr>
        <w:spacing w:line="360" w:lineRule="auto"/>
        <w:contextualSpacing/>
        <w:jc w:val="both"/>
        <w:rPr>
          <w:rFonts w:ascii="Palatino Linotype" w:hAnsi="Palatino Linotype" w:cs="Tahoma"/>
          <w:color w:val="000000" w:themeColor="text1"/>
          <w:sz w:val="22"/>
          <w:szCs w:val="22"/>
        </w:rPr>
      </w:pPr>
    </w:p>
    <w:p w:rsidR="00232163" w:rsidP="00232163" w:rsidRDefault="00232163" w14:paraId="2C9E3013" w14:textId="77777777">
      <w:pPr>
        <w:spacing w:line="360" w:lineRule="auto"/>
        <w:contextualSpacing/>
        <w:jc w:val="both"/>
        <w:rPr>
          <w:rFonts w:ascii="Palatino Linotype" w:hAnsi="Palatino Linotype" w:cs="Tahoma"/>
          <w:sz w:val="22"/>
          <w:szCs w:val="22"/>
          <w:lang w:val="es-ES"/>
        </w:rPr>
      </w:pPr>
      <w:r w:rsidRPr="007C5905">
        <w:rPr>
          <w:rFonts w:ascii="Palatino Linotype" w:hAnsi="Palatino Linotype" w:cs="Tahoma"/>
          <w:sz w:val="22"/>
          <w:szCs w:val="22"/>
          <w:lang w:val="es-ES"/>
        </w:rPr>
        <w:t xml:space="preserve">Una vez establecido lo anterior, </w:t>
      </w:r>
      <w:r>
        <w:rPr>
          <w:rFonts w:ascii="Palatino Linotype" w:hAnsi="Palatino Linotype" w:cs="Tahoma"/>
          <w:sz w:val="22"/>
          <w:szCs w:val="22"/>
          <w:lang w:val="es-ES"/>
        </w:rPr>
        <w:t>es necesario precisar que el Particular requiere la información del Sujeto Obligado, así como de sus Organismos Descentralizados por lo que se trae a colación el Bando municipal de Amecameca, mismo que en su artículo 32 establece que para la consulta, estudio, planeación y despacho de los asuntos el Presidente Municipal se auxiliara entre otros de los Organismos descentralizados, dentro de los que se encuentran los siguientes:</w:t>
      </w:r>
    </w:p>
    <w:p w:rsidRPr="00581BF3" w:rsidR="00232163" w:rsidP="00232163" w:rsidRDefault="00232163" w14:paraId="4BA71627" w14:textId="77777777">
      <w:pPr>
        <w:pStyle w:val="Prrafodelista"/>
        <w:numPr>
          <w:ilvl w:val="0"/>
          <w:numId w:val="24"/>
        </w:numPr>
        <w:spacing w:line="360" w:lineRule="auto"/>
        <w:jc w:val="both"/>
        <w:rPr>
          <w:rFonts w:ascii="Palatino Linotype" w:hAnsi="Palatino Linotype" w:cs="Tahoma"/>
          <w:bCs/>
          <w:szCs w:val="22"/>
          <w:lang w:val="es-ES"/>
        </w:rPr>
      </w:pPr>
      <w:r w:rsidRPr="00581BF3">
        <w:rPr>
          <w:rFonts w:ascii="Palatino Linotype" w:hAnsi="Palatino Linotype" w:cs="Tahoma"/>
          <w:bCs/>
          <w:szCs w:val="22"/>
          <w:lang w:val="es-ES"/>
        </w:rPr>
        <w:lastRenderedPageBreak/>
        <w:t>Organismo Público Descentralizado de Asistencia social “Sistema Municipal para el Desarrollo Integral de la Familia de Amecameca.</w:t>
      </w:r>
    </w:p>
    <w:p w:rsidRPr="00581BF3" w:rsidR="00232163" w:rsidP="00232163" w:rsidRDefault="00232163" w14:paraId="6409BA6C" w14:textId="77777777">
      <w:pPr>
        <w:pStyle w:val="Prrafodelista"/>
        <w:numPr>
          <w:ilvl w:val="0"/>
          <w:numId w:val="24"/>
        </w:numPr>
        <w:spacing w:line="360" w:lineRule="auto"/>
        <w:jc w:val="both"/>
        <w:rPr>
          <w:rFonts w:ascii="Palatino Linotype" w:hAnsi="Palatino Linotype" w:cs="Tahoma"/>
          <w:bCs/>
          <w:szCs w:val="22"/>
          <w:lang w:val="es-ES"/>
        </w:rPr>
      </w:pPr>
      <w:r w:rsidRPr="00581BF3">
        <w:rPr>
          <w:rFonts w:ascii="Palatino Linotype" w:hAnsi="Palatino Linotype" w:cs="Tahoma"/>
          <w:bCs/>
          <w:szCs w:val="22"/>
          <w:lang w:val="es-ES"/>
        </w:rPr>
        <w:t>Organismo Público Descentralizado para la prestación de servicios de Agua Potable, Alcantarillado y Saneamiento (O.P.D.A.A.S)</w:t>
      </w:r>
    </w:p>
    <w:p w:rsidRPr="00581BF3" w:rsidR="00232163" w:rsidP="00232163" w:rsidRDefault="00232163" w14:paraId="64419C6C" w14:textId="77777777">
      <w:pPr>
        <w:pStyle w:val="Prrafodelista"/>
        <w:numPr>
          <w:ilvl w:val="0"/>
          <w:numId w:val="24"/>
        </w:numPr>
        <w:spacing w:line="360" w:lineRule="auto"/>
        <w:jc w:val="both"/>
        <w:rPr>
          <w:rFonts w:ascii="Palatino Linotype" w:hAnsi="Palatino Linotype" w:cs="Tahoma"/>
          <w:bCs/>
          <w:szCs w:val="22"/>
          <w:lang w:val="es-ES"/>
        </w:rPr>
      </w:pPr>
      <w:r w:rsidRPr="00581BF3">
        <w:rPr>
          <w:rFonts w:ascii="Palatino Linotype" w:hAnsi="Palatino Linotype" w:cs="Tahoma"/>
          <w:bCs/>
          <w:szCs w:val="22"/>
          <w:lang w:val="es-ES"/>
        </w:rPr>
        <w:t>Instituto Municipal de Cultura física y Deporte de Amecameca (I.M.C.U.F.I.D.E.)</w:t>
      </w:r>
    </w:p>
    <w:p w:rsidRPr="00581BF3" w:rsidR="00232163" w:rsidP="00232163" w:rsidRDefault="00232163" w14:paraId="441AB73F" w14:textId="77777777">
      <w:pPr>
        <w:spacing w:line="360" w:lineRule="auto"/>
        <w:contextualSpacing/>
        <w:jc w:val="both"/>
        <w:rPr>
          <w:rFonts w:ascii="Palatino Linotype" w:hAnsi="Palatino Linotype" w:cs="Tahoma"/>
          <w:bCs/>
          <w:sz w:val="22"/>
          <w:szCs w:val="22"/>
          <w:lang w:val="es-ES"/>
        </w:rPr>
      </w:pPr>
    </w:p>
    <w:p w:rsidR="001A66CD" w:rsidP="001A66CD" w:rsidRDefault="00232163" w14:paraId="4FF4C7D3" w14:textId="7777777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Ahora bien, es de recordar que el Sujeto Obligado en respuesta a través del Tesorero Municipal señaló que no contaba con la información además de adjuntar el acta de inexistencia de la información, no obstante, se realiza un análisis por cada uno de los puntos a efecto de verificar si la respuesta satisface el derecho de acceso a la información del Particular. R</w:t>
      </w:r>
      <w:r w:rsidRPr="004472EA" w:rsidR="001A66CD">
        <w:rPr>
          <w:rFonts w:ascii="Palatino Linotype" w:hAnsi="Palatino Linotype" w:cs="Tahoma"/>
          <w:sz w:val="22"/>
          <w:szCs w:val="22"/>
          <w:lang w:val="es-ES"/>
        </w:rPr>
        <w:t xml:space="preserve">especto del </w:t>
      </w:r>
      <w:r w:rsidR="001A66CD">
        <w:rPr>
          <w:rFonts w:ascii="Palatino Linotype" w:hAnsi="Palatino Linotype" w:cs="Tahoma"/>
          <w:b/>
          <w:sz w:val="22"/>
          <w:szCs w:val="22"/>
          <w:lang w:val="es-ES"/>
        </w:rPr>
        <w:t>punto 1</w:t>
      </w:r>
      <w:r w:rsidRPr="004472EA" w:rsidR="001A66CD">
        <w:rPr>
          <w:rFonts w:ascii="Palatino Linotype" w:hAnsi="Palatino Linotype" w:cs="Tahoma"/>
          <w:sz w:val="22"/>
          <w:szCs w:val="22"/>
          <w:lang w:val="es-ES"/>
        </w:rPr>
        <w:t>, “Reportes del Aplicativo “Visor de nómina SAT” de los años 2018 a 2021, en sus tres tipos de presentaciones, de conformidad con la página electrónica del Servic</w:t>
      </w:r>
      <w:r w:rsidR="001A66CD">
        <w:rPr>
          <w:rFonts w:ascii="Palatino Linotype" w:hAnsi="Palatino Linotype" w:cs="Tahoma"/>
          <w:sz w:val="22"/>
          <w:szCs w:val="22"/>
          <w:lang w:val="es-ES"/>
        </w:rPr>
        <w:t>io de Administración Tributaria</w:t>
      </w:r>
      <w:r w:rsidRPr="004472EA" w:rsidR="001A66CD">
        <w:rPr>
          <w:rFonts w:ascii="Palatino Linotype" w:hAnsi="Palatino Linotype" w:cs="Tahoma"/>
          <w:sz w:val="22"/>
          <w:szCs w:val="22"/>
          <w:lang w:val="es-ES"/>
        </w:rPr>
        <w:t>, es una herramienta que permite a los Contribuyentes que hacen pagos por sueldos y salarios, la consulta de los pagos realizados a tus trabajadores de forma acumulada, así como para verificar la información de forma individual de cada uno de tus empleados que les haya expedido un comprobante de nómina, permitiéndote conciliar el impuesto retenido contra el enterado en pagos provisionales.</w:t>
      </w:r>
    </w:p>
    <w:p w:rsidR="001A66CD" w:rsidP="001A66CD" w:rsidRDefault="001A66CD" w14:paraId="7CA2BE9E" w14:textId="77777777">
      <w:pPr>
        <w:spacing w:line="360" w:lineRule="auto"/>
        <w:jc w:val="both"/>
        <w:rPr>
          <w:rFonts w:ascii="Palatino Linotype" w:hAnsi="Palatino Linotype" w:cs="Tahoma"/>
          <w:sz w:val="22"/>
          <w:szCs w:val="22"/>
          <w:lang w:val="es-ES"/>
        </w:rPr>
      </w:pPr>
    </w:p>
    <w:p w:rsidR="001A66CD" w:rsidP="001A66CD" w:rsidRDefault="001A66CD" w14:paraId="0A77B2DB" w14:textId="77777777">
      <w:pPr>
        <w:spacing w:line="360" w:lineRule="auto"/>
        <w:jc w:val="both"/>
        <w:rPr>
          <w:rFonts w:ascii="Palatino Linotype" w:hAnsi="Palatino Linotype" w:cs="Tahoma"/>
          <w:sz w:val="22"/>
          <w:szCs w:val="22"/>
          <w:lang w:val="es-ES"/>
        </w:rPr>
      </w:pPr>
      <w:r w:rsidRPr="004472EA">
        <w:rPr>
          <w:rFonts w:ascii="Palatino Linotype" w:hAnsi="Palatino Linotype" w:cs="Tahoma"/>
          <w:sz w:val="22"/>
          <w:szCs w:val="22"/>
          <w:lang w:val="es-ES"/>
        </w:rPr>
        <w:t>La mencionada herramienta que es ofrecida por el Servicio de Administración Tributaria (SAT), a los contribuyentes, a efecto que se dé cumplimiento a los artículo</w:t>
      </w:r>
      <w:r>
        <w:rPr>
          <w:rFonts w:ascii="Palatino Linotype" w:hAnsi="Palatino Linotype" w:cs="Tahoma"/>
          <w:sz w:val="22"/>
          <w:szCs w:val="22"/>
          <w:lang w:val="es-ES"/>
        </w:rPr>
        <w:t>s</w:t>
      </w:r>
      <w:r w:rsidRPr="004472EA">
        <w:rPr>
          <w:rFonts w:ascii="Palatino Linotype" w:hAnsi="Palatino Linotype" w:cs="Tahoma"/>
          <w:sz w:val="22"/>
          <w:szCs w:val="22"/>
          <w:lang w:val="es-ES"/>
        </w:rPr>
        <w:t xml:space="preserve"> 27, fracción V, 96, 97 y 99, fracciones I y III de la Ley del Impuesto Sobre la Renta, los cuales para mayor referencia se procede a citar a continuación:</w:t>
      </w:r>
    </w:p>
    <w:p w:rsidR="001A66CD" w:rsidP="001A66CD" w:rsidRDefault="001A66CD" w14:paraId="2D152DFD" w14:textId="77777777">
      <w:pPr>
        <w:spacing w:line="360" w:lineRule="auto"/>
        <w:jc w:val="both"/>
        <w:rPr>
          <w:rFonts w:ascii="Palatino Linotype" w:hAnsi="Palatino Linotype" w:cs="Tahoma"/>
          <w:sz w:val="22"/>
          <w:szCs w:val="22"/>
          <w:lang w:val="es-ES"/>
        </w:rPr>
      </w:pPr>
    </w:p>
    <w:p w:rsidRPr="00635E67" w:rsidR="001A66CD" w:rsidP="001A66CD" w:rsidRDefault="001A66CD" w14:paraId="2091FFC1" w14:textId="77777777">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w:t>
      </w:r>
      <w:r w:rsidRPr="00635E67">
        <w:rPr>
          <w:rFonts w:ascii="Palatino Linotype" w:hAnsi="Palatino Linotype" w:cs="Arial"/>
          <w:b/>
          <w:i/>
          <w:sz w:val="20"/>
        </w:rPr>
        <w:t>Artículo 27</w:t>
      </w:r>
      <w:r w:rsidRPr="00635E67">
        <w:rPr>
          <w:rFonts w:ascii="Palatino Linotype" w:hAnsi="Palatino Linotype" w:cs="Arial"/>
          <w:i/>
          <w:sz w:val="20"/>
        </w:rPr>
        <w:t>. Las deducciones autorizadas en este Título deberán reunir los siguientes requisitos:</w:t>
      </w:r>
    </w:p>
    <w:p w:rsidRPr="00635E67" w:rsidR="001A66CD" w:rsidP="001A66CD" w:rsidRDefault="001A66CD" w14:paraId="1C0D5579" w14:textId="77777777">
      <w:pPr>
        <w:pStyle w:val="Prrafodelista"/>
        <w:spacing w:line="360" w:lineRule="auto"/>
        <w:ind w:left="567" w:right="539"/>
        <w:contextualSpacing w:val="0"/>
        <w:jc w:val="both"/>
        <w:rPr>
          <w:rFonts w:ascii="Palatino Linotype" w:hAnsi="Palatino Linotype" w:cs="Arial"/>
          <w:i/>
          <w:sz w:val="20"/>
        </w:rPr>
      </w:pPr>
      <w:r>
        <w:rPr>
          <w:rFonts w:ascii="Palatino Linotype" w:hAnsi="Palatino Linotype" w:cs="Arial"/>
          <w:i/>
          <w:sz w:val="20"/>
        </w:rPr>
        <w:t>I a IV…</w:t>
      </w:r>
    </w:p>
    <w:p w:rsidRPr="00635E67" w:rsidR="001A66CD" w:rsidP="001A66CD" w:rsidRDefault="001A66CD" w14:paraId="4694CBF0" w14:textId="77777777">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 xml:space="preserve">V. Cumplir con las obligaciones establecidas en esta Ley y las demás disposiciones fiscales en materia de retención y entero de impuestos a cargo de terceros o que, en su caso, se recabe de éstos copia de </w:t>
      </w:r>
      <w:r w:rsidRPr="00635E67">
        <w:rPr>
          <w:rFonts w:ascii="Palatino Linotype" w:hAnsi="Palatino Linotype" w:cs="Arial"/>
          <w:i/>
          <w:sz w:val="20"/>
        </w:rPr>
        <w:lastRenderedPageBreak/>
        <w:t>los documentos en que conste el pago de dichos impuestos. Tratándose de pagos al extranjero, éstos sólo se podrán deducir siempre que el contribuyente proporcione la información a que esté obligado en los términos del artículo 76 de esta Ley.</w:t>
      </w:r>
      <w:r w:rsidRPr="00635E67">
        <w:rPr>
          <w:rFonts w:ascii="Palatino Linotype" w:hAnsi="Palatino Linotype" w:cs="Arial"/>
          <w:i/>
          <w:sz w:val="20"/>
        </w:rPr>
        <w:cr/>
        <w:t xml:space="preserve"> </w:t>
      </w:r>
    </w:p>
    <w:p w:rsidRPr="00635E67" w:rsidR="001A66CD" w:rsidP="001A66CD" w:rsidRDefault="001A66CD" w14:paraId="55608CE1" w14:textId="77777777">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Los pagos que a la vez sean ingresos en los términos del Capítulo I del Título IV, de esta Ley, se podrán deducir siempre que las erogaciones por concepto de remuneración, las retenciones correspondientes y las deducciones del impuesto local por salarios y, en general, por la prestación de un servicio personal independiente, consten en comprobantes fiscales emitidos en términos del Código Fiscal de la Federación y se cumpla con las obligaciones a que se refiere el artículo 99, fracciones I, II, III y V de la presente Ley, así como las disposiciones que, en su caso, regulen el subsidio para el empleo y los contribuyentes cumplan con la obligación de inscribir a los trabajadores en el Instituto Mexicano del Seguro Social cuando estén obligados a ello, en los términos de las leyes de seguridad social.</w:t>
      </w:r>
    </w:p>
    <w:p w:rsidR="001A66CD" w:rsidP="001A66CD" w:rsidRDefault="001A66CD" w14:paraId="740973A5" w14:textId="77777777">
      <w:pPr>
        <w:pStyle w:val="Prrafodelista"/>
        <w:spacing w:line="360" w:lineRule="auto"/>
        <w:ind w:left="567" w:right="539"/>
        <w:contextualSpacing w:val="0"/>
        <w:jc w:val="both"/>
        <w:rPr>
          <w:rFonts w:ascii="Palatino Linotype" w:hAnsi="Palatino Linotype" w:cs="Arial"/>
          <w:i/>
          <w:sz w:val="20"/>
        </w:rPr>
      </w:pPr>
    </w:p>
    <w:p w:rsidRPr="00635E67" w:rsidR="001A66CD" w:rsidP="001A66CD" w:rsidRDefault="001A66CD" w14:paraId="29A66DF7" w14:textId="77777777">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Tratándose de la prestación de servicios especializados o de la ejecución de obras especializadas a que se refiere el artículo 15-D, tercer párrafo del Código Fiscal de la Federación, el contratante deberá verificar cuando se efectúe el pago de la contraprestación por el servicio recibido, que el contratista cuente con el registro a que se refiere el artículo 15 de la Ley Federal del Trabajo, asimismo, deberá obtener del contratista copia de los comprobantes fiscales por concepto de pago de salarios de los trabajadores con los que le hayan proporcionado el servicio o ejecutado la obra correspondiente, del recibo de pago expedido por institución bancaria por la declaración de entero de las retenciones de impuestos efectuadas a dichos trabajadores, del pago de las cuotas obrero patronales al Instituto Mexicano del Seguro Social, así como del pago de las aportaciones al Instituto del Fondo Nacional de la Vivienda para los Trabajadores. El contratista estará obligado a entregar al contratante los comprobantes y la información a que se refiere este párrafo.</w:t>
      </w:r>
    </w:p>
    <w:p w:rsidR="001A66CD" w:rsidP="001A66CD" w:rsidRDefault="001A66CD" w14:paraId="70D55B4B" w14:textId="77777777">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b/>
          <w:i/>
          <w:sz w:val="20"/>
        </w:rPr>
        <w:t>VI a XXII</w:t>
      </w:r>
      <w:r>
        <w:rPr>
          <w:rFonts w:ascii="Palatino Linotype" w:hAnsi="Palatino Linotype" w:cs="Arial"/>
          <w:i/>
          <w:sz w:val="20"/>
        </w:rPr>
        <w:t>…</w:t>
      </w:r>
    </w:p>
    <w:p w:rsidRPr="00635E67" w:rsidR="001A66CD" w:rsidP="001A66CD" w:rsidRDefault="001A66CD" w14:paraId="441C3FC9" w14:textId="77777777">
      <w:pPr>
        <w:pStyle w:val="Prrafodelista"/>
        <w:spacing w:line="276" w:lineRule="auto"/>
        <w:ind w:left="567" w:right="539"/>
        <w:contextualSpacing w:val="0"/>
        <w:jc w:val="both"/>
        <w:rPr>
          <w:rFonts w:ascii="Palatino Linotype" w:hAnsi="Palatino Linotype" w:cs="Arial"/>
          <w:i/>
          <w:sz w:val="20"/>
        </w:rPr>
      </w:pPr>
    </w:p>
    <w:p w:rsidRPr="00635E67" w:rsidR="001A66CD" w:rsidP="001A66CD" w:rsidRDefault="001A66CD" w14:paraId="0AC7DF75" w14:textId="77777777">
      <w:pPr>
        <w:pStyle w:val="Prrafodelista"/>
        <w:spacing w:line="360" w:lineRule="auto"/>
        <w:ind w:left="567" w:right="539"/>
        <w:contextualSpacing w:val="0"/>
        <w:jc w:val="center"/>
        <w:rPr>
          <w:rFonts w:ascii="Palatino Linotype" w:hAnsi="Palatino Linotype" w:cs="Arial"/>
          <w:b/>
          <w:i/>
          <w:sz w:val="20"/>
        </w:rPr>
      </w:pPr>
      <w:r w:rsidRPr="00635E67">
        <w:rPr>
          <w:rFonts w:ascii="Palatino Linotype" w:hAnsi="Palatino Linotype" w:cs="Arial"/>
          <w:b/>
          <w:i/>
          <w:sz w:val="20"/>
        </w:rPr>
        <w:t>CAPÍTULO I</w:t>
      </w:r>
    </w:p>
    <w:p w:rsidRPr="00635E67" w:rsidR="001A66CD" w:rsidP="001A66CD" w:rsidRDefault="001A66CD" w14:paraId="30D45263" w14:textId="77777777">
      <w:pPr>
        <w:pStyle w:val="Prrafodelista"/>
        <w:spacing w:line="360" w:lineRule="auto"/>
        <w:ind w:left="567" w:right="539"/>
        <w:contextualSpacing w:val="0"/>
        <w:jc w:val="center"/>
        <w:rPr>
          <w:rFonts w:ascii="Palatino Linotype" w:hAnsi="Palatino Linotype" w:cs="Arial"/>
          <w:b/>
          <w:i/>
          <w:sz w:val="20"/>
        </w:rPr>
      </w:pPr>
      <w:r w:rsidRPr="00635E67">
        <w:rPr>
          <w:rFonts w:ascii="Palatino Linotype" w:hAnsi="Palatino Linotype" w:cs="Arial"/>
          <w:b/>
          <w:i/>
          <w:sz w:val="20"/>
        </w:rPr>
        <w:t>DE LOS INGRESOS POR SALARIOS Y EN GENERAL POR</w:t>
      </w:r>
    </w:p>
    <w:p w:rsidRPr="00635E67" w:rsidR="001A66CD" w:rsidP="001A66CD" w:rsidRDefault="001A66CD" w14:paraId="5C69735C" w14:textId="77777777">
      <w:pPr>
        <w:pStyle w:val="Prrafodelista"/>
        <w:spacing w:line="360" w:lineRule="auto"/>
        <w:ind w:left="567" w:right="539"/>
        <w:contextualSpacing w:val="0"/>
        <w:jc w:val="center"/>
        <w:rPr>
          <w:rFonts w:ascii="Palatino Linotype" w:hAnsi="Palatino Linotype" w:cs="Arial"/>
          <w:b/>
          <w:i/>
          <w:sz w:val="20"/>
        </w:rPr>
      </w:pPr>
      <w:r w:rsidRPr="00635E67">
        <w:rPr>
          <w:rFonts w:ascii="Palatino Linotype" w:hAnsi="Palatino Linotype" w:cs="Arial"/>
          <w:b/>
          <w:i/>
          <w:sz w:val="20"/>
        </w:rPr>
        <w:t>LA PRESTACIÓN DE UN SERVICIO PERSONAL SUBORDINADO</w:t>
      </w:r>
    </w:p>
    <w:p w:rsidRPr="00635E67" w:rsidR="001A66CD" w:rsidP="001A66CD" w:rsidRDefault="001A66CD" w14:paraId="547B70A1" w14:textId="77777777">
      <w:pPr>
        <w:pStyle w:val="Prrafodelista"/>
        <w:spacing w:line="360" w:lineRule="auto"/>
        <w:ind w:left="567" w:right="539"/>
        <w:contextualSpacing w:val="0"/>
        <w:jc w:val="both"/>
        <w:rPr>
          <w:rFonts w:ascii="Palatino Linotype" w:hAnsi="Palatino Linotype" w:cs="Arial"/>
          <w:i/>
          <w:sz w:val="20"/>
        </w:rPr>
      </w:pPr>
    </w:p>
    <w:p w:rsidRPr="00635E67" w:rsidR="001A66CD" w:rsidP="001A66CD" w:rsidRDefault="001A66CD" w14:paraId="1E9CB305" w14:textId="77777777">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b/>
          <w:i/>
          <w:sz w:val="20"/>
        </w:rPr>
        <w:t>Artículo 96.</w:t>
      </w:r>
      <w:r w:rsidRPr="00635E67">
        <w:rPr>
          <w:rFonts w:ascii="Palatino Linotype" w:hAnsi="Palatino Linotype" w:cs="Arial"/>
          <w:i/>
          <w:sz w:val="20"/>
        </w:rPr>
        <w:t xml:space="preserve"> Quienes hagan pagos por los conceptos a que se refiere este Capítulo están obligados a efectuar retenciones y enteros mensuales que tendrán el carácter de pagos provisionales a cuenta del impuesto anual. No se efectuará retención a las personas que en el mes únicamente perciban un salario mínimo general correspondiente al área geográfica del contribuyente.</w:t>
      </w:r>
    </w:p>
    <w:p w:rsidRPr="00635E67" w:rsidR="001A66CD" w:rsidP="001A66CD" w:rsidRDefault="001A66CD" w14:paraId="7C8C9B2F" w14:textId="77777777">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w:t>
      </w:r>
    </w:p>
    <w:p w:rsidRPr="00635E67" w:rsidR="001A66CD" w:rsidP="001A66CD" w:rsidRDefault="001A66CD" w14:paraId="392A4825" w14:textId="77777777">
      <w:pPr>
        <w:pStyle w:val="Prrafodelista"/>
        <w:spacing w:line="360" w:lineRule="auto"/>
        <w:ind w:left="567" w:right="539"/>
        <w:contextualSpacing w:val="0"/>
        <w:jc w:val="both"/>
        <w:rPr>
          <w:rFonts w:ascii="Palatino Linotype" w:hAnsi="Palatino Linotype" w:cs="Arial"/>
          <w:i/>
          <w:sz w:val="20"/>
        </w:rPr>
      </w:pPr>
    </w:p>
    <w:p w:rsidRPr="00635E67" w:rsidR="001A66CD" w:rsidP="001A66CD" w:rsidRDefault="001A66CD" w14:paraId="261E86D7" w14:textId="77777777">
      <w:pPr>
        <w:pStyle w:val="Prrafodelista"/>
        <w:spacing w:line="360" w:lineRule="auto"/>
        <w:ind w:left="567" w:right="539"/>
        <w:contextualSpacing w:val="0"/>
        <w:jc w:val="both"/>
        <w:rPr>
          <w:rFonts w:ascii="Palatino Linotype" w:hAnsi="Palatino Linotype" w:cs="Arial"/>
          <w:i/>
          <w:sz w:val="20"/>
        </w:rPr>
      </w:pPr>
      <w:r w:rsidRPr="003F29DE">
        <w:rPr>
          <w:rFonts w:ascii="Palatino Linotype" w:hAnsi="Palatino Linotype" w:cs="Arial"/>
          <w:b/>
          <w:i/>
          <w:sz w:val="20"/>
        </w:rPr>
        <w:t>Artículo 97</w:t>
      </w:r>
      <w:r w:rsidRPr="00635E67">
        <w:rPr>
          <w:rFonts w:ascii="Palatino Linotype" w:hAnsi="Palatino Linotype" w:cs="Arial"/>
          <w:i/>
          <w:sz w:val="20"/>
        </w:rPr>
        <w:t>. Las personas obligadas a efectuar retenciones en los términos del artículo 96 de esta Ley, calcularán el impuesto anual de cada persona que le hubiere prestado servicios personales subordinados.</w:t>
      </w:r>
      <w:r w:rsidRPr="00635E67">
        <w:rPr>
          <w:rFonts w:ascii="Palatino Linotype" w:hAnsi="Palatino Linotype" w:cs="Arial"/>
          <w:i/>
          <w:sz w:val="20"/>
        </w:rPr>
        <w:cr/>
        <w:t>(…)</w:t>
      </w:r>
    </w:p>
    <w:p w:rsidRPr="00635E67" w:rsidR="001A66CD" w:rsidP="001A66CD" w:rsidRDefault="001A66CD" w14:paraId="7C279FF2" w14:textId="77777777">
      <w:pPr>
        <w:pStyle w:val="Prrafodelista"/>
        <w:spacing w:line="360" w:lineRule="auto"/>
        <w:ind w:left="567" w:right="539"/>
        <w:contextualSpacing w:val="0"/>
        <w:jc w:val="both"/>
        <w:rPr>
          <w:rFonts w:ascii="Palatino Linotype" w:hAnsi="Palatino Linotype" w:cs="Arial"/>
          <w:i/>
          <w:sz w:val="20"/>
        </w:rPr>
      </w:pPr>
    </w:p>
    <w:p w:rsidRPr="00635E67" w:rsidR="001A66CD" w:rsidP="001A66CD" w:rsidRDefault="001A66CD" w14:paraId="17300FD0" w14:textId="77777777">
      <w:pPr>
        <w:pStyle w:val="Prrafodelista"/>
        <w:spacing w:line="360" w:lineRule="auto"/>
        <w:ind w:left="567" w:right="539"/>
        <w:contextualSpacing w:val="0"/>
        <w:jc w:val="both"/>
        <w:rPr>
          <w:rFonts w:ascii="Palatino Linotype" w:hAnsi="Palatino Linotype" w:cs="Arial"/>
          <w:i/>
          <w:sz w:val="20"/>
        </w:rPr>
      </w:pPr>
      <w:r w:rsidRPr="003F29DE">
        <w:rPr>
          <w:rFonts w:ascii="Palatino Linotype" w:hAnsi="Palatino Linotype" w:cs="Arial"/>
          <w:b/>
          <w:i/>
          <w:sz w:val="20"/>
        </w:rPr>
        <w:t>Artículo 99</w:t>
      </w:r>
      <w:r w:rsidRPr="00635E67">
        <w:rPr>
          <w:rFonts w:ascii="Palatino Linotype" w:hAnsi="Palatino Linotype" w:cs="Arial"/>
          <w:i/>
          <w:sz w:val="20"/>
        </w:rPr>
        <w:t>. Quienes hagan pagos por los conceptos a que se refiere este Capítulo, tendrán las siguientes obligaciones:</w:t>
      </w:r>
    </w:p>
    <w:p w:rsidRPr="00635E67" w:rsidR="001A66CD" w:rsidP="001A66CD" w:rsidRDefault="001A66CD" w14:paraId="29DB4CA5" w14:textId="77777777">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I. Efectuar las retenciones señaladas en el artículo 96 de esta Ley.</w:t>
      </w:r>
    </w:p>
    <w:p w:rsidRPr="00635E67" w:rsidR="001A66CD" w:rsidP="001A66CD" w:rsidRDefault="001A66CD" w14:paraId="5D18249D" w14:textId="77777777">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II. Calcular el impuesto anual de las personas que les hubieren prestado servicios subordinados, en los términos del artículo 97 de esta Ley.</w:t>
      </w:r>
    </w:p>
    <w:p w:rsidRPr="00635E67" w:rsidR="001A66CD" w:rsidP="001A66CD" w:rsidRDefault="001A66CD" w14:paraId="0241909A" w14:textId="77777777">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III. Expedir y entregar comprobantes fiscales a las personas que reciban pagos por los conceptos a que se refiere este Capítulo, en la fecha en que se realice la erogación correspondiente, los cuales podrán utilizarse como constancia o recibo de pago para efectos de la legislación laboral a que se refieren los artículos 132 fracciones VII y VIII, y 804, primer párrafo, fracciones II y IV, de la Ley Federal de Trabajo.</w:t>
      </w:r>
    </w:p>
    <w:p w:rsidRPr="00635E67" w:rsidR="001A66CD" w:rsidP="001A66CD" w:rsidRDefault="001A66CD" w14:paraId="28551733" w14:textId="77777777">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IV. Solicitar, en su caso, las constancias y los comprobantes a que se refiere la fracción anterior, a las personas que contraten para prestar servicios subordinados, a más tardar dentro del mes siguiente a aquél en que se inicie la prestación del servicio y cerciorarse que estén inscritos en el Registro Federal de Contribuyentes.</w:t>
      </w:r>
    </w:p>
    <w:p w:rsidRPr="00635E67" w:rsidR="001A66CD" w:rsidP="001A66CD" w:rsidRDefault="001A66CD" w14:paraId="6367BC4B" w14:textId="77777777">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Adicionalmente, deberán solicitar a los trabajadores que les comuniquen por escrito antes de que se efectúe el primer pago que les corresponda por la prestación de servicios personales subordinados en el año de calendario de que se trate, si prestan servicios a otro empleador y éste les aplica el subsidio para el empleo, a fin de que ya no se aplique nuevamente.</w:t>
      </w:r>
    </w:p>
    <w:p w:rsidRPr="00635E67" w:rsidR="001A66CD" w:rsidP="001A66CD" w:rsidRDefault="001A66CD" w14:paraId="1DAF8601" w14:textId="77777777">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lastRenderedPageBreak/>
        <w:t>V. Solicitar a las personas que contraten para prestar servicios subordinados, les proporcionen los datos necesarios a fin de inscribirlas en el Registro Federal de Contribuyentes, o bien cuando ya hubieran sido inscritas con anterioridad, les proporcionen su clave del citado registro.</w:t>
      </w:r>
    </w:p>
    <w:p w:rsidRPr="00635E67" w:rsidR="001A66CD" w:rsidP="001A66CD" w:rsidRDefault="001A66CD" w14:paraId="71B49865" w14:textId="77777777">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VI. Proporcionar a más tardar el 15 de febrero de cada año, a las personas a quienes les hubieran prestado servicios personales subordinados, constancia y el comprobante fiscal del monto total de los viáticos pagados en el año de calendario de que se trate, por los que se aplicó lo dispuesto en el artículo 93, fracción XVII de esta Ley.</w:t>
      </w:r>
    </w:p>
    <w:p w:rsidRPr="00635E67" w:rsidR="001A66CD" w:rsidP="001A66CD" w:rsidRDefault="001A66CD" w14:paraId="38475832" w14:textId="77777777">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VII. Presentar, ante las oficinas autorizadas a más tardar el 15 de febrero de cada año, declaración proporcionando información sobre las personas que hayan ejercido la opción a que se refiere la fracción VII del artículo 94 de esta Ley, en el año de calendario anterior, conforme a las reglas generales que al efecto expida el Servicio de Administración Tributaria.</w:t>
      </w:r>
    </w:p>
    <w:p w:rsidRPr="00635E67" w:rsidR="001A66CD" w:rsidP="001A66CD" w:rsidRDefault="001A66CD" w14:paraId="240F5999" w14:textId="77777777">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Quedan exceptuados de las obligaciones señaladas en este artículo, los organismos internacionales cuando así lo establezcan los tratados o convenios respectivos, y los estados extranjeros.”</w:t>
      </w:r>
    </w:p>
    <w:p w:rsidR="001A66CD" w:rsidP="001A66CD" w:rsidRDefault="001A66CD" w14:paraId="7BECF77A" w14:textId="77777777">
      <w:pPr>
        <w:pStyle w:val="Prrafodelista"/>
        <w:spacing w:line="276" w:lineRule="auto"/>
        <w:ind w:left="360" w:right="397"/>
        <w:contextualSpacing w:val="0"/>
        <w:jc w:val="both"/>
        <w:rPr>
          <w:rFonts w:ascii="Palatino Linotype" w:hAnsi="Palatino Linotype" w:cs="Arial"/>
          <w:i/>
          <w:sz w:val="20"/>
        </w:rPr>
      </w:pPr>
    </w:p>
    <w:p w:rsidRPr="00EE3E80" w:rsidR="009944B6" w:rsidP="009944B6" w:rsidRDefault="001A66CD" w14:paraId="4CDF0CAA" w14:textId="77777777">
      <w:pPr>
        <w:spacing w:line="360" w:lineRule="auto"/>
        <w:jc w:val="both"/>
        <w:rPr>
          <w:rFonts w:ascii="Palatino Linotype" w:hAnsi="Palatino Linotype" w:cs="Tahoma"/>
          <w:sz w:val="22"/>
          <w:szCs w:val="22"/>
          <w:lang w:val="es-ES"/>
        </w:rPr>
      </w:pPr>
      <w:r w:rsidRPr="00DA6417">
        <w:rPr>
          <w:rFonts w:ascii="Palatino Linotype" w:hAnsi="Palatino Linotype" w:cs="Tahoma"/>
          <w:sz w:val="22"/>
          <w:szCs w:val="22"/>
          <w:lang w:val="es-ES"/>
        </w:rPr>
        <w:t xml:space="preserve">En consecuencia dicha herramienta de Visor de Nómina implementada por el Servicio de Administración Tributaria, es para auxiliar a los Contribuyentes que hacen pagos por sueldos y salarios, a efecto que puedan visualizar la información relativa a los pagos efectuados a sus empleados o subordinados, según sea el caso; sin embargo, dichos ordenamientos no exigen como obligación el uso de la misma, toda vez que, únicamente es una herramienta de ayuda de visualización, consecuentemente, existe la posibilidad que los Entes de Gobierno, caso particular el Sujeto Obligado, no haga uso de ella, por lo que </w:t>
      </w:r>
      <w:r>
        <w:rPr>
          <w:rFonts w:ascii="Palatino Linotype" w:hAnsi="Palatino Linotype" w:cs="Tahoma"/>
          <w:sz w:val="22"/>
          <w:szCs w:val="22"/>
          <w:lang w:val="es-ES"/>
        </w:rPr>
        <w:t xml:space="preserve">puede no tener </w:t>
      </w:r>
      <w:r w:rsidRPr="00DA6417">
        <w:rPr>
          <w:rFonts w:ascii="Palatino Linotype" w:hAnsi="Palatino Linotype" w:cs="Tahoma"/>
          <w:sz w:val="22"/>
          <w:szCs w:val="22"/>
          <w:lang w:val="es-ES"/>
        </w:rPr>
        <w:t xml:space="preserve">en sus archivos la información </w:t>
      </w:r>
      <w:r>
        <w:rPr>
          <w:rFonts w:ascii="Palatino Linotype" w:hAnsi="Palatino Linotype" w:cs="Tahoma"/>
          <w:sz w:val="22"/>
          <w:szCs w:val="22"/>
          <w:lang w:val="es-ES"/>
        </w:rPr>
        <w:t>solicitada</w:t>
      </w:r>
      <w:r w:rsidR="009944B6">
        <w:rPr>
          <w:rFonts w:ascii="Palatino Linotype" w:hAnsi="Palatino Linotype" w:cs="Tahoma"/>
          <w:sz w:val="22"/>
          <w:szCs w:val="22"/>
          <w:lang w:val="es-ES"/>
        </w:rPr>
        <w:t xml:space="preserve">, razón por la cual se tiene por atendido el presente punto por lo que hace al Ayuntamiento ya que manifestó no contar con la información, ya que </w:t>
      </w:r>
      <w:r w:rsidRPr="00EE3E80" w:rsidR="009944B6">
        <w:rPr>
          <w:rFonts w:ascii="Palatino Linotype" w:hAnsi="Palatino Linotype" w:cs="Tahoma"/>
          <w:sz w:val="22"/>
          <w:szCs w:val="22"/>
          <w:lang w:val="es-ES"/>
        </w:rPr>
        <w:t xml:space="preserve">este Instituto no está facultado para manifestarse sobre la veracidad </w:t>
      </w:r>
      <w:r w:rsidR="009944B6">
        <w:rPr>
          <w:rFonts w:ascii="Palatino Linotype" w:hAnsi="Palatino Linotype" w:cs="Tahoma"/>
          <w:sz w:val="22"/>
          <w:szCs w:val="22"/>
          <w:lang w:val="es-ES"/>
        </w:rPr>
        <w:t>de lo afirmado por el Sujeto Obligado</w:t>
      </w:r>
      <w:r w:rsidRPr="00EE3E80" w:rsidR="009944B6">
        <w:rPr>
          <w:rFonts w:ascii="Palatino Linotype" w:hAnsi="Palatino Linotype" w:cs="Tahoma"/>
          <w:sz w:val="22"/>
          <w:szCs w:val="22"/>
          <w:lang w:val="es-ES"/>
        </w:rPr>
        <w:t>, pues no existe precepto legal alguno en la Ley de la materia que lo faculte para, vía recurso de revisión, pronunciarse al respecto.</w:t>
      </w:r>
    </w:p>
    <w:p w:rsidRPr="00EE3E80" w:rsidR="009944B6" w:rsidP="009944B6" w:rsidRDefault="009944B6" w14:paraId="23F5ADA7" w14:textId="77777777">
      <w:pPr>
        <w:spacing w:line="360" w:lineRule="auto"/>
        <w:jc w:val="both"/>
        <w:rPr>
          <w:rFonts w:ascii="Palatino Linotype" w:hAnsi="Palatino Linotype" w:cs="Tahoma"/>
          <w:sz w:val="22"/>
          <w:szCs w:val="22"/>
          <w:lang w:val="es-ES"/>
        </w:rPr>
      </w:pPr>
    </w:p>
    <w:p w:rsidRPr="00EE3E80" w:rsidR="009944B6" w:rsidP="009944B6" w:rsidRDefault="009944B6" w14:paraId="2313959E" w14:textId="77777777">
      <w:pPr>
        <w:spacing w:line="360" w:lineRule="auto"/>
        <w:jc w:val="both"/>
        <w:rPr>
          <w:rFonts w:ascii="Palatino Linotype" w:hAnsi="Palatino Linotype" w:cs="Tahoma"/>
          <w:sz w:val="22"/>
          <w:szCs w:val="22"/>
          <w:lang w:val="es-ES"/>
        </w:rPr>
      </w:pPr>
      <w:r w:rsidRPr="00EE3E80">
        <w:rPr>
          <w:rFonts w:ascii="Palatino Linotype" w:hAnsi="Palatino Linotype" w:cs="Tahoma"/>
          <w:sz w:val="22"/>
          <w:szCs w:val="22"/>
          <w:lang w:val="es-ES"/>
        </w:rPr>
        <w:lastRenderedPageBreak/>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rsidR="009944B6" w:rsidP="009944B6" w:rsidRDefault="009944B6" w14:paraId="415F9FD9" w14:textId="77777777">
      <w:pPr>
        <w:spacing w:line="360" w:lineRule="auto"/>
        <w:jc w:val="both"/>
        <w:rPr>
          <w:rFonts w:ascii="Palatino Linotype" w:hAnsi="Palatino Linotype" w:cs="Tahoma"/>
          <w:sz w:val="22"/>
          <w:szCs w:val="22"/>
          <w:lang w:val="es-ES"/>
        </w:rPr>
      </w:pPr>
    </w:p>
    <w:p w:rsidRPr="000C748E" w:rsidR="009944B6" w:rsidP="009944B6" w:rsidRDefault="009944B6" w14:paraId="0C840C52" w14:textId="77777777">
      <w:pPr>
        <w:spacing w:line="360" w:lineRule="auto"/>
        <w:ind w:left="567" w:right="539"/>
        <w:jc w:val="both"/>
        <w:rPr>
          <w:rFonts w:ascii="Palatino Linotype" w:hAnsi="Palatino Linotype" w:cs="Tahoma"/>
          <w:i/>
          <w:szCs w:val="24"/>
        </w:rPr>
      </w:pPr>
      <w:r w:rsidRPr="000C748E">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0C748E">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944B6" w:rsidP="009944B6" w:rsidRDefault="009944B6" w14:paraId="40D95A04" w14:textId="77777777">
      <w:pPr>
        <w:spacing w:line="360" w:lineRule="auto"/>
        <w:ind w:right="-93"/>
        <w:jc w:val="both"/>
        <w:rPr>
          <w:rFonts w:ascii="Palatino Linotype" w:hAnsi="Palatino Linotype" w:cs="Tahoma"/>
          <w:bCs/>
          <w:iCs/>
          <w:sz w:val="22"/>
          <w:szCs w:val="22"/>
        </w:rPr>
      </w:pPr>
    </w:p>
    <w:p w:rsidR="001A66CD" w:rsidP="001A66CD" w:rsidRDefault="009944B6" w14:paraId="6D5F1614" w14:textId="7777777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No obstante, lo anterior no hay pronunciamiento alguno respecto los Organismos Descentralizados del Sujeto Obligado, por lo que resulta dable ordenar realice una búsqueda exhaustiva y razonable de la información y para el caso de que cuente con ella, haga entrega al Particular.</w:t>
      </w:r>
    </w:p>
    <w:p w:rsidR="001A66CD" w:rsidP="001A66CD" w:rsidRDefault="001A66CD" w14:paraId="73DEFA2B" w14:textId="77777777">
      <w:pPr>
        <w:spacing w:line="360" w:lineRule="auto"/>
        <w:jc w:val="both"/>
        <w:rPr>
          <w:rFonts w:ascii="Palatino Linotype" w:hAnsi="Palatino Linotype" w:cs="Tahoma"/>
          <w:sz w:val="22"/>
          <w:szCs w:val="22"/>
          <w:lang w:val="es-ES"/>
        </w:rPr>
      </w:pPr>
    </w:p>
    <w:p w:rsidR="001A66CD" w:rsidP="001A66CD" w:rsidRDefault="001A66CD" w14:paraId="4C303C08" w14:textId="77777777">
      <w:pPr>
        <w:spacing w:line="360" w:lineRule="auto"/>
        <w:jc w:val="both"/>
        <w:rPr>
          <w:rFonts w:ascii="Palatino Linotype" w:hAnsi="Palatino Linotype" w:cs="Tahoma"/>
          <w:sz w:val="22"/>
          <w:szCs w:val="22"/>
        </w:rPr>
      </w:pPr>
      <w:r>
        <w:rPr>
          <w:rFonts w:ascii="Palatino Linotype" w:hAnsi="Palatino Linotype" w:cs="Tahoma"/>
          <w:sz w:val="22"/>
          <w:szCs w:val="22"/>
        </w:rPr>
        <w:t>Ahora bien, por lo que hace a los siguientes puntos</w:t>
      </w:r>
      <w:r w:rsidRPr="002C51F3">
        <w:rPr>
          <w:rFonts w:ascii="Palatino Linotype" w:hAnsi="Palatino Linotype" w:cs="Tahoma"/>
          <w:sz w:val="22"/>
          <w:szCs w:val="22"/>
        </w:rPr>
        <w:t>, resulta necesario traer a colación el artículo 123 en sus aparatos A y B, de la Constitución Política de los Estados Unidos Mexicanos, el cual establece las relaciones obrero patronales entre particulares (apartado A) y las relaciones laborales entre las Dependencias de Gobierno con sus servidores públicos (apartado B), el cual se cita para mayor referencia a continuación:</w:t>
      </w:r>
    </w:p>
    <w:p w:rsidR="001A66CD" w:rsidP="001A66CD" w:rsidRDefault="001A66CD" w14:paraId="717BD4D9" w14:textId="77777777">
      <w:pPr>
        <w:spacing w:line="360" w:lineRule="auto"/>
        <w:ind w:right="-93"/>
        <w:jc w:val="both"/>
        <w:rPr>
          <w:rFonts w:ascii="Palatino Linotype" w:hAnsi="Palatino Linotype" w:cs="Tahoma"/>
          <w:b/>
          <w:sz w:val="22"/>
          <w:szCs w:val="22"/>
        </w:rPr>
      </w:pPr>
    </w:p>
    <w:p w:rsidRPr="002C51F3" w:rsidR="001A66CD" w:rsidP="001A66CD" w:rsidRDefault="001A66CD" w14:paraId="36A16FC9" w14:textId="77777777">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w:t>
      </w:r>
      <w:r w:rsidRPr="002C51F3">
        <w:rPr>
          <w:rFonts w:ascii="Palatino Linotype" w:hAnsi="Palatino Linotype" w:cs="Tahoma"/>
          <w:b/>
          <w:i/>
          <w:szCs w:val="22"/>
        </w:rPr>
        <w:t>Artículo 123</w:t>
      </w:r>
      <w:r w:rsidRPr="002C51F3">
        <w:rPr>
          <w:rFonts w:ascii="Palatino Linotype" w:hAnsi="Palatino Linotype" w:cs="Tahoma"/>
          <w:i/>
          <w:szCs w:val="22"/>
        </w:rPr>
        <w:t>. Toda persona tiene derecho al trabajo digno y socialmente útil; al efecto, se promoverán la creación de empleos y la organización social de trabajo, conforme a la ley.</w:t>
      </w:r>
    </w:p>
    <w:p w:rsidRPr="002C51F3" w:rsidR="001A66CD" w:rsidP="001A66CD" w:rsidRDefault="001A66CD" w14:paraId="6A4A3BAC" w14:textId="77777777">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El Congreso de la Unión, sin contravenir a las bases siguientes deberá expedir leyes sobre el trabajo, las cuales regirán:</w:t>
      </w:r>
    </w:p>
    <w:p w:rsidRPr="002C51F3" w:rsidR="001A66CD" w:rsidP="001A66CD" w:rsidRDefault="001A66CD" w14:paraId="3CE02487" w14:textId="77777777">
      <w:pPr>
        <w:spacing w:line="360" w:lineRule="auto"/>
        <w:ind w:left="567" w:right="539"/>
        <w:jc w:val="both"/>
        <w:rPr>
          <w:rFonts w:ascii="Palatino Linotype" w:hAnsi="Palatino Linotype" w:cs="Tahoma"/>
          <w:i/>
          <w:szCs w:val="22"/>
        </w:rPr>
      </w:pPr>
      <w:r w:rsidRPr="002C51F3">
        <w:rPr>
          <w:rFonts w:ascii="Palatino Linotype" w:hAnsi="Palatino Linotype" w:cs="Tahoma"/>
          <w:b/>
          <w:i/>
          <w:szCs w:val="22"/>
        </w:rPr>
        <w:t>A</w:t>
      </w:r>
      <w:r w:rsidRPr="002C51F3">
        <w:rPr>
          <w:rFonts w:ascii="Palatino Linotype" w:hAnsi="Palatino Linotype" w:cs="Tahoma"/>
          <w:i/>
          <w:szCs w:val="22"/>
        </w:rPr>
        <w:t>. Entre los obreros, jornaleros, empleados domésticos, artesanos y de una manera general, todo contrato de trabajo:</w:t>
      </w:r>
    </w:p>
    <w:p w:rsidRPr="002C51F3" w:rsidR="001A66CD" w:rsidP="001A66CD" w:rsidRDefault="001A66CD" w14:paraId="7DE63039" w14:textId="77777777">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w:t>
      </w:r>
    </w:p>
    <w:p w:rsidRPr="002C51F3" w:rsidR="001A66CD" w:rsidP="001A66CD" w:rsidRDefault="001A66CD" w14:paraId="02D4EB1B" w14:textId="77777777">
      <w:pPr>
        <w:spacing w:line="360" w:lineRule="auto"/>
        <w:ind w:left="567" w:right="539"/>
        <w:jc w:val="both"/>
        <w:rPr>
          <w:rFonts w:ascii="Palatino Linotype" w:hAnsi="Palatino Linotype" w:cs="Tahoma"/>
          <w:i/>
          <w:szCs w:val="22"/>
        </w:rPr>
      </w:pPr>
      <w:r w:rsidRPr="002C51F3">
        <w:rPr>
          <w:rFonts w:ascii="Palatino Linotype" w:hAnsi="Palatino Linotype" w:cs="Tahoma"/>
          <w:b/>
          <w:i/>
          <w:szCs w:val="22"/>
        </w:rPr>
        <w:t>B</w:t>
      </w:r>
      <w:r w:rsidRPr="002C51F3">
        <w:rPr>
          <w:rFonts w:ascii="Palatino Linotype" w:hAnsi="Palatino Linotype" w:cs="Tahoma"/>
          <w:i/>
          <w:szCs w:val="22"/>
        </w:rPr>
        <w:t>. Entre los Poderes de la Unión y sus trabajadores:</w:t>
      </w:r>
    </w:p>
    <w:p w:rsidRPr="002C51F3" w:rsidR="001A66CD" w:rsidP="001A66CD" w:rsidRDefault="001A66CD" w14:paraId="3D4C099B" w14:textId="77777777">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w:t>
      </w:r>
    </w:p>
    <w:p w:rsidRPr="002C51F3" w:rsidR="001A66CD" w:rsidP="001A66CD" w:rsidRDefault="001A66CD" w14:paraId="29194BE4" w14:textId="77777777">
      <w:pPr>
        <w:spacing w:line="360" w:lineRule="auto"/>
        <w:ind w:left="567" w:right="539"/>
        <w:jc w:val="both"/>
        <w:rPr>
          <w:rFonts w:ascii="Palatino Linotype" w:hAnsi="Palatino Linotype" w:cs="Tahoma"/>
          <w:i/>
          <w:szCs w:val="22"/>
        </w:rPr>
      </w:pPr>
    </w:p>
    <w:p w:rsidRPr="002C51F3" w:rsidR="001A66CD" w:rsidP="001A66CD" w:rsidRDefault="001A66CD" w14:paraId="4A81265F" w14:textId="77777777">
      <w:pPr>
        <w:spacing w:line="360" w:lineRule="auto"/>
        <w:ind w:right="-93"/>
        <w:jc w:val="both"/>
        <w:rPr>
          <w:rFonts w:ascii="Palatino Linotype" w:hAnsi="Palatino Linotype" w:cs="Tahoma"/>
          <w:sz w:val="22"/>
          <w:szCs w:val="22"/>
        </w:rPr>
      </w:pPr>
      <w:r w:rsidRPr="002C51F3">
        <w:rPr>
          <w:rFonts w:ascii="Palatino Linotype" w:hAnsi="Palatino Linotype" w:cs="Tahoma"/>
          <w:sz w:val="22"/>
          <w:szCs w:val="22"/>
        </w:rPr>
        <w:t>De lo anterior se advierte que, tanto el Instituto Mexicano del Seguro Social (IMSS) y el Instituto del Fondo Nacional de la Vivienda para los Trabajadores (INFONAVIT), se encuentran regulados conforme al apartado A del artículo citado, que regula las relaciones laborales entre particulares, empero el apartado que rige las relaciones labores de los servidores públicos corresponde al apartado B, hechas las precisiones anteriores, se procede en los términos siguientes:</w:t>
      </w:r>
    </w:p>
    <w:p w:rsidRPr="002C51F3" w:rsidR="001A66CD" w:rsidP="001A66CD" w:rsidRDefault="001A66CD" w14:paraId="57A9DB5C" w14:textId="77777777">
      <w:pPr>
        <w:spacing w:line="360" w:lineRule="auto"/>
        <w:ind w:right="-93"/>
        <w:jc w:val="both"/>
        <w:rPr>
          <w:rFonts w:ascii="Palatino Linotype" w:hAnsi="Palatino Linotype" w:cs="Tahoma"/>
          <w:sz w:val="22"/>
          <w:szCs w:val="22"/>
        </w:rPr>
      </w:pPr>
    </w:p>
    <w:p w:rsidRPr="002E00B4" w:rsidR="001A66CD" w:rsidP="001A66CD" w:rsidRDefault="001A66CD" w14:paraId="2A5131E3" w14:textId="77777777">
      <w:pPr>
        <w:spacing w:line="360" w:lineRule="auto"/>
        <w:jc w:val="both"/>
        <w:rPr>
          <w:rFonts w:ascii="Palatino Linotype" w:hAnsi="Palatino Linotype" w:cs="Tahoma"/>
          <w:sz w:val="22"/>
          <w:szCs w:val="22"/>
          <w:lang w:val="es-ES"/>
        </w:rPr>
      </w:pPr>
      <w:r w:rsidRPr="002E00B4">
        <w:rPr>
          <w:rFonts w:ascii="Palatino Linotype" w:hAnsi="Palatino Linotype" w:cs="Tahoma"/>
          <w:sz w:val="22"/>
          <w:szCs w:val="22"/>
          <w:lang w:val="es-ES"/>
        </w:rPr>
        <w:t xml:space="preserve">Respecto a la opinión de cumplimiento del </w:t>
      </w:r>
      <w:r w:rsidRPr="002E00B4">
        <w:rPr>
          <w:rFonts w:ascii="Palatino Linotype" w:hAnsi="Palatino Linotype" w:cs="Tahoma"/>
          <w:b/>
          <w:sz w:val="22"/>
          <w:szCs w:val="22"/>
          <w:lang w:val="es-ES"/>
        </w:rPr>
        <w:t>Instituto Mexicano del Seguro Social IMSS</w:t>
      </w:r>
      <w:r w:rsidRPr="002E00B4">
        <w:rPr>
          <w:rFonts w:ascii="Palatino Linotype" w:hAnsi="Palatino Linotype" w:cs="Tahoma"/>
          <w:sz w:val="22"/>
          <w:szCs w:val="22"/>
          <w:lang w:val="es-ES"/>
        </w:rPr>
        <w:t>, partiremos que de conformidad con el artículo 5 de la Ley del Seguro Social este es un organismo público descentralizado con personalidad jurídica y patrimonio propios, de integración operativa tripartita, debido a que a la misma concurren los sectores público, social y privado, el cual tiene también el carácter de organismo fiscal autónomo. Cuya función principal es relativa a tutear la seguridad social, entendiéndose como garantizar el derecho a la salud, la asistencia médica, la protección de los medios de subsistencia y los servicios sociales necesarios para el bienestar individual y colectivo, así como el otorgamiento de una pensión que, en su caso y previo cumplimiento de los requisitos legales, será garantizada por el Estado.</w:t>
      </w:r>
    </w:p>
    <w:p w:rsidR="001A66CD" w:rsidP="001A66CD" w:rsidRDefault="001A66CD" w14:paraId="07F3A6A9" w14:textId="77777777">
      <w:pPr>
        <w:spacing w:line="360" w:lineRule="auto"/>
        <w:jc w:val="both"/>
        <w:rPr>
          <w:rFonts w:ascii="Palatino Linotype" w:hAnsi="Palatino Linotype" w:cs="Tahoma"/>
          <w:sz w:val="22"/>
          <w:szCs w:val="22"/>
          <w:lang w:val="es-ES"/>
        </w:rPr>
      </w:pPr>
    </w:p>
    <w:p w:rsidR="001A66CD" w:rsidP="001A66CD" w:rsidRDefault="001A66CD" w14:paraId="294D6907" w14:textId="77777777">
      <w:pPr>
        <w:spacing w:line="360" w:lineRule="auto"/>
        <w:jc w:val="both"/>
        <w:rPr>
          <w:rFonts w:ascii="Palatino Linotype" w:hAnsi="Palatino Linotype" w:cs="Tahoma"/>
          <w:sz w:val="22"/>
          <w:szCs w:val="22"/>
        </w:rPr>
      </w:pPr>
      <w:r w:rsidRPr="00AB1598">
        <w:rPr>
          <w:rFonts w:ascii="Palatino Linotype" w:hAnsi="Palatino Linotype" w:cs="Tahoma"/>
          <w:sz w:val="22"/>
          <w:szCs w:val="22"/>
        </w:rPr>
        <w:t>Organismo que si bien se encarga de garantizar el derecho a la seguridad social, lo es en lo que corresponde a los Entes de Gobierno de Nivel Federal; atentos a ello, de conformidad con los artículos 1, 2 y 3 de la Ley de Seguridad Social para los Servidores Públicos del Estado de México y Municipios, podemos apreciar que el Organismo competente para la seguridad social de los servidores públicos del Estado de México y Municipios, se encuentra a cargo del Instituto de Seguridad Social del Estado de México y Municipios (ISSEMyM), se insertan para mayor referencia los artículos a continuación:</w:t>
      </w:r>
    </w:p>
    <w:p w:rsidR="001A66CD" w:rsidP="001A66CD" w:rsidRDefault="001A66CD" w14:paraId="19C2FDE6" w14:textId="77777777">
      <w:pPr>
        <w:spacing w:line="360" w:lineRule="auto"/>
        <w:ind w:left="567" w:right="539"/>
        <w:jc w:val="both"/>
        <w:rPr>
          <w:rFonts w:ascii="Palatino Linotype" w:hAnsi="Palatino Linotype" w:cs="Tahoma"/>
          <w:i/>
          <w:szCs w:val="22"/>
          <w:lang w:val="es-ES"/>
        </w:rPr>
      </w:pPr>
    </w:p>
    <w:p w:rsidRPr="00AB1598" w:rsidR="001A66CD" w:rsidP="001A66CD" w:rsidRDefault="001A66CD" w14:paraId="6893178D" w14:textId="77777777">
      <w:pPr>
        <w:spacing w:line="360" w:lineRule="auto"/>
        <w:ind w:left="567" w:right="539"/>
        <w:contextualSpacing/>
        <w:jc w:val="both"/>
        <w:rPr>
          <w:rFonts w:ascii="Palatino Linotype" w:hAnsi="Palatino Linotype" w:cs="Tahoma"/>
          <w:i/>
          <w:iCs/>
        </w:rPr>
      </w:pPr>
      <w:r w:rsidRPr="00AB1598">
        <w:rPr>
          <w:rFonts w:ascii="Palatino Linotype" w:hAnsi="Palatino Linotype" w:cs="Tahoma"/>
          <w:i/>
          <w:szCs w:val="22"/>
          <w:lang w:val="es-ES"/>
        </w:rPr>
        <w:t>“</w:t>
      </w:r>
      <w:r w:rsidRPr="00AB1598">
        <w:rPr>
          <w:rFonts w:ascii="Palatino Linotype" w:hAnsi="Palatino Linotype" w:cs="Tahoma"/>
          <w:b/>
          <w:i/>
          <w:szCs w:val="22"/>
          <w:lang w:val="es-ES"/>
        </w:rPr>
        <w:t>ARTICULO 1</w:t>
      </w:r>
      <w:r w:rsidRPr="00AB1598">
        <w:rPr>
          <w:rFonts w:ascii="Palatino Linotype" w:hAnsi="Palatino Linotype" w:cs="Tahoma"/>
          <w:i/>
          <w:iCs/>
        </w:rPr>
        <w:t>.- La presente ley es de orden público e interés general y tiene por objeto regular el régimen de seguridad social en favor de los servidores públicos del estado y</w:t>
      </w:r>
    </w:p>
    <w:p w:rsidRPr="00AB1598" w:rsidR="001A66CD" w:rsidP="001A66CD" w:rsidRDefault="001A66CD" w14:paraId="6DFB627F" w14:textId="77777777">
      <w:pPr>
        <w:spacing w:line="360" w:lineRule="auto"/>
        <w:ind w:left="567" w:right="539"/>
        <w:contextualSpacing/>
        <w:jc w:val="both"/>
        <w:rPr>
          <w:rFonts w:ascii="Palatino Linotype" w:hAnsi="Palatino Linotype" w:cs="Tahoma"/>
          <w:i/>
          <w:iCs/>
        </w:rPr>
      </w:pPr>
      <w:r w:rsidRPr="00AB1598">
        <w:rPr>
          <w:rFonts w:ascii="Palatino Linotype" w:hAnsi="Palatino Linotype" w:cs="Tahoma"/>
          <w:i/>
          <w:iCs/>
        </w:rPr>
        <w:t>municipios, así como de sus organismos auxiliares y fideicomisos públicos.</w:t>
      </w:r>
    </w:p>
    <w:p w:rsidR="001A66CD" w:rsidP="001A66CD" w:rsidRDefault="001A66CD" w14:paraId="5FFEA004" w14:textId="77777777">
      <w:pPr>
        <w:spacing w:line="360" w:lineRule="auto"/>
        <w:ind w:left="567" w:right="539"/>
        <w:jc w:val="both"/>
        <w:rPr>
          <w:rFonts w:ascii="Palatino Linotype" w:hAnsi="Palatino Linotype" w:cs="Tahoma"/>
          <w:b/>
          <w:i/>
          <w:szCs w:val="22"/>
          <w:lang w:val="es-ES"/>
        </w:rPr>
      </w:pPr>
    </w:p>
    <w:p w:rsidRPr="00AB1598" w:rsidR="001A66CD" w:rsidP="001A66CD" w:rsidRDefault="001A66CD" w14:paraId="464D9949" w14:textId="77777777">
      <w:pPr>
        <w:spacing w:line="360" w:lineRule="auto"/>
        <w:ind w:left="567" w:right="539"/>
        <w:jc w:val="both"/>
        <w:rPr>
          <w:rFonts w:ascii="Palatino Linotype" w:hAnsi="Palatino Linotype" w:cs="Tahoma"/>
          <w:i/>
          <w:szCs w:val="22"/>
          <w:lang w:val="es-ES"/>
        </w:rPr>
      </w:pPr>
      <w:r w:rsidRPr="00AB1598">
        <w:rPr>
          <w:rFonts w:ascii="Palatino Linotype" w:hAnsi="Palatino Linotype" w:cs="Tahoma"/>
          <w:b/>
          <w:i/>
          <w:szCs w:val="22"/>
          <w:lang w:val="es-ES"/>
        </w:rPr>
        <w:t>ARTICULO 2</w:t>
      </w:r>
      <w:r w:rsidRPr="00AB1598">
        <w:rPr>
          <w:rFonts w:ascii="Palatino Linotype" w:hAnsi="Palatino Linotype" w:cs="Tahoma"/>
          <w:i/>
          <w:szCs w:val="22"/>
          <w:lang w:val="es-ES"/>
        </w:rPr>
        <w:t>.- La aplicación y cumplimiento del régimen de seguridad social que regula</w:t>
      </w:r>
      <w:r>
        <w:rPr>
          <w:rFonts w:ascii="Palatino Linotype" w:hAnsi="Palatino Linotype" w:cs="Tahoma"/>
          <w:i/>
          <w:szCs w:val="22"/>
          <w:lang w:val="es-ES"/>
        </w:rPr>
        <w:t xml:space="preserve"> </w:t>
      </w:r>
      <w:r w:rsidRPr="00AB1598">
        <w:rPr>
          <w:rFonts w:ascii="Palatino Linotype" w:hAnsi="Palatino Linotype" w:cs="Tahoma"/>
          <w:i/>
          <w:szCs w:val="22"/>
          <w:lang w:val="es-ES"/>
        </w:rPr>
        <w:t>esta ley, le corresponde al Instituto de Seguridad Social del Estado de México y Municipios,</w:t>
      </w:r>
      <w:r>
        <w:rPr>
          <w:rFonts w:ascii="Palatino Linotype" w:hAnsi="Palatino Linotype" w:cs="Tahoma"/>
          <w:i/>
          <w:szCs w:val="22"/>
          <w:lang w:val="es-ES"/>
        </w:rPr>
        <w:t xml:space="preserve"> </w:t>
      </w:r>
      <w:r w:rsidRPr="00AB1598">
        <w:rPr>
          <w:rFonts w:ascii="Palatino Linotype" w:hAnsi="Palatino Linotype" w:cs="Tahoma"/>
          <w:i/>
          <w:szCs w:val="22"/>
          <w:lang w:val="es-ES"/>
        </w:rPr>
        <w:t>organismo público descentralizado con personalidad jurídica y patrimonio propios.</w:t>
      </w:r>
    </w:p>
    <w:p w:rsidR="001A66CD" w:rsidP="001A66CD" w:rsidRDefault="001A66CD" w14:paraId="29FE6B93" w14:textId="77777777">
      <w:pPr>
        <w:spacing w:line="360" w:lineRule="auto"/>
        <w:ind w:left="567" w:right="539"/>
        <w:jc w:val="both"/>
        <w:rPr>
          <w:rFonts w:ascii="Palatino Linotype" w:hAnsi="Palatino Linotype" w:cs="Tahoma"/>
          <w:b/>
          <w:i/>
          <w:szCs w:val="22"/>
          <w:lang w:val="es-ES"/>
        </w:rPr>
      </w:pPr>
    </w:p>
    <w:p w:rsidRPr="00AB1598" w:rsidR="001A66CD" w:rsidP="001A66CD" w:rsidRDefault="001A66CD" w14:paraId="2071A904" w14:textId="77777777">
      <w:pPr>
        <w:spacing w:line="360" w:lineRule="auto"/>
        <w:ind w:left="567" w:right="539"/>
        <w:jc w:val="both"/>
        <w:rPr>
          <w:rFonts w:ascii="Palatino Linotype" w:hAnsi="Palatino Linotype" w:cs="Tahoma"/>
          <w:i/>
          <w:szCs w:val="22"/>
          <w:lang w:val="es-ES"/>
        </w:rPr>
      </w:pPr>
      <w:r w:rsidRPr="00AB1598">
        <w:rPr>
          <w:rFonts w:ascii="Palatino Linotype" w:hAnsi="Palatino Linotype" w:cs="Tahoma"/>
          <w:b/>
          <w:i/>
          <w:szCs w:val="22"/>
          <w:lang w:val="es-ES"/>
        </w:rPr>
        <w:t>ARTÍCULO 3</w:t>
      </w:r>
      <w:r w:rsidRPr="00AB1598">
        <w:rPr>
          <w:rFonts w:ascii="Palatino Linotype" w:hAnsi="Palatino Linotype" w:cs="Tahoma"/>
          <w:i/>
          <w:szCs w:val="22"/>
          <w:lang w:val="es-ES"/>
        </w:rPr>
        <w:t>.- Son sujetos de esta ley:</w:t>
      </w:r>
    </w:p>
    <w:p w:rsidRPr="00AB1598" w:rsidR="001A66CD" w:rsidP="001A66CD" w:rsidRDefault="001A66CD" w14:paraId="436DC449" w14:textId="77777777">
      <w:pPr>
        <w:spacing w:line="360" w:lineRule="auto"/>
        <w:ind w:left="567" w:right="539"/>
        <w:jc w:val="both"/>
        <w:rPr>
          <w:rFonts w:ascii="Palatino Linotype" w:hAnsi="Palatino Linotype" w:cs="Tahoma"/>
          <w:i/>
          <w:szCs w:val="22"/>
          <w:lang w:val="es-ES"/>
        </w:rPr>
      </w:pPr>
      <w:r w:rsidRPr="00AB1598">
        <w:rPr>
          <w:rFonts w:ascii="Palatino Linotype" w:hAnsi="Palatino Linotype" w:cs="Tahoma"/>
          <w:i/>
          <w:szCs w:val="22"/>
          <w:lang w:val="es-ES"/>
        </w:rPr>
        <w:t>I. Los poderes públicos del estado, los municipios a través de los ayuntamientos y los</w:t>
      </w:r>
      <w:r>
        <w:rPr>
          <w:rFonts w:ascii="Palatino Linotype" w:hAnsi="Palatino Linotype" w:cs="Tahoma"/>
          <w:i/>
          <w:szCs w:val="22"/>
          <w:lang w:val="es-ES"/>
        </w:rPr>
        <w:t xml:space="preserve"> </w:t>
      </w:r>
      <w:r w:rsidRPr="00AB1598">
        <w:rPr>
          <w:rFonts w:ascii="Palatino Linotype" w:hAnsi="Palatino Linotype" w:cs="Tahoma"/>
          <w:i/>
          <w:szCs w:val="22"/>
          <w:lang w:val="es-ES"/>
        </w:rPr>
        <w:t>tribunales administrativos, así como los organismos auxiliares y fideicomisos públicos de</w:t>
      </w:r>
      <w:r>
        <w:rPr>
          <w:rFonts w:ascii="Palatino Linotype" w:hAnsi="Palatino Linotype" w:cs="Tahoma"/>
          <w:i/>
          <w:szCs w:val="22"/>
          <w:lang w:val="es-ES"/>
        </w:rPr>
        <w:t xml:space="preserve"> </w:t>
      </w:r>
      <w:r w:rsidRPr="00AB1598">
        <w:rPr>
          <w:rFonts w:ascii="Palatino Linotype" w:hAnsi="Palatino Linotype" w:cs="Tahoma"/>
          <w:i/>
          <w:szCs w:val="22"/>
          <w:lang w:val="es-ES"/>
        </w:rPr>
        <w:t>carácter estatal y municipal, siempre y cuando éstos últimos no estén afectos a un régimen</w:t>
      </w:r>
      <w:r>
        <w:rPr>
          <w:rFonts w:ascii="Palatino Linotype" w:hAnsi="Palatino Linotype" w:cs="Tahoma"/>
          <w:i/>
          <w:szCs w:val="22"/>
          <w:lang w:val="es-ES"/>
        </w:rPr>
        <w:t xml:space="preserve"> </w:t>
      </w:r>
      <w:r w:rsidRPr="00AB1598">
        <w:rPr>
          <w:rFonts w:ascii="Palatino Linotype" w:hAnsi="Palatino Linotype" w:cs="Tahoma"/>
          <w:i/>
          <w:szCs w:val="22"/>
          <w:lang w:val="es-ES"/>
        </w:rPr>
        <w:t>distinto de seguridad social;</w:t>
      </w:r>
    </w:p>
    <w:p w:rsidRPr="00AB1598" w:rsidR="001A66CD" w:rsidP="001A66CD" w:rsidRDefault="001A66CD" w14:paraId="65100972" w14:textId="77777777">
      <w:pPr>
        <w:spacing w:line="360" w:lineRule="auto"/>
        <w:ind w:left="567" w:right="539"/>
        <w:jc w:val="both"/>
        <w:rPr>
          <w:rFonts w:ascii="Palatino Linotype" w:hAnsi="Palatino Linotype" w:cs="Tahoma"/>
          <w:i/>
          <w:szCs w:val="22"/>
          <w:lang w:val="es-ES"/>
        </w:rPr>
      </w:pPr>
      <w:r w:rsidRPr="00AB1598">
        <w:rPr>
          <w:rFonts w:ascii="Palatino Linotype" w:hAnsi="Palatino Linotype" w:cs="Tahoma"/>
          <w:i/>
          <w:szCs w:val="22"/>
          <w:lang w:val="es-ES"/>
        </w:rPr>
        <w:t>II. Los servidores públicos de las instituciones públicas mencionadas en la fracción anterior;</w:t>
      </w:r>
    </w:p>
    <w:p w:rsidRPr="00AB1598" w:rsidR="001A66CD" w:rsidP="001A66CD" w:rsidRDefault="001A66CD" w14:paraId="33474DF4" w14:textId="77777777">
      <w:pPr>
        <w:spacing w:line="360" w:lineRule="auto"/>
        <w:ind w:left="567" w:right="539"/>
        <w:jc w:val="both"/>
        <w:rPr>
          <w:rFonts w:ascii="Palatino Linotype" w:hAnsi="Palatino Linotype" w:cs="Tahoma"/>
          <w:i/>
          <w:szCs w:val="22"/>
          <w:lang w:val="es-ES"/>
        </w:rPr>
      </w:pPr>
      <w:r w:rsidRPr="00AB1598">
        <w:rPr>
          <w:rFonts w:ascii="Palatino Linotype" w:hAnsi="Palatino Linotype" w:cs="Tahoma"/>
          <w:i/>
          <w:szCs w:val="22"/>
          <w:lang w:val="es-ES"/>
        </w:rPr>
        <w:t>III. Los pensionados y pensionistas;</w:t>
      </w:r>
    </w:p>
    <w:p w:rsidR="001A66CD" w:rsidP="001A66CD" w:rsidRDefault="001A66CD" w14:paraId="518666ED" w14:textId="77777777">
      <w:pPr>
        <w:spacing w:line="360" w:lineRule="auto"/>
        <w:ind w:left="567" w:right="539"/>
        <w:jc w:val="both"/>
        <w:rPr>
          <w:rFonts w:ascii="Palatino Linotype" w:hAnsi="Palatino Linotype" w:cs="Tahoma"/>
          <w:i/>
          <w:szCs w:val="22"/>
          <w:lang w:val="es-ES"/>
        </w:rPr>
      </w:pPr>
      <w:r w:rsidRPr="00AB1598">
        <w:rPr>
          <w:rFonts w:ascii="Palatino Linotype" w:hAnsi="Palatino Linotype" w:cs="Tahoma"/>
          <w:i/>
          <w:szCs w:val="22"/>
          <w:lang w:val="es-ES"/>
        </w:rPr>
        <w:t>IV. Los familiares y dependientes económicos de los servidores públicos y de los</w:t>
      </w:r>
      <w:r>
        <w:rPr>
          <w:rFonts w:ascii="Palatino Linotype" w:hAnsi="Palatino Linotype" w:cs="Tahoma"/>
          <w:i/>
          <w:szCs w:val="22"/>
          <w:lang w:val="es-ES"/>
        </w:rPr>
        <w:t xml:space="preserve"> </w:t>
      </w:r>
      <w:r w:rsidRPr="00AB1598">
        <w:rPr>
          <w:rFonts w:ascii="Palatino Linotype" w:hAnsi="Palatino Linotype" w:cs="Tahoma"/>
          <w:i/>
          <w:szCs w:val="22"/>
          <w:lang w:val="es-ES"/>
        </w:rPr>
        <w:t>pensionados.</w:t>
      </w:r>
    </w:p>
    <w:p w:rsidR="001A66CD" w:rsidP="001A66CD" w:rsidRDefault="001A66CD" w14:paraId="2C277168" w14:textId="77777777">
      <w:pPr>
        <w:spacing w:line="360" w:lineRule="auto"/>
        <w:ind w:left="567" w:right="539"/>
        <w:jc w:val="both"/>
        <w:rPr>
          <w:rFonts w:ascii="Palatino Linotype" w:hAnsi="Palatino Linotype" w:cs="Tahoma"/>
          <w:b/>
          <w:i/>
          <w:szCs w:val="22"/>
          <w:lang w:val="es-ES"/>
        </w:rPr>
      </w:pPr>
    </w:p>
    <w:p w:rsidRPr="00AB1598" w:rsidR="001A66CD" w:rsidP="001A66CD" w:rsidRDefault="001A66CD" w14:paraId="00367E6C" w14:textId="77777777">
      <w:pPr>
        <w:spacing w:line="360" w:lineRule="auto"/>
        <w:ind w:left="567" w:right="539"/>
        <w:jc w:val="both"/>
        <w:rPr>
          <w:rFonts w:ascii="Palatino Linotype" w:hAnsi="Palatino Linotype" w:cs="Tahoma"/>
          <w:i/>
          <w:szCs w:val="22"/>
          <w:lang w:val="es-ES"/>
        </w:rPr>
      </w:pPr>
      <w:r w:rsidRPr="00AB1598">
        <w:rPr>
          <w:rFonts w:ascii="Palatino Linotype" w:hAnsi="Palatino Linotype" w:cs="Tahoma"/>
          <w:b/>
          <w:i/>
          <w:szCs w:val="22"/>
          <w:lang w:val="es-ES"/>
        </w:rPr>
        <w:t>ARTICULO 5</w:t>
      </w:r>
      <w:r w:rsidRPr="00AB1598">
        <w:rPr>
          <w:rFonts w:ascii="Palatino Linotype" w:hAnsi="Palatino Linotype" w:cs="Tahoma"/>
          <w:i/>
          <w:szCs w:val="22"/>
          <w:lang w:val="es-ES"/>
        </w:rPr>
        <w:t>.- Para los efectos de esta ley se entiende por:</w:t>
      </w:r>
    </w:p>
    <w:p w:rsidR="001A66CD" w:rsidP="001A66CD" w:rsidRDefault="001A66CD" w14:paraId="459CAE54" w14:textId="77777777">
      <w:pPr>
        <w:spacing w:line="360" w:lineRule="auto"/>
        <w:ind w:left="567" w:right="539"/>
        <w:jc w:val="both"/>
        <w:rPr>
          <w:rFonts w:ascii="Palatino Linotype" w:hAnsi="Palatino Linotype" w:cs="Tahoma"/>
          <w:i/>
          <w:szCs w:val="22"/>
        </w:rPr>
      </w:pPr>
      <w:r w:rsidRPr="00AB1598">
        <w:rPr>
          <w:rFonts w:ascii="Palatino Linotype" w:hAnsi="Palatino Linotype" w:cs="Tahoma"/>
          <w:b/>
          <w:i/>
          <w:szCs w:val="22"/>
          <w:lang w:val="es-ES"/>
        </w:rPr>
        <w:t>I. …</w:t>
      </w:r>
      <w:r w:rsidRPr="00AB1598">
        <w:rPr>
          <w:rFonts w:ascii="Palatino Linotype" w:hAnsi="Palatino Linotype" w:cs="Tahoma"/>
          <w:i/>
          <w:szCs w:val="22"/>
          <w:lang w:val="es-ES"/>
        </w:rPr>
        <w:cr/>
      </w:r>
      <w:r w:rsidRPr="00AB1598">
        <w:rPr>
          <w:b/>
        </w:rPr>
        <w:t xml:space="preserve"> </w:t>
      </w:r>
      <w:r w:rsidRPr="00AB1598">
        <w:rPr>
          <w:rFonts w:ascii="Palatino Linotype" w:hAnsi="Palatino Linotype" w:cs="Tahoma"/>
          <w:b/>
          <w:i/>
          <w:szCs w:val="22"/>
        </w:rPr>
        <w:t>II.</w:t>
      </w:r>
      <w:r w:rsidRPr="00AB1598">
        <w:rPr>
          <w:rFonts w:ascii="Palatino Linotype" w:hAnsi="Palatino Linotype" w:cs="Tahoma"/>
          <w:i/>
          <w:szCs w:val="22"/>
        </w:rPr>
        <w:t xml:space="preserve"> Institución pública, a los poderes públicos del estado, los ayuntamientos de los municipios y los </w:t>
      </w:r>
      <w:r w:rsidRPr="00AB1598">
        <w:rPr>
          <w:rFonts w:ascii="Palatino Linotype" w:hAnsi="Palatino Linotype" w:cs="Tahoma"/>
          <w:i/>
          <w:szCs w:val="22"/>
        </w:rPr>
        <w:lastRenderedPageBreak/>
        <w:t xml:space="preserve">tribunales administrativos, así como los organismos auxiliares y fideicomisos públicos de carácter estatal y municipal; </w:t>
      </w:r>
    </w:p>
    <w:p w:rsidR="001A66CD" w:rsidP="001A66CD" w:rsidRDefault="001A66CD" w14:paraId="26D8B618" w14:textId="77777777">
      <w:pPr>
        <w:spacing w:line="360" w:lineRule="auto"/>
        <w:ind w:left="567" w:right="539"/>
        <w:jc w:val="both"/>
        <w:rPr>
          <w:rFonts w:ascii="Palatino Linotype" w:hAnsi="Palatino Linotype" w:cs="Tahoma"/>
          <w:i/>
          <w:szCs w:val="22"/>
        </w:rPr>
      </w:pPr>
      <w:r w:rsidRPr="00AB1598">
        <w:rPr>
          <w:rFonts w:ascii="Palatino Linotype" w:hAnsi="Palatino Linotype" w:cs="Tahoma"/>
          <w:b/>
          <w:i/>
          <w:szCs w:val="22"/>
        </w:rPr>
        <w:t>III.</w:t>
      </w:r>
      <w:r w:rsidRPr="00AB1598">
        <w:rPr>
          <w:rFonts w:ascii="Palatino Linotype" w:hAnsi="Palatino Linotype" w:cs="Tahoma"/>
          <w:i/>
          <w:szCs w:val="22"/>
        </w:rPr>
        <w:t xml:space="preserve"> Servidor público, a toda persona que desempeñe un empleo, cargo o comisión ya sea por elección popular o por nombramiento, o bien, preste sus servicios mediante contrato por tiempo u obra determinados, así como las que se encuentren en lista de raya, en cualquiera de las instituciones públicas a que se refiere la fracción II de este artículo. Quedan exceptuadas aquellas que estén sujetas a contrato civil o mercantil, o a pago de honorarios; </w:t>
      </w:r>
    </w:p>
    <w:p w:rsidR="001A66CD" w:rsidP="001A66CD" w:rsidRDefault="001A66CD" w14:paraId="62CE75F5" w14:textId="77777777">
      <w:pPr>
        <w:spacing w:line="360" w:lineRule="auto"/>
        <w:ind w:left="567" w:right="539"/>
        <w:jc w:val="both"/>
        <w:rPr>
          <w:rFonts w:ascii="Palatino Linotype" w:hAnsi="Palatino Linotype" w:cs="Tahoma"/>
          <w:i/>
          <w:szCs w:val="22"/>
        </w:rPr>
      </w:pPr>
      <w:r>
        <w:rPr>
          <w:rFonts w:ascii="Palatino Linotype" w:hAnsi="Palatino Linotype" w:cs="Tahoma"/>
          <w:i/>
          <w:szCs w:val="22"/>
        </w:rPr>
        <w:t>IV a VI…”</w:t>
      </w:r>
    </w:p>
    <w:p w:rsidRPr="00AB1598" w:rsidR="001A66CD" w:rsidP="001A66CD" w:rsidRDefault="001A66CD" w14:paraId="25901D89" w14:textId="77777777">
      <w:pPr>
        <w:spacing w:line="360" w:lineRule="auto"/>
        <w:ind w:left="567" w:right="539"/>
        <w:jc w:val="both"/>
        <w:rPr>
          <w:rFonts w:ascii="Palatino Linotype" w:hAnsi="Palatino Linotype" w:cs="Tahoma"/>
          <w:i/>
          <w:szCs w:val="22"/>
          <w:lang w:val="es-ES"/>
        </w:rPr>
      </w:pPr>
    </w:p>
    <w:p w:rsidR="001A66CD" w:rsidP="001A66CD" w:rsidRDefault="001A66CD" w14:paraId="24C9C8F8" w14:textId="77777777">
      <w:pPr>
        <w:spacing w:line="360" w:lineRule="auto"/>
        <w:jc w:val="both"/>
        <w:rPr>
          <w:rFonts w:ascii="Palatino Linotype" w:hAnsi="Palatino Linotype" w:cs="Tahoma"/>
          <w:sz w:val="22"/>
          <w:szCs w:val="22"/>
        </w:rPr>
      </w:pPr>
      <w:r w:rsidRPr="00AB1598">
        <w:rPr>
          <w:rFonts w:ascii="Palatino Linotype" w:hAnsi="Palatino Linotype" w:cs="Tahoma"/>
          <w:sz w:val="22"/>
          <w:szCs w:val="22"/>
        </w:rPr>
        <w:t>De conformidad con los preceptos legales, se acredita que compete Instituto de Seguridad Social del Estado de México y Municipios (ISSEMyM), regular el régimen de seguridad social en favor de los servidores públicos del estado y municipios, consecuentemente, el Sujeto Obligado resulta incompetente para tener en sus archivos la información relativa a la opinión de cumplimiento de sus obligaciones fiscales en materia de Seguridad Social” emitida por el Instituto Me</w:t>
      </w:r>
      <w:r>
        <w:rPr>
          <w:rFonts w:ascii="Palatino Linotype" w:hAnsi="Palatino Linotype" w:cs="Tahoma"/>
          <w:sz w:val="22"/>
          <w:szCs w:val="22"/>
        </w:rPr>
        <w:t>xicano del Seguro Social (IMSS), por lo que no resulta procedente ordenar su entrega</w:t>
      </w:r>
      <w:r w:rsidRPr="00AB1598">
        <w:rPr>
          <w:rFonts w:ascii="Palatino Linotype" w:hAnsi="Palatino Linotype" w:cs="Tahoma"/>
          <w:sz w:val="22"/>
          <w:szCs w:val="22"/>
        </w:rPr>
        <w:t>.</w:t>
      </w:r>
    </w:p>
    <w:p w:rsidR="001A66CD" w:rsidP="001A66CD" w:rsidRDefault="001A66CD" w14:paraId="6C2F8E69" w14:textId="77777777">
      <w:pPr>
        <w:spacing w:line="360" w:lineRule="auto"/>
        <w:jc w:val="both"/>
        <w:rPr>
          <w:rFonts w:ascii="Palatino Linotype" w:hAnsi="Palatino Linotype" w:cs="Tahoma"/>
          <w:sz w:val="22"/>
          <w:szCs w:val="22"/>
          <w:lang w:val="es-ES"/>
        </w:rPr>
      </w:pPr>
    </w:p>
    <w:p w:rsidR="001A66CD" w:rsidP="001A66CD" w:rsidRDefault="001A66CD" w14:paraId="77773473" w14:textId="77777777">
      <w:pPr>
        <w:spacing w:line="360" w:lineRule="auto"/>
        <w:jc w:val="both"/>
        <w:rPr>
          <w:rFonts w:ascii="Palatino Linotype" w:hAnsi="Palatino Linotype" w:cs="Tahoma"/>
          <w:sz w:val="22"/>
          <w:szCs w:val="22"/>
          <w:lang w:val="es-ES"/>
        </w:rPr>
      </w:pPr>
      <w:r w:rsidRPr="002E00B4">
        <w:rPr>
          <w:rFonts w:ascii="Palatino Linotype" w:hAnsi="Palatino Linotype" w:cs="Tahoma"/>
          <w:sz w:val="22"/>
          <w:szCs w:val="22"/>
          <w:lang w:val="es-ES"/>
        </w:rPr>
        <w:t xml:space="preserve">En relación con la opinión de cumplimiento emitida por el </w:t>
      </w:r>
      <w:r w:rsidRPr="002E00B4">
        <w:rPr>
          <w:rFonts w:ascii="Palatino Linotype" w:hAnsi="Palatino Linotype" w:cs="Tahoma"/>
          <w:b/>
          <w:sz w:val="22"/>
          <w:szCs w:val="22"/>
          <w:lang w:val="es-ES"/>
        </w:rPr>
        <w:t>Instituto del Fondo Nacional de la Vivienda para los Trabajadores (INFONAVIT)</w:t>
      </w:r>
      <w:r w:rsidRPr="002E00B4">
        <w:rPr>
          <w:rFonts w:ascii="Palatino Linotype" w:hAnsi="Palatino Linotype" w:cs="Tahoma"/>
          <w:sz w:val="22"/>
          <w:szCs w:val="22"/>
          <w:lang w:val="es-ES"/>
        </w:rPr>
        <w:t>, partiremos que de conformidad con el artículo 123 apartado A, fracción XII de la Constitución Política de los Estados Unidos Mexicanos, el cual establece las bases que rigen las relaciones laborales entre las empresas y los particulares, se cita a continuación, para mayor</w:t>
      </w:r>
      <w:r>
        <w:rPr>
          <w:rFonts w:ascii="Palatino Linotype" w:hAnsi="Palatino Linotype" w:cs="Tahoma"/>
          <w:sz w:val="22"/>
          <w:szCs w:val="22"/>
          <w:lang w:val="es-ES"/>
        </w:rPr>
        <w:t xml:space="preserve"> referencia:</w:t>
      </w:r>
    </w:p>
    <w:p w:rsidR="001A66CD" w:rsidP="001A66CD" w:rsidRDefault="001A66CD" w14:paraId="3324059B" w14:textId="77777777">
      <w:pPr>
        <w:spacing w:line="360" w:lineRule="auto"/>
        <w:jc w:val="both"/>
        <w:rPr>
          <w:rFonts w:ascii="Palatino Linotype" w:hAnsi="Palatino Linotype" w:cs="Tahoma"/>
          <w:sz w:val="22"/>
          <w:szCs w:val="22"/>
          <w:lang w:val="es-ES"/>
        </w:rPr>
      </w:pPr>
    </w:p>
    <w:p w:rsidRPr="002E00B4" w:rsidR="001A66CD" w:rsidP="001A66CD" w:rsidRDefault="001A66CD" w14:paraId="07F7DF75" w14:textId="77777777">
      <w:pPr>
        <w:spacing w:line="360" w:lineRule="auto"/>
        <w:ind w:left="567" w:right="539"/>
        <w:contextualSpacing/>
        <w:jc w:val="both"/>
        <w:rPr>
          <w:rFonts w:ascii="Palatino Linotype" w:hAnsi="Palatino Linotype" w:cs="Tahoma"/>
          <w:i/>
          <w:iCs/>
        </w:rPr>
      </w:pPr>
      <w:r w:rsidRPr="002E00B4">
        <w:rPr>
          <w:rFonts w:ascii="Palatino Linotype" w:hAnsi="Palatino Linotype" w:cs="Tahoma"/>
          <w:b/>
          <w:i/>
          <w:iCs/>
        </w:rPr>
        <w:t>Artículo 123</w:t>
      </w:r>
      <w:r w:rsidRPr="002E00B4">
        <w:rPr>
          <w:rFonts w:ascii="Palatino Linotype" w:hAnsi="Palatino Linotype" w:cs="Tahoma"/>
          <w:i/>
          <w:iCs/>
        </w:rPr>
        <w:t>. Toda persona tiene derecho al trabajo digno y socialmente útil; al efecto, se promoverán la creación de empleos y la organización social de trabajo, conforme a la ley.</w:t>
      </w:r>
    </w:p>
    <w:p w:rsidRPr="002E00B4" w:rsidR="001A66CD" w:rsidP="001A66CD" w:rsidRDefault="001A66CD" w14:paraId="4B443E4E" w14:textId="77777777">
      <w:pPr>
        <w:spacing w:line="360" w:lineRule="auto"/>
        <w:ind w:left="567" w:right="539"/>
        <w:contextualSpacing/>
        <w:jc w:val="both"/>
        <w:rPr>
          <w:rFonts w:ascii="Palatino Linotype" w:hAnsi="Palatino Linotype" w:cs="Tahoma"/>
          <w:i/>
          <w:iCs/>
        </w:rPr>
      </w:pPr>
      <w:r w:rsidRPr="002E00B4">
        <w:rPr>
          <w:rFonts w:ascii="Palatino Linotype" w:hAnsi="Palatino Linotype" w:cs="Tahoma"/>
          <w:i/>
          <w:iCs/>
        </w:rPr>
        <w:t>El Congreso de la Unión, sin contravenir a las bases siguientes deberá expedir leyes sobre el trabajo, las cuales regirán:</w:t>
      </w:r>
    </w:p>
    <w:p w:rsidRPr="002E00B4" w:rsidR="001A66CD" w:rsidP="001A66CD" w:rsidRDefault="001A66CD" w14:paraId="14171606" w14:textId="77777777">
      <w:pPr>
        <w:spacing w:line="360" w:lineRule="auto"/>
        <w:ind w:left="567" w:right="539"/>
        <w:contextualSpacing/>
        <w:jc w:val="both"/>
        <w:rPr>
          <w:rFonts w:ascii="Palatino Linotype" w:hAnsi="Palatino Linotype" w:cs="Tahoma"/>
          <w:i/>
          <w:iCs/>
        </w:rPr>
      </w:pPr>
      <w:r w:rsidRPr="002E00B4">
        <w:rPr>
          <w:rFonts w:ascii="Palatino Linotype" w:hAnsi="Palatino Linotype" w:cs="Tahoma"/>
          <w:b/>
          <w:i/>
          <w:iCs/>
        </w:rPr>
        <w:lastRenderedPageBreak/>
        <w:t>A.</w:t>
      </w:r>
      <w:r w:rsidRPr="002E00B4">
        <w:rPr>
          <w:rFonts w:ascii="Palatino Linotype" w:hAnsi="Palatino Linotype" w:cs="Tahoma"/>
          <w:i/>
          <w:iCs/>
        </w:rPr>
        <w:t xml:space="preserve"> Entre los obreros, jornaleros, empleados domésticos, artesanos y de una manera general, todo contrato de trabajo:</w:t>
      </w:r>
    </w:p>
    <w:p w:rsidRPr="002E00B4" w:rsidR="001A66CD" w:rsidP="001A66CD" w:rsidRDefault="001A66CD" w14:paraId="54B495EE" w14:textId="77777777">
      <w:pPr>
        <w:spacing w:line="360" w:lineRule="auto"/>
        <w:ind w:left="567" w:right="539"/>
        <w:contextualSpacing/>
        <w:jc w:val="both"/>
        <w:rPr>
          <w:rFonts w:ascii="Palatino Linotype" w:hAnsi="Palatino Linotype" w:cs="Tahoma"/>
          <w:i/>
          <w:iCs/>
        </w:rPr>
      </w:pPr>
      <w:r>
        <w:rPr>
          <w:rFonts w:ascii="Palatino Linotype" w:hAnsi="Palatino Linotype" w:cs="Tahoma"/>
          <w:i/>
          <w:iCs/>
        </w:rPr>
        <w:t>I a XI</w:t>
      </w:r>
      <w:r w:rsidRPr="002E00B4">
        <w:rPr>
          <w:rFonts w:ascii="Palatino Linotype" w:hAnsi="Palatino Linotype" w:cs="Tahoma"/>
          <w:i/>
          <w:iCs/>
        </w:rPr>
        <w:t>…</w:t>
      </w:r>
    </w:p>
    <w:p w:rsidRPr="002E00B4" w:rsidR="001A66CD" w:rsidP="001A66CD" w:rsidRDefault="001A66CD" w14:paraId="2EE8BCAE" w14:textId="77777777">
      <w:pPr>
        <w:spacing w:line="360" w:lineRule="auto"/>
        <w:ind w:left="567" w:right="539"/>
        <w:contextualSpacing/>
        <w:jc w:val="both"/>
        <w:rPr>
          <w:rFonts w:ascii="Palatino Linotype" w:hAnsi="Palatino Linotype" w:cs="Tahoma"/>
          <w:i/>
          <w:iCs/>
          <w:u w:val="single"/>
        </w:rPr>
      </w:pPr>
      <w:r w:rsidRPr="002E00B4">
        <w:rPr>
          <w:rFonts w:ascii="Palatino Linotype" w:hAnsi="Palatino Linotype" w:cs="Tahoma"/>
          <w:i/>
          <w:iCs/>
        </w:rPr>
        <w:t xml:space="preserve">XII. Toda empresa agrícola, industrial, minera o de cualquier otra clase de trabajo, estará obligada, según lo determinen las leyes reglamentarias a proporcionar a los trabajadores habitaciones cómodas e higiénicas. </w:t>
      </w:r>
      <w:r w:rsidRPr="002E00B4">
        <w:rPr>
          <w:rFonts w:ascii="Palatino Linotype" w:hAnsi="Palatino Linotype" w:cs="Tahoma"/>
          <w:i/>
          <w:iCs/>
          <w:u w:val="single"/>
        </w:rPr>
        <w:t>Esta obligación se cumplirá mediante las aportaciones que las empresas hagan a un fondo nacional de la vivienda a fin de constituir depósitos en favor de sus trabajadores y establecer un sistema de financiamiento que permita otorgar a éstos crédito barato y suficiente para que adquieran en propiedad tales habitaciones.</w:t>
      </w:r>
    </w:p>
    <w:p w:rsidRPr="002E00B4" w:rsidR="001A66CD" w:rsidP="001A66CD" w:rsidRDefault="001A66CD" w14:paraId="319B244C" w14:textId="77777777">
      <w:pPr>
        <w:spacing w:line="360" w:lineRule="auto"/>
        <w:ind w:left="567" w:right="539"/>
        <w:contextualSpacing/>
        <w:jc w:val="both"/>
        <w:rPr>
          <w:rFonts w:ascii="Palatino Linotype" w:hAnsi="Palatino Linotype" w:cs="Tahoma"/>
          <w:i/>
          <w:iCs/>
        </w:rPr>
      </w:pPr>
      <w:r w:rsidRPr="002E00B4">
        <w:rPr>
          <w:rFonts w:ascii="Palatino Linotype" w:hAnsi="Palatino Linotype" w:cs="Tahoma"/>
          <w:i/>
          <w:iCs/>
          <w:u w:val="single"/>
        </w:rPr>
        <w:t>Se considera de utilidad social la expedición de una ley para la creación de un organismo integrado por representantes del Gobierno Federal, de los trabajadores y de los patrones, que administre los recursos del fondo nacional de la vivienda. Dicha ley regulará las formas y procedimientos conforme a los cuales los trabajadores podrán adquirir en propiedad las habitaciones antes mencionadas.</w:t>
      </w:r>
      <w:r w:rsidRPr="002E00B4">
        <w:rPr>
          <w:rFonts w:ascii="Palatino Linotype" w:hAnsi="Palatino Linotype" w:cs="Tahoma"/>
          <w:i/>
          <w:iCs/>
        </w:rPr>
        <w:t>”</w:t>
      </w:r>
    </w:p>
    <w:p w:rsidR="001A66CD" w:rsidP="001A66CD" w:rsidRDefault="001A66CD" w14:paraId="27CC3D38" w14:textId="77777777">
      <w:pPr>
        <w:spacing w:line="360" w:lineRule="auto"/>
        <w:jc w:val="both"/>
        <w:rPr>
          <w:rFonts w:ascii="Palatino Linotype" w:hAnsi="Palatino Linotype" w:cs="Tahoma"/>
          <w:sz w:val="22"/>
          <w:szCs w:val="22"/>
          <w:lang w:val="es-ES"/>
        </w:rPr>
      </w:pPr>
    </w:p>
    <w:p w:rsidR="001A66CD" w:rsidP="001A66CD" w:rsidRDefault="001A66CD" w14:paraId="61555D5E" w14:textId="77777777">
      <w:pPr>
        <w:spacing w:line="360" w:lineRule="auto"/>
        <w:jc w:val="both"/>
        <w:rPr>
          <w:rFonts w:ascii="Palatino Linotype" w:hAnsi="Palatino Linotype" w:cs="Tahoma"/>
          <w:sz w:val="22"/>
          <w:szCs w:val="22"/>
          <w:lang w:val="es-ES"/>
        </w:rPr>
      </w:pPr>
      <w:r w:rsidRPr="002E00B4">
        <w:rPr>
          <w:rFonts w:ascii="Palatino Linotype" w:hAnsi="Palatino Linotype" w:cs="Tahoma"/>
          <w:sz w:val="22"/>
          <w:szCs w:val="22"/>
          <w:lang w:val="es-ES"/>
        </w:rPr>
        <w:t xml:space="preserve">Precepto legal que concatenado con el contenido de los artículos 2 y 3 de Ley del Instituto del Fondo Nacional de la Vivienda para los Trabajadores, que establece a dicho Instituto como el organismo de servicio social con personalidad jurídica y patrimonio propio, cuyos objetivos son entre otros, administrar los recursos del Fondo Nacional de Vivienda, se cita para </w:t>
      </w:r>
      <w:r>
        <w:rPr>
          <w:rFonts w:ascii="Palatino Linotype" w:hAnsi="Palatino Linotype" w:cs="Tahoma"/>
          <w:sz w:val="22"/>
          <w:szCs w:val="22"/>
          <w:lang w:val="es-ES"/>
        </w:rPr>
        <w:t>pronta</w:t>
      </w:r>
      <w:r w:rsidRPr="002E00B4">
        <w:rPr>
          <w:rFonts w:ascii="Palatino Linotype" w:hAnsi="Palatino Linotype" w:cs="Tahoma"/>
          <w:sz w:val="22"/>
          <w:szCs w:val="22"/>
          <w:lang w:val="es-ES"/>
        </w:rPr>
        <w:t xml:space="preserve"> referencia:</w:t>
      </w:r>
    </w:p>
    <w:p w:rsidR="001A66CD" w:rsidP="001A66CD" w:rsidRDefault="001A66CD" w14:paraId="22EBB8B1" w14:textId="77777777">
      <w:pPr>
        <w:spacing w:line="360" w:lineRule="auto"/>
        <w:jc w:val="both"/>
        <w:rPr>
          <w:rFonts w:ascii="Palatino Linotype" w:hAnsi="Palatino Linotype" w:cs="Tahoma"/>
          <w:sz w:val="22"/>
          <w:szCs w:val="22"/>
          <w:lang w:val="es-ES"/>
        </w:rPr>
      </w:pPr>
    </w:p>
    <w:p w:rsidRPr="004472EA" w:rsidR="001A66CD" w:rsidP="001A66CD" w:rsidRDefault="001A66CD" w14:paraId="48191419" w14:textId="77777777">
      <w:pPr>
        <w:spacing w:line="360" w:lineRule="auto"/>
        <w:ind w:left="567" w:right="539"/>
        <w:contextualSpacing/>
        <w:jc w:val="both"/>
        <w:rPr>
          <w:rFonts w:ascii="Palatino Linotype" w:hAnsi="Palatino Linotype" w:cs="Tahoma"/>
          <w:i/>
          <w:iCs/>
        </w:rPr>
      </w:pPr>
      <w:r w:rsidRPr="004472EA">
        <w:rPr>
          <w:rFonts w:ascii="Palatino Linotype" w:hAnsi="Palatino Linotype" w:cs="Tahoma"/>
          <w:b/>
          <w:i/>
          <w:iCs/>
        </w:rPr>
        <w:t>Artículo 3o.-</w:t>
      </w:r>
      <w:r w:rsidRPr="004472EA">
        <w:rPr>
          <w:rFonts w:ascii="Palatino Linotype" w:hAnsi="Palatino Linotype" w:cs="Tahoma"/>
          <w:i/>
          <w:iCs/>
        </w:rPr>
        <w:t xml:space="preserve"> El Instituto tiene por objeto:</w:t>
      </w:r>
    </w:p>
    <w:p w:rsidRPr="004472EA" w:rsidR="001A66CD" w:rsidP="001A66CD" w:rsidRDefault="001A66CD" w14:paraId="0524ECF6" w14:textId="77777777">
      <w:pPr>
        <w:spacing w:line="360" w:lineRule="auto"/>
        <w:ind w:left="567" w:right="539"/>
        <w:contextualSpacing/>
        <w:jc w:val="both"/>
        <w:rPr>
          <w:rFonts w:ascii="Palatino Linotype" w:hAnsi="Palatino Linotype" w:cs="Tahoma"/>
          <w:i/>
          <w:iCs/>
        </w:rPr>
      </w:pPr>
      <w:r w:rsidRPr="004472EA">
        <w:rPr>
          <w:rFonts w:ascii="Palatino Linotype" w:hAnsi="Palatino Linotype" w:cs="Tahoma"/>
          <w:i/>
          <w:iCs/>
        </w:rPr>
        <w:t>I.- Administrar los recursos del Fondo Nacional de la Vivienda;</w:t>
      </w:r>
    </w:p>
    <w:p w:rsidRPr="004472EA" w:rsidR="001A66CD" w:rsidP="001A66CD" w:rsidRDefault="001A66CD" w14:paraId="74A33FBA" w14:textId="77777777">
      <w:pPr>
        <w:spacing w:line="360" w:lineRule="auto"/>
        <w:ind w:left="567" w:right="539"/>
        <w:contextualSpacing/>
        <w:jc w:val="both"/>
        <w:rPr>
          <w:rFonts w:ascii="Palatino Linotype" w:hAnsi="Palatino Linotype" w:cs="Tahoma"/>
          <w:i/>
          <w:iCs/>
        </w:rPr>
      </w:pPr>
      <w:r w:rsidRPr="004472EA">
        <w:rPr>
          <w:rFonts w:ascii="Palatino Linotype" w:hAnsi="Palatino Linotype" w:cs="Tahoma"/>
          <w:i/>
          <w:iCs/>
        </w:rPr>
        <w:t>II.- Establecer y operar un sistema de financiamiento que permita a los trabajadores obtener crédito barato y suficiente para:</w:t>
      </w:r>
    </w:p>
    <w:p w:rsidRPr="004472EA" w:rsidR="001A66CD" w:rsidP="001A66CD" w:rsidRDefault="001A66CD" w14:paraId="35D0C2C6" w14:textId="77777777">
      <w:pPr>
        <w:spacing w:line="360" w:lineRule="auto"/>
        <w:ind w:left="567" w:right="539"/>
        <w:contextualSpacing/>
        <w:jc w:val="both"/>
        <w:rPr>
          <w:rFonts w:ascii="Palatino Linotype" w:hAnsi="Palatino Linotype" w:cs="Tahoma"/>
          <w:i/>
          <w:iCs/>
        </w:rPr>
      </w:pPr>
      <w:r w:rsidRPr="004472EA">
        <w:rPr>
          <w:rFonts w:ascii="Palatino Linotype" w:hAnsi="Palatino Linotype" w:cs="Tahoma"/>
          <w:i/>
          <w:iCs/>
        </w:rPr>
        <w:t>a).- La adquisición en propiedad de habitaciones cómodas e higiénicas,</w:t>
      </w:r>
    </w:p>
    <w:p w:rsidRPr="004472EA" w:rsidR="001A66CD" w:rsidP="001A66CD" w:rsidRDefault="001A66CD" w14:paraId="24CCF7AE" w14:textId="77777777">
      <w:pPr>
        <w:spacing w:line="360" w:lineRule="auto"/>
        <w:ind w:left="567" w:right="539"/>
        <w:contextualSpacing/>
        <w:jc w:val="both"/>
        <w:rPr>
          <w:rFonts w:ascii="Palatino Linotype" w:hAnsi="Palatino Linotype" w:cs="Tahoma"/>
          <w:i/>
          <w:iCs/>
        </w:rPr>
      </w:pPr>
      <w:r w:rsidRPr="004472EA">
        <w:rPr>
          <w:rFonts w:ascii="Palatino Linotype" w:hAnsi="Palatino Linotype" w:cs="Tahoma"/>
          <w:i/>
          <w:iCs/>
        </w:rPr>
        <w:t>b).- La construcción, reparación, ampliación o mejoramiento de sus habitaciones, y</w:t>
      </w:r>
    </w:p>
    <w:p w:rsidRPr="004472EA" w:rsidR="001A66CD" w:rsidP="001A66CD" w:rsidRDefault="001A66CD" w14:paraId="66468834" w14:textId="77777777">
      <w:pPr>
        <w:spacing w:line="360" w:lineRule="auto"/>
        <w:ind w:left="567" w:right="539"/>
        <w:contextualSpacing/>
        <w:jc w:val="both"/>
        <w:rPr>
          <w:rFonts w:ascii="Palatino Linotype" w:hAnsi="Palatino Linotype" w:cs="Tahoma"/>
          <w:i/>
          <w:iCs/>
        </w:rPr>
      </w:pPr>
      <w:r w:rsidRPr="004472EA">
        <w:rPr>
          <w:rFonts w:ascii="Palatino Linotype" w:hAnsi="Palatino Linotype" w:cs="Tahoma"/>
          <w:i/>
          <w:iCs/>
        </w:rPr>
        <w:t>c).- El pago de pasivos contraídos por los conceptos anteriores;</w:t>
      </w:r>
    </w:p>
    <w:p w:rsidRPr="004472EA" w:rsidR="001A66CD" w:rsidP="001A66CD" w:rsidRDefault="001A66CD" w14:paraId="3AE4235C" w14:textId="77777777">
      <w:pPr>
        <w:spacing w:line="360" w:lineRule="auto"/>
        <w:ind w:left="567" w:right="539"/>
        <w:contextualSpacing/>
        <w:jc w:val="both"/>
        <w:rPr>
          <w:rFonts w:ascii="Palatino Linotype" w:hAnsi="Palatino Linotype" w:cs="Tahoma"/>
          <w:i/>
          <w:iCs/>
        </w:rPr>
      </w:pPr>
      <w:r w:rsidRPr="004472EA">
        <w:rPr>
          <w:rFonts w:ascii="Palatino Linotype" w:hAnsi="Palatino Linotype" w:cs="Tahoma"/>
          <w:i/>
          <w:iCs/>
        </w:rPr>
        <w:t>d).- La adquisición en propiedad de suelo destinado para la construcción de sus habitaciones;</w:t>
      </w:r>
    </w:p>
    <w:p w:rsidRPr="004472EA" w:rsidR="001A66CD" w:rsidP="001A66CD" w:rsidRDefault="001A66CD" w14:paraId="5D2D4C8C" w14:textId="77777777">
      <w:pPr>
        <w:spacing w:line="360" w:lineRule="auto"/>
        <w:ind w:left="567" w:right="539"/>
        <w:contextualSpacing/>
        <w:jc w:val="both"/>
        <w:rPr>
          <w:rFonts w:ascii="Palatino Linotype" w:hAnsi="Palatino Linotype" w:cs="Tahoma"/>
          <w:i/>
          <w:iCs/>
        </w:rPr>
      </w:pPr>
      <w:r w:rsidRPr="004472EA">
        <w:rPr>
          <w:rFonts w:ascii="Palatino Linotype" w:hAnsi="Palatino Linotype" w:cs="Tahoma"/>
          <w:i/>
          <w:iCs/>
        </w:rPr>
        <w:lastRenderedPageBreak/>
        <w:t>III.- Coordinar y financiar programas de construcción de habitaciones destinadas a ser adquiridas en propiedad por los trabajadores; y</w:t>
      </w:r>
    </w:p>
    <w:p w:rsidRPr="004472EA" w:rsidR="001A66CD" w:rsidP="001A66CD" w:rsidRDefault="001A66CD" w14:paraId="2DDE85AE" w14:textId="77777777">
      <w:pPr>
        <w:spacing w:line="360" w:lineRule="auto"/>
        <w:ind w:left="567" w:right="539"/>
        <w:contextualSpacing/>
        <w:jc w:val="both"/>
        <w:rPr>
          <w:rFonts w:ascii="Palatino Linotype" w:hAnsi="Palatino Linotype" w:cs="Tahoma"/>
          <w:i/>
          <w:iCs/>
        </w:rPr>
      </w:pPr>
      <w:r w:rsidRPr="004472EA">
        <w:rPr>
          <w:rFonts w:ascii="Palatino Linotype" w:hAnsi="Palatino Linotype" w:cs="Tahoma"/>
          <w:i/>
          <w:iCs/>
        </w:rPr>
        <w:t>IV.- Lo demás a que se refiere la fracción XII del Apartado A del Artículo 123 Constitucional y el</w:t>
      </w:r>
    </w:p>
    <w:p w:rsidRPr="004472EA" w:rsidR="001A66CD" w:rsidP="001A66CD" w:rsidRDefault="001A66CD" w14:paraId="4CBB307D" w14:textId="77777777">
      <w:pPr>
        <w:spacing w:line="360" w:lineRule="auto"/>
        <w:ind w:left="567" w:right="539"/>
        <w:contextualSpacing/>
        <w:jc w:val="both"/>
        <w:rPr>
          <w:rFonts w:ascii="Palatino Linotype" w:hAnsi="Palatino Linotype" w:cs="Tahoma"/>
          <w:i/>
          <w:iCs/>
        </w:rPr>
      </w:pPr>
      <w:r w:rsidRPr="004472EA">
        <w:rPr>
          <w:rFonts w:ascii="Palatino Linotype" w:hAnsi="Palatino Linotype" w:cs="Tahoma"/>
          <w:i/>
          <w:iCs/>
        </w:rPr>
        <w:t>Título Cuarto, Capítulo III de la Ley Federal del Trabajo, así como lo que esta ley establece.</w:t>
      </w:r>
    </w:p>
    <w:p w:rsidR="001A66CD" w:rsidP="001A66CD" w:rsidRDefault="001A66CD" w14:paraId="444001CD" w14:textId="77777777">
      <w:pPr>
        <w:spacing w:line="360" w:lineRule="auto"/>
        <w:jc w:val="both"/>
        <w:rPr>
          <w:rFonts w:ascii="Palatino Linotype" w:hAnsi="Palatino Linotype" w:cs="Tahoma"/>
          <w:sz w:val="22"/>
          <w:szCs w:val="22"/>
          <w:lang w:val="es-ES"/>
        </w:rPr>
      </w:pPr>
    </w:p>
    <w:p w:rsidR="001A66CD" w:rsidP="001A66CD" w:rsidRDefault="001A66CD" w14:paraId="6691FFDE" w14:textId="77777777">
      <w:pPr>
        <w:spacing w:line="360" w:lineRule="auto"/>
        <w:jc w:val="both"/>
        <w:rPr>
          <w:rFonts w:ascii="Palatino Linotype" w:hAnsi="Palatino Linotype" w:cs="Tahoma"/>
          <w:sz w:val="22"/>
          <w:szCs w:val="22"/>
          <w:lang w:val="es-ES"/>
        </w:rPr>
      </w:pPr>
      <w:r w:rsidRPr="004472EA">
        <w:rPr>
          <w:rFonts w:ascii="Palatino Linotype" w:hAnsi="Palatino Linotype" w:cs="Tahoma"/>
          <w:sz w:val="22"/>
          <w:szCs w:val="22"/>
          <w:lang w:val="es-ES"/>
        </w:rPr>
        <w:t xml:space="preserve">De los preceptos de Ley citados, podemos concluir que lo relativo al Fondo Nacional de Vivienda, se encuentra únicamente contemplado en las relaciones laborales entre particulares (privados), por lo que la opinión de cumplimiento del INFONAVIT, (correctamente denominada Constancia de Situación Fiscal de las obligaciones patronales), únicamente es requerida y exigible a los Patrones del régimen laboral entre particulares, por lo que al </w:t>
      </w:r>
      <w:r>
        <w:rPr>
          <w:rFonts w:ascii="Palatino Linotype" w:hAnsi="Palatino Linotype" w:cs="Tahoma"/>
          <w:sz w:val="22"/>
          <w:szCs w:val="22"/>
          <w:lang w:val="es-ES"/>
        </w:rPr>
        <w:t>solicitar</w:t>
      </w:r>
      <w:r w:rsidRPr="004472EA">
        <w:rPr>
          <w:rFonts w:ascii="Palatino Linotype" w:hAnsi="Palatino Linotype" w:cs="Tahoma"/>
          <w:sz w:val="22"/>
          <w:szCs w:val="22"/>
          <w:lang w:val="es-ES"/>
        </w:rPr>
        <w:t xml:space="preserve"> la entrega de la misma, a Entes de Gobierno, no resulta procedente, derivado de no encuadrar en los supuestos de los ordenamientos citados.</w:t>
      </w:r>
    </w:p>
    <w:p w:rsidR="001A66CD" w:rsidP="001A66CD" w:rsidRDefault="001A66CD" w14:paraId="0A11E528" w14:textId="77777777">
      <w:pPr>
        <w:spacing w:line="360" w:lineRule="auto"/>
        <w:jc w:val="both"/>
        <w:rPr>
          <w:rFonts w:ascii="Palatino Linotype" w:hAnsi="Palatino Linotype" w:cs="Tahoma"/>
          <w:sz w:val="22"/>
          <w:szCs w:val="22"/>
          <w:lang w:val="es-ES"/>
        </w:rPr>
      </w:pPr>
    </w:p>
    <w:p w:rsidRPr="002C51F3" w:rsidR="001A66CD" w:rsidP="001A66CD" w:rsidRDefault="001A66CD" w14:paraId="6B90EC85" w14:textId="77777777">
      <w:pPr>
        <w:spacing w:line="360" w:lineRule="auto"/>
        <w:ind w:right="-93"/>
        <w:jc w:val="both"/>
        <w:rPr>
          <w:rFonts w:ascii="Palatino Linotype" w:hAnsi="Palatino Linotype" w:cs="Tahoma"/>
          <w:sz w:val="22"/>
          <w:szCs w:val="22"/>
        </w:rPr>
      </w:pPr>
      <w:r w:rsidRPr="002C51F3">
        <w:rPr>
          <w:rFonts w:ascii="Palatino Linotype" w:hAnsi="Palatino Linotype" w:cs="Tahoma"/>
          <w:sz w:val="22"/>
          <w:szCs w:val="22"/>
        </w:rPr>
        <w:t>En lo que corresponde a la opinión de cumplimiento del Servicio de Administración Tributaria (SAT),</w:t>
      </w:r>
      <w:r>
        <w:rPr>
          <w:rFonts w:ascii="Palatino Linotype" w:hAnsi="Palatino Linotype" w:cs="Tahoma"/>
          <w:sz w:val="22"/>
          <w:szCs w:val="22"/>
        </w:rPr>
        <w:t xml:space="preserve"> marcado con el </w:t>
      </w:r>
      <w:r w:rsidRPr="001A66CD">
        <w:rPr>
          <w:rFonts w:ascii="Palatino Linotype" w:hAnsi="Palatino Linotype" w:cs="Tahoma"/>
          <w:b/>
          <w:sz w:val="22"/>
          <w:szCs w:val="22"/>
        </w:rPr>
        <w:t>punto 4</w:t>
      </w:r>
      <w:r>
        <w:rPr>
          <w:rFonts w:ascii="Palatino Linotype" w:hAnsi="Palatino Linotype" w:cs="Tahoma"/>
          <w:sz w:val="22"/>
          <w:szCs w:val="22"/>
        </w:rPr>
        <w:t xml:space="preserve"> en el Considerando Tercero,</w:t>
      </w:r>
      <w:r w:rsidRPr="002C51F3">
        <w:rPr>
          <w:rFonts w:ascii="Palatino Linotype" w:hAnsi="Palatino Linotype" w:cs="Tahoma"/>
          <w:sz w:val="22"/>
          <w:szCs w:val="22"/>
        </w:rPr>
        <w:t xml:space="preserve"> es de señalar que éste es un órgano desconcentrado de la Secretaría de Hacienda y Crédito Público (SHCP), esta </w:t>
      </w:r>
      <w:r>
        <w:rPr>
          <w:rFonts w:ascii="Palatino Linotype" w:hAnsi="Palatino Linotype" w:cs="Tahoma"/>
          <w:sz w:val="22"/>
          <w:szCs w:val="22"/>
        </w:rPr>
        <w:t xml:space="preserve">como </w:t>
      </w:r>
      <w:r w:rsidRPr="002C51F3">
        <w:rPr>
          <w:rFonts w:ascii="Palatino Linotype" w:hAnsi="Palatino Linotype" w:cs="Tahoma"/>
          <w:sz w:val="22"/>
          <w:szCs w:val="22"/>
        </w:rPr>
        <w:t>máxima autoridad fiscal encargada de la determinación y recaudación de impuestos en México. En ese orden de ideas, debemos traer a colación los artículos 27 apartado A, fracción VI, 29, 32-D último párrafo, 32-G del Código Fiscal de la Federación, así como los artículos 94 fracción I y 96 de la Ley del Impuesto sobre la Renta que señalan lo siguiente:</w:t>
      </w:r>
    </w:p>
    <w:p w:rsidR="001A66CD" w:rsidP="001A66CD" w:rsidRDefault="001A66CD" w14:paraId="31CEA4FA" w14:textId="77777777">
      <w:pPr>
        <w:spacing w:line="360" w:lineRule="auto"/>
        <w:jc w:val="both"/>
        <w:rPr>
          <w:rFonts w:ascii="Palatino Linotype" w:hAnsi="Palatino Linotype" w:cs="Tahoma"/>
          <w:b/>
          <w:sz w:val="22"/>
          <w:szCs w:val="22"/>
          <w:lang w:val="es-ES"/>
        </w:rPr>
      </w:pPr>
    </w:p>
    <w:p w:rsidRPr="002C51F3" w:rsidR="001A66CD" w:rsidP="001A66CD" w:rsidRDefault="001A66CD" w14:paraId="5F9BCBA2" w14:textId="77777777">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w:t>
      </w:r>
      <w:r w:rsidRPr="002C51F3">
        <w:rPr>
          <w:rFonts w:ascii="Palatino Linotype" w:hAnsi="Palatino Linotype" w:cs="Tahoma"/>
          <w:b/>
          <w:i/>
          <w:szCs w:val="22"/>
        </w:rPr>
        <w:t>Artículo 27.</w:t>
      </w:r>
      <w:r w:rsidRPr="002C51F3">
        <w:rPr>
          <w:rFonts w:ascii="Palatino Linotype" w:hAnsi="Palatino Linotype" w:cs="Tahoma"/>
          <w:i/>
          <w:szCs w:val="22"/>
        </w:rPr>
        <w:t xml:space="preserve"> En materia del Registro Federal de Contribuyentes, se estará a lo siguiente:</w:t>
      </w:r>
    </w:p>
    <w:p w:rsidRPr="002C51F3" w:rsidR="001A66CD" w:rsidP="001A66CD" w:rsidRDefault="001A66CD" w14:paraId="76DFE442" w14:textId="77777777">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A. Sujetos y sus obligaciones específicas:</w:t>
      </w:r>
    </w:p>
    <w:p w:rsidRPr="002C51F3" w:rsidR="001A66CD" w:rsidP="001A66CD" w:rsidRDefault="001A66CD" w14:paraId="0644B316" w14:textId="77777777">
      <w:pPr>
        <w:spacing w:line="360" w:lineRule="auto"/>
        <w:ind w:left="567" w:right="539"/>
        <w:jc w:val="both"/>
        <w:rPr>
          <w:rFonts w:ascii="Palatino Linotype" w:hAnsi="Palatino Linotype" w:cs="Tahoma"/>
          <w:i/>
          <w:szCs w:val="22"/>
        </w:rPr>
      </w:pPr>
      <w:r>
        <w:rPr>
          <w:rFonts w:ascii="Palatino Linotype" w:hAnsi="Palatino Linotype" w:cs="Tahoma"/>
          <w:i/>
          <w:szCs w:val="22"/>
        </w:rPr>
        <w:t>I a V…</w:t>
      </w:r>
    </w:p>
    <w:p w:rsidR="001A66CD" w:rsidP="001A66CD" w:rsidRDefault="001A66CD" w14:paraId="14971741" w14:textId="77777777">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 xml:space="preserve">VI. Las unidades administrativas y los órganos administrativos desconcentrados de las dependencias y las demás áreas u órganos de la Federación, de las Entidades Federativas, de los municipios, de los organismos descentralizados y de los órganos constitucionales autónomos, que cuenten con autorización del ente público al que pertenezcan, que tengan el carácter de retenedor o de </w:t>
      </w:r>
      <w:r w:rsidRPr="002C51F3">
        <w:rPr>
          <w:rFonts w:ascii="Palatino Linotype" w:hAnsi="Palatino Linotype" w:cs="Tahoma"/>
          <w:i/>
          <w:szCs w:val="22"/>
        </w:rPr>
        <w:lastRenderedPageBreak/>
        <w:t>contribuyente, de conformidad con las leyes fiscales, en forma separada del ente público al que pertenezcan, deberán dar cumplimiento a las obligaciones previstas en las fracciones I, II y III del apartado B del presente artículo</w:t>
      </w:r>
      <w:r>
        <w:rPr>
          <w:rFonts w:ascii="Palatino Linotype" w:hAnsi="Palatino Linotype" w:cs="Tahoma"/>
          <w:i/>
          <w:szCs w:val="22"/>
        </w:rPr>
        <w:t>.</w:t>
      </w:r>
    </w:p>
    <w:p w:rsidRPr="002C51F3" w:rsidR="001A66CD" w:rsidP="001A66CD" w:rsidRDefault="001A66CD" w14:paraId="0363DE4D" w14:textId="77777777">
      <w:pPr>
        <w:spacing w:line="360" w:lineRule="auto"/>
        <w:ind w:left="567" w:right="539"/>
        <w:jc w:val="both"/>
        <w:rPr>
          <w:rFonts w:ascii="Palatino Linotype" w:hAnsi="Palatino Linotype" w:cs="Tahoma"/>
          <w:i/>
          <w:szCs w:val="22"/>
        </w:rPr>
      </w:pPr>
      <w:r>
        <w:rPr>
          <w:rFonts w:ascii="Palatino Linotype" w:hAnsi="Palatino Linotype" w:cs="Tahoma"/>
          <w:i/>
          <w:szCs w:val="22"/>
        </w:rPr>
        <w:t>…</w:t>
      </w:r>
      <w:r w:rsidRPr="002C51F3">
        <w:rPr>
          <w:rFonts w:ascii="Palatino Linotype" w:hAnsi="Palatino Linotype" w:cs="Tahoma"/>
          <w:i/>
          <w:szCs w:val="22"/>
        </w:rPr>
        <w:cr/>
      </w:r>
    </w:p>
    <w:p w:rsidRPr="002C51F3" w:rsidR="001A66CD" w:rsidP="001A66CD" w:rsidRDefault="001A66CD" w14:paraId="2953E09A" w14:textId="77777777">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Artículo 29</w:t>
      </w:r>
      <w:r w:rsidRPr="002C51F3">
        <w:rPr>
          <w:rFonts w:ascii="Palatino Linotype" w:hAnsi="Palatino Linotype" w:cs="Tahoma"/>
          <w:i/>
          <w:szCs w:val="22"/>
        </w:rPr>
        <w:t>.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realicen pagos parciales o diferidos que liquidan saldos de comprobantes fiscales digitales por Internet, o aquéllas a las que les hubieren retenido contribuciones deberán solicitar el comprobante fiscal digital por Internet respectivo. Los contribuyentes que exporten mercancías que no sean objeto de enajenación o cuya enajenación sea a título gratuito, deberán expedir el comprobante fiscal digital por Internet que ampare la operación.</w:t>
      </w:r>
    </w:p>
    <w:p w:rsidRPr="002C51F3" w:rsidR="001A66CD" w:rsidP="001A66CD" w:rsidRDefault="001A66CD" w14:paraId="11DC495E" w14:textId="77777777">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Los contribuyentes a que se refiere el párrafo anterior deberán cumplir con las obligaciones siguientes:</w:t>
      </w:r>
    </w:p>
    <w:p w:rsidRPr="002C51F3" w:rsidR="001A66CD" w:rsidP="001A66CD" w:rsidRDefault="001A66CD" w14:paraId="4AF75152" w14:textId="77777777">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I.</w:t>
      </w:r>
      <w:r w:rsidRPr="002C51F3">
        <w:rPr>
          <w:rFonts w:ascii="Palatino Linotype" w:hAnsi="Palatino Linotype" w:cs="Tahoma"/>
          <w:i/>
          <w:szCs w:val="22"/>
        </w:rPr>
        <w:t xml:space="preserve"> Contar con un certificado de firma electrónica avanzada vigente, tener obligaciones fiscales en el Registro Federal de Contribuyentes y cumplir con los requisitos que determine el Servicio de Administración Tributaria mediante las reglas de carácter general.</w:t>
      </w:r>
    </w:p>
    <w:p w:rsidRPr="002C51F3" w:rsidR="001A66CD" w:rsidP="001A66CD" w:rsidRDefault="001A66CD" w14:paraId="0CF79D25" w14:textId="77777777">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II.</w:t>
      </w:r>
      <w:r w:rsidRPr="002C51F3">
        <w:rPr>
          <w:rFonts w:ascii="Palatino Linotype" w:hAnsi="Palatino Linotype" w:cs="Tahoma"/>
          <w:i/>
          <w:szCs w:val="22"/>
        </w:rPr>
        <w:t xml:space="preserve"> Tramitar ante el Servicio de Administración Tributaria el certificado para el uso de los sellos digitales.</w:t>
      </w:r>
    </w:p>
    <w:p w:rsidRPr="002C51F3" w:rsidR="001A66CD" w:rsidP="001A66CD" w:rsidRDefault="001A66CD" w14:paraId="12544C91" w14:textId="77777777">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Pr="002C51F3" w:rsidR="001A66CD" w:rsidP="001A66CD" w:rsidRDefault="001A66CD" w14:paraId="470A0C06" w14:textId="77777777">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 xml:space="preserve">Los contribuyentes podrán tramitar la obtención de un certificado de sello digital para ser utilizado por todos sus establecimientos o locales, o bien, tramitar la obtención de un certificado de sello digital por cada uno de sus establecimientos. El Servicio de Administración Tributaria establecerá mediante </w:t>
      </w:r>
      <w:r w:rsidRPr="002C51F3">
        <w:rPr>
          <w:rFonts w:ascii="Palatino Linotype" w:hAnsi="Palatino Linotype" w:cs="Tahoma"/>
          <w:i/>
          <w:szCs w:val="22"/>
        </w:rPr>
        <w:lastRenderedPageBreak/>
        <w:t>reglas de carácter general los requisitos de control e identificación a que se sujetará el uso del sello digital de los contribuyentes.</w:t>
      </w:r>
    </w:p>
    <w:p w:rsidRPr="002C51F3" w:rsidR="001A66CD" w:rsidP="001A66CD" w:rsidRDefault="001A66CD" w14:paraId="677C289B" w14:textId="77777777">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La tramitación de un certificado de sello digital sólo podrá efectuarse mediante formato electrónico que cuente con la firma electrónica avanzada de la persona solicitante.</w:t>
      </w:r>
    </w:p>
    <w:p w:rsidRPr="002C51F3" w:rsidR="001A66CD" w:rsidP="001A66CD" w:rsidRDefault="001A66CD" w14:paraId="212EA7C4" w14:textId="77777777">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III.</w:t>
      </w:r>
      <w:r w:rsidRPr="002C51F3">
        <w:rPr>
          <w:rFonts w:ascii="Palatino Linotype" w:hAnsi="Palatino Linotype" w:cs="Tahoma"/>
          <w:i/>
          <w:szCs w:val="22"/>
        </w:rPr>
        <w:t xml:space="preserve"> Cumplir los requisitos establecidos en el artículo 29-A de este Código, y los que el Servicio de Administración Tributaria establezca al efecto mediante reglas de carácter general, inclusive los complementos del comprobante fiscal digital por Internet, que se publicarán en el Portal de Internet del Servicio de Administración Tributaria.</w:t>
      </w:r>
    </w:p>
    <w:p w:rsidRPr="002C51F3" w:rsidR="001A66CD" w:rsidP="001A66CD" w:rsidRDefault="001A66CD" w14:paraId="15E6BB6F" w14:textId="77777777">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IV.</w:t>
      </w:r>
      <w:r w:rsidRPr="002C51F3">
        <w:rPr>
          <w:rFonts w:ascii="Palatino Linotype" w:hAnsi="Palatino Linotype" w:cs="Tahoma"/>
          <w:i/>
          <w:szCs w:val="22"/>
        </w:rPr>
        <w:t xml:space="preserve"> Remitir al Servicio de Administración Tributaria, antes de su expedición, el comprobante fiscal digital por Internet respectivo a través de los mecanismos digitales que para tal efecto determine dicho órgano desconcentrado mediante reglas de carácter general, con el objeto de que éste proceda a:</w:t>
      </w:r>
    </w:p>
    <w:p w:rsidRPr="002C51F3" w:rsidR="001A66CD" w:rsidP="001A66CD" w:rsidRDefault="001A66CD" w14:paraId="4FB151C3" w14:textId="77777777">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a)</w:t>
      </w:r>
      <w:r w:rsidRPr="002C51F3">
        <w:rPr>
          <w:rFonts w:ascii="Palatino Linotype" w:hAnsi="Palatino Linotype" w:cs="Tahoma"/>
          <w:i/>
          <w:szCs w:val="22"/>
        </w:rPr>
        <w:t xml:space="preserve"> Validar el cumplimiento de los requisitos establecidos en el artículo 29-A de este Código y de los contenidos en los complementos de los comprobantes fiscales digitales por Internet, que el Servicio de Administración Tributaria establezca mediante reglas de carácter general.</w:t>
      </w:r>
    </w:p>
    <w:p w:rsidRPr="002C51F3" w:rsidR="001A66CD" w:rsidP="001A66CD" w:rsidRDefault="001A66CD" w14:paraId="609A87C5" w14:textId="77777777">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b)</w:t>
      </w:r>
      <w:r w:rsidRPr="002C51F3">
        <w:rPr>
          <w:rFonts w:ascii="Palatino Linotype" w:hAnsi="Palatino Linotype" w:cs="Tahoma"/>
          <w:i/>
          <w:szCs w:val="22"/>
        </w:rPr>
        <w:t xml:space="preserve"> Asignar el folio del comprobante fiscal digital.</w:t>
      </w:r>
    </w:p>
    <w:p w:rsidRPr="002C51F3" w:rsidR="001A66CD" w:rsidP="001A66CD" w:rsidRDefault="001A66CD" w14:paraId="235779EB" w14:textId="77777777">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c)</w:t>
      </w:r>
      <w:r w:rsidRPr="002C51F3">
        <w:rPr>
          <w:rFonts w:ascii="Palatino Linotype" w:hAnsi="Palatino Linotype" w:cs="Tahoma"/>
          <w:i/>
          <w:szCs w:val="22"/>
        </w:rPr>
        <w:t xml:space="preserve"> Incorporar el sello digital del Servicio de Administración Tributaria </w:t>
      </w:r>
    </w:p>
    <w:p w:rsidRPr="002C51F3" w:rsidR="001A66CD" w:rsidP="001A66CD" w:rsidRDefault="001A66CD" w14:paraId="6DECEEAE" w14:textId="77777777">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V.</w:t>
      </w:r>
      <w:r w:rsidRPr="002C51F3">
        <w:rPr>
          <w:rFonts w:ascii="Palatino Linotype" w:hAnsi="Palatino Linotype" w:cs="Tahoma"/>
          <w:i/>
          <w:szCs w:val="22"/>
        </w:rPr>
        <w:t xml:space="preserve"> Una vez que se incorpore el sello digital del Servicio de Administración Tributaria al comprobante fiscal digital por Internet, deberán entregar o poner a disposición de sus clientes, a través de los medios electrónicos que disponga el citado órgano desconcentrado mediante reglas de carácter general, el archivo electrónico del comprobante fiscal digital por Internet de que se trate y, cuando les sea solicitada por el cliente, su representación impresa, la cual únicamente presume la existencia de dicho comprobante fiscal.</w:t>
      </w:r>
    </w:p>
    <w:p w:rsidRPr="002C51F3" w:rsidR="001A66CD" w:rsidP="001A66CD" w:rsidRDefault="001A66CD" w14:paraId="358D7FE6" w14:textId="77777777">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VI.</w:t>
      </w:r>
      <w:r w:rsidRPr="002C51F3">
        <w:rPr>
          <w:rFonts w:ascii="Palatino Linotype" w:hAnsi="Palatino Linotype" w:cs="Tahoma"/>
          <w:i/>
          <w:szCs w:val="22"/>
        </w:rPr>
        <w:t xml:space="preserve"> Cumplir con las especificaciones que en materia de informática determine el Servicio de Administración Tributaria mediante reglas de carácter general.</w:t>
      </w:r>
    </w:p>
    <w:p w:rsidRPr="002C51F3" w:rsidR="001A66CD" w:rsidP="001A66CD" w:rsidRDefault="001A66CD" w14:paraId="1070699B" w14:textId="77777777">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Los contribuyentes podrán comprobar la autenticidad de los comprobantes fiscales digitales por Internet que reciban consultando en la página de Internet del Servicio de Administración Tributaria si el número de folio que ampara el comprobante fiscal digital fue autorizado al emisor y si al momento de la emisión del comprobante fiscal digital, el certificado que ampare el sello digital se encontraba vigente y registrado en dicho órgano desconcentrado.</w:t>
      </w:r>
    </w:p>
    <w:p w:rsidR="001A66CD" w:rsidP="001A66CD" w:rsidRDefault="001A66CD" w14:paraId="43902AFC" w14:textId="77777777">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lastRenderedPageBreak/>
        <w:t>En el caso de las devoluciones, descuentos o bonificaciones a que se refiere el artículo 25 de la Ley del Impuesto sobre la Renta, se deberán expedir comprobantes fiscales digitales por Internet. En el supuesto de que se emitan comprobantes que amparen egresos sin contar con la justificación y soporte documental que acredite las devoluciones, descuentos o bonificaciones ante las autoridades fiscales, éstos no podrán disminuirse de los comprobantes fiscales de ingresos del contribuyente, lo cual podrá ser verificado por éstas en el ejercicio de las facultades establecidas en este Código.</w:t>
      </w:r>
    </w:p>
    <w:p w:rsidRPr="002C51F3" w:rsidR="001A66CD" w:rsidP="001A66CD" w:rsidRDefault="001A66CD" w14:paraId="0CCDF0EC" w14:textId="77777777">
      <w:pPr>
        <w:spacing w:line="360" w:lineRule="auto"/>
        <w:ind w:left="567" w:right="539"/>
        <w:jc w:val="both"/>
        <w:rPr>
          <w:rFonts w:ascii="Palatino Linotype" w:hAnsi="Palatino Linotype" w:cs="Tahoma"/>
          <w:i/>
          <w:szCs w:val="22"/>
        </w:rPr>
      </w:pPr>
    </w:p>
    <w:p w:rsidR="001A66CD" w:rsidP="001A66CD" w:rsidRDefault="001A66CD" w14:paraId="53A04C60" w14:textId="77777777">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El Servicio de Administración Tributaria, mediante reglas de carácter general, podrá establecer facilidades administrativas para que los contribuyentes emitan sus comprobantes fiscales digitales por medios propios, a través de proveedores de servicios o con los medios electrónicos que en dichas reglas determine. De igual forma, a través de las citadas reglas podrá establecer las características de los comprobantes que servirán para amparar el transporte y la legal tenencia y estancia de las mercancías durante el mismo, así como de los comprobantes que amparen operaciones realizadas con el público en general.</w:t>
      </w:r>
    </w:p>
    <w:p w:rsidRPr="002C51F3" w:rsidR="001A66CD" w:rsidP="001A66CD" w:rsidRDefault="001A66CD" w14:paraId="479ED305" w14:textId="77777777">
      <w:pPr>
        <w:spacing w:line="360" w:lineRule="auto"/>
        <w:ind w:left="567" w:right="539"/>
        <w:jc w:val="both"/>
        <w:rPr>
          <w:rFonts w:ascii="Palatino Linotype" w:hAnsi="Palatino Linotype" w:cs="Tahoma"/>
          <w:i/>
          <w:szCs w:val="22"/>
        </w:rPr>
      </w:pPr>
    </w:p>
    <w:p w:rsidRPr="002C51F3" w:rsidR="001A66CD" w:rsidP="001A66CD" w:rsidRDefault="001A66CD" w14:paraId="33123FFB" w14:textId="77777777">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Tratándose de actos o actividades que tengan efectos fiscales en los que no haya obligación de emitir comprobante fiscal digital por Internet, el Servicio de Administración Tributaria podrá, mediante reglas de carácter general, establecer las características de los documentos digitales que amparen dichas operaciones</w:t>
      </w:r>
    </w:p>
    <w:p w:rsidRPr="002C51F3" w:rsidR="001A66CD" w:rsidP="001A66CD" w:rsidRDefault="001A66CD" w14:paraId="5E2D5FDE" w14:textId="77777777">
      <w:pPr>
        <w:spacing w:line="360" w:lineRule="auto"/>
        <w:ind w:left="567" w:right="539"/>
        <w:jc w:val="both"/>
        <w:rPr>
          <w:rFonts w:ascii="Palatino Linotype" w:hAnsi="Palatino Linotype" w:cs="Tahoma"/>
          <w:i/>
          <w:szCs w:val="22"/>
        </w:rPr>
      </w:pPr>
    </w:p>
    <w:p w:rsidRPr="002C51F3" w:rsidR="001A66CD" w:rsidP="001A66CD" w:rsidRDefault="001A66CD" w14:paraId="0DC39FC4" w14:textId="77777777">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Artículo 32-D.</w:t>
      </w:r>
      <w:r w:rsidRPr="002C51F3">
        <w:rPr>
          <w:rFonts w:ascii="Palatino Linotype" w:hAnsi="Palatino Linotype" w:cs="Tahoma"/>
          <w:i/>
          <w:szCs w:val="22"/>
        </w:rPr>
        <w:t xml:space="preserve">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en ningún caso contratarán adquisiciones, arrendamientos, servicios u obra pública con las personas físicas, morales o entes jurídicos que:</w:t>
      </w:r>
    </w:p>
    <w:p w:rsidRPr="002C51F3" w:rsidR="001A66CD" w:rsidP="001A66CD" w:rsidRDefault="001A66CD" w14:paraId="24D4ED0F" w14:textId="77777777">
      <w:pPr>
        <w:spacing w:line="360" w:lineRule="auto"/>
        <w:ind w:left="567" w:right="539"/>
        <w:jc w:val="both"/>
        <w:rPr>
          <w:rFonts w:ascii="Palatino Linotype" w:hAnsi="Palatino Linotype" w:cs="Tahoma"/>
          <w:i/>
          <w:szCs w:val="22"/>
        </w:rPr>
      </w:pPr>
      <w:r>
        <w:rPr>
          <w:rFonts w:ascii="Palatino Linotype" w:hAnsi="Palatino Linotype" w:cs="Tahoma"/>
          <w:i/>
          <w:szCs w:val="22"/>
        </w:rPr>
        <w:t>I a IX</w:t>
      </w:r>
      <w:r w:rsidRPr="002C51F3">
        <w:rPr>
          <w:rFonts w:ascii="Palatino Linotype" w:hAnsi="Palatino Linotype" w:cs="Tahoma"/>
          <w:i/>
          <w:szCs w:val="22"/>
        </w:rPr>
        <w:t>…</w:t>
      </w:r>
    </w:p>
    <w:p w:rsidRPr="002C51F3" w:rsidR="001A66CD" w:rsidP="001A66CD" w:rsidRDefault="001A66CD" w14:paraId="17971D89" w14:textId="77777777">
      <w:pPr>
        <w:spacing w:line="360" w:lineRule="auto"/>
        <w:ind w:left="567" w:right="539"/>
        <w:jc w:val="both"/>
        <w:rPr>
          <w:rFonts w:ascii="Palatino Linotype" w:hAnsi="Palatino Linotype" w:cs="Tahoma"/>
          <w:i/>
          <w:szCs w:val="22"/>
        </w:rPr>
      </w:pPr>
      <w:r>
        <w:rPr>
          <w:rFonts w:ascii="Palatino Linotype" w:hAnsi="Palatino Linotype" w:cs="Tahoma"/>
          <w:i/>
          <w:szCs w:val="22"/>
        </w:rPr>
        <w:t>(…)</w:t>
      </w:r>
    </w:p>
    <w:p w:rsidRPr="002C51F3" w:rsidR="001A66CD" w:rsidP="001A66CD" w:rsidRDefault="001A66CD" w14:paraId="1B54D661" w14:textId="77777777">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 xml:space="preserve">Para participar como proveedores de los sujetos señalados en el primer párrafo de este artículo, los contribuyentes estarán obligados a autorizar al Servicio de Administración Tributaria y a las </w:t>
      </w:r>
      <w:r w:rsidRPr="002C51F3">
        <w:rPr>
          <w:rFonts w:ascii="Palatino Linotype" w:hAnsi="Palatino Linotype" w:cs="Tahoma"/>
          <w:i/>
          <w:szCs w:val="22"/>
        </w:rPr>
        <w:lastRenderedPageBreak/>
        <w:t>autoridades fiscales federales en materia de seguridad social, para que hagan público el resultado de la opinión del cumplimiento, a través del procedimiento que establezcan dicho órgano desconcentrado y autoridades fiscales federales, mediante reglas de carácter general, además de cumplir con lo establecido en las fracciones anteriores.</w:t>
      </w:r>
    </w:p>
    <w:p w:rsidRPr="002C51F3" w:rsidR="001A66CD" w:rsidP="001A66CD" w:rsidRDefault="001A66CD" w14:paraId="20B11744" w14:textId="77777777">
      <w:pPr>
        <w:spacing w:line="360" w:lineRule="auto"/>
        <w:ind w:left="567" w:right="539"/>
        <w:jc w:val="both"/>
        <w:rPr>
          <w:rFonts w:ascii="Palatino Linotype" w:hAnsi="Palatino Linotype" w:cs="Tahoma"/>
          <w:i/>
          <w:szCs w:val="22"/>
        </w:rPr>
      </w:pPr>
    </w:p>
    <w:p w:rsidR="001A66CD" w:rsidP="001A66CD" w:rsidRDefault="001A66CD" w14:paraId="44D63EE1" w14:textId="77777777">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Artículo 32-G.</w:t>
      </w:r>
      <w:r w:rsidRPr="002C51F3">
        <w:rPr>
          <w:rFonts w:ascii="Palatino Linotype" w:hAnsi="Palatino Linotype" w:cs="Tahoma"/>
          <w:i/>
          <w:szCs w:val="22"/>
        </w:rPr>
        <w:t xml:space="preserve"> La Federación, las Entidades Federativas, el Distrito Federal, y sus Organismos Descentralizados, así como los Municipios, tendrán la obligación de presentar ante las autoridades fiscales, a través de los medios y formatos electrónicos que señale el Servicio de Administración, la información relativa a:</w:t>
      </w:r>
    </w:p>
    <w:p w:rsidRPr="002C51F3" w:rsidR="001A66CD" w:rsidP="001A66CD" w:rsidRDefault="001A66CD" w14:paraId="6A3719E6" w14:textId="77777777">
      <w:pPr>
        <w:spacing w:line="360" w:lineRule="auto"/>
        <w:ind w:left="567" w:right="539"/>
        <w:jc w:val="both"/>
        <w:rPr>
          <w:rFonts w:ascii="Palatino Linotype" w:hAnsi="Palatino Linotype" w:cs="Tahoma"/>
          <w:i/>
          <w:szCs w:val="22"/>
        </w:rPr>
      </w:pPr>
    </w:p>
    <w:p w:rsidRPr="002C51F3" w:rsidR="001A66CD" w:rsidP="001A66CD" w:rsidRDefault="001A66CD" w14:paraId="5EE9766D" w14:textId="77777777">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I.</w:t>
      </w:r>
      <w:r w:rsidRPr="002C51F3">
        <w:rPr>
          <w:rFonts w:ascii="Palatino Linotype" w:hAnsi="Palatino Linotype" w:cs="Tahoma"/>
          <w:i/>
          <w:szCs w:val="22"/>
        </w:rPr>
        <w:t xml:space="preserve"> Las personas a las que en el mes inmediato anterior les hubieren efectuado retenciones de impuesto sobre la renta, así como de los residentes en el extranjero a los que les hayan efectuado pagos de acuerdo con lo previsto en el Título V de la Ley del Impuesto sobre la Renta.</w:t>
      </w:r>
    </w:p>
    <w:p w:rsidRPr="002C51F3" w:rsidR="001A66CD" w:rsidP="001A66CD" w:rsidRDefault="001A66CD" w14:paraId="3D7126B0" w14:textId="77777777">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II.</w:t>
      </w:r>
      <w:r w:rsidRPr="002C51F3">
        <w:rPr>
          <w:rFonts w:ascii="Palatino Linotype" w:hAnsi="Palatino Linotype" w:cs="Tahoma"/>
          <w:i/>
          <w:szCs w:val="22"/>
        </w:rPr>
        <w:t xml:space="preserve"> Los proveedores a los que les hubiere efectuado pagos, desglosando el valor de los actos o actividades por tasa a la cual trasladaron o les fue trasladado el impuesto al valor agregado y el impuesto especial sobre producción y servicios, incluyendo actividades por las que el contribuyente no está obligado al pago.</w:t>
      </w:r>
    </w:p>
    <w:p w:rsidRPr="002C51F3" w:rsidR="001A66CD" w:rsidP="001A66CD" w:rsidRDefault="001A66CD" w14:paraId="38E607C7" w14:textId="77777777">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La información a que se refiere el párrafo anterior se deberá presentar a más tardar el día 17 del mes posterior al que corresponda dicha información”</w:t>
      </w:r>
    </w:p>
    <w:p w:rsidRPr="002E00B4" w:rsidR="001A66CD" w:rsidP="001A66CD" w:rsidRDefault="001A66CD" w14:paraId="6BC52EF6" w14:textId="77777777">
      <w:pPr>
        <w:spacing w:line="360" w:lineRule="auto"/>
        <w:ind w:left="567" w:right="539"/>
        <w:jc w:val="both"/>
        <w:rPr>
          <w:rFonts w:ascii="Palatino Linotype" w:hAnsi="Palatino Linotype" w:cs="Tahoma"/>
          <w:szCs w:val="22"/>
        </w:rPr>
      </w:pPr>
      <w:r w:rsidRPr="002E00B4">
        <w:rPr>
          <w:rFonts w:ascii="Palatino Linotype" w:hAnsi="Palatino Linotype" w:cs="Tahoma"/>
          <w:szCs w:val="22"/>
        </w:rPr>
        <w:t>(Énfasis añadido)</w:t>
      </w:r>
    </w:p>
    <w:p w:rsidRPr="002C51F3" w:rsidR="001A66CD" w:rsidP="001A66CD" w:rsidRDefault="001A66CD" w14:paraId="06A79320" w14:textId="77777777">
      <w:pPr>
        <w:spacing w:line="360" w:lineRule="auto"/>
        <w:ind w:left="567" w:right="539"/>
        <w:jc w:val="both"/>
        <w:rPr>
          <w:rFonts w:ascii="Palatino Linotype" w:hAnsi="Palatino Linotype" w:cs="Tahoma"/>
          <w:i/>
          <w:szCs w:val="22"/>
        </w:rPr>
      </w:pPr>
    </w:p>
    <w:p w:rsidRPr="002C51F3" w:rsidR="001A66CD" w:rsidP="001A66CD" w:rsidRDefault="001A66CD" w14:paraId="65C3DA8F" w14:textId="77777777">
      <w:pPr>
        <w:spacing w:line="360" w:lineRule="auto"/>
        <w:ind w:left="567" w:right="539"/>
        <w:jc w:val="center"/>
        <w:rPr>
          <w:rFonts w:ascii="Palatino Linotype" w:hAnsi="Palatino Linotype" w:cs="Tahoma"/>
          <w:b/>
          <w:i/>
          <w:szCs w:val="22"/>
        </w:rPr>
      </w:pPr>
      <w:r w:rsidRPr="002C51F3">
        <w:rPr>
          <w:rFonts w:ascii="Palatino Linotype" w:hAnsi="Palatino Linotype" w:cs="Tahoma"/>
          <w:b/>
          <w:i/>
          <w:szCs w:val="22"/>
        </w:rPr>
        <w:t>Ley del Impuesto sobre la Renta</w:t>
      </w:r>
    </w:p>
    <w:p w:rsidRPr="002C51F3" w:rsidR="001A66CD" w:rsidP="001A66CD" w:rsidRDefault="001A66CD" w14:paraId="25A49909" w14:textId="77777777">
      <w:pPr>
        <w:spacing w:line="360" w:lineRule="auto"/>
        <w:ind w:left="567" w:right="539"/>
        <w:jc w:val="center"/>
        <w:rPr>
          <w:rFonts w:ascii="Palatino Linotype" w:hAnsi="Palatino Linotype" w:cs="Tahoma"/>
          <w:b/>
          <w:i/>
          <w:szCs w:val="22"/>
        </w:rPr>
      </w:pPr>
      <w:r w:rsidRPr="002C51F3">
        <w:rPr>
          <w:rFonts w:ascii="Palatino Linotype" w:hAnsi="Palatino Linotype" w:cs="Tahoma"/>
          <w:b/>
          <w:i/>
          <w:szCs w:val="22"/>
        </w:rPr>
        <w:t>CAPÍTULO I</w:t>
      </w:r>
    </w:p>
    <w:p w:rsidRPr="002C51F3" w:rsidR="001A66CD" w:rsidP="001A66CD" w:rsidRDefault="001A66CD" w14:paraId="368FB620" w14:textId="77777777">
      <w:pPr>
        <w:spacing w:line="360" w:lineRule="auto"/>
        <w:ind w:left="567" w:right="539"/>
        <w:jc w:val="center"/>
        <w:rPr>
          <w:rFonts w:ascii="Palatino Linotype" w:hAnsi="Palatino Linotype" w:cs="Tahoma"/>
          <w:b/>
          <w:i/>
          <w:szCs w:val="22"/>
        </w:rPr>
      </w:pPr>
      <w:r w:rsidRPr="002C51F3">
        <w:rPr>
          <w:rFonts w:ascii="Palatino Linotype" w:hAnsi="Palatino Linotype" w:cs="Tahoma"/>
          <w:b/>
          <w:i/>
          <w:szCs w:val="22"/>
        </w:rPr>
        <w:t>DE LOS INGRESOS POR SALARIOS Y EN GENERAL POR LA</w:t>
      </w:r>
    </w:p>
    <w:p w:rsidRPr="002C51F3" w:rsidR="001A66CD" w:rsidP="001A66CD" w:rsidRDefault="001A66CD" w14:paraId="424ACAE2" w14:textId="77777777">
      <w:pPr>
        <w:spacing w:line="360" w:lineRule="auto"/>
        <w:ind w:left="567" w:right="539"/>
        <w:jc w:val="center"/>
        <w:rPr>
          <w:rFonts w:ascii="Palatino Linotype" w:hAnsi="Palatino Linotype" w:cs="Tahoma"/>
          <w:b/>
          <w:i/>
          <w:szCs w:val="22"/>
        </w:rPr>
      </w:pPr>
      <w:r w:rsidRPr="002C51F3">
        <w:rPr>
          <w:rFonts w:ascii="Palatino Linotype" w:hAnsi="Palatino Linotype" w:cs="Tahoma"/>
          <w:b/>
          <w:i/>
          <w:szCs w:val="22"/>
        </w:rPr>
        <w:t>PRESTACIÓN DE UN SERVICIO PERSONAL SUBORDINADO</w:t>
      </w:r>
    </w:p>
    <w:p w:rsidRPr="002C51F3" w:rsidR="001A66CD" w:rsidP="001A66CD" w:rsidRDefault="001A66CD" w14:paraId="4A561119" w14:textId="77777777">
      <w:pPr>
        <w:spacing w:line="360" w:lineRule="auto"/>
        <w:ind w:left="567" w:right="539"/>
        <w:jc w:val="both"/>
        <w:rPr>
          <w:rFonts w:ascii="Palatino Linotype" w:hAnsi="Palatino Linotype" w:cs="Tahoma"/>
          <w:i/>
          <w:szCs w:val="22"/>
        </w:rPr>
      </w:pPr>
    </w:p>
    <w:p w:rsidRPr="002C51F3" w:rsidR="001A66CD" w:rsidP="001A66CD" w:rsidRDefault="001A66CD" w14:paraId="62DAD37B" w14:textId="77777777">
      <w:pPr>
        <w:spacing w:line="360" w:lineRule="auto"/>
        <w:ind w:left="567" w:right="539"/>
        <w:jc w:val="both"/>
        <w:rPr>
          <w:rFonts w:ascii="Palatino Linotype" w:hAnsi="Palatino Linotype" w:cs="Tahoma"/>
          <w:i/>
          <w:szCs w:val="22"/>
        </w:rPr>
      </w:pPr>
      <w:r w:rsidRPr="002C51F3">
        <w:rPr>
          <w:rFonts w:ascii="Palatino Linotype" w:hAnsi="Palatino Linotype" w:cs="Tahoma"/>
          <w:b/>
          <w:i/>
          <w:szCs w:val="22"/>
        </w:rPr>
        <w:t>Artículo 94</w:t>
      </w:r>
      <w:r w:rsidRPr="002C51F3">
        <w:rPr>
          <w:rFonts w:ascii="Palatino Linotype" w:hAnsi="Palatino Linotype" w:cs="Tahoma"/>
          <w:i/>
          <w:szCs w:val="22"/>
        </w:rPr>
        <w:t xml:space="preserve">. Se consideran ingresos por la prestación de un servicio personal subordinado, los salarios y demás prestaciones que deriven de una relación laboral, incluyendo la participación de los trabajadores en las utilidades de las empresas y las prestaciones percibidas como consecuencia de la </w:t>
      </w:r>
      <w:r w:rsidRPr="002C51F3">
        <w:rPr>
          <w:rFonts w:ascii="Palatino Linotype" w:hAnsi="Palatino Linotype" w:cs="Tahoma"/>
          <w:i/>
          <w:szCs w:val="22"/>
        </w:rPr>
        <w:lastRenderedPageBreak/>
        <w:t>terminación de la relación laboral. Para los efectos de este impuesto, se asimilan a estos ingresos los siguientes:</w:t>
      </w:r>
    </w:p>
    <w:p w:rsidRPr="002C51F3" w:rsidR="001A66CD" w:rsidP="001A66CD" w:rsidRDefault="001A66CD" w14:paraId="7FF008FF" w14:textId="77777777">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I</w:t>
      </w:r>
      <w:r w:rsidRPr="002C51F3">
        <w:rPr>
          <w:rFonts w:ascii="Palatino Linotype" w:hAnsi="Palatino Linotype" w:cs="Tahoma"/>
          <w:i/>
          <w:szCs w:val="22"/>
        </w:rPr>
        <w:t>. Las remuneraciones y demás prestaciones, obtenidas por los funcionarios y trabajadores de la Federación, de las entidades federativas y de los municipios, aun cuando sean por concepto de gastos no sujetos a comprobación, así como los obtenidos por los miembros de las fuerzas armadas.</w:t>
      </w:r>
    </w:p>
    <w:p w:rsidR="001A66CD" w:rsidP="001A66CD" w:rsidRDefault="001A66CD" w14:paraId="36960D62" w14:textId="77777777">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II a VII</w:t>
      </w:r>
      <w:r>
        <w:rPr>
          <w:rFonts w:ascii="Palatino Linotype" w:hAnsi="Palatino Linotype" w:cs="Tahoma"/>
          <w:i/>
          <w:szCs w:val="22"/>
        </w:rPr>
        <w:t>…</w:t>
      </w:r>
    </w:p>
    <w:p w:rsidRPr="002C51F3" w:rsidR="001A66CD" w:rsidP="001A66CD" w:rsidRDefault="001A66CD" w14:paraId="358C2E10" w14:textId="77777777">
      <w:pPr>
        <w:spacing w:line="360" w:lineRule="auto"/>
        <w:ind w:left="567" w:right="539"/>
        <w:jc w:val="both"/>
        <w:rPr>
          <w:rFonts w:ascii="Palatino Linotype" w:hAnsi="Palatino Linotype" w:cs="Tahoma"/>
          <w:i/>
          <w:szCs w:val="22"/>
        </w:rPr>
      </w:pPr>
    </w:p>
    <w:p w:rsidR="001A66CD" w:rsidP="001A66CD" w:rsidRDefault="001A66CD" w14:paraId="5DCFDDE6" w14:textId="77777777">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Artículo 96</w:t>
      </w:r>
      <w:r w:rsidRPr="002C51F3">
        <w:rPr>
          <w:rFonts w:ascii="Palatino Linotype" w:hAnsi="Palatino Linotype" w:cs="Tahoma"/>
          <w:i/>
          <w:szCs w:val="22"/>
        </w:rPr>
        <w:t>. Quienes hagan pagos por los conceptos a que se refiere este Capítulo están obligados a efectuar retenciones y enteros mensuales que tendrán el carácter de pagos provisionales a cuenta del impuesto anual. No se efectuará retención a las personas que en el mes únicamente perciban un salario mínimo general correspondiente al área geográfica del contribuyente.</w:t>
      </w:r>
    </w:p>
    <w:p w:rsidRPr="002C51F3" w:rsidR="001A66CD" w:rsidP="001A66CD" w:rsidRDefault="001A66CD" w14:paraId="0A80A257" w14:textId="77777777">
      <w:pPr>
        <w:spacing w:line="360" w:lineRule="auto"/>
        <w:ind w:left="567" w:right="539"/>
        <w:jc w:val="both"/>
        <w:rPr>
          <w:rFonts w:ascii="Palatino Linotype" w:hAnsi="Palatino Linotype" w:cs="Tahoma"/>
          <w:i/>
          <w:szCs w:val="22"/>
        </w:rPr>
      </w:pPr>
      <w:r>
        <w:rPr>
          <w:rFonts w:ascii="Palatino Linotype" w:hAnsi="Palatino Linotype" w:cs="Tahoma"/>
          <w:i/>
          <w:szCs w:val="22"/>
        </w:rPr>
        <w:t>…</w:t>
      </w:r>
    </w:p>
    <w:p w:rsidRPr="00717D41" w:rsidR="001A66CD" w:rsidP="001A66CD" w:rsidRDefault="001A66CD" w14:paraId="03E098A9" w14:textId="77777777">
      <w:pPr>
        <w:ind w:left="567" w:right="567"/>
        <w:rPr>
          <w:rFonts w:ascii="Palatino Linotype" w:hAnsi="Palatino Linotype" w:eastAsia="Calibri"/>
          <w:lang w:val="es-ES_tradnl"/>
        </w:rPr>
      </w:pPr>
      <w:r w:rsidRPr="00717D41">
        <w:rPr>
          <w:rFonts w:ascii="Palatino Linotype" w:hAnsi="Palatino Linotype" w:eastAsia="Calibri"/>
          <w:lang w:val="es-ES_tradnl"/>
        </w:rPr>
        <w:t>(Énfasis añadido)</w:t>
      </w:r>
    </w:p>
    <w:p w:rsidRPr="002E00B4" w:rsidR="001A66CD" w:rsidP="001A66CD" w:rsidRDefault="001A66CD" w14:paraId="5A4D2F95" w14:textId="77777777">
      <w:pPr>
        <w:spacing w:line="360" w:lineRule="auto"/>
        <w:jc w:val="both"/>
        <w:rPr>
          <w:rFonts w:ascii="Palatino Linotype" w:hAnsi="Palatino Linotype" w:cs="Tahoma"/>
          <w:sz w:val="22"/>
          <w:szCs w:val="22"/>
          <w:lang w:val="es-ES"/>
        </w:rPr>
      </w:pPr>
    </w:p>
    <w:p w:rsidRPr="002E00B4" w:rsidR="001A66CD" w:rsidP="001A66CD" w:rsidRDefault="001A66CD" w14:paraId="5E275D11" w14:textId="77777777">
      <w:pPr>
        <w:spacing w:line="360" w:lineRule="auto"/>
        <w:jc w:val="both"/>
        <w:rPr>
          <w:rFonts w:ascii="Palatino Linotype" w:hAnsi="Palatino Linotype" w:cs="Tahoma"/>
          <w:sz w:val="22"/>
          <w:szCs w:val="22"/>
          <w:lang w:val="es-ES"/>
        </w:rPr>
      </w:pPr>
      <w:r w:rsidRPr="002E00B4">
        <w:rPr>
          <w:rFonts w:ascii="Palatino Linotype" w:hAnsi="Palatino Linotype" w:cs="Tahoma"/>
          <w:sz w:val="22"/>
          <w:szCs w:val="22"/>
          <w:lang w:val="es-ES"/>
        </w:rPr>
        <w:t>De conformidad con los artículos citados, se advierte que los Municipios al administrar libremente su hacienda pública municipal, encargándose en lo relativo al pago de los salarios y/o remuneraciones de sus servidores públicos, realiza la retención del Impuesto Sobre la Renta, que debe enterar al Servicio de Administración Tributaria (SAT), de igual manera se encuentran obligados a generar, los Comprobantes Fiscales Digitales por Internet (CFDI), por el pago de los sueldos y salarios a sus trabajadores y por lo que se encuentran obligados de presentar ante el Servicio de Administración Tributaria (SAT), la información relativa de las personas a las que les fue efectuada la retención del impuesto sobre la renta.</w:t>
      </w:r>
    </w:p>
    <w:p w:rsidRPr="002E00B4" w:rsidR="001A66CD" w:rsidP="001A66CD" w:rsidRDefault="001A66CD" w14:paraId="272A2B45" w14:textId="77777777">
      <w:pPr>
        <w:spacing w:line="360" w:lineRule="auto"/>
        <w:jc w:val="both"/>
        <w:rPr>
          <w:rFonts w:ascii="Palatino Linotype" w:hAnsi="Palatino Linotype" w:cs="Tahoma"/>
          <w:sz w:val="22"/>
          <w:szCs w:val="22"/>
          <w:lang w:val="es-ES"/>
        </w:rPr>
      </w:pPr>
    </w:p>
    <w:p w:rsidR="001A66CD" w:rsidP="001A66CD" w:rsidRDefault="001A66CD" w14:paraId="17CAC498" w14:textId="32EA1018">
      <w:pPr>
        <w:spacing w:line="360" w:lineRule="auto"/>
        <w:jc w:val="both"/>
        <w:rPr>
          <w:rFonts w:ascii="Palatino Linotype" w:hAnsi="Palatino Linotype" w:cs="Tahoma"/>
          <w:sz w:val="22"/>
          <w:szCs w:val="22"/>
          <w:lang w:val="es-ES"/>
        </w:rPr>
      </w:pPr>
      <w:r w:rsidRPr="002E00B4">
        <w:rPr>
          <w:rFonts w:ascii="Palatino Linotype" w:hAnsi="Palatino Linotype" w:cs="Tahoma"/>
          <w:sz w:val="22"/>
          <w:szCs w:val="22"/>
          <w:lang w:val="es-ES"/>
        </w:rPr>
        <w:t xml:space="preserve">Si bien es cierto, de conformidad con el último párrafo del artículo 32-D del Código Fiscal de la Federación señala que para participar como proveedores de los sujetos señalados en el primer párrafo de este artículo, los contribuyentes estarán obligados a autorizar al Servicio de Administración Tributaria y a las autoridades fiscales federales en materia de seguridad social, para que hagan público el resultado de la opinión del cumplimiento, a través del </w:t>
      </w:r>
      <w:r w:rsidRPr="002E00B4">
        <w:rPr>
          <w:rFonts w:ascii="Palatino Linotype" w:hAnsi="Palatino Linotype" w:cs="Tahoma"/>
          <w:sz w:val="22"/>
          <w:szCs w:val="22"/>
          <w:lang w:val="es-ES"/>
        </w:rPr>
        <w:lastRenderedPageBreak/>
        <w:t>procedimiento que establezcan dicho órgano desconcentrado y autoridades fiscales federales, mediante reglas de carácter general, circunstancia que al encontrarse sujeta a la rendición de cuentas de la administración pública, resulta de interés a la sociedad el conocer si se encuentra al corriente en sus obligaciones fiscales, consecuentemente podemos concluir que resulta dable ordenar la entrega de la opinión de cumplimiento emitida por el Servicio de Administración Tributaria (SAT),</w:t>
      </w:r>
      <w:r w:rsidR="009944B6">
        <w:rPr>
          <w:rFonts w:ascii="Palatino Linotype" w:hAnsi="Palatino Linotype" w:cs="Tahoma"/>
          <w:sz w:val="22"/>
          <w:szCs w:val="22"/>
          <w:lang w:val="es-ES"/>
        </w:rPr>
        <w:t xml:space="preserve"> a favor del Sujeto Obligado, ya que la misma se genera al momento de hacer la consulta, por lo que se advierte que no realizó una correcta búsqueda sobre lo </w:t>
      </w:r>
      <w:r w:rsidR="00581BF3">
        <w:rPr>
          <w:rFonts w:ascii="Palatino Linotype" w:hAnsi="Palatino Linotype" w:cs="Tahoma"/>
          <w:sz w:val="22"/>
          <w:szCs w:val="22"/>
          <w:lang w:val="es-ES"/>
        </w:rPr>
        <w:t>solicitado</w:t>
      </w:r>
      <w:r w:rsidR="009944B6">
        <w:rPr>
          <w:rFonts w:ascii="Palatino Linotype" w:hAnsi="Palatino Linotype" w:cs="Tahoma"/>
          <w:sz w:val="22"/>
          <w:szCs w:val="22"/>
          <w:lang w:val="es-ES"/>
        </w:rPr>
        <w:t>.</w:t>
      </w:r>
    </w:p>
    <w:p w:rsidR="00ED251B" w:rsidP="00A511BB" w:rsidRDefault="00ED251B" w14:paraId="58E4BC7B" w14:textId="77777777">
      <w:pPr>
        <w:spacing w:line="360" w:lineRule="auto"/>
        <w:jc w:val="both"/>
        <w:rPr>
          <w:rFonts w:ascii="Palatino Linotype" w:hAnsi="Palatino Linotype" w:cs="Tahoma"/>
          <w:sz w:val="22"/>
          <w:szCs w:val="22"/>
          <w:lang w:val="es-ES"/>
        </w:rPr>
      </w:pPr>
    </w:p>
    <w:p w:rsidR="00DA6417" w:rsidP="00A511BB" w:rsidRDefault="00DA6417" w14:paraId="5A1F9C8A" w14:textId="77777777">
      <w:pPr>
        <w:spacing w:line="360" w:lineRule="auto"/>
        <w:jc w:val="both"/>
        <w:rPr>
          <w:rFonts w:ascii="Palatino Linotype" w:hAnsi="Palatino Linotype" w:cs="Tahoma"/>
          <w:sz w:val="22"/>
          <w:szCs w:val="22"/>
          <w:lang w:val="es-ES"/>
        </w:rPr>
      </w:pPr>
      <w:r w:rsidRPr="00DA6417">
        <w:rPr>
          <w:rFonts w:ascii="Palatino Linotype" w:hAnsi="Palatino Linotype" w:cs="Tahoma"/>
          <w:sz w:val="22"/>
          <w:szCs w:val="22"/>
          <w:lang w:val="es-ES"/>
        </w:rPr>
        <w:t xml:space="preserve">Respecto al </w:t>
      </w:r>
      <w:r w:rsidRPr="00DA6417">
        <w:rPr>
          <w:rFonts w:ascii="Palatino Linotype" w:hAnsi="Palatino Linotype" w:cs="Tahoma"/>
          <w:b/>
          <w:sz w:val="22"/>
          <w:szCs w:val="22"/>
          <w:lang w:val="es-ES"/>
        </w:rPr>
        <w:t>punto 5</w:t>
      </w:r>
      <w:r w:rsidRPr="00DA6417">
        <w:rPr>
          <w:rFonts w:ascii="Palatino Linotype" w:hAnsi="Palatino Linotype" w:cs="Tahoma"/>
          <w:sz w:val="22"/>
          <w:szCs w:val="22"/>
          <w:lang w:val="es-ES"/>
        </w:rPr>
        <w:t xml:space="preserve">, relativo a documentos de trabajo por Municipio y por sus órganos paramunicipales, que contenga los datos de identificación de ISR, recuperado por mes, del periodo del uno de enero de dos mil diecinueve al treinta y uno de octubre de dos mil veintiuno; apreciamos que el Recurrente </w:t>
      </w:r>
      <w:r w:rsidR="00ED251B">
        <w:rPr>
          <w:rFonts w:ascii="Palatino Linotype" w:hAnsi="Palatino Linotype" w:cs="Tahoma"/>
          <w:sz w:val="22"/>
          <w:szCs w:val="22"/>
          <w:lang w:val="es-ES"/>
        </w:rPr>
        <w:t>solicita</w:t>
      </w:r>
      <w:r w:rsidRPr="00DA6417">
        <w:rPr>
          <w:rFonts w:ascii="Palatino Linotype" w:hAnsi="Palatino Linotype" w:cs="Tahoma"/>
          <w:sz w:val="22"/>
          <w:szCs w:val="22"/>
          <w:lang w:val="es-ES"/>
        </w:rPr>
        <w:t xml:space="preserve"> un documento de tipo específico que contenga desagregada la información en diversos apartados, atentos a ello, se le hace del conocimiento al particular que de conformidad con los artículos 12 y 24 de la Ley de Transparencia local, se establece la obligación de los Sujetos Obligados de hacer pública toda la información que generen, administren, procesen o posean en sus archivos, en ejercicio de sus atribuciones, dicha obligación no los constriñe a que, deba procesarse la misma a efecto de generar un documento que deba entregarse conforme a los intereses de los particulares, sino que debe entregarse el soporte documental en el cual obre.</w:t>
      </w:r>
    </w:p>
    <w:p w:rsidR="00DA6417" w:rsidP="00A511BB" w:rsidRDefault="00DA6417" w14:paraId="09C53C84" w14:textId="77777777">
      <w:pPr>
        <w:spacing w:line="360" w:lineRule="auto"/>
        <w:jc w:val="both"/>
        <w:rPr>
          <w:rFonts w:ascii="Palatino Linotype" w:hAnsi="Palatino Linotype" w:cs="Tahoma"/>
          <w:sz w:val="22"/>
          <w:szCs w:val="22"/>
          <w:lang w:val="es-ES"/>
        </w:rPr>
      </w:pPr>
    </w:p>
    <w:p w:rsidR="00DA6417" w:rsidP="00A511BB" w:rsidRDefault="00DA6417" w14:paraId="6EAF5A62" w14:textId="77777777">
      <w:pPr>
        <w:spacing w:line="360" w:lineRule="auto"/>
        <w:jc w:val="both"/>
        <w:rPr>
          <w:rFonts w:ascii="Palatino Linotype" w:hAnsi="Palatino Linotype" w:cs="Tahoma"/>
          <w:sz w:val="22"/>
          <w:szCs w:val="22"/>
          <w:lang w:val="es-ES"/>
        </w:rPr>
      </w:pPr>
      <w:r w:rsidRPr="00DA6417">
        <w:rPr>
          <w:rFonts w:ascii="Palatino Linotype" w:hAnsi="Palatino Linotype" w:cs="Tahoma"/>
          <w:sz w:val="22"/>
          <w:szCs w:val="22"/>
          <w:lang w:val="es-ES"/>
        </w:rPr>
        <w:t xml:space="preserve">Acotado lo anterior, del contenido del requerimiento, podemos sintetizar que, el Recurrente </w:t>
      </w:r>
      <w:r>
        <w:rPr>
          <w:rFonts w:ascii="Palatino Linotype" w:hAnsi="Palatino Linotype" w:cs="Tahoma"/>
          <w:sz w:val="22"/>
          <w:szCs w:val="22"/>
          <w:lang w:val="es-ES"/>
        </w:rPr>
        <w:t>solicita</w:t>
      </w:r>
      <w:r w:rsidRPr="00DA6417">
        <w:rPr>
          <w:rFonts w:ascii="Palatino Linotype" w:hAnsi="Palatino Linotype" w:cs="Tahoma"/>
          <w:sz w:val="22"/>
          <w:szCs w:val="22"/>
          <w:lang w:val="es-ES"/>
        </w:rPr>
        <w:t xml:space="preserve"> el soporte documental en el que sea observable el Impuesto Sobre la Renta ISR, participable y recuperado, en esa virtud, resulta necesario traer a colación que dentro de los Lineamientos para la elaboración y presentación de la Cuenta Pública Municipal 2019, se encuentra el documento denominado “Retenciones del Impuesto Sobre la Renta por Salarios, Honorarios y Arrendamiento”, que precisa lo siguiente:</w:t>
      </w:r>
    </w:p>
    <w:p w:rsidR="00DA6417" w:rsidP="00A511BB" w:rsidRDefault="00DA6417" w14:paraId="582B57EA" w14:textId="77777777">
      <w:pPr>
        <w:spacing w:line="360" w:lineRule="auto"/>
        <w:jc w:val="both"/>
        <w:rPr>
          <w:rFonts w:ascii="Palatino Linotype" w:hAnsi="Palatino Linotype" w:cs="Tahoma"/>
          <w:sz w:val="22"/>
          <w:szCs w:val="22"/>
          <w:lang w:val="es-ES"/>
        </w:rPr>
      </w:pPr>
    </w:p>
    <w:p w:rsidRPr="00717D41" w:rsidR="00DA6417" w:rsidP="00DA6417" w:rsidRDefault="00DA6417" w14:paraId="11D87EA8" w14:textId="77777777">
      <w:pPr>
        <w:spacing w:line="360" w:lineRule="auto"/>
        <w:ind w:left="567" w:right="567"/>
        <w:jc w:val="both"/>
        <w:rPr>
          <w:rFonts w:ascii="Palatino Linotype" w:hAnsi="Palatino Linotype" w:eastAsia="Calibri"/>
          <w:b/>
          <w:i/>
          <w:szCs w:val="24"/>
          <w:lang w:val="es-ES_tradnl"/>
        </w:rPr>
      </w:pPr>
      <w:r w:rsidRPr="00717D41">
        <w:rPr>
          <w:rFonts w:ascii="Palatino Linotype" w:hAnsi="Palatino Linotype" w:eastAsia="Calibri"/>
          <w:i/>
          <w:szCs w:val="24"/>
          <w:lang w:val="es-ES_tradnl"/>
        </w:rPr>
        <w:t>“</w:t>
      </w:r>
      <w:r w:rsidRPr="00717D41">
        <w:rPr>
          <w:rFonts w:ascii="Palatino Linotype" w:hAnsi="Palatino Linotype" w:eastAsia="Calibri"/>
          <w:b/>
          <w:i/>
          <w:szCs w:val="24"/>
          <w:lang w:val="es-ES_tradnl"/>
        </w:rPr>
        <w:t>48. Retenciones del Impuesto Sobre la Renta por Salarios, Honorarios y Arrendamiento</w:t>
      </w:r>
    </w:p>
    <w:p w:rsidRPr="00717D41" w:rsidR="00DA6417" w:rsidP="00DA6417" w:rsidRDefault="00DA6417" w14:paraId="397FB3EB" w14:textId="77777777">
      <w:pPr>
        <w:spacing w:line="360" w:lineRule="auto"/>
        <w:ind w:left="567" w:right="567"/>
        <w:jc w:val="both"/>
        <w:rPr>
          <w:rFonts w:ascii="Palatino Linotype" w:hAnsi="Palatino Linotype" w:eastAsia="Calibri"/>
          <w:b/>
          <w:i/>
          <w:szCs w:val="24"/>
          <w:lang w:val="es-ES_tradnl"/>
        </w:rPr>
      </w:pPr>
      <w:r w:rsidRPr="00717D41">
        <w:rPr>
          <w:rFonts w:ascii="Palatino Linotype" w:hAnsi="Palatino Linotype" w:eastAsia="Calibri"/>
          <w:b/>
          <w:i/>
          <w:szCs w:val="24"/>
          <w:lang w:val="es-ES_tradnl"/>
        </w:rPr>
        <w:t>Formato: el archivo se presentará en .pdf y .xls</w:t>
      </w:r>
    </w:p>
    <w:p w:rsidRPr="00717D41" w:rsidR="00DA6417" w:rsidP="00DA6417" w:rsidRDefault="00DA6417" w14:paraId="732623BF" w14:textId="77777777">
      <w:pPr>
        <w:spacing w:line="360" w:lineRule="auto"/>
        <w:ind w:left="567" w:right="567"/>
        <w:jc w:val="both"/>
        <w:rPr>
          <w:rFonts w:ascii="Palatino Linotype" w:hAnsi="Palatino Linotype" w:eastAsia="Calibri"/>
          <w:i/>
          <w:szCs w:val="24"/>
          <w:lang w:val="es-ES_tradnl"/>
        </w:rPr>
      </w:pPr>
      <w:r w:rsidRPr="00717D41">
        <w:rPr>
          <w:rFonts w:ascii="Palatino Linotype" w:hAnsi="Palatino Linotype" w:eastAsia="Calibri"/>
          <w:b/>
          <w:i/>
          <w:szCs w:val="24"/>
          <w:lang w:val="es-ES_tradnl"/>
        </w:rPr>
        <w:t>Objetivo</w:t>
      </w:r>
      <w:r w:rsidRPr="00717D41">
        <w:rPr>
          <w:rFonts w:ascii="Palatino Linotype" w:hAnsi="Palatino Linotype" w:eastAsia="Calibri"/>
          <w:i/>
          <w:szCs w:val="24"/>
          <w:lang w:val="es-ES_tradnl"/>
        </w:rPr>
        <w:t>: Concentrar toda la información de las Retenciones del Impuesto Sobre la Renta por Salarios, Honorarios y Arrendamiento.</w:t>
      </w:r>
    </w:p>
    <w:p w:rsidRPr="00717D41" w:rsidR="00DA6417" w:rsidP="00DA6417" w:rsidRDefault="00DA6417" w14:paraId="19364D60" w14:textId="77777777">
      <w:pPr>
        <w:spacing w:line="360" w:lineRule="auto"/>
        <w:ind w:left="567" w:right="567"/>
        <w:jc w:val="both"/>
        <w:rPr>
          <w:rFonts w:ascii="Palatino Linotype" w:hAnsi="Palatino Linotype" w:eastAsia="Calibri"/>
          <w:i/>
          <w:szCs w:val="24"/>
          <w:lang w:val="es-ES_tradnl"/>
        </w:rPr>
      </w:pPr>
      <w:r w:rsidRPr="00717D41">
        <w:rPr>
          <w:rFonts w:ascii="Palatino Linotype" w:hAnsi="Palatino Linotype" w:eastAsia="Calibri"/>
          <w:i/>
          <w:szCs w:val="24"/>
          <w:lang w:val="es-ES_tradnl"/>
        </w:rPr>
        <w:t>Instructivo:</w:t>
      </w:r>
    </w:p>
    <w:p w:rsidRPr="00717D41" w:rsidR="00DA6417" w:rsidP="00DA6417" w:rsidRDefault="00DA6417" w14:paraId="5343206F" w14:textId="77777777">
      <w:pPr>
        <w:spacing w:line="360" w:lineRule="auto"/>
        <w:ind w:left="567" w:right="567"/>
        <w:jc w:val="both"/>
        <w:rPr>
          <w:rFonts w:ascii="Palatino Linotype" w:hAnsi="Palatino Linotype" w:eastAsia="Calibri"/>
          <w:i/>
          <w:szCs w:val="24"/>
          <w:lang w:val="es-ES_tradnl"/>
        </w:rPr>
      </w:pPr>
      <w:r w:rsidRPr="00717D41">
        <w:rPr>
          <w:rFonts w:ascii="Palatino Linotype" w:hAnsi="Palatino Linotype" w:eastAsia="Calibri"/>
          <w:b/>
          <w:i/>
          <w:szCs w:val="24"/>
          <w:lang w:val="es-ES_tradnl"/>
        </w:rPr>
        <w:t>1. Entidad Municipal:</w:t>
      </w:r>
      <w:r w:rsidRPr="00717D41">
        <w:rPr>
          <w:rFonts w:ascii="Palatino Linotype" w:hAnsi="Palatino Linotype" w:eastAsia="Calibri"/>
          <w:i/>
          <w:szCs w:val="24"/>
          <w:lang w:val="es-ES_tradnl"/>
        </w:rPr>
        <w:t xml:space="preserve"> Anotar el nombre de la entidad, seguido del número que le corresponde, por ejemplo: Toluca, 101.</w:t>
      </w:r>
    </w:p>
    <w:p w:rsidRPr="00717D41" w:rsidR="00DA6417" w:rsidP="00DA6417" w:rsidRDefault="00DA6417" w14:paraId="514023E1" w14:textId="77777777">
      <w:pPr>
        <w:spacing w:line="360" w:lineRule="auto"/>
        <w:ind w:left="567" w:right="567"/>
        <w:jc w:val="both"/>
        <w:rPr>
          <w:rFonts w:ascii="Palatino Linotype" w:hAnsi="Palatino Linotype" w:eastAsia="Calibri"/>
          <w:i/>
          <w:szCs w:val="24"/>
          <w:lang w:val="es-ES_tradnl"/>
        </w:rPr>
      </w:pPr>
      <w:r w:rsidRPr="00717D41">
        <w:rPr>
          <w:rFonts w:ascii="Palatino Linotype" w:hAnsi="Palatino Linotype" w:eastAsia="Calibri"/>
          <w:b/>
          <w:i/>
          <w:szCs w:val="24"/>
          <w:lang w:val="es-ES_tradnl"/>
        </w:rPr>
        <w:t xml:space="preserve">2. Periodo de Presentación; </w:t>
      </w:r>
      <w:r w:rsidRPr="00717D41">
        <w:rPr>
          <w:rFonts w:ascii="Palatino Linotype" w:hAnsi="Palatino Linotype" w:eastAsia="Calibri"/>
          <w:i/>
          <w:szCs w:val="24"/>
          <w:lang w:val="es-ES_tradnl"/>
        </w:rPr>
        <w:t xml:space="preserve">Indicar a que fecha se presenta la información requisitada. </w:t>
      </w:r>
    </w:p>
    <w:p w:rsidRPr="00717D41" w:rsidR="00DA6417" w:rsidP="00DA6417" w:rsidRDefault="00DA6417" w14:paraId="24AD5B9C" w14:textId="77777777">
      <w:pPr>
        <w:spacing w:line="360" w:lineRule="auto"/>
        <w:ind w:left="567" w:right="567"/>
        <w:jc w:val="both"/>
        <w:rPr>
          <w:rFonts w:ascii="Palatino Linotype" w:hAnsi="Palatino Linotype" w:eastAsia="Calibri"/>
          <w:i/>
          <w:szCs w:val="24"/>
          <w:lang w:val="es-ES_tradnl"/>
        </w:rPr>
      </w:pPr>
      <w:r w:rsidRPr="00717D41">
        <w:rPr>
          <w:rFonts w:ascii="Palatino Linotype" w:hAnsi="Palatino Linotype" w:eastAsia="Calibri"/>
          <w:b/>
          <w:i/>
          <w:szCs w:val="24"/>
          <w:lang w:val="es-ES_tradnl"/>
        </w:rPr>
        <w:t>3. ISR Retenido por Salarios:</w:t>
      </w:r>
      <w:r w:rsidRPr="00717D41">
        <w:rPr>
          <w:rFonts w:ascii="Palatino Linotype" w:hAnsi="Palatino Linotype" w:eastAsia="Calibri"/>
          <w:i/>
          <w:szCs w:val="24"/>
          <w:lang w:val="es-ES_tradnl"/>
        </w:rPr>
        <w:t xml:space="preserve"> Anotar en pesos el importe mensual registrado por este concepto durante el ejercicio 2019.</w:t>
      </w:r>
    </w:p>
    <w:p w:rsidRPr="00717D41" w:rsidR="00DA6417" w:rsidP="00DA6417" w:rsidRDefault="00DA6417" w14:paraId="29A04697" w14:textId="77777777">
      <w:pPr>
        <w:spacing w:line="360" w:lineRule="auto"/>
        <w:ind w:left="567" w:right="567"/>
        <w:jc w:val="both"/>
        <w:rPr>
          <w:rFonts w:ascii="Palatino Linotype" w:hAnsi="Palatino Linotype" w:eastAsia="Calibri"/>
          <w:i/>
          <w:szCs w:val="24"/>
          <w:lang w:val="es-ES_tradnl"/>
        </w:rPr>
      </w:pPr>
      <w:r w:rsidRPr="00717D41">
        <w:rPr>
          <w:rFonts w:ascii="Palatino Linotype" w:hAnsi="Palatino Linotype" w:eastAsia="Calibri"/>
          <w:b/>
          <w:i/>
          <w:szCs w:val="24"/>
          <w:lang w:val="es-ES_tradnl"/>
        </w:rPr>
        <w:t xml:space="preserve">4. ISR Retenido por Honorarios: </w:t>
      </w:r>
      <w:r w:rsidRPr="00717D41">
        <w:rPr>
          <w:rFonts w:ascii="Palatino Linotype" w:hAnsi="Palatino Linotype" w:eastAsia="Calibri"/>
          <w:i/>
          <w:szCs w:val="24"/>
          <w:lang w:val="es-ES_tradnl"/>
        </w:rPr>
        <w:t>Colocar en pesos el importe mensual registrado por este concepto durante el ejercicio 2019.</w:t>
      </w:r>
    </w:p>
    <w:p w:rsidRPr="00717D41" w:rsidR="00DA6417" w:rsidP="00DA6417" w:rsidRDefault="00DA6417" w14:paraId="04C0DD4F" w14:textId="77777777">
      <w:pPr>
        <w:spacing w:line="360" w:lineRule="auto"/>
        <w:ind w:left="567" w:right="567"/>
        <w:jc w:val="both"/>
        <w:rPr>
          <w:rFonts w:ascii="Palatino Linotype" w:hAnsi="Palatino Linotype" w:eastAsia="Calibri"/>
          <w:i/>
          <w:szCs w:val="24"/>
          <w:lang w:val="es-ES_tradnl"/>
        </w:rPr>
      </w:pPr>
      <w:r w:rsidRPr="00717D41">
        <w:rPr>
          <w:rFonts w:ascii="Palatino Linotype" w:hAnsi="Palatino Linotype" w:eastAsia="Calibri"/>
          <w:b/>
          <w:i/>
          <w:szCs w:val="24"/>
          <w:lang w:val="es-ES_tradnl"/>
        </w:rPr>
        <w:t>5. ISR por pago a cuenta de Terceros o Retenciones por Arrendamiento de Inmuebles:</w:t>
      </w:r>
      <w:r w:rsidRPr="00717D41">
        <w:rPr>
          <w:rFonts w:ascii="Palatino Linotype" w:hAnsi="Palatino Linotype" w:eastAsia="Calibri"/>
          <w:i/>
          <w:szCs w:val="24"/>
          <w:lang w:val="es-ES_tradnl"/>
        </w:rPr>
        <w:t xml:space="preserve"> En caso de que la entidad presente retenciones por estos conceptos deberá anotar en pesos el importe mensual registrado por este concepto durante el ejercicio 2019.</w:t>
      </w:r>
    </w:p>
    <w:p w:rsidRPr="00717D41" w:rsidR="00DA6417" w:rsidP="00DA6417" w:rsidRDefault="00DA6417" w14:paraId="75F6D9FE" w14:textId="07CFD4DB">
      <w:pPr>
        <w:spacing w:line="360" w:lineRule="auto"/>
        <w:ind w:left="567" w:right="567"/>
        <w:jc w:val="both"/>
        <w:rPr>
          <w:rFonts w:ascii="Palatino Linotype" w:hAnsi="Palatino Linotype" w:eastAsia="Calibri"/>
          <w:i/>
          <w:szCs w:val="24"/>
          <w:lang w:val="es-ES_tradnl"/>
        </w:rPr>
      </w:pPr>
      <w:r w:rsidRPr="00717D41">
        <w:rPr>
          <w:rFonts w:ascii="Palatino Linotype" w:hAnsi="Palatino Linotype" w:eastAsia="Calibri"/>
          <w:b/>
          <w:i/>
          <w:szCs w:val="24"/>
          <w:lang w:val="es-ES_tradnl"/>
        </w:rPr>
        <w:t>6.- ISR Retenido por algún otro concepto:</w:t>
      </w:r>
      <w:r w:rsidRPr="00717D41">
        <w:rPr>
          <w:rFonts w:ascii="Palatino Linotype" w:hAnsi="Palatino Linotype" w:eastAsia="Calibri"/>
          <w:i/>
          <w:szCs w:val="24"/>
          <w:lang w:val="es-ES_tradnl"/>
        </w:rPr>
        <w:t xml:space="preserve"> En caso de que la entidad presente retenciones por algún otro concepto no detallado entre los principales, </w:t>
      </w:r>
      <w:r w:rsidRPr="00717D41" w:rsidR="006920A9">
        <w:rPr>
          <w:rFonts w:ascii="Palatino Linotype" w:hAnsi="Palatino Linotype" w:eastAsia="Calibri"/>
          <w:i/>
          <w:szCs w:val="24"/>
          <w:lang w:val="es-ES_tradnl"/>
        </w:rPr>
        <w:t>estos deberán</w:t>
      </w:r>
      <w:r w:rsidRPr="00717D41">
        <w:rPr>
          <w:rFonts w:ascii="Palatino Linotype" w:hAnsi="Palatino Linotype" w:eastAsia="Calibri"/>
          <w:i/>
          <w:szCs w:val="24"/>
          <w:lang w:val="es-ES_tradnl"/>
        </w:rPr>
        <w:t xml:space="preserve"> anotarse en pesos el importe mensual registrado por este concepto durante el ejercicio 2019.</w:t>
      </w:r>
    </w:p>
    <w:p w:rsidRPr="00717D41" w:rsidR="00DA6417" w:rsidP="00DA6417" w:rsidRDefault="00DA6417" w14:paraId="1A15CB41" w14:textId="77777777">
      <w:pPr>
        <w:spacing w:line="360" w:lineRule="auto"/>
        <w:ind w:left="567" w:right="567"/>
        <w:jc w:val="both"/>
        <w:rPr>
          <w:rFonts w:ascii="Palatino Linotype" w:hAnsi="Palatino Linotype" w:eastAsia="Calibri"/>
          <w:i/>
          <w:szCs w:val="24"/>
          <w:lang w:val="es-ES_tradnl"/>
        </w:rPr>
      </w:pPr>
      <w:r w:rsidRPr="00717D41">
        <w:rPr>
          <w:rFonts w:ascii="Palatino Linotype" w:hAnsi="Palatino Linotype" w:eastAsia="Calibri"/>
          <w:b/>
          <w:i/>
          <w:szCs w:val="24"/>
          <w:lang w:val="es-ES_tradnl"/>
        </w:rPr>
        <w:t>7.- Actualizaciones y Recargos:</w:t>
      </w:r>
      <w:r w:rsidRPr="00717D41">
        <w:rPr>
          <w:rFonts w:ascii="Palatino Linotype" w:hAnsi="Palatino Linotype" w:eastAsia="Calibri"/>
          <w:i/>
          <w:szCs w:val="24"/>
          <w:lang w:val="es-ES_tradnl"/>
        </w:rPr>
        <w:t xml:space="preserve"> En casos de cumplimiento extemporáneo de obligaciones deberán anotar la suma en pesos de las actualizaciones y los recargos que fueron originados al momento de cumplir con la obligación.</w:t>
      </w:r>
    </w:p>
    <w:p w:rsidRPr="00717D41" w:rsidR="00DA6417" w:rsidP="00DA6417" w:rsidRDefault="00DA6417" w14:paraId="51233855" w14:textId="77777777">
      <w:pPr>
        <w:spacing w:line="360" w:lineRule="auto"/>
        <w:ind w:left="567" w:right="567"/>
        <w:jc w:val="both"/>
        <w:rPr>
          <w:rFonts w:ascii="Palatino Linotype" w:hAnsi="Palatino Linotype" w:eastAsia="Calibri"/>
          <w:i/>
          <w:szCs w:val="24"/>
          <w:lang w:val="es-ES_tradnl"/>
        </w:rPr>
      </w:pPr>
      <w:r w:rsidRPr="00717D41">
        <w:rPr>
          <w:rFonts w:ascii="Palatino Linotype" w:hAnsi="Palatino Linotype" w:eastAsia="Calibri"/>
          <w:b/>
          <w:i/>
          <w:szCs w:val="24"/>
          <w:lang w:val="es-ES_tradnl"/>
        </w:rPr>
        <w:t xml:space="preserve">8.- Subsidio al empleo: </w:t>
      </w:r>
      <w:r w:rsidRPr="00717D41">
        <w:rPr>
          <w:rFonts w:ascii="Palatino Linotype" w:hAnsi="Palatino Linotype" w:eastAsia="Calibri"/>
          <w:i/>
          <w:szCs w:val="24"/>
          <w:lang w:val="es-ES_tradnl"/>
        </w:rPr>
        <w:t>Anotar en pesos el importe mensual registrado por este concepto de ayuda o apoyo que por ley debe pagarle el patrón al trabajador cuando éste último percibe el salario mínimo durante el ejercicio y que se acredito contra el ISR a cargo.</w:t>
      </w:r>
    </w:p>
    <w:p w:rsidRPr="00717D41" w:rsidR="00DA6417" w:rsidP="00DA6417" w:rsidRDefault="00DA6417" w14:paraId="4F34E5CD" w14:textId="77777777">
      <w:pPr>
        <w:spacing w:line="360" w:lineRule="auto"/>
        <w:ind w:left="567" w:right="567"/>
        <w:jc w:val="both"/>
        <w:rPr>
          <w:rFonts w:ascii="Palatino Linotype" w:hAnsi="Palatino Linotype" w:eastAsia="Calibri"/>
          <w:i/>
          <w:szCs w:val="24"/>
          <w:lang w:val="es-ES_tradnl"/>
        </w:rPr>
      </w:pPr>
      <w:r w:rsidRPr="00717D41">
        <w:rPr>
          <w:rFonts w:ascii="Palatino Linotype" w:hAnsi="Palatino Linotype" w:eastAsia="Calibri"/>
          <w:b/>
          <w:i/>
          <w:szCs w:val="24"/>
          <w:lang w:val="es-ES_tradnl"/>
        </w:rPr>
        <w:t xml:space="preserve">9.- ISR por pagar; </w:t>
      </w:r>
      <w:r w:rsidRPr="00717D41">
        <w:rPr>
          <w:rFonts w:ascii="Palatino Linotype" w:hAnsi="Palatino Linotype" w:eastAsia="Calibri"/>
          <w:i/>
          <w:szCs w:val="24"/>
          <w:lang w:val="es-ES_tradnl"/>
        </w:rPr>
        <w:t>Operación aritmética que consiste en sumar los conceptos de retención de ISR con las actualizaciones y recargos que en su caso se originaron descontando el subsidio.</w:t>
      </w:r>
    </w:p>
    <w:p w:rsidRPr="00717D41" w:rsidR="00DA6417" w:rsidP="00DA6417" w:rsidRDefault="00DA6417" w14:paraId="3B60C9E8" w14:textId="77777777">
      <w:pPr>
        <w:spacing w:line="360" w:lineRule="auto"/>
        <w:ind w:left="567" w:right="567"/>
        <w:jc w:val="both"/>
        <w:rPr>
          <w:rFonts w:ascii="Palatino Linotype" w:hAnsi="Palatino Linotype" w:eastAsia="Calibri"/>
          <w:i/>
          <w:szCs w:val="24"/>
          <w:lang w:val="es-ES_tradnl"/>
        </w:rPr>
      </w:pPr>
      <w:r w:rsidRPr="00717D41">
        <w:rPr>
          <w:rFonts w:ascii="Palatino Linotype" w:hAnsi="Palatino Linotype" w:eastAsia="Calibri"/>
          <w:i/>
          <w:szCs w:val="24"/>
          <w:lang w:val="es-ES_tradnl"/>
        </w:rPr>
        <w:t>Refleja el saldo mensual que se debió pagar de las Retenciones del Impuesto Sobre la Renta por Salarios, Honorarios y Arrendamiento del ejercicio 2019.</w:t>
      </w:r>
    </w:p>
    <w:p w:rsidRPr="00717D41" w:rsidR="00DA6417" w:rsidP="00DA6417" w:rsidRDefault="00DA6417" w14:paraId="0B2E9A5B" w14:textId="77777777">
      <w:pPr>
        <w:spacing w:line="360" w:lineRule="auto"/>
        <w:ind w:left="567" w:right="567"/>
        <w:jc w:val="both"/>
        <w:rPr>
          <w:rFonts w:ascii="Palatino Linotype" w:hAnsi="Palatino Linotype" w:eastAsia="Calibri"/>
          <w:i/>
          <w:szCs w:val="24"/>
          <w:lang w:val="es-ES_tradnl"/>
        </w:rPr>
      </w:pPr>
      <w:r w:rsidRPr="00717D41">
        <w:rPr>
          <w:rFonts w:ascii="Palatino Linotype" w:hAnsi="Palatino Linotype" w:eastAsia="Calibri"/>
          <w:b/>
          <w:i/>
          <w:szCs w:val="24"/>
          <w:lang w:val="es-ES_tradnl"/>
        </w:rPr>
        <w:lastRenderedPageBreak/>
        <w:t>10.- Pagos realizados de acuerdo a expediente;</w:t>
      </w:r>
      <w:r w:rsidRPr="00717D41">
        <w:rPr>
          <w:rFonts w:ascii="Palatino Linotype" w:hAnsi="Palatino Linotype" w:eastAsia="Calibri"/>
          <w:i/>
          <w:szCs w:val="24"/>
          <w:lang w:val="es-ES_tradnl"/>
        </w:rPr>
        <w:t xml:space="preserve"> Anotar en pesos el importe correspondiente a cada mes de los pagos efectuados por las Retenciones del Impuesto Sobre la Renta por Salarios, Honorarios y Arrendamiento del ejercicio 2019.</w:t>
      </w:r>
    </w:p>
    <w:p w:rsidRPr="00717D41" w:rsidR="00DA6417" w:rsidP="00DA6417" w:rsidRDefault="00DA6417" w14:paraId="15E45D11" w14:textId="77777777">
      <w:pPr>
        <w:spacing w:line="360" w:lineRule="auto"/>
        <w:ind w:left="567" w:right="567"/>
        <w:jc w:val="both"/>
        <w:rPr>
          <w:rFonts w:ascii="Palatino Linotype" w:hAnsi="Palatino Linotype" w:eastAsia="Calibri"/>
          <w:i/>
          <w:szCs w:val="24"/>
          <w:lang w:val="es-ES_tradnl"/>
        </w:rPr>
      </w:pPr>
      <w:r w:rsidRPr="00717D41">
        <w:rPr>
          <w:rFonts w:ascii="Palatino Linotype" w:hAnsi="Palatino Linotype" w:eastAsia="Calibri"/>
          <w:b/>
          <w:i/>
          <w:szCs w:val="24"/>
          <w:lang w:val="es-ES_tradnl"/>
        </w:rPr>
        <w:t xml:space="preserve">11.- Fecha de pago: </w:t>
      </w:r>
      <w:r w:rsidRPr="00717D41">
        <w:rPr>
          <w:rFonts w:ascii="Palatino Linotype" w:hAnsi="Palatino Linotype" w:eastAsia="Calibri"/>
          <w:i/>
          <w:szCs w:val="24"/>
          <w:lang w:val="es-ES_tradnl"/>
        </w:rPr>
        <w:t>Especificar la fecha en que se realizó el pago de dicha obligación.</w:t>
      </w:r>
    </w:p>
    <w:p w:rsidRPr="00717D41" w:rsidR="00DA6417" w:rsidP="00DA6417" w:rsidRDefault="00DA6417" w14:paraId="74D31E01" w14:textId="77777777">
      <w:pPr>
        <w:spacing w:line="360" w:lineRule="auto"/>
        <w:ind w:left="567" w:right="567"/>
        <w:jc w:val="both"/>
        <w:rPr>
          <w:rFonts w:ascii="Palatino Linotype" w:hAnsi="Palatino Linotype" w:eastAsia="Calibri"/>
          <w:i/>
          <w:szCs w:val="24"/>
          <w:lang w:val="es-ES_tradnl"/>
        </w:rPr>
      </w:pPr>
      <w:r w:rsidRPr="00717D41">
        <w:rPr>
          <w:rFonts w:ascii="Palatino Linotype" w:hAnsi="Palatino Linotype" w:eastAsia="Calibri"/>
          <w:b/>
          <w:i/>
          <w:szCs w:val="24"/>
          <w:lang w:val="es-ES_tradnl"/>
        </w:rPr>
        <w:t>12.- Remanente por pagar:</w:t>
      </w:r>
      <w:r w:rsidRPr="00717D41">
        <w:rPr>
          <w:rFonts w:ascii="Palatino Linotype" w:hAnsi="Palatino Linotype" w:eastAsia="Calibri"/>
          <w:i/>
          <w:szCs w:val="24"/>
          <w:lang w:val="es-ES_tradnl"/>
        </w:rPr>
        <w:t xml:space="preserve"> Operación aritmética que refleja la diferencia entre el ISR por pagar y los pagos realizados correspondientes a los meses del ejercicio 2019 de acuerdo al expediente técnico de las Retenciones del Impuesto Sobre la Renta por Salarios, Honorarios y Arrendamiento del ejercicio 2019.</w:t>
      </w:r>
    </w:p>
    <w:p w:rsidRPr="00717D41" w:rsidR="00DA6417" w:rsidP="00DA6417" w:rsidRDefault="00DA6417" w14:paraId="6232FB7B" w14:textId="77777777">
      <w:pPr>
        <w:spacing w:line="360" w:lineRule="auto"/>
        <w:ind w:left="567" w:right="567"/>
        <w:jc w:val="both"/>
        <w:rPr>
          <w:rFonts w:ascii="Palatino Linotype" w:hAnsi="Palatino Linotype" w:eastAsia="Calibri"/>
          <w:i/>
          <w:szCs w:val="24"/>
          <w:lang w:val="es-ES_tradnl"/>
        </w:rPr>
      </w:pPr>
      <w:r w:rsidRPr="00717D41">
        <w:rPr>
          <w:rFonts w:ascii="Palatino Linotype" w:hAnsi="Palatino Linotype" w:eastAsia="Calibri"/>
          <w:b/>
          <w:i/>
          <w:szCs w:val="24"/>
          <w:lang w:val="es-ES_tradnl"/>
        </w:rPr>
        <w:t>13.- Cuenta Contable:</w:t>
      </w:r>
      <w:r w:rsidRPr="00717D41">
        <w:rPr>
          <w:rFonts w:ascii="Palatino Linotype" w:hAnsi="Palatino Linotype" w:eastAsia="Calibri"/>
          <w:i/>
          <w:szCs w:val="24"/>
          <w:lang w:val="es-ES_tradnl"/>
        </w:rPr>
        <w:t xml:space="preserve"> Anotar las subcuentas a nivel registro de la cuenta contable donde se registró la provisión del pasivo para el pago de las Retenciones del Impuesto Sobre la Renta por Salarios, Honorarios y Arrendamiento del ejercicio 2019.</w:t>
      </w:r>
    </w:p>
    <w:p w:rsidRPr="00717D41" w:rsidR="00DA6417" w:rsidP="00DA6417" w:rsidRDefault="00DA6417" w14:paraId="58E685E8" w14:textId="77777777">
      <w:pPr>
        <w:spacing w:line="360" w:lineRule="auto"/>
        <w:ind w:left="567" w:right="567"/>
        <w:jc w:val="both"/>
        <w:rPr>
          <w:rFonts w:ascii="Palatino Linotype" w:hAnsi="Palatino Linotype" w:eastAsia="Calibri"/>
          <w:i/>
          <w:szCs w:val="24"/>
          <w:lang w:val="es-ES_tradnl"/>
        </w:rPr>
      </w:pPr>
      <w:r w:rsidRPr="00717D41">
        <w:rPr>
          <w:rFonts w:ascii="Palatino Linotype" w:hAnsi="Palatino Linotype" w:eastAsia="Calibri"/>
          <w:b/>
          <w:i/>
          <w:szCs w:val="24"/>
          <w:lang w:val="es-ES_tradnl"/>
        </w:rPr>
        <w:t>14.- Saldo de la Cuenta de pasivo:</w:t>
      </w:r>
      <w:r w:rsidRPr="00717D41">
        <w:rPr>
          <w:rFonts w:ascii="Palatino Linotype" w:hAnsi="Palatino Linotype" w:eastAsia="Calibri"/>
          <w:i/>
          <w:szCs w:val="24"/>
          <w:lang w:val="es-ES_tradnl"/>
        </w:rPr>
        <w:t xml:space="preserve"> Colocar en pesos el saldo de la cuenta de pasivo que reflejan los reportes contables para cada cuenta que le corresponda.</w:t>
      </w:r>
    </w:p>
    <w:p w:rsidRPr="00717D41" w:rsidR="00DA6417" w:rsidP="00DA6417" w:rsidRDefault="00DA6417" w14:paraId="1EAC0886" w14:textId="77777777">
      <w:pPr>
        <w:spacing w:line="360" w:lineRule="auto"/>
        <w:ind w:left="567" w:right="567"/>
        <w:jc w:val="both"/>
        <w:rPr>
          <w:rFonts w:ascii="Palatino Linotype" w:hAnsi="Palatino Linotype" w:eastAsia="Calibri"/>
          <w:i/>
          <w:szCs w:val="24"/>
          <w:lang w:val="es-ES_tradnl"/>
        </w:rPr>
      </w:pPr>
      <w:r w:rsidRPr="00717D41">
        <w:rPr>
          <w:rFonts w:ascii="Palatino Linotype" w:hAnsi="Palatino Linotype" w:eastAsia="Calibri"/>
          <w:b/>
          <w:i/>
          <w:szCs w:val="24"/>
          <w:lang w:val="es-ES_tradnl"/>
        </w:rPr>
        <w:t>15. Apartado de Firmas:</w:t>
      </w:r>
      <w:r w:rsidRPr="00717D41">
        <w:rPr>
          <w:rFonts w:ascii="Palatino Linotype" w:hAnsi="Palatino Linotype" w:eastAsia="Calibri"/>
          <w:i/>
          <w:szCs w:val="24"/>
          <w:lang w:val="es-ES_tradnl"/>
        </w:rPr>
        <w:t xml:space="preserve"> Plasmar las firmas de los servidores públicos. En cada caso se deberá anotar la profesión, nombre completo y cargo, estampar su firma autógrafa con tinta azul y colocar el sello correspondiente; por ningún motivo la firma o sello deben cubrir los datos, de lo contrario lo invalidaría.</w:t>
      </w:r>
    </w:p>
    <w:p w:rsidR="00DA6417" w:rsidP="00DA6417" w:rsidRDefault="00DA6417" w14:paraId="48CFBE18" w14:textId="77777777">
      <w:pPr>
        <w:spacing w:line="360" w:lineRule="auto"/>
        <w:ind w:left="567" w:right="567"/>
        <w:jc w:val="both"/>
        <w:rPr>
          <w:rFonts w:ascii="Palatino Linotype" w:hAnsi="Palatino Linotype" w:eastAsia="Calibri"/>
          <w:i/>
          <w:szCs w:val="24"/>
          <w:lang w:val="es-ES_tradnl"/>
        </w:rPr>
      </w:pPr>
      <w:r w:rsidRPr="00717D41">
        <w:rPr>
          <w:rFonts w:ascii="Palatino Linotype" w:hAnsi="Palatino Linotype" w:eastAsia="Calibri"/>
          <w:i/>
          <w:szCs w:val="24"/>
          <w:lang w:val="es-ES_tradnl"/>
        </w:rPr>
        <w:t>Aplica para: Ayuntamiento, Organismo Descentralizado DIF, Organismo Descentralizado Operador de Agua, Instituto del Deporte, Instituto Municipal de la Juventud y Organismo Descentralizado de Mantenimiento de Vialidades de Cuautitlán Izcalli, atendiendo a la matriz de firmas para cada entidad.</w:t>
      </w:r>
    </w:p>
    <w:p w:rsidRPr="00717D41" w:rsidR="00ED251B" w:rsidP="00DA6417" w:rsidRDefault="00ED251B" w14:paraId="64BC6826" w14:textId="77777777">
      <w:pPr>
        <w:spacing w:line="360" w:lineRule="auto"/>
        <w:ind w:left="567" w:right="567"/>
        <w:jc w:val="both"/>
        <w:rPr>
          <w:rFonts w:ascii="Palatino Linotype" w:hAnsi="Palatino Linotype" w:eastAsia="Calibri"/>
          <w:i/>
          <w:szCs w:val="24"/>
          <w:lang w:val="es-ES_tradnl"/>
        </w:rPr>
      </w:pPr>
    </w:p>
    <w:p w:rsidR="00DA6417" w:rsidP="00A511BB" w:rsidRDefault="00DA6417" w14:paraId="2AF453F2" w14:textId="77777777">
      <w:pPr>
        <w:spacing w:line="360" w:lineRule="auto"/>
        <w:jc w:val="both"/>
        <w:rPr>
          <w:rFonts w:ascii="Palatino Linotype" w:hAnsi="Palatino Linotype" w:cs="Tahoma"/>
          <w:sz w:val="22"/>
          <w:szCs w:val="22"/>
          <w:lang w:val="es-ES"/>
        </w:rPr>
      </w:pPr>
      <w:r w:rsidRPr="00717D41">
        <w:rPr>
          <w:rFonts w:ascii="Palatino Linotype" w:hAnsi="Palatino Linotype" w:eastAsia="Calibri"/>
          <w:noProof/>
          <w:sz w:val="24"/>
          <w:szCs w:val="24"/>
          <w:lang w:eastAsia="es-MX"/>
        </w:rPr>
        <w:lastRenderedPageBreak/>
        <w:drawing>
          <wp:inline distT="0" distB="0" distL="0" distR="0" wp14:anchorId="0456CB2A" wp14:editId="10BCCB39">
            <wp:extent cx="5742940" cy="324369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742940" cy="3243698"/>
                    </a:xfrm>
                    <a:prstGeom prst="rect">
                      <a:avLst/>
                    </a:prstGeom>
                  </pic:spPr>
                </pic:pic>
              </a:graphicData>
            </a:graphic>
          </wp:inline>
        </w:drawing>
      </w:r>
    </w:p>
    <w:p w:rsidR="00DA6417" w:rsidP="00A511BB" w:rsidRDefault="00DA6417" w14:paraId="7A453218" w14:textId="77777777">
      <w:pPr>
        <w:spacing w:line="360" w:lineRule="auto"/>
        <w:jc w:val="both"/>
        <w:rPr>
          <w:rFonts w:ascii="Palatino Linotype" w:hAnsi="Palatino Linotype" w:cs="Tahoma"/>
          <w:sz w:val="22"/>
          <w:szCs w:val="22"/>
          <w:lang w:val="es-ES"/>
        </w:rPr>
      </w:pPr>
    </w:p>
    <w:p w:rsidR="00DA6417" w:rsidP="00A511BB" w:rsidRDefault="00DA6417" w14:paraId="4B9FB1FD" w14:textId="77777777">
      <w:pPr>
        <w:spacing w:line="360" w:lineRule="auto"/>
        <w:jc w:val="both"/>
        <w:rPr>
          <w:rFonts w:ascii="Palatino Linotype" w:hAnsi="Palatino Linotype" w:cs="Tahoma"/>
          <w:sz w:val="22"/>
          <w:szCs w:val="22"/>
          <w:lang w:val="es-ES"/>
        </w:rPr>
      </w:pPr>
      <w:r w:rsidRPr="00DA6417">
        <w:rPr>
          <w:rFonts w:ascii="Palatino Linotype" w:hAnsi="Palatino Linotype" w:cs="Tahoma"/>
          <w:sz w:val="22"/>
          <w:szCs w:val="22"/>
          <w:lang w:val="es-ES"/>
        </w:rPr>
        <w:t xml:space="preserve">Como podemos observar, el documento denominado “Retenciones del Impuesto Sobre la Renta por Salarios, Honorarios y Arrendamiento”, pudiera satisfacer el requerimiento del Recurrente, al apreciarse en los apartados del documento, que contiene la información </w:t>
      </w:r>
      <w:r w:rsidR="00ED251B">
        <w:rPr>
          <w:rFonts w:ascii="Palatino Linotype" w:hAnsi="Palatino Linotype" w:cs="Tahoma"/>
          <w:sz w:val="22"/>
          <w:szCs w:val="22"/>
          <w:lang w:val="es-ES"/>
        </w:rPr>
        <w:t>solicitada</w:t>
      </w:r>
      <w:r w:rsidRPr="00DA6417">
        <w:rPr>
          <w:rFonts w:ascii="Palatino Linotype" w:hAnsi="Palatino Linotype" w:cs="Tahoma"/>
          <w:sz w:val="22"/>
          <w:szCs w:val="22"/>
          <w:lang w:val="es-ES"/>
        </w:rPr>
        <w:t>, en consecuencia, el Sujeto Obligado al ser ente fiscalizable por el Órgano Superior de Fiscalización del Estado de México (OSFEM), que lo constriñe a remitir la información referida, se encuentra obligado a tenerla en sus archivos, consecuenteme</w:t>
      </w:r>
      <w:r w:rsidR="009944B6">
        <w:rPr>
          <w:rFonts w:ascii="Palatino Linotype" w:hAnsi="Palatino Linotype" w:cs="Tahoma"/>
          <w:sz w:val="22"/>
          <w:szCs w:val="22"/>
          <w:lang w:val="es-ES"/>
        </w:rPr>
        <w:t>nte es dable ordenar su entrega, por lo que el argumento de no contar con ella no resulta valido al tener la obligación de generarla.</w:t>
      </w:r>
    </w:p>
    <w:p w:rsidR="00DA6417" w:rsidP="00A511BB" w:rsidRDefault="00DA6417" w14:paraId="487C06B5" w14:textId="77777777">
      <w:pPr>
        <w:spacing w:line="360" w:lineRule="auto"/>
        <w:jc w:val="both"/>
        <w:rPr>
          <w:rFonts w:ascii="Palatino Linotype" w:hAnsi="Palatino Linotype" w:cs="Tahoma"/>
          <w:sz w:val="22"/>
          <w:szCs w:val="22"/>
          <w:lang w:val="es-ES"/>
        </w:rPr>
      </w:pPr>
    </w:p>
    <w:p w:rsidRPr="00DA6417" w:rsidR="00DA6417" w:rsidP="00DA6417" w:rsidRDefault="00DA6417" w14:paraId="591A38C0" w14:textId="77777777">
      <w:pPr>
        <w:spacing w:line="360" w:lineRule="auto"/>
        <w:jc w:val="both"/>
        <w:rPr>
          <w:rFonts w:ascii="Palatino Linotype" w:hAnsi="Palatino Linotype" w:cs="Tahoma"/>
          <w:sz w:val="22"/>
          <w:szCs w:val="22"/>
          <w:lang w:val="es-ES"/>
        </w:rPr>
      </w:pPr>
      <w:r w:rsidRPr="00DA6417">
        <w:rPr>
          <w:rFonts w:ascii="Palatino Linotype" w:hAnsi="Palatino Linotype" w:cs="Tahoma"/>
          <w:sz w:val="22"/>
          <w:szCs w:val="22"/>
          <w:lang w:val="es-ES"/>
        </w:rPr>
        <w:t xml:space="preserve">Finalmente, el </w:t>
      </w:r>
      <w:r w:rsidRPr="00DA6417">
        <w:rPr>
          <w:rFonts w:ascii="Palatino Linotype" w:hAnsi="Palatino Linotype" w:cs="Tahoma"/>
          <w:b/>
          <w:sz w:val="22"/>
          <w:szCs w:val="22"/>
          <w:lang w:val="es-ES"/>
        </w:rPr>
        <w:t>punto 6</w:t>
      </w:r>
      <w:r w:rsidRPr="00DA6417">
        <w:rPr>
          <w:rFonts w:ascii="Palatino Linotype" w:hAnsi="Palatino Linotype" w:cs="Tahoma"/>
          <w:sz w:val="22"/>
          <w:szCs w:val="22"/>
          <w:lang w:val="es-ES"/>
        </w:rPr>
        <w:t xml:space="preserve">, de la lectura del mismo, se acredita que el Recurrente </w:t>
      </w:r>
      <w:r w:rsidR="00ED251B">
        <w:rPr>
          <w:rFonts w:ascii="Palatino Linotype" w:hAnsi="Palatino Linotype" w:cs="Tahoma"/>
          <w:sz w:val="22"/>
          <w:szCs w:val="22"/>
          <w:lang w:val="es-ES"/>
        </w:rPr>
        <w:t>solicita</w:t>
      </w:r>
      <w:r w:rsidRPr="00DA6417">
        <w:rPr>
          <w:rFonts w:ascii="Palatino Linotype" w:hAnsi="Palatino Linotype" w:cs="Tahoma"/>
          <w:sz w:val="22"/>
          <w:szCs w:val="22"/>
          <w:lang w:val="es-ES"/>
        </w:rPr>
        <w:t xml:space="preserve"> al Sujeto Obligado realice un procesamiento de información, a efecto de poder comprobarse que los servidores públicos no están siendo afectados por errores en el cálculo de impuestos, por lo que a manera de muestra calculen los impuestos anuales de los años 2017, 2018, 2019 y 2020, </w:t>
      </w:r>
      <w:r w:rsidRPr="00DA6417">
        <w:rPr>
          <w:rFonts w:ascii="Palatino Linotype" w:hAnsi="Palatino Linotype" w:cs="Tahoma"/>
          <w:sz w:val="22"/>
          <w:szCs w:val="22"/>
          <w:lang w:val="es-ES"/>
        </w:rPr>
        <w:lastRenderedPageBreak/>
        <w:t>una vez hecho el procesamiento de la información, deberá realizar un documento de tipo específico que la contenga desagregada conforme a los apartados señalados.</w:t>
      </w:r>
    </w:p>
    <w:p w:rsidRPr="00DA6417" w:rsidR="00DA6417" w:rsidP="00DA6417" w:rsidRDefault="00DA6417" w14:paraId="5E000646" w14:textId="77777777">
      <w:pPr>
        <w:spacing w:line="360" w:lineRule="auto"/>
        <w:jc w:val="both"/>
        <w:rPr>
          <w:rFonts w:ascii="Palatino Linotype" w:hAnsi="Palatino Linotype" w:cs="Tahoma"/>
          <w:sz w:val="22"/>
          <w:szCs w:val="22"/>
          <w:lang w:val="es-ES"/>
        </w:rPr>
      </w:pPr>
    </w:p>
    <w:p w:rsidR="00DA6417" w:rsidP="00DA6417" w:rsidRDefault="00DA6417" w14:paraId="41FD942E" w14:textId="77777777">
      <w:pPr>
        <w:spacing w:line="360" w:lineRule="auto"/>
        <w:jc w:val="both"/>
        <w:rPr>
          <w:rFonts w:ascii="Palatino Linotype" w:hAnsi="Palatino Linotype" w:cs="Tahoma"/>
          <w:sz w:val="22"/>
          <w:szCs w:val="22"/>
          <w:lang w:val="es-ES"/>
        </w:rPr>
      </w:pPr>
      <w:r w:rsidRPr="00DA6417">
        <w:rPr>
          <w:rFonts w:ascii="Palatino Linotype" w:hAnsi="Palatino Linotype" w:cs="Tahoma"/>
          <w:sz w:val="22"/>
          <w:szCs w:val="22"/>
          <w:lang w:val="es-ES"/>
        </w:rPr>
        <w:t xml:space="preserve">Atentos a lo anterior, ya ha quedado precisado en párrafos previos que los sujetos obligados tienen la obligación o deber de atender las solicitudes de acceso a la información pública que se les hagan de su conocimiento y proporcionar la información pública que obren en su poder en el estado que se encuentra y no hacer un procesamiento de la misma, ni presentarla conforme al interés del solicitante; como así lo establece el artículo 12 de la Ley de Transparencia y Acceso a la Información Pública del Estado </w:t>
      </w:r>
      <w:r>
        <w:rPr>
          <w:rFonts w:ascii="Palatino Linotype" w:hAnsi="Palatino Linotype" w:cs="Tahoma"/>
          <w:sz w:val="22"/>
          <w:szCs w:val="22"/>
          <w:lang w:val="es-ES"/>
        </w:rPr>
        <w:t>de México y Municipios.</w:t>
      </w:r>
    </w:p>
    <w:p w:rsidR="00DA6417" w:rsidP="00A511BB" w:rsidRDefault="00DA6417" w14:paraId="382A8001" w14:textId="77777777">
      <w:pPr>
        <w:spacing w:line="360" w:lineRule="auto"/>
        <w:jc w:val="both"/>
        <w:rPr>
          <w:rFonts w:ascii="Palatino Linotype" w:hAnsi="Palatino Linotype" w:cs="Tahoma"/>
          <w:sz w:val="22"/>
          <w:szCs w:val="22"/>
          <w:lang w:val="es-ES"/>
        </w:rPr>
      </w:pPr>
    </w:p>
    <w:p w:rsidR="00DA6417" w:rsidP="00A511BB" w:rsidRDefault="007A26F3" w14:paraId="517D714A" w14:textId="77777777">
      <w:pPr>
        <w:spacing w:line="360" w:lineRule="auto"/>
        <w:jc w:val="both"/>
        <w:rPr>
          <w:rFonts w:ascii="Palatino Linotype" w:hAnsi="Palatino Linotype" w:cs="Tahoma"/>
          <w:sz w:val="22"/>
          <w:szCs w:val="22"/>
          <w:lang w:val="es-ES"/>
        </w:rPr>
      </w:pPr>
      <w:r w:rsidRPr="007A26F3">
        <w:rPr>
          <w:rFonts w:ascii="Palatino Linotype" w:hAnsi="Palatino Linotype" w:cs="Tahoma"/>
          <w:sz w:val="22"/>
          <w:szCs w:val="22"/>
          <w:lang w:val="es-ES"/>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rsidR="00DA6417" w:rsidP="00A511BB" w:rsidRDefault="00DA6417" w14:paraId="5470164C" w14:textId="77777777">
      <w:pPr>
        <w:spacing w:line="360" w:lineRule="auto"/>
        <w:jc w:val="both"/>
        <w:rPr>
          <w:rFonts w:ascii="Palatino Linotype" w:hAnsi="Palatino Linotype" w:cs="Tahoma"/>
          <w:sz w:val="22"/>
          <w:szCs w:val="22"/>
          <w:lang w:val="es-ES"/>
        </w:rPr>
      </w:pPr>
    </w:p>
    <w:p w:rsidRPr="00401946" w:rsidR="007A26F3" w:rsidP="007A26F3" w:rsidRDefault="007A26F3" w14:paraId="6B144975" w14:textId="77777777">
      <w:pPr>
        <w:spacing w:line="360" w:lineRule="auto"/>
        <w:ind w:right="-93"/>
        <w:jc w:val="both"/>
        <w:rPr>
          <w:rFonts w:ascii="Palatino Linotype" w:hAnsi="Palatino Linotype" w:eastAsia="Calibri" w:cs="Tahoma"/>
          <w:iCs/>
          <w:sz w:val="22"/>
          <w:szCs w:val="22"/>
          <w:lang w:val="es-ES" w:eastAsia="es-ES_tradnl"/>
        </w:rPr>
      </w:pPr>
      <w:r>
        <w:rPr>
          <w:rFonts w:ascii="Palatino Linotype" w:hAnsi="Palatino Linotype" w:eastAsia="Calibri" w:cs="Tahoma"/>
          <w:bCs/>
          <w:sz w:val="22"/>
          <w:szCs w:val="22"/>
          <w:lang w:eastAsia="en-US"/>
        </w:rPr>
        <w:t>De</w:t>
      </w:r>
      <w:r w:rsidRPr="00401946">
        <w:rPr>
          <w:rFonts w:ascii="Palatino Linotype" w:hAnsi="Palatino Linotype" w:eastAsia="Calibri" w:cs="Tahoma"/>
          <w:iCs/>
          <w:sz w:val="22"/>
          <w:szCs w:val="22"/>
          <w:lang w:val="es-ES" w:eastAsia="es-ES_tradnl"/>
        </w:rPr>
        <w:t xml:space="preserve"> tales circunstancias</w:t>
      </w:r>
      <w:r>
        <w:rPr>
          <w:rFonts w:ascii="Palatino Linotype" w:hAnsi="Palatino Linotype" w:eastAsia="Calibri" w:cs="Tahoma"/>
          <w:iCs/>
          <w:sz w:val="22"/>
          <w:szCs w:val="22"/>
          <w:lang w:val="es-ES" w:eastAsia="es-ES_tradnl"/>
        </w:rPr>
        <w:t>,</w:t>
      </w:r>
      <w:r w:rsidRPr="00401946">
        <w:rPr>
          <w:rFonts w:ascii="Palatino Linotype" w:hAnsi="Palatino Linotype" w:eastAsia="Calibri" w:cs="Tahoma"/>
          <w:iCs/>
          <w:sz w:val="22"/>
          <w:szCs w:val="22"/>
          <w:lang w:val="es-ES" w:eastAsia="es-ES_tradnl"/>
        </w:rPr>
        <w:t xml:space="preserve"> los sujetos obligados únicamente están constreñidos a proporcionar la documentación que obre en sus archivos; por lo que, no están obligados a generar o elaborar documentos </w:t>
      </w:r>
      <w:r w:rsidRPr="00401946">
        <w:rPr>
          <w:rFonts w:ascii="Palatino Linotype" w:hAnsi="Palatino Linotype" w:eastAsia="Calibri" w:cs="Tahoma"/>
          <w:i/>
          <w:iCs/>
          <w:sz w:val="22"/>
          <w:szCs w:val="22"/>
          <w:lang w:val="es-ES" w:eastAsia="es-ES_tradnl"/>
        </w:rPr>
        <w:t>Ad hoc,</w:t>
      </w:r>
      <w:r w:rsidRPr="00401946">
        <w:rPr>
          <w:rFonts w:ascii="Palatino Linotype" w:hAnsi="Palatino Linotype" w:eastAsia="Calibri" w:cs="Tahoma"/>
          <w:iCs/>
          <w:sz w:val="22"/>
          <w:szCs w:val="22"/>
          <w:lang w:val="es-ES" w:eastAsia="es-ES_tradnl"/>
        </w:rPr>
        <w:t xml:space="preserve"> robustece lo anterior el Criterio 3/17 del Instituto Nacional de Transparencia, Acceso a la Información y Protección de Datos Personales que a continuación se cita:</w:t>
      </w:r>
    </w:p>
    <w:p w:rsidRPr="00401946" w:rsidR="007A26F3" w:rsidP="007A26F3" w:rsidRDefault="007A26F3" w14:paraId="04530445"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401946" w:rsidR="007A26F3" w:rsidP="007A26F3" w:rsidRDefault="007A26F3" w14:paraId="7FD77ACB" w14:textId="77777777">
      <w:pPr>
        <w:spacing w:line="360" w:lineRule="auto"/>
        <w:ind w:left="567" w:right="567"/>
        <w:jc w:val="both"/>
        <w:rPr>
          <w:rFonts w:ascii="Palatino Linotype" w:hAnsi="Palatino Linotype" w:eastAsia="Arial" w:cs="Arial"/>
          <w:i/>
          <w:szCs w:val="22"/>
        </w:rPr>
      </w:pPr>
      <w:r w:rsidRPr="00401946">
        <w:rPr>
          <w:rFonts w:ascii="Palatino Linotype" w:hAnsi="Palatino Linotype" w:eastAsia="Arial" w:cs="Arial"/>
          <w:b/>
          <w:i/>
          <w:szCs w:val="22"/>
        </w:rPr>
        <w:t xml:space="preserve">No existe obligación de elaborar </w:t>
      </w:r>
      <w:r w:rsidRPr="00401946">
        <w:rPr>
          <w:rFonts w:ascii="Palatino Linotype" w:hAnsi="Palatino Linotype" w:eastAsia="Arial" w:cs="Arial"/>
          <w:b/>
          <w:i/>
          <w:spacing w:val="-3"/>
          <w:szCs w:val="22"/>
        </w:rPr>
        <w:t>d</w:t>
      </w:r>
      <w:r w:rsidRPr="00401946">
        <w:rPr>
          <w:rFonts w:ascii="Palatino Linotype" w:hAnsi="Palatino Linotype" w:eastAsia="Arial" w:cs="Arial"/>
          <w:b/>
          <w:i/>
          <w:szCs w:val="22"/>
        </w:rPr>
        <w:t>ocum</w:t>
      </w:r>
      <w:r w:rsidRPr="00401946">
        <w:rPr>
          <w:rFonts w:ascii="Palatino Linotype" w:hAnsi="Palatino Linotype" w:eastAsia="Arial" w:cs="Arial"/>
          <w:b/>
          <w:i/>
          <w:spacing w:val="1"/>
          <w:szCs w:val="22"/>
        </w:rPr>
        <w:t>e</w:t>
      </w:r>
      <w:r w:rsidRPr="00401946">
        <w:rPr>
          <w:rFonts w:ascii="Palatino Linotype" w:hAnsi="Palatino Linotype" w:eastAsia="Arial" w:cs="Arial"/>
          <w:b/>
          <w:i/>
          <w:szCs w:val="22"/>
        </w:rPr>
        <w:t>n</w:t>
      </w:r>
      <w:r w:rsidRPr="00401946">
        <w:rPr>
          <w:rFonts w:ascii="Palatino Linotype" w:hAnsi="Palatino Linotype" w:eastAsia="Arial" w:cs="Arial"/>
          <w:b/>
          <w:i/>
          <w:spacing w:val="-1"/>
          <w:szCs w:val="22"/>
        </w:rPr>
        <w:t>t</w:t>
      </w:r>
      <w:r w:rsidRPr="00401946">
        <w:rPr>
          <w:rFonts w:ascii="Palatino Linotype" w:hAnsi="Palatino Linotype" w:eastAsia="Arial" w:cs="Arial"/>
          <w:b/>
          <w:i/>
          <w:szCs w:val="22"/>
        </w:rPr>
        <w:t xml:space="preserve">os </w:t>
      </w:r>
      <w:r w:rsidRPr="00401946">
        <w:rPr>
          <w:rFonts w:ascii="Palatino Linotype" w:hAnsi="Palatino Linotype" w:eastAsia="Arial" w:cs="Arial"/>
          <w:b/>
          <w:i/>
          <w:spacing w:val="-1"/>
          <w:szCs w:val="22"/>
        </w:rPr>
        <w:t xml:space="preserve">ad </w:t>
      </w:r>
      <w:r w:rsidRPr="00401946">
        <w:rPr>
          <w:rFonts w:ascii="Palatino Linotype" w:hAnsi="Palatino Linotype" w:eastAsia="Arial" w:cs="Arial"/>
          <w:b/>
          <w:i/>
          <w:szCs w:val="22"/>
        </w:rPr>
        <w:t>hoc para atender las sol</w:t>
      </w:r>
      <w:r w:rsidRPr="00401946">
        <w:rPr>
          <w:rFonts w:ascii="Palatino Linotype" w:hAnsi="Palatino Linotype" w:eastAsia="Arial" w:cs="Arial"/>
          <w:b/>
          <w:i/>
          <w:spacing w:val="-2"/>
          <w:szCs w:val="22"/>
        </w:rPr>
        <w:t>i</w:t>
      </w:r>
      <w:r w:rsidRPr="00401946">
        <w:rPr>
          <w:rFonts w:ascii="Palatino Linotype" w:hAnsi="Palatino Linotype" w:eastAsia="Arial" w:cs="Arial"/>
          <w:b/>
          <w:i/>
          <w:spacing w:val="1"/>
          <w:szCs w:val="22"/>
        </w:rPr>
        <w:t>c</w:t>
      </w:r>
      <w:r w:rsidRPr="00401946">
        <w:rPr>
          <w:rFonts w:ascii="Palatino Linotype" w:hAnsi="Palatino Linotype" w:eastAsia="Arial" w:cs="Arial"/>
          <w:b/>
          <w:i/>
          <w:szCs w:val="22"/>
        </w:rPr>
        <w:t xml:space="preserve">itudes de </w:t>
      </w:r>
      <w:r w:rsidRPr="00401946">
        <w:rPr>
          <w:rFonts w:ascii="Palatino Linotype" w:hAnsi="Palatino Linotype" w:eastAsia="Arial" w:cs="Arial"/>
          <w:b/>
          <w:i/>
          <w:spacing w:val="1"/>
          <w:szCs w:val="22"/>
        </w:rPr>
        <w:t>ac</w:t>
      </w:r>
      <w:r w:rsidRPr="00401946">
        <w:rPr>
          <w:rFonts w:ascii="Palatino Linotype" w:hAnsi="Palatino Linotype" w:eastAsia="Arial" w:cs="Arial"/>
          <w:b/>
          <w:i/>
          <w:spacing w:val="-1"/>
          <w:szCs w:val="22"/>
        </w:rPr>
        <w:t>c</w:t>
      </w:r>
      <w:r w:rsidRPr="00401946">
        <w:rPr>
          <w:rFonts w:ascii="Palatino Linotype" w:hAnsi="Palatino Linotype" w:eastAsia="Arial" w:cs="Arial"/>
          <w:b/>
          <w:i/>
          <w:spacing w:val="1"/>
          <w:szCs w:val="22"/>
        </w:rPr>
        <w:t>es</w:t>
      </w:r>
      <w:r w:rsidRPr="00401946">
        <w:rPr>
          <w:rFonts w:ascii="Palatino Linotype" w:hAnsi="Palatino Linotype" w:eastAsia="Arial" w:cs="Arial"/>
          <w:b/>
          <w:i/>
          <w:szCs w:val="22"/>
        </w:rPr>
        <w:t>o a la informa</w:t>
      </w:r>
      <w:r w:rsidRPr="00401946">
        <w:rPr>
          <w:rFonts w:ascii="Palatino Linotype" w:hAnsi="Palatino Linotype" w:eastAsia="Arial" w:cs="Arial"/>
          <w:b/>
          <w:i/>
          <w:spacing w:val="1"/>
          <w:szCs w:val="22"/>
        </w:rPr>
        <w:t>c</w:t>
      </w:r>
      <w:r w:rsidRPr="00401946">
        <w:rPr>
          <w:rFonts w:ascii="Palatino Linotype" w:hAnsi="Palatino Linotype" w:eastAsia="Arial" w:cs="Arial"/>
          <w:b/>
          <w:i/>
          <w:szCs w:val="22"/>
        </w:rPr>
        <w:t>ió</w:t>
      </w:r>
      <w:r w:rsidRPr="00401946">
        <w:rPr>
          <w:rFonts w:ascii="Palatino Linotype" w:hAnsi="Palatino Linotype" w:eastAsia="Arial" w:cs="Arial"/>
          <w:b/>
          <w:i/>
          <w:spacing w:val="-2"/>
          <w:szCs w:val="22"/>
        </w:rPr>
        <w:t>n</w:t>
      </w:r>
      <w:r w:rsidRPr="00401946">
        <w:rPr>
          <w:rFonts w:ascii="Palatino Linotype" w:hAnsi="Palatino Linotype" w:eastAsia="Arial" w:cs="Arial"/>
          <w:b/>
          <w:i/>
          <w:szCs w:val="22"/>
        </w:rPr>
        <w:t xml:space="preserve">. </w:t>
      </w:r>
      <w:r w:rsidRPr="00401946">
        <w:rPr>
          <w:rFonts w:ascii="Palatino Linotype" w:hAnsi="Palatino Linotype" w:eastAsia="Arial" w:cs="Arial"/>
          <w:i/>
          <w:spacing w:val="18"/>
          <w:szCs w:val="22"/>
        </w:rPr>
        <w:t>L</w:t>
      </w:r>
      <w:r w:rsidRPr="00401946">
        <w:rPr>
          <w:rFonts w:ascii="Palatino Linotype" w:hAnsi="Palatino Linotype" w:eastAsia="Arial" w:cs="Arial"/>
          <w:i/>
          <w:spacing w:val="-1"/>
          <w:szCs w:val="22"/>
        </w:rPr>
        <w:t xml:space="preserve">os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rt</w:t>
      </w:r>
      <w:r w:rsidRPr="00401946">
        <w:rPr>
          <w:rFonts w:ascii="Palatino Linotype" w:hAnsi="Palatino Linotype" w:eastAsia="Arial" w:cs="Arial"/>
          <w:i/>
          <w:spacing w:val="-2"/>
          <w:szCs w:val="22"/>
        </w:rPr>
        <w:t>í</w:t>
      </w:r>
      <w:r w:rsidRPr="00401946">
        <w:rPr>
          <w:rFonts w:ascii="Palatino Linotype" w:hAnsi="Palatino Linotype" w:eastAsia="Arial" w:cs="Arial"/>
          <w:i/>
          <w:szCs w:val="22"/>
        </w:rPr>
        <w:t>c</w:t>
      </w:r>
      <w:r w:rsidRPr="00401946">
        <w:rPr>
          <w:rFonts w:ascii="Palatino Linotype" w:hAnsi="Palatino Linotype" w:eastAsia="Arial" w:cs="Arial"/>
          <w:i/>
          <w:spacing w:val="1"/>
          <w:szCs w:val="22"/>
        </w:rPr>
        <w:t>u</w:t>
      </w:r>
      <w:r w:rsidRPr="00401946">
        <w:rPr>
          <w:rFonts w:ascii="Palatino Linotype" w:hAnsi="Palatino Linotype" w:eastAsia="Arial" w:cs="Arial"/>
          <w:i/>
          <w:szCs w:val="22"/>
        </w:rPr>
        <w:t>los</w:t>
      </w:r>
      <w:r w:rsidRPr="00401946">
        <w:rPr>
          <w:rFonts w:ascii="Palatino Linotype" w:hAnsi="Palatino Linotype" w:eastAsia="Arial" w:cs="Arial"/>
          <w:i/>
          <w:spacing w:val="8"/>
          <w:szCs w:val="22"/>
        </w:rPr>
        <w:t xml:space="preserve"> 129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la </w:t>
      </w:r>
      <w:r w:rsidRPr="00401946">
        <w:rPr>
          <w:rFonts w:ascii="Palatino Linotype" w:hAnsi="Palatino Linotype" w:eastAsia="Arial" w:cs="Arial"/>
          <w:i/>
          <w:spacing w:val="-1"/>
          <w:szCs w:val="22"/>
        </w:rPr>
        <w:t>L</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 xml:space="preserve">y General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w:t>
      </w:r>
      <w:r w:rsidRPr="00401946">
        <w:rPr>
          <w:rFonts w:ascii="Palatino Linotype" w:hAnsi="Palatino Linotype" w:eastAsia="Arial" w:cs="Arial"/>
          <w:i/>
          <w:spacing w:val="2"/>
          <w:szCs w:val="22"/>
        </w:rPr>
        <w:t>T</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a</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s</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cia y Acc</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so a la I</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pacing w:val="-3"/>
          <w:szCs w:val="22"/>
        </w:rPr>
        <w:t>r</w:t>
      </w:r>
      <w:r w:rsidRPr="00401946">
        <w:rPr>
          <w:rFonts w:ascii="Palatino Linotype" w:hAnsi="Palatino Linotype" w:eastAsia="Arial" w:cs="Arial"/>
          <w:i/>
          <w:spacing w:val="1"/>
          <w:szCs w:val="22"/>
        </w:rPr>
        <w:t>ma</w:t>
      </w:r>
      <w:r w:rsidRPr="00401946">
        <w:rPr>
          <w:rFonts w:ascii="Palatino Linotype" w:hAnsi="Palatino Linotype" w:eastAsia="Arial" w:cs="Arial"/>
          <w:i/>
          <w:szCs w:val="22"/>
        </w:rPr>
        <w:t>ci</w:t>
      </w:r>
      <w:r w:rsidRPr="00401946">
        <w:rPr>
          <w:rFonts w:ascii="Palatino Linotype" w:hAnsi="Palatino Linotype" w:eastAsia="Arial" w:cs="Arial"/>
          <w:i/>
          <w:spacing w:val="-2"/>
          <w:szCs w:val="22"/>
        </w:rPr>
        <w:t>ó</w:t>
      </w:r>
      <w:r w:rsidRPr="00401946">
        <w:rPr>
          <w:rFonts w:ascii="Palatino Linotype" w:hAnsi="Palatino Linotype" w:eastAsia="Arial" w:cs="Arial"/>
          <w:i/>
          <w:szCs w:val="22"/>
        </w:rPr>
        <w:t xml:space="preserve">n </w:t>
      </w:r>
      <w:r w:rsidRPr="00401946">
        <w:rPr>
          <w:rFonts w:ascii="Palatino Linotype" w:hAnsi="Palatino Linotype" w:eastAsia="Arial" w:cs="Arial"/>
          <w:i/>
          <w:spacing w:val="-2"/>
          <w:szCs w:val="22"/>
        </w:rPr>
        <w:t>P</w:t>
      </w:r>
      <w:r w:rsidRPr="00401946">
        <w:rPr>
          <w:rFonts w:ascii="Palatino Linotype" w:hAnsi="Palatino Linotype" w:eastAsia="Arial" w:cs="Arial"/>
          <w:i/>
          <w:spacing w:val="1"/>
          <w:szCs w:val="22"/>
        </w:rPr>
        <w:t>úb</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 xml:space="preserve">ca y </w:t>
      </w:r>
      <w:r w:rsidRPr="00401946">
        <w:rPr>
          <w:rFonts w:ascii="Palatino Linotype" w:hAnsi="Palatino Linotype" w:eastAsia="Arial" w:cs="Arial"/>
          <w:i/>
          <w:spacing w:val="8"/>
          <w:szCs w:val="22"/>
        </w:rPr>
        <w:t xml:space="preserve">130, párrafo cuarto,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la </w:t>
      </w:r>
      <w:r w:rsidRPr="00401946">
        <w:rPr>
          <w:rFonts w:ascii="Palatino Linotype" w:hAnsi="Palatino Linotype" w:eastAsia="Arial" w:cs="Arial"/>
          <w:i/>
          <w:spacing w:val="-1"/>
          <w:szCs w:val="22"/>
        </w:rPr>
        <w:t>L</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y Fe</w:t>
      </w:r>
      <w:r w:rsidRPr="00401946">
        <w:rPr>
          <w:rFonts w:ascii="Palatino Linotype" w:hAnsi="Palatino Linotype" w:eastAsia="Arial" w:cs="Arial"/>
          <w:i/>
          <w:spacing w:val="1"/>
          <w:szCs w:val="22"/>
        </w:rPr>
        <w:t>de</w:t>
      </w:r>
      <w:r w:rsidRPr="00401946">
        <w:rPr>
          <w:rFonts w:ascii="Palatino Linotype" w:hAnsi="Palatino Linotype" w:eastAsia="Arial" w:cs="Arial"/>
          <w:i/>
          <w:szCs w:val="22"/>
        </w:rPr>
        <w:t xml:space="preserve">ral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w:t>
      </w:r>
      <w:r w:rsidRPr="00401946">
        <w:rPr>
          <w:rFonts w:ascii="Palatino Linotype" w:hAnsi="Palatino Linotype" w:eastAsia="Arial" w:cs="Arial"/>
          <w:i/>
          <w:spacing w:val="2"/>
          <w:szCs w:val="22"/>
        </w:rPr>
        <w:t>T</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a</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s</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cia y Acc</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so a la I</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pacing w:val="-3"/>
          <w:szCs w:val="22"/>
        </w:rPr>
        <w:t>r</w:t>
      </w:r>
      <w:r w:rsidRPr="00401946">
        <w:rPr>
          <w:rFonts w:ascii="Palatino Linotype" w:hAnsi="Palatino Linotype" w:eastAsia="Arial" w:cs="Arial"/>
          <w:i/>
          <w:spacing w:val="1"/>
          <w:szCs w:val="22"/>
        </w:rPr>
        <w:t>ma</w:t>
      </w:r>
      <w:r w:rsidRPr="00401946">
        <w:rPr>
          <w:rFonts w:ascii="Palatino Linotype" w:hAnsi="Palatino Linotype" w:eastAsia="Arial" w:cs="Arial"/>
          <w:i/>
          <w:szCs w:val="22"/>
        </w:rPr>
        <w:t>ci</w:t>
      </w:r>
      <w:r w:rsidRPr="00401946">
        <w:rPr>
          <w:rFonts w:ascii="Palatino Linotype" w:hAnsi="Palatino Linotype" w:eastAsia="Arial" w:cs="Arial"/>
          <w:i/>
          <w:spacing w:val="-2"/>
          <w:szCs w:val="22"/>
        </w:rPr>
        <w:t>ó</w:t>
      </w:r>
      <w:r w:rsidRPr="00401946">
        <w:rPr>
          <w:rFonts w:ascii="Palatino Linotype" w:hAnsi="Palatino Linotype" w:eastAsia="Arial" w:cs="Arial"/>
          <w:i/>
          <w:szCs w:val="22"/>
        </w:rPr>
        <w:t xml:space="preserve">n </w:t>
      </w:r>
      <w:r w:rsidRPr="00401946">
        <w:rPr>
          <w:rFonts w:ascii="Palatino Linotype" w:hAnsi="Palatino Linotype" w:eastAsia="Arial" w:cs="Arial"/>
          <w:i/>
          <w:spacing w:val="-2"/>
          <w:szCs w:val="22"/>
        </w:rPr>
        <w:lastRenderedPageBreak/>
        <w:t>P</w:t>
      </w:r>
      <w:r w:rsidRPr="00401946">
        <w:rPr>
          <w:rFonts w:ascii="Palatino Linotype" w:hAnsi="Palatino Linotype" w:eastAsia="Arial" w:cs="Arial"/>
          <w:i/>
          <w:spacing w:val="1"/>
          <w:szCs w:val="22"/>
        </w:rPr>
        <w:t>úb</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 xml:space="preserve">ca, </w:t>
      </w:r>
      <w:r w:rsidRPr="00401946">
        <w:rPr>
          <w:rFonts w:ascii="Palatino Linotype" w:hAnsi="Palatino Linotype" w:eastAsia="Arial" w:cs="Arial"/>
          <w:i/>
          <w:spacing w:val="-1"/>
          <w:szCs w:val="22"/>
        </w:rPr>
        <w:t>señalan q</w:t>
      </w:r>
      <w:r w:rsidRPr="00401946">
        <w:rPr>
          <w:rFonts w:ascii="Palatino Linotype" w:hAnsi="Palatino Linotype" w:eastAsia="Arial" w:cs="Arial"/>
          <w:i/>
          <w:spacing w:val="1"/>
          <w:szCs w:val="22"/>
        </w:rPr>
        <w:t>u</w:t>
      </w:r>
      <w:r w:rsidRPr="00401946">
        <w:rPr>
          <w:rFonts w:ascii="Palatino Linotype" w:hAnsi="Palatino Linotype" w:eastAsia="Arial" w:cs="Arial"/>
          <w:i/>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01946">
        <w:rPr>
          <w:rFonts w:ascii="Palatino Linotype" w:hAnsi="Palatino Linotype" w:eastAsia="Arial" w:cs="Arial"/>
          <w:i/>
          <w:spacing w:val="-1"/>
          <w:szCs w:val="22"/>
        </w:rPr>
        <w:t xml:space="preserve"> sin necesidad de</w:t>
      </w:r>
      <w:r w:rsidRPr="00401946">
        <w:rPr>
          <w:rFonts w:ascii="Palatino Linotype" w:hAnsi="Palatino Linotype" w:eastAsia="Arial" w:cs="Arial"/>
          <w:i/>
          <w:spacing w:val="1"/>
          <w:szCs w:val="22"/>
        </w:rPr>
        <w:t xml:space="preserve"> e</w:t>
      </w:r>
      <w:r w:rsidRPr="00401946">
        <w:rPr>
          <w:rFonts w:ascii="Palatino Linotype" w:hAnsi="Palatino Linotype" w:eastAsia="Arial" w:cs="Arial"/>
          <w:i/>
          <w:szCs w:val="22"/>
        </w:rPr>
        <w:t>la</w:t>
      </w:r>
      <w:r w:rsidRPr="00401946">
        <w:rPr>
          <w:rFonts w:ascii="Palatino Linotype" w:hAnsi="Palatino Linotype" w:eastAsia="Arial" w:cs="Arial"/>
          <w:i/>
          <w:spacing w:val="1"/>
          <w:szCs w:val="22"/>
        </w:rPr>
        <w:t>bo</w:t>
      </w:r>
      <w:r w:rsidRPr="00401946">
        <w:rPr>
          <w:rFonts w:ascii="Palatino Linotype" w:hAnsi="Palatino Linotype" w:eastAsia="Arial" w:cs="Arial"/>
          <w:i/>
          <w:szCs w:val="22"/>
        </w:rPr>
        <w:t xml:space="preserve">rar </w:t>
      </w:r>
      <w:r w:rsidRPr="00401946">
        <w:rPr>
          <w:rFonts w:ascii="Palatino Linotype" w:hAnsi="Palatino Linotype" w:eastAsia="Arial" w:cs="Arial"/>
          <w:i/>
          <w:spacing w:val="1"/>
          <w:szCs w:val="22"/>
        </w:rPr>
        <w:t>do</w:t>
      </w:r>
      <w:r w:rsidRPr="00401946">
        <w:rPr>
          <w:rFonts w:ascii="Palatino Linotype" w:hAnsi="Palatino Linotype" w:eastAsia="Arial" w:cs="Arial"/>
          <w:i/>
          <w:spacing w:val="-2"/>
          <w:szCs w:val="22"/>
        </w:rPr>
        <w:t>c</w:t>
      </w:r>
      <w:r w:rsidRPr="00401946">
        <w:rPr>
          <w:rFonts w:ascii="Palatino Linotype" w:hAnsi="Palatino Linotype" w:eastAsia="Arial" w:cs="Arial"/>
          <w:i/>
          <w:spacing w:val="1"/>
          <w:szCs w:val="22"/>
        </w:rPr>
        <w:t>u</w:t>
      </w:r>
      <w:r w:rsidRPr="00401946">
        <w:rPr>
          <w:rFonts w:ascii="Palatino Linotype" w:hAnsi="Palatino Linotype" w:eastAsia="Arial" w:cs="Arial"/>
          <w:i/>
          <w:spacing w:val="-1"/>
          <w:szCs w:val="22"/>
        </w:rPr>
        <w:t>m</w:t>
      </w:r>
      <w:r w:rsidRPr="00401946">
        <w:rPr>
          <w:rFonts w:ascii="Palatino Linotype" w:hAnsi="Palatino Linotype" w:eastAsia="Arial" w:cs="Arial"/>
          <w:i/>
          <w:spacing w:val="1"/>
          <w:szCs w:val="22"/>
        </w:rPr>
        <w:t>en</w:t>
      </w:r>
      <w:r w:rsidRPr="00401946">
        <w:rPr>
          <w:rFonts w:ascii="Palatino Linotype" w:hAnsi="Palatino Linotype" w:eastAsia="Arial" w:cs="Arial"/>
          <w:i/>
          <w:spacing w:val="-2"/>
          <w:szCs w:val="22"/>
        </w:rPr>
        <w:t>t</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 xml:space="preserve">s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d</w:t>
      </w:r>
      <w:r w:rsidRPr="00401946">
        <w:rPr>
          <w:rFonts w:ascii="Palatino Linotype" w:hAnsi="Palatino Linotype" w:eastAsia="Arial" w:cs="Arial"/>
          <w:i/>
          <w:spacing w:val="1"/>
          <w:szCs w:val="22"/>
        </w:rPr>
        <w:t xml:space="preserve"> ho</w:t>
      </w:r>
      <w:r w:rsidRPr="00401946">
        <w:rPr>
          <w:rFonts w:ascii="Palatino Linotype" w:hAnsi="Palatino Linotype" w:eastAsia="Arial" w:cs="Arial"/>
          <w:i/>
          <w:szCs w:val="22"/>
        </w:rPr>
        <w:t xml:space="preserve">c </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 xml:space="preserve">ra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t</w:t>
      </w:r>
      <w:r w:rsidRPr="00401946">
        <w:rPr>
          <w:rFonts w:ascii="Palatino Linotype" w:hAnsi="Palatino Linotype" w:eastAsia="Arial" w:cs="Arial"/>
          <w:i/>
          <w:spacing w:val="-1"/>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pacing w:val="-1"/>
          <w:szCs w:val="22"/>
        </w:rPr>
        <w:t>d</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r l</w:t>
      </w:r>
      <w:r w:rsidRPr="00401946">
        <w:rPr>
          <w:rFonts w:ascii="Palatino Linotype" w:hAnsi="Palatino Linotype" w:eastAsia="Arial" w:cs="Arial"/>
          <w:i/>
          <w:spacing w:val="-2"/>
          <w:szCs w:val="22"/>
        </w:rPr>
        <w:t>a</w:t>
      </w:r>
      <w:r w:rsidRPr="00401946">
        <w:rPr>
          <w:rFonts w:ascii="Palatino Linotype" w:hAnsi="Palatino Linotype" w:eastAsia="Arial" w:cs="Arial"/>
          <w:i/>
          <w:szCs w:val="22"/>
        </w:rPr>
        <w:t>s s</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cit</w:t>
      </w:r>
      <w:r w:rsidRPr="00401946">
        <w:rPr>
          <w:rFonts w:ascii="Palatino Linotype" w:hAnsi="Palatino Linotype" w:eastAsia="Arial" w:cs="Arial"/>
          <w:i/>
          <w:spacing w:val="1"/>
          <w:szCs w:val="22"/>
        </w:rPr>
        <w:t>ude</w:t>
      </w:r>
      <w:r w:rsidRPr="00401946">
        <w:rPr>
          <w:rFonts w:ascii="Palatino Linotype" w:hAnsi="Palatino Linotype" w:eastAsia="Arial" w:cs="Arial"/>
          <w:i/>
          <w:szCs w:val="22"/>
        </w:rPr>
        <w:t xml:space="preserve">s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e i</w:t>
      </w:r>
      <w:r w:rsidRPr="00401946">
        <w:rPr>
          <w:rFonts w:ascii="Palatino Linotype" w:hAnsi="Palatino Linotype" w:eastAsia="Arial" w:cs="Arial"/>
          <w:i/>
          <w:spacing w:val="-2"/>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r</w:t>
      </w:r>
      <w:r w:rsidRPr="00401946">
        <w:rPr>
          <w:rFonts w:ascii="Palatino Linotype" w:hAnsi="Palatino Linotype" w:eastAsia="Arial" w:cs="Arial"/>
          <w:i/>
          <w:spacing w:val="-1"/>
          <w:szCs w:val="22"/>
        </w:rPr>
        <w:t>m</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ció</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w:t>
      </w:r>
    </w:p>
    <w:p w:rsidRPr="00401946" w:rsidR="007A26F3" w:rsidP="007A26F3" w:rsidRDefault="007A26F3" w14:paraId="088EB2A3" w14:textId="77777777">
      <w:pPr>
        <w:spacing w:line="360" w:lineRule="auto"/>
        <w:jc w:val="both"/>
        <w:rPr>
          <w:rFonts w:ascii="Palatino Linotype" w:hAnsi="Palatino Linotype" w:eastAsia="Calibri" w:cs="Tahoma"/>
          <w:sz w:val="22"/>
          <w:szCs w:val="22"/>
          <w:lang w:eastAsia="es-ES_tradnl"/>
        </w:rPr>
      </w:pPr>
    </w:p>
    <w:p w:rsidR="007A26F3" w:rsidP="007A26F3" w:rsidRDefault="007A26F3" w14:paraId="6567D87A" w14:textId="7777777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Por lo que, se concluye que los sujetos obligados únicamente proporcionan los documentos que den cuenta de la información solicitada, como obren en sus archivos, sin tener que elaborarlos a las necesidades del Recurrente</w:t>
      </w:r>
    </w:p>
    <w:p w:rsidR="00DA6417" w:rsidP="00A511BB" w:rsidRDefault="00DA6417" w14:paraId="5BE8A22D" w14:textId="77777777">
      <w:pPr>
        <w:spacing w:line="360" w:lineRule="auto"/>
        <w:jc w:val="both"/>
        <w:rPr>
          <w:rFonts w:ascii="Palatino Linotype" w:hAnsi="Palatino Linotype" w:cs="Tahoma"/>
          <w:b/>
          <w:sz w:val="22"/>
          <w:szCs w:val="22"/>
          <w:lang w:val="es-ES"/>
        </w:rPr>
      </w:pPr>
    </w:p>
    <w:p w:rsidRPr="007A26F3" w:rsidR="007A26F3" w:rsidP="007A26F3" w:rsidRDefault="007A26F3" w14:paraId="06A27ABB" w14:textId="77777777">
      <w:pPr>
        <w:spacing w:line="360" w:lineRule="auto"/>
        <w:jc w:val="both"/>
        <w:rPr>
          <w:rFonts w:ascii="Palatino Linotype" w:hAnsi="Palatino Linotype" w:cs="Tahoma"/>
          <w:sz w:val="22"/>
          <w:szCs w:val="22"/>
          <w:lang w:val="es-ES"/>
        </w:rPr>
      </w:pPr>
      <w:r w:rsidRPr="007A26F3">
        <w:rPr>
          <w:rFonts w:ascii="Palatino Linotype" w:hAnsi="Palatino Linotype" w:cs="Tahoma"/>
          <w:sz w:val="22"/>
          <w:szCs w:val="22"/>
          <w:lang w:val="es-ES"/>
        </w:rPr>
        <w:t>En esa tesitura, al apreciarse que el Recurrente no desea acceder a un soporte documental, sino que el Sujeto Obligado realice un procesamiento y cálculo de la información, una vez realizados, genere un documento que contenga desagregada la información, en apartados específicos; lo cual no resulta exigible, consecuentemente, no resulta dable ordenar su entrega.</w:t>
      </w:r>
    </w:p>
    <w:p w:rsidRPr="007A26F3" w:rsidR="007A26F3" w:rsidP="007A26F3" w:rsidRDefault="007A26F3" w14:paraId="224B1E5E" w14:textId="77777777">
      <w:pPr>
        <w:spacing w:line="360" w:lineRule="auto"/>
        <w:jc w:val="both"/>
        <w:rPr>
          <w:rFonts w:ascii="Palatino Linotype" w:hAnsi="Palatino Linotype" w:cs="Tahoma"/>
          <w:sz w:val="22"/>
          <w:szCs w:val="22"/>
          <w:lang w:val="es-ES"/>
        </w:rPr>
      </w:pPr>
    </w:p>
    <w:p w:rsidRPr="007A26F3" w:rsidR="007A26F3" w:rsidP="007A26F3" w:rsidRDefault="007A26F3" w14:paraId="36D8CC19" w14:textId="77777777">
      <w:pPr>
        <w:spacing w:line="360" w:lineRule="auto"/>
        <w:jc w:val="both"/>
        <w:rPr>
          <w:rFonts w:ascii="Palatino Linotype" w:hAnsi="Palatino Linotype" w:cs="Tahoma"/>
          <w:sz w:val="22"/>
          <w:szCs w:val="22"/>
          <w:lang w:val="es-ES"/>
        </w:rPr>
      </w:pPr>
      <w:r w:rsidRPr="007A26F3">
        <w:rPr>
          <w:rFonts w:ascii="Palatino Linotype" w:hAnsi="Palatino Linotype" w:cs="Tahoma"/>
          <w:sz w:val="22"/>
          <w:szCs w:val="22"/>
          <w:lang w:val="es-ES"/>
        </w:rPr>
        <w:t>Finalmente, con relación a las modalidad de entrega de la información “…usb, sd y cd-rom.” es menester señalar que se encuentran reguladas por el Código Financiero del Estado de México y Municipios en su artículo 148, fracciones III y IV, aplicable al Sujeto Obligado al estar incluido en el Título Cuarto “De los Ingresos de los Municipios”, Capítulo segundo “De los Derechos”, Sección cuarta “De los Derechos por Servicios Prestados por Autoridades Fiscales, Administrativas y de Acceso a la Información Pública”</w:t>
      </w:r>
      <w:r>
        <w:rPr>
          <w:rFonts w:ascii="Palatino Linotype" w:hAnsi="Palatino Linotype" w:cs="Tahoma"/>
          <w:sz w:val="22"/>
          <w:szCs w:val="22"/>
          <w:lang w:val="es-ES"/>
        </w:rPr>
        <w:t>.</w:t>
      </w:r>
    </w:p>
    <w:p w:rsidR="007A26F3" w:rsidP="00A511BB" w:rsidRDefault="007A26F3" w14:paraId="361AADA7" w14:textId="77777777">
      <w:pPr>
        <w:spacing w:line="360" w:lineRule="auto"/>
        <w:jc w:val="both"/>
        <w:rPr>
          <w:rFonts w:ascii="Palatino Linotype" w:hAnsi="Palatino Linotype" w:cs="Tahoma"/>
          <w:b/>
          <w:sz w:val="22"/>
          <w:szCs w:val="22"/>
          <w:lang w:val="es-ES"/>
        </w:rPr>
      </w:pPr>
    </w:p>
    <w:p w:rsidR="007A26F3" w:rsidP="00A511BB" w:rsidRDefault="007A26F3" w14:paraId="3884BFF4" w14:textId="77777777">
      <w:pPr>
        <w:spacing w:line="360" w:lineRule="auto"/>
        <w:jc w:val="both"/>
        <w:rPr>
          <w:rFonts w:ascii="Palatino Linotype" w:hAnsi="Palatino Linotype" w:cs="Tahoma"/>
          <w:sz w:val="22"/>
          <w:szCs w:val="22"/>
          <w:lang w:val="es-ES"/>
        </w:rPr>
      </w:pPr>
      <w:r w:rsidRPr="007A26F3">
        <w:rPr>
          <w:rFonts w:ascii="Palatino Linotype" w:hAnsi="Palatino Linotype" w:cs="Tahoma"/>
          <w:sz w:val="22"/>
          <w:szCs w:val="22"/>
          <w:lang w:val="es-ES"/>
        </w:rPr>
        <w:t xml:space="preserve">Así, se tiene que en el derecho de acceso a la información el cobro por su entrega en medios magnéticos o disco compacto es un derecho que cobra el Estado y sus organismos y su destino es cubrir el gasto público y demás obligaciones a su cargo. No obstante lo anterior, en el caso </w:t>
      </w:r>
      <w:r w:rsidRPr="007A26F3">
        <w:rPr>
          <w:rFonts w:ascii="Palatino Linotype" w:hAnsi="Palatino Linotype" w:cs="Tahoma"/>
          <w:sz w:val="22"/>
          <w:szCs w:val="22"/>
          <w:lang w:val="es-ES"/>
        </w:rPr>
        <w:lastRenderedPageBreak/>
        <w:t>en particular su cobró no resultará procedente para el caso de que el solicitante proporcione el medio en el que requiera le sea entregada la información pública.</w:t>
      </w:r>
    </w:p>
    <w:p w:rsidR="007A26F3" w:rsidP="00A511BB" w:rsidRDefault="007A26F3" w14:paraId="57C4B6C6" w14:textId="77777777">
      <w:pPr>
        <w:spacing w:line="360" w:lineRule="auto"/>
        <w:jc w:val="both"/>
        <w:rPr>
          <w:rFonts w:ascii="Palatino Linotype" w:hAnsi="Palatino Linotype" w:cs="Tahoma"/>
          <w:sz w:val="22"/>
          <w:szCs w:val="22"/>
          <w:lang w:val="es-ES"/>
        </w:rPr>
      </w:pPr>
    </w:p>
    <w:p w:rsidRPr="009100C0" w:rsidR="007A26F3" w:rsidP="007A26F3" w:rsidRDefault="007A26F3" w14:paraId="30A4C08B" w14:textId="77777777">
      <w:pPr>
        <w:spacing w:line="360" w:lineRule="auto"/>
        <w:jc w:val="both"/>
        <w:rPr>
          <w:rFonts w:ascii="Palatino Linotype" w:hAnsi="Palatino Linotype" w:eastAsia="Calibri" w:cs="Tahoma"/>
          <w:b/>
          <w:sz w:val="22"/>
          <w:szCs w:val="22"/>
          <w:lang w:eastAsia="es-ES_tradnl"/>
        </w:rPr>
      </w:pPr>
      <w:r w:rsidRPr="009100C0">
        <w:rPr>
          <w:rFonts w:ascii="Palatino Linotype" w:hAnsi="Palatino Linotype" w:eastAsia="Calibri" w:cs="Tahoma"/>
          <w:b/>
          <w:sz w:val="22"/>
          <w:szCs w:val="22"/>
          <w:lang w:eastAsia="es-ES_tradnl"/>
        </w:rPr>
        <w:t>Versión Pública</w:t>
      </w:r>
    </w:p>
    <w:p w:rsidRPr="009100C0" w:rsidR="007A26F3" w:rsidP="007A26F3" w:rsidRDefault="007A26F3" w14:paraId="3B7B5C94" w14:textId="77777777">
      <w:pPr>
        <w:spacing w:line="360" w:lineRule="auto"/>
        <w:jc w:val="both"/>
        <w:rPr>
          <w:rFonts w:ascii="Palatino Linotype" w:hAnsi="Palatino Linotype"/>
          <w:b/>
          <w:caps/>
          <w:noProof/>
          <w:szCs w:val="22"/>
          <w:lang w:eastAsia="es-MX"/>
        </w:rPr>
      </w:pPr>
    </w:p>
    <w:p w:rsidRPr="00DF36FF" w:rsidR="007A26F3" w:rsidP="007A26F3" w:rsidRDefault="007A26F3" w14:paraId="069B6991" w14:textId="77777777">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iCs/>
          <w:sz w:val="22"/>
          <w:szCs w:val="22"/>
          <w:lang w:val="es-ES"/>
        </w:rPr>
        <w:t xml:space="preserve">Como ya se hizo la referencia, entre los documentos solicitados por el Particular se advierte la existencia de datos personales susceptibles de clasificación como confidencial, además de que se advirtió la existencia de información reservada, pues además de facturas, pólizas de cheque, viene la nómina, por lo que, el Sujeto Obligado deberá elaborar las versiones públicas respectivas, </w:t>
      </w:r>
      <w:r w:rsidRPr="00DF36FF">
        <w:rPr>
          <w:rFonts w:ascii="Palatino Linotype" w:hAnsi="Palatino Linotype" w:cs="Tahoma"/>
          <w:bCs/>
          <w:sz w:val="22"/>
          <w:szCs w:val="22"/>
        </w:rPr>
        <w:t>de conformidad con los artículos 49, fracciones II y VIII, 143, fracción I y 149 de la Ley de Transparencia y Acceso a la Información Pública del Estado de México y Municipios.</w:t>
      </w:r>
    </w:p>
    <w:p w:rsidRPr="00DF36FF" w:rsidR="007A26F3" w:rsidP="007A26F3" w:rsidRDefault="007A26F3" w14:paraId="132DA450"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59055339"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rsidRPr="00DF36FF" w:rsidR="007A26F3" w:rsidP="007A26F3" w:rsidRDefault="007A26F3" w14:paraId="3C569A75"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617051CB"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DF36FF" w:rsidR="007A26F3" w:rsidP="007A26F3" w:rsidRDefault="007A26F3" w14:paraId="2CFECA0A"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4599ADAF"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DF36FF" w:rsidR="007A26F3" w:rsidP="007A26F3" w:rsidRDefault="007A26F3" w14:paraId="33A8FA6D"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749BF7FE"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DF36FF" w:rsidR="007A26F3" w:rsidP="007A26F3" w:rsidRDefault="007A26F3" w14:paraId="1E85C7A8"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0D493F97"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DF36FF" w:rsidR="007A26F3" w:rsidP="007A26F3" w:rsidRDefault="007A26F3" w14:paraId="4E19493D"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3B1B8AA4"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rsidRPr="00DF36FF" w:rsidR="007A26F3" w:rsidP="007A26F3" w:rsidRDefault="007A26F3" w14:paraId="2AA29B7B"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3B3398B9" w14:textId="77777777">
      <w:pPr>
        <w:numPr>
          <w:ilvl w:val="0"/>
          <w:numId w:val="16"/>
        </w:num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rsidRPr="00DF36FF" w:rsidR="007A26F3" w:rsidP="007A26F3" w:rsidRDefault="007A26F3" w14:paraId="4576BF48" w14:textId="77777777">
      <w:pPr>
        <w:numPr>
          <w:ilvl w:val="0"/>
          <w:numId w:val="16"/>
        </w:num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Para la difusión de los datos, se requiera el consentimiento del titular. </w:t>
      </w:r>
    </w:p>
    <w:p w:rsidRPr="00DF36FF" w:rsidR="007A26F3" w:rsidP="007A26F3" w:rsidRDefault="007A26F3" w14:paraId="77951155"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2CC6E477"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w:t>
      </w:r>
      <w:r w:rsidRPr="00DF36FF">
        <w:rPr>
          <w:rFonts w:ascii="Palatino Linotype" w:hAnsi="Palatino Linotype" w:cs="Tahoma"/>
          <w:bCs/>
          <w:iCs/>
          <w:sz w:val="22"/>
          <w:szCs w:val="22"/>
        </w:rPr>
        <w:lastRenderedPageBreak/>
        <w:t xml:space="preserve">(cuando su identidad pueda determinarse directa o indirectamente a través de cualquier documento informativo físico o electrónico), establecida en cualquier formato o modalidad. </w:t>
      </w:r>
    </w:p>
    <w:p w:rsidRPr="00DF36FF" w:rsidR="007A26F3" w:rsidP="007A26F3" w:rsidRDefault="007A26F3" w14:paraId="65376300"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18DDD291"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Además, en el artículo 5° de dicho ordenamiento jurídico, establece que es la Ley aplicable para todo tratamiento de datos personales.</w:t>
      </w:r>
    </w:p>
    <w:p w:rsidRPr="00DF36FF" w:rsidR="007A26F3" w:rsidP="007A26F3" w:rsidRDefault="007A26F3" w14:paraId="10E3B6CE"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0AE8C42C"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DF36FF" w:rsidR="007A26F3" w:rsidP="007A26F3" w:rsidRDefault="007A26F3" w14:paraId="1EBA7C77"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7345A8B6"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DF36FF" w:rsidR="007A26F3" w:rsidP="007A26F3" w:rsidRDefault="007A26F3" w14:paraId="526632E5"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35BB60DF"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w:t>
      </w:r>
      <w:r w:rsidRPr="00DF36FF">
        <w:rPr>
          <w:rFonts w:ascii="Palatino Linotype" w:hAnsi="Palatino Linotype" w:cs="Tahoma"/>
          <w:bCs/>
          <w:iCs/>
          <w:sz w:val="22"/>
          <w:szCs w:val="22"/>
        </w:rPr>
        <w:lastRenderedPageBreak/>
        <w:t>instituciones y es a partir de ahí, en donde las instituciones públicas deben determinar la publicidad de su información.</w:t>
      </w:r>
    </w:p>
    <w:p w:rsidRPr="00DF36FF" w:rsidR="007A26F3" w:rsidP="007A26F3" w:rsidRDefault="007A26F3" w14:paraId="70801124"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7C1E92E0"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Pr="00DF36FF" w:rsidR="007A26F3" w:rsidP="007A26F3" w:rsidRDefault="007A26F3" w14:paraId="3BF5A4DE"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59C2BE7A"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DF36FF" w:rsidR="007A26F3" w:rsidP="007A26F3" w:rsidRDefault="007A26F3" w14:paraId="1F122264"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15BE2887"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DF36FF" w:rsidR="007A26F3" w:rsidP="007A26F3" w:rsidRDefault="007A26F3" w14:paraId="3B25807C"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28BEECCA"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DF36FF" w:rsidR="007A26F3" w:rsidP="007A26F3" w:rsidRDefault="007A26F3" w14:paraId="3F8ECFC2" w14:textId="77777777">
      <w:pPr>
        <w:spacing w:line="360" w:lineRule="auto"/>
        <w:contextualSpacing/>
        <w:jc w:val="both"/>
        <w:rPr>
          <w:rFonts w:ascii="Palatino Linotype" w:hAnsi="Palatino Linotype" w:cs="Tahoma"/>
          <w:bCs/>
          <w:iCs/>
          <w:sz w:val="22"/>
          <w:szCs w:val="22"/>
        </w:rPr>
      </w:pPr>
    </w:p>
    <w:p w:rsidR="007A26F3" w:rsidP="007A26F3" w:rsidRDefault="007A26F3" w14:paraId="64C51F2A" w14:textId="77777777">
      <w:pPr>
        <w:tabs>
          <w:tab w:val="left" w:pos="709"/>
        </w:tabs>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Bajo este esquema, se aprecia que la información ordenada, puede contener información susceptible a clasificar como confidencial; de forma enunciativa más no limitativa; se analiza el </w:t>
      </w:r>
      <w:r w:rsidRPr="00DF36FF">
        <w:rPr>
          <w:rFonts w:ascii="Palatino Linotype" w:hAnsi="Palatino Linotype" w:cs="Tahoma"/>
          <w:b/>
          <w:bCs/>
          <w:iCs/>
          <w:sz w:val="22"/>
          <w:szCs w:val="22"/>
        </w:rPr>
        <w:t>Registro Federal de Contribuyentes</w:t>
      </w:r>
      <w:r>
        <w:rPr>
          <w:rFonts w:ascii="Palatino Linotype" w:hAnsi="Palatino Linotype" w:cs="Tahoma"/>
          <w:bCs/>
          <w:iCs/>
          <w:sz w:val="22"/>
          <w:szCs w:val="22"/>
        </w:rPr>
        <w:t xml:space="preserve"> (RFC),</w:t>
      </w:r>
      <w:r w:rsidRPr="00DF36FF">
        <w:rPr>
          <w:rFonts w:ascii="Palatino Linotype" w:hAnsi="Palatino Linotype" w:cs="Tahoma"/>
          <w:bCs/>
          <w:iCs/>
          <w:sz w:val="22"/>
          <w:szCs w:val="22"/>
        </w:rPr>
        <w:t xml:space="preserve"> </w:t>
      </w:r>
      <w:r w:rsidRPr="00DF36FF">
        <w:rPr>
          <w:rFonts w:ascii="Palatino Linotype" w:hAnsi="Palatino Linotype" w:cs="Tahoma"/>
          <w:b/>
          <w:bCs/>
          <w:iCs/>
          <w:sz w:val="22"/>
          <w:szCs w:val="22"/>
        </w:rPr>
        <w:t>Clave Única de Registro de Población</w:t>
      </w:r>
      <w:r w:rsidR="001E7D3F">
        <w:rPr>
          <w:rFonts w:ascii="Palatino Linotype" w:hAnsi="Palatino Linotype" w:cs="Tahoma"/>
          <w:bCs/>
          <w:iCs/>
          <w:sz w:val="22"/>
          <w:szCs w:val="22"/>
        </w:rPr>
        <w:t xml:space="preserve"> (CURP)</w:t>
      </w:r>
      <w:r w:rsidRPr="00DF36FF">
        <w:rPr>
          <w:rFonts w:ascii="Palatino Linotype" w:hAnsi="Palatino Linotype" w:cs="Tahoma"/>
          <w:bCs/>
          <w:iCs/>
          <w:sz w:val="22"/>
          <w:szCs w:val="22"/>
        </w:rPr>
        <w:t xml:space="preserve">. </w:t>
      </w:r>
    </w:p>
    <w:p w:rsidRPr="00DF36FF" w:rsidR="007A26F3" w:rsidP="007A26F3" w:rsidRDefault="007A26F3" w14:paraId="7949785A" w14:textId="77777777">
      <w:pPr>
        <w:tabs>
          <w:tab w:val="left" w:pos="709"/>
        </w:tabs>
        <w:spacing w:line="360" w:lineRule="auto"/>
        <w:contextualSpacing/>
        <w:jc w:val="both"/>
        <w:rPr>
          <w:rFonts w:ascii="Palatino Linotype" w:hAnsi="Palatino Linotype" w:cs="Tahoma"/>
          <w:bCs/>
          <w:iCs/>
          <w:sz w:val="22"/>
          <w:szCs w:val="22"/>
        </w:rPr>
      </w:pPr>
    </w:p>
    <w:p w:rsidRPr="00DF36FF" w:rsidR="007A26F3" w:rsidP="007A26F3" w:rsidRDefault="007A26F3" w14:paraId="129B1CB1" w14:textId="77777777">
      <w:pPr>
        <w:numPr>
          <w:ilvl w:val="0"/>
          <w:numId w:val="15"/>
        </w:numPr>
        <w:spacing w:line="360" w:lineRule="auto"/>
        <w:contextualSpacing/>
        <w:jc w:val="both"/>
        <w:rPr>
          <w:rFonts w:ascii="Palatino Linotype" w:hAnsi="Palatino Linotype" w:cs="Tahoma"/>
          <w:bCs/>
          <w:iCs/>
          <w:sz w:val="22"/>
          <w:szCs w:val="22"/>
        </w:rPr>
      </w:pPr>
      <w:r w:rsidRPr="00DF36FF">
        <w:rPr>
          <w:rFonts w:ascii="Palatino Linotype" w:hAnsi="Palatino Linotype" w:cs="Tahoma"/>
          <w:b/>
          <w:bCs/>
          <w:iCs/>
          <w:sz w:val="22"/>
          <w:szCs w:val="22"/>
        </w:rPr>
        <w:t xml:space="preserve">Registro Federal de Contribuyentes (RFC) </w:t>
      </w:r>
    </w:p>
    <w:p w:rsidRPr="00DF36FF" w:rsidR="007A26F3" w:rsidP="007A26F3" w:rsidRDefault="007A26F3" w14:paraId="63A87FDA" w14:textId="77777777">
      <w:pPr>
        <w:spacing w:line="360" w:lineRule="auto"/>
        <w:ind w:left="720"/>
        <w:contextualSpacing/>
        <w:jc w:val="both"/>
        <w:rPr>
          <w:rFonts w:ascii="Palatino Linotype" w:hAnsi="Palatino Linotype" w:cs="Tahoma"/>
          <w:bCs/>
          <w:iCs/>
          <w:sz w:val="22"/>
          <w:szCs w:val="22"/>
        </w:rPr>
      </w:pPr>
    </w:p>
    <w:p w:rsidRPr="00DF36FF" w:rsidR="007A26F3" w:rsidP="007A26F3" w:rsidRDefault="007A26F3" w14:paraId="523DA7F5"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DF36FF" w:rsidR="007A26F3" w:rsidP="007A26F3" w:rsidRDefault="007A26F3" w14:paraId="22615313"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0ABCB70E"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Pr="00DF36FF" w:rsidR="007A26F3" w:rsidP="007A26F3" w:rsidRDefault="007A26F3" w14:paraId="04C73B94"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6A4545AD"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DF36FF" w:rsidR="007A26F3" w:rsidP="007A26F3" w:rsidRDefault="007A26F3" w14:paraId="7E8EDE6D"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49F800F8"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Pr="00DF36FF" w:rsidR="007A26F3" w:rsidP="007A26F3" w:rsidRDefault="007A26F3" w14:paraId="4A4A1039"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165D244A"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rsidRPr="00DF36FF" w:rsidR="007A26F3" w:rsidP="007A26F3" w:rsidRDefault="007A26F3" w14:paraId="0E45EC99" w14:textId="77777777">
      <w:pPr>
        <w:spacing w:line="360" w:lineRule="auto"/>
        <w:contextualSpacing/>
        <w:jc w:val="both"/>
        <w:rPr>
          <w:rFonts w:ascii="Palatino Linotype" w:hAnsi="Palatino Linotype" w:cs="Tahoma"/>
          <w:bCs/>
          <w:iCs/>
          <w:sz w:val="22"/>
          <w:szCs w:val="22"/>
        </w:rPr>
      </w:pPr>
    </w:p>
    <w:p w:rsidRPr="006D28A9" w:rsidR="007A26F3" w:rsidP="007A26F3" w:rsidRDefault="007A26F3" w14:paraId="2B926886" w14:textId="77777777">
      <w:pPr>
        <w:spacing w:line="360" w:lineRule="auto"/>
        <w:ind w:left="567" w:right="539"/>
        <w:contextualSpacing/>
        <w:jc w:val="both"/>
        <w:rPr>
          <w:rFonts w:ascii="Palatino Linotype" w:hAnsi="Palatino Linotype" w:cs="Tahoma"/>
          <w:bCs/>
          <w:i/>
          <w:iCs/>
        </w:rPr>
      </w:pPr>
      <w:r w:rsidRPr="006D28A9">
        <w:rPr>
          <w:rFonts w:ascii="Palatino Linotype" w:hAnsi="Palatino Linotype" w:cs="Tahoma"/>
          <w:b/>
          <w:bCs/>
          <w:i/>
          <w:iCs/>
        </w:rPr>
        <w:t>Registro Federal de Contribuyentes (RFC) de personas físicas</w:t>
      </w:r>
      <w:r w:rsidRPr="006D28A9">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rsidRPr="00DF36FF" w:rsidR="007A26F3" w:rsidP="007A26F3" w:rsidRDefault="007A26F3" w14:paraId="2AC0A656" w14:textId="77777777">
      <w:pPr>
        <w:spacing w:line="360" w:lineRule="auto"/>
        <w:contextualSpacing/>
        <w:jc w:val="both"/>
        <w:rPr>
          <w:rFonts w:ascii="Palatino Linotype" w:hAnsi="Palatino Linotype" w:cs="Tahoma"/>
          <w:bCs/>
          <w:i/>
          <w:iCs/>
          <w:sz w:val="22"/>
          <w:szCs w:val="22"/>
        </w:rPr>
      </w:pPr>
    </w:p>
    <w:p w:rsidRPr="00DF36FF" w:rsidR="007A26F3" w:rsidP="007A26F3" w:rsidRDefault="007A26F3" w14:paraId="3BB9F9EC"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De tal suerte, el Registro Federal de Contribuyentes de los servidores públicos no guarda relación con la transparencia de los recursos públicos, así como tampoco con el desempeño laboral que pueda tener una persona, </w:t>
      </w:r>
      <w:r w:rsidRPr="00DF36FF">
        <w:rPr>
          <w:rFonts w:ascii="Palatino Linotype" w:hAnsi="Palatino Linotype" w:cs="Tahoma"/>
          <w:b/>
          <w:bCs/>
          <w:iCs/>
          <w:sz w:val="22"/>
          <w:szCs w:val="22"/>
        </w:rPr>
        <w:t>por lo que constituye un dato personal confidencial al actualizar el supuesto normativo del artículo 143, fracción I de la Ley de Transparencia y Acceso a la Información Pública del Estado de México y Municipios.</w:t>
      </w:r>
    </w:p>
    <w:p w:rsidRPr="00DF36FF" w:rsidR="007A26F3" w:rsidP="007A26F3" w:rsidRDefault="007A26F3" w14:paraId="68B5B3EA"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1DC40867" w14:textId="77777777">
      <w:pPr>
        <w:numPr>
          <w:ilvl w:val="0"/>
          <w:numId w:val="15"/>
        </w:numPr>
        <w:spacing w:line="360" w:lineRule="auto"/>
        <w:contextualSpacing/>
        <w:jc w:val="both"/>
        <w:rPr>
          <w:rFonts w:ascii="Palatino Linotype" w:hAnsi="Palatino Linotype" w:cs="Tahoma"/>
          <w:b/>
          <w:sz w:val="22"/>
          <w:szCs w:val="22"/>
        </w:rPr>
      </w:pPr>
      <w:r w:rsidRPr="00DF36FF">
        <w:rPr>
          <w:rFonts w:ascii="Palatino Linotype" w:hAnsi="Palatino Linotype" w:cs="Tahoma"/>
          <w:b/>
          <w:sz w:val="22"/>
          <w:szCs w:val="22"/>
        </w:rPr>
        <w:lastRenderedPageBreak/>
        <w:t>Clave Única de Registro de Población (CURP).</w:t>
      </w:r>
    </w:p>
    <w:p w:rsidRPr="00DF36FF" w:rsidR="007A26F3" w:rsidP="007A26F3" w:rsidRDefault="007A26F3" w14:paraId="04831C95" w14:textId="77777777">
      <w:pPr>
        <w:spacing w:line="360" w:lineRule="auto"/>
        <w:contextualSpacing/>
        <w:jc w:val="both"/>
        <w:rPr>
          <w:rFonts w:ascii="Palatino Linotype" w:hAnsi="Palatino Linotype" w:cs="Tahoma"/>
          <w:sz w:val="22"/>
          <w:szCs w:val="22"/>
          <w:lang w:eastAsia="es-MX"/>
        </w:rPr>
      </w:pPr>
    </w:p>
    <w:p w:rsidRPr="00DF36FF" w:rsidR="007A26F3" w:rsidP="007A26F3" w:rsidRDefault="007A26F3" w14:paraId="34EC2658"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rsidRPr="00DF36FF" w:rsidR="007A26F3" w:rsidP="007A26F3" w:rsidRDefault="007A26F3" w14:paraId="6287C9DF" w14:textId="77777777">
      <w:pPr>
        <w:spacing w:line="360" w:lineRule="auto"/>
        <w:contextualSpacing/>
        <w:jc w:val="both"/>
        <w:rPr>
          <w:rFonts w:ascii="Palatino Linotype" w:hAnsi="Palatino Linotype" w:cs="Tahoma"/>
          <w:sz w:val="22"/>
          <w:szCs w:val="22"/>
          <w:lang w:eastAsia="es-MX"/>
        </w:rPr>
      </w:pPr>
    </w:p>
    <w:p w:rsidR="007A26F3" w:rsidP="007A26F3" w:rsidRDefault="007A26F3" w14:paraId="0E5849EE"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rsidRPr="00DF36FF" w:rsidR="007A26F3" w:rsidP="007A26F3" w:rsidRDefault="007A26F3" w14:paraId="6C18E1BC" w14:textId="77777777">
      <w:pPr>
        <w:spacing w:line="360" w:lineRule="auto"/>
        <w:contextualSpacing/>
        <w:jc w:val="both"/>
        <w:rPr>
          <w:rFonts w:ascii="Palatino Linotype" w:hAnsi="Palatino Linotype" w:cs="Tahoma"/>
          <w:sz w:val="22"/>
          <w:szCs w:val="22"/>
          <w:lang w:eastAsia="es-MX"/>
        </w:rPr>
      </w:pPr>
    </w:p>
    <w:p w:rsidRPr="00DF36FF" w:rsidR="007A26F3" w:rsidP="007A26F3" w:rsidRDefault="007A26F3" w14:paraId="1198E4EF"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DF36FF" w:rsidR="007A26F3" w:rsidP="007A26F3" w:rsidRDefault="007A26F3" w14:paraId="31934D36" w14:textId="77777777">
      <w:pPr>
        <w:spacing w:line="360" w:lineRule="auto"/>
        <w:contextualSpacing/>
        <w:jc w:val="both"/>
        <w:rPr>
          <w:rFonts w:ascii="Palatino Linotype" w:hAnsi="Palatino Linotype" w:cs="Tahoma"/>
          <w:sz w:val="22"/>
          <w:szCs w:val="22"/>
          <w:lang w:eastAsia="es-MX"/>
        </w:rPr>
      </w:pPr>
    </w:p>
    <w:p w:rsidRPr="00DF36FF" w:rsidR="007A26F3" w:rsidP="007A26F3" w:rsidRDefault="007A26F3" w14:paraId="7B05E6C8"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De conformidad con lo precisado por la propia Secretaría de Gobernación en la dirección </w:t>
      </w:r>
      <w:hyperlink w:history="1" r:id="rId9">
        <w:r w:rsidRPr="00DF36FF">
          <w:rPr>
            <w:rStyle w:val="Hipervnculo"/>
            <w:rFonts w:ascii="Palatino Linotype" w:hAnsi="Palatino Linotype" w:cs="Tahoma"/>
            <w:sz w:val="22"/>
            <w:szCs w:val="22"/>
            <w:lang w:eastAsia="es-MX"/>
          </w:rPr>
          <w:t>https://consultas.curp.gob.mx/CurpSP/html/informacionecurpPS.html</w:t>
        </w:r>
      </w:hyperlink>
      <w:r w:rsidRPr="00DF36FF">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DF36FF">
        <w:rPr>
          <w:rFonts w:ascii="Palatino Linotype" w:hAnsi="Palatino Linotype" w:cs="Tahoma"/>
          <w:b/>
          <w:sz w:val="22"/>
          <w:szCs w:val="22"/>
          <w:lang w:eastAsia="es-MX"/>
        </w:rPr>
        <w:t>se generan a partir de los datos contenidos en el documento probatorio de la identidad</w:t>
      </w:r>
      <w:r w:rsidRPr="00DF36FF">
        <w:rPr>
          <w:rFonts w:ascii="Palatino Linotype" w:hAnsi="Palatino Linotype" w:cs="Tahoma"/>
          <w:sz w:val="22"/>
          <w:szCs w:val="22"/>
          <w:lang w:eastAsia="es-MX"/>
        </w:rPr>
        <w:t xml:space="preserve"> </w:t>
      </w:r>
      <w:r w:rsidRPr="00DF36FF">
        <w:rPr>
          <w:rFonts w:ascii="Palatino Linotype" w:hAnsi="Palatino Linotype" w:cs="Tahoma"/>
          <w:b/>
          <w:sz w:val="22"/>
          <w:szCs w:val="22"/>
          <w:lang w:eastAsia="es-MX"/>
        </w:rPr>
        <w:t xml:space="preserve">del interesado </w:t>
      </w:r>
      <w:r w:rsidRPr="00DF36FF">
        <w:rPr>
          <w:rFonts w:ascii="Palatino Linotype" w:hAnsi="Palatino Linotype" w:cs="Tahoma"/>
          <w:sz w:val="22"/>
          <w:szCs w:val="22"/>
          <w:lang w:eastAsia="es-MX"/>
        </w:rPr>
        <w:t>(acta de nacimiento, carta de naturalización o documento migratorio) de la siguiente forma:</w:t>
      </w:r>
    </w:p>
    <w:p w:rsidRPr="00DF36FF" w:rsidR="007A26F3" w:rsidP="007A26F3" w:rsidRDefault="007A26F3" w14:paraId="2C738284" w14:textId="77777777">
      <w:pPr>
        <w:spacing w:line="360" w:lineRule="auto"/>
        <w:contextualSpacing/>
        <w:jc w:val="both"/>
        <w:rPr>
          <w:rFonts w:ascii="Palatino Linotype" w:hAnsi="Palatino Linotype" w:cs="Tahoma"/>
          <w:sz w:val="22"/>
          <w:szCs w:val="22"/>
          <w:lang w:eastAsia="es-MX"/>
        </w:rPr>
      </w:pPr>
    </w:p>
    <w:p w:rsidRPr="00DF36FF" w:rsidR="007A26F3" w:rsidP="007A26F3" w:rsidRDefault="007A26F3" w14:paraId="6662BF2B"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 • El primero y segundo apellidos, así como al nombre de pila.</w:t>
      </w:r>
    </w:p>
    <w:p w:rsidRPr="00DF36FF" w:rsidR="007A26F3" w:rsidP="007A26F3" w:rsidRDefault="007A26F3" w14:paraId="754CBDD1"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 • La fecha de nacimiento.</w:t>
      </w:r>
    </w:p>
    <w:p w:rsidRPr="00DF36FF" w:rsidR="007A26F3" w:rsidP="007A26F3" w:rsidRDefault="007A26F3" w14:paraId="1C1AFC08"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 • El sexo.</w:t>
      </w:r>
    </w:p>
    <w:p w:rsidRPr="00DF36FF" w:rsidR="007A26F3" w:rsidP="007A26F3" w:rsidRDefault="007A26F3" w14:paraId="5243712F"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lastRenderedPageBreak/>
        <w:t xml:space="preserve"> • La entidad federativa de nacimiento.</w:t>
      </w:r>
    </w:p>
    <w:p w:rsidRPr="00DF36FF" w:rsidR="007A26F3" w:rsidP="007A26F3" w:rsidRDefault="007A26F3" w14:paraId="0059ED59" w14:textId="77777777">
      <w:pPr>
        <w:spacing w:line="360" w:lineRule="auto"/>
        <w:contextualSpacing/>
        <w:jc w:val="both"/>
        <w:rPr>
          <w:rFonts w:ascii="Palatino Linotype" w:hAnsi="Palatino Linotype" w:cs="Tahoma"/>
          <w:sz w:val="22"/>
          <w:szCs w:val="22"/>
          <w:lang w:eastAsia="es-MX"/>
        </w:rPr>
      </w:pPr>
    </w:p>
    <w:p w:rsidRPr="00DF36FF" w:rsidR="007A26F3" w:rsidP="007A26F3" w:rsidRDefault="007A26F3" w14:paraId="14F31792"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Los dos últimos elementos de la Clave Única de Registro de Población evitan la duplicidad de la Clave y garantizan su correcta integración.</w:t>
      </w:r>
    </w:p>
    <w:p w:rsidRPr="00DF36FF" w:rsidR="007A26F3" w:rsidP="007A26F3" w:rsidRDefault="007A26F3" w14:paraId="4CDC0445" w14:textId="77777777">
      <w:pPr>
        <w:spacing w:line="360" w:lineRule="auto"/>
        <w:contextualSpacing/>
        <w:jc w:val="both"/>
        <w:rPr>
          <w:rFonts w:ascii="Palatino Linotype" w:hAnsi="Palatino Linotype" w:cs="Tahoma"/>
          <w:sz w:val="22"/>
          <w:szCs w:val="22"/>
          <w:lang w:eastAsia="es-MX"/>
        </w:rPr>
      </w:pPr>
    </w:p>
    <w:p w:rsidRPr="00DF36FF" w:rsidR="007A26F3" w:rsidP="007A26F3" w:rsidRDefault="007A26F3" w14:paraId="2F9CB72C" w14:textId="77777777">
      <w:pPr>
        <w:spacing w:line="360" w:lineRule="auto"/>
        <w:contextualSpacing/>
        <w:jc w:val="both"/>
        <w:rPr>
          <w:rFonts w:ascii="Palatino Linotype" w:hAnsi="Palatino Linotype" w:cs="Tahoma"/>
          <w:sz w:val="22"/>
          <w:szCs w:val="22"/>
        </w:rPr>
      </w:pPr>
      <w:r w:rsidRPr="00DF36FF">
        <w:rPr>
          <w:rFonts w:ascii="Palatino Linotype" w:hAnsi="Palatino Linotype" w:cs="Tahoma"/>
          <w:sz w:val="22"/>
          <w:szCs w:val="22"/>
        </w:rPr>
        <w:t xml:space="preserve">Como se desprende de lo anterior, la </w:t>
      </w:r>
      <w:r w:rsidRPr="00DF36FF">
        <w:rPr>
          <w:rFonts w:ascii="Palatino Linotype" w:hAnsi="Palatino Linotype" w:cs="Tahoma"/>
          <w:sz w:val="22"/>
          <w:szCs w:val="22"/>
          <w:lang w:eastAsia="es-MX"/>
        </w:rPr>
        <w:t>Clave Única de Registro de Población</w:t>
      </w:r>
      <w:r w:rsidRPr="00DF36FF">
        <w:rPr>
          <w:rFonts w:ascii="Palatino Linotype" w:hAnsi="Palatino Linotype" w:cs="Tahoma"/>
          <w:sz w:val="22"/>
          <w:szCs w:val="22"/>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DF36FF" w:rsidR="007A26F3" w:rsidP="007A26F3" w:rsidRDefault="007A26F3" w14:paraId="2A2BD273" w14:textId="77777777">
      <w:pPr>
        <w:spacing w:line="360" w:lineRule="auto"/>
        <w:contextualSpacing/>
        <w:jc w:val="both"/>
        <w:rPr>
          <w:rFonts w:ascii="Palatino Linotype" w:hAnsi="Palatino Linotype" w:cs="Tahoma"/>
          <w:sz w:val="22"/>
          <w:szCs w:val="22"/>
        </w:rPr>
      </w:pPr>
    </w:p>
    <w:p w:rsidRPr="00DF36FF" w:rsidR="007A26F3" w:rsidP="007A26F3" w:rsidRDefault="007A26F3" w14:paraId="6E3559D8"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Resulta aplicable en la especie, como argumento orientador, el Criterio 3/10, emitido por el Instituto Nacional de Transparencia, Acceso a la Información y Protección de Datos Personales.</w:t>
      </w:r>
    </w:p>
    <w:p w:rsidRPr="00DF36FF" w:rsidR="007A26F3" w:rsidP="007A26F3" w:rsidRDefault="007A26F3" w14:paraId="0FC4AC08" w14:textId="77777777">
      <w:pPr>
        <w:autoSpaceDE w:val="0"/>
        <w:autoSpaceDN w:val="0"/>
        <w:adjustRightInd w:val="0"/>
        <w:spacing w:line="360" w:lineRule="auto"/>
        <w:contextualSpacing/>
        <w:jc w:val="both"/>
        <w:rPr>
          <w:rFonts w:ascii="Palatino Linotype" w:hAnsi="Palatino Linotype" w:eastAsia="Calibri" w:cs="Tahoma"/>
          <w:b/>
          <w:bCs/>
          <w:color w:val="000000"/>
          <w:sz w:val="22"/>
          <w:szCs w:val="22"/>
        </w:rPr>
      </w:pPr>
    </w:p>
    <w:p w:rsidRPr="006D28A9" w:rsidR="007A26F3" w:rsidP="007A26F3" w:rsidRDefault="007A26F3" w14:paraId="07086C6D" w14:textId="77777777">
      <w:pPr>
        <w:autoSpaceDE w:val="0"/>
        <w:autoSpaceDN w:val="0"/>
        <w:adjustRightInd w:val="0"/>
        <w:spacing w:line="360" w:lineRule="auto"/>
        <w:ind w:left="567" w:right="539"/>
        <w:contextualSpacing/>
        <w:jc w:val="both"/>
        <w:rPr>
          <w:rFonts w:ascii="Palatino Linotype" w:hAnsi="Palatino Linotype" w:eastAsia="Calibri" w:cs="Tahoma"/>
          <w:i/>
          <w:color w:val="000000"/>
        </w:rPr>
      </w:pPr>
      <w:r w:rsidRPr="006D28A9">
        <w:rPr>
          <w:rFonts w:ascii="Palatino Linotype" w:hAnsi="Palatino Linotype" w:eastAsia="Calibri" w:cs="Tahoma"/>
          <w:b/>
          <w:bCs/>
          <w:i/>
          <w:color w:val="000000"/>
        </w:rPr>
        <w:t xml:space="preserve">Clave Única de Registro de Población (CURP) es un dato personal confidencial. </w:t>
      </w:r>
      <w:r w:rsidRPr="006D28A9">
        <w:rPr>
          <w:rFonts w:ascii="Palatino Linotype" w:hAnsi="Palatino Linotype" w:eastAsia="Calibri"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Pr="00DF36FF" w:rsidR="007A26F3" w:rsidP="007A26F3" w:rsidRDefault="007A26F3" w14:paraId="693449F1" w14:textId="77777777">
      <w:pPr>
        <w:spacing w:line="360" w:lineRule="auto"/>
        <w:contextualSpacing/>
        <w:jc w:val="both"/>
        <w:rPr>
          <w:rFonts w:ascii="Palatino Linotype" w:hAnsi="Palatino Linotype" w:cs="Tahoma"/>
          <w:sz w:val="22"/>
          <w:szCs w:val="22"/>
        </w:rPr>
      </w:pPr>
    </w:p>
    <w:p w:rsidRPr="00DF36FF" w:rsidR="007A26F3" w:rsidP="007A26F3" w:rsidRDefault="007A26F3" w14:paraId="1605932C" w14:textId="77777777">
      <w:pPr>
        <w:spacing w:line="360" w:lineRule="auto"/>
        <w:contextualSpacing/>
        <w:jc w:val="both"/>
        <w:rPr>
          <w:rFonts w:ascii="Palatino Linotype" w:hAnsi="Palatino Linotype" w:cs="Tahoma"/>
          <w:b/>
          <w:sz w:val="22"/>
          <w:szCs w:val="22"/>
        </w:rPr>
      </w:pPr>
      <w:r w:rsidRPr="00DF36FF">
        <w:rPr>
          <w:rFonts w:ascii="Palatino Linotype" w:hAnsi="Palatino Linotype" w:cs="Tahoma"/>
          <w:sz w:val="22"/>
          <w:szCs w:val="22"/>
        </w:rPr>
        <w:lastRenderedPageBreak/>
        <w:t xml:space="preserve">De acuerdo con lo anterior, </w:t>
      </w:r>
      <w:r w:rsidRPr="00DF36FF">
        <w:rPr>
          <w:rFonts w:ascii="Palatino Linotype" w:hAnsi="Palatino Linotype" w:cs="Tahoma"/>
          <w:b/>
          <w:sz w:val="22"/>
          <w:szCs w:val="22"/>
        </w:rPr>
        <w:t xml:space="preserve">la CURP es un dato que debe clasificarse, por tratarse de un dato personal confidencial, en términos del artículo 143, fracción I de la Ley de Transparencia y Acceso a la Información Pública del Estado de México y Municipios. </w:t>
      </w:r>
    </w:p>
    <w:p w:rsidR="007A26F3" w:rsidP="007A26F3" w:rsidRDefault="007A26F3" w14:paraId="6EEBB2AF" w14:textId="77777777">
      <w:pPr>
        <w:spacing w:line="360" w:lineRule="auto"/>
        <w:contextualSpacing/>
        <w:jc w:val="both"/>
        <w:rPr>
          <w:rFonts w:ascii="Palatino Linotype" w:hAnsi="Palatino Linotype" w:cs="Tahoma"/>
          <w:sz w:val="22"/>
          <w:szCs w:val="22"/>
          <w:lang w:eastAsia="es-MX"/>
        </w:rPr>
      </w:pPr>
    </w:p>
    <w:p w:rsidR="00A511BB" w:rsidP="00A511BB" w:rsidRDefault="00A511BB" w14:paraId="6332CA26" w14:textId="77777777">
      <w:pPr>
        <w:spacing w:line="360" w:lineRule="auto"/>
        <w:jc w:val="both"/>
        <w:rPr>
          <w:rFonts w:ascii="Palatino Linotype" w:hAnsi="Palatino Linotype" w:cs="Tahoma"/>
          <w:b/>
          <w:sz w:val="22"/>
          <w:szCs w:val="22"/>
          <w:lang w:val="es-ES"/>
        </w:rPr>
      </w:pPr>
      <w:r w:rsidRPr="00CB26C0">
        <w:rPr>
          <w:rFonts w:ascii="Palatino Linotype" w:hAnsi="Palatino Linotype" w:cs="Tahoma"/>
          <w:b/>
          <w:sz w:val="22"/>
          <w:szCs w:val="22"/>
          <w:lang w:val="es-ES"/>
        </w:rPr>
        <w:t xml:space="preserve">SEXTO. Decisión. </w:t>
      </w:r>
    </w:p>
    <w:p w:rsidR="00A511BB" w:rsidP="00A511BB" w:rsidRDefault="00A511BB" w14:paraId="2E820745" w14:textId="77777777">
      <w:pPr>
        <w:spacing w:line="360" w:lineRule="auto"/>
        <w:jc w:val="both"/>
        <w:rPr>
          <w:rFonts w:ascii="Palatino Linotype" w:hAnsi="Palatino Linotype" w:cs="Tahoma"/>
          <w:b/>
          <w:sz w:val="22"/>
          <w:szCs w:val="22"/>
          <w:lang w:val="es-ES"/>
        </w:rPr>
      </w:pPr>
    </w:p>
    <w:p w:rsidR="0013455B" w:rsidP="0013455B" w:rsidRDefault="0013455B" w14:paraId="4D5DB862" w14:textId="77777777">
      <w:pPr>
        <w:autoSpaceDE w:val="0"/>
        <w:autoSpaceDN w:val="0"/>
        <w:adjustRightInd w:val="0"/>
        <w:spacing w:line="360" w:lineRule="auto"/>
        <w:ind w:right="49"/>
        <w:jc w:val="both"/>
        <w:rPr>
          <w:rFonts w:ascii="Palatino Linotype" w:hAnsi="Palatino Linotype" w:cs="Arial"/>
          <w:sz w:val="24"/>
          <w:szCs w:val="24"/>
          <w:lang w:val="es-ES"/>
        </w:rPr>
      </w:pPr>
      <w:r w:rsidRPr="009100C0">
        <w:rPr>
          <w:rFonts w:ascii="Palatino Linotype" w:hAnsi="Palatino Linotype" w:cs="Tahoma"/>
          <w:sz w:val="22"/>
          <w:szCs w:val="22"/>
        </w:rPr>
        <w:t>Con fundamento en el artículo 186, fracción III, de la Ley de Transparencia y Acceso a la Información Pública del Estado de México y Municipios, este Instituto considera procedente</w:t>
      </w:r>
      <w:r w:rsidRPr="009100C0">
        <w:rPr>
          <w:rFonts w:ascii="Palatino Linotype" w:hAnsi="Palatino Linotype"/>
          <w:b/>
          <w:sz w:val="22"/>
          <w:szCs w:val="22"/>
        </w:rPr>
        <w:t xml:space="preserve"> </w:t>
      </w:r>
      <w:r w:rsidR="00ED251B">
        <w:rPr>
          <w:rFonts w:ascii="Palatino Linotype" w:hAnsi="Palatino Linotype"/>
          <w:b/>
          <w:sz w:val="22"/>
          <w:szCs w:val="22"/>
        </w:rPr>
        <w:t>MODIFICAR</w:t>
      </w:r>
      <w:r>
        <w:rPr>
          <w:rFonts w:ascii="Palatino Linotype" w:hAnsi="Palatino Linotype"/>
          <w:b/>
          <w:sz w:val="22"/>
          <w:szCs w:val="22"/>
        </w:rPr>
        <w:t xml:space="preserve"> </w:t>
      </w:r>
      <w:r w:rsidRPr="009100C0">
        <w:rPr>
          <w:rFonts w:ascii="Palatino Linotype" w:hAnsi="Palatino Linotype"/>
          <w:sz w:val="22"/>
          <w:szCs w:val="22"/>
        </w:rPr>
        <w:t>la respuesta otorgada por el Sujeto Obligado</w:t>
      </w:r>
      <w:r w:rsidRPr="009100C0">
        <w:rPr>
          <w:rFonts w:ascii="Palatino Linotype" w:hAnsi="Palatino Linotype"/>
          <w:b/>
          <w:sz w:val="22"/>
          <w:szCs w:val="22"/>
        </w:rPr>
        <w:t xml:space="preserve"> </w:t>
      </w:r>
      <w:r w:rsidRPr="009100C0">
        <w:rPr>
          <w:rFonts w:ascii="Palatino Linotype" w:hAnsi="Palatino Linotype"/>
          <w:bCs/>
          <w:sz w:val="22"/>
          <w:szCs w:val="22"/>
        </w:rPr>
        <w:t xml:space="preserve">a la solicitud de información </w:t>
      </w:r>
      <w:r w:rsidRPr="00315D56" w:rsidR="00315D56">
        <w:rPr>
          <w:rFonts w:ascii="Palatino Linotype" w:hAnsi="Palatino Linotype"/>
          <w:b/>
          <w:bCs/>
          <w:sz w:val="22"/>
          <w:szCs w:val="22"/>
        </w:rPr>
        <w:t>00029/AMECAMEC/IP/2022</w:t>
      </w:r>
      <w:r w:rsidRPr="00A224E5">
        <w:rPr>
          <w:rFonts w:ascii="Palatino Linotype" w:hAnsi="Palatino Linotype"/>
          <w:b/>
          <w:bCs/>
          <w:sz w:val="22"/>
          <w:szCs w:val="22"/>
        </w:rPr>
        <w:t>,</w:t>
      </w:r>
      <w:r w:rsidRPr="009100C0">
        <w:rPr>
          <w:rFonts w:ascii="Palatino Linotype" w:hAnsi="Palatino Linotype"/>
          <w:b/>
          <w:bCs/>
          <w:sz w:val="22"/>
          <w:szCs w:val="22"/>
        </w:rPr>
        <w:t xml:space="preserve"> </w:t>
      </w:r>
      <w:r w:rsidRPr="009100C0">
        <w:rPr>
          <w:rFonts w:ascii="Palatino Linotype" w:hAnsi="Palatino Linotype"/>
          <w:sz w:val="22"/>
          <w:szCs w:val="22"/>
        </w:rPr>
        <w:t>por resultar</w:t>
      </w:r>
      <w:r>
        <w:rPr>
          <w:rFonts w:ascii="Palatino Linotype" w:hAnsi="Palatino Linotype"/>
          <w:sz w:val="22"/>
          <w:szCs w:val="22"/>
        </w:rPr>
        <w:t xml:space="preserve"> parcialmente </w:t>
      </w:r>
      <w:r w:rsidRPr="009100C0">
        <w:rPr>
          <w:rFonts w:ascii="Palatino Linotype" w:hAnsi="Palatino Linotype"/>
          <w:sz w:val="22"/>
          <w:szCs w:val="22"/>
        </w:rPr>
        <w:t xml:space="preserve">fundadas las razones o motivos de inconformidad hechos </w:t>
      </w:r>
      <w:r w:rsidRPr="009100C0">
        <w:rPr>
          <w:rFonts w:ascii="Palatino Linotype" w:hAnsi="Palatino Linotype" w:cs="Tahoma"/>
          <w:sz w:val="22"/>
          <w:szCs w:val="22"/>
        </w:rPr>
        <w:t>valer</w:t>
      </w:r>
      <w:r w:rsidRPr="009100C0">
        <w:rPr>
          <w:rFonts w:ascii="Palatino Linotype" w:hAnsi="Palatino Linotype"/>
          <w:sz w:val="22"/>
          <w:szCs w:val="22"/>
        </w:rPr>
        <w:t xml:space="preserve"> por el Recurrente, en el Recurso de Revisión</w:t>
      </w:r>
      <w:r w:rsidRPr="009100C0">
        <w:rPr>
          <w:rFonts w:ascii="Palatino Linotype" w:hAnsi="Palatino Linotype" w:cs="Tahoma"/>
          <w:b/>
          <w:bCs/>
          <w:color w:val="0D0D0D" w:themeColor="text1" w:themeTint="F2"/>
          <w:sz w:val="22"/>
          <w:szCs w:val="22"/>
        </w:rPr>
        <w:t xml:space="preserve"> </w:t>
      </w:r>
      <w:r w:rsidR="00ED251B">
        <w:rPr>
          <w:rFonts w:ascii="Palatino Linotype" w:hAnsi="Palatino Linotype" w:cs="Tahoma"/>
          <w:b/>
          <w:bCs/>
          <w:color w:val="0D0D0D" w:themeColor="text1" w:themeTint="F2"/>
          <w:sz w:val="22"/>
          <w:szCs w:val="22"/>
        </w:rPr>
        <w:t>010</w:t>
      </w:r>
      <w:r w:rsidR="00315D56">
        <w:rPr>
          <w:rFonts w:ascii="Palatino Linotype" w:hAnsi="Palatino Linotype" w:cs="Tahoma"/>
          <w:b/>
          <w:bCs/>
          <w:color w:val="0D0D0D" w:themeColor="text1" w:themeTint="F2"/>
          <w:sz w:val="22"/>
          <w:szCs w:val="22"/>
        </w:rPr>
        <w:t>8</w:t>
      </w:r>
      <w:r w:rsidR="00ED251B">
        <w:rPr>
          <w:rFonts w:ascii="Palatino Linotype" w:hAnsi="Palatino Linotype" w:cs="Tahoma"/>
          <w:b/>
          <w:bCs/>
          <w:color w:val="0D0D0D" w:themeColor="text1" w:themeTint="F2"/>
          <w:sz w:val="22"/>
          <w:szCs w:val="22"/>
        </w:rPr>
        <w:t>6</w:t>
      </w:r>
      <w:r w:rsidRPr="009100C0">
        <w:rPr>
          <w:rFonts w:ascii="Palatino Linotype" w:hAnsi="Palatino Linotype" w:cs="Tahoma"/>
          <w:b/>
          <w:bCs/>
          <w:color w:val="0D0D0D" w:themeColor="text1" w:themeTint="F2"/>
          <w:sz w:val="22"/>
          <w:szCs w:val="22"/>
        </w:rPr>
        <w:t>/INFOEM/IP/RR/202</w:t>
      </w:r>
      <w:r>
        <w:rPr>
          <w:rFonts w:ascii="Palatino Linotype" w:hAnsi="Palatino Linotype" w:cs="Tahoma"/>
          <w:b/>
          <w:bCs/>
          <w:color w:val="0D0D0D" w:themeColor="text1" w:themeTint="F2"/>
          <w:sz w:val="22"/>
          <w:szCs w:val="22"/>
        </w:rPr>
        <w:t>2</w:t>
      </w:r>
      <w:r w:rsidRPr="009100C0">
        <w:rPr>
          <w:rFonts w:ascii="Palatino Linotype" w:hAnsi="Palatino Linotype" w:cs="Tahoma"/>
          <w:b/>
          <w:bCs/>
          <w:color w:val="0D0D0D" w:themeColor="text1" w:themeTint="F2"/>
          <w:sz w:val="22"/>
          <w:szCs w:val="22"/>
        </w:rPr>
        <w:t>,</w:t>
      </w:r>
      <w:r w:rsidRPr="009100C0">
        <w:rPr>
          <w:rFonts w:ascii="Palatino Linotype" w:hAnsi="Palatino Linotype"/>
          <w:sz w:val="22"/>
          <w:szCs w:val="22"/>
        </w:rPr>
        <w:t xml:space="preserve"> en consecuencia procede </w:t>
      </w:r>
      <w:r w:rsidRPr="009100C0">
        <w:rPr>
          <w:rFonts w:ascii="Palatino Linotype" w:hAnsi="Palatino Linotype" w:cs="Tahoma"/>
          <w:b/>
          <w:sz w:val="22"/>
          <w:szCs w:val="22"/>
        </w:rPr>
        <w:t>ORDENAR</w:t>
      </w:r>
      <w:r w:rsidRPr="009100C0">
        <w:rPr>
          <w:rFonts w:ascii="Palatino Linotype" w:hAnsi="Palatino Linotype" w:cs="Tahoma"/>
          <w:sz w:val="22"/>
          <w:szCs w:val="22"/>
        </w:rPr>
        <w:t xml:space="preserve">, </w:t>
      </w:r>
      <w:r w:rsidRPr="009100C0">
        <w:rPr>
          <w:rFonts w:ascii="Palatino Linotype" w:hAnsi="Palatino Linotype" w:cs="Tahoma"/>
          <w:bCs/>
          <w:iCs/>
          <w:sz w:val="22"/>
          <w:szCs w:val="22"/>
          <w:lang w:val="es-ES_tradnl"/>
        </w:rPr>
        <w:t xml:space="preserve">conceda </w:t>
      </w:r>
      <w:r>
        <w:rPr>
          <w:rFonts w:ascii="Palatino Linotype" w:hAnsi="Palatino Linotype" w:cs="Tahoma"/>
          <w:bCs/>
          <w:iCs/>
          <w:sz w:val="22"/>
          <w:szCs w:val="22"/>
          <w:lang w:val="es-ES_tradnl"/>
        </w:rPr>
        <w:t xml:space="preserve">en su caso en versión pública a través del Sistema de Acceso a la Información Mexiquense (SAIMEX) </w:t>
      </w:r>
      <w:r w:rsidRPr="007721C1">
        <w:rPr>
          <w:rFonts w:ascii="Palatino Linotype" w:hAnsi="Palatino Linotype" w:cs="Arial"/>
          <w:sz w:val="24"/>
          <w:szCs w:val="24"/>
        </w:rPr>
        <w:t>correo electrónico, medios magnéticos y CD</w:t>
      </w:r>
      <w:r>
        <w:rPr>
          <w:rFonts w:ascii="Palatino Linotype" w:hAnsi="Palatino Linotype" w:cs="Arial"/>
          <w:sz w:val="24"/>
          <w:szCs w:val="24"/>
        </w:rPr>
        <w:t>-ROM</w:t>
      </w:r>
      <w:r w:rsidRPr="00717D41">
        <w:rPr>
          <w:rFonts w:ascii="Palatino Linotype" w:hAnsi="Palatino Linotype" w:cs="Arial"/>
          <w:sz w:val="24"/>
          <w:szCs w:val="24"/>
          <w:lang w:val="es-ES"/>
        </w:rPr>
        <w:t xml:space="preserve">, el soporte documental </w:t>
      </w:r>
      <w:r w:rsidR="003A08E4">
        <w:rPr>
          <w:rFonts w:ascii="Palatino Linotype" w:hAnsi="Palatino Linotype" w:cs="Arial"/>
          <w:sz w:val="24"/>
          <w:szCs w:val="24"/>
          <w:lang w:val="es-ES"/>
        </w:rPr>
        <w:t>en el que conste lo que se describe a continuación</w:t>
      </w:r>
      <w:r w:rsidRPr="00717D41">
        <w:rPr>
          <w:rFonts w:ascii="Palatino Linotype" w:hAnsi="Palatino Linotype" w:cs="Arial"/>
          <w:sz w:val="24"/>
          <w:szCs w:val="24"/>
          <w:lang w:val="es-ES"/>
        </w:rPr>
        <w:t>:</w:t>
      </w:r>
    </w:p>
    <w:p w:rsidRPr="00717D41" w:rsidR="00315D56" w:rsidP="0013455B" w:rsidRDefault="00315D56" w14:paraId="1F776B09" w14:textId="77777777">
      <w:pPr>
        <w:autoSpaceDE w:val="0"/>
        <w:autoSpaceDN w:val="0"/>
        <w:adjustRightInd w:val="0"/>
        <w:spacing w:line="360" w:lineRule="auto"/>
        <w:ind w:right="49"/>
        <w:jc w:val="both"/>
        <w:rPr>
          <w:rFonts w:ascii="Palatino Linotype" w:hAnsi="Palatino Linotype" w:cs="Arial"/>
          <w:sz w:val="24"/>
          <w:szCs w:val="24"/>
          <w:lang w:val="es-ES"/>
        </w:rPr>
      </w:pPr>
    </w:p>
    <w:p w:rsidRPr="009944B6" w:rsidR="009944B6" w:rsidP="009944B6" w:rsidRDefault="009944B6" w14:paraId="4351ED2B" w14:textId="77777777">
      <w:pPr>
        <w:pStyle w:val="Prrafodelista"/>
        <w:numPr>
          <w:ilvl w:val="0"/>
          <w:numId w:val="25"/>
        </w:numPr>
        <w:tabs>
          <w:tab w:val="left" w:pos="4962"/>
        </w:tabs>
        <w:spacing w:line="360" w:lineRule="auto"/>
        <w:jc w:val="both"/>
        <w:rPr>
          <w:rFonts w:ascii="Palatino Linotype" w:hAnsi="Palatino Linotype" w:cs="Tahoma"/>
          <w:bCs/>
          <w:iCs/>
          <w:szCs w:val="22"/>
          <w:lang w:val="es-ES_tradnl"/>
        </w:rPr>
      </w:pPr>
      <w:r w:rsidRPr="009944B6">
        <w:rPr>
          <w:rFonts w:ascii="Palatino Linotype" w:hAnsi="Palatino Linotype" w:cs="Tahoma"/>
          <w:bCs/>
          <w:iCs/>
          <w:szCs w:val="22"/>
          <w:lang w:val="es-ES_tradnl"/>
        </w:rPr>
        <w:t>Del Ayuntamiento de Amecameca</w:t>
      </w:r>
      <w:r w:rsidR="003A08E4">
        <w:rPr>
          <w:rFonts w:ascii="Palatino Linotype" w:hAnsi="Palatino Linotype" w:cs="Tahoma"/>
          <w:bCs/>
          <w:iCs/>
          <w:szCs w:val="22"/>
          <w:lang w:val="es-ES_tradnl"/>
        </w:rPr>
        <w:t xml:space="preserve"> lo siguiente</w:t>
      </w:r>
      <w:r w:rsidRPr="009944B6">
        <w:rPr>
          <w:rFonts w:ascii="Palatino Linotype" w:hAnsi="Palatino Linotype" w:cs="Tahoma"/>
          <w:bCs/>
          <w:iCs/>
          <w:szCs w:val="22"/>
          <w:lang w:val="es-ES_tradnl"/>
        </w:rPr>
        <w:t>:</w:t>
      </w:r>
    </w:p>
    <w:p w:rsidR="009944B6" w:rsidP="009944B6" w:rsidRDefault="009944B6" w14:paraId="39046D9A" w14:textId="77777777">
      <w:pPr>
        <w:pStyle w:val="Prrafodelista"/>
        <w:numPr>
          <w:ilvl w:val="1"/>
          <w:numId w:val="25"/>
        </w:numPr>
        <w:spacing w:line="360" w:lineRule="auto"/>
        <w:ind w:left="1134"/>
        <w:contextualSpacing w:val="0"/>
        <w:jc w:val="both"/>
        <w:rPr>
          <w:rFonts w:ascii="Palatino Linotype" w:hAnsi="Palatino Linotype" w:cs="Arial"/>
        </w:rPr>
      </w:pPr>
      <w:r w:rsidRPr="008D206F">
        <w:rPr>
          <w:rFonts w:ascii="Palatino Linotype" w:hAnsi="Palatino Linotype" w:cs="Arial"/>
        </w:rPr>
        <w:t>La opinión de no adeudo en el cumplimiento de obligaciones fiscales emitida por el Servicio de Administración Tributaria (SAT);</w:t>
      </w:r>
    </w:p>
    <w:p w:rsidRPr="00717D41" w:rsidR="009944B6" w:rsidP="009944B6" w:rsidRDefault="009944B6" w14:paraId="79ED84C2" w14:textId="77777777">
      <w:pPr>
        <w:pStyle w:val="Prrafodelista"/>
        <w:numPr>
          <w:ilvl w:val="1"/>
          <w:numId w:val="25"/>
        </w:numPr>
        <w:spacing w:line="360" w:lineRule="auto"/>
        <w:ind w:left="1134"/>
        <w:contextualSpacing w:val="0"/>
        <w:jc w:val="both"/>
        <w:rPr>
          <w:rFonts w:ascii="Palatino Linotype" w:hAnsi="Palatino Linotype" w:cs="Arial"/>
        </w:rPr>
      </w:pPr>
      <w:r w:rsidRPr="00717D41">
        <w:rPr>
          <w:rFonts w:ascii="Palatino Linotype" w:hAnsi="Palatino Linotype" w:cs="Arial"/>
        </w:rPr>
        <w:t xml:space="preserve">Retenciones del Impuesto Sobre la Renta por Salarios, Honorarios y Arrendamiento del periodo del 01 de enero de 2019, hasta el 31 de octubre de 2021 </w:t>
      </w:r>
    </w:p>
    <w:p w:rsidR="009944B6" w:rsidP="0013455B" w:rsidRDefault="009944B6" w14:paraId="280B022F" w14:textId="77777777">
      <w:pPr>
        <w:tabs>
          <w:tab w:val="left" w:pos="4962"/>
        </w:tabs>
        <w:spacing w:line="360" w:lineRule="auto"/>
        <w:jc w:val="both"/>
        <w:rPr>
          <w:rFonts w:ascii="Palatino Linotype" w:hAnsi="Palatino Linotype" w:cs="Tahoma"/>
          <w:bCs/>
          <w:iCs/>
          <w:sz w:val="22"/>
          <w:szCs w:val="22"/>
          <w:lang w:val="es-ES_tradnl"/>
        </w:rPr>
      </w:pPr>
    </w:p>
    <w:p w:rsidRPr="009944B6" w:rsidR="0013455B" w:rsidP="009944B6" w:rsidRDefault="009944B6" w14:paraId="495F9AB8" w14:textId="77777777">
      <w:pPr>
        <w:pStyle w:val="Prrafodelista"/>
        <w:numPr>
          <w:ilvl w:val="0"/>
          <w:numId w:val="25"/>
        </w:numPr>
        <w:tabs>
          <w:tab w:val="left" w:pos="4962"/>
        </w:tabs>
        <w:spacing w:line="360" w:lineRule="auto"/>
        <w:jc w:val="both"/>
        <w:rPr>
          <w:rFonts w:ascii="Palatino Linotype" w:hAnsi="Palatino Linotype" w:cs="Tahoma"/>
          <w:bCs/>
          <w:iCs/>
          <w:szCs w:val="22"/>
          <w:lang w:val="es-ES_tradnl"/>
        </w:rPr>
      </w:pPr>
      <w:r w:rsidRPr="009944B6">
        <w:rPr>
          <w:rFonts w:ascii="Palatino Linotype" w:hAnsi="Palatino Linotype" w:cs="Tahoma"/>
          <w:bCs/>
          <w:iCs/>
          <w:szCs w:val="22"/>
          <w:lang w:val="es-ES_tradnl"/>
        </w:rPr>
        <w:t xml:space="preserve">De </w:t>
      </w:r>
      <w:r>
        <w:rPr>
          <w:rFonts w:ascii="Palatino Linotype" w:hAnsi="Palatino Linotype" w:cs="Tahoma"/>
          <w:bCs/>
          <w:iCs/>
          <w:szCs w:val="22"/>
          <w:lang w:val="es-ES_tradnl"/>
        </w:rPr>
        <w:t>sus</w:t>
      </w:r>
      <w:r w:rsidRPr="009944B6">
        <w:rPr>
          <w:rFonts w:ascii="Palatino Linotype" w:hAnsi="Palatino Linotype" w:cs="Tahoma"/>
          <w:bCs/>
          <w:iCs/>
          <w:szCs w:val="22"/>
          <w:lang w:val="es-ES_tradnl"/>
        </w:rPr>
        <w:t xml:space="preserve"> Organismos descentralizados</w:t>
      </w:r>
      <w:r w:rsidR="003A08E4">
        <w:rPr>
          <w:rFonts w:ascii="Palatino Linotype" w:hAnsi="Palatino Linotype" w:cs="Tahoma"/>
          <w:bCs/>
          <w:iCs/>
          <w:szCs w:val="22"/>
          <w:lang w:val="es-ES_tradnl"/>
        </w:rPr>
        <w:t xml:space="preserve"> lo siguiente</w:t>
      </w:r>
      <w:r w:rsidRPr="009944B6">
        <w:rPr>
          <w:rFonts w:ascii="Palatino Linotype" w:hAnsi="Palatino Linotype" w:cs="Tahoma"/>
          <w:bCs/>
          <w:iCs/>
          <w:szCs w:val="22"/>
          <w:lang w:val="es-ES_tradnl"/>
        </w:rPr>
        <w:t>:</w:t>
      </w:r>
    </w:p>
    <w:p w:rsidRPr="00717D41" w:rsidR="0013455B" w:rsidP="009944B6" w:rsidRDefault="0013455B" w14:paraId="73BF4FEB" w14:textId="77777777">
      <w:pPr>
        <w:pStyle w:val="Prrafodelista"/>
        <w:numPr>
          <w:ilvl w:val="1"/>
          <w:numId w:val="25"/>
        </w:numPr>
        <w:spacing w:line="360" w:lineRule="auto"/>
        <w:ind w:left="1276"/>
        <w:contextualSpacing w:val="0"/>
        <w:jc w:val="both"/>
        <w:rPr>
          <w:rFonts w:ascii="Palatino Linotype" w:hAnsi="Palatino Linotype" w:cs="Arial"/>
        </w:rPr>
      </w:pPr>
      <w:r w:rsidRPr="00717D41">
        <w:rPr>
          <w:rFonts w:ascii="Palatino Linotype" w:hAnsi="Palatino Linotype" w:cs="Arial"/>
        </w:rPr>
        <w:t xml:space="preserve">Reportes del aplicativo “Visor de nómina del SAT” por los años 2018, 2019, 2020, y 2021 en sus tres presentaciones: </w:t>
      </w:r>
    </w:p>
    <w:p w:rsidR="009944B6" w:rsidP="009944B6" w:rsidRDefault="0013455B" w14:paraId="0D69EABA" w14:textId="77777777">
      <w:pPr>
        <w:pStyle w:val="Prrafodelista"/>
        <w:numPr>
          <w:ilvl w:val="0"/>
          <w:numId w:val="26"/>
        </w:numPr>
        <w:spacing w:line="360" w:lineRule="auto"/>
        <w:ind w:left="1701"/>
        <w:contextualSpacing w:val="0"/>
        <w:jc w:val="both"/>
        <w:rPr>
          <w:rFonts w:ascii="Palatino Linotype" w:hAnsi="Palatino Linotype" w:cs="Arial"/>
        </w:rPr>
      </w:pPr>
      <w:r w:rsidRPr="009944B6">
        <w:rPr>
          <w:rFonts w:ascii="Palatino Linotype" w:hAnsi="Palatino Linotype" w:cs="Arial"/>
        </w:rPr>
        <w:t xml:space="preserve">Vista anual acumulada. </w:t>
      </w:r>
    </w:p>
    <w:p w:rsidR="009944B6" w:rsidP="009944B6" w:rsidRDefault="0013455B" w14:paraId="335E9AE4" w14:textId="77777777">
      <w:pPr>
        <w:pStyle w:val="Prrafodelista"/>
        <w:numPr>
          <w:ilvl w:val="0"/>
          <w:numId w:val="26"/>
        </w:numPr>
        <w:spacing w:line="360" w:lineRule="auto"/>
        <w:ind w:left="1701"/>
        <w:contextualSpacing w:val="0"/>
        <w:jc w:val="both"/>
        <w:rPr>
          <w:rFonts w:ascii="Palatino Linotype" w:hAnsi="Palatino Linotype" w:cs="Arial"/>
        </w:rPr>
      </w:pPr>
      <w:r w:rsidRPr="009944B6">
        <w:rPr>
          <w:rFonts w:ascii="Palatino Linotype" w:hAnsi="Palatino Linotype" w:cs="Arial"/>
        </w:rPr>
        <w:lastRenderedPageBreak/>
        <w:t xml:space="preserve">Detalle mensual. </w:t>
      </w:r>
    </w:p>
    <w:p w:rsidRPr="009944B6" w:rsidR="0013455B" w:rsidP="009944B6" w:rsidRDefault="0013455B" w14:paraId="4F68F4F1" w14:textId="77777777">
      <w:pPr>
        <w:pStyle w:val="Prrafodelista"/>
        <w:numPr>
          <w:ilvl w:val="0"/>
          <w:numId w:val="26"/>
        </w:numPr>
        <w:spacing w:line="360" w:lineRule="auto"/>
        <w:ind w:left="1701"/>
        <w:contextualSpacing w:val="0"/>
        <w:jc w:val="both"/>
        <w:rPr>
          <w:rFonts w:ascii="Palatino Linotype" w:hAnsi="Palatino Linotype" w:cs="Arial"/>
        </w:rPr>
      </w:pPr>
      <w:r w:rsidRPr="009944B6">
        <w:rPr>
          <w:rFonts w:ascii="Palatino Linotype" w:hAnsi="Palatino Linotype" w:cs="Arial"/>
        </w:rPr>
        <w:t xml:space="preserve">Detalle diferencias sueldos y salarios. </w:t>
      </w:r>
    </w:p>
    <w:p w:rsidRPr="008D206F" w:rsidR="0013455B" w:rsidP="009944B6" w:rsidRDefault="0013455B" w14:paraId="0889B2C5" w14:textId="77777777">
      <w:pPr>
        <w:pStyle w:val="Prrafodelista"/>
        <w:numPr>
          <w:ilvl w:val="1"/>
          <w:numId w:val="25"/>
        </w:numPr>
        <w:spacing w:line="360" w:lineRule="auto"/>
        <w:ind w:left="1276"/>
        <w:contextualSpacing w:val="0"/>
        <w:jc w:val="both"/>
        <w:rPr>
          <w:rFonts w:ascii="Palatino Linotype" w:hAnsi="Palatino Linotype" w:cs="Arial"/>
        </w:rPr>
      </w:pPr>
      <w:r w:rsidRPr="008D206F">
        <w:rPr>
          <w:rFonts w:ascii="Palatino Linotype" w:hAnsi="Palatino Linotype" w:cs="Arial"/>
        </w:rPr>
        <w:t>La opinión de no adeudo en el cumplimiento de obligaciones fiscales emitida por el Servicio de Administración Tributaria (SAT);</w:t>
      </w:r>
    </w:p>
    <w:p w:rsidRPr="00717D41" w:rsidR="0013455B" w:rsidP="009944B6" w:rsidRDefault="0013455B" w14:paraId="259BF4A7" w14:textId="77777777">
      <w:pPr>
        <w:pStyle w:val="Prrafodelista"/>
        <w:numPr>
          <w:ilvl w:val="1"/>
          <w:numId w:val="25"/>
        </w:numPr>
        <w:spacing w:line="360" w:lineRule="auto"/>
        <w:ind w:left="1276"/>
        <w:contextualSpacing w:val="0"/>
        <w:jc w:val="both"/>
        <w:rPr>
          <w:rFonts w:ascii="Palatino Linotype" w:hAnsi="Palatino Linotype" w:cs="Arial"/>
        </w:rPr>
      </w:pPr>
      <w:r w:rsidRPr="00717D41">
        <w:rPr>
          <w:rFonts w:ascii="Palatino Linotype" w:hAnsi="Palatino Linotype" w:cs="Arial"/>
        </w:rPr>
        <w:t xml:space="preserve">Retenciones del Impuesto Sobre la Renta por Salarios, Honorarios y Arrendamiento del periodo del 01 de enero de 2019, hasta el 31 de octubre de 2021 </w:t>
      </w:r>
    </w:p>
    <w:p w:rsidR="0013455B" w:rsidP="0013455B" w:rsidRDefault="0013455B" w14:paraId="6B057046" w14:textId="77777777">
      <w:pPr>
        <w:tabs>
          <w:tab w:val="left" w:pos="4962"/>
        </w:tabs>
        <w:spacing w:line="360" w:lineRule="auto"/>
        <w:jc w:val="both"/>
        <w:rPr>
          <w:rFonts w:ascii="Palatino Linotype" w:hAnsi="Palatino Linotype" w:cs="Tahoma"/>
          <w:bCs/>
          <w:iCs/>
          <w:sz w:val="22"/>
          <w:szCs w:val="22"/>
          <w:lang w:val="es-ES_tradnl"/>
        </w:rPr>
      </w:pPr>
    </w:p>
    <w:p w:rsidRPr="00F55329" w:rsidR="0013455B" w:rsidP="0013455B" w:rsidRDefault="0013455B" w14:paraId="4AB123D1" w14:textId="77777777">
      <w:pPr>
        <w:autoSpaceDE w:val="0"/>
        <w:autoSpaceDN w:val="0"/>
        <w:adjustRightInd w:val="0"/>
        <w:spacing w:line="360" w:lineRule="auto"/>
        <w:jc w:val="both"/>
        <w:rPr>
          <w:rFonts w:ascii="Palatino Linotype" w:hAnsi="Palatino Linotype" w:eastAsia="Calibri" w:cs="Tahoma"/>
          <w:bCs/>
          <w:iCs/>
          <w:color w:val="000000"/>
          <w:sz w:val="22"/>
          <w:szCs w:val="22"/>
          <w:lang w:eastAsia="en-US"/>
        </w:rPr>
      </w:pPr>
      <w:r w:rsidRPr="007D6750">
        <w:rPr>
          <w:rFonts w:ascii="Palatino Linotype" w:hAnsi="Palatino Linotype" w:cs="Tahoma"/>
          <w:sz w:val="22"/>
          <w:szCs w:val="22"/>
          <w:lang w:val="es-ES"/>
        </w:rPr>
        <w:t>Junto con las versiones públicas que se entreguen, se deberá proporcionar el Acuerdo de Clasificación donde el Comité de Transparencia, confirme la eliminación de los datos y documentos confidenciales, de conformidad con los art</w:t>
      </w:r>
      <w:r>
        <w:rPr>
          <w:rFonts w:ascii="Palatino Linotype" w:hAnsi="Palatino Linotype" w:cs="Tahoma"/>
          <w:sz w:val="22"/>
          <w:szCs w:val="22"/>
          <w:lang w:val="es-ES"/>
        </w:rPr>
        <w:t>ículos 49, fracciones II y VIII</w:t>
      </w:r>
      <w:r w:rsidRPr="007D6750">
        <w:rPr>
          <w:rFonts w:ascii="Palatino Linotype" w:hAnsi="Palatino Linotype" w:cs="Tahoma"/>
          <w:sz w:val="22"/>
          <w:szCs w:val="22"/>
          <w:lang w:val="es-ES"/>
        </w:rPr>
        <w:t xml:space="preserve"> </w:t>
      </w:r>
      <w:r w:rsidRPr="00F55329">
        <w:rPr>
          <w:rFonts w:ascii="Palatino Linotype" w:hAnsi="Palatino Linotype" w:eastAsia="Calibri" w:cs="Tahoma"/>
          <w:bCs/>
          <w:iCs/>
          <w:color w:val="000000"/>
          <w:sz w:val="22"/>
          <w:szCs w:val="22"/>
          <w:lang w:eastAsia="en-US"/>
        </w:rPr>
        <w:t>y 132, fracción II de la Ley de Transparencia y Acceso a la Información Pública del Estado de México y Municipios.</w:t>
      </w:r>
    </w:p>
    <w:p w:rsidR="0013455B" w:rsidP="0013455B" w:rsidRDefault="0013455B" w14:paraId="08B7E278" w14:textId="77777777">
      <w:pPr>
        <w:spacing w:line="360" w:lineRule="auto"/>
        <w:ind w:right="-93"/>
        <w:jc w:val="both"/>
        <w:rPr>
          <w:rFonts w:ascii="Palatino Linotype" w:hAnsi="Palatino Linotype" w:eastAsia="Calibri" w:cs="Tahoma"/>
          <w:bCs/>
          <w:sz w:val="22"/>
          <w:szCs w:val="22"/>
          <w:lang w:eastAsia="en-US"/>
        </w:rPr>
      </w:pPr>
    </w:p>
    <w:p w:rsidR="0013455B" w:rsidP="0013455B" w:rsidRDefault="0013455B" w14:paraId="1177CB65" w14:textId="77777777">
      <w:pPr>
        <w:spacing w:line="360" w:lineRule="auto"/>
        <w:ind w:right="-93"/>
        <w:jc w:val="both"/>
        <w:rPr>
          <w:rFonts w:ascii="Palatino Linotype" w:hAnsi="Palatino Linotype" w:eastAsia="Calibri" w:cs="Tahoma"/>
          <w:bCs/>
          <w:sz w:val="22"/>
          <w:szCs w:val="22"/>
          <w:lang w:eastAsia="en-US"/>
        </w:rPr>
      </w:pPr>
      <w:r w:rsidRPr="0013455B">
        <w:rPr>
          <w:rFonts w:ascii="Palatino Linotype" w:hAnsi="Palatino Linotype" w:eastAsia="Calibri" w:cs="Tahoma"/>
          <w:bCs/>
          <w:sz w:val="22"/>
          <w:szCs w:val="22"/>
          <w:lang w:eastAsia="en-US"/>
        </w:rPr>
        <w:t xml:space="preserve">Para la expedición de la información en medios magnéticos (con costo) y CD-ROM (con costo), el Sujeto Obligado deberá informar al Recurrente mediante SAIMEX el procedimiento exacto y detallado para su obtención (lugar, días, horas hábiles, etc.), debiendo acreditar El Sujeto Obligado la entrega de la información al Recurrente. Para el caso de que el </w:t>
      </w:r>
      <w:r w:rsidRPr="0013455B" w:rsidR="001A6CBB">
        <w:rPr>
          <w:rFonts w:ascii="Palatino Linotype" w:hAnsi="Palatino Linotype" w:eastAsia="Calibri" w:cs="Tahoma"/>
          <w:bCs/>
          <w:sz w:val="22"/>
          <w:szCs w:val="22"/>
          <w:lang w:eastAsia="en-US"/>
        </w:rPr>
        <w:t xml:space="preserve">Particular </w:t>
      </w:r>
      <w:r w:rsidRPr="0013455B">
        <w:rPr>
          <w:rFonts w:ascii="Palatino Linotype" w:hAnsi="Palatino Linotype" w:eastAsia="Calibri" w:cs="Tahoma"/>
          <w:bCs/>
          <w:sz w:val="22"/>
          <w:szCs w:val="22"/>
          <w:lang w:eastAsia="en-US"/>
        </w:rPr>
        <w:t>proporcione a la autoridad municipal el medio magnético o CD-ROM en el que requiera le sea entregada la información pública no habrá costo que cubrir.</w:t>
      </w:r>
    </w:p>
    <w:p w:rsidR="0013455B" w:rsidP="0013455B" w:rsidRDefault="0013455B" w14:paraId="3BC2A534" w14:textId="77777777">
      <w:pPr>
        <w:spacing w:line="360" w:lineRule="auto"/>
        <w:ind w:right="-93"/>
        <w:jc w:val="both"/>
        <w:rPr>
          <w:rFonts w:ascii="Palatino Linotype" w:hAnsi="Palatino Linotype" w:eastAsia="Calibri" w:cs="Tahoma"/>
          <w:bCs/>
          <w:sz w:val="22"/>
          <w:szCs w:val="22"/>
          <w:lang w:eastAsia="en-US"/>
        </w:rPr>
      </w:pPr>
    </w:p>
    <w:p w:rsidR="0013455B" w:rsidP="0013455B" w:rsidRDefault="0013455B" w14:paraId="3548889E" w14:textId="77777777">
      <w:pPr>
        <w:spacing w:line="360" w:lineRule="auto"/>
        <w:ind w:right="-93"/>
        <w:jc w:val="both"/>
        <w:rPr>
          <w:rFonts w:ascii="Palatino Linotype" w:hAnsi="Palatino Linotype" w:eastAsia="Calibri" w:cs="Tahoma"/>
          <w:bCs/>
          <w:sz w:val="22"/>
          <w:szCs w:val="22"/>
          <w:lang w:eastAsia="en-US"/>
        </w:rPr>
      </w:pPr>
      <w:r w:rsidRPr="0013455B">
        <w:rPr>
          <w:rFonts w:ascii="Palatino Linotype" w:hAnsi="Palatino Linotype" w:eastAsia="Calibri" w:cs="Tahoma"/>
          <w:bCs/>
          <w:sz w:val="22"/>
          <w:szCs w:val="22"/>
          <w:lang w:eastAsia="en-US"/>
        </w:rPr>
        <w:t xml:space="preserve">Respecto del </w:t>
      </w:r>
      <w:r w:rsidR="001A6CBB">
        <w:rPr>
          <w:rFonts w:ascii="Palatino Linotype" w:hAnsi="Palatino Linotype" w:eastAsia="Calibri" w:cs="Tahoma"/>
          <w:bCs/>
          <w:sz w:val="22"/>
          <w:szCs w:val="22"/>
          <w:lang w:eastAsia="en-US"/>
        </w:rPr>
        <w:t xml:space="preserve">punto </w:t>
      </w:r>
      <w:r w:rsidR="00315D56">
        <w:rPr>
          <w:rFonts w:ascii="Palatino Linotype" w:hAnsi="Palatino Linotype" w:eastAsia="Calibri" w:cs="Tahoma"/>
          <w:bCs/>
          <w:sz w:val="22"/>
          <w:szCs w:val="22"/>
          <w:lang w:eastAsia="en-US"/>
        </w:rPr>
        <w:t>2.</w:t>
      </w:r>
      <w:r w:rsidR="001A6CBB">
        <w:rPr>
          <w:rFonts w:ascii="Palatino Linotype" w:hAnsi="Palatino Linotype" w:eastAsia="Calibri" w:cs="Tahoma"/>
          <w:bCs/>
          <w:sz w:val="22"/>
          <w:szCs w:val="22"/>
          <w:lang w:eastAsia="en-US"/>
        </w:rPr>
        <w:t>1</w:t>
      </w:r>
      <w:r w:rsidRPr="0013455B">
        <w:rPr>
          <w:rFonts w:ascii="Palatino Linotype" w:hAnsi="Palatino Linotype" w:eastAsia="Calibri" w:cs="Tahoma"/>
          <w:bCs/>
          <w:sz w:val="22"/>
          <w:szCs w:val="22"/>
          <w:lang w:eastAsia="en-US"/>
        </w:rPr>
        <w:t>, en el supuesto que una vez agotada la búsqueda de la información, se acredite no contar con la misma, deberá hacerlo del conocimiento del Recurrente, en términos del artículo 19 de la Ley de Transparencia local.</w:t>
      </w:r>
    </w:p>
    <w:p w:rsidR="0013455B" w:rsidP="0013455B" w:rsidRDefault="0013455B" w14:paraId="3AADEF3D" w14:textId="77777777">
      <w:pPr>
        <w:spacing w:line="360" w:lineRule="auto"/>
        <w:ind w:right="-93"/>
        <w:jc w:val="both"/>
        <w:rPr>
          <w:rFonts w:ascii="Palatino Linotype" w:hAnsi="Palatino Linotype" w:eastAsia="Calibri" w:cs="Tahoma"/>
          <w:bCs/>
          <w:sz w:val="22"/>
          <w:szCs w:val="22"/>
          <w:lang w:eastAsia="en-US"/>
        </w:rPr>
      </w:pPr>
    </w:p>
    <w:p w:rsidR="0013455B" w:rsidP="0013455B" w:rsidRDefault="0013455B" w14:paraId="3DBFC8D5" w14:textId="77777777">
      <w:pPr>
        <w:spacing w:line="360" w:lineRule="auto"/>
        <w:jc w:val="both"/>
        <w:rPr>
          <w:rFonts w:ascii="Palatino Linotype" w:hAnsi="Palatino Linotype" w:cs="Tahoma"/>
          <w:b/>
          <w:bCs/>
          <w:sz w:val="22"/>
          <w:szCs w:val="22"/>
        </w:rPr>
      </w:pPr>
      <w:r w:rsidRPr="009100C0">
        <w:rPr>
          <w:rFonts w:ascii="Palatino Linotype" w:hAnsi="Palatino Linotype" w:cs="Tahoma"/>
          <w:b/>
          <w:bCs/>
          <w:sz w:val="22"/>
          <w:szCs w:val="22"/>
        </w:rPr>
        <w:t>Términos de la Resolución para el Recurrente:</w:t>
      </w:r>
    </w:p>
    <w:p w:rsidRPr="009100C0" w:rsidR="0013455B" w:rsidP="0013455B" w:rsidRDefault="0013455B" w14:paraId="01886CC6" w14:textId="77777777">
      <w:pPr>
        <w:spacing w:line="360" w:lineRule="auto"/>
        <w:jc w:val="both"/>
        <w:rPr>
          <w:rFonts w:ascii="Palatino Linotype" w:hAnsi="Palatino Linotype" w:cs="Tahoma"/>
          <w:b/>
          <w:bCs/>
          <w:sz w:val="22"/>
          <w:szCs w:val="22"/>
        </w:rPr>
      </w:pPr>
    </w:p>
    <w:p w:rsidRPr="009100C0" w:rsidR="0013455B" w:rsidP="0013455B" w:rsidRDefault="0013455B" w14:paraId="69C18FCA" w14:textId="77777777">
      <w:pPr>
        <w:spacing w:line="360" w:lineRule="auto"/>
        <w:jc w:val="both"/>
        <w:rPr>
          <w:rFonts w:ascii="Palatino Linotype" w:hAnsi="Palatino Linotype" w:cs="Tahoma"/>
          <w:bCs/>
          <w:sz w:val="22"/>
          <w:szCs w:val="22"/>
          <w:u w:val="single"/>
        </w:rPr>
      </w:pPr>
      <w:r w:rsidRPr="009100C0">
        <w:rPr>
          <w:rFonts w:ascii="Palatino Linotype" w:hAnsi="Palatino Linotype" w:cs="Tahoma"/>
          <w:bCs/>
          <w:sz w:val="22"/>
          <w:szCs w:val="22"/>
          <w:u w:val="single"/>
        </w:rPr>
        <w:lastRenderedPageBreak/>
        <w:t xml:space="preserve">Se hace del conocimiento del Recurrente la determinación de este </w:t>
      </w:r>
      <w:r>
        <w:rPr>
          <w:rFonts w:ascii="Palatino Linotype" w:hAnsi="Palatino Linotype" w:cs="Tahoma"/>
          <w:bCs/>
          <w:sz w:val="22"/>
          <w:szCs w:val="22"/>
          <w:u w:val="single"/>
        </w:rPr>
        <w:t>Organismo</w:t>
      </w:r>
      <w:r w:rsidRPr="009100C0">
        <w:rPr>
          <w:rFonts w:ascii="Palatino Linotype" w:hAnsi="Palatino Linotype" w:cs="Tahoma"/>
          <w:bCs/>
          <w:sz w:val="22"/>
          <w:szCs w:val="22"/>
          <w:u w:val="single"/>
        </w:rPr>
        <w:t xml:space="preserve"> Garante a su inconformidad:</w:t>
      </w:r>
    </w:p>
    <w:p w:rsidR="0013455B" w:rsidP="0013455B" w:rsidRDefault="0013455B" w14:paraId="41B62A80" w14:textId="77777777">
      <w:pPr>
        <w:spacing w:line="360" w:lineRule="auto"/>
        <w:jc w:val="both"/>
        <w:rPr>
          <w:rFonts w:ascii="Palatino Linotype" w:hAnsi="Palatino Linotype" w:cs="Tahoma"/>
          <w:bCs/>
          <w:sz w:val="22"/>
          <w:szCs w:val="22"/>
          <w:u w:val="single"/>
        </w:rPr>
      </w:pPr>
    </w:p>
    <w:p w:rsidR="0013455B" w:rsidP="0013455B" w:rsidRDefault="0013455B" w14:paraId="048947F2" w14:textId="77777777">
      <w:pPr>
        <w:spacing w:line="360" w:lineRule="auto"/>
        <w:jc w:val="both"/>
        <w:rPr>
          <w:rFonts w:ascii="Palatino Linotype" w:hAnsi="Palatino Linotype" w:cs="Tahoma"/>
          <w:bCs/>
          <w:sz w:val="22"/>
          <w:szCs w:val="22"/>
          <w:u w:val="single"/>
        </w:rPr>
      </w:pPr>
      <w:r w:rsidRPr="00905EC8">
        <w:rPr>
          <w:rFonts w:ascii="Palatino Linotype" w:hAnsi="Palatino Linotype" w:cs="Tahoma"/>
          <w:bCs/>
          <w:sz w:val="22"/>
          <w:szCs w:val="22"/>
          <w:u w:val="single"/>
        </w:rPr>
        <w:t xml:space="preserve">Este Instituto, determinó </w:t>
      </w:r>
      <w:r>
        <w:rPr>
          <w:rFonts w:ascii="Palatino Linotype" w:hAnsi="Palatino Linotype" w:cs="Tahoma"/>
          <w:bCs/>
          <w:sz w:val="22"/>
          <w:szCs w:val="22"/>
          <w:u w:val="single"/>
        </w:rPr>
        <w:t xml:space="preserve">revocar </w:t>
      </w:r>
      <w:r w:rsidRPr="00905EC8">
        <w:rPr>
          <w:rFonts w:ascii="Palatino Linotype" w:hAnsi="Palatino Linotype" w:cs="Tahoma"/>
          <w:bCs/>
          <w:sz w:val="22"/>
          <w:szCs w:val="22"/>
          <w:u w:val="single"/>
        </w:rPr>
        <w:t xml:space="preserve">la respuesta que le entregó el </w:t>
      </w:r>
      <w:r>
        <w:rPr>
          <w:rFonts w:ascii="Palatino Linotype" w:hAnsi="Palatino Linotype" w:cs="Tahoma"/>
          <w:bCs/>
          <w:sz w:val="22"/>
          <w:szCs w:val="22"/>
          <w:u w:val="single"/>
        </w:rPr>
        <w:t xml:space="preserve">Sujeto Obligado </w:t>
      </w:r>
      <w:r w:rsidRPr="00905EC8">
        <w:rPr>
          <w:rFonts w:ascii="Palatino Linotype" w:hAnsi="Palatino Linotype" w:cs="Tahoma"/>
          <w:bCs/>
          <w:sz w:val="22"/>
          <w:szCs w:val="22"/>
          <w:u w:val="single"/>
        </w:rPr>
        <w:t xml:space="preserve">a su solicitud de acceso, toda vez que </w:t>
      </w:r>
      <w:r>
        <w:rPr>
          <w:rFonts w:ascii="Palatino Linotype" w:hAnsi="Palatino Linotype" w:cs="Tahoma"/>
          <w:bCs/>
          <w:sz w:val="22"/>
          <w:szCs w:val="22"/>
          <w:u w:val="single"/>
        </w:rPr>
        <w:t xml:space="preserve">el Sujeto Obligado no entregó la documentación solicitada, ya que no señaló de manera clara y precisa </w:t>
      </w:r>
      <w:r w:rsidR="0024130E">
        <w:rPr>
          <w:rFonts w:ascii="Palatino Linotype" w:hAnsi="Palatino Linotype" w:cs="Tahoma"/>
          <w:bCs/>
          <w:sz w:val="22"/>
          <w:szCs w:val="22"/>
          <w:u w:val="single"/>
        </w:rPr>
        <w:t>la información con la que cuenta y con la que no</w:t>
      </w:r>
      <w:r>
        <w:rPr>
          <w:rFonts w:ascii="Palatino Linotype" w:hAnsi="Palatino Linotype" w:cs="Tahoma"/>
          <w:bCs/>
          <w:sz w:val="22"/>
          <w:szCs w:val="22"/>
          <w:u w:val="single"/>
        </w:rPr>
        <w:t>, aunado a que es información de interés público, por lo que procede la entrega del o los documentos solicitados, en su caso en versión pública.</w:t>
      </w:r>
    </w:p>
    <w:p w:rsidRPr="00905EC8" w:rsidR="0013455B" w:rsidP="0013455B" w:rsidRDefault="0013455B" w14:paraId="2199C16B" w14:textId="77777777">
      <w:pPr>
        <w:spacing w:line="360" w:lineRule="auto"/>
        <w:jc w:val="both"/>
        <w:rPr>
          <w:rFonts w:ascii="Palatino Linotype" w:hAnsi="Palatino Linotype" w:cs="Tahoma"/>
          <w:bCs/>
          <w:sz w:val="22"/>
          <w:szCs w:val="22"/>
          <w:u w:val="single"/>
        </w:rPr>
      </w:pPr>
    </w:p>
    <w:p w:rsidRPr="009100C0" w:rsidR="0013455B" w:rsidP="0013455B" w:rsidRDefault="0013455B" w14:paraId="229DE9AF" w14:textId="77777777">
      <w:pPr>
        <w:spacing w:line="360" w:lineRule="auto"/>
        <w:jc w:val="both"/>
        <w:rPr>
          <w:rFonts w:ascii="Palatino Linotype" w:hAnsi="Palatino Linotype" w:cs="Tahoma"/>
          <w:bCs/>
          <w:sz w:val="22"/>
          <w:szCs w:val="22"/>
          <w:u w:val="single"/>
        </w:rPr>
      </w:pPr>
      <w:r w:rsidRPr="009100C0">
        <w:rPr>
          <w:rFonts w:ascii="Palatino Linotype" w:hAnsi="Palatino Linotype" w:cs="Tahoma"/>
          <w:bCs/>
          <w:sz w:val="22"/>
          <w:szCs w:val="22"/>
          <w:u w:val="single"/>
        </w:rPr>
        <w:t>La labor del INFOEM, es apoyar a la población para acceder a la información pública y garantizar la protección de sus datos personales.</w:t>
      </w:r>
    </w:p>
    <w:p w:rsidRPr="007B1A35" w:rsidR="0013455B" w:rsidP="0013455B" w:rsidRDefault="0013455B" w14:paraId="1F1AA0D0" w14:textId="77777777">
      <w:pPr>
        <w:spacing w:line="360" w:lineRule="auto"/>
        <w:jc w:val="both"/>
        <w:rPr>
          <w:rFonts w:ascii="Palatino Linotype" w:hAnsi="Palatino Linotype" w:cs="Tahoma"/>
          <w:bCs/>
          <w:color w:val="000000"/>
          <w:sz w:val="22"/>
          <w:szCs w:val="22"/>
        </w:rPr>
      </w:pPr>
    </w:p>
    <w:p w:rsidRPr="00014834" w:rsidR="0013455B" w:rsidP="0013455B" w:rsidRDefault="0013455B" w14:paraId="5B9814EA" w14:textId="77777777">
      <w:pPr>
        <w:spacing w:line="360" w:lineRule="auto"/>
        <w:jc w:val="both"/>
        <w:rPr>
          <w:rFonts w:ascii="Palatino Linotype" w:hAnsi="Palatino Linotype" w:eastAsia="Calibri" w:cs="Tahoma"/>
          <w:bCs/>
          <w:sz w:val="22"/>
          <w:lang w:eastAsia="en-US"/>
        </w:rPr>
      </w:pPr>
      <w:r w:rsidRPr="00014834">
        <w:rPr>
          <w:rFonts w:ascii="Palatino Linotype" w:hAnsi="Palatino Linotype" w:eastAsia="Calibri" w:cs="Tahoma"/>
          <w:bCs/>
          <w:sz w:val="22"/>
          <w:lang w:eastAsia="en-US"/>
        </w:rPr>
        <w:t>Por lo expuesto y fundado, este Pleno:</w:t>
      </w:r>
    </w:p>
    <w:p w:rsidRPr="00871BE0" w:rsidR="0013455B" w:rsidP="0013455B" w:rsidRDefault="0013455B" w14:paraId="74674E8A" w14:textId="77777777">
      <w:pPr>
        <w:spacing w:line="360" w:lineRule="auto"/>
        <w:ind w:right="-93"/>
        <w:jc w:val="both"/>
        <w:rPr>
          <w:rFonts w:ascii="Palatino Linotype" w:hAnsi="Palatino Linotype" w:cs="Tahoma"/>
          <w:sz w:val="22"/>
          <w:szCs w:val="22"/>
        </w:rPr>
      </w:pPr>
    </w:p>
    <w:p w:rsidRPr="00733CE0" w:rsidR="0013455B" w:rsidP="0013455B" w:rsidRDefault="0013455B" w14:paraId="3A3CF5CD" w14:textId="77777777">
      <w:pPr>
        <w:spacing w:line="360" w:lineRule="auto"/>
        <w:contextualSpacing/>
        <w:jc w:val="center"/>
        <w:rPr>
          <w:rFonts w:ascii="Palatino Linotype" w:hAnsi="Palatino Linotype" w:eastAsia="Calibri" w:cs="Tahoma"/>
          <w:b/>
          <w:bCs/>
          <w:sz w:val="22"/>
          <w:szCs w:val="22"/>
          <w:lang w:eastAsia="en-US"/>
        </w:rPr>
      </w:pPr>
      <w:r w:rsidRPr="00733CE0">
        <w:rPr>
          <w:rFonts w:ascii="Palatino Linotype" w:hAnsi="Palatino Linotype" w:eastAsia="Calibri" w:cs="Tahoma"/>
          <w:b/>
          <w:bCs/>
          <w:sz w:val="22"/>
          <w:szCs w:val="22"/>
          <w:lang w:eastAsia="en-US"/>
        </w:rPr>
        <w:t>R E S U E L V E</w:t>
      </w:r>
    </w:p>
    <w:p w:rsidRPr="00733CE0" w:rsidR="0013455B" w:rsidP="0013455B" w:rsidRDefault="0013455B" w14:paraId="4FAE8214" w14:textId="77777777">
      <w:pPr>
        <w:spacing w:line="360" w:lineRule="auto"/>
        <w:contextualSpacing/>
        <w:jc w:val="center"/>
        <w:rPr>
          <w:rFonts w:ascii="Palatino Linotype" w:hAnsi="Palatino Linotype" w:cs="Tahoma"/>
          <w:b/>
          <w:bCs/>
          <w:sz w:val="22"/>
          <w:szCs w:val="22"/>
        </w:rPr>
      </w:pPr>
    </w:p>
    <w:p w:rsidRPr="00581BF3" w:rsidR="0013455B" w:rsidP="0013455B" w:rsidRDefault="0013455B" w14:paraId="74C1137A" w14:textId="77777777">
      <w:pPr>
        <w:spacing w:line="360" w:lineRule="auto"/>
        <w:contextualSpacing/>
        <w:jc w:val="both"/>
        <w:rPr>
          <w:rFonts w:ascii="Palatino Linotype" w:hAnsi="Palatino Linotype" w:eastAsia="Calibri" w:cs="Tahoma"/>
          <w:sz w:val="22"/>
          <w:szCs w:val="22"/>
          <w:lang w:eastAsia="en-US"/>
        </w:rPr>
      </w:pPr>
      <w:r w:rsidRPr="00733CE0">
        <w:rPr>
          <w:rFonts w:ascii="Palatino Linotype" w:hAnsi="Palatino Linotype" w:cs="Tahoma"/>
          <w:b/>
          <w:bCs/>
          <w:sz w:val="22"/>
          <w:szCs w:val="22"/>
        </w:rPr>
        <w:t xml:space="preserve">PRIMERO. </w:t>
      </w:r>
      <w:r w:rsidRPr="00733CE0">
        <w:rPr>
          <w:rFonts w:ascii="Palatino Linotype" w:hAnsi="Palatino Linotype" w:cs="Tahoma"/>
          <w:bCs/>
          <w:sz w:val="22"/>
          <w:szCs w:val="22"/>
        </w:rPr>
        <w:t xml:space="preserve">Se </w:t>
      </w:r>
      <w:r w:rsidR="00ED251B">
        <w:rPr>
          <w:rFonts w:ascii="Palatino Linotype" w:hAnsi="Palatino Linotype" w:cs="Tahoma"/>
          <w:b/>
          <w:bCs/>
          <w:sz w:val="22"/>
          <w:szCs w:val="22"/>
        </w:rPr>
        <w:t>MODIFICA</w:t>
      </w:r>
      <w:r w:rsidRPr="00733CE0" w:rsidR="00ED251B">
        <w:rPr>
          <w:rFonts w:ascii="Palatino Linotype" w:hAnsi="Palatino Linotype" w:cs="Tahoma"/>
          <w:bCs/>
          <w:sz w:val="22"/>
          <w:szCs w:val="22"/>
        </w:rPr>
        <w:t xml:space="preserve"> </w:t>
      </w:r>
      <w:r w:rsidRPr="00733CE0">
        <w:rPr>
          <w:rFonts w:ascii="Palatino Linotype" w:hAnsi="Palatino Linotype" w:cs="Tahoma"/>
          <w:bCs/>
          <w:sz w:val="22"/>
          <w:szCs w:val="22"/>
        </w:rPr>
        <w:t xml:space="preserve">la respuesta entregada por </w:t>
      </w:r>
      <w:r>
        <w:rPr>
          <w:rFonts w:ascii="Palatino Linotype" w:hAnsi="Palatino Linotype" w:cs="Tahoma"/>
          <w:bCs/>
          <w:sz w:val="22"/>
          <w:szCs w:val="22"/>
        </w:rPr>
        <w:t>e</w:t>
      </w:r>
      <w:r w:rsidRPr="00733CE0">
        <w:rPr>
          <w:rFonts w:ascii="Palatino Linotype" w:hAnsi="Palatino Linotype" w:cs="Tahoma"/>
          <w:bCs/>
          <w:sz w:val="22"/>
          <w:szCs w:val="22"/>
        </w:rPr>
        <w:t>l</w:t>
      </w:r>
      <w:r>
        <w:rPr>
          <w:rFonts w:ascii="Palatino Linotype" w:hAnsi="Palatino Linotype" w:cs="Tahoma"/>
          <w:bCs/>
          <w:sz w:val="22"/>
          <w:szCs w:val="22"/>
        </w:rPr>
        <w:t xml:space="preserve"> </w:t>
      </w:r>
      <w:r w:rsidR="00313021">
        <w:rPr>
          <w:rFonts w:ascii="Palatino Linotype" w:hAnsi="Palatino Linotype" w:cs="Tahoma"/>
          <w:b/>
          <w:bCs/>
          <w:sz w:val="22"/>
          <w:szCs w:val="22"/>
        </w:rPr>
        <w:t>Ayuntamiento de Amecameca</w:t>
      </w:r>
      <w:r>
        <w:rPr>
          <w:rFonts w:ascii="Palatino Linotype" w:hAnsi="Palatino Linotype" w:cs="Tahoma"/>
          <w:b/>
          <w:bCs/>
          <w:sz w:val="22"/>
          <w:szCs w:val="22"/>
        </w:rPr>
        <w:t xml:space="preserve"> </w:t>
      </w:r>
      <w:r>
        <w:rPr>
          <w:rFonts w:ascii="Palatino Linotype" w:hAnsi="Palatino Linotype" w:eastAsia="Calibri" w:cs="Tahoma"/>
          <w:b/>
          <w:bCs/>
          <w:sz w:val="22"/>
          <w:szCs w:val="22"/>
          <w:lang w:eastAsia="en-US"/>
        </w:rPr>
        <w:t>a</w:t>
      </w:r>
      <w:r w:rsidRPr="00733CE0">
        <w:rPr>
          <w:rFonts w:ascii="Palatino Linotype" w:hAnsi="Palatino Linotype" w:cs="Tahoma"/>
          <w:bCs/>
          <w:sz w:val="22"/>
          <w:szCs w:val="22"/>
        </w:rPr>
        <w:t xml:space="preserve"> la solicitud de información </w:t>
      </w:r>
      <w:r w:rsidRPr="00315D56" w:rsidR="00315D56">
        <w:rPr>
          <w:rFonts w:ascii="Palatino Linotype" w:hAnsi="Palatino Linotype"/>
          <w:b/>
          <w:bCs/>
          <w:sz w:val="22"/>
          <w:szCs w:val="22"/>
        </w:rPr>
        <w:t>00029/AMECAMEC/IP/2022</w:t>
      </w:r>
      <w:r w:rsidR="00315D56">
        <w:rPr>
          <w:rFonts w:ascii="Palatino Linotype" w:hAnsi="Palatino Linotype"/>
          <w:b/>
          <w:bCs/>
          <w:sz w:val="22"/>
          <w:szCs w:val="22"/>
        </w:rPr>
        <w:t xml:space="preserve"> </w:t>
      </w:r>
      <w:r w:rsidRPr="00733CE0">
        <w:rPr>
          <w:rFonts w:ascii="Palatino Linotype" w:hAnsi="Palatino Linotype"/>
          <w:bCs/>
          <w:sz w:val="22"/>
          <w:szCs w:val="22"/>
        </w:rPr>
        <w:t xml:space="preserve">por resultar </w:t>
      </w:r>
      <w:r w:rsidRPr="00581BF3">
        <w:rPr>
          <w:rFonts w:ascii="Palatino Linotype" w:hAnsi="Palatino Linotype"/>
          <w:b/>
          <w:caps/>
          <w:sz w:val="22"/>
          <w:szCs w:val="22"/>
        </w:rPr>
        <w:t>parcialmente</w:t>
      </w:r>
      <w:r>
        <w:rPr>
          <w:rFonts w:ascii="Palatino Linotype" w:hAnsi="Palatino Linotype"/>
          <w:bCs/>
          <w:sz w:val="22"/>
          <w:szCs w:val="22"/>
        </w:rPr>
        <w:t xml:space="preserve"> </w:t>
      </w:r>
      <w:r w:rsidRPr="00733CE0">
        <w:rPr>
          <w:rFonts w:ascii="Palatino Linotype" w:hAnsi="Palatino Linotype"/>
          <w:b/>
          <w:bCs/>
          <w:sz w:val="22"/>
          <w:szCs w:val="22"/>
        </w:rPr>
        <w:t>FUNDADAS</w:t>
      </w:r>
      <w:r w:rsidRPr="00733CE0">
        <w:rPr>
          <w:rFonts w:ascii="Palatino Linotype" w:hAnsi="Palatino Linotype" w:cs="Tahoma"/>
          <w:bCs/>
          <w:sz w:val="22"/>
          <w:szCs w:val="22"/>
        </w:rPr>
        <w:t xml:space="preserve"> </w:t>
      </w:r>
      <w:r w:rsidRPr="00733CE0">
        <w:rPr>
          <w:rFonts w:ascii="Palatino Linotype" w:hAnsi="Palatino Linotype" w:eastAsia="Calibri" w:cs="Tahoma"/>
          <w:bCs/>
          <w:sz w:val="22"/>
          <w:szCs w:val="22"/>
          <w:lang w:eastAsia="en-US"/>
        </w:rPr>
        <w:t xml:space="preserve">las razones o motivos de inconformidad hechos valer por </w:t>
      </w:r>
      <w:r>
        <w:rPr>
          <w:rFonts w:ascii="Palatino Linotype" w:hAnsi="Palatino Linotype" w:eastAsia="Calibri" w:cs="Tahoma"/>
          <w:bCs/>
          <w:sz w:val="22"/>
          <w:szCs w:val="22"/>
          <w:lang w:eastAsia="en-US"/>
        </w:rPr>
        <w:t>el</w:t>
      </w:r>
      <w:r w:rsidRPr="00733CE0">
        <w:rPr>
          <w:rFonts w:ascii="Palatino Linotype" w:hAnsi="Palatino Linotype" w:eastAsia="Calibri" w:cs="Tahoma"/>
          <w:bCs/>
          <w:sz w:val="22"/>
          <w:szCs w:val="22"/>
          <w:lang w:eastAsia="en-US"/>
        </w:rPr>
        <w:t xml:space="preserve"> Recurrente en el Recurso de Revisión </w:t>
      </w:r>
      <w:r w:rsidR="00ED251B">
        <w:rPr>
          <w:rFonts w:ascii="Palatino Linotype" w:hAnsi="Palatino Linotype" w:cs="Tahoma"/>
          <w:b/>
          <w:bCs/>
          <w:color w:val="0D0D0D" w:themeColor="text1" w:themeTint="F2"/>
          <w:sz w:val="22"/>
          <w:szCs w:val="22"/>
        </w:rPr>
        <w:t>010</w:t>
      </w:r>
      <w:r w:rsidR="00315D56">
        <w:rPr>
          <w:rFonts w:ascii="Palatino Linotype" w:hAnsi="Palatino Linotype" w:cs="Tahoma"/>
          <w:b/>
          <w:bCs/>
          <w:color w:val="0D0D0D" w:themeColor="text1" w:themeTint="F2"/>
          <w:sz w:val="22"/>
          <w:szCs w:val="22"/>
        </w:rPr>
        <w:t>8</w:t>
      </w:r>
      <w:r w:rsidR="00ED251B">
        <w:rPr>
          <w:rFonts w:ascii="Palatino Linotype" w:hAnsi="Palatino Linotype" w:cs="Tahoma"/>
          <w:b/>
          <w:bCs/>
          <w:color w:val="0D0D0D" w:themeColor="text1" w:themeTint="F2"/>
          <w:sz w:val="22"/>
          <w:szCs w:val="22"/>
        </w:rPr>
        <w:t>6</w:t>
      </w:r>
      <w:r w:rsidRPr="00375832">
        <w:rPr>
          <w:rFonts w:ascii="Palatino Linotype" w:hAnsi="Palatino Linotype" w:cs="Tahoma"/>
          <w:b/>
          <w:bCs/>
          <w:color w:val="0D0D0D" w:themeColor="text1" w:themeTint="F2"/>
          <w:sz w:val="22"/>
          <w:szCs w:val="22"/>
        </w:rPr>
        <w:t>/INFOEM/IP/RR/202</w:t>
      </w:r>
      <w:r>
        <w:rPr>
          <w:rFonts w:ascii="Palatino Linotype" w:hAnsi="Palatino Linotype" w:cs="Tahoma"/>
          <w:b/>
          <w:bCs/>
          <w:color w:val="0D0D0D" w:themeColor="text1" w:themeTint="F2"/>
          <w:sz w:val="22"/>
          <w:szCs w:val="22"/>
        </w:rPr>
        <w:t>2</w:t>
      </w:r>
      <w:r w:rsidRPr="00733CE0">
        <w:rPr>
          <w:rFonts w:ascii="Palatino Linotype" w:hAnsi="Palatino Linotype" w:eastAsia="Calibri" w:cs="Tahoma"/>
          <w:bCs/>
          <w:sz w:val="22"/>
          <w:szCs w:val="22"/>
          <w:lang w:eastAsia="en-US"/>
        </w:rPr>
        <w:t xml:space="preserve">, en términos de los considerandos </w:t>
      </w:r>
      <w:r w:rsidRPr="00581BF3">
        <w:rPr>
          <w:rFonts w:ascii="Palatino Linotype" w:hAnsi="Palatino Linotype" w:eastAsia="Calibri" w:cs="Tahoma"/>
          <w:sz w:val="22"/>
          <w:szCs w:val="22"/>
          <w:lang w:eastAsia="en-US"/>
        </w:rPr>
        <w:t>QUINTO y SEXTO de la presente Resolución.</w:t>
      </w:r>
    </w:p>
    <w:p w:rsidRPr="00733CE0" w:rsidR="0013455B" w:rsidP="0013455B" w:rsidRDefault="0013455B" w14:paraId="2E1523D6" w14:textId="77777777">
      <w:pPr>
        <w:spacing w:line="360" w:lineRule="auto"/>
        <w:contextualSpacing/>
        <w:jc w:val="both"/>
        <w:rPr>
          <w:rFonts w:ascii="Palatino Linotype" w:hAnsi="Palatino Linotype" w:cs="Tahoma"/>
          <w:bCs/>
          <w:sz w:val="22"/>
          <w:szCs w:val="22"/>
        </w:rPr>
      </w:pPr>
    </w:p>
    <w:p w:rsidR="003A08E4" w:rsidP="003A08E4" w:rsidRDefault="0013455B" w14:paraId="7C0C8D99" w14:textId="77777777">
      <w:pPr>
        <w:autoSpaceDE w:val="0"/>
        <w:autoSpaceDN w:val="0"/>
        <w:adjustRightInd w:val="0"/>
        <w:spacing w:line="360" w:lineRule="auto"/>
        <w:ind w:right="49"/>
        <w:jc w:val="both"/>
        <w:rPr>
          <w:rFonts w:ascii="Palatino Linotype" w:hAnsi="Palatino Linotype" w:cs="Arial"/>
          <w:sz w:val="24"/>
          <w:szCs w:val="24"/>
          <w:lang w:val="es-ES"/>
        </w:rPr>
      </w:pPr>
      <w:r w:rsidRPr="00733CE0">
        <w:rPr>
          <w:rFonts w:ascii="Palatino Linotype" w:hAnsi="Palatino Linotype" w:cs="Tahoma"/>
          <w:b/>
          <w:bCs/>
          <w:sz w:val="22"/>
          <w:szCs w:val="22"/>
        </w:rPr>
        <w:t xml:space="preserve">SEGUNDO. </w:t>
      </w:r>
      <w:r w:rsidRPr="00733CE0">
        <w:rPr>
          <w:rFonts w:ascii="Palatino Linotype" w:hAnsi="Palatino Linotype" w:cs="Tahoma"/>
          <w:sz w:val="22"/>
          <w:szCs w:val="22"/>
        </w:rPr>
        <w:t xml:space="preserve">Se </w:t>
      </w:r>
      <w:r w:rsidRPr="00733CE0">
        <w:rPr>
          <w:rFonts w:ascii="Palatino Linotype" w:hAnsi="Palatino Linotype" w:cs="Tahoma"/>
          <w:b/>
          <w:sz w:val="22"/>
          <w:szCs w:val="22"/>
        </w:rPr>
        <w:t xml:space="preserve">ORDENA </w:t>
      </w:r>
      <w:r w:rsidRPr="00733CE0">
        <w:rPr>
          <w:rFonts w:ascii="Palatino Linotype" w:hAnsi="Palatino Linotype" w:cs="Tahoma"/>
          <w:sz w:val="22"/>
          <w:szCs w:val="22"/>
        </w:rPr>
        <w:t>a</w:t>
      </w:r>
      <w:r>
        <w:rPr>
          <w:rFonts w:ascii="Palatino Linotype" w:hAnsi="Palatino Linotype" w:cs="Tahoma"/>
          <w:sz w:val="22"/>
          <w:szCs w:val="22"/>
        </w:rPr>
        <w:t xml:space="preserve"> </w:t>
      </w:r>
      <w:r w:rsidRPr="00733CE0">
        <w:rPr>
          <w:rFonts w:ascii="Palatino Linotype" w:hAnsi="Palatino Linotype" w:cs="Tahoma"/>
          <w:sz w:val="22"/>
          <w:szCs w:val="22"/>
        </w:rPr>
        <w:t>l</w:t>
      </w:r>
      <w:r>
        <w:rPr>
          <w:rFonts w:ascii="Palatino Linotype" w:hAnsi="Palatino Linotype" w:cs="Tahoma"/>
          <w:sz w:val="22"/>
          <w:szCs w:val="22"/>
        </w:rPr>
        <w:t>a</w:t>
      </w:r>
      <w:r w:rsidRPr="00733CE0">
        <w:rPr>
          <w:rFonts w:ascii="Palatino Linotype" w:hAnsi="Palatino Linotype" w:cs="Tahoma"/>
          <w:sz w:val="22"/>
          <w:szCs w:val="22"/>
        </w:rPr>
        <w:t xml:space="preserve"> </w:t>
      </w:r>
      <w:r w:rsidR="00313021">
        <w:rPr>
          <w:rFonts w:ascii="Palatino Linotype" w:hAnsi="Palatino Linotype" w:eastAsia="Calibri" w:cs="Tahoma"/>
          <w:b/>
          <w:bCs/>
          <w:sz w:val="22"/>
          <w:szCs w:val="22"/>
          <w:lang w:eastAsia="en-US"/>
        </w:rPr>
        <w:t>Ayuntamiento de Amecameca</w:t>
      </w:r>
      <w:r w:rsidRPr="00733CE0">
        <w:rPr>
          <w:rFonts w:ascii="Palatino Linotype" w:hAnsi="Palatino Linotype" w:cs="Tahoma"/>
          <w:sz w:val="22"/>
          <w:szCs w:val="22"/>
        </w:rPr>
        <w:t xml:space="preserve">, a efecto de que, previa búsqueda exhaustiva y razonable en los archivos de sus áreas competentes, remita </w:t>
      </w:r>
      <w:r w:rsidRPr="009100C0">
        <w:rPr>
          <w:rFonts w:ascii="Palatino Linotype" w:hAnsi="Palatino Linotype" w:cs="Tahoma"/>
          <w:bCs/>
          <w:iCs/>
          <w:sz w:val="22"/>
          <w:szCs w:val="22"/>
          <w:lang w:val="es-ES_tradnl"/>
        </w:rPr>
        <w:t>de ser procedente en versión pública</w:t>
      </w:r>
      <w:r>
        <w:rPr>
          <w:rFonts w:ascii="Palatino Linotype" w:hAnsi="Palatino Linotype" w:cs="Tahoma"/>
          <w:bCs/>
          <w:iCs/>
          <w:sz w:val="22"/>
          <w:szCs w:val="22"/>
          <w:lang w:val="es-ES_tradnl"/>
        </w:rPr>
        <w:t xml:space="preserve">, </w:t>
      </w:r>
      <w:r w:rsidRPr="00733CE0">
        <w:rPr>
          <w:rFonts w:ascii="Palatino Linotype" w:hAnsi="Palatino Linotype" w:cs="Tahoma"/>
          <w:bCs/>
          <w:iCs/>
          <w:sz w:val="22"/>
          <w:szCs w:val="22"/>
        </w:rPr>
        <w:t xml:space="preserve">a través </w:t>
      </w:r>
      <w:r>
        <w:rPr>
          <w:rFonts w:ascii="Palatino Linotype" w:hAnsi="Palatino Linotype" w:cs="Tahoma"/>
          <w:bCs/>
          <w:iCs/>
          <w:sz w:val="22"/>
          <w:szCs w:val="22"/>
          <w:lang w:val="es-ES_tradnl"/>
        </w:rPr>
        <w:t xml:space="preserve">del Sistema de Acceso a la Información Mexiquense (SAIMEX) </w:t>
      </w:r>
      <w:r w:rsidRPr="007721C1">
        <w:rPr>
          <w:rFonts w:ascii="Palatino Linotype" w:hAnsi="Palatino Linotype" w:cs="Arial"/>
          <w:sz w:val="24"/>
          <w:szCs w:val="24"/>
        </w:rPr>
        <w:t>correo electrónico, medios magnéticos y CD</w:t>
      </w:r>
      <w:r>
        <w:rPr>
          <w:rFonts w:ascii="Palatino Linotype" w:hAnsi="Palatino Linotype" w:cs="Arial"/>
          <w:sz w:val="24"/>
          <w:szCs w:val="24"/>
        </w:rPr>
        <w:t>-ROM</w:t>
      </w:r>
      <w:r w:rsidRPr="00717D41">
        <w:rPr>
          <w:rFonts w:ascii="Palatino Linotype" w:hAnsi="Palatino Linotype" w:cs="Arial"/>
          <w:sz w:val="24"/>
          <w:szCs w:val="24"/>
          <w:lang w:val="es-ES"/>
        </w:rPr>
        <w:t xml:space="preserve">, </w:t>
      </w:r>
      <w:r w:rsidRPr="00717D41" w:rsidR="003A08E4">
        <w:rPr>
          <w:rFonts w:ascii="Palatino Linotype" w:hAnsi="Palatino Linotype" w:cs="Arial"/>
          <w:sz w:val="24"/>
          <w:szCs w:val="24"/>
          <w:lang w:val="es-ES"/>
        </w:rPr>
        <w:t xml:space="preserve">el soporte documental </w:t>
      </w:r>
      <w:r w:rsidR="003A08E4">
        <w:rPr>
          <w:rFonts w:ascii="Palatino Linotype" w:hAnsi="Palatino Linotype" w:cs="Arial"/>
          <w:sz w:val="24"/>
          <w:szCs w:val="24"/>
          <w:lang w:val="es-ES"/>
        </w:rPr>
        <w:t>en el que conste lo que se describe a continuación</w:t>
      </w:r>
      <w:r w:rsidRPr="00717D41" w:rsidR="003A08E4">
        <w:rPr>
          <w:rFonts w:ascii="Palatino Linotype" w:hAnsi="Palatino Linotype" w:cs="Arial"/>
          <w:sz w:val="24"/>
          <w:szCs w:val="24"/>
          <w:lang w:val="es-ES"/>
        </w:rPr>
        <w:t>:</w:t>
      </w:r>
    </w:p>
    <w:p w:rsidR="0013455B" w:rsidP="003A08E4" w:rsidRDefault="0013455B" w14:paraId="08A12404" w14:textId="77777777">
      <w:pPr>
        <w:autoSpaceDE w:val="0"/>
        <w:autoSpaceDN w:val="0"/>
        <w:adjustRightInd w:val="0"/>
        <w:spacing w:line="360" w:lineRule="auto"/>
        <w:ind w:right="49"/>
        <w:jc w:val="both"/>
        <w:rPr>
          <w:rFonts w:ascii="Palatino Linotype" w:hAnsi="Palatino Linotype" w:cs="Tahoma"/>
          <w:bCs/>
          <w:iCs/>
          <w:sz w:val="22"/>
          <w:szCs w:val="22"/>
          <w:lang w:val="es-ES_tradnl"/>
        </w:rPr>
      </w:pPr>
    </w:p>
    <w:p w:rsidRPr="009944B6" w:rsidR="00315D56" w:rsidP="00315D56" w:rsidRDefault="00315D56" w14:paraId="28EF63A1" w14:textId="77777777">
      <w:pPr>
        <w:pStyle w:val="Prrafodelista"/>
        <w:numPr>
          <w:ilvl w:val="0"/>
          <w:numId w:val="27"/>
        </w:numPr>
        <w:tabs>
          <w:tab w:val="left" w:pos="4962"/>
        </w:tabs>
        <w:spacing w:line="360" w:lineRule="auto"/>
        <w:jc w:val="both"/>
        <w:rPr>
          <w:rFonts w:ascii="Palatino Linotype" w:hAnsi="Palatino Linotype" w:cs="Tahoma"/>
          <w:bCs/>
          <w:iCs/>
          <w:szCs w:val="22"/>
          <w:lang w:val="es-ES_tradnl"/>
        </w:rPr>
      </w:pPr>
      <w:r w:rsidRPr="009944B6">
        <w:rPr>
          <w:rFonts w:ascii="Palatino Linotype" w:hAnsi="Palatino Linotype" w:cs="Tahoma"/>
          <w:bCs/>
          <w:iCs/>
          <w:szCs w:val="22"/>
          <w:lang w:val="es-ES_tradnl"/>
        </w:rPr>
        <w:t>Del Ayuntamiento de Amecameca:</w:t>
      </w:r>
    </w:p>
    <w:p w:rsidR="00315D56" w:rsidP="00315D56" w:rsidRDefault="00315D56" w14:paraId="02CDD77B" w14:textId="77777777">
      <w:pPr>
        <w:pStyle w:val="Prrafodelista"/>
        <w:numPr>
          <w:ilvl w:val="1"/>
          <w:numId w:val="27"/>
        </w:numPr>
        <w:spacing w:line="360" w:lineRule="auto"/>
        <w:ind w:left="1134"/>
        <w:contextualSpacing w:val="0"/>
        <w:jc w:val="both"/>
        <w:rPr>
          <w:rFonts w:ascii="Palatino Linotype" w:hAnsi="Palatino Linotype" w:cs="Arial"/>
        </w:rPr>
      </w:pPr>
      <w:r w:rsidRPr="008D206F">
        <w:rPr>
          <w:rFonts w:ascii="Palatino Linotype" w:hAnsi="Palatino Linotype" w:cs="Arial"/>
        </w:rPr>
        <w:t>La opinión de no adeudo en el cumplimiento de obligaciones fiscales emitida por el Servicio de Administración Tributaria (SAT);</w:t>
      </w:r>
    </w:p>
    <w:p w:rsidRPr="00717D41" w:rsidR="00315D56" w:rsidP="00315D56" w:rsidRDefault="00315D56" w14:paraId="2DD041CE" w14:textId="77777777">
      <w:pPr>
        <w:pStyle w:val="Prrafodelista"/>
        <w:numPr>
          <w:ilvl w:val="1"/>
          <w:numId w:val="27"/>
        </w:numPr>
        <w:spacing w:line="360" w:lineRule="auto"/>
        <w:ind w:left="1134"/>
        <w:contextualSpacing w:val="0"/>
        <w:jc w:val="both"/>
        <w:rPr>
          <w:rFonts w:ascii="Palatino Linotype" w:hAnsi="Palatino Linotype" w:cs="Arial"/>
        </w:rPr>
      </w:pPr>
      <w:r w:rsidRPr="00717D41">
        <w:rPr>
          <w:rFonts w:ascii="Palatino Linotype" w:hAnsi="Palatino Linotype" w:cs="Arial"/>
        </w:rPr>
        <w:t xml:space="preserve">Retenciones del Impuesto Sobre la Renta por Salarios, Honorarios y Arrendamiento del periodo del 01 de enero de 2019, hasta el 31 de octubre de 2021 </w:t>
      </w:r>
    </w:p>
    <w:p w:rsidR="00315D56" w:rsidP="00315D56" w:rsidRDefault="00315D56" w14:paraId="2979578D" w14:textId="77777777">
      <w:pPr>
        <w:tabs>
          <w:tab w:val="left" w:pos="4962"/>
        </w:tabs>
        <w:spacing w:line="360" w:lineRule="auto"/>
        <w:jc w:val="both"/>
        <w:rPr>
          <w:rFonts w:ascii="Palatino Linotype" w:hAnsi="Palatino Linotype" w:cs="Tahoma"/>
          <w:bCs/>
          <w:iCs/>
          <w:sz w:val="22"/>
          <w:szCs w:val="22"/>
          <w:lang w:val="es-ES_tradnl"/>
        </w:rPr>
      </w:pPr>
    </w:p>
    <w:p w:rsidRPr="009944B6" w:rsidR="00315D56" w:rsidP="00315D56" w:rsidRDefault="00315D56" w14:paraId="2F20934A" w14:textId="77777777">
      <w:pPr>
        <w:pStyle w:val="Prrafodelista"/>
        <w:numPr>
          <w:ilvl w:val="0"/>
          <w:numId w:val="27"/>
        </w:numPr>
        <w:tabs>
          <w:tab w:val="left" w:pos="4962"/>
        </w:tabs>
        <w:spacing w:line="360" w:lineRule="auto"/>
        <w:jc w:val="both"/>
        <w:rPr>
          <w:rFonts w:ascii="Palatino Linotype" w:hAnsi="Palatino Linotype" w:cs="Tahoma"/>
          <w:bCs/>
          <w:iCs/>
          <w:szCs w:val="22"/>
          <w:lang w:val="es-ES_tradnl"/>
        </w:rPr>
      </w:pPr>
      <w:r w:rsidRPr="009944B6">
        <w:rPr>
          <w:rFonts w:ascii="Palatino Linotype" w:hAnsi="Palatino Linotype" w:cs="Tahoma"/>
          <w:bCs/>
          <w:iCs/>
          <w:szCs w:val="22"/>
          <w:lang w:val="es-ES_tradnl"/>
        </w:rPr>
        <w:t xml:space="preserve">De </w:t>
      </w:r>
      <w:r>
        <w:rPr>
          <w:rFonts w:ascii="Palatino Linotype" w:hAnsi="Palatino Linotype" w:cs="Tahoma"/>
          <w:bCs/>
          <w:iCs/>
          <w:szCs w:val="22"/>
          <w:lang w:val="es-ES_tradnl"/>
        </w:rPr>
        <w:t>sus</w:t>
      </w:r>
      <w:r w:rsidRPr="009944B6">
        <w:rPr>
          <w:rFonts w:ascii="Palatino Linotype" w:hAnsi="Palatino Linotype" w:cs="Tahoma"/>
          <w:bCs/>
          <w:iCs/>
          <w:szCs w:val="22"/>
          <w:lang w:val="es-ES_tradnl"/>
        </w:rPr>
        <w:t xml:space="preserve"> Organismos descentralizados:</w:t>
      </w:r>
    </w:p>
    <w:p w:rsidRPr="00717D41" w:rsidR="00315D56" w:rsidP="00315D56" w:rsidRDefault="00315D56" w14:paraId="0FBF5A46" w14:textId="77777777">
      <w:pPr>
        <w:pStyle w:val="Prrafodelista"/>
        <w:numPr>
          <w:ilvl w:val="1"/>
          <w:numId w:val="27"/>
        </w:numPr>
        <w:spacing w:line="360" w:lineRule="auto"/>
        <w:ind w:left="1276"/>
        <w:contextualSpacing w:val="0"/>
        <w:jc w:val="both"/>
        <w:rPr>
          <w:rFonts w:ascii="Palatino Linotype" w:hAnsi="Palatino Linotype" w:cs="Arial"/>
        </w:rPr>
      </w:pPr>
      <w:r w:rsidRPr="00717D41">
        <w:rPr>
          <w:rFonts w:ascii="Palatino Linotype" w:hAnsi="Palatino Linotype" w:cs="Arial"/>
        </w:rPr>
        <w:t xml:space="preserve">Reportes del aplicativo “Visor de nómina del SAT” por los años 2018, 2019, 2020, y 2021 en sus tres presentaciones: </w:t>
      </w:r>
    </w:p>
    <w:p w:rsidR="00315D56" w:rsidP="00315D56" w:rsidRDefault="00315D56" w14:paraId="3AF6E17C" w14:textId="77777777">
      <w:pPr>
        <w:pStyle w:val="Prrafodelista"/>
        <w:numPr>
          <w:ilvl w:val="0"/>
          <w:numId w:val="28"/>
        </w:numPr>
        <w:spacing w:line="360" w:lineRule="auto"/>
        <w:ind w:left="1701"/>
        <w:contextualSpacing w:val="0"/>
        <w:jc w:val="both"/>
        <w:rPr>
          <w:rFonts w:ascii="Palatino Linotype" w:hAnsi="Palatino Linotype" w:cs="Arial"/>
        </w:rPr>
      </w:pPr>
      <w:r w:rsidRPr="009944B6">
        <w:rPr>
          <w:rFonts w:ascii="Palatino Linotype" w:hAnsi="Palatino Linotype" w:cs="Arial"/>
        </w:rPr>
        <w:t xml:space="preserve">Vista anual acumulada. </w:t>
      </w:r>
    </w:p>
    <w:p w:rsidR="00315D56" w:rsidP="00315D56" w:rsidRDefault="00315D56" w14:paraId="2C351269" w14:textId="77777777">
      <w:pPr>
        <w:pStyle w:val="Prrafodelista"/>
        <w:numPr>
          <w:ilvl w:val="0"/>
          <w:numId w:val="28"/>
        </w:numPr>
        <w:spacing w:line="360" w:lineRule="auto"/>
        <w:ind w:left="1701"/>
        <w:contextualSpacing w:val="0"/>
        <w:jc w:val="both"/>
        <w:rPr>
          <w:rFonts w:ascii="Palatino Linotype" w:hAnsi="Palatino Linotype" w:cs="Arial"/>
        </w:rPr>
      </w:pPr>
      <w:r w:rsidRPr="009944B6">
        <w:rPr>
          <w:rFonts w:ascii="Palatino Linotype" w:hAnsi="Palatino Linotype" w:cs="Arial"/>
        </w:rPr>
        <w:t xml:space="preserve">Detalle mensual. </w:t>
      </w:r>
    </w:p>
    <w:p w:rsidRPr="009944B6" w:rsidR="00315D56" w:rsidP="00315D56" w:rsidRDefault="00315D56" w14:paraId="0B10211C" w14:textId="77777777">
      <w:pPr>
        <w:pStyle w:val="Prrafodelista"/>
        <w:numPr>
          <w:ilvl w:val="0"/>
          <w:numId w:val="28"/>
        </w:numPr>
        <w:spacing w:line="360" w:lineRule="auto"/>
        <w:ind w:left="1701"/>
        <w:contextualSpacing w:val="0"/>
        <w:jc w:val="both"/>
        <w:rPr>
          <w:rFonts w:ascii="Palatino Linotype" w:hAnsi="Palatino Linotype" w:cs="Arial"/>
        </w:rPr>
      </w:pPr>
      <w:r w:rsidRPr="009944B6">
        <w:rPr>
          <w:rFonts w:ascii="Palatino Linotype" w:hAnsi="Palatino Linotype" w:cs="Arial"/>
        </w:rPr>
        <w:t xml:space="preserve">Detalle diferencias sueldos y salarios. </w:t>
      </w:r>
    </w:p>
    <w:p w:rsidRPr="008D206F" w:rsidR="00315D56" w:rsidP="00315D56" w:rsidRDefault="00315D56" w14:paraId="04D2F648" w14:textId="77777777">
      <w:pPr>
        <w:pStyle w:val="Prrafodelista"/>
        <w:numPr>
          <w:ilvl w:val="1"/>
          <w:numId w:val="27"/>
        </w:numPr>
        <w:spacing w:line="360" w:lineRule="auto"/>
        <w:ind w:left="1276"/>
        <w:contextualSpacing w:val="0"/>
        <w:jc w:val="both"/>
        <w:rPr>
          <w:rFonts w:ascii="Palatino Linotype" w:hAnsi="Palatino Linotype" w:cs="Arial"/>
        </w:rPr>
      </w:pPr>
      <w:r w:rsidRPr="008D206F">
        <w:rPr>
          <w:rFonts w:ascii="Palatino Linotype" w:hAnsi="Palatino Linotype" w:cs="Arial"/>
        </w:rPr>
        <w:t>La opinión de no adeudo en el cumplimiento de obligaciones fiscales emitida por el Servicio de Administración Tributaria (SAT);</w:t>
      </w:r>
    </w:p>
    <w:p w:rsidRPr="00717D41" w:rsidR="00315D56" w:rsidP="00315D56" w:rsidRDefault="00315D56" w14:paraId="2C3EEA18" w14:textId="77777777">
      <w:pPr>
        <w:pStyle w:val="Prrafodelista"/>
        <w:numPr>
          <w:ilvl w:val="1"/>
          <w:numId w:val="27"/>
        </w:numPr>
        <w:spacing w:line="360" w:lineRule="auto"/>
        <w:ind w:left="1276"/>
        <w:contextualSpacing w:val="0"/>
        <w:jc w:val="both"/>
        <w:rPr>
          <w:rFonts w:ascii="Palatino Linotype" w:hAnsi="Palatino Linotype" w:cs="Arial"/>
        </w:rPr>
      </w:pPr>
      <w:r w:rsidRPr="00717D41">
        <w:rPr>
          <w:rFonts w:ascii="Palatino Linotype" w:hAnsi="Palatino Linotype" w:cs="Arial"/>
        </w:rPr>
        <w:t xml:space="preserve">Retenciones del Impuesto Sobre la Renta por Salarios, Honorarios y Arrendamiento del periodo del 01 de enero de 2019, hasta el 31 de octubre de 2021 </w:t>
      </w:r>
    </w:p>
    <w:p w:rsidR="0013455B" w:rsidP="0013455B" w:rsidRDefault="0013455B" w14:paraId="04A76E91" w14:textId="77777777">
      <w:pPr>
        <w:tabs>
          <w:tab w:val="left" w:pos="4962"/>
        </w:tabs>
        <w:spacing w:line="360" w:lineRule="auto"/>
        <w:jc w:val="both"/>
        <w:rPr>
          <w:rFonts w:ascii="Palatino Linotype" w:hAnsi="Palatino Linotype" w:cs="Tahoma"/>
          <w:bCs/>
          <w:iCs/>
          <w:sz w:val="22"/>
          <w:szCs w:val="22"/>
          <w:lang w:val="es-ES_tradnl"/>
        </w:rPr>
      </w:pPr>
    </w:p>
    <w:p w:rsidRPr="00F55329" w:rsidR="0013455B" w:rsidP="0013455B" w:rsidRDefault="0013455B" w14:paraId="26496DF8" w14:textId="77777777">
      <w:pPr>
        <w:autoSpaceDE w:val="0"/>
        <w:autoSpaceDN w:val="0"/>
        <w:adjustRightInd w:val="0"/>
        <w:spacing w:line="360" w:lineRule="auto"/>
        <w:jc w:val="both"/>
        <w:rPr>
          <w:rFonts w:ascii="Palatino Linotype" w:hAnsi="Palatino Linotype" w:eastAsia="Calibri" w:cs="Tahoma"/>
          <w:bCs/>
          <w:iCs/>
          <w:color w:val="000000"/>
          <w:sz w:val="22"/>
          <w:szCs w:val="22"/>
          <w:lang w:eastAsia="en-US"/>
        </w:rPr>
      </w:pPr>
      <w:r w:rsidRPr="007D6750">
        <w:rPr>
          <w:rFonts w:ascii="Palatino Linotype" w:hAnsi="Palatino Linotype" w:cs="Tahoma"/>
          <w:sz w:val="22"/>
          <w:szCs w:val="22"/>
          <w:lang w:val="es-ES"/>
        </w:rPr>
        <w:t>Junto con las versiones públicas que se entreguen, se deberá proporcionar el Acuerdo de Clasificación donde el Comité de Transparencia, confirme la eliminación de los datos y documentos confidenciales, de conformidad con los art</w:t>
      </w:r>
      <w:r>
        <w:rPr>
          <w:rFonts w:ascii="Palatino Linotype" w:hAnsi="Palatino Linotype" w:cs="Tahoma"/>
          <w:sz w:val="22"/>
          <w:szCs w:val="22"/>
          <w:lang w:val="es-ES"/>
        </w:rPr>
        <w:t>ículos 49, fracciones II y VIII</w:t>
      </w:r>
      <w:r w:rsidRPr="007D6750">
        <w:rPr>
          <w:rFonts w:ascii="Palatino Linotype" w:hAnsi="Palatino Linotype" w:cs="Tahoma"/>
          <w:sz w:val="22"/>
          <w:szCs w:val="22"/>
          <w:lang w:val="es-ES"/>
        </w:rPr>
        <w:t xml:space="preserve"> </w:t>
      </w:r>
      <w:r w:rsidRPr="00F55329">
        <w:rPr>
          <w:rFonts w:ascii="Palatino Linotype" w:hAnsi="Palatino Linotype" w:eastAsia="Calibri" w:cs="Tahoma"/>
          <w:bCs/>
          <w:iCs/>
          <w:color w:val="000000"/>
          <w:sz w:val="22"/>
          <w:szCs w:val="22"/>
          <w:lang w:eastAsia="en-US"/>
        </w:rPr>
        <w:t>y 132, fracción II de la Ley de Transparencia y Acceso a la Información Pública del Estado de México y Municipios.</w:t>
      </w:r>
    </w:p>
    <w:p w:rsidR="0013455B" w:rsidP="0013455B" w:rsidRDefault="0013455B" w14:paraId="6A0C8CE5" w14:textId="77777777">
      <w:pPr>
        <w:spacing w:line="360" w:lineRule="auto"/>
        <w:ind w:right="-93"/>
        <w:jc w:val="both"/>
        <w:rPr>
          <w:rFonts w:ascii="Palatino Linotype" w:hAnsi="Palatino Linotype" w:eastAsia="Calibri" w:cs="Tahoma"/>
          <w:bCs/>
          <w:sz w:val="22"/>
          <w:szCs w:val="22"/>
          <w:lang w:eastAsia="en-US"/>
        </w:rPr>
      </w:pPr>
    </w:p>
    <w:p w:rsidR="0013455B" w:rsidP="0013455B" w:rsidRDefault="0013455B" w14:paraId="7E862A2B" w14:textId="5824CAA8">
      <w:pPr>
        <w:spacing w:line="360" w:lineRule="auto"/>
        <w:ind w:right="-93"/>
        <w:jc w:val="both"/>
        <w:rPr>
          <w:rFonts w:ascii="Palatino Linotype" w:hAnsi="Palatino Linotype" w:eastAsia="Calibri" w:cs="Tahoma"/>
          <w:bCs/>
          <w:sz w:val="22"/>
          <w:szCs w:val="22"/>
          <w:lang w:eastAsia="en-US"/>
        </w:rPr>
      </w:pPr>
      <w:r w:rsidRPr="0013455B">
        <w:rPr>
          <w:rFonts w:ascii="Palatino Linotype" w:hAnsi="Palatino Linotype" w:eastAsia="Calibri" w:cs="Tahoma"/>
          <w:bCs/>
          <w:sz w:val="22"/>
          <w:szCs w:val="22"/>
          <w:lang w:eastAsia="en-US"/>
        </w:rPr>
        <w:t xml:space="preserve">Para la expedición de la información en medios magnéticos (con costo) y CD-ROM (con costo), el Sujeto Obligado deberá informar al Recurrente mediante SAIMEX el procedimiento exacto </w:t>
      </w:r>
      <w:r w:rsidRPr="0013455B">
        <w:rPr>
          <w:rFonts w:ascii="Palatino Linotype" w:hAnsi="Palatino Linotype" w:eastAsia="Calibri" w:cs="Tahoma"/>
          <w:bCs/>
          <w:sz w:val="22"/>
          <w:szCs w:val="22"/>
          <w:lang w:eastAsia="en-US"/>
        </w:rPr>
        <w:lastRenderedPageBreak/>
        <w:t>y detallado para su obtención (lugar, días, horas hábiles</w:t>
      </w:r>
      <w:r w:rsidR="00581BF3">
        <w:rPr>
          <w:rFonts w:ascii="Palatino Linotype" w:hAnsi="Palatino Linotype" w:eastAsia="Calibri" w:cs="Tahoma"/>
          <w:bCs/>
          <w:sz w:val="22"/>
          <w:szCs w:val="22"/>
          <w:lang w:eastAsia="en-US"/>
        </w:rPr>
        <w:t xml:space="preserve"> y servidor público que le atenderá</w:t>
      </w:r>
      <w:r w:rsidR="001A6CBB">
        <w:rPr>
          <w:rFonts w:ascii="Palatino Linotype" w:hAnsi="Palatino Linotype" w:eastAsia="Calibri" w:cs="Tahoma"/>
          <w:bCs/>
          <w:sz w:val="22"/>
          <w:szCs w:val="22"/>
          <w:lang w:eastAsia="en-US"/>
        </w:rPr>
        <w:t>)</w:t>
      </w:r>
      <w:r w:rsidR="00581BF3">
        <w:rPr>
          <w:rFonts w:ascii="Palatino Linotype" w:hAnsi="Palatino Linotype" w:eastAsia="Calibri" w:cs="Tahoma"/>
          <w:bCs/>
          <w:sz w:val="22"/>
          <w:szCs w:val="22"/>
          <w:lang w:eastAsia="en-US"/>
        </w:rPr>
        <w:t xml:space="preserve"> y deberá </w:t>
      </w:r>
      <w:r w:rsidR="001A6CBB">
        <w:rPr>
          <w:rFonts w:ascii="Palatino Linotype" w:hAnsi="Palatino Linotype" w:eastAsia="Calibri" w:cs="Tahoma"/>
          <w:bCs/>
          <w:sz w:val="22"/>
          <w:szCs w:val="22"/>
          <w:lang w:eastAsia="en-US"/>
        </w:rPr>
        <w:t>acreditar e</w:t>
      </w:r>
      <w:r w:rsidRPr="0013455B">
        <w:rPr>
          <w:rFonts w:ascii="Palatino Linotype" w:hAnsi="Palatino Linotype" w:eastAsia="Calibri" w:cs="Tahoma"/>
          <w:bCs/>
          <w:sz w:val="22"/>
          <w:szCs w:val="22"/>
          <w:lang w:eastAsia="en-US"/>
        </w:rPr>
        <w:t xml:space="preserve">l Sujeto Obligado la entrega de la información al Recurrente. Para el caso de que el </w:t>
      </w:r>
      <w:r w:rsidRPr="0013455B" w:rsidR="001A6CBB">
        <w:rPr>
          <w:rFonts w:ascii="Palatino Linotype" w:hAnsi="Palatino Linotype" w:eastAsia="Calibri" w:cs="Tahoma"/>
          <w:bCs/>
          <w:sz w:val="22"/>
          <w:szCs w:val="22"/>
          <w:lang w:eastAsia="en-US"/>
        </w:rPr>
        <w:t xml:space="preserve">Particular </w:t>
      </w:r>
      <w:r w:rsidRPr="0013455B">
        <w:rPr>
          <w:rFonts w:ascii="Palatino Linotype" w:hAnsi="Palatino Linotype" w:eastAsia="Calibri" w:cs="Tahoma"/>
          <w:bCs/>
          <w:sz w:val="22"/>
          <w:szCs w:val="22"/>
          <w:lang w:eastAsia="en-US"/>
        </w:rPr>
        <w:t>proporcione a la autoridad municipal el medio magnético en el que requiera le sea entregada la información pública no habrá costo que cubrir.</w:t>
      </w:r>
    </w:p>
    <w:p w:rsidR="0013455B" w:rsidP="0013455B" w:rsidRDefault="0013455B" w14:paraId="7C0CB2EC" w14:textId="77777777">
      <w:pPr>
        <w:spacing w:line="360" w:lineRule="auto"/>
        <w:ind w:right="-93"/>
        <w:jc w:val="both"/>
        <w:rPr>
          <w:rFonts w:ascii="Palatino Linotype" w:hAnsi="Palatino Linotype" w:eastAsia="Calibri" w:cs="Tahoma"/>
          <w:bCs/>
          <w:sz w:val="22"/>
          <w:szCs w:val="22"/>
          <w:lang w:eastAsia="en-US"/>
        </w:rPr>
      </w:pPr>
    </w:p>
    <w:p w:rsidR="0013455B" w:rsidP="0013455B" w:rsidRDefault="0013455B" w14:paraId="0E38F8F4" w14:textId="492FECE8">
      <w:pPr>
        <w:spacing w:line="360" w:lineRule="auto"/>
        <w:ind w:right="-93"/>
        <w:jc w:val="both"/>
        <w:rPr>
          <w:rFonts w:ascii="Palatino Linotype" w:hAnsi="Palatino Linotype" w:eastAsia="Calibri" w:cs="Tahoma"/>
          <w:bCs/>
          <w:sz w:val="22"/>
          <w:szCs w:val="22"/>
          <w:lang w:eastAsia="en-US"/>
        </w:rPr>
      </w:pPr>
      <w:r w:rsidRPr="0013455B">
        <w:rPr>
          <w:rFonts w:ascii="Palatino Linotype" w:hAnsi="Palatino Linotype" w:eastAsia="Calibri" w:cs="Tahoma"/>
          <w:bCs/>
          <w:sz w:val="22"/>
          <w:szCs w:val="22"/>
          <w:lang w:eastAsia="en-US"/>
        </w:rPr>
        <w:t>Respecto del</w:t>
      </w:r>
      <w:r w:rsidR="001A6CBB">
        <w:rPr>
          <w:rFonts w:ascii="Palatino Linotype" w:hAnsi="Palatino Linotype" w:eastAsia="Calibri" w:cs="Tahoma"/>
          <w:bCs/>
          <w:sz w:val="22"/>
          <w:szCs w:val="22"/>
          <w:lang w:eastAsia="en-US"/>
        </w:rPr>
        <w:t xml:space="preserve"> punto </w:t>
      </w:r>
      <w:r w:rsidR="00315D56">
        <w:rPr>
          <w:rFonts w:ascii="Palatino Linotype" w:hAnsi="Palatino Linotype" w:eastAsia="Calibri" w:cs="Tahoma"/>
          <w:bCs/>
          <w:sz w:val="22"/>
          <w:szCs w:val="22"/>
          <w:lang w:eastAsia="en-US"/>
        </w:rPr>
        <w:t>2.1</w:t>
      </w:r>
      <w:r w:rsidRPr="0013455B">
        <w:rPr>
          <w:rFonts w:ascii="Palatino Linotype" w:hAnsi="Palatino Linotype" w:eastAsia="Calibri" w:cs="Tahoma"/>
          <w:bCs/>
          <w:sz w:val="22"/>
          <w:szCs w:val="22"/>
          <w:lang w:eastAsia="en-US"/>
        </w:rPr>
        <w:t xml:space="preserve">, en el supuesto que una vez agotada la búsqueda de la información, se acredite no contar con la misma, deberá hacerlo del conocimiento del Recurrente, </w:t>
      </w:r>
      <w:r w:rsidR="00581BF3">
        <w:rPr>
          <w:rFonts w:ascii="Palatino Linotype" w:hAnsi="Palatino Linotype" w:eastAsia="Calibri" w:cs="Tahoma"/>
          <w:bCs/>
          <w:sz w:val="22"/>
          <w:szCs w:val="22"/>
          <w:lang w:eastAsia="en-US"/>
        </w:rPr>
        <w:t>de manera precisa y clara.</w:t>
      </w:r>
    </w:p>
    <w:p w:rsidR="0013455B" w:rsidP="0013455B" w:rsidRDefault="0013455B" w14:paraId="3AB36DCD" w14:textId="77777777">
      <w:pPr>
        <w:tabs>
          <w:tab w:val="left" w:pos="4962"/>
        </w:tabs>
        <w:spacing w:line="360" w:lineRule="auto"/>
        <w:jc w:val="both"/>
        <w:rPr>
          <w:rFonts w:ascii="Palatino Linotype" w:hAnsi="Palatino Linotype" w:cs="Tahoma"/>
          <w:bCs/>
          <w:iCs/>
          <w:sz w:val="22"/>
          <w:szCs w:val="22"/>
          <w:lang w:val="es-ES_tradnl"/>
        </w:rPr>
      </w:pPr>
    </w:p>
    <w:p w:rsidRPr="00733CE0" w:rsidR="0013455B" w:rsidP="0013455B" w:rsidRDefault="0013455B" w14:paraId="10881E0D" w14:textId="77777777">
      <w:pPr>
        <w:spacing w:line="360" w:lineRule="auto"/>
        <w:contextualSpacing/>
        <w:jc w:val="both"/>
        <w:rPr>
          <w:rFonts w:ascii="Palatino Linotype" w:hAnsi="Palatino Linotype" w:cs="Tahoma"/>
          <w:sz w:val="22"/>
          <w:szCs w:val="22"/>
        </w:rPr>
      </w:pPr>
      <w:r w:rsidRPr="00733CE0">
        <w:rPr>
          <w:rFonts w:ascii="Palatino Linotype" w:hAnsi="Palatino Linotype" w:eastAsia="Calibri" w:cs="Tahoma"/>
          <w:b/>
          <w:bCs/>
          <w:sz w:val="22"/>
          <w:szCs w:val="22"/>
          <w:lang w:eastAsia="en-US"/>
        </w:rPr>
        <w:t xml:space="preserve">TERCERO. </w:t>
      </w:r>
      <w:r w:rsidRPr="00733CE0">
        <w:rPr>
          <w:rFonts w:ascii="Palatino Linotype" w:hAnsi="Palatino Linotype" w:cs="Tahoma"/>
          <w:b/>
          <w:sz w:val="22"/>
          <w:szCs w:val="22"/>
        </w:rPr>
        <w:t xml:space="preserve">NOTIFÍQUESE </w:t>
      </w:r>
      <w:r w:rsidRPr="00733CE0">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w:t>
      </w:r>
      <w:r w:rsidRPr="00374AC2">
        <w:rPr>
          <w:rFonts w:ascii="Palatino Linotype" w:hAnsi="Palatino Linotype" w:cs="Tahoma"/>
          <w:sz w:val="22"/>
          <w:szCs w:val="22"/>
        </w:rPr>
        <w:t xml:space="preserve">de </w:t>
      </w:r>
      <w:r>
        <w:rPr>
          <w:rFonts w:ascii="Palatino Linotype" w:hAnsi="Palatino Linotype" w:cs="Tahoma"/>
          <w:sz w:val="22"/>
          <w:szCs w:val="22"/>
        </w:rPr>
        <w:t>diez</w:t>
      </w:r>
      <w:r w:rsidRPr="00374AC2">
        <w:rPr>
          <w:rFonts w:ascii="Palatino Linotype" w:hAnsi="Palatino Linotype" w:cs="Tahoma"/>
          <w:sz w:val="22"/>
          <w:szCs w:val="22"/>
        </w:rPr>
        <w:t xml:space="preserve"> días hábiles, e informe</w:t>
      </w:r>
      <w:r w:rsidRPr="00733CE0">
        <w:rPr>
          <w:rFonts w:ascii="Palatino Linotype" w:hAnsi="Palatino Linotype" w:cs="Tahoma"/>
          <w:sz w:val="22"/>
          <w:szCs w:val="22"/>
        </w:rPr>
        <w:t xml:space="preserve"> a este Instituto en un plazo de tres días hábiles siguientes sobre el cumplimiento dado a la presente.</w:t>
      </w:r>
    </w:p>
    <w:p w:rsidRPr="00733CE0" w:rsidR="0013455B" w:rsidP="0013455B" w:rsidRDefault="0013455B" w14:paraId="50F5A4A0" w14:textId="77777777">
      <w:pPr>
        <w:spacing w:line="360" w:lineRule="auto"/>
        <w:contextualSpacing/>
        <w:jc w:val="both"/>
        <w:rPr>
          <w:rFonts w:ascii="Palatino Linotype" w:hAnsi="Palatino Linotype" w:cs="Tahoma"/>
          <w:sz w:val="22"/>
          <w:szCs w:val="22"/>
        </w:rPr>
      </w:pPr>
    </w:p>
    <w:p w:rsidRPr="00733CE0" w:rsidR="0013455B" w:rsidP="0013455B" w:rsidRDefault="0013455B" w14:paraId="7AB96809" w14:textId="77777777">
      <w:pPr>
        <w:spacing w:line="360" w:lineRule="auto"/>
        <w:contextualSpacing/>
        <w:jc w:val="both"/>
        <w:rPr>
          <w:rFonts w:ascii="Palatino Linotype" w:hAnsi="Palatino Linotype" w:cs="Tahoma"/>
          <w:iCs/>
          <w:sz w:val="22"/>
          <w:szCs w:val="22"/>
        </w:rPr>
      </w:pPr>
      <w:r w:rsidRPr="00733CE0">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733CE0" w:rsidR="0013455B" w:rsidP="0013455B" w:rsidRDefault="0013455B" w14:paraId="35D92046" w14:textId="77777777">
      <w:pPr>
        <w:spacing w:line="360" w:lineRule="auto"/>
        <w:contextualSpacing/>
        <w:jc w:val="both"/>
        <w:rPr>
          <w:rFonts w:ascii="Palatino Linotype" w:hAnsi="Palatino Linotype" w:eastAsia="Calibri" w:cs="Tahoma"/>
          <w:color w:val="000000"/>
          <w:sz w:val="22"/>
          <w:szCs w:val="22"/>
          <w:lang w:val="es-ES" w:eastAsia="es-MX"/>
        </w:rPr>
      </w:pPr>
    </w:p>
    <w:p w:rsidR="0013455B" w:rsidP="0013455B" w:rsidRDefault="0013455B" w14:paraId="65B7F2C5" w14:textId="77777777">
      <w:pPr>
        <w:spacing w:line="360" w:lineRule="auto"/>
        <w:contextualSpacing/>
        <w:jc w:val="both"/>
        <w:rPr>
          <w:rFonts w:ascii="Palatino Linotype" w:hAnsi="Palatino Linotype" w:cs="Tahoma"/>
          <w:color w:val="000000" w:themeColor="text1"/>
          <w:sz w:val="22"/>
          <w:szCs w:val="22"/>
        </w:rPr>
      </w:pPr>
      <w:r w:rsidRPr="00733CE0">
        <w:rPr>
          <w:rFonts w:ascii="Palatino Linotype" w:hAnsi="Palatino Linotype" w:eastAsia="Calibri" w:cs="Tahoma"/>
          <w:b/>
          <w:color w:val="000000" w:themeColor="text1"/>
          <w:sz w:val="22"/>
          <w:szCs w:val="22"/>
          <w:lang w:eastAsia="es-MX"/>
        </w:rPr>
        <w:t>CUARTO</w:t>
      </w:r>
      <w:r w:rsidRPr="00733CE0">
        <w:rPr>
          <w:rFonts w:ascii="Palatino Linotype" w:hAnsi="Palatino Linotype" w:eastAsia="Calibri" w:cs="Tahoma"/>
          <w:b/>
          <w:bCs/>
          <w:color w:val="000000" w:themeColor="text1"/>
          <w:sz w:val="22"/>
          <w:szCs w:val="22"/>
          <w:lang w:eastAsia="en-US"/>
        </w:rPr>
        <w:t xml:space="preserve">. </w:t>
      </w:r>
      <w:r w:rsidRPr="00733CE0">
        <w:rPr>
          <w:rFonts w:ascii="Palatino Linotype" w:hAnsi="Palatino Linotype" w:cs="Tahoma"/>
          <w:b/>
          <w:color w:val="000000" w:themeColor="text1"/>
          <w:sz w:val="22"/>
          <w:szCs w:val="22"/>
        </w:rPr>
        <w:t>NOTIFÍQUESE</w:t>
      </w:r>
      <w:r w:rsidRPr="00733CE0">
        <w:rPr>
          <w:rFonts w:ascii="Palatino Linotype" w:hAnsi="Palatino Linotype" w:cs="Tahoma"/>
          <w:color w:val="000000" w:themeColor="text1"/>
          <w:sz w:val="22"/>
          <w:szCs w:val="22"/>
        </w:rPr>
        <w:t xml:space="preserve"> al Recurrente </w:t>
      </w:r>
      <w:r>
        <w:rPr>
          <w:rFonts w:ascii="Palatino Linotype" w:hAnsi="Palatino Linotype" w:cs="Tahoma"/>
          <w:color w:val="000000" w:themeColor="text1"/>
          <w:sz w:val="22"/>
          <w:szCs w:val="22"/>
        </w:rPr>
        <w:t xml:space="preserve">la presente Resolución a través </w:t>
      </w:r>
      <w:r w:rsidRPr="00733CE0">
        <w:rPr>
          <w:rFonts w:ascii="Palatino Linotype" w:hAnsi="Palatino Linotype" w:cs="Tahoma"/>
          <w:color w:val="000000" w:themeColor="text1"/>
          <w:sz w:val="22"/>
          <w:szCs w:val="22"/>
        </w:rPr>
        <w:t xml:space="preserve">del </w:t>
      </w:r>
      <w:r w:rsidRPr="00733CE0">
        <w:rPr>
          <w:rFonts w:ascii="Palatino Linotype" w:hAnsi="Palatino Linotype" w:eastAsia="Calibri" w:cs="Tahoma"/>
          <w:bCs/>
          <w:color w:val="000000" w:themeColor="text1"/>
          <w:sz w:val="22"/>
          <w:szCs w:val="22"/>
          <w:lang w:eastAsia="en-US"/>
        </w:rPr>
        <w:t>Sistema de Acceso a la Información Mexiquense (SAIMEX)</w:t>
      </w:r>
      <w:r w:rsidR="00ED251B">
        <w:rPr>
          <w:rFonts w:ascii="Palatino Linotype" w:hAnsi="Palatino Linotype" w:cs="Tahoma"/>
          <w:color w:val="000000" w:themeColor="text1"/>
          <w:sz w:val="22"/>
          <w:szCs w:val="22"/>
        </w:rPr>
        <w:t xml:space="preserve"> y por correo electrónico,</w:t>
      </w:r>
      <w:r w:rsidRPr="00733CE0">
        <w:rPr>
          <w:rFonts w:ascii="Palatino Linotype" w:hAnsi="Palatino Linotype" w:cs="Tahoma"/>
          <w:color w:val="000000" w:themeColor="text1"/>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CB26C0" w:rsidR="0013455B" w:rsidP="00A511BB" w:rsidRDefault="0013455B" w14:paraId="5CE96B7F" w14:textId="77777777">
      <w:pPr>
        <w:spacing w:line="360" w:lineRule="auto"/>
        <w:jc w:val="both"/>
        <w:rPr>
          <w:rFonts w:ascii="Palatino Linotype" w:hAnsi="Palatino Linotype" w:cs="Tahoma"/>
          <w:b/>
          <w:sz w:val="22"/>
          <w:szCs w:val="22"/>
          <w:lang w:val="es-ES"/>
        </w:rPr>
      </w:pPr>
    </w:p>
    <w:p w:rsidR="00733CE0" w:rsidP="00147516" w:rsidRDefault="00C92916" w14:paraId="01CDD19D" w14:textId="77777777">
      <w:pPr>
        <w:spacing w:line="360" w:lineRule="auto"/>
        <w:contextualSpacing/>
        <w:jc w:val="both"/>
        <w:rPr>
          <w:rFonts w:ascii="Palatino Linotype" w:hAnsi="Palatino Linotype" w:cs="Tahoma"/>
          <w:sz w:val="22"/>
          <w:szCs w:val="22"/>
        </w:rPr>
      </w:pPr>
      <w:r w:rsidRPr="00C92916">
        <w:rPr>
          <w:rFonts w:ascii="Palatino Linotype" w:hAnsi="Palatino Linotype" w:cs="Tahoma"/>
          <w:sz w:val="22"/>
          <w:szCs w:val="22"/>
          <w:lang w:eastAsia="es-MX"/>
        </w:rPr>
        <w:lastRenderedPageBreak/>
        <w:t xml:space="preserve">ASÍ LO RESUELVE, POR </w:t>
      </w:r>
      <w:r w:rsidRPr="00C92916">
        <w:rPr>
          <w:rFonts w:ascii="Palatino Linotype" w:hAnsi="Palatino Linotype" w:cs="Tahoma"/>
          <w:b/>
          <w:sz w:val="22"/>
          <w:szCs w:val="22"/>
          <w:lang w:eastAsia="es-MX"/>
        </w:rPr>
        <w:t>UNANIMIDAD</w:t>
      </w:r>
      <w:r w:rsidRPr="00C9291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259E6">
        <w:rPr>
          <w:rFonts w:ascii="Palatino Linotype" w:hAnsi="Palatino Linotype" w:cs="Tahoma"/>
          <w:sz w:val="22"/>
          <w:szCs w:val="22"/>
          <w:lang w:eastAsia="es-MX"/>
        </w:rPr>
        <w:t>,</w:t>
      </w:r>
      <w:r w:rsidRPr="00C92916">
        <w:rPr>
          <w:rFonts w:ascii="Palatino Linotype" w:hAnsi="Palatino Linotype" w:cs="Tahoma"/>
          <w:sz w:val="22"/>
          <w:szCs w:val="22"/>
          <w:lang w:eastAsia="es-MX"/>
        </w:rPr>
        <w:t xml:space="preserve"> LUIS GUSTAVO PARRA NORIEGA Y GUADALUPE RAMÍREZ PEÑA, EN LA </w:t>
      </w:r>
      <w:r w:rsidR="008939CF">
        <w:rPr>
          <w:rFonts w:ascii="Palatino Linotype" w:hAnsi="Palatino Linotype" w:cs="Tahoma"/>
          <w:sz w:val="22"/>
          <w:szCs w:val="22"/>
          <w:lang w:eastAsia="es-MX"/>
        </w:rPr>
        <w:t xml:space="preserve">DÉCIMA </w:t>
      </w:r>
      <w:r w:rsidR="00315D56">
        <w:rPr>
          <w:rFonts w:ascii="Palatino Linotype" w:hAnsi="Palatino Linotype" w:cs="Tahoma"/>
          <w:sz w:val="22"/>
          <w:szCs w:val="22"/>
          <w:lang w:eastAsia="es-MX"/>
        </w:rPr>
        <w:t>SEXTA</w:t>
      </w:r>
      <w:r w:rsidR="00C67C44">
        <w:rPr>
          <w:rFonts w:ascii="Palatino Linotype" w:hAnsi="Palatino Linotype" w:cs="Tahoma"/>
          <w:sz w:val="22"/>
          <w:szCs w:val="22"/>
          <w:lang w:eastAsia="es-MX"/>
        </w:rPr>
        <w:t xml:space="preserve"> </w:t>
      </w:r>
      <w:r w:rsidRPr="00C92916">
        <w:rPr>
          <w:rFonts w:ascii="Palatino Linotype" w:hAnsi="Palatino Linotype" w:cs="Tahoma"/>
          <w:sz w:val="22"/>
          <w:szCs w:val="22"/>
          <w:lang w:eastAsia="es-MX"/>
        </w:rPr>
        <w:t xml:space="preserve">SESIÓN ORDINARIA, CELEBRADA EL </w:t>
      </w:r>
      <w:r w:rsidR="00315D56">
        <w:rPr>
          <w:rFonts w:ascii="Palatino Linotype" w:hAnsi="Palatino Linotype" w:cs="Tahoma"/>
          <w:sz w:val="22"/>
          <w:szCs w:val="22"/>
          <w:lang w:eastAsia="es-MX"/>
        </w:rPr>
        <w:t xml:space="preserve">CUATRO DE MAYO </w:t>
      </w:r>
      <w:r w:rsidR="00A27BA0">
        <w:rPr>
          <w:rFonts w:ascii="Palatino Linotype" w:hAnsi="Palatino Linotype" w:cs="Tahoma"/>
          <w:sz w:val="22"/>
          <w:szCs w:val="22"/>
          <w:lang w:eastAsia="es-MX"/>
        </w:rPr>
        <w:t>DE DOS MIL VEINTIDÓS</w:t>
      </w:r>
      <w:r w:rsidRPr="00C92916">
        <w:rPr>
          <w:rFonts w:ascii="Palatino Linotype" w:hAnsi="Palatino Linotype" w:cs="Tahoma"/>
          <w:sz w:val="22"/>
          <w:szCs w:val="22"/>
          <w:lang w:eastAsia="es-MX"/>
        </w:rPr>
        <w:t>, ANTE EL SECRETARIO TÉCNICO DEL PLENO, ALEXIS TAPIA RAMÍREZ.</w:t>
      </w:r>
    </w:p>
    <w:p w:rsidR="00A02C41" w:rsidRDefault="00A02C41" w14:paraId="7A82BB42" w14:textId="25364668">
      <w:pPr>
        <w:spacing w:after="160" w:line="259" w:lineRule="auto"/>
        <w:rPr>
          <w:rFonts w:ascii="Palatino Linotype" w:hAnsi="Palatino Linotype" w:cs="Tahoma"/>
          <w:bCs/>
          <w:sz w:val="22"/>
          <w:szCs w:val="22"/>
        </w:rPr>
      </w:pPr>
      <w:r>
        <w:rPr>
          <w:rFonts w:ascii="Palatino Linotype" w:hAnsi="Palatino Linotype" w:cs="Tahoma"/>
          <w:bCs/>
          <w:sz w:val="22"/>
          <w:szCs w:val="22"/>
        </w:rPr>
        <w:br w:type="page"/>
      </w:r>
    </w:p>
    <w:p w:rsidRPr="00A02C41" w:rsidR="003A1DF0" w:rsidP="00147516" w:rsidRDefault="003A1DF0" w14:paraId="2E37DC33" w14:textId="77777777">
      <w:pPr>
        <w:spacing w:line="360" w:lineRule="auto"/>
        <w:contextualSpacing/>
        <w:jc w:val="both"/>
        <w:rPr>
          <w:rFonts w:ascii="Palatino Linotype" w:hAnsi="Palatino Linotype" w:cs="Tahoma"/>
          <w:sz w:val="22"/>
          <w:szCs w:val="22"/>
        </w:rPr>
      </w:pPr>
    </w:p>
    <w:sectPr w:rsidRPr="00A02C41" w:rsidR="003A1DF0" w:rsidSect="00DB7E5F">
      <w:headerReference w:type="even" r:id="rId10"/>
      <w:headerReference w:type="default" r:id="rId11"/>
      <w:footerReference w:type="default" r:id="rId12"/>
      <w:headerReference w:type="first" r:id="rId13"/>
      <w:footerReference w:type="first" r:id="rId14"/>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5D99" w:rsidP="00B31222" w:rsidRDefault="00145D99" w14:paraId="225F6112" w14:textId="77777777">
      <w:r>
        <w:separator/>
      </w:r>
    </w:p>
  </w:endnote>
  <w:endnote w:type="continuationSeparator" w:id="0">
    <w:p w:rsidR="00145D99" w:rsidP="00B31222" w:rsidRDefault="00145D99" w14:paraId="02885CC1" w14:textId="77777777">
      <w:r>
        <w:continuationSeparator/>
      </w:r>
    </w:p>
  </w:endnote>
  <w:endnote w:type="continuationNotice" w:id="1">
    <w:p w:rsidR="00145D99" w:rsidRDefault="00145D99" w14:paraId="7385154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695B29" w:rsidRDefault="00695B29" w14:paraId="11BF4340"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A08E4">
              <w:rPr>
                <w:b/>
                <w:bCs/>
                <w:noProof/>
              </w:rPr>
              <w:t>49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A08E4">
              <w:rPr>
                <w:b/>
                <w:bCs/>
                <w:noProof/>
              </w:rPr>
              <w:t>49</w:t>
            </w:r>
            <w:r>
              <w:rPr>
                <w:b/>
                <w:bCs/>
                <w:sz w:val="24"/>
                <w:szCs w:val="24"/>
              </w:rPr>
              <w:fldChar w:fldCharType="end"/>
            </w:r>
          </w:p>
        </w:sdtContent>
      </w:sdt>
    </w:sdtContent>
  </w:sdt>
  <w:p w:rsidR="00695B29" w:rsidRDefault="00695B29" w14:paraId="7183B475"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5B29" w:rsidRDefault="00695B29" w14:paraId="523A027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A08E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A08E4">
      <w:rPr>
        <w:b/>
        <w:bCs/>
        <w:noProof/>
      </w:rPr>
      <w:t>49</w:t>
    </w:r>
    <w:r>
      <w:rPr>
        <w:b/>
        <w:bCs/>
        <w:sz w:val="24"/>
        <w:szCs w:val="24"/>
      </w:rPr>
      <w:fldChar w:fldCharType="end"/>
    </w:r>
  </w:p>
  <w:p w:rsidR="00695B29" w:rsidRDefault="00695B29" w14:paraId="167D9F52"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5D99" w:rsidP="00B31222" w:rsidRDefault="00145D99" w14:paraId="72FDD33F" w14:textId="77777777">
      <w:r>
        <w:separator/>
      </w:r>
    </w:p>
  </w:footnote>
  <w:footnote w:type="continuationSeparator" w:id="0">
    <w:p w:rsidR="00145D99" w:rsidP="00B31222" w:rsidRDefault="00145D99" w14:paraId="5FF85428" w14:textId="77777777">
      <w:r>
        <w:continuationSeparator/>
      </w:r>
    </w:p>
  </w:footnote>
  <w:footnote w:type="continuationNotice" w:id="1">
    <w:p w:rsidR="00145D99" w:rsidRDefault="00145D99" w14:paraId="19DED03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5B29" w:rsidRDefault="00A02C41" w14:paraId="709002D7" w14:textId="77777777">
    <w:pPr>
      <w:pStyle w:val="Encabezado"/>
    </w:pPr>
    <w:r>
      <w:rPr>
        <w:noProof/>
        <w:lang w:eastAsia="es-MX"/>
      </w:rPr>
      <w:pict w14:anchorId="065F2BD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7728;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695B29" w:rsidTr="00202DB8" w14:paraId="341BB67C" w14:textId="77777777">
      <w:trPr>
        <w:trHeight w:val="1435"/>
      </w:trPr>
      <w:tc>
        <w:tcPr>
          <w:tcW w:w="2835" w:type="dxa"/>
          <w:shd w:val="clear" w:color="auto" w:fill="auto"/>
        </w:tcPr>
        <w:p w:rsidRPr="005C106F" w:rsidR="00695B29" w:rsidP="00EF4A64" w:rsidRDefault="00695B29" w14:paraId="5DE0BACB" w14:textId="77777777">
          <w:pPr>
            <w:tabs>
              <w:tab w:val="right" w:pos="4273"/>
            </w:tabs>
            <w:rPr>
              <w:rFonts w:ascii="Garamond" w:hAnsi="Garamond" w:eastAsia="Calibri"/>
              <w:sz w:val="16"/>
              <w:szCs w:val="16"/>
              <w:lang w:eastAsia="en-US"/>
            </w:rPr>
          </w:pPr>
          <w:r>
            <w:rPr>
              <w:rFonts w:ascii="Garamond" w:hAnsi="Garamond" w:eastAsia="Calibri"/>
              <w:noProof/>
              <w:sz w:val="16"/>
              <w:szCs w:val="16"/>
              <w:lang w:eastAsia="es-MX"/>
            </w:rPr>
            <w:drawing>
              <wp:anchor distT="0" distB="0" distL="114300" distR="114300" simplePos="0" relativeHeight="251656704" behindDoc="1" locked="0" layoutInCell="0" allowOverlap="1" wp14:anchorId="0C214B6C" wp14:editId="745714D2">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rsidR="00695B29" w:rsidP="005743D2" w:rsidRDefault="00695B29" w14:paraId="116AF1E3" w14:textId="77777777"/>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00695B29" w:rsidTr="00DF3BE8" w14:paraId="63F498B3" w14:textId="77777777">
            <w:trPr>
              <w:trHeight w:val="144"/>
            </w:trPr>
            <w:tc>
              <w:tcPr>
                <w:tcW w:w="2589" w:type="dxa"/>
              </w:tcPr>
              <w:p w:rsidRPr="00431A70" w:rsidR="00695B29" w:rsidP="00E43A0F" w:rsidRDefault="00695B29" w14:paraId="4ECE59C5"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Pr>
              <w:p w:rsidRPr="00431A70" w:rsidR="00695B29" w:rsidP="00313021" w:rsidRDefault="00695B29" w14:paraId="5D56BF45" w14:textId="77777777">
                <w:pPr>
                  <w:tabs>
                    <w:tab w:val="right" w:pos="8838"/>
                  </w:tabs>
                  <w:ind w:left="-106"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01086</w:t>
                </w:r>
                <w:r w:rsidRPr="001A412B">
                  <w:rPr>
                    <w:rFonts w:ascii="Palatino Linotype" w:hAnsi="Palatino Linotype" w:eastAsia="Calibri" w:cs="Tahoma"/>
                    <w:b/>
                    <w:bCs/>
                    <w:sz w:val="22"/>
                    <w:szCs w:val="22"/>
                    <w:lang w:val="es-MX" w:eastAsia="en-US"/>
                  </w:rPr>
                  <w:t>/INFOEM/IP/RR/202</w:t>
                </w:r>
                <w:r>
                  <w:rPr>
                    <w:rFonts w:ascii="Palatino Linotype" w:hAnsi="Palatino Linotype" w:eastAsia="Calibri" w:cs="Tahoma"/>
                    <w:b/>
                    <w:bCs/>
                    <w:sz w:val="22"/>
                    <w:szCs w:val="22"/>
                    <w:lang w:val="es-MX" w:eastAsia="en-US"/>
                  </w:rPr>
                  <w:t>2</w:t>
                </w:r>
              </w:p>
            </w:tc>
          </w:tr>
          <w:tr w:rsidR="00695B29" w:rsidTr="00DF3BE8" w14:paraId="78CD6C1B" w14:textId="77777777">
            <w:trPr>
              <w:trHeight w:val="283"/>
            </w:trPr>
            <w:tc>
              <w:tcPr>
                <w:tcW w:w="2589" w:type="dxa"/>
              </w:tcPr>
              <w:p w:rsidRPr="00431A70" w:rsidR="00695B29" w:rsidP="00E43A0F" w:rsidRDefault="00695B29" w14:paraId="3992F4AD"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Pr>
              <w:p w:rsidRPr="005F13CF" w:rsidR="00695B29" w:rsidP="005F13CF" w:rsidRDefault="00695B29" w14:paraId="55C16F08" w14:textId="77777777">
                <w:pPr>
                  <w:tabs>
                    <w:tab w:val="left" w:pos="2834"/>
                    <w:tab w:val="right" w:pos="8838"/>
                  </w:tabs>
                  <w:ind w:left="-106" w:right="171"/>
                  <w:jc w:val="both"/>
                  <w:rPr>
                    <w:rFonts w:ascii="Palatino Linotype" w:hAnsi="Palatino Linotype" w:eastAsia="Calibri" w:cs="Tahoma"/>
                    <w:bCs/>
                    <w:sz w:val="22"/>
                    <w:szCs w:val="22"/>
                    <w:lang w:eastAsia="en-US"/>
                  </w:rPr>
                </w:pPr>
                <w:r w:rsidRPr="00313021">
                  <w:rPr>
                    <w:rFonts w:ascii="Palatino Linotype" w:hAnsi="Palatino Linotype" w:eastAsia="Calibri" w:cs="Tahoma"/>
                    <w:bCs/>
                    <w:sz w:val="22"/>
                    <w:szCs w:val="22"/>
                    <w:lang w:val="es-MX" w:eastAsia="en-US"/>
                  </w:rPr>
                  <w:t>Ayuntamiento de Amecameca</w:t>
                </w:r>
              </w:p>
            </w:tc>
          </w:tr>
          <w:tr w:rsidR="00695B29" w:rsidTr="00DF3BE8" w14:paraId="239CE3BC" w14:textId="77777777">
            <w:trPr>
              <w:trHeight w:val="283"/>
            </w:trPr>
            <w:tc>
              <w:tcPr>
                <w:tcW w:w="2589" w:type="dxa"/>
              </w:tcPr>
              <w:p w:rsidRPr="00431A70" w:rsidR="00695B29" w:rsidP="00E43A0F" w:rsidRDefault="00695B29" w14:paraId="7BB93EB7"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Pr>
              <w:p w:rsidRPr="00431A70" w:rsidR="00695B29" w:rsidP="005F13CF" w:rsidRDefault="00695B29" w14:paraId="0CA7FCE0"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695B29" w:rsidP="005743D2" w:rsidRDefault="00695B29" w14:paraId="54D96C47" w14:textId="77777777">
          <w:pPr>
            <w:tabs>
              <w:tab w:val="right" w:pos="8838"/>
            </w:tabs>
            <w:ind w:left="-28"/>
            <w:jc w:val="both"/>
            <w:rPr>
              <w:rFonts w:ascii="Arial" w:hAnsi="Arial" w:eastAsia="Calibri" w:cs="Arial"/>
              <w:b/>
              <w:sz w:val="22"/>
              <w:szCs w:val="22"/>
              <w:lang w:eastAsia="en-US"/>
            </w:rPr>
          </w:pPr>
        </w:p>
      </w:tc>
    </w:tr>
  </w:tbl>
  <w:p w:rsidRPr="00A25151" w:rsidR="00695B29" w:rsidP="00EF4A64" w:rsidRDefault="00695B29" w14:paraId="263492F5" w14:textId="77777777">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695B29" w:rsidTr="463849F1" w14:paraId="28EE9986" w14:textId="77777777">
      <w:trPr>
        <w:trHeight w:val="1435"/>
      </w:trPr>
      <w:tc>
        <w:tcPr>
          <w:tcW w:w="2835" w:type="dxa"/>
          <w:shd w:val="clear" w:color="auto" w:fill="auto"/>
          <w:tcMar/>
        </w:tcPr>
        <w:p w:rsidRPr="00330DA7" w:rsidR="00695B29" w:rsidP="00F805F6" w:rsidRDefault="00695B29" w14:paraId="211E4295" w14:textId="77777777">
          <w:pPr>
            <w:tabs>
              <w:tab w:val="right" w:pos="4273"/>
            </w:tabs>
            <w:rPr>
              <w:rFonts w:ascii="Garamond" w:hAnsi="Garamond" w:eastAsia="Calibri"/>
              <w:sz w:val="22"/>
              <w:szCs w:val="22"/>
              <w:lang w:eastAsia="en-US"/>
            </w:rPr>
          </w:pPr>
          <w:r>
            <w:rPr>
              <w:rFonts w:ascii="Garamond" w:hAnsi="Garamond" w:eastAsia="Calibri"/>
              <w:noProof/>
              <w:sz w:val="22"/>
              <w:szCs w:val="22"/>
              <w:lang w:eastAsia="es-MX"/>
            </w:rPr>
            <w:drawing>
              <wp:anchor distT="0" distB="0" distL="114300" distR="114300" simplePos="0" relativeHeight="251657728" behindDoc="1" locked="0" layoutInCell="0" allowOverlap="1" wp14:anchorId="4BC6AB08" wp14:editId="1F9C3DBB">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Mar/>
        </w:tcPr>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Pr="00431A70" w:rsidR="00695B29" w:rsidTr="463849F1" w14:paraId="79469CCF" w14:textId="77777777">
            <w:trPr>
              <w:trHeight w:val="144"/>
            </w:trPr>
            <w:tc>
              <w:tcPr>
                <w:tcW w:w="2589" w:type="dxa"/>
                <w:tcMar/>
              </w:tcPr>
              <w:p w:rsidRPr="00431A70" w:rsidR="00695B29" w:rsidP="00844CB5" w:rsidRDefault="00695B29" w14:paraId="20ED06ED"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Mar/>
              </w:tcPr>
              <w:p w:rsidRPr="00431A70" w:rsidR="00695B29" w:rsidP="00313021" w:rsidRDefault="00695B29" w14:paraId="402F7FCC" w14:textId="77777777">
                <w:pPr>
                  <w:tabs>
                    <w:tab w:val="right" w:pos="8838"/>
                  </w:tabs>
                  <w:ind w:left="-106"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 xml:space="preserve">01086/INFOEM/IP/RR/2022 </w:t>
                </w:r>
              </w:p>
            </w:tc>
          </w:tr>
          <w:tr w:rsidRPr="00286D0C" w:rsidR="00695B29" w:rsidTr="463849F1" w14:paraId="6CADB3BA" w14:textId="77777777">
            <w:trPr>
              <w:trHeight w:val="144"/>
            </w:trPr>
            <w:tc>
              <w:tcPr>
                <w:tcW w:w="2589" w:type="dxa"/>
                <w:tcMar/>
              </w:tcPr>
              <w:p w:rsidRPr="00431A70" w:rsidR="00695B29" w:rsidP="009A7587" w:rsidRDefault="00695B29" w14:paraId="24FA9A07"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543" w:type="dxa"/>
                <w:tcMar/>
              </w:tcPr>
              <w:p w:rsidRPr="00286D0C" w:rsidR="00695B29" w:rsidP="463849F1" w:rsidRDefault="00695B29" w14:paraId="3CF3B684" w14:textId="6BC38F2A">
                <w:pPr>
                  <w:tabs>
                    <w:tab w:val="left" w:pos="3122"/>
                    <w:tab w:val="right" w:pos="8838"/>
                  </w:tabs>
                  <w:ind w:left="-106" w:right="-105"/>
                  <w:jc w:val="both"/>
                  <w:rPr>
                    <w:rFonts w:ascii="Palatino Linotype" w:hAnsi="Palatino Linotype" w:eastAsia="Calibri" w:cs="Tahoma"/>
                    <w:sz w:val="22"/>
                    <w:szCs w:val="22"/>
                    <w:highlight w:val="black"/>
                    <w:lang w:eastAsia="en-US"/>
                  </w:rPr>
                </w:pPr>
                <w:r w:rsidRPr="463849F1" w:rsidR="463849F1">
                  <w:rPr>
                    <w:rFonts w:ascii="Palatino Linotype" w:hAnsi="Palatino Linotype" w:eastAsia="Calibri" w:cs="Tahoma"/>
                    <w:sz w:val="22"/>
                    <w:szCs w:val="22"/>
                    <w:highlight w:val="black"/>
                    <w:lang w:eastAsia="en-US"/>
                  </w:rPr>
                  <w:t>XXXXXXXXXXXXXX</w:t>
                </w:r>
              </w:p>
            </w:tc>
          </w:tr>
          <w:tr w:rsidRPr="00431A70" w:rsidR="00695B29" w:rsidTr="463849F1" w14:paraId="38BE01CB" w14:textId="77777777">
            <w:trPr>
              <w:trHeight w:val="283"/>
            </w:trPr>
            <w:tc>
              <w:tcPr>
                <w:tcW w:w="2589" w:type="dxa"/>
                <w:tcMar/>
              </w:tcPr>
              <w:p w:rsidRPr="00431A70" w:rsidR="00695B29" w:rsidP="009A7587" w:rsidRDefault="00695B29" w14:paraId="5ED4D53D"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Mar/>
              </w:tcPr>
              <w:p w:rsidRPr="005F13CF" w:rsidR="00695B29" w:rsidP="005F13CF" w:rsidRDefault="00695B29" w14:paraId="260569F1" w14:textId="77777777">
                <w:pPr>
                  <w:tabs>
                    <w:tab w:val="left" w:pos="2834"/>
                    <w:tab w:val="right" w:pos="8838"/>
                  </w:tabs>
                  <w:ind w:left="-106" w:right="-105"/>
                  <w:jc w:val="both"/>
                  <w:rPr>
                    <w:rFonts w:ascii="Palatino Linotype" w:hAnsi="Palatino Linotype" w:eastAsia="Calibri" w:cs="Tahoma"/>
                    <w:bCs/>
                    <w:sz w:val="22"/>
                    <w:szCs w:val="22"/>
                    <w:lang w:eastAsia="en-US"/>
                  </w:rPr>
                </w:pPr>
                <w:r w:rsidRPr="00313021">
                  <w:rPr>
                    <w:rFonts w:ascii="Palatino Linotype" w:hAnsi="Palatino Linotype" w:eastAsia="Calibri" w:cs="Tahoma"/>
                    <w:bCs/>
                    <w:sz w:val="22"/>
                    <w:szCs w:val="22"/>
                    <w:lang w:val="es-MX" w:eastAsia="en-US"/>
                  </w:rPr>
                  <w:t>Ayuntamiento de Amecameca</w:t>
                </w:r>
              </w:p>
            </w:tc>
          </w:tr>
          <w:tr w:rsidRPr="00431A70" w:rsidR="00695B29" w:rsidTr="463849F1" w14:paraId="7BAAB1B8" w14:textId="77777777">
            <w:trPr>
              <w:trHeight w:val="283"/>
            </w:trPr>
            <w:tc>
              <w:tcPr>
                <w:tcW w:w="2589" w:type="dxa"/>
                <w:tcMar/>
              </w:tcPr>
              <w:p w:rsidRPr="00431A70" w:rsidR="00695B29" w:rsidP="009A7587" w:rsidRDefault="00695B29" w14:paraId="6C5787E9"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Mar/>
              </w:tcPr>
              <w:p w:rsidRPr="00431A70" w:rsidR="00695B29" w:rsidP="005F13CF" w:rsidRDefault="00695B29" w14:paraId="7505D433"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695B29" w:rsidP="00DB7E5F" w:rsidRDefault="00695B29" w14:paraId="5E70D029" w14:textId="77777777">
          <w:pPr>
            <w:tabs>
              <w:tab w:val="right" w:pos="8838"/>
            </w:tabs>
            <w:ind w:left="-28"/>
            <w:jc w:val="both"/>
            <w:rPr>
              <w:rFonts w:ascii="Arial" w:hAnsi="Arial" w:eastAsia="Calibri" w:cs="Arial"/>
              <w:b/>
              <w:sz w:val="22"/>
              <w:szCs w:val="22"/>
              <w:lang w:eastAsia="en-US"/>
            </w:rPr>
          </w:pPr>
        </w:p>
      </w:tc>
    </w:tr>
  </w:tbl>
  <w:p w:rsidRPr="00330DA7" w:rsidR="00695B29" w:rsidP="00B727C5" w:rsidRDefault="00695B29" w14:paraId="64848158" w14:textId="77777777">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9470C43"/>
    <w:multiLevelType w:val="hybridMultilevel"/>
    <w:tmpl w:val="D5E2B79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9CB6C09"/>
    <w:multiLevelType w:val="hybridMultilevel"/>
    <w:tmpl w:val="2050168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04971ED"/>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8D0321"/>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AB65E81"/>
    <w:multiLevelType w:val="hybridMultilevel"/>
    <w:tmpl w:val="A5A2E3A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BAC4498"/>
    <w:multiLevelType w:val="hybridMultilevel"/>
    <w:tmpl w:val="A8A67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1339B5"/>
    <w:multiLevelType w:val="hybridMultilevel"/>
    <w:tmpl w:val="2B500EC8"/>
    <w:lvl w:ilvl="0" w:tplc="080A000B">
      <w:start w:val="1"/>
      <w:numFmt w:val="bullet"/>
      <w:lvlText w:val=""/>
      <w:lvlJc w:val="left"/>
      <w:pPr>
        <w:ind w:left="1440" w:hanging="360"/>
      </w:pPr>
      <w:rPr>
        <w:rFonts w:hint="default" w:ascii="Wingdings" w:hAnsi="Wingdings"/>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9" w15:restartNumberingAfterBreak="0">
    <w:nsid w:val="23616682"/>
    <w:multiLevelType w:val="hybridMultilevel"/>
    <w:tmpl w:val="A8A67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5C1B8A"/>
    <w:multiLevelType w:val="hybridMultilevel"/>
    <w:tmpl w:val="8724D13C"/>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15:restartNumberingAfterBreak="0">
    <w:nsid w:val="2CB30AA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C33E25"/>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360DEA"/>
    <w:multiLevelType w:val="hybridMultilevel"/>
    <w:tmpl w:val="005AFEEA"/>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5" w15:restartNumberingAfterBreak="0">
    <w:nsid w:val="37FA2777"/>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282355F"/>
    <w:multiLevelType w:val="multilevel"/>
    <w:tmpl w:val="080A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7" w15:restartNumberingAfterBreak="0">
    <w:nsid w:val="48B62861"/>
    <w:multiLevelType w:val="multilevel"/>
    <w:tmpl w:val="20DA98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A392BE4"/>
    <w:multiLevelType w:val="hybridMultilevel"/>
    <w:tmpl w:val="2E9ECA6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4C772AC6"/>
    <w:multiLevelType w:val="hybridMultilevel"/>
    <w:tmpl w:val="565A2A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51B85228"/>
    <w:multiLevelType w:val="hybridMultilevel"/>
    <w:tmpl w:val="8FFEA85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57E0736D"/>
    <w:multiLevelType w:val="hybridMultilevel"/>
    <w:tmpl w:val="6C1CC7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5F2606A9"/>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ACE1D0E"/>
    <w:multiLevelType w:val="hybridMultilevel"/>
    <w:tmpl w:val="AB78B6B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7B442B12"/>
    <w:multiLevelType w:val="hybridMultilevel"/>
    <w:tmpl w:val="8724D13C"/>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6" w15:restartNumberingAfterBreak="0">
    <w:nsid w:val="7B792318"/>
    <w:multiLevelType w:val="multilevel"/>
    <w:tmpl w:val="20DA98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CFB773F"/>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244686839">
    <w:abstractNumId w:val="0"/>
  </w:num>
  <w:num w:numId="2" w16cid:durableId="821314955">
    <w:abstractNumId w:val="21"/>
  </w:num>
  <w:num w:numId="3" w16cid:durableId="974144417">
    <w:abstractNumId w:val="20"/>
  </w:num>
  <w:num w:numId="4" w16cid:durableId="1940796203">
    <w:abstractNumId w:val="15"/>
  </w:num>
  <w:num w:numId="5" w16cid:durableId="1678997736">
    <w:abstractNumId w:val="13"/>
  </w:num>
  <w:num w:numId="6" w16cid:durableId="545994123">
    <w:abstractNumId w:val="1"/>
  </w:num>
  <w:num w:numId="7" w16cid:durableId="623076680">
    <w:abstractNumId w:val="8"/>
  </w:num>
  <w:num w:numId="8" w16cid:durableId="759567130">
    <w:abstractNumId w:val="14"/>
  </w:num>
  <w:num w:numId="9" w16cid:durableId="20913888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8193544">
    <w:abstractNumId w:val="6"/>
  </w:num>
  <w:num w:numId="11" w16cid:durableId="1924219615">
    <w:abstractNumId w:val="18"/>
  </w:num>
  <w:num w:numId="12" w16cid:durableId="1331635770">
    <w:abstractNumId w:val="19"/>
  </w:num>
  <w:num w:numId="13" w16cid:durableId="1832257761">
    <w:abstractNumId w:val="4"/>
  </w:num>
  <w:num w:numId="14" w16cid:durableId="527566457">
    <w:abstractNumId w:val="27"/>
  </w:num>
  <w:num w:numId="15" w16cid:durableId="143594226">
    <w:abstractNumId w:val="2"/>
  </w:num>
  <w:num w:numId="16" w16cid:durableId="17344226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6472904">
    <w:abstractNumId w:val="3"/>
  </w:num>
  <w:num w:numId="18" w16cid:durableId="1588346965">
    <w:abstractNumId w:val="7"/>
  </w:num>
  <w:num w:numId="19" w16cid:durableId="1472599366">
    <w:abstractNumId w:val="9"/>
  </w:num>
  <w:num w:numId="20" w16cid:durableId="589654423">
    <w:abstractNumId w:val="12"/>
  </w:num>
  <w:num w:numId="21" w16cid:durableId="958412553">
    <w:abstractNumId w:val="22"/>
  </w:num>
  <w:num w:numId="22" w16cid:durableId="1439789407">
    <w:abstractNumId w:val="16"/>
  </w:num>
  <w:num w:numId="23" w16cid:durableId="1154759901">
    <w:abstractNumId w:val="5"/>
  </w:num>
  <w:num w:numId="24" w16cid:durableId="887762229">
    <w:abstractNumId w:val="23"/>
  </w:num>
  <w:num w:numId="25" w16cid:durableId="662440476">
    <w:abstractNumId w:val="17"/>
  </w:num>
  <w:num w:numId="26" w16cid:durableId="120002248">
    <w:abstractNumId w:val="11"/>
  </w:num>
  <w:num w:numId="27" w16cid:durableId="771322902">
    <w:abstractNumId w:val="26"/>
  </w:num>
  <w:num w:numId="28" w16cid:durableId="858008038">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263"/>
    <w:rsid w:val="0000485A"/>
    <w:rsid w:val="00006543"/>
    <w:rsid w:val="00010426"/>
    <w:rsid w:val="000106AE"/>
    <w:rsid w:val="0001329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36"/>
    <w:rsid w:val="00027B6E"/>
    <w:rsid w:val="000300BE"/>
    <w:rsid w:val="0003037C"/>
    <w:rsid w:val="0003089C"/>
    <w:rsid w:val="00030E29"/>
    <w:rsid w:val="00030EDA"/>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0BE1"/>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8B"/>
    <w:rsid w:val="000939AD"/>
    <w:rsid w:val="000943DD"/>
    <w:rsid w:val="00096500"/>
    <w:rsid w:val="00097211"/>
    <w:rsid w:val="00097806"/>
    <w:rsid w:val="000A001B"/>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2283"/>
    <w:rsid w:val="000C27CA"/>
    <w:rsid w:val="000C399B"/>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409"/>
    <w:rsid w:val="0013455B"/>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5D99"/>
    <w:rsid w:val="001460EE"/>
    <w:rsid w:val="0014682A"/>
    <w:rsid w:val="00147516"/>
    <w:rsid w:val="00147566"/>
    <w:rsid w:val="00147666"/>
    <w:rsid w:val="00147887"/>
    <w:rsid w:val="00147D17"/>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C07"/>
    <w:rsid w:val="00180208"/>
    <w:rsid w:val="00180365"/>
    <w:rsid w:val="00180DE9"/>
    <w:rsid w:val="001821D9"/>
    <w:rsid w:val="001824D6"/>
    <w:rsid w:val="00182D6C"/>
    <w:rsid w:val="00182DCE"/>
    <w:rsid w:val="00182F0F"/>
    <w:rsid w:val="001832D9"/>
    <w:rsid w:val="00183D24"/>
    <w:rsid w:val="001851A6"/>
    <w:rsid w:val="00186AC2"/>
    <w:rsid w:val="00187211"/>
    <w:rsid w:val="001872B5"/>
    <w:rsid w:val="001875A7"/>
    <w:rsid w:val="001879E1"/>
    <w:rsid w:val="00190E90"/>
    <w:rsid w:val="00190F5F"/>
    <w:rsid w:val="0019295F"/>
    <w:rsid w:val="0019389B"/>
    <w:rsid w:val="00196522"/>
    <w:rsid w:val="001A1B94"/>
    <w:rsid w:val="001A22F5"/>
    <w:rsid w:val="001A3887"/>
    <w:rsid w:val="001A3AF1"/>
    <w:rsid w:val="001A412B"/>
    <w:rsid w:val="001A4B83"/>
    <w:rsid w:val="001A4BBA"/>
    <w:rsid w:val="001A5BDB"/>
    <w:rsid w:val="001A5DF5"/>
    <w:rsid w:val="001A66CD"/>
    <w:rsid w:val="001A6CBB"/>
    <w:rsid w:val="001A7153"/>
    <w:rsid w:val="001A769E"/>
    <w:rsid w:val="001A7FD2"/>
    <w:rsid w:val="001B04B4"/>
    <w:rsid w:val="001B0D53"/>
    <w:rsid w:val="001B107D"/>
    <w:rsid w:val="001B1997"/>
    <w:rsid w:val="001B2CD9"/>
    <w:rsid w:val="001B2EA3"/>
    <w:rsid w:val="001B38FF"/>
    <w:rsid w:val="001B4549"/>
    <w:rsid w:val="001B62A0"/>
    <w:rsid w:val="001B6C10"/>
    <w:rsid w:val="001C0C73"/>
    <w:rsid w:val="001C1705"/>
    <w:rsid w:val="001C17B0"/>
    <w:rsid w:val="001C182B"/>
    <w:rsid w:val="001C1CFF"/>
    <w:rsid w:val="001C1F74"/>
    <w:rsid w:val="001C282F"/>
    <w:rsid w:val="001C45E3"/>
    <w:rsid w:val="001C67BD"/>
    <w:rsid w:val="001C7DDF"/>
    <w:rsid w:val="001D0086"/>
    <w:rsid w:val="001D0094"/>
    <w:rsid w:val="001D3086"/>
    <w:rsid w:val="001D3CA3"/>
    <w:rsid w:val="001D5A6D"/>
    <w:rsid w:val="001D67AC"/>
    <w:rsid w:val="001D7012"/>
    <w:rsid w:val="001D733A"/>
    <w:rsid w:val="001D7530"/>
    <w:rsid w:val="001D7974"/>
    <w:rsid w:val="001D7BD2"/>
    <w:rsid w:val="001E04FC"/>
    <w:rsid w:val="001E05F1"/>
    <w:rsid w:val="001E0C19"/>
    <w:rsid w:val="001E211D"/>
    <w:rsid w:val="001E2A4D"/>
    <w:rsid w:val="001E331E"/>
    <w:rsid w:val="001E3322"/>
    <w:rsid w:val="001E343E"/>
    <w:rsid w:val="001E4C89"/>
    <w:rsid w:val="001E53C2"/>
    <w:rsid w:val="001E548E"/>
    <w:rsid w:val="001E6342"/>
    <w:rsid w:val="001E6357"/>
    <w:rsid w:val="001E6816"/>
    <w:rsid w:val="001E6FC5"/>
    <w:rsid w:val="001E745E"/>
    <w:rsid w:val="001E7D3F"/>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24D"/>
    <w:rsid w:val="00200E50"/>
    <w:rsid w:val="002020FA"/>
    <w:rsid w:val="00202DB8"/>
    <w:rsid w:val="00203950"/>
    <w:rsid w:val="0020427C"/>
    <w:rsid w:val="002051ED"/>
    <w:rsid w:val="002060B4"/>
    <w:rsid w:val="00206EC9"/>
    <w:rsid w:val="002072EE"/>
    <w:rsid w:val="00207736"/>
    <w:rsid w:val="002079D3"/>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163"/>
    <w:rsid w:val="00232251"/>
    <w:rsid w:val="00232673"/>
    <w:rsid w:val="00232700"/>
    <w:rsid w:val="002343FF"/>
    <w:rsid w:val="0023568B"/>
    <w:rsid w:val="00236653"/>
    <w:rsid w:val="00236863"/>
    <w:rsid w:val="00237C1F"/>
    <w:rsid w:val="00237D0D"/>
    <w:rsid w:val="00240363"/>
    <w:rsid w:val="00241116"/>
    <w:rsid w:val="0024130E"/>
    <w:rsid w:val="002433A4"/>
    <w:rsid w:val="002435DC"/>
    <w:rsid w:val="002447B2"/>
    <w:rsid w:val="00244ABB"/>
    <w:rsid w:val="00245F9F"/>
    <w:rsid w:val="00246501"/>
    <w:rsid w:val="00246E9B"/>
    <w:rsid w:val="00247146"/>
    <w:rsid w:val="00247B17"/>
    <w:rsid w:val="00247CFF"/>
    <w:rsid w:val="00250389"/>
    <w:rsid w:val="00251FF7"/>
    <w:rsid w:val="002520B1"/>
    <w:rsid w:val="00252669"/>
    <w:rsid w:val="00252BD8"/>
    <w:rsid w:val="00252F10"/>
    <w:rsid w:val="00254209"/>
    <w:rsid w:val="00254288"/>
    <w:rsid w:val="0025469C"/>
    <w:rsid w:val="00255921"/>
    <w:rsid w:val="00257541"/>
    <w:rsid w:val="00257932"/>
    <w:rsid w:val="002579CE"/>
    <w:rsid w:val="00260BF5"/>
    <w:rsid w:val="00260FEC"/>
    <w:rsid w:val="0026108A"/>
    <w:rsid w:val="00261DD6"/>
    <w:rsid w:val="00262408"/>
    <w:rsid w:val="00263DDD"/>
    <w:rsid w:val="002657E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1A5"/>
    <w:rsid w:val="002B226E"/>
    <w:rsid w:val="002B3285"/>
    <w:rsid w:val="002B46D4"/>
    <w:rsid w:val="002B4C49"/>
    <w:rsid w:val="002B54CF"/>
    <w:rsid w:val="002B57F5"/>
    <w:rsid w:val="002B5BE0"/>
    <w:rsid w:val="002B70C7"/>
    <w:rsid w:val="002C06E4"/>
    <w:rsid w:val="002C0C6B"/>
    <w:rsid w:val="002C1F2C"/>
    <w:rsid w:val="002C284D"/>
    <w:rsid w:val="002C3F5F"/>
    <w:rsid w:val="002C4046"/>
    <w:rsid w:val="002C431E"/>
    <w:rsid w:val="002C458A"/>
    <w:rsid w:val="002C46EE"/>
    <w:rsid w:val="002C51F3"/>
    <w:rsid w:val="002C5EE4"/>
    <w:rsid w:val="002C63FA"/>
    <w:rsid w:val="002C6BDE"/>
    <w:rsid w:val="002C7D95"/>
    <w:rsid w:val="002D1BE4"/>
    <w:rsid w:val="002D1D6C"/>
    <w:rsid w:val="002D33B0"/>
    <w:rsid w:val="002D3962"/>
    <w:rsid w:val="002D438B"/>
    <w:rsid w:val="002D4C3D"/>
    <w:rsid w:val="002D6323"/>
    <w:rsid w:val="002E00B4"/>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8D8"/>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C11"/>
    <w:rsid w:val="00311D8B"/>
    <w:rsid w:val="00311DCB"/>
    <w:rsid w:val="0031243F"/>
    <w:rsid w:val="00312456"/>
    <w:rsid w:val="00313021"/>
    <w:rsid w:val="00315D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40EC"/>
    <w:rsid w:val="0033421F"/>
    <w:rsid w:val="00334225"/>
    <w:rsid w:val="003350FF"/>
    <w:rsid w:val="00335DC9"/>
    <w:rsid w:val="003363F6"/>
    <w:rsid w:val="00337053"/>
    <w:rsid w:val="0034057C"/>
    <w:rsid w:val="003416A5"/>
    <w:rsid w:val="003416E2"/>
    <w:rsid w:val="003417A1"/>
    <w:rsid w:val="00341E21"/>
    <w:rsid w:val="00341E6C"/>
    <w:rsid w:val="00343B91"/>
    <w:rsid w:val="00344743"/>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64D2"/>
    <w:rsid w:val="00386AFB"/>
    <w:rsid w:val="00390249"/>
    <w:rsid w:val="003905C8"/>
    <w:rsid w:val="00390BF8"/>
    <w:rsid w:val="0039109D"/>
    <w:rsid w:val="0039165C"/>
    <w:rsid w:val="00391E2E"/>
    <w:rsid w:val="003925E2"/>
    <w:rsid w:val="00392877"/>
    <w:rsid w:val="00392E12"/>
    <w:rsid w:val="00393685"/>
    <w:rsid w:val="00393EB2"/>
    <w:rsid w:val="00394461"/>
    <w:rsid w:val="00394CA8"/>
    <w:rsid w:val="00394D7E"/>
    <w:rsid w:val="003956E9"/>
    <w:rsid w:val="003965EC"/>
    <w:rsid w:val="00396BA0"/>
    <w:rsid w:val="00396BE3"/>
    <w:rsid w:val="00397A62"/>
    <w:rsid w:val="003A08E4"/>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DB6"/>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29DE"/>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A93"/>
    <w:rsid w:val="004100AA"/>
    <w:rsid w:val="00410CD2"/>
    <w:rsid w:val="00412203"/>
    <w:rsid w:val="0041222F"/>
    <w:rsid w:val="004128F6"/>
    <w:rsid w:val="00413718"/>
    <w:rsid w:val="004137A4"/>
    <w:rsid w:val="00413C18"/>
    <w:rsid w:val="00413C24"/>
    <w:rsid w:val="00414BF2"/>
    <w:rsid w:val="00414F9B"/>
    <w:rsid w:val="0041591A"/>
    <w:rsid w:val="00417C61"/>
    <w:rsid w:val="00417DE3"/>
    <w:rsid w:val="00417F91"/>
    <w:rsid w:val="00420B07"/>
    <w:rsid w:val="00420CCC"/>
    <w:rsid w:val="00420E30"/>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64AF"/>
    <w:rsid w:val="004472EA"/>
    <w:rsid w:val="00447C98"/>
    <w:rsid w:val="00447F7D"/>
    <w:rsid w:val="004506B1"/>
    <w:rsid w:val="004506BF"/>
    <w:rsid w:val="004524C9"/>
    <w:rsid w:val="0045371C"/>
    <w:rsid w:val="00453729"/>
    <w:rsid w:val="0045411C"/>
    <w:rsid w:val="004544CD"/>
    <w:rsid w:val="00454DE4"/>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EE9"/>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591D"/>
    <w:rsid w:val="004B7542"/>
    <w:rsid w:val="004B769A"/>
    <w:rsid w:val="004B7DB2"/>
    <w:rsid w:val="004B7E7A"/>
    <w:rsid w:val="004C14AC"/>
    <w:rsid w:val="004C30D4"/>
    <w:rsid w:val="004C4ACC"/>
    <w:rsid w:val="004C6F68"/>
    <w:rsid w:val="004C7E83"/>
    <w:rsid w:val="004D0E1D"/>
    <w:rsid w:val="004D151D"/>
    <w:rsid w:val="004D18DE"/>
    <w:rsid w:val="004D19CC"/>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603"/>
    <w:rsid w:val="004E7759"/>
    <w:rsid w:val="004E7842"/>
    <w:rsid w:val="004E7C22"/>
    <w:rsid w:val="004E7DB7"/>
    <w:rsid w:val="004F0223"/>
    <w:rsid w:val="004F0E3C"/>
    <w:rsid w:val="004F26C4"/>
    <w:rsid w:val="004F2C69"/>
    <w:rsid w:val="004F2D88"/>
    <w:rsid w:val="004F3134"/>
    <w:rsid w:val="004F3156"/>
    <w:rsid w:val="004F3D21"/>
    <w:rsid w:val="004F4D64"/>
    <w:rsid w:val="004F582B"/>
    <w:rsid w:val="004F60EF"/>
    <w:rsid w:val="004F637B"/>
    <w:rsid w:val="004F6532"/>
    <w:rsid w:val="004F6E78"/>
    <w:rsid w:val="00501150"/>
    <w:rsid w:val="00501276"/>
    <w:rsid w:val="005014BB"/>
    <w:rsid w:val="00501A0B"/>
    <w:rsid w:val="00502502"/>
    <w:rsid w:val="005028CC"/>
    <w:rsid w:val="005036C3"/>
    <w:rsid w:val="005070C3"/>
    <w:rsid w:val="00510D32"/>
    <w:rsid w:val="00510E39"/>
    <w:rsid w:val="00511FA0"/>
    <w:rsid w:val="0051276F"/>
    <w:rsid w:val="005130AC"/>
    <w:rsid w:val="00517427"/>
    <w:rsid w:val="00520C2F"/>
    <w:rsid w:val="005220BE"/>
    <w:rsid w:val="005223C0"/>
    <w:rsid w:val="00523D57"/>
    <w:rsid w:val="00524076"/>
    <w:rsid w:val="005242AD"/>
    <w:rsid w:val="0052622D"/>
    <w:rsid w:val="00526575"/>
    <w:rsid w:val="0052716F"/>
    <w:rsid w:val="00527DAD"/>
    <w:rsid w:val="005308B8"/>
    <w:rsid w:val="00530F7C"/>
    <w:rsid w:val="00532035"/>
    <w:rsid w:val="00533B79"/>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4D8A"/>
    <w:rsid w:val="00555F71"/>
    <w:rsid w:val="00557D01"/>
    <w:rsid w:val="00560495"/>
    <w:rsid w:val="00560FD1"/>
    <w:rsid w:val="005614EF"/>
    <w:rsid w:val="00563BEB"/>
    <w:rsid w:val="005651B9"/>
    <w:rsid w:val="00565223"/>
    <w:rsid w:val="0056535E"/>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BF3"/>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C82"/>
    <w:rsid w:val="005A738C"/>
    <w:rsid w:val="005B02DF"/>
    <w:rsid w:val="005B08E6"/>
    <w:rsid w:val="005B0D7C"/>
    <w:rsid w:val="005B0E86"/>
    <w:rsid w:val="005B2B96"/>
    <w:rsid w:val="005B5CB1"/>
    <w:rsid w:val="005B5D03"/>
    <w:rsid w:val="005B6854"/>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52F4"/>
    <w:rsid w:val="005F7BA4"/>
    <w:rsid w:val="00600280"/>
    <w:rsid w:val="0060111D"/>
    <w:rsid w:val="00601E59"/>
    <w:rsid w:val="00602657"/>
    <w:rsid w:val="00602736"/>
    <w:rsid w:val="0060381C"/>
    <w:rsid w:val="00603A46"/>
    <w:rsid w:val="006045FD"/>
    <w:rsid w:val="00605E6E"/>
    <w:rsid w:val="00606194"/>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5E67"/>
    <w:rsid w:val="00636904"/>
    <w:rsid w:val="00636D9C"/>
    <w:rsid w:val="00637179"/>
    <w:rsid w:val="00637EC0"/>
    <w:rsid w:val="0064182B"/>
    <w:rsid w:val="006418ED"/>
    <w:rsid w:val="00642B13"/>
    <w:rsid w:val="0064309D"/>
    <w:rsid w:val="006431FF"/>
    <w:rsid w:val="00644B26"/>
    <w:rsid w:val="00645F7D"/>
    <w:rsid w:val="00645F85"/>
    <w:rsid w:val="00646100"/>
    <w:rsid w:val="00646C1B"/>
    <w:rsid w:val="006476CA"/>
    <w:rsid w:val="00650554"/>
    <w:rsid w:val="00650BF8"/>
    <w:rsid w:val="0065303D"/>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20A9"/>
    <w:rsid w:val="00693C8E"/>
    <w:rsid w:val="00693E63"/>
    <w:rsid w:val="00694912"/>
    <w:rsid w:val="00694A75"/>
    <w:rsid w:val="00695B29"/>
    <w:rsid w:val="006969BA"/>
    <w:rsid w:val="00696DD6"/>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FEB"/>
    <w:rsid w:val="006C4E8F"/>
    <w:rsid w:val="006C5817"/>
    <w:rsid w:val="006C5AE1"/>
    <w:rsid w:val="006C6180"/>
    <w:rsid w:val="006C6FE3"/>
    <w:rsid w:val="006C7416"/>
    <w:rsid w:val="006C7760"/>
    <w:rsid w:val="006C7EEA"/>
    <w:rsid w:val="006D084C"/>
    <w:rsid w:val="006D1B66"/>
    <w:rsid w:val="006D1CE0"/>
    <w:rsid w:val="006D233A"/>
    <w:rsid w:val="006D2764"/>
    <w:rsid w:val="006D3202"/>
    <w:rsid w:val="006D4FC4"/>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F3A"/>
    <w:rsid w:val="006F3730"/>
    <w:rsid w:val="006F6CA7"/>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4834"/>
    <w:rsid w:val="00785461"/>
    <w:rsid w:val="00785A0A"/>
    <w:rsid w:val="00785DC5"/>
    <w:rsid w:val="0078639C"/>
    <w:rsid w:val="00786B36"/>
    <w:rsid w:val="00786F25"/>
    <w:rsid w:val="00786FF3"/>
    <w:rsid w:val="007875F5"/>
    <w:rsid w:val="007876CF"/>
    <w:rsid w:val="00787B77"/>
    <w:rsid w:val="00790309"/>
    <w:rsid w:val="00790E33"/>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9F"/>
    <w:rsid w:val="007A24FC"/>
    <w:rsid w:val="007A26F3"/>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12D8"/>
    <w:rsid w:val="007D1BCD"/>
    <w:rsid w:val="007D2BE6"/>
    <w:rsid w:val="007D2F75"/>
    <w:rsid w:val="007D48A3"/>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FD"/>
    <w:rsid w:val="007E728E"/>
    <w:rsid w:val="007E7E96"/>
    <w:rsid w:val="007F19DA"/>
    <w:rsid w:val="007F2109"/>
    <w:rsid w:val="007F21C5"/>
    <w:rsid w:val="007F26EE"/>
    <w:rsid w:val="007F3889"/>
    <w:rsid w:val="007F3A61"/>
    <w:rsid w:val="007F3EF1"/>
    <w:rsid w:val="007F4EB7"/>
    <w:rsid w:val="007F70A0"/>
    <w:rsid w:val="007F77C3"/>
    <w:rsid w:val="0080056E"/>
    <w:rsid w:val="00801457"/>
    <w:rsid w:val="00801BCE"/>
    <w:rsid w:val="00801E7D"/>
    <w:rsid w:val="00802515"/>
    <w:rsid w:val="0080254F"/>
    <w:rsid w:val="0080373C"/>
    <w:rsid w:val="00807232"/>
    <w:rsid w:val="00807627"/>
    <w:rsid w:val="00807982"/>
    <w:rsid w:val="00807B88"/>
    <w:rsid w:val="008115D0"/>
    <w:rsid w:val="00811CA6"/>
    <w:rsid w:val="00811FE9"/>
    <w:rsid w:val="0081283F"/>
    <w:rsid w:val="00812A28"/>
    <w:rsid w:val="00812C0C"/>
    <w:rsid w:val="0081376F"/>
    <w:rsid w:val="00813AD9"/>
    <w:rsid w:val="0081480A"/>
    <w:rsid w:val="00815998"/>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653"/>
    <w:rsid w:val="008373C0"/>
    <w:rsid w:val="00837E18"/>
    <w:rsid w:val="008402A5"/>
    <w:rsid w:val="008407B9"/>
    <w:rsid w:val="0084105A"/>
    <w:rsid w:val="0084145F"/>
    <w:rsid w:val="00841DA2"/>
    <w:rsid w:val="008429DF"/>
    <w:rsid w:val="008436E1"/>
    <w:rsid w:val="00844963"/>
    <w:rsid w:val="00844CB5"/>
    <w:rsid w:val="008458F6"/>
    <w:rsid w:val="00845AED"/>
    <w:rsid w:val="00845D98"/>
    <w:rsid w:val="008465D3"/>
    <w:rsid w:val="008466E5"/>
    <w:rsid w:val="0084708E"/>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5106"/>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C63"/>
    <w:rsid w:val="008C796D"/>
    <w:rsid w:val="008D0157"/>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1829"/>
    <w:rsid w:val="008E1856"/>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6CE5"/>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FF0"/>
    <w:rsid w:val="00954502"/>
    <w:rsid w:val="0095506D"/>
    <w:rsid w:val="009553A4"/>
    <w:rsid w:val="00955DA9"/>
    <w:rsid w:val="009576B2"/>
    <w:rsid w:val="00960346"/>
    <w:rsid w:val="00960F05"/>
    <w:rsid w:val="00961724"/>
    <w:rsid w:val="009617D3"/>
    <w:rsid w:val="009626F7"/>
    <w:rsid w:val="0096463B"/>
    <w:rsid w:val="00967035"/>
    <w:rsid w:val="00967869"/>
    <w:rsid w:val="0096796E"/>
    <w:rsid w:val="009702DB"/>
    <w:rsid w:val="00970BEB"/>
    <w:rsid w:val="00971F54"/>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4A3A"/>
    <w:rsid w:val="00985967"/>
    <w:rsid w:val="00986DB7"/>
    <w:rsid w:val="00987D23"/>
    <w:rsid w:val="009905A5"/>
    <w:rsid w:val="009912C8"/>
    <w:rsid w:val="009912E0"/>
    <w:rsid w:val="00992750"/>
    <w:rsid w:val="009934CF"/>
    <w:rsid w:val="00993BF4"/>
    <w:rsid w:val="009940FC"/>
    <w:rsid w:val="00994396"/>
    <w:rsid w:val="009944B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6672"/>
    <w:rsid w:val="009D69C6"/>
    <w:rsid w:val="009D6F70"/>
    <w:rsid w:val="009D7501"/>
    <w:rsid w:val="009D7975"/>
    <w:rsid w:val="009E10E1"/>
    <w:rsid w:val="009E3966"/>
    <w:rsid w:val="009E3C52"/>
    <w:rsid w:val="009E3EA5"/>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2C41"/>
    <w:rsid w:val="00A034EF"/>
    <w:rsid w:val="00A03A1B"/>
    <w:rsid w:val="00A048C7"/>
    <w:rsid w:val="00A0598E"/>
    <w:rsid w:val="00A05E08"/>
    <w:rsid w:val="00A06844"/>
    <w:rsid w:val="00A06A2C"/>
    <w:rsid w:val="00A06CC5"/>
    <w:rsid w:val="00A0791C"/>
    <w:rsid w:val="00A079D8"/>
    <w:rsid w:val="00A1047D"/>
    <w:rsid w:val="00A117D8"/>
    <w:rsid w:val="00A11B56"/>
    <w:rsid w:val="00A11CAD"/>
    <w:rsid w:val="00A121AB"/>
    <w:rsid w:val="00A13DF7"/>
    <w:rsid w:val="00A14807"/>
    <w:rsid w:val="00A15263"/>
    <w:rsid w:val="00A155CD"/>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7891"/>
    <w:rsid w:val="00A40A51"/>
    <w:rsid w:val="00A415BA"/>
    <w:rsid w:val="00A419A8"/>
    <w:rsid w:val="00A4230D"/>
    <w:rsid w:val="00A4594F"/>
    <w:rsid w:val="00A45F38"/>
    <w:rsid w:val="00A47916"/>
    <w:rsid w:val="00A47C18"/>
    <w:rsid w:val="00A50123"/>
    <w:rsid w:val="00A50298"/>
    <w:rsid w:val="00A50838"/>
    <w:rsid w:val="00A50EC5"/>
    <w:rsid w:val="00A511BB"/>
    <w:rsid w:val="00A535E4"/>
    <w:rsid w:val="00A536DA"/>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6829"/>
    <w:rsid w:val="00A6697B"/>
    <w:rsid w:val="00A719AA"/>
    <w:rsid w:val="00A731B5"/>
    <w:rsid w:val="00A73DE3"/>
    <w:rsid w:val="00A747F9"/>
    <w:rsid w:val="00A74C2D"/>
    <w:rsid w:val="00A76217"/>
    <w:rsid w:val="00A76595"/>
    <w:rsid w:val="00A766B1"/>
    <w:rsid w:val="00A76B3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EFD"/>
    <w:rsid w:val="00AA7F48"/>
    <w:rsid w:val="00AB010D"/>
    <w:rsid w:val="00AB0749"/>
    <w:rsid w:val="00AB1598"/>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B83"/>
    <w:rsid w:val="00B04D63"/>
    <w:rsid w:val="00B04FDF"/>
    <w:rsid w:val="00B05E74"/>
    <w:rsid w:val="00B07F12"/>
    <w:rsid w:val="00B07FE3"/>
    <w:rsid w:val="00B10BAE"/>
    <w:rsid w:val="00B11CB3"/>
    <w:rsid w:val="00B12451"/>
    <w:rsid w:val="00B12A0A"/>
    <w:rsid w:val="00B14154"/>
    <w:rsid w:val="00B1415B"/>
    <w:rsid w:val="00B15278"/>
    <w:rsid w:val="00B164F6"/>
    <w:rsid w:val="00B222A2"/>
    <w:rsid w:val="00B233F4"/>
    <w:rsid w:val="00B234EC"/>
    <w:rsid w:val="00B267E1"/>
    <w:rsid w:val="00B274AE"/>
    <w:rsid w:val="00B274BF"/>
    <w:rsid w:val="00B304B7"/>
    <w:rsid w:val="00B31222"/>
    <w:rsid w:val="00B31516"/>
    <w:rsid w:val="00B318C9"/>
    <w:rsid w:val="00B31FDB"/>
    <w:rsid w:val="00B33EEF"/>
    <w:rsid w:val="00B348F1"/>
    <w:rsid w:val="00B416D0"/>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95A"/>
    <w:rsid w:val="00B54AAB"/>
    <w:rsid w:val="00B553BA"/>
    <w:rsid w:val="00B57690"/>
    <w:rsid w:val="00B577A3"/>
    <w:rsid w:val="00B6144B"/>
    <w:rsid w:val="00B61577"/>
    <w:rsid w:val="00B6170F"/>
    <w:rsid w:val="00B625C9"/>
    <w:rsid w:val="00B63796"/>
    <w:rsid w:val="00B64641"/>
    <w:rsid w:val="00B66A77"/>
    <w:rsid w:val="00B675DD"/>
    <w:rsid w:val="00B704AA"/>
    <w:rsid w:val="00B70B2A"/>
    <w:rsid w:val="00B71F2C"/>
    <w:rsid w:val="00B7262F"/>
    <w:rsid w:val="00B726C3"/>
    <w:rsid w:val="00B727C5"/>
    <w:rsid w:val="00B73031"/>
    <w:rsid w:val="00B73FD4"/>
    <w:rsid w:val="00B74DCE"/>
    <w:rsid w:val="00B74FC5"/>
    <w:rsid w:val="00B75A6C"/>
    <w:rsid w:val="00B77614"/>
    <w:rsid w:val="00B8029A"/>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458"/>
    <w:rsid w:val="00BC758B"/>
    <w:rsid w:val="00BC79C3"/>
    <w:rsid w:val="00BC7D51"/>
    <w:rsid w:val="00BD1045"/>
    <w:rsid w:val="00BD2183"/>
    <w:rsid w:val="00BD2EAC"/>
    <w:rsid w:val="00BD4BB3"/>
    <w:rsid w:val="00BD4EAE"/>
    <w:rsid w:val="00BD5C33"/>
    <w:rsid w:val="00BD6804"/>
    <w:rsid w:val="00BD7F11"/>
    <w:rsid w:val="00BE17C6"/>
    <w:rsid w:val="00BE2498"/>
    <w:rsid w:val="00BE2BD3"/>
    <w:rsid w:val="00BE2E7C"/>
    <w:rsid w:val="00BE4843"/>
    <w:rsid w:val="00BE4865"/>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2DD8"/>
    <w:rsid w:val="00C03070"/>
    <w:rsid w:val="00C06B11"/>
    <w:rsid w:val="00C06BCB"/>
    <w:rsid w:val="00C100E3"/>
    <w:rsid w:val="00C10FCF"/>
    <w:rsid w:val="00C11870"/>
    <w:rsid w:val="00C12810"/>
    <w:rsid w:val="00C12D84"/>
    <w:rsid w:val="00C13B88"/>
    <w:rsid w:val="00C14CF4"/>
    <w:rsid w:val="00C15B35"/>
    <w:rsid w:val="00C16B4B"/>
    <w:rsid w:val="00C1729D"/>
    <w:rsid w:val="00C17427"/>
    <w:rsid w:val="00C1797D"/>
    <w:rsid w:val="00C20C00"/>
    <w:rsid w:val="00C210FD"/>
    <w:rsid w:val="00C2141B"/>
    <w:rsid w:val="00C2165D"/>
    <w:rsid w:val="00C22901"/>
    <w:rsid w:val="00C22969"/>
    <w:rsid w:val="00C22C44"/>
    <w:rsid w:val="00C22E49"/>
    <w:rsid w:val="00C2404F"/>
    <w:rsid w:val="00C24F30"/>
    <w:rsid w:val="00C25238"/>
    <w:rsid w:val="00C2682F"/>
    <w:rsid w:val="00C26853"/>
    <w:rsid w:val="00C2770D"/>
    <w:rsid w:val="00C305F2"/>
    <w:rsid w:val="00C318DD"/>
    <w:rsid w:val="00C31F8B"/>
    <w:rsid w:val="00C3253F"/>
    <w:rsid w:val="00C3345C"/>
    <w:rsid w:val="00C33886"/>
    <w:rsid w:val="00C35A5E"/>
    <w:rsid w:val="00C364D0"/>
    <w:rsid w:val="00C36C23"/>
    <w:rsid w:val="00C37A5F"/>
    <w:rsid w:val="00C407E5"/>
    <w:rsid w:val="00C40B65"/>
    <w:rsid w:val="00C4265A"/>
    <w:rsid w:val="00C42DAC"/>
    <w:rsid w:val="00C4342B"/>
    <w:rsid w:val="00C44C87"/>
    <w:rsid w:val="00C45818"/>
    <w:rsid w:val="00C459A9"/>
    <w:rsid w:val="00C46EF4"/>
    <w:rsid w:val="00C47763"/>
    <w:rsid w:val="00C477E7"/>
    <w:rsid w:val="00C502A5"/>
    <w:rsid w:val="00C503A6"/>
    <w:rsid w:val="00C5063C"/>
    <w:rsid w:val="00C51CD8"/>
    <w:rsid w:val="00C521F7"/>
    <w:rsid w:val="00C526DE"/>
    <w:rsid w:val="00C53008"/>
    <w:rsid w:val="00C53547"/>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2C6A"/>
    <w:rsid w:val="00CA2D01"/>
    <w:rsid w:val="00CA308F"/>
    <w:rsid w:val="00CA3730"/>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D0060A"/>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D92"/>
    <w:rsid w:val="00D15E6A"/>
    <w:rsid w:val="00D15ED5"/>
    <w:rsid w:val="00D16656"/>
    <w:rsid w:val="00D16FD7"/>
    <w:rsid w:val="00D17B33"/>
    <w:rsid w:val="00D200AB"/>
    <w:rsid w:val="00D24DD5"/>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CF9"/>
    <w:rsid w:val="00D72EAC"/>
    <w:rsid w:val="00D73BC4"/>
    <w:rsid w:val="00D74344"/>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600C"/>
    <w:rsid w:val="00DA6417"/>
    <w:rsid w:val="00DA7BA0"/>
    <w:rsid w:val="00DA7D03"/>
    <w:rsid w:val="00DB132B"/>
    <w:rsid w:val="00DB3319"/>
    <w:rsid w:val="00DB400B"/>
    <w:rsid w:val="00DB42EB"/>
    <w:rsid w:val="00DB42F5"/>
    <w:rsid w:val="00DB43A2"/>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FE4"/>
    <w:rsid w:val="00DD23C5"/>
    <w:rsid w:val="00DD3A92"/>
    <w:rsid w:val="00DD3B58"/>
    <w:rsid w:val="00DD4022"/>
    <w:rsid w:val="00DD78B2"/>
    <w:rsid w:val="00DE0DE9"/>
    <w:rsid w:val="00DE1746"/>
    <w:rsid w:val="00DE2004"/>
    <w:rsid w:val="00DE2966"/>
    <w:rsid w:val="00DE40E0"/>
    <w:rsid w:val="00DE4107"/>
    <w:rsid w:val="00DE6E6F"/>
    <w:rsid w:val="00DE736A"/>
    <w:rsid w:val="00DF0127"/>
    <w:rsid w:val="00DF04ED"/>
    <w:rsid w:val="00DF0B5E"/>
    <w:rsid w:val="00DF0ED5"/>
    <w:rsid w:val="00DF382D"/>
    <w:rsid w:val="00DF3BE8"/>
    <w:rsid w:val="00DF3F0D"/>
    <w:rsid w:val="00DF5CF5"/>
    <w:rsid w:val="00DF72D9"/>
    <w:rsid w:val="00DF7B69"/>
    <w:rsid w:val="00DF7EC8"/>
    <w:rsid w:val="00E00D4F"/>
    <w:rsid w:val="00E0164B"/>
    <w:rsid w:val="00E0218A"/>
    <w:rsid w:val="00E028ED"/>
    <w:rsid w:val="00E02E7F"/>
    <w:rsid w:val="00E03E52"/>
    <w:rsid w:val="00E0499F"/>
    <w:rsid w:val="00E04AA2"/>
    <w:rsid w:val="00E053F6"/>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267D"/>
    <w:rsid w:val="00E533BD"/>
    <w:rsid w:val="00E5346C"/>
    <w:rsid w:val="00E53706"/>
    <w:rsid w:val="00E53DE8"/>
    <w:rsid w:val="00E55401"/>
    <w:rsid w:val="00E55B38"/>
    <w:rsid w:val="00E56663"/>
    <w:rsid w:val="00E57CE2"/>
    <w:rsid w:val="00E60967"/>
    <w:rsid w:val="00E617BD"/>
    <w:rsid w:val="00E617DF"/>
    <w:rsid w:val="00E61E05"/>
    <w:rsid w:val="00E63348"/>
    <w:rsid w:val="00E64BD9"/>
    <w:rsid w:val="00E6519C"/>
    <w:rsid w:val="00E65A16"/>
    <w:rsid w:val="00E6698C"/>
    <w:rsid w:val="00E67E50"/>
    <w:rsid w:val="00E705B4"/>
    <w:rsid w:val="00E72597"/>
    <w:rsid w:val="00E72967"/>
    <w:rsid w:val="00E74577"/>
    <w:rsid w:val="00E754ED"/>
    <w:rsid w:val="00E8071C"/>
    <w:rsid w:val="00E809B3"/>
    <w:rsid w:val="00E80A85"/>
    <w:rsid w:val="00E80D12"/>
    <w:rsid w:val="00E810C4"/>
    <w:rsid w:val="00E8155D"/>
    <w:rsid w:val="00E81743"/>
    <w:rsid w:val="00E84558"/>
    <w:rsid w:val="00E84A74"/>
    <w:rsid w:val="00E84AD7"/>
    <w:rsid w:val="00E85080"/>
    <w:rsid w:val="00E8538B"/>
    <w:rsid w:val="00E85CC0"/>
    <w:rsid w:val="00E85E1F"/>
    <w:rsid w:val="00E86301"/>
    <w:rsid w:val="00E86A65"/>
    <w:rsid w:val="00E90F9D"/>
    <w:rsid w:val="00E911A0"/>
    <w:rsid w:val="00E913DC"/>
    <w:rsid w:val="00E91404"/>
    <w:rsid w:val="00E9199A"/>
    <w:rsid w:val="00E9220A"/>
    <w:rsid w:val="00E93886"/>
    <w:rsid w:val="00E94225"/>
    <w:rsid w:val="00E947EF"/>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19D1"/>
    <w:rsid w:val="00ED2082"/>
    <w:rsid w:val="00ED251B"/>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57C"/>
    <w:rsid w:val="00EE527A"/>
    <w:rsid w:val="00EE5898"/>
    <w:rsid w:val="00EE5F2E"/>
    <w:rsid w:val="00EE6BFF"/>
    <w:rsid w:val="00EE791A"/>
    <w:rsid w:val="00EF0A87"/>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B33"/>
    <w:rsid w:val="00F541B8"/>
    <w:rsid w:val="00F563D6"/>
    <w:rsid w:val="00F56B6D"/>
    <w:rsid w:val="00F56CC2"/>
    <w:rsid w:val="00F56F47"/>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7154"/>
    <w:rsid w:val="00F800B0"/>
    <w:rsid w:val="00F805F6"/>
    <w:rsid w:val="00F80F33"/>
    <w:rsid w:val="00F8257B"/>
    <w:rsid w:val="00F82D9E"/>
    <w:rsid w:val="00F82FA8"/>
    <w:rsid w:val="00F8308D"/>
    <w:rsid w:val="00F8411B"/>
    <w:rsid w:val="00F8442A"/>
    <w:rsid w:val="00F846D6"/>
    <w:rsid w:val="00F85113"/>
    <w:rsid w:val="00F85512"/>
    <w:rsid w:val="00F856EE"/>
    <w:rsid w:val="00F85741"/>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3699"/>
    <w:rsid w:val="00FF4408"/>
    <w:rsid w:val="00FF456A"/>
    <w:rsid w:val="00FF46FD"/>
    <w:rsid w:val="00FF6204"/>
    <w:rsid w:val="00FF634D"/>
    <w:rsid w:val="00FF6E79"/>
    <w:rsid w:val="00FF75A4"/>
    <w:rsid w:val="00FF7A95"/>
    <w:rsid w:val="463849F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32E99"/>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03FE"/>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consultas.curp.gob.mx/CurpSP/html/informacionecurpPS.html" TargetMode="External" Id="rId9" /><Relationship Type="http://schemas.openxmlformats.org/officeDocument/2006/relationships/footer" Target="footer2.xml" Id="rId14" /><Relationship Type="http://schemas.openxmlformats.org/officeDocument/2006/relationships/glossaryDocument" Target="glossary/document.xml" Id="R910f5a75db684eec"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1a70abe-9487-4ca3-952b-4a2bf4a3bebc}"/>
      </w:docPartPr>
      <w:docPartBody>
        <w:p w14:paraId="2D3C79AC">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B433E-8A58-4AC1-AEA4-26C7E2AC1C0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RF</dc:creator>
  <keywords/>
  <dc:description/>
  <lastModifiedBy>Usuario invitado</lastModifiedBy>
  <revision>7</revision>
  <lastPrinted>2020-01-16T18:20:00.0000000Z</lastPrinted>
  <dcterms:created xsi:type="dcterms:W3CDTF">2022-04-29T00:22:00.0000000Z</dcterms:created>
  <dcterms:modified xsi:type="dcterms:W3CDTF">2022-05-20T15:54:40.7908470Z</dcterms:modified>
</coreProperties>
</file>