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78BAC" w14:textId="4ED3C8F8" w:rsidR="007F7B11" w:rsidRPr="008D7E30" w:rsidRDefault="007F7B11" w:rsidP="00CA6269">
      <w:pPr>
        <w:tabs>
          <w:tab w:val="left" w:pos="3465"/>
        </w:tabs>
        <w:spacing w:before="240" w:after="360" w:line="360" w:lineRule="auto"/>
        <w:jc w:val="both"/>
        <w:rPr>
          <w:rFonts w:ascii="Palatino Linotype" w:eastAsiaTheme="minorEastAsia" w:hAnsi="Palatino Linotype" w:cstheme="minorBidi"/>
          <w:lang w:val="es-ES_tradnl"/>
        </w:rPr>
      </w:pPr>
      <w:r w:rsidRPr="008D7E30">
        <w:rPr>
          <w:rFonts w:ascii="Palatino Linotype" w:eastAsiaTheme="minorEastAsia" w:hAnsi="Palatino Linotype" w:cstheme="minorBidi"/>
          <w:lang w:val="es-ES_tradnl"/>
        </w:rPr>
        <w:t xml:space="preserve">Resolución del Pleno del Instituto de Transparencia, </w:t>
      </w:r>
      <w:r w:rsidR="00D41715" w:rsidRPr="008D7E30">
        <w:rPr>
          <w:rFonts w:ascii="Palatino Linotype" w:eastAsiaTheme="minorEastAsia" w:hAnsi="Palatino Linotype" w:cstheme="minorBidi"/>
          <w:lang w:val="es-ES_tradnl"/>
        </w:rPr>
        <w:t xml:space="preserve">Acceso a la Información Pública </w:t>
      </w:r>
      <w:r w:rsidRPr="008D7E30">
        <w:rPr>
          <w:rFonts w:ascii="Palatino Linotype" w:eastAsiaTheme="minorEastAsia" w:hAnsi="Palatino Linotype" w:cstheme="minorBidi"/>
          <w:lang w:val="es-ES_tradnl"/>
        </w:rPr>
        <w:t>y Protección de Datos Personales del Estado de México y Municipios, con domicilio e</w:t>
      </w:r>
      <w:r w:rsidR="00DE4537" w:rsidRPr="008D7E30">
        <w:rPr>
          <w:rFonts w:ascii="Palatino Linotype" w:eastAsiaTheme="minorEastAsia" w:hAnsi="Palatino Linotype" w:cstheme="minorBidi"/>
          <w:lang w:val="es-ES_tradnl"/>
        </w:rPr>
        <w:t>n Metepec, Estado</w:t>
      </w:r>
      <w:r w:rsidR="00AE2EEF" w:rsidRPr="008D7E30">
        <w:rPr>
          <w:rFonts w:ascii="Palatino Linotype" w:eastAsiaTheme="minorEastAsia" w:hAnsi="Palatino Linotype" w:cstheme="minorBidi"/>
          <w:lang w:val="es-ES_tradnl"/>
        </w:rPr>
        <w:t xml:space="preserve"> de México; de doce</w:t>
      </w:r>
      <w:r w:rsidR="00DE4537" w:rsidRPr="008D7E30">
        <w:rPr>
          <w:rFonts w:ascii="Palatino Linotype" w:eastAsiaTheme="minorEastAsia" w:hAnsi="Palatino Linotype" w:cstheme="minorBidi"/>
          <w:lang w:val="es-ES_tradnl"/>
        </w:rPr>
        <w:t xml:space="preserve"> (12</w:t>
      </w:r>
      <w:r w:rsidRPr="008D7E30">
        <w:rPr>
          <w:rFonts w:ascii="Palatino Linotype" w:eastAsiaTheme="minorEastAsia" w:hAnsi="Palatino Linotype" w:cstheme="minorBidi"/>
          <w:lang w:val="es-ES_tradnl"/>
        </w:rPr>
        <w:t>) de</w:t>
      </w:r>
      <w:r w:rsidR="00DE4537" w:rsidRPr="008D7E30">
        <w:rPr>
          <w:rFonts w:ascii="Palatino Linotype" w:eastAsiaTheme="minorEastAsia" w:hAnsi="Palatino Linotype" w:cstheme="minorBidi"/>
          <w:lang w:val="es-ES_tradnl"/>
        </w:rPr>
        <w:t xml:space="preserve"> octubre</w:t>
      </w:r>
      <w:r w:rsidR="00C50711" w:rsidRPr="008D7E30">
        <w:rPr>
          <w:rFonts w:ascii="Palatino Linotype" w:eastAsiaTheme="minorEastAsia" w:hAnsi="Palatino Linotype" w:cstheme="minorBidi"/>
          <w:lang w:val="es-ES_tradnl"/>
        </w:rPr>
        <w:t xml:space="preserve"> </w:t>
      </w:r>
      <w:r w:rsidRPr="008D7E30">
        <w:rPr>
          <w:rFonts w:ascii="Palatino Linotype" w:eastAsiaTheme="minorEastAsia" w:hAnsi="Palatino Linotype" w:cstheme="minorBidi"/>
          <w:lang w:val="es-ES_tradnl"/>
        </w:rPr>
        <w:t>de dos mil veintidós.</w:t>
      </w:r>
    </w:p>
    <w:p w14:paraId="2C459AFD" w14:textId="031FE991" w:rsidR="00C50711" w:rsidRPr="008D7E30" w:rsidRDefault="00C50711" w:rsidP="00CA6269">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8D7E30">
        <w:rPr>
          <w:rFonts w:ascii="Palatino Linotype" w:eastAsiaTheme="minorEastAsia" w:hAnsi="Palatino Linotype" w:cstheme="minorBidi"/>
          <w:b/>
          <w:color w:val="000000" w:themeColor="text1"/>
          <w:lang w:val="es-ES_tradnl"/>
        </w:rPr>
        <w:t>VISTO</w:t>
      </w:r>
      <w:r w:rsidRPr="008D7E30">
        <w:rPr>
          <w:rFonts w:ascii="Palatino Linotype" w:eastAsiaTheme="minorEastAsia" w:hAnsi="Palatino Linotype" w:cstheme="minorBidi"/>
          <w:color w:val="000000" w:themeColor="text1"/>
          <w:lang w:val="es-ES_tradnl"/>
        </w:rPr>
        <w:t xml:space="preserve"> el expediente electrónico formado con motivo del recurso de revisión</w:t>
      </w:r>
      <w:r w:rsidR="00D42571" w:rsidRPr="008D7E30">
        <w:t xml:space="preserve"> </w:t>
      </w:r>
      <w:r w:rsidR="00D42571" w:rsidRPr="008D7E30">
        <w:rPr>
          <w:rFonts w:ascii="Palatino Linotype" w:eastAsiaTheme="minorEastAsia" w:hAnsi="Palatino Linotype" w:cstheme="minorBidi"/>
          <w:b/>
          <w:color w:val="000000" w:themeColor="text1"/>
          <w:lang w:val="es-ES_tradnl"/>
        </w:rPr>
        <w:t>12443/INFOEM/IP/RR/2022</w:t>
      </w:r>
      <w:r w:rsidRPr="008D7E30">
        <w:rPr>
          <w:rFonts w:ascii="Palatino Linotype" w:eastAsiaTheme="minorEastAsia" w:hAnsi="Palatino Linotype" w:cstheme="minorBidi"/>
          <w:b/>
          <w:bCs/>
          <w:color w:val="000000" w:themeColor="text1"/>
        </w:rPr>
        <w:t xml:space="preserve">, </w:t>
      </w:r>
      <w:r w:rsidRPr="008D7E30">
        <w:rPr>
          <w:rFonts w:ascii="Palatino Linotype" w:eastAsiaTheme="minorEastAsia" w:hAnsi="Palatino Linotype" w:cstheme="minorBidi"/>
          <w:color w:val="000000" w:themeColor="text1"/>
          <w:lang w:val="es-ES_tradnl"/>
        </w:rPr>
        <w:t xml:space="preserve">promovido por </w:t>
      </w:r>
      <w:r w:rsidR="008D7E30" w:rsidRPr="008D7E30">
        <w:rPr>
          <w:rFonts w:ascii="Palatino Linotype" w:eastAsiaTheme="minorEastAsia" w:hAnsi="Palatino Linotype" w:cstheme="minorBidi"/>
          <w:b/>
          <w:color w:val="000000" w:themeColor="text1"/>
          <w:lang w:val="es-ES_tradnl"/>
        </w:rPr>
        <w:t>XXXX XXXX XXXX</w:t>
      </w:r>
      <w:r w:rsidR="00DE4537" w:rsidRPr="008D7E30">
        <w:rPr>
          <w:rFonts w:ascii="Palatino Linotype" w:eastAsiaTheme="minorEastAsia" w:hAnsi="Palatino Linotype" w:cstheme="minorBidi"/>
          <w:color w:val="000000" w:themeColor="text1"/>
          <w:lang w:val="es-ES_tradnl"/>
        </w:rPr>
        <w:t xml:space="preserve"> </w:t>
      </w:r>
      <w:r w:rsidRPr="008D7E30">
        <w:rPr>
          <w:rFonts w:ascii="Palatino Linotype" w:eastAsiaTheme="minorEastAsia" w:hAnsi="Palatino Linotype" w:cstheme="minorBidi"/>
          <w:color w:val="000000" w:themeColor="text1"/>
          <w:lang w:val="es-ES_tradnl"/>
        </w:rPr>
        <w:t xml:space="preserve">en su calidad de </w:t>
      </w:r>
      <w:r w:rsidRPr="008D7E30">
        <w:rPr>
          <w:rFonts w:ascii="Palatino Linotype" w:eastAsiaTheme="minorEastAsia" w:hAnsi="Palatino Linotype" w:cstheme="minorBidi"/>
          <w:b/>
          <w:color w:val="000000" w:themeColor="text1"/>
          <w:lang w:val="es-ES_tradnl"/>
        </w:rPr>
        <w:t>RECURRENTE</w:t>
      </w:r>
      <w:r w:rsidRPr="008D7E30">
        <w:rPr>
          <w:rFonts w:ascii="Palatino Linotype" w:eastAsiaTheme="minorEastAsia" w:hAnsi="Palatino Linotype" w:cstheme="minorBidi"/>
          <w:color w:val="000000" w:themeColor="text1"/>
          <w:lang w:val="es-ES_tradnl"/>
        </w:rPr>
        <w:t xml:space="preserve">, en contra de la respuesta del </w:t>
      </w:r>
      <w:r w:rsidR="00DE4537" w:rsidRPr="008D7E30">
        <w:rPr>
          <w:rFonts w:ascii="Palatino Linotype" w:eastAsiaTheme="minorEastAsia" w:hAnsi="Palatino Linotype" w:cstheme="minorBidi"/>
          <w:b/>
          <w:color w:val="000000" w:themeColor="text1"/>
          <w:lang w:val="es-ES_tradnl"/>
        </w:rPr>
        <w:t>Ayuntamiento de Toluca</w:t>
      </w:r>
      <w:r w:rsidRPr="008D7E30">
        <w:rPr>
          <w:rFonts w:ascii="Palatino Linotype" w:eastAsiaTheme="minorEastAsia" w:hAnsi="Palatino Linotype" w:cstheme="minorBidi"/>
          <w:color w:val="000000" w:themeColor="text1"/>
          <w:lang w:val="es-ES_tradnl"/>
        </w:rPr>
        <w:t xml:space="preserve"> en lo</w:t>
      </w:r>
      <w:r w:rsidRPr="008D7E30">
        <w:rPr>
          <w:rFonts w:ascii="Palatino Linotype" w:eastAsiaTheme="minorEastAsia" w:hAnsi="Palatino Linotype" w:cstheme="minorBidi"/>
          <w:b/>
          <w:color w:val="000000" w:themeColor="text1"/>
          <w:lang w:val="es-ES_tradnl"/>
        </w:rPr>
        <w:t xml:space="preserve"> </w:t>
      </w:r>
      <w:r w:rsidRPr="008D7E30">
        <w:rPr>
          <w:rFonts w:ascii="Palatino Linotype" w:eastAsiaTheme="minorEastAsia" w:hAnsi="Palatino Linotype" w:cstheme="minorBidi"/>
          <w:color w:val="000000" w:themeColor="text1"/>
          <w:lang w:val="es-ES_tradnl"/>
        </w:rPr>
        <w:t>sucesivo el</w:t>
      </w:r>
      <w:r w:rsidRPr="008D7E30">
        <w:rPr>
          <w:rFonts w:ascii="Palatino Linotype" w:eastAsiaTheme="minorEastAsia" w:hAnsi="Palatino Linotype" w:cstheme="minorBidi"/>
          <w:b/>
          <w:color w:val="000000" w:themeColor="text1"/>
          <w:lang w:val="es-ES_tradnl"/>
        </w:rPr>
        <w:t xml:space="preserve"> SUJETO OBLIGADO, </w:t>
      </w:r>
      <w:r w:rsidRPr="008D7E30">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DD0F7E0" w14:textId="79F3A783" w:rsidR="00D13A6B" w:rsidRPr="008D7E30" w:rsidRDefault="007F7B11" w:rsidP="007A14C5">
      <w:pPr>
        <w:keepNext/>
        <w:keepLines/>
        <w:spacing w:before="240" w:line="360" w:lineRule="auto"/>
        <w:jc w:val="center"/>
        <w:outlineLvl w:val="0"/>
        <w:rPr>
          <w:rFonts w:ascii="Palatino Linotype" w:eastAsiaTheme="majorEastAsia" w:hAnsi="Palatino Linotype" w:cstheme="majorBidi"/>
          <w:b/>
          <w:lang w:val="es-MX" w:eastAsia="en-US"/>
        </w:rPr>
      </w:pPr>
      <w:bookmarkStart w:id="0" w:name="_Toc461555884"/>
      <w:bookmarkStart w:id="1" w:name="_Toc466371847"/>
      <w:bookmarkStart w:id="2" w:name="_Toc96549898"/>
      <w:r w:rsidRPr="008D7E30">
        <w:rPr>
          <w:rFonts w:ascii="Palatino Linotype" w:eastAsiaTheme="majorEastAsia" w:hAnsi="Palatino Linotype" w:cstheme="majorBidi"/>
          <w:b/>
          <w:lang w:val="es-MX" w:eastAsia="en-US"/>
        </w:rPr>
        <w:t>ANTECEDENTES</w:t>
      </w:r>
      <w:bookmarkEnd w:id="0"/>
      <w:bookmarkEnd w:id="1"/>
      <w:bookmarkEnd w:id="2"/>
    </w:p>
    <w:p w14:paraId="136E3F15" w14:textId="77777777" w:rsidR="007A14C5" w:rsidRPr="008D7E30" w:rsidRDefault="007A14C5" w:rsidP="007A14C5">
      <w:pPr>
        <w:keepNext/>
        <w:keepLines/>
        <w:spacing w:before="240" w:line="360" w:lineRule="auto"/>
        <w:jc w:val="center"/>
        <w:outlineLvl w:val="0"/>
        <w:rPr>
          <w:rFonts w:ascii="Palatino Linotype" w:eastAsiaTheme="majorEastAsia" w:hAnsi="Palatino Linotype" w:cstheme="majorBidi"/>
          <w:b/>
          <w:lang w:val="es-MX" w:eastAsia="en-US"/>
        </w:rPr>
      </w:pPr>
    </w:p>
    <w:p w14:paraId="016DEFA4" w14:textId="0FBC3B6C" w:rsidR="007F7B11" w:rsidRPr="008D7E30" w:rsidRDefault="007A14C5" w:rsidP="007A14C5">
      <w:pPr>
        <w:numPr>
          <w:ilvl w:val="0"/>
          <w:numId w:val="17"/>
        </w:numPr>
        <w:tabs>
          <w:tab w:val="left" w:pos="0"/>
        </w:tabs>
        <w:spacing w:before="240" w:after="240" w:line="360" w:lineRule="auto"/>
        <w:ind w:left="0" w:firstLine="0"/>
        <w:contextualSpacing/>
        <w:jc w:val="both"/>
        <w:rPr>
          <w:rFonts w:ascii="Palatino Linotype" w:eastAsia="Calibri" w:hAnsi="Palatino Linotype" w:cs="Arial"/>
          <w:b/>
        </w:rPr>
      </w:pPr>
      <w:r w:rsidRPr="008D7E30">
        <w:rPr>
          <w:rFonts w:ascii="Palatino Linotype" w:eastAsia="Calibri" w:hAnsi="Palatino Linotype" w:cs="Arial"/>
        </w:rPr>
        <w:t xml:space="preserve">El tres (03) de junio </w:t>
      </w:r>
      <w:r w:rsidR="00C50711" w:rsidRPr="008D7E30">
        <w:rPr>
          <w:rFonts w:ascii="Palatino Linotype" w:eastAsia="Calibri" w:hAnsi="Palatino Linotype" w:cs="Arial"/>
        </w:rPr>
        <w:t>de dos mil veintidós</w:t>
      </w:r>
      <w:r w:rsidR="007F7B11" w:rsidRPr="008D7E30">
        <w:rPr>
          <w:rFonts w:ascii="Palatino Linotype" w:eastAsiaTheme="minorEastAsia" w:hAnsi="Palatino Linotype" w:cstheme="minorBidi"/>
          <w:b/>
          <w:lang w:val="es-ES_tradnl"/>
        </w:rPr>
        <w:t xml:space="preserve">, </w:t>
      </w:r>
      <w:r w:rsidR="007F7B11" w:rsidRPr="008D7E30">
        <w:rPr>
          <w:rFonts w:ascii="Palatino Linotype" w:eastAsia="Calibri" w:hAnsi="Palatino Linotype" w:cs="Arial"/>
        </w:rPr>
        <w:t xml:space="preserve">se presentó ante el </w:t>
      </w:r>
      <w:r w:rsidR="007F7B11" w:rsidRPr="008D7E30">
        <w:rPr>
          <w:rFonts w:ascii="Palatino Linotype" w:eastAsia="Calibri" w:hAnsi="Palatino Linotype" w:cs="Arial"/>
          <w:b/>
        </w:rPr>
        <w:t>SUJETO OBLIGADO</w:t>
      </w:r>
      <w:r w:rsidR="007F7B11" w:rsidRPr="008D7E30">
        <w:rPr>
          <w:rFonts w:ascii="Palatino Linotype" w:eastAsia="Calibri" w:hAnsi="Palatino Linotype" w:cs="Arial"/>
          <w:lang w:val="es-ES_tradnl"/>
        </w:rPr>
        <w:t xml:space="preserve"> vía </w:t>
      </w:r>
      <w:r w:rsidR="007F7B11" w:rsidRPr="008D7E30">
        <w:rPr>
          <w:rFonts w:ascii="Palatino Linotype" w:eastAsia="Calibri" w:hAnsi="Palatino Linotype" w:cs="Arial"/>
        </w:rPr>
        <w:t xml:space="preserve">Sistema de Acceso a la Información Mexiquense </w:t>
      </w:r>
      <w:r w:rsidR="007F7B11" w:rsidRPr="008D7E30">
        <w:rPr>
          <w:rFonts w:ascii="Palatino Linotype" w:eastAsia="Calibri" w:hAnsi="Palatino Linotype" w:cs="Arial"/>
          <w:b/>
        </w:rPr>
        <w:t>SAIMEX</w:t>
      </w:r>
      <w:r w:rsidR="007F7B11" w:rsidRPr="008D7E30">
        <w:rPr>
          <w:rFonts w:ascii="Palatino Linotype" w:eastAsia="Calibri" w:hAnsi="Palatino Linotype" w:cs="Arial"/>
        </w:rPr>
        <w:t>, la solicitud de información p</w:t>
      </w:r>
      <w:r w:rsidR="00C50711" w:rsidRPr="008D7E30">
        <w:rPr>
          <w:rFonts w:ascii="Palatino Linotype" w:eastAsia="Calibri" w:hAnsi="Palatino Linotype" w:cs="Arial"/>
        </w:rPr>
        <w:t>ública registrada con el número</w:t>
      </w:r>
      <w:r w:rsidR="00DE4537" w:rsidRPr="008D7E30">
        <w:rPr>
          <w:rFonts w:ascii="Palatino Linotype" w:eastAsia="Calibri" w:hAnsi="Palatino Linotype" w:cs="Arial"/>
        </w:rPr>
        <w:t xml:space="preserve"> </w:t>
      </w:r>
      <w:r w:rsidRPr="008D7E30">
        <w:rPr>
          <w:rFonts w:ascii="Palatino Linotype" w:eastAsia="Calibri" w:hAnsi="Palatino Linotype" w:cs="Arial"/>
          <w:b/>
        </w:rPr>
        <w:t>01417/TOLUCA/IP/2022</w:t>
      </w:r>
      <w:r w:rsidR="00C50711" w:rsidRPr="008D7E30">
        <w:rPr>
          <w:rFonts w:ascii="Palatino Linotype" w:eastAsia="Calibri" w:hAnsi="Palatino Linotype" w:cs="Arial"/>
        </w:rPr>
        <w:t xml:space="preserve">, </w:t>
      </w:r>
      <w:r w:rsidR="007F7B11" w:rsidRPr="008D7E30">
        <w:rPr>
          <w:rFonts w:ascii="Palatino Linotype" w:eastAsia="Calibri" w:hAnsi="Palatino Linotype" w:cs="Arial"/>
        </w:rPr>
        <w:t>mediante la cual solicitó:</w:t>
      </w:r>
    </w:p>
    <w:p w14:paraId="718F0BAA" w14:textId="77777777" w:rsidR="007F7B11" w:rsidRPr="008D7E30" w:rsidRDefault="007F7B11" w:rsidP="00CA6269">
      <w:pPr>
        <w:spacing w:line="360" w:lineRule="auto"/>
        <w:ind w:left="360"/>
        <w:contextualSpacing/>
        <w:jc w:val="both"/>
        <w:rPr>
          <w:rFonts w:ascii="Palatino Linotype" w:eastAsiaTheme="minorEastAsia" w:hAnsi="Palatino Linotype" w:cstheme="minorBidi"/>
          <w:i/>
          <w:color w:val="000000"/>
          <w:lang w:val="es-ES_tradnl"/>
        </w:rPr>
      </w:pPr>
    </w:p>
    <w:p w14:paraId="17BF7598" w14:textId="7E5B108E" w:rsidR="007F7B11" w:rsidRPr="008D7E30" w:rsidRDefault="007F7B11" w:rsidP="00CA6269">
      <w:pPr>
        <w:spacing w:line="360" w:lineRule="auto"/>
        <w:ind w:left="567" w:right="567"/>
        <w:contextualSpacing/>
        <w:jc w:val="both"/>
        <w:rPr>
          <w:rFonts w:ascii="Palatino Linotype" w:eastAsiaTheme="minorEastAsia" w:hAnsi="Palatino Linotype" w:cstheme="minorBidi"/>
          <w:color w:val="000000"/>
          <w:lang w:val="es-ES_tradnl"/>
        </w:rPr>
      </w:pPr>
      <w:r w:rsidRPr="008D7E30">
        <w:rPr>
          <w:rFonts w:ascii="Palatino Linotype" w:eastAsiaTheme="minorEastAsia" w:hAnsi="Palatino Linotype" w:cstheme="minorBidi"/>
          <w:i/>
          <w:color w:val="000000"/>
          <w:lang w:val="es-ES_tradnl"/>
        </w:rPr>
        <w:t>“</w:t>
      </w:r>
      <w:r w:rsidR="007A14C5" w:rsidRPr="008D7E30">
        <w:rPr>
          <w:rFonts w:ascii="Palatino Linotype" w:eastAsiaTheme="minorEastAsia" w:hAnsi="Palatino Linotype" w:cstheme="minorBidi"/>
          <w:i/>
          <w:color w:val="000000"/>
          <w:lang w:val="es-ES_tradnl"/>
        </w:rPr>
        <w:t>Solicito el numero de demandas laborales que están en proceso, nombre del ex servidor público, motivo de la demanda. Solicito el numero de demandas realizadas por provedores, motivo y monto de la demanda todo de enero a junio del año 2022.</w:t>
      </w:r>
      <w:r w:rsidRPr="008D7E30">
        <w:rPr>
          <w:rFonts w:ascii="Palatino Linotype" w:eastAsiaTheme="minorEastAsia" w:hAnsi="Palatino Linotype" w:cstheme="minorBidi"/>
          <w:i/>
          <w:color w:val="000000"/>
          <w:lang w:val="es-ES_tradnl"/>
        </w:rPr>
        <w:t>”</w:t>
      </w:r>
      <w:r w:rsidRPr="008D7E30">
        <w:rPr>
          <w:rFonts w:ascii="Palatino Linotype" w:eastAsiaTheme="minorEastAsia" w:hAnsi="Palatino Linotype" w:cstheme="minorBidi"/>
          <w:color w:val="000000"/>
          <w:lang w:val="es-ES_tradnl"/>
        </w:rPr>
        <w:t xml:space="preserve"> (Sic)</w:t>
      </w:r>
    </w:p>
    <w:p w14:paraId="270EF866" w14:textId="77777777" w:rsidR="007F7B11" w:rsidRPr="008D7E30" w:rsidRDefault="007F7B11" w:rsidP="00CA6269">
      <w:pPr>
        <w:spacing w:line="360" w:lineRule="auto"/>
        <w:jc w:val="both"/>
        <w:rPr>
          <w:rFonts w:ascii="Palatino Linotype" w:hAnsi="Palatino Linotype" w:cs="Arial"/>
        </w:rPr>
      </w:pPr>
    </w:p>
    <w:p w14:paraId="7A8253AD" w14:textId="400D92F6" w:rsidR="00E176F9" w:rsidRPr="008D7E30" w:rsidRDefault="007F7B11" w:rsidP="00CA6269">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8D7E30">
        <w:rPr>
          <w:rFonts w:ascii="Palatino Linotype" w:eastAsia="Calibri" w:hAnsi="Palatino Linotype" w:cs="Arial"/>
          <w:lang w:val="es-AR"/>
        </w:rPr>
        <w:lastRenderedPageBreak/>
        <w:t xml:space="preserve">De las constancias </w:t>
      </w:r>
      <w:r w:rsidRPr="008D7E30">
        <w:rPr>
          <w:rFonts w:ascii="Palatino Linotype" w:hAnsi="Palatino Linotype" w:cs="Arial"/>
        </w:rPr>
        <w:t xml:space="preserve">que obran en el expediente, se aprecia que el entonces </w:t>
      </w:r>
      <w:r w:rsidRPr="008D7E30">
        <w:rPr>
          <w:rFonts w:ascii="Palatino Linotype" w:hAnsi="Palatino Linotype" w:cs="Arial"/>
          <w:b/>
        </w:rPr>
        <w:t>SOLICITANTE</w:t>
      </w:r>
      <w:r w:rsidRPr="008D7E30">
        <w:rPr>
          <w:rFonts w:ascii="Palatino Linotype" w:hAnsi="Palatino Linotype" w:cs="Arial"/>
        </w:rPr>
        <w:t xml:space="preserve"> señaló como modalidad de entrega de la información:</w:t>
      </w:r>
      <w:r w:rsidRPr="008D7E30">
        <w:rPr>
          <w:rFonts w:ascii="Palatino Linotype" w:hAnsi="Palatino Linotype" w:cs="Arial"/>
          <w:b/>
        </w:rPr>
        <w:t xml:space="preserve"> </w:t>
      </w:r>
      <w:r w:rsidRPr="008D7E30">
        <w:rPr>
          <w:rFonts w:ascii="Palatino Linotype" w:eastAsiaTheme="minorEastAsia" w:hAnsi="Palatino Linotype" w:cstheme="minorBidi"/>
          <w:b/>
          <w:lang w:val="es-ES_tradnl"/>
        </w:rPr>
        <w:t xml:space="preserve">A través del </w:t>
      </w:r>
      <w:r w:rsidR="0060001F" w:rsidRPr="008D7E30">
        <w:rPr>
          <w:rFonts w:ascii="Palatino Linotype" w:eastAsiaTheme="minorEastAsia" w:hAnsi="Palatino Linotype" w:cstheme="minorBidi"/>
          <w:b/>
          <w:lang w:val="es-ES_tradnl"/>
        </w:rPr>
        <w:t>SAIMEX</w:t>
      </w:r>
      <w:r w:rsidRPr="008D7E30">
        <w:rPr>
          <w:rFonts w:ascii="Palatino Linotype" w:eastAsiaTheme="minorEastAsia" w:hAnsi="Palatino Linotype" w:cstheme="minorBidi"/>
          <w:b/>
          <w:lang w:val="es-ES_tradnl"/>
        </w:rPr>
        <w:t>.</w:t>
      </w:r>
    </w:p>
    <w:p w14:paraId="63CBCB65" w14:textId="77777777" w:rsidR="00E176F9" w:rsidRPr="008D7E30" w:rsidRDefault="00E176F9" w:rsidP="00CA6269">
      <w:pPr>
        <w:tabs>
          <w:tab w:val="left" w:pos="284"/>
        </w:tabs>
        <w:spacing w:before="240" w:after="240" w:line="360" w:lineRule="auto"/>
        <w:contextualSpacing/>
        <w:jc w:val="both"/>
        <w:rPr>
          <w:rFonts w:ascii="Palatino Linotype" w:eastAsia="MS Mincho" w:hAnsi="Palatino Linotype"/>
          <w:lang w:val="es-ES_tradnl"/>
        </w:rPr>
      </w:pPr>
    </w:p>
    <w:p w14:paraId="25B833D0" w14:textId="6D5EE930" w:rsidR="00E176F9" w:rsidRPr="008D7E30" w:rsidRDefault="007A14C5" w:rsidP="00CA6269">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8D7E30">
        <w:rPr>
          <w:rFonts w:ascii="Palatino Linotype" w:eastAsiaTheme="minorEastAsia" w:hAnsi="Palatino Linotype" w:cstheme="minorBidi"/>
          <w:color w:val="000000" w:themeColor="text1"/>
          <w:lang w:val="es-ES_tradnl"/>
        </w:rPr>
        <w:t>El veinticuatro</w:t>
      </w:r>
      <w:r w:rsidR="00FA259B" w:rsidRPr="008D7E30">
        <w:rPr>
          <w:rFonts w:ascii="Palatino Linotype" w:eastAsiaTheme="minorEastAsia" w:hAnsi="Palatino Linotype" w:cstheme="minorBidi"/>
          <w:color w:val="000000" w:themeColor="text1"/>
          <w:lang w:val="es-ES_tradnl"/>
        </w:rPr>
        <w:t xml:space="preserve"> </w:t>
      </w:r>
      <w:r w:rsidRPr="008D7E30">
        <w:rPr>
          <w:rFonts w:ascii="Palatino Linotype" w:eastAsiaTheme="minorEastAsia" w:hAnsi="Palatino Linotype" w:cstheme="minorBidi"/>
          <w:color w:val="000000" w:themeColor="text1"/>
          <w:lang w:val="es-ES_tradnl"/>
        </w:rPr>
        <w:t>(24</w:t>
      </w:r>
      <w:r w:rsidR="00E176F9" w:rsidRPr="008D7E30">
        <w:rPr>
          <w:rFonts w:ascii="Palatino Linotype" w:eastAsiaTheme="minorEastAsia" w:hAnsi="Palatino Linotype" w:cstheme="minorBidi"/>
          <w:color w:val="000000" w:themeColor="text1"/>
          <w:lang w:val="es-ES_tradnl"/>
        </w:rPr>
        <w:t>) de</w:t>
      </w:r>
      <w:r w:rsidR="00FA259B" w:rsidRPr="008D7E30">
        <w:rPr>
          <w:rFonts w:ascii="Palatino Linotype" w:eastAsiaTheme="minorEastAsia" w:hAnsi="Palatino Linotype" w:cstheme="minorBidi"/>
          <w:color w:val="000000" w:themeColor="text1"/>
          <w:lang w:val="es-ES_tradnl"/>
        </w:rPr>
        <w:t xml:space="preserve"> </w:t>
      </w:r>
      <w:r w:rsidRPr="008D7E30">
        <w:rPr>
          <w:rFonts w:ascii="Palatino Linotype" w:eastAsiaTheme="minorEastAsia" w:hAnsi="Palatino Linotype" w:cstheme="minorBidi"/>
          <w:color w:val="000000" w:themeColor="text1"/>
          <w:lang w:val="es-ES_tradnl"/>
        </w:rPr>
        <w:t xml:space="preserve">junio </w:t>
      </w:r>
      <w:r w:rsidR="00C50711" w:rsidRPr="008D7E30">
        <w:rPr>
          <w:rFonts w:ascii="Palatino Linotype" w:eastAsiaTheme="minorEastAsia" w:hAnsi="Palatino Linotype" w:cstheme="minorBidi"/>
          <w:color w:val="000000" w:themeColor="text1"/>
          <w:lang w:val="es-ES_tradnl"/>
        </w:rPr>
        <w:t>de dos mil veintidós</w:t>
      </w:r>
      <w:r w:rsidR="00E176F9" w:rsidRPr="008D7E30">
        <w:rPr>
          <w:rFonts w:ascii="Palatino Linotype" w:eastAsiaTheme="minorEastAsia" w:hAnsi="Palatino Linotype" w:cstheme="minorBidi"/>
          <w:color w:val="000000" w:themeColor="text1"/>
          <w:lang w:val="es-ES_tradnl"/>
        </w:rPr>
        <w:t xml:space="preserve">, el </w:t>
      </w:r>
      <w:r w:rsidR="00E176F9" w:rsidRPr="008D7E30">
        <w:rPr>
          <w:rFonts w:ascii="Palatino Linotype" w:eastAsiaTheme="minorEastAsia" w:hAnsi="Palatino Linotype" w:cstheme="minorBidi"/>
          <w:b/>
          <w:color w:val="000000" w:themeColor="text1"/>
          <w:lang w:val="es-ES_tradnl"/>
        </w:rPr>
        <w:t>SUJETO OBLIGADO</w:t>
      </w:r>
      <w:r w:rsidR="00E176F9" w:rsidRPr="008D7E30">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6A87C72" w14:textId="77777777" w:rsidR="00E176F9" w:rsidRPr="008D7E30" w:rsidRDefault="00E176F9" w:rsidP="00CA6269">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21208F07" w14:textId="74BE140A" w:rsidR="007A14C5" w:rsidRPr="008D7E30" w:rsidRDefault="00E176F9" w:rsidP="007A14C5">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8D7E30">
        <w:rPr>
          <w:rFonts w:ascii="Palatino Linotype" w:eastAsiaTheme="minorEastAsia" w:hAnsi="Palatino Linotype" w:cstheme="minorBidi"/>
          <w:i/>
          <w:noProof/>
          <w:color w:val="000000" w:themeColor="text1"/>
          <w:lang w:val="es-MX" w:eastAsia="es-MX"/>
        </w:rPr>
        <w:t>“</w:t>
      </w:r>
      <w:r w:rsidR="007A14C5" w:rsidRPr="008D7E30">
        <w:rPr>
          <w:rFonts w:ascii="Palatino Linotype" w:eastAsiaTheme="minorEastAsia" w:hAnsi="Palatino Linotype" w:cstheme="minorBidi"/>
          <w:i/>
          <w:noProof/>
          <w:color w:val="000000" w:themeColor="text1"/>
          <w:lang w:val="es-MX" w:eastAsia="es-MX"/>
        </w:rPr>
        <w:t>Toluca, México a 24 de Junio de 2022</w:t>
      </w:r>
    </w:p>
    <w:p w14:paraId="791BB32A" w14:textId="77777777" w:rsidR="007A14C5" w:rsidRPr="008D7E30" w:rsidRDefault="007A14C5" w:rsidP="007A14C5">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8D7E30">
        <w:rPr>
          <w:rFonts w:ascii="Palatino Linotype" w:eastAsiaTheme="minorEastAsia" w:hAnsi="Palatino Linotype" w:cstheme="minorBidi"/>
          <w:i/>
          <w:noProof/>
          <w:color w:val="000000" w:themeColor="text1"/>
          <w:lang w:val="es-MX" w:eastAsia="es-MX"/>
        </w:rPr>
        <w:t>Nombre del solicitante: C. Solicitante</w:t>
      </w:r>
    </w:p>
    <w:p w14:paraId="36B5583B" w14:textId="77777777" w:rsidR="007A14C5" w:rsidRPr="008D7E30" w:rsidRDefault="007A14C5" w:rsidP="007A14C5">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8D7E30">
        <w:rPr>
          <w:rFonts w:ascii="Palatino Linotype" w:eastAsiaTheme="minorEastAsia" w:hAnsi="Palatino Linotype" w:cstheme="minorBidi"/>
          <w:i/>
          <w:noProof/>
          <w:color w:val="000000" w:themeColor="text1"/>
          <w:lang w:val="es-MX" w:eastAsia="es-MX"/>
        </w:rPr>
        <w:t>Folio de la solicitud: 01417/TOLUCA/IP/2022</w:t>
      </w:r>
    </w:p>
    <w:p w14:paraId="6C1869E1" w14:textId="77777777" w:rsidR="007A14C5" w:rsidRPr="008D7E30" w:rsidRDefault="007A14C5" w:rsidP="007A14C5">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6606A094" w14:textId="77777777" w:rsidR="007A14C5" w:rsidRPr="008D7E30" w:rsidRDefault="007A14C5" w:rsidP="007A14C5">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8D7E30">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4B431B" w14:textId="77777777" w:rsidR="007A14C5" w:rsidRPr="008D7E30" w:rsidRDefault="007A14C5" w:rsidP="007A14C5">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8D7E30">
        <w:rPr>
          <w:rFonts w:ascii="Palatino Linotype" w:eastAsiaTheme="minorEastAsia" w:hAnsi="Palatino Linotype" w:cstheme="minorBidi"/>
          <w:i/>
          <w:noProof/>
          <w:color w:val="000000" w:themeColor="text1"/>
          <w:lang w:val="es-MX" w:eastAsia="es-MX"/>
        </w:rPr>
        <w:t>En atención a la solicitud con folio 01417/TOLUCA/IP/2022, me permito adjuntar al presente la respuesta correspondiente y anexos. Sin más por el momento, reciba un saludo.</w:t>
      </w:r>
    </w:p>
    <w:p w14:paraId="0B6844DC" w14:textId="77777777" w:rsidR="007A14C5" w:rsidRPr="008D7E30" w:rsidRDefault="007A14C5" w:rsidP="007A14C5">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0D5A2785" w14:textId="77777777" w:rsidR="007A14C5" w:rsidRPr="008D7E30" w:rsidRDefault="007A14C5" w:rsidP="007A14C5">
      <w:pPr>
        <w:spacing w:line="360" w:lineRule="auto"/>
        <w:ind w:left="567" w:right="567"/>
        <w:rPr>
          <w:rFonts w:ascii="Palatino Linotype" w:eastAsiaTheme="minorEastAsia" w:hAnsi="Palatino Linotype" w:cstheme="minorBidi"/>
          <w:i/>
          <w:noProof/>
          <w:color w:val="000000" w:themeColor="text1"/>
          <w:lang w:val="es-MX" w:eastAsia="es-MX"/>
        </w:rPr>
      </w:pPr>
      <w:r w:rsidRPr="008D7E30">
        <w:rPr>
          <w:rFonts w:ascii="Palatino Linotype" w:eastAsiaTheme="minorEastAsia" w:hAnsi="Palatino Linotype" w:cstheme="minorBidi"/>
          <w:i/>
          <w:noProof/>
          <w:color w:val="000000" w:themeColor="text1"/>
          <w:lang w:val="es-MX" w:eastAsia="es-MX"/>
        </w:rPr>
        <w:t>ATENTAMENTE</w:t>
      </w:r>
    </w:p>
    <w:p w14:paraId="1093F52C" w14:textId="3A26585B" w:rsidR="00E176F9" w:rsidRPr="008D7E30" w:rsidRDefault="007A14C5" w:rsidP="007A14C5">
      <w:pPr>
        <w:spacing w:line="360" w:lineRule="auto"/>
        <w:ind w:left="567" w:right="567"/>
        <w:rPr>
          <w:rFonts w:ascii="Palatino Linotype" w:eastAsiaTheme="minorEastAsia" w:hAnsi="Palatino Linotype" w:cstheme="minorBidi"/>
          <w:i/>
          <w:noProof/>
          <w:color w:val="000000" w:themeColor="text1"/>
          <w:lang w:val="es-MX" w:eastAsia="es-MX"/>
        </w:rPr>
      </w:pPr>
      <w:r w:rsidRPr="008D7E30">
        <w:rPr>
          <w:rFonts w:ascii="Palatino Linotype" w:eastAsiaTheme="minorEastAsia" w:hAnsi="Palatino Linotype" w:cstheme="minorBidi"/>
          <w:i/>
          <w:noProof/>
          <w:color w:val="000000" w:themeColor="text1"/>
          <w:lang w:val="es-MX" w:eastAsia="es-MX"/>
        </w:rPr>
        <w:t>Lic. Norma Sofía Pérez Martínez</w:t>
      </w:r>
      <w:r w:rsidR="00E176F9" w:rsidRPr="008D7E30">
        <w:rPr>
          <w:rFonts w:ascii="Palatino Linotype" w:eastAsiaTheme="minorEastAsia" w:hAnsi="Palatino Linotype" w:cstheme="minorBidi"/>
          <w:i/>
          <w:noProof/>
          <w:color w:val="000000" w:themeColor="text1"/>
          <w:lang w:val="es-MX" w:eastAsia="es-MX"/>
        </w:rPr>
        <w:t>” (Sic)</w:t>
      </w:r>
    </w:p>
    <w:p w14:paraId="17316424" w14:textId="77777777" w:rsidR="00E176F9" w:rsidRPr="008D7E30" w:rsidRDefault="00E176F9" w:rsidP="00CA6269">
      <w:pPr>
        <w:spacing w:line="360" w:lineRule="auto"/>
        <w:ind w:left="567" w:right="567"/>
        <w:rPr>
          <w:rFonts w:ascii="Palatino Linotype" w:eastAsiaTheme="minorEastAsia" w:hAnsi="Palatino Linotype" w:cstheme="minorBidi"/>
          <w:i/>
          <w:noProof/>
          <w:color w:val="000000" w:themeColor="text1"/>
          <w:lang w:val="es-MX" w:eastAsia="es-MX"/>
        </w:rPr>
      </w:pPr>
    </w:p>
    <w:p w14:paraId="5CDB73AC" w14:textId="0FC7C608" w:rsidR="00E176F9" w:rsidRPr="008D7E30" w:rsidRDefault="00E176F9" w:rsidP="00CA6269">
      <w:pPr>
        <w:pStyle w:val="Prrafodelista"/>
        <w:numPr>
          <w:ilvl w:val="0"/>
          <w:numId w:val="17"/>
        </w:numPr>
        <w:tabs>
          <w:tab w:val="left" w:pos="0"/>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8D7E30">
        <w:rPr>
          <w:rFonts w:ascii="Palatino Linotype" w:eastAsiaTheme="minorEastAsia" w:hAnsi="Palatino Linotype" w:cstheme="minorBidi"/>
          <w:color w:val="000000" w:themeColor="text1"/>
          <w:lang w:val="es-ES_tradnl"/>
        </w:rPr>
        <w:t xml:space="preserve">Asimismo, el </w:t>
      </w:r>
      <w:r w:rsidRPr="008D7E30">
        <w:rPr>
          <w:rFonts w:ascii="Palatino Linotype" w:eastAsiaTheme="minorEastAsia" w:hAnsi="Palatino Linotype" w:cstheme="minorBidi"/>
          <w:b/>
          <w:bCs/>
          <w:color w:val="000000" w:themeColor="text1"/>
          <w:lang w:val="es-ES_tradnl"/>
        </w:rPr>
        <w:t>SUJETO OBLIGADO</w:t>
      </w:r>
      <w:r w:rsidR="00C50711" w:rsidRPr="008D7E30">
        <w:rPr>
          <w:rFonts w:ascii="Palatino Linotype" w:eastAsiaTheme="minorEastAsia" w:hAnsi="Palatino Linotype" w:cstheme="minorBidi"/>
          <w:color w:val="000000" w:themeColor="text1"/>
          <w:lang w:val="es-ES_tradnl"/>
        </w:rPr>
        <w:t xml:space="preserve"> adjuntó a su respuesta los archivos</w:t>
      </w:r>
      <w:r w:rsidRPr="008D7E30">
        <w:rPr>
          <w:rFonts w:ascii="Palatino Linotype" w:eastAsiaTheme="minorEastAsia" w:hAnsi="Palatino Linotype" w:cstheme="minorBidi"/>
          <w:color w:val="000000" w:themeColor="text1"/>
          <w:lang w:val="es-ES_tradnl"/>
        </w:rPr>
        <w:t xml:space="preserve"> electrónico</w:t>
      </w:r>
      <w:r w:rsidR="00C50711" w:rsidRPr="008D7E30">
        <w:rPr>
          <w:rFonts w:ascii="Palatino Linotype" w:eastAsiaTheme="minorEastAsia" w:hAnsi="Palatino Linotype" w:cstheme="minorBidi"/>
          <w:color w:val="000000" w:themeColor="text1"/>
          <w:lang w:val="es-ES_tradnl"/>
        </w:rPr>
        <w:t>s</w:t>
      </w:r>
      <w:r w:rsidRPr="008D7E30">
        <w:rPr>
          <w:rFonts w:ascii="Palatino Linotype" w:eastAsiaTheme="minorEastAsia" w:hAnsi="Palatino Linotype" w:cstheme="minorBidi"/>
          <w:color w:val="000000" w:themeColor="text1"/>
          <w:lang w:val="es-ES_tradnl"/>
        </w:rPr>
        <w:t xml:space="preserve"> que se describen a continuación:</w:t>
      </w:r>
    </w:p>
    <w:p w14:paraId="69F168F8" w14:textId="77777777" w:rsidR="00E176F9" w:rsidRPr="008D7E30" w:rsidRDefault="00E176F9" w:rsidP="00CA6269">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045B80BA" w14:textId="61FDFAC6" w:rsidR="00FA259B" w:rsidRPr="008D7E30" w:rsidRDefault="007A14C5" w:rsidP="007A14C5">
      <w:pPr>
        <w:numPr>
          <w:ilvl w:val="0"/>
          <w:numId w:val="27"/>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r w:rsidRPr="008D7E30">
        <w:rPr>
          <w:rFonts w:ascii="Palatino Linotype" w:hAnsi="Palatino Linotype"/>
          <w:b/>
        </w:rPr>
        <w:lastRenderedPageBreak/>
        <w:t>ACTO IMPUGANDO PROV.docx</w:t>
      </w:r>
      <w:hyperlink r:id="rId8" w:tgtFrame="_blank" w:history="1"/>
      <w:r w:rsidR="00E176F9" w:rsidRPr="008D7E30">
        <w:rPr>
          <w:rFonts w:ascii="Palatino Linotype" w:eastAsiaTheme="minorEastAsia" w:hAnsi="Palatino Linotype" w:cstheme="minorBidi"/>
          <w:b/>
          <w:color w:val="000000" w:themeColor="text1"/>
          <w:lang w:val="es-ES_tradnl"/>
        </w:rPr>
        <w:t>:</w:t>
      </w:r>
      <w:r w:rsidR="00E176F9" w:rsidRPr="008D7E30">
        <w:rPr>
          <w:rFonts w:ascii="Palatino Linotype" w:eastAsiaTheme="minorEastAsia" w:hAnsi="Palatino Linotype" w:cstheme="minorBidi"/>
          <w:color w:val="000000" w:themeColor="text1"/>
          <w:lang w:val="es-ES_tradnl"/>
        </w:rPr>
        <w:t xml:space="preserve"> Documento </w:t>
      </w:r>
      <w:r w:rsidR="00FA259B" w:rsidRPr="008D7E30">
        <w:rPr>
          <w:rFonts w:ascii="Palatino Linotype" w:eastAsiaTheme="minorEastAsia" w:hAnsi="Palatino Linotype" w:cstheme="minorBidi"/>
          <w:color w:val="000000" w:themeColor="text1"/>
          <w:lang w:val="es-ES_tradnl"/>
        </w:rPr>
        <w:t xml:space="preserve">electrónico que en </w:t>
      </w:r>
      <w:r w:rsidRPr="008D7E30">
        <w:rPr>
          <w:rFonts w:ascii="Palatino Linotype" w:eastAsiaTheme="minorEastAsia" w:hAnsi="Palatino Linotype" w:cstheme="minorBidi"/>
          <w:color w:val="000000" w:themeColor="text1"/>
          <w:lang w:val="es-ES_tradnl"/>
        </w:rPr>
        <w:t xml:space="preserve">una hoja contiene una representación gráfica con el rubro “Acto Impugnado”. </w:t>
      </w:r>
    </w:p>
    <w:p w14:paraId="4FC04C87" w14:textId="77777777" w:rsidR="00041F6A" w:rsidRPr="008D7E30" w:rsidRDefault="00041F6A" w:rsidP="001264D1">
      <w:pPr>
        <w:tabs>
          <w:tab w:val="left" w:pos="284"/>
          <w:tab w:val="left" w:pos="426"/>
          <w:tab w:val="left" w:pos="993"/>
          <w:tab w:val="left" w:pos="1134"/>
        </w:tabs>
        <w:spacing w:line="360" w:lineRule="auto"/>
        <w:ind w:left="360" w:right="616"/>
        <w:contextualSpacing/>
        <w:jc w:val="both"/>
        <w:rPr>
          <w:rFonts w:ascii="Palatino Linotype" w:eastAsiaTheme="minorEastAsia" w:hAnsi="Palatino Linotype" w:cstheme="minorBidi"/>
          <w:i/>
          <w:color w:val="000000" w:themeColor="text1"/>
          <w:lang w:val="es-ES_tradnl"/>
        </w:rPr>
      </w:pPr>
    </w:p>
    <w:p w14:paraId="2AC54115" w14:textId="11135FA5" w:rsidR="007A14C5" w:rsidRPr="008D7E30" w:rsidRDefault="007A14C5" w:rsidP="007A14C5">
      <w:pPr>
        <w:pStyle w:val="Prrafodelista"/>
        <w:numPr>
          <w:ilvl w:val="0"/>
          <w:numId w:val="27"/>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r w:rsidRPr="008D7E30">
        <w:rPr>
          <w:rFonts w:ascii="Palatino Linotype" w:eastAsiaTheme="minorEastAsia" w:hAnsi="Palatino Linotype" w:cstheme="minorBidi"/>
          <w:b/>
          <w:color w:val="000000" w:themeColor="text1"/>
          <w:lang w:val="es-ES_tradnl"/>
        </w:rPr>
        <w:t>exp laborales.pdf</w:t>
      </w:r>
      <w:r w:rsidR="00041F6A" w:rsidRPr="008D7E30">
        <w:rPr>
          <w:rFonts w:ascii="Palatino Linotype" w:eastAsiaTheme="minorEastAsia" w:hAnsi="Palatino Linotype" w:cstheme="minorBidi"/>
          <w:b/>
          <w:color w:val="000000" w:themeColor="text1"/>
          <w:lang w:val="es-ES_tradnl"/>
        </w:rPr>
        <w:t xml:space="preserve">: </w:t>
      </w:r>
      <w:r w:rsidR="00041F6A" w:rsidRPr="008D7E30">
        <w:rPr>
          <w:rFonts w:ascii="Palatino Linotype" w:eastAsiaTheme="minorEastAsia" w:hAnsi="Palatino Linotype" w:cstheme="minorBidi"/>
          <w:color w:val="000000" w:themeColor="text1"/>
          <w:lang w:val="es-ES_tradnl"/>
        </w:rPr>
        <w:t>Documento</w:t>
      </w:r>
      <w:r w:rsidRPr="008D7E30">
        <w:rPr>
          <w:rFonts w:ascii="Palatino Linotype" w:eastAsiaTheme="minorEastAsia" w:hAnsi="Palatino Linotype" w:cstheme="minorBidi"/>
          <w:color w:val="000000" w:themeColor="text1"/>
          <w:lang w:val="es-ES_tradnl"/>
        </w:rPr>
        <w:t xml:space="preserve"> electrónico que </w:t>
      </w:r>
      <w:r w:rsidR="001264D1" w:rsidRPr="008D7E30">
        <w:rPr>
          <w:rFonts w:ascii="Palatino Linotype" w:eastAsiaTheme="minorEastAsia" w:hAnsi="Palatino Linotype" w:cstheme="minorBidi"/>
          <w:color w:val="000000" w:themeColor="text1"/>
          <w:lang w:val="es-ES_tradnl"/>
        </w:rPr>
        <w:t xml:space="preserve">en </w:t>
      </w:r>
      <w:r w:rsidRPr="008D7E30">
        <w:rPr>
          <w:rFonts w:ascii="Palatino Linotype" w:eastAsiaTheme="minorEastAsia" w:hAnsi="Palatino Linotype" w:cstheme="minorBidi"/>
          <w:color w:val="000000" w:themeColor="text1"/>
          <w:lang w:val="es-ES_tradnl"/>
        </w:rPr>
        <w:t>una hoja contiene una representación gráfica</w:t>
      </w:r>
      <w:r w:rsidR="001264D1" w:rsidRPr="008D7E30">
        <w:rPr>
          <w:rFonts w:ascii="Palatino Linotype" w:eastAsiaTheme="minorEastAsia" w:hAnsi="Palatino Linotype" w:cstheme="minorBidi"/>
          <w:color w:val="000000" w:themeColor="text1"/>
          <w:lang w:val="es-ES_tradnl"/>
        </w:rPr>
        <w:t xml:space="preserve"> con el rubro “EXPEDIENTES LABORALES EN PROCESO DE ENERO A JUNIO DE 2022”. </w:t>
      </w:r>
    </w:p>
    <w:p w14:paraId="77B0DC26" w14:textId="77777777" w:rsidR="001264D1" w:rsidRPr="008D7E30" w:rsidRDefault="001264D1" w:rsidP="001264D1">
      <w:pPr>
        <w:pStyle w:val="Prrafodelista"/>
        <w:rPr>
          <w:rFonts w:ascii="Palatino Linotype" w:eastAsiaTheme="minorEastAsia" w:hAnsi="Palatino Linotype" w:cstheme="minorBidi"/>
          <w:b/>
          <w:color w:val="000000" w:themeColor="text1"/>
          <w:lang w:val="es-ES_tradnl"/>
        </w:rPr>
      </w:pPr>
    </w:p>
    <w:p w14:paraId="4DB018B6" w14:textId="5DE4DE17" w:rsidR="001264D1" w:rsidRPr="008D7E30" w:rsidRDefault="00EC61DC" w:rsidP="007A14C5">
      <w:pPr>
        <w:pStyle w:val="Prrafodelista"/>
        <w:numPr>
          <w:ilvl w:val="0"/>
          <w:numId w:val="27"/>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hyperlink r:id="rId9" w:tgtFrame="_blank" w:history="1">
        <w:r w:rsidR="001264D1" w:rsidRPr="008D7E30">
          <w:rPr>
            <w:rStyle w:val="Hipervnculo"/>
            <w:rFonts w:ascii="Palatino Linotype" w:eastAsiaTheme="minorEastAsia" w:hAnsi="Palatino Linotype" w:cstheme="minorBidi"/>
            <w:b/>
            <w:bCs/>
            <w:color w:val="000000" w:themeColor="text1"/>
            <w:u w:val="none"/>
          </w:rPr>
          <w:t>CANTIDAD PROVEDORES.docx</w:t>
        </w:r>
      </w:hyperlink>
      <w:r w:rsidR="001264D1" w:rsidRPr="008D7E30">
        <w:rPr>
          <w:rFonts w:ascii="Palatino Linotype" w:eastAsiaTheme="minorEastAsia" w:hAnsi="Palatino Linotype" w:cstheme="minorBidi"/>
          <w:b/>
          <w:color w:val="000000" w:themeColor="text1"/>
          <w:lang w:val="es-ES_tradnl"/>
        </w:rPr>
        <w:t xml:space="preserve">: </w:t>
      </w:r>
      <w:r w:rsidR="001264D1" w:rsidRPr="008D7E30">
        <w:rPr>
          <w:rFonts w:ascii="Palatino Linotype" w:eastAsiaTheme="minorEastAsia" w:hAnsi="Palatino Linotype" w:cstheme="minorBidi"/>
          <w:color w:val="000000" w:themeColor="text1"/>
          <w:lang w:val="es-ES_tradnl"/>
        </w:rPr>
        <w:t xml:space="preserve">Documento electrónico que una hoja contiene el rubro “CANTIDAD”. </w:t>
      </w:r>
    </w:p>
    <w:p w14:paraId="627A4437" w14:textId="77777777" w:rsidR="001264D1" w:rsidRPr="008D7E30" w:rsidRDefault="001264D1" w:rsidP="001264D1">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p>
    <w:p w14:paraId="3F9056DA" w14:textId="016013D1" w:rsidR="001264D1" w:rsidRPr="008D7E30" w:rsidRDefault="00EC61DC" w:rsidP="001264D1">
      <w:pPr>
        <w:numPr>
          <w:ilvl w:val="0"/>
          <w:numId w:val="27"/>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hyperlink r:id="rId10" w:tgtFrame="_blank" w:history="1">
        <w:r w:rsidR="001264D1" w:rsidRPr="008D7E30">
          <w:rPr>
            <w:rStyle w:val="Hipervnculo"/>
            <w:rFonts w:ascii="Palatino Linotype" w:eastAsiaTheme="minorEastAsia" w:hAnsi="Palatino Linotype" w:cstheme="minorBidi"/>
            <w:b/>
            <w:bCs/>
            <w:color w:val="000000" w:themeColor="text1"/>
            <w:u w:val="none"/>
          </w:rPr>
          <w:t>TABLA EXPEDIENTE PROVEDORES.docx</w:t>
        </w:r>
      </w:hyperlink>
      <w:hyperlink r:id="rId11" w:tgtFrame="_blank" w:history="1"/>
      <w:r w:rsidR="001264D1" w:rsidRPr="008D7E30">
        <w:rPr>
          <w:rFonts w:ascii="Palatino Linotype" w:eastAsiaTheme="minorEastAsia" w:hAnsi="Palatino Linotype" w:cstheme="minorBidi"/>
          <w:b/>
          <w:color w:val="000000" w:themeColor="text1"/>
          <w:lang w:val="es-ES_tradnl"/>
        </w:rPr>
        <w:t xml:space="preserve">: </w:t>
      </w:r>
      <w:r w:rsidR="001264D1" w:rsidRPr="008D7E30">
        <w:rPr>
          <w:rFonts w:ascii="Palatino Linotype" w:eastAsiaTheme="minorEastAsia" w:hAnsi="Palatino Linotype" w:cstheme="minorBidi"/>
          <w:color w:val="000000" w:themeColor="text1"/>
          <w:lang w:val="es-ES_tradnl"/>
        </w:rPr>
        <w:t xml:space="preserve">Documento electrónico que en una hoja contiene una representación gráfica con el rubro “Expediente”. </w:t>
      </w:r>
    </w:p>
    <w:p w14:paraId="2E6A3F18" w14:textId="77777777" w:rsidR="001264D1" w:rsidRPr="008D7E30" w:rsidRDefault="001264D1" w:rsidP="001264D1">
      <w:pPr>
        <w:pStyle w:val="Prrafodelista"/>
        <w:rPr>
          <w:rFonts w:ascii="Palatino Linotype" w:eastAsiaTheme="minorEastAsia" w:hAnsi="Palatino Linotype" w:cstheme="minorBidi"/>
          <w:b/>
          <w:color w:val="000000" w:themeColor="text1"/>
          <w:lang w:val="es-ES_tradnl"/>
        </w:rPr>
      </w:pPr>
    </w:p>
    <w:p w14:paraId="1F1BD1C6" w14:textId="77777777" w:rsidR="001264D1" w:rsidRPr="008D7E30" w:rsidRDefault="00EC61DC" w:rsidP="001264D1">
      <w:pPr>
        <w:numPr>
          <w:ilvl w:val="0"/>
          <w:numId w:val="27"/>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hyperlink r:id="rId12" w:tgtFrame="_blank" w:history="1">
        <w:r w:rsidR="001264D1" w:rsidRPr="008D7E30">
          <w:rPr>
            <w:rStyle w:val="Hipervnculo"/>
            <w:rFonts w:ascii="Palatino Linotype" w:eastAsiaTheme="minorEastAsia" w:hAnsi="Palatino Linotype" w:cstheme="minorBidi"/>
            <w:b/>
            <w:bCs/>
            <w:color w:val="000000" w:themeColor="text1"/>
            <w:u w:val="none"/>
          </w:rPr>
          <w:t>Respuesta 01417_2022.pdf</w:t>
        </w:r>
      </w:hyperlink>
      <w:r w:rsidR="001264D1" w:rsidRPr="008D7E30">
        <w:rPr>
          <w:rFonts w:ascii="Palatino Linotype" w:eastAsiaTheme="minorEastAsia" w:hAnsi="Palatino Linotype" w:cstheme="minorBidi"/>
          <w:b/>
          <w:color w:val="000000" w:themeColor="text1"/>
          <w:lang w:val="es-ES_tradnl"/>
        </w:rPr>
        <w:t xml:space="preserve">: </w:t>
      </w:r>
      <w:hyperlink r:id="rId13" w:tgtFrame="_blank" w:history="1"/>
      <w:r w:rsidR="00034216" w:rsidRPr="008D7E30">
        <w:rPr>
          <w:rFonts w:ascii="Palatino Linotype" w:eastAsiaTheme="minorEastAsia" w:hAnsi="Palatino Linotype" w:cstheme="minorBidi"/>
          <w:b/>
          <w:color w:val="000000" w:themeColor="text1"/>
          <w:lang w:val="es-ES_tradnl"/>
        </w:rPr>
        <w:t xml:space="preserve">: </w:t>
      </w:r>
      <w:r w:rsidR="00034216" w:rsidRPr="008D7E30">
        <w:rPr>
          <w:rFonts w:ascii="Palatino Linotype" w:eastAsiaTheme="minorEastAsia" w:hAnsi="Palatino Linotype" w:cstheme="minorBidi"/>
          <w:color w:val="000000" w:themeColor="text1"/>
          <w:lang w:val="es-ES_tradnl"/>
        </w:rPr>
        <w:t xml:space="preserve">Documento electrónico que en </w:t>
      </w:r>
      <w:r w:rsidR="001264D1" w:rsidRPr="008D7E30">
        <w:rPr>
          <w:rFonts w:ascii="Palatino Linotype" w:eastAsiaTheme="minorEastAsia" w:hAnsi="Palatino Linotype" w:cstheme="minorBidi"/>
          <w:color w:val="000000" w:themeColor="text1"/>
          <w:lang w:val="es-ES_tradnl"/>
        </w:rPr>
        <w:t xml:space="preserve">dos (02) hojas contiene el oficio de fecha veinticuatro (24) de junio de dos mil veintidós mediante el cual medularmente refiere que: </w:t>
      </w:r>
    </w:p>
    <w:p w14:paraId="2AF26A1B" w14:textId="77777777" w:rsidR="001264D1" w:rsidRPr="008D7E30" w:rsidRDefault="001264D1" w:rsidP="001264D1">
      <w:pPr>
        <w:pStyle w:val="Prrafodelista"/>
        <w:rPr>
          <w:rFonts w:ascii="Palatino Linotype" w:eastAsiaTheme="minorEastAsia" w:hAnsi="Palatino Linotype" w:cstheme="minorBidi"/>
          <w:b/>
          <w:color w:val="000000" w:themeColor="text1"/>
          <w:lang w:val="es-ES_tradnl"/>
        </w:rPr>
      </w:pPr>
    </w:p>
    <w:p w14:paraId="065C21F6" w14:textId="20AF2878" w:rsidR="001264D1" w:rsidRPr="008D7E30" w:rsidRDefault="001264D1" w:rsidP="001264D1">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8D7E30">
        <w:rPr>
          <w:rFonts w:ascii="Palatino Linotype" w:eastAsiaTheme="minorEastAsia" w:hAnsi="Palatino Linotype" w:cstheme="minorBidi"/>
          <w:b/>
          <w:i/>
          <w:color w:val="000000" w:themeColor="text1"/>
          <w:lang w:val="es-ES_tradnl"/>
        </w:rPr>
        <w:t xml:space="preserve">“ </w:t>
      </w:r>
      <w:r w:rsidR="00262345" w:rsidRPr="008D7E30">
        <w:rPr>
          <w:rFonts w:ascii="Palatino Linotype" w:eastAsiaTheme="minorEastAsia" w:hAnsi="Palatino Linotype" w:cstheme="minorBidi"/>
          <w:b/>
          <w:i/>
          <w:color w:val="000000" w:themeColor="text1"/>
          <w:lang w:val="es-ES_tradnl"/>
        </w:rPr>
        <w:t xml:space="preserve">… </w:t>
      </w:r>
      <w:r w:rsidRPr="008D7E30">
        <w:rPr>
          <w:rFonts w:ascii="Palatino Linotype" w:eastAsiaTheme="minorEastAsia" w:hAnsi="Palatino Linotype" w:cstheme="minorBidi"/>
          <w:i/>
          <w:color w:val="000000" w:themeColor="text1"/>
          <w:lang w:val="es-ES_tradnl"/>
        </w:rPr>
        <w:t>después de realizar una búsqueda exhaustiva y razonable dentro de los archivos a su cargo, hace entrega de la</w:t>
      </w:r>
      <w:r w:rsidR="00262345" w:rsidRPr="008D7E30">
        <w:rPr>
          <w:rFonts w:ascii="Palatino Linotype" w:eastAsiaTheme="minorEastAsia" w:hAnsi="Palatino Linotype" w:cstheme="minorBidi"/>
          <w:i/>
          <w:color w:val="000000" w:themeColor="text1"/>
          <w:lang w:val="es-ES_tradnl"/>
        </w:rPr>
        <w:t xml:space="preserve"> </w:t>
      </w:r>
      <w:r w:rsidRPr="008D7E30">
        <w:rPr>
          <w:rFonts w:ascii="Palatino Linotype" w:eastAsiaTheme="minorEastAsia" w:hAnsi="Palatino Linotype" w:cstheme="minorBidi"/>
          <w:i/>
          <w:color w:val="000000" w:themeColor="text1"/>
          <w:lang w:val="es-ES_tradnl"/>
        </w:rPr>
        <w:t>informaci</w:t>
      </w:r>
      <w:r w:rsidR="00262345" w:rsidRPr="008D7E30">
        <w:rPr>
          <w:rFonts w:ascii="Palatino Linotype" w:eastAsiaTheme="minorEastAsia" w:hAnsi="Palatino Linotype" w:cstheme="minorBidi"/>
          <w:i/>
          <w:color w:val="000000" w:themeColor="text1"/>
          <w:lang w:val="es-ES_tradnl"/>
        </w:rPr>
        <w:t xml:space="preserve">ón solicitada por el particular, misma que se anexa al presente…” </w:t>
      </w:r>
    </w:p>
    <w:p w14:paraId="79FE1455" w14:textId="77777777" w:rsidR="001264D1" w:rsidRPr="008D7E30" w:rsidRDefault="001264D1" w:rsidP="001264D1">
      <w:pPr>
        <w:pStyle w:val="Prrafodelista"/>
        <w:rPr>
          <w:rFonts w:ascii="Palatino Linotype" w:eastAsiaTheme="minorEastAsia" w:hAnsi="Palatino Linotype" w:cstheme="minorBidi"/>
          <w:color w:val="000000" w:themeColor="text1"/>
          <w:lang w:val="es-ES_tradnl"/>
        </w:rPr>
      </w:pPr>
    </w:p>
    <w:p w14:paraId="17372075" w14:textId="5FB9E7CA" w:rsidR="00AF711D" w:rsidRPr="008D7E30" w:rsidRDefault="001264D1" w:rsidP="001264D1">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b/>
          <w:color w:val="000000" w:themeColor="text1"/>
          <w:lang w:val="es-ES_tradnl"/>
        </w:rPr>
      </w:pPr>
      <w:r w:rsidRPr="008D7E30">
        <w:rPr>
          <w:rFonts w:ascii="Palatino Linotype" w:eastAsiaTheme="minorEastAsia" w:hAnsi="Palatino Linotype" w:cstheme="minorBidi"/>
          <w:color w:val="000000" w:themeColor="text1"/>
          <w:lang w:val="es-ES_tradnl"/>
        </w:rPr>
        <w:t xml:space="preserve"> </w:t>
      </w:r>
    </w:p>
    <w:p w14:paraId="1D2FBD05" w14:textId="0C672349" w:rsidR="007F7B11" w:rsidRPr="008D7E30" w:rsidRDefault="007F7B11" w:rsidP="00CA6269">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5FCB9BAC" w14:textId="7FDA3E85" w:rsidR="0060001F" w:rsidRPr="008D7E30" w:rsidRDefault="00B107F6" w:rsidP="00D16B76">
      <w:pPr>
        <w:numPr>
          <w:ilvl w:val="0"/>
          <w:numId w:val="17"/>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8D7E30">
        <w:rPr>
          <w:rFonts w:ascii="Palatino Linotype" w:hAnsi="Palatino Linotype" w:cs="Arial"/>
          <w:lang w:val="es-ES_tradnl"/>
        </w:rPr>
        <w:lastRenderedPageBreak/>
        <w:t>Derivado</w:t>
      </w:r>
      <w:r w:rsidR="0060001F" w:rsidRPr="008D7E30">
        <w:rPr>
          <w:rFonts w:ascii="Palatino Linotype" w:hAnsi="Palatino Linotype" w:cs="Arial"/>
          <w:lang w:val="es-ES_tradnl"/>
        </w:rPr>
        <w:t xml:space="preserve"> de</w:t>
      </w:r>
      <w:r w:rsidRPr="008D7E30">
        <w:rPr>
          <w:rFonts w:ascii="Palatino Linotype" w:hAnsi="Palatino Linotype" w:cs="Arial"/>
          <w:lang w:val="es-ES_tradnl"/>
        </w:rPr>
        <w:t xml:space="preserve"> la respuesta otorgada</w:t>
      </w:r>
      <w:r w:rsidR="007F7B11" w:rsidRPr="008D7E30">
        <w:rPr>
          <w:rFonts w:ascii="Palatino Linotype" w:hAnsi="Palatino Linotype" w:cs="Arial"/>
          <w:lang w:val="es-ES_tradnl"/>
        </w:rPr>
        <w:t>, el</w:t>
      </w:r>
      <w:r w:rsidR="00D16B76" w:rsidRPr="008D7E30">
        <w:rPr>
          <w:rFonts w:ascii="Palatino Linotype" w:hAnsi="Palatino Linotype" w:cs="Arial"/>
        </w:rPr>
        <w:t xml:space="preserve"> cinco (05</w:t>
      </w:r>
      <w:r w:rsidR="007F7B11" w:rsidRPr="008D7E30">
        <w:rPr>
          <w:rFonts w:ascii="Palatino Linotype" w:hAnsi="Palatino Linotype" w:cs="Arial"/>
        </w:rPr>
        <w:t>) de</w:t>
      </w:r>
      <w:r w:rsidR="00D16B76" w:rsidRPr="008D7E30">
        <w:rPr>
          <w:rFonts w:ascii="Palatino Linotype" w:hAnsi="Palatino Linotype" w:cs="Arial"/>
        </w:rPr>
        <w:t xml:space="preserve"> julio</w:t>
      </w:r>
      <w:r w:rsidR="00B537D4" w:rsidRPr="008D7E30">
        <w:rPr>
          <w:rFonts w:ascii="Palatino Linotype" w:hAnsi="Palatino Linotype" w:cs="Arial"/>
        </w:rPr>
        <w:t xml:space="preserve"> </w:t>
      </w:r>
      <w:r w:rsidR="0060001F" w:rsidRPr="008D7E30">
        <w:rPr>
          <w:rFonts w:ascii="Palatino Linotype" w:hAnsi="Palatino Linotype" w:cs="Arial"/>
        </w:rPr>
        <w:t xml:space="preserve">de dos </w:t>
      </w:r>
      <w:r w:rsidR="00133D66" w:rsidRPr="008D7E30">
        <w:rPr>
          <w:rFonts w:ascii="Palatino Linotype" w:hAnsi="Palatino Linotype" w:cs="Arial"/>
        </w:rPr>
        <w:t>mil veintidós</w:t>
      </w:r>
      <w:r w:rsidR="00D16B76" w:rsidRPr="008D7E30">
        <w:rPr>
          <w:rFonts w:ascii="Palatino Linotype" w:hAnsi="Palatino Linotype" w:cs="Arial"/>
        </w:rPr>
        <w:t xml:space="preserve">, el particular interpuso </w:t>
      </w:r>
      <w:r w:rsidR="007F7B11" w:rsidRPr="008D7E30">
        <w:rPr>
          <w:rFonts w:ascii="Palatino Linotype" w:hAnsi="Palatino Linotype" w:cs="Arial"/>
        </w:rPr>
        <w:t>el recurso de revisión con número indicado al rubro y señalando como:</w:t>
      </w:r>
    </w:p>
    <w:p w14:paraId="2D1E09E7" w14:textId="77777777" w:rsidR="0060001F" w:rsidRPr="008D7E30" w:rsidRDefault="0060001F" w:rsidP="00CA6269">
      <w:pPr>
        <w:pStyle w:val="Prrafodelista"/>
        <w:spacing w:line="360" w:lineRule="auto"/>
        <w:rPr>
          <w:rFonts w:ascii="Palatino Linotype" w:hAnsi="Palatino Linotype" w:cs="Arial"/>
          <w:b/>
        </w:rPr>
      </w:pPr>
    </w:p>
    <w:p w14:paraId="46AD8467" w14:textId="2CD801C5" w:rsidR="007F7B11" w:rsidRPr="008D7E30" w:rsidRDefault="007F7B11" w:rsidP="001746BA">
      <w:pPr>
        <w:pStyle w:val="Prrafodelista"/>
        <w:numPr>
          <w:ilvl w:val="0"/>
          <w:numId w:val="24"/>
        </w:numPr>
        <w:tabs>
          <w:tab w:val="left" w:pos="284"/>
        </w:tabs>
        <w:spacing w:line="360" w:lineRule="auto"/>
        <w:ind w:right="738"/>
        <w:contextualSpacing/>
        <w:jc w:val="both"/>
        <w:rPr>
          <w:rFonts w:ascii="Palatino Linotype" w:eastAsiaTheme="minorEastAsia" w:hAnsi="Palatino Linotype" w:cstheme="minorBidi"/>
          <w:i/>
          <w:lang w:val="es-ES_tradnl"/>
        </w:rPr>
      </w:pPr>
      <w:r w:rsidRPr="008D7E30">
        <w:rPr>
          <w:rFonts w:ascii="Palatino Linotype" w:hAnsi="Palatino Linotype" w:cs="Arial"/>
          <w:b/>
        </w:rPr>
        <w:t>Acto impugnado:</w:t>
      </w:r>
      <w:r w:rsidRPr="008D7E30">
        <w:rPr>
          <w:rFonts w:ascii="Palatino Linotype" w:hAnsi="Palatino Linotype" w:cs="Arial"/>
        </w:rPr>
        <w:t xml:space="preserve"> </w:t>
      </w:r>
      <w:r w:rsidRPr="008D7E30">
        <w:rPr>
          <w:rFonts w:ascii="Palatino Linotype" w:hAnsi="Palatino Linotype" w:cs="Arial"/>
          <w:i/>
        </w:rPr>
        <w:t>“</w:t>
      </w:r>
      <w:r w:rsidR="001746BA" w:rsidRPr="008D7E30">
        <w:rPr>
          <w:rFonts w:ascii="Palatino Linotype" w:hAnsi="Palatino Linotype" w:cs="Arial"/>
          <w:i/>
        </w:rPr>
        <w:t>La respuesta proporcionada por la Unidad de Transparencia.</w:t>
      </w:r>
      <w:r w:rsidRPr="008D7E30">
        <w:rPr>
          <w:rFonts w:ascii="Palatino Linotype" w:hAnsi="Palatino Linotype" w:cs="Arial"/>
          <w:i/>
        </w:rPr>
        <w:t>” (Sic).</w:t>
      </w:r>
    </w:p>
    <w:p w14:paraId="09BD370B" w14:textId="77777777" w:rsidR="007F7B11" w:rsidRPr="008D7E30" w:rsidRDefault="007F7B11" w:rsidP="00CA6269">
      <w:pPr>
        <w:tabs>
          <w:tab w:val="left" w:pos="426"/>
          <w:tab w:val="left" w:pos="993"/>
        </w:tabs>
        <w:spacing w:line="360" w:lineRule="auto"/>
        <w:ind w:left="567" w:right="738"/>
        <w:contextualSpacing/>
        <w:jc w:val="both"/>
        <w:rPr>
          <w:rFonts w:ascii="Palatino Linotype" w:hAnsi="Palatino Linotype" w:cs="Arial"/>
        </w:rPr>
      </w:pPr>
    </w:p>
    <w:p w14:paraId="3AF54962" w14:textId="72091D8C" w:rsidR="007F7B11" w:rsidRPr="008D7E30" w:rsidRDefault="007F7B11" w:rsidP="001746BA">
      <w:pPr>
        <w:pStyle w:val="Prrafodelista"/>
        <w:numPr>
          <w:ilvl w:val="0"/>
          <w:numId w:val="24"/>
        </w:numPr>
        <w:tabs>
          <w:tab w:val="left" w:pos="426"/>
          <w:tab w:val="left" w:pos="993"/>
        </w:tabs>
        <w:spacing w:line="360" w:lineRule="auto"/>
        <w:ind w:right="738"/>
        <w:contextualSpacing/>
        <w:jc w:val="both"/>
        <w:rPr>
          <w:rFonts w:ascii="Palatino Linotype" w:hAnsi="Palatino Linotype" w:cs="Arial"/>
        </w:rPr>
      </w:pPr>
      <w:r w:rsidRPr="008D7E30">
        <w:rPr>
          <w:rFonts w:ascii="Palatino Linotype" w:hAnsi="Palatino Linotype" w:cs="Arial"/>
          <w:b/>
        </w:rPr>
        <w:t>Razones o motivos de inconformidad:</w:t>
      </w:r>
      <w:r w:rsidRPr="008D7E30">
        <w:rPr>
          <w:rFonts w:ascii="Palatino Linotype" w:hAnsi="Palatino Linotype" w:cs="Arial"/>
        </w:rPr>
        <w:t xml:space="preserve"> </w:t>
      </w:r>
      <w:r w:rsidRPr="008D7E30">
        <w:rPr>
          <w:rFonts w:ascii="Palatino Linotype" w:hAnsi="Palatino Linotype" w:cs="Arial"/>
          <w:i/>
        </w:rPr>
        <w:t>“</w:t>
      </w:r>
      <w:r w:rsidR="001746BA" w:rsidRPr="008D7E30">
        <w:rPr>
          <w:rFonts w:ascii="Palatino Linotype" w:hAnsi="Palatino Linotype" w:cs="Arial"/>
          <w:i/>
        </w:rPr>
        <w:t>Respuesta entregada de manera incompleta.</w:t>
      </w:r>
      <w:r w:rsidR="00133D66" w:rsidRPr="008D7E30">
        <w:rPr>
          <w:rFonts w:ascii="Palatino Linotype" w:hAnsi="Palatino Linotype" w:cs="Arial"/>
          <w:i/>
        </w:rPr>
        <w:t>.</w:t>
      </w:r>
      <w:r w:rsidR="00B537D4" w:rsidRPr="008D7E30">
        <w:rPr>
          <w:rFonts w:ascii="Palatino Linotype" w:hAnsi="Palatino Linotype" w:cs="Arial"/>
          <w:i/>
        </w:rPr>
        <w:t>.</w:t>
      </w:r>
      <w:r w:rsidRPr="008D7E30">
        <w:rPr>
          <w:rFonts w:ascii="Palatino Linotype" w:hAnsi="Palatino Linotype" w:cs="Arial"/>
          <w:i/>
        </w:rPr>
        <w:t>” (Sic).</w:t>
      </w:r>
    </w:p>
    <w:p w14:paraId="6F0D0AC4" w14:textId="77777777" w:rsidR="007F7B11" w:rsidRPr="008D7E30" w:rsidRDefault="007F7B11" w:rsidP="00CA6269">
      <w:pPr>
        <w:spacing w:line="360" w:lineRule="auto"/>
        <w:ind w:left="360" w:right="34"/>
        <w:jc w:val="both"/>
        <w:rPr>
          <w:rFonts w:ascii="Palatino Linotype" w:eastAsiaTheme="majorEastAsia" w:hAnsi="Palatino Linotype" w:cstheme="majorBidi"/>
          <w:b/>
          <w:lang w:eastAsia="en-US"/>
        </w:rPr>
      </w:pPr>
    </w:p>
    <w:p w14:paraId="6262FD0F" w14:textId="77777777" w:rsidR="007F7B11" w:rsidRPr="008D7E30"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8D7E30">
        <w:rPr>
          <w:rFonts w:ascii="Palatino Linotype" w:eastAsia="Calibri" w:hAnsi="Palatino Linotype" w:cs="Arial"/>
        </w:rPr>
        <w:t xml:space="preserve">Se registró el recurso de revisión bajo el número de expediente al rubro indicado, asimismo, con fundamento en lo dispuesto por el artículo 185 fracción I de la </w:t>
      </w:r>
      <w:r w:rsidRPr="008D7E30">
        <w:rPr>
          <w:rFonts w:ascii="Palatino Linotype" w:eastAsia="Calibri" w:hAnsi="Palatino Linotype" w:cs="Arial"/>
          <w:b/>
        </w:rPr>
        <w:t>Ley de Transparencia y Acceso a la Información Pública del Estado de México y Municipios</w:t>
      </w:r>
      <w:r w:rsidRPr="008D7E30">
        <w:rPr>
          <w:rFonts w:ascii="Palatino Linotype" w:eastAsia="Calibri" w:hAnsi="Palatino Linotype" w:cs="Arial"/>
        </w:rPr>
        <w:t xml:space="preserve">, se turnó a la </w:t>
      </w:r>
      <w:r w:rsidRPr="008D7E30">
        <w:rPr>
          <w:rFonts w:ascii="Palatino Linotype" w:eastAsia="Calibri" w:hAnsi="Palatino Linotype" w:cs="Arial"/>
          <w:b/>
        </w:rPr>
        <w:t>Comisionada María del Rosario Mejía Ayala</w:t>
      </w:r>
      <w:r w:rsidRPr="008D7E30">
        <w:rPr>
          <w:rFonts w:ascii="Palatino Linotype" w:eastAsia="Calibri" w:hAnsi="Palatino Linotype" w:cs="Arial"/>
        </w:rPr>
        <w:t>, con el objeto de su análisis.</w:t>
      </w:r>
    </w:p>
    <w:p w14:paraId="0A930C08" w14:textId="77777777" w:rsidR="007F7B11" w:rsidRPr="008D7E30"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464151BE" w14:textId="1FEBC63A" w:rsidR="007F7B11" w:rsidRPr="008D7E30"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8D7E30">
        <w:rPr>
          <w:rFonts w:ascii="Palatino Linotype" w:eastAsia="Calibri" w:hAnsi="Palatino Linotype" w:cs="Arial"/>
        </w:rPr>
        <w:t>La Comisionada Ponente, con fundamento en lo dispuesto por el artículo 185 fracción II de la ley de la materia, a tr</w:t>
      </w:r>
      <w:r w:rsidR="00B537D4" w:rsidRPr="008D7E30">
        <w:rPr>
          <w:rFonts w:ascii="Palatino Linotype" w:eastAsia="Calibri" w:hAnsi="Palatino Linotype" w:cs="Arial"/>
        </w:rPr>
        <w:t>avés d</w:t>
      </w:r>
      <w:r w:rsidR="001746BA" w:rsidRPr="008D7E30">
        <w:rPr>
          <w:rFonts w:ascii="Palatino Linotype" w:eastAsia="Calibri" w:hAnsi="Palatino Linotype" w:cs="Arial"/>
        </w:rPr>
        <w:t>el acuerdo de admisión de once</w:t>
      </w:r>
      <w:r w:rsidR="0060001F" w:rsidRPr="008D7E30">
        <w:rPr>
          <w:rFonts w:ascii="Palatino Linotype" w:eastAsia="Calibri" w:hAnsi="Palatino Linotype" w:cs="Arial"/>
        </w:rPr>
        <w:t xml:space="preserve"> </w:t>
      </w:r>
      <w:r w:rsidR="001746BA" w:rsidRPr="008D7E30">
        <w:rPr>
          <w:rFonts w:ascii="Palatino Linotype" w:eastAsia="Calibri" w:hAnsi="Palatino Linotype" w:cs="Arial"/>
        </w:rPr>
        <w:t>(11</w:t>
      </w:r>
      <w:r w:rsidR="00133D66" w:rsidRPr="008D7E30">
        <w:rPr>
          <w:rFonts w:ascii="Palatino Linotype" w:eastAsia="Calibri" w:hAnsi="Palatino Linotype" w:cs="Arial"/>
        </w:rPr>
        <w:t>) de</w:t>
      </w:r>
      <w:r w:rsidR="001746BA" w:rsidRPr="008D7E30">
        <w:rPr>
          <w:rFonts w:ascii="Palatino Linotype" w:eastAsia="Calibri" w:hAnsi="Palatino Linotype" w:cs="Arial"/>
        </w:rPr>
        <w:t xml:space="preserve"> julio</w:t>
      </w:r>
      <w:r w:rsidR="00133D66" w:rsidRPr="008D7E30">
        <w:rPr>
          <w:rFonts w:ascii="Palatino Linotype" w:eastAsia="Calibri" w:hAnsi="Palatino Linotype" w:cs="Arial"/>
        </w:rPr>
        <w:t xml:space="preserve"> </w:t>
      </w:r>
      <w:r w:rsidR="0032491D" w:rsidRPr="008D7E30">
        <w:rPr>
          <w:rFonts w:ascii="Palatino Linotype" w:eastAsia="Calibri" w:hAnsi="Palatino Linotype" w:cs="Arial"/>
        </w:rPr>
        <w:t>de dos mil veintidós</w:t>
      </w:r>
      <w:r w:rsidRPr="008D7E30">
        <w:rPr>
          <w:rFonts w:ascii="Palatino Linotype" w:eastAsia="Calibri" w:hAnsi="Palatino Linotype" w:cs="Arial"/>
        </w:rPr>
        <w:t xml:space="preserve">, puso a disposición de las partes el expediente electrónico </w:t>
      </w:r>
      <w:r w:rsidRPr="008D7E30">
        <w:rPr>
          <w:rFonts w:ascii="Palatino Linotype" w:eastAsia="Calibri" w:hAnsi="Palatino Linotype" w:cs="Arial"/>
          <w:lang w:val="es-ES_tradnl"/>
        </w:rPr>
        <w:t xml:space="preserve">vía </w:t>
      </w:r>
      <w:r w:rsidRPr="008D7E30">
        <w:rPr>
          <w:rFonts w:ascii="Palatino Linotype" w:eastAsia="Calibri" w:hAnsi="Palatino Linotype" w:cs="Arial"/>
        </w:rPr>
        <w:t xml:space="preserve">Sistema de Acceso a la Información Mexiquense </w:t>
      </w:r>
      <w:r w:rsidRPr="008D7E30">
        <w:rPr>
          <w:rFonts w:ascii="Palatino Linotype" w:eastAsia="Calibri" w:hAnsi="Palatino Linotype" w:cs="Arial"/>
          <w:b/>
        </w:rPr>
        <w:t xml:space="preserve">SAIMEX </w:t>
      </w:r>
      <w:r w:rsidRPr="008D7E30">
        <w:rPr>
          <w:rFonts w:ascii="Palatino Linotype" w:eastAsia="Calibri" w:hAnsi="Palatino Linotype" w:cs="Arial"/>
        </w:rPr>
        <w:t xml:space="preserve">a efecto de que en un plazo máximo de siete días manifestaran lo que a su derecho conviniera, ofrecieran pruebas y alegatos según correspondiera a los casos concretos, de esta forma para que el </w:t>
      </w:r>
      <w:r w:rsidRPr="008D7E30">
        <w:rPr>
          <w:rFonts w:ascii="Palatino Linotype" w:eastAsia="Calibri" w:hAnsi="Palatino Linotype" w:cs="Arial"/>
          <w:b/>
        </w:rPr>
        <w:t>SUJETO OBLIGADO</w:t>
      </w:r>
      <w:r w:rsidRPr="008D7E30">
        <w:rPr>
          <w:rFonts w:ascii="Palatino Linotype" w:eastAsia="Calibri" w:hAnsi="Palatino Linotype" w:cs="Arial"/>
        </w:rPr>
        <w:t xml:space="preserve"> presentara el Informe Justificado procedente.</w:t>
      </w:r>
    </w:p>
    <w:p w14:paraId="52E9C0C3" w14:textId="77777777" w:rsidR="007F7B11" w:rsidRPr="008D7E30"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24325115" w14:textId="23554381" w:rsidR="007F7B11" w:rsidRPr="008D7E30"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8D7E30">
        <w:rPr>
          <w:rFonts w:ascii="Palatino Linotype" w:eastAsia="Calibri" w:hAnsi="Palatino Linotype" w:cs="Arial"/>
          <w:color w:val="000000" w:themeColor="text1"/>
        </w:rPr>
        <w:lastRenderedPageBreak/>
        <w:t xml:space="preserve">De </w:t>
      </w:r>
      <w:r w:rsidRPr="008D7E30">
        <w:rPr>
          <w:rFonts w:ascii="Palatino Linotype" w:eastAsiaTheme="minorEastAsia" w:hAnsi="Palatino Linotype" w:cstheme="minorBidi"/>
          <w:color w:val="000000"/>
        </w:rPr>
        <w:t xml:space="preserve">las </w:t>
      </w:r>
      <w:r w:rsidRPr="008D7E30">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8D7E30">
        <w:rPr>
          <w:rFonts w:ascii="Palatino Linotype" w:eastAsiaTheme="minorEastAsia" w:hAnsi="Palatino Linotype" w:cstheme="minorBidi"/>
          <w:b/>
          <w:color w:val="000000"/>
          <w:lang w:val="es-ES_tradnl"/>
        </w:rPr>
        <w:t xml:space="preserve">SUJETO OBLIGADO </w:t>
      </w:r>
      <w:r w:rsidRPr="008D7E30">
        <w:rPr>
          <w:rFonts w:ascii="Palatino Linotype" w:eastAsiaTheme="minorEastAsia" w:hAnsi="Palatino Linotype" w:cstheme="minorBidi"/>
          <w:color w:val="000000"/>
          <w:lang w:val="es-ES_tradnl"/>
        </w:rPr>
        <w:t>rindió informe justificado</w:t>
      </w:r>
      <w:r w:rsidR="00324F98" w:rsidRPr="008D7E30">
        <w:rPr>
          <w:rFonts w:ascii="Palatino Linotype" w:eastAsiaTheme="minorEastAsia" w:hAnsi="Palatino Linotype" w:cstheme="minorBidi"/>
          <w:color w:val="000000"/>
          <w:lang w:val="es-ES_tradnl"/>
        </w:rPr>
        <w:t xml:space="preserve"> </w:t>
      </w:r>
      <w:r w:rsidR="001746BA" w:rsidRPr="008D7E30">
        <w:rPr>
          <w:rFonts w:ascii="Palatino Linotype" w:eastAsiaTheme="minorEastAsia" w:hAnsi="Palatino Linotype" w:cstheme="minorBidi"/>
          <w:color w:val="000000"/>
          <w:lang w:val="es-ES_tradnl"/>
        </w:rPr>
        <w:t>en el tres (03</w:t>
      </w:r>
      <w:r w:rsidR="00324F98" w:rsidRPr="008D7E30">
        <w:rPr>
          <w:rFonts w:ascii="Palatino Linotype" w:eastAsiaTheme="minorEastAsia" w:hAnsi="Palatino Linotype" w:cstheme="minorBidi"/>
          <w:color w:val="000000"/>
          <w:lang w:val="es-ES_tradnl"/>
        </w:rPr>
        <w:t>) de</w:t>
      </w:r>
      <w:r w:rsidR="001746BA" w:rsidRPr="008D7E30">
        <w:rPr>
          <w:rFonts w:ascii="Palatino Linotype" w:eastAsiaTheme="minorEastAsia" w:hAnsi="Palatino Linotype" w:cstheme="minorBidi"/>
          <w:color w:val="000000"/>
          <w:lang w:val="es-ES_tradnl"/>
        </w:rPr>
        <w:t xml:space="preserve"> agosto </w:t>
      </w:r>
      <w:r w:rsidR="00AD0232" w:rsidRPr="008D7E30">
        <w:rPr>
          <w:rFonts w:ascii="Palatino Linotype" w:eastAsiaTheme="minorEastAsia" w:hAnsi="Palatino Linotype" w:cstheme="minorBidi"/>
          <w:color w:val="000000"/>
          <w:lang w:val="es-ES_tradnl"/>
        </w:rPr>
        <w:t xml:space="preserve">de dos mil </w:t>
      </w:r>
      <w:r w:rsidR="009178BE" w:rsidRPr="008D7E30">
        <w:rPr>
          <w:rFonts w:ascii="Palatino Linotype" w:eastAsiaTheme="minorEastAsia" w:hAnsi="Palatino Linotype" w:cstheme="minorBidi"/>
          <w:color w:val="000000"/>
          <w:lang w:val="es-ES_tradnl"/>
        </w:rPr>
        <w:t>veintidós;</w:t>
      </w:r>
      <w:r w:rsidR="00B27244" w:rsidRPr="008D7E30">
        <w:rPr>
          <w:rFonts w:ascii="Palatino Linotype" w:eastAsiaTheme="minorEastAsia" w:hAnsi="Palatino Linotype" w:cstheme="minorBidi"/>
          <w:color w:val="000000"/>
          <w:lang w:val="es-ES_tradnl"/>
        </w:rPr>
        <w:t xml:space="preserve"> mismo que se puso</w:t>
      </w:r>
      <w:r w:rsidR="00143CA4" w:rsidRPr="008D7E30">
        <w:rPr>
          <w:rFonts w:ascii="Palatino Linotype" w:eastAsiaTheme="minorEastAsia" w:hAnsi="Palatino Linotype" w:cstheme="minorBidi"/>
          <w:color w:val="000000"/>
          <w:lang w:val="es-ES_tradnl"/>
        </w:rPr>
        <w:t xml:space="preserve"> a disposición</w:t>
      </w:r>
      <w:r w:rsidR="00B27244" w:rsidRPr="008D7E30">
        <w:rPr>
          <w:rFonts w:ascii="Palatino Linotype" w:eastAsiaTheme="minorEastAsia" w:hAnsi="Palatino Linotype" w:cstheme="minorBidi"/>
          <w:color w:val="000000"/>
          <w:lang w:val="es-ES_tradnl"/>
        </w:rPr>
        <w:t xml:space="preserve"> del particular en fecha cinco (05) de octubre de dos mil veintidós</w:t>
      </w:r>
      <w:r w:rsidR="001C1B7A" w:rsidRPr="008D7E30">
        <w:rPr>
          <w:rFonts w:ascii="Palatino Linotype" w:eastAsiaTheme="minorEastAsia" w:hAnsi="Palatino Linotype" w:cstheme="minorBidi"/>
          <w:color w:val="000000"/>
          <w:lang w:val="es-ES_tradnl"/>
        </w:rPr>
        <w:t xml:space="preserve">, </w:t>
      </w:r>
      <w:r w:rsidR="00D13A6B" w:rsidRPr="008D7E30">
        <w:rPr>
          <w:rFonts w:ascii="Palatino Linotype" w:eastAsiaTheme="minorEastAsia" w:hAnsi="Palatino Linotype" w:cstheme="minorBidi"/>
          <w:color w:val="000000"/>
          <w:lang w:val="es-ES_tradnl"/>
        </w:rPr>
        <w:t xml:space="preserve">no obstante, se describen a continuación. </w:t>
      </w:r>
    </w:p>
    <w:p w14:paraId="337817A1" w14:textId="670253AE" w:rsidR="004F4E3A" w:rsidRPr="008D7E30" w:rsidRDefault="004F4E3A" w:rsidP="00CA6269">
      <w:pPr>
        <w:tabs>
          <w:tab w:val="left" w:pos="284"/>
        </w:tabs>
        <w:spacing w:before="240" w:after="240" w:line="360" w:lineRule="auto"/>
        <w:contextualSpacing/>
        <w:rPr>
          <w:rFonts w:ascii="Palatino Linotype" w:eastAsia="Calibri" w:hAnsi="Palatino Linotype" w:cs="Arial"/>
          <w:color w:val="000000" w:themeColor="text1"/>
        </w:rPr>
      </w:pPr>
    </w:p>
    <w:p w14:paraId="780327F3" w14:textId="496AF0BF" w:rsidR="00B27244" w:rsidRPr="008D7E30" w:rsidRDefault="001746BA" w:rsidP="001746BA">
      <w:pPr>
        <w:pStyle w:val="Prrafodelista"/>
        <w:numPr>
          <w:ilvl w:val="0"/>
          <w:numId w:val="32"/>
        </w:numPr>
        <w:tabs>
          <w:tab w:val="left" w:pos="284"/>
        </w:tabs>
        <w:spacing w:before="240" w:after="240" w:line="360" w:lineRule="auto"/>
        <w:ind w:left="567" w:right="616" w:firstLine="0"/>
        <w:contextualSpacing/>
        <w:jc w:val="both"/>
        <w:rPr>
          <w:rFonts w:ascii="Palatino Linotype" w:eastAsia="Calibri" w:hAnsi="Palatino Linotype" w:cs="Arial"/>
          <w:color w:val="000000" w:themeColor="text1"/>
        </w:rPr>
      </w:pPr>
      <w:r w:rsidRPr="008D7E30">
        <w:rPr>
          <w:rFonts w:ascii="Palatino Linotype" w:eastAsia="Calibri" w:hAnsi="Palatino Linotype" w:cs="Arial"/>
          <w:b/>
          <w:color w:val="000000" w:themeColor="text1"/>
        </w:rPr>
        <w:t>RR 12443.pdf</w:t>
      </w:r>
      <w:r w:rsidR="00D13A6B" w:rsidRPr="008D7E30">
        <w:rPr>
          <w:rFonts w:ascii="Palatino Linotype" w:eastAsia="Calibri" w:hAnsi="Palatino Linotype" w:cs="Arial"/>
          <w:b/>
          <w:color w:val="000000" w:themeColor="text1"/>
        </w:rPr>
        <w:t>:</w:t>
      </w:r>
      <w:r w:rsidR="00D13A6B" w:rsidRPr="008D7E30">
        <w:rPr>
          <w:rFonts w:ascii="Palatino Linotype" w:eastAsia="Calibri" w:hAnsi="Palatino Linotype" w:cs="Arial"/>
          <w:color w:val="000000" w:themeColor="text1"/>
        </w:rPr>
        <w:t xml:space="preserve"> </w:t>
      </w:r>
      <w:r w:rsidR="00B27244" w:rsidRPr="008D7E30">
        <w:rPr>
          <w:rFonts w:ascii="Palatino Linotype" w:eastAsia="Calibri" w:hAnsi="Palatino Linotype" w:cs="Arial"/>
          <w:color w:val="000000" w:themeColor="text1"/>
        </w:rPr>
        <w:t>Documento electrónico que diez (10</w:t>
      </w:r>
      <w:r w:rsidR="009E3171" w:rsidRPr="008D7E30">
        <w:rPr>
          <w:rFonts w:ascii="Palatino Linotype" w:eastAsia="Calibri" w:hAnsi="Palatino Linotype" w:cs="Arial"/>
          <w:color w:val="000000" w:themeColor="text1"/>
        </w:rPr>
        <w:t>) hoja</w:t>
      </w:r>
      <w:r w:rsidR="00B27244" w:rsidRPr="008D7E30">
        <w:rPr>
          <w:rFonts w:ascii="Palatino Linotype" w:eastAsia="Calibri" w:hAnsi="Palatino Linotype" w:cs="Arial"/>
          <w:color w:val="000000" w:themeColor="text1"/>
        </w:rPr>
        <w:t>s</w:t>
      </w:r>
      <w:r w:rsidR="009E3171" w:rsidRPr="008D7E30">
        <w:rPr>
          <w:rFonts w:ascii="Palatino Linotype" w:eastAsia="Calibri" w:hAnsi="Palatino Linotype" w:cs="Arial"/>
          <w:color w:val="000000" w:themeColor="text1"/>
        </w:rPr>
        <w:t xml:space="preserve"> contiene el </w:t>
      </w:r>
      <w:r w:rsidR="00B27244" w:rsidRPr="008D7E30">
        <w:rPr>
          <w:rFonts w:ascii="Palatino Linotype" w:eastAsia="Calibri" w:hAnsi="Palatino Linotype" w:cs="Arial"/>
          <w:color w:val="000000" w:themeColor="text1"/>
        </w:rPr>
        <w:t xml:space="preserve">oficio </w:t>
      </w:r>
      <w:r w:rsidRPr="008D7E30">
        <w:rPr>
          <w:rFonts w:ascii="Palatino Linotype" w:eastAsia="Calibri" w:hAnsi="Palatino Linotype" w:cs="Arial"/>
          <w:color w:val="000000" w:themeColor="text1"/>
        </w:rPr>
        <w:t xml:space="preserve">2010A4000/RR/UT/0475/2022 </w:t>
      </w:r>
      <w:r w:rsidR="00B27244" w:rsidRPr="008D7E30">
        <w:rPr>
          <w:rFonts w:ascii="Palatino Linotype" w:eastAsia="Calibri" w:hAnsi="Palatino Linotype" w:cs="Arial"/>
          <w:color w:val="000000" w:themeColor="text1"/>
        </w:rPr>
        <w:t>dirigido a la Comisionada María del Rosario Mejía Ayala y suscrito por el Titular de la Unidad de Transparencia, mediante el cual se conforma la respuesta inicialmente otorgada.</w:t>
      </w:r>
    </w:p>
    <w:p w14:paraId="595BF04D" w14:textId="77777777" w:rsidR="001B1D1A" w:rsidRPr="008D7E30" w:rsidRDefault="001B1D1A" w:rsidP="001B1D1A">
      <w:pPr>
        <w:tabs>
          <w:tab w:val="left" w:pos="284"/>
        </w:tabs>
        <w:spacing w:before="240" w:after="240" w:line="360" w:lineRule="auto"/>
        <w:ind w:right="738"/>
        <w:contextualSpacing/>
        <w:jc w:val="both"/>
        <w:rPr>
          <w:rFonts w:ascii="Palatino Linotype" w:eastAsia="Calibri" w:hAnsi="Palatino Linotype" w:cs="Arial"/>
          <w:b/>
          <w:color w:val="000000" w:themeColor="text1"/>
        </w:rPr>
      </w:pPr>
    </w:p>
    <w:p w14:paraId="35436E5B" w14:textId="0A1BEBCA" w:rsidR="0058219B" w:rsidRPr="008D7E30" w:rsidRDefault="007F7B11" w:rsidP="0058219B">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8D7E30">
        <w:rPr>
          <w:rFonts w:ascii="Palatino Linotype" w:eastAsia="Calibri" w:hAnsi="Palatino Linotype" w:cs="Arial"/>
        </w:rPr>
        <w:t xml:space="preserve">El </w:t>
      </w:r>
      <w:r w:rsidR="00B27244" w:rsidRPr="008D7E30">
        <w:rPr>
          <w:rFonts w:ascii="Palatino Linotype" w:eastAsia="Calibri" w:hAnsi="Palatino Linotype" w:cs="Arial"/>
        </w:rPr>
        <w:t>veintiséis (26</w:t>
      </w:r>
      <w:r w:rsidRPr="008D7E30">
        <w:rPr>
          <w:rFonts w:ascii="Palatino Linotype" w:eastAsia="Calibri" w:hAnsi="Palatino Linotype" w:cs="Arial"/>
        </w:rPr>
        <w:t>) de</w:t>
      </w:r>
      <w:r w:rsidR="00B27244" w:rsidRPr="008D7E30">
        <w:rPr>
          <w:rFonts w:ascii="Palatino Linotype" w:eastAsia="Calibri" w:hAnsi="Palatino Linotype" w:cs="Arial"/>
        </w:rPr>
        <w:t xml:space="preserve"> septiembre</w:t>
      </w:r>
      <w:r w:rsidR="003A0689" w:rsidRPr="008D7E30">
        <w:rPr>
          <w:rFonts w:ascii="Palatino Linotype" w:eastAsia="Calibri" w:hAnsi="Palatino Linotype" w:cs="Arial"/>
        </w:rPr>
        <w:t xml:space="preserve"> </w:t>
      </w:r>
      <w:r w:rsidR="00A537B0" w:rsidRPr="008D7E30">
        <w:rPr>
          <w:rFonts w:ascii="Palatino Linotype" w:eastAsia="Calibri" w:hAnsi="Palatino Linotype" w:cs="Arial"/>
        </w:rPr>
        <w:t>de dos mil veintidós</w:t>
      </w:r>
      <w:r w:rsidRPr="008D7E30">
        <w:rPr>
          <w:rFonts w:ascii="Palatino Linotype" w:eastAsia="Calibri" w:hAnsi="Palatino Linotype" w:cs="Arial"/>
        </w:rPr>
        <w:t xml:space="preserve">, el </w:t>
      </w:r>
      <w:r w:rsidRPr="008D7E30">
        <w:rPr>
          <w:rFonts w:ascii="Palatino Linotype" w:eastAsia="Calibri" w:hAnsi="Palatino Linotype" w:cs="Arial"/>
          <w:b/>
          <w:bCs/>
        </w:rPr>
        <w:t>RECURRENTE</w:t>
      </w:r>
      <w:r w:rsidRPr="008D7E30">
        <w:rPr>
          <w:rFonts w:ascii="Palatino Linotype" w:eastAsia="Calibri" w:hAnsi="Palatino Linotype" w:cs="Arial"/>
        </w:rPr>
        <w:t xml:space="preserve"> se desistió del recurso de revisión.</w:t>
      </w:r>
    </w:p>
    <w:p w14:paraId="366D209A" w14:textId="2B7E77A9" w:rsidR="0058219B" w:rsidRPr="008D7E30" w:rsidRDefault="0058219B" w:rsidP="0058219B">
      <w:pPr>
        <w:pStyle w:val="Prrafodelista"/>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8D7E30">
        <w:rPr>
          <w:rFonts w:ascii="Palatino Linotype" w:eastAsia="Calibri" w:hAnsi="Palatino Linotype" w:cs="Arial"/>
          <w:color w:val="000000" w:themeColor="text1"/>
          <w:lang w:val="es-MX"/>
        </w:rPr>
        <w:t xml:space="preserve">El seis (06) de octubre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13889535" w14:textId="77777777" w:rsidR="0058219B" w:rsidRPr="008D7E30" w:rsidRDefault="0058219B" w:rsidP="0058219B">
      <w:pPr>
        <w:pStyle w:val="Prrafodelista"/>
        <w:rPr>
          <w:rFonts w:ascii="Palatino Linotype" w:eastAsiaTheme="minorEastAsia" w:hAnsi="Palatino Linotype" w:cstheme="minorBidi"/>
          <w:color w:val="000000" w:themeColor="text1"/>
        </w:rPr>
      </w:pPr>
    </w:p>
    <w:p w14:paraId="79D0BCE3" w14:textId="77777777" w:rsidR="0058219B" w:rsidRPr="008D7E30" w:rsidRDefault="0058219B" w:rsidP="0058219B">
      <w:pPr>
        <w:pStyle w:val="Prrafodelista"/>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D7E30">
        <w:rPr>
          <w:rFonts w:ascii="Palatino Linotype" w:hAnsi="Palatino Linotype"/>
          <w:lang w:val="es-ES_tradnl" w:eastAsia="en-US"/>
        </w:rPr>
        <w:t xml:space="preserve">En razón de lo anterior, y previo al estudio del presente asunto, este organismo garante no pasa por alto justificar, que la dilación en la resolución del presente asunto encuentra justificación en el alto número de recursos de revisión recibidos </w:t>
      </w:r>
      <w:r w:rsidRPr="008D7E30">
        <w:rPr>
          <w:rFonts w:ascii="Palatino Linotype" w:hAnsi="Palatino Linotype"/>
          <w:lang w:val="es-ES_tradnl" w:eastAsia="en-US"/>
        </w:rPr>
        <w:lastRenderedPageBreak/>
        <w:t>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7EB37DD" w14:textId="77777777" w:rsidR="0058219B" w:rsidRPr="008D7E30" w:rsidRDefault="0058219B" w:rsidP="0058219B">
      <w:pPr>
        <w:ind w:left="708"/>
        <w:rPr>
          <w:rFonts w:ascii="Palatino Linotype" w:hAnsi="Palatino Linotype"/>
          <w:lang w:val="es-ES_tradnl" w:eastAsia="en-US"/>
        </w:rPr>
      </w:pPr>
    </w:p>
    <w:p w14:paraId="75CB0C99" w14:textId="77777777" w:rsidR="0058219B" w:rsidRPr="008D7E30" w:rsidRDefault="0058219B" w:rsidP="0058219B">
      <w:pPr>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D7E30">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9AF3854" w14:textId="77777777" w:rsidR="0058219B" w:rsidRPr="008D7E30" w:rsidRDefault="0058219B" w:rsidP="0058219B">
      <w:pPr>
        <w:ind w:left="708"/>
        <w:rPr>
          <w:rFonts w:ascii="Palatino Linotype" w:hAnsi="Palatino Linotype"/>
          <w:lang w:val="es-ES_tradnl" w:eastAsia="en-US"/>
        </w:rPr>
      </w:pPr>
    </w:p>
    <w:p w14:paraId="2210B3FA" w14:textId="77777777" w:rsidR="0058219B" w:rsidRPr="008D7E30" w:rsidRDefault="0058219B" w:rsidP="0058219B">
      <w:pPr>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D7E30">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D53FE7" w14:textId="77777777" w:rsidR="0058219B" w:rsidRPr="008D7E30" w:rsidRDefault="0058219B" w:rsidP="0058219B">
      <w:pPr>
        <w:ind w:left="708"/>
        <w:rPr>
          <w:rFonts w:ascii="Palatino Linotype" w:hAnsi="Palatino Linotype"/>
          <w:lang w:val="es-ES_tradnl" w:eastAsia="en-US"/>
        </w:rPr>
      </w:pPr>
    </w:p>
    <w:p w14:paraId="11018911" w14:textId="77777777" w:rsidR="0058219B" w:rsidRPr="008D7E30" w:rsidRDefault="0058219B" w:rsidP="0058219B">
      <w:pPr>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D7E30">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2F4064E" w14:textId="77777777" w:rsidR="0058219B" w:rsidRPr="008D7E30" w:rsidRDefault="0058219B" w:rsidP="0058219B">
      <w:pPr>
        <w:ind w:left="708"/>
        <w:rPr>
          <w:rFonts w:ascii="Palatino Linotype" w:hAnsi="Palatino Linotype"/>
          <w:lang w:val="es-ES_tradnl" w:eastAsia="en-US"/>
        </w:rPr>
      </w:pPr>
    </w:p>
    <w:p w14:paraId="66A2897E" w14:textId="77777777" w:rsidR="0058219B" w:rsidRPr="008D7E30" w:rsidRDefault="0058219B" w:rsidP="0058219B">
      <w:pPr>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D7E30">
        <w:rPr>
          <w:rFonts w:ascii="Palatino Linotype" w:hAnsi="Palatino Linotype"/>
          <w:lang w:val="es-ES_tradnl" w:eastAsia="en-US"/>
        </w:rPr>
        <w:lastRenderedPageBreak/>
        <w:t xml:space="preserve">Por ello, excepcionalmente, si un asunto es resuelto con posterioridad a los plazos señalados por la norma debe analizarse la razonabilidad de dicha dilación atendiendo a los siguientes criterios:   </w:t>
      </w:r>
    </w:p>
    <w:p w14:paraId="04819899" w14:textId="77777777" w:rsidR="0058219B" w:rsidRPr="008D7E30" w:rsidRDefault="0058219B" w:rsidP="0058219B">
      <w:pPr>
        <w:spacing w:line="360" w:lineRule="auto"/>
        <w:rPr>
          <w:rFonts w:ascii="Palatino Linotype" w:hAnsi="Palatino Linotype"/>
          <w:lang w:val="es-ES_tradnl" w:eastAsia="en-US"/>
        </w:rPr>
      </w:pPr>
    </w:p>
    <w:p w14:paraId="7AC7C653" w14:textId="77777777" w:rsidR="0058219B" w:rsidRPr="008D7E30" w:rsidRDefault="0058219B" w:rsidP="0058219B">
      <w:pPr>
        <w:numPr>
          <w:ilvl w:val="0"/>
          <w:numId w:val="33"/>
        </w:numPr>
        <w:spacing w:line="360" w:lineRule="auto"/>
        <w:ind w:left="990" w:right="918" w:hanging="270"/>
        <w:jc w:val="both"/>
        <w:rPr>
          <w:rFonts w:ascii="Palatino Linotype" w:hAnsi="Palatino Linotype"/>
          <w:b/>
          <w:lang w:val="es-MX" w:eastAsia="en-US"/>
        </w:rPr>
      </w:pPr>
      <w:r w:rsidRPr="008D7E30">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5D104673" w14:textId="77777777" w:rsidR="0058219B" w:rsidRPr="008D7E30" w:rsidRDefault="0058219B" w:rsidP="0058219B">
      <w:pPr>
        <w:spacing w:line="360" w:lineRule="auto"/>
        <w:ind w:left="990" w:right="918" w:hanging="270"/>
        <w:jc w:val="both"/>
        <w:rPr>
          <w:rFonts w:ascii="Palatino Linotype" w:hAnsi="Palatino Linotype"/>
          <w:lang w:val="es-MX" w:eastAsia="en-US"/>
        </w:rPr>
      </w:pPr>
    </w:p>
    <w:p w14:paraId="546BA3FC" w14:textId="77777777" w:rsidR="0058219B" w:rsidRPr="008D7E30" w:rsidRDefault="0058219B" w:rsidP="0058219B">
      <w:pPr>
        <w:numPr>
          <w:ilvl w:val="0"/>
          <w:numId w:val="33"/>
        </w:numPr>
        <w:spacing w:line="360" w:lineRule="auto"/>
        <w:ind w:left="990" w:right="918" w:hanging="270"/>
        <w:jc w:val="both"/>
        <w:rPr>
          <w:rFonts w:ascii="Palatino Linotype" w:hAnsi="Palatino Linotype"/>
          <w:b/>
          <w:lang w:val="es-MX" w:eastAsia="en-US"/>
        </w:rPr>
      </w:pPr>
      <w:r w:rsidRPr="008D7E30">
        <w:rPr>
          <w:rFonts w:ascii="Palatino Linotype" w:hAnsi="Palatino Linotype"/>
          <w:b/>
          <w:lang w:val="es-MX" w:eastAsia="en-US"/>
        </w:rPr>
        <w:t>Actividad Procesal del interesado. Acciones u omisiones del interesado.</w:t>
      </w:r>
    </w:p>
    <w:p w14:paraId="407EDE34" w14:textId="77777777" w:rsidR="0058219B" w:rsidRPr="008D7E30" w:rsidRDefault="0058219B" w:rsidP="0058219B">
      <w:pPr>
        <w:spacing w:line="360" w:lineRule="auto"/>
        <w:ind w:left="990" w:right="918" w:hanging="270"/>
        <w:jc w:val="both"/>
        <w:rPr>
          <w:rFonts w:ascii="Palatino Linotype" w:hAnsi="Palatino Linotype"/>
          <w:b/>
          <w:lang w:val="es-ES_tradnl" w:eastAsia="en-US"/>
        </w:rPr>
      </w:pPr>
    </w:p>
    <w:p w14:paraId="5E1F3AB2" w14:textId="77777777" w:rsidR="0058219B" w:rsidRPr="008D7E30" w:rsidRDefault="0058219B" w:rsidP="0058219B">
      <w:pPr>
        <w:numPr>
          <w:ilvl w:val="0"/>
          <w:numId w:val="33"/>
        </w:numPr>
        <w:spacing w:line="360" w:lineRule="auto"/>
        <w:ind w:left="990" w:right="918" w:hanging="270"/>
        <w:jc w:val="both"/>
        <w:rPr>
          <w:rFonts w:ascii="Palatino Linotype" w:hAnsi="Palatino Linotype"/>
          <w:b/>
          <w:lang w:val="es-MX" w:eastAsia="en-US"/>
        </w:rPr>
      </w:pPr>
      <w:r w:rsidRPr="008D7E30">
        <w:rPr>
          <w:rFonts w:ascii="Palatino Linotype" w:hAnsi="Palatino Linotype"/>
          <w:b/>
          <w:lang w:val="es-MX" w:eastAsia="en-US"/>
        </w:rPr>
        <w:t>Conducta de la Autoridad: Las Acciones u omisiones realizadas en el procedimiento. Así como si la autoridad actuó con la debida diligencia.</w:t>
      </w:r>
    </w:p>
    <w:p w14:paraId="6F1B9547" w14:textId="77777777" w:rsidR="0058219B" w:rsidRPr="008D7E30" w:rsidRDefault="0058219B" w:rsidP="0058219B">
      <w:pPr>
        <w:spacing w:line="360" w:lineRule="auto"/>
        <w:ind w:left="990" w:right="918" w:hanging="270"/>
        <w:jc w:val="both"/>
        <w:rPr>
          <w:rFonts w:ascii="Palatino Linotype" w:hAnsi="Palatino Linotype"/>
          <w:b/>
          <w:lang w:val="es-MX" w:eastAsia="en-US"/>
        </w:rPr>
      </w:pPr>
    </w:p>
    <w:p w14:paraId="103AC419" w14:textId="77777777" w:rsidR="0058219B" w:rsidRPr="008D7E30" w:rsidRDefault="0058219B" w:rsidP="0058219B">
      <w:pPr>
        <w:spacing w:line="360" w:lineRule="auto"/>
        <w:ind w:left="990" w:right="918" w:hanging="270"/>
        <w:jc w:val="both"/>
        <w:rPr>
          <w:rFonts w:ascii="Palatino Linotype" w:hAnsi="Palatino Linotype"/>
          <w:b/>
          <w:lang w:val="es-ES_tradnl" w:eastAsia="en-US"/>
        </w:rPr>
      </w:pPr>
      <w:r w:rsidRPr="008D7E30">
        <w:rPr>
          <w:rFonts w:ascii="Palatino Linotype" w:hAnsi="Palatino Linotype"/>
          <w:b/>
          <w:lang w:val="es-ES_tradnl" w:eastAsia="en-US"/>
        </w:rPr>
        <w:t>d) La afectación generada en la situación jurídica de la persona involucrada en el proceso: Violación a sus derechos humanos.</w:t>
      </w:r>
    </w:p>
    <w:p w14:paraId="3981BDF0" w14:textId="77777777" w:rsidR="0058219B" w:rsidRPr="008D7E30" w:rsidRDefault="0058219B" w:rsidP="0058219B">
      <w:pPr>
        <w:spacing w:line="360" w:lineRule="auto"/>
        <w:rPr>
          <w:rFonts w:ascii="Palatino Linotype" w:hAnsi="Palatino Linotype"/>
          <w:lang w:val="es-ES_tradnl" w:eastAsia="en-US"/>
        </w:rPr>
      </w:pPr>
    </w:p>
    <w:p w14:paraId="41606546" w14:textId="77777777" w:rsidR="0058219B" w:rsidRPr="008D7E30" w:rsidRDefault="0058219B" w:rsidP="0058219B">
      <w:pPr>
        <w:numPr>
          <w:ilvl w:val="0"/>
          <w:numId w:val="17"/>
        </w:numPr>
        <w:tabs>
          <w:tab w:val="left" w:pos="0"/>
        </w:tabs>
        <w:spacing w:line="360" w:lineRule="auto"/>
        <w:ind w:left="0" w:firstLine="0"/>
        <w:jc w:val="both"/>
        <w:rPr>
          <w:rFonts w:ascii="Palatino Linotype" w:hAnsi="Palatino Linotype"/>
          <w:lang w:val="es-ES_tradnl" w:eastAsia="en-US"/>
        </w:rPr>
      </w:pPr>
      <w:r w:rsidRPr="008D7E30">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19F40A" w14:textId="77777777" w:rsidR="0058219B" w:rsidRPr="008D7E30" w:rsidRDefault="0058219B" w:rsidP="0058219B">
      <w:pPr>
        <w:spacing w:line="360" w:lineRule="auto"/>
        <w:rPr>
          <w:rFonts w:ascii="Palatino Linotype" w:hAnsi="Palatino Linotype"/>
          <w:lang w:val="es-ES_tradnl" w:eastAsia="en-US"/>
        </w:rPr>
      </w:pPr>
    </w:p>
    <w:p w14:paraId="40B3F3A8" w14:textId="77777777" w:rsidR="0058219B" w:rsidRPr="008D7E30" w:rsidRDefault="0058219B" w:rsidP="0058219B">
      <w:pPr>
        <w:numPr>
          <w:ilvl w:val="0"/>
          <w:numId w:val="17"/>
        </w:numPr>
        <w:tabs>
          <w:tab w:val="left" w:pos="0"/>
        </w:tabs>
        <w:spacing w:line="360" w:lineRule="auto"/>
        <w:ind w:left="0" w:firstLine="0"/>
        <w:jc w:val="both"/>
        <w:rPr>
          <w:rFonts w:ascii="Palatino Linotype" w:hAnsi="Palatino Linotype"/>
          <w:lang w:val="es-ES_tradnl" w:eastAsia="en-US"/>
        </w:rPr>
      </w:pPr>
      <w:r w:rsidRPr="008D7E30">
        <w:rPr>
          <w:rFonts w:ascii="Palatino Linotype" w:hAnsi="Palatino Linotype"/>
          <w:lang w:val="es-ES_tradnl" w:eastAsia="en-US"/>
        </w:rPr>
        <w:lastRenderedPageBreak/>
        <w:t xml:space="preserve">Argumento que encuentra sustento en la jurisprudencia P./J. 32/92 emitida por el Pleno de la Suprema Corte de Justicia de la Nación de rubro </w:t>
      </w:r>
      <w:r w:rsidRPr="008D7E30">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8D7E30">
        <w:rPr>
          <w:rFonts w:ascii="Palatino Linotype" w:hAnsi="Palatino Linotype"/>
          <w:lang w:val="es-ES_tradnl" w:eastAsia="en-US"/>
        </w:rPr>
        <w:t>, visible en la Gaceta del Seminario Judicial de la Federación con el registro digital 205635.</w:t>
      </w:r>
    </w:p>
    <w:p w14:paraId="52974D92" w14:textId="77777777" w:rsidR="0058219B" w:rsidRPr="008D7E30" w:rsidRDefault="0058219B" w:rsidP="0058219B">
      <w:pPr>
        <w:tabs>
          <w:tab w:val="left" w:pos="0"/>
        </w:tabs>
        <w:spacing w:line="360" w:lineRule="auto"/>
        <w:jc w:val="both"/>
        <w:rPr>
          <w:rFonts w:ascii="Palatino Linotype" w:hAnsi="Palatino Linotype"/>
          <w:lang w:val="es-ES_tradnl" w:eastAsia="en-US"/>
        </w:rPr>
      </w:pPr>
    </w:p>
    <w:p w14:paraId="1187B634" w14:textId="77777777" w:rsidR="0058219B" w:rsidRPr="008D7E30" w:rsidRDefault="0058219B" w:rsidP="0058219B">
      <w:pPr>
        <w:numPr>
          <w:ilvl w:val="0"/>
          <w:numId w:val="17"/>
        </w:numPr>
        <w:tabs>
          <w:tab w:val="left" w:pos="0"/>
        </w:tabs>
        <w:spacing w:line="360" w:lineRule="auto"/>
        <w:ind w:left="0" w:firstLine="0"/>
        <w:jc w:val="both"/>
        <w:rPr>
          <w:rFonts w:ascii="Palatino Linotype" w:hAnsi="Palatino Linotype"/>
          <w:lang w:val="es-ES_tradnl" w:eastAsia="en-US"/>
        </w:rPr>
      </w:pPr>
      <w:r w:rsidRPr="008D7E30">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65AC67" w14:textId="77777777" w:rsidR="0058219B" w:rsidRPr="008D7E30" w:rsidRDefault="0058219B" w:rsidP="0058219B">
      <w:pPr>
        <w:tabs>
          <w:tab w:val="left" w:pos="0"/>
        </w:tabs>
        <w:spacing w:line="360" w:lineRule="auto"/>
        <w:jc w:val="both"/>
        <w:rPr>
          <w:rFonts w:ascii="Palatino Linotype" w:hAnsi="Palatino Linotype"/>
          <w:lang w:val="es-ES_tradnl" w:eastAsia="en-US"/>
        </w:rPr>
      </w:pPr>
    </w:p>
    <w:p w14:paraId="3D93B825" w14:textId="77777777" w:rsidR="0058219B" w:rsidRPr="008D7E30" w:rsidRDefault="0058219B" w:rsidP="0058219B">
      <w:pPr>
        <w:numPr>
          <w:ilvl w:val="0"/>
          <w:numId w:val="17"/>
        </w:numPr>
        <w:tabs>
          <w:tab w:val="left" w:pos="0"/>
        </w:tabs>
        <w:spacing w:line="360" w:lineRule="auto"/>
        <w:ind w:left="0" w:firstLine="0"/>
        <w:jc w:val="both"/>
        <w:rPr>
          <w:rFonts w:ascii="Palatino Linotype" w:hAnsi="Palatino Linotype"/>
          <w:lang w:val="es-ES_tradnl" w:eastAsia="en-US"/>
        </w:rPr>
      </w:pPr>
      <w:r w:rsidRPr="008D7E30">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670C3D47" w14:textId="77777777" w:rsidR="0058219B" w:rsidRPr="008D7E30" w:rsidRDefault="0058219B" w:rsidP="0058219B">
      <w:pPr>
        <w:spacing w:line="360" w:lineRule="auto"/>
        <w:rPr>
          <w:rFonts w:ascii="Palatino Linotype" w:hAnsi="Palatino Linotype"/>
          <w:lang w:val="es-ES_tradnl" w:eastAsia="en-US"/>
        </w:rPr>
      </w:pPr>
    </w:p>
    <w:p w14:paraId="5B97C4D4" w14:textId="77777777" w:rsidR="0058219B" w:rsidRPr="008D7E30" w:rsidRDefault="0058219B" w:rsidP="0058219B">
      <w:pPr>
        <w:numPr>
          <w:ilvl w:val="0"/>
          <w:numId w:val="17"/>
        </w:numPr>
        <w:spacing w:line="360" w:lineRule="auto"/>
        <w:ind w:left="0" w:firstLine="0"/>
        <w:jc w:val="both"/>
        <w:rPr>
          <w:rFonts w:ascii="Palatino Linotype" w:hAnsi="Palatino Linotype"/>
          <w:lang w:val="es-ES_tradnl" w:eastAsia="en-US"/>
        </w:rPr>
      </w:pPr>
      <w:r w:rsidRPr="008D7E30">
        <w:rPr>
          <w:rFonts w:ascii="Palatino Linotype" w:hAnsi="Palatino Linotype"/>
          <w:lang w:val="es-ES_tradnl" w:eastAsia="en-US"/>
        </w:rPr>
        <w:lastRenderedPageBreak/>
        <w:t>Al respecto, también son de considerar los criterios sostenidos por el Cuarto Tribunal Colegiado en Materia Administrativa del Primer Circuito, cuyos rubros y datos de identificación son los siguientes:</w:t>
      </w:r>
    </w:p>
    <w:p w14:paraId="6866D267" w14:textId="77777777" w:rsidR="0058219B" w:rsidRPr="008D7E30" w:rsidRDefault="0058219B" w:rsidP="0058219B">
      <w:pPr>
        <w:spacing w:line="360" w:lineRule="auto"/>
        <w:rPr>
          <w:rFonts w:ascii="Palatino Linotype" w:hAnsi="Palatino Linotype"/>
          <w:lang w:val="es-ES_tradnl" w:eastAsia="en-US"/>
        </w:rPr>
      </w:pPr>
    </w:p>
    <w:p w14:paraId="4BA2AE02" w14:textId="77777777" w:rsidR="0058219B" w:rsidRPr="008D7E30" w:rsidRDefault="0058219B" w:rsidP="0058219B">
      <w:pPr>
        <w:spacing w:line="360" w:lineRule="auto"/>
        <w:ind w:left="720" w:right="828"/>
        <w:jc w:val="both"/>
        <w:rPr>
          <w:rFonts w:ascii="Palatino Linotype" w:hAnsi="Palatino Linotype"/>
          <w:i/>
          <w:lang w:val="es-ES_tradnl" w:eastAsia="en-US"/>
        </w:rPr>
      </w:pPr>
      <w:r w:rsidRPr="008D7E30">
        <w:rPr>
          <w:rFonts w:ascii="Palatino Linotype" w:hAnsi="Palatino Linotype"/>
          <w:lang w:val="es-ES_tradnl" w:eastAsia="en-US"/>
        </w:rPr>
        <w:t xml:space="preserve"> </w:t>
      </w:r>
      <w:r w:rsidRPr="008D7E30">
        <w:rPr>
          <w:rFonts w:ascii="Palatino Linotype" w:hAnsi="Palatino Linotype"/>
          <w:i/>
          <w:lang w:val="es-ES_tradnl" w:eastAsia="en-US"/>
        </w:rPr>
        <w:t>“</w:t>
      </w:r>
      <w:r w:rsidRPr="008D7E30">
        <w:rPr>
          <w:rFonts w:ascii="Palatino Linotype" w:hAnsi="Palatino Linotype"/>
          <w:b/>
          <w:i/>
          <w:lang w:val="es-ES_tradnl" w:eastAsia="en-US"/>
        </w:rPr>
        <w:t>PLAZO RAZONABLE PARA RESOLVER. DIMENSIÓN Y EFECTOS DE ESTE CONCEPTO CUANDO SE ADUCE EXCESIVA CARGA DE TRABAJO</w:t>
      </w:r>
      <w:r w:rsidRPr="008D7E30">
        <w:rPr>
          <w:rFonts w:ascii="Palatino Linotype" w:hAnsi="Palatino Linotype"/>
          <w:i/>
          <w:lang w:val="es-ES_tradnl" w:eastAsia="en-US"/>
        </w:rPr>
        <w:t>.” consultable en el Seminario Judicial de la Federación y su gaceta, con el registro digital 2002351.</w:t>
      </w:r>
    </w:p>
    <w:p w14:paraId="3AFA4E7B" w14:textId="77777777" w:rsidR="0058219B" w:rsidRPr="008D7E30" w:rsidRDefault="0058219B" w:rsidP="0058219B">
      <w:pPr>
        <w:spacing w:line="360" w:lineRule="auto"/>
        <w:ind w:left="720" w:right="828"/>
        <w:jc w:val="both"/>
        <w:rPr>
          <w:rFonts w:ascii="Palatino Linotype" w:hAnsi="Palatino Linotype"/>
          <w:i/>
          <w:lang w:val="es-ES_tradnl" w:eastAsia="en-US"/>
        </w:rPr>
      </w:pPr>
    </w:p>
    <w:p w14:paraId="2FA190AA" w14:textId="77777777" w:rsidR="0058219B" w:rsidRPr="008D7E30" w:rsidRDefault="0058219B" w:rsidP="0058219B">
      <w:pPr>
        <w:spacing w:line="360" w:lineRule="auto"/>
        <w:ind w:left="720" w:right="828"/>
        <w:jc w:val="both"/>
        <w:rPr>
          <w:rFonts w:ascii="Palatino Linotype" w:hAnsi="Palatino Linotype"/>
          <w:i/>
          <w:lang w:val="es-ES_tradnl" w:eastAsia="en-US"/>
        </w:rPr>
      </w:pPr>
      <w:r w:rsidRPr="008D7E30">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w:t>
      </w:r>
      <w:r w:rsidRPr="008D7E30">
        <w:rPr>
          <w:rFonts w:ascii="Palatino Linotype" w:hAnsi="Palatino Linotype"/>
          <w:i/>
          <w:lang w:eastAsia="en-US"/>
        </w:rPr>
        <w:lastRenderedPageBreak/>
        <w:t>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64378446" w14:textId="77777777" w:rsidR="0058219B" w:rsidRPr="008D7E30" w:rsidRDefault="0058219B" w:rsidP="0058219B">
      <w:pPr>
        <w:spacing w:line="360" w:lineRule="auto"/>
        <w:ind w:left="720" w:right="828"/>
        <w:jc w:val="both"/>
        <w:rPr>
          <w:rFonts w:ascii="Palatino Linotype" w:hAnsi="Palatino Linotype"/>
          <w:b/>
          <w:i/>
          <w:lang w:val="es-ES_tradnl" w:eastAsia="en-US"/>
        </w:rPr>
      </w:pPr>
    </w:p>
    <w:p w14:paraId="40DA6C50" w14:textId="77777777" w:rsidR="0058219B" w:rsidRPr="008D7E30" w:rsidRDefault="0058219B" w:rsidP="0058219B">
      <w:pPr>
        <w:spacing w:line="360" w:lineRule="auto"/>
        <w:ind w:left="720" w:right="828"/>
        <w:jc w:val="both"/>
        <w:rPr>
          <w:rFonts w:ascii="Palatino Linotype" w:hAnsi="Palatino Linotype"/>
          <w:i/>
          <w:lang w:val="es-ES_tradnl" w:eastAsia="en-US"/>
        </w:rPr>
      </w:pPr>
      <w:r w:rsidRPr="008D7E30">
        <w:rPr>
          <w:rFonts w:ascii="Palatino Linotype" w:hAnsi="Palatino Linotype"/>
          <w:i/>
          <w:lang w:val="es-ES_tradnl" w:eastAsia="en-US"/>
        </w:rPr>
        <w:t>“</w:t>
      </w:r>
      <w:r w:rsidRPr="008D7E30">
        <w:rPr>
          <w:rFonts w:ascii="Palatino Linotype" w:hAnsi="Palatino Linotype"/>
          <w:b/>
          <w:i/>
          <w:lang w:val="es-ES_tradnl" w:eastAsia="en-US"/>
        </w:rPr>
        <w:t>PLAZO RAZONABLE PARA RESOLVER. CONCEPTO Y ELEMENTOS QUE LO INTEGRAN A LA LUZ DEL DERECHO INTERNACIONAL DE LOS DERECHOS HUMANOS</w:t>
      </w:r>
      <w:r w:rsidRPr="008D7E30">
        <w:rPr>
          <w:rFonts w:ascii="Palatino Linotype" w:hAnsi="Palatino Linotype"/>
          <w:i/>
          <w:lang w:val="es-ES_tradnl" w:eastAsia="en-US"/>
        </w:rPr>
        <w:t>.”, visible en el Seminario Judicial de la Federación y su gaceta, con el registro digital 2002350.</w:t>
      </w:r>
    </w:p>
    <w:p w14:paraId="167A0EB5" w14:textId="77777777" w:rsidR="0058219B" w:rsidRPr="008D7E30" w:rsidRDefault="0058219B" w:rsidP="0058219B">
      <w:pPr>
        <w:spacing w:line="360" w:lineRule="auto"/>
        <w:ind w:left="720" w:right="828"/>
        <w:jc w:val="both"/>
        <w:rPr>
          <w:rFonts w:ascii="Palatino Linotype" w:hAnsi="Palatino Linotype"/>
          <w:i/>
          <w:lang w:val="es-ES_tradnl" w:eastAsia="en-US"/>
        </w:rPr>
      </w:pPr>
    </w:p>
    <w:p w14:paraId="639300D5" w14:textId="77777777" w:rsidR="0058219B" w:rsidRPr="008D7E30" w:rsidRDefault="0058219B" w:rsidP="0058219B">
      <w:pPr>
        <w:spacing w:line="360" w:lineRule="auto"/>
        <w:ind w:left="720" w:right="828"/>
        <w:jc w:val="both"/>
        <w:rPr>
          <w:rFonts w:ascii="Palatino Linotype" w:hAnsi="Palatino Linotype"/>
          <w:i/>
          <w:lang w:eastAsia="en-US"/>
        </w:rPr>
      </w:pPr>
      <w:r w:rsidRPr="008D7E30">
        <w:rPr>
          <w:rFonts w:ascii="Palatino Linotype" w:hAnsi="Palatino Linotype"/>
          <w:i/>
          <w:lang w:eastAsia="en-US"/>
        </w:rPr>
        <w:t xml:space="preserve">En relación con el concepto de demora o dilación injustificada en la resolución de los asuntos, el artículo 8, numeral 1, de la Convención </w:t>
      </w:r>
      <w:r w:rsidRPr="008D7E30">
        <w:rPr>
          <w:rFonts w:ascii="Palatino Linotype" w:hAnsi="Palatino Linotype"/>
          <w:i/>
          <w:lang w:eastAsia="en-US"/>
        </w:rPr>
        <w:lastRenderedPageBreak/>
        <w:t xml:space="preserve">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w:t>
      </w:r>
      <w:r w:rsidRPr="008D7E30">
        <w:rPr>
          <w:rFonts w:ascii="Palatino Linotype" w:hAnsi="Palatino Linotype"/>
          <w:i/>
          <w:lang w:eastAsia="en-US"/>
        </w:rPr>
        <w:lastRenderedPageBreak/>
        <w:t>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1993C55F" w14:textId="77777777" w:rsidR="0058219B" w:rsidRPr="008D7E30" w:rsidRDefault="0058219B" w:rsidP="0058219B">
      <w:pPr>
        <w:spacing w:line="360" w:lineRule="auto"/>
        <w:rPr>
          <w:rFonts w:ascii="Palatino Linotype" w:hAnsi="Palatino Linotype"/>
          <w:i/>
          <w:lang w:eastAsia="en-US"/>
        </w:rPr>
      </w:pPr>
    </w:p>
    <w:p w14:paraId="550786C2" w14:textId="77777777" w:rsidR="0058219B" w:rsidRPr="008D7E30" w:rsidRDefault="0058219B" w:rsidP="0058219B">
      <w:pPr>
        <w:numPr>
          <w:ilvl w:val="0"/>
          <w:numId w:val="17"/>
        </w:numPr>
        <w:spacing w:line="360" w:lineRule="auto"/>
        <w:ind w:left="0" w:firstLine="0"/>
        <w:rPr>
          <w:rFonts w:ascii="Palatino Linotype" w:hAnsi="Palatino Linotype"/>
          <w:lang w:val="es-ES_tradnl" w:eastAsia="en-US"/>
        </w:rPr>
      </w:pPr>
      <w:r w:rsidRPr="008D7E30">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42A0A6E2" w14:textId="77777777" w:rsidR="007F7B11" w:rsidRPr="008D7E30"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29B5CD6F" w14:textId="0EAA2402" w:rsidR="00F71F04" w:rsidRPr="008D7E30" w:rsidRDefault="007F7B11" w:rsidP="00CA6269">
      <w:pPr>
        <w:numPr>
          <w:ilvl w:val="0"/>
          <w:numId w:val="17"/>
        </w:numPr>
        <w:tabs>
          <w:tab w:val="left" w:pos="426"/>
        </w:tabs>
        <w:spacing w:line="360" w:lineRule="auto"/>
        <w:ind w:left="0" w:firstLine="0"/>
        <w:contextualSpacing/>
        <w:jc w:val="both"/>
        <w:rPr>
          <w:rFonts w:ascii="Palatino Linotype" w:eastAsiaTheme="minorEastAsia" w:hAnsi="Palatino Linotype" w:cstheme="minorBidi"/>
          <w:lang w:val="es-ES_tradnl"/>
        </w:rPr>
      </w:pPr>
      <w:bookmarkStart w:id="3" w:name="_Toc461555889"/>
      <w:bookmarkStart w:id="4" w:name="_Toc466371858"/>
      <w:r w:rsidRPr="008D7E30">
        <w:rPr>
          <w:rFonts w:ascii="Palatino Linotype" w:eastAsia="Calibri" w:hAnsi="Palatino Linotype" w:cs="Arial"/>
          <w:lang w:val="es-ES_tradnl"/>
        </w:rPr>
        <w:t>La</w:t>
      </w:r>
      <w:r w:rsidRPr="008D7E30">
        <w:rPr>
          <w:rFonts w:ascii="Palatino Linotype" w:eastAsiaTheme="minorEastAsia" w:hAnsi="Palatino Linotype" w:cstheme="minorBidi"/>
          <w:lang w:val="es-ES_tradnl"/>
        </w:rPr>
        <w:t xml:space="preserve"> Comisionada Ponente decretó el cierre del periodo de instrucción</w:t>
      </w:r>
      <w:r w:rsidRPr="008D7E30">
        <w:rPr>
          <w:rFonts w:ascii="Palatino Linotype" w:eastAsiaTheme="minorEastAsia" w:hAnsi="Palatino Linotype" w:cs="Arial"/>
          <w:lang w:val="es-ES_tradnl"/>
        </w:rPr>
        <w:t xml:space="preserve"> </w:t>
      </w:r>
      <w:r w:rsidR="0058219B" w:rsidRPr="008D7E30">
        <w:rPr>
          <w:rFonts w:ascii="Palatino Linotype" w:eastAsiaTheme="minorEastAsia" w:hAnsi="Palatino Linotype" w:cstheme="minorBidi"/>
          <w:lang w:val="es-ES_tradnl"/>
        </w:rPr>
        <w:t>mediante acuerdo de seis</w:t>
      </w:r>
      <w:r w:rsidR="003A0689" w:rsidRPr="008D7E30">
        <w:rPr>
          <w:rFonts w:ascii="Palatino Linotype" w:eastAsiaTheme="minorEastAsia" w:hAnsi="Palatino Linotype" w:cstheme="minorBidi"/>
          <w:lang w:val="es-ES_tradnl"/>
        </w:rPr>
        <w:t xml:space="preserve"> </w:t>
      </w:r>
      <w:r w:rsidR="0058219B" w:rsidRPr="008D7E30">
        <w:rPr>
          <w:rFonts w:ascii="Palatino Linotype" w:eastAsiaTheme="minorEastAsia" w:hAnsi="Palatino Linotype" w:cstheme="minorBidi"/>
          <w:lang w:val="es-ES_tradnl"/>
        </w:rPr>
        <w:t>(06</w:t>
      </w:r>
      <w:r w:rsidRPr="008D7E30">
        <w:rPr>
          <w:rFonts w:ascii="Palatino Linotype" w:eastAsiaTheme="minorEastAsia" w:hAnsi="Palatino Linotype" w:cstheme="minorBidi"/>
          <w:lang w:val="es-ES_tradnl"/>
        </w:rPr>
        <w:t>) de</w:t>
      </w:r>
      <w:r w:rsidR="0058219B" w:rsidRPr="008D7E30">
        <w:rPr>
          <w:rFonts w:ascii="Palatino Linotype" w:eastAsiaTheme="minorEastAsia" w:hAnsi="Palatino Linotype" w:cstheme="minorBidi"/>
          <w:lang w:val="es-ES_tradnl"/>
        </w:rPr>
        <w:t xml:space="preserve"> octubre</w:t>
      </w:r>
      <w:r w:rsidR="00F71F04" w:rsidRPr="008D7E30">
        <w:rPr>
          <w:rFonts w:ascii="Palatino Linotype" w:eastAsiaTheme="minorEastAsia" w:hAnsi="Palatino Linotype" w:cstheme="minorBidi"/>
          <w:lang w:val="es-ES_tradnl"/>
        </w:rPr>
        <w:t xml:space="preserve"> de dos mil veintidós. </w:t>
      </w:r>
    </w:p>
    <w:p w14:paraId="3084EEE5" w14:textId="77777777" w:rsidR="007F7B11" w:rsidRPr="008D7E30" w:rsidRDefault="007F7B11" w:rsidP="00CA6269">
      <w:pPr>
        <w:spacing w:before="240" w:line="360" w:lineRule="auto"/>
        <w:jc w:val="both"/>
        <w:rPr>
          <w:rFonts w:ascii="Palatino Linotype" w:eastAsiaTheme="minorEastAsia" w:hAnsi="Palatino Linotype" w:cstheme="minorBidi"/>
          <w:lang w:val="es-ES_tradnl"/>
        </w:rPr>
      </w:pPr>
    </w:p>
    <w:p w14:paraId="76CD9171" w14:textId="77777777" w:rsidR="007F7B11" w:rsidRPr="008D7E30" w:rsidRDefault="007F7B11" w:rsidP="00CA6269">
      <w:pPr>
        <w:keepNext/>
        <w:keepLines/>
        <w:spacing w:before="40" w:line="360" w:lineRule="auto"/>
        <w:jc w:val="center"/>
        <w:outlineLvl w:val="1"/>
        <w:rPr>
          <w:rFonts w:ascii="Palatino Linotype" w:eastAsiaTheme="majorEastAsia" w:hAnsi="Palatino Linotype" w:cstheme="majorBidi"/>
          <w:b/>
          <w:color w:val="000000" w:themeColor="text1"/>
          <w:lang w:val="es-MX" w:eastAsia="en-US"/>
        </w:rPr>
      </w:pPr>
      <w:bookmarkStart w:id="5" w:name="_Toc96549899"/>
      <w:r w:rsidRPr="008D7E30">
        <w:rPr>
          <w:rFonts w:ascii="Palatino Linotype" w:eastAsiaTheme="majorEastAsia" w:hAnsi="Palatino Linotype" w:cstheme="majorBidi"/>
          <w:b/>
          <w:color w:val="000000" w:themeColor="text1"/>
          <w:lang w:val="es-MX" w:eastAsia="en-US"/>
        </w:rPr>
        <w:t>CONSIDERANDO</w:t>
      </w:r>
      <w:bookmarkEnd w:id="3"/>
      <w:bookmarkEnd w:id="4"/>
      <w:bookmarkEnd w:id="5"/>
    </w:p>
    <w:p w14:paraId="47519C7A" w14:textId="77777777" w:rsidR="007F7B11" w:rsidRPr="008D7E30" w:rsidRDefault="007F7B11" w:rsidP="00CA6269">
      <w:pPr>
        <w:spacing w:line="360" w:lineRule="auto"/>
        <w:rPr>
          <w:rFonts w:ascii="Palatino Linotype" w:eastAsiaTheme="minorEastAsia" w:hAnsi="Palatino Linotype" w:cstheme="minorBidi"/>
          <w:lang w:val="es-MX" w:eastAsia="en-US"/>
        </w:rPr>
      </w:pPr>
    </w:p>
    <w:p w14:paraId="20ECDB0D" w14:textId="77777777" w:rsidR="007F7B11" w:rsidRPr="008D7E30" w:rsidRDefault="007F7B11" w:rsidP="00CA6269">
      <w:pPr>
        <w:keepNext/>
        <w:keepLines/>
        <w:spacing w:before="40" w:line="360" w:lineRule="auto"/>
        <w:outlineLvl w:val="1"/>
        <w:rPr>
          <w:rFonts w:ascii="Palatino Linotype" w:eastAsiaTheme="majorEastAsia" w:hAnsi="Palatino Linotype" w:cstheme="majorBidi"/>
          <w:b/>
          <w:lang w:val="es-MX" w:eastAsia="en-US"/>
        </w:rPr>
      </w:pPr>
      <w:bookmarkStart w:id="6" w:name="_Toc461555890"/>
      <w:bookmarkStart w:id="7" w:name="_Toc466371859"/>
      <w:bookmarkStart w:id="8" w:name="_Toc96549900"/>
      <w:r w:rsidRPr="008D7E30">
        <w:rPr>
          <w:rFonts w:ascii="Palatino Linotype" w:eastAsiaTheme="majorEastAsia" w:hAnsi="Palatino Linotype" w:cstheme="majorBidi"/>
          <w:b/>
          <w:lang w:val="es-MX" w:eastAsia="en-US"/>
        </w:rPr>
        <w:t>PRIMERO. De la competencia</w:t>
      </w:r>
      <w:bookmarkEnd w:id="6"/>
      <w:bookmarkEnd w:id="7"/>
      <w:bookmarkEnd w:id="8"/>
    </w:p>
    <w:p w14:paraId="399C3653" w14:textId="77777777" w:rsidR="007F7B11" w:rsidRPr="008D7E30" w:rsidRDefault="007F7B11" w:rsidP="00CA6269">
      <w:pPr>
        <w:spacing w:line="360" w:lineRule="auto"/>
        <w:rPr>
          <w:rFonts w:ascii="Palatino Linotype" w:eastAsiaTheme="minorEastAsia" w:hAnsi="Palatino Linotype" w:cstheme="minorBidi"/>
          <w:lang w:val="es-MX" w:eastAsia="en-US"/>
        </w:rPr>
      </w:pPr>
    </w:p>
    <w:p w14:paraId="5385D441" w14:textId="1A5D41AE" w:rsidR="00EB08EE" w:rsidRPr="008D7E30" w:rsidRDefault="00EB08EE" w:rsidP="00CA6269">
      <w:pPr>
        <w:pStyle w:val="Prrafodelista"/>
        <w:numPr>
          <w:ilvl w:val="0"/>
          <w:numId w:val="17"/>
        </w:numPr>
        <w:tabs>
          <w:tab w:val="left" w:pos="0"/>
        </w:tabs>
        <w:spacing w:after="160" w:line="360" w:lineRule="auto"/>
        <w:ind w:left="0" w:firstLine="0"/>
        <w:contextualSpacing/>
        <w:jc w:val="both"/>
        <w:rPr>
          <w:rFonts w:ascii="Palatino Linotype" w:eastAsia="MS Mincho" w:hAnsi="Palatino Linotype"/>
          <w:lang w:val="es-ES_tradnl"/>
        </w:rPr>
      </w:pPr>
      <w:r w:rsidRPr="008D7E30">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D7E30">
        <w:rPr>
          <w:rFonts w:ascii="Palatino Linotype" w:eastAsia="Calibri" w:hAnsi="Palatino Linotype"/>
          <w:b/>
        </w:rPr>
        <w:t>Constitución Política de los Estados Unidos Mexicanos</w:t>
      </w:r>
      <w:r w:rsidRPr="008D7E30">
        <w:rPr>
          <w:rFonts w:ascii="Palatino Linotype" w:eastAsia="Calibri" w:hAnsi="Palatino Linotype"/>
        </w:rPr>
        <w:t xml:space="preserve">; </w:t>
      </w:r>
      <w:r w:rsidRPr="008D7E30">
        <w:rPr>
          <w:rFonts w:ascii="Palatino Linotype" w:eastAsia="Calibri" w:hAnsi="Palatino Linotype" w:cs="Arial"/>
          <w:bCs/>
          <w:color w:val="222222"/>
          <w:shd w:val="clear" w:color="auto" w:fill="FFFFFF"/>
          <w:lang w:eastAsia="en-US"/>
        </w:rPr>
        <w:t>5, párrafo</w:t>
      </w:r>
      <w:r w:rsidRPr="008D7E30">
        <w:rPr>
          <w:rFonts w:ascii="Palatino Linotype" w:eastAsia="Calibri" w:hAnsi="Palatino Linotype"/>
          <w:lang w:val="es-MX" w:eastAsia="en-US"/>
        </w:rPr>
        <w:t xml:space="preserve"> trigésimo, trigésimo primero y trigésimo segundo, fracciones I, II, III, IV y V</w:t>
      </w:r>
      <w:r w:rsidRPr="008D7E30">
        <w:rPr>
          <w:rFonts w:ascii="Palatino Linotype" w:eastAsia="MS Mincho" w:hAnsi="Palatino Linotype"/>
          <w:lang w:val="es-ES_tradnl"/>
        </w:rPr>
        <w:t xml:space="preserve"> </w:t>
      </w:r>
      <w:r w:rsidRPr="008D7E30">
        <w:rPr>
          <w:rFonts w:ascii="Palatino Linotype" w:eastAsia="Calibri" w:hAnsi="Palatino Linotype"/>
        </w:rPr>
        <w:t xml:space="preserve">de la </w:t>
      </w:r>
      <w:r w:rsidRPr="008D7E30">
        <w:rPr>
          <w:rFonts w:ascii="Palatino Linotype" w:eastAsia="Calibri" w:hAnsi="Palatino Linotype"/>
          <w:b/>
        </w:rPr>
        <w:lastRenderedPageBreak/>
        <w:t>Constitución Política del Estado Libre y Soberano de México</w:t>
      </w:r>
      <w:r w:rsidRPr="008D7E30">
        <w:rPr>
          <w:rFonts w:ascii="Palatino Linotype" w:eastAsia="Calibri" w:hAnsi="Palatino Linotype"/>
        </w:rPr>
        <w:t xml:space="preserve">; artículos 1, 2 fracción II, 13, 29, 36 fracciones I y II, 176, 178, 179, 181 párrafo tercero y 185 </w:t>
      </w:r>
      <w:r w:rsidRPr="008D7E30">
        <w:rPr>
          <w:rFonts w:ascii="Palatino Linotype" w:eastAsia="Calibri" w:hAnsi="Palatino Linotype" w:cs="Arial"/>
        </w:rPr>
        <w:t xml:space="preserve">de la </w:t>
      </w:r>
      <w:r w:rsidRPr="008D7E30">
        <w:rPr>
          <w:rFonts w:ascii="Palatino Linotype" w:eastAsia="Calibri" w:hAnsi="Palatino Linotype" w:cs="Arial"/>
          <w:b/>
        </w:rPr>
        <w:t>Ley de Transparencia y Acceso a la Información Pública del Estado de México y Municipios</w:t>
      </w:r>
      <w:r w:rsidRPr="008D7E30">
        <w:rPr>
          <w:rFonts w:ascii="Palatino Linotype" w:eastAsia="Calibri" w:hAnsi="Palatino Linotype" w:cs="Arial"/>
        </w:rPr>
        <w:t xml:space="preserve">; </w:t>
      </w:r>
      <w:r w:rsidRPr="008D7E30">
        <w:rPr>
          <w:rFonts w:ascii="Palatino Linotype" w:eastAsia="Calibri" w:hAnsi="Palatino Linotype" w:cs="Arial"/>
          <w:b/>
        </w:rPr>
        <w:t>7, 9 fracciones I y XXIV, y 11</w:t>
      </w:r>
      <w:r w:rsidRPr="008D7E30">
        <w:rPr>
          <w:rFonts w:ascii="Palatino Linotype" w:eastAsia="Calibri" w:hAnsi="Palatino Linotype" w:cs="Arial"/>
        </w:rPr>
        <w:t xml:space="preserve"> del </w:t>
      </w:r>
      <w:r w:rsidRPr="008D7E30">
        <w:rPr>
          <w:rFonts w:ascii="Palatino Linotype" w:eastAsia="Calibri" w:hAnsi="Palatino Linotype" w:cs="Arial"/>
          <w:b/>
        </w:rPr>
        <w:t>Reglamento Interior del Instituto de Transparencia, Acceso a la Información Pública y Protección de Datos Personales del Estado de México y Municipios.</w:t>
      </w:r>
    </w:p>
    <w:p w14:paraId="0AEE2D48" w14:textId="77777777" w:rsidR="007F7B11" w:rsidRPr="008D7E30" w:rsidRDefault="007F7B11" w:rsidP="00CA6269">
      <w:pPr>
        <w:tabs>
          <w:tab w:val="left" w:pos="284"/>
          <w:tab w:val="left" w:pos="426"/>
        </w:tabs>
        <w:spacing w:line="360" w:lineRule="auto"/>
        <w:contextualSpacing/>
        <w:jc w:val="both"/>
        <w:rPr>
          <w:rFonts w:ascii="Palatino Linotype" w:eastAsia="Calibri" w:hAnsi="Palatino Linotype"/>
          <w:b/>
          <w:lang w:val="es-ES_tradnl"/>
        </w:rPr>
      </w:pPr>
    </w:p>
    <w:p w14:paraId="6105D78F" w14:textId="66720F82" w:rsidR="00EB08EE" w:rsidRPr="008D7E30" w:rsidRDefault="007F7B11" w:rsidP="00CA6269">
      <w:pPr>
        <w:keepNext/>
        <w:keepLines/>
        <w:tabs>
          <w:tab w:val="left" w:pos="284"/>
          <w:tab w:val="left" w:pos="426"/>
        </w:tabs>
        <w:spacing w:before="40" w:line="360" w:lineRule="auto"/>
        <w:outlineLvl w:val="1"/>
        <w:rPr>
          <w:rFonts w:ascii="Palatino Linotype" w:eastAsiaTheme="majorEastAsia" w:hAnsi="Palatino Linotype" w:cstheme="majorBidi"/>
          <w:b/>
          <w:lang w:val="es-MX" w:eastAsia="en-US"/>
        </w:rPr>
      </w:pPr>
      <w:bookmarkStart w:id="9" w:name="_Toc461555891"/>
      <w:bookmarkStart w:id="10" w:name="_Toc466371860"/>
      <w:bookmarkStart w:id="11" w:name="_Toc96549901"/>
      <w:r w:rsidRPr="008D7E30">
        <w:rPr>
          <w:rFonts w:ascii="Palatino Linotype" w:eastAsiaTheme="majorEastAsia" w:hAnsi="Palatino Linotype" w:cstheme="majorBidi"/>
          <w:b/>
          <w:lang w:val="es-MX" w:eastAsia="en-US"/>
        </w:rPr>
        <w:t>SEGUNDO. De la oportunidad y procedencia.</w:t>
      </w:r>
      <w:bookmarkEnd w:id="9"/>
      <w:bookmarkEnd w:id="10"/>
      <w:bookmarkEnd w:id="11"/>
    </w:p>
    <w:p w14:paraId="260C4F68" w14:textId="77777777" w:rsidR="00C50711" w:rsidRPr="008D7E30" w:rsidRDefault="00C50711" w:rsidP="00C50711">
      <w:pPr>
        <w:pStyle w:val="Ttulo1"/>
        <w:spacing w:line="360" w:lineRule="auto"/>
        <w:rPr>
          <w:rFonts w:ascii="Palatino Linotype" w:hAnsi="Palatino Linotype"/>
          <w:b/>
          <w:color w:val="000000" w:themeColor="text1"/>
          <w:sz w:val="24"/>
          <w:szCs w:val="24"/>
          <w:lang w:val="es-MX" w:eastAsia="en-US"/>
        </w:rPr>
      </w:pPr>
      <w:bookmarkStart w:id="12" w:name="_Toc102567516"/>
      <w:r w:rsidRPr="008D7E30">
        <w:rPr>
          <w:rFonts w:ascii="Palatino Linotype" w:hAnsi="Palatino Linotype"/>
          <w:b/>
          <w:color w:val="000000" w:themeColor="text1"/>
          <w:sz w:val="24"/>
          <w:szCs w:val="24"/>
          <w:lang w:val="es-MX" w:eastAsia="en-US"/>
        </w:rPr>
        <w:t>I. De la interposición del recurso.</w:t>
      </w:r>
      <w:bookmarkEnd w:id="12"/>
      <w:r w:rsidRPr="008D7E30">
        <w:rPr>
          <w:rFonts w:ascii="Palatino Linotype" w:hAnsi="Palatino Linotype"/>
          <w:b/>
          <w:color w:val="000000" w:themeColor="text1"/>
          <w:sz w:val="24"/>
          <w:szCs w:val="24"/>
          <w:lang w:val="es-MX" w:eastAsia="en-US"/>
        </w:rPr>
        <w:t xml:space="preserve"> </w:t>
      </w:r>
    </w:p>
    <w:p w14:paraId="414F1582" w14:textId="77777777" w:rsidR="00C50711" w:rsidRPr="008D7E30" w:rsidRDefault="00C50711" w:rsidP="00C50711">
      <w:pPr>
        <w:keepNext/>
        <w:keepLines/>
        <w:tabs>
          <w:tab w:val="left" w:pos="0"/>
        </w:tabs>
        <w:spacing w:line="360" w:lineRule="auto"/>
        <w:contextualSpacing/>
        <w:outlineLvl w:val="0"/>
        <w:rPr>
          <w:rFonts w:ascii="Palatino Linotype" w:eastAsia="MS Gothic" w:hAnsi="Palatino Linotype"/>
          <w:b/>
          <w:lang w:val="es-MX" w:eastAsia="en-US"/>
        </w:rPr>
      </w:pPr>
    </w:p>
    <w:p w14:paraId="11F8F612" w14:textId="523549D5" w:rsidR="00C50711" w:rsidRPr="008D7E30" w:rsidRDefault="00C50711" w:rsidP="00C50711">
      <w:pPr>
        <w:numPr>
          <w:ilvl w:val="0"/>
          <w:numId w:val="31"/>
        </w:numPr>
        <w:spacing w:after="160" w:line="360" w:lineRule="auto"/>
        <w:ind w:left="0" w:right="49" w:firstLine="0"/>
        <w:contextualSpacing/>
        <w:jc w:val="both"/>
        <w:rPr>
          <w:rFonts w:ascii="Palatino Linotype" w:hAnsi="Palatino Linotype"/>
          <w:lang w:val="es-ES_tradnl"/>
        </w:rPr>
      </w:pPr>
      <w:r w:rsidRPr="008D7E30">
        <w:rPr>
          <w:rFonts w:ascii="Palatino Linotype" w:eastAsia="Calibri" w:hAnsi="Palatino Linotype" w:cs="Arial"/>
          <w:lang w:val="es-ES_tradnl"/>
        </w:rPr>
        <w:t xml:space="preserve">El medio de impugnación fue presentado a través del </w:t>
      </w:r>
      <w:r w:rsidRPr="008D7E30">
        <w:rPr>
          <w:rFonts w:ascii="Palatino Linotype" w:eastAsia="Calibri" w:hAnsi="Palatino Linotype" w:cs="Arial"/>
          <w:b/>
          <w:lang w:val="es-ES_tradnl"/>
        </w:rPr>
        <w:t>SAIMEX,</w:t>
      </w:r>
      <w:r w:rsidRPr="008D7E30">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8D7E30">
        <w:rPr>
          <w:rFonts w:ascii="Palatino Linotype" w:eastAsia="Calibri" w:hAnsi="Palatino Linotype" w:cs="Arial"/>
          <w:b/>
          <w:lang w:val="es-ES_tradnl"/>
        </w:rPr>
        <w:t>SUJETO OBLIGADO</w:t>
      </w:r>
      <w:r w:rsidRPr="008D7E30">
        <w:rPr>
          <w:rFonts w:ascii="Palatino Linotype" w:eastAsia="Calibri" w:hAnsi="Palatino Linotype" w:cs="Arial"/>
          <w:lang w:val="es-ES_tradnl"/>
        </w:rPr>
        <w:t xml:space="preserve"> entregó respuesta e</w:t>
      </w:r>
      <w:r w:rsidR="001746BA" w:rsidRPr="008D7E30">
        <w:rPr>
          <w:rFonts w:ascii="Palatino Linotype" w:eastAsia="Calibri" w:hAnsi="Palatino Linotype" w:cs="Arial"/>
          <w:lang w:val="es-ES_tradnl"/>
        </w:rPr>
        <w:t>l día veinticuatro (24</w:t>
      </w:r>
      <w:r w:rsidRPr="008D7E30">
        <w:rPr>
          <w:rFonts w:ascii="Palatino Linotype" w:eastAsia="Calibri" w:hAnsi="Palatino Linotype" w:cs="Arial"/>
          <w:lang w:val="es-ES_tradnl"/>
        </w:rPr>
        <w:t>) de</w:t>
      </w:r>
      <w:r w:rsidR="001746BA" w:rsidRPr="008D7E30">
        <w:rPr>
          <w:rFonts w:ascii="Palatino Linotype" w:eastAsia="Calibri" w:hAnsi="Palatino Linotype" w:cs="Arial"/>
          <w:lang w:val="es-ES_tradnl"/>
        </w:rPr>
        <w:t xml:space="preserve"> junio</w:t>
      </w:r>
      <w:r w:rsidRPr="008D7E30">
        <w:rPr>
          <w:rFonts w:ascii="Palatino Linotype" w:eastAsia="Calibri" w:hAnsi="Palatino Linotype" w:cs="Arial"/>
          <w:lang w:val="es-ES_tradnl"/>
        </w:rPr>
        <w:t xml:space="preserve"> dos mil veintidós</w:t>
      </w:r>
      <w:r w:rsidRPr="008D7E30">
        <w:rPr>
          <w:rFonts w:ascii="Palatino Linotype" w:eastAsia="Calibri" w:hAnsi="Palatino Linotype" w:cs="Arial"/>
          <w:lang w:val="es-MX" w:eastAsia="en-US"/>
        </w:rPr>
        <w:t>, el plazo para interponer el recurso de revisión tras</w:t>
      </w:r>
      <w:r w:rsidR="00CE1614" w:rsidRPr="008D7E30">
        <w:rPr>
          <w:rFonts w:ascii="Palatino Linotype" w:eastAsia="Calibri" w:hAnsi="Palatino Linotype" w:cs="Arial"/>
          <w:lang w:val="es-MX" w:eastAsia="en-US"/>
        </w:rPr>
        <w:t xml:space="preserve">currió del </w:t>
      </w:r>
      <w:r w:rsidR="001746BA" w:rsidRPr="008D7E30">
        <w:rPr>
          <w:rFonts w:ascii="Palatino Linotype" w:eastAsia="Calibri" w:hAnsi="Palatino Linotype" w:cs="Arial"/>
          <w:lang w:val="es-MX" w:eastAsia="en-US"/>
        </w:rPr>
        <w:t>veintisiete (27</w:t>
      </w:r>
      <w:r w:rsidRPr="008D7E30">
        <w:rPr>
          <w:rFonts w:ascii="Palatino Linotype" w:eastAsia="Calibri" w:hAnsi="Palatino Linotype" w:cs="Arial"/>
          <w:lang w:val="es-MX" w:eastAsia="en-US"/>
        </w:rPr>
        <w:t>)</w:t>
      </w:r>
      <w:r w:rsidR="001746BA" w:rsidRPr="008D7E30">
        <w:rPr>
          <w:rFonts w:ascii="Palatino Linotype" w:eastAsia="Calibri" w:hAnsi="Palatino Linotype" w:cs="Arial"/>
          <w:lang w:val="es-MX" w:eastAsia="en-US"/>
        </w:rPr>
        <w:t xml:space="preserve"> de junio</w:t>
      </w:r>
      <w:r w:rsidRPr="008D7E30">
        <w:rPr>
          <w:rFonts w:ascii="Palatino Linotype" w:eastAsia="Calibri" w:hAnsi="Palatino Linotype" w:cs="Arial"/>
          <w:lang w:val="es-MX" w:eastAsia="en-US"/>
        </w:rPr>
        <w:t xml:space="preserve"> al</w:t>
      </w:r>
      <w:r w:rsidR="001746BA" w:rsidRPr="008D7E30">
        <w:rPr>
          <w:rFonts w:ascii="Palatino Linotype" w:eastAsia="Calibri" w:hAnsi="Palatino Linotype" w:cs="Arial"/>
          <w:lang w:val="es-MX" w:eastAsia="en-US"/>
        </w:rPr>
        <w:t xml:space="preserve"> uno</w:t>
      </w:r>
      <w:r w:rsidR="00C969DB" w:rsidRPr="008D7E30">
        <w:rPr>
          <w:rFonts w:ascii="Palatino Linotype" w:eastAsia="Calibri" w:hAnsi="Palatino Linotype" w:cs="Arial"/>
          <w:lang w:val="es-MX" w:eastAsia="en-US"/>
        </w:rPr>
        <w:t xml:space="preserve"> </w:t>
      </w:r>
      <w:r w:rsidR="001746BA" w:rsidRPr="008D7E30">
        <w:rPr>
          <w:rFonts w:ascii="Palatino Linotype" w:eastAsia="Calibri" w:hAnsi="Palatino Linotype" w:cs="Arial"/>
          <w:lang w:val="es-MX" w:eastAsia="en-US"/>
        </w:rPr>
        <w:t>(01</w:t>
      </w:r>
      <w:r w:rsidRPr="008D7E30">
        <w:rPr>
          <w:rFonts w:ascii="Palatino Linotype" w:eastAsia="Calibri" w:hAnsi="Palatino Linotype" w:cs="Arial"/>
          <w:lang w:val="es-MX" w:eastAsia="en-US"/>
        </w:rPr>
        <w:t>) de</w:t>
      </w:r>
      <w:r w:rsidR="001746BA" w:rsidRPr="008D7E30">
        <w:rPr>
          <w:rFonts w:ascii="Palatino Linotype" w:eastAsia="Calibri" w:hAnsi="Palatino Linotype" w:cs="Arial"/>
          <w:lang w:val="es-MX" w:eastAsia="en-US"/>
        </w:rPr>
        <w:t xml:space="preserve"> agosto</w:t>
      </w:r>
      <w:r w:rsidR="00C969DB" w:rsidRPr="008D7E30">
        <w:rPr>
          <w:rFonts w:ascii="Palatino Linotype" w:eastAsia="Calibri" w:hAnsi="Palatino Linotype" w:cs="Arial"/>
          <w:lang w:val="es-MX" w:eastAsia="en-US"/>
        </w:rPr>
        <w:t xml:space="preserve"> de </w:t>
      </w:r>
      <w:r w:rsidRPr="008D7E30">
        <w:rPr>
          <w:rFonts w:ascii="Palatino Linotype" w:eastAsia="Calibri" w:hAnsi="Palatino Linotype" w:cs="Arial"/>
          <w:lang w:val="es-MX" w:eastAsia="en-US"/>
        </w:rPr>
        <w:t>dos mil veintidós, por lo que si el particular interpuso re</w:t>
      </w:r>
      <w:r w:rsidR="001746BA" w:rsidRPr="008D7E30">
        <w:rPr>
          <w:rFonts w:ascii="Palatino Linotype" w:eastAsia="Calibri" w:hAnsi="Palatino Linotype" w:cs="Arial"/>
          <w:lang w:val="es-MX" w:eastAsia="en-US"/>
        </w:rPr>
        <w:t>curso de revisión el cinco</w:t>
      </w:r>
      <w:r w:rsidR="00CE1614" w:rsidRPr="008D7E30">
        <w:rPr>
          <w:rFonts w:ascii="Palatino Linotype" w:eastAsia="Calibri" w:hAnsi="Palatino Linotype" w:cs="Arial"/>
          <w:lang w:val="es-MX" w:eastAsia="en-US"/>
        </w:rPr>
        <w:t xml:space="preserve"> </w:t>
      </w:r>
      <w:r w:rsidR="001746BA" w:rsidRPr="008D7E30">
        <w:rPr>
          <w:rFonts w:ascii="Palatino Linotype" w:eastAsia="Calibri" w:hAnsi="Palatino Linotype" w:cs="Arial"/>
          <w:lang w:val="es-MX" w:eastAsia="en-US"/>
        </w:rPr>
        <w:t>(05</w:t>
      </w:r>
      <w:r w:rsidRPr="008D7E30">
        <w:rPr>
          <w:rFonts w:ascii="Palatino Linotype" w:eastAsia="Calibri" w:hAnsi="Palatino Linotype" w:cs="Arial"/>
          <w:lang w:val="es-MX" w:eastAsia="en-US"/>
        </w:rPr>
        <w:t>) de</w:t>
      </w:r>
      <w:r w:rsidR="001746BA" w:rsidRPr="008D7E30">
        <w:rPr>
          <w:rFonts w:ascii="Palatino Linotype" w:eastAsia="Calibri" w:hAnsi="Palatino Linotype" w:cs="Arial"/>
          <w:lang w:val="es-MX" w:eastAsia="en-US"/>
        </w:rPr>
        <w:t xml:space="preserve"> julio </w:t>
      </w:r>
      <w:r w:rsidRPr="008D7E30">
        <w:rPr>
          <w:rFonts w:ascii="Palatino Linotype" w:eastAsia="Calibri" w:hAnsi="Palatino Linotype" w:cs="Arial"/>
          <w:lang w:val="es-MX" w:eastAsia="en-US"/>
        </w:rPr>
        <w:t xml:space="preserve">de dos mil veintidós, </w:t>
      </w:r>
      <w:r w:rsidRPr="008D7E30">
        <w:rPr>
          <w:rFonts w:ascii="Palatino Linotype" w:hAnsi="Palatino Linotype"/>
          <w:lang w:val="es-ES_tradnl"/>
        </w:rPr>
        <w:t xml:space="preserve">se encuentra dentro del periodo establecido por la Ley. </w:t>
      </w:r>
    </w:p>
    <w:p w14:paraId="1704BBDA" w14:textId="77777777" w:rsidR="00C50711" w:rsidRPr="008D7E30" w:rsidRDefault="00C50711" w:rsidP="00C50711">
      <w:pPr>
        <w:spacing w:after="160" w:line="360" w:lineRule="auto"/>
        <w:ind w:right="49"/>
        <w:contextualSpacing/>
        <w:jc w:val="both"/>
        <w:rPr>
          <w:rFonts w:ascii="Palatino Linotype" w:hAnsi="Palatino Linotype"/>
          <w:lang w:val="es-ES_tradnl"/>
        </w:rPr>
      </w:pPr>
    </w:p>
    <w:p w14:paraId="79D5B30E" w14:textId="19780D11" w:rsidR="00C50711" w:rsidRPr="008D7E30" w:rsidRDefault="00C50711" w:rsidP="00CE1614">
      <w:pPr>
        <w:keepNext/>
        <w:keepLines/>
        <w:spacing w:before="240" w:line="360" w:lineRule="auto"/>
        <w:jc w:val="both"/>
        <w:outlineLvl w:val="0"/>
        <w:rPr>
          <w:rFonts w:ascii="Palatino Linotype" w:eastAsia="Calibri" w:hAnsi="Palatino Linotype"/>
          <w:b/>
        </w:rPr>
      </w:pPr>
      <w:bookmarkStart w:id="13" w:name="_Toc89170794"/>
      <w:bookmarkStart w:id="14" w:name="_Toc89335547"/>
      <w:bookmarkStart w:id="15" w:name="_Toc89964362"/>
      <w:bookmarkStart w:id="16" w:name="_Toc98350361"/>
      <w:bookmarkStart w:id="17" w:name="_Toc99564200"/>
      <w:bookmarkStart w:id="18" w:name="_Toc99564863"/>
      <w:bookmarkStart w:id="19" w:name="_Toc102070727"/>
      <w:bookmarkStart w:id="20" w:name="_Toc102567517"/>
      <w:r w:rsidRPr="008D7E30">
        <w:rPr>
          <w:rFonts w:ascii="Palatino Linotype" w:eastAsiaTheme="majorEastAsia" w:hAnsi="Palatino Linotype" w:cstheme="majorBidi"/>
          <w:b/>
        </w:rPr>
        <w:t>II</w:t>
      </w:r>
      <w:bookmarkStart w:id="21" w:name="_Toc99564201"/>
      <w:bookmarkStart w:id="22" w:name="_Toc99564864"/>
      <w:bookmarkStart w:id="23" w:name="_Toc102070728"/>
      <w:bookmarkStart w:id="24" w:name="_Toc102567518"/>
      <w:bookmarkStart w:id="25" w:name="_Toc89964363"/>
      <w:bookmarkStart w:id="26" w:name="_Toc98350362"/>
      <w:bookmarkStart w:id="27" w:name="_Toc67587987"/>
      <w:bookmarkStart w:id="28" w:name="_Toc68804763"/>
      <w:bookmarkEnd w:id="13"/>
      <w:bookmarkEnd w:id="14"/>
      <w:bookmarkEnd w:id="15"/>
      <w:bookmarkEnd w:id="16"/>
      <w:bookmarkEnd w:id="17"/>
      <w:bookmarkEnd w:id="18"/>
      <w:bookmarkEnd w:id="19"/>
      <w:bookmarkEnd w:id="20"/>
      <w:r w:rsidR="00D41715" w:rsidRPr="008D7E30">
        <w:rPr>
          <w:rFonts w:ascii="Palatino Linotype" w:eastAsia="Calibri" w:hAnsi="Palatino Linotype"/>
          <w:b/>
        </w:rPr>
        <w:t xml:space="preserve">. </w:t>
      </w:r>
      <w:r w:rsidRPr="008D7E30">
        <w:rPr>
          <w:rFonts w:ascii="Palatino Linotype" w:eastAsiaTheme="majorEastAsia" w:hAnsi="Palatino Linotype" w:cstheme="majorBidi"/>
          <w:b/>
          <w:color w:val="000000" w:themeColor="text1"/>
          <w:lang w:val="es-MX" w:eastAsia="en-US"/>
        </w:rPr>
        <w:t>De la determinación sobre la procedibilidad del recurso.</w:t>
      </w:r>
      <w:bookmarkEnd w:id="21"/>
      <w:bookmarkEnd w:id="22"/>
      <w:bookmarkEnd w:id="23"/>
      <w:bookmarkEnd w:id="24"/>
      <w:bookmarkEnd w:id="25"/>
      <w:bookmarkEnd w:id="26"/>
      <w:bookmarkEnd w:id="27"/>
      <w:bookmarkEnd w:id="28"/>
      <w:r w:rsidRPr="008D7E30">
        <w:rPr>
          <w:rFonts w:ascii="Palatino Linotype" w:eastAsiaTheme="majorEastAsia" w:hAnsi="Palatino Linotype" w:cstheme="majorBidi"/>
          <w:b/>
          <w:color w:val="000000" w:themeColor="text1"/>
          <w:lang w:val="es-MX" w:eastAsia="en-US"/>
        </w:rPr>
        <w:t xml:space="preserve"> </w:t>
      </w:r>
    </w:p>
    <w:p w14:paraId="16431E1E" w14:textId="77777777" w:rsidR="00C50711" w:rsidRPr="008D7E30" w:rsidRDefault="00C50711" w:rsidP="00C50711">
      <w:pPr>
        <w:spacing w:line="360" w:lineRule="auto"/>
        <w:rPr>
          <w:rFonts w:ascii="Palatino Linotype" w:hAnsi="Palatino Linotype"/>
          <w:lang w:val="es-MX" w:eastAsia="en-US"/>
        </w:rPr>
      </w:pPr>
    </w:p>
    <w:p w14:paraId="139002D5" w14:textId="1934980D" w:rsidR="00D41715" w:rsidRPr="008D7E30" w:rsidRDefault="00C50711" w:rsidP="00D41715">
      <w:pPr>
        <w:pStyle w:val="Prrafodelista"/>
        <w:numPr>
          <w:ilvl w:val="0"/>
          <w:numId w:val="34"/>
        </w:numPr>
        <w:spacing w:after="160" w:line="360" w:lineRule="auto"/>
        <w:ind w:left="0" w:right="49" w:firstLine="0"/>
        <w:contextualSpacing/>
        <w:jc w:val="both"/>
        <w:rPr>
          <w:rFonts w:ascii="Palatino Linotype" w:hAnsi="Palatino Linotype"/>
          <w:lang w:val="es-ES_tradnl"/>
        </w:rPr>
      </w:pPr>
      <w:r w:rsidRPr="008D7E30">
        <w:rPr>
          <w:rFonts w:ascii="Palatino Linotype" w:eastAsia="Calibri" w:hAnsi="Palatino Linotype" w:cs="Arial"/>
          <w:lang w:val="es-ES_tradnl"/>
        </w:rPr>
        <w:t xml:space="preserve">Expuesto lo anterior, el escrito contiene las formalidades previstas por el artículo 180 último párrafo de la Ley de la materia actual, por lo que es procedente </w:t>
      </w:r>
      <w:r w:rsidRPr="008D7E30">
        <w:rPr>
          <w:rFonts w:ascii="Palatino Linotype" w:eastAsia="Calibri" w:hAnsi="Palatino Linotype" w:cs="Arial"/>
          <w:lang w:val="es-ES_tradnl"/>
        </w:rPr>
        <w:lastRenderedPageBreak/>
        <w:t>que este Instituto de Transparencia, Acceso a la Información Pública y Protección de Datos Personales del Estado de México y Municipios, conozca y resuelva el presente recurso.</w:t>
      </w:r>
    </w:p>
    <w:p w14:paraId="2E31B2A1" w14:textId="77777777" w:rsidR="00D41715" w:rsidRPr="008D7E30" w:rsidRDefault="00D41715" w:rsidP="00D41715">
      <w:pPr>
        <w:spacing w:after="160" w:line="360" w:lineRule="auto"/>
        <w:ind w:right="49"/>
        <w:contextualSpacing/>
        <w:jc w:val="both"/>
        <w:rPr>
          <w:rFonts w:ascii="Palatino Linotype" w:hAnsi="Palatino Linotype"/>
          <w:lang w:val="es-ES_tradnl"/>
        </w:rPr>
      </w:pPr>
    </w:p>
    <w:p w14:paraId="7C551078" w14:textId="4894888E" w:rsidR="00771BF2" w:rsidRPr="008D7E30" w:rsidRDefault="007F7B11" w:rsidP="00CA6269">
      <w:pPr>
        <w:keepNext/>
        <w:keepLines/>
        <w:tabs>
          <w:tab w:val="left" w:pos="284"/>
          <w:tab w:val="left" w:pos="426"/>
        </w:tabs>
        <w:spacing w:before="240" w:line="360" w:lineRule="auto"/>
        <w:outlineLvl w:val="0"/>
        <w:rPr>
          <w:rFonts w:ascii="Palatino Linotype" w:eastAsiaTheme="majorEastAsia" w:hAnsi="Palatino Linotype" w:cstheme="majorBidi"/>
          <w:b/>
          <w:lang w:val="es-MX" w:eastAsia="en-US"/>
        </w:rPr>
      </w:pPr>
      <w:bookmarkStart w:id="29" w:name="_Toc500360400"/>
      <w:bookmarkStart w:id="30" w:name="_Toc96549904"/>
      <w:bookmarkStart w:id="31" w:name="_Toc459174366"/>
      <w:bookmarkStart w:id="32" w:name="_Toc459659884"/>
      <w:bookmarkStart w:id="33" w:name="_Toc461687280"/>
      <w:bookmarkStart w:id="34" w:name="_Toc462771051"/>
      <w:bookmarkStart w:id="35" w:name="_Toc464139201"/>
      <w:bookmarkStart w:id="36" w:name="_Toc495427545"/>
      <w:bookmarkStart w:id="37" w:name="_Toc499296549"/>
      <w:r w:rsidRPr="008D7E30">
        <w:rPr>
          <w:rFonts w:ascii="Palatino Linotype" w:eastAsiaTheme="majorEastAsia" w:hAnsi="Palatino Linotype" w:cstheme="majorBidi"/>
          <w:b/>
          <w:color w:val="000000" w:themeColor="text1"/>
          <w:lang w:val="es-MX" w:eastAsia="en-US"/>
        </w:rPr>
        <w:t xml:space="preserve">TERCERO. </w:t>
      </w:r>
      <w:r w:rsidRPr="008D7E30">
        <w:rPr>
          <w:rFonts w:ascii="Palatino Linotype" w:eastAsiaTheme="majorEastAsia" w:hAnsi="Palatino Linotype" w:cstheme="majorBidi"/>
          <w:b/>
          <w:lang w:val="es-MX" w:eastAsia="en-US"/>
        </w:rPr>
        <w:t>De las causales del sobreseimiento.</w:t>
      </w:r>
      <w:bookmarkEnd w:id="29"/>
      <w:bookmarkEnd w:id="30"/>
    </w:p>
    <w:p w14:paraId="53E8FA93" w14:textId="59674111" w:rsidR="007F7B11" w:rsidRPr="008D7E30" w:rsidRDefault="007F7B11" w:rsidP="00D41715">
      <w:pPr>
        <w:pStyle w:val="Prrafodelista"/>
        <w:numPr>
          <w:ilvl w:val="0"/>
          <w:numId w:val="29"/>
        </w:numPr>
        <w:tabs>
          <w:tab w:val="left" w:pos="284"/>
          <w:tab w:val="left" w:pos="426"/>
        </w:tabs>
        <w:spacing w:before="240" w:after="240" w:line="360" w:lineRule="auto"/>
        <w:ind w:left="0" w:right="49" w:firstLine="0"/>
        <w:contextualSpacing/>
        <w:jc w:val="both"/>
        <w:rPr>
          <w:rFonts w:ascii="Palatino Linotype" w:eastAsiaTheme="minorEastAsia" w:hAnsi="Palatino Linotype" w:cs="Arial"/>
          <w:lang w:val="es-ES_tradnl"/>
        </w:rPr>
      </w:pPr>
      <w:bookmarkStart w:id="38" w:name="_Toc455991148"/>
      <w:bookmarkStart w:id="39" w:name="_Toc450120669"/>
      <w:bookmarkStart w:id="40" w:name="_Toc461555896"/>
      <w:bookmarkStart w:id="41" w:name="_Toc462154385"/>
      <w:bookmarkStart w:id="42" w:name="_Toc462660376"/>
      <w:bookmarkStart w:id="43" w:name="_Toc462660687"/>
      <w:bookmarkStart w:id="44" w:name="_Toc462660766"/>
      <w:bookmarkStart w:id="45" w:name="_Toc465264624"/>
      <w:bookmarkStart w:id="46" w:name="_Toc465264870"/>
      <w:bookmarkStart w:id="47" w:name="_Toc465266520"/>
      <w:bookmarkStart w:id="48" w:name="_Toc466302258"/>
      <w:bookmarkStart w:id="49" w:name="_Toc466371866"/>
      <w:bookmarkStart w:id="50" w:name="_Toc466371925"/>
      <w:bookmarkStart w:id="51" w:name="_Toc466377654"/>
      <w:bookmarkStart w:id="52" w:name="_Toc478549736"/>
      <w:bookmarkStart w:id="53" w:name="_Toc478572850"/>
      <w:bookmarkStart w:id="54" w:name="_Toc479238537"/>
      <w:bookmarkEnd w:id="31"/>
      <w:bookmarkEnd w:id="32"/>
      <w:bookmarkEnd w:id="33"/>
      <w:bookmarkEnd w:id="34"/>
      <w:bookmarkEnd w:id="35"/>
      <w:bookmarkEnd w:id="36"/>
      <w:bookmarkEnd w:id="37"/>
      <w:r w:rsidRPr="008D7E30">
        <w:rPr>
          <w:rFonts w:ascii="Palatino Linotype" w:eastAsiaTheme="minorEastAsia" w:hAnsi="Palatino Linotype" w:cs="Arial"/>
          <w:lang w:val="es-ES_tradnl"/>
        </w:rPr>
        <w:t xml:space="preserve">El recurso revisión tiene como finalidad reparar cualquier posible afectación al derecho de acceso a la información pública en términos del Título Octavo de la Ley de </w:t>
      </w:r>
      <w:r w:rsidRPr="008D7E30">
        <w:rPr>
          <w:rFonts w:ascii="Palatino Linotype" w:eastAsia="Calibri" w:hAnsi="Palatino Linotype" w:cs="Arial"/>
          <w:lang w:val="es-ES_tradnl"/>
        </w:rPr>
        <w:t>Transparencia, Acceso a la Información Pública del Estado de México y Municipios</w:t>
      </w:r>
      <w:r w:rsidR="00AD1880" w:rsidRPr="008D7E30">
        <w:rPr>
          <w:rFonts w:ascii="Palatino Linotype" w:eastAsiaTheme="minorEastAsia" w:hAnsi="Palatino Linotype" w:cs="Arial"/>
          <w:lang w:val="es-ES_tradnl"/>
        </w:rPr>
        <w:t xml:space="preserve">, y determinar la confirmación; </w:t>
      </w:r>
      <w:r w:rsidRPr="008D7E30">
        <w:rPr>
          <w:rFonts w:ascii="Palatino Linotype" w:eastAsiaTheme="minorEastAsia" w:hAnsi="Palatino Linotype" w:cs="Arial"/>
          <w:lang w:val="es-ES_tradnl"/>
        </w:rPr>
        <w:t xml:space="preserve">revocación o modificación; desechamiento o </w:t>
      </w:r>
      <w:r w:rsidRPr="008D7E30">
        <w:rPr>
          <w:rFonts w:ascii="Palatino Linotype" w:eastAsiaTheme="minorEastAsia" w:hAnsi="Palatino Linotype" w:cs="Arial"/>
          <w:b/>
          <w:u w:val="single"/>
          <w:lang w:val="es-ES_tradnl"/>
        </w:rPr>
        <w:t>sobreseimiento</w:t>
      </w:r>
      <w:r w:rsidRPr="008D7E30">
        <w:rPr>
          <w:rFonts w:ascii="Palatino Linotype" w:eastAsiaTheme="minorEastAsia" w:hAnsi="Palatino Linotype" w:cs="Arial"/>
          <w:lang w:val="es-ES_tradnl"/>
        </w:rPr>
        <w:t xml:space="preserve">; y, en su caso, ordenar la entrega de la información respecto a la respuesta emitida por el </w:t>
      </w:r>
      <w:r w:rsidRPr="008D7E30">
        <w:rPr>
          <w:rFonts w:ascii="Palatino Linotype" w:eastAsiaTheme="minorEastAsia" w:hAnsi="Palatino Linotype" w:cs="Arial"/>
          <w:b/>
          <w:lang w:val="es-ES_tradnl"/>
        </w:rPr>
        <w:t>SUJETO</w:t>
      </w:r>
      <w:r w:rsidRPr="008D7E30">
        <w:rPr>
          <w:rFonts w:ascii="Palatino Linotype" w:eastAsiaTheme="minorEastAsia" w:hAnsi="Palatino Linotype" w:cs="Arial"/>
          <w:lang w:val="es-ES_tradnl"/>
        </w:rPr>
        <w:t xml:space="preserve"> </w:t>
      </w:r>
      <w:r w:rsidRPr="008D7E30">
        <w:rPr>
          <w:rFonts w:ascii="Palatino Linotype" w:eastAsiaTheme="minorEastAsia" w:hAnsi="Palatino Linotype" w:cs="Arial"/>
          <w:b/>
          <w:lang w:val="es-ES_tradnl"/>
        </w:rPr>
        <w:t>OBLIGADO</w:t>
      </w:r>
      <w:r w:rsidRPr="008D7E30">
        <w:rPr>
          <w:rFonts w:ascii="Palatino Linotype" w:eastAsiaTheme="minorEastAsia" w:hAnsi="Palatino Linotype" w:cs="Arial"/>
          <w:lang w:val="es-ES_tradnl"/>
        </w:rPr>
        <w:t>.</w:t>
      </w:r>
    </w:p>
    <w:p w14:paraId="2BE1B32C" w14:textId="5BF3D322" w:rsidR="007F7B11" w:rsidRPr="008D7E30" w:rsidRDefault="007F7B11" w:rsidP="00CA6269">
      <w:pPr>
        <w:numPr>
          <w:ilvl w:val="0"/>
          <w:numId w:val="29"/>
        </w:numPr>
        <w:tabs>
          <w:tab w:val="left" w:pos="284"/>
          <w:tab w:val="left" w:pos="426"/>
        </w:tabs>
        <w:spacing w:before="240" w:after="240" w:line="360" w:lineRule="auto"/>
        <w:ind w:left="0" w:right="49" w:firstLine="0"/>
        <w:contextualSpacing/>
        <w:jc w:val="both"/>
        <w:rPr>
          <w:rFonts w:ascii="Palatino Linotype" w:eastAsia="MS Mincho" w:hAnsi="Palatino Linotype"/>
          <w:color w:val="000000"/>
          <w:lang w:val="es-ES_tradnl"/>
        </w:rPr>
      </w:pPr>
      <w:r w:rsidRPr="008D7E30">
        <w:rPr>
          <w:rFonts w:ascii="Palatino Linotype" w:eastAsia="Calibri" w:hAnsi="Palatino Linotype" w:cs="Arial"/>
          <w:lang w:val="es-MX" w:eastAsia="en-US"/>
        </w:rPr>
        <w:t xml:space="preserve">Asimismo, es de señalar </w:t>
      </w:r>
      <w:r w:rsidR="000A015C" w:rsidRPr="008D7E30">
        <w:rPr>
          <w:rFonts w:ascii="Palatino Linotype" w:eastAsia="Calibri" w:hAnsi="Palatino Linotype" w:cs="Arial"/>
          <w:lang w:val="es-MX" w:eastAsia="en-US"/>
        </w:rPr>
        <w:t>que,</w:t>
      </w:r>
      <w:r w:rsidRPr="008D7E30">
        <w:rPr>
          <w:rFonts w:ascii="Palatino Linotype" w:eastAsia="Calibri" w:hAnsi="Palatino Linotype" w:cs="Arial"/>
          <w:lang w:val="es-MX" w:eastAsia="en-US"/>
        </w:rPr>
        <w:t xml:space="preserve"> </w:t>
      </w:r>
      <w:r w:rsidRPr="008D7E30">
        <w:rPr>
          <w:rFonts w:ascii="Palatino Linotype" w:eastAsia="MS Mincho" w:hAnsi="Palatino Linotype"/>
          <w:lang w:val="es-ES_tradnl"/>
        </w:rPr>
        <w:t xml:space="preserve">para actualizar el sobreseimiento de un recurso de revisión, el </w:t>
      </w:r>
      <w:r w:rsidRPr="008D7E30">
        <w:rPr>
          <w:rFonts w:ascii="Palatino Linotype" w:eastAsia="MS Mincho" w:hAnsi="Palatino Linotype"/>
          <w:b/>
          <w:lang w:val="es-ES_tradnl"/>
        </w:rPr>
        <w:t>SUJETO OBLIGADO</w:t>
      </w:r>
      <w:r w:rsidRPr="008D7E30">
        <w:rPr>
          <w:rFonts w:ascii="Palatino Linotype" w:eastAsia="MS Mincho" w:hAnsi="Palatino Linotype"/>
          <w:lang w:val="es-ES_tradnl"/>
        </w:rPr>
        <w:t xml:space="preserve"> puede entregar o completar la información al momento de rendir su informe justificado o, dentro de los siete días previstos para manifestar lo que a su derecho convenga</w:t>
      </w:r>
      <w:r w:rsidRPr="008D7E30">
        <w:rPr>
          <w:rFonts w:ascii="Palatino Linotype" w:eastAsia="Calibri" w:hAnsi="Palatino Linotype" w:cs="Arial"/>
        </w:rPr>
        <w:t>, ofrecer pruebas y alegatos; como se refiriera en párrafos anteriores.</w:t>
      </w:r>
    </w:p>
    <w:p w14:paraId="0CA35A55" w14:textId="77777777" w:rsidR="007F7B11" w:rsidRPr="008D7E30" w:rsidRDefault="007F7B11" w:rsidP="00304C20">
      <w:pPr>
        <w:tabs>
          <w:tab w:val="left" w:pos="284"/>
          <w:tab w:val="left" w:pos="426"/>
        </w:tabs>
        <w:spacing w:line="360" w:lineRule="auto"/>
        <w:contextualSpacing/>
        <w:jc w:val="center"/>
        <w:rPr>
          <w:rFonts w:ascii="Palatino Linotype" w:eastAsia="MS Mincho" w:hAnsi="Palatino Linotype"/>
          <w:color w:val="000000"/>
          <w:lang w:val="es-ES_tradnl"/>
        </w:rPr>
      </w:pPr>
    </w:p>
    <w:p w14:paraId="02A7AC1A" w14:textId="7DA9025B" w:rsidR="00CE1614" w:rsidRPr="008D7E30" w:rsidRDefault="00CE1614" w:rsidP="00011DB2">
      <w:pPr>
        <w:pStyle w:val="Prrafodelista"/>
        <w:numPr>
          <w:ilvl w:val="0"/>
          <w:numId w:val="29"/>
        </w:numPr>
        <w:tabs>
          <w:tab w:val="left" w:pos="0"/>
        </w:tabs>
        <w:spacing w:before="240" w:after="240" w:line="360" w:lineRule="auto"/>
        <w:ind w:left="0" w:right="49" w:firstLine="0"/>
        <w:contextualSpacing/>
        <w:jc w:val="both"/>
        <w:rPr>
          <w:rFonts w:ascii="Palatino Linotype" w:eastAsia="MS Mincho" w:hAnsi="Palatino Linotype"/>
          <w:color w:val="000000"/>
          <w:lang w:val="es-ES_tradnl"/>
        </w:rPr>
      </w:pPr>
      <w:bookmarkStart w:id="55" w:name="_Toc466371865"/>
      <w:bookmarkStart w:id="56" w:name="_Toc466377653"/>
      <w:bookmarkStart w:id="57" w:name="_Toc495427547"/>
      <w:bookmarkStart w:id="58" w:name="_Toc49790536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8D7E30">
        <w:rPr>
          <w:rFonts w:ascii="Palatino Linotype" w:eastAsia="MS Mincho" w:hAnsi="Palatino Linotype"/>
          <w:color w:val="000000"/>
          <w:lang w:val="es-ES_tradnl"/>
        </w:rPr>
        <w:t>Así, c</w:t>
      </w:r>
      <w:r w:rsidR="00771BF2" w:rsidRPr="008D7E30">
        <w:rPr>
          <w:rFonts w:ascii="Palatino Linotype" w:eastAsia="MS Mincho" w:hAnsi="Palatino Linotype"/>
          <w:color w:val="000000"/>
          <w:lang w:val="es-ES_tradnl"/>
        </w:rPr>
        <w:t>abe destacar que la contestación a la solicitud de información</w:t>
      </w:r>
      <w:r w:rsidRPr="008D7E30">
        <w:rPr>
          <w:rFonts w:ascii="Palatino Linotype" w:eastAsia="MS Mincho" w:hAnsi="Palatino Linotype"/>
          <w:color w:val="000000"/>
          <w:lang w:val="es-ES_tradnl"/>
        </w:rPr>
        <w:t xml:space="preserve"> </w:t>
      </w:r>
      <w:r w:rsidR="001746BA" w:rsidRPr="008D7E30">
        <w:rPr>
          <w:rFonts w:ascii="Palatino Linotype" w:eastAsia="MS Mincho" w:hAnsi="Palatino Linotype"/>
          <w:b/>
          <w:color w:val="000000"/>
          <w:lang w:val="es-ES_tradnl"/>
        </w:rPr>
        <w:t>01417/TOLUCA/IP/2022</w:t>
      </w:r>
      <w:r w:rsidR="001746BA" w:rsidRPr="008D7E30">
        <w:rPr>
          <w:rFonts w:ascii="Palatino Linotype" w:eastAsia="MS Mincho" w:hAnsi="Palatino Linotype"/>
          <w:color w:val="000000"/>
          <w:lang w:val="es-ES_tradnl"/>
        </w:rPr>
        <w:t xml:space="preserve"> </w:t>
      </w:r>
      <w:r w:rsidR="00771BF2" w:rsidRPr="008D7E30">
        <w:rPr>
          <w:rFonts w:ascii="Palatino Linotype" w:eastAsia="MS Mincho" w:hAnsi="Palatino Linotype"/>
          <w:color w:val="000000"/>
          <w:lang w:val="es-ES_tradnl"/>
        </w:rPr>
        <w:t xml:space="preserve">remitida por el </w:t>
      </w:r>
      <w:r w:rsidR="00771BF2" w:rsidRPr="008D7E30">
        <w:rPr>
          <w:rFonts w:ascii="Palatino Linotype" w:eastAsia="MS Mincho" w:hAnsi="Palatino Linotype"/>
          <w:b/>
          <w:color w:val="000000"/>
          <w:lang w:val="es-ES_tradnl"/>
        </w:rPr>
        <w:t>SUJETO OBLIGADO</w:t>
      </w:r>
      <w:r w:rsidR="00771BF2" w:rsidRPr="008D7E30">
        <w:rPr>
          <w:rFonts w:ascii="Palatino Linotype" w:eastAsia="MS Mincho" w:hAnsi="Palatino Linotype"/>
          <w:color w:val="000000"/>
          <w:lang w:val="es-ES_tradnl"/>
        </w:rPr>
        <w:t xml:space="preserve">, previamente plasmada, da una contestación parcial a los requerimientos del </w:t>
      </w:r>
      <w:r w:rsidR="00771BF2" w:rsidRPr="008D7E30">
        <w:rPr>
          <w:rFonts w:ascii="Palatino Linotype" w:eastAsia="MS Mincho" w:hAnsi="Palatino Linotype"/>
          <w:b/>
          <w:color w:val="000000"/>
          <w:lang w:val="es-ES_tradnl"/>
        </w:rPr>
        <w:t>RECURRENTE</w:t>
      </w:r>
      <w:r w:rsidR="00BE6825" w:rsidRPr="008D7E30">
        <w:rPr>
          <w:rFonts w:ascii="Palatino Linotype" w:eastAsia="MS Mincho" w:hAnsi="Palatino Linotype"/>
          <w:b/>
          <w:color w:val="000000"/>
          <w:lang w:val="es-ES_tradnl"/>
        </w:rPr>
        <w:t xml:space="preserve"> </w:t>
      </w:r>
      <w:r w:rsidR="001746BA" w:rsidRPr="008D7E30">
        <w:rPr>
          <w:rFonts w:ascii="Palatino Linotype" w:eastAsia="MS Mincho" w:hAnsi="Palatino Linotype"/>
          <w:color w:val="000000"/>
          <w:lang w:val="es-ES_tradnl"/>
        </w:rPr>
        <w:t>ya que no se remite el nombre de los ex servidores públicos</w:t>
      </w:r>
      <w:r w:rsidR="00771BF2" w:rsidRPr="008D7E30">
        <w:rPr>
          <w:rFonts w:ascii="Palatino Linotype" w:eastAsia="MS Mincho" w:hAnsi="Palatino Linotype"/>
          <w:color w:val="000000"/>
          <w:lang w:val="es-ES_tradnl"/>
        </w:rPr>
        <w:t xml:space="preserve">; sin embargo, será inminentemente excusado el ingreso al estudio y análisis de la misma, </w:t>
      </w:r>
      <w:r w:rsidR="00BE6825" w:rsidRPr="008D7E30">
        <w:rPr>
          <w:rFonts w:ascii="Palatino Linotype" w:eastAsia="MS Mincho" w:hAnsi="Palatino Linotype"/>
          <w:color w:val="000000"/>
          <w:lang w:val="es-ES_tradnl"/>
        </w:rPr>
        <w:t>en razón</w:t>
      </w:r>
      <w:r w:rsidR="00771BF2" w:rsidRPr="008D7E30">
        <w:rPr>
          <w:rFonts w:ascii="Palatino Linotype" w:eastAsia="MS Mincho" w:hAnsi="Palatino Linotype"/>
          <w:color w:val="000000"/>
          <w:lang w:val="es-ES_tradnl"/>
        </w:rPr>
        <w:t xml:space="preserve"> de que, como quedara establecido en el párrafo </w:t>
      </w:r>
      <w:r w:rsidR="00771BF2" w:rsidRPr="008D7E30">
        <w:rPr>
          <w:rFonts w:ascii="Palatino Linotype" w:eastAsia="MS Mincho" w:hAnsi="Palatino Linotype"/>
          <w:b/>
          <w:color w:val="000000"/>
          <w:lang w:val="es-ES_tradnl"/>
        </w:rPr>
        <w:t>09</w:t>
      </w:r>
      <w:r w:rsidR="00771BF2" w:rsidRPr="008D7E30">
        <w:rPr>
          <w:rFonts w:ascii="Palatino Linotype" w:eastAsia="MS Mincho" w:hAnsi="Palatino Linotype"/>
          <w:color w:val="000000"/>
          <w:lang w:val="es-ES_tradnl"/>
        </w:rPr>
        <w:t xml:space="preserve"> de la presente resolución, </w:t>
      </w:r>
      <w:r w:rsidR="00771BF2" w:rsidRPr="008D7E30">
        <w:rPr>
          <w:rFonts w:ascii="Palatino Linotype" w:eastAsia="MS Mincho" w:hAnsi="Palatino Linotype"/>
          <w:b/>
          <w:color w:val="000000"/>
          <w:lang w:val="es-ES_tradnl"/>
        </w:rPr>
        <w:t xml:space="preserve">el </w:t>
      </w:r>
      <w:r w:rsidR="00771BF2" w:rsidRPr="008D7E30">
        <w:rPr>
          <w:rFonts w:ascii="Palatino Linotype" w:eastAsia="MS Mincho" w:hAnsi="Palatino Linotype"/>
          <w:b/>
          <w:color w:val="000000"/>
          <w:lang w:val="es-ES_tradnl"/>
        </w:rPr>
        <w:lastRenderedPageBreak/>
        <w:t>particular, por propio derecho, se desistió del recurso de revisión</w:t>
      </w:r>
      <w:r w:rsidR="00771BF2" w:rsidRPr="008D7E30">
        <w:rPr>
          <w:rFonts w:ascii="Palatino Linotype" w:eastAsia="MS Mincho" w:hAnsi="Palatino Linotype"/>
          <w:color w:val="000000"/>
          <w:lang w:val="es-ES_tradnl"/>
        </w:rPr>
        <w:t xml:space="preserve"> que nos ocupa </w:t>
      </w:r>
      <w:r w:rsidRPr="008D7E30">
        <w:rPr>
          <w:rFonts w:ascii="Palatino Linotype" w:eastAsia="MS Mincho" w:hAnsi="Palatino Linotype"/>
          <w:color w:val="000000"/>
          <w:lang w:val="es-ES_tradnl"/>
        </w:rPr>
        <w:t>en fecha veintiséis (26</w:t>
      </w:r>
      <w:r w:rsidR="00771BF2" w:rsidRPr="008D7E30">
        <w:rPr>
          <w:rFonts w:ascii="Palatino Linotype" w:eastAsia="MS Mincho" w:hAnsi="Palatino Linotype"/>
          <w:color w:val="000000"/>
          <w:lang w:val="es-ES_tradnl"/>
        </w:rPr>
        <w:t>) de</w:t>
      </w:r>
      <w:r w:rsidRPr="008D7E30">
        <w:rPr>
          <w:rFonts w:ascii="Palatino Linotype" w:eastAsia="MS Mincho" w:hAnsi="Palatino Linotype"/>
          <w:color w:val="000000"/>
          <w:lang w:val="es-ES_tradnl"/>
        </w:rPr>
        <w:t xml:space="preserve"> septiembre</w:t>
      </w:r>
      <w:r w:rsidR="0009072B" w:rsidRPr="008D7E30">
        <w:rPr>
          <w:rFonts w:ascii="Palatino Linotype" w:eastAsia="MS Mincho" w:hAnsi="Palatino Linotype"/>
          <w:color w:val="000000"/>
          <w:lang w:val="es-ES_tradnl"/>
        </w:rPr>
        <w:t xml:space="preserve"> de dos mil veintidós</w:t>
      </w:r>
      <w:r w:rsidR="00771BF2" w:rsidRPr="008D7E30">
        <w:rPr>
          <w:rFonts w:ascii="Palatino Linotype" w:eastAsia="MS Mincho" w:hAnsi="Palatino Linotype"/>
          <w:color w:val="000000"/>
          <w:lang w:val="es-ES_tradnl"/>
        </w:rPr>
        <w:t>, como se ilustra a continuación:</w:t>
      </w:r>
      <w:r w:rsidR="00BE6825" w:rsidRPr="008D7E30">
        <w:rPr>
          <w:rFonts w:ascii="Palatino Linotype" w:hAnsi="Palatino Linotype"/>
          <w:noProof/>
          <w:lang w:val="es-MX" w:eastAsia="en-US"/>
        </w:rPr>
        <w:t xml:space="preserve"> </w:t>
      </w:r>
    </w:p>
    <w:p w14:paraId="38A271C0" w14:textId="6E95ADBC" w:rsidR="0009072B" w:rsidRPr="008D7E30" w:rsidRDefault="008D7E30" w:rsidP="00011DB2">
      <w:pPr>
        <w:spacing w:before="240" w:after="240" w:line="360" w:lineRule="auto"/>
        <w:ind w:right="49"/>
        <w:contextualSpacing/>
        <w:jc w:val="center"/>
        <w:rPr>
          <w:rFonts w:ascii="Palatino Linotype" w:eastAsia="MS Mincho" w:hAnsi="Palatino Linotype"/>
          <w:color w:val="000000"/>
          <w:lang w:val="es-ES_tradnl"/>
        </w:rPr>
      </w:pPr>
      <w:r w:rsidRPr="008D7E30">
        <w:rPr>
          <w:noProof/>
          <w:lang w:val="es-MX" w:eastAsia="es-MX"/>
        </w:rPr>
        <w:drawing>
          <wp:inline distT="0" distB="0" distL="0" distR="0" wp14:anchorId="273A0B16" wp14:editId="5FB087E6">
            <wp:extent cx="5642032" cy="33242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4115" t="28063" r="34487" b="39046"/>
                    <a:stretch/>
                  </pic:blipFill>
                  <pic:spPr bwMode="auto">
                    <a:xfrm>
                      <a:off x="0" y="0"/>
                      <a:ext cx="5651221" cy="3329639"/>
                    </a:xfrm>
                    <a:prstGeom prst="rect">
                      <a:avLst/>
                    </a:prstGeom>
                    <a:ln>
                      <a:noFill/>
                    </a:ln>
                    <a:extLst>
                      <a:ext uri="{53640926-AAD7-44D8-BBD7-CCE9431645EC}">
                        <a14:shadowObscured xmlns:a14="http://schemas.microsoft.com/office/drawing/2010/main"/>
                      </a:ext>
                    </a:extLst>
                  </pic:spPr>
                </pic:pic>
              </a:graphicData>
            </a:graphic>
          </wp:inline>
        </w:drawing>
      </w:r>
    </w:p>
    <w:p w14:paraId="44F6947D" w14:textId="77777777" w:rsidR="00011DB2" w:rsidRPr="008D7E30" w:rsidRDefault="00011DB2" w:rsidP="00011DB2">
      <w:pPr>
        <w:spacing w:before="240" w:after="240" w:line="360" w:lineRule="auto"/>
        <w:ind w:right="49"/>
        <w:contextualSpacing/>
        <w:jc w:val="center"/>
        <w:rPr>
          <w:rFonts w:ascii="Palatino Linotype" w:eastAsia="MS Mincho" w:hAnsi="Palatino Linotype"/>
          <w:color w:val="000000"/>
          <w:lang w:val="es-ES_tradnl"/>
        </w:rPr>
      </w:pPr>
    </w:p>
    <w:p w14:paraId="6D1D106D" w14:textId="3D04A642" w:rsidR="00771BF2" w:rsidRPr="008D7E30" w:rsidRDefault="00771BF2" w:rsidP="00D41715">
      <w:pPr>
        <w:numPr>
          <w:ilvl w:val="0"/>
          <w:numId w:val="29"/>
        </w:numPr>
        <w:tabs>
          <w:tab w:val="left" w:pos="426"/>
        </w:tabs>
        <w:spacing w:before="240" w:after="240" w:line="360" w:lineRule="auto"/>
        <w:ind w:left="0" w:right="49" w:firstLine="0"/>
        <w:contextualSpacing/>
        <w:jc w:val="both"/>
        <w:rPr>
          <w:rFonts w:ascii="Palatino Linotype" w:eastAsia="MS Mincho" w:hAnsi="Palatino Linotype"/>
          <w:color w:val="000000"/>
          <w:lang w:val="es-ES_tradnl"/>
        </w:rPr>
      </w:pPr>
      <w:r w:rsidRPr="008D7E30">
        <w:rPr>
          <w:rFonts w:ascii="Palatino Linotype" w:eastAsia="MS Mincho" w:hAnsi="Palatino Linotype"/>
          <w:color w:val="000000"/>
          <w:lang w:val="es-ES_tradnl"/>
        </w:rPr>
        <w:t xml:space="preserve">De las imágenes insertas, </w:t>
      </w:r>
      <w:r w:rsidR="00011DB2" w:rsidRPr="008D7E30">
        <w:rPr>
          <w:rFonts w:ascii="Palatino Linotype" w:eastAsia="MS Mincho" w:hAnsi="Palatino Linotype"/>
          <w:color w:val="000000"/>
          <w:lang w:val="es-ES_tradnl"/>
        </w:rPr>
        <w:t>se advierte que efectivamente la</w:t>
      </w:r>
      <w:r w:rsidRPr="008D7E30">
        <w:rPr>
          <w:rFonts w:ascii="Palatino Linotype" w:eastAsia="MS Mincho" w:hAnsi="Palatino Linotype"/>
          <w:color w:val="000000"/>
          <w:lang w:val="es-ES_tradnl"/>
        </w:rPr>
        <w:t xml:space="preserve"> particular hizo uso de la opción </w:t>
      </w:r>
      <w:r w:rsidRPr="008D7E30">
        <w:rPr>
          <w:rFonts w:ascii="Palatino Linotype" w:eastAsia="MS Mincho" w:hAnsi="Palatino Linotype"/>
          <w:b/>
          <w:i/>
          <w:color w:val="000000"/>
          <w:lang w:val="es-ES_tradnl"/>
        </w:rPr>
        <w:t>“Desistir”</w:t>
      </w:r>
      <w:r w:rsidRPr="008D7E30">
        <w:rPr>
          <w:rFonts w:ascii="Palatino Linotype" w:eastAsia="MS Mincho" w:hAnsi="Palatino Linotype"/>
          <w:color w:val="000000"/>
          <w:lang w:val="es-ES_tradnl"/>
        </w:rPr>
        <w:t xml:space="preserve"> al recurso de revisión en el SAIMEX, opción que </w:t>
      </w:r>
      <w:r w:rsidRPr="008D7E30">
        <w:rPr>
          <w:rFonts w:ascii="Palatino Linotype" w:eastAsia="MS Mincho" w:hAnsi="Palatino Linotype"/>
          <w:b/>
          <w:color w:val="000000"/>
          <w:u w:val="single"/>
          <w:lang w:val="es-ES_tradnl"/>
        </w:rPr>
        <w:t>ÚNICAMENTE</w:t>
      </w:r>
      <w:r w:rsidRPr="008D7E30">
        <w:rPr>
          <w:rFonts w:ascii="Palatino Linotype" w:eastAsia="MS Mincho" w:hAnsi="Palatino Linotype"/>
          <w:color w:val="000000"/>
          <w:lang w:val="es-ES_tradnl"/>
        </w:rPr>
        <w:t xml:space="preserve"> puede hacer uso el usuario dueño de la cuenta, previo ingreso de su nombre de usuario y contra</w:t>
      </w:r>
      <w:r w:rsidR="00CE1614" w:rsidRPr="008D7E30">
        <w:rPr>
          <w:rFonts w:ascii="Palatino Linotype" w:eastAsia="MS Mincho" w:hAnsi="Palatino Linotype"/>
          <w:color w:val="000000"/>
          <w:lang w:val="es-ES_tradnl"/>
        </w:rPr>
        <w:t>seña</w:t>
      </w:r>
      <w:r w:rsidRPr="008D7E30">
        <w:rPr>
          <w:rFonts w:ascii="Palatino Linotype" w:eastAsia="MS Mincho" w:hAnsi="Palatino Linotype"/>
          <w:color w:val="000000"/>
          <w:lang w:val="es-ES_tradnl"/>
        </w:rPr>
        <w:t xml:space="preserve">, lo cual manifiesta la exteriorización de un pronunciamiento personal, imposible de ser escrito de manera automatizada; así las cosas, cabe resaltar de igual manera que, al seleccionar la opción de </w:t>
      </w:r>
      <w:r w:rsidRPr="008D7E30">
        <w:rPr>
          <w:rFonts w:ascii="Palatino Linotype" w:eastAsia="MS Mincho" w:hAnsi="Palatino Linotype"/>
          <w:b/>
          <w:color w:val="000000"/>
          <w:lang w:val="es-ES_tradnl"/>
        </w:rPr>
        <w:t>desistimiento</w:t>
      </w:r>
      <w:r w:rsidRPr="008D7E30">
        <w:rPr>
          <w:rFonts w:ascii="Palatino Linotype" w:eastAsia="MS Mincho" w:hAnsi="Palatino Linotype"/>
          <w:color w:val="000000"/>
          <w:lang w:val="es-ES_tradnl"/>
        </w:rPr>
        <w:t xml:space="preserve">, aparece al usuario una ventana de alerta con el objeto de que confirme que efectivamente es su deseo </w:t>
      </w:r>
      <w:r w:rsidRPr="008D7E30">
        <w:rPr>
          <w:rFonts w:ascii="Palatino Linotype" w:eastAsia="MS Mincho" w:hAnsi="Palatino Linotype"/>
          <w:b/>
          <w:color w:val="000000"/>
          <w:lang w:val="es-ES_tradnl"/>
        </w:rPr>
        <w:t>desistirse</w:t>
      </w:r>
      <w:r w:rsidRPr="008D7E30">
        <w:rPr>
          <w:rFonts w:ascii="Palatino Linotype" w:eastAsia="MS Mincho" w:hAnsi="Palatino Linotype"/>
          <w:color w:val="000000"/>
          <w:lang w:val="es-ES_tradnl"/>
        </w:rPr>
        <w:t xml:space="preserve"> del recurso; </w:t>
      </w:r>
      <w:r w:rsidRPr="008D7E30">
        <w:rPr>
          <w:rFonts w:ascii="Palatino Linotype" w:eastAsia="MS Mincho" w:hAnsi="Palatino Linotype"/>
          <w:b/>
          <w:color w:val="000000"/>
          <w:lang w:val="es-ES_tradnl"/>
        </w:rPr>
        <w:t xml:space="preserve">luego entonces no ha lugar </w:t>
      </w:r>
      <w:r w:rsidRPr="008D7E30">
        <w:rPr>
          <w:rFonts w:ascii="Palatino Linotype" w:eastAsia="MS Mincho" w:hAnsi="Palatino Linotype"/>
          <w:b/>
          <w:color w:val="000000"/>
          <w:lang w:val="es-ES_tradnl"/>
        </w:rPr>
        <w:lastRenderedPageBreak/>
        <w:t>suponer que fue por error involuntario, lo que se constituye como un desistimiento expreso</w:t>
      </w:r>
      <w:r w:rsidRPr="008D7E30">
        <w:rPr>
          <w:rFonts w:ascii="Palatino Linotype" w:eastAsia="MS Mincho" w:hAnsi="Palatino Linotype"/>
          <w:color w:val="000000"/>
          <w:lang w:val="es-ES_tradnl"/>
        </w:rPr>
        <w:t>.</w:t>
      </w:r>
    </w:p>
    <w:p w14:paraId="0F0C0A88" w14:textId="77777777" w:rsidR="00771BF2" w:rsidRPr="008D7E30" w:rsidRDefault="00771BF2" w:rsidP="00CA6269">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5BFCAA4B" w14:textId="32CBF76F" w:rsidR="00771BF2" w:rsidRPr="008D7E30" w:rsidRDefault="00771BF2" w:rsidP="00D41715">
      <w:pPr>
        <w:numPr>
          <w:ilvl w:val="0"/>
          <w:numId w:val="29"/>
        </w:numPr>
        <w:tabs>
          <w:tab w:val="left" w:pos="426"/>
        </w:tabs>
        <w:spacing w:before="240" w:after="240" w:line="360" w:lineRule="auto"/>
        <w:ind w:left="0" w:right="49" w:firstLine="0"/>
        <w:contextualSpacing/>
        <w:jc w:val="both"/>
        <w:rPr>
          <w:rFonts w:ascii="Palatino Linotype" w:eastAsia="MS Mincho" w:hAnsi="Palatino Linotype"/>
          <w:color w:val="000000"/>
          <w:lang w:val="es-ES_tradnl"/>
        </w:rPr>
      </w:pPr>
      <w:r w:rsidRPr="008D7E30">
        <w:rPr>
          <w:rFonts w:ascii="Palatino Linotype" w:eastAsia="MS Mincho" w:hAnsi="Palatino Linotype"/>
          <w:color w:val="000000"/>
          <w:lang w:val="es-ES_tradnl"/>
        </w:rPr>
        <w:t>En ese orden de ideas el art</w:t>
      </w:r>
      <w:r w:rsidR="001A1FE0" w:rsidRPr="008D7E30">
        <w:rPr>
          <w:rFonts w:ascii="Palatino Linotype" w:eastAsia="MS Mincho" w:hAnsi="Palatino Linotype"/>
          <w:color w:val="000000"/>
          <w:lang w:val="es-ES_tradnl"/>
        </w:rPr>
        <w:t>í</w:t>
      </w:r>
      <w:r w:rsidRPr="008D7E30">
        <w:rPr>
          <w:rFonts w:ascii="Palatino Linotype" w:eastAsia="MS Mincho" w:hAnsi="Palatino Linotype"/>
          <w:color w:val="000000"/>
          <w:lang w:val="es-ES_tradnl"/>
        </w:rPr>
        <w:t>culo 192</w:t>
      </w:r>
      <w:r w:rsidR="001A1FE0" w:rsidRPr="008D7E30">
        <w:rPr>
          <w:rFonts w:ascii="Palatino Linotype" w:eastAsia="MS Mincho" w:hAnsi="Palatino Linotype"/>
          <w:color w:val="000000"/>
          <w:lang w:val="es-ES_tradnl"/>
        </w:rPr>
        <w:t xml:space="preserve"> fracción I de la </w:t>
      </w:r>
      <w:r w:rsidRPr="008D7E30">
        <w:rPr>
          <w:rFonts w:ascii="Palatino Linotype" w:eastAsiaTheme="minorEastAsia" w:hAnsi="Palatino Linotype" w:cstheme="minorBidi"/>
          <w:lang w:val="es-ES_tradnl"/>
        </w:rPr>
        <w:t xml:space="preserve"> </w:t>
      </w:r>
      <w:r w:rsidRPr="008D7E30">
        <w:rPr>
          <w:rFonts w:ascii="Palatino Linotype" w:eastAsia="MS Mincho" w:hAnsi="Palatino Linotype"/>
          <w:color w:val="000000"/>
          <w:lang w:val="es-ES_tradnl"/>
        </w:rPr>
        <w:t>Ley de Transparencia y Acceso a la Información Pública del Estado de México y Municipios, establece lo siguiente:</w:t>
      </w:r>
    </w:p>
    <w:p w14:paraId="071DE381" w14:textId="77777777" w:rsidR="00771BF2" w:rsidRPr="008D7E30" w:rsidRDefault="00771BF2" w:rsidP="00CA6269">
      <w:pPr>
        <w:spacing w:line="360" w:lineRule="auto"/>
        <w:ind w:left="720"/>
        <w:contextualSpacing/>
        <w:rPr>
          <w:rFonts w:ascii="Palatino Linotype" w:eastAsia="MS Mincho" w:hAnsi="Palatino Linotype"/>
          <w:color w:val="000000"/>
          <w:lang w:val="es-ES_tradnl"/>
        </w:rPr>
      </w:pPr>
    </w:p>
    <w:p w14:paraId="20AD80B1" w14:textId="77777777" w:rsidR="00771BF2" w:rsidRPr="008D7E30" w:rsidRDefault="00771BF2" w:rsidP="00CA6269">
      <w:pPr>
        <w:spacing w:before="240" w:after="240" w:line="360" w:lineRule="auto"/>
        <w:ind w:left="567" w:right="567"/>
        <w:contextualSpacing/>
        <w:jc w:val="both"/>
        <w:rPr>
          <w:rFonts w:ascii="Palatino Linotype" w:eastAsia="MS Mincho" w:hAnsi="Palatino Linotype"/>
          <w:i/>
          <w:color w:val="000000"/>
          <w:lang w:val="es-ES_tradnl"/>
        </w:rPr>
      </w:pPr>
      <w:r w:rsidRPr="008D7E30">
        <w:rPr>
          <w:rFonts w:ascii="Palatino Linotype" w:eastAsia="MS Mincho" w:hAnsi="Palatino Linotype"/>
          <w:i/>
          <w:color w:val="000000"/>
          <w:lang w:val="es-ES_tradnl"/>
        </w:rPr>
        <w:t>“</w:t>
      </w:r>
      <w:r w:rsidRPr="008D7E30">
        <w:rPr>
          <w:rFonts w:ascii="Palatino Linotype" w:eastAsia="MS Mincho" w:hAnsi="Palatino Linotype"/>
          <w:b/>
          <w:i/>
          <w:color w:val="000000"/>
          <w:lang w:val="es-ES_tradnl"/>
        </w:rPr>
        <w:t>Artículo 192.</w:t>
      </w:r>
      <w:r w:rsidRPr="008D7E30">
        <w:rPr>
          <w:rFonts w:ascii="Palatino Linotype" w:eastAsia="MS Mincho" w:hAnsi="Palatino Linotype"/>
          <w:i/>
          <w:color w:val="000000"/>
          <w:lang w:val="es-ES_tradnl"/>
        </w:rPr>
        <w:t xml:space="preserve"> El recurso será sobreseído, en todo o en parte, cuando una vez admitido, se actualicen alguno de los siguientes supuestos:</w:t>
      </w:r>
    </w:p>
    <w:p w14:paraId="582DCB4A" w14:textId="77777777" w:rsidR="0009072B" w:rsidRPr="008D7E30" w:rsidRDefault="0009072B" w:rsidP="00CA6269">
      <w:pPr>
        <w:spacing w:before="240" w:after="240" w:line="360" w:lineRule="auto"/>
        <w:ind w:left="567" w:right="567"/>
        <w:contextualSpacing/>
        <w:jc w:val="both"/>
        <w:rPr>
          <w:rFonts w:ascii="Palatino Linotype" w:eastAsia="MS Mincho" w:hAnsi="Palatino Linotype"/>
          <w:i/>
          <w:color w:val="000000"/>
          <w:lang w:val="es-ES_tradnl"/>
        </w:rPr>
      </w:pPr>
    </w:p>
    <w:p w14:paraId="3B2EBBF3" w14:textId="77777777" w:rsidR="00771BF2" w:rsidRPr="008D7E30" w:rsidRDefault="00771BF2" w:rsidP="00CA6269">
      <w:pPr>
        <w:spacing w:before="240" w:after="240" w:line="360" w:lineRule="auto"/>
        <w:ind w:left="567" w:right="567"/>
        <w:contextualSpacing/>
        <w:jc w:val="both"/>
        <w:rPr>
          <w:rFonts w:ascii="Palatino Linotype" w:eastAsia="MS Mincho" w:hAnsi="Palatino Linotype"/>
          <w:i/>
          <w:color w:val="000000"/>
          <w:lang w:val="es-ES_tradnl"/>
        </w:rPr>
      </w:pPr>
      <w:r w:rsidRPr="008D7E30">
        <w:rPr>
          <w:rFonts w:ascii="Palatino Linotype" w:eastAsia="MS Mincho" w:hAnsi="Palatino Linotype"/>
          <w:b/>
          <w:i/>
          <w:color w:val="000000"/>
          <w:lang w:val="es-ES_tradnl"/>
        </w:rPr>
        <w:t>I.</w:t>
      </w:r>
      <w:r w:rsidRPr="008D7E30">
        <w:rPr>
          <w:rFonts w:ascii="Palatino Linotype" w:eastAsia="MS Mincho" w:hAnsi="Palatino Linotype"/>
          <w:i/>
          <w:color w:val="000000"/>
          <w:lang w:val="es-ES_tradnl"/>
        </w:rPr>
        <w:t xml:space="preserve"> El recurrente se desista expresamente del recurso;</w:t>
      </w:r>
    </w:p>
    <w:p w14:paraId="0AED3538" w14:textId="77777777" w:rsidR="00771BF2" w:rsidRPr="008D7E30" w:rsidRDefault="00771BF2" w:rsidP="00CA6269">
      <w:pPr>
        <w:spacing w:before="240" w:after="240" w:line="360" w:lineRule="auto"/>
        <w:ind w:left="567" w:right="567"/>
        <w:contextualSpacing/>
        <w:jc w:val="both"/>
        <w:rPr>
          <w:rFonts w:ascii="Palatino Linotype" w:eastAsia="MS Mincho" w:hAnsi="Palatino Linotype"/>
          <w:i/>
          <w:color w:val="000000"/>
          <w:lang w:val="es-ES_tradnl"/>
        </w:rPr>
      </w:pPr>
      <w:r w:rsidRPr="008D7E30">
        <w:rPr>
          <w:rFonts w:ascii="Palatino Linotype" w:eastAsia="MS Mincho" w:hAnsi="Palatino Linotype"/>
          <w:i/>
          <w:color w:val="000000"/>
          <w:lang w:val="es-ES_tradnl"/>
        </w:rPr>
        <w:t>(…)”</w:t>
      </w:r>
    </w:p>
    <w:p w14:paraId="491F53F3" w14:textId="77777777" w:rsidR="00771BF2" w:rsidRPr="008D7E30" w:rsidRDefault="00771BF2" w:rsidP="00CA6269">
      <w:pPr>
        <w:spacing w:before="240" w:after="240" w:line="360" w:lineRule="auto"/>
        <w:ind w:left="426" w:right="49"/>
        <w:contextualSpacing/>
        <w:jc w:val="both"/>
        <w:rPr>
          <w:rFonts w:ascii="Palatino Linotype" w:eastAsia="MS Mincho" w:hAnsi="Palatino Linotype"/>
          <w:color w:val="000000"/>
          <w:lang w:val="es-ES_tradnl"/>
        </w:rPr>
      </w:pPr>
    </w:p>
    <w:p w14:paraId="51E46A5E" w14:textId="77777777" w:rsidR="00771BF2" w:rsidRPr="008D7E30" w:rsidRDefault="00771BF2" w:rsidP="00D41715">
      <w:pPr>
        <w:numPr>
          <w:ilvl w:val="0"/>
          <w:numId w:val="29"/>
        </w:numPr>
        <w:tabs>
          <w:tab w:val="left" w:pos="426"/>
        </w:tabs>
        <w:spacing w:before="240" w:after="240" w:line="360" w:lineRule="auto"/>
        <w:ind w:left="0" w:right="49" w:firstLine="0"/>
        <w:contextualSpacing/>
        <w:jc w:val="both"/>
        <w:rPr>
          <w:rFonts w:ascii="Palatino Linotype" w:eastAsia="MS Mincho" w:hAnsi="Palatino Linotype"/>
          <w:color w:val="000000"/>
          <w:lang w:val="es-ES_tradnl"/>
        </w:rPr>
      </w:pPr>
      <w:r w:rsidRPr="008D7E30">
        <w:rPr>
          <w:rFonts w:ascii="Palatino Linotype" w:eastAsia="MS Mincho" w:hAnsi="Palatino Linotype"/>
          <w:color w:val="000000"/>
          <w:lang w:val="es-ES_tradnl"/>
        </w:rPr>
        <w:t>Robustece lo anterior la tesis aislada I.15o.T.2 K (10a.), del Décimo Quinto Tribunal Colegiado en Materia de Trabajo del Primer Circuito, misma que se anexa a continuación:</w:t>
      </w:r>
    </w:p>
    <w:p w14:paraId="42D170DD" w14:textId="77777777" w:rsidR="00771BF2" w:rsidRPr="008D7E30" w:rsidRDefault="00771BF2" w:rsidP="00CA6269">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77E3AA85" w14:textId="77777777" w:rsidR="00771BF2" w:rsidRPr="008D7E30" w:rsidRDefault="00771BF2" w:rsidP="00CA6269">
      <w:pPr>
        <w:spacing w:line="360" w:lineRule="auto"/>
        <w:ind w:left="567" w:right="567"/>
        <w:jc w:val="both"/>
        <w:rPr>
          <w:rFonts w:ascii="Palatino Linotype" w:eastAsiaTheme="minorEastAsia" w:hAnsi="Palatino Linotype" w:cstheme="minorBidi"/>
          <w:i/>
          <w:lang w:val="es-ES_tradnl"/>
        </w:rPr>
      </w:pPr>
      <w:r w:rsidRPr="008D7E30">
        <w:rPr>
          <w:rFonts w:ascii="Palatino Linotype" w:eastAsiaTheme="minorEastAsia" w:hAnsi="Palatino Linotype" w:cstheme="minorBidi"/>
          <w:b/>
          <w:i/>
          <w:lang w:val="es-ES_tradnl"/>
        </w:rPr>
        <w:t>DESISTIMIENTO DEL RECURSO DE REVISIÓN EN AMPARO INDIRECTO. ES INNECESARIO QUE SE RATIFIQUE EL ESCRITO CORRESPONDIENTE, CUANDO SU REQUERIMIENTO SE NOTIFICÓ PERSONALMENTE.</w:t>
      </w:r>
      <w:r w:rsidRPr="008D7E30">
        <w:rPr>
          <w:rFonts w:ascii="Palatino Linotype" w:eastAsiaTheme="minorEastAsia" w:hAnsi="Palatino Linotype" w:cstheme="minorBidi"/>
          <w:i/>
          <w:lang w:val="es-ES_tradnl"/>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w:t>
      </w:r>
      <w:r w:rsidRPr="008D7E30">
        <w:rPr>
          <w:rFonts w:ascii="Palatino Linotype" w:eastAsiaTheme="minorEastAsia" w:hAnsi="Palatino Linotype" w:cstheme="minorBidi"/>
          <w:i/>
          <w:lang w:val="es-ES_tradnl"/>
        </w:rPr>
        <w:lastRenderedPageBreak/>
        <w:t>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11888AB2" w14:textId="67DF1189" w:rsidR="007F7B11" w:rsidRPr="008D7E30" w:rsidRDefault="007F7B11" w:rsidP="00CA6269">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73A7F6DD" w14:textId="2FA14FE8" w:rsidR="00AC3F44" w:rsidRPr="008D7E30" w:rsidRDefault="00AC3F44" w:rsidP="00CA6269">
      <w:pPr>
        <w:keepNext/>
        <w:keepLines/>
        <w:suppressAutoHyphens/>
        <w:spacing w:before="240" w:line="360" w:lineRule="auto"/>
        <w:outlineLvl w:val="0"/>
        <w:rPr>
          <w:rFonts w:ascii="Palatino Linotype" w:hAnsi="Palatino Linotype"/>
          <w:b/>
          <w:color w:val="000000"/>
        </w:rPr>
      </w:pPr>
      <w:bookmarkStart w:id="59" w:name="_Toc96549905"/>
      <w:r w:rsidRPr="008D7E30">
        <w:rPr>
          <w:rFonts w:ascii="Palatino Linotype" w:hAnsi="Palatino Linotype"/>
          <w:b/>
          <w:color w:val="000000"/>
        </w:rPr>
        <w:t>CUARTO. De la decisión.</w:t>
      </w:r>
      <w:bookmarkEnd w:id="59"/>
      <w:r w:rsidRPr="008D7E30">
        <w:rPr>
          <w:rFonts w:ascii="Palatino Linotype" w:hAnsi="Palatino Linotype"/>
          <w:b/>
          <w:color w:val="000000"/>
        </w:rPr>
        <w:t xml:space="preserve"> </w:t>
      </w:r>
    </w:p>
    <w:p w14:paraId="2E062B65" w14:textId="0C2D13EE" w:rsidR="00AC3F44" w:rsidRPr="008D7E30" w:rsidRDefault="00AC3F44" w:rsidP="00D41715">
      <w:pPr>
        <w:pStyle w:val="Prrafodelista"/>
        <w:numPr>
          <w:ilvl w:val="0"/>
          <w:numId w:val="29"/>
        </w:numPr>
        <w:suppressAutoHyphens/>
        <w:spacing w:before="240" w:after="240" w:line="360" w:lineRule="auto"/>
        <w:ind w:left="0" w:right="49" w:firstLine="0"/>
        <w:contextualSpacing/>
        <w:jc w:val="both"/>
        <w:rPr>
          <w:rFonts w:ascii="Palatino Linotype" w:hAnsi="Palatino Linotype" w:cs="Arial"/>
          <w:lang w:val="es-MX" w:eastAsia="es-ES_tradnl"/>
        </w:rPr>
      </w:pPr>
      <w:r w:rsidRPr="008D7E30">
        <w:rPr>
          <w:rFonts w:ascii="Palatino Linotype" w:hAnsi="Palatino Linotype" w:cs="Tahoma"/>
          <w:lang w:val="es-MX"/>
        </w:rPr>
        <w:t xml:space="preserve">Con base en todo lo expuesto, y toda vez que no se atendió la solicitud de información, con fundamento en el artículo 186, fracción I, en relación con la fracción I del artículo 192 de la Ley de Transparencia y Acceso a la Información Pública del Estado de México y Municipios, este Instituto considera procedente </w:t>
      </w:r>
      <w:r w:rsidRPr="008D7E30">
        <w:rPr>
          <w:rFonts w:ascii="Palatino Linotype" w:hAnsi="Palatino Linotype" w:cs="Tahoma"/>
          <w:b/>
          <w:lang w:val="es-MX"/>
        </w:rPr>
        <w:t xml:space="preserve">SOBRESEER </w:t>
      </w:r>
      <w:r w:rsidRPr="008D7E30">
        <w:rPr>
          <w:rFonts w:ascii="Palatino Linotype" w:hAnsi="Palatino Linotype" w:cs="Tahoma"/>
          <w:lang w:val="es-MX"/>
        </w:rPr>
        <w:t>el presente recurso de revisión.</w:t>
      </w:r>
      <w:r w:rsidRPr="008D7E30">
        <w:rPr>
          <w:rFonts w:ascii="Palatino Linotype" w:hAnsi="Palatino Linotype" w:cs="Tahoma"/>
          <w:b/>
          <w:lang w:val="es-MX"/>
        </w:rPr>
        <w:t xml:space="preserve"> </w:t>
      </w:r>
    </w:p>
    <w:p w14:paraId="4B94FF77" w14:textId="48317E76" w:rsidR="00AC3F44" w:rsidRPr="008D7E30" w:rsidRDefault="00AC3F44" w:rsidP="00D41715">
      <w:pPr>
        <w:numPr>
          <w:ilvl w:val="0"/>
          <w:numId w:val="29"/>
        </w:numPr>
        <w:tabs>
          <w:tab w:val="left" w:pos="426"/>
        </w:tabs>
        <w:suppressAutoHyphens/>
        <w:spacing w:after="120" w:line="360" w:lineRule="auto"/>
        <w:ind w:left="0" w:right="49" w:firstLine="0"/>
        <w:jc w:val="both"/>
        <w:rPr>
          <w:rFonts w:ascii="Palatino Linotype" w:hAnsi="Palatino Linotype" w:cs="Arial"/>
          <w:color w:val="000000"/>
          <w:lang w:val="es-ES_tradnl"/>
        </w:rPr>
      </w:pPr>
      <w:r w:rsidRPr="008D7E30">
        <w:rPr>
          <w:rFonts w:ascii="Palatino Linotype" w:hAnsi="Palatino Linotype" w:cs="Arial"/>
          <w:color w:val="000000"/>
          <w:lang w:val="es-ES_tradnl"/>
        </w:rPr>
        <w:t xml:space="preserve">Por lo anteriormente expuesto y fundado, este </w:t>
      </w:r>
      <w:r w:rsidRPr="008D7E30">
        <w:rPr>
          <w:rFonts w:ascii="Palatino Linotype" w:hAnsi="Palatino Linotype" w:cs="Arial"/>
          <w:b/>
          <w:color w:val="000000"/>
          <w:lang w:val="es-ES_tradnl"/>
        </w:rPr>
        <w:t>ÓRGANO GARANTE</w:t>
      </w:r>
      <w:r w:rsidRPr="008D7E30">
        <w:rPr>
          <w:rFonts w:ascii="Palatino Linotype" w:hAnsi="Palatino Linotype" w:cs="Arial"/>
          <w:color w:val="000000"/>
          <w:lang w:val="es-ES_tradnl"/>
        </w:rPr>
        <w:t xml:space="preserve"> emite los siguientes: -----------------------------------------------------------------------------------------------</w:t>
      </w:r>
    </w:p>
    <w:p w14:paraId="45E9BD5D" w14:textId="578B6B80" w:rsidR="00AC3F44" w:rsidRPr="008D7E30" w:rsidRDefault="007F7B11" w:rsidP="00CA6269">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60" w:name="_Toc96549906"/>
      <w:r w:rsidRPr="008D7E30">
        <w:rPr>
          <w:rFonts w:ascii="Palatino Linotype" w:eastAsiaTheme="majorEastAsia" w:hAnsi="Palatino Linotype" w:cstheme="majorBidi"/>
          <w:b/>
          <w:color w:val="000000" w:themeColor="text1"/>
          <w:lang w:val="es-MX" w:eastAsia="en-US"/>
        </w:rPr>
        <w:t>R E S O L U T I V O S</w:t>
      </w:r>
      <w:bookmarkEnd w:id="55"/>
      <w:bookmarkEnd w:id="56"/>
      <w:bookmarkEnd w:id="57"/>
      <w:bookmarkEnd w:id="58"/>
      <w:bookmarkEnd w:id="60"/>
    </w:p>
    <w:p w14:paraId="1AA7E4A5" w14:textId="77777777" w:rsidR="00AC3F44" w:rsidRPr="008D7E30" w:rsidRDefault="00AC3F44" w:rsidP="00CA6269">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p>
    <w:p w14:paraId="6135095F" w14:textId="16862CFE" w:rsidR="007F7B11" w:rsidRPr="008D7E30" w:rsidRDefault="007F7B11" w:rsidP="00CA6269">
      <w:pPr>
        <w:spacing w:line="360" w:lineRule="auto"/>
        <w:jc w:val="both"/>
        <w:rPr>
          <w:rFonts w:ascii="Palatino Linotype" w:eastAsiaTheme="minorEastAsia" w:hAnsi="Palatino Linotype" w:cstheme="minorBidi"/>
          <w:lang w:val="es-ES_tradnl"/>
        </w:rPr>
      </w:pPr>
      <w:r w:rsidRPr="008D7E30">
        <w:rPr>
          <w:rFonts w:ascii="Palatino Linotype" w:eastAsiaTheme="minorEastAsia" w:hAnsi="Palatino Linotype" w:cstheme="minorBidi"/>
          <w:b/>
          <w:lang w:val="es-ES_tradnl"/>
        </w:rPr>
        <w:t>PRIMERO.</w:t>
      </w:r>
      <w:r w:rsidRPr="008D7E30">
        <w:rPr>
          <w:rFonts w:ascii="Palatino Linotype" w:eastAsiaTheme="minorEastAsia" w:hAnsi="Palatino Linotype" w:cstheme="minorBidi"/>
          <w:lang w:val="es-ES_tradnl"/>
        </w:rPr>
        <w:t xml:space="preserve"> Se </w:t>
      </w:r>
      <w:r w:rsidRPr="008D7E30">
        <w:rPr>
          <w:rFonts w:ascii="Palatino Linotype" w:eastAsiaTheme="minorEastAsia" w:hAnsi="Palatino Linotype" w:cstheme="minorBidi"/>
          <w:b/>
          <w:lang w:val="es-ES_tradnl"/>
        </w:rPr>
        <w:t>SOBRESEE</w:t>
      </w:r>
      <w:r w:rsidRPr="008D7E30">
        <w:rPr>
          <w:rFonts w:ascii="Palatino Linotype" w:eastAsiaTheme="minorEastAsia" w:hAnsi="Palatino Linotype" w:cstheme="minorBidi"/>
          <w:lang w:val="es-ES_tradnl"/>
        </w:rPr>
        <w:t xml:space="preserve"> el recurso de revisión número</w:t>
      </w:r>
      <w:r w:rsidR="00B14E65" w:rsidRPr="008D7E30">
        <w:rPr>
          <w:rFonts w:ascii="Palatino Linotype" w:eastAsiaTheme="minorEastAsia" w:hAnsi="Palatino Linotype" w:cstheme="minorBidi"/>
          <w:lang w:val="es-ES_tradnl"/>
        </w:rPr>
        <w:t xml:space="preserve"> </w:t>
      </w:r>
      <w:r w:rsidR="00011DB2" w:rsidRPr="008D7E30">
        <w:rPr>
          <w:rFonts w:ascii="Palatino Linotype" w:eastAsiaTheme="minorEastAsia" w:hAnsi="Palatino Linotype" w:cstheme="minorBidi"/>
          <w:b/>
          <w:lang w:val="es-ES_tradnl"/>
        </w:rPr>
        <w:t>12443/INFOEM/IP/RR/2022</w:t>
      </w:r>
      <w:r w:rsidR="00CE1614" w:rsidRPr="008D7E30">
        <w:rPr>
          <w:rFonts w:ascii="Palatino Linotype" w:eastAsiaTheme="minorEastAsia" w:hAnsi="Palatino Linotype" w:cstheme="minorBidi"/>
          <w:lang w:val="es-ES_tradnl"/>
        </w:rPr>
        <w:t>,</w:t>
      </w:r>
      <w:r w:rsidR="001A1FE0" w:rsidRPr="008D7E30">
        <w:rPr>
          <w:rFonts w:ascii="Palatino Linotype" w:eastAsiaTheme="minorEastAsia" w:hAnsi="Palatino Linotype" w:cstheme="minorBidi"/>
          <w:lang w:val="es-ES_tradnl"/>
        </w:rPr>
        <w:t xml:space="preserve"> con fundamento en el </w:t>
      </w:r>
      <w:r w:rsidR="001A1FE0" w:rsidRPr="008D7E30">
        <w:rPr>
          <w:rFonts w:ascii="Palatino Linotype" w:eastAsia="MS Mincho" w:hAnsi="Palatino Linotype"/>
          <w:color w:val="000000"/>
          <w:lang w:val="es-ES_tradnl"/>
        </w:rPr>
        <w:t xml:space="preserve">artículo 192 fracción I de la </w:t>
      </w:r>
      <w:r w:rsidR="001A1FE0" w:rsidRPr="008D7E30">
        <w:rPr>
          <w:rFonts w:ascii="Palatino Linotype" w:eastAsiaTheme="minorEastAsia" w:hAnsi="Palatino Linotype" w:cstheme="minorBidi"/>
          <w:lang w:val="es-ES_tradnl"/>
        </w:rPr>
        <w:t xml:space="preserve"> </w:t>
      </w:r>
      <w:r w:rsidR="001A1FE0" w:rsidRPr="008D7E30">
        <w:rPr>
          <w:rFonts w:ascii="Palatino Linotype" w:eastAsia="MS Mincho" w:hAnsi="Palatino Linotype"/>
          <w:color w:val="000000"/>
          <w:lang w:val="es-ES_tradnl"/>
        </w:rPr>
        <w:t xml:space="preserve">Ley </w:t>
      </w:r>
      <w:r w:rsidR="001A1FE0" w:rsidRPr="008D7E30">
        <w:rPr>
          <w:rFonts w:ascii="Palatino Linotype" w:eastAsia="MS Mincho" w:hAnsi="Palatino Linotype"/>
          <w:color w:val="000000"/>
          <w:lang w:val="es-ES_tradnl"/>
        </w:rPr>
        <w:lastRenderedPageBreak/>
        <w:t xml:space="preserve">de Transparencia y Acceso a la Información Pública del Estado de México y Municipios, </w:t>
      </w:r>
      <w:r w:rsidR="00CE1614" w:rsidRPr="008D7E30">
        <w:rPr>
          <w:rFonts w:ascii="Palatino Linotype" w:eastAsiaTheme="minorEastAsia" w:hAnsi="Palatino Linotype" w:cstheme="minorBidi"/>
          <w:lang w:val="es-ES_tradnl"/>
        </w:rPr>
        <w:t xml:space="preserve"> </w:t>
      </w:r>
      <w:r w:rsidRPr="008D7E30">
        <w:rPr>
          <w:rFonts w:ascii="Palatino Linotype" w:eastAsiaTheme="minorEastAsia" w:hAnsi="Palatino Linotype" w:cstheme="minorBidi"/>
          <w:b/>
          <w:lang w:val="es-ES_tradnl"/>
        </w:rPr>
        <w:t>por haberse desistido expresamente el</w:t>
      </w:r>
      <w:r w:rsidRPr="008D7E30">
        <w:rPr>
          <w:rFonts w:ascii="Palatino Linotype" w:eastAsiaTheme="minorEastAsia" w:hAnsi="Palatino Linotype" w:cstheme="minorBidi"/>
          <w:lang w:val="es-ES_tradnl"/>
        </w:rPr>
        <w:t xml:space="preserve"> </w:t>
      </w:r>
      <w:r w:rsidRPr="008D7E30">
        <w:rPr>
          <w:rFonts w:ascii="Palatino Linotype" w:eastAsiaTheme="minorEastAsia" w:hAnsi="Palatino Linotype" w:cstheme="minorBidi"/>
          <w:b/>
          <w:lang w:val="es-ES_tradnl"/>
        </w:rPr>
        <w:t>RECURRENTE</w:t>
      </w:r>
      <w:r w:rsidRPr="008D7E30">
        <w:rPr>
          <w:rFonts w:ascii="Palatino Linotype" w:eastAsiaTheme="minorEastAsia" w:hAnsi="Palatino Linotype" w:cstheme="minorBidi"/>
          <w:lang w:val="es-ES_tradnl"/>
        </w:rPr>
        <w:t xml:space="preserve">, en términos del </w:t>
      </w:r>
      <w:r w:rsidRPr="008D7E30">
        <w:rPr>
          <w:rFonts w:ascii="Palatino Linotype" w:eastAsiaTheme="minorEastAsia" w:hAnsi="Palatino Linotype" w:cstheme="minorBidi"/>
          <w:b/>
          <w:lang w:val="es-ES_tradnl"/>
        </w:rPr>
        <w:t>Considerando TERCERO</w:t>
      </w:r>
      <w:r w:rsidRPr="008D7E30">
        <w:rPr>
          <w:rFonts w:ascii="Palatino Linotype" w:eastAsiaTheme="minorEastAsia" w:hAnsi="Palatino Linotype" w:cstheme="minorBidi"/>
          <w:lang w:val="es-ES_tradnl"/>
        </w:rPr>
        <w:t xml:space="preserve"> de la presente resolución.</w:t>
      </w:r>
    </w:p>
    <w:p w14:paraId="4AB56B89" w14:textId="77777777" w:rsidR="007F7B11" w:rsidRPr="008D7E30" w:rsidRDefault="007F7B11" w:rsidP="00CA6269">
      <w:pPr>
        <w:spacing w:line="360" w:lineRule="auto"/>
        <w:jc w:val="both"/>
        <w:rPr>
          <w:rFonts w:ascii="Palatino Linotype" w:eastAsiaTheme="minorEastAsia" w:hAnsi="Palatino Linotype" w:cstheme="minorBidi"/>
          <w:lang w:val="es-ES_tradnl"/>
        </w:rPr>
      </w:pPr>
    </w:p>
    <w:p w14:paraId="2CEB416F" w14:textId="77777777" w:rsidR="007F7B11" w:rsidRPr="008D7E30" w:rsidRDefault="007F7B11" w:rsidP="00CA6269">
      <w:pPr>
        <w:spacing w:line="360" w:lineRule="auto"/>
        <w:jc w:val="both"/>
        <w:rPr>
          <w:rFonts w:ascii="Palatino Linotype" w:eastAsia="Calibri" w:hAnsi="Palatino Linotype" w:cs="Arial"/>
          <w:b/>
          <w:bCs/>
        </w:rPr>
      </w:pPr>
      <w:r w:rsidRPr="008D7E30">
        <w:rPr>
          <w:rFonts w:ascii="Palatino Linotype" w:eastAsia="Calibri" w:hAnsi="Palatino Linotype" w:cs="Arial"/>
          <w:b/>
          <w:bCs/>
        </w:rPr>
        <w:t xml:space="preserve">SEGUNDO. Notifíquese </w:t>
      </w:r>
      <w:r w:rsidRPr="008D7E30">
        <w:rPr>
          <w:rFonts w:ascii="Palatino Linotype" w:eastAsia="Calibri" w:hAnsi="Palatino Linotype" w:cs="Arial"/>
          <w:bCs/>
        </w:rPr>
        <w:t xml:space="preserve">a través del Sistema de Acceso a la Información Mexiquense </w:t>
      </w:r>
      <w:r w:rsidRPr="008D7E30">
        <w:rPr>
          <w:rFonts w:ascii="Palatino Linotype" w:eastAsia="Calibri" w:hAnsi="Palatino Linotype" w:cs="Arial"/>
          <w:b/>
          <w:bCs/>
        </w:rPr>
        <w:t xml:space="preserve">(SAIMEX) </w:t>
      </w:r>
      <w:r w:rsidRPr="008D7E30">
        <w:rPr>
          <w:rFonts w:ascii="Palatino Linotype" w:eastAsia="Calibri" w:hAnsi="Palatino Linotype" w:cs="Arial"/>
          <w:bCs/>
        </w:rPr>
        <w:t>la presente resolución a la Titular de la Unidad de Transparencia del</w:t>
      </w:r>
      <w:r w:rsidRPr="008D7E30">
        <w:rPr>
          <w:rFonts w:ascii="Palatino Linotype" w:eastAsia="Calibri" w:hAnsi="Palatino Linotype" w:cs="Arial"/>
          <w:b/>
          <w:bCs/>
        </w:rPr>
        <w:t xml:space="preserve"> SUJETO OBLIGADO. </w:t>
      </w:r>
    </w:p>
    <w:p w14:paraId="583A10EC" w14:textId="77777777" w:rsidR="007F7B11" w:rsidRPr="008D7E30" w:rsidRDefault="007F7B11" w:rsidP="00CA6269">
      <w:pPr>
        <w:spacing w:line="360" w:lineRule="auto"/>
        <w:jc w:val="both"/>
        <w:rPr>
          <w:rFonts w:ascii="Palatino Linotype" w:eastAsia="Calibri" w:hAnsi="Palatino Linotype" w:cs="Arial"/>
          <w:b/>
          <w:bCs/>
        </w:rPr>
      </w:pPr>
    </w:p>
    <w:p w14:paraId="46A80028" w14:textId="77777777" w:rsidR="007F7B11" w:rsidRPr="008D7E30" w:rsidRDefault="007F7B11" w:rsidP="00CA6269">
      <w:pPr>
        <w:spacing w:line="360" w:lineRule="auto"/>
        <w:jc w:val="both"/>
        <w:rPr>
          <w:rFonts w:ascii="Palatino Linotype" w:hAnsi="Palatino Linotype"/>
          <w:color w:val="222222"/>
          <w:lang w:eastAsia="es-MX"/>
        </w:rPr>
      </w:pPr>
      <w:r w:rsidRPr="008D7E30">
        <w:rPr>
          <w:rFonts w:ascii="Palatino Linotype" w:hAnsi="Palatino Linotype" w:cs="Arial"/>
          <w:b/>
          <w:lang w:val="es-ES_tradnl"/>
        </w:rPr>
        <w:t xml:space="preserve">TERCERO. </w:t>
      </w:r>
      <w:r w:rsidRPr="008D7E30">
        <w:rPr>
          <w:rFonts w:ascii="Palatino Linotype" w:hAnsi="Palatino Linotype"/>
          <w:b/>
          <w:bCs/>
          <w:color w:val="222222"/>
        </w:rPr>
        <w:t xml:space="preserve">Notifíquese </w:t>
      </w:r>
      <w:r w:rsidRPr="008D7E30">
        <w:rPr>
          <w:rFonts w:ascii="Palatino Linotype" w:hAnsi="Palatino Linotype"/>
          <w:bCs/>
          <w:color w:val="222222"/>
        </w:rPr>
        <w:t xml:space="preserve">al </w:t>
      </w:r>
      <w:r w:rsidRPr="008D7E30">
        <w:rPr>
          <w:rFonts w:ascii="Palatino Linotype" w:eastAsiaTheme="minorEastAsia" w:hAnsi="Palatino Linotype" w:cstheme="minorBidi"/>
          <w:b/>
          <w:lang w:val="es-ES_tradnl"/>
        </w:rPr>
        <w:t xml:space="preserve">RECURRENTE </w:t>
      </w:r>
      <w:r w:rsidRPr="008D7E30">
        <w:rPr>
          <w:rFonts w:ascii="Palatino Linotype" w:eastAsia="Calibri" w:hAnsi="Palatino Linotype" w:cs="Arial"/>
          <w:bCs/>
        </w:rPr>
        <w:t xml:space="preserve">a través del Sistema de Acceso a la Información Mexiquense </w:t>
      </w:r>
      <w:r w:rsidRPr="008D7E30">
        <w:rPr>
          <w:rFonts w:ascii="Palatino Linotype" w:eastAsia="Calibri" w:hAnsi="Palatino Linotype" w:cs="Arial"/>
          <w:b/>
          <w:bCs/>
        </w:rPr>
        <w:t xml:space="preserve">(SAIMEX) </w:t>
      </w:r>
      <w:r w:rsidRPr="008D7E30">
        <w:rPr>
          <w:rFonts w:ascii="Palatino Linotype" w:hAnsi="Palatino Linotype"/>
          <w:color w:val="222222"/>
          <w:lang w:eastAsia="es-MX"/>
        </w:rPr>
        <w:t>la presente resolución.</w:t>
      </w:r>
    </w:p>
    <w:p w14:paraId="361AD0E1" w14:textId="77777777" w:rsidR="007F7B11" w:rsidRPr="008D7E30" w:rsidRDefault="007F7B11" w:rsidP="00CA6269">
      <w:pPr>
        <w:spacing w:line="360" w:lineRule="auto"/>
        <w:jc w:val="both"/>
        <w:rPr>
          <w:rFonts w:ascii="Palatino Linotype" w:hAnsi="Palatino Linotype"/>
          <w:color w:val="222222"/>
          <w:lang w:eastAsia="es-MX"/>
        </w:rPr>
      </w:pPr>
    </w:p>
    <w:p w14:paraId="02D48F14" w14:textId="77777777" w:rsidR="00AC3F44" w:rsidRPr="008D7E30" w:rsidRDefault="007F7B11" w:rsidP="00CA6269">
      <w:pPr>
        <w:spacing w:line="360" w:lineRule="auto"/>
        <w:contextualSpacing/>
        <w:jc w:val="both"/>
        <w:rPr>
          <w:rFonts w:ascii="Palatino Linotype" w:eastAsiaTheme="minorEastAsia" w:hAnsi="Palatino Linotype" w:cstheme="minorBidi"/>
        </w:rPr>
      </w:pPr>
      <w:r w:rsidRPr="008D7E30">
        <w:rPr>
          <w:rFonts w:ascii="Palatino Linotype" w:eastAsia="MS Mincho" w:hAnsi="Palatino Linotype"/>
          <w:b/>
          <w:lang w:val="es-MX"/>
        </w:rPr>
        <w:t>CUARTO.</w:t>
      </w:r>
      <w:r w:rsidRPr="008D7E30">
        <w:rPr>
          <w:rFonts w:ascii="Palatino Linotype" w:eastAsia="MS Mincho" w:hAnsi="Palatino Linotype"/>
          <w:lang w:val="es-MX"/>
        </w:rPr>
        <w:t xml:space="preserve"> </w:t>
      </w:r>
      <w:r w:rsidRPr="008D7E30">
        <w:rPr>
          <w:rFonts w:ascii="Palatino Linotype" w:eastAsia="MS Mincho" w:hAnsi="Palatino Linotype"/>
        </w:rPr>
        <w:t xml:space="preserve">Se hace del conocimiento del </w:t>
      </w:r>
      <w:r w:rsidRPr="008D7E30">
        <w:rPr>
          <w:rFonts w:ascii="Palatino Linotype" w:eastAsiaTheme="minorEastAsia" w:hAnsi="Palatino Linotype" w:cstheme="minorBidi"/>
          <w:b/>
          <w:lang w:val="es-ES_tradnl"/>
        </w:rPr>
        <w:t xml:space="preserve">RECURRENTE </w:t>
      </w:r>
      <w:r w:rsidRPr="008D7E30">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D7E30">
        <w:rPr>
          <w:rFonts w:ascii="Palatino Linotype" w:eastAsia="MS Mincho" w:hAnsi="Palatino Linotype"/>
          <w:bCs/>
        </w:rPr>
        <w:t xml:space="preserve">vía juicio de amparo </w:t>
      </w:r>
      <w:r w:rsidRPr="008D7E30">
        <w:rPr>
          <w:rFonts w:ascii="Palatino Linotype" w:eastAsia="MS Mincho" w:hAnsi="Palatino Linotype"/>
        </w:rPr>
        <w:t>en los términos de las leyes aplicables.</w:t>
      </w:r>
    </w:p>
    <w:p w14:paraId="7F69DB28" w14:textId="77777777" w:rsidR="00AC3F44" w:rsidRPr="008D7E30" w:rsidRDefault="00AC3F44" w:rsidP="00CA6269">
      <w:pPr>
        <w:spacing w:line="360" w:lineRule="auto"/>
        <w:contextualSpacing/>
        <w:jc w:val="both"/>
        <w:rPr>
          <w:rFonts w:ascii="Palatino Linotype" w:eastAsiaTheme="minorEastAsia" w:hAnsi="Palatino Linotype" w:cstheme="minorBidi"/>
        </w:rPr>
      </w:pPr>
    </w:p>
    <w:p w14:paraId="12569009" w14:textId="77777777" w:rsidR="00AE2EEF" w:rsidRDefault="00AE2EEF" w:rsidP="00AE2EEF">
      <w:pPr>
        <w:spacing w:before="240" w:after="240" w:line="360" w:lineRule="auto"/>
        <w:jc w:val="both"/>
        <w:rPr>
          <w:rFonts w:ascii="Palatino Linotype" w:hAnsi="Palatino Linotype"/>
        </w:rPr>
      </w:pPr>
      <w:r w:rsidRPr="008D7E3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w:t>
      </w:r>
      <w:r w:rsidRPr="008D7E30">
        <w:rPr>
          <w:rFonts w:ascii="Palatino Linotype" w:hAnsi="Palatino Linotype"/>
        </w:rPr>
        <w:lastRenderedPageBreak/>
        <w:t>CELEBRADA EL DOCE (12) DE OCTUBRE DE DOS MIL VEINTIDÓS, ANTE EL SECRETARIO TÉCNICO DEL PLENO ALEXIS TAPIA RAMÍREZ.</w:t>
      </w:r>
      <w:bookmarkStart w:id="61" w:name="_GoBack"/>
      <w:bookmarkEnd w:id="61"/>
      <w:r w:rsidRPr="00624AAD">
        <w:rPr>
          <w:rFonts w:ascii="Palatino Linotype" w:hAnsi="Palatino Linotype"/>
        </w:rPr>
        <w:t xml:space="preserve"> </w:t>
      </w:r>
    </w:p>
    <w:p w14:paraId="12BBE650" w14:textId="77777777" w:rsidR="007F7B11" w:rsidRPr="00CA6269" w:rsidRDefault="007F7B11" w:rsidP="00CA6269">
      <w:pPr>
        <w:spacing w:before="240" w:after="240" w:line="360" w:lineRule="auto"/>
        <w:ind w:right="49"/>
        <w:jc w:val="both"/>
        <w:rPr>
          <w:rFonts w:ascii="Palatino Linotype" w:eastAsiaTheme="minorEastAsia" w:hAnsi="Palatino Linotype" w:cstheme="minorBidi"/>
          <w:lang w:val="es-ES_tradnl"/>
        </w:rPr>
      </w:pPr>
    </w:p>
    <w:p w14:paraId="4453F8E6" w14:textId="4987DE0A" w:rsidR="00090DE6" w:rsidRPr="00CA6269" w:rsidRDefault="00090DE6" w:rsidP="00CA6269">
      <w:pPr>
        <w:spacing w:line="360" w:lineRule="auto"/>
        <w:rPr>
          <w:rFonts w:ascii="Palatino Linotype" w:hAnsi="Palatino Linotype"/>
        </w:rPr>
      </w:pPr>
    </w:p>
    <w:sectPr w:rsidR="00090DE6" w:rsidRPr="00CA6269" w:rsidSect="009F07F4">
      <w:headerReference w:type="default" r:id="rId15"/>
      <w:footerReference w:type="default" r:id="rId16"/>
      <w:headerReference w:type="first" r:id="rId17"/>
      <w:footerReference w:type="first" r:id="rId1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0621D" w14:textId="77777777" w:rsidR="00EC61DC" w:rsidRDefault="00EC61DC" w:rsidP="00C80F8C">
      <w:r>
        <w:separator/>
      </w:r>
    </w:p>
  </w:endnote>
  <w:endnote w:type="continuationSeparator" w:id="0">
    <w:p w14:paraId="1788C5A1" w14:textId="77777777" w:rsidR="00EC61DC" w:rsidRDefault="00EC61D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0C84CF8" w:rsidR="00A74B28" w:rsidRPr="00817AAB" w:rsidRDefault="00A74B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8D7E30">
      <w:rPr>
        <w:rFonts w:ascii="Palatino Linotype" w:hAnsi="Palatino Linotype" w:cs="Arial"/>
        <w:b/>
        <w:bCs/>
        <w:noProof/>
      </w:rPr>
      <w:t>19</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8D7E30">
      <w:rPr>
        <w:rFonts w:ascii="Palatino Linotype" w:hAnsi="Palatino Linotype" w:cs="Arial"/>
        <w:b/>
        <w:bCs/>
        <w:noProof/>
      </w:rPr>
      <w:t>19</w:t>
    </w:r>
    <w:r w:rsidRPr="00817AAB">
      <w:rPr>
        <w:rFonts w:ascii="Palatino Linotype" w:hAnsi="Palatino Linotype" w:cs="Arial"/>
        <w:b/>
        <w:bCs/>
      </w:rPr>
      <w:fldChar w:fldCharType="end"/>
    </w:r>
  </w:p>
  <w:p w14:paraId="1192A578" w14:textId="77777777" w:rsidR="00A74B28" w:rsidRDefault="00A74B28" w:rsidP="00935A0D">
    <w:pPr>
      <w:pStyle w:val="Piedepgina"/>
      <w:rPr>
        <w:rFonts w:ascii="Times New Roman" w:hAnsi="Times New Roman" w:cs="Times New Roman"/>
      </w:rPr>
    </w:pPr>
  </w:p>
  <w:p w14:paraId="14A770F8" w14:textId="77777777" w:rsidR="00A74B28" w:rsidRDefault="00A74B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8FE0DB9" w:rsidR="00A74B28" w:rsidRDefault="00A74B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D7E3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D7E30">
      <w:rPr>
        <w:rFonts w:ascii="Arial" w:hAnsi="Arial" w:cs="Arial"/>
        <w:b/>
        <w:bCs/>
        <w:noProof/>
        <w:sz w:val="20"/>
        <w:szCs w:val="20"/>
      </w:rPr>
      <w:t>19</w:t>
    </w:r>
    <w:r>
      <w:rPr>
        <w:rFonts w:ascii="Arial" w:hAnsi="Arial" w:cs="Arial"/>
        <w:b/>
        <w:bCs/>
        <w:sz w:val="20"/>
        <w:szCs w:val="20"/>
      </w:rPr>
      <w:fldChar w:fldCharType="end"/>
    </w:r>
  </w:p>
  <w:p w14:paraId="5D98ABD5" w14:textId="77777777" w:rsidR="00A74B28" w:rsidRDefault="00A74B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D65C6" w14:textId="77777777" w:rsidR="00EC61DC" w:rsidRDefault="00EC61DC" w:rsidP="00C80F8C">
      <w:r>
        <w:separator/>
      </w:r>
    </w:p>
  </w:footnote>
  <w:footnote w:type="continuationSeparator" w:id="0">
    <w:p w14:paraId="39519A23" w14:textId="77777777" w:rsidR="00EC61DC" w:rsidRDefault="00EC61D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A74B28" w14:paraId="6B4E3B81" w14:textId="77777777" w:rsidTr="00B4299A">
      <w:tc>
        <w:tcPr>
          <w:tcW w:w="2701" w:type="dxa"/>
          <w:vAlign w:val="center"/>
          <w:hideMark/>
        </w:tcPr>
        <w:p w14:paraId="0ABBC6C0" w14:textId="1226DAAF"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8E8983B" w:rsidR="00A74B28" w:rsidRPr="00B4299A" w:rsidRDefault="00D42571" w:rsidP="006E011A">
          <w:pPr>
            <w:rPr>
              <w:rFonts w:ascii="Palatino Linotype" w:hAnsi="Palatino Linotype"/>
              <w:b/>
              <w:szCs w:val="22"/>
              <w:lang w:val="es-ES_tradnl"/>
            </w:rPr>
          </w:pPr>
          <w:r w:rsidRPr="00D42571">
            <w:rPr>
              <w:rFonts w:ascii="Palatino Linotype" w:hAnsi="Palatino Linotype"/>
              <w:b/>
              <w:szCs w:val="22"/>
              <w:lang w:val="es-ES_tradnl"/>
            </w:rPr>
            <w:t>12443/INFOEM/IP/RR/2022</w:t>
          </w:r>
        </w:p>
      </w:tc>
    </w:tr>
    <w:tr w:rsidR="00A74B28" w14:paraId="31CB780F" w14:textId="77777777" w:rsidTr="00B4299A">
      <w:trPr>
        <w:trHeight w:val="228"/>
      </w:trPr>
      <w:tc>
        <w:tcPr>
          <w:tcW w:w="2701" w:type="dxa"/>
          <w:vAlign w:val="center"/>
          <w:hideMark/>
        </w:tcPr>
        <w:p w14:paraId="4F49CB4A" w14:textId="6966D32E"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043AFE5A" w:rsidR="00A74B28" w:rsidRPr="00B4299A" w:rsidRDefault="00D42571" w:rsidP="00C50711">
          <w:pPr>
            <w:jc w:val="both"/>
            <w:rPr>
              <w:rFonts w:ascii="Palatino Linotype" w:hAnsi="Palatino Linotype"/>
              <w:b/>
              <w:szCs w:val="22"/>
              <w:lang w:val="es-ES_tradnl"/>
            </w:rPr>
          </w:pPr>
          <w:r w:rsidRPr="00D42571">
            <w:rPr>
              <w:rFonts w:ascii="Palatino Linotype" w:hAnsi="Palatino Linotype"/>
              <w:b/>
              <w:bCs/>
              <w:szCs w:val="22"/>
            </w:rPr>
            <w:t>Ayuntamiento de Toluca</w:t>
          </w:r>
        </w:p>
      </w:tc>
    </w:tr>
    <w:tr w:rsidR="00A74B28" w14:paraId="69050F56" w14:textId="77777777" w:rsidTr="00B4299A">
      <w:tc>
        <w:tcPr>
          <w:tcW w:w="2701" w:type="dxa"/>
          <w:vAlign w:val="center"/>
          <w:hideMark/>
        </w:tcPr>
        <w:p w14:paraId="65C9B735" w14:textId="75C78F81" w:rsidR="00A74B28" w:rsidRPr="00B4299A" w:rsidRDefault="00A74B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A74B28" w:rsidRPr="00B4299A" w:rsidRDefault="00A74B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A74B28" w:rsidRDefault="00A74B2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A74B28" w:rsidRDefault="00A74B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A74B28" w:rsidRDefault="00A74B2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A74B28" w14:paraId="477E149B" w14:textId="77777777" w:rsidTr="00CB57FD">
      <w:trPr>
        <w:trHeight w:val="277"/>
      </w:trPr>
      <w:tc>
        <w:tcPr>
          <w:tcW w:w="2693" w:type="dxa"/>
          <w:vAlign w:val="center"/>
          <w:hideMark/>
        </w:tcPr>
        <w:p w14:paraId="5C0586E4" w14:textId="77777777"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824D9B0" w:rsidR="00A74B28" w:rsidRPr="009B3353" w:rsidRDefault="00D42571" w:rsidP="00DE4537">
          <w:pPr>
            <w:rPr>
              <w:rFonts w:ascii="Palatino Linotype" w:hAnsi="Palatino Linotype"/>
              <w:b/>
              <w:szCs w:val="22"/>
              <w:lang w:val="es-ES_tradnl"/>
            </w:rPr>
          </w:pPr>
          <w:r w:rsidRPr="00D42571">
            <w:rPr>
              <w:rFonts w:ascii="Palatino Linotype" w:hAnsi="Palatino Linotype"/>
              <w:b/>
              <w:szCs w:val="22"/>
              <w:lang w:val="es-ES_tradnl"/>
            </w:rPr>
            <w:t>12443/INFOEM/IP/RR/2022</w:t>
          </w:r>
        </w:p>
      </w:tc>
    </w:tr>
    <w:tr w:rsidR="00A74B28" w14:paraId="5B5BE21C" w14:textId="77777777" w:rsidTr="00CB57FD">
      <w:tc>
        <w:tcPr>
          <w:tcW w:w="2693" w:type="dxa"/>
          <w:vAlign w:val="center"/>
          <w:hideMark/>
        </w:tcPr>
        <w:p w14:paraId="4AE96902" w14:textId="4E063913"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BE1D3D7" w:rsidR="00A74B28" w:rsidRPr="009B3353" w:rsidRDefault="008D7E30" w:rsidP="002B7BCC">
          <w:pPr>
            <w:rPr>
              <w:rFonts w:ascii="Palatino Linotype" w:hAnsi="Palatino Linotype"/>
              <w:b/>
              <w:szCs w:val="22"/>
              <w:lang w:val="es-ES_tradnl"/>
            </w:rPr>
          </w:pPr>
          <w:r>
            <w:rPr>
              <w:rFonts w:ascii="Palatino Linotype" w:hAnsi="Palatino Linotype"/>
              <w:b/>
              <w:szCs w:val="22"/>
              <w:lang w:val="es-ES_tradnl"/>
            </w:rPr>
            <w:t>XXX XXXX XXXX</w:t>
          </w:r>
        </w:p>
      </w:tc>
    </w:tr>
    <w:tr w:rsidR="00A74B28" w14:paraId="22601A11" w14:textId="77777777" w:rsidTr="00CB57FD">
      <w:trPr>
        <w:trHeight w:val="228"/>
      </w:trPr>
      <w:tc>
        <w:tcPr>
          <w:tcW w:w="2693" w:type="dxa"/>
          <w:vAlign w:val="center"/>
          <w:hideMark/>
        </w:tcPr>
        <w:p w14:paraId="6EFE221D" w14:textId="49C5F800"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91173CC" w:rsidR="00A74B28" w:rsidRPr="009B3353" w:rsidRDefault="00DE4537" w:rsidP="00C50711">
          <w:pPr>
            <w:jc w:val="both"/>
            <w:rPr>
              <w:rFonts w:ascii="Palatino Linotype" w:eastAsia="Calibri" w:hAnsi="Palatino Linotype"/>
              <w:b/>
              <w:szCs w:val="22"/>
              <w:lang w:val="es-MX" w:eastAsia="en-US"/>
            </w:rPr>
          </w:pPr>
          <w:r w:rsidRPr="00DE4537">
            <w:rPr>
              <w:rFonts w:ascii="Palatino Linotype" w:eastAsia="Calibri" w:hAnsi="Palatino Linotype"/>
              <w:b/>
              <w:bCs/>
              <w:szCs w:val="22"/>
              <w:lang w:eastAsia="en-US"/>
            </w:rPr>
            <w:t>Ayuntamiento de Toluca</w:t>
          </w:r>
        </w:p>
      </w:tc>
    </w:tr>
    <w:tr w:rsidR="00A74B28" w14:paraId="2D6C630E" w14:textId="77777777" w:rsidTr="00CB57FD">
      <w:tc>
        <w:tcPr>
          <w:tcW w:w="2693" w:type="dxa"/>
          <w:vAlign w:val="center"/>
          <w:hideMark/>
        </w:tcPr>
        <w:p w14:paraId="5BD4C6DB" w14:textId="7CF21504" w:rsidR="00A74B28" w:rsidRPr="009B3353" w:rsidRDefault="00A74B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A74B28" w:rsidRPr="009B3353" w:rsidRDefault="00A74B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A74B28" w:rsidRDefault="00A74B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1C42"/>
    <w:multiLevelType w:val="hybridMultilevel"/>
    <w:tmpl w:val="A6E421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5CC199D"/>
    <w:multiLevelType w:val="hybridMultilevel"/>
    <w:tmpl w:val="7B1EB1E2"/>
    <w:lvl w:ilvl="0" w:tplc="1EA63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37354"/>
    <w:multiLevelType w:val="hybridMultilevel"/>
    <w:tmpl w:val="6B9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1223F"/>
    <w:multiLevelType w:val="hybridMultilevel"/>
    <w:tmpl w:val="69207F6C"/>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DE447C6C">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EC5B1C"/>
    <w:multiLevelType w:val="hybridMultilevel"/>
    <w:tmpl w:val="391650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434458C"/>
    <w:multiLevelType w:val="hybridMultilevel"/>
    <w:tmpl w:val="EB2EDE4A"/>
    <w:lvl w:ilvl="0" w:tplc="7124D4A2">
      <w:start w:val="1"/>
      <w:numFmt w:val="lowerLetter"/>
      <w:lvlText w:val="%1)"/>
      <w:lvlJc w:val="left"/>
      <w:pPr>
        <w:ind w:left="900" w:hanging="360"/>
      </w:pPr>
      <w:rPr>
        <w:rFonts w:ascii="Palatino Linotype" w:hAnsi="Palatino Linotype" w:hint="default"/>
        <w:i/>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9">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1DC722D3"/>
    <w:multiLevelType w:val="hybridMultilevel"/>
    <w:tmpl w:val="0024A8B6"/>
    <w:lvl w:ilvl="0" w:tplc="E35AB3CA">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64FF8"/>
    <w:multiLevelType w:val="hybridMultilevel"/>
    <w:tmpl w:val="BA641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5977F9D"/>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202F9A"/>
    <w:multiLevelType w:val="hybridMultilevel"/>
    <w:tmpl w:val="D0920F2C"/>
    <w:lvl w:ilvl="0" w:tplc="43FEC2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64F4CEC"/>
    <w:multiLevelType w:val="hybridMultilevel"/>
    <w:tmpl w:val="C47EAE46"/>
    <w:lvl w:ilvl="0" w:tplc="0C44CDE6">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5A3A237C"/>
    <w:multiLevelType w:val="hybridMultilevel"/>
    <w:tmpl w:val="6A2C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C5D45"/>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4C6525"/>
    <w:multiLevelType w:val="hybridMultilevel"/>
    <w:tmpl w:val="B66022E2"/>
    <w:lvl w:ilvl="0" w:tplc="FEFA5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7D1AA0"/>
    <w:multiLevelType w:val="hybridMultilevel"/>
    <w:tmpl w:val="18EC76D2"/>
    <w:lvl w:ilvl="0" w:tplc="B0AC5F36">
      <w:start w:val="4"/>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282394F"/>
    <w:multiLevelType w:val="hybridMultilevel"/>
    <w:tmpl w:val="B90A6DCA"/>
    <w:lvl w:ilvl="0" w:tplc="7A022C44">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8">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85475B5"/>
    <w:multiLevelType w:val="hybridMultilevel"/>
    <w:tmpl w:val="D26E5084"/>
    <w:lvl w:ilvl="0" w:tplc="B452440C">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732DE1"/>
    <w:multiLevelType w:val="hybridMultilevel"/>
    <w:tmpl w:val="809A16A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7"/>
  </w:num>
  <w:num w:numId="3">
    <w:abstractNumId w:val="29"/>
  </w:num>
  <w:num w:numId="4">
    <w:abstractNumId w:val="28"/>
  </w:num>
  <w:num w:numId="5">
    <w:abstractNumId w:val="26"/>
  </w:num>
  <w:num w:numId="6">
    <w:abstractNumId w:val="6"/>
  </w:num>
  <w:num w:numId="7">
    <w:abstractNumId w:val="11"/>
  </w:num>
  <w:num w:numId="8">
    <w:abstractNumId w:val="21"/>
  </w:num>
  <w:num w:numId="9">
    <w:abstractNumId w:val="18"/>
  </w:num>
  <w:num w:numId="10">
    <w:abstractNumId w:val="4"/>
  </w:num>
  <w:num w:numId="11">
    <w:abstractNumId w:val="2"/>
  </w:num>
  <w:num w:numId="12">
    <w:abstractNumId w:val="13"/>
  </w:num>
  <w:num w:numId="13">
    <w:abstractNumId w:val="16"/>
  </w:num>
  <w:num w:numId="14">
    <w:abstractNumId w:val="0"/>
  </w:num>
  <w:num w:numId="15">
    <w:abstractNumId w:val="9"/>
  </w:num>
  <w:num w:numId="16">
    <w:abstractNumId w:val="5"/>
  </w:num>
  <w:num w:numId="17">
    <w:abstractNumId w:val="14"/>
  </w:num>
  <w:num w:numId="18">
    <w:abstractNumId w:val="3"/>
  </w:num>
  <w:num w:numId="19">
    <w:abstractNumId w:val="31"/>
  </w:num>
  <w:num w:numId="20">
    <w:abstractNumId w:val="23"/>
  </w:num>
  <w:num w:numId="21">
    <w:abstractNumId w:val="27"/>
  </w:num>
  <w:num w:numId="22">
    <w:abstractNumId w:val="15"/>
  </w:num>
  <w:num w:numId="23">
    <w:abstractNumId w:val="19"/>
  </w:num>
  <w:num w:numId="24">
    <w:abstractNumId w:val="17"/>
  </w:num>
  <w:num w:numId="25">
    <w:abstractNumId w:val="22"/>
  </w:num>
  <w:num w:numId="26">
    <w:abstractNumId w:val="24"/>
  </w:num>
  <w:num w:numId="27">
    <w:abstractNumId w:val="12"/>
  </w:num>
  <w:num w:numId="28">
    <w:abstractNumId w:val="25"/>
  </w:num>
  <w:num w:numId="29">
    <w:abstractNumId w:val="30"/>
  </w:num>
  <w:num w:numId="30">
    <w:abstractNumId w:val="1"/>
  </w:num>
  <w:num w:numId="31">
    <w:abstractNumId w:val="20"/>
  </w:num>
  <w:num w:numId="32">
    <w:abstractNumId w:val="8"/>
  </w:num>
  <w:num w:numId="33">
    <w:abstractNumId w:val="32"/>
  </w:num>
  <w:num w:numId="3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1DB2"/>
    <w:rsid w:val="00012A5F"/>
    <w:rsid w:val="00012D1B"/>
    <w:rsid w:val="000134A7"/>
    <w:rsid w:val="000147FB"/>
    <w:rsid w:val="00014A65"/>
    <w:rsid w:val="000151E0"/>
    <w:rsid w:val="000155EF"/>
    <w:rsid w:val="000163E2"/>
    <w:rsid w:val="00017BE1"/>
    <w:rsid w:val="00020869"/>
    <w:rsid w:val="00020A18"/>
    <w:rsid w:val="00021E8D"/>
    <w:rsid w:val="000220A1"/>
    <w:rsid w:val="000239D7"/>
    <w:rsid w:val="00023C79"/>
    <w:rsid w:val="00024227"/>
    <w:rsid w:val="0002433F"/>
    <w:rsid w:val="0002434A"/>
    <w:rsid w:val="000243F1"/>
    <w:rsid w:val="00024AE6"/>
    <w:rsid w:val="00024BA6"/>
    <w:rsid w:val="000252E9"/>
    <w:rsid w:val="00025532"/>
    <w:rsid w:val="000260E9"/>
    <w:rsid w:val="00026705"/>
    <w:rsid w:val="00026D94"/>
    <w:rsid w:val="00026F9C"/>
    <w:rsid w:val="0002747D"/>
    <w:rsid w:val="00027E08"/>
    <w:rsid w:val="0003080E"/>
    <w:rsid w:val="00030E35"/>
    <w:rsid w:val="000313AF"/>
    <w:rsid w:val="000314E8"/>
    <w:rsid w:val="00033629"/>
    <w:rsid w:val="0003385D"/>
    <w:rsid w:val="00034216"/>
    <w:rsid w:val="00034D7D"/>
    <w:rsid w:val="00035413"/>
    <w:rsid w:val="000354B7"/>
    <w:rsid w:val="000359D8"/>
    <w:rsid w:val="00035B1B"/>
    <w:rsid w:val="00035F2E"/>
    <w:rsid w:val="00036575"/>
    <w:rsid w:val="00036B8A"/>
    <w:rsid w:val="00040383"/>
    <w:rsid w:val="00041464"/>
    <w:rsid w:val="00041731"/>
    <w:rsid w:val="00041BCD"/>
    <w:rsid w:val="00041F6A"/>
    <w:rsid w:val="000423C7"/>
    <w:rsid w:val="00044648"/>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2C95"/>
    <w:rsid w:val="00083058"/>
    <w:rsid w:val="00084105"/>
    <w:rsid w:val="00084433"/>
    <w:rsid w:val="00085359"/>
    <w:rsid w:val="0008542A"/>
    <w:rsid w:val="00085C91"/>
    <w:rsid w:val="00086E2B"/>
    <w:rsid w:val="00086EAA"/>
    <w:rsid w:val="00087498"/>
    <w:rsid w:val="00087514"/>
    <w:rsid w:val="0009072B"/>
    <w:rsid w:val="00090DE6"/>
    <w:rsid w:val="00090EBA"/>
    <w:rsid w:val="00091682"/>
    <w:rsid w:val="0009456A"/>
    <w:rsid w:val="00094E67"/>
    <w:rsid w:val="0009719D"/>
    <w:rsid w:val="00097C05"/>
    <w:rsid w:val="00097EF0"/>
    <w:rsid w:val="000A015C"/>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5A30"/>
    <w:rsid w:val="000B6982"/>
    <w:rsid w:val="000B69A8"/>
    <w:rsid w:val="000B7101"/>
    <w:rsid w:val="000B7332"/>
    <w:rsid w:val="000B7B5A"/>
    <w:rsid w:val="000C1184"/>
    <w:rsid w:val="000C11BE"/>
    <w:rsid w:val="000C16AF"/>
    <w:rsid w:val="000C1B34"/>
    <w:rsid w:val="000C3D4F"/>
    <w:rsid w:val="000C4453"/>
    <w:rsid w:val="000C485E"/>
    <w:rsid w:val="000C53E4"/>
    <w:rsid w:val="000C54A3"/>
    <w:rsid w:val="000C5528"/>
    <w:rsid w:val="000C59F1"/>
    <w:rsid w:val="000C6204"/>
    <w:rsid w:val="000C72EB"/>
    <w:rsid w:val="000C7714"/>
    <w:rsid w:val="000C7765"/>
    <w:rsid w:val="000C77C6"/>
    <w:rsid w:val="000C7C04"/>
    <w:rsid w:val="000D0395"/>
    <w:rsid w:val="000D07EC"/>
    <w:rsid w:val="000D0950"/>
    <w:rsid w:val="000D29F9"/>
    <w:rsid w:val="000D4710"/>
    <w:rsid w:val="000D4D96"/>
    <w:rsid w:val="000D5D2D"/>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5B72"/>
    <w:rsid w:val="000F71B5"/>
    <w:rsid w:val="000F7FE2"/>
    <w:rsid w:val="001002A8"/>
    <w:rsid w:val="0010152C"/>
    <w:rsid w:val="00101832"/>
    <w:rsid w:val="00103E4C"/>
    <w:rsid w:val="00104E08"/>
    <w:rsid w:val="00106146"/>
    <w:rsid w:val="00106B32"/>
    <w:rsid w:val="00106EDD"/>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4D1"/>
    <w:rsid w:val="00115AAD"/>
    <w:rsid w:val="00116064"/>
    <w:rsid w:val="0012062D"/>
    <w:rsid w:val="00120D7C"/>
    <w:rsid w:val="00120FF3"/>
    <w:rsid w:val="001210A4"/>
    <w:rsid w:val="001219E7"/>
    <w:rsid w:val="001227CA"/>
    <w:rsid w:val="00124762"/>
    <w:rsid w:val="00124985"/>
    <w:rsid w:val="00124C77"/>
    <w:rsid w:val="00124D16"/>
    <w:rsid w:val="001264D1"/>
    <w:rsid w:val="00126994"/>
    <w:rsid w:val="00126F04"/>
    <w:rsid w:val="00127CCA"/>
    <w:rsid w:val="00130642"/>
    <w:rsid w:val="001306E4"/>
    <w:rsid w:val="00130AA5"/>
    <w:rsid w:val="00130BA7"/>
    <w:rsid w:val="00133D66"/>
    <w:rsid w:val="00135800"/>
    <w:rsid w:val="00135D98"/>
    <w:rsid w:val="00136083"/>
    <w:rsid w:val="001362C2"/>
    <w:rsid w:val="0013781E"/>
    <w:rsid w:val="00137C1F"/>
    <w:rsid w:val="00141F78"/>
    <w:rsid w:val="00143012"/>
    <w:rsid w:val="00143967"/>
    <w:rsid w:val="00143CA4"/>
    <w:rsid w:val="001445AB"/>
    <w:rsid w:val="0014506E"/>
    <w:rsid w:val="00147E1D"/>
    <w:rsid w:val="00150789"/>
    <w:rsid w:val="00150C0D"/>
    <w:rsid w:val="00151A0D"/>
    <w:rsid w:val="00151D19"/>
    <w:rsid w:val="00152866"/>
    <w:rsid w:val="0015311F"/>
    <w:rsid w:val="001539B3"/>
    <w:rsid w:val="00153F8E"/>
    <w:rsid w:val="001543BC"/>
    <w:rsid w:val="00154DA6"/>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6BA"/>
    <w:rsid w:val="00174E15"/>
    <w:rsid w:val="00175060"/>
    <w:rsid w:val="0017530C"/>
    <w:rsid w:val="0017555E"/>
    <w:rsid w:val="00175974"/>
    <w:rsid w:val="00175A2B"/>
    <w:rsid w:val="00177A27"/>
    <w:rsid w:val="00177B7E"/>
    <w:rsid w:val="00181594"/>
    <w:rsid w:val="00181791"/>
    <w:rsid w:val="00182E55"/>
    <w:rsid w:val="00183275"/>
    <w:rsid w:val="00184443"/>
    <w:rsid w:val="00184BC3"/>
    <w:rsid w:val="00184FBA"/>
    <w:rsid w:val="001852E0"/>
    <w:rsid w:val="0018689B"/>
    <w:rsid w:val="00186B63"/>
    <w:rsid w:val="00186C88"/>
    <w:rsid w:val="001871B2"/>
    <w:rsid w:val="00190A74"/>
    <w:rsid w:val="00190BB9"/>
    <w:rsid w:val="001911CC"/>
    <w:rsid w:val="00191ACE"/>
    <w:rsid w:val="00191DDF"/>
    <w:rsid w:val="00193909"/>
    <w:rsid w:val="00196141"/>
    <w:rsid w:val="00196EF5"/>
    <w:rsid w:val="00197DA4"/>
    <w:rsid w:val="001A0542"/>
    <w:rsid w:val="001A0598"/>
    <w:rsid w:val="001A05BA"/>
    <w:rsid w:val="001A0F86"/>
    <w:rsid w:val="001A1810"/>
    <w:rsid w:val="001A1FE0"/>
    <w:rsid w:val="001A2131"/>
    <w:rsid w:val="001A25D5"/>
    <w:rsid w:val="001A29C5"/>
    <w:rsid w:val="001A2A37"/>
    <w:rsid w:val="001A2FF3"/>
    <w:rsid w:val="001A373A"/>
    <w:rsid w:val="001A466C"/>
    <w:rsid w:val="001A4E38"/>
    <w:rsid w:val="001A4F68"/>
    <w:rsid w:val="001A78F5"/>
    <w:rsid w:val="001A7913"/>
    <w:rsid w:val="001A7DE2"/>
    <w:rsid w:val="001B0C32"/>
    <w:rsid w:val="001B1D1A"/>
    <w:rsid w:val="001B2379"/>
    <w:rsid w:val="001B3256"/>
    <w:rsid w:val="001B3C02"/>
    <w:rsid w:val="001B5099"/>
    <w:rsid w:val="001B6BDC"/>
    <w:rsid w:val="001B6E23"/>
    <w:rsid w:val="001B6EF0"/>
    <w:rsid w:val="001B7B33"/>
    <w:rsid w:val="001C085B"/>
    <w:rsid w:val="001C0C3F"/>
    <w:rsid w:val="001C1B7A"/>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8C2"/>
    <w:rsid w:val="00201E21"/>
    <w:rsid w:val="00201FA9"/>
    <w:rsid w:val="00203E4E"/>
    <w:rsid w:val="00204C2A"/>
    <w:rsid w:val="00205361"/>
    <w:rsid w:val="00205ADF"/>
    <w:rsid w:val="002066DF"/>
    <w:rsid w:val="00206C34"/>
    <w:rsid w:val="002070E6"/>
    <w:rsid w:val="00212FE4"/>
    <w:rsid w:val="00213228"/>
    <w:rsid w:val="0021442C"/>
    <w:rsid w:val="00214F0A"/>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1217"/>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345"/>
    <w:rsid w:val="0026271B"/>
    <w:rsid w:val="002629E7"/>
    <w:rsid w:val="00265366"/>
    <w:rsid w:val="002657BB"/>
    <w:rsid w:val="00266490"/>
    <w:rsid w:val="0026683E"/>
    <w:rsid w:val="00266A60"/>
    <w:rsid w:val="002677C1"/>
    <w:rsid w:val="00267A6D"/>
    <w:rsid w:val="00270883"/>
    <w:rsid w:val="00271446"/>
    <w:rsid w:val="00271B57"/>
    <w:rsid w:val="00271FC2"/>
    <w:rsid w:val="00273204"/>
    <w:rsid w:val="00275423"/>
    <w:rsid w:val="00275AD6"/>
    <w:rsid w:val="00276D8F"/>
    <w:rsid w:val="00276F2E"/>
    <w:rsid w:val="0027702B"/>
    <w:rsid w:val="00277F70"/>
    <w:rsid w:val="002817BA"/>
    <w:rsid w:val="00281EF2"/>
    <w:rsid w:val="00282135"/>
    <w:rsid w:val="00283308"/>
    <w:rsid w:val="00284224"/>
    <w:rsid w:val="00285306"/>
    <w:rsid w:val="002856DC"/>
    <w:rsid w:val="0028632C"/>
    <w:rsid w:val="002864D4"/>
    <w:rsid w:val="0028674A"/>
    <w:rsid w:val="00286C23"/>
    <w:rsid w:val="00286DC8"/>
    <w:rsid w:val="00290C42"/>
    <w:rsid w:val="00291435"/>
    <w:rsid w:val="00291A1A"/>
    <w:rsid w:val="00292786"/>
    <w:rsid w:val="00293048"/>
    <w:rsid w:val="002937C6"/>
    <w:rsid w:val="00293DE5"/>
    <w:rsid w:val="00293E07"/>
    <w:rsid w:val="00295078"/>
    <w:rsid w:val="00295960"/>
    <w:rsid w:val="00295C72"/>
    <w:rsid w:val="00295D44"/>
    <w:rsid w:val="00295DE7"/>
    <w:rsid w:val="0029670A"/>
    <w:rsid w:val="0029745A"/>
    <w:rsid w:val="00297AB0"/>
    <w:rsid w:val="00297ABF"/>
    <w:rsid w:val="00297C62"/>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E09"/>
    <w:rsid w:val="002B45EF"/>
    <w:rsid w:val="002B45F2"/>
    <w:rsid w:val="002B4646"/>
    <w:rsid w:val="002B4950"/>
    <w:rsid w:val="002B62AF"/>
    <w:rsid w:val="002B7622"/>
    <w:rsid w:val="002B7A0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D63"/>
    <w:rsid w:val="002E4EC0"/>
    <w:rsid w:val="002E5744"/>
    <w:rsid w:val="002E578A"/>
    <w:rsid w:val="002E6172"/>
    <w:rsid w:val="002E6B74"/>
    <w:rsid w:val="002E76D5"/>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1F63"/>
    <w:rsid w:val="00302787"/>
    <w:rsid w:val="00302C06"/>
    <w:rsid w:val="00302FBC"/>
    <w:rsid w:val="00303BC7"/>
    <w:rsid w:val="00303BDC"/>
    <w:rsid w:val="00304058"/>
    <w:rsid w:val="00304C20"/>
    <w:rsid w:val="00305480"/>
    <w:rsid w:val="00306589"/>
    <w:rsid w:val="00306B09"/>
    <w:rsid w:val="00306D3D"/>
    <w:rsid w:val="0030711C"/>
    <w:rsid w:val="00307186"/>
    <w:rsid w:val="00307275"/>
    <w:rsid w:val="0031046F"/>
    <w:rsid w:val="0031090D"/>
    <w:rsid w:val="003129F4"/>
    <w:rsid w:val="00313023"/>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491D"/>
    <w:rsid w:val="00324F98"/>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4B10"/>
    <w:rsid w:val="003555AA"/>
    <w:rsid w:val="003557C1"/>
    <w:rsid w:val="00355B75"/>
    <w:rsid w:val="00356202"/>
    <w:rsid w:val="0035716F"/>
    <w:rsid w:val="003579BC"/>
    <w:rsid w:val="0036086E"/>
    <w:rsid w:val="00360A55"/>
    <w:rsid w:val="00361B13"/>
    <w:rsid w:val="003629AE"/>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30ED"/>
    <w:rsid w:val="003A0689"/>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548E"/>
    <w:rsid w:val="003D61B0"/>
    <w:rsid w:val="003E0A67"/>
    <w:rsid w:val="003E0BFB"/>
    <w:rsid w:val="003E132A"/>
    <w:rsid w:val="003E1576"/>
    <w:rsid w:val="003E1613"/>
    <w:rsid w:val="003E5DB7"/>
    <w:rsid w:val="003E5F18"/>
    <w:rsid w:val="003E6A2E"/>
    <w:rsid w:val="003E6D0E"/>
    <w:rsid w:val="003F09F0"/>
    <w:rsid w:val="003F0CD4"/>
    <w:rsid w:val="003F13CB"/>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0710A"/>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05D2"/>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306"/>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6FD"/>
    <w:rsid w:val="00455768"/>
    <w:rsid w:val="00456E2C"/>
    <w:rsid w:val="00457077"/>
    <w:rsid w:val="00457FC7"/>
    <w:rsid w:val="00461796"/>
    <w:rsid w:val="00461A0A"/>
    <w:rsid w:val="00461B3D"/>
    <w:rsid w:val="00462197"/>
    <w:rsid w:val="00462417"/>
    <w:rsid w:val="004645F5"/>
    <w:rsid w:val="00464624"/>
    <w:rsid w:val="00464EB1"/>
    <w:rsid w:val="00465E62"/>
    <w:rsid w:val="00466564"/>
    <w:rsid w:val="00467700"/>
    <w:rsid w:val="004677F9"/>
    <w:rsid w:val="00467874"/>
    <w:rsid w:val="004716B0"/>
    <w:rsid w:val="004716C4"/>
    <w:rsid w:val="004723A9"/>
    <w:rsid w:val="00472460"/>
    <w:rsid w:val="00473370"/>
    <w:rsid w:val="004754E1"/>
    <w:rsid w:val="004763B5"/>
    <w:rsid w:val="00476A24"/>
    <w:rsid w:val="00476F5F"/>
    <w:rsid w:val="0047775E"/>
    <w:rsid w:val="00481ABD"/>
    <w:rsid w:val="00482683"/>
    <w:rsid w:val="00482731"/>
    <w:rsid w:val="0048286C"/>
    <w:rsid w:val="00483A0F"/>
    <w:rsid w:val="00484625"/>
    <w:rsid w:val="00484B7E"/>
    <w:rsid w:val="0048589D"/>
    <w:rsid w:val="00485992"/>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27F"/>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6DF1"/>
    <w:rsid w:val="004C6E58"/>
    <w:rsid w:val="004C7629"/>
    <w:rsid w:val="004C7701"/>
    <w:rsid w:val="004C7EF2"/>
    <w:rsid w:val="004D088F"/>
    <w:rsid w:val="004D0A26"/>
    <w:rsid w:val="004D0EE4"/>
    <w:rsid w:val="004D30E1"/>
    <w:rsid w:val="004D35FC"/>
    <w:rsid w:val="004D3A15"/>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3D73"/>
    <w:rsid w:val="004F4E3A"/>
    <w:rsid w:val="004F5243"/>
    <w:rsid w:val="004F64AD"/>
    <w:rsid w:val="004F759E"/>
    <w:rsid w:val="004F7AC2"/>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053"/>
    <w:rsid w:val="005171DE"/>
    <w:rsid w:val="005206C8"/>
    <w:rsid w:val="005218EA"/>
    <w:rsid w:val="00521EE1"/>
    <w:rsid w:val="00522FA4"/>
    <w:rsid w:val="00523390"/>
    <w:rsid w:val="00523435"/>
    <w:rsid w:val="0052414D"/>
    <w:rsid w:val="00525A5B"/>
    <w:rsid w:val="0052638D"/>
    <w:rsid w:val="0053002A"/>
    <w:rsid w:val="0053153A"/>
    <w:rsid w:val="00531811"/>
    <w:rsid w:val="00531ABD"/>
    <w:rsid w:val="00535560"/>
    <w:rsid w:val="005356D8"/>
    <w:rsid w:val="00537427"/>
    <w:rsid w:val="00541397"/>
    <w:rsid w:val="005413A9"/>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C"/>
    <w:rsid w:val="0056316F"/>
    <w:rsid w:val="00564598"/>
    <w:rsid w:val="00564711"/>
    <w:rsid w:val="00565483"/>
    <w:rsid w:val="0056588E"/>
    <w:rsid w:val="0057098B"/>
    <w:rsid w:val="00571391"/>
    <w:rsid w:val="005726F4"/>
    <w:rsid w:val="00572DA9"/>
    <w:rsid w:val="00573949"/>
    <w:rsid w:val="00573ECF"/>
    <w:rsid w:val="00574A4F"/>
    <w:rsid w:val="00576A50"/>
    <w:rsid w:val="005771B8"/>
    <w:rsid w:val="00577287"/>
    <w:rsid w:val="00577553"/>
    <w:rsid w:val="005777E0"/>
    <w:rsid w:val="00581562"/>
    <w:rsid w:val="0058219B"/>
    <w:rsid w:val="0058269D"/>
    <w:rsid w:val="00583795"/>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0AF9"/>
    <w:rsid w:val="005A119B"/>
    <w:rsid w:val="005A1564"/>
    <w:rsid w:val="005A2252"/>
    <w:rsid w:val="005A232E"/>
    <w:rsid w:val="005A2689"/>
    <w:rsid w:val="005A3328"/>
    <w:rsid w:val="005A52D3"/>
    <w:rsid w:val="005A6845"/>
    <w:rsid w:val="005A7138"/>
    <w:rsid w:val="005A7C3F"/>
    <w:rsid w:val="005B00B6"/>
    <w:rsid w:val="005B087C"/>
    <w:rsid w:val="005B112F"/>
    <w:rsid w:val="005B1FED"/>
    <w:rsid w:val="005B2F33"/>
    <w:rsid w:val="005B334D"/>
    <w:rsid w:val="005B3671"/>
    <w:rsid w:val="005B3B62"/>
    <w:rsid w:val="005B3D93"/>
    <w:rsid w:val="005B52FE"/>
    <w:rsid w:val="005B6938"/>
    <w:rsid w:val="005B6F32"/>
    <w:rsid w:val="005B7350"/>
    <w:rsid w:val="005C0E6F"/>
    <w:rsid w:val="005C222C"/>
    <w:rsid w:val="005C299A"/>
    <w:rsid w:val="005C3943"/>
    <w:rsid w:val="005C3D2C"/>
    <w:rsid w:val="005C404B"/>
    <w:rsid w:val="005C4DFA"/>
    <w:rsid w:val="005C50CB"/>
    <w:rsid w:val="005C5799"/>
    <w:rsid w:val="005C5929"/>
    <w:rsid w:val="005C6B17"/>
    <w:rsid w:val="005D19E4"/>
    <w:rsid w:val="005D1DF5"/>
    <w:rsid w:val="005D45A0"/>
    <w:rsid w:val="005D6415"/>
    <w:rsid w:val="005D6831"/>
    <w:rsid w:val="005D7248"/>
    <w:rsid w:val="005D77BD"/>
    <w:rsid w:val="005D7B7C"/>
    <w:rsid w:val="005E0300"/>
    <w:rsid w:val="005E0424"/>
    <w:rsid w:val="005E1009"/>
    <w:rsid w:val="005E10E6"/>
    <w:rsid w:val="005E15A3"/>
    <w:rsid w:val="005E3346"/>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661"/>
    <w:rsid w:val="005F2E9B"/>
    <w:rsid w:val="005F4281"/>
    <w:rsid w:val="005F4C5D"/>
    <w:rsid w:val="005F4DCE"/>
    <w:rsid w:val="005F557E"/>
    <w:rsid w:val="005F5725"/>
    <w:rsid w:val="005F666A"/>
    <w:rsid w:val="005F684F"/>
    <w:rsid w:val="005F7AD4"/>
    <w:rsid w:val="0060001F"/>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507"/>
    <w:rsid w:val="0061488D"/>
    <w:rsid w:val="0061663A"/>
    <w:rsid w:val="0062111F"/>
    <w:rsid w:val="00621380"/>
    <w:rsid w:val="00621BE7"/>
    <w:rsid w:val="00621D3A"/>
    <w:rsid w:val="00622073"/>
    <w:rsid w:val="00622C25"/>
    <w:rsid w:val="00623DDC"/>
    <w:rsid w:val="00623EA3"/>
    <w:rsid w:val="00624BDB"/>
    <w:rsid w:val="00625AFD"/>
    <w:rsid w:val="00625E1B"/>
    <w:rsid w:val="006274A1"/>
    <w:rsid w:val="00627B5D"/>
    <w:rsid w:val="00627B60"/>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2DC5"/>
    <w:rsid w:val="00643D6C"/>
    <w:rsid w:val="006443ED"/>
    <w:rsid w:val="006445D2"/>
    <w:rsid w:val="00645887"/>
    <w:rsid w:val="0064661F"/>
    <w:rsid w:val="00647094"/>
    <w:rsid w:val="006505D9"/>
    <w:rsid w:val="00650880"/>
    <w:rsid w:val="00653030"/>
    <w:rsid w:val="0065578F"/>
    <w:rsid w:val="00655B83"/>
    <w:rsid w:val="00655F33"/>
    <w:rsid w:val="00656241"/>
    <w:rsid w:val="00656AB0"/>
    <w:rsid w:val="00656C59"/>
    <w:rsid w:val="006578C2"/>
    <w:rsid w:val="00661AC2"/>
    <w:rsid w:val="00661B36"/>
    <w:rsid w:val="00663207"/>
    <w:rsid w:val="00663F26"/>
    <w:rsid w:val="00666655"/>
    <w:rsid w:val="00666C54"/>
    <w:rsid w:val="00667C8B"/>
    <w:rsid w:val="00667D3E"/>
    <w:rsid w:val="00670657"/>
    <w:rsid w:val="006742F8"/>
    <w:rsid w:val="006747B5"/>
    <w:rsid w:val="00675974"/>
    <w:rsid w:val="00676566"/>
    <w:rsid w:val="006803E8"/>
    <w:rsid w:val="006804B2"/>
    <w:rsid w:val="00681481"/>
    <w:rsid w:val="00682656"/>
    <w:rsid w:val="00683617"/>
    <w:rsid w:val="00683EAC"/>
    <w:rsid w:val="00684313"/>
    <w:rsid w:val="006846B0"/>
    <w:rsid w:val="00684EF6"/>
    <w:rsid w:val="00686279"/>
    <w:rsid w:val="00686A8A"/>
    <w:rsid w:val="006870C8"/>
    <w:rsid w:val="006871B3"/>
    <w:rsid w:val="006878A4"/>
    <w:rsid w:val="00690415"/>
    <w:rsid w:val="0069305F"/>
    <w:rsid w:val="006937F3"/>
    <w:rsid w:val="00694CB5"/>
    <w:rsid w:val="00694D8E"/>
    <w:rsid w:val="006954F2"/>
    <w:rsid w:val="006957B8"/>
    <w:rsid w:val="00697E9E"/>
    <w:rsid w:val="006A03CD"/>
    <w:rsid w:val="006A06FE"/>
    <w:rsid w:val="006A28EE"/>
    <w:rsid w:val="006A3AA6"/>
    <w:rsid w:val="006A3BCF"/>
    <w:rsid w:val="006A42D4"/>
    <w:rsid w:val="006A48CE"/>
    <w:rsid w:val="006A4E98"/>
    <w:rsid w:val="006A737B"/>
    <w:rsid w:val="006A77F3"/>
    <w:rsid w:val="006A7829"/>
    <w:rsid w:val="006A7D53"/>
    <w:rsid w:val="006B0405"/>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23"/>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DD6"/>
    <w:rsid w:val="00711E97"/>
    <w:rsid w:val="00712516"/>
    <w:rsid w:val="00713A6B"/>
    <w:rsid w:val="0071427E"/>
    <w:rsid w:val="0071646D"/>
    <w:rsid w:val="00716CE1"/>
    <w:rsid w:val="0072562F"/>
    <w:rsid w:val="00725913"/>
    <w:rsid w:val="0072655F"/>
    <w:rsid w:val="00726DD1"/>
    <w:rsid w:val="00726FA5"/>
    <w:rsid w:val="00727F24"/>
    <w:rsid w:val="007300F7"/>
    <w:rsid w:val="00730313"/>
    <w:rsid w:val="00730BC4"/>
    <w:rsid w:val="00731D9B"/>
    <w:rsid w:val="00731DAB"/>
    <w:rsid w:val="00731F23"/>
    <w:rsid w:val="00732AE5"/>
    <w:rsid w:val="00733CB7"/>
    <w:rsid w:val="00734371"/>
    <w:rsid w:val="007347B0"/>
    <w:rsid w:val="0073482C"/>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3D5"/>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2E51"/>
    <w:rsid w:val="00764B6A"/>
    <w:rsid w:val="00766B6B"/>
    <w:rsid w:val="00766D4A"/>
    <w:rsid w:val="00766D7A"/>
    <w:rsid w:val="00767857"/>
    <w:rsid w:val="00767912"/>
    <w:rsid w:val="00770E29"/>
    <w:rsid w:val="0077107A"/>
    <w:rsid w:val="007710A6"/>
    <w:rsid w:val="007714A8"/>
    <w:rsid w:val="00771B98"/>
    <w:rsid w:val="00771BF2"/>
    <w:rsid w:val="00771F5E"/>
    <w:rsid w:val="0077203A"/>
    <w:rsid w:val="0077266E"/>
    <w:rsid w:val="00773601"/>
    <w:rsid w:val="007738D8"/>
    <w:rsid w:val="007738EC"/>
    <w:rsid w:val="00773EA1"/>
    <w:rsid w:val="007753ED"/>
    <w:rsid w:val="00775CB2"/>
    <w:rsid w:val="0077600B"/>
    <w:rsid w:val="0077689F"/>
    <w:rsid w:val="0078030F"/>
    <w:rsid w:val="00780906"/>
    <w:rsid w:val="00780D17"/>
    <w:rsid w:val="00782370"/>
    <w:rsid w:val="00782DD9"/>
    <w:rsid w:val="007830E3"/>
    <w:rsid w:val="00787DB5"/>
    <w:rsid w:val="0079298A"/>
    <w:rsid w:val="00793368"/>
    <w:rsid w:val="0079361A"/>
    <w:rsid w:val="00793A0F"/>
    <w:rsid w:val="00793A7B"/>
    <w:rsid w:val="00794261"/>
    <w:rsid w:val="00794305"/>
    <w:rsid w:val="00794323"/>
    <w:rsid w:val="007966AC"/>
    <w:rsid w:val="007A02EB"/>
    <w:rsid w:val="007A0327"/>
    <w:rsid w:val="007A11F1"/>
    <w:rsid w:val="007A14C5"/>
    <w:rsid w:val="007A1A5F"/>
    <w:rsid w:val="007A2132"/>
    <w:rsid w:val="007A32BE"/>
    <w:rsid w:val="007A33E2"/>
    <w:rsid w:val="007A35F6"/>
    <w:rsid w:val="007A4E83"/>
    <w:rsid w:val="007A5F1A"/>
    <w:rsid w:val="007A7693"/>
    <w:rsid w:val="007B0AA4"/>
    <w:rsid w:val="007B15EA"/>
    <w:rsid w:val="007B33CC"/>
    <w:rsid w:val="007B5B76"/>
    <w:rsid w:val="007B6CA0"/>
    <w:rsid w:val="007B70B3"/>
    <w:rsid w:val="007B7166"/>
    <w:rsid w:val="007B755C"/>
    <w:rsid w:val="007B78B1"/>
    <w:rsid w:val="007C025F"/>
    <w:rsid w:val="007C09AA"/>
    <w:rsid w:val="007C0AFD"/>
    <w:rsid w:val="007C20AF"/>
    <w:rsid w:val="007C37F3"/>
    <w:rsid w:val="007C3D29"/>
    <w:rsid w:val="007C3E67"/>
    <w:rsid w:val="007C46DC"/>
    <w:rsid w:val="007C4965"/>
    <w:rsid w:val="007C52B5"/>
    <w:rsid w:val="007C567D"/>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AF8"/>
    <w:rsid w:val="007D7BC8"/>
    <w:rsid w:val="007E07A7"/>
    <w:rsid w:val="007E16B7"/>
    <w:rsid w:val="007E24F8"/>
    <w:rsid w:val="007E2BC3"/>
    <w:rsid w:val="007E2D8C"/>
    <w:rsid w:val="007E3963"/>
    <w:rsid w:val="007E5CB2"/>
    <w:rsid w:val="007E64E0"/>
    <w:rsid w:val="007E6A21"/>
    <w:rsid w:val="007F0999"/>
    <w:rsid w:val="007F18A3"/>
    <w:rsid w:val="007F18DF"/>
    <w:rsid w:val="007F36DE"/>
    <w:rsid w:val="007F4425"/>
    <w:rsid w:val="007F48AD"/>
    <w:rsid w:val="007F4FC6"/>
    <w:rsid w:val="007F528B"/>
    <w:rsid w:val="007F53E3"/>
    <w:rsid w:val="007F5901"/>
    <w:rsid w:val="007F5936"/>
    <w:rsid w:val="007F5E7A"/>
    <w:rsid w:val="007F60E9"/>
    <w:rsid w:val="007F61DA"/>
    <w:rsid w:val="007F62D5"/>
    <w:rsid w:val="007F6B8E"/>
    <w:rsid w:val="007F6BF7"/>
    <w:rsid w:val="007F7203"/>
    <w:rsid w:val="007F7B11"/>
    <w:rsid w:val="007F7CB2"/>
    <w:rsid w:val="00800061"/>
    <w:rsid w:val="00800475"/>
    <w:rsid w:val="00800DDC"/>
    <w:rsid w:val="0080152B"/>
    <w:rsid w:val="00801983"/>
    <w:rsid w:val="00801D34"/>
    <w:rsid w:val="008026F6"/>
    <w:rsid w:val="00803D2B"/>
    <w:rsid w:val="00804137"/>
    <w:rsid w:val="00805A48"/>
    <w:rsid w:val="008063E2"/>
    <w:rsid w:val="00806A83"/>
    <w:rsid w:val="00807739"/>
    <w:rsid w:val="0080791A"/>
    <w:rsid w:val="008100C2"/>
    <w:rsid w:val="00810A48"/>
    <w:rsid w:val="00811637"/>
    <w:rsid w:val="00814930"/>
    <w:rsid w:val="008150C8"/>
    <w:rsid w:val="00815752"/>
    <w:rsid w:val="00816985"/>
    <w:rsid w:val="00816C3B"/>
    <w:rsid w:val="00817AAB"/>
    <w:rsid w:val="008207CA"/>
    <w:rsid w:val="008223A5"/>
    <w:rsid w:val="008228A2"/>
    <w:rsid w:val="008235DE"/>
    <w:rsid w:val="008246C9"/>
    <w:rsid w:val="008254D3"/>
    <w:rsid w:val="00825CA4"/>
    <w:rsid w:val="00826018"/>
    <w:rsid w:val="008266BC"/>
    <w:rsid w:val="008308C3"/>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4F92"/>
    <w:rsid w:val="00845A90"/>
    <w:rsid w:val="00846339"/>
    <w:rsid w:val="00846E76"/>
    <w:rsid w:val="00850422"/>
    <w:rsid w:val="00850491"/>
    <w:rsid w:val="00851F8C"/>
    <w:rsid w:val="00852759"/>
    <w:rsid w:val="008531B2"/>
    <w:rsid w:val="00854949"/>
    <w:rsid w:val="0085526B"/>
    <w:rsid w:val="00856585"/>
    <w:rsid w:val="00856E3C"/>
    <w:rsid w:val="00856F7A"/>
    <w:rsid w:val="00857279"/>
    <w:rsid w:val="0085736B"/>
    <w:rsid w:val="00857958"/>
    <w:rsid w:val="0085795F"/>
    <w:rsid w:val="00857B52"/>
    <w:rsid w:val="00861B32"/>
    <w:rsid w:val="00861DD8"/>
    <w:rsid w:val="008665F8"/>
    <w:rsid w:val="00867111"/>
    <w:rsid w:val="00867C9A"/>
    <w:rsid w:val="00867F1E"/>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0965"/>
    <w:rsid w:val="0089164B"/>
    <w:rsid w:val="00891989"/>
    <w:rsid w:val="00891BF9"/>
    <w:rsid w:val="0089236D"/>
    <w:rsid w:val="00892AFC"/>
    <w:rsid w:val="00892B4E"/>
    <w:rsid w:val="00892BC4"/>
    <w:rsid w:val="008936CC"/>
    <w:rsid w:val="00893CC5"/>
    <w:rsid w:val="00893DB2"/>
    <w:rsid w:val="0089436A"/>
    <w:rsid w:val="00894491"/>
    <w:rsid w:val="0089482C"/>
    <w:rsid w:val="00895379"/>
    <w:rsid w:val="008956BD"/>
    <w:rsid w:val="00895C62"/>
    <w:rsid w:val="008964F4"/>
    <w:rsid w:val="008A0C05"/>
    <w:rsid w:val="008A0CFD"/>
    <w:rsid w:val="008A1F9B"/>
    <w:rsid w:val="008A2018"/>
    <w:rsid w:val="008A37D4"/>
    <w:rsid w:val="008A42B0"/>
    <w:rsid w:val="008A4982"/>
    <w:rsid w:val="008A567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3E6"/>
    <w:rsid w:val="008C04B3"/>
    <w:rsid w:val="008C0694"/>
    <w:rsid w:val="008C06D5"/>
    <w:rsid w:val="008C1208"/>
    <w:rsid w:val="008C3158"/>
    <w:rsid w:val="008C3963"/>
    <w:rsid w:val="008C4415"/>
    <w:rsid w:val="008C4CFE"/>
    <w:rsid w:val="008C5D8E"/>
    <w:rsid w:val="008D033C"/>
    <w:rsid w:val="008D0725"/>
    <w:rsid w:val="008D0B33"/>
    <w:rsid w:val="008D0B48"/>
    <w:rsid w:val="008D0D25"/>
    <w:rsid w:val="008D1526"/>
    <w:rsid w:val="008D2273"/>
    <w:rsid w:val="008D36D2"/>
    <w:rsid w:val="008D38EE"/>
    <w:rsid w:val="008D4B2A"/>
    <w:rsid w:val="008D75E7"/>
    <w:rsid w:val="008D7E30"/>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7A0"/>
    <w:rsid w:val="0090585F"/>
    <w:rsid w:val="00905A0D"/>
    <w:rsid w:val="0090665D"/>
    <w:rsid w:val="00911559"/>
    <w:rsid w:val="00912A8A"/>
    <w:rsid w:val="00913103"/>
    <w:rsid w:val="0091329D"/>
    <w:rsid w:val="00914FCF"/>
    <w:rsid w:val="00914FDF"/>
    <w:rsid w:val="0091599A"/>
    <w:rsid w:val="00916B08"/>
    <w:rsid w:val="009178BE"/>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327"/>
    <w:rsid w:val="00955ADE"/>
    <w:rsid w:val="009573BD"/>
    <w:rsid w:val="0095790B"/>
    <w:rsid w:val="0096079C"/>
    <w:rsid w:val="0096089C"/>
    <w:rsid w:val="0096146C"/>
    <w:rsid w:val="00962E4E"/>
    <w:rsid w:val="00963342"/>
    <w:rsid w:val="00964C60"/>
    <w:rsid w:val="00964E79"/>
    <w:rsid w:val="00964F37"/>
    <w:rsid w:val="00965322"/>
    <w:rsid w:val="0096576D"/>
    <w:rsid w:val="00966926"/>
    <w:rsid w:val="00966C2B"/>
    <w:rsid w:val="00966FEC"/>
    <w:rsid w:val="00967C2E"/>
    <w:rsid w:val="00971134"/>
    <w:rsid w:val="009711D4"/>
    <w:rsid w:val="00971262"/>
    <w:rsid w:val="00971434"/>
    <w:rsid w:val="00972ECB"/>
    <w:rsid w:val="009737A5"/>
    <w:rsid w:val="00974437"/>
    <w:rsid w:val="00974C3A"/>
    <w:rsid w:val="00974FA3"/>
    <w:rsid w:val="009752BA"/>
    <w:rsid w:val="00975A2A"/>
    <w:rsid w:val="00975D23"/>
    <w:rsid w:val="00975EB9"/>
    <w:rsid w:val="009763B8"/>
    <w:rsid w:val="00976A12"/>
    <w:rsid w:val="00977454"/>
    <w:rsid w:val="009816F9"/>
    <w:rsid w:val="00981F51"/>
    <w:rsid w:val="009822DE"/>
    <w:rsid w:val="0098269C"/>
    <w:rsid w:val="009837CB"/>
    <w:rsid w:val="00985240"/>
    <w:rsid w:val="009858EF"/>
    <w:rsid w:val="00985D90"/>
    <w:rsid w:val="00986B3C"/>
    <w:rsid w:val="009872E2"/>
    <w:rsid w:val="0099065F"/>
    <w:rsid w:val="0099075B"/>
    <w:rsid w:val="0099083D"/>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2CB8"/>
    <w:rsid w:val="009A34EE"/>
    <w:rsid w:val="009A3ADA"/>
    <w:rsid w:val="009A491B"/>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0368"/>
    <w:rsid w:val="009C3731"/>
    <w:rsid w:val="009C4F62"/>
    <w:rsid w:val="009C4FE0"/>
    <w:rsid w:val="009C5252"/>
    <w:rsid w:val="009C6175"/>
    <w:rsid w:val="009C61F1"/>
    <w:rsid w:val="009C64B7"/>
    <w:rsid w:val="009C6A35"/>
    <w:rsid w:val="009D00D1"/>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171"/>
    <w:rsid w:val="009E321C"/>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076B8"/>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605"/>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7B0"/>
    <w:rsid w:val="00A53CB1"/>
    <w:rsid w:val="00A5404F"/>
    <w:rsid w:val="00A55D42"/>
    <w:rsid w:val="00A55E21"/>
    <w:rsid w:val="00A56EC5"/>
    <w:rsid w:val="00A57AFC"/>
    <w:rsid w:val="00A6004F"/>
    <w:rsid w:val="00A6220A"/>
    <w:rsid w:val="00A64A07"/>
    <w:rsid w:val="00A650DC"/>
    <w:rsid w:val="00A654F7"/>
    <w:rsid w:val="00A66EEB"/>
    <w:rsid w:val="00A67754"/>
    <w:rsid w:val="00A67ED9"/>
    <w:rsid w:val="00A717E4"/>
    <w:rsid w:val="00A744CF"/>
    <w:rsid w:val="00A74B28"/>
    <w:rsid w:val="00A757D4"/>
    <w:rsid w:val="00A7641B"/>
    <w:rsid w:val="00A767EF"/>
    <w:rsid w:val="00A76FB1"/>
    <w:rsid w:val="00A77111"/>
    <w:rsid w:val="00A81037"/>
    <w:rsid w:val="00A81140"/>
    <w:rsid w:val="00A82448"/>
    <w:rsid w:val="00A84D45"/>
    <w:rsid w:val="00A8620C"/>
    <w:rsid w:val="00A8711C"/>
    <w:rsid w:val="00A900E2"/>
    <w:rsid w:val="00A90703"/>
    <w:rsid w:val="00A917E6"/>
    <w:rsid w:val="00A92027"/>
    <w:rsid w:val="00A923D1"/>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374"/>
    <w:rsid w:val="00AC2D4B"/>
    <w:rsid w:val="00AC3EA4"/>
    <w:rsid w:val="00AC3EC5"/>
    <w:rsid w:val="00AC3F44"/>
    <w:rsid w:val="00AC46E5"/>
    <w:rsid w:val="00AC5B93"/>
    <w:rsid w:val="00AC6E31"/>
    <w:rsid w:val="00AC74AC"/>
    <w:rsid w:val="00AC7ABC"/>
    <w:rsid w:val="00AD0232"/>
    <w:rsid w:val="00AD1880"/>
    <w:rsid w:val="00AD1C3D"/>
    <w:rsid w:val="00AD1D3D"/>
    <w:rsid w:val="00AD2277"/>
    <w:rsid w:val="00AD5C04"/>
    <w:rsid w:val="00AE013D"/>
    <w:rsid w:val="00AE125E"/>
    <w:rsid w:val="00AE2EEF"/>
    <w:rsid w:val="00AE328D"/>
    <w:rsid w:val="00AE34E5"/>
    <w:rsid w:val="00AE4286"/>
    <w:rsid w:val="00AE45EA"/>
    <w:rsid w:val="00AE56E2"/>
    <w:rsid w:val="00AE5719"/>
    <w:rsid w:val="00AE59FD"/>
    <w:rsid w:val="00AE5B7C"/>
    <w:rsid w:val="00AE6B73"/>
    <w:rsid w:val="00AE6EC3"/>
    <w:rsid w:val="00AE73E2"/>
    <w:rsid w:val="00AF02C2"/>
    <w:rsid w:val="00AF0927"/>
    <w:rsid w:val="00AF16F8"/>
    <w:rsid w:val="00AF197C"/>
    <w:rsid w:val="00AF1B2B"/>
    <w:rsid w:val="00AF200E"/>
    <w:rsid w:val="00AF203D"/>
    <w:rsid w:val="00AF299E"/>
    <w:rsid w:val="00AF2AD6"/>
    <w:rsid w:val="00AF2ADD"/>
    <w:rsid w:val="00AF3B9F"/>
    <w:rsid w:val="00AF4BD7"/>
    <w:rsid w:val="00AF55A6"/>
    <w:rsid w:val="00AF621D"/>
    <w:rsid w:val="00AF65A0"/>
    <w:rsid w:val="00AF711D"/>
    <w:rsid w:val="00B0060F"/>
    <w:rsid w:val="00B0148A"/>
    <w:rsid w:val="00B01E0D"/>
    <w:rsid w:val="00B03459"/>
    <w:rsid w:val="00B03CE2"/>
    <w:rsid w:val="00B04842"/>
    <w:rsid w:val="00B05E33"/>
    <w:rsid w:val="00B06BA1"/>
    <w:rsid w:val="00B10510"/>
    <w:rsid w:val="00B107F6"/>
    <w:rsid w:val="00B10802"/>
    <w:rsid w:val="00B11C77"/>
    <w:rsid w:val="00B11E6A"/>
    <w:rsid w:val="00B125CC"/>
    <w:rsid w:val="00B13EF8"/>
    <w:rsid w:val="00B13F95"/>
    <w:rsid w:val="00B14E65"/>
    <w:rsid w:val="00B1522A"/>
    <w:rsid w:val="00B153AD"/>
    <w:rsid w:val="00B15C4F"/>
    <w:rsid w:val="00B169F5"/>
    <w:rsid w:val="00B16FF2"/>
    <w:rsid w:val="00B172A1"/>
    <w:rsid w:val="00B17A5B"/>
    <w:rsid w:val="00B21982"/>
    <w:rsid w:val="00B2362A"/>
    <w:rsid w:val="00B25866"/>
    <w:rsid w:val="00B25A6F"/>
    <w:rsid w:val="00B25BC6"/>
    <w:rsid w:val="00B26575"/>
    <w:rsid w:val="00B2670A"/>
    <w:rsid w:val="00B270F3"/>
    <w:rsid w:val="00B27244"/>
    <w:rsid w:val="00B316E2"/>
    <w:rsid w:val="00B322FC"/>
    <w:rsid w:val="00B33C2F"/>
    <w:rsid w:val="00B34D6D"/>
    <w:rsid w:val="00B35432"/>
    <w:rsid w:val="00B373AD"/>
    <w:rsid w:val="00B41343"/>
    <w:rsid w:val="00B4134E"/>
    <w:rsid w:val="00B4137E"/>
    <w:rsid w:val="00B41BE7"/>
    <w:rsid w:val="00B41C79"/>
    <w:rsid w:val="00B42775"/>
    <w:rsid w:val="00B4299A"/>
    <w:rsid w:val="00B42B2D"/>
    <w:rsid w:val="00B441CE"/>
    <w:rsid w:val="00B44DA3"/>
    <w:rsid w:val="00B47862"/>
    <w:rsid w:val="00B5061D"/>
    <w:rsid w:val="00B5114C"/>
    <w:rsid w:val="00B518F7"/>
    <w:rsid w:val="00B51A2C"/>
    <w:rsid w:val="00B52026"/>
    <w:rsid w:val="00B5328A"/>
    <w:rsid w:val="00B537D4"/>
    <w:rsid w:val="00B5510F"/>
    <w:rsid w:val="00B57587"/>
    <w:rsid w:val="00B61DD1"/>
    <w:rsid w:val="00B623CE"/>
    <w:rsid w:val="00B626C6"/>
    <w:rsid w:val="00B62CE7"/>
    <w:rsid w:val="00B63124"/>
    <w:rsid w:val="00B63188"/>
    <w:rsid w:val="00B64BF6"/>
    <w:rsid w:val="00B662AD"/>
    <w:rsid w:val="00B67E89"/>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2F0"/>
    <w:rsid w:val="00B8497B"/>
    <w:rsid w:val="00B85D36"/>
    <w:rsid w:val="00B86A4A"/>
    <w:rsid w:val="00B86DC2"/>
    <w:rsid w:val="00B86E05"/>
    <w:rsid w:val="00B90397"/>
    <w:rsid w:val="00B90CBE"/>
    <w:rsid w:val="00B91560"/>
    <w:rsid w:val="00B91A02"/>
    <w:rsid w:val="00B91C28"/>
    <w:rsid w:val="00B91F2F"/>
    <w:rsid w:val="00B92B46"/>
    <w:rsid w:val="00B92E1C"/>
    <w:rsid w:val="00B93760"/>
    <w:rsid w:val="00B95A00"/>
    <w:rsid w:val="00B96729"/>
    <w:rsid w:val="00BA00A9"/>
    <w:rsid w:val="00BA0426"/>
    <w:rsid w:val="00BA1854"/>
    <w:rsid w:val="00BA1B7A"/>
    <w:rsid w:val="00BA2EE9"/>
    <w:rsid w:val="00BA363C"/>
    <w:rsid w:val="00BA3674"/>
    <w:rsid w:val="00BA36A5"/>
    <w:rsid w:val="00BA3CDE"/>
    <w:rsid w:val="00BA4B2C"/>
    <w:rsid w:val="00BA56BB"/>
    <w:rsid w:val="00BA6968"/>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6825"/>
    <w:rsid w:val="00BE732D"/>
    <w:rsid w:val="00BF0540"/>
    <w:rsid w:val="00BF0748"/>
    <w:rsid w:val="00BF212E"/>
    <w:rsid w:val="00BF330A"/>
    <w:rsid w:val="00BF42CF"/>
    <w:rsid w:val="00BF469C"/>
    <w:rsid w:val="00BF685A"/>
    <w:rsid w:val="00BF6B39"/>
    <w:rsid w:val="00C0076A"/>
    <w:rsid w:val="00C0130F"/>
    <w:rsid w:val="00C037C5"/>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4859"/>
    <w:rsid w:val="00C16490"/>
    <w:rsid w:val="00C1697D"/>
    <w:rsid w:val="00C16ECF"/>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84F"/>
    <w:rsid w:val="00C42ACD"/>
    <w:rsid w:val="00C4317A"/>
    <w:rsid w:val="00C45222"/>
    <w:rsid w:val="00C4591F"/>
    <w:rsid w:val="00C4622D"/>
    <w:rsid w:val="00C46263"/>
    <w:rsid w:val="00C4650F"/>
    <w:rsid w:val="00C46981"/>
    <w:rsid w:val="00C470AF"/>
    <w:rsid w:val="00C472F7"/>
    <w:rsid w:val="00C47877"/>
    <w:rsid w:val="00C47D1B"/>
    <w:rsid w:val="00C503FF"/>
    <w:rsid w:val="00C505E8"/>
    <w:rsid w:val="00C50711"/>
    <w:rsid w:val="00C51140"/>
    <w:rsid w:val="00C51346"/>
    <w:rsid w:val="00C515D8"/>
    <w:rsid w:val="00C51B23"/>
    <w:rsid w:val="00C51E4F"/>
    <w:rsid w:val="00C53782"/>
    <w:rsid w:val="00C53985"/>
    <w:rsid w:val="00C53E72"/>
    <w:rsid w:val="00C546A6"/>
    <w:rsid w:val="00C548CF"/>
    <w:rsid w:val="00C54BE5"/>
    <w:rsid w:val="00C5658B"/>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BDA"/>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4EEE"/>
    <w:rsid w:val="00C95E47"/>
    <w:rsid w:val="00C963A0"/>
    <w:rsid w:val="00C9699D"/>
    <w:rsid w:val="00C969DB"/>
    <w:rsid w:val="00C9775A"/>
    <w:rsid w:val="00C97E22"/>
    <w:rsid w:val="00CA07FF"/>
    <w:rsid w:val="00CA0F7D"/>
    <w:rsid w:val="00CA30DF"/>
    <w:rsid w:val="00CA456C"/>
    <w:rsid w:val="00CA460D"/>
    <w:rsid w:val="00CA6269"/>
    <w:rsid w:val="00CA666E"/>
    <w:rsid w:val="00CA66DF"/>
    <w:rsid w:val="00CA7476"/>
    <w:rsid w:val="00CA7C1E"/>
    <w:rsid w:val="00CA7FE3"/>
    <w:rsid w:val="00CB0565"/>
    <w:rsid w:val="00CB258D"/>
    <w:rsid w:val="00CB2A57"/>
    <w:rsid w:val="00CB57FD"/>
    <w:rsid w:val="00CB63FB"/>
    <w:rsid w:val="00CB6D69"/>
    <w:rsid w:val="00CB703A"/>
    <w:rsid w:val="00CB7E67"/>
    <w:rsid w:val="00CC0C5D"/>
    <w:rsid w:val="00CC0EE1"/>
    <w:rsid w:val="00CC1F04"/>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1614"/>
    <w:rsid w:val="00CE234D"/>
    <w:rsid w:val="00CE40D0"/>
    <w:rsid w:val="00CE4301"/>
    <w:rsid w:val="00CE468E"/>
    <w:rsid w:val="00CE46FC"/>
    <w:rsid w:val="00CE481E"/>
    <w:rsid w:val="00CE4AA8"/>
    <w:rsid w:val="00CE657B"/>
    <w:rsid w:val="00CF3292"/>
    <w:rsid w:val="00CF3A3D"/>
    <w:rsid w:val="00CF3D6B"/>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3A6B"/>
    <w:rsid w:val="00D14D6E"/>
    <w:rsid w:val="00D15398"/>
    <w:rsid w:val="00D1585E"/>
    <w:rsid w:val="00D15EDB"/>
    <w:rsid w:val="00D16B76"/>
    <w:rsid w:val="00D16EAC"/>
    <w:rsid w:val="00D17DCA"/>
    <w:rsid w:val="00D21482"/>
    <w:rsid w:val="00D217A4"/>
    <w:rsid w:val="00D236C3"/>
    <w:rsid w:val="00D24316"/>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715"/>
    <w:rsid w:val="00D41D70"/>
    <w:rsid w:val="00D42123"/>
    <w:rsid w:val="00D42175"/>
    <w:rsid w:val="00D42497"/>
    <w:rsid w:val="00D42571"/>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781"/>
    <w:rsid w:val="00DA5868"/>
    <w:rsid w:val="00DA63C9"/>
    <w:rsid w:val="00DA6B83"/>
    <w:rsid w:val="00DA6E68"/>
    <w:rsid w:val="00DB19E6"/>
    <w:rsid w:val="00DB25BC"/>
    <w:rsid w:val="00DB2606"/>
    <w:rsid w:val="00DB26C3"/>
    <w:rsid w:val="00DB436D"/>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174"/>
    <w:rsid w:val="00DD04AD"/>
    <w:rsid w:val="00DD0B9B"/>
    <w:rsid w:val="00DD0DA2"/>
    <w:rsid w:val="00DD0FEA"/>
    <w:rsid w:val="00DD1B85"/>
    <w:rsid w:val="00DD238A"/>
    <w:rsid w:val="00DD2460"/>
    <w:rsid w:val="00DD24BD"/>
    <w:rsid w:val="00DD295D"/>
    <w:rsid w:val="00DD324F"/>
    <w:rsid w:val="00DD36E9"/>
    <w:rsid w:val="00DD43B7"/>
    <w:rsid w:val="00DD4779"/>
    <w:rsid w:val="00DD4EA2"/>
    <w:rsid w:val="00DD502A"/>
    <w:rsid w:val="00DD5F20"/>
    <w:rsid w:val="00DD625F"/>
    <w:rsid w:val="00DD65CC"/>
    <w:rsid w:val="00DD6C50"/>
    <w:rsid w:val="00DD747F"/>
    <w:rsid w:val="00DE015D"/>
    <w:rsid w:val="00DE03DC"/>
    <w:rsid w:val="00DE0BC1"/>
    <w:rsid w:val="00DE1D18"/>
    <w:rsid w:val="00DE3118"/>
    <w:rsid w:val="00DE37CF"/>
    <w:rsid w:val="00DE3D5F"/>
    <w:rsid w:val="00DE3FBD"/>
    <w:rsid w:val="00DE4537"/>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450A"/>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176F9"/>
    <w:rsid w:val="00E2007F"/>
    <w:rsid w:val="00E20329"/>
    <w:rsid w:val="00E207FE"/>
    <w:rsid w:val="00E209C5"/>
    <w:rsid w:val="00E20B6F"/>
    <w:rsid w:val="00E21052"/>
    <w:rsid w:val="00E21313"/>
    <w:rsid w:val="00E2306B"/>
    <w:rsid w:val="00E24F10"/>
    <w:rsid w:val="00E2538E"/>
    <w:rsid w:val="00E30119"/>
    <w:rsid w:val="00E3149E"/>
    <w:rsid w:val="00E3163B"/>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1AFA"/>
    <w:rsid w:val="00E523BC"/>
    <w:rsid w:val="00E52878"/>
    <w:rsid w:val="00E5288E"/>
    <w:rsid w:val="00E52A5F"/>
    <w:rsid w:val="00E53A19"/>
    <w:rsid w:val="00E5452C"/>
    <w:rsid w:val="00E54E16"/>
    <w:rsid w:val="00E54F16"/>
    <w:rsid w:val="00E5532F"/>
    <w:rsid w:val="00E55E95"/>
    <w:rsid w:val="00E56BC5"/>
    <w:rsid w:val="00E56D05"/>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091"/>
    <w:rsid w:val="00E70E38"/>
    <w:rsid w:val="00E70F66"/>
    <w:rsid w:val="00E71476"/>
    <w:rsid w:val="00E72D30"/>
    <w:rsid w:val="00E733A6"/>
    <w:rsid w:val="00E7373D"/>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87F59"/>
    <w:rsid w:val="00E905A0"/>
    <w:rsid w:val="00E906D5"/>
    <w:rsid w:val="00E92E98"/>
    <w:rsid w:val="00E94560"/>
    <w:rsid w:val="00E94E45"/>
    <w:rsid w:val="00E954B7"/>
    <w:rsid w:val="00E95D22"/>
    <w:rsid w:val="00E96435"/>
    <w:rsid w:val="00EA0165"/>
    <w:rsid w:val="00EA392E"/>
    <w:rsid w:val="00EA4173"/>
    <w:rsid w:val="00EA4CD3"/>
    <w:rsid w:val="00EA56D6"/>
    <w:rsid w:val="00EA5B36"/>
    <w:rsid w:val="00EA5FD5"/>
    <w:rsid w:val="00EA6925"/>
    <w:rsid w:val="00EA6D71"/>
    <w:rsid w:val="00EA713A"/>
    <w:rsid w:val="00EB08EE"/>
    <w:rsid w:val="00EB1551"/>
    <w:rsid w:val="00EB1938"/>
    <w:rsid w:val="00EB1965"/>
    <w:rsid w:val="00EB1A69"/>
    <w:rsid w:val="00EB1BC0"/>
    <w:rsid w:val="00EB23EF"/>
    <w:rsid w:val="00EB29D3"/>
    <w:rsid w:val="00EB32A5"/>
    <w:rsid w:val="00EB3C8A"/>
    <w:rsid w:val="00EB3E96"/>
    <w:rsid w:val="00EB4AF6"/>
    <w:rsid w:val="00EB4B80"/>
    <w:rsid w:val="00EB57EC"/>
    <w:rsid w:val="00EB5BD5"/>
    <w:rsid w:val="00EB648C"/>
    <w:rsid w:val="00EC0103"/>
    <w:rsid w:val="00EC088B"/>
    <w:rsid w:val="00EC26EF"/>
    <w:rsid w:val="00EC35B4"/>
    <w:rsid w:val="00EC3643"/>
    <w:rsid w:val="00EC5949"/>
    <w:rsid w:val="00EC6134"/>
    <w:rsid w:val="00EC61DC"/>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B0B"/>
    <w:rsid w:val="00EE4D23"/>
    <w:rsid w:val="00EE5B01"/>
    <w:rsid w:val="00EE6B49"/>
    <w:rsid w:val="00EF00D9"/>
    <w:rsid w:val="00EF079E"/>
    <w:rsid w:val="00EF07E6"/>
    <w:rsid w:val="00EF0E89"/>
    <w:rsid w:val="00EF35FA"/>
    <w:rsid w:val="00EF3FA7"/>
    <w:rsid w:val="00EF4435"/>
    <w:rsid w:val="00EF507D"/>
    <w:rsid w:val="00EF5E29"/>
    <w:rsid w:val="00EF6D71"/>
    <w:rsid w:val="00EF71A8"/>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1950"/>
    <w:rsid w:val="00F11AAF"/>
    <w:rsid w:val="00F12151"/>
    <w:rsid w:val="00F12A0E"/>
    <w:rsid w:val="00F134AC"/>
    <w:rsid w:val="00F13EA4"/>
    <w:rsid w:val="00F157B0"/>
    <w:rsid w:val="00F16720"/>
    <w:rsid w:val="00F16E2F"/>
    <w:rsid w:val="00F172EE"/>
    <w:rsid w:val="00F179D8"/>
    <w:rsid w:val="00F17D6C"/>
    <w:rsid w:val="00F20045"/>
    <w:rsid w:val="00F20655"/>
    <w:rsid w:val="00F2098F"/>
    <w:rsid w:val="00F216D7"/>
    <w:rsid w:val="00F21EBC"/>
    <w:rsid w:val="00F22397"/>
    <w:rsid w:val="00F23DD7"/>
    <w:rsid w:val="00F240EA"/>
    <w:rsid w:val="00F2483D"/>
    <w:rsid w:val="00F2496F"/>
    <w:rsid w:val="00F252AC"/>
    <w:rsid w:val="00F25D1F"/>
    <w:rsid w:val="00F25EC1"/>
    <w:rsid w:val="00F26185"/>
    <w:rsid w:val="00F26DC3"/>
    <w:rsid w:val="00F300EF"/>
    <w:rsid w:val="00F301C6"/>
    <w:rsid w:val="00F30549"/>
    <w:rsid w:val="00F30F7B"/>
    <w:rsid w:val="00F31C27"/>
    <w:rsid w:val="00F322EA"/>
    <w:rsid w:val="00F32BCB"/>
    <w:rsid w:val="00F32EA8"/>
    <w:rsid w:val="00F3329C"/>
    <w:rsid w:val="00F34C64"/>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2C0"/>
    <w:rsid w:val="00F574F8"/>
    <w:rsid w:val="00F576E4"/>
    <w:rsid w:val="00F600F2"/>
    <w:rsid w:val="00F6065B"/>
    <w:rsid w:val="00F62E09"/>
    <w:rsid w:val="00F635F7"/>
    <w:rsid w:val="00F63C1F"/>
    <w:rsid w:val="00F64C79"/>
    <w:rsid w:val="00F6662F"/>
    <w:rsid w:val="00F675BD"/>
    <w:rsid w:val="00F70118"/>
    <w:rsid w:val="00F702B4"/>
    <w:rsid w:val="00F706F1"/>
    <w:rsid w:val="00F70E4A"/>
    <w:rsid w:val="00F71F04"/>
    <w:rsid w:val="00F743AF"/>
    <w:rsid w:val="00F75810"/>
    <w:rsid w:val="00F76A55"/>
    <w:rsid w:val="00F80496"/>
    <w:rsid w:val="00F80729"/>
    <w:rsid w:val="00F80996"/>
    <w:rsid w:val="00F81DCD"/>
    <w:rsid w:val="00F82380"/>
    <w:rsid w:val="00F84BAA"/>
    <w:rsid w:val="00F84D35"/>
    <w:rsid w:val="00F85DBC"/>
    <w:rsid w:val="00F8725D"/>
    <w:rsid w:val="00F87384"/>
    <w:rsid w:val="00F9077A"/>
    <w:rsid w:val="00F907B2"/>
    <w:rsid w:val="00F90BD9"/>
    <w:rsid w:val="00F90DE0"/>
    <w:rsid w:val="00F92058"/>
    <w:rsid w:val="00F923A7"/>
    <w:rsid w:val="00F944D7"/>
    <w:rsid w:val="00F97F78"/>
    <w:rsid w:val="00FA17C7"/>
    <w:rsid w:val="00FA2526"/>
    <w:rsid w:val="00FA259B"/>
    <w:rsid w:val="00FA400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0D3F"/>
    <w:rsid w:val="00FC12AD"/>
    <w:rsid w:val="00FC17E0"/>
    <w:rsid w:val="00FC21B4"/>
    <w:rsid w:val="00FC2A80"/>
    <w:rsid w:val="00FC3122"/>
    <w:rsid w:val="00FC3695"/>
    <w:rsid w:val="00FC3A1C"/>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1BD"/>
    <w:rsid w:val="00FE5219"/>
    <w:rsid w:val="00FE5747"/>
    <w:rsid w:val="00FE612F"/>
    <w:rsid w:val="00FE65CC"/>
    <w:rsid w:val="00FE6822"/>
    <w:rsid w:val="00FE6C02"/>
    <w:rsid w:val="00FE71F9"/>
    <w:rsid w:val="00FE7FBB"/>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CC1F04"/>
    <w:pPr>
      <w:tabs>
        <w:tab w:val="left" w:pos="880"/>
        <w:tab w:val="right" w:leader="dot" w:pos="8828"/>
      </w:tabs>
      <w:spacing w:after="100"/>
      <w:ind w:left="180" w:hanging="180"/>
    </w:pPr>
  </w:style>
  <w:style w:type="paragraph" w:customStyle="1" w:styleId="rtejustify">
    <w:name w:val="rtejustify"/>
    <w:basedOn w:val="Normal"/>
    <w:rsid w:val="00AE328D"/>
    <w:pPr>
      <w:spacing w:before="100" w:beforeAutospacing="1" w:after="100" w:afterAutospacing="1"/>
    </w:pPr>
    <w:rPr>
      <w:lang w:val="en-US" w:eastAsia="en-US"/>
    </w:rPr>
  </w:style>
  <w:style w:type="paragraph" w:styleId="TtulodeTDC">
    <w:name w:val="TOC Heading"/>
    <w:basedOn w:val="Ttulo1"/>
    <w:next w:val="Normal"/>
    <w:uiPriority w:val="39"/>
    <w:semiHidden/>
    <w:unhideWhenUsed/>
    <w:qFormat/>
    <w:rsid w:val="007F7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041">
      <w:bodyDiv w:val="1"/>
      <w:marLeft w:val="0"/>
      <w:marRight w:val="0"/>
      <w:marTop w:val="0"/>
      <w:marBottom w:val="0"/>
      <w:divBdr>
        <w:top w:val="none" w:sz="0" w:space="0" w:color="auto"/>
        <w:left w:val="none" w:sz="0" w:space="0" w:color="auto"/>
        <w:bottom w:val="none" w:sz="0" w:space="0" w:color="auto"/>
        <w:right w:val="none" w:sz="0" w:space="0" w:color="auto"/>
      </w:divBdr>
    </w:div>
    <w:div w:id="19279574">
      <w:bodyDiv w:val="1"/>
      <w:marLeft w:val="0"/>
      <w:marRight w:val="0"/>
      <w:marTop w:val="0"/>
      <w:marBottom w:val="0"/>
      <w:divBdr>
        <w:top w:val="none" w:sz="0" w:space="0" w:color="auto"/>
        <w:left w:val="none" w:sz="0" w:space="0" w:color="auto"/>
        <w:bottom w:val="none" w:sz="0" w:space="0" w:color="auto"/>
        <w:right w:val="none" w:sz="0" w:space="0" w:color="auto"/>
      </w:divBdr>
    </w:div>
    <w:div w:id="27223872">
      <w:bodyDiv w:val="1"/>
      <w:marLeft w:val="0"/>
      <w:marRight w:val="0"/>
      <w:marTop w:val="0"/>
      <w:marBottom w:val="0"/>
      <w:divBdr>
        <w:top w:val="none" w:sz="0" w:space="0" w:color="auto"/>
        <w:left w:val="none" w:sz="0" w:space="0" w:color="auto"/>
        <w:bottom w:val="none" w:sz="0" w:space="0" w:color="auto"/>
        <w:right w:val="none" w:sz="0" w:space="0" w:color="auto"/>
      </w:divBdr>
    </w:div>
    <w:div w:id="56322925">
      <w:bodyDiv w:val="1"/>
      <w:marLeft w:val="0"/>
      <w:marRight w:val="0"/>
      <w:marTop w:val="0"/>
      <w:marBottom w:val="0"/>
      <w:divBdr>
        <w:top w:val="none" w:sz="0" w:space="0" w:color="auto"/>
        <w:left w:val="none" w:sz="0" w:space="0" w:color="auto"/>
        <w:bottom w:val="none" w:sz="0" w:space="0" w:color="auto"/>
        <w:right w:val="none" w:sz="0" w:space="0" w:color="auto"/>
      </w:divBdr>
    </w:div>
    <w:div w:id="95905401">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184253">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57816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5190082">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0529398">
      <w:bodyDiv w:val="1"/>
      <w:marLeft w:val="0"/>
      <w:marRight w:val="0"/>
      <w:marTop w:val="0"/>
      <w:marBottom w:val="0"/>
      <w:divBdr>
        <w:top w:val="none" w:sz="0" w:space="0" w:color="auto"/>
        <w:left w:val="none" w:sz="0" w:space="0" w:color="auto"/>
        <w:bottom w:val="none" w:sz="0" w:space="0" w:color="auto"/>
        <w:right w:val="none" w:sz="0" w:space="0" w:color="auto"/>
      </w:divBdr>
    </w:div>
    <w:div w:id="612400742">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627798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5862872">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0064184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684531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5444382">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00604473">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6667654">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1663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30258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5084795">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0885561">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3478281">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3286.page" TargetMode="External"/><Relationship Id="rId13" Type="http://schemas.openxmlformats.org/officeDocument/2006/relationships/hyperlink" Target="https://www.saimex.org.mx/saimex/solicitud/downloadAttach/1348899.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492258.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93286.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488078.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488076.page"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71B3F-E3D1-43BD-84B9-C0E43274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3709</Words>
  <Characters>20402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2022-10-05T19:03:00Z</cp:lastPrinted>
  <dcterms:created xsi:type="dcterms:W3CDTF">2022-10-05T23:15:00Z</dcterms:created>
  <dcterms:modified xsi:type="dcterms:W3CDTF">2022-11-11T18:35:00Z</dcterms:modified>
</cp:coreProperties>
</file>